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11" w:rsidRPr="00C133F5" w:rsidRDefault="00D43C11" w:rsidP="00D43C11">
      <w:pPr>
        <w:pStyle w:val="a4"/>
        <w:spacing w:before="0" w:beforeAutospacing="0" w:after="0" w:afterAutospacing="0"/>
        <w:ind w:firstLine="709"/>
        <w:jc w:val="center"/>
        <w:rPr>
          <w:color w:val="000000"/>
          <w:sz w:val="28"/>
          <w:szCs w:val="28"/>
        </w:rPr>
      </w:pPr>
      <w:r w:rsidRPr="00C133F5">
        <w:rPr>
          <w:color w:val="000000"/>
          <w:sz w:val="28"/>
          <w:szCs w:val="28"/>
        </w:rPr>
        <w:t>Порівняльна таблиця</w:t>
      </w:r>
    </w:p>
    <w:p w:rsidR="00D43C11" w:rsidRPr="00E773DE" w:rsidRDefault="00D43C11" w:rsidP="00E773DE">
      <w:pPr>
        <w:pStyle w:val="a4"/>
        <w:spacing w:before="0" w:beforeAutospacing="0" w:after="0" w:afterAutospacing="0"/>
        <w:ind w:firstLine="709"/>
        <w:rPr>
          <w:color w:val="000000"/>
          <w:sz w:val="28"/>
          <w:szCs w:val="28"/>
        </w:rPr>
      </w:pPr>
      <w:r w:rsidRPr="00C133F5">
        <w:rPr>
          <w:color w:val="000000"/>
          <w:sz w:val="28"/>
          <w:szCs w:val="28"/>
        </w:rPr>
        <w:t xml:space="preserve">до проєкту </w:t>
      </w:r>
      <w:r>
        <w:rPr>
          <w:color w:val="000000"/>
          <w:sz w:val="28"/>
          <w:szCs w:val="28"/>
        </w:rPr>
        <w:t xml:space="preserve">постанови </w:t>
      </w:r>
      <w:r w:rsidR="00E773DE">
        <w:rPr>
          <w:color w:val="000000"/>
          <w:sz w:val="28"/>
          <w:szCs w:val="28"/>
        </w:rPr>
        <w:t xml:space="preserve">Правління Національного банку України «Про внесення змін до </w:t>
      </w:r>
      <w:r w:rsidR="00A0635B">
        <w:rPr>
          <w:color w:val="000000"/>
          <w:sz w:val="28"/>
          <w:szCs w:val="28"/>
        </w:rPr>
        <w:t>деяких нормативно-правових актів Національного банку України</w:t>
      </w:r>
      <w:r w:rsidR="00E773DE">
        <w:rPr>
          <w:color w:val="000000"/>
          <w:sz w:val="28"/>
          <w:szCs w:val="28"/>
        </w:rPr>
        <w:t>»</w:t>
      </w:r>
    </w:p>
    <w:p w:rsidR="00D43C11" w:rsidRPr="00C133F5" w:rsidRDefault="00D43C11" w:rsidP="00D43C11">
      <w:pPr>
        <w:pStyle w:val="a4"/>
        <w:spacing w:before="0" w:beforeAutospacing="0" w:after="0" w:afterAutospacing="0"/>
        <w:ind w:firstLine="709"/>
        <w:jc w:val="center"/>
        <w:rPr>
          <w:sz w:val="28"/>
          <w:szCs w:val="28"/>
        </w:rPr>
      </w:pPr>
      <w:r w:rsidRPr="00047399">
        <w:rPr>
          <w:color w:val="000000"/>
        </w:rPr>
        <w:t xml:space="preserve">                      </w:t>
      </w:r>
      <w:r w:rsidRPr="00C133F5">
        <w:rPr>
          <w:color w:val="000000"/>
          <w:sz w:val="28"/>
          <w:szCs w:val="28"/>
        </w:rPr>
        <w:t> </w:t>
      </w:r>
    </w:p>
    <w:tbl>
      <w:tblPr>
        <w:tblStyle w:val="a3"/>
        <w:tblW w:w="5000" w:type="pct"/>
        <w:tblLook w:val="04A0" w:firstRow="1" w:lastRow="0" w:firstColumn="1" w:lastColumn="0" w:noHBand="0" w:noVBand="1"/>
      </w:tblPr>
      <w:tblGrid>
        <w:gridCol w:w="7564"/>
        <w:gridCol w:w="7564"/>
      </w:tblGrid>
      <w:tr w:rsidR="00D43C11" w:rsidRPr="00C133F5" w:rsidTr="00972978">
        <w:tc>
          <w:tcPr>
            <w:tcW w:w="2500" w:type="pct"/>
            <w:hideMark/>
          </w:tcPr>
          <w:p w:rsidR="00D43C11" w:rsidRPr="00C133F5" w:rsidRDefault="00D43C11" w:rsidP="00972978">
            <w:pPr>
              <w:pStyle w:val="a4"/>
              <w:spacing w:before="0" w:beforeAutospacing="0" w:after="0" w:afterAutospacing="0"/>
              <w:ind w:firstLine="709"/>
              <w:jc w:val="center"/>
              <w:rPr>
                <w:sz w:val="28"/>
                <w:szCs w:val="28"/>
              </w:rPr>
            </w:pPr>
            <w:r w:rsidRPr="00C133F5">
              <w:rPr>
                <w:color w:val="000000"/>
                <w:sz w:val="28"/>
                <w:szCs w:val="28"/>
              </w:rPr>
              <w:t xml:space="preserve">Зміст положення (норми) чинного нормативно-правового </w:t>
            </w:r>
            <w:proofErr w:type="spellStart"/>
            <w:r w:rsidRPr="00C133F5">
              <w:rPr>
                <w:color w:val="000000"/>
                <w:sz w:val="28"/>
                <w:szCs w:val="28"/>
              </w:rPr>
              <w:t>акта</w:t>
            </w:r>
            <w:proofErr w:type="spellEnd"/>
          </w:p>
        </w:tc>
        <w:tc>
          <w:tcPr>
            <w:tcW w:w="2500" w:type="pct"/>
            <w:hideMark/>
          </w:tcPr>
          <w:p w:rsidR="00D43C11" w:rsidRPr="00C133F5" w:rsidRDefault="00D43C11" w:rsidP="00972978">
            <w:pPr>
              <w:pStyle w:val="a4"/>
              <w:spacing w:before="0" w:beforeAutospacing="0" w:after="0" w:afterAutospacing="0"/>
              <w:ind w:firstLine="709"/>
              <w:jc w:val="center"/>
              <w:rPr>
                <w:sz w:val="28"/>
                <w:szCs w:val="28"/>
              </w:rPr>
            </w:pPr>
            <w:r w:rsidRPr="00C133F5">
              <w:rPr>
                <w:color w:val="000000"/>
                <w:sz w:val="28"/>
                <w:szCs w:val="28"/>
              </w:rPr>
              <w:t xml:space="preserve">Зміст відповідного положення (норми) проєкту нормативно-правового </w:t>
            </w:r>
            <w:proofErr w:type="spellStart"/>
            <w:r w:rsidRPr="00C133F5">
              <w:rPr>
                <w:color w:val="000000"/>
                <w:sz w:val="28"/>
                <w:szCs w:val="28"/>
              </w:rPr>
              <w:t>акта</w:t>
            </w:r>
            <w:proofErr w:type="spellEnd"/>
          </w:p>
        </w:tc>
      </w:tr>
      <w:tr w:rsidR="00D43C11" w:rsidRPr="00C133F5" w:rsidTr="00972978">
        <w:tc>
          <w:tcPr>
            <w:tcW w:w="2500" w:type="pct"/>
            <w:hideMark/>
          </w:tcPr>
          <w:p w:rsidR="00D43C11" w:rsidRPr="00040557" w:rsidRDefault="00D43C11" w:rsidP="00972978">
            <w:pPr>
              <w:pStyle w:val="a4"/>
              <w:spacing w:before="0" w:beforeAutospacing="0" w:after="0" w:afterAutospacing="0"/>
              <w:ind w:firstLine="709"/>
              <w:jc w:val="center"/>
              <w:rPr>
                <w:b/>
                <w:sz w:val="28"/>
                <w:szCs w:val="28"/>
              </w:rPr>
            </w:pPr>
            <w:r w:rsidRPr="00040557">
              <w:rPr>
                <w:b/>
                <w:color w:val="000000"/>
                <w:sz w:val="28"/>
                <w:szCs w:val="28"/>
              </w:rPr>
              <w:t>1</w:t>
            </w:r>
          </w:p>
        </w:tc>
        <w:tc>
          <w:tcPr>
            <w:tcW w:w="2500" w:type="pct"/>
            <w:hideMark/>
          </w:tcPr>
          <w:p w:rsidR="00D43C11" w:rsidRPr="00C133F5" w:rsidRDefault="00D43C11" w:rsidP="00972978">
            <w:pPr>
              <w:pStyle w:val="a4"/>
              <w:spacing w:before="0" w:beforeAutospacing="0" w:after="0" w:afterAutospacing="0"/>
              <w:ind w:firstLine="709"/>
              <w:jc w:val="center"/>
              <w:rPr>
                <w:sz w:val="28"/>
                <w:szCs w:val="28"/>
              </w:rPr>
            </w:pPr>
            <w:r w:rsidRPr="00C133F5">
              <w:rPr>
                <w:color w:val="000000"/>
                <w:sz w:val="28"/>
                <w:szCs w:val="28"/>
              </w:rPr>
              <w:t>2</w:t>
            </w:r>
          </w:p>
        </w:tc>
      </w:tr>
      <w:tr w:rsidR="00040557" w:rsidRPr="00040557" w:rsidTr="00972978">
        <w:tc>
          <w:tcPr>
            <w:tcW w:w="2500" w:type="pct"/>
            <w:hideMark/>
          </w:tcPr>
          <w:p w:rsidR="00040557" w:rsidRPr="00040557" w:rsidRDefault="00040557" w:rsidP="00040557">
            <w:pPr>
              <w:pStyle w:val="a4"/>
              <w:spacing w:before="0" w:beforeAutospacing="0" w:after="0" w:afterAutospacing="0"/>
              <w:jc w:val="center"/>
              <w:rPr>
                <w:color w:val="000000"/>
              </w:rPr>
            </w:pPr>
            <w:r w:rsidRPr="00040557">
              <w:rPr>
                <w:bCs/>
                <w:color w:val="000000"/>
              </w:rPr>
              <w:t>Правління Національного банку України</w:t>
            </w:r>
          </w:p>
          <w:p w:rsidR="00040557" w:rsidRPr="00040557" w:rsidRDefault="00040557" w:rsidP="00040557">
            <w:pPr>
              <w:pStyle w:val="a4"/>
              <w:spacing w:before="0" w:beforeAutospacing="0" w:after="0" w:afterAutospacing="0"/>
              <w:jc w:val="center"/>
              <w:rPr>
                <w:color w:val="000000"/>
              </w:rPr>
            </w:pPr>
            <w:r w:rsidRPr="00040557">
              <w:rPr>
                <w:bCs/>
                <w:color w:val="000000"/>
              </w:rPr>
              <w:t>П О С Т А Н О В А</w:t>
            </w:r>
          </w:p>
          <w:p w:rsidR="00040557" w:rsidRPr="00040557" w:rsidRDefault="00040557" w:rsidP="00040557">
            <w:pPr>
              <w:pStyle w:val="a4"/>
              <w:spacing w:before="0" w:beforeAutospacing="0" w:after="0" w:afterAutospacing="0"/>
              <w:jc w:val="center"/>
              <w:rPr>
                <w:color w:val="000000"/>
              </w:rPr>
            </w:pPr>
            <w:r w:rsidRPr="00040557">
              <w:rPr>
                <w:bCs/>
                <w:color w:val="000000"/>
              </w:rPr>
              <w:t>02 грудня 2021 року                                  м. Київ                                           № 130</w:t>
            </w:r>
          </w:p>
          <w:p w:rsidR="00040557" w:rsidRPr="00040557" w:rsidRDefault="00040557" w:rsidP="00040557">
            <w:pPr>
              <w:pStyle w:val="a4"/>
              <w:spacing w:before="0" w:beforeAutospacing="0" w:after="0" w:afterAutospacing="0"/>
              <w:jc w:val="center"/>
              <w:rPr>
                <w:color w:val="000000"/>
                <w:sz w:val="28"/>
                <w:szCs w:val="28"/>
              </w:rPr>
            </w:pPr>
            <w:r w:rsidRPr="00040557">
              <w:rPr>
                <w:color w:val="000000"/>
                <w:sz w:val="28"/>
                <w:szCs w:val="28"/>
              </w:rPr>
              <w:t> </w:t>
            </w:r>
          </w:p>
          <w:p w:rsidR="00040557" w:rsidRPr="00040557" w:rsidRDefault="00040557" w:rsidP="00040557">
            <w:pPr>
              <w:pStyle w:val="a4"/>
              <w:spacing w:before="0" w:beforeAutospacing="0" w:after="0" w:afterAutospacing="0"/>
              <w:jc w:val="center"/>
              <w:rPr>
                <w:color w:val="000000"/>
              </w:rPr>
            </w:pPr>
            <w:r w:rsidRPr="00040557">
              <w:rPr>
                <w:bCs/>
                <w:color w:val="000000"/>
              </w:rPr>
              <w:t xml:space="preserve">Про затвердження Положення про порядок проведення грошових розрахунків за </w:t>
            </w:r>
            <w:r w:rsidRPr="00410A7B">
              <w:rPr>
                <w:bCs/>
                <w:strike/>
                <w:color w:val="000000"/>
              </w:rPr>
              <w:t>правочинами щодо цінних паперів та інших фінансових інструментів</w:t>
            </w:r>
            <w:r w:rsidRPr="00040557">
              <w:rPr>
                <w:bCs/>
                <w:color w:val="000000"/>
              </w:rPr>
              <w:t xml:space="preserve">, укладеними на організованих ринках </w:t>
            </w:r>
            <w:r w:rsidRPr="000A6B3F">
              <w:rPr>
                <w:bCs/>
                <w:strike/>
                <w:color w:val="000000"/>
              </w:rPr>
              <w:t>капіталу</w:t>
            </w:r>
            <w:r w:rsidRPr="00040557">
              <w:rPr>
                <w:bCs/>
                <w:color w:val="000000"/>
              </w:rPr>
              <w:t xml:space="preserve"> та поза </w:t>
            </w:r>
            <w:r w:rsidRPr="00410A7B">
              <w:rPr>
                <w:bCs/>
                <w:strike/>
                <w:color w:val="000000"/>
              </w:rPr>
              <w:t>організованими ринками капіталу</w:t>
            </w:r>
            <w:r w:rsidRPr="00040557">
              <w:rPr>
                <w:bCs/>
                <w:color w:val="000000"/>
              </w:rPr>
              <w:t>, з дотриманням принципу “поставка цінних  паперів проти оплати”</w:t>
            </w:r>
          </w:p>
          <w:p w:rsidR="00040557" w:rsidRPr="00040557" w:rsidRDefault="00040557" w:rsidP="00040557">
            <w:pPr>
              <w:pStyle w:val="a4"/>
              <w:spacing w:before="0" w:beforeAutospacing="0" w:after="0" w:afterAutospacing="0"/>
              <w:ind w:firstLine="709"/>
              <w:rPr>
                <w:sz w:val="28"/>
                <w:szCs w:val="28"/>
              </w:rPr>
            </w:pPr>
          </w:p>
        </w:tc>
        <w:tc>
          <w:tcPr>
            <w:tcW w:w="2500" w:type="pct"/>
            <w:hideMark/>
          </w:tcPr>
          <w:p w:rsidR="00040557" w:rsidRPr="00040557" w:rsidRDefault="00040557" w:rsidP="00040557">
            <w:pPr>
              <w:pStyle w:val="a4"/>
              <w:spacing w:before="0" w:beforeAutospacing="0" w:after="0" w:afterAutospacing="0"/>
              <w:jc w:val="center"/>
              <w:rPr>
                <w:color w:val="000000"/>
              </w:rPr>
            </w:pPr>
            <w:r w:rsidRPr="00040557">
              <w:rPr>
                <w:bCs/>
                <w:color w:val="000000"/>
              </w:rPr>
              <w:t>Правління Національного банку України</w:t>
            </w:r>
          </w:p>
          <w:p w:rsidR="00040557" w:rsidRPr="00040557" w:rsidRDefault="00040557" w:rsidP="00040557">
            <w:pPr>
              <w:pStyle w:val="a4"/>
              <w:spacing w:before="0" w:beforeAutospacing="0" w:after="0" w:afterAutospacing="0"/>
              <w:jc w:val="center"/>
              <w:rPr>
                <w:color w:val="000000"/>
              </w:rPr>
            </w:pPr>
            <w:r w:rsidRPr="00040557">
              <w:rPr>
                <w:bCs/>
                <w:color w:val="000000"/>
              </w:rPr>
              <w:t>П О С Т А Н О В А</w:t>
            </w:r>
          </w:p>
          <w:p w:rsidR="00040557" w:rsidRPr="00040557" w:rsidRDefault="00040557" w:rsidP="00040557">
            <w:pPr>
              <w:pStyle w:val="a4"/>
              <w:spacing w:before="0" w:beforeAutospacing="0" w:after="0" w:afterAutospacing="0"/>
              <w:jc w:val="center"/>
              <w:rPr>
                <w:color w:val="000000"/>
              </w:rPr>
            </w:pPr>
            <w:r w:rsidRPr="00040557">
              <w:rPr>
                <w:bCs/>
                <w:color w:val="000000"/>
              </w:rPr>
              <w:t>02 грудня 2021 року                                  м. Київ                                           № 130</w:t>
            </w:r>
          </w:p>
          <w:p w:rsidR="00040557" w:rsidRPr="00040557" w:rsidRDefault="00040557" w:rsidP="00040557">
            <w:pPr>
              <w:pStyle w:val="a4"/>
              <w:spacing w:before="0" w:beforeAutospacing="0" w:after="0" w:afterAutospacing="0"/>
              <w:jc w:val="center"/>
              <w:rPr>
                <w:color w:val="000000"/>
                <w:sz w:val="28"/>
                <w:szCs w:val="28"/>
              </w:rPr>
            </w:pPr>
            <w:r w:rsidRPr="00040557">
              <w:rPr>
                <w:color w:val="000000"/>
                <w:sz w:val="28"/>
                <w:szCs w:val="28"/>
              </w:rPr>
              <w:t> </w:t>
            </w:r>
          </w:p>
          <w:p w:rsidR="00040557" w:rsidRPr="00040557" w:rsidRDefault="00040557" w:rsidP="00040557">
            <w:pPr>
              <w:pStyle w:val="a4"/>
              <w:spacing w:before="0" w:beforeAutospacing="0" w:after="0" w:afterAutospacing="0"/>
              <w:jc w:val="center"/>
              <w:rPr>
                <w:b/>
                <w:color w:val="000000"/>
              </w:rPr>
            </w:pPr>
            <w:r w:rsidRPr="00040557">
              <w:rPr>
                <w:bCs/>
                <w:color w:val="000000"/>
              </w:rPr>
              <w:t xml:space="preserve">Про затвердження Положення про порядок проведення грошових розрахунків за </w:t>
            </w:r>
            <w:r w:rsidRPr="00040557">
              <w:rPr>
                <w:b/>
                <w:bCs/>
                <w:color w:val="000000"/>
              </w:rPr>
              <w:t xml:space="preserve">деривативними контрактами, правочинами щодо цінних паперів, інших фінансових інструментів, валютних цінностей та товарними операціями, </w:t>
            </w:r>
            <w:r w:rsidRPr="0009718B">
              <w:rPr>
                <w:bCs/>
                <w:color w:val="000000"/>
              </w:rPr>
              <w:t>укладеними на організованих ринках та поза</w:t>
            </w:r>
            <w:r w:rsidRPr="00040557">
              <w:rPr>
                <w:b/>
                <w:bCs/>
                <w:color w:val="000000"/>
              </w:rPr>
              <w:t xml:space="preserve"> ними, з дотриманням п</w:t>
            </w:r>
            <w:r w:rsidR="00410A7B">
              <w:rPr>
                <w:b/>
                <w:bCs/>
                <w:color w:val="000000"/>
              </w:rPr>
              <w:t xml:space="preserve">ринципів </w:t>
            </w:r>
            <w:r w:rsidR="00410A7B">
              <w:rPr>
                <w:b/>
                <w:bCs/>
                <w:color w:val="000000"/>
                <w:lang w:val="en-US"/>
              </w:rPr>
              <w:t>“</w:t>
            </w:r>
            <w:r w:rsidR="00410A7B">
              <w:rPr>
                <w:b/>
                <w:bCs/>
                <w:color w:val="000000"/>
              </w:rPr>
              <w:t>поставка проти оплати</w:t>
            </w:r>
            <w:r w:rsidR="00410A7B">
              <w:rPr>
                <w:b/>
                <w:bCs/>
                <w:color w:val="000000"/>
                <w:lang w:val="en-US"/>
              </w:rPr>
              <w:t>”</w:t>
            </w:r>
            <w:r w:rsidRPr="00040557">
              <w:rPr>
                <w:b/>
                <w:bCs/>
                <w:color w:val="000000"/>
              </w:rPr>
              <w:t>, “поставка цінних  паперів проти оплати”</w:t>
            </w:r>
          </w:p>
          <w:p w:rsidR="00040557" w:rsidRPr="00040557" w:rsidRDefault="00040557" w:rsidP="00040557">
            <w:pPr>
              <w:pStyle w:val="a4"/>
              <w:spacing w:before="0" w:beforeAutospacing="0" w:after="0" w:afterAutospacing="0"/>
              <w:ind w:firstLine="709"/>
              <w:rPr>
                <w:sz w:val="28"/>
                <w:szCs w:val="28"/>
              </w:rPr>
            </w:pPr>
          </w:p>
        </w:tc>
      </w:tr>
      <w:tr w:rsidR="00410A7B" w:rsidRPr="00040557" w:rsidTr="00972978">
        <w:tc>
          <w:tcPr>
            <w:tcW w:w="2500" w:type="pct"/>
          </w:tcPr>
          <w:p w:rsidR="00D15A52" w:rsidRDefault="00D15A52" w:rsidP="00707E31">
            <w:pPr>
              <w:pStyle w:val="a4"/>
              <w:spacing w:before="0" w:beforeAutospacing="0" w:after="0" w:afterAutospacing="0"/>
              <w:jc w:val="both"/>
              <w:rPr>
                <w:color w:val="000000"/>
              </w:rPr>
            </w:pPr>
          </w:p>
          <w:p w:rsidR="00707E31" w:rsidRDefault="00707E31" w:rsidP="00707E31">
            <w:pPr>
              <w:pStyle w:val="a4"/>
              <w:spacing w:before="0" w:beforeAutospacing="0" w:after="0" w:afterAutospacing="0"/>
              <w:jc w:val="both"/>
              <w:rPr>
                <w:color w:val="000000"/>
              </w:rPr>
            </w:pPr>
            <w:r>
              <w:rPr>
                <w:color w:val="000000"/>
              </w:rPr>
              <w:t xml:space="preserve">1. Затвердити Положення про порядок проведення грошових розрахунків за </w:t>
            </w:r>
            <w:r w:rsidRPr="00707E31">
              <w:rPr>
                <w:strike/>
                <w:color w:val="000000"/>
              </w:rPr>
              <w:t>правочинами щодо цінних паперів та інших фінансових інструментів</w:t>
            </w:r>
            <w:r>
              <w:rPr>
                <w:color w:val="000000"/>
              </w:rPr>
              <w:t xml:space="preserve">, укладеними на організованих ринках </w:t>
            </w:r>
            <w:r w:rsidRPr="000A6B3F">
              <w:rPr>
                <w:strike/>
                <w:color w:val="000000"/>
              </w:rPr>
              <w:t>капіталу</w:t>
            </w:r>
            <w:r>
              <w:rPr>
                <w:color w:val="000000"/>
              </w:rPr>
              <w:t xml:space="preserve"> та поза </w:t>
            </w:r>
            <w:r w:rsidRPr="00707E31">
              <w:rPr>
                <w:strike/>
                <w:color w:val="000000"/>
              </w:rPr>
              <w:t>організованими ринками капіталу</w:t>
            </w:r>
            <w:r>
              <w:rPr>
                <w:color w:val="000000"/>
              </w:rPr>
              <w:t>, з дотриманням принципу “поставка цінних  паперів проти оплати”, що додається.</w:t>
            </w:r>
          </w:p>
          <w:p w:rsidR="00410A7B" w:rsidRPr="00040557" w:rsidRDefault="00410A7B" w:rsidP="00040557">
            <w:pPr>
              <w:pStyle w:val="a4"/>
              <w:spacing w:before="0" w:beforeAutospacing="0" w:after="0" w:afterAutospacing="0"/>
              <w:jc w:val="center"/>
              <w:rPr>
                <w:bCs/>
                <w:color w:val="000000"/>
              </w:rPr>
            </w:pPr>
          </w:p>
        </w:tc>
        <w:tc>
          <w:tcPr>
            <w:tcW w:w="2500" w:type="pct"/>
          </w:tcPr>
          <w:p w:rsidR="00D15A52" w:rsidRDefault="00D15A52" w:rsidP="00707E31">
            <w:pPr>
              <w:pStyle w:val="a4"/>
              <w:spacing w:before="0" w:beforeAutospacing="0" w:after="0" w:afterAutospacing="0"/>
              <w:jc w:val="both"/>
              <w:rPr>
                <w:color w:val="000000"/>
              </w:rPr>
            </w:pPr>
          </w:p>
          <w:p w:rsidR="00707E31" w:rsidRDefault="00707E31" w:rsidP="00707E31">
            <w:pPr>
              <w:pStyle w:val="a4"/>
              <w:spacing w:before="0" w:beforeAutospacing="0" w:after="0" w:afterAutospacing="0"/>
              <w:jc w:val="both"/>
              <w:rPr>
                <w:color w:val="000000"/>
              </w:rPr>
            </w:pPr>
            <w:r>
              <w:rPr>
                <w:color w:val="000000"/>
              </w:rPr>
              <w:t>1. Затвердити Положення про порядок про</w:t>
            </w:r>
            <w:r w:rsidR="006740A5">
              <w:rPr>
                <w:color w:val="000000"/>
              </w:rPr>
              <w:t>ведення грошових розрахунків за</w:t>
            </w:r>
            <w:r w:rsidRPr="00040557">
              <w:rPr>
                <w:bCs/>
                <w:color w:val="000000"/>
              </w:rPr>
              <w:t xml:space="preserve"> </w:t>
            </w:r>
            <w:r w:rsidRPr="00040557">
              <w:rPr>
                <w:b/>
                <w:bCs/>
                <w:color w:val="000000"/>
              </w:rPr>
              <w:t xml:space="preserve">деривативними контрактами, правочинами щодо цінних паперів, інших фінансових інструментів, валютних цінностей та товарними операціями, </w:t>
            </w:r>
            <w:r w:rsidRPr="00707E31">
              <w:rPr>
                <w:bCs/>
                <w:color w:val="000000"/>
              </w:rPr>
              <w:t xml:space="preserve">укладеними на організованих </w:t>
            </w:r>
            <w:r w:rsidRPr="00707E31">
              <w:rPr>
                <w:bCs/>
                <w:color w:val="000000"/>
              </w:rPr>
              <w:lastRenderedPageBreak/>
              <w:t>ринках та поза</w:t>
            </w:r>
            <w:r w:rsidRPr="00040557">
              <w:rPr>
                <w:b/>
                <w:bCs/>
                <w:color w:val="000000"/>
              </w:rPr>
              <w:t xml:space="preserve"> ними, з дотриманням п</w:t>
            </w:r>
            <w:r>
              <w:rPr>
                <w:b/>
                <w:bCs/>
                <w:color w:val="000000"/>
              </w:rPr>
              <w:t xml:space="preserve">ринципів </w:t>
            </w:r>
            <w:r>
              <w:rPr>
                <w:b/>
                <w:bCs/>
                <w:color w:val="000000"/>
                <w:lang w:val="en-US"/>
              </w:rPr>
              <w:t>“</w:t>
            </w:r>
            <w:r>
              <w:rPr>
                <w:b/>
                <w:bCs/>
                <w:color w:val="000000"/>
              </w:rPr>
              <w:t>поставка проти оплати</w:t>
            </w:r>
            <w:r>
              <w:rPr>
                <w:b/>
                <w:bCs/>
                <w:color w:val="000000"/>
                <w:lang w:val="en-US"/>
              </w:rPr>
              <w:t>”</w:t>
            </w:r>
            <w:r w:rsidRPr="00040557">
              <w:rPr>
                <w:b/>
                <w:bCs/>
                <w:color w:val="000000"/>
              </w:rPr>
              <w:t>, “поставка цінних  паперів проти оплати”</w:t>
            </w:r>
            <w:r>
              <w:rPr>
                <w:color w:val="000000"/>
              </w:rPr>
              <w:t>, що додається.</w:t>
            </w:r>
          </w:p>
          <w:p w:rsidR="00410A7B" w:rsidRPr="00040557" w:rsidRDefault="00410A7B" w:rsidP="00040557">
            <w:pPr>
              <w:pStyle w:val="a4"/>
              <w:spacing w:before="0" w:beforeAutospacing="0" w:after="0" w:afterAutospacing="0"/>
              <w:jc w:val="center"/>
              <w:rPr>
                <w:bCs/>
                <w:color w:val="000000"/>
              </w:rPr>
            </w:pPr>
          </w:p>
        </w:tc>
      </w:tr>
      <w:tr w:rsidR="00033942" w:rsidRPr="00040557" w:rsidTr="00972978">
        <w:tc>
          <w:tcPr>
            <w:tcW w:w="2500" w:type="pct"/>
          </w:tcPr>
          <w:p w:rsidR="00033942" w:rsidRDefault="00033942" w:rsidP="00033942">
            <w:pPr>
              <w:pStyle w:val="a4"/>
              <w:spacing w:before="0" w:beforeAutospacing="0" w:after="0" w:afterAutospacing="0"/>
              <w:jc w:val="right"/>
              <w:rPr>
                <w:color w:val="000000"/>
              </w:rPr>
            </w:pPr>
            <w:r>
              <w:rPr>
                <w:color w:val="000000"/>
              </w:rPr>
              <w:lastRenderedPageBreak/>
              <w:t>ЗАТВЕРДЖЕНО</w:t>
            </w:r>
          </w:p>
          <w:p w:rsidR="00033942" w:rsidRDefault="00033942" w:rsidP="00033942">
            <w:pPr>
              <w:pStyle w:val="a4"/>
              <w:spacing w:before="0" w:beforeAutospacing="0" w:after="0" w:afterAutospacing="0"/>
              <w:jc w:val="right"/>
              <w:rPr>
                <w:color w:val="000000"/>
              </w:rPr>
            </w:pPr>
            <w:r>
              <w:rPr>
                <w:color w:val="000000"/>
              </w:rPr>
              <w:t>Постанова Правління</w:t>
            </w:r>
          </w:p>
          <w:p w:rsidR="00033942" w:rsidRDefault="00033942" w:rsidP="00033942">
            <w:pPr>
              <w:pStyle w:val="a4"/>
              <w:spacing w:before="0" w:beforeAutospacing="0" w:after="0" w:afterAutospacing="0"/>
              <w:jc w:val="right"/>
              <w:rPr>
                <w:color w:val="000000"/>
              </w:rPr>
            </w:pPr>
            <w:r>
              <w:rPr>
                <w:color w:val="000000"/>
              </w:rPr>
              <w:t>Національного банку України</w:t>
            </w:r>
          </w:p>
          <w:p w:rsidR="00033942" w:rsidRDefault="00033942" w:rsidP="00033942">
            <w:pPr>
              <w:pStyle w:val="a4"/>
              <w:spacing w:before="0" w:beforeAutospacing="0" w:after="0" w:afterAutospacing="0"/>
              <w:jc w:val="right"/>
              <w:rPr>
                <w:color w:val="000000"/>
              </w:rPr>
            </w:pPr>
            <w:r>
              <w:rPr>
                <w:color w:val="000000"/>
              </w:rPr>
              <w:t>02 грудня 2021 року № 130</w:t>
            </w:r>
          </w:p>
          <w:p w:rsidR="00033942" w:rsidRDefault="00033942" w:rsidP="00033942">
            <w:pPr>
              <w:pStyle w:val="a4"/>
              <w:spacing w:before="0" w:beforeAutospacing="0" w:after="0" w:afterAutospacing="0"/>
              <w:jc w:val="right"/>
              <w:rPr>
                <w:color w:val="000000"/>
              </w:rPr>
            </w:pPr>
          </w:p>
          <w:p w:rsidR="00033942" w:rsidRDefault="00033942" w:rsidP="00D15A52">
            <w:pPr>
              <w:pStyle w:val="a4"/>
              <w:spacing w:before="0" w:beforeAutospacing="0" w:after="0" w:afterAutospacing="0"/>
              <w:jc w:val="both"/>
              <w:rPr>
                <w:color w:val="000000"/>
              </w:rPr>
            </w:pPr>
            <w:r w:rsidRPr="00040557">
              <w:rPr>
                <w:bCs/>
                <w:color w:val="000000"/>
              </w:rPr>
              <w:t xml:space="preserve">Положення про порядок проведення грошових розрахунків за </w:t>
            </w:r>
            <w:r w:rsidRPr="00410A7B">
              <w:rPr>
                <w:bCs/>
                <w:strike/>
                <w:color w:val="000000"/>
              </w:rPr>
              <w:t>правочинами щодо цінних паперів та інших фінансових інструментів</w:t>
            </w:r>
            <w:r w:rsidRPr="00040557">
              <w:rPr>
                <w:bCs/>
                <w:color w:val="000000"/>
              </w:rPr>
              <w:t xml:space="preserve">, укладеними на організованих ринках </w:t>
            </w:r>
            <w:r w:rsidRPr="000A6B3F">
              <w:rPr>
                <w:bCs/>
                <w:strike/>
                <w:color w:val="000000"/>
              </w:rPr>
              <w:t>капіталу</w:t>
            </w:r>
            <w:r w:rsidRPr="00040557">
              <w:rPr>
                <w:bCs/>
                <w:color w:val="000000"/>
              </w:rPr>
              <w:t xml:space="preserve"> та поза </w:t>
            </w:r>
            <w:r w:rsidRPr="00410A7B">
              <w:rPr>
                <w:bCs/>
                <w:strike/>
                <w:color w:val="000000"/>
              </w:rPr>
              <w:t>організованими ринками капіталу</w:t>
            </w:r>
            <w:r w:rsidRPr="00040557">
              <w:rPr>
                <w:bCs/>
                <w:color w:val="000000"/>
              </w:rPr>
              <w:t>, з дотриманням принципу “поставка цінних  паперів проти оплати”</w:t>
            </w:r>
          </w:p>
        </w:tc>
        <w:tc>
          <w:tcPr>
            <w:tcW w:w="2500" w:type="pct"/>
          </w:tcPr>
          <w:p w:rsidR="00033942" w:rsidRDefault="00033942" w:rsidP="00033942">
            <w:pPr>
              <w:pStyle w:val="a4"/>
              <w:spacing w:before="0" w:beforeAutospacing="0" w:after="0" w:afterAutospacing="0"/>
              <w:jc w:val="right"/>
              <w:rPr>
                <w:color w:val="000000"/>
              </w:rPr>
            </w:pPr>
            <w:r>
              <w:rPr>
                <w:color w:val="000000"/>
              </w:rPr>
              <w:t>ЗАТВЕРДЖЕНО</w:t>
            </w:r>
          </w:p>
          <w:p w:rsidR="00033942" w:rsidRDefault="00033942" w:rsidP="00033942">
            <w:pPr>
              <w:pStyle w:val="a4"/>
              <w:spacing w:before="0" w:beforeAutospacing="0" w:after="0" w:afterAutospacing="0"/>
              <w:jc w:val="right"/>
              <w:rPr>
                <w:color w:val="000000"/>
              </w:rPr>
            </w:pPr>
            <w:r>
              <w:rPr>
                <w:color w:val="000000"/>
              </w:rPr>
              <w:t>Постанова Правління</w:t>
            </w:r>
          </w:p>
          <w:p w:rsidR="00033942" w:rsidRDefault="00033942" w:rsidP="00033942">
            <w:pPr>
              <w:pStyle w:val="a4"/>
              <w:spacing w:before="0" w:beforeAutospacing="0" w:after="0" w:afterAutospacing="0"/>
              <w:jc w:val="right"/>
              <w:rPr>
                <w:color w:val="000000"/>
              </w:rPr>
            </w:pPr>
            <w:r>
              <w:rPr>
                <w:color w:val="000000"/>
              </w:rPr>
              <w:t>Національного банку України</w:t>
            </w:r>
          </w:p>
          <w:p w:rsidR="00033942" w:rsidRDefault="00033942" w:rsidP="00033942">
            <w:pPr>
              <w:pStyle w:val="a4"/>
              <w:spacing w:before="0" w:beforeAutospacing="0" w:after="0" w:afterAutospacing="0"/>
              <w:jc w:val="right"/>
              <w:rPr>
                <w:color w:val="000000"/>
              </w:rPr>
            </w:pPr>
            <w:r>
              <w:rPr>
                <w:color w:val="000000"/>
              </w:rPr>
              <w:t>02 грудня 2021 року № 130</w:t>
            </w:r>
          </w:p>
          <w:p w:rsidR="00033942" w:rsidRDefault="00033942" w:rsidP="00033942">
            <w:pPr>
              <w:pStyle w:val="a4"/>
              <w:spacing w:before="0" w:beforeAutospacing="0" w:after="0" w:afterAutospacing="0"/>
              <w:jc w:val="right"/>
              <w:rPr>
                <w:color w:val="000000"/>
              </w:rPr>
            </w:pPr>
          </w:p>
          <w:p w:rsidR="00033942" w:rsidRDefault="00033942" w:rsidP="000A6B3F">
            <w:pPr>
              <w:pStyle w:val="a4"/>
              <w:spacing w:before="0" w:beforeAutospacing="0" w:after="0" w:afterAutospacing="0"/>
              <w:jc w:val="both"/>
              <w:rPr>
                <w:color w:val="000000"/>
              </w:rPr>
            </w:pPr>
            <w:r w:rsidRPr="00040557">
              <w:rPr>
                <w:bCs/>
                <w:color w:val="000000"/>
              </w:rPr>
              <w:t xml:space="preserve">Положення про порядок проведення грошових розрахунків за </w:t>
            </w:r>
            <w:r w:rsidRPr="00040557">
              <w:rPr>
                <w:b/>
                <w:bCs/>
                <w:color w:val="000000"/>
              </w:rPr>
              <w:t xml:space="preserve">деривативними контрактами, правочинами щодо цінних паперів, інших фінансових інструментів, валютних цінностей та товарними операціями, </w:t>
            </w:r>
            <w:r w:rsidRPr="0009718B">
              <w:rPr>
                <w:bCs/>
                <w:color w:val="000000"/>
              </w:rPr>
              <w:t>укладеними на організованих ринках та поза</w:t>
            </w:r>
            <w:r w:rsidRPr="00040557">
              <w:rPr>
                <w:b/>
                <w:bCs/>
                <w:color w:val="000000"/>
              </w:rPr>
              <w:t xml:space="preserve"> ними, з дотриманням п</w:t>
            </w:r>
            <w:r>
              <w:rPr>
                <w:b/>
                <w:bCs/>
                <w:color w:val="000000"/>
              </w:rPr>
              <w:t xml:space="preserve">ринципів </w:t>
            </w:r>
            <w:r>
              <w:rPr>
                <w:b/>
                <w:bCs/>
                <w:color w:val="000000"/>
                <w:lang w:val="en-US"/>
              </w:rPr>
              <w:t>“</w:t>
            </w:r>
            <w:r>
              <w:rPr>
                <w:b/>
                <w:bCs/>
                <w:color w:val="000000"/>
              </w:rPr>
              <w:t>поставка проти оплати</w:t>
            </w:r>
            <w:r>
              <w:rPr>
                <w:b/>
                <w:bCs/>
                <w:color w:val="000000"/>
                <w:lang w:val="en-US"/>
              </w:rPr>
              <w:t>”</w:t>
            </w:r>
            <w:r w:rsidRPr="00040557">
              <w:rPr>
                <w:b/>
                <w:bCs/>
                <w:color w:val="000000"/>
              </w:rPr>
              <w:t>, “поставка цінних  паперів проти оплати”</w:t>
            </w:r>
          </w:p>
        </w:tc>
      </w:tr>
      <w:tr w:rsidR="00743C90" w:rsidRPr="00040557" w:rsidTr="00972978">
        <w:tc>
          <w:tcPr>
            <w:tcW w:w="2500" w:type="pct"/>
          </w:tcPr>
          <w:p w:rsidR="00743C90" w:rsidRPr="00743C90" w:rsidRDefault="00743C90" w:rsidP="00743C90">
            <w:pPr>
              <w:pStyle w:val="a4"/>
              <w:jc w:val="both"/>
              <w:rPr>
                <w:color w:val="000000"/>
              </w:rPr>
            </w:pPr>
            <w:r w:rsidRPr="00743C90">
              <w:rPr>
                <w:color w:val="000000"/>
              </w:rPr>
              <w:t>1. Це Положення розроблене відповідно до Законів України “Про Національний банк України”, “Про ринки капіталу та організовані товарні ринки”, “Про депозитарну систему України”, інших законодавчих актів України та нормативно-правових актів Національного банку України (далі - Національний банк).</w:t>
            </w:r>
          </w:p>
          <w:p w:rsidR="00743C90" w:rsidRDefault="00743C90" w:rsidP="00743C90">
            <w:pPr>
              <w:pStyle w:val="a4"/>
              <w:spacing w:before="0" w:beforeAutospacing="0" w:after="0" w:afterAutospacing="0"/>
              <w:jc w:val="both"/>
              <w:rPr>
                <w:color w:val="000000"/>
              </w:rPr>
            </w:pPr>
            <w:r w:rsidRPr="00743C90">
              <w:rPr>
                <w:color w:val="000000"/>
              </w:rPr>
              <w:t xml:space="preserve">Це Положення визначає дії Національного банку, Центрального депозитарію цінних паперів (далі – Центральний депозитарій), їх клієнтів, клірингових установ та банків для забезпечення переказу коштів та/або відображення кліринговими установами, Центральним депозитарієм (у разі провадження ним клірингової діяльності з визначення зобов’язань) у внутрішній системі обліку особи, яка провадить клірингову діяльність (далі – система обліку), зміни обсягу прав та зобов’язань щодо коштів між сторонами </w:t>
            </w:r>
            <w:r w:rsidRPr="001B3C4C">
              <w:rPr>
                <w:strike/>
                <w:color w:val="000000"/>
              </w:rPr>
              <w:t>правочинів щодо цінних паперів та інших фінансових інструментів</w:t>
            </w:r>
            <w:r w:rsidRPr="00743C90">
              <w:rPr>
                <w:color w:val="000000"/>
              </w:rPr>
              <w:t xml:space="preserve"> з відображенням переходу права вимоги на кошти, у тому числі припинення зобов’язань щодо коштів за результатами </w:t>
            </w:r>
            <w:proofErr w:type="spellStart"/>
            <w:r w:rsidRPr="00743C90">
              <w:rPr>
                <w:color w:val="000000"/>
              </w:rPr>
              <w:t>неттінгу</w:t>
            </w:r>
            <w:proofErr w:type="spellEnd"/>
            <w:r w:rsidRPr="00743C90">
              <w:rPr>
                <w:color w:val="000000"/>
              </w:rPr>
              <w:t xml:space="preserve"> з метою здійснення грошових розрахунків за </w:t>
            </w:r>
            <w:r w:rsidRPr="003F129C">
              <w:rPr>
                <w:strike/>
                <w:color w:val="000000"/>
              </w:rPr>
              <w:t>правочинами щодо цінних паперів та інших фінансових інструментів</w:t>
            </w:r>
            <w:r w:rsidRPr="00743C90">
              <w:rPr>
                <w:color w:val="000000"/>
              </w:rPr>
              <w:t xml:space="preserve">, укладеними на організованих ринках </w:t>
            </w:r>
            <w:r w:rsidRPr="009E344F">
              <w:rPr>
                <w:strike/>
                <w:color w:val="000000"/>
              </w:rPr>
              <w:t>капіталу</w:t>
            </w:r>
            <w:r w:rsidRPr="00743C90">
              <w:rPr>
                <w:color w:val="000000"/>
              </w:rPr>
              <w:t xml:space="preserve"> та поза </w:t>
            </w:r>
            <w:r w:rsidRPr="00743C90">
              <w:rPr>
                <w:color w:val="000000"/>
              </w:rPr>
              <w:lastRenderedPageBreak/>
              <w:t xml:space="preserve">організованими ринками </w:t>
            </w:r>
            <w:r w:rsidRPr="009E344F">
              <w:rPr>
                <w:strike/>
                <w:color w:val="000000"/>
              </w:rPr>
              <w:t>капіталу</w:t>
            </w:r>
            <w:r w:rsidRPr="00743C90">
              <w:rPr>
                <w:color w:val="000000"/>
              </w:rPr>
              <w:t xml:space="preserve">, з дотриманням </w:t>
            </w:r>
            <w:r w:rsidRPr="003F129C">
              <w:rPr>
                <w:strike/>
                <w:color w:val="000000"/>
              </w:rPr>
              <w:t>принципу</w:t>
            </w:r>
            <w:r w:rsidRPr="00743C90">
              <w:rPr>
                <w:color w:val="000000"/>
              </w:rPr>
              <w:t xml:space="preserve"> “поставка цінних паперів проти оплати”.</w:t>
            </w:r>
          </w:p>
        </w:tc>
        <w:tc>
          <w:tcPr>
            <w:tcW w:w="2500" w:type="pct"/>
          </w:tcPr>
          <w:p w:rsidR="00743C90" w:rsidRDefault="00743C90" w:rsidP="00743C90">
            <w:pPr>
              <w:pStyle w:val="a4"/>
              <w:spacing w:before="0" w:beforeAutospacing="0" w:after="0" w:afterAutospacing="0"/>
              <w:jc w:val="both"/>
              <w:rPr>
                <w:color w:val="000000"/>
              </w:rPr>
            </w:pPr>
            <w:r>
              <w:rPr>
                <w:color w:val="000000"/>
              </w:rPr>
              <w:lastRenderedPageBreak/>
              <w:t>1. Це Положення розроблене відповідно до Законів України “Про Національний банк України”, “Про ринки капіталу та організовані товарні ринки”, “Про депозитарну систему України”, інших законодавчих актів України та нормативно-правових актів Національного банку України (далі - Національний банк).</w:t>
            </w:r>
          </w:p>
          <w:p w:rsidR="00743C90" w:rsidRDefault="00743C90" w:rsidP="00743C90">
            <w:pPr>
              <w:pStyle w:val="a4"/>
              <w:spacing w:before="0" w:beforeAutospacing="0" w:after="0" w:afterAutospacing="0"/>
              <w:jc w:val="both"/>
              <w:rPr>
                <w:color w:val="000000"/>
              </w:rPr>
            </w:pPr>
          </w:p>
          <w:p w:rsidR="00743C90" w:rsidRDefault="00743C90" w:rsidP="00743C90">
            <w:pPr>
              <w:pStyle w:val="a4"/>
              <w:spacing w:before="0" w:beforeAutospacing="0" w:after="0" w:afterAutospacing="0"/>
              <w:jc w:val="both"/>
              <w:rPr>
                <w:color w:val="000000"/>
              </w:rPr>
            </w:pPr>
            <w:r>
              <w:rPr>
                <w:color w:val="000000"/>
              </w:rPr>
              <w:t xml:space="preserve">Це Положення визначає дії Національного банку, Центрального депозитарію цінних паперів (далі – Центральний депозитарій), їх клієнтів, клірингових установ та банків для забезпечення переказу коштів та/або відображення кліринговими установами, Центральним депозитарієм (у разі провадження ним клірингової діяльності з визначення зобов’язань) у внутрішній системі обліку особи, яка провадить клірингову діяльність (далі – система обліку), зміни обсягу прав та зобов’язань щодо коштів між </w:t>
            </w:r>
            <w:r w:rsidR="001B3C4C" w:rsidRPr="001B3C4C">
              <w:rPr>
                <w:color w:val="000000"/>
              </w:rPr>
              <w:t xml:space="preserve">сторонами </w:t>
            </w:r>
            <w:r w:rsidR="001B3C4C" w:rsidRPr="001B3C4C">
              <w:rPr>
                <w:b/>
                <w:color w:val="000000"/>
              </w:rPr>
              <w:t>деривативних контрактів, сторонами правочинів щодо цінних паперів, інших фінансових інструментів та щодо валютних цінностей, а також сторонами товарних операцій</w:t>
            </w:r>
            <w:r w:rsidRPr="001B3C4C">
              <w:rPr>
                <w:b/>
                <w:color w:val="000000"/>
              </w:rPr>
              <w:t xml:space="preserve"> </w:t>
            </w:r>
            <w:r>
              <w:rPr>
                <w:color w:val="000000"/>
              </w:rPr>
              <w:t xml:space="preserve">з відображенням переходу права вимоги на кошти, у тому числі припинення зобов’язань щодо коштів за результатами </w:t>
            </w:r>
            <w:proofErr w:type="spellStart"/>
            <w:r>
              <w:rPr>
                <w:color w:val="000000"/>
              </w:rPr>
              <w:t>неттінгу</w:t>
            </w:r>
            <w:proofErr w:type="spellEnd"/>
            <w:r>
              <w:rPr>
                <w:color w:val="000000"/>
              </w:rPr>
              <w:t xml:space="preserve"> з метою здійснення грошових розрахунків за </w:t>
            </w:r>
            <w:r w:rsidR="001B3C4C" w:rsidRPr="007C2AD5">
              <w:t>д</w:t>
            </w:r>
            <w:r w:rsidR="001B3C4C" w:rsidRPr="003F129C">
              <w:rPr>
                <w:b/>
              </w:rPr>
              <w:t xml:space="preserve">еривативними контрактами, правочинами щодо цінних паперів, </w:t>
            </w:r>
            <w:r w:rsidR="001B3C4C" w:rsidRPr="003F129C">
              <w:rPr>
                <w:b/>
              </w:rPr>
              <w:lastRenderedPageBreak/>
              <w:t>інших фінансових інструментів, валютних цінностей та товарними операціями</w:t>
            </w:r>
            <w:r>
              <w:rPr>
                <w:color w:val="000000"/>
              </w:rPr>
              <w:t>, укладеними на організованих ринках та поза організованими ринками, з дотриманням принцип</w:t>
            </w:r>
            <w:r w:rsidR="003F129C" w:rsidRPr="003F129C">
              <w:rPr>
                <w:b/>
                <w:color w:val="000000"/>
                <w:lang w:val="ru-UA"/>
              </w:rPr>
              <w:t>ів</w:t>
            </w:r>
            <w:r w:rsidR="003F129C">
              <w:rPr>
                <w:b/>
                <w:color w:val="000000"/>
              </w:rPr>
              <w:t xml:space="preserve"> </w:t>
            </w:r>
            <w:r w:rsidR="003F129C">
              <w:rPr>
                <w:b/>
                <w:color w:val="000000"/>
                <w:lang w:val="en-US"/>
              </w:rPr>
              <w:t>“</w:t>
            </w:r>
            <w:r w:rsidR="003F129C">
              <w:rPr>
                <w:b/>
                <w:color w:val="000000"/>
              </w:rPr>
              <w:t>поставка проти оплати</w:t>
            </w:r>
            <w:r w:rsidR="003F129C">
              <w:rPr>
                <w:b/>
                <w:color w:val="000000"/>
                <w:lang w:val="en-US"/>
              </w:rPr>
              <w:t>”</w:t>
            </w:r>
            <w:r>
              <w:rPr>
                <w:color w:val="000000"/>
              </w:rPr>
              <w:t xml:space="preserve"> “поставка цінних паперів проти оплати”.</w:t>
            </w:r>
          </w:p>
          <w:p w:rsidR="00743C90" w:rsidRDefault="00743C90" w:rsidP="00033942">
            <w:pPr>
              <w:pStyle w:val="a4"/>
              <w:spacing w:before="0" w:beforeAutospacing="0" w:after="0" w:afterAutospacing="0"/>
              <w:jc w:val="right"/>
              <w:rPr>
                <w:color w:val="000000"/>
              </w:rPr>
            </w:pPr>
          </w:p>
        </w:tc>
      </w:tr>
      <w:tr w:rsidR="00BE6061" w:rsidRPr="00040557" w:rsidTr="00972978">
        <w:tc>
          <w:tcPr>
            <w:tcW w:w="2500" w:type="pct"/>
          </w:tcPr>
          <w:p w:rsidR="00BE6061" w:rsidRPr="00743C90" w:rsidRDefault="00BE6061" w:rsidP="00743C90">
            <w:pPr>
              <w:pStyle w:val="a4"/>
              <w:jc w:val="both"/>
              <w:rPr>
                <w:color w:val="000000"/>
              </w:rPr>
            </w:pPr>
            <w:r>
              <w:rPr>
                <w:color w:val="000000"/>
              </w:rPr>
              <w:lastRenderedPageBreak/>
              <w:t xml:space="preserve">4. Національний банк, Центральний депозитарій (за умови отримання ним ліцензії на провадження клірингової діяльності з визначення зобов’язань) під час провадження ними клірингової діяльності з визначення зобов’язань у межах повноважень, визначених для них законодавством України, </w:t>
            </w:r>
            <w:r w:rsidRPr="001A38C9">
              <w:rPr>
                <w:strike/>
                <w:color w:val="000000"/>
              </w:rPr>
              <w:t>а також клірингові установи</w:t>
            </w:r>
            <w:r>
              <w:rPr>
                <w:color w:val="000000"/>
              </w:rPr>
              <w:t xml:space="preserve"> забезпечують здійснення грошових розрахунків за правочинами щодо цінних паперів </w:t>
            </w:r>
            <w:r w:rsidRPr="001A38C9">
              <w:rPr>
                <w:strike/>
                <w:color w:val="000000"/>
              </w:rPr>
              <w:t>та інших фінансових інструментів</w:t>
            </w:r>
            <w:r>
              <w:rPr>
                <w:color w:val="000000"/>
              </w:rPr>
              <w:t>, вчиненими на організованих ринках капіталу та поза ними, за умови проведення розрахунків за принципом “поставка цінних паперів проти оплати”.</w:t>
            </w:r>
          </w:p>
        </w:tc>
        <w:tc>
          <w:tcPr>
            <w:tcW w:w="2500" w:type="pct"/>
          </w:tcPr>
          <w:p w:rsidR="00BE6061" w:rsidRDefault="00BE6061" w:rsidP="00BE6061">
            <w:pPr>
              <w:pStyle w:val="a4"/>
              <w:spacing w:before="0" w:beforeAutospacing="0" w:after="0" w:afterAutospacing="0"/>
              <w:jc w:val="both"/>
              <w:rPr>
                <w:color w:val="000000"/>
              </w:rPr>
            </w:pPr>
            <w:r>
              <w:rPr>
                <w:color w:val="000000"/>
              </w:rPr>
              <w:t>4. Національний банк, Центральний депозитарій (за умови отримання ним ліцензії на провадження клірингової діяльності з визначення зобов’язань) під час провадження ними клірингової діяльності з визначення зобов’язань у межах повноважень, визначених для них законодавством України</w:t>
            </w:r>
            <w:r w:rsidR="001A38C9">
              <w:rPr>
                <w:color w:val="000000"/>
                <w:lang w:val="ru-UA"/>
              </w:rPr>
              <w:t>,</w:t>
            </w:r>
            <w:r>
              <w:rPr>
                <w:color w:val="000000"/>
              </w:rPr>
              <w:t xml:space="preserve"> </w:t>
            </w:r>
            <w:r w:rsidRPr="00426231">
              <w:rPr>
                <w:color w:val="000000"/>
              </w:rPr>
              <w:t>забезпечують здійснення грошових розрахунків за правочинами щодо цінних паперів, вчиненими на організованих ринках капіталу та поза ними, за умови проведення розрахунків за принципом “поставка цінних паперів проти оплати”</w:t>
            </w:r>
            <w:r>
              <w:rPr>
                <w:color w:val="000000"/>
              </w:rPr>
              <w:t>.</w:t>
            </w:r>
          </w:p>
          <w:p w:rsidR="00BE6061" w:rsidRPr="001A38C9" w:rsidRDefault="00BE6061" w:rsidP="00BE6061">
            <w:pPr>
              <w:pStyle w:val="a4"/>
              <w:spacing w:before="0" w:beforeAutospacing="0" w:after="0" w:afterAutospacing="0"/>
              <w:jc w:val="both"/>
              <w:rPr>
                <w:b/>
                <w:color w:val="000000"/>
              </w:rPr>
            </w:pPr>
            <w:r w:rsidRPr="001A38C9">
              <w:rPr>
                <w:b/>
                <w:color w:val="000000"/>
              </w:rPr>
              <w:t>Клірингові установи забезпечують здійснення грошових розрахунків за деривативними контрактами, правочинами щодо цінних паперів, інших фінансових інструментів, валютних цінностей та товарними операціями, вчиненими на організованих ринках та поза ними, за умови проведення розрахунків за принцип</w:t>
            </w:r>
            <w:r w:rsidR="00D15ED4">
              <w:rPr>
                <w:b/>
                <w:color w:val="000000"/>
              </w:rPr>
              <w:t xml:space="preserve">ами </w:t>
            </w:r>
            <w:r w:rsidR="00D15ED4">
              <w:rPr>
                <w:b/>
                <w:color w:val="000000"/>
                <w:lang w:val="en-US"/>
              </w:rPr>
              <w:t>“</w:t>
            </w:r>
            <w:r w:rsidR="00D15ED4">
              <w:rPr>
                <w:b/>
                <w:color w:val="000000"/>
              </w:rPr>
              <w:t>поставка проти оплати</w:t>
            </w:r>
            <w:r w:rsidR="00D15ED4">
              <w:rPr>
                <w:b/>
                <w:color w:val="000000"/>
                <w:lang w:val="en-US"/>
              </w:rPr>
              <w:t>”</w:t>
            </w:r>
            <w:r w:rsidRPr="001A38C9">
              <w:rPr>
                <w:b/>
                <w:color w:val="000000"/>
              </w:rPr>
              <w:t>, “поставка цінних паперів проти оплати”.</w:t>
            </w:r>
          </w:p>
          <w:p w:rsidR="00BE6061" w:rsidRDefault="00BE6061" w:rsidP="00743C90">
            <w:pPr>
              <w:pStyle w:val="a4"/>
              <w:spacing w:before="0" w:beforeAutospacing="0" w:after="0" w:afterAutospacing="0"/>
              <w:jc w:val="both"/>
              <w:rPr>
                <w:color w:val="000000"/>
              </w:rPr>
            </w:pPr>
          </w:p>
        </w:tc>
      </w:tr>
      <w:tr w:rsidR="00D15ED4" w:rsidRPr="00040557" w:rsidTr="00972978">
        <w:tc>
          <w:tcPr>
            <w:tcW w:w="2500" w:type="pct"/>
          </w:tcPr>
          <w:p w:rsidR="00D15ED4" w:rsidRDefault="00D15ED4" w:rsidP="00D15ED4">
            <w:pPr>
              <w:pStyle w:val="a4"/>
              <w:spacing w:before="0" w:beforeAutospacing="0" w:after="0" w:afterAutospacing="0"/>
              <w:jc w:val="both"/>
              <w:rPr>
                <w:color w:val="000000"/>
              </w:rPr>
            </w:pPr>
            <w:r>
              <w:rPr>
                <w:color w:val="000000"/>
              </w:rPr>
              <w:t xml:space="preserve">7. Клірингові установи забезпечують здійснення грошових розрахунків </w:t>
            </w:r>
            <w:r w:rsidRPr="0040128D">
              <w:rPr>
                <w:strike/>
                <w:color w:val="000000"/>
              </w:rPr>
              <w:t>за правочинами щодо цінних паперів та інших фінансових інструментів</w:t>
            </w:r>
            <w:r>
              <w:rPr>
                <w:color w:val="000000"/>
              </w:rPr>
              <w:t xml:space="preserve">, вчиненими на організованих ринках </w:t>
            </w:r>
            <w:r w:rsidRPr="009E344F">
              <w:rPr>
                <w:strike/>
                <w:color w:val="000000"/>
              </w:rPr>
              <w:t>капіталу</w:t>
            </w:r>
            <w:r>
              <w:rPr>
                <w:color w:val="000000"/>
              </w:rPr>
              <w:t xml:space="preserve"> та поза ними за умови проведення розрахунків за </w:t>
            </w:r>
            <w:r w:rsidRPr="0040128D">
              <w:rPr>
                <w:strike/>
                <w:color w:val="000000"/>
              </w:rPr>
              <w:t>принципом</w:t>
            </w:r>
            <w:r>
              <w:rPr>
                <w:color w:val="000000"/>
              </w:rPr>
              <w:t xml:space="preserve"> “поставка цінних паперів проти оплати” шляхом відображення в системі обліку зміни обсягу прав та зобов’язань щодо коштів між сторонами </w:t>
            </w:r>
            <w:r w:rsidRPr="00CA38FC">
              <w:rPr>
                <w:strike/>
                <w:color w:val="000000"/>
              </w:rPr>
              <w:t>правочинів щодо цінних паперів та інших фінансових інструментів</w:t>
            </w:r>
            <w:r>
              <w:rPr>
                <w:color w:val="000000"/>
              </w:rPr>
              <w:t xml:space="preserve"> з відображенням переходу права вимоги на кошти, у тому числі припинення зобов’язань щодо коштів за результатами </w:t>
            </w:r>
            <w:proofErr w:type="spellStart"/>
            <w:r>
              <w:rPr>
                <w:color w:val="000000"/>
              </w:rPr>
              <w:t>неттінгу</w:t>
            </w:r>
            <w:proofErr w:type="spellEnd"/>
            <w:r>
              <w:rPr>
                <w:color w:val="000000"/>
              </w:rPr>
              <w:t xml:space="preserve"> в порядку, визначеному цим Положенням.</w:t>
            </w:r>
          </w:p>
          <w:p w:rsidR="00D15ED4" w:rsidRDefault="00D15ED4" w:rsidP="00743C90">
            <w:pPr>
              <w:pStyle w:val="a4"/>
              <w:jc w:val="both"/>
              <w:rPr>
                <w:color w:val="000000"/>
              </w:rPr>
            </w:pPr>
          </w:p>
        </w:tc>
        <w:tc>
          <w:tcPr>
            <w:tcW w:w="2500" w:type="pct"/>
          </w:tcPr>
          <w:p w:rsidR="00D15ED4" w:rsidRDefault="00D15ED4" w:rsidP="009E344F">
            <w:pPr>
              <w:pStyle w:val="a4"/>
              <w:spacing w:before="0" w:beforeAutospacing="0" w:after="0" w:afterAutospacing="0"/>
              <w:jc w:val="both"/>
              <w:rPr>
                <w:color w:val="000000"/>
              </w:rPr>
            </w:pPr>
            <w:r>
              <w:rPr>
                <w:color w:val="000000"/>
              </w:rPr>
              <w:t xml:space="preserve">7. Клірингові установи забезпечують здійснення грошових розрахунків </w:t>
            </w:r>
            <w:r w:rsidRPr="0040128D">
              <w:rPr>
                <w:b/>
                <w:color w:val="000000"/>
              </w:rPr>
              <w:t xml:space="preserve">за </w:t>
            </w:r>
            <w:r w:rsidRPr="0040128D">
              <w:rPr>
                <w:b/>
              </w:rPr>
              <w:t>деривативними контрактами, правочинами щодо цінних паперів, інших фінансових інструментів, валютних цінностей та товарними операціями</w:t>
            </w:r>
            <w:r>
              <w:rPr>
                <w:color w:val="000000"/>
              </w:rPr>
              <w:t xml:space="preserve">, вчиненими на організованих ринках та поза ними за умови проведення розрахунків за </w:t>
            </w:r>
            <w:r w:rsidRPr="0040128D">
              <w:rPr>
                <w:b/>
                <w:color w:val="000000"/>
              </w:rPr>
              <w:t>принципами</w:t>
            </w:r>
            <w:r w:rsidR="00CA38FC">
              <w:rPr>
                <w:b/>
                <w:color w:val="000000"/>
              </w:rPr>
              <w:t xml:space="preserve"> </w:t>
            </w:r>
            <w:r w:rsidR="00CA38FC">
              <w:rPr>
                <w:b/>
                <w:color w:val="000000"/>
                <w:lang w:val="en-US"/>
              </w:rPr>
              <w:t>“</w:t>
            </w:r>
            <w:r w:rsidRPr="0040128D">
              <w:rPr>
                <w:b/>
                <w:color w:val="000000"/>
              </w:rPr>
              <w:t>поставк</w:t>
            </w:r>
            <w:r w:rsidR="00CA38FC">
              <w:rPr>
                <w:b/>
                <w:color w:val="000000"/>
              </w:rPr>
              <w:t>а проти оплати</w:t>
            </w:r>
            <w:r w:rsidR="00CA38FC">
              <w:rPr>
                <w:b/>
                <w:color w:val="000000"/>
                <w:lang w:val="en-US"/>
              </w:rPr>
              <w:t>”</w:t>
            </w:r>
            <w:r>
              <w:rPr>
                <w:color w:val="000000"/>
              </w:rPr>
              <w:t xml:space="preserve">, “поставка цінних паперів проти оплати” шляхом відображення в системі обліку зміни обсягу прав та зобов’язань щодо коштів між сторонами </w:t>
            </w:r>
            <w:r w:rsidRPr="0040128D">
              <w:rPr>
                <w:b/>
                <w:color w:val="000000"/>
              </w:rPr>
              <w:t>таких контрактів/правочинів/операцій</w:t>
            </w:r>
            <w:r>
              <w:rPr>
                <w:color w:val="000000"/>
              </w:rPr>
              <w:t xml:space="preserve">  з відображенням переходу права вимоги на кошти, у тому числі припинення зобов’язань щодо коштів за результатами </w:t>
            </w:r>
            <w:proofErr w:type="spellStart"/>
            <w:r>
              <w:rPr>
                <w:color w:val="000000"/>
              </w:rPr>
              <w:t>неттінгу</w:t>
            </w:r>
            <w:proofErr w:type="spellEnd"/>
            <w:r>
              <w:rPr>
                <w:color w:val="000000"/>
              </w:rPr>
              <w:t xml:space="preserve"> в порядку, визначеному цим Положенням.</w:t>
            </w:r>
          </w:p>
        </w:tc>
      </w:tr>
      <w:tr w:rsidR="00131FAE" w:rsidRPr="00040557" w:rsidTr="00972978">
        <w:tc>
          <w:tcPr>
            <w:tcW w:w="2500" w:type="pct"/>
          </w:tcPr>
          <w:p w:rsidR="00131FAE" w:rsidRDefault="00131FAE" w:rsidP="00D15ED4">
            <w:pPr>
              <w:pStyle w:val="a4"/>
              <w:spacing w:before="0" w:beforeAutospacing="0" w:after="0" w:afterAutospacing="0"/>
              <w:jc w:val="both"/>
              <w:rPr>
                <w:color w:val="000000"/>
              </w:rPr>
            </w:pPr>
            <w:r>
              <w:rPr>
                <w:color w:val="000000"/>
              </w:rPr>
              <w:lastRenderedPageBreak/>
              <w:t xml:space="preserve">IV. Порядок проведення грошових розрахунків шляхом відображення в системі обліку зміни обсягу прав та зобов’язань щодо коштів між сторонами </w:t>
            </w:r>
            <w:r w:rsidRPr="00131FAE">
              <w:rPr>
                <w:strike/>
                <w:color w:val="000000"/>
              </w:rPr>
              <w:t>правочинів щодо цінних паперів та інших фінансових інструментів</w:t>
            </w:r>
            <w:r>
              <w:rPr>
                <w:color w:val="000000"/>
              </w:rPr>
              <w:t xml:space="preserve"> із відображенням переходу права вимоги на кошти, у тому числі припинення зобов’язань щодо коштів за результатами </w:t>
            </w:r>
            <w:proofErr w:type="spellStart"/>
            <w:r>
              <w:rPr>
                <w:color w:val="000000"/>
              </w:rPr>
              <w:t>неттінгу</w:t>
            </w:r>
            <w:proofErr w:type="spellEnd"/>
          </w:p>
        </w:tc>
        <w:tc>
          <w:tcPr>
            <w:tcW w:w="2500" w:type="pct"/>
          </w:tcPr>
          <w:p w:rsidR="00131FAE" w:rsidRDefault="00131FAE" w:rsidP="00BE6061">
            <w:pPr>
              <w:pStyle w:val="a4"/>
              <w:spacing w:before="0" w:beforeAutospacing="0" w:after="0" w:afterAutospacing="0"/>
              <w:jc w:val="both"/>
              <w:rPr>
                <w:color w:val="000000"/>
              </w:rPr>
            </w:pPr>
            <w:r w:rsidRPr="00131FAE">
              <w:rPr>
                <w:color w:val="000000"/>
              </w:rPr>
              <w:t xml:space="preserve">IV. Порядок проведення грошових розрахунків шляхом відображення в системі обліку зміни обсягу прав та зобов’язань щодо коштів між сторонами </w:t>
            </w:r>
            <w:r w:rsidRPr="00131FAE">
              <w:rPr>
                <w:b/>
                <w:color w:val="000000"/>
              </w:rPr>
              <w:t>деривативних контрактів, сторонами правочинів щодо цінних паперів, інших фінансових інструментів та щодо валютних цінностей, а також сторонами товарних операцій</w:t>
            </w:r>
            <w:r w:rsidRPr="00131FAE">
              <w:rPr>
                <w:color w:val="000000"/>
              </w:rPr>
              <w:t xml:space="preserve"> із відображенням переходу права вимоги на кошти, у тому числі припинення зобов’язань щодо коштів за результатами </w:t>
            </w:r>
            <w:proofErr w:type="spellStart"/>
            <w:r w:rsidRPr="00131FAE">
              <w:rPr>
                <w:color w:val="000000"/>
              </w:rPr>
              <w:t>неттінгу</w:t>
            </w:r>
            <w:proofErr w:type="spellEnd"/>
          </w:p>
        </w:tc>
      </w:tr>
      <w:tr w:rsidR="000A0FA6" w:rsidRPr="00040557" w:rsidTr="00972978">
        <w:tc>
          <w:tcPr>
            <w:tcW w:w="2500" w:type="pct"/>
          </w:tcPr>
          <w:p w:rsidR="000A0FA6" w:rsidRPr="000A0FA6" w:rsidRDefault="000A0FA6" w:rsidP="000A0FA6">
            <w:pPr>
              <w:pStyle w:val="a4"/>
              <w:jc w:val="both"/>
              <w:rPr>
                <w:color w:val="000000"/>
              </w:rPr>
            </w:pPr>
            <w:r w:rsidRPr="000A0FA6">
              <w:rPr>
                <w:color w:val="000000"/>
              </w:rPr>
              <w:t>21. Система обліку має відповідати вимогам, установленим законодавством з питань клірингової діяльності, та в частині здійснення грошових розрахунків забезпечувати:</w:t>
            </w:r>
          </w:p>
          <w:p w:rsidR="000A0FA6" w:rsidRPr="000A0FA6" w:rsidRDefault="000A0FA6" w:rsidP="000A0FA6">
            <w:pPr>
              <w:pStyle w:val="a4"/>
              <w:jc w:val="both"/>
              <w:rPr>
                <w:color w:val="000000"/>
              </w:rPr>
            </w:pPr>
            <w:r w:rsidRPr="000A0FA6">
              <w:rPr>
                <w:color w:val="000000"/>
              </w:rPr>
              <w:t xml:space="preserve">1) можливість надання учасникам клірингу виписки з клірингових рахунків </w:t>
            </w:r>
            <w:r w:rsidRPr="00BD4419">
              <w:rPr>
                <w:strike/>
                <w:color w:val="000000"/>
              </w:rPr>
              <w:t>(субрахунків) учасників клірингу</w:t>
            </w:r>
            <w:r w:rsidRPr="000A0FA6">
              <w:rPr>
                <w:color w:val="000000"/>
              </w:rPr>
              <w:t xml:space="preserve"> для підтвердження внесення/резервування коштів як гарантійного забезпечення для проведення клірингу, отримання коштів унаслідок розрахунків за </w:t>
            </w:r>
            <w:r w:rsidRPr="00BD4419">
              <w:rPr>
                <w:strike/>
                <w:color w:val="000000"/>
              </w:rPr>
              <w:t>правочинами</w:t>
            </w:r>
            <w:r w:rsidRPr="000A0FA6">
              <w:rPr>
                <w:color w:val="000000"/>
              </w:rPr>
              <w:t xml:space="preserve"> або внаслідок виконання інших операцій, передбачених правилами клірингу </w:t>
            </w:r>
            <w:r w:rsidRPr="00D32125">
              <w:rPr>
                <w:strike/>
                <w:color w:val="000000"/>
              </w:rPr>
              <w:t>особи, яка провадить клірингову діяльність,</w:t>
            </w:r>
            <w:r w:rsidRPr="000A0FA6">
              <w:rPr>
                <w:color w:val="000000"/>
              </w:rPr>
              <w:t xml:space="preserve"> та підтвердження факту проведення розрахунків, а також доходів та витрат за </w:t>
            </w:r>
            <w:r w:rsidRPr="00BD4419">
              <w:rPr>
                <w:strike/>
                <w:color w:val="000000"/>
              </w:rPr>
              <w:t>правочинами щодо цінних паперів,</w:t>
            </w:r>
            <w:r w:rsidRPr="000A0FA6">
              <w:rPr>
                <w:color w:val="000000"/>
              </w:rPr>
              <w:t xml:space="preserve"> </w:t>
            </w:r>
            <w:r w:rsidRPr="007A0A91">
              <w:rPr>
                <w:strike/>
                <w:color w:val="000000"/>
              </w:rPr>
              <w:t>укладених</w:t>
            </w:r>
            <w:r w:rsidRPr="000A0FA6">
              <w:rPr>
                <w:color w:val="000000"/>
              </w:rPr>
              <w:t xml:space="preserve"> на організованому ринку </w:t>
            </w:r>
            <w:r w:rsidRPr="007A0A91">
              <w:rPr>
                <w:strike/>
                <w:color w:val="000000"/>
              </w:rPr>
              <w:t>капіталу</w:t>
            </w:r>
            <w:r w:rsidRPr="000A0FA6">
              <w:rPr>
                <w:color w:val="000000"/>
              </w:rPr>
              <w:t xml:space="preserve"> та поза ним;</w:t>
            </w:r>
          </w:p>
          <w:p w:rsidR="000A0FA6" w:rsidRPr="000A0FA6" w:rsidRDefault="000A0FA6" w:rsidP="000A0FA6">
            <w:pPr>
              <w:pStyle w:val="a4"/>
              <w:jc w:val="both"/>
              <w:rPr>
                <w:color w:val="000000"/>
              </w:rPr>
            </w:pPr>
            <w:r w:rsidRPr="000A0FA6">
              <w:rPr>
                <w:color w:val="000000"/>
              </w:rPr>
              <w:t>2) надійний багаторівневий захист інформації від несанкціонованого доступу, використання, модифікації на різних етапах її формування, оброблення, передавання та приймання;</w:t>
            </w:r>
          </w:p>
          <w:p w:rsidR="000A0FA6" w:rsidRPr="000A0FA6" w:rsidRDefault="000A0FA6" w:rsidP="000A0FA6">
            <w:pPr>
              <w:pStyle w:val="a4"/>
              <w:jc w:val="both"/>
              <w:rPr>
                <w:color w:val="000000"/>
              </w:rPr>
            </w:pPr>
            <w:r w:rsidRPr="000A0FA6">
              <w:rPr>
                <w:color w:val="000000"/>
              </w:rPr>
              <w:t>3) контроль за достовірністю інформації на всіх етапах її оброблення;</w:t>
            </w:r>
          </w:p>
          <w:p w:rsidR="000A0FA6" w:rsidRPr="000A0FA6" w:rsidRDefault="000A0FA6" w:rsidP="000A0FA6">
            <w:pPr>
              <w:pStyle w:val="a4"/>
              <w:jc w:val="both"/>
              <w:rPr>
                <w:color w:val="000000"/>
              </w:rPr>
            </w:pPr>
            <w:r w:rsidRPr="000A0FA6">
              <w:rPr>
                <w:color w:val="000000"/>
              </w:rPr>
              <w:t>4) процедури та механізми, які після збоїв чи інших порушень роботи системи обліку дають змогу відновити роботу без послаблення вимог щодо захисту інформації;</w:t>
            </w:r>
          </w:p>
          <w:p w:rsidR="000A0FA6" w:rsidRPr="000A0FA6" w:rsidRDefault="000A0FA6" w:rsidP="000A0FA6">
            <w:pPr>
              <w:pStyle w:val="a4"/>
              <w:jc w:val="both"/>
              <w:rPr>
                <w:color w:val="000000"/>
              </w:rPr>
            </w:pPr>
            <w:r w:rsidRPr="000A0FA6">
              <w:rPr>
                <w:color w:val="000000"/>
              </w:rPr>
              <w:t>5) фіксування спроб несанкціонованого доступу до системи обліку;</w:t>
            </w:r>
          </w:p>
          <w:p w:rsidR="000A0FA6" w:rsidRPr="000A0FA6" w:rsidRDefault="000A0FA6" w:rsidP="000A0FA6">
            <w:pPr>
              <w:pStyle w:val="a4"/>
              <w:jc w:val="both"/>
              <w:rPr>
                <w:color w:val="000000"/>
              </w:rPr>
            </w:pPr>
            <w:r w:rsidRPr="000A0FA6">
              <w:rPr>
                <w:color w:val="000000"/>
              </w:rPr>
              <w:t>6) можливість резервного копіювання даних у будь-який час і відновлення даних із резервних копій;</w:t>
            </w:r>
          </w:p>
          <w:p w:rsidR="000A0FA6" w:rsidRDefault="000A0FA6" w:rsidP="000A0FA6">
            <w:pPr>
              <w:pStyle w:val="a4"/>
              <w:spacing w:before="0" w:beforeAutospacing="0" w:after="0" w:afterAutospacing="0"/>
              <w:jc w:val="both"/>
              <w:rPr>
                <w:color w:val="000000"/>
              </w:rPr>
            </w:pPr>
            <w:r w:rsidRPr="000A0FA6">
              <w:rPr>
                <w:color w:val="000000"/>
              </w:rPr>
              <w:t xml:space="preserve">7) можливість відтворення інформації про стан клірингових рахунків </w:t>
            </w:r>
            <w:r w:rsidRPr="00713931">
              <w:rPr>
                <w:strike/>
                <w:color w:val="000000"/>
              </w:rPr>
              <w:t>(субрахунків) учасників клірингу</w:t>
            </w:r>
            <w:r w:rsidRPr="000A0FA6">
              <w:rPr>
                <w:color w:val="000000"/>
              </w:rPr>
              <w:t xml:space="preserve">, інформації про операції на клірингових рахунках </w:t>
            </w:r>
            <w:r w:rsidRPr="00713931">
              <w:rPr>
                <w:strike/>
                <w:color w:val="000000"/>
              </w:rPr>
              <w:t>(субрахунках) учасників клірингу</w:t>
            </w:r>
            <w:r w:rsidRPr="000A0FA6">
              <w:rPr>
                <w:color w:val="000000"/>
              </w:rPr>
              <w:t xml:space="preserve"> та іншої інформації, передбаченої законодавством України, за період, установлений законодавством з питань клірингової діяльності для зберігання таких документів.</w:t>
            </w:r>
          </w:p>
        </w:tc>
        <w:tc>
          <w:tcPr>
            <w:tcW w:w="2500" w:type="pct"/>
          </w:tcPr>
          <w:p w:rsidR="000A0FA6" w:rsidRPr="000A0FA6" w:rsidRDefault="000A0FA6" w:rsidP="000A0FA6">
            <w:pPr>
              <w:pStyle w:val="a4"/>
              <w:jc w:val="both"/>
              <w:rPr>
                <w:color w:val="000000"/>
              </w:rPr>
            </w:pPr>
            <w:r w:rsidRPr="000A0FA6">
              <w:rPr>
                <w:color w:val="000000"/>
              </w:rPr>
              <w:t>21. Система обліку має відповідати вимогам, установленим законодавством з питань клірингової діяльності, та в частині здійснення грошових розрахунків забезпечувати:</w:t>
            </w:r>
          </w:p>
          <w:p w:rsidR="000A0FA6" w:rsidRPr="000A0FA6" w:rsidRDefault="000A0FA6" w:rsidP="000A0FA6">
            <w:pPr>
              <w:pStyle w:val="a4"/>
              <w:jc w:val="both"/>
              <w:rPr>
                <w:color w:val="000000"/>
              </w:rPr>
            </w:pPr>
            <w:r w:rsidRPr="000A0FA6">
              <w:rPr>
                <w:color w:val="000000"/>
              </w:rPr>
              <w:t>1) можливість надання учасникам клірингу виписки з клірингових рахунків</w:t>
            </w:r>
            <w:r w:rsidR="00BD4419">
              <w:rPr>
                <w:color w:val="000000"/>
                <w:lang w:val="en-US"/>
              </w:rPr>
              <w:t xml:space="preserve"> </w:t>
            </w:r>
            <w:r w:rsidRPr="000A0FA6">
              <w:rPr>
                <w:color w:val="000000"/>
              </w:rPr>
              <w:t xml:space="preserve">для підтвердження внесення/резервування коштів як гарантійного забезпечення для проведення клірингу, отримання коштів унаслідок розрахунків за </w:t>
            </w:r>
            <w:r w:rsidRPr="00BD4419">
              <w:rPr>
                <w:b/>
                <w:color w:val="000000"/>
              </w:rPr>
              <w:t>контрактами/правочинами/операціями</w:t>
            </w:r>
            <w:r w:rsidRPr="000A0FA6">
              <w:rPr>
                <w:color w:val="000000"/>
              </w:rPr>
              <w:t xml:space="preserve"> або внаслідок виконання інших операцій, передбачених правилами клірингу </w:t>
            </w:r>
            <w:r w:rsidR="00D32125" w:rsidRPr="003429D0">
              <w:rPr>
                <w:b/>
                <w:color w:val="000000" w:themeColor="text1"/>
              </w:rPr>
              <w:t>клірингової установи або Центрального депозитарію</w:t>
            </w:r>
            <w:r w:rsidR="00B51E98" w:rsidRPr="003429D0">
              <w:rPr>
                <w:b/>
                <w:color w:val="000000" w:themeColor="text1"/>
              </w:rPr>
              <w:t xml:space="preserve"> (далі – особа, яка провадить клірингову діяльність)</w:t>
            </w:r>
            <w:r w:rsidRPr="003429D0">
              <w:rPr>
                <w:color w:val="000000" w:themeColor="text1"/>
              </w:rPr>
              <w:t>,</w:t>
            </w:r>
            <w:r w:rsidRPr="000A0FA6">
              <w:rPr>
                <w:color w:val="000000"/>
              </w:rPr>
              <w:t xml:space="preserve"> та підтвердження факту проведення розрахунків, а також доходів та витрат за </w:t>
            </w:r>
            <w:r w:rsidRPr="007A0A91">
              <w:rPr>
                <w:b/>
                <w:color w:val="000000"/>
              </w:rPr>
              <w:t xml:space="preserve">деривативними контрактами, правочинами щодо </w:t>
            </w:r>
            <w:r w:rsidR="002A6C47">
              <w:rPr>
                <w:b/>
                <w:color w:val="000000"/>
              </w:rPr>
              <w:t xml:space="preserve">цінних паперів, інших </w:t>
            </w:r>
            <w:r w:rsidRPr="007A0A91">
              <w:rPr>
                <w:b/>
                <w:color w:val="000000"/>
              </w:rPr>
              <w:t>фінансових інструментів, валютних цінностей, товарними операціями</w:t>
            </w:r>
            <w:r w:rsidR="007A0A91">
              <w:rPr>
                <w:color w:val="000000"/>
              </w:rPr>
              <w:t xml:space="preserve"> укладени</w:t>
            </w:r>
            <w:r w:rsidR="007A0A91" w:rsidRPr="007A0A91">
              <w:rPr>
                <w:b/>
                <w:color w:val="000000"/>
              </w:rPr>
              <w:t>ми</w:t>
            </w:r>
            <w:r w:rsidRPr="000A0FA6">
              <w:rPr>
                <w:color w:val="000000"/>
              </w:rPr>
              <w:t xml:space="preserve"> на організованому ринку та поза ним;</w:t>
            </w:r>
          </w:p>
          <w:p w:rsidR="000A0FA6" w:rsidRPr="000A0FA6" w:rsidRDefault="000A0FA6" w:rsidP="000A0FA6">
            <w:pPr>
              <w:pStyle w:val="a4"/>
              <w:jc w:val="both"/>
              <w:rPr>
                <w:color w:val="000000"/>
              </w:rPr>
            </w:pPr>
            <w:r w:rsidRPr="000A0FA6">
              <w:rPr>
                <w:color w:val="000000"/>
              </w:rPr>
              <w:t>2) надійний багаторівневий захист інформації від несанкціонованого доступу, використання, модифікації на різних етапах її формування, оброблення, передавання та приймання;</w:t>
            </w:r>
          </w:p>
          <w:p w:rsidR="000A0FA6" w:rsidRPr="000A0FA6" w:rsidRDefault="000A0FA6" w:rsidP="000A0FA6">
            <w:pPr>
              <w:pStyle w:val="a4"/>
              <w:jc w:val="both"/>
              <w:rPr>
                <w:color w:val="000000"/>
              </w:rPr>
            </w:pPr>
            <w:r w:rsidRPr="000A0FA6">
              <w:rPr>
                <w:color w:val="000000"/>
              </w:rPr>
              <w:t>3) контроль за достовірністю інформації на всіх етапах її оброблення;</w:t>
            </w:r>
          </w:p>
          <w:p w:rsidR="000A0FA6" w:rsidRPr="000A0FA6" w:rsidRDefault="000A0FA6" w:rsidP="000A0FA6">
            <w:pPr>
              <w:pStyle w:val="a4"/>
              <w:jc w:val="both"/>
              <w:rPr>
                <w:color w:val="000000"/>
              </w:rPr>
            </w:pPr>
            <w:r w:rsidRPr="000A0FA6">
              <w:rPr>
                <w:color w:val="000000"/>
              </w:rPr>
              <w:t>4) процедури та механізми, які після збоїв чи інших порушень роботи системи обліку дають змогу відновити роботу без послаблення вимог щодо захисту інформації;</w:t>
            </w:r>
          </w:p>
          <w:p w:rsidR="000A0FA6" w:rsidRPr="000A0FA6" w:rsidRDefault="000A0FA6" w:rsidP="000A0FA6">
            <w:pPr>
              <w:pStyle w:val="a4"/>
              <w:jc w:val="both"/>
              <w:rPr>
                <w:color w:val="000000"/>
              </w:rPr>
            </w:pPr>
            <w:r w:rsidRPr="000A0FA6">
              <w:rPr>
                <w:color w:val="000000"/>
              </w:rPr>
              <w:t>5) фіксування спроб несанкціонованого доступу до системи обліку;</w:t>
            </w:r>
          </w:p>
          <w:p w:rsidR="000A0FA6" w:rsidRPr="000A0FA6" w:rsidRDefault="000A0FA6" w:rsidP="000A0FA6">
            <w:pPr>
              <w:pStyle w:val="a4"/>
              <w:jc w:val="both"/>
              <w:rPr>
                <w:color w:val="000000"/>
              </w:rPr>
            </w:pPr>
            <w:r w:rsidRPr="000A0FA6">
              <w:rPr>
                <w:color w:val="000000"/>
              </w:rPr>
              <w:t>6) можливість резервного копіювання даних у будь-який час і відновлення даних із резервних копій;</w:t>
            </w:r>
          </w:p>
          <w:p w:rsidR="000A0FA6" w:rsidRPr="00131FAE" w:rsidRDefault="000A0FA6" w:rsidP="000A0FA6">
            <w:pPr>
              <w:pStyle w:val="a4"/>
              <w:spacing w:before="0" w:beforeAutospacing="0" w:after="0" w:afterAutospacing="0"/>
              <w:jc w:val="both"/>
              <w:rPr>
                <w:color w:val="000000"/>
              </w:rPr>
            </w:pPr>
            <w:r w:rsidRPr="000A0FA6">
              <w:rPr>
                <w:color w:val="000000"/>
              </w:rPr>
              <w:t>7) можливість відтворення інформаці</w:t>
            </w:r>
            <w:r w:rsidR="00713931">
              <w:rPr>
                <w:color w:val="000000"/>
              </w:rPr>
              <w:t>ї про стан клірингових рахунків</w:t>
            </w:r>
            <w:r w:rsidRPr="000A0FA6">
              <w:rPr>
                <w:color w:val="000000"/>
              </w:rPr>
              <w:t>, інформації про операції на клірингових рахунках  та іншої інформації, передбаченої законодавством України, за період, установлений законодавством з питань клірингової діяльності для зберігання таких документів.</w:t>
            </w:r>
          </w:p>
        </w:tc>
      </w:tr>
      <w:tr w:rsidR="00B37A05" w:rsidRPr="00040557" w:rsidTr="00972978">
        <w:tc>
          <w:tcPr>
            <w:tcW w:w="2500" w:type="pct"/>
          </w:tcPr>
          <w:p w:rsidR="00B37A05" w:rsidRDefault="00816125" w:rsidP="000A0FA6">
            <w:pPr>
              <w:pStyle w:val="a4"/>
              <w:jc w:val="both"/>
              <w:rPr>
                <w:color w:val="000000"/>
              </w:rPr>
            </w:pPr>
            <w:r w:rsidRPr="00816125">
              <w:rPr>
                <w:color w:val="000000"/>
              </w:rPr>
              <w:t xml:space="preserve">22. Особа, яка провадить клірингову діяльність, відображає в системі обліку інформацію про права та зобов’язання учасників клірингу/клієнтів учасників клірингу щодо коштів, що зараховані ними на рахунки такої особи, відкриті в порядку, установленому Законом України “Про ринки капіталу та організовані товарні ринки”, для забезпечення здійснення грошових розрахунків за </w:t>
            </w:r>
            <w:r w:rsidRPr="00E357C1">
              <w:rPr>
                <w:strike/>
                <w:color w:val="000000"/>
              </w:rPr>
              <w:t>правочинами щодо цінних паперів та інших фінансових інструментів</w:t>
            </w:r>
            <w:r w:rsidRPr="00816125">
              <w:rPr>
                <w:color w:val="000000"/>
              </w:rPr>
              <w:t xml:space="preserve">, укладеними на організованих ринках </w:t>
            </w:r>
            <w:r w:rsidRPr="00E357C1">
              <w:rPr>
                <w:strike/>
                <w:color w:val="000000"/>
              </w:rPr>
              <w:t>капіталу</w:t>
            </w:r>
            <w:r w:rsidRPr="00816125">
              <w:rPr>
                <w:color w:val="000000"/>
              </w:rPr>
              <w:t xml:space="preserve"> та поза ними, з дотриманням </w:t>
            </w:r>
            <w:r w:rsidRPr="00E357C1">
              <w:rPr>
                <w:strike/>
                <w:color w:val="000000"/>
              </w:rPr>
              <w:t>принципу</w:t>
            </w:r>
            <w:r w:rsidRPr="00816125">
              <w:rPr>
                <w:color w:val="000000"/>
              </w:rPr>
              <w:t xml:space="preserve"> “поставка цінних  паперів проти оплати” та/або здійснення діяльності центрального контрагента. Особа, яка провадить клірингову діяльність, здійснює облік прав та зобов’язань щодо коштів на клірингових рахунках за кожною валютою окремо.</w:t>
            </w:r>
          </w:p>
          <w:p w:rsidR="00816125" w:rsidRPr="000A0FA6" w:rsidRDefault="00816125" w:rsidP="000A0FA6">
            <w:pPr>
              <w:pStyle w:val="a4"/>
              <w:jc w:val="both"/>
              <w:rPr>
                <w:color w:val="000000"/>
              </w:rPr>
            </w:pPr>
            <w:r>
              <w:rPr>
                <w:color w:val="000000"/>
              </w:rPr>
              <w:t>…</w:t>
            </w:r>
          </w:p>
        </w:tc>
        <w:tc>
          <w:tcPr>
            <w:tcW w:w="2500" w:type="pct"/>
          </w:tcPr>
          <w:p w:rsidR="00B37A05" w:rsidRDefault="00816125" w:rsidP="000A0FA6">
            <w:pPr>
              <w:pStyle w:val="a4"/>
              <w:jc w:val="both"/>
              <w:rPr>
                <w:color w:val="000000"/>
              </w:rPr>
            </w:pPr>
            <w:r w:rsidRPr="00816125">
              <w:rPr>
                <w:color w:val="000000"/>
              </w:rPr>
              <w:t xml:space="preserve">22. Особа, яка провадить клірингову діяльність, відображає в системі обліку інформацію про права та зобов’язання учасників клірингу/клієнтів учасників клірингу щодо коштів, що зараховані ними на рахунки такої особи, відкриті в порядку, установленому Законом України “Про ринки капіталу та організовані товарні ринки”, для забезпечення здійснення грошових розрахунків за </w:t>
            </w:r>
            <w:r w:rsidRPr="00816125">
              <w:rPr>
                <w:b/>
                <w:color w:val="000000"/>
              </w:rPr>
              <w:t>деривативними контрактами, правочинами щодо цінних паперів, інших фінансових інструментів, валютних цінностей та товарними операціями</w:t>
            </w:r>
            <w:r w:rsidRPr="00816125">
              <w:rPr>
                <w:color w:val="000000"/>
              </w:rPr>
              <w:t>, укладеними на організованих ринках та поза ними, з дотриманням принцип</w:t>
            </w:r>
            <w:r w:rsidRPr="00E357C1">
              <w:rPr>
                <w:b/>
                <w:color w:val="000000"/>
              </w:rPr>
              <w:t>ів</w:t>
            </w:r>
            <w:r w:rsidRPr="00816125">
              <w:rPr>
                <w:color w:val="000000"/>
              </w:rPr>
              <w:t xml:space="preserve"> </w:t>
            </w:r>
            <w:r w:rsidR="00E357C1">
              <w:rPr>
                <w:b/>
                <w:color w:val="000000"/>
                <w:lang w:val="en-US"/>
              </w:rPr>
              <w:t>“</w:t>
            </w:r>
            <w:r w:rsidR="00E357C1">
              <w:rPr>
                <w:b/>
                <w:color w:val="000000"/>
              </w:rPr>
              <w:t>поставка проти оплати</w:t>
            </w:r>
            <w:r w:rsidR="00E357C1">
              <w:rPr>
                <w:b/>
                <w:color w:val="000000"/>
                <w:lang w:val="en-US"/>
              </w:rPr>
              <w:t>”</w:t>
            </w:r>
            <w:r w:rsidRPr="00816125">
              <w:rPr>
                <w:color w:val="000000"/>
              </w:rPr>
              <w:t>, “поставка цінних  паперів проти оплати” та/або здійснення діяльності центрального контрагента. Особа, яка провадить клірингову діяльність, здійснює облік прав та зобов’язань щодо коштів на клірингових рахунках за кожною валютою окремо.</w:t>
            </w:r>
          </w:p>
          <w:p w:rsidR="00816125" w:rsidRPr="000A0FA6" w:rsidRDefault="00816125" w:rsidP="000A0FA6">
            <w:pPr>
              <w:pStyle w:val="a4"/>
              <w:jc w:val="both"/>
              <w:rPr>
                <w:color w:val="000000"/>
              </w:rPr>
            </w:pPr>
            <w:r>
              <w:rPr>
                <w:color w:val="000000"/>
              </w:rPr>
              <w:t>…</w:t>
            </w:r>
          </w:p>
        </w:tc>
      </w:tr>
      <w:tr w:rsidR="00C91875" w:rsidRPr="00040557" w:rsidTr="00972978">
        <w:tc>
          <w:tcPr>
            <w:tcW w:w="2500" w:type="pct"/>
          </w:tcPr>
          <w:p w:rsidR="00C91875" w:rsidRPr="00816125" w:rsidRDefault="00C91875" w:rsidP="00C173C9">
            <w:pPr>
              <w:pStyle w:val="a4"/>
              <w:spacing w:before="0" w:beforeAutospacing="0" w:after="0" w:afterAutospacing="0"/>
              <w:jc w:val="both"/>
              <w:rPr>
                <w:color w:val="000000"/>
              </w:rPr>
            </w:pPr>
            <w:r>
              <w:rPr>
                <w:color w:val="000000"/>
              </w:rPr>
              <w:t xml:space="preserve">24. Особа, яка провадить клірингову діяльність, зобов’язана забезпечити облік прав та зобов’язань щодо коштів </w:t>
            </w:r>
            <w:proofErr w:type="spellStart"/>
            <w:r>
              <w:rPr>
                <w:color w:val="000000"/>
              </w:rPr>
              <w:t>відокремлено</w:t>
            </w:r>
            <w:proofErr w:type="spellEnd"/>
            <w:r>
              <w:rPr>
                <w:color w:val="000000"/>
              </w:rPr>
              <w:t xml:space="preserve"> за кожним кліринговим рахунком </w:t>
            </w:r>
            <w:r w:rsidRPr="00C91875">
              <w:rPr>
                <w:strike/>
                <w:color w:val="000000"/>
              </w:rPr>
              <w:t>(субрахунком) учасника клірингу</w:t>
            </w:r>
            <w:r>
              <w:rPr>
                <w:color w:val="000000"/>
              </w:rPr>
              <w:t>, а також мати можливість розрахувати загальний обсяг прав та зобов’язань щодо коштів, що належать конкретному учаснику клірингу/клієнтам цього учасника клірингу.</w:t>
            </w:r>
          </w:p>
        </w:tc>
        <w:tc>
          <w:tcPr>
            <w:tcW w:w="2500" w:type="pct"/>
          </w:tcPr>
          <w:p w:rsidR="00C91875" w:rsidRPr="00816125" w:rsidRDefault="00C91875" w:rsidP="00C173C9">
            <w:pPr>
              <w:pStyle w:val="a4"/>
              <w:spacing w:before="0" w:beforeAutospacing="0" w:after="0" w:afterAutospacing="0"/>
              <w:jc w:val="both"/>
              <w:rPr>
                <w:color w:val="000000"/>
              </w:rPr>
            </w:pPr>
            <w:r>
              <w:rPr>
                <w:color w:val="000000"/>
              </w:rPr>
              <w:t xml:space="preserve">24. Особа, яка провадить клірингову діяльність, зобов’язана забезпечити облік прав та зобов’язань щодо коштів </w:t>
            </w:r>
            <w:proofErr w:type="spellStart"/>
            <w:r>
              <w:rPr>
                <w:color w:val="000000"/>
              </w:rPr>
              <w:t>відокремлено</w:t>
            </w:r>
            <w:proofErr w:type="spellEnd"/>
            <w:r>
              <w:rPr>
                <w:color w:val="000000"/>
              </w:rPr>
              <w:t xml:space="preserve"> за кожним кліринговим рахунком, а також мати можливість розрахувати загальний обсяг прав та зобов’язань щодо коштів, що належать конкретному учаснику клірингу/клієнтам цього учасника клірингу.</w:t>
            </w:r>
          </w:p>
        </w:tc>
      </w:tr>
      <w:tr w:rsidR="00C173C9" w:rsidRPr="00040557" w:rsidTr="00972978">
        <w:tc>
          <w:tcPr>
            <w:tcW w:w="2500" w:type="pct"/>
          </w:tcPr>
          <w:p w:rsidR="00C173C9" w:rsidRDefault="00C173C9" w:rsidP="00C173C9">
            <w:pPr>
              <w:pStyle w:val="a4"/>
              <w:spacing w:before="0" w:beforeAutospacing="0" w:after="0" w:afterAutospacing="0"/>
              <w:jc w:val="both"/>
              <w:rPr>
                <w:color w:val="000000"/>
              </w:rPr>
            </w:pPr>
            <w:r>
              <w:rPr>
                <w:color w:val="000000"/>
              </w:rPr>
              <w:t xml:space="preserve">25. Відображення зміни прав та зобов’язань щодо коштів на клірингових рахунках у системі обліку здійснюється особою, яка провадить клірингову діяльність, на підставі розпоряджень від учасників клірингу, розпоряджень (інформації) від особи, яка провадить клірингову діяльність, або розпоряджень (інформації) від оператора </w:t>
            </w:r>
            <w:r w:rsidRPr="0078290C">
              <w:rPr>
                <w:strike/>
                <w:color w:val="000000"/>
              </w:rPr>
              <w:t>організованих ринків капіталу</w:t>
            </w:r>
            <w:r>
              <w:rPr>
                <w:color w:val="000000"/>
              </w:rPr>
              <w:t xml:space="preserve"> в порядку та строки, установлені правилами клірингу.</w:t>
            </w:r>
          </w:p>
        </w:tc>
        <w:tc>
          <w:tcPr>
            <w:tcW w:w="2500" w:type="pct"/>
          </w:tcPr>
          <w:p w:rsidR="00C173C9" w:rsidRDefault="00C173C9" w:rsidP="00C173C9">
            <w:pPr>
              <w:pStyle w:val="a4"/>
              <w:spacing w:before="0" w:beforeAutospacing="0" w:after="0" w:afterAutospacing="0"/>
              <w:jc w:val="both"/>
              <w:rPr>
                <w:color w:val="000000"/>
              </w:rPr>
            </w:pPr>
            <w:r>
              <w:rPr>
                <w:color w:val="000000"/>
              </w:rPr>
              <w:t xml:space="preserve">25. Відображення зміни прав та зобов’язань щодо коштів на клірингових рахунках у системі обліку здійснюється особою, яка провадить клірингову діяльність, на підставі розпоряджень від учасників клірингу, розпоряджень (інформації) від особи, яка провадить клірингову діяльність, або розпоряджень (інформації) від оператора </w:t>
            </w:r>
            <w:r w:rsidRPr="0078290C">
              <w:rPr>
                <w:b/>
                <w:color w:val="000000"/>
              </w:rPr>
              <w:t>організованого ринку</w:t>
            </w:r>
            <w:r>
              <w:rPr>
                <w:color w:val="000000"/>
              </w:rPr>
              <w:t xml:space="preserve"> в порядку та строки, установлені правилами клірингу.</w:t>
            </w:r>
          </w:p>
        </w:tc>
      </w:tr>
      <w:tr w:rsidR="00420619" w:rsidRPr="00040557" w:rsidTr="00972978">
        <w:tc>
          <w:tcPr>
            <w:tcW w:w="2500" w:type="pct"/>
          </w:tcPr>
          <w:p w:rsidR="00420619" w:rsidRDefault="00420619" w:rsidP="00C173C9">
            <w:pPr>
              <w:pStyle w:val="a4"/>
              <w:spacing w:before="0" w:beforeAutospacing="0" w:after="0" w:afterAutospacing="0"/>
              <w:jc w:val="both"/>
              <w:rPr>
                <w:color w:val="000000"/>
              </w:rPr>
            </w:pPr>
            <w:r>
              <w:rPr>
                <w:color w:val="000000"/>
              </w:rPr>
              <w:t xml:space="preserve">27. Особа, яка провадить клірингову діяльність, на запит учасника клірингу або періодично в порядку, установленому внутрішніми документами такої особи або договором з учасником клірингу має надавати виписку з клірингового рахунку </w:t>
            </w:r>
            <w:r w:rsidRPr="008B6977">
              <w:rPr>
                <w:strike/>
                <w:color w:val="000000"/>
              </w:rPr>
              <w:t>(субрахунку)</w:t>
            </w:r>
            <w:r>
              <w:rPr>
                <w:color w:val="000000"/>
              </w:rPr>
              <w:t xml:space="preserve"> такого учасника клірингу. Виписка з клірингового рах</w:t>
            </w:r>
            <w:bookmarkStart w:id="0" w:name="_GoBack"/>
            <w:bookmarkEnd w:id="0"/>
            <w:r>
              <w:rPr>
                <w:color w:val="000000"/>
              </w:rPr>
              <w:t xml:space="preserve">унку </w:t>
            </w:r>
            <w:r w:rsidRPr="008B6977">
              <w:rPr>
                <w:strike/>
                <w:color w:val="000000"/>
              </w:rPr>
              <w:t>(субрахунку)  учасника клірингу</w:t>
            </w:r>
            <w:r>
              <w:rPr>
                <w:color w:val="000000"/>
              </w:rPr>
              <w:t xml:space="preserve"> має містити інформацію про виконані за період, визначений у запиті учасника клірингу або внутрішніми документами особи, яка провадить клірингову діяльність, або відповідним договором,  операції на такому рахунку, включаючи випадки завершення грошових розрахунків за результатами </w:t>
            </w:r>
            <w:proofErr w:type="spellStart"/>
            <w:r>
              <w:rPr>
                <w:color w:val="000000"/>
              </w:rPr>
              <w:t>неттінгу</w:t>
            </w:r>
            <w:proofErr w:type="spellEnd"/>
            <w:r>
              <w:rPr>
                <w:color w:val="000000"/>
              </w:rPr>
              <w:t xml:space="preserve">/ліквідаційного </w:t>
            </w:r>
            <w:proofErr w:type="spellStart"/>
            <w:r>
              <w:rPr>
                <w:color w:val="000000"/>
              </w:rPr>
              <w:t>неттінгу</w:t>
            </w:r>
            <w:proofErr w:type="spellEnd"/>
            <w:r>
              <w:rPr>
                <w:color w:val="000000"/>
              </w:rPr>
              <w:t>.</w:t>
            </w:r>
          </w:p>
        </w:tc>
        <w:tc>
          <w:tcPr>
            <w:tcW w:w="2500" w:type="pct"/>
          </w:tcPr>
          <w:p w:rsidR="00420619" w:rsidRDefault="00420619" w:rsidP="008B6977">
            <w:pPr>
              <w:pStyle w:val="a4"/>
              <w:spacing w:before="0" w:beforeAutospacing="0" w:after="0" w:afterAutospacing="0"/>
              <w:jc w:val="both"/>
              <w:rPr>
                <w:color w:val="000000"/>
              </w:rPr>
            </w:pPr>
            <w:r>
              <w:rPr>
                <w:color w:val="000000"/>
              </w:rPr>
              <w:t>27. Особа, яка провадить клірингову діяльність, на запит учасника клірингу або періодично в порядку, установленому внутрішніми документами такої особи або договором з учасником клірингу має надавати</w:t>
            </w:r>
            <w:r w:rsidR="008B6977">
              <w:rPr>
                <w:color w:val="000000"/>
              </w:rPr>
              <w:t xml:space="preserve"> виписку з клірингового рахунку</w:t>
            </w:r>
            <w:r w:rsidR="008B6977" w:rsidRPr="008B6977">
              <w:rPr>
                <w:b/>
                <w:color w:val="000000"/>
              </w:rPr>
              <w:t xml:space="preserve">, відкритого для </w:t>
            </w:r>
            <w:r w:rsidRPr="005A33D7">
              <w:rPr>
                <w:color w:val="000000"/>
              </w:rPr>
              <w:t>такого</w:t>
            </w:r>
            <w:r>
              <w:rPr>
                <w:color w:val="000000"/>
              </w:rPr>
              <w:t xml:space="preserve"> учасника клірингу. Виписка з клірингового рахунку має містити інформацію про виконані за період, визначений у запиті учасника клірингу або внутрішніми документами особи, яка провадить клірингову діяльність, або відповідним договором,  операції на такому рахунку, включаючи випадки завершення грошових розрахунків за результатами </w:t>
            </w:r>
            <w:proofErr w:type="spellStart"/>
            <w:r>
              <w:rPr>
                <w:color w:val="000000"/>
              </w:rPr>
              <w:t>неттінгу</w:t>
            </w:r>
            <w:proofErr w:type="spellEnd"/>
            <w:r>
              <w:rPr>
                <w:color w:val="000000"/>
              </w:rPr>
              <w:t xml:space="preserve">/ліквідаційного </w:t>
            </w:r>
            <w:proofErr w:type="spellStart"/>
            <w:r>
              <w:rPr>
                <w:color w:val="000000"/>
              </w:rPr>
              <w:t>неттінгу</w:t>
            </w:r>
            <w:proofErr w:type="spellEnd"/>
            <w:r>
              <w:rPr>
                <w:color w:val="000000"/>
              </w:rPr>
              <w:t>.</w:t>
            </w:r>
          </w:p>
        </w:tc>
      </w:tr>
      <w:tr w:rsidR="000D3D70" w:rsidRPr="00040557" w:rsidTr="00972978">
        <w:tc>
          <w:tcPr>
            <w:tcW w:w="2500" w:type="pct"/>
          </w:tcPr>
          <w:p w:rsidR="000D3D70" w:rsidRDefault="00BB1AA6" w:rsidP="00C173C9">
            <w:pPr>
              <w:pStyle w:val="a4"/>
              <w:spacing w:before="0" w:beforeAutospacing="0" w:after="0" w:afterAutospacing="0"/>
              <w:jc w:val="both"/>
              <w:rPr>
                <w:color w:val="000000"/>
              </w:rPr>
            </w:pPr>
            <w:r w:rsidRPr="00BB1AA6">
              <w:rPr>
                <w:color w:val="000000"/>
              </w:rPr>
              <w:t xml:space="preserve">29. Правила клірингу особи, яка провадить клірингову діяльність, мають визначати максимальний строк перебування внесених/зарезервованих коштів у системі обліку без їх використання в процесі клірингу відповідно до вимог, установлених Національною комісією з цінних паперів та фондового ринку, та порядок списання прав та зобов’язань щодо коштів із клірингових рахунків </w:t>
            </w:r>
            <w:r w:rsidRPr="00BB1AA6">
              <w:rPr>
                <w:strike/>
                <w:color w:val="000000"/>
              </w:rPr>
              <w:t>(субрахунків)</w:t>
            </w:r>
            <w:r w:rsidRPr="00BB1AA6">
              <w:rPr>
                <w:color w:val="000000"/>
              </w:rPr>
              <w:t xml:space="preserve"> учасників клірингу після спливу такого строку, включаючи випадки ненадання учасником клірингу розпорядження на списання таких прав та зобов’язань щодо коштів.</w:t>
            </w:r>
          </w:p>
        </w:tc>
        <w:tc>
          <w:tcPr>
            <w:tcW w:w="2500" w:type="pct"/>
          </w:tcPr>
          <w:p w:rsidR="000D3D70" w:rsidRDefault="00BB1AA6" w:rsidP="00BB1AA6">
            <w:pPr>
              <w:pStyle w:val="a4"/>
              <w:spacing w:before="0" w:beforeAutospacing="0" w:after="0" w:afterAutospacing="0"/>
              <w:jc w:val="both"/>
              <w:rPr>
                <w:color w:val="000000"/>
              </w:rPr>
            </w:pPr>
            <w:r w:rsidRPr="00BB1AA6">
              <w:rPr>
                <w:color w:val="000000"/>
              </w:rPr>
              <w:t>29. Правила клірингу особи, яка провадить клірингову діяльність, мають визначати максимальний строк перебування внесених/зарезервованих коштів у системі обліку без їх використання в процесі клірингу відповідно до вимог, установлених Національною комісією з цінних паперів та фондового ринку, та порядок списання прав та зобов’язань щодо коштів із клірингових рахунків учасників клірингу після спливу такого строку, включаючи випадки ненадання учасником клірингу розпорядження на списання таких прав та зобов’язань щодо коштів.</w:t>
            </w:r>
          </w:p>
        </w:tc>
      </w:tr>
    </w:tbl>
    <w:p w:rsidR="00D43C11" w:rsidRPr="00C133F5" w:rsidRDefault="00D43C11" w:rsidP="00D43C11">
      <w:pPr>
        <w:pStyle w:val="a4"/>
        <w:spacing w:before="0" w:beforeAutospacing="0" w:after="0" w:afterAutospacing="0"/>
        <w:ind w:firstLine="709"/>
        <w:jc w:val="center"/>
        <w:rPr>
          <w:color w:val="000000"/>
          <w:sz w:val="28"/>
          <w:szCs w:val="28"/>
        </w:rPr>
      </w:pPr>
      <w:r w:rsidRPr="00C133F5">
        <w:rPr>
          <w:color w:val="000000"/>
          <w:sz w:val="28"/>
          <w:szCs w:val="28"/>
        </w:rPr>
        <w:t> </w:t>
      </w:r>
    </w:p>
    <w:p w:rsidR="005915E2" w:rsidRDefault="005915E2" w:rsidP="00D43C11">
      <w:pPr>
        <w:pStyle w:val="a4"/>
        <w:spacing w:before="0" w:beforeAutospacing="0" w:after="0" w:afterAutospacing="0"/>
        <w:jc w:val="both"/>
        <w:rPr>
          <w:color w:val="000000"/>
          <w:sz w:val="28"/>
          <w:szCs w:val="28"/>
        </w:rPr>
      </w:pPr>
      <w:r>
        <w:rPr>
          <w:color w:val="000000"/>
          <w:sz w:val="28"/>
          <w:szCs w:val="28"/>
        </w:rPr>
        <w:t>Начальник управління корпоративних прав</w:t>
      </w:r>
    </w:p>
    <w:p w:rsidR="00FC04F8" w:rsidRDefault="005915E2" w:rsidP="00D43C11">
      <w:pPr>
        <w:pStyle w:val="a4"/>
        <w:spacing w:before="0" w:beforeAutospacing="0" w:after="0" w:afterAutospacing="0"/>
        <w:jc w:val="both"/>
        <w:rPr>
          <w:color w:val="000000"/>
          <w:sz w:val="28"/>
          <w:szCs w:val="28"/>
        </w:rPr>
      </w:pPr>
      <w:r>
        <w:rPr>
          <w:color w:val="000000"/>
          <w:sz w:val="28"/>
          <w:szCs w:val="28"/>
        </w:rPr>
        <w:t xml:space="preserve">та депозитарної діяльності </w:t>
      </w:r>
    </w:p>
    <w:p w:rsidR="00D43C11" w:rsidRPr="00C133F5" w:rsidRDefault="005915E2" w:rsidP="00D43C11">
      <w:pPr>
        <w:pStyle w:val="a4"/>
        <w:spacing w:before="0" w:beforeAutospacing="0" w:after="0" w:afterAutospacing="0"/>
        <w:jc w:val="both"/>
        <w:rPr>
          <w:color w:val="000000"/>
          <w:sz w:val="28"/>
          <w:szCs w:val="28"/>
        </w:rPr>
      </w:pPr>
      <w:r>
        <w:rPr>
          <w:color w:val="000000"/>
          <w:sz w:val="28"/>
          <w:szCs w:val="28"/>
        </w:rPr>
        <w:t xml:space="preserve">Національного банку України </w:t>
      </w:r>
      <w:r w:rsidR="00D43C11" w:rsidRPr="00C133F5">
        <w:rPr>
          <w:color w:val="000000"/>
          <w:sz w:val="28"/>
          <w:szCs w:val="28"/>
        </w:rPr>
        <w:t xml:space="preserve">         </w:t>
      </w:r>
      <w:r w:rsidR="00FC04F8">
        <w:rPr>
          <w:color w:val="000000"/>
          <w:sz w:val="28"/>
          <w:szCs w:val="28"/>
        </w:rPr>
        <w:tab/>
      </w:r>
      <w:r w:rsidR="00FC04F8">
        <w:rPr>
          <w:color w:val="000000"/>
          <w:sz w:val="28"/>
          <w:szCs w:val="28"/>
        </w:rPr>
        <w:tab/>
      </w:r>
      <w:r w:rsidR="00FC04F8">
        <w:rPr>
          <w:color w:val="000000"/>
          <w:sz w:val="28"/>
          <w:szCs w:val="28"/>
        </w:rPr>
        <w:tab/>
      </w:r>
      <w:r w:rsidR="00FC04F8">
        <w:rPr>
          <w:color w:val="000000"/>
          <w:sz w:val="28"/>
          <w:szCs w:val="28"/>
        </w:rPr>
        <w:tab/>
      </w:r>
      <w:r w:rsidR="00D43C11" w:rsidRPr="00C133F5">
        <w:rPr>
          <w:color w:val="000000"/>
          <w:sz w:val="28"/>
          <w:szCs w:val="28"/>
        </w:rPr>
        <w:t xml:space="preserve">__________     </w:t>
      </w:r>
      <w:r w:rsidR="00FC04F8">
        <w:rPr>
          <w:color w:val="000000"/>
          <w:sz w:val="28"/>
          <w:szCs w:val="28"/>
        </w:rPr>
        <w:tab/>
      </w:r>
      <w:r w:rsidR="00FC04F8">
        <w:rPr>
          <w:color w:val="000000"/>
          <w:sz w:val="28"/>
          <w:szCs w:val="28"/>
        </w:rPr>
        <w:tab/>
      </w:r>
      <w:r w:rsidR="00FC04F8">
        <w:rPr>
          <w:color w:val="000000"/>
          <w:sz w:val="28"/>
          <w:szCs w:val="28"/>
        </w:rPr>
        <w:tab/>
        <w:t>Андрій СУПРУН</w:t>
      </w:r>
    </w:p>
    <w:p w:rsidR="00D43C11" w:rsidRPr="00047399" w:rsidRDefault="00D43C11" w:rsidP="00D43C11">
      <w:pPr>
        <w:pStyle w:val="a4"/>
        <w:spacing w:before="0" w:beforeAutospacing="0" w:after="0" w:afterAutospacing="0"/>
        <w:ind w:firstLine="709"/>
        <w:jc w:val="both"/>
        <w:rPr>
          <w:color w:val="000000"/>
        </w:rPr>
      </w:pPr>
    </w:p>
    <w:p w:rsidR="00D43C11" w:rsidRPr="00C133F5" w:rsidRDefault="00D43C11" w:rsidP="00D43C11">
      <w:pPr>
        <w:pStyle w:val="a4"/>
        <w:spacing w:before="0" w:beforeAutospacing="0" w:after="0" w:afterAutospacing="0"/>
        <w:ind w:firstLine="709"/>
        <w:jc w:val="both"/>
        <w:rPr>
          <w:color w:val="000000"/>
          <w:sz w:val="28"/>
          <w:szCs w:val="28"/>
        </w:rPr>
      </w:pPr>
      <w:r w:rsidRPr="00C133F5">
        <w:rPr>
          <w:color w:val="000000"/>
          <w:sz w:val="28"/>
          <w:szCs w:val="28"/>
        </w:rPr>
        <w:t>“____” ______________ 20___ року</w:t>
      </w:r>
    </w:p>
    <w:p w:rsidR="00D43C11" w:rsidRPr="00C133F5" w:rsidRDefault="00D43C11" w:rsidP="00D43C11">
      <w:pPr>
        <w:pStyle w:val="a4"/>
        <w:spacing w:before="0" w:beforeAutospacing="0" w:after="0" w:afterAutospacing="0"/>
        <w:ind w:firstLine="709"/>
        <w:jc w:val="both"/>
        <w:rPr>
          <w:color w:val="000000"/>
          <w:sz w:val="28"/>
          <w:szCs w:val="28"/>
        </w:rPr>
      </w:pPr>
    </w:p>
    <w:p w:rsidR="008F7BDE" w:rsidRDefault="008F7BDE"/>
    <w:sectPr w:rsidR="008F7BDE" w:rsidSect="00D43C11">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11"/>
    <w:rsid w:val="00033942"/>
    <w:rsid w:val="00040557"/>
    <w:rsid w:val="00043E8F"/>
    <w:rsid w:val="0009718B"/>
    <w:rsid w:val="000A0FA6"/>
    <w:rsid w:val="000A6B3F"/>
    <w:rsid w:val="000D3D70"/>
    <w:rsid w:val="00131FAE"/>
    <w:rsid w:val="001A38C9"/>
    <w:rsid w:val="001B3C4C"/>
    <w:rsid w:val="001F7D42"/>
    <w:rsid w:val="00265719"/>
    <w:rsid w:val="002A6C47"/>
    <w:rsid w:val="003429D0"/>
    <w:rsid w:val="003C51A8"/>
    <w:rsid w:val="003F129C"/>
    <w:rsid w:val="0040128D"/>
    <w:rsid w:val="00410A7B"/>
    <w:rsid w:val="00420619"/>
    <w:rsid w:val="00545A83"/>
    <w:rsid w:val="005915E2"/>
    <w:rsid w:val="005A33D7"/>
    <w:rsid w:val="006274AD"/>
    <w:rsid w:val="006740A5"/>
    <w:rsid w:val="00707E31"/>
    <w:rsid w:val="00713931"/>
    <w:rsid w:val="00743C90"/>
    <w:rsid w:val="0078290C"/>
    <w:rsid w:val="007A0A91"/>
    <w:rsid w:val="00816125"/>
    <w:rsid w:val="008B6977"/>
    <w:rsid w:val="008C0601"/>
    <w:rsid w:val="008F7BDE"/>
    <w:rsid w:val="009E344F"/>
    <w:rsid w:val="00A0635B"/>
    <w:rsid w:val="00A334D1"/>
    <w:rsid w:val="00A72E59"/>
    <w:rsid w:val="00AE43A8"/>
    <w:rsid w:val="00B37A05"/>
    <w:rsid w:val="00B51E98"/>
    <w:rsid w:val="00BB1AA6"/>
    <w:rsid w:val="00BD4419"/>
    <w:rsid w:val="00BE6061"/>
    <w:rsid w:val="00C173C9"/>
    <w:rsid w:val="00C76AF7"/>
    <w:rsid w:val="00C91875"/>
    <w:rsid w:val="00CA38FC"/>
    <w:rsid w:val="00D15A52"/>
    <w:rsid w:val="00D15ED4"/>
    <w:rsid w:val="00D27273"/>
    <w:rsid w:val="00D32125"/>
    <w:rsid w:val="00D43C11"/>
    <w:rsid w:val="00E1394F"/>
    <w:rsid w:val="00E3137C"/>
    <w:rsid w:val="00E357C1"/>
    <w:rsid w:val="00E773DE"/>
    <w:rsid w:val="00F0700B"/>
    <w:rsid w:val="00FC0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7072"/>
  <w15:chartTrackingRefBased/>
  <w15:docId w15:val="{9D8C6583-C024-492F-9466-E2B76356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11"/>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C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qFormat/>
    <w:rsid w:val="00D43C11"/>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D43C11"/>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11265</Words>
  <Characters>6422</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Ірина Федорівна</dc:creator>
  <cp:keywords/>
  <dc:description/>
  <cp:lastModifiedBy>Котлярова Ірина Федорівна</cp:lastModifiedBy>
  <cp:revision>4</cp:revision>
  <dcterms:created xsi:type="dcterms:W3CDTF">2024-08-08T11:40:00Z</dcterms:created>
  <dcterms:modified xsi:type="dcterms:W3CDTF">2024-09-03T12:10:00Z</dcterms:modified>
</cp:coreProperties>
</file>