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880" w:rsidRPr="00996711" w:rsidRDefault="00185E8F" w:rsidP="002B4080">
      <w:pPr>
        <w:spacing w:after="0" w:line="240" w:lineRule="auto"/>
        <w:jc w:val="both"/>
        <w:rPr>
          <w:rFonts w:ascii="Times New Roman" w:eastAsia="Times New Roman" w:hAnsi="Times New Roman" w:cs="Times New Roman"/>
          <w:sz w:val="2"/>
          <w:szCs w:val="2"/>
          <w:lang w:eastAsia="uk-UA"/>
        </w:rPr>
      </w:pPr>
      <w:r w:rsidRPr="00996711">
        <w:rPr>
          <w:rFonts w:ascii="Times New Roman" w:eastAsia="Times New Roman" w:hAnsi="Times New Roman" w:cs="Times New Roman"/>
          <w:sz w:val="2"/>
          <w:szCs w:val="2"/>
          <w:lang w:eastAsia="uk-UA"/>
        </w:rPr>
        <w:t xml:space="preserve"> </w:t>
      </w:r>
    </w:p>
    <w:p w:rsidR="00246880" w:rsidRPr="00996711" w:rsidRDefault="00246880" w:rsidP="002B4080">
      <w:pPr>
        <w:spacing w:after="0" w:line="240" w:lineRule="auto"/>
        <w:jc w:val="both"/>
        <w:rPr>
          <w:rFonts w:ascii="Times New Roman" w:eastAsia="Times New Roman" w:hAnsi="Times New Roman" w:cs="Times New Roman"/>
          <w:sz w:val="2"/>
          <w:szCs w:val="2"/>
          <w:lang w:eastAsia="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246880" w:rsidRPr="00996711" w:rsidTr="00CE476A">
        <w:trPr>
          <w:trHeight w:val="851"/>
        </w:trPr>
        <w:tc>
          <w:tcPr>
            <w:tcW w:w="3284" w:type="dxa"/>
          </w:tcPr>
          <w:p w:rsidR="00246880" w:rsidRPr="00996711" w:rsidRDefault="00246880" w:rsidP="002B4080">
            <w:pPr>
              <w:jc w:val="both"/>
              <w:rPr>
                <w:rFonts w:ascii="Times New Roman" w:hAnsi="Times New Roman" w:cs="Times New Roman"/>
                <w:sz w:val="28"/>
                <w:szCs w:val="28"/>
                <w:lang w:eastAsia="uk-UA"/>
              </w:rPr>
            </w:pPr>
          </w:p>
        </w:tc>
        <w:tc>
          <w:tcPr>
            <w:tcW w:w="3285" w:type="dxa"/>
            <w:vMerge w:val="restart"/>
          </w:tcPr>
          <w:p w:rsidR="00246880" w:rsidRPr="00996711" w:rsidRDefault="00246880" w:rsidP="002B4080">
            <w:pPr>
              <w:jc w:val="center"/>
              <w:rPr>
                <w:rFonts w:ascii="Times New Roman" w:hAnsi="Times New Roman" w:cs="Times New Roman"/>
                <w:sz w:val="28"/>
                <w:szCs w:val="28"/>
                <w:lang w:eastAsia="uk-UA"/>
              </w:rPr>
            </w:pPr>
            <w:r w:rsidRPr="00996711">
              <w:rPr>
                <w:rFonts w:ascii="Times New Roman" w:eastAsiaTheme="minorHAnsi" w:hAnsi="Times New Roman" w:cs="Times New Roman"/>
                <w:sz w:val="28"/>
                <w:szCs w:val="28"/>
                <w:lang w:eastAsia="uk-UA"/>
              </w:rPr>
              <w:object w:dxaOrig="1595" w:dyaOrig="2201" w14:anchorId="0F599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48pt" o:ole="">
                  <v:imagedata r:id="rId8" o:title=""/>
                </v:shape>
                <o:OLEObject Type="Embed" ProgID="CorelDraw.Graphic.16" ShapeID="_x0000_i1025" DrawAspect="Content" ObjectID="_1700025143" r:id="rId9"/>
              </w:object>
            </w:r>
          </w:p>
        </w:tc>
        <w:tc>
          <w:tcPr>
            <w:tcW w:w="3285" w:type="dxa"/>
          </w:tcPr>
          <w:p w:rsidR="00246880" w:rsidRPr="00996711" w:rsidRDefault="00246880" w:rsidP="002B4080">
            <w:pPr>
              <w:jc w:val="both"/>
              <w:rPr>
                <w:rFonts w:ascii="Times New Roman" w:hAnsi="Times New Roman" w:cs="Times New Roman"/>
                <w:sz w:val="28"/>
                <w:szCs w:val="28"/>
                <w:lang w:eastAsia="uk-UA"/>
              </w:rPr>
            </w:pPr>
          </w:p>
        </w:tc>
      </w:tr>
      <w:tr w:rsidR="00246880" w:rsidRPr="00996711" w:rsidTr="00CE476A">
        <w:tc>
          <w:tcPr>
            <w:tcW w:w="3284" w:type="dxa"/>
          </w:tcPr>
          <w:p w:rsidR="00246880" w:rsidRPr="00996711" w:rsidRDefault="00246880" w:rsidP="002B4080">
            <w:pPr>
              <w:jc w:val="both"/>
              <w:rPr>
                <w:rFonts w:ascii="Times New Roman" w:hAnsi="Times New Roman" w:cs="Times New Roman"/>
                <w:sz w:val="28"/>
                <w:szCs w:val="28"/>
                <w:lang w:eastAsia="uk-UA"/>
              </w:rPr>
            </w:pPr>
          </w:p>
        </w:tc>
        <w:tc>
          <w:tcPr>
            <w:tcW w:w="3285" w:type="dxa"/>
            <w:vMerge/>
          </w:tcPr>
          <w:p w:rsidR="00246880" w:rsidRPr="00996711" w:rsidRDefault="00246880" w:rsidP="002B4080">
            <w:pPr>
              <w:jc w:val="both"/>
              <w:rPr>
                <w:rFonts w:ascii="Times New Roman" w:hAnsi="Times New Roman" w:cs="Times New Roman"/>
                <w:sz w:val="28"/>
                <w:szCs w:val="28"/>
                <w:lang w:eastAsia="uk-UA"/>
              </w:rPr>
            </w:pPr>
          </w:p>
        </w:tc>
        <w:tc>
          <w:tcPr>
            <w:tcW w:w="3285" w:type="dxa"/>
          </w:tcPr>
          <w:p w:rsidR="00246880" w:rsidRPr="00996711" w:rsidRDefault="00246880" w:rsidP="002B4080">
            <w:pPr>
              <w:jc w:val="both"/>
              <w:rPr>
                <w:rFonts w:ascii="Times New Roman" w:hAnsi="Times New Roman" w:cs="Times New Roman"/>
                <w:sz w:val="28"/>
                <w:szCs w:val="28"/>
                <w:lang w:eastAsia="uk-UA"/>
              </w:rPr>
            </w:pPr>
          </w:p>
        </w:tc>
      </w:tr>
      <w:tr w:rsidR="00246880" w:rsidRPr="00996711" w:rsidTr="00CE476A">
        <w:tc>
          <w:tcPr>
            <w:tcW w:w="9854" w:type="dxa"/>
            <w:gridSpan w:val="3"/>
          </w:tcPr>
          <w:p w:rsidR="00246880" w:rsidRPr="00996711" w:rsidRDefault="00246880" w:rsidP="002B4080">
            <w:pPr>
              <w:tabs>
                <w:tab w:val="left" w:pos="-3600"/>
              </w:tabs>
              <w:spacing w:before="120" w:after="120"/>
              <w:jc w:val="center"/>
              <w:rPr>
                <w:rFonts w:ascii="Times New Roman" w:hAnsi="Times New Roman" w:cs="Times New Roman"/>
                <w:b/>
                <w:bCs/>
                <w:color w:val="006600"/>
                <w:spacing w:val="10"/>
                <w:sz w:val="28"/>
                <w:szCs w:val="28"/>
                <w:lang w:eastAsia="uk-UA"/>
              </w:rPr>
            </w:pPr>
            <w:r w:rsidRPr="00996711">
              <w:rPr>
                <w:rFonts w:ascii="Times New Roman" w:hAnsi="Times New Roman" w:cs="Times New Roman"/>
                <w:b/>
                <w:bCs/>
                <w:color w:val="006600"/>
                <w:spacing w:val="10"/>
                <w:sz w:val="28"/>
                <w:szCs w:val="28"/>
                <w:lang w:eastAsia="uk-UA"/>
              </w:rPr>
              <w:t>Правління Національного банку України</w:t>
            </w:r>
          </w:p>
          <w:p w:rsidR="00246880" w:rsidRPr="00996711" w:rsidRDefault="00246880" w:rsidP="002B4080">
            <w:pPr>
              <w:jc w:val="center"/>
              <w:rPr>
                <w:rFonts w:ascii="Times New Roman" w:hAnsi="Times New Roman" w:cs="Times New Roman"/>
                <w:sz w:val="28"/>
                <w:szCs w:val="28"/>
                <w:lang w:eastAsia="uk-UA"/>
              </w:rPr>
            </w:pPr>
            <w:r w:rsidRPr="00996711">
              <w:rPr>
                <w:rFonts w:ascii="Times New Roman" w:hAnsi="Times New Roman" w:cs="Times New Roman"/>
                <w:b/>
                <w:bCs/>
                <w:color w:val="006600"/>
                <w:sz w:val="32"/>
                <w:szCs w:val="32"/>
                <w:lang w:eastAsia="uk-UA"/>
              </w:rPr>
              <w:t>П О С Т А Н О В А</w:t>
            </w:r>
          </w:p>
        </w:tc>
      </w:tr>
    </w:tbl>
    <w:p w:rsidR="00246880" w:rsidRPr="00996711" w:rsidRDefault="00246880" w:rsidP="002B4080">
      <w:pPr>
        <w:spacing w:after="0" w:line="240" w:lineRule="auto"/>
        <w:jc w:val="both"/>
        <w:rPr>
          <w:rFonts w:ascii="Times New Roman" w:eastAsia="Times New Roman" w:hAnsi="Times New Roman" w:cs="Times New Roman"/>
          <w:sz w:val="4"/>
          <w:szCs w:val="4"/>
          <w:lang w:eastAsia="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4"/>
        <w:gridCol w:w="1675"/>
        <w:gridCol w:w="1897"/>
      </w:tblGrid>
      <w:tr w:rsidR="00246880" w:rsidRPr="00996711" w:rsidTr="00CE476A">
        <w:tc>
          <w:tcPr>
            <w:tcW w:w="3510" w:type="dxa"/>
            <w:vAlign w:val="bottom"/>
          </w:tcPr>
          <w:p w:rsidR="00246880" w:rsidRPr="001F24C2" w:rsidRDefault="001F24C2" w:rsidP="002B4080">
            <w:pPr>
              <w:jc w:val="both"/>
              <w:rPr>
                <w:rFonts w:ascii="Times New Roman" w:hAnsi="Times New Roman" w:cs="Times New Roman"/>
                <w:sz w:val="28"/>
                <w:szCs w:val="28"/>
                <w:lang w:eastAsia="uk-UA"/>
              </w:rPr>
            </w:pPr>
            <w:r>
              <w:rPr>
                <w:rFonts w:ascii="Times New Roman" w:hAnsi="Times New Roman" w:cs="Times New Roman"/>
                <w:sz w:val="28"/>
                <w:szCs w:val="28"/>
                <w:lang w:eastAsia="uk-UA"/>
              </w:rPr>
              <w:t>02 грудня 2021 року</w:t>
            </w:r>
          </w:p>
        </w:tc>
        <w:tc>
          <w:tcPr>
            <w:tcW w:w="2694" w:type="dxa"/>
          </w:tcPr>
          <w:p w:rsidR="00246880" w:rsidRPr="00996711" w:rsidRDefault="00246880" w:rsidP="002B4080">
            <w:pPr>
              <w:spacing w:before="240"/>
              <w:jc w:val="center"/>
              <w:rPr>
                <w:rFonts w:ascii="Times New Roman" w:hAnsi="Times New Roman" w:cs="Times New Roman"/>
                <w:sz w:val="28"/>
                <w:szCs w:val="28"/>
                <w:lang w:eastAsia="uk-UA"/>
              </w:rPr>
            </w:pPr>
            <w:r w:rsidRPr="00996711">
              <w:rPr>
                <w:rFonts w:ascii="Times New Roman" w:hAnsi="Times New Roman" w:cs="Times New Roman"/>
                <w:color w:val="006600"/>
                <w:sz w:val="28"/>
                <w:szCs w:val="28"/>
                <w:lang w:eastAsia="uk-UA"/>
              </w:rPr>
              <w:t>м. Київ</w:t>
            </w:r>
          </w:p>
        </w:tc>
        <w:tc>
          <w:tcPr>
            <w:tcW w:w="1713" w:type="dxa"/>
            <w:vAlign w:val="bottom"/>
          </w:tcPr>
          <w:p w:rsidR="00246880" w:rsidRPr="00996711" w:rsidRDefault="00246880" w:rsidP="002B4080">
            <w:pPr>
              <w:jc w:val="right"/>
              <w:rPr>
                <w:rFonts w:ascii="Times New Roman" w:hAnsi="Times New Roman" w:cs="Times New Roman"/>
                <w:sz w:val="28"/>
                <w:szCs w:val="28"/>
                <w:lang w:eastAsia="uk-UA"/>
              </w:rPr>
            </w:pPr>
            <w:r w:rsidRPr="00996711">
              <w:rPr>
                <w:rFonts w:ascii="Times New Roman" w:hAnsi="Times New Roman" w:cs="Times New Roman"/>
                <w:color w:val="FFFFFF"/>
                <w:sz w:val="28"/>
                <w:szCs w:val="28"/>
                <w:lang w:eastAsia="uk-UA"/>
              </w:rPr>
              <w:t>№</w:t>
            </w:r>
          </w:p>
        </w:tc>
        <w:tc>
          <w:tcPr>
            <w:tcW w:w="1937" w:type="dxa"/>
            <w:vAlign w:val="bottom"/>
          </w:tcPr>
          <w:p w:rsidR="00246880" w:rsidRPr="00996711" w:rsidRDefault="001F24C2" w:rsidP="002B4080">
            <w:pPr>
              <w:rPr>
                <w:rFonts w:ascii="Times New Roman" w:hAnsi="Times New Roman" w:cs="Times New Roman"/>
                <w:sz w:val="28"/>
                <w:szCs w:val="28"/>
                <w:lang w:eastAsia="uk-UA"/>
              </w:rPr>
            </w:pPr>
            <w:r>
              <w:rPr>
                <w:rFonts w:ascii="Times New Roman" w:hAnsi="Times New Roman" w:cs="Times New Roman"/>
                <w:sz w:val="28"/>
                <w:szCs w:val="28"/>
                <w:lang w:eastAsia="uk-UA"/>
              </w:rPr>
              <w:t>№ 130</w:t>
            </w:r>
          </w:p>
        </w:tc>
      </w:tr>
    </w:tbl>
    <w:p w:rsidR="00246880" w:rsidRPr="00996711" w:rsidRDefault="00246880" w:rsidP="002B4080">
      <w:pPr>
        <w:spacing w:after="0" w:line="240" w:lineRule="auto"/>
        <w:jc w:val="both"/>
        <w:rPr>
          <w:rFonts w:ascii="Times New Roman" w:eastAsia="Times New Roman" w:hAnsi="Times New Roman" w:cs="Times New Roman"/>
          <w:sz w:val="2"/>
          <w:szCs w:val="2"/>
          <w:lang w:eastAsia="uk-UA"/>
        </w:rPr>
      </w:pPr>
    </w:p>
    <w:tbl>
      <w:tblPr>
        <w:tblStyle w:val="1"/>
        <w:tblW w:w="397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tblGrid>
      <w:tr w:rsidR="00246880" w:rsidRPr="00996711" w:rsidTr="00A17525">
        <w:trPr>
          <w:jc w:val="center"/>
        </w:trPr>
        <w:tc>
          <w:tcPr>
            <w:tcW w:w="5000" w:type="pct"/>
          </w:tcPr>
          <w:p w:rsidR="00246880" w:rsidRPr="00996711" w:rsidRDefault="00371C3D" w:rsidP="00EC7ABE">
            <w:pPr>
              <w:tabs>
                <w:tab w:val="left" w:pos="840"/>
                <w:tab w:val="center" w:pos="3293"/>
              </w:tabs>
              <w:spacing w:before="240" w:after="240"/>
              <w:jc w:val="center"/>
              <w:rPr>
                <w:rFonts w:ascii="Times New Roman" w:hAnsi="Times New Roman" w:cs="Times New Roman"/>
                <w:color w:val="000000"/>
                <w:sz w:val="28"/>
                <w:szCs w:val="28"/>
              </w:rPr>
            </w:pPr>
            <w:r w:rsidRPr="00996711">
              <w:rPr>
                <w:rFonts w:ascii="Times New Roman" w:hAnsi="Times New Roman"/>
                <w:bCs/>
                <w:sz w:val="28"/>
                <w:szCs w:val="28"/>
              </w:rPr>
              <w:t xml:space="preserve">Про затвердження </w:t>
            </w:r>
            <w:r w:rsidR="00486733">
              <w:rPr>
                <w:rFonts w:ascii="Times New Roman" w:hAnsi="Times New Roman"/>
                <w:bCs/>
                <w:sz w:val="28"/>
                <w:szCs w:val="28"/>
              </w:rPr>
              <w:t>Положення про п</w:t>
            </w:r>
            <w:r w:rsidRPr="00996711">
              <w:rPr>
                <w:rFonts w:ascii="Times New Roman" w:hAnsi="Times New Roman"/>
                <w:bCs/>
                <w:sz w:val="28"/>
                <w:szCs w:val="28"/>
              </w:rPr>
              <w:t>оряд</w:t>
            </w:r>
            <w:r w:rsidR="00486733">
              <w:rPr>
                <w:rFonts w:ascii="Times New Roman" w:hAnsi="Times New Roman"/>
                <w:bCs/>
                <w:sz w:val="28"/>
                <w:szCs w:val="28"/>
              </w:rPr>
              <w:t>о</w:t>
            </w:r>
            <w:r w:rsidRPr="00996711">
              <w:rPr>
                <w:rFonts w:ascii="Times New Roman" w:hAnsi="Times New Roman"/>
                <w:bCs/>
                <w:sz w:val="28"/>
                <w:szCs w:val="28"/>
              </w:rPr>
              <w:t>к</w:t>
            </w:r>
            <w:r w:rsidR="002E7245" w:rsidRPr="005146A1">
              <w:rPr>
                <w:rFonts w:ascii="Times New Roman" w:hAnsi="Times New Roman"/>
                <w:bCs/>
                <w:sz w:val="28"/>
                <w:szCs w:val="28"/>
                <w:lang w:val="ru-RU"/>
              </w:rPr>
              <w:t xml:space="preserve"> </w:t>
            </w:r>
            <w:r w:rsidR="00461230" w:rsidRPr="00996711">
              <w:t xml:space="preserve"> </w:t>
            </w:r>
            <w:r w:rsidR="00607AE7" w:rsidRPr="00996711">
              <w:rPr>
                <w:rFonts w:ascii="Times New Roman" w:hAnsi="Times New Roman"/>
                <w:bCs/>
                <w:sz w:val="28"/>
                <w:szCs w:val="28"/>
              </w:rPr>
              <w:t xml:space="preserve">проведення грошових розрахунків </w:t>
            </w:r>
            <w:r w:rsidR="00461230" w:rsidRPr="00996711">
              <w:rPr>
                <w:rFonts w:ascii="Times New Roman" w:hAnsi="Times New Roman"/>
                <w:bCs/>
                <w:sz w:val="28"/>
                <w:szCs w:val="28"/>
              </w:rPr>
              <w:t xml:space="preserve">за правочинами щодо цінних паперів </w:t>
            </w:r>
            <w:r w:rsidR="00350395" w:rsidRPr="00996711">
              <w:rPr>
                <w:rFonts w:ascii="Times New Roman" w:hAnsi="Times New Roman"/>
                <w:bCs/>
                <w:sz w:val="28"/>
                <w:szCs w:val="28"/>
              </w:rPr>
              <w:t>та інших фінансових інструментів</w:t>
            </w:r>
            <w:r w:rsidR="007B663F">
              <w:rPr>
                <w:rFonts w:ascii="Times New Roman" w:hAnsi="Times New Roman"/>
                <w:bCs/>
                <w:sz w:val="28"/>
                <w:szCs w:val="28"/>
              </w:rPr>
              <w:t>,</w:t>
            </w:r>
            <w:r w:rsidR="00350395" w:rsidRPr="00996711">
              <w:rPr>
                <w:rFonts w:ascii="Times New Roman" w:hAnsi="Times New Roman"/>
                <w:bCs/>
                <w:sz w:val="28"/>
                <w:szCs w:val="28"/>
              </w:rPr>
              <w:t xml:space="preserve"> </w:t>
            </w:r>
            <w:r w:rsidR="00461230" w:rsidRPr="00996711">
              <w:rPr>
                <w:rFonts w:ascii="Times New Roman" w:hAnsi="Times New Roman"/>
                <w:bCs/>
                <w:sz w:val="28"/>
                <w:szCs w:val="28"/>
              </w:rPr>
              <w:t>укладеними на організованих ринках капіталу та поза організованими ринками капіталу</w:t>
            </w:r>
            <w:r w:rsidR="00726196">
              <w:rPr>
                <w:rFonts w:ascii="Times New Roman" w:hAnsi="Times New Roman"/>
                <w:bCs/>
                <w:sz w:val="28"/>
                <w:szCs w:val="28"/>
              </w:rPr>
              <w:t>,</w:t>
            </w:r>
            <w:r w:rsidR="00461230" w:rsidRPr="00996711">
              <w:rPr>
                <w:rFonts w:ascii="Times New Roman" w:hAnsi="Times New Roman"/>
                <w:bCs/>
                <w:sz w:val="28"/>
                <w:szCs w:val="28"/>
              </w:rPr>
              <w:t xml:space="preserve"> з дотриманням принципу “поставка цінних  паперів проти оплати”</w:t>
            </w:r>
          </w:p>
        </w:tc>
        <w:bookmarkStart w:id="0" w:name="_GoBack"/>
        <w:bookmarkEnd w:id="0"/>
      </w:tr>
    </w:tbl>
    <w:p w:rsidR="00246880" w:rsidRPr="00996711" w:rsidRDefault="00371C3D" w:rsidP="002B4080">
      <w:pPr>
        <w:spacing w:before="240" w:after="240" w:line="240" w:lineRule="auto"/>
        <w:ind w:firstLine="709"/>
        <w:jc w:val="both"/>
        <w:rPr>
          <w:rFonts w:ascii="Times New Roman" w:eastAsia="Times New Roman" w:hAnsi="Times New Roman" w:cs="Times New Roman"/>
          <w:b/>
          <w:sz w:val="28"/>
          <w:szCs w:val="28"/>
          <w:lang w:eastAsia="uk-UA"/>
        </w:rPr>
      </w:pPr>
      <w:r w:rsidRPr="00996711">
        <w:rPr>
          <w:rFonts w:ascii="Times New Roman" w:eastAsia="Times New Roman" w:hAnsi="Times New Roman" w:cs="Times New Roman"/>
          <w:color w:val="000000"/>
          <w:sz w:val="28"/>
          <w:szCs w:val="28"/>
        </w:rPr>
        <w:t>Відповідно до статей 7, 15, 56 Закону України “Про Національний банк України”, стат</w:t>
      </w:r>
      <w:r w:rsidR="00313720">
        <w:rPr>
          <w:rFonts w:ascii="Times New Roman" w:eastAsia="Times New Roman" w:hAnsi="Times New Roman" w:cs="Times New Roman"/>
          <w:color w:val="000000"/>
          <w:sz w:val="28"/>
          <w:szCs w:val="28"/>
        </w:rPr>
        <w:t>т</w:t>
      </w:r>
      <w:r w:rsidR="00430CF3" w:rsidRPr="00996711">
        <w:rPr>
          <w:rFonts w:ascii="Times New Roman" w:eastAsia="Times New Roman" w:hAnsi="Times New Roman" w:cs="Times New Roman"/>
          <w:color w:val="000000"/>
          <w:sz w:val="28"/>
          <w:szCs w:val="28"/>
        </w:rPr>
        <w:t>і</w:t>
      </w:r>
      <w:r w:rsidRPr="00996711">
        <w:rPr>
          <w:rFonts w:ascii="Times New Roman" w:eastAsia="Times New Roman" w:hAnsi="Times New Roman" w:cs="Times New Roman"/>
          <w:color w:val="000000"/>
          <w:sz w:val="28"/>
          <w:szCs w:val="28"/>
        </w:rPr>
        <w:t xml:space="preserve"> 20 Закону України “Про депозитарну систему України”, з метою </w:t>
      </w:r>
      <w:r w:rsidR="003D6D38" w:rsidRPr="00996711">
        <w:rPr>
          <w:rFonts w:ascii="Times New Roman" w:eastAsia="Times New Roman" w:hAnsi="Times New Roman" w:cs="Times New Roman"/>
          <w:color w:val="000000"/>
          <w:sz w:val="28"/>
          <w:szCs w:val="28"/>
        </w:rPr>
        <w:t xml:space="preserve">врегулювання порядку </w:t>
      </w:r>
      <w:r w:rsidR="002B5ED3" w:rsidRPr="002B5ED3">
        <w:rPr>
          <w:rFonts w:ascii="Times New Roman" w:eastAsia="Times New Roman" w:hAnsi="Times New Roman" w:cs="Times New Roman"/>
          <w:color w:val="000000"/>
          <w:sz w:val="28"/>
          <w:szCs w:val="28"/>
        </w:rPr>
        <w:t>проведення грошових розрахунків за правочинами щодо цінних паперів та інших фінансових інструментів</w:t>
      </w:r>
      <w:r w:rsidR="004B1ACE" w:rsidRPr="00996711">
        <w:rPr>
          <w:rFonts w:ascii="Times New Roman" w:eastAsia="Times New Roman" w:hAnsi="Times New Roman" w:cs="Times New Roman"/>
          <w:color w:val="000000"/>
          <w:sz w:val="28"/>
          <w:szCs w:val="28"/>
        </w:rPr>
        <w:t xml:space="preserve"> </w:t>
      </w:r>
      <w:r w:rsidR="00246880" w:rsidRPr="00996711">
        <w:rPr>
          <w:rFonts w:ascii="Times New Roman" w:eastAsia="Times New Roman" w:hAnsi="Times New Roman" w:cs="Times New Roman"/>
          <w:sz w:val="28"/>
          <w:szCs w:val="28"/>
          <w:lang w:eastAsia="uk-UA"/>
        </w:rPr>
        <w:t>Правління Національного банку України</w:t>
      </w:r>
      <w:r w:rsidR="00246880" w:rsidRPr="00996711">
        <w:rPr>
          <w:rFonts w:ascii="Times New Roman" w:eastAsia="Times New Roman" w:hAnsi="Times New Roman" w:cs="Times New Roman"/>
          <w:b/>
          <w:sz w:val="28"/>
          <w:szCs w:val="28"/>
          <w:lang w:eastAsia="uk-UA"/>
        </w:rPr>
        <w:t xml:space="preserve"> постановляє:</w:t>
      </w:r>
    </w:p>
    <w:p w:rsidR="00246880" w:rsidRPr="00996711" w:rsidRDefault="00246880" w:rsidP="002B4080">
      <w:pPr>
        <w:spacing w:before="240" w:after="240" w:line="240" w:lineRule="auto"/>
        <w:ind w:firstLine="709"/>
        <w:jc w:val="both"/>
        <w:rPr>
          <w:rFonts w:ascii="Times New Roman" w:eastAsia="Times New Roman" w:hAnsi="Times New Roman" w:cs="Times New Roman"/>
          <w:noProof/>
          <w:color w:val="000000"/>
          <w:sz w:val="28"/>
          <w:szCs w:val="28"/>
        </w:rPr>
      </w:pPr>
      <w:r w:rsidRPr="00996711">
        <w:rPr>
          <w:rFonts w:ascii="Times New Roman" w:eastAsia="Times New Roman" w:hAnsi="Times New Roman" w:cs="Times New Roman"/>
          <w:sz w:val="28"/>
          <w:szCs w:val="28"/>
          <w:lang w:eastAsia="uk-UA"/>
        </w:rPr>
        <w:t>1. </w:t>
      </w:r>
      <w:r w:rsidR="00371C3D" w:rsidRPr="00996711">
        <w:rPr>
          <w:rFonts w:ascii="Times New Roman" w:eastAsia="Times New Roman" w:hAnsi="Times New Roman" w:cs="Times New Roman"/>
          <w:noProof/>
          <w:color w:val="000000"/>
          <w:sz w:val="28"/>
          <w:szCs w:val="28"/>
        </w:rPr>
        <w:t xml:space="preserve">Затвердити </w:t>
      </w:r>
      <w:r w:rsidR="00E60604">
        <w:rPr>
          <w:rFonts w:ascii="Times New Roman" w:hAnsi="Times New Roman"/>
          <w:bCs/>
          <w:sz w:val="28"/>
          <w:szCs w:val="28"/>
        </w:rPr>
        <w:t>Положення про п</w:t>
      </w:r>
      <w:r w:rsidR="00E60604" w:rsidRPr="00996711">
        <w:rPr>
          <w:rFonts w:ascii="Times New Roman" w:hAnsi="Times New Roman"/>
          <w:bCs/>
          <w:sz w:val="28"/>
          <w:szCs w:val="28"/>
        </w:rPr>
        <w:t>оряд</w:t>
      </w:r>
      <w:r w:rsidR="00E60604">
        <w:rPr>
          <w:rFonts w:ascii="Times New Roman" w:hAnsi="Times New Roman"/>
          <w:bCs/>
          <w:sz w:val="28"/>
          <w:szCs w:val="28"/>
        </w:rPr>
        <w:t>о</w:t>
      </w:r>
      <w:r w:rsidR="00E60604" w:rsidRPr="00996711">
        <w:rPr>
          <w:rFonts w:ascii="Times New Roman" w:hAnsi="Times New Roman"/>
          <w:bCs/>
          <w:sz w:val="28"/>
          <w:szCs w:val="28"/>
        </w:rPr>
        <w:t>к</w:t>
      </w:r>
      <w:r w:rsidR="00E60604" w:rsidRPr="00996711">
        <w:t xml:space="preserve"> </w:t>
      </w:r>
      <w:r w:rsidR="00057EBB" w:rsidRPr="00996711">
        <w:rPr>
          <w:rFonts w:ascii="Times New Roman" w:eastAsia="Times New Roman" w:hAnsi="Times New Roman" w:cs="Times New Roman"/>
          <w:noProof/>
          <w:color w:val="000000"/>
          <w:sz w:val="28"/>
          <w:szCs w:val="28"/>
        </w:rPr>
        <w:t>проведення грошових</w:t>
      </w:r>
      <w:r w:rsidR="00461230" w:rsidRPr="00996711">
        <w:rPr>
          <w:rFonts w:ascii="Times New Roman" w:eastAsia="Times New Roman" w:hAnsi="Times New Roman" w:cs="Times New Roman"/>
          <w:noProof/>
          <w:color w:val="000000"/>
          <w:sz w:val="28"/>
          <w:szCs w:val="28"/>
        </w:rPr>
        <w:t xml:space="preserve"> розрахунків за правочинами щодо цінних паперів </w:t>
      </w:r>
      <w:r w:rsidR="00350395" w:rsidRPr="00996711">
        <w:rPr>
          <w:rFonts w:ascii="Times New Roman" w:eastAsia="Times New Roman" w:hAnsi="Times New Roman" w:cs="Times New Roman"/>
          <w:color w:val="000000"/>
          <w:sz w:val="28"/>
          <w:szCs w:val="28"/>
        </w:rPr>
        <w:t>та інших фінансових інструментів</w:t>
      </w:r>
      <w:r w:rsidR="007B663F">
        <w:rPr>
          <w:rFonts w:ascii="Times New Roman" w:eastAsia="Times New Roman" w:hAnsi="Times New Roman" w:cs="Times New Roman"/>
          <w:color w:val="000000"/>
          <w:sz w:val="28"/>
          <w:szCs w:val="28"/>
        </w:rPr>
        <w:t>,</w:t>
      </w:r>
      <w:r w:rsidR="00350395" w:rsidRPr="00996711">
        <w:rPr>
          <w:rFonts w:ascii="Times New Roman" w:eastAsia="Times New Roman" w:hAnsi="Times New Roman" w:cs="Times New Roman"/>
          <w:noProof/>
          <w:color w:val="000000"/>
          <w:sz w:val="28"/>
          <w:szCs w:val="28"/>
        </w:rPr>
        <w:t xml:space="preserve"> </w:t>
      </w:r>
      <w:r w:rsidR="00461230" w:rsidRPr="00996711">
        <w:rPr>
          <w:rFonts w:ascii="Times New Roman" w:eastAsia="Times New Roman" w:hAnsi="Times New Roman" w:cs="Times New Roman"/>
          <w:noProof/>
          <w:color w:val="000000"/>
          <w:sz w:val="28"/>
          <w:szCs w:val="28"/>
        </w:rPr>
        <w:t>укладеними на організованих ринках капіталу та поза організованими ринками капіталу</w:t>
      </w:r>
      <w:r w:rsidR="00726196">
        <w:rPr>
          <w:rFonts w:ascii="Times New Roman" w:eastAsia="Times New Roman" w:hAnsi="Times New Roman" w:cs="Times New Roman"/>
          <w:noProof/>
          <w:color w:val="000000"/>
          <w:sz w:val="28"/>
          <w:szCs w:val="28"/>
        </w:rPr>
        <w:t>,</w:t>
      </w:r>
      <w:r w:rsidR="00461230" w:rsidRPr="00996711">
        <w:rPr>
          <w:rFonts w:ascii="Times New Roman" w:eastAsia="Times New Roman" w:hAnsi="Times New Roman" w:cs="Times New Roman"/>
          <w:noProof/>
          <w:color w:val="000000"/>
          <w:sz w:val="28"/>
          <w:szCs w:val="28"/>
        </w:rPr>
        <w:t xml:space="preserve"> з дотриманням принципу “поставка цінних  паперів проти оплати”</w:t>
      </w:r>
      <w:r w:rsidR="00371C3D" w:rsidRPr="00996711">
        <w:rPr>
          <w:rFonts w:ascii="Times New Roman" w:eastAsia="Times New Roman" w:hAnsi="Times New Roman" w:cs="Times New Roman"/>
          <w:noProof/>
          <w:color w:val="000000"/>
          <w:sz w:val="28"/>
          <w:szCs w:val="28"/>
        </w:rPr>
        <w:t>, що додається</w:t>
      </w:r>
      <w:r w:rsidRPr="00996711">
        <w:rPr>
          <w:rFonts w:ascii="Times New Roman" w:eastAsia="Times New Roman" w:hAnsi="Times New Roman" w:cs="Times New Roman"/>
          <w:noProof/>
          <w:color w:val="000000"/>
          <w:sz w:val="28"/>
          <w:szCs w:val="28"/>
        </w:rPr>
        <w:t>.</w:t>
      </w:r>
    </w:p>
    <w:p w:rsidR="001D1793" w:rsidRPr="00996711" w:rsidRDefault="00645C07" w:rsidP="002B4080">
      <w:pPr>
        <w:spacing w:before="240" w:after="240" w:line="240" w:lineRule="auto"/>
        <w:ind w:firstLine="709"/>
        <w:jc w:val="both"/>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2</w:t>
      </w:r>
      <w:r w:rsidR="001D1793" w:rsidRPr="00996711">
        <w:rPr>
          <w:rFonts w:ascii="Times New Roman" w:eastAsia="Times New Roman" w:hAnsi="Times New Roman" w:cs="Times New Roman"/>
          <w:noProof/>
          <w:color w:val="000000"/>
          <w:sz w:val="28"/>
          <w:szCs w:val="28"/>
        </w:rPr>
        <w:t>. Управлінню корпоративних прав та депозитарної діяльності Національного банку України (Андрій Супрун) після офіційного опублікування довести до відома банків та клієнтів депозитарію Національного банку України інформацію про прийняття цієї постанови.</w:t>
      </w:r>
    </w:p>
    <w:p w:rsidR="00246880" w:rsidRPr="00996711" w:rsidRDefault="00645C07" w:rsidP="002B4080">
      <w:pPr>
        <w:spacing w:before="240" w:after="240" w:line="240" w:lineRule="auto"/>
        <w:ind w:firstLine="709"/>
        <w:jc w:val="both"/>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3</w:t>
      </w:r>
      <w:r w:rsidR="00246880" w:rsidRPr="00996711">
        <w:rPr>
          <w:rFonts w:ascii="Times New Roman" w:eastAsia="Times New Roman" w:hAnsi="Times New Roman" w:cs="Times New Roman"/>
          <w:noProof/>
          <w:color w:val="000000"/>
          <w:sz w:val="28"/>
          <w:szCs w:val="28"/>
        </w:rPr>
        <w:t>. </w:t>
      </w:r>
      <w:r w:rsidR="000669DF" w:rsidRPr="00996711">
        <w:rPr>
          <w:rFonts w:ascii="Times New Roman" w:eastAsia="Times New Roman" w:hAnsi="Times New Roman" w:cs="Times New Roman"/>
          <w:noProof/>
          <w:color w:val="000000"/>
          <w:sz w:val="28"/>
          <w:szCs w:val="28"/>
        </w:rPr>
        <w:t xml:space="preserve">Постанова набирає чинності </w:t>
      </w:r>
      <w:r w:rsidR="00AF0A28">
        <w:rPr>
          <w:rFonts w:ascii="Times New Roman" w:eastAsia="Times New Roman" w:hAnsi="Times New Roman" w:cs="Times New Roman"/>
          <w:noProof/>
          <w:color w:val="000000"/>
          <w:sz w:val="28"/>
          <w:szCs w:val="28"/>
        </w:rPr>
        <w:t>через 30 днів із дня ї</w:t>
      </w:r>
      <w:r w:rsidR="00247BA4" w:rsidRPr="00996711">
        <w:rPr>
          <w:rFonts w:ascii="Times New Roman" w:eastAsia="Times New Roman" w:hAnsi="Times New Roman" w:cs="Times New Roman"/>
          <w:noProof/>
          <w:color w:val="000000"/>
          <w:sz w:val="28"/>
          <w:szCs w:val="28"/>
        </w:rPr>
        <w:t>ї офіційного опублікування</w:t>
      </w:r>
      <w:r w:rsidR="000669DF" w:rsidRPr="00996711">
        <w:rPr>
          <w:rFonts w:ascii="Times New Roman" w:eastAsia="Times New Roman" w:hAnsi="Times New Roman" w:cs="Times New Roman"/>
          <w:noProof/>
          <w:color w:val="000000"/>
          <w:sz w:val="28"/>
          <w:szCs w:val="28"/>
        </w:rPr>
        <w:t>.</w:t>
      </w:r>
    </w:p>
    <w:p w:rsidR="00246880" w:rsidRPr="00996711" w:rsidRDefault="00246880" w:rsidP="002B4080">
      <w:pPr>
        <w:spacing w:before="240" w:after="120" w:line="240" w:lineRule="auto"/>
        <w:ind w:firstLine="709"/>
        <w:contextualSpacing/>
        <w:jc w:val="both"/>
        <w:rPr>
          <w:rFonts w:ascii="Times New Roman" w:eastAsia="Times New Roman" w:hAnsi="Times New Roman" w:cs="Times New Roman"/>
          <w:noProof/>
          <w:color w:val="000000"/>
          <w:sz w:val="28"/>
          <w:szCs w:val="28"/>
        </w:rPr>
      </w:pPr>
    </w:p>
    <w:p w:rsidR="00246880" w:rsidRPr="00996711" w:rsidRDefault="00246880" w:rsidP="002B4080">
      <w:pPr>
        <w:spacing w:after="120" w:line="240" w:lineRule="auto"/>
        <w:jc w:val="both"/>
        <w:rPr>
          <w:rFonts w:ascii="Times New Roman" w:eastAsia="Times New Roman" w:hAnsi="Times New Roman" w:cs="Times New Roman"/>
          <w:sz w:val="28"/>
          <w:szCs w:val="28"/>
          <w:lang w:eastAsia="uk-UA"/>
        </w:rPr>
      </w:pP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246880" w:rsidRPr="00996711" w:rsidTr="00CE476A">
        <w:tc>
          <w:tcPr>
            <w:tcW w:w="5387" w:type="dxa"/>
            <w:vAlign w:val="bottom"/>
          </w:tcPr>
          <w:p w:rsidR="00246880" w:rsidRPr="00996711" w:rsidRDefault="002A1B0F" w:rsidP="002B4080">
            <w:pPr>
              <w:autoSpaceDE w:val="0"/>
              <w:autoSpaceDN w:val="0"/>
              <w:rPr>
                <w:rFonts w:ascii="Times New Roman" w:hAnsi="Times New Roman" w:cs="Times New Roman"/>
                <w:sz w:val="28"/>
                <w:szCs w:val="28"/>
                <w:lang w:eastAsia="uk-UA"/>
              </w:rPr>
            </w:pPr>
            <w:r>
              <w:rPr>
                <w:rFonts w:ascii="Times New Roman" w:hAnsi="Times New Roman" w:cs="Times New Roman"/>
                <w:sz w:val="28"/>
                <w:szCs w:val="28"/>
                <w:lang w:eastAsia="uk-UA"/>
              </w:rPr>
              <w:t xml:space="preserve">В. о. </w:t>
            </w:r>
            <w:r w:rsidR="00247BA4" w:rsidRPr="00996711">
              <w:rPr>
                <w:rFonts w:ascii="Times New Roman" w:hAnsi="Times New Roman" w:cs="Times New Roman"/>
                <w:sz w:val="28"/>
                <w:szCs w:val="28"/>
                <w:lang w:eastAsia="uk-UA"/>
              </w:rPr>
              <w:t>Голов</w:t>
            </w:r>
            <w:r>
              <w:rPr>
                <w:rFonts w:ascii="Times New Roman" w:hAnsi="Times New Roman" w:cs="Times New Roman"/>
                <w:sz w:val="28"/>
                <w:szCs w:val="28"/>
                <w:lang w:eastAsia="uk-UA"/>
              </w:rPr>
              <w:t>и</w:t>
            </w:r>
          </w:p>
        </w:tc>
        <w:tc>
          <w:tcPr>
            <w:tcW w:w="4252" w:type="dxa"/>
            <w:vAlign w:val="bottom"/>
          </w:tcPr>
          <w:p w:rsidR="00246880" w:rsidRPr="00996711" w:rsidRDefault="002A1B0F" w:rsidP="002A1B0F">
            <w:pPr>
              <w:tabs>
                <w:tab w:val="left" w:pos="7020"/>
                <w:tab w:val="left" w:pos="7200"/>
              </w:tabs>
              <w:autoSpaceDE w:val="0"/>
              <w:autoSpaceDN w:val="0"/>
              <w:ind w:left="32"/>
              <w:jc w:val="right"/>
              <w:rPr>
                <w:rFonts w:ascii="Times New Roman" w:hAnsi="Times New Roman" w:cs="Times New Roman"/>
                <w:sz w:val="28"/>
                <w:szCs w:val="28"/>
                <w:lang w:eastAsia="uk-UA"/>
              </w:rPr>
            </w:pPr>
            <w:r>
              <w:rPr>
                <w:rFonts w:ascii="Times New Roman" w:hAnsi="Times New Roman" w:cs="Times New Roman"/>
                <w:sz w:val="28"/>
                <w:szCs w:val="28"/>
                <w:lang w:eastAsia="uk-UA"/>
              </w:rPr>
              <w:t>Юрій</w:t>
            </w:r>
            <w:r w:rsidRPr="00996711">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ГЕЛЕТІЙ</w:t>
            </w:r>
          </w:p>
        </w:tc>
      </w:tr>
    </w:tbl>
    <w:p w:rsidR="00246880" w:rsidRPr="00996711" w:rsidRDefault="00246880" w:rsidP="002B4080">
      <w:pPr>
        <w:spacing w:after="0" w:line="240" w:lineRule="auto"/>
        <w:jc w:val="both"/>
        <w:rPr>
          <w:rFonts w:ascii="Times New Roman" w:eastAsia="Times New Roman" w:hAnsi="Times New Roman" w:cs="Times New Roman"/>
          <w:sz w:val="28"/>
          <w:szCs w:val="28"/>
          <w:lang w:eastAsia="uk-UA"/>
        </w:rPr>
      </w:pPr>
    </w:p>
    <w:p w:rsidR="001A6256" w:rsidRPr="00996711" w:rsidRDefault="001A6256" w:rsidP="002B4080">
      <w:pPr>
        <w:spacing w:after="0" w:line="240" w:lineRule="auto"/>
        <w:jc w:val="both"/>
        <w:rPr>
          <w:rFonts w:ascii="Times New Roman" w:eastAsia="Times New Roman" w:hAnsi="Times New Roman" w:cs="Times New Roman"/>
          <w:sz w:val="28"/>
          <w:szCs w:val="28"/>
          <w:lang w:eastAsia="uk-UA"/>
        </w:rPr>
      </w:pPr>
    </w:p>
    <w:p w:rsidR="00247BA4" w:rsidRPr="00996711" w:rsidRDefault="00246880" w:rsidP="002B4080">
      <w:pPr>
        <w:spacing w:after="0" w:line="240" w:lineRule="auto"/>
        <w:rPr>
          <w:rFonts w:ascii="Times New Roman" w:eastAsia="Times New Roman" w:hAnsi="Times New Roman" w:cs="Times New Roman"/>
          <w:sz w:val="28"/>
          <w:szCs w:val="28"/>
          <w:lang w:eastAsia="uk-UA"/>
        </w:rPr>
      </w:pPr>
      <w:r w:rsidRPr="00996711">
        <w:rPr>
          <w:rFonts w:ascii="Times New Roman" w:eastAsia="Times New Roman" w:hAnsi="Times New Roman" w:cs="Times New Roman"/>
          <w:sz w:val="28"/>
          <w:szCs w:val="28"/>
          <w:lang w:eastAsia="uk-UA"/>
        </w:rPr>
        <w:t>Інд.</w:t>
      </w:r>
      <w:r w:rsidR="00247BA4" w:rsidRPr="00996711">
        <w:rPr>
          <w:rFonts w:ascii="Times New Roman" w:eastAsia="Times New Roman" w:hAnsi="Times New Roman" w:cs="Times New Roman"/>
          <w:sz w:val="28"/>
          <w:szCs w:val="28"/>
          <w:lang w:eastAsia="uk-UA"/>
        </w:rPr>
        <w:t xml:space="preserve"> 42</w:t>
      </w:r>
    </w:p>
    <w:p w:rsidR="00247BA4" w:rsidRPr="00996711" w:rsidRDefault="00247BA4" w:rsidP="002B4080">
      <w:pPr>
        <w:spacing w:after="0" w:line="240" w:lineRule="auto"/>
        <w:rPr>
          <w:rFonts w:ascii="Times New Roman" w:eastAsia="Times New Roman" w:hAnsi="Times New Roman" w:cs="Times New Roman"/>
          <w:sz w:val="28"/>
          <w:szCs w:val="28"/>
          <w:lang w:eastAsia="uk-UA"/>
        </w:rPr>
      </w:pPr>
    </w:p>
    <w:p w:rsidR="007B663F" w:rsidRDefault="00247BA4" w:rsidP="002B4080">
      <w:pPr>
        <w:spacing w:after="0" w:line="240" w:lineRule="auto"/>
        <w:rPr>
          <w:rFonts w:ascii="Times New Roman" w:eastAsia="Times New Roman" w:hAnsi="Times New Roman" w:cs="Times New Roman"/>
          <w:sz w:val="28"/>
          <w:szCs w:val="28"/>
          <w:lang w:eastAsia="uk-UA"/>
        </w:rPr>
        <w:sectPr w:rsidR="007B663F" w:rsidSect="00A17525">
          <w:headerReference w:type="default" r:id="rId10"/>
          <w:headerReference w:type="first" r:id="rId11"/>
          <w:pgSz w:w="11906" w:h="16838" w:code="9"/>
          <w:pgMar w:top="567" w:right="567" w:bottom="1701" w:left="1701" w:header="567" w:footer="709" w:gutter="0"/>
          <w:cols w:space="708"/>
          <w:titlePg/>
          <w:docGrid w:linePitch="360"/>
        </w:sectPr>
      </w:pPr>
      <w:r w:rsidRPr="00996711">
        <w:rPr>
          <w:rFonts w:ascii="Times New Roman" w:eastAsia="Times New Roman" w:hAnsi="Times New Roman" w:cs="Times New Roman"/>
          <w:sz w:val="28"/>
          <w:szCs w:val="28"/>
          <w:lang w:eastAsia="uk-UA"/>
        </w:rPr>
        <w:t>Аркуш погодження додається</w:t>
      </w:r>
      <w:r w:rsidR="00313720">
        <w:rPr>
          <w:rFonts w:ascii="Times New Roman" w:eastAsia="Times New Roman" w:hAnsi="Times New Roman" w:cs="Times New Roman"/>
          <w:sz w:val="28"/>
          <w:szCs w:val="28"/>
          <w:lang w:eastAsia="uk-UA"/>
        </w:rPr>
        <w:t>.</w:t>
      </w:r>
    </w:p>
    <w:p w:rsidR="001A6256" w:rsidRPr="00996711" w:rsidRDefault="001A6256" w:rsidP="002B4080">
      <w:pPr>
        <w:spacing w:after="0" w:line="240" w:lineRule="auto"/>
        <w:ind w:left="5812"/>
        <w:rPr>
          <w:rFonts w:ascii="Times New Roman" w:hAnsi="Times New Roman" w:cs="Times New Roman"/>
          <w:sz w:val="28"/>
          <w:szCs w:val="28"/>
        </w:rPr>
      </w:pPr>
      <w:r w:rsidRPr="00996711">
        <w:rPr>
          <w:rFonts w:ascii="Times New Roman" w:hAnsi="Times New Roman" w:cs="Times New Roman"/>
          <w:sz w:val="28"/>
          <w:szCs w:val="28"/>
        </w:rPr>
        <w:lastRenderedPageBreak/>
        <w:t>ЗАТВЕРДЖЕНО</w:t>
      </w:r>
    </w:p>
    <w:p w:rsidR="001A6256" w:rsidRPr="00996711" w:rsidRDefault="001A6256" w:rsidP="002B4080">
      <w:pPr>
        <w:spacing w:after="0" w:line="240" w:lineRule="auto"/>
        <w:ind w:left="5812"/>
        <w:rPr>
          <w:rFonts w:ascii="Times New Roman" w:hAnsi="Times New Roman" w:cs="Times New Roman"/>
          <w:sz w:val="28"/>
          <w:szCs w:val="28"/>
        </w:rPr>
      </w:pPr>
      <w:r w:rsidRPr="00996711">
        <w:rPr>
          <w:rFonts w:ascii="Times New Roman" w:hAnsi="Times New Roman" w:cs="Times New Roman"/>
          <w:sz w:val="28"/>
          <w:szCs w:val="28"/>
        </w:rPr>
        <w:t>Постанова Правління</w:t>
      </w:r>
    </w:p>
    <w:p w:rsidR="0017636B" w:rsidRDefault="001A6256" w:rsidP="002B4080">
      <w:pPr>
        <w:spacing w:after="0" w:line="240" w:lineRule="auto"/>
        <w:ind w:left="5812"/>
        <w:rPr>
          <w:rFonts w:ascii="Times New Roman" w:hAnsi="Times New Roman" w:cs="Times New Roman"/>
          <w:sz w:val="28"/>
          <w:szCs w:val="28"/>
        </w:rPr>
      </w:pPr>
      <w:r w:rsidRPr="00996711">
        <w:rPr>
          <w:rFonts w:ascii="Times New Roman" w:hAnsi="Times New Roman" w:cs="Times New Roman"/>
          <w:sz w:val="28"/>
          <w:szCs w:val="28"/>
        </w:rPr>
        <w:t>Національного банку України</w:t>
      </w:r>
    </w:p>
    <w:p w:rsidR="001F24C2" w:rsidRPr="00996711" w:rsidRDefault="001F24C2" w:rsidP="002B4080">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02 грудня 2021 року № 130</w:t>
      </w:r>
    </w:p>
    <w:p w:rsidR="00F624A7" w:rsidRDefault="00F624A7" w:rsidP="002B4080">
      <w:pPr>
        <w:jc w:val="center"/>
        <w:rPr>
          <w:rFonts w:ascii="Times New Roman" w:hAnsi="Times New Roman" w:cs="Times New Roman"/>
          <w:sz w:val="28"/>
          <w:szCs w:val="28"/>
        </w:rPr>
      </w:pPr>
    </w:p>
    <w:p w:rsidR="00F624A7" w:rsidRPr="00996711" w:rsidRDefault="00F624A7" w:rsidP="002B4080">
      <w:pPr>
        <w:jc w:val="center"/>
        <w:rPr>
          <w:rFonts w:ascii="Times New Roman" w:hAnsi="Times New Roman" w:cs="Times New Roman"/>
          <w:sz w:val="28"/>
          <w:szCs w:val="28"/>
        </w:rPr>
      </w:pPr>
    </w:p>
    <w:p w:rsidR="002E7084" w:rsidRPr="00996711" w:rsidRDefault="00167BB9" w:rsidP="00853C50">
      <w:pPr>
        <w:spacing w:after="0"/>
        <w:ind w:firstLine="709"/>
        <w:jc w:val="center"/>
        <w:rPr>
          <w:rFonts w:ascii="Times New Roman" w:hAnsi="Times New Roman" w:cs="Times New Roman"/>
          <w:sz w:val="28"/>
          <w:szCs w:val="28"/>
        </w:rPr>
      </w:pPr>
      <w:r w:rsidRPr="00167BB9">
        <w:rPr>
          <w:rFonts w:ascii="Times New Roman" w:hAnsi="Times New Roman" w:cs="Times New Roman"/>
          <w:sz w:val="28"/>
          <w:szCs w:val="28"/>
        </w:rPr>
        <w:t>Положення про п</w:t>
      </w:r>
      <w:r w:rsidR="00F25528" w:rsidRPr="00167BB9">
        <w:rPr>
          <w:rFonts w:ascii="Times New Roman" w:hAnsi="Times New Roman" w:cs="Times New Roman"/>
          <w:sz w:val="28"/>
          <w:szCs w:val="28"/>
        </w:rPr>
        <w:t>орядок</w:t>
      </w:r>
      <w:r w:rsidR="00F25528" w:rsidRPr="00996711">
        <w:rPr>
          <w:rFonts w:ascii="Times New Roman" w:hAnsi="Times New Roman" w:cs="Times New Roman"/>
          <w:sz w:val="28"/>
          <w:szCs w:val="28"/>
        </w:rPr>
        <w:t xml:space="preserve"> </w:t>
      </w:r>
      <w:r w:rsidR="000B77B5" w:rsidRPr="00996711">
        <w:rPr>
          <w:rFonts w:ascii="Times New Roman" w:hAnsi="Times New Roman" w:cs="Times New Roman"/>
          <w:sz w:val="28"/>
          <w:szCs w:val="28"/>
        </w:rPr>
        <w:t>проведення грошових розрахунків</w:t>
      </w:r>
      <w:r w:rsidR="00F25528" w:rsidRPr="00996711">
        <w:rPr>
          <w:rFonts w:ascii="Times New Roman" w:hAnsi="Times New Roman" w:cs="Times New Roman"/>
          <w:sz w:val="28"/>
          <w:szCs w:val="28"/>
        </w:rPr>
        <w:t xml:space="preserve"> за правочинами щодо цінних паперів </w:t>
      </w:r>
      <w:r w:rsidR="00350395" w:rsidRPr="00996711">
        <w:rPr>
          <w:rFonts w:ascii="Times New Roman" w:eastAsia="Times New Roman" w:hAnsi="Times New Roman" w:cs="Times New Roman"/>
          <w:sz w:val="28"/>
          <w:szCs w:val="28"/>
        </w:rPr>
        <w:t>та інших фінансових інструментів</w:t>
      </w:r>
      <w:r w:rsidR="007B663F">
        <w:rPr>
          <w:rFonts w:ascii="Times New Roman" w:eastAsia="Times New Roman" w:hAnsi="Times New Roman" w:cs="Times New Roman"/>
          <w:sz w:val="28"/>
          <w:szCs w:val="28"/>
        </w:rPr>
        <w:t>,</w:t>
      </w:r>
      <w:r w:rsidR="00350395" w:rsidRPr="00996711">
        <w:rPr>
          <w:rFonts w:ascii="Times New Roman" w:hAnsi="Times New Roman" w:cs="Times New Roman"/>
          <w:sz w:val="28"/>
          <w:szCs w:val="28"/>
        </w:rPr>
        <w:t xml:space="preserve"> </w:t>
      </w:r>
      <w:r w:rsidR="00E2167D" w:rsidRPr="00996711">
        <w:rPr>
          <w:rFonts w:ascii="Times New Roman" w:hAnsi="Times New Roman" w:cs="Times New Roman"/>
          <w:sz w:val="28"/>
          <w:szCs w:val="28"/>
        </w:rPr>
        <w:t>укладеними на організованих ринках капіталу та поза організованими ринками капіта</w:t>
      </w:r>
      <w:r w:rsidR="00E2167D" w:rsidRPr="00726196">
        <w:rPr>
          <w:rFonts w:ascii="Times New Roman" w:hAnsi="Times New Roman" w:cs="Times New Roman"/>
          <w:sz w:val="28"/>
          <w:szCs w:val="28"/>
        </w:rPr>
        <w:t>лу</w:t>
      </w:r>
      <w:r w:rsidR="001E3EAC" w:rsidRPr="00726196">
        <w:rPr>
          <w:rFonts w:ascii="Times New Roman" w:hAnsi="Times New Roman" w:cs="Times New Roman"/>
          <w:sz w:val="28"/>
          <w:szCs w:val="28"/>
        </w:rPr>
        <w:t>,</w:t>
      </w:r>
      <w:r w:rsidR="00E2167D" w:rsidRPr="00996711">
        <w:rPr>
          <w:rFonts w:ascii="Times New Roman" w:hAnsi="Times New Roman" w:cs="Times New Roman"/>
          <w:sz w:val="28"/>
          <w:szCs w:val="28"/>
        </w:rPr>
        <w:t xml:space="preserve"> з дотриманням принципу </w:t>
      </w:r>
      <w:r w:rsidR="00750037" w:rsidRPr="00996711">
        <w:rPr>
          <w:rFonts w:ascii="Times New Roman" w:hAnsi="Times New Roman" w:cs="Times New Roman"/>
          <w:sz w:val="28"/>
          <w:szCs w:val="28"/>
        </w:rPr>
        <w:t>“</w:t>
      </w:r>
      <w:r w:rsidR="00E2167D" w:rsidRPr="00996711">
        <w:rPr>
          <w:rFonts w:ascii="Times New Roman" w:hAnsi="Times New Roman" w:cs="Times New Roman"/>
          <w:sz w:val="28"/>
          <w:szCs w:val="28"/>
        </w:rPr>
        <w:t>поставка цінних паперів проти оплати</w:t>
      </w:r>
      <w:r w:rsidR="00750037" w:rsidRPr="00996711">
        <w:rPr>
          <w:rFonts w:ascii="Times New Roman" w:hAnsi="Times New Roman" w:cs="Times New Roman"/>
          <w:sz w:val="28"/>
          <w:szCs w:val="28"/>
        </w:rPr>
        <w:t>”</w:t>
      </w:r>
    </w:p>
    <w:p w:rsidR="00CC40FB" w:rsidRDefault="00CC40FB" w:rsidP="00853C50">
      <w:pPr>
        <w:spacing w:after="0"/>
        <w:ind w:firstLine="709"/>
        <w:jc w:val="center"/>
        <w:rPr>
          <w:rFonts w:ascii="Times New Roman" w:hAnsi="Times New Roman" w:cs="Times New Roman"/>
          <w:sz w:val="28"/>
          <w:szCs w:val="28"/>
        </w:rPr>
      </w:pPr>
    </w:p>
    <w:p w:rsidR="00873BFA" w:rsidRDefault="00CC40FB" w:rsidP="00853C50">
      <w:pPr>
        <w:spacing w:after="0"/>
        <w:ind w:firstLine="709"/>
        <w:jc w:val="center"/>
        <w:rPr>
          <w:rFonts w:ascii="Times New Roman" w:hAnsi="Times New Roman" w:cs="Times New Roman"/>
          <w:sz w:val="28"/>
          <w:szCs w:val="28"/>
        </w:rPr>
      </w:pPr>
      <w:r>
        <w:rPr>
          <w:rFonts w:ascii="Times New Roman" w:hAnsi="Times New Roman" w:cs="Times New Roman"/>
          <w:sz w:val="28"/>
          <w:szCs w:val="28"/>
        </w:rPr>
        <w:t>І</w:t>
      </w:r>
      <w:r w:rsidR="00167BB9">
        <w:rPr>
          <w:rFonts w:ascii="Times New Roman" w:hAnsi="Times New Roman" w:cs="Times New Roman"/>
          <w:sz w:val="28"/>
          <w:szCs w:val="28"/>
        </w:rPr>
        <w:t>. Загальні положення</w:t>
      </w:r>
    </w:p>
    <w:p w:rsidR="000E7C97" w:rsidRPr="00996711" w:rsidRDefault="000E7C97" w:rsidP="00CC7C3D">
      <w:pPr>
        <w:spacing w:after="0"/>
        <w:ind w:firstLine="709"/>
        <w:jc w:val="center"/>
        <w:rPr>
          <w:rFonts w:ascii="Times New Roman" w:hAnsi="Times New Roman" w:cs="Times New Roman"/>
          <w:sz w:val="28"/>
          <w:szCs w:val="28"/>
        </w:rPr>
      </w:pPr>
    </w:p>
    <w:p w:rsidR="00FA79EA" w:rsidRPr="00996711" w:rsidRDefault="004F5C0E"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1. </w:t>
      </w:r>
      <w:r w:rsidR="00167BB9">
        <w:rPr>
          <w:rFonts w:ascii="Times New Roman" w:hAnsi="Times New Roman" w:cs="Times New Roman"/>
          <w:sz w:val="28"/>
          <w:szCs w:val="28"/>
        </w:rPr>
        <w:t>Це</w:t>
      </w:r>
      <w:r w:rsidR="00FA79EA" w:rsidRPr="00996711">
        <w:rPr>
          <w:rFonts w:ascii="Times New Roman" w:hAnsi="Times New Roman" w:cs="Times New Roman"/>
          <w:sz w:val="28"/>
          <w:szCs w:val="28"/>
        </w:rPr>
        <w:t xml:space="preserve"> </w:t>
      </w:r>
      <w:r w:rsidR="00FA79EA" w:rsidRPr="00167BB9">
        <w:rPr>
          <w:rFonts w:ascii="Times New Roman" w:hAnsi="Times New Roman" w:cs="Times New Roman"/>
          <w:sz w:val="28"/>
          <w:szCs w:val="28"/>
        </w:rPr>
        <w:t>По</w:t>
      </w:r>
      <w:r w:rsidR="00167BB9" w:rsidRPr="00167BB9">
        <w:rPr>
          <w:rFonts w:ascii="Times New Roman" w:hAnsi="Times New Roman" w:cs="Times New Roman"/>
          <w:sz w:val="28"/>
          <w:szCs w:val="28"/>
        </w:rPr>
        <w:t>ложення</w:t>
      </w:r>
      <w:r w:rsidR="00FA79EA" w:rsidRPr="00167BB9">
        <w:rPr>
          <w:rFonts w:ascii="Times New Roman" w:hAnsi="Times New Roman" w:cs="Times New Roman"/>
          <w:sz w:val="28"/>
          <w:szCs w:val="28"/>
        </w:rPr>
        <w:t xml:space="preserve"> розроблен</w:t>
      </w:r>
      <w:r w:rsidR="00167BB9" w:rsidRPr="00167BB9">
        <w:rPr>
          <w:rFonts w:ascii="Times New Roman" w:hAnsi="Times New Roman" w:cs="Times New Roman"/>
          <w:sz w:val="28"/>
          <w:szCs w:val="28"/>
        </w:rPr>
        <w:t>е</w:t>
      </w:r>
      <w:r w:rsidR="00FA79EA" w:rsidRPr="00996711">
        <w:rPr>
          <w:rFonts w:ascii="Times New Roman" w:hAnsi="Times New Roman" w:cs="Times New Roman"/>
          <w:sz w:val="28"/>
          <w:szCs w:val="28"/>
        </w:rPr>
        <w:t xml:space="preserve"> відповідно до Законів України </w:t>
      </w:r>
      <w:r w:rsidR="00750037" w:rsidRPr="00996711">
        <w:rPr>
          <w:rFonts w:ascii="Times New Roman" w:hAnsi="Times New Roman" w:cs="Times New Roman"/>
          <w:sz w:val="28"/>
          <w:szCs w:val="28"/>
        </w:rPr>
        <w:t>“</w:t>
      </w:r>
      <w:r w:rsidR="00FA79EA" w:rsidRPr="00996711">
        <w:rPr>
          <w:rFonts w:ascii="Times New Roman" w:hAnsi="Times New Roman" w:cs="Times New Roman"/>
          <w:sz w:val="28"/>
          <w:szCs w:val="28"/>
        </w:rPr>
        <w:t>Про Національний банк України</w:t>
      </w:r>
      <w:r w:rsidR="00750037" w:rsidRPr="00996711">
        <w:rPr>
          <w:rFonts w:ascii="Times New Roman" w:hAnsi="Times New Roman" w:cs="Times New Roman"/>
          <w:sz w:val="28"/>
          <w:szCs w:val="28"/>
        </w:rPr>
        <w:t>”</w:t>
      </w:r>
      <w:r w:rsidR="00FA79EA" w:rsidRPr="00996711">
        <w:rPr>
          <w:rFonts w:ascii="Times New Roman" w:hAnsi="Times New Roman" w:cs="Times New Roman"/>
          <w:sz w:val="28"/>
          <w:szCs w:val="28"/>
        </w:rPr>
        <w:t xml:space="preserve">, </w:t>
      </w:r>
      <w:r w:rsidR="00750037" w:rsidRPr="00996711">
        <w:rPr>
          <w:rFonts w:ascii="Times New Roman" w:hAnsi="Times New Roman" w:cs="Times New Roman"/>
          <w:sz w:val="28"/>
          <w:szCs w:val="28"/>
        </w:rPr>
        <w:t>“</w:t>
      </w:r>
      <w:r w:rsidR="006F0813" w:rsidRPr="00996711">
        <w:rPr>
          <w:rFonts w:ascii="Times New Roman" w:hAnsi="Times New Roman" w:cs="Times New Roman"/>
          <w:sz w:val="28"/>
          <w:szCs w:val="28"/>
        </w:rPr>
        <w:t>Про ринки капіталу та організовані товарні ринки</w:t>
      </w:r>
      <w:r w:rsidR="00750037" w:rsidRPr="00996711">
        <w:rPr>
          <w:rFonts w:ascii="Times New Roman" w:hAnsi="Times New Roman" w:cs="Times New Roman"/>
          <w:sz w:val="28"/>
          <w:szCs w:val="28"/>
        </w:rPr>
        <w:t>”</w:t>
      </w:r>
      <w:r w:rsidR="006F0813" w:rsidRPr="00996711">
        <w:rPr>
          <w:rFonts w:ascii="Times New Roman" w:hAnsi="Times New Roman" w:cs="Times New Roman"/>
          <w:sz w:val="28"/>
          <w:szCs w:val="28"/>
        </w:rPr>
        <w:t xml:space="preserve">, </w:t>
      </w:r>
      <w:r w:rsidR="00750037" w:rsidRPr="00996711">
        <w:rPr>
          <w:rFonts w:ascii="Times New Roman" w:hAnsi="Times New Roman" w:cs="Times New Roman"/>
          <w:sz w:val="28"/>
          <w:szCs w:val="28"/>
        </w:rPr>
        <w:t>“</w:t>
      </w:r>
      <w:r w:rsidR="00FA79EA" w:rsidRPr="00996711">
        <w:rPr>
          <w:rFonts w:ascii="Times New Roman" w:hAnsi="Times New Roman" w:cs="Times New Roman"/>
          <w:sz w:val="28"/>
          <w:szCs w:val="28"/>
        </w:rPr>
        <w:t>Про депозитарну систему України</w:t>
      </w:r>
      <w:r w:rsidR="00750037" w:rsidRPr="00996711">
        <w:rPr>
          <w:rFonts w:ascii="Times New Roman" w:hAnsi="Times New Roman" w:cs="Times New Roman"/>
          <w:sz w:val="28"/>
          <w:szCs w:val="28"/>
        </w:rPr>
        <w:t>”</w:t>
      </w:r>
      <w:r w:rsidR="00FA79EA" w:rsidRPr="00996711">
        <w:rPr>
          <w:rFonts w:ascii="Times New Roman" w:hAnsi="Times New Roman" w:cs="Times New Roman"/>
          <w:sz w:val="28"/>
          <w:szCs w:val="28"/>
        </w:rPr>
        <w:t xml:space="preserve">, </w:t>
      </w:r>
      <w:r w:rsidR="006F0813" w:rsidRPr="00996711">
        <w:rPr>
          <w:rFonts w:ascii="Times New Roman" w:hAnsi="Times New Roman" w:cs="Times New Roman"/>
          <w:sz w:val="28"/>
          <w:szCs w:val="28"/>
        </w:rPr>
        <w:t>і</w:t>
      </w:r>
      <w:r w:rsidR="00FA79EA" w:rsidRPr="00996711">
        <w:rPr>
          <w:rFonts w:ascii="Times New Roman" w:hAnsi="Times New Roman" w:cs="Times New Roman"/>
          <w:sz w:val="28"/>
          <w:szCs w:val="28"/>
        </w:rPr>
        <w:t xml:space="preserve">нших законодавчих актів України та нормативно-правових актів Національного банку України (далі </w:t>
      </w:r>
      <w:r w:rsidR="007B663F">
        <w:rPr>
          <w:rFonts w:ascii="Times New Roman" w:hAnsi="Times New Roman" w:cs="Times New Roman"/>
          <w:sz w:val="28"/>
          <w:szCs w:val="28"/>
        </w:rPr>
        <w:t>−</w:t>
      </w:r>
      <w:r w:rsidR="007B663F" w:rsidRPr="00996711">
        <w:rPr>
          <w:rFonts w:ascii="Times New Roman" w:hAnsi="Times New Roman" w:cs="Times New Roman"/>
          <w:sz w:val="28"/>
          <w:szCs w:val="28"/>
        </w:rPr>
        <w:t xml:space="preserve"> </w:t>
      </w:r>
      <w:r w:rsidR="00FA79EA" w:rsidRPr="00996711">
        <w:rPr>
          <w:rFonts w:ascii="Times New Roman" w:hAnsi="Times New Roman" w:cs="Times New Roman"/>
          <w:sz w:val="28"/>
          <w:szCs w:val="28"/>
        </w:rPr>
        <w:t>Національний банк).</w:t>
      </w:r>
    </w:p>
    <w:p w:rsidR="003B2701" w:rsidRDefault="00531CCE"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Це </w:t>
      </w:r>
      <w:r w:rsidR="000A3F31">
        <w:rPr>
          <w:rFonts w:ascii="Times New Roman" w:hAnsi="Times New Roman" w:cs="Times New Roman"/>
          <w:sz w:val="28"/>
          <w:szCs w:val="28"/>
        </w:rPr>
        <w:t>Положення</w:t>
      </w:r>
      <w:r w:rsidRPr="00996711">
        <w:rPr>
          <w:rFonts w:ascii="Times New Roman" w:hAnsi="Times New Roman" w:cs="Times New Roman"/>
          <w:sz w:val="28"/>
          <w:szCs w:val="28"/>
        </w:rPr>
        <w:t xml:space="preserve"> </w:t>
      </w:r>
      <w:r w:rsidR="00D75F33" w:rsidRPr="00996711">
        <w:rPr>
          <w:rFonts w:ascii="Times New Roman" w:hAnsi="Times New Roman" w:cs="Times New Roman"/>
          <w:sz w:val="28"/>
          <w:szCs w:val="28"/>
        </w:rPr>
        <w:t xml:space="preserve">визначає </w:t>
      </w:r>
      <w:r w:rsidR="00FE1C13" w:rsidRPr="00996711">
        <w:rPr>
          <w:rFonts w:ascii="Times New Roman" w:hAnsi="Times New Roman" w:cs="Times New Roman"/>
          <w:sz w:val="28"/>
          <w:szCs w:val="28"/>
        </w:rPr>
        <w:t xml:space="preserve">дії </w:t>
      </w:r>
      <w:r w:rsidR="00E4561B" w:rsidRPr="00996711">
        <w:rPr>
          <w:rFonts w:ascii="Times New Roman" w:hAnsi="Times New Roman" w:cs="Times New Roman"/>
          <w:sz w:val="28"/>
          <w:szCs w:val="28"/>
        </w:rPr>
        <w:t xml:space="preserve">Національного банку, Центрального депозитарію цінних паперів (далі – Центральний депозитарій), </w:t>
      </w:r>
      <w:r w:rsidR="00415F58" w:rsidRPr="00996711">
        <w:rPr>
          <w:rFonts w:ascii="Times New Roman" w:hAnsi="Times New Roman" w:cs="Times New Roman"/>
          <w:sz w:val="28"/>
          <w:szCs w:val="28"/>
        </w:rPr>
        <w:t xml:space="preserve">їх клієнтів, </w:t>
      </w:r>
      <w:r w:rsidR="00E4561B" w:rsidRPr="00996711">
        <w:rPr>
          <w:rFonts w:ascii="Times New Roman" w:hAnsi="Times New Roman" w:cs="Times New Roman"/>
          <w:sz w:val="28"/>
          <w:szCs w:val="28"/>
        </w:rPr>
        <w:t xml:space="preserve">клірингових установ та банків </w:t>
      </w:r>
      <w:r w:rsidR="00FA79EA" w:rsidRPr="00996711">
        <w:rPr>
          <w:rFonts w:ascii="Times New Roman" w:hAnsi="Times New Roman" w:cs="Times New Roman"/>
          <w:sz w:val="28"/>
          <w:szCs w:val="28"/>
        </w:rPr>
        <w:t>для</w:t>
      </w:r>
      <w:r w:rsidR="00415F58" w:rsidRPr="00996711">
        <w:rPr>
          <w:rFonts w:ascii="Times New Roman" w:hAnsi="Times New Roman" w:cs="Times New Roman"/>
          <w:sz w:val="28"/>
          <w:szCs w:val="28"/>
        </w:rPr>
        <w:t xml:space="preserve"> забезпечення</w:t>
      </w:r>
      <w:r w:rsidR="00FA79EA" w:rsidRPr="00996711">
        <w:rPr>
          <w:rFonts w:ascii="Times New Roman" w:hAnsi="Times New Roman" w:cs="Times New Roman"/>
          <w:sz w:val="28"/>
          <w:szCs w:val="28"/>
        </w:rPr>
        <w:t xml:space="preserve"> </w:t>
      </w:r>
      <w:r w:rsidR="00415F58" w:rsidRPr="00996711">
        <w:rPr>
          <w:rFonts w:ascii="Times New Roman" w:hAnsi="Times New Roman" w:cs="Times New Roman"/>
          <w:sz w:val="28"/>
          <w:szCs w:val="28"/>
        </w:rPr>
        <w:t xml:space="preserve">переказу коштів та/або відображення </w:t>
      </w:r>
      <w:r w:rsidR="00B75129">
        <w:rPr>
          <w:rFonts w:ascii="Times New Roman" w:hAnsi="Times New Roman" w:cs="Times New Roman"/>
          <w:sz w:val="28"/>
          <w:szCs w:val="28"/>
        </w:rPr>
        <w:t>кліринговими установами, Центральним депозитарієм</w:t>
      </w:r>
      <w:r w:rsidR="00596CA0">
        <w:rPr>
          <w:rFonts w:ascii="Times New Roman" w:hAnsi="Times New Roman" w:cs="Times New Roman"/>
          <w:sz w:val="28"/>
          <w:szCs w:val="28"/>
        </w:rPr>
        <w:t xml:space="preserve"> (у разі провадження ним клірингової діяльності з визначення зобов’язань)</w:t>
      </w:r>
      <w:r w:rsidR="00B75129">
        <w:rPr>
          <w:rFonts w:ascii="Times New Roman" w:hAnsi="Times New Roman" w:cs="Times New Roman"/>
          <w:sz w:val="28"/>
          <w:szCs w:val="28"/>
        </w:rPr>
        <w:t xml:space="preserve"> </w:t>
      </w:r>
      <w:r w:rsidR="00415F58" w:rsidRPr="00996711">
        <w:rPr>
          <w:rFonts w:ascii="Times New Roman" w:hAnsi="Times New Roman" w:cs="Times New Roman"/>
          <w:sz w:val="28"/>
          <w:szCs w:val="28"/>
        </w:rPr>
        <w:t xml:space="preserve">у внутрішній системі обліку особи, яка провадить клірингову діяльність (далі – система обліку), зміни обсягу прав та зобов’язань щодо коштів між сторонами правочинів щодо цінних паперів та інших фінансових інструментів з відображенням переходу права вимоги на кошти, </w:t>
      </w:r>
      <w:r w:rsidR="00415F58" w:rsidRPr="000A3F31">
        <w:rPr>
          <w:rFonts w:ascii="Times New Roman" w:hAnsi="Times New Roman" w:cs="Times New Roman"/>
          <w:sz w:val="28"/>
          <w:szCs w:val="28"/>
        </w:rPr>
        <w:t>у тому числі</w:t>
      </w:r>
      <w:r w:rsidR="00415F58" w:rsidRPr="00996711">
        <w:rPr>
          <w:rFonts w:ascii="Times New Roman" w:hAnsi="Times New Roman" w:cs="Times New Roman"/>
          <w:sz w:val="28"/>
          <w:szCs w:val="28"/>
        </w:rPr>
        <w:t xml:space="preserve"> припинення зобов’язань щодо коштів за результатами </w:t>
      </w:r>
      <w:proofErr w:type="spellStart"/>
      <w:r w:rsidR="00415F58" w:rsidRPr="00996711">
        <w:rPr>
          <w:rFonts w:ascii="Times New Roman" w:hAnsi="Times New Roman" w:cs="Times New Roman"/>
          <w:sz w:val="28"/>
          <w:szCs w:val="28"/>
        </w:rPr>
        <w:t>неттінгу</w:t>
      </w:r>
      <w:proofErr w:type="spellEnd"/>
      <w:r w:rsidR="00415F58" w:rsidRPr="00996711">
        <w:rPr>
          <w:rFonts w:ascii="Times New Roman" w:hAnsi="Times New Roman" w:cs="Times New Roman"/>
          <w:sz w:val="28"/>
          <w:szCs w:val="28"/>
        </w:rPr>
        <w:t xml:space="preserve"> </w:t>
      </w:r>
      <w:r w:rsidR="00FA79EA" w:rsidRPr="00996711">
        <w:rPr>
          <w:rFonts w:ascii="Times New Roman" w:hAnsi="Times New Roman" w:cs="Times New Roman"/>
          <w:sz w:val="28"/>
          <w:szCs w:val="28"/>
        </w:rPr>
        <w:t>з</w:t>
      </w:r>
      <w:r w:rsidR="001D632C" w:rsidRPr="00996711">
        <w:rPr>
          <w:rFonts w:ascii="Times New Roman" w:hAnsi="Times New Roman" w:cs="Times New Roman"/>
          <w:sz w:val="28"/>
          <w:szCs w:val="28"/>
        </w:rPr>
        <w:t xml:space="preserve"> метою</w:t>
      </w:r>
      <w:r w:rsidR="00FA79EA" w:rsidRPr="00996711">
        <w:rPr>
          <w:rFonts w:ascii="Times New Roman" w:hAnsi="Times New Roman" w:cs="Times New Roman"/>
          <w:sz w:val="28"/>
          <w:szCs w:val="28"/>
        </w:rPr>
        <w:t xml:space="preserve"> </w:t>
      </w:r>
      <w:r w:rsidR="00C70612" w:rsidRPr="00996711">
        <w:rPr>
          <w:rFonts w:ascii="Times New Roman" w:hAnsi="Times New Roman" w:cs="Times New Roman"/>
          <w:sz w:val="28"/>
          <w:szCs w:val="28"/>
        </w:rPr>
        <w:t xml:space="preserve">здійснення </w:t>
      </w:r>
      <w:r w:rsidR="00091848" w:rsidRPr="00996711">
        <w:rPr>
          <w:rFonts w:ascii="Times New Roman" w:hAnsi="Times New Roman" w:cs="Times New Roman"/>
          <w:sz w:val="28"/>
          <w:szCs w:val="28"/>
        </w:rPr>
        <w:t xml:space="preserve">грошових </w:t>
      </w:r>
      <w:r w:rsidR="00C70612" w:rsidRPr="00996711">
        <w:rPr>
          <w:rFonts w:ascii="Times New Roman" w:hAnsi="Times New Roman" w:cs="Times New Roman"/>
          <w:sz w:val="28"/>
          <w:szCs w:val="28"/>
        </w:rPr>
        <w:t xml:space="preserve">розрахунків за правочинами щодо цінних паперів </w:t>
      </w:r>
      <w:r w:rsidR="00054091" w:rsidRPr="00996711">
        <w:rPr>
          <w:rFonts w:ascii="Times New Roman" w:hAnsi="Times New Roman" w:cs="Times New Roman"/>
          <w:sz w:val="28"/>
          <w:szCs w:val="28"/>
        </w:rPr>
        <w:t xml:space="preserve">та інших фінансових інструментів, </w:t>
      </w:r>
      <w:r w:rsidR="00C70612" w:rsidRPr="00996711">
        <w:rPr>
          <w:rFonts w:ascii="Times New Roman" w:hAnsi="Times New Roman" w:cs="Times New Roman"/>
          <w:sz w:val="28"/>
          <w:szCs w:val="28"/>
        </w:rPr>
        <w:t>укладеними на організованих ринках капіталу та поза організованими ринками капіталу</w:t>
      </w:r>
      <w:r w:rsidR="00726196">
        <w:rPr>
          <w:rFonts w:ascii="Times New Roman" w:hAnsi="Times New Roman" w:cs="Times New Roman"/>
          <w:sz w:val="28"/>
          <w:szCs w:val="28"/>
        </w:rPr>
        <w:t>,</w:t>
      </w:r>
      <w:r w:rsidR="00C70612" w:rsidRPr="00996711">
        <w:rPr>
          <w:rFonts w:ascii="Times New Roman" w:hAnsi="Times New Roman" w:cs="Times New Roman"/>
          <w:sz w:val="28"/>
          <w:szCs w:val="28"/>
        </w:rPr>
        <w:t xml:space="preserve"> з дотриманням принципу </w:t>
      </w:r>
      <w:r w:rsidR="002772E7" w:rsidRPr="00996711">
        <w:rPr>
          <w:rFonts w:ascii="Times New Roman" w:hAnsi="Times New Roman" w:cs="Times New Roman"/>
          <w:sz w:val="28"/>
          <w:szCs w:val="28"/>
        </w:rPr>
        <w:t>“</w:t>
      </w:r>
      <w:r w:rsidR="00C70612" w:rsidRPr="00996711">
        <w:rPr>
          <w:rFonts w:ascii="Times New Roman" w:hAnsi="Times New Roman" w:cs="Times New Roman"/>
          <w:sz w:val="28"/>
          <w:szCs w:val="28"/>
        </w:rPr>
        <w:t>поставка цінних паперів проти оплати</w:t>
      </w:r>
      <w:r w:rsidR="008E3FE0" w:rsidRPr="00996711">
        <w:rPr>
          <w:rFonts w:ascii="Times New Roman" w:hAnsi="Times New Roman" w:cs="Times New Roman"/>
          <w:sz w:val="28"/>
          <w:szCs w:val="28"/>
        </w:rPr>
        <w:t>”.</w:t>
      </w:r>
    </w:p>
    <w:p w:rsidR="00791639" w:rsidRDefault="00791639" w:rsidP="00CC7C3D">
      <w:pPr>
        <w:spacing w:after="0"/>
        <w:ind w:firstLine="709"/>
        <w:jc w:val="both"/>
        <w:rPr>
          <w:rFonts w:ascii="Times New Roman" w:hAnsi="Times New Roman" w:cs="Times New Roman"/>
          <w:sz w:val="28"/>
          <w:szCs w:val="28"/>
        </w:rPr>
      </w:pPr>
    </w:p>
    <w:p w:rsidR="004F5C0E" w:rsidRPr="00996711" w:rsidRDefault="00736CF5"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4F5C0E" w:rsidRPr="00996711">
        <w:rPr>
          <w:rFonts w:ascii="Times New Roman" w:hAnsi="Times New Roman" w:cs="Times New Roman"/>
          <w:sz w:val="28"/>
          <w:szCs w:val="28"/>
        </w:rPr>
        <w:t xml:space="preserve">. </w:t>
      </w:r>
      <w:r w:rsidR="007B663F">
        <w:rPr>
          <w:rFonts w:ascii="Times New Roman" w:hAnsi="Times New Roman" w:cs="Times New Roman"/>
          <w:sz w:val="28"/>
          <w:szCs w:val="28"/>
        </w:rPr>
        <w:t>Т</w:t>
      </w:r>
      <w:r w:rsidR="007B663F" w:rsidRPr="00996711">
        <w:rPr>
          <w:rFonts w:ascii="Times New Roman" w:hAnsi="Times New Roman" w:cs="Times New Roman"/>
          <w:sz w:val="28"/>
          <w:szCs w:val="28"/>
        </w:rPr>
        <w:t>ерміни</w:t>
      </w:r>
      <w:r w:rsidR="007B663F">
        <w:rPr>
          <w:rFonts w:ascii="Times New Roman" w:hAnsi="Times New Roman" w:cs="Times New Roman"/>
          <w:sz w:val="28"/>
          <w:szCs w:val="28"/>
        </w:rPr>
        <w:t xml:space="preserve"> </w:t>
      </w:r>
      <w:r w:rsidR="00313720">
        <w:rPr>
          <w:rFonts w:ascii="Times New Roman" w:hAnsi="Times New Roman" w:cs="Times New Roman"/>
          <w:sz w:val="28"/>
          <w:szCs w:val="28"/>
        </w:rPr>
        <w:t>в</w:t>
      </w:r>
      <w:r w:rsidR="004F5C0E" w:rsidRPr="00996711">
        <w:rPr>
          <w:rFonts w:ascii="Times New Roman" w:hAnsi="Times New Roman" w:cs="Times New Roman"/>
          <w:sz w:val="28"/>
          <w:szCs w:val="28"/>
        </w:rPr>
        <w:t xml:space="preserve"> цьому По</w:t>
      </w:r>
      <w:r w:rsidR="000A3F31">
        <w:rPr>
          <w:rFonts w:ascii="Times New Roman" w:hAnsi="Times New Roman" w:cs="Times New Roman"/>
          <w:sz w:val="28"/>
          <w:szCs w:val="28"/>
        </w:rPr>
        <w:t>ложенні</w:t>
      </w:r>
      <w:r w:rsidR="004F5C0E" w:rsidRPr="00996711">
        <w:rPr>
          <w:rFonts w:ascii="Times New Roman" w:hAnsi="Times New Roman" w:cs="Times New Roman"/>
          <w:sz w:val="28"/>
          <w:szCs w:val="28"/>
        </w:rPr>
        <w:t xml:space="preserve">  вживаються </w:t>
      </w:r>
      <w:r w:rsidR="007B663F">
        <w:rPr>
          <w:rFonts w:ascii="Times New Roman" w:hAnsi="Times New Roman" w:cs="Times New Roman"/>
          <w:sz w:val="28"/>
          <w:szCs w:val="28"/>
        </w:rPr>
        <w:t>в</w:t>
      </w:r>
      <w:r w:rsidR="007B663F" w:rsidRPr="00996711">
        <w:rPr>
          <w:rFonts w:ascii="Times New Roman" w:hAnsi="Times New Roman" w:cs="Times New Roman"/>
          <w:sz w:val="28"/>
          <w:szCs w:val="28"/>
        </w:rPr>
        <w:t xml:space="preserve"> </w:t>
      </w:r>
      <w:r w:rsidR="004F5C0E" w:rsidRPr="00996711">
        <w:rPr>
          <w:rFonts w:ascii="Times New Roman" w:hAnsi="Times New Roman" w:cs="Times New Roman"/>
          <w:sz w:val="28"/>
          <w:szCs w:val="28"/>
        </w:rPr>
        <w:t>такому значенні:</w:t>
      </w:r>
    </w:p>
    <w:p w:rsidR="00331616" w:rsidRPr="00996711" w:rsidRDefault="00331616" w:rsidP="00CC7C3D">
      <w:pPr>
        <w:spacing w:after="0"/>
        <w:ind w:firstLine="709"/>
        <w:jc w:val="both"/>
        <w:rPr>
          <w:rFonts w:ascii="Times New Roman" w:hAnsi="Times New Roman" w:cs="Times New Roman"/>
          <w:sz w:val="28"/>
          <w:szCs w:val="28"/>
        </w:rPr>
      </w:pPr>
    </w:p>
    <w:p w:rsidR="00061799" w:rsidRPr="00996711" w:rsidRDefault="000A3F31"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331616" w:rsidRPr="00996711">
        <w:rPr>
          <w:rFonts w:ascii="Times New Roman" w:hAnsi="Times New Roman" w:cs="Times New Roman"/>
          <w:sz w:val="28"/>
          <w:szCs w:val="28"/>
        </w:rPr>
        <w:t xml:space="preserve">) </w:t>
      </w:r>
      <w:r w:rsidR="00061799" w:rsidRPr="00996711">
        <w:rPr>
          <w:rFonts w:ascii="Times New Roman" w:hAnsi="Times New Roman" w:cs="Times New Roman"/>
          <w:sz w:val="28"/>
          <w:szCs w:val="28"/>
        </w:rPr>
        <w:t xml:space="preserve">ідентифікаційний код </w:t>
      </w:r>
      <w:r w:rsidR="007B663F">
        <w:rPr>
          <w:rFonts w:ascii="Times New Roman" w:hAnsi="Times New Roman" w:cs="Times New Roman"/>
          <w:sz w:val="28"/>
          <w:szCs w:val="28"/>
        </w:rPr>
        <w:t>−</w:t>
      </w:r>
      <w:r w:rsidR="007B663F" w:rsidRPr="00996711">
        <w:rPr>
          <w:rFonts w:ascii="Times New Roman" w:hAnsi="Times New Roman" w:cs="Times New Roman"/>
          <w:sz w:val="28"/>
          <w:szCs w:val="28"/>
        </w:rPr>
        <w:t xml:space="preserve"> </w:t>
      </w:r>
      <w:r w:rsidR="00256900" w:rsidRPr="00996711">
        <w:rPr>
          <w:rFonts w:ascii="Times New Roman" w:hAnsi="Times New Roman" w:cs="Times New Roman"/>
          <w:sz w:val="28"/>
          <w:szCs w:val="28"/>
        </w:rPr>
        <w:t xml:space="preserve">ідентифікаційний код в </w:t>
      </w:r>
      <w:r w:rsidR="00C0225E" w:rsidRPr="00C0225E">
        <w:rPr>
          <w:rFonts w:ascii="Times New Roman" w:hAnsi="Times New Roman" w:cs="Times New Roman"/>
          <w:sz w:val="28"/>
          <w:szCs w:val="28"/>
        </w:rPr>
        <w:t>Єдин</w:t>
      </w:r>
      <w:r w:rsidR="00C0225E">
        <w:rPr>
          <w:rFonts w:ascii="Times New Roman" w:hAnsi="Times New Roman" w:cs="Times New Roman"/>
          <w:sz w:val="28"/>
          <w:szCs w:val="28"/>
        </w:rPr>
        <w:t>ому</w:t>
      </w:r>
      <w:r w:rsidR="00C0225E" w:rsidRPr="00C0225E">
        <w:rPr>
          <w:rFonts w:ascii="Times New Roman" w:hAnsi="Times New Roman" w:cs="Times New Roman"/>
          <w:sz w:val="28"/>
          <w:szCs w:val="28"/>
        </w:rPr>
        <w:t xml:space="preserve"> державн</w:t>
      </w:r>
      <w:r w:rsidR="00C0225E">
        <w:rPr>
          <w:rFonts w:ascii="Times New Roman" w:hAnsi="Times New Roman" w:cs="Times New Roman"/>
          <w:sz w:val="28"/>
          <w:szCs w:val="28"/>
        </w:rPr>
        <w:t>ому</w:t>
      </w:r>
      <w:r w:rsidR="00C0225E" w:rsidRPr="00C0225E">
        <w:rPr>
          <w:rFonts w:ascii="Times New Roman" w:hAnsi="Times New Roman" w:cs="Times New Roman"/>
          <w:sz w:val="28"/>
          <w:szCs w:val="28"/>
        </w:rPr>
        <w:t xml:space="preserve"> реєстр</w:t>
      </w:r>
      <w:r w:rsidR="00C0225E">
        <w:rPr>
          <w:rFonts w:ascii="Times New Roman" w:hAnsi="Times New Roman" w:cs="Times New Roman"/>
          <w:sz w:val="28"/>
          <w:szCs w:val="28"/>
        </w:rPr>
        <w:t>і</w:t>
      </w:r>
      <w:r w:rsidR="00C0225E" w:rsidRPr="00C0225E">
        <w:rPr>
          <w:rFonts w:ascii="Times New Roman" w:hAnsi="Times New Roman" w:cs="Times New Roman"/>
          <w:sz w:val="28"/>
          <w:szCs w:val="28"/>
        </w:rPr>
        <w:t xml:space="preserve"> юридичних осіб, фізичних осіб-підприємців та громадських формувань</w:t>
      </w:r>
      <w:r w:rsidR="00256900" w:rsidRPr="00996711">
        <w:rPr>
          <w:rFonts w:ascii="Times New Roman" w:hAnsi="Times New Roman" w:cs="Times New Roman"/>
          <w:sz w:val="28"/>
          <w:szCs w:val="28"/>
        </w:rPr>
        <w:t>/реєстраційний код нерезидента/</w:t>
      </w:r>
      <w:r w:rsidR="00BA5E2C" w:rsidRPr="00996711">
        <w:rPr>
          <w:rFonts w:ascii="Times New Roman" w:hAnsi="Times New Roman" w:cs="Times New Roman"/>
          <w:sz w:val="28"/>
          <w:szCs w:val="28"/>
        </w:rPr>
        <w:t>реєстраційний (обліковий) номер платника податків нерезидента</w:t>
      </w:r>
      <w:r w:rsidR="00BA5E2C" w:rsidRPr="00996711">
        <w:rPr>
          <w:shd w:val="clear" w:color="auto" w:fill="FFFFFF"/>
        </w:rPr>
        <w:t>/</w:t>
      </w:r>
      <w:r w:rsidR="00256900" w:rsidRPr="00996711">
        <w:rPr>
          <w:rFonts w:ascii="Times New Roman" w:hAnsi="Times New Roman" w:cs="Times New Roman"/>
          <w:sz w:val="28"/>
          <w:szCs w:val="28"/>
        </w:rPr>
        <w:t>реєстраційний номер облікової картки платника податків</w:t>
      </w:r>
      <w:r w:rsidR="00D942E5" w:rsidRPr="00996711">
        <w:rPr>
          <w:rFonts w:ascii="Times New Roman" w:hAnsi="Times New Roman" w:cs="Times New Roman"/>
          <w:sz w:val="28"/>
          <w:szCs w:val="28"/>
        </w:rPr>
        <w:t>;</w:t>
      </w:r>
    </w:p>
    <w:p w:rsidR="00331616" w:rsidRPr="00996711" w:rsidRDefault="00331616" w:rsidP="00CC7C3D">
      <w:pPr>
        <w:spacing w:after="0"/>
        <w:ind w:firstLine="709"/>
        <w:jc w:val="both"/>
        <w:rPr>
          <w:rFonts w:ascii="Times New Roman" w:hAnsi="Times New Roman" w:cs="Times New Roman"/>
          <w:sz w:val="28"/>
          <w:szCs w:val="28"/>
        </w:rPr>
      </w:pPr>
    </w:p>
    <w:p w:rsidR="00C57234" w:rsidRDefault="000A3F31"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331616" w:rsidRPr="00996711">
        <w:rPr>
          <w:rFonts w:ascii="Times New Roman" w:hAnsi="Times New Roman" w:cs="Times New Roman"/>
          <w:sz w:val="28"/>
          <w:szCs w:val="28"/>
        </w:rPr>
        <w:t xml:space="preserve">) </w:t>
      </w:r>
      <w:r w:rsidR="00C91DD4" w:rsidRPr="00996711">
        <w:rPr>
          <w:rFonts w:ascii="Times New Roman" w:hAnsi="Times New Roman" w:cs="Times New Roman"/>
          <w:sz w:val="28"/>
          <w:szCs w:val="28"/>
        </w:rPr>
        <w:t xml:space="preserve">обслуговуючий банк </w:t>
      </w:r>
      <w:r w:rsidR="007B663F">
        <w:rPr>
          <w:rFonts w:ascii="Times New Roman" w:hAnsi="Times New Roman" w:cs="Times New Roman"/>
          <w:sz w:val="28"/>
          <w:szCs w:val="28"/>
        </w:rPr>
        <w:t>−</w:t>
      </w:r>
      <w:r w:rsidR="007B663F" w:rsidRPr="00996711">
        <w:rPr>
          <w:rFonts w:ascii="Times New Roman" w:hAnsi="Times New Roman" w:cs="Times New Roman"/>
          <w:sz w:val="28"/>
          <w:szCs w:val="28"/>
        </w:rPr>
        <w:t xml:space="preserve"> </w:t>
      </w:r>
      <w:r w:rsidR="00C91DD4" w:rsidRPr="00996711">
        <w:rPr>
          <w:rFonts w:ascii="Times New Roman" w:hAnsi="Times New Roman" w:cs="Times New Roman"/>
          <w:sz w:val="28"/>
          <w:szCs w:val="28"/>
        </w:rPr>
        <w:t>банк, що є безпосереднім учасник</w:t>
      </w:r>
      <w:r w:rsidR="00057EBB" w:rsidRPr="00996711">
        <w:rPr>
          <w:rFonts w:ascii="Times New Roman" w:hAnsi="Times New Roman" w:cs="Times New Roman"/>
          <w:sz w:val="28"/>
          <w:szCs w:val="28"/>
        </w:rPr>
        <w:t>о</w:t>
      </w:r>
      <w:r w:rsidR="00C91DD4" w:rsidRPr="00996711">
        <w:rPr>
          <w:rFonts w:ascii="Times New Roman" w:hAnsi="Times New Roman" w:cs="Times New Roman"/>
          <w:sz w:val="28"/>
          <w:szCs w:val="28"/>
        </w:rPr>
        <w:t>м СЕП та нада</w:t>
      </w:r>
      <w:r w:rsidR="00057EBB" w:rsidRPr="00996711">
        <w:rPr>
          <w:rFonts w:ascii="Times New Roman" w:hAnsi="Times New Roman" w:cs="Times New Roman"/>
          <w:sz w:val="28"/>
          <w:szCs w:val="28"/>
        </w:rPr>
        <w:t>є</w:t>
      </w:r>
      <w:r w:rsidR="00C91DD4" w:rsidRPr="00996711">
        <w:rPr>
          <w:rFonts w:ascii="Times New Roman" w:hAnsi="Times New Roman" w:cs="Times New Roman"/>
          <w:sz w:val="28"/>
          <w:szCs w:val="28"/>
        </w:rPr>
        <w:t xml:space="preserve"> розрахункові послуги клієнтам Центрального депозитарію </w:t>
      </w:r>
      <w:r w:rsidR="00C91DD4" w:rsidRPr="00EA4057">
        <w:rPr>
          <w:rFonts w:ascii="Times New Roman" w:hAnsi="Times New Roman" w:cs="Times New Roman"/>
          <w:sz w:val="28"/>
          <w:szCs w:val="28"/>
        </w:rPr>
        <w:t>та/або депозитарію Національного банку та їх депонентам, номінальним утри</w:t>
      </w:r>
      <w:r w:rsidR="00C91DD4" w:rsidRPr="00996711">
        <w:rPr>
          <w:rFonts w:ascii="Times New Roman" w:hAnsi="Times New Roman" w:cs="Times New Roman"/>
          <w:sz w:val="28"/>
          <w:szCs w:val="28"/>
        </w:rPr>
        <w:t>мувачам</w:t>
      </w:r>
      <w:r w:rsidR="00045D4F" w:rsidRPr="00996711">
        <w:rPr>
          <w:rFonts w:ascii="Times New Roman" w:hAnsi="Times New Roman" w:cs="Times New Roman"/>
          <w:sz w:val="28"/>
          <w:szCs w:val="28"/>
        </w:rPr>
        <w:t>,</w:t>
      </w:r>
      <w:r w:rsidR="00C91DD4" w:rsidRPr="00996711">
        <w:rPr>
          <w:rFonts w:ascii="Times New Roman" w:hAnsi="Times New Roman" w:cs="Times New Roman"/>
          <w:sz w:val="28"/>
          <w:szCs w:val="28"/>
        </w:rPr>
        <w:t xml:space="preserve"> а також </w:t>
      </w:r>
      <w:r w:rsidR="00BD0F3F" w:rsidRPr="00996711">
        <w:rPr>
          <w:rFonts w:ascii="Times New Roman" w:hAnsi="Times New Roman" w:cs="Times New Roman"/>
          <w:sz w:val="28"/>
          <w:szCs w:val="28"/>
        </w:rPr>
        <w:t>Національний банк</w:t>
      </w:r>
      <w:r w:rsidR="00C91DD4" w:rsidRPr="00996711">
        <w:rPr>
          <w:rFonts w:ascii="Times New Roman" w:hAnsi="Times New Roman" w:cs="Times New Roman"/>
          <w:sz w:val="28"/>
          <w:szCs w:val="28"/>
        </w:rPr>
        <w:t xml:space="preserve"> та Державна казначейська служба України</w:t>
      </w:r>
      <w:r w:rsidR="00596CA0">
        <w:rPr>
          <w:rFonts w:ascii="Times New Roman" w:hAnsi="Times New Roman" w:cs="Times New Roman"/>
          <w:sz w:val="28"/>
          <w:szCs w:val="28"/>
        </w:rPr>
        <w:t>,</w:t>
      </w:r>
      <w:r w:rsidR="00C91DD4" w:rsidRPr="00996711">
        <w:rPr>
          <w:rFonts w:ascii="Times New Roman" w:hAnsi="Times New Roman" w:cs="Times New Roman"/>
          <w:sz w:val="28"/>
          <w:szCs w:val="28"/>
        </w:rPr>
        <w:t xml:space="preserve"> як</w:t>
      </w:r>
      <w:r w:rsidR="00596CA0">
        <w:rPr>
          <w:rFonts w:ascii="Times New Roman" w:hAnsi="Times New Roman" w:cs="Times New Roman"/>
          <w:sz w:val="28"/>
          <w:szCs w:val="28"/>
        </w:rPr>
        <w:t>і</w:t>
      </w:r>
      <w:r w:rsidR="00C91DD4" w:rsidRPr="00996711">
        <w:rPr>
          <w:rFonts w:ascii="Times New Roman" w:hAnsi="Times New Roman" w:cs="Times New Roman"/>
          <w:sz w:val="28"/>
          <w:szCs w:val="28"/>
        </w:rPr>
        <w:t xml:space="preserve"> </w:t>
      </w:r>
      <w:r w:rsidR="00596CA0" w:rsidRPr="00996711">
        <w:rPr>
          <w:rFonts w:ascii="Times New Roman" w:hAnsi="Times New Roman" w:cs="Times New Roman"/>
          <w:sz w:val="28"/>
          <w:szCs w:val="28"/>
        </w:rPr>
        <w:t>обслуговую</w:t>
      </w:r>
      <w:r w:rsidR="00596CA0">
        <w:rPr>
          <w:rFonts w:ascii="Times New Roman" w:hAnsi="Times New Roman" w:cs="Times New Roman"/>
          <w:sz w:val="28"/>
          <w:szCs w:val="28"/>
        </w:rPr>
        <w:t>ть рахунки</w:t>
      </w:r>
      <w:r w:rsidR="00C91DD4" w:rsidRPr="00996711">
        <w:rPr>
          <w:rFonts w:ascii="Times New Roman" w:hAnsi="Times New Roman" w:cs="Times New Roman"/>
          <w:sz w:val="28"/>
          <w:szCs w:val="28"/>
        </w:rPr>
        <w:t xml:space="preserve"> емітентів;</w:t>
      </w:r>
    </w:p>
    <w:p w:rsidR="000A3F31" w:rsidRPr="00996711" w:rsidRDefault="000A3F31" w:rsidP="00CC7C3D">
      <w:pPr>
        <w:spacing w:after="0"/>
        <w:ind w:firstLine="709"/>
        <w:jc w:val="both"/>
        <w:rPr>
          <w:rFonts w:ascii="Times New Roman" w:hAnsi="Times New Roman" w:cs="Times New Roman"/>
          <w:sz w:val="28"/>
          <w:szCs w:val="28"/>
        </w:rPr>
      </w:pPr>
    </w:p>
    <w:p w:rsidR="000A3F31" w:rsidRPr="00996711" w:rsidRDefault="000A3F31"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996711">
        <w:rPr>
          <w:rFonts w:ascii="Times New Roman" w:hAnsi="Times New Roman" w:cs="Times New Roman"/>
          <w:sz w:val="28"/>
          <w:szCs w:val="28"/>
        </w:rPr>
        <w:t>) одержувач – клієнт Центрального депозитарію, на рахунок у цінних паперах якого переказуються/зараховуються цінні папери;</w:t>
      </w:r>
    </w:p>
    <w:p w:rsidR="00331616" w:rsidRPr="00996711" w:rsidRDefault="00331616" w:rsidP="00CC7C3D">
      <w:pPr>
        <w:spacing w:after="0"/>
        <w:ind w:firstLine="709"/>
        <w:jc w:val="both"/>
        <w:rPr>
          <w:rFonts w:ascii="Times New Roman" w:hAnsi="Times New Roman" w:cs="Times New Roman"/>
          <w:sz w:val="28"/>
          <w:szCs w:val="28"/>
        </w:rPr>
      </w:pPr>
    </w:p>
    <w:p w:rsidR="004F5C0E" w:rsidRDefault="000A3F31"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331616" w:rsidRPr="00996711">
        <w:rPr>
          <w:rFonts w:ascii="Times New Roman" w:hAnsi="Times New Roman" w:cs="Times New Roman"/>
          <w:sz w:val="28"/>
          <w:szCs w:val="28"/>
        </w:rPr>
        <w:t xml:space="preserve">) </w:t>
      </w:r>
      <w:r w:rsidR="00C57234" w:rsidRPr="00996711">
        <w:rPr>
          <w:rFonts w:ascii="Times New Roman" w:hAnsi="Times New Roman" w:cs="Times New Roman"/>
          <w:sz w:val="28"/>
          <w:szCs w:val="28"/>
        </w:rPr>
        <w:t xml:space="preserve">постачальник </w:t>
      </w:r>
      <w:r w:rsidR="00D800DA" w:rsidRPr="00996711">
        <w:rPr>
          <w:rFonts w:ascii="Times New Roman" w:hAnsi="Times New Roman" w:cs="Times New Roman"/>
          <w:sz w:val="28"/>
          <w:szCs w:val="28"/>
        </w:rPr>
        <w:t>–</w:t>
      </w:r>
      <w:r w:rsidR="00C57234" w:rsidRPr="00996711">
        <w:rPr>
          <w:rFonts w:ascii="Times New Roman" w:hAnsi="Times New Roman" w:cs="Times New Roman"/>
          <w:sz w:val="28"/>
          <w:szCs w:val="28"/>
        </w:rPr>
        <w:t xml:space="preserve"> клієнт </w:t>
      </w:r>
      <w:r w:rsidR="002E04CD" w:rsidRPr="00996711">
        <w:rPr>
          <w:rFonts w:ascii="Times New Roman" w:hAnsi="Times New Roman" w:cs="Times New Roman"/>
          <w:sz w:val="28"/>
          <w:szCs w:val="28"/>
        </w:rPr>
        <w:t>Центрального депозитарію</w:t>
      </w:r>
      <w:r w:rsidR="00C57234" w:rsidRPr="00996711">
        <w:rPr>
          <w:rFonts w:ascii="Times New Roman" w:hAnsi="Times New Roman" w:cs="Times New Roman"/>
          <w:sz w:val="28"/>
          <w:szCs w:val="28"/>
        </w:rPr>
        <w:t xml:space="preserve">, </w:t>
      </w:r>
      <w:r w:rsidR="0030405E" w:rsidRPr="00996711">
        <w:rPr>
          <w:rFonts w:ascii="Times New Roman" w:hAnsi="Times New Roman" w:cs="Times New Roman"/>
          <w:sz w:val="28"/>
          <w:szCs w:val="28"/>
        </w:rPr>
        <w:t>з рахунку в цінних паперах якого переказуються/списуються цінні папери</w:t>
      </w:r>
      <w:r w:rsidR="00C57234" w:rsidRPr="00996711">
        <w:rPr>
          <w:rFonts w:ascii="Times New Roman" w:hAnsi="Times New Roman" w:cs="Times New Roman"/>
          <w:sz w:val="28"/>
          <w:szCs w:val="28"/>
        </w:rPr>
        <w:t>;</w:t>
      </w:r>
    </w:p>
    <w:p w:rsidR="000A3F31" w:rsidRPr="00996711" w:rsidRDefault="000A3F31" w:rsidP="00CC7C3D">
      <w:pPr>
        <w:spacing w:after="0"/>
        <w:ind w:firstLine="709"/>
        <w:jc w:val="both"/>
        <w:rPr>
          <w:rFonts w:ascii="Times New Roman" w:hAnsi="Times New Roman" w:cs="Times New Roman"/>
          <w:sz w:val="28"/>
          <w:szCs w:val="28"/>
        </w:rPr>
      </w:pPr>
    </w:p>
    <w:p w:rsidR="000A3F31" w:rsidRPr="00996711" w:rsidRDefault="000A3F31"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996711">
        <w:rPr>
          <w:rFonts w:ascii="Times New Roman" w:hAnsi="Times New Roman" w:cs="Times New Roman"/>
          <w:sz w:val="28"/>
          <w:szCs w:val="28"/>
        </w:rPr>
        <w:t xml:space="preserve">) розрахунки з використанням спеціальних засобів СЕП – спосіб проведення розрахунків за правочинами щодо цінних паперів за принципом “поставка цінних паперів проти оплати”, </w:t>
      </w:r>
      <w:r w:rsidR="007B663F">
        <w:rPr>
          <w:rFonts w:ascii="Times New Roman" w:hAnsi="Times New Roman" w:cs="Times New Roman"/>
          <w:sz w:val="28"/>
          <w:szCs w:val="28"/>
        </w:rPr>
        <w:t>за яким</w:t>
      </w:r>
      <w:r w:rsidRPr="00996711">
        <w:rPr>
          <w:rFonts w:ascii="Times New Roman" w:hAnsi="Times New Roman" w:cs="Times New Roman"/>
          <w:sz w:val="28"/>
          <w:szCs w:val="28"/>
        </w:rPr>
        <w:t xml:space="preserve"> грошові розрахунки </w:t>
      </w:r>
      <w:r w:rsidR="00313720" w:rsidRPr="00996711">
        <w:rPr>
          <w:rFonts w:ascii="Times New Roman" w:hAnsi="Times New Roman" w:cs="Times New Roman"/>
          <w:sz w:val="28"/>
          <w:szCs w:val="28"/>
        </w:rPr>
        <w:t>пров</w:t>
      </w:r>
      <w:r w:rsidR="00313720">
        <w:rPr>
          <w:rFonts w:ascii="Times New Roman" w:hAnsi="Times New Roman" w:cs="Times New Roman"/>
          <w:sz w:val="28"/>
          <w:szCs w:val="28"/>
        </w:rPr>
        <w:t>а</w:t>
      </w:r>
      <w:r w:rsidR="00313720" w:rsidRPr="00996711">
        <w:rPr>
          <w:rFonts w:ascii="Times New Roman" w:hAnsi="Times New Roman" w:cs="Times New Roman"/>
          <w:sz w:val="28"/>
          <w:szCs w:val="28"/>
        </w:rPr>
        <w:t xml:space="preserve">дяться </w:t>
      </w:r>
      <w:r w:rsidRPr="00996711">
        <w:rPr>
          <w:rFonts w:ascii="Times New Roman" w:hAnsi="Times New Roman" w:cs="Times New Roman"/>
          <w:sz w:val="28"/>
          <w:szCs w:val="28"/>
        </w:rPr>
        <w:t>шляхом переказу коштів обслуговуючими банками з використанням спеціальних засобів системи електронних платежів Національного банку (далі – СЕП);</w:t>
      </w:r>
    </w:p>
    <w:p w:rsidR="00331616" w:rsidRPr="00996711" w:rsidRDefault="00331616" w:rsidP="00CC7C3D">
      <w:pPr>
        <w:spacing w:after="0"/>
        <w:ind w:firstLine="709"/>
        <w:jc w:val="both"/>
        <w:rPr>
          <w:rFonts w:ascii="Times New Roman" w:hAnsi="Times New Roman" w:cs="Times New Roman"/>
          <w:sz w:val="28"/>
          <w:szCs w:val="28"/>
        </w:rPr>
      </w:pPr>
    </w:p>
    <w:p w:rsidR="00E01E16" w:rsidRDefault="00331616"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6) </w:t>
      </w:r>
      <w:r w:rsidR="00E01E16" w:rsidRPr="00996711">
        <w:rPr>
          <w:rFonts w:ascii="Times New Roman" w:hAnsi="Times New Roman" w:cs="Times New Roman"/>
          <w:sz w:val="28"/>
          <w:szCs w:val="28"/>
        </w:rPr>
        <w:t xml:space="preserve">спеціальні засоби </w:t>
      </w:r>
      <w:r w:rsidR="004728F5" w:rsidRPr="00996711">
        <w:rPr>
          <w:rFonts w:ascii="Times New Roman" w:hAnsi="Times New Roman" w:cs="Times New Roman"/>
          <w:sz w:val="28"/>
          <w:szCs w:val="28"/>
        </w:rPr>
        <w:t>СЕП</w:t>
      </w:r>
      <w:r w:rsidR="00E01E16" w:rsidRPr="00996711">
        <w:rPr>
          <w:rFonts w:ascii="Times New Roman" w:hAnsi="Times New Roman" w:cs="Times New Roman"/>
          <w:sz w:val="28"/>
          <w:szCs w:val="28"/>
        </w:rPr>
        <w:t xml:space="preserve"> – </w:t>
      </w:r>
      <w:r w:rsidR="00D55D21" w:rsidRPr="00996711">
        <w:rPr>
          <w:rFonts w:ascii="Times New Roman" w:hAnsi="Times New Roman" w:cs="Times New Roman"/>
          <w:sz w:val="28"/>
          <w:szCs w:val="28"/>
        </w:rPr>
        <w:t xml:space="preserve">засоби оформлення та оброблення в </w:t>
      </w:r>
      <w:r w:rsidR="00C91DD4" w:rsidRPr="00996711">
        <w:rPr>
          <w:rFonts w:ascii="Times New Roman" w:hAnsi="Times New Roman" w:cs="Times New Roman"/>
          <w:sz w:val="28"/>
          <w:szCs w:val="28"/>
        </w:rPr>
        <w:t>СЕП</w:t>
      </w:r>
      <w:r w:rsidR="00310B16" w:rsidRPr="00996711">
        <w:rPr>
          <w:rFonts w:ascii="Times New Roman" w:hAnsi="Times New Roman" w:cs="Times New Roman"/>
          <w:sz w:val="28"/>
          <w:szCs w:val="28"/>
        </w:rPr>
        <w:t xml:space="preserve"> </w:t>
      </w:r>
      <w:r w:rsidR="00D55D21" w:rsidRPr="00996711">
        <w:rPr>
          <w:rFonts w:ascii="Times New Roman" w:hAnsi="Times New Roman" w:cs="Times New Roman"/>
          <w:sz w:val="28"/>
          <w:szCs w:val="28"/>
        </w:rPr>
        <w:t xml:space="preserve"> електронних розрахункових документів, що використовуються обслуговуючими банками для здій</w:t>
      </w:r>
      <w:r w:rsidR="00310B16" w:rsidRPr="00996711">
        <w:rPr>
          <w:rFonts w:ascii="Times New Roman" w:hAnsi="Times New Roman" w:cs="Times New Roman"/>
          <w:sz w:val="28"/>
          <w:szCs w:val="28"/>
        </w:rPr>
        <w:t>снення грошових розрахунків за правочинами</w:t>
      </w:r>
      <w:r w:rsidR="00D55D21" w:rsidRPr="00996711">
        <w:rPr>
          <w:rFonts w:ascii="Times New Roman" w:hAnsi="Times New Roman" w:cs="Times New Roman"/>
          <w:sz w:val="28"/>
          <w:szCs w:val="28"/>
        </w:rPr>
        <w:t xml:space="preserve"> щодо </w:t>
      </w:r>
      <w:r w:rsidR="00310B16" w:rsidRPr="00996711">
        <w:rPr>
          <w:rFonts w:ascii="Times New Roman" w:hAnsi="Times New Roman" w:cs="Times New Roman"/>
          <w:sz w:val="28"/>
          <w:szCs w:val="28"/>
        </w:rPr>
        <w:t>цінних паперів</w:t>
      </w:r>
      <w:r w:rsidR="0070368B" w:rsidRPr="00996711">
        <w:rPr>
          <w:rFonts w:ascii="Times New Roman" w:hAnsi="Times New Roman" w:cs="Times New Roman"/>
          <w:sz w:val="28"/>
          <w:szCs w:val="28"/>
        </w:rPr>
        <w:t xml:space="preserve">. Надання обслуговуючим банкам інформації, </w:t>
      </w:r>
      <w:r w:rsidR="00EC7ABE">
        <w:rPr>
          <w:rFonts w:ascii="Times New Roman" w:hAnsi="Times New Roman" w:cs="Times New Roman"/>
          <w:sz w:val="28"/>
          <w:szCs w:val="28"/>
        </w:rPr>
        <w:t>потрібної</w:t>
      </w:r>
      <w:r w:rsidR="00EC7ABE" w:rsidRPr="00996711">
        <w:rPr>
          <w:rFonts w:ascii="Times New Roman" w:hAnsi="Times New Roman" w:cs="Times New Roman"/>
          <w:sz w:val="28"/>
          <w:szCs w:val="28"/>
        </w:rPr>
        <w:t xml:space="preserve"> </w:t>
      </w:r>
      <w:r w:rsidR="0070368B" w:rsidRPr="00996711">
        <w:rPr>
          <w:rFonts w:ascii="Times New Roman" w:hAnsi="Times New Roman" w:cs="Times New Roman"/>
          <w:sz w:val="28"/>
          <w:szCs w:val="28"/>
        </w:rPr>
        <w:t xml:space="preserve">для оброблення в СЕП електронних розрахункових документів, </w:t>
      </w:r>
      <w:r w:rsidR="008F4EF0" w:rsidRPr="00F163AC">
        <w:rPr>
          <w:rFonts w:ascii="Times New Roman" w:hAnsi="Times New Roman" w:cs="Times New Roman"/>
          <w:sz w:val="28"/>
          <w:szCs w:val="28"/>
        </w:rPr>
        <w:t>здійснюється</w:t>
      </w:r>
      <w:r w:rsidR="0070368B" w:rsidRPr="00F163AC">
        <w:rPr>
          <w:rFonts w:ascii="Times New Roman" w:hAnsi="Times New Roman" w:cs="Times New Roman"/>
          <w:sz w:val="28"/>
          <w:szCs w:val="28"/>
        </w:rPr>
        <w:t xml:space="preserve"> депозитарієм Національного банку або Центральним депозитарієм</w:t>
      </w:r>
      <w:r w:rsidRPr="00996711">
        <w:rPr>
          <w:rFonts w:ascii="Times New Roman" w:hAnsi="Times New Roman" w:cs="Times New Roman"/>
          <w:sz w:val="28"/>
          <w:szCs w:val="28"/>
        </w:rPr>
        <w:t>.</w:t>
      </w:r>
      <w:r w:rsidR="00D55D21" w:rsidRPr="00996711">
        <w:rPr>
          <w:rFonts w:ascii="Times New Roman" w:hAnsi="Times New Roman" w:cs="Times New Roman"/>
          <w:sz w:val="28"/>
          <w:szCs w:val="28"/>
        </w:rPr>
        <w:t xml:space="preserve"> </w:t>
      </w:r>
    </w:p>
    <w:p w:rsidR="0007625E" w:rsidRDefault="00821604"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 Інші те</w:t>
      </w:r>
      <w:r w:rsidR="00996BC8">
        <w:rPr>
          <w:rFonts w:ascii="Times New Roman" w:hAnsi="Times New Roman" w:cs="Times New Roman"/>
          <w:sz w:val="28"/>
          <w:szCs w:val="28"/>
        </w:rPr>
        <w:t>рміни, що вживаються в цьому Положенні</w:t>
      </w:r>
      <w:r w:rsidRPr="00996711">
        <w:rPr>
          <w:rFonts w:ascii="Times New Roman" w:hAnsi="Times New Roman" w:cs="Times New Roman"/>
          <w:sz w:val="28"/>
          <w:szCs w:val="28"/>
        </w:rPr>
        <w:t>, використовуються</w:t>
      </w:r>
      <w:r w:rsidR="002E04CD" w:rsidRPr="00996711">
        <w:rPr>
          <w:rFonts w:ascii="Times New Roman" w:hAnsi="Times New Roman" w:cs="Times New Roman"/>
          <w:sz w:val="28"/>
          <w:szCs w:val="28"/>
        </w:rPr>
        <w:t xml:space="preserve"> в значеннях, визначених Законами</w:t>
      </w:r>
      <w:r w:rsidRPr="00996711">
        <w:rPr>
          <w:rFonts w:ascii="Times New Roman" w:hAnsi="Times New Roman" w:cs="Times New Roman"/>
          <w:sz w:val="28"/>
          <w:szCs w:val="28"/>
        </w:rPr>
        <w:t xml:space="preserve"> України </w:t>
      </w:r>
      <w:r w:rsidR="002E04CD" w:rsidRPr="00996711">
        <w:rPr>
          <w:rFonts w:ascii="Times New Roman" w:hAnsi="Times New Roman" w:cs="Times New Roman"/>
          <w:sz w:val="28"/>
          <w:szCs w:val="28"/>
        </w:rPr>
        <w:t>“Про ринки капіталу та організовані товарні ринки”, “Про депозитарну систему України”</w:t>
      </w:r>
      <w:r w:rsidRPr="00996711">
        <w:rPr>
          <w:rFonts w:ascii="Times New Roman" w:hAnsi="Times New Roman" w:cs="Times New Roman"/>
          <w:sz w:val="28"/>
          <w:szCs w:val="28"/>
        </w:rPr>
        <w:t xml:space="preserve">, іншими законодавчими актами </w:t>
      </w:r>
      <w:r w:rsidR="00DE3FD3">
        <w:rPr>
          <w:rFonts w:ascii="Times New Roman" w:hAnsi="Times New Roman" w:cs="Times New Roman"/>
          <w:sz w:val="28"/>
          <w:szCs w:val="28"/>
        </w:rPr>
        <w:t xml:space="preserve">та </w:t>
      </w:r>
      <w:r w:rsidR="00996BC8">
        <w:rPr>
          <w:rFonts w:ascii="Times New Roman" w:hAnsi="Times New Roman" w:cs="Times New Roman"/>
          <w:sz w:val="28"/>
          <w:szCs w:val="28"/>
        </w:rPr>
        <w:t>нормативно-правовими актами</w:t>
      </w:r>
      <w:r w:rsidR="00DE3FD3">
        <w:rPr>
          <w:rFonts w:ascii="Times New Roman" w:hAnsi="Times New Roman" w:cs="Times New Roman"/>
          <w:sz w:val="28"/>
          <w:szCs w:val="28"/>
        </w:rPr>
        <w:t xml:space="preserve"> </w:t>
      </w:r>
      <w:r w:rsidR="00996BC8">
        <w:rPr>
          <w:rFonts w:ascii="Times New Roman" w:hAnsi="Times New Roman" w:cs="Times New Roman"/>
          <w:sz w:val="28"/>
          <w:szCs w:val="28"/>
        </w:rPr>
        <w:t>Н</w:t>
      </w:r>
      <w:r w:rsidR="00DE3FD3">
        <w:rPr>
          <w:rFonts w:ascii="Times New Roman" w:hAnsi="Times New Roman" w:cs="Times New Roman"/>
          <w:sz w:val="28"/>
          <w:szCs w:val="28"/>
        </w:rPr>
        <w:t>аціонального банку</w:t>
      </w:r>
      <w:r w:rsidRPr="00996711">
        <w:rPr>
          <w:rFonts w:ascii="Times New Roman" w:hAnsi="Times New Roman" w:cs="Times New Roman"/>
          <w:sz w:val="28"/>
          <w:szCs w:val="28"/>
        </w:rPr>
        <w:t>.</w:t>
      </w:r>
    </w:p>
    <w:p w:rsidR="00736CF5" w:rsidRDefault="00736CF5" w:rsidP="00CC7C3D">
      <w:pPr>
        <w:spacing w:after="0"/>
        <w:ind w:firstLine="709"/>
        <w:jc w:val="both"/>
        <w:rPr>
          <w:rFonts w:ascii="Times New Roman" w:hAnsi="Times New Roman" w:cs="Times New Roman"/>
          <w:sz w:val="28"/>
          <w:szCs w:val="28"/>
        </w:rPr>
      </w:pPr>
    </w:p>
    <w:p w:rsidR="00736CF5" w:rsidRPr="00996711" w:rsidRDefault="00736CF5"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96711">
        <w:rPr>
          <w:rFonts w:ascii="Times New Roman" w:hAnsi="Times New Roman" w:cs="Times New Roman"/>
          <w:sz w:val="28"/>
          <w:szCs w:val="28"/>
        </w:rPr>
        <w:t>Національний банк забезпечує проведення грошових розрахунків за правочинами щодо цінних паперів</w:t>
      </w:r>
      <w:r w:rsidR="00EC7ABE">
        <w:rPr>
          <w:rFonts w:ascii="Times New Roman" w:hAnsi="Times New Roman" w:cs="Times New Roman"/>
          <w:sz w:val="28"/>
          <w:szCs w:val="28"/>
        </w:rPr>
        <w:t>,</w:t>
      </w:r>
      <w:r w:rsidRPr="00996711">
        <w:rPr>
          <w:rFonts w:ascii="Times New Roman" w:hAnsi="Times New Roman" w:cs="Times New Roman"/>
          <w:sz w:val="28"/>
          <w:szCs w:val="28"/>
        </w:rPr>
        <w:t xml:space="preserve"> </w:t>
      </w:r>
      <w:r w:rsidRPr="00791639">
        <w:rPr>
          <w:rFonts w:ascii="Times New Roman" w:hAnsi="Times New Roman" w:cs="Times New Roman"/>
          <w:sz w:val="28"/>
          <w:szCs w:val="28"/>
        </w:rPr>
        <w:t xml:space="preserve">укладеними на організованих ринках капіталу та поза </w:t>
      </w:r>
      <w:r>
        <w:rPr>
          <w:rFonts w:ascii="Times New Roman" w:hAnsi="Times New Roman" w:cs="Times New Roman"/>
          <w:sz w:val="28"/>
          <w:szCs w:val="28"/>
        </w:rPr>
        <w:t>ними</w:t>
      </w:r>
      <w:r w:rsidR="00726196">
        <w:rPr>
          <w:rFonts w:ascii="Times New Roman" w:hAnsi="Times New Roman" w:cs="Times New Roman"/>
          <w:sz w:val="28"/>
          <w:szCs w:val="28"/>
        </w:rPr>
        <w:t>,</w:t>
      </w:r>
      <w:r w:rsidRPr="00791639">
        <w:rPr>
          <w:rFonts w:ascii="Times New Roman" w:hAnsi="Times New Roman" w:cs="Times New Roman"/>
          <w:sz w:val="28"/>
          <w:szCs w:val="28"/>
        </w:rPr>
        <w:t xml:space="preserve"> з дотриманням принципу “поставка цінних паперів проти оплати”</w:t>
      </w:r>
      <w:r w:rsidRPr="00996711">
        <w:rPr>
          <w:rFonts w:ascii="Times New Roman" w:hAnsi="Times New Roman" w:cs="Times New Roman"/>
          <w:sz w:val="28"/>
          <w:szCs w:val="28"/>
        </w:rPr>
        <w:t xml:space="preserve"> </w:t>
      </w:r>
      <w:r w:rsidR="00EC7ABE">
        <w:rPr>
          <w:rFonts w:ascii="Times New Roman" w:hAnsi="Times New Roman" w:cs="Times New Roman"/>
          <w:sz w:val="28"/>
          <w:szCs w:val="28"/>
        </w:rPr>
        <w:t>у</w:t>
      </w:r>
      <w:r w:rsidR="00EC7ABE" w:rsidRPr="00996711">
        <w:rPr>
          <w:rFonts w:ascii="Times New Roman" w:hAnsi="Times New Roman" w:cs="Times New Roman"/>
          <w:sz w:val="28"/>
          <w:szCs w:val="28"/>
        </w:rPr>
        <w:t xml:space="preserve"> </w:t>
      </w:r>
      <w:r w:rsidRPr="00996711">
        <w:rPr>
          <w:rFonts w:ascii="Times New Roman" w:hAnsi="Times New Roman" w:cs="Times New Roman"/>
          <w:sz w:val="28"/>
          <w:szCs w:val="28"/>
        </w:rPr>
        <w:t xml:space="preserve">порядку, </w:t>
      </w:r>
      <w:r w:rsidR="00EC7ABE">
        <w:rPr>
          <w:rFonts w:ascii="Times New Roman" w:hAnsi="Times New Roman" w:cs="Times New Roman"/>
          <w:sz w:val="28"/>
          <w:szCs w:val="28"/>
        </w:rPr>
        <w:t>у</w:t>
      </w:r>
      <w:r w:rsidR="00EC7ABE" w:rsidRPr="00996711">
        <w:rPr>
          <w:rFonts w:ascii="Times New Roman" w:hAnsi="Times New Roman" w:cs="Times New Roman"/>
          <w:sz w:val="28"/>
          <w:szCs w:val="28"/>
        </w:rPr>
        <w:t xml:space="preserve">становленому </w:t>
      </w:r>
      <w:r w:rsidRPr="00996711">
        <w:rPr>
          <w:rFonts w:ascii="Times New Roman" w:hAnsi="Times New Roman" w:cs="Times New Roman"/>
          <w:sz w:val="28"/>
          <w:szCs w:val="28"/>
        </w:rPr>
        <w:t>нормативно-правовими актами з питань депозитарної та клірингової діяльності Національного банку.</w:t>
      </w:r>
    </w:p>
    <w:p w:rsidR="00736CF5" w:rsidRPr="00996711" w:rsidRDefault="00736CF5" w:rsidP="00CC7C3D">
      <w:pPr>
        <w:spacing w:after="0"/>
        <w:ind w:firstLine="709"/>
        <w:jc w:val="both"/>
        <w:rPr>
          <w:rFonts w:ascii="Times New Roman" w:hAnsi="Times New Roman" w:cs="Times New Roman"/>
          <w:sz w:val="28"/>
          <w:szCs w:val="28"/>
        </w:rPr>
      </w:pPr>
    </w:p>
    <w:p w:rsidR="00331616" w:rsidRPr="00996711" w:rsidRDefault="00932419"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 </w:t>
      </w:r>
      <w:r w:rsidR="00791639">
        <w:rPr>
          <w:rFonts w:ascii="Times New Roman" w:hAnsi="Times New Roman" w:cs="Times New Roman"/>
          <w:sz w:val="28"/>
          <w:szCs w:val="28"/>
        </w:rPr>
        <w:t>4</w:t>
      </w:r>
      <w:r w:rsidR="00C57154" w:rsidRPr="00996711">
        <w:rPr>
          <w:rFonts w:ascii="Times New Roman" w:hAnsi="Times New Roman" w:cs="Times New Roman"/>
          <w:sz w:val="28"/>
          <w:szCs w:val="28"/>
        </w:rPr>
        <w:t xml:space="preserve">. </w:t>
      </w:r>
      <w:r w:rsidR="001D790E" w:rsidRPr="00996711">
        <w:rPr>
          <w:rFonts w:ascii="Times New Roman" w:hAnsi="Times New Roman" w:cs="Times New Roman"/>
          <w:sz w:val="28"/>
          <w:szCs w:val="28"/>
        </w:rPr>
        <w:t xml:space="preserve">Національний банк, Центральний депозитарій </w:t>
      </w:r>
      <w:r w:rsidR="00313720">
        <w:rPr>
          <w:rFonts w:ascii="Times New Roman" w:hAnsi="Times New Roman" w:cs="Times New Roman"/>
          <w:sz w:val="28"/>
          <w:szCs w:val="28"/>
        </w:rPr>
        <w:t>(</w:t>
      </w:r>
      <w:r w:rsidR="001D790E" w:rsidRPr="00996711">
        <w:rPr>
          <w:rFonts w:ascii="Times New Roman" w:hAnsi="Times New Roman" w:cs="Times New Roman"/>
          <w:sz w:val="28"/>
          <w:szCs w:val="28"/>
        </w:rPr>
        <w:t>за умови отримання ним ліцензії на провадження клірингової діяльності з визначення зобов’язань</w:t>
      </w:r>
      <w:r w:rsidR="00313720">
        <w:rPr>
          <w:rFonts w:ascii="Times New Roman" w:hAnsi="Times New Roman" w:cs="Times New Roman"/>
          <w:sz w:val="28"/>
          <w:szCs w:val="28"/>
        </w:rPr>
        <w:t>)</w:t>
      </w:r>
      <w:r w:rsidR="001D790E" w:rsidRPr="00996711">
        <w:rPr>
          <w:rFonts w:ascii="Times New Roman" w:hAnsi="Times New Roman" w:cs="Times New Roman"/>
          <w:sz w:val="28"/>
          <w:szCs w:val="28"/>
        </w:rPr>
        <w:t xml:space="preserve"> </w:t>
      </w:r>
      <w:r w:rsidR="00EC7ABE">
        <w:rPr>
          <w:rFonts w:ascii="Times New Roman" w:hAnsi="Times New Roman" w:cs="Times New Roman"/>
          <w:sz w:val="28"/>
          <w:szCs w:val="28"/>
        </w:rPr>
        <w:t xml:space="preserve">під час </w:t>
      </w:r>
      <w:r w:rsidR="00C0225E">
        <w:rPr>
          <w:rFonts w:ascii="Times New Roman" w:hAnsi="Times New Roman" w:cs="Times New Roman"/>
          <w:sz w:val="28"/>
          <w:szCs w:val="28"/>
        </w:rPr>
        <w:t>провадженн</w:t>
      </w:r>
      <w:r w:rsidR="00EC7ABE">
        <w:rPr>
          <w:rFonts w:ascii="Times New Roman" w:hAnsi="Times New Roman" w:cs="Times New Roman"/>
          <w:sz w:val="28"/>
          <w:szCs w:val="28"/>
        </w:rPr>
        <w:t>я</w:t>
      </w:r>
      <w:r w:rsidR="00C0225E">
        <w:rPr>
          <w:rFonts w:ascii="Times New Roman" w:hAnsi="Times New Roman" w:cs="Times New Roman"/>
          <w:sz w:val="28"/>
          <w:szCs w:val="28"/>
        </w:rPr>
        <w:t xml:space="preserve"> ними клірингової діяльності з визначення зобов’язань </w:t>
      </w:r>
      <w:r w:rsidR="00EC7ABE">
        <w:rPr>
          <w:rFonts w:ascii="Times New Roman" w:hAnsi="Times New Roman" w:cs="Times New Roman"/>
          <w:sz w:val="28"/>
          <w:szCs w:val="28"/>
        </w:rPr>
        <w:t>у</w:t>
      </w:r>
      <w:r w:rsidR="00EC7ABE" w:rsidRPr="00996711">
        <w:rPr>
          <w:rFonts w:ascii="Times New Roman" w:hAnsi="Times New Roman" w:cs="Times New Roman"/>
          <w:sz w:val="28"/>
          <w:szCs w:val="28"/>
        </w:rPr>
        <w:t xml:space="preserve"> </w:t>
      </w:r>
      <w:r w:rsidR="00243CF2" w:rsidRPr="00996711">
        <w:rPr>
          <w:rFonts w:ascii="Times New Roman" w:hAnsi="Times New Roman" w:cs="Times New Roman"/>
          <w:sz w:val="28"/>
          <w:szCs w:val="28"/>
        </w:rPr>
        <w:t>межах</w:t>
      </w:r>
      <w:r w:rsidR="00313720" w:rsidRPr="00313720">
        <w:rPr>
          <w:rFonts w:ascii="Times New Roman" w:hAnsi="Times New Roman" w:cs="Times New Roman"/>
          <w:sz w:val="28"/>
          <w:szCs w:val="28"/>
        </w:rPr>
        <w:t xml:space="preserve"> </w:t>
      </w:r>
      <w:r w:rsidR="00313720" w:rsidRPr="00996711">
        <w:rPr>
          <w:rFonts w:ascii="Times New Roman" w:hAnsi="Times New Roman" w:cs="Times New Roman"/>
          <w:sz w:val="28"/>
          <w:szCs w:val="28"/>
        </w:rPr>
        <w:lastRenderedPageBreak/>
        <w:t>повноважень</w:t>
      </w:r>
      <w:r w:rsidR="00EC7ABE">
        <w:rPr>
          <w:rFonts w:ascii="Times New Roman" w:hAnsi="Times New Roman" w:cs="Times New Roman"/>
          <w:sz w:val="28"/>
          <w:szCs w:val="28"/>
        </w:rPr>
        <w:t>,</w:t>
      </w:r>
      <w:r w:rsidR="00243CF2" w:rsidRPr="00996711">
        <w:rPr>
          <w:rFonts w:ascii="Times New Roman" w:hAnsi="Times New Roman" w:cs="Times New Roman"/>
          <w:sz w:val="28"/>
          <w:szCs w:val="28"/>
        </w:rPr>
        <w:t xml:space="preserve"> визначених для них законодавством України, </w:t>
      </w:r>
      <w:r w:rsidR="00A059D1" w:rsidRPr="00996711">
        <w:rPr>
          <w:rFonts w:ascii="Times New Roman" w:hAnsi="Times New Roman" w:cs="Times New Roman"/>
          <w:sz w:val="28"/>
          <w:szCs w:val="28"/>
        </w:rPr>
        <w:t>а також клірингові установи</w:t>
      </w:r>
      <w:r w:rsidR="00054091" w:rsidRPr="00996711">
        <w:rPr>
          <w:rFonts w:ascii="Times New Roman" w:hAnsi="Times New Roman" w:cs="Times New Roman"/>
          <w:sz w:val="28"/>
          <w:szCs w:val="28"/>
        </w:rPr>
        <w:t xml:space="preserve"> </w:t>
      </w:r>
      <w:r w:rsidR="001D790E" w:rsidRPr="00996711">
        <w:rPr>
          <w:rFonts w:ascii="Times New Roman" w:hAnsi="Times New Roman" w:cs="Times New Roman"/>
          <w:sz w:val="28"/>
          <w:szCs w:val="28"/>
        </w:rPr>
        <w:t>забезпечують здійснення грошових розрахунків за правочинами щодо цінних паперів</w:t>
      </w:r>
      <w:r w:rsidR="00054091" w:rsidRPr="00996711">
        <w:t xml:space="preserve"> </w:t>
      </w:r>
      <w:r w:rsidR="00054091" w:rsidRPr="00996711">
        <w:rPr>
          <w:rFonts w:ascii="Times New Roman" w:hAnsi="Times New Roman" w:cs="Times New Roman"/>
          <w:sz w:val="28"/>
          <w:szCs w:val="28"/>
        </w:rPr>
        <w:t>та інших фінансових інструментів</w:t>
      </w:r>
      <w:r w:rsidR="001D790E" w:rsidRPr="00996711">
        <w:rPr>
          <w:rFonts w:ascii="Times New Roman" w:hAnsi="Times New Roman" w:cs="Times New Roman"/>
          <w:sz w:val="28"/>
          <w:szCs w:val="28"/>
        </w:rPr>
        <w:t>, вчиненими на організованих ринках капіталу та поза ними, за умови проведення розрахунків за принципом “поставка цінних паперів проти оплати”.</w:t>
      </w:r>
    </w:p>
    <w:p w:rsidR="001D790E" w:rsidRPr="00996711" w:rsidRDefault="001D790E" w:rsidP="00CC7C3D">
      <w:pPr>
        <w:spacing w:after="0"/>
        <w:ind w:firstLine="709"/>
        <w:jc w:val="both"/>
        <w:rPr>
          <w:rFonts w:ascii="Times New Roman" w:hAnsi="Times New Roman" w:cs="Times New Roman"/>
          <w:sz w:val="28"/>
          <w:szCs w:val="28"/>
        </w:rPr>
      </w:pPr>
    </w:p>
    <w:p w:rsidR="00A350CB" w:rsidRPr="00C0225E" w:rsidRDefault="00791639" w:rsidP="00CC7C3D">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5</w:t>
      </w:r>
      <w:r w:rsidR="008664BD" w:rsidRPr="00C0225E">
        <w:rPr>
          <w:rFonts w:ascii="Times New Roman" w:hAnsi="Times New Roman" w:cs="Times New Roman"/>
          <w:sz w:val="28"/>
          <w:szCs w:val="28"/>
        </w:rPr>
        <w:t xml:space="preserve">. </w:t>
      </w:r>
      <w:r w:rsidR="006D2BA5" w:rsidRPr="00C0225E">
        <w:rPr>
          <w:rFonts w:ascii="Times New Roman" w:hAnsi="Times New Roman" w:cs="Times New Roman"/>
          <w:sz w:val="28"/>
          <w:szCs w:val="28"/>
        </w:rPr>
        <w:t>Н</w:t>
      </w:r>
      <w:r w:rsidR="00A350CB" w:rsidRPr="00C0225E">
        <w:rPr>
          <w:rFonts w:ascii="Times New Roman" w:hAnsi="Times New Roman" w:cs="Times New Roman"/>
          <w:sz w:val="28"/>
          <w:szCs w:val="28"/>
        </w:rPr>
        <w:t xml:space="preserve">аціональний банк </w:t>
      </w:r>
      <w:r w:rsidR="00A24704">
        <w:rPr>
          <w:rFonts w:ascii="Times New Roman" w:hAnsi="Times New Roman" w:cs="Times New Roman"/>
          <w:sz w:val="28"/>
          <w:szCs w:val="28"/>
        </w:rPr>
        <w:t>і</w:t>
      </w:r>
      <w:r w:rsidR="00A24704" w:rsidRPr="00C0225E">
        <w:rPr>
          <w:rFonts w:ascii="Times New Roman" w:hAnsi="Times New Roman" w:cs="Times New Roman"/>
          <w:sz w:val="28"/>
          <w:szCs w:val="28"/>
        </w:rPr>
        <w:t xml:space="preserve"> </w:t>
      </w:r>
      <w:r w:rsidR="00A350CB" w:rsidRPr="00C0225E">
        <w:rPr>
          <w:rFonts w:ascii="Times New Roman" w:hAnsi="Times New Roman" w:cs="Times New Roman"/>
          <w:sz w:val="28"/>
          <w:szCs w:val="28"/>
        </w:rPr>
        <w:t>Центральний депозитарій забезпечують здійснення грошових розрахунків за правочинами щодо цінних паперів</w:t>
      </w:r>
      <w:r w:rsidR="00282410" w:rsidRPr="00C0225E">
        <w:t xml:space="preserve"> </w:t>
      </w:r>
      <w:r w:rsidR="00282410" w:rsidRPr="00C0225E">
        <w:rPr>
          <w:rFonts w:ascii="Times New Roman" w:hAnsi="Times New Roman" w:cs="Times New Roman"/>
          <w:sz w:val="28"/>
          <w:szCs w:val="28"/>
        </w:rPr>
        <w:t>за умови проведення розрахунків за принципом “поставка цінних паперів проти оплати”</w:t>
      </w:r>
      <w:r w:rsidR="00A350CB" w:rsidRPr="00C0225E">
        <w:rPr>
          <w:rFonts w:ascii="Times New Roman" w:hAnsi="Times New Roman" w:cs="Times New Roman"/>
          <w:sz w:val="28"/>
          <w:szCs w:val="28"/>
        </w:rPr>
        <w:t xml:space="preserve"> з використанням спеціальних засобів СЕП</w:t>
      </w:r>
      <w:r w:rsidR="00C0225E">
        <w:rPr>
          <w:rFonts w:ascii="Times New Roman" w:hAnsi="Times New Roman" w:cs="Times New Roman"/>
          <w:sz w:val="28"/>
          <w:szCs w:val="28"/>
        </w:rPr>
        <w:t xml:space="preserve">, якщо такі </w:t>
      </w:r>
      <w:r w:rsidR="00282410" w:rsidRPr="00C0225E">
        <w:rPr>
          <w:rFonts w:ascii="Times New Roman" w:hAnsi="Times New Roman" w:cs="Times New Roman"/>
          <w:sz w:val="28"/>
          <w:szCs w:val="28"/>
        </w:rPr>
        <w:t>п</w:t>
      </w:r>
      <w:r w:rsidR="00A350CB" w:rsidRPr="00C0225E">
        <w:rPr>
          <w:rFonts w:ascii="Times New Roman" w:hAnsi="Times New Roman" w:cs="Times New Roman"/>
          <w:sz w:val="28"/>
          <w:szCs w:val="28"/>
        </w:rPr>
        <w:t>равочини вчинені поза організованим ринком капіталу</w:t>
      </w:r>
      <w:r w:rsidR="001E69D5">
        <w:rPr>
          <w:rFonts w:ascii="Times New Roman" w:hAnsi="Times New Roman" w:cs="Times New Roman"/>
          <w:sz w:val="28"/>
          <w:szCs w:val="28"/>
        </w:rPr>
        <w:t xml:space="preserve"> </w:t>
      </w:r>
      <w:r w:rsidR="00C0225E" w:rsidRPr="00C0225E">
        <w:rPr>
          <w:rFonts w:ascii="Times New Roman" w:hAnsi="Times New Roman" w:cs="Times New Roman"/>
          <w:sz w:val="28"/>
          <w:szCs w:val="28"/>
        </w:rPr>
        <w:t xml:space="preserve">та </w:t>
      </w:r>
      <w:r w:rsidR="00282410" w:rsidRPr="00C0225E">
        <w:rPr>
          <w:rFonts w:ascii="Times New Roman" w:hAnsi="Times New Roman" w:cs="Times New Roman"/>
          <w:sz w:val="28"/>
          <w:szCs w:val="28"/>
        </w:rPr>
        <w:t>р</w:t>
      </w:r>
      <w:r w:rsidR="00A350CB" w:rsidRPr="00C0225E">
        <w:rPr>
          <w:rFonts w:ascii="Times New Roman" w:hAnsi="Times New Roman" w:cs="Times New Roman"/>
          <w:sz w:val="28"/>
          <w:szCs w:val="28"/>
        </w:rPr>
        <w:t xml:space="preserve">озрахунки за </w:t>
      </w:r>
      <w:r w:rsidR="00C0225E">
        <w:rPr>
          <w:rFonts w:ascii="Times New Roman" w:hAnsi="Times New Roman" w:cs="Times New Roman"/>
          <w:sz w:val="28"/>
          <w:szCs w:val="28"/>
        </w:rPr>
        <w:t>ними</w:t>
      </w:r>
      <w:r w:rsidR="00C0225E" w:rsidRPr="00C0225E">
        <w:rPr>
          <w:rFonts w:ascii="Times New Roman" w:hAnsi="Times New Roman" w:cs="Times New Roman"/>
          <w:sz w:val="28"/>
          <w:szCs w:val="28"/>
        </w:rPr>
        <w:t xml:space="preserve"> </w:t>
      </w:r>
      <w:r w:rsidR="00A350CB" w:rsidRPr="00C0225E">
        <w:rPr>
          <w:rFonts w:ascii="Times New Roman" w:hAnsi="Times New Roman" w:cs="Times New Roman"/>
          <w:sz w:val="28"/>
          <w:szCs w:val="28"/>
        </w:rPr>
        <w:t>проводяться/забезпечуються в режимі одиночних розрахунків.</w:t>
      </w:r>
    </w:p>
    <w:p w:rsidR="00996BC8" w:rsidRPr="00C0225E" w:rsidRDefault="00996BC8" w:rsidP="00CC7C3D">
      <w:pPr>
        <w:pStyle w:val="a3"/>
        <w:spacing w:after="0"/>
        <w:ind w:left="0" w:firstLine="709"/>
        <w:rPr>
          <w:rFonts w:ascii="Times New Roman" w:hAnsi="Times New Roman" w:cs="Times New Roman"/>
          <w:sz w:val="28"/>
          <w:szCs w:val="28"/>
        </w:rPr>
      </w:pPr>
    </w:p>
    <w:p w:rsidR="00F70B30" w:rsidRPr="00C0225E" w:rsidRDefault="00791639" w:rsidP="00CC7C3D">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6</w:t>
      </w:r>
      <w:r w:rsidR="00996BC8" w:rsidRPr="00C0225E">
        <w:rPr>
          <w:rFonts w:ascii="Times New Roman" w:hAnsi="Times New Roman" w:cs="Times New Roman"/>
          <w:sz w:val="28"/>
          <w:szCs w:val="28"/>
        </w:rPr>
        <w:t xml:space="preserve">. </w:t>
      </w:r>
      <w:r w:rsidR="00282410" w:rsidRPr="00C0225E">
        <w:rPr>
          <w:rFonts w:ascii="Times New Roman" w:hAnsi="Times New Roman" w:cs="Times New Roman"/>
          <w:sz w:val="28"/>
          <w:szCs w:val="28"/>
        </w:rPr>
        <w:t xml:space="preserve">Національний банк </w:t>
      </w:r>
      <w:r w:rsidR="00A24704">
        <w:rPr>
          <w:rFonts w:ascii="Times New Roman" w:hAnsi="Times New Roman" w:cs="Times New Roman"/>
          <w:sz w:val="28"/>
          <w:szCs w:val="28"/>
        </w:rPr>
        <w:t>і</w:t>
      </w:r>
      <w:r w:rsidR="00A24704" w:rsidRPr="00C0225E">
        <w:rPr>
          <w:rFonts w:ascii="Times New Roman" w:hAnsi="Times New Roman" w:cs="Times New Roman"/>
          <w:sz w:val="28"/>
          <w:szCs w:val="28"/>
        </w:rPr>
        <w:t xml:space="preserve"> </w:t>
      </w:r>
      <w:r w:rsidR="00282410" w:rsidRPr="00C0225E">
        <w:rPr>
          <w:rFonts w:ascii="Times New Roman" w:hAnsi="Times New Roman" w:cs="Times New Roman"/>
          <w:sz w:val="28"/>
          <w:szCs w:val="28"/>
        </w:rPr>
        <w:t>Центральний депозитарій забезпечують здійснення грошових розрахунків за правочинами щодо цінних паперів</w:t>
      </w:r>
      <w:r w:rsidR="00282410" w:rsidRPr="00C0225E">
        <w:t xml:space="preserve"> </w:t>
      </w:r>
      <w:r w:rsidR="00282410" w:rsidRPr="00C0225E">
        <w:rPr>
          <w:rFonts w:ascii="Times New Roman" w:hAnsi="Times New Roman" w:cs="Times New Roman"/>
          <w:sz w:val="28"/>
          <w:szCs w:val="28"/>
        </w:rPr>
        <w:t>за умови проведення розрахунків за принципом “поставка цінних паперів проти оплати”</w:t>
      </w:r>
      <w:r w:rsidR="00F70B30" w:rsidRPr="00C0225E">
        <w:rPr>
          <w:rFonts w:ascii="Times New Roman" w:hAnsi="Times New Roman" w:cs="Times New Roman"/>
          <w:sz w:val="28"/>
          <w:szCs w:val="28"/>
        </w:rPr>
        <w:t xml:space="preserve"> шляхом відображення </w:t>
      </w:r>
      <w:r w:rsidR="00A24704" w:rsidRPr="00B015A2">
        <w:rPr>
          <w:rFonts w:ascii="Times New Roman" w:hAnsi="Times New Roman" w:cs="Times New Roman"/>
          <w:sz w:val="28"/>
          <w:szCs w:val="28"/>
        </w:rPr>
        <w:t xml:space="preserve">в </w:t>
      </w:r>
      <w:r w:rsidR="00F70B30" w:rsidRPr="00B015A2">
        <w:rPr>
          <w:rFonts w:ascii="Times New Roman" w:hAnsi="Times New Roman" w:cs="Times New Roman"/>
          <w:sz w:val="28"/>
          <w:szCs w:val="28"/>
        </w:rPr>
        <w:t>системі облік</w:t>
      </w:r>
      <w:r w:rsidR="00F70B30" w:rsidRPr="00C0225E">
        <w:rPr>
          <w:rFonts w:ascii="Times New Roman" w:hAnsi="Times New Roman" w:cs="Times New Roman"/>
          <w:sz w:val="28"/>
          <w:szCs w:val="28"/>
        </w:rPr>
        <w:t xml:space="preserve">у зміни обсягу прав та зобов’язань щодо коштів між сторонами правочинів щодо цінних паперів </w:t>
      </w:r>
      <w:r w:rsidR="00A24704">
        <w:rPr>
          <w:rFonts w:ascii="Times New Roman" w:hAnsi="Times New Roman" w:cs="Times New Roman"/>
          <w:sz w:val="28"/>
          <w:szCs w:val="28"/>
        </w:rPr>
        <w:t>і</w:t>
      </w:r>
      <w:r w:rsidR="00F70B30" w:rsidRPr="00C0225E">
        <w:rPr>
          <w:rFonts w:ascii="Times New Roman" w:hAnsi="Times New Roman" w:cs="Times New Roman"/>
          <w:sz w:val="28"/>
          <w:szCs w:val="28"/>
        </w:rPr>
        <w:t xml:space="preserve">з відображенням переходу права вимоги на кошти, у тому числі припинення зобов’язань щодо коштів за результатами </w:t>
      </w:r>
      <w:proofErr w:type="spellStart"/>
      <w:r w:rsidR="00F70B30" w:rsidRPr="00C0225E">
        <w:rPr>
          <w:rFonts w:ascii="Times New Roman" w:hAnsi="Times New Roman" w:cs="Times New Roman"/>
          <w:sz w:val="28"/>
          <w:szCs w:val="28"/>
        </w:rPr>
        <w:t>неттінгу</w:t>
      </w:r>
      <w:proofErr w:type="spellEnd"/>
      <w:r w:rsidR="001E69D5">
        <w:rPr>
          <w:rFonts w:ascii="Times New Roman" w:hAnsi="Times New Roman" w:cs="Times New Roman"/>
          <w:sz w:val="28"/>
          <w:szCs w:val="28"/>
        </w:rPr>
        <w:t xml:space="preserve">, якщо такі </w:t>
      </w:r>
      <w:r w:rsidR="00F70B30" w:rsidRPr="001E69D5">
        <w:rPr>
          <w:rFonts w:ascii="Times New Roman" w:hAnsi="Times New Roman" w:cs="Times New Roman"/>
          <w:sz w:val="28"/>
          <w:szCs w:val="28"/>
        </w:rPr>
        <w:t>правочини вчинені на організованому ринку капіталу чи поза ним</w:t>
      </w:r>
      <w:r w:rsidR="001E69D5" w:rsidRPr="001E69D5">
        <w:rPr>
          <w:rFonts w:ascii="Times New Roman" w:hAnsi="Times New Roman" w:cs="Times New Roman"/>
          <w:sz w:val="28"/>
          <w:szCs w:val="28"/>
        </w:rPr>
        <w:t xml:space="preserve"> та </w:t>
      </w:r>
      <w:r w:rsidR="00F70B30" w:rsidRPr="00C0225E">
        <w:rPr>
          <w:rFonts w:ascii="Times New Roman" w:hAnsi="Times New Roman" w:cs="Times New Roman"/>
          <w:sz w:val="28"/>
          <w:szCs w:val="28"/>
        </w:rPr>
        <w:t xml:space="preserve">розрахунки за </w:t>
      </w:r>
      <w:r w:rsidR="001E69D5">
        <w:rPr>
          <w:rFonts w:ascii="Times New Roman" w:hAnsi="Times New Roman" w:cs="Times New Roman"/>
          <w:sz w:val="28"/>
          <w:szCs w:val="28"/>
        </w:rPr>
        <w:t>ними</w:t>
      </w:r>
      <w:r w:rsidR="00F70B30" w:rsidRPr="00C0225E">
        <w:rPr>
          <w:rFonts w:ascii="Times New Roman" w:hAnsi="Times New Roman" w:cs="Times New Roman"/>
          <w:sz w:val="28"/>
          <w:szCs w:val="28"/>
        </w:rPr>
        <w:t xml:space="preserve"> проводяться/забезпечуються в режимі одиночних розрахунків</w:t>
      </w:r>
      <w:r w:rsidR="001D627A" w:rsidRPr="00C0225E">
        <w:rPr>
          <w:rFonts w:ascii="Times New Roman" w:hAnsi="Times New Roman" w:cs="Times New Roman"/>
          <w:sz w:val="28"/>
          <w:szCs w:val="28"/>
        </w:rPr>
        <w:t xml:space="preserve"> або з проведенням </w:t>
      </w:r>
      <w:proofErr w:type="spellStart"/>
      <w:r w:rsidR="001D627A" w:rsidRPr="00DC537C">
        <w:rPr>
          <w:rFonts w:ascii="Times New Roman" w:hAnsi="Times New Roman" w:cs="Times New Roman"/>
          <w:sz w:val="28"/>
          <w:szCs w:val="28"/>
        </w:rPr>
        <w:t>неттінгу</w:t>
      </w:r>
      <w:proofErr w:type="spellEnd"/>
      <w:r w:rsidR="00F70B30" w:rsidRPr="00C0225E">
        <w:rPr>
          <w:rFonts w:ascii="Times New Roman" w:hAnsi="Times New Roman" w:cs="Times New Roman"/>
          <w:sz w:val="28"/>
          <w:szCs w:val="28"/>
        </w:rPr>
        <w:t>.</w:t>
      </w:r>
    </w:p>
    <w:p w:rsidR="00331616" w:rsidRPr="00996711" w:rsidRDefault="00331616" w:rsidP="00CC7C3D">
      <w:pPr>
        <w:pStyle w:val="a3"/>
        <w:spacing w:after="0"/>
        <w:ind w:left="0" w:firstLine="709"/>
        <w:rPr>
          <w:rFonts w:ascii="Times New Roman" w:hAnsi="Times New Roman" w:cs="Times New Roman"/>
          <w:sz w:val="28"/>
          <w:szCs w:val="28"/>
        </w:rPr>
      </w:pPr>
    </w:p>
    <w:p w:rsidR="00A92818" w:rsidRPr="00996711" w:rsidRDefault="00791639"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996BC8">
        <w:rPr>
          <w:rFonts w:ascii="Times New Roman" w:hAnsi="Times New Roman" w:cs="Times New Roman"/>
          <w:sz w:val="28"/>
          <w:szCs w:val="28"/>
        </w:rPr>
        <w:t>.</w:t>
      </w:r>
      <w:r w:rsidR="00C57154" w:rsidRPr="00996711">
        <w:rPr>
          <w:rFonts w:ascii="Times New Roman" w:hAnsi="Times New Roman" w:cs="Times New Roman"/>
          <w:sz w:val="28"/>
          <w:szCs w:val="28"/>
        </w:rPr>
        <w:t xml:space="preserve"> </w:t>
      </w:r>
      <w:r w:rsidR="00A92818" w:rsidRPr="00996711">
        <w:rPr>
          <w:rFonts w:ascii="Times New Roman" w:hAnsi="Times New Roman" w:cs="Times New Roman"/>
          <w:sz w:val="28"/>
          <w:szCs w:val="28"/>
        </w:rPr>
        <w:t>Клірингові установи забезпечують здійснення грошових розрахунків за правочинами щодо цінних паперів</w:t>
      </w:r>
      <w:r w:rsidR="00DC4711" w:rsidRPr="00996711">
        <w:rPr>
          <w:rFonts w:ascii="Times New Roman" w:hAnsi="Times New Roman" w:cs="Times New Roman"/>
          <w:sz w:val="28"/>
          <w:szCs w:val="28"/>
        </w:rPr>
        <w:t xml:space="preserve"> та інших фінансових інструментів</w:t>
      </w:r>
      <w:r w:rsidR="00A92818" w:rsidRPr="00996711">
        <w:rPr>
          <w:rFonts w:ascii="Times New Roman" w:hAnsi="Times New Roman" w:cs="Times New Roman"/>
          <w:sz w:val="28"/>
          <w:szCs w:val="28"/>
        </w:rPr>
        <w:t xml:space="preserve">, вчиненими на організованих ринках капіталу та поза ними за умови проведення розрахунків за принципом </w:t>
      </w:r>
      <w:r w:rsidR="00750037" w:rsidRPr="00996711">
        <w:rPr>
          <w:rFonts w:ascii="Times New Roman" w:hAnsi="Times New Roman" w:cs="Times New Roman"/>
          <w:sz w:val="28"/>
          <w:szCs w:val="28"/>
        </w:rPr>
        <w:t>“</w:t>
      </w:r>
      <w:r w:rsidR="00A92818" w:rsidRPr="00996711">
        <w:rPr>
          <w:rFonts w:ascii="Times New Roman" w:hAnsi="Times New Roman" w:cs="Times New Roman"/>
          <w:sz w:val="28"/>
          <w:szCs w:val="28"/>
        </w:rPr>
        <w:t>поставка цінних паперів проти оплати</w:t>
      </w:r>
      <w:r w:rsidR="00750037" w:rsidRPr="00996711">
        <w:rPr>
          <w:rFonts w:ascii="Times New Roman" w:hAnsi="Times New Roman" w:cs="Times New Roman"/>
          <w:sz w:val="28"/>
          <w:szCs w:val="28"/>
        </w:rPr>
        <w:t>”</w:t>
      </w:r>
      <w:r w:rsidR="00A92818" w:rsidRPr="00996711">
        <w:rPr>
          <w:rFonts w:ascii="Times New Roman" w:hAnsi="Times New Roman" w:cs="Times New Roman"/>
          <w:sz w:val="28"/>
          <w:szCs w:val="28"/>
        </w:rPr>
        <w:t xml:space="preserve"> шляхом відображення </w:t>
      </w:r>
      <w:r w:rsidR="00A24704">
        <w:rPr>
          <w:rFonts w:ascii="Times New Roman" w:hAnsi="Times New Roman" w:cs="Times New Roman"/>
          <w:sz w:val="28"/>
          <w:szCs w:val="28"/>
        </w:rPr>
        <w:t>в</w:t>
      </w:r>
      <w:r w:rsidR="00A24704" w:rsidRPr="00996711">
        <w:rPr>
          <w:rFonts w:ascii="Times New Roman" w:hAnsi="Times New Roman" w:cs="Times New Roman"/>
          <w:sz w:val="28"/>
          <w:szCs w:val="28"/>
        </w:rPr>
        <w:t xml:space="preserve"> </w:t>
      </w:r>
      <w:r w:rsidR="00A92818" w:rsidRPr="00996711">
        <w:rPr>
          <w:rFonts w:ascii="Times New Roman" w:hAnsi="Times New Roman" w:cs="Times New Roman"/>
          <w:sz w:val="28"/>
          <w:szCs w:val="28"/>
        </w:rPr>
        <w:t xml:space="preserve">системі </w:t>
      </w:r>
      <w:r w:rsidR="00BA01E8" w:rsidRPr="00996711">
        <w:rPr>
          <w:rFonts w:ascii="Times New Roman" w:hAnsi="Times New Roman" w:cs="Times New Roman"/>
          <w:sz w:val="28"/>
          <w:szCs w:val="28"/>
        </w:rPr>
        <w:t xml:space="preserve">обліку </w:t>
      </w:r>
      <w:r w:rsidR="00A92818" w:rsidRPr="00996711">
        <w:rPr>
          <w:rFonts w:ascii="Times New Roman" w:hAnsi="Times New Roman" w:cs="Times New Roman"/>
          <w:sz w:val="28"/>
          <w:szCs w:val="28"/>
        </w:rPr>
        <w:t xml:space="preserve">зміни обсягу прав та зобов’язань щодо коштів між сторонами правочинів щодо цінних паперів та інших фінансових інструментів з відображенням переходу права вимоги на кошти, у тому числі припинення зобов’язань щодо коштів за результатами </w:t>
      </w:r>
      <w:proofErr w:type="spellStart"/>
      <w:r w:rsidR="00A92818" w:rsidRPr="00996711">
        <w:rPr>
          <w:rFonts w:ascii="Times New Roman" w:hAnsi="Times New Roman" w:cs="Times New Roman"/>
          <w:sz w:val="28"/>
          <w:szCs w:val="28"/>
        </w:rPr>
        <w:t>неттінгу</w:t>
      </w:r>
      <w:proofErr w:type="spellEnd"/>
      <w:r w:rsidR="00A92818" w:rsidRPr="00996711">
        <w:rPr>
          <w:rFonts w:ascii="Times New Roman" w:hAnsi="Times New Roman" w:cs="Times New Roman"/>
          <w:sz w:val="28"/>
          <w:szCs w:val="28"/>
        </w:rPr>
        <w:t xml:space="preserve"> </w:t>
      </w:r>
      <w:r w:rsidR="000E7C97">
        <w:rPr>
          <w:rFonts w:ascii="Times New Roman" w:hAnsi="Times New Roman" w:cs="Times New Roman"/>
          <w:sz w:val="28"/>
          <w:szCs w:val="28"/>
        </w:rPr>
        <w:t>в порядку,</w:t>
      </w:r>
      <w:r w:rsidR="00A92818" w:rsidRPr="00996711">
        <w:rPr>
          <w:rFonts w:ascii="Times New Roman" w:hAnsi="Times New Roman" w:cs="Times New Roman"/>
          <w:sz w:val="28"/>
          <w:szCs w:val="28"/>
        </w:rPr>
        <w:t xml:space="preserve"> визначен</w:t>
      </w:r>
      <w:r w:rsidR="000E7C97">
        <w:rPr>
          <w:rFonts w:ascii="Times New Roman" w:hAnsi="Times New Roman" w:cs="Times New Roman"/>
          <w:sz w:val="28"/>
          <w:szCs w:val="28"/>
        </w:rPr>
        <w:t>ому</w:t>
      </w:r>
      <w:r w:rsidR="00A92818" w:rsidRPr="00996711">
        <w:rPr>
          <w:rFonts w:ascii="Times New Roman" w:hAnsi="Times New Roman" w:cs="Times New Roman"/>
          <w:sz w:val="28"/>
          <w:szCs w:val="28"/>
        </w:rPr>
        <w:t xml:space="preserve"> цим </w:t>
      </w:r>
      <w:r w:rsidR="000E7C97">
        <w:rPr>
          <w:rFonts w:ascii="Times New Roman" w:hAnsi="Times New Roman" w:cs="Times New Roman"/>
          <w:sz w:val="28"/>
          <w:szCs w:val="28"/>
        </w:rPr>
        <w:t>Положенням</w:t>
      </w:r>
      <w:r w:rsidR="00A92818" w:rsidRPr="00996711">
        <w:rPr>
          <w:rFonts w:ascii="Times New Roman" w:hAnsi="Times New Roman" w:cs="Times New Roman"/>
          <w:sz w:val="28"/>
          <w:szCs w:val="28"/>
        </w:rPr>
        <w:t>.</w:t>
      </w:r>
    </w:p>
    <w:p w:rsidR="00331616" w:rsidRPr="00996711" w:rsidRDefault="00331616" w:rsidP="00CC7C3D">
      <w:pPr>
        <w:spacing w:after="0"/>
        <w:ind w:firstLine="709"/>
        <w:jc w:val="both"/>
        <w:rPr>
          <w:rFonts w:ascii="Times New Roman" w:hAnsi="Times New Roman" w:cs="Times New Roman"/>
          <w:sz w:val="28"/>
          <w:szCs w:val="28"/>
        </w:rPr>
      </w:pPr>
    </w:p>
    <w:p w:rsidR="0035488E" w:rsidRPr="00996711" w:rsidRDefault="004E3224" w:rsidP="00CC7C3D">
      <w:pPr>
        <w:spacing w:after="0"/>
        <w:ind w:firstLine="709"/>
        <w:jc w:val="center"/>
        <w:rPr>
          <w:rFonts w:ascii="Times New Roman" w:hAnsi="Times New Roman" w:cs="Times New Roman"/>
          <w:sz w:val="28"/>
          <w:szCs w:val="28"/>
        </w:rPr>
      </w:pPr>
      <w:r>
        <w:rPr>
          <w:rFonts w:ascii="Times New Roman" w:hAnsi="Times New Roman" w:cs="Times New Roman"/>
          <w:sz w:val="28"/>
          <w:szCs w:val="28"/>
        </w:rPr>
        <w:t>ІІ</w:t>
      </w:r>
      <w:r w:rsidR="00264A86" w:rsidRPr="00996711">
        <w:rPr>
          <w:rFonts w:ascii="Times New Roman" w:hAnsi="Times New Roman" w:cs="Times New Roman"/>
          <w:sz w:val="28"/>
          <w:szCs w:val="28"/>
        </w:rPr>
        <w:t xml:space="preserve">. </w:t>
      </w:r>
      <w:r w:rsidR="0035488E" w:rsidRPr="00996711">
        <w:rPr>
          <w:rFonts w:ascii="Times New Roman" w:hAnsi="Times New Roman" w:cs="Times New Roman"/>
          <w:sz w:val="28"/>
          <w:szCs w:val="28"/>
        </w:rPr>
        <w:t xml:space="preserve">Порядок надання </w:t>
      </w:r>
      <w:r w:rsidR="003D77F4" w:rsidRPr="00996711">
        <w:rPr>
          <w:rFonts w:ascii="Times New Roman" w:hAnsi="Times New Roman" w:cs="Times New Roman"/>
          <w:sz w:val="28"/>
          <w:szCs w:val="28"/>
        </w:rPr>
        <w:t>Центральному деп</w:t>
      </w:r>
      <w:r w:rsidR="00091848" w:rsidRPr="00996711">
        <w:rPr>
          <w:rFonts w:ascii="Times New Roman" w:hAnsi="Times New Roman" w:cs="Times New Roman"/>
          <w:sz w:val="28"/>
          <w:szCs w:val="28"/>
        </w:rPr>
        <w:t>о</w:t>
      </w:r>
      <w:r w:rsidR="003D77F4" w:rsidRPr="00996711">
        <w:rPr>
          <w:rFonts w:ascii="Times New Roman" w:hAnsi="Times New Roman" w:cs="Times New Roman"/>
          <w:sz w:val="28"/>
          <w:szCs w:val="28"/>
        </w:rPr>
        <w:t xml:space="preserve">зитарію </w:t>
      </w:r>
      <w:r w:rsidR="0035488E" w:rsidRPr="00996711">
        <w:rPr>
          <w:rFonts w:ascii="Times New Roman" w:hAnsi="Times New Roman" w:cs="Times New Roman"/>
          <w:sz w:val="28"/>
          <w:szCs w:val="28"/>
        </w:rPr>
        <w:t xml:space="preserve">доступу до </w:t>
      </w:r>
      <w:r w:rsidR="000D0A38" w:rsidRPr="00996711">
        <w:rPr>
          <w:rFonts w:ascii="Times New Roman" w:hAnsi="Times New Roman" w:cs="Times New Roman"/>
          <w:sz w:val="28"/>
          <w:szCs w:val="28"/>
        </w:rPr>
        <w:t xml:space="preserve">технології обслуговування розрахунків </w:t>
      </w:r>
      <w:r w:rsidR="00A24704">
        <w:rPr>
          <w:rFonts w:ascii="Times New Roman" w:hAnsi="Times New Roman" w:cs="Times New Roman"/>
          <w:sz w:val="28"/>
          <w:szCs w:val="28"/>
        </w:rPr>
        <w:t>і</w:t>
      </w:r>
      <w:r w:rsidR="000D0A38" w:rsidRPr="00996711">
        <w:rPr>
          <w:rFonts w:ascii="Times New Roman" w:hAnsi="Times New Roman" w:cs="Times New Roman"/>
          <w:sz w:val="28"/>
          <w:szCs w:val="28"/>
        </w:rPr>
        <w:t xml:space="preserve">з </w:t>
      </w:r>
      <w:r w:rsidR="002E05C2" w:rsidRPr="00996711">
        <w:rPr>
          <w:rFonts w:ascii="Times New Roman" w:hAnsi="Times New Roman" w:cs="Times New Roman"/>
          <w:sz w:val="28"/>
          <w:szCs w:val="28"/>
        </w:rPr>
        <w:t>використання</w:t>
      </w:r>
      <w:r w:rsidR="000D0A38" w:rsidRPr="00996711">
        <w:rPr>
          <w:rFonts w:ascii="Times New Roman" w:hAnsi="Times New Roman" w:cs="Times New Roman"/>
          <w:sz w:val="28"/>
          <w:szCs w:val="28"/>
        </w:rPr>
        <w:t>м</w:t>
      </w:r>
      <w:r w:rsidR="002E05C2" w:rsidRPr="00996711">
        <w:rPr>
          <w:rFonts w:ascii="Times New Roman" w:hAnsi="Times New Roman" w:cs="Times New Roman"/>
          <w:sz w:val="28"/>
          <w:szCs w:val="28"/>
        </w:rPr>
        <w:t xml:space="preserve"> спеціальних засобів СЕП</w:t>
      </w:r>
    </w:p>
    <w:p w:rsidR="00331616" w:rsidRPr="00996711" w:rsidRDefault="00331616" w:rsidP="00CC7C3D">
      <w:pPr>
        <w:spacing w:after="0"/>
        <w:ind w:firstLine="709"/>
        <w:jc w:val="center"/>
        <w:rPr>
          <w:rFonts w:ascii="Times New Roman" w:hAnsi="Times New Roman" w:cs="Times New Roman"/>
          <w:sz w:val="28"/>
          <w:szCs w:val="28"/>
        </w:rPr>
      </w:pPr>
    </w:p>
    <w:p w:rsidR="00884FE9" w:rsidRPr="00954A02" w:rsidRDefault="00791639"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884FE9" w:rsidRPr="00996711">
        <w:rPr>
          <w:rFonts w:ascii="Times New Roman" w:hAnsi="Times New Roman" w:cs="Times New Roman"/>
          <w:sz w:val="28"/>
          <w:szCs w:val="28"/>
        </w:rPr>
        <w:t xml:space="preserve">. Внутрішні документи Центрального депозитарію мають містити опис порядку здійснення </w:t>
      </w:r>
      <w:r w:rsidR="003D77F4" w:rsidRPr="00996711">
        <w:rPr>
          <w:rFonts w:ascii="Times New Roman" w:hAnsi="Times New Roman" w:cs="Times New Roman"/>
          <w:sz w:val="28"/>
          <w:szCs w:val="28"/>
        </w:rPr>
        <w:t xml:space="preserve">розрахунків за правочинами щодо цінних паперів за умови проведення розрахунків за принципом </w:t>
      </w:r>
      <w:r w:rsidR="00750037" w:rsidRPr="00996711">
        <w:rPr>
          <w:rFonts w:ascii="Times New Roman" w:hAnsi="Times New Roman" w:cs="Times New Roman"/>
          <w:sz w:val="28"/>
          <w:szCs w:val="28"/>
        </w:rPr>
        <w:t>“</w:t>
      </w:r>
      <w:r w:rsidR="003D77F4" w:rsidRPr="00996711">
        <w:rPr>
          <w:rFonts w:ascii="Times New Roman" w:hAnsi="Times New Roman" w:cs="Times New Roman"/>
          <w:sz w:val="28"/>
          <w:szCs w:val="28"/>
        </w:rPr>
        <w:t>поставка цінних паперів проти оплати</w:t>
      </w:r>
      <w:r w:rsidR="00750037" w:rsidRPr="00996711">
        <w:rPr>
          <w:rFonts w:ascii="Times New Roman" w:hAnsi="Times New Roman" w:cs="Times New Roman"/>
          <w:sz w:val="28"/>
          <w:szCs w:val="28"/>
        </w:rPr>
        <w:t>”</w:t>
      </w:r>
      <w:r w:rsidR="003D77F4" w:rsidRPr="00996711">
        <w:rPr>
          <w:rFonts w:ascii="Times New Roman" w:hAnsi="Times New Roman" w:cs="Times New Roman"/>
          <w:sz w:val="28"/>
          <w:szCs w:val="28"/>
        </w:rPr>
        <w:t xml:space="preserve"> з використанням спеціальних засобів СЕП</w:t>
      </w:r>
      <w:r w:rsidR="003E08EB" w:rsidRPr="00996711">
        <w:rPr>
          <w:rFonts w:ascii="Times New Roman" w:hAnsi="Times New Roman" w:cs="Times New Roman"/>
          <w:sz w:val="28"/>
          <w:szCs w:val="28"/>
        </w:rPr>
        <w:t xml:space="preserve">, порядок взаємодії </w:t>
      </w:r>
      <w:r w:rsidR="00597868" w:rsidRPr="00996711">
        <w:rPr>
          <w:rFonts w:ascii="Times New Roman" w:hAnsi="Times New Roman" w:cs="Times New Roman"/>
          <w:sz w:val="28"/>
          <w:szCs w:val="28"/>
        </w:rPr>
        <w:t xml:space="preserve">Центрального </w:t>
      </w:r>
      <w:r w:rsidR="00597868" w:rsidRPr="00996711">
        <w:rPr>
          <w:rFonts w:ascii="Times New Roman" w:hAnsi="Times New Roman" w:cs="Times New Roman"/>
          <w:sz w:val="28"/>
          <w:szCs w:val="28"/>
        </w:rPr>
        <w:lastRenderedPageBreak/>
        <w:t>депозитарію</w:t>
      </w:r>
      <w:r w:rsidR="003E08EB" w:rsidRPr="00996711">
        <w:rPr>
          <w:rFonts w:ascii="Times New Roman" w:hAnsi="Times New Roman" w:cs="Times New Roman"/>
          <w:sz w:val="28"/>
          <w:szCs w:val="28"/>
        </w:rPr>
        <w:t xml:space="preserve"> </w:t>
      </w:r>
      <w:r w:rsidR="00597868" w:rsidRPr="00996711">
        <w:rPr>
          <w:rFonts w:ascii="Times New Roman" w:hAnsi="Times New Roman" w:cs="Times New Roman"/>
          <w:sz w:val="28"/>
          <w:szCs w:val="28"/>
        </w:rPr>
        <w:t>з клієнтами,</w:t>
      </w:r>
      <w:r w:rsidR="003E08EB" w:rsidRPr="00996711">
        <w:rPr>
          <w:rFonts w:ascii="Times New Roman" w:hAnsi="Times New Roman" w:cs="Times New Roman"/>
          <w:sz w:val="28"/>
          <w:szCs w:val="28"/>
        </w:rPr>
        <w:t xml:space="preserve"> банками</w:t>
      </w:r>
      <w:r w:rsidR="00597868" w:rsidRPr="00996711">
        <w:rPr>
          <w:rFonts w:ascii="Times New Roman" w:hAnsi="Times New Roman" w:cs="Times New Roman"/>
          <w:sz w:val="28"/>
          <w:szCs w:val="28"/>
        </w:rPr>
        <w:t xml:space="preserve"> та СЕП</w:t>
      </w:r>
      <w:r w:rsidR="003E08EB" w:rsidRPr="00996711">
        <w:rPr>
          <w:rFonts w:ascii="Times New Roman" w:hAnsi="Times New Roman" w:cs="Times New Roman"/>
          <w:sz w:val="28"/>
          <w:szCs w:val="28"/>
        </w:rPr>
        <w:t xml:space="preserve"> </w:t>
      </w:r>
      <w:r w:rsidR="00A24704">
        <w:rPr>
          <w:rFonts w:ascii="Times New Roman" w:hAnsi="Times New Roman" w:cs="Times New Roman"/>
          <w:sz w:val="28"/>
          <w:szCs w:val="28"/>
        </w:rPr>
        <w:t>під час</w:t>
      </w:r>
      <w:r w:rsidR="00A24704" w:rsidRPr="00996711">
        <w:rPr>
          <w:rFonts w:ascii="Times New Roman" w:hAnsi="Times New Roman" w:cs="Times New Roman"/>
          <w:sz w:val="28"/>
          <w:szCs w:val="28"/>
        </w:rPr>
        <w:t xml:space="preserve"> </w:t>
      </w:r>
      <w:r w:rsidR="003E08EB" w:rsidRPr="00996711">
        <w:rPr>
          <w:rFonts w:ascii="Times New Roman" w:hAnsi="Times New Roman" w:cs="Times New Roman"/>
          <w:sz w:val="28"/>
          <w:szCs w:val="28"/>
        </w:rPr>
        <w:t>обслуговуванн</w:t>
      </w:r>
      <w:r w:rsidR="00A24704">
        <w:rPr>
          <w:rFonts w:ascii="Times New Roman" w:hAnsi="Times New Roman" w:cs="Times New Roman"/>
          <w:sz w:val="28"/>
          <w:szCs w:val="28"/>
        </w:rPr>
        <w:t>я</w:t>
      </w:r>
      <w:r w:rsidR="003E08EB" w:rsidRPr="00996711">
        <w:rPr>
          <w:rFonts w:ascii="Times New Roman" w:hAnsi="Times New Roman" w:cs="Times New Roman"/>
          <w:sz w:val="28"/>
          <w:szCs w:val="28"/>
        </w:rPr>
        <w:t xml:space="preserve"> таких розрахунків.</w:t>
      </w:r>
      <w:r w:rsidR="001E69D5">
        <w:rPr>
          <w:rFonts w:ascii="Times New Roman" w:hAnsi="Times New Roman" w:cs="Times New Roman"/>
          <w:sz w:val="28"/>
          <w:szCs w:val="28"/>
        </w:rPr>
        <w:t xml:space="preserve"> </w:t>
      </w:r>
      <w:r w:rsidR="00736CF5">
        <w:rPr>
          <w:rFonts w:ascii="Times New Roman" w:hAnsi="Times New Roman" w:cs="Times New Roman"/>
          <w:sz w:val="28"/>
          <w:szCs w:val="28"/>
        </w:rPr>
        <w:t>В</w:t>
      </w:r>
      <w:r w:rsidR="00A46461">
        <w:rPr>
          <w:rFonts w:ascii="Times New Roman" w:hAnsi="Times New Roman" w:cs="Times New Roman"/>
          <w:sz w:val="28"/>
          <w:szCs w:val="28"/>
        </w:rPr>
        <w:t xml:space="preserve">нутрішні </w:t>
      </w:r>
      <w:r w:rsidR="001E69D5">
        <w:rPr>
          <w:rFonts w:ascii="Times New Roman" w:hAnsi="Times New Roman" w:cs="Times New Roman"/>
          <w:sz w:val="28"/>
          <w:szCs w:val="28"/>
        </w:rPr>
        <w:t xml:space="preserve">документи, а також зміни до них мають бути оприлюднені Центральним депозитарієм на його офіційному </w:t>
      </w:r>
      <w:proofErr w:type="spellStart"/>
      <w:r w:rsidR="001E69D5">
        <w:rPr>
          <w:rFonts w:ascii="Times New Roman" w:hAnsi="Times New Roman" w:cs="Times New Roman"/>
          <w:sz w:val="28"/>
          <w:szCs w:val="28"/>
        </w:rPr>
        <w:t>вебсайті</w:t>
      </w:r>
      <w:proofErr w:type="spellEnd"/>
      <w:r w:rsidR="001E69D5">
        <w:rPr>
          <w:rFonts w:ascii="Times New Roman" w:hAnsi="Times New Roman" w:cs="Times New Roman"/>
          <w:sz w:val="28"/>
          <w:szCs w:val="28"/>
        </w:rPr>
        <w:t xml:space="preserve"> або доведені до відома клієнтів </w:t>
      </w:r>
      <w:r w:rsidR="008E31D8">
        <w:rPr>
          <w:rFonts w:ascii="Times New Roman" w:hAnsi="Times New Roman" w:cs="Times New Roman"/>
          <w:sz w:val="28"/>
          <w:szCs w:val="28"/>
        </w:rPr>
        <w:t xml:space="preserve">Центрального депозитарію </w:t>
      </w:r>
      <w:r w:rsidR="001E69D5">
        <w:rPr>
          <w:rFonts w:ascii="Times New Roman" w:hAnsi="Times New Roman" w:cs="Times New Roman"/>
          <w:sz w:val="28"/>
          <w:szCs w:val="28"/>
        </w:rPr>
        <w:t xml:space="preserve">іншим способом, визначеним </w:t>
      </w:r>
      <w:r w:rsidR="00033B70">
        <w:rPr>
          <w:rFonts w:ascii="Times New Roman" w:hAnsi="Times New Roman" w:cs="Times New Roman"/>
          <w:sz w:val="28"/>
          <w:szCs w:val="28"/>
        </w:rPr>
        <w:t xml:space="preserve">у </w:t>
      </w:r>
      <w:r w:rsidR="00DC537C">
        <w:rPr>
          <w:rFonts w:ascii="Times New Roman" w:hAnsi="Times New Roman" w:cs="Times New Roman"/>
          <w:sz w:val="28"/>
          <w:szCs w:val="28"/>
        </w:rPr>
        <w:t>П</w:t>
      </w:r>
      <w:r w:rsidR="00DC537C" w:rsidRPr="00DC537C">
        <w:rPr>
          <w:rFonts w:ascii="Times New Roman" w:hAnsi="Times New Roman" w:cs="Times New Roman"/>
          <w:sz w:val="28"/>
          <w:szCs w:val="28"/>
        </w:rPr>
        <w:t>равила</w:t>
      </w:r>
      <w:r w:rsidR="00033B70">
        <w:rPr>
          <w:rFonts w:ascii="Times New Roman" w:hAnsi="Times New Roman" w:cs="Times New Roman"/>
          <w:sz w:val="28"/>
          <w:szCs w:val="28"/>
        </w:rPr>
        <w:t>х</w:t>
      </w:r>
      <w:r w:rsidR="00DC537C">
        <w:rPr>
          <w:rFonts w:ascii="Times New Roman" w:hAnsi="Times New Roman" w:cs="Times New Roman"/>
          <w:sz w:val="28"/>
          <w:szCs w:val="28"/>
        </w:rPr>
        <w:t xml:space="preserve"> </w:t>
      </w:r>
      <w:r w:rsidR="001E69D5">
        <w:rPr>
          <w:rFonts w:ascii="Times New Roman" w:hAnsi="Times New Roman" w:cs="Times New Roman"/>
          <w:sz w:val="28"/>
          <w:szCs w:val="28"/>
        </w:rPr>
        <w:t>Центрального депозитарію</w:t>
      </w:r>
      <w:r w:rsidR="00954A02" w:rsidRPr="00954A02">
        <w:rPr>
          <w:rFonts w:ascii="Times New Roman" w:hAnsi="Times New Roman" w:cs="Times New Roman"/>
          <w:sz w:val="28"/>
          <w:szCs w:val="28"/>
          <w:lang w:val="ru-RU"/>
        </w:rPr>
        <w:t>.</w:t>
      </w:r>
    </w:p>
    <w:p w:rsidR="00331616" w:rsidRPr="00996711" w:rsidRDefault="00331616" w:rsidP="00CC7C3D">
      <w:pPr>
        <w:spacing w:after="0"/>
        <w:ind w:firstLine="709"/>
        <w:jc w:val="both"/>
        <w:rPr>
          <w:rFonts w:ascii="Times New Roman" w:hAnsi="Times New Roman" w:cs="Times New Roman"/>
          <w:sz w:val="28"/>
          <w:szCs w:val="28"/>
        </w:rPr>
      </w:pPr>
    </w:p>
    <w:p w:rsidR="00597868" w:rsidRPr="00996711" w:rsidRDefault="00791639"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F55B64" w:rsidRPr="00996711">
        <w:rPr>
          <w:rFonts w:ascii="Times New Roman" w:hAnsi="Times New Roman" w:cs="Times New Roman"/>
          <w:sz w:val="28"/>
          <w:szCs w:val="28"/>
        </w:rPr>
        <w:t xml:space="preserve">. </w:t>
      </w:r>
      <w:r w:rsidR="004E3224">
        <w:rPr>
          <w:rFonts w:ascii="Times New Roman" w:hAnsi="Times New Roman" w:cs="Times New Roman"/>
          <w:sz w:val="28"/>
          <w:szCs w:val="28"/>
        </w:rPr>
        <w:t xml:space="preserve">Центральний депозитарій </w:t>
      </w:r>
      <w:r w:rsidR="00313720">
        <w:rPr>
          <w:rFonts w:ascii="Times New Roman" w:hAnsi="Times New Roman" w:cs="Times New Roman"/>
          <w:sz w:val="28"/>
          <w:szCs w:val="28"/>
        </w:rPr>
        <w:t xml:space="preserve">подає </w:t>
      </w:r>
      <w:proofErr w:type="spellStart"/>
      <w:r w:rsidR="001E69D5">
        <w:rPr>
          <w:rFonts w:ascii="Times New Roman" w:hAnsi="Times New Roman" w:cs="Times New Roman"/>
          <w:sz w:val="28"/>
          <w:szCs w:val="28"/>
        </w:rPr>
        <w:t>проєкти</w:t>
      </w:r>
      <w:proofErr w:type="spellEnd"/>
      <w:r w:rsidR="001E69D5">
        <w:rPr>
          <w:rFonts w:ascii="Times New Roman" w:hAnsi="Times New Roman" w:cs="Times New Roman"/>
          <w:sz w:val="28"/>
          <w:szCs w:val="28"/>
        </w:rPr>
        <w:t xml:space="preserve"> </w:t>
      </w:r>
      <w:r w:rsidR="00597868" w:rsidRPr="00996711">
        <w:rPr>
          <w:rFonts w:ascii="Times New Roman" w:hAnsi="Times New Roman" w:cs="Times New Roman"/>
          <w:sz w:val="28"/>
          <w:szCs w:val="28"/>
        </w:rPr>
        <w:t>внутрішні</w:t>
      </w:r>
      <w:r w:rsidR="001E69D5">
        <w:rPr>
          <w:rFonts w:ascii="Times New Roman" w:hAnsi="Times New Roman" w:cs="Times New Roman"/>
          <w:sz w:val="28"/>
          <w:szCs w:val="28"/>
        </w:rPr>
        <w:t>х</w:t>
      </w:r>
      <w:r w:rsidR="00597868" w:rsidRPr="00996711">
        <w:rPr>
          <w:rFonts w:ascii="Times New Roman" w:hAnsi="Times New Roman" w:cs="Times New Roman"/>
          <w:sz w:val="28"/>
          <w:szCs w:val="28"/>
        </w:rPr>
        <w:t xml:space="preserve"> </w:t>
      </w:r>
      <w:r w:rsidR="001E69D5" w:rsidRPr="00996711">
        <w:rPr>
          <w:rFonts w:ascii="Times New Roman" w:hAnsi="Times New Roman" w:cs="Times New Roman"/>
          <w:sz w:val="28"/>
          <w:szCs w:val="28"/>
        </w:rPr>
        <w:t>документ</w:t>
      </w:r>
      <w:r w:rsidR="001E69D5">
        <w:rPr>
          <w:rFonts w:ascii="Times New Roman" w:hAnsi="Times New Roman" w:cs="Times New Roman"/>
          <w:sz w:val="28"/>
          <w:szCs w:val="28"/>
        </w:rPr>
        <w:t>ів</w:t>
      </w:r>
      <w:r w:rsidR="001E69D5" w:rsidRPr="00996711">
        <w:rPr>
          <w:rFonts w:ascii="Times New Roman" w:hAnsi="Times New Roman" w:cs="Times New Roman"/>
          <w:sz w:val="28"/>
          <w:szCs w:val="28"/>
        </w:rPr>
        <w:t xml:space="preserve"> </w:t>
      </w:r>
      <w:r w:rsidR="008B144A" w:rsidRPr="00996711">
        <w:rPr>
          <w:rFonts w:ascii="Times New Roman" w:hAnsi="Times New Roman" w:cs="Times New Roman"/>
          <w:sz w:val="28"/>
          <w:szCs w:val="28"/>
        </w:rPr>
        <w:t xml:space="preserve">на погодження Національному банку в частині опису </w:t>
      </w:r>
      <w:r w:rsidR="004813D7" w:rsidRPr="00996711">
        <w:rPr>
          <w:rFonts w:ascii="Times New Roman" w:hAnsi="Times New Roman" w:cs="Times New Roman"/>
          <w:sz w:val="28"/>
          <w:szCs w:val="28"/>
        </w:rPr>
        <w:t>порядку</w:t>
      </w:r>
      <w:r w:rsidR="008B144A" w:rsidRPr="00996711">
        <w:rPr>
          <w:rFonts w:ascii="Times New Roman" w:hAnsi="Times New Roman" w:cs="Times New Roman"/>
          <w:sz w:val="28"/>
          <w:szCs w:val="28"/>
        </w:rPr>
        <w:t xml:space="preserve"> проведення розрахунків</w:t>
      </w:r>
      <w:r w:rsidR="008B144A" w:rsidRPr="00996711">
        <w:t xml:space="preserve"> </w:t>
      </w:r>
      <w:r w:rsidR="008B144A" w:rsidRPr="00996711">
        <w:rPr>
          <w:rFonts w:ascii="Times New Roman" w:hAnsi="Times New Roman" w:cs="Times New Roman"/>
          <w:sz w:val="28"/>
          <w:szCs w:val="28"/>
        </w:rPr>
        <w:t xml:space="preserve">за правочинами щодо цінних паперів </w:t>
      </w:r>
      <w:r w:rsidR="00A24704">
        <w:rPr>
          <w:rFonts w:ascii="Times New Roman" w:hAnsi="Times New Roman" w:cs="Times New Roman"/>
          <w:sz w:val="28"/>
          <w:szCs w:val="28"/>
        </w:rPr>
        <w:t>і</w:t>
      </w:r>
      <w:r w:rsidR="008B144A" w:rsidRPr="00996711">
        <w:rPr>
          <w:rFonts w:ascii="Times New Roman" w:hAnsi="Times New Roman" w:cs="Times New Roman"/>
          <w:sz w:val="28"/>
          <w:szCs w:val="28"/>
        </w:rPr>
        <w:t>з використанням спеціальних засобів СЕП.</w:t>
      </w:r>
    </w:p>
    <w:p w:rsidR="00331616" w:rsidRPr="00996711" w:rsidRDefault="00331616" w:rsidP="00CC7C3D">
      <w:pPr>
        <w:spacing w:after="0"/>
        <w:ind w:firstLine="709"/>
        <w:jc w:val="both"/>
        <w:rPr>
          <w:rFonts w:ascii="Times New Roman" w:hAnsi="Times New Roman" w:cs="Times New Roman"/>
          <w:sz w:val="28"/>
          <w:szCs w:val="28"/>
        </w:rPr>
      </w:pPr>
    </w:p>
    <w:p w:rsidR="004813D7" w:rsidRPr="00996711" w:rsidRDefault="00791639"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F55B64" w:rsidRPr="00996711">
        <w:rPr>
          <w:rFonts w:ascii="Times New Roman" w:hAnsi="Times New Roman" w:cs="Times New Roman"/>
          <w:sz w:val="28"/>
          <w:szCs w:val="28"/>
        </w:rPr>
        <w:t xml:space="preserve">. </w:t>
      </w:r>
      <w:r w:rsidR="004813D7" w:rsidRPr="00996711">
        <w:rPr>
          <w:rFonts w:ascii="Times New Roman" w:hAnsi="Times New Roman" w:cs="Times New Roman"/>
          <w:sz w:val="28"/>
          <w:szCs w:val="28"/>
        </w:rPr>
        <w:t xml:space="preserve">Центральний депозитарій </w:t>
      </w:r>
      <w:r w:rsidR="008C3DB1" w:rsidRPr="00996711">
        <w:rPr>
          <w:rFonts w:ascii="Times New Roman" w:hAnsi="Times New Roman" w:cs="Times New Roman"/>
          <w:sz w:val="28"/>
          <w:szCs w:val="28"/>
        </w:rPr>
        <w:t xml:space="preserve">для погодження </w:t>
      </w:r>
      <w:proofErr w:type="spellStart"/>
      <w:r w:rsidR="00A46461">
        <w:rPr>
          <w:rFonts w:ascii="Times New Roman" w:hAnsi="Times New Roman" w:cs="Times New Roman"/>
          <w:sz w:val="28"/>
          <w:szCs w:val="28"/>
        </w:rPr>
        <w:t>проєктів</w:t>
      </w:r>
      <w:proofErr w:type="spellEnd"/>
      <w:r w:rsidR="00A46461">
        <w:rPr>
          <w:rFonts w:ascii="Times New Roman" w:hAnsi="Times New Roman" w:cs="Times New Roman"/>
          <w:sz w:val="28"/>
          <w:szCs w:val="28"/>
        </w:rPr>
        <w:t xml:space="preserve"> </w:t>
      </w:r>
      <w:r w:rsidR="008C3DB1" w:rsidRPr="00996711">
        <w:rPr>
          <w:rFonts w:ascii="Times New Roman" w:hAnsi="Times New Roman" w:cs="Times New Roman"/>
          <w:sz w:val="28"/>
          <w:szCs w:val="28"/>
        </w:rPr>
        <w:t>внутрішніх документів подає до Національного банку такі документи:</w:t>
      </w:r>
    </w:p>
    <w:p w:rsidR="00331616" w:rsidRPr="00996711" w:rsidRDefault="00331616" w:rsidP="00CC7C3D">
      <w:pPr>
        <w:spacing w:after="0"/>
        <w:ind w:firstLine="709"/>
        <w:jc w:val="both"/>
        <w:rPr>
          <w:rFonts w:ascii="Times New Roman" w:hAnsi="Times New Roman" w:cs="Times New Roman"/>
          <w:sz w:val="28"/>
          <w:szCs w:val="28"/>
        </w:rPr>
      </w:pPr>
    </w:p>
    <w:p w:rsidR="008C3DB1" w:rsidRPr="00996711" w:rsidRDefault="004B5E55"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1) </w:t>
      </w:r>
      <w:r w:rsidR="008C3DB1" w:rsidRPr="00996711">
        <w:rPr>
          <w:rFonts w:ascii="Times New Roman" w:hAnsi="Times New Roman" w:cs="Times New Roman"/>
          <w:sz w:val="28"/>
          <w:szCs w:val="28"/>
        </w:rPr>
        <w:t xml:space="preserve">клопотання про погодження </w:t>
      </w:r>
      <w:proofErr w:type="spellStart"/>
      <w:r w:rsidR="00A46461">
        <w:rPr>
          <w:rFonts w:ascii="Times New Roman" w:hAnsi="Times New Roman" w:cs="Times New Roman"/>
          <w:sz w:val="28"/>
          <w:szCs w:val="28"/>
        </w:rPr>
        <w:t>проєктів</w:t>
      </w:r>
      <w:proofErr w:type="spellEnd"/>
      <w:r w:rsidR="00A46461">
        <w:rPr>
          <w:rFonts w:ascii="Times New Roman" w:hAnsi="Times New Roman" w:cs="Times New Roman"/>
          <w:sz w:val="28"/>
          <w:szCs w:val="28"/>
        </w:rPr>
        <w:t xml:space="preserve"> </w:t>
      </w:r>
      <w:r w:rsidR="008C3DB1" w:rsidRPr="00996711">
        <w:rPr>
          <w:rFonts w:ascii="Times New Roman" w:hAnsi="Times New Roman" w:cs="Times New Roman"/>
          <w:sz w:val="28"/>
          <w:szCs w:val="28"/>
        </w:rPr>
        <w:t xml:space="preserve">внутрішніх документів </w:t>
      </w:r>
      <w:r w:rsidR="00A24704">
        <w:rPr>
          <w:rFonts w:ascii="Times New Roman" w:hAnsi="Times New Roman" w:cs="Times New Roman"/>
          <w:sz w:val="28"/>
          <w:szCs w:val="28"/>
        </w:rPr>
        <w:t>у</w:t>
      </w:r>
      <w:r w:rsidR="00A24704" w:rsidRPr="00996711">
        <w:rPr>
          <w:rFonts w:ascii="Times New Roman" w:hAnsi="Times New Roman" w:cs="Times New Roman"/>
          <w:sz w:val="28"/>
          <w:szCs w:val="28"/>
        </w:rPr>
        <w:t xml:space="preserve"> </w:t>
      </w:r>
      <w:r w:rsidRPr="00996711">
        <w:rPr>
          <w:rFonts w:ascii="Times New Roman" w:hAnsi="Times New Roman" w:cs="Times New Roman"/>
          <w:sz w:val="28"/>
          <w:szCs w:val="28"/>
        </w:rPr>
        <w:t>частині опису порядку проведення розрахунків</w:t>
      </w:r>
      <w:r w:rsidRPr="00996711">
        <w:t xml:space="preserve"> </w:t>
      </w:r>
      <w:r w:rsidRPr="00996711">
        <w:rPr>
          <w:rFonts w:ascii="Times New Roman" w:hAnsi="Times New Roman" w:cs="Times New Roman"/>
          <w:sz w:val="28"/>
          <w:szCs w:val="28"/>
        </w:rPr>
        <w:t xml:space="preserve">за </w:t>
      </w:r>
      <w:r w:rsidR="00091848" w:rsidRPr="00996711">
        <w:rPr>
          <w:rFonts w:ascii="Times New Roman" w:hAnsi="Times New Roman" w:cs="Times New Roman"/>
          <w:sz w:val="28"/>
          <w:szCs w:val="28"/>
        </w:rPr>
        <w:t xml:space="preserve">правочинами щодо цінних паперів, вчиненими на організованих ринках капіталу та поза ними за умови проведення розрахунків за принципом </w:t>
      </w:r>
      <w:r w:rsidR="00750037" w:rsidRPr="00996711">
        <w:rPr>
          <w:rFonts w:ascii="Times New Roman" w:hAnsi="Times New Roman" w:cs="Times New Roman"/>
          <w:sz w:val="28"/>
          <w:szCs w:val="28"/>
        </w:rPr>
        <w:t>“</w:t>
      </w:r>
      <w:r w:rsidR="00091848" w:rsidRPr="00996711">
        <w:rPr>
          <w:rFonts w:ascii="Times New Roman" w:hAnsi="Times New Roman" w:cs="Times New Roman"/>
          <w:sz w:val="28"/>
          <w:szCs w:val="28"/>
        </w:rPr>
        <w:t>поставка цінних паперів проти оплати</w:t>
      </w:r>
      <w:r w:rsidR="00750037" w:rsidRPr="00996711">
        <w:rPr>
          <w:rFonts w:ascii="Times New Roman" w:hAnsi="Times New Roman" w:cs="Times New Roman"/>
          <w:sz w:val="28"/>
          <w:szCs w:val="28"/>
        </w:rPr>
        <w:t>”</w:t>
      </w:r>
      <w:r w:rsidR="00091848" w:rsidRPr="00996711">
        <w:rPr>
          <w:rFonts w:ascii="Times New Roman" w:hAnsi="Times New Roman" w:cs="Times New Roman"/>
          <w:sz w:val="28"/>
          <w:szCs w:val="28"/>
        </w:rPr>
        <w:t xml:space="preserve"> </w:t>
      </w:r>
      <w:r w:rsidRPr="00996711">
        <w:rPr>
          <w:rFonts w:ascii="Times New Roman" w:hAnsi="Times New Roman" w:cs="Times New Roman"/>
          <w:sz w:val="28"/>
          <w:szCs w:val="28"/>
        </w:rPr>
        <w:t>з використанням спеціальних засобів СЕП</w:t>
      </w:r>
      <w:r w:rsidR="00A24704">
        <w:rPr>
          <w:rFonts w:ascii="Times New Roman" w:hAnsi="Times New Roman" w:cs="Times New Roman"/>
          <w:sz w:val="28"/>
          <w:szCs w:val="28"/>
        </w:rPr>
        <w:t>,</w:t>
      </w:r>
      <w:r w:rsidRPr="00996711">
        <w:rPr>
          <w:rFonts w:ascii="Times New Roman" w:hAnsi="Times New Roman" w:cs="Times New Roman"/>
          <w:sz w:val="28"/>
          <w:szCs w:val="28"/>
        </w:rPr>
        <w:t xml:space="preserve"> </w:t>
      </w:r>
      <w:r w:rsidR="008C3DB1" w:rsidRPr="00996711">
        <w:rPr>
          <w:rFonts w:ascii="Times New Roman" w:hAnsi="Times New Roman" w:cs="Times New Roman"/>
          <w:sz w:val="28"/>
          <w:szCs w:val="28"/>
        </w:rPr>
        <w:t>у довільній формі;</w:t>
      </w:r>
    </w:p>
    <w:p w:rsidR="00331616" w:rsidRPr="00996711" w:rsidRDefault="00331616" w:rsidP="00CC7C3D">
      <w:pPr>
        <w:spacing w:after="0"/>
        <w:ind w:firstLine="709"/>
        <w:jc w:val="both"/>
        <w:rPr>
          <w:rFonts w:ascii="Times New Roman" w:hAnsi="Times New Roman" w:cs="Times New Roman"/>
          <w:sz w:val="28"/>
          <w:szCs w:val="28"/>
        </w:rPr>
      </w:pPr>
    </w:p>
    <w:p w:rsidR="008C3DB1" w:rsidRPr="00996711" w:rsidRDefault="008C3DB1"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2) </w:t>
      </w:r>
      <w:proofErr w:type="spellStart"/>
      <w:r w:rsidR="005A25BC">
        <w:rPr>
          <w:rFonts w:ascii="Times New Roman" w:hAnsi="Times New Roman" w:cs="Times New Roman"/>
          <w:sz w:val="28"/>
          <w:szCs w:val="28"/>
        </w:rPr>
        <w:t>проєкти</w:t>
      </w:r>
      <w:proofErr w:type="spellEnd"/>
      <w:r w:rsidR="005A25BC">
        <w:rPr>
          <w:rFonts w:ascii="Times New Roman" w:hAnsi="Times New Roman" w:cs="Times New Roman"/>
          <w:sz w:val="28"/>
          <w:szCs w:val="28"/>
        </w:rPr>
        <w:t xml:space="preserve"> </w:t>
      </w:r>
      <w:r w:rsidRPr="00996711">
        <w:rPr>
          <w:rFonts w:ascii="Times New Roman" w:hAnsi="Times New Roman" w:cs="Times New Roman"/>
          <w:sz w:val="28"/>
          <w:szCs w:val="28"/>
        </w:rPr>
        <w:t>внутрішні</w:t>
      </w:r>
      <w:r w:rsidR="005A25BC">
        <w:rPr>
          <w:rFonts w:ascii="Times New Roman" w:hAnsi="Times New Roman" w:cs="Times New Roman"/>
          <w:sz w:val="28"/>
          <w:szCs w:val="28"/>
        </w:rPr>
        <w:t>х</w:t>
      </w:r>
      <w:r w:rsidRPr="00996711">
        <w:rPr>
          <w:rFonts w:ascii="Times New Roman" w:hAnsi="Times New Roman" w:cs="Times New Roman"/>
          <w:sz w:val="28"/>
          <w:szCs w:val="28"/>
        </w:rPr>
        <w:t xml:space="preserve"> </w:t>
      </w:r>
      <w:r w:rsidR="005A25BC" w:rsidRPr="00996711">
        <w:rPr>
          <w:rFonts w:ascii="Times New Roman" w:hAnsi="Times New Roman" w:cs="Times New Roman"/>
          <w:sz w:val="28"/>
          <w:szCs w:val="28"/>
        </w:rPr>
        <w:t>документ</w:t>
      </w:r>
      <w:r w:rsidR="005A25BC">
        <w:rPr>
          <w:rFonts w:ascii="Times New Roman" w:hAnsi="Times New Roman" w:cs="Times New Roman"/>
          <w:sz w:val="28"/>
          <w:szCs w:val="28"/>
        </w:rPr>
        <w:t>ів</w:t>
      </w:r>
      <w:r w:rsidRPr="00996711">
        <w:rPr>
          <w:rFonts w:ascii="Times New Roman" w:hAnsi="Times New Roman" w:cs="Times New Roman"/>
          <w:sz w:val="28"/>
          <w:szCs w:val="28"/>
        </w:rPr>
        <w:t xml:space="preserve">, які містять опис порядку здійснення </w:t>
      </w:r>
      <w:r w:rsidR="00091848" w:rsidRPr="00996711">
        <w:rPr>
          <w:rFonts w:ascii="Times New Roman" w:hAnsi="Times New Roman" w:cs="Times New Roman"/>
          <w:sz w:val="28"/>
          <w:szCs w:val="28"/>
        </w:rPr>
        <w:t xml:space="preserve">розрахунків за правочинами щодо цінних паперів, вчиненими на організованих ринках капіталу та поза ними за умови проведення розрахунків за принципом </w:t>
      </w:r>
      <w:r w:rsidR="00750037" w:rsidRPr="00996711">
        <w:rPr>
          <w:rFonts w:ascii="Times New Roman" w:hAnsi="Times New Roman" w:cs="Times New Roman"/>
          <w:sz w:val="28"/>
          <w:szCs w:val="28"/>
        </w:rPr>
        <w:t>“</w:t>
      </w:r>
      <w:r w:rsidR="00091848" w:rsidRPr="00996711">
        <w:rPr>
          <w:rFonts w:ascii="Times New Roman" w:hAnsi="Times New Roman" w:cs="Times New Roman"/>
          <w:sz w:val="28"/>
          <w:szCs w:val="28"/>
        </w:rPr>
        <w:t>поставка цінних паперів проти оплати</w:t>
      </w:r>
      <w:r w:rsidR="00750037" w:rsidRPr="00996711">
        <w:rPr>
          <w:rFonts w:ascii="Times New Roman" w:hAnsi="Times New Roman" w:cs="Times New Roman"/>
          <w:sz w:val="28"/>
          <w:szCs w:val="28"/>
        </w:rPr>
        <w:t>”</w:t>
      </w:r>
      <w:r w:rsidR="00091848" w:rsidRPr="00996711">
        <w:rPr>
          <w:rFonts w:ascii="Times New Roman" w:hAnsi="Times New Roman" w:cs="Times New Roman"/>
          <w:sz w:val="28"/>
          <w:szCs w:val="28"/>
        </w:rPr>
        <w:t xml:space="preserve"> з використанням спеціальних засобів СЕП</w:t>
      </w:r>
      <w:r w:rsidR="004B5E55" w:rsidRPr="00996711">
        <w:rPr>
          <w:rFonts w:ascii="Times New Roman" w:hAnsi="Times New Roman" w:cs="Times New Roman"/>
          <w:sz w:val="28"/>
          <w:szCs w:val="28"/>
        </w:rPr>
        <w:t>, засвідчені підписом уповноваженої особи.</w:t>
      </w:r>
    </w:p>
    <w:p w:rsidR="00331616" w:rsidRPr="00996711" w:rsidRDefault="00331616" w:rsidP="00CC7C3D">
      <w:pPr>
        <w:spacing w:after="0"/>
        <w:ind w:firstLine="709"/>
        <w:jc w:val="both"/>
        <w:rPr>
          <w:rFonts w:ascii="Times New Roman" w:hAnsi="Times New Roman" w:cs="Times New Roman"/>
          <w:sz w:val="28"/>
          <w:szCs w:val="28"/>
        </w:rPr>
      </w:pPr>
    </w:p>
    <w:p w:rsidR="00F707E9" w:rsidRPr="00996711" w:rsidRDefault="00791639"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F707E9" w:rsidRPr="00996711">
        <w:rPr>
          <w:rFonts w:ascii="Times New Roman" w:hAnsi="Times New Roman" w:cs="Times New Roman"/>
          <w:sz w:val="28"/>
          <w:szCs w:val="28"/>
        </w:rPr>
        <w:t xml:space="preserve">. Національний банк протягом </w:t>
      </w:r>
      <w:r w:rsidR="00795E43" w:rsidRPr="00996711">
        <w:rPr>
          <w:rFonts w:ascii="Times New Roman" w:hAnsi="Times New Roman" w:cs="Times New Roman"/>
          <w:sz w:val="28"/>
          <w:szCs w:val="28"/>
        </w:rPr>
        <w:t xml:space="preserve">30 календарних днів </w:t>
      </w:r>
      <w:r w:rsidR="00A24704">
        <w:rPr>
          <w:rFonts w:ascii="Times New Roman" w:hAnsi="Times New Roman" w:cs="Times New Roman"/>
          <w:sz w:val="28"/>
          <w:szCs w:val="28"/>
        </w:rPr>
        <w:t>і</w:t>
      </w:r>
      <w:r w:rsidR="00795E43" w:rsidRPr="00996711">
        <w:rPr>
          <w:rFonts w:ascii="Times New Roman" w:hAnsi="Times New Roman" w:cs="Times New Roman"/>
          <w:sz w:val="28"/>
          <w:szCs w:val="28"/>
        </w:rPr>
        <w:t xml:space="preserve">з дня надходження </w:t>
      </w:r>
      <w:proofErr w:type="spellStart"/>
      <w:r w:rsidR="005A25BC">
        <w:rPr>
          <w:rFonts w:ascii="Times New Roman" w:hAnsi="Times New Roman" w:cs="Times New Roman"/>
          <w:sz w:val="28"/>
          <w:szCs w:val="28"/>
        </w:rPr>
        <w:t>проєктів</w:t>
      </w:r>
      <w:proofErr w:type="spellEnd"/>
      <w:r w:rsidR="005A25BC">
        <w:rPr>
          <w:rFonts w:ascii="Times New Roman" w:hAnsi="Times New Roman" w:cs="Times New Roman"/>
          <w:sz w:val="28"/>
          <w:szCs w:val="28"/>
        </w:rPr>
        <w:t xml:space="preserve"> </w:t>
      </w:r>
      <w:r w:rsidR="00795E43" w:rsidRPr="00996711">
        <w:rPr>
          <w:rFonts w:ascii="Times New Roman" w:hAnsi="Times New Roman" w:cs="Times New Roman"/>
          <w:sz w:val="28"/>
          <w:szCs w:val="28"/>
        </w:rPr>
        <w:t>документів</w:t>
      </w:r>
      <w:r w:rsidR="005A25BC">
        <w:rPr>
          <w:rFonts w:ascii="Times New Roman" w:hAnsi="Times New Roman" w:cs="Times New Roman"/>
          <w:sz w:val="28"/>
          <w:szCs w:val="28"/>
        </w:rPr>
        <w:t xml:space="preserve"> </w:t>
      </w:r>
      <w:r w:rsidR="00795E43" w:rsidRPr="00996711">
        <w:rPr>
          <w:rFonts w:ascii="Times New Roman" w:hAnsi="Times New Roman" w:cs="Times New Roman"/>
          <w:sz w:val="28"/>
          <w:szCs w:val="28"/>
        </w:rPr>
        <w:t>від Центрального депозитарі</w:t>
      </w:r>
      <w:r w:rsidR="00033B70">
        <w:rPr>
          <w:rFonts w:ascii="Times New Roman" w:hAnsi="Times New Roman" w:cs="Times New Roman"/>
          <w:sz w:val="28"/>
          <w:szCs w:val="28"/>
        </w:rPr>
        <w:t>ю</w:t>
      </w:r>
      <w:r w:rsidR="00CC2486" w:rsidRPr="00996711">
        <w:rPr>
          <w:rFonts w:ascii="Times New Roman" w:hAnsi="Times New Roman" w:cs="Times New Roman"/>
          <w:sz w:val="28"/>
          <w:szCs w:val="28"/>
        </w:rPr>
        <w:t xml:space="preserve"> </w:t>
      </w:r>
      <w:r w:rsidR="00795E43" w:rsidRPr="00996711">
        <w:rPr>
          <w:rFonts w:ascii="Times New Roman" w:hAnsi="Times New Roman" w:cs="Times New Roman"/>
          <w:sz w:val="28"/>
          <w:szCs w:val="28"/>
        </w:rPr>
        <w:t xml:space="preserve"> погоджує їх у частині опису </w:t>
      </w:r>
      <w:r w:rsidR="006140E6" w:rsidRPr="00996711">
        <w:rPr>
          <w:rFonts w:ascii="Times New Roman" w:hAnsi="Times New Roman" w:cs="Times New Roman"/>
          <w:sz w:val="28"/>
          <w:szCs w:val="28"/>
        </w:rPr>
        <w:t>порядку</w:t>
      </w:r>
      <w:r w:rsidR="00795E43" w:rsidRPr="00996711">
        <w:rPr>
          <w:rFonts w:ascii="Times New Roman" w:hAnsi="Times New Roman" w:cs="Times New Roman"/>
          <w:sz w:val="28"/>
          <w:szCs w:val="28"/>
        </w:rPr>
        <w:t xml:space="preserve"> проведення розрахунків за правочинами щодо цінних паперів </w:t>
      </w:r>
      <w:r w:rsidR="00A24704">
        <w:rPr>
          <w:rFonts w:ascii="Times New Roman" w:hAnsi="Times New Roman" w:cs="Times New Roman"/>
          <w:sz w:val="28"/>
          <w:szCs w:val="28"/>
        </w:rPr>
        <w:t>і</w:t>
      </w:r>
      <w:r w:rsidR="00795E43" w:rsidRPr="00996711">
        <w:rPr>
          <w:rFonts w:ascii="Times New Roman" w:hAnsi="Times New Roman" w:cs="Times New Roman"/>
          <w:sz w:val="28"/>
          <w:szCs w:val="28"/>
        </w:rPr>
        <w:t>з використанням спеціальних засобів СЕП</w:t>
      </w:r>
      <w:r w:rsidR="00313720">
        <w:rPr>
          <w:rFonts w:ascii="Times New Roman" w:hAnsi="Times New Roman" w:cs="Times New Roman"/>
          <w:sz w:val="28"/>
          <w:szCs w:val="28"/>
        </w:rPr>
        <w:t>, якщо немає зауважень.</w:t>
      </w:r>
      <w:r w:rsidR="00313720" w:rsidRPr="00996711">
        <w:rPr>
          <w:rFonts w:ascii="Times New Roman" w:hAnsi="Times New Roman" w:cs="Times New Roman"/>
          <w:sz w:val="28"/>
          <w:szCs w:val="28"/>
        </w:rPr>
        <w:t xml:space="preserve"> </w:t>
      </w:r>
    </w:p>
    <w:p w:rsidR="00BD6108" w:rsidRPr="00996711" w:rsidRDefault="00BD6108" w:rsidP="00CC7C3D">
      <w:pPr>
        <w:spacing w:after="0"/>
        <w:ind w:firstLine="709"/>
        <w:jc w:val="both"/>
        <w:rPr>
          <w:rFonts w:ascii="Times New Roman" w:hAnsi="Times New Roman" w:cs="Times New Roman"/>
          <w:sz w:val="28"/>
          <w:szCs w:val="28"/>
        </w:rPr>
      </w:pPr>
    </w:p>
    <w:p w:rsidR="00C27495" w:rsidRPr="00440806" w:rsidRDefault="00791639" w:rsidP="00CC7C3D">
      <w:pPr>
        <w:spacing w:after="0"/>
        <w:ind w:firstLine="709"/>
        <w:jc w:val="both"/>
        <w:rPr>
          <w:rFonts w:ascii="Times New Roman" w:hAnsi="Times New Roman" w:cs="Times New Roman"/>
          <w:sz w:val="28"/>
          <w:szCs w:val="28"/>
        </w:rPr>
      </w:pPr>
      <w:r w:rsidRPr="00440806">
        <w:rPr>
          <w:rFonts w:ascii="Times New Roman" w:hAnsi="Times New Roman" w:cs="Times New Roman"/>
          <w:sz w:val="28"/>
          <w:szCs w:val="28"/>
        </w:rPr>
        <w:t>12</w:t>
      </w:r>
      <w:r w:rsidR="00786D11" w:rsidRPr="00440806">
        <w:rPr>
          <w:rFonts w:ascii="Times New Roman" w:hAnsi="Times New Roman" w:cs="Times New Roman"/>
          <w:sz w:val="28"/>
          <w:szCs w:val="28"/>
        </w:rPr>
        <w:t xml:space="preserve">. </w:t>
      </w:r>
      <w:r w:rsidR="00795E43" w:rsidRPr="00440806">
        <w:rPr>
          <w:rFonts w:ascii="Times New Roman" w:hAnsi="Times New Roman" w:cs="Times New Roman"/>
          <w:sz w:val="28"/>
          <w:szCs w:val="28"/>
        </w:rPr>
        <w:t>Національний банк</w:t>
      </w:r>
      <w:r w:rsidR="00091848" w:rsidRPr="00440806">
        <w:rPr>
          <w:rFonts w:ascii="Times New Roman" w:hAnsi="Times New Roman" w:cs="Times New Roman"/>
          <w:sz w:val="28"/>
          <w:szCs w:val="28"/>
        </w:rPr>
        <w:t>,</w:t>
      </w:r>
      <w:r w:rsidR="00795E43" w:rsidRPr="00440806">
        <w:rPr>
          <w:rFonts w:ascii="Times New Roman" w:hAnsi="Times New Roman" w:cs="Times New Roman"/>
          <w:sz w:val="28"/>
          <w:szCs w:val="28"/>
        </w:rPr>
        <w:t xml:space="preserve"> </w:t>
      </w:r>
      <w:r w:rsidR="00091848" w:rsidRPr="00440806">
        <w:rPr>
          <w:rFonts w:ascii="Times New Roman" w:hAnsi="Times New Roman" w:cs="Times New Roman"/>
          <w:sz w:val="28"/>
          <w:szCs w:val="28"/>
        </w:rPr>
        <w:t>якщо виявлені недоліки</w:t>
      </w:r>
      <w:r w:rsidR="00CF0ABF" w:rsidRPr="00440806">
        <w:rPr>
          <w:rFonts w:ascii="Times New Roman" w:hAnsi="Times New Roman" w:cs="Times New Roman"/>
          <w:sz w:val="28"/>
          <w:szCs w:val="28"/>
        </w:rPr>
        <w:t xml:space="preserve"> </w:t>
      </w:r>
      <w:r w:rsidR="00A24704" w:rsidRPr="00440806">
        <w:rPr>
          <w:rFonts w:ascii="Times New Roman" w:hAnsi="Times New Roman" w:cs="Times New Roman"/>
          <w:sz w:val="28"/>
          <w:szCs w:val="28"/>
        </w:rPr>
        <w:t xml:space="preserve">в </w:t>
      </w:r>
      <w:r w:rsidR="00CF0ABF" w:rsidRPr="00440806">
        <w:rPr>
          <w:rFonts w:ascii="Times New Roman" w:hAnsi="Times New Roman" w:cs="Times New Roman"/>
          <w:sz w:val="28"/>
          <w:szCs w:val="28"/>
        </w:rPr>
        <w:t>наданих документах</w:t>
      </w:r>
      <w:r w:rsidR="00091848" w:rsidRPr="00440806">
        <w:rPr>
          <w:rFonts w:ascii="Times New Roman" w:hAnsi="Times New Roman" w:cs="Times New Roman"/>
          <w:sz w:val="28"/>
          <w:szCs w:val="28"/>
        </w:rPr>
        <w:t>,</w:t>
      </w:r>
      <w:r w:rsidR="00CF0ABF" w:rsidRPr="00440806">
        <w:rPr>
          <w:rFonts w:ascii="Times New Roman" w:hAnsi="Times New Roman" w:cs="Times New Roman"/>
          <w:sz w:val="28"/>
          <w:szCs w:val="28"/>
        </w:rPr>
        <w:t xml:space="preserve"> </w:t>
      </w:r>
      <w:r w:rsidR="00C27495" w:rsidRPr="00440806">
        <w:rPr>
          <w:rFonts w:ascii="Times New Roman" w:hAnsi="Times New Roman" w:cs="Times New Roman"/>
          <w:sz w:val="28"/>
          <w:szCs w:val="28"/>
        </w:rPr>
        <w:t>завершує перевірку всіх поданих документів та</w:t>
      </w:r>
      <w:r w:rsidR="00B71481" w:rsidRPr="00B71481">
        <w:rPr>
          <w:rFonts w:ascii="Times New Roman" w:hAnsi="Times New Roman" w:cs="Times New Roman"/>
          <w:sz w:val="28"/>
          <w:szCs w:val="28"/>
        </w:rPr>
        <w:t xml:space="preserve"> не пізніше ніж за </w:t>
      </w:r>
      <w:r w:rsidR="002E7245">
        <w:rPr>
          <w:rFonts w:ascii="Times New Roman" w:hAnsi="Times New Roman" w:cs="Times New Roman"/>
          <w:sz w:val="28"/>
          <w:szCs w:val="28"/>
        </w:rPr>
        <w:t>сім</w:t>
      </w:r>
      <w:r w:rsidR="002E7245" w:rsidRPr="00B71481">
        <w:rPr>
          <w:rFonts w:ascii="Times New Roman" w:hAnsi="Times New Roman" w:cs="Times New Roman"/>
          <w:sz w:val="28"/>
          <w:szCs w:val="28"/>
        </w:rPr>
        <w:t xml:space="preserve"> </w:t>
      </w:r>
      <w:r w:rsidR="00B71481" w:rsidRPr="00B71481">
        <w:rPr>
          <w:rFonts w:ascii="Times New Roman" w:hAnsi="Times New Roman" w:cs="Times New Roman"/>
          <w:sz w:val="28"/>
          <w:szCs w:val="28"/>
        </w:rPr>
        <w:t xml:space="preserve">календарних днів до завершення строку, </w:t>
      </w:r>
      <w:r w:rsidR="002E7245">
        <w:rPr>
          <w:rFonts w:ascii="Times New Roman" w:hAnsi="Times New Roman" w:cs="Times New Roman"/>
          <w:sz w:val="28"/>
          <w:szCs w:val="28"/>
        </w:rPr>
        <w:t>у</w:t>
      </w:r>
      <w:r w:rsidR="002E7245" w:rsidRPr="00B71481">
        <w:rPr>
          <w:rFonts w:ascii="Times New Roman" w:hAnsi="Times New Roman" w:cs="Times New Roman"/>
          <w:sz w:val="28"/>
          <w:szCs w:val="28"/>
        </w:rPr>
        <w:t xml:space="preserve">становленого </w:t>
      </w:r>
      <w:r w:rsidR="002E7245">
        <w:rPr>
          <w:rFonts w:ascii="Times New Roman" w:hAnsi="Times New Roman" w:cs="Times New Roman"/>
          <w:sz w:val="28"/>
          <w:szCs w:val="28"/>
        </w:rPr>
        <w:t xml:space="preserve">в </w:t>
      </w:r>
      <w:r w:rsidR="00B71481" w:rsidRPr="00B71481">
        <w:rPr>
          <w:rFonts w:ascii="Times New Roman" w:hAnsi="Times New Roman" w:cs="Times New Roman"/>
          <w:sz w:val="28"/>
          <w:szCs w:val="28"/>
        </w:rPr>
        <w:t>пункт</w:t>
      </w:r>
      <w:r w:rsidR="002E7245">
        <w:rPr>
          <w:rFonts w:ascii="Times New Roman" w:hAnsi="Times New Roman" w:cs="Times New Roman"/>
          <w:sz w:val="28"/>
          <w:szCs w:val="28"/>
        </w:rPr>
        <w:t>і</w:t>
      </w:r>
      <w:r w:rsidR="00B71481" w:rsidRPr="00B71481">
        <w:rPr>
          <w:rFonts w:ascii="Times New Roman" w:hAnsi="Times New Roman" w:cs="Times New Roman"/>
          <w:sz w:val="28"/>
          <w:szCs w:val="28"/>
        </w:rPr>
        <w:t xml:space="preserve"> 11 розділу ІІ цього Положення</w:t>
      </w:r>
      <w:r w:rsidR="00B71481">
        <w:rPr>
          <w:rFonts w:ascii="Times New Roman" w:hAnsi="Times New Roman" w:cs="Times New Roman"/>
          <w:sz w:val="28"/>
          <w:szCs w:val="28"/>
        </w:rPr>
        <w:t>,</w:t>
      </w:r>
      <w:r w:rsidR="00B71481" w:rsidRPr="00B71481">
        <w:rPr>
          <w:rFonts w:ascii="Times New Roman" w:hAnsi="Times New Roman" w:cs="Times New Roman"/>
          <w:sz w:val="28"/>
          <w:szCs w:val="28"/>
        </w:rPr>
        <w:t xml:space="preserve"> </w:t>
      </w:r>
      <w:r w:rsidR="00440806" w:rsidRPr="00B71481">
        <w:rPr>
          <w:rFonts w:ascii="Times New Roman" w:hAnsi="Times New Roman" w:cs="Times New Roman"/>
          <w:sz w:val="28"/>
          <w:szCs w:val="28"/>
        </w:rPr>
        <w:t xml:space="preserve">письмово </w:t>
      </w:r>
      <w:r w:rsidR="00C27495" w:rsidRPr="00440806">
        <w:rPr>
          <w:rFonts w:ascii="Times New Roman" w:hAnsi="Times New Roman" w:cs="Times New Roman"/>
          <w:sz w:val="28"/>
          <w:szCs w:val="28"/>
        </w:rPr>
        <w:t>повідомляє Центральний депозитарій про виявлені недоліки.</w:t>
      </w:r>
    </w:p>
    <w:p w:rsidR="00795E43" w:rsidRPr="00440806" w:rsidRDefault="00C27495" w:rsidP="00CC7C3D">
      <w:pPr>
        <w:spacing w:after="0"/>
        <w:ind w:firstLine="709"/>
        <w:jc w:val="both"/>
        <w:rPr>
          <w:rFonts w:ascii="Times New Roman" w:hAnsi="Times New Roman" w:cs="Times New Roman"/>
          <w:sz w:val="28"/>
          <w:szCs w:val="28"/>
        </w:rPr>
      </w:pPr>
      <w:r w:rsidRPr="00440806">
        <w:rPr>
          <w:rFonts w:ascii="Times New Roman" w:hAnsi="Times New Roman" w:cs="Times New Roman"/>
          <w:sz w:val="28"/>
          <w:szCs w:val="28"/>
        </w:rPr>
        <w:t xml:space="preserve">Національний банк у разі усунення Центральним депозитарієм недоліків у поданих документах </w:t>
      </w:r>
      <w:r w:rsidR="00203166" w:rsidRPr="00440806">
        <w:rPr>
          <w:rFonts w:ascii="Times New Roman" w:hAnsi="Times New Roman" w:cs="Times New Roman"/>
          <w:sz w:val="28"/>
          <w:szCs w:val="28"/>
        </w:rPr>
        <w:t xml:space="preserve">продовжує їх опрацювання, а </w:t>
      </w:r>
      <w:r w:rsidR="00A24704" w:rsidRPr="00440806">
        <w:rPr>
          <w:rFonts w:ascii="Times New Roman" w:hAnsi="Times New Roman" w:cs="Times New Roman"/>
          <w:sz w:val="28"/>
          <w:szCs w:val="28"/>
        </w:rPr>
        <w:t xml:space="preserve">в </w:t>
      </w:r>
      <w:r w:rsidRPr="00440806">
        <w:rPr>
          <w:rFonts w:ascii="Times New Roman" w:hAnsi="Times New Roman" w:cs="Times New Roman"/>
          <w:sz w:val="28"/>
          <w:szCs w:val="28"/>
        </w:rPr>
        <w:t xml:space="preserve">разі відмови від усунення недоліків або неподання виправлених документів </w:t>
      </w:r>
      <w:r w:rsidR="00B71481" w:rsidRPr="00B71481">
        <w:rPr>
          <w:rFonts w:ascii="Times New Roman" w:hAnsi="Times New Roman" w:cs="Times New Roman"/>
          <w:sz w:val="28"/>
          <w:szCs w:val="28"/>
        </w:rPr>
        <w:t xml:space="preserve">до завершення строку, </w:t>
      </w:r>
      <w:r w:rsidR="002E7245">
        <w:rPr>
          <w:rFonts w:ascii="Times New Roman" w:hAnsi="Times New Roman" w:cs="Times New Roman"/>
          <w:sz w:val="28"/>
          <w:szCs w:val="28"/>
        </w:rPr>
        <w:lastRenderedPageBreak/>
        <w:t>у</w:t>
      </w:r>
      <w:r w:rsidR="002E7245" w:rsidRPr="00B71481">
        <w:rPr>
          <w:rFonts w:ascii="Times New Roman" w:hAnsi="Times New Roman" w:cs="Times New Roman"/>
          <w:sz w:val="28"/>
          <w:szCs w:val="28"/>
        </w:rPr>
        <w:t xml:space="preserve">становленого </w:t>
      </w:r>
      <w:r w:rsidR="002E7245">
        <w:rPr>
          <w:rFonts w:ascii="Times New Roman" w:hAnsi="Times New Roman" w:cs="Times New Roman"/>
          <w:sz w:val="28"/>
          <w:szCs w:val="28"/>
        </w:rPr>
        <w:t xml:space="preserve">в </w:t>
      </w:r>
      <w:r w:rsidR="00B71481" w:rsidRPr="00B71481">
        <w:rPr>
          <w:rFonts w:ascii="Times New Roman" w:hAnsi="Times New Roman" w:cs="Times New Roman"/>
          <w:sz w:val="28"/>
          <w:szCs w:val="28"/>
        </w:rPr>
        <w:t>пункт</w:t>
      </w:r>
      <w:r w:rsidR="002E7245">
        <w:rPr>
          <w:rFonts w:ascii="Times New Roman" w:hAnsi="Times New Roman" w:cs="Times New Roman"/>
          <w:sz w:val="28"/>
          <w:szCs w:val="28"/>
        </w:rPr>
        <w:t>і</w:t>
      </w:r>
      <w:r w:rsidR="00B71481" w:rsidRPr="00B71481">
        <w:rPr>
          <w:rFonts w:ascii="Times New Roman" w:hAnsi="Times New Roman" w:cs="Times New Roman"/>
          <w:sz w:val="28"/>
          <w:szCs w:val="28"/>
        </w:rPr>
        <w:t xml:space="preserve"> 11 розділу ІІ цього Положення</w:t>
      </w:r>
      <w:r w:rsidRPr="00440806">
        <w:rPr>
          <w:rFonts w:ascii="Times New Roman" w:hAnsi="Times New Roman" w:cs="Times New Roman"/>
          <w:sz w:val="28"/>
          <w:szCs w:val="28"/>
        </w:rPr>
        <w:t xml:space="preserve">, </w:t>
      </w:r>
      <w:r w:rsidR="003B182D" w:rsidRPr="00440806">
        <w:rPr>
          <w:rFonts w:ascii="Times New Roman" w:hAnsi="Times New Roman" w:cs="Times New Roman"/>
          <w:sz w:val="28"/>
          <w:szCs w:val="28"/>
        </w:rPr>
        <w:t xml:space="preserve">надає відмову </w:t>
      </w:r>
      <w:r w:rsidR="00A24704" w:rsidRPr="00440806">
        <w:rPr>
          <w:rFonts w:ascii="Times New Roman" w:hAnsi="Times New Roman" w:cs="Times New Roman"/>
          <w:sz w:val="28"/>
          <w:szCs w:val="28"/>
        </w:rPr>
        <w:t xml:space="preserve">в </w:t>
      </w:r>
      <w:r w:rsidR="003B182D" w:rsidRPr="00440806">
        <w:rPr>
          <w:rFonts w:ascii="Times New Roman" w:hAnsi="Times New Roman" w:cs="Times New Roman"/>
          <w:sz w:val="28"/>
          <w:szCs w:val="28"/>
        </w:rPr>
        <w:t xml:space="preserve">погодженні документів та </w:t>
      </w:r>
      <w:r w:rsidR="000A4DC6" w:rsidRPr="00440806">
        <w:rPr>
          <w:rFonts w:ascii="Times New Roman" w:hAnsi="Times New Roman" w:cs="Times New Roman"/>
          <w:sz w:val="28"/>
          <w:szCs w:val="28"/>
        </w:rPr>
        <w:t>повертає їх</w:t>
      </w:r>
      <w:r w:rsidR="00203166" w:rsidRPr="00440806">
        <w:rPr>
          <w:rFonts w:ascii="Times New Roman" w:hAnsi="Times New Roman" w:cs="Times New Roman"/>
          <w:sz w:val="28"/>
          <w:szCs w:val="28"/>
        </w:rPr>
        <w:t xml:space="preserve"> Центральному депозитарію</w:t>
      </w:r>
      <w:r w:rsidR="000A4DC6" w:rsidRPr="00440806">
        <w:rPr>
          <w:rFonts w:ascii="Times New Roman" w:hAnsi="Times New Roman" w:cs="Times New Roman"/>
          <w:sz w:val="28"/>
          <w:szCs w:val="28"/>
        </w:rPr>
        <w:t>.</w:t>
      </w:r>
    </w:p>
    <w:p w:rsidR="005813B3" w:rsidRDefault="000910B2"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Центральний депозитарій має право повторно подати документи на погодження.</w:t>
      </w:r>
      <w:r w:rsidR="005813B3" w:rsidRPr="00996711">
        <w:rPr>
          <w:rFonts w:ascii="Times New Roman" w:hAnsi="Times New Roman" w:cs="Times New Roman"/>
          <w:sz w:val="28"/>
          <w:szCs w:val="28"/>
        </w:rPr>
        <w:t xml:space="preserve"> </w:t>
      </w:r>
    </w:p>
    <w:p w:rsidR="002772E7" w:rsidRDefault="002772E7" w:rsidP="00CC7C3D">
      <w:pPr>
        <w:spacing w:after="0"/>
        <w:ind w:firstLine="709"/>
        <w:jc w:val="both"/>
        <w:rPr>
          <w:rFonts w:ascii="Times New Roman" w:hAnsi="Times New Roman" w:cs="Times New Roman"/>
          <w:sz w:val="28"/>
          <w:szCs w:val="28"/>
        </w:rPr>
      </w:pPr>
    </w:p>
    <w:p w:rsidR="00BD6108" w:rsidRPr="00996711" w:rsidRDefault="00BD6108"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996711">
        <w:rPr>
          <w:rFonts w:ascii="Times New Roman" w:hAnsi="Times New Roman" w:cs="Times New Roman"/>
          <w:sz w:val="28"/>
          <w:szCs w:val="28"/>
        </w:rPr>
        <w:t xml:space="preserve">Центральний депозитарій </w:t>
      </w:r>
      <w:r w:rsidR="00A24704">
        <w:rPr>
          <w:rFonts w:ascii="Times New Roman" w:hAnsi="Times New Roman" w:cs="Times New Roman"/>
          <w:sz w:val="28"/>
          <w:szCs w:val="28"/>
        </w:rPr>
        <w:t>в</w:t>
      </w:r>
      <w:r w:rsidR="00A24704" w:rsidRPr="00996711">
        <w:rPr>
          <w:rFonts w:ascii="Times New Roman" w:hAnsi="Times New Roman" w:cs="Times New Roman"/>
          <w:sz w:val="28"/>
          <w:szCs w:val="28"/>
        </w:rPr>
        <w:t xml:space="preserve"> </w:t>
      </w:r>
      <w:r w:rsidRPr="00996711">
        <w:rPr>
          <w:rFonts w:ascii="Times New Roman" w:hAnsi="Times New Roman" w:cs="Times New Roman"/>
          <w:sz w:val="28"/>
          <w:szCs w:val="28"/>
        </w:rPr>
        <w:t xml:space="preserve">разі внесення змін до внутрішніх документів у частині опису порядку проведення розрахунків за правочинами щодо цінних паперів </w:t>
      </w:r>
      <w:r w:rsidR="00A24704">
        <w:rPr>
          <w:rFonts w:ascii="Times New Roman" w:hAnsi="Times New Roman" w:cs="Times New Roman"/>
          <w:sz w:val="28"/>
          <w:szCs w:val="28"/>
        </w:rPr>
        <w:t>і</w:t>
      </w:r>
      <w:r w:rsidRPr="00996711">
        <w:rPr>
          <w:rFonts w:ascii="Times New Roman" w:hAnsi="Times New Roman" w:cs="Times New Roman"/>
          <w:sz w:val="28"/>
          <w:szCs w:val="28"/>
        </w:rPr>
        <w:t>з використанням спеціальних засобів СЕП подає</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проєкти</w:t>
      </w:r>
      <w:proofErr w:type="spellEnd"/>
      <w:r w:rsidRPr="00996711">
        <w:rPr>
          <w:rFonts w:ascii="Times New Roman" w:hAnsi="Times New Roman" w:cs="Times New Roman"/>
          <w:sz w:val="28"/>
          <w:szCs w:val="28"/>
        </w:rPr>
        <w:t xml:space="preserve"> </w:t>
      </w:r>
      <w:r>
        <w:rPr>
          <w:rFonts w:ascii="Times New Roman" w:hAnsi="Times New Roman" w:cs="Times New Roman"/>
          <w:sz w:val="28"/>
          <w:szCs w:val="28"/>
        </w:rPr>
        <w:t>внутрішніх документів</w:t>
      </w:r>
      <w:r w:rsidRPr="00996711">
        <w:rPr>
          <w:rFonts w:ascii="Times New Roman" w:hAnsi="Times New Roman" w:cs="Times New Roman"/>
          <w:sz w:val="28"/>
          <w:szCs w:val="28"/>
        </w:rPr>
        <w:t xml:space="preserve"> на погодження Національному банку </w:t>
      </w:r>
      <w:r w:rsidRPr="00952DCD">
        <w:rPr>
          <w:rFonts w:ascii="Times New Roman" w:hAnsi="Times New Roman" w:cs="Times New Roman"/>
          <w:sz w:val="28"/>
          <w:szCs w:val="28"/>
        </w:rPr>
        <w:t xml:space="preserve">відповідно до пунктів </w:t>
      </w:r>
      <w:r>
        <w:rPr>
          <w:rFonts w:ascii="Times New Roman" w:hAnsi="Times New Roman" w:cs="Times New Roman"/>
          <w:sz w:val="28"/>
          <w:szCs w:val="28"/>
        </w:rPr>
        <w:t>10</w:t>
      </w:r>
      <w:r w:rsidR="00A24704">
        <w:rPr>
          <w:rFonts w:ascii="Times New Roman" w:hAnsi="Times New Roman" w:cs="Times New Roman"/>
          <w:sz w:val="28"/>
          <w:szCs w:val="28"/>
        </w:rPr>
        <w:t>−</w:t>
      </w:r>
      <w:r w:rsidRPr="00952DCD">
        <w:rPr>
          <w:rFonts w:ascii="Times New Roman" w:hAnsi="Times New Roman" w:cs="Times New Roman"/>
          <w:sz w:val="28"/>
          <w:szCs w:val="28"/>
        </w:rPr>
        <w:t>1</w:t>
      </w:r>
      <w:r>
        <w:rPr>
          <w:rFonts w:ascii="Times New Roman" w:hAnsi="Times New Roman" w:cs="Times New Roman"/>
          <w:sz w:val="28"/>
          <w:szCs w:val="28"/>
        </w:rPr>
        <w:t>2</w:t>
      </w:r>
      <w:r w:rsidRPr="00952DCD">
        <w:rPr>
          <w:rFonts w:ascii="Times New Roman" w:hAnsi="Times New Roman" w:cs="Times New Roman"/>
          <w:sz w:val="28"/>
          <w:szCs w:val="28"/>
        </w:rPr>
        <w:t xml:space="preserve"> розділу ІІ цього Положення.</w:t>
      </w:r>
    </w:p>
    <w:p w:rsidR="00331616" w:rsidRPr="00996711" w:rsidRDefault="00331616" w:rsidP="00CC7C3D">
      <w:pPr>
        <w:spacing w:after="0"/>
        <w:ind w:firstLine="709"/>
        <w:jc w:val="both"/>
        <w:rPr>
          <w:rFonts w:ascii="Times New Roman" w:hAnsi="Times New Roman" w:cs="Times New Roman"/>
          <w:sz w:val="28"/>
          <w:szCs w:val="28"/>
        </w:rPr>
      </w:pPr>
    </w:p>
    <w:p w:rsidR="005813B3" w:rsidRPr="00996711" w:rsidRDefault="00BD6108"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1</w:t>
      </w:r>
      <w:r>
        <w:rPr>
          <w:rFonts w:ascii="Times New Roman" w:hAnsi="Times New Roman" w:cs="Times New Roman"/>
          <w:sz w:val="28"/>
          <w:szCs w:val="28"/>
        </w:rPr>
        <w:t>4</w:t>
      </w:r>
      <w:r w:rsidR="005813B3" w:rsidRPr="00996711">
        <w:rPr>
          <w:rFonts w:ascii="Times New Roman" w:hAnsi="Times New Roman" w:cs="Times New Roman"/>
          <w:sz w:val="28"/>
          <w:szCs w:val="28"/>
        </w:rPr>
        <w:t>. Центральний депозитарій для отримання доступу</w:t>
      </w:r>
      <w:r w:rsidR="000D0A38" w:rsidRPr="00996711">
        <w:rPr>
          <w:rFonts w:ascii="Times New Roman" w:hAnsi="Times New Roman" w:cs="Times New Roman"/>
          <w:sz w:val="28"/>
          <w:szCs w:val="28"/>
        </w:rPr>
        <w:t xml:space="preserve"> до</w:t>
      </w:r>
      <w:r w:rsidR="005813B3" w:rsidRPr="00996711">
        <w:rPr>
          <w:rFonts w:ascii="Times New Roman" w:hAnsi="Times New Roman" w:cs="Times New Roman"/>
          <w:sz w:val="28"/>
          <w:szCs w:val="28"/>
        </w:rPr>
        <w:t xml:space="preserve"> </w:t>
      </w:r>
      <w:r w:rsidR="000D0A38" w:rsidRPr="00996711">
        <w:rPr>
          <w:rFonts w:ascii="Times New Roman" w:hAnsi="Times New Roman" w:cs="Times New Roman"/>
          <w:sz w:val="28"/>
          <w:szCs w:val="28"/>
        </w:rPr>
        <w:t xml:space="preserve">технології обслуговування розрахунків </w:t>
      </w:r>
      <w:r w:rsidR="00033B70">
        <w:rPr>
          <w:rFonts w:ascii="Times New Roman" w:hAnsi="Times New Roman" w:cs="Times New Roman"/>
          <w:sz w:val="28"/>
          <w:szCs w:val="28"/>
        </w:rPr>
        <w:t>і</w:t>
      </w:r>
      <w:r w:rsidR="000D0A38" w:rsidRPr="00996711">
        <w:rPr>
          <w:rFonts w:ascii="Times New Roman" w:hAnsi="Times New Roman" w:cs="Times New Roman"/>
          <w:sz w:val="28"/>
          <w:szCs w:val="28"/>
        </w:rPr>
        <w:t>з використанням спеціальних засобів СЕП</w:t>
      </w:r>
      <w:r w:rsidR="000D0A38" w:rsidRPr="00996711" w:rsidDel="000D0A38">
        <w:rPr>
          <w:rFonts w:ascii="Times New Roman" w:hAnsi="Times New Roman" w:cs="Times New Roman"/>
          <w:sz w:val="28"/>
          <w:szCs w:val="28"/>
        </w:rPr>
        <w:t xml:space="preserve"> </w:t>
      </w:r>
      <w:r w:rsidR="0092788F" w:rsidRPr="00996711">
        <w:rPr>
          <w:rFonts w:ascii="Times New Roman" w:hAnsi="Times New Roman" w:cs="Times New Roman"/>
          <w:sz w:val="28"/>
          <w:szCs w:val="28"/>
        </w:rPr>
        <w:t xml:space="preserve"> здійснює</w:t>
      </w:r>
      <w:r w:rsidR="005813B3" w:rsidRPr="00996711">
        <w:rPr>
          <w:rFonts w:ascii="Times New Roman" w:hAnsi="Times New Roman" w:cs="Times New Roman"/>
          <w:sz w:val="28"/>
          <w:szCs w:val="28"/>
        </w:rPr>
        <w:t xml:space="preserve"> такі дії:</w:t>
      </w:r>
    </w:p>
    <w:p w:rsidR="00331616" w:rsidRPr="00996711" w:rsidRDefault="00331616" w:rsidP="00CC7C3D">
      <w:pPr>
        <w:spacing w:after="0"/>
        <w:ind w:firstLine="709"/>
        <w:jc w:val="both"/>
        <w:rPr>
          <w:rFonts w:ascii="Times New Roman" w:hAnsi="Times New Roman" w:cs="Times New Roman"/>
          <w:sz w:val="28"/>
          <w:szCs w:val="28"/>
        </w:rPr>
      </w:pPr>
    </w:p>
    <w:p w:rsidR="005813B3" w:rsidRPr="00996711" w:rsidRDefault="005813B3"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1) </w:t>
      </w:r>
      <w:r w:rsidR="002511FD" w:rsidRPr="00996711">
        <w:rPr>
          <w:rFonts w:ascii="Times New Roman" w:hAnsi="Times New Roman" w:cs="Times New Roman"/>
          <w:sz w:val="28"/>
          <w:szCs w:val="28"/>
        </w:rPr>
        <w:t xml:space="preserve">погоджує </w:t>
      </w:r>
      <w:r w:rsidR="00423949">
        <w:rPr>
          <w:rFonts w:ascii="Times New Roman" w:hAnsi="Times New Roman" w:cs="Times New Roman"/>
          <w:sz w:val="28"/>
          <w:szCs w:val="28"/>
        </w:rPr>
        <w:t>з</w:t>
      </w:r>
      <w:r w:rsidR="00423949" w:rsidRPr="00996711">
        <w:rPr>
          <w:rFonts w:ascii="Times New Roman" w:hAnsi="Times New Roman" w:cs="Times New Roman"/>
          <w:sz w:val="28"/>
          <w:szCs w:val="28"/>
        </w:rPr>
        <w:t xml:space="preserve"> Національн</w:t>
      </w:r>
      <w:r w:rsidR="00423949">
        <w:rPr>
          <w:rFonts w:ascii="Times New Roman" w:hAnsi="Times New Roman" w:cs="Times New Roman"/>
          <w:sz w:val="28"/>
          <w:szCs w:val="28"/>
        </w:rPr>
        <w:t>им</w:t>
      </w:r>
      <w:r w:rsidR="00423949" w:rsidRPr="00996711">
        <w:rPr>
          <w:rFonts w:ascii="Times New Roman" w:hAnsi="Times New Roman" w:cs="Times New Roman"/>
          <w:sz w:val="28"/>
          <w:szCs w:val="28"/>
        </w:rPr>
        <w:t xml:space="preserve"> банк</w:t>
      </w:r>
      <w:r w:rsidR="00423949">
        <w:rPr>
          <w:rFonts w:ascii="Times New Roman" w:hAnsi="Times New Roman" w:cs="Times New Roman"/>
          <w:sz w:val="28"/>
          <w:szCs w:val="28"/>
        </w:rPr>
        <w:t>ом</w:t>
      </w:r>
      <w:r w:rsidR="00423949" w:rsidRPr="00996711">
        <w:rPr>
          <w:rFonts w:ascii="Times New Roman" w:hAnsi="Times New Roman" w:cs="Times New Roman"/>
          <w:sz w:val="28"/>
          <w:szCs w:val="28"/>
        </w:rPr>
        <w:t xml:space="preserve"> </w:t>
      </w:r>
      <w:proofErr w:type="spellStart"/>
      <w:r w:rsidR="002772E7">
        <w:rPr>
          <w:rFonts w:ascii="Times New Roman" w:hAnsi="Times New Roman" w:cs="Times New Roman"/>
          <w:sz w:val="28"/>
          <w:szCs w:val="28"/>
        </w:rPr>
        <w:t>проєкти</w:t>
      </w:r>
      <w:proofErr w:type="spellEnd"/>
      <w:r w:rsidR="002772E7">
        <w:rPr>
          <w:rFonts w:ascii="Times New Roman" w:hAnsi="Times New Roman" w:cs="Times New Roman"/>
          <w:sz w:val="28"/>
          <w:szCs w:val="28"/>
        </w:rPr>
        <w:t xml:space="preserve"> </w:t>
      </w:r>
      <w:r w:rsidR="002511FD" w:rsidRPr="00996711">
        <w:rPr>
          <w:rFonts w:ascii="Times New Roman" w:hAnsi="Times New Roman" w:cs="Times New Roman"/>
          <w:sz w:val="28"/>
          <w:szCs w:val="28"/>
        </w:rPr>
        <w:t>внутрішні</w:t>
      </w:r>
      <w:r w:rsidR="005A25BC">
        <w:rPr>
          <w:rFonts w:ascii="Times New Roman" w:hAnsi="Times New Roman" w:cs="Times New Roman"/>
          <w:sz w:val="28"/>
          <w:szCs w:val="28"/>
        </w:rPr>
        <w:t>х</w:t>
      </w:r>
      <w:r w:rsidR="002511FD" w:rsidRPr="00996711">
        <w:rPr>
          <w:rFonts w:ascii="Times New Roman" w:hAnsi="Times New Roman" w:cs="Times New Roman"/>
          <w:sz w:val="28"/>
          <w:szCs w:val="28"/>
        </w:rPr>
        <w:t xml:space="preserve"> </w:t>
      </w:r>
      <w:r w:rsidR="005A25BC" w:rsidRPr="00996711">
        <w:rPr>
          <w:rFonts w:ascii="Times New Roman" w:hAnsi="Times New Roman" w:cs="Times New Roman"/>
          <w:sz w:val="28"/>
          <w:szCs w:val="28"/>
        </w:rPr>
        <w:t>документ</w:t>
      </w:r>
      <w:r w:rsidR="005A25BC">
        <w:rPr>
          <w:rFonts w:ascii="Times New Roman" w:hAnsi="Times New Roman" w:cs="Times New Roman"/>
          <w:sz w:val="28"/>
          <w:szCs w:val="28"/>
        </w:rPr>
        <w:t>ів</w:t>
      </w:r>
      <w:r w:rsidR="005A25BC" w:rsidRPr="00996711">
        <w:rPr>
          <w:rFonts w:ascii="Times New Roman" w:hAnsi="Times New Roman" w:cs="Times New Roman"/>
          <w:sz w:val="28"/>
          <w:szCs w:val="28"/>
        </w:rPr>
        <w:t xml:space="preserve"> </w:t>
      </w:r>
      <w:r w:rsidR="004813D7" w:rsidRPr="00996711">
        <w:rPr>
          <w:rFonts w:ascii="Times New Roman" w:hAnsi="Times New Roman" w:cs="Times New Roman"/>
          <w:sz w:val="28"/>
          <w:szCs w:val="28"/>
        </w:rPr>
        <w:t>в</w:t>
      </w:r>
      <w:r w:rsidR="00952DCD">
        <w:rPr>
          <w:rFonts w:ascii="Times New Roman" w:hAnsi="Times New Roman" w:cs="Times New Roman"/>
          <w:sz w:val="28"/>
          <w:szCs w:val="28"/>
        </w:rPr>
        <w:t>ідповідно до</w:t>
      </w:r>
      <w:r w:rsidR="002511FD" w:rsidRPr="00996711">
        <w:rPr>
          <w:rFonts w:ascii="Times New Roman" w:hAnsi="Times New Roman" w:cs="Times New Roman"/>
          <w:sz w:val="28"/>
          <w:szCs w:val="28"/>
        </w:rPr>
        <w:t xml:space="preserve"> пункт</w:t>
      </w:r>
      <w:r w:rsidR="00952DCD">
        <w:rPr>
          <w:rFonts w:ascii="Times New Roman" w:hAnsi="Times New Roman" w:cs="Times New Roman"/>
          <w:sz w:val="28"/>
          <w:szCs w:val="28"/>
        </w:rPr>
        <w:t>ів</w:t>
      </w:r>
      <w:r w:rsidR="002511FD" w:rsidRPr="00996711">
        <w:rPr>
          <w:rFonts w:ascii="Times New Roman" w:hAnsi="Times New Roman" w:cs="Times New Roman"/>
          <w:sz w:val="28"/>
          <w:szCs w:val="28"/>
        </w:rPr>
        <w:t xml:space="preserve"> </w:t>
      </w:r>
      <w:r w:rsidR="00791639" w:rsidRPr="00EA4057">
        <w:rPr>
          <w:rFonts w:ascii="Times New Roman" w:hAnsi="Times New Roman" w:cs="Times New Roman"/>
          <w:sz w:val="28"/>
          <w:szCs w:val="28"/>
        </w:rPr>
        <w:t>10</w:t>
      </w:r>
      <w:r w:rsidR="00A24704">
        <w:rPr>
          <w:rFonts w:ascii="Times New Roman" w:hAnsi="Times New Roman" w:cs="Times New Roman"/>
          <w:sz w:val="28"/>
          <w:szCs w:val="28"/>
        </w:rPr>
        <w:t>−</w:t>
      </w:r>
      <w:r w:rsidR="0098650D" w:rsidRPr="00EA4057">
        <w:rPr>
          <w:rFonts w:ascii="Times New Roman" w:hAnsi="Times New Roman" w:cs="Times New Roman"/>
          <w:sz w:val="28"/>
          <w:szCs w:val="28"/>
        </w:rPr>
        <w:t>1</w:t>
      </w:r>
      <w:r w:rsidR="00791639" w:rsidRPr="00EA4057">
        <w:rPr>
          <w:rFonts w:ascii="Times New Roman" w:hAnsi="Times New Roman" w:cs="Times New Roman"/>
          <w:sz w:val="28"/>
          <w:szCs w:val="28"/>
        </w:rPr>
        <w:t>2</w:t>
      </w:r>
      <w:r w:rsidR="0098650D" w:rsidRPr="00EA4057">
        <w:rPr>
          <w:rFonts w:ascii="Times New Roman" w:hAnsi="Times New Roman" w:cs="Times New Roman"/>
          <w:sz w:val="28"/>
          <w:szCs w:val="28"/>
        </w:rPr>
        <w:t xml:space="preserve"> розділу ІІ цього Положення</w:t>
      </w:r>
      <w:r w:rsidR="004813D7" w:rsidRPr="00EA4057">
        <w:rPr>
          <w:rFonts w:ascii="Times New Roman" w:hAnsi="Times New Roman" w:cs="Times New Roman"/>
          <w:sz w:val="28"/>
          <w:szCs w:val="28"/>
        </w:rPr>
        <w:t>;</w:t>
      </w:r>
    </w:p>
    <w:p w:rsidR="00331616" w:rsidRPr="00996711" w:rsidRDefault="00331616" w:rsidP="00CC7C3D">
      <w:pPr>
        <w:spacing w:after="0"/>
        <w:ind w:firstLine="709"/>
        <w:jc w:val="both"/>
        <w:rPr>
          <w:rFonts w:ascii="Times New Roman" w:hAnsi="Times New Roman" w:cs="Times New Roman"/>
          <w:sz w:val="28"/>
          <w:szCs w:val="28"/>
        </w:rPr>
      </w:pPr>
    </w:p>
    <w:p w:rsidR="00CF30A8" w:rsidRPr="00996711" w:rsidRDefault="00CF30A8"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2) укладає з Національним банком договір </w:t>
      </w:r>
      <w:r w:rsidR="004C6139" w:rsidRPr="00996711">
        <w:rPr>
          <w:rFonts w:ascii="Times New Roman" w:hAnsi="Times New Roman" w:cs="Times New Roman"/>
          <w:sz w:val="28"/>
          <w:szCs w:val="28"/>
        </w:rPr>
        <w:t xml:space="preserve">про надання </w:t>
      </w:r>
      <w:r w:rsidR="001932EE" w:rsidRPr="00996711">
        <w:rPr>
          <w:rFonts w:ascii="Times New Roman" w:hAnsi="Times New Roman" w:cs="Times New Roman"/>
          <w:sz w:val="28"/>
          <w:szCs w:val="28"/>
        </w:rPr>
        <w:t xml:space="preserve">доступу до </w:t>
      </w:r>
      <w:r w:rsidR="00957646" w:rsidRPr="00996711">
        <w:rPr>
          <w:rFonts w:ascii="Times New Roman" w:hAnsi="Times New Roman" w:cs="Times New Roman"/>
          <w:sz w:val="28"/>
          <w:szCs w:val="28"/>
        </w:rPr>
        <w:t>АРМ-СЕП, АРМ-НБУ-</w:t>
      </w:r>
      <w:proofErr w:type="spellStart"/>
      <w:r w:rsidR="00957646" w:rsidRPr="00996711">
        <w:rPr>
          <w:rFonts w:ascii="Times New Roman" w:hAnsi="Times New Roman" w:cs="Times New Roman"/>
          <w:sz w:val="28"/>
          <w:szCs w:val="28"/>
        </w:rPr>
        <w:t>інф</w:t>
      </w:r>
      <w:proofErr w:type="spellEnd"/>
      <w:r w:rsidR="001932EE" w:rsidRPr="00996711">
        <w:rPr>
          <w:rFonts w:ascii="Times New Roman" w:hAnsi="Times New Roman" w:cs="Times New Roman"/>
          <w:sz w:val="28"/>
          <w:szCs w:val="28"/>
        </w:rPr>
        <w:t xml:space="preserve"> та підключення до технології обслуговування розрахунків за правочинами щодо цінних паперів</w:t>
      </w:r>
      <w:r w:rsidR="006C1842">
        <w:rPr>
          <w:rFonts w:ascii="Times New Roman" w:hAnsi="Times New Roman" w:cs="Times New Roman"/>
          <w:sz w:val="28"/>
          <w:szCs w:val="28"/>
        </w:rPr>
        <w:t xml:space="preserve"> (далі – Договір)</w:t>
      </w:r>
      <w:r w:rsidR="006E0141" w:rsidRPr="00996711">
        <w:rPr>
          <w:rFonts w:ascii="Times New Roman" w:hAnsi="Times New Roman" w:cs="Times New Roman"/>
          <w:sz w:val="28"/>
          <w:szCs w:val="28"/>
        </w:rPr>
        <w:t>;</w:t>
      </w:r>
    </w:p>
    <w:p w:rsidR="00331616" w:rsidRPr="00996711" w:rsidRDefault="00331616" w:rsidP="00CC7C3D">
      <w:pPr>
        <w:spacing w:after="0"/>
        <w:ind w:firstLine="709"/>
        <w:jc w:val="both"/>
        <w:rPr>
          <w:rFonts w:ascii="Times New Roman" w:hAnsi="Times New Roman" w:cs="Times New Roman"/>
          <w:sz w:val="28"/>
          <w:szCs w:val="28"/>
        </w:rPr>
      </w:pPr>
    </w:p>
    <w:p w:rsidR="005813B3" w:rsidRPr="00996711" w:rsidRDefault="00CF30A8"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3</w:t>
      </w:r>
      <w:r w:rsidR="005813B3" w:rsidRPr="00996711">
        <w:rPr>
          <w:rFonts w:ascii="Times New Roman" w:hAnsi="Times New Roman" w:cs="Times New Roman"/>
          <w:sz w:val="28"/>
          <w:szCs w:val="28"/>
        </w:rPr>
        <w:t xml:space="preserve">) подає Національному банку заяву про приєднання до умов Єдиного договору банківського обслуговування </w:t>
      </w:r>
      <w:r w:rsidR="006C1842">
        <w:rPr>
          <w:rFonts w:ascii="Times New Roman" w:hAnsi="Times New Roman" w:cs="Times New Roman"/>
          <w:sz w:val="28"/>
          <w:szCs w:val="28"/>
        </w:rPr>
        <w:t xml:space="preserve">та надання інших послуг Національним банком України </w:t>
      </w:r>
      <w:r w:rsidR="00957646" w:rsidRPr="00996711">
        <w:rPr>
          <w:rFonts w:ascii="Times New Roman" w:hAnsi="Times New Roman" w:cs="Times New Roman"/>
          <w:sz w:val="28"/>
          <w:szCs w:val="28"/>
        </w:rPr>
        <w:t xml:space="preserve">(далі – ЄДБО) </w:t>
      </w:r>
      <w:r w:rsidR="005813B3" w:rsidRPr="00996711">
        <w:rPr>
          <w:rFonts w:ascii="Times New Roman" w:hAnsi="Times New Roman" w:cs="Times New Roman"/>
          <w:sz w:val="28"/>
          <w:szCs w:val="28"/>
        </w:rPr>
        <w:t xml:space="preserve">за формою, розміщеною на сторінці офіційного Інтернет-представництва Національного банку (далі </w:t>
      </w:r>
      <w:r w:rsidR="00A24704">
        <w:rPr>
          <w:rFonts w:ascii="Times New Roman" w:hAnsi="Times New Roman" w:cs="Times New Roman"/>
          <w:sz w:val="28"/>
          <w:szCs w:val="28"/>
        </w:rPr>
        <w:t>−</w:t>
      </w:r>
      <w:r w:rsidR="00A24704" w:rsidRPr="00996711">
        <w:rPr>
          <w:rFonts w:ascii="Times New Roman" w:hAnsi="Times New Roman" w:cs="Times New Roman"/>
          <w:sz w:val="28"/>
          <w:szCs w:val="28"/>
        </w:rPr>
        <w:t xml:space="preserve"> </w:t>
      </w:r>
      <w:r w:rsidR="005813B3" w:rsidRPr="00996711">
        <w:rPr>
          <w:rFonts w:ascii="Times New Roman" w:hAnsi="Times New Roman" w:cs="Times New Roman"/>
          <w:sz w:val="28"/>
          <w:szCs w:val="28"/>
        </w:rPr>
        <w:t>Заява). Заява має містити інформацію про намір отримувати послуги з надання в користування засобів захисту інформації Національного банку, системи електронної пошти Національного банку</w:t>
      </w:r>
      <w:r w:rsidR="001362B3" w:rsidRPr="00996711">
        <w:rPr>
          <w:rFonts w:ascii="Times New Roman" w:hAnsi="Times New Roman" w:cs="Times New Roman"/>
          <w:sz w:val="28"/>
          <w:szCs w:val="28"/>
        </w:rPr>
        <w:t xml:space="preserve"> (якщо Центральний депозитарій не був підключений до таких послуг раніше)</w:t>
      </w:r>
      <w:r w:rsidR="005813B3" w:rsidRPr="00996711">
        <w:rPr>
          <w:rFonts w:ascii="Times New Roman" w:hAnsi="Times New Roman" w:cs="Times New Roman"/>
          <w:sz w:val="28"/>
          <w:szCs w:val="28"/>
        </w:rPr>
        <w:t>;</w:t>
      </w:r>
    </w:p>
    <w:p w:rsidR="00331616" w:rsidRPr="00996711" w:rsidRDefault="00331616" w:rsidP="00CC7C3D">
      <w:pPr>
        <w:spacing w:after="0"/>
        <w:ind w:firstLine="709"/>
        <w:jc w:val="both"/>
        <w:rPr>
          <w:rFonts w:ascii="Times New Roman" w:hAnsi="Times New Roman" w:cs="Times New Roman"/>
          <w:sz w:val="28"/>
          <w:szCs w:val="28"/>
        </w:rPr>
      </w:pPr>
    </w:p>
    <w:p w:rsidR="00915B4A" w:rsidRDefault="00CF30A8"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4</w:t>
      </w:r>
      <w:r w:rsidR="005813B3" w:rsidRPr="00996711">
        <w:rPr>
          <w:rFonts w:ascii="Times New Roman" w:hAnsi="Times New Roman" w:cs="Times New Roman"/>
          <w:sz w:val="28"/>
          <w:szCs w:val="28"/>
        </w:rPr>
        <w:t>) здійснює дії, передбачені нормативно-правовими актами Національного банку</w:t>
      </w:r>
      <w:r w:rsidR="00082308" w:rsidRPr="00996711">
        <w:rPr>
          <w:rFonts w:ascii="Times New Roman" w:hAnsi="Times New Roman" w:cs="Times New Roman"/>
          <w:sz w:val="28"/>
          <w:szCs w:val="28"/>
        </w:rPr>
        <w:t xml:space="preserve"> з питань інформаційної безпеки</w:t>
      </w:r>
      <w:r w:rsidR="005813B3" w:rsidRPr="00996711">
        <w:rPr>
          <w:rFonts w:ascii="Times New Roman" w:hAnsi="Times New Roman" w:cs="Times New Roman"/>
          <w:sz w:val="28"/>
          <w:szCs w:val="28"/>
        </w:rPr>
        <w:t xml:space="preserve">, для підключення послуг, зазначених у </w:t>
      </w:r>
      <w:r w:rsidR="00F473F8" w:rsidRPr="00996711">
        <w:rPr>
          <w:rFonts w:ascii="Times New Roman" w:hAnsi="Times New Roman" w:cs="Times New Roman"/>
          <w:sz w:val="28"/>
          <w:szCs w:val="28"/>
        </w:rPr>
        <w:t xml:space="preserve">підпунктах </w:t>
      </w:r>
      <w:r w:rsidR="005813B3" w:rsidRPr="00EA4057">
        <w:rPr>
          <w:rFonts w:ascii="Times New Roman" w:hAnsi="Times New Roman" w:cs="Times New Roman"/>
          <w:sz w:val="28"/>
          <w:szCs w:val="28"/>
        </w:rPr>
        <w:t>2</w:t>
      </w:r>
      <w:r w:rsidR="00F473F8" w:rsidRPr="00EA4057">
        <w:rPr>
          <w:rFonts w:ascii="Times New Roman" w:hAnsi="Times New Roman" w:cs="Times New Roman"/>
          <w:sz w:val="28"/>
          <w:szCs w:val="28"/>
        </w:rPr>
        <w:t>, 3</w:t>
      </w:r>
      <w:r w:rsidR="005813B3" w:rsidRPr="00EA4057">
        <w:rPr>
          <w:rFonts w:ascii="Times New Roman" w:hAnsi="Times New Roman" w:cs="Times New Roman"/>
          <w:sz w:val="28"/>
          <w:szCs w:val="28"/>
        </w:rPr>
        <w:t xml:space="preserve"> пункту </w:t>
      </w:r>
      <w:r w:rsidR="002772E7" w:rsidRPr="00EA4057">
        <w:rPr>
          <w:rFonts w:ascii="Times New Roman" w:hAnsi="Times New Roman" w:cs="Times New Roman"/>
          <w:sz w:val="28"/>
          <w:szCs w:val="28"/>
        </w:rPr>
        <w:t>1</w:t>
      </w:r>
      <w:r w:rsidR="002772E7">
        <w:rPr>
          <w:rFonts w:ascii="Times New Roman" w:hAnsi="Times New Roman" w:cs="Times New Roman"/>
          <w:sz w:val="28"/>
          <w:szCs w:val="28"/>
        </w:rPr>
        <w:t>4</w:t>
      </w:r>
      <w:r w:rsidR="002772E7" w:rsidRPr="00EA4057">
        <w:rPr>
          <w:rFonts w:ascii="Times New Roman" w:hAnsi="Times New Roman" w:cs="Times New Roman"/>
          <w:sz w:val="28"/>
          <w:szCs w:val="28"/>
        </w:rPr>
        <w:t xml:space="preserve"> </w:t>
      </w:r>
      <w:r w:rsidR="0098650D" w:rsidRPr="00EA4057">
        <w:rPr>
          <w:rFonts w:ascii="Times New Roman" w:hAnsi="Times New Roman" w:cs="Times New Roman"/>
          <w:sz w:val="28"/>
          <w:szCs w:val="28"/>
        </w:rPr>
        <w:t>розділу</w:t>
      </w:r>
      <w:r w:rsidR="00634434" w:rsidRPr="00EA4057">
        <w:rPr>
          <w:rFonts w:ascii="Times New Roman" w:hAnsi="Times New Roman" w:cs="Times New Roman"/>
          <w:sz w:val="28"/>
          <w:szCs w:val="28"/>
        </w:rPr>
        <w:t xml:space="preserve"> </w:t>
      </w:r>
      <w:r w:rsidR="0098650D" w:rsidRPr="00EA4057">
        <w:rPr>
          <w:rFonts w:ascii="Times New Roman" w:hAnsi="Times New Roman" w:cs="Times New Roman"/>
          <w:sz w:val="28"/>
          <w:szCs w:val="28"/>
        </w:rPr>
        <w:t>ІІ</w:t>
      </w:r>
      <w:r w:rsidR="00741591" w:rsidRPr="00EA4057">
        <w:rPr>
          <w:rFonts w:ascii="Times New Roman" w:hAnsi="Times New Roman" w:cs="Times New Roman"/>
          <w:sz w:val="28"/>
          <w:szCs w:val="28"/>
        </w:rPr>
        <w:t xml:space="preserve"> </w:t>
      </w:r>
      <w:r w:rsidR="005813B3" w:rsidRPr="00EA4057">
        <w:rPr>
          <w:rFonts w:ascii="Times New Roman" w:hAnsi="Times New Roman" w:cs="Times New Roman"/>
          <w:sz w:val="28"/>
          <w:szCs w:val="28"/>
        </w:rPr>
        <w:t>цього По</w:t>
      </w:r>
      <w:r w:rsidR="0098650D" w:rsidRPr="00EA4057">
        <w:rPr>
          <w:rFonts w:ascii="Times New Roman" w:hAnsi="Times New Roman" w:cs="Times New Roman"/>
          <w:sz w:val="28"/>
          <w:szCs w:val="28"/>
        </w:rPr>
        <w:t>ложення</w:t>
      </w:r>
      <w:r w:rsidR="005813B3" w:rsidRPr="0098650D">
        <w:rPr>
          <w:rFonts w:ascii="Times New Roman" w:hAnsi="Times New Roman" w:cs="Times New Roman"/>
          <w:sz w:val="28"/>
          <w:szCs w:val="28"/>
        </w:rPr>
        <w:t>.</w:t>
      </w:r>
    </w:p>
    <w:p w:rsidR="0098650D" w:rsidRPr="00996711" w:rsidRDefault="0098650D" w:rsidP="00CC7C3D">
      <w:pPr>
        <w:spacing w:after="0"/>
        <w:ind w:firstLine="709"/>
        <w:jc w:val="both"/>
        <w:rPr>
          <w:rFonts w:ascii="Times New Roman" w:hAnsi="Times New Roman" w:cs="Times New Roman"/>
          <w:sz w:val="28"/>
          <w:szCs w:val="28"/>
        </w:rPr>
      </w:pPr>
    </w:p>
    <w:p w:rsidR="006E0141" w:rsidRPr="00996711" w:rsidRDefault="00BD6108" w:rsidP="00482C6A">
      <w:pPr>
        <w:spacing w:after="0"/>
        <w:ind w:firstLine="709"/>
        <w:jc w:val="both"/>
        <w:rPr>
          <w:rFonts w:ascii="Times New Roman" w:hAnsi="Times New Roman" w:cs="Times New Roman"/>
          <w:sz w:val="28"/>
          <w:szCs w:val="28"/>
        </w:rPr>
      </w:pPr>
      <w:r>
        <w:rPr>
          <w:rFonts w:ascii="Times New Roman" w:hAnsi="Times New Roman" w:cs="Times New Roman"/>
          <w:sz w:val="28"/>
          <w:szCs w:val="28"/>
        </w:rPr>
        <w:t>15</w:t>
      </w:r>
      <w:r w:rsidR="0098650D">
        <w:rPr>
          <w:rFonts w:ascii="Times New Roman" w:hAnsi="Times New Roman" w:cs="Times New Roman"/>
          <w:sz w:val="28"/>
          <w:szCs w:val="28"/>
        </w:rPr>
        <w:t xml:space="preserve">. </w:t>
      </w:r>
      <w:r w:rsidR="008C6A8E" w:rsidRPr="00996711">
        <w:rPr>
          <w:rFonts w:ascii="Times New Roman" w:hAnsi="Times New Roman" w:cs="Times New Roman"/>
          <w:sz w:val="28"/>
          <w:szCs w:val="28"/>
        </w:rPr>
        <w:t>Центральний депозитарій</w:t>
      </w:r>
      <w:r w:rsidR="00915B4A" w:rsidRPr="00996711">
        <w:rPr>
          <w:rFonts w:ascii="Times New Roman" w:hAnsi="Times New Roman" w:cs="Times New Roman"/>
          <w:sz w:val="28"/>
          <w:szCs w:val="28"/>
        </w:rPr>
        <w:t xml:space="preserve"> для </w:t>
      </w:r>
      <w:r w:rsidR="006C1842" w:rsidRPr="00996711">
        <w:rPr>
          <w:rFonts w:ascii="Times New Roman" w:hAnsi="Times New Roman" w:cs="Times New Roman"/>
          <w:sz w:val="28"/>
          <w:szCs w:val="28"/>
        </w:rPr>
        <w:t xml:space="preserve">приєднання до умов ЄДБО </w:t>
      </w:r>
      <w:r w:rsidR="006C1842">
        <w:rPr>
          <w:rFonts w:ascii="Times New Roman" w:hAnsi="Times New Roman" w:cs="Times New Roman"/>
          <w:sz w:val="28"/>
          <w:szCs w:val="28"/>
        </w:rPr>
        <w:t xml:space="preserve">та </w:t>
      </w:r>
      <w:r w:rsidR="00915B4A" w:rsidRPr="00996711">
        <w:rPr>
          <w:rFonts w:ascii="Times New Roman" w:hAnsi="Times New Roman" w:cs="Times New Roman"/>
          <w:sz w:val="28"/>
          <w:szCs w:val="28"/>
        </w:rPr>
        <w:t>укладення з Національн</w:t>
      </w:r>
      <w:r w:rsidR="008C6A8E" w:rsidRPr="00996711">
        <w:rPr>
          <w:rFonts w:ascii="Times New Roman" w:hAnsi="Times New Roman" w:cs="Times New Roman"/>
          <w:sz w:val="28"/>
          <w:szCs w:val="28"/>
        </w:rPr>
        <w:t>им</w:t>
      </w:r>
      <w:r w:rsidR="00915B4A" w:rsidRPr="00996711">
        <w:rPr>
          <w:rFonts w:ascii="Times New Roman" w:hAnsi="Times New Roman" w:cs="Times New Roman"/>
          <w:sz w:val="28"/>
          <w:szCs w:val="28"/>
        </w:rPr>
        <w:t xml:space="preserve"> банк</w:t>
      </w:r>
      <w:r w:rsidR="008C6A8E" w:rsidRPr="00996711">
        <w:rPr>
          <w:rFonts w:ascii="Times New Roman" w:hAnsi="Times New Roman" w:cs="Times New Roman"/>
          <w:sz w:val="28"/>
          <w:szCs w:val="28"/>
        </w:rPr>
        <w:t>ом</w:t>
      </w:r>
      <w:r w:rsidR="00915B4A" w:rsidRPr="00996711">
        <w:rPr>
          <w:rFonts w:ascii="Times New Roman" w:hAnsi="Times New Roman" w:cs="Times New Roman"/>
          <w:sz w:val="28"/>
          <w:szCs w:val="28"/>
        </w:rPr>
        <w:t xml:space="preserve"> </w:t>
      </w:r>
      <w:r w:rsidR="006C1842">
        <w:rPr>
          <w:rFonts w:ascii="Times New Roman" w:hAnsi="Times New Roman" w:cs="Times New Roman"/>
          <w:sz w:val="28"/>
          <w:szCs w:val="28"/>
        </w:rPr>
        <w:t>Д</w:t>
      </w:r>
      <w:r w:rsidR="006C1842" w:rsidRPr="00996711">
        <w:rPr>
          <w:rFonts w:ascii="Times New Roman" w:hAnsi="Times New Roman" w:cs="Times New Roman"/>
          <w:sz w:val="28"/>
          <w:szCs w:val="28"/>
        </w:rPr>
        <w:t xml:space="preserve">оговору </w:t>
      </w:r>
      <w:r w:rsidR="00915B4A" w:rsidRPr="00996711">
        <w:rPr>
          <w:rFonts w:ascii="Times New Roman" w:hAnsi="Times New Roman" w:cs="Times New Roman"/>
          <w:sz w:val="28"/>
          <w:szCs w:val="28"/>
        </w:rPr>
        <w:t>подає</w:t>
      </w:r>
      <w:r w:rsidR="006C1842">
        <w:rPr>
          <w:rFonts w:ascii="Times New Roman" w:hAnsi="Times New Roman" w:cs="Times New Roman"/>
          <w:sz w:val="28"/>
          <w:szCs w:val="28"/>
        </w:rPr>
        <w:t xml:space="preserve"> Заяву та</w:t>
      </w:r>
      <w:r w:rsidR="00915B4A" w:rsidRPr="00996711">
        <w:rPr>
          <w:rFonts w:ascii="Times New Roman" w:hAnsi="Times New Roman" w:cs="Times New Roman"/>
          <w:sz w:val="28"/>
          <w:szCs w:val="28"/>
        </w:rPr>
        <w:t xml:space="preserve"> лист-заяву на укладення </w:t>
      </w:r>
      <w:r w:rsidR="006C1842">
        <w:rPr>
          <w:rFonts w:ascii="Times New Roman" w:hAnsi="Times New Roman" w:cs="Times New Roman"/>
          <w:sz w:val="28"/>
          <w:szCs w:val="28"/>
        </w:rPr>
        <w:t>Д</w:t>
      </w:r>
      <w:r w:rsidR="00915B4A" w:rsidRPr="00996711">
        <w:rPr>
          <w:rFonts w:ascii="Times New Roman" w:hAnsi="Times New Roman" w:cs="Times New Roman"/>
          <w:sz w:val="28"/>
          <w:szCs w:val="28"/>
        </w:rPr>
        <w:t xml:space="preserve">оговору </w:t>
      </w:r>
      <w:r w:rsidR="00A24704">
        <w:rPr>
          <w:rFonts w:ascii="Times New Roman" w:hAnsi="Times New Roman" w:cs="Times New Roman"/>
          <w:sz w:val="28"/>
          <w:szCs w:val="28"/>
        </w:rPr>
        <w:t>в</w:t>
      </w:r>
      <w:r w:rsidR="00A24704" w:rsidRPr="00996711">
        <w:rPr>
          <w:rFonts w:ascii="Times New Roman" w:hAnsi="Times New Roman" w:cs="Times New Roman"/>
          <w:sz w:val="28"/>
          <w:szCs w:val="28"/>
        </w:rPr>
        <w:t xml:space="preserve"> </w:t>
      </w:r>
      <w:r w:rsidR="00915B4A" w:rsidRPr="00996711">
        <w:rPr>
          <w:rFonts w:ascii="Times New Roman" w:hAnsi="Times New Roman" w:cs="Times New Roman"/>
          <w:sz w:val="28"/>
          <w:szCs w:val="28"/>
        </w:rPr>
        <w:t>довільній формі із зазначенням переліку документів, що додаються</w:t>
      </w:r>
      <w:r w:rsidR="003F2595" w:rsidRPr="00996711">
        <w:rPr>
          <w:rFonts w:ascii="Times New Roman" w:hAnsi="Times New Roman" w:cs="Times New Roman"/>
          <w:sz w:val="28"/>
          <w:szCs w:val="28"/>
        </w:rPr>
        <w:t xml:space="preserve"> (якщо такі документи не надавалися Центральним депозитарієм до </w:t>
      </w:r>
      <w:r w:rsidR="003F2595" w:rsidRPr="00996711">
        <w:rPr>
          <w:rFonts w:ascii="Times New Roman" w:hAnsi="Times New Roman" w:cs="Times New Roman"/>
          <w:sz w:val="28"/>
          <w:szCs w:val="28"/>
        </w:rPr>
        <w:lastRenderedPageBreak/>
        <w:t>Національного банку раніше</w:t>
      </w:r>
      <w:r w:rsidR="001966BD" w:rsidRPr="00996711">
        <w:rPr>
          <w:rFonts w:ascii="Times New Roman" w:hAnsi="Times New Roman" w:cs="Times New Roman"/>
          <w:sz w:val="28"/>
          <w:szCs w:val="28"/>
        </w:rPr>
        <w:t xml:space="preserve"> або раніше надані документи потребують оновлення</w:t>
      </w:r>
      <w:r w:rsidR="003F2595" w:rsidRPr="00996711">
        <w:rPr>
          <w:rFonts w:ascii="Times New Roman" w:hAnsi="Times New Roman" w:cs="Times New Roman"/>
          <w:sz w:val="28"/>
          <w:szCs w:val="28"/>
        </w:rPr>
        <w:t>)</w:t>
      </w:r>
      <w:r w:rsidR="00915B4A" w:rsidRPr="00996711">
        <w:rPr>
          <w:rFonts w:ascii="Times New Roman" w:hAnsi="Times New Roman" w:cs="Times New Roman"/>
          <w:sz w:val="28"/>
          <w:szCs w:val="28"/>
        </w:rPr>
        <w:t>, а саме:</w:t>
      </w:r>
    </w:p>
    <w:p w:rsidR="00A50FE0" w:rsidRPr="00996711" w:rsidRDefault="00A50FE0" w:rsidP="00482C6A">
      <w:pPr>
        <w:spacing w:after="0"/>
        <w:ind w:firstLine="709"/>
        <w:jc w:val="both"/>
        <w:rPr>
          <w:rFonts w:ascii="Times New Roman" w:hAnsi="Times New Roman" w:cs="Times New Roman"/>
          <w:sz w:val="28"/>
          <w:szCs w:val="28"/>
        </w:rPr>
      </w:pPr>
    </w:p>
    <w:p w:rsidR="009E41A4" w:rsidRPr="00596CA0" w:rsidRDefault="00A45C7D" w:rsidP="00482C6A">
      <w:pPr>
        <w:pStyle w:val="a3"/>
        <w:numPr>
          <w:ilvl w:val="0"/>
          <w:numId w:val="5"/>
        </w:numPr>
        <w:spacing w:after="0"/>
        <w:ind w:left="0" w:firstLine="709"/>
        <w:jc w:val="both"/>
        <w:rPr>
          <w:rFonts w:ascii="Times New Roman" w:hAnsi="Times New Roman" w:cs="Times New Roman"/>
          <w:sz w:val="28"/>
          <w:szCs w:val="28"/>
        </w:rPr>
      </w:pPr>
      <w:r w:rsidRPr="00996711">
        <w:rPr>
          <w:rFonts w:ascii="Times New Roman" w:hAnsi="Times New Roman" w:cs="Times New Roman"/>
          <w:sz w:val="28"/>
          <w:szCs w:val="28"/>
        </w:rPr>
        <w:t>копію зареєстрованого установчого документа, засвідчену підписом керівника Центрального депозитарію, якщо він не розміщений на порталі електронних сервісів юридичних осіб, фізичних осіб-підприємців та громадських формувань</w:t>
      </w:r>
      <w:r w:rsidR="00596CA0">
        <w:rPr>
          <w:rFonts w:ascii="Times New Roman" w:hAnsi="Times New Roman" w:cs="Times New Roman"/>
          <w:sz w:val="28"/>
          <w:szCs w:val="28"/>
        </w:rPr>
        <w:t>;</w:t>
      </w:r>
      <w:r w:rsidR="00B63496">
        <w:rPr>
          <w:rFonts w:ascii="Times New Roman" w:hAnsi="Times New Roman" w:cs="Times New Roman"/>
          <w:sz w:val="28"/>
          <w:szCs w:val="28"/>
        </w:rPr>
        <w:t xml:space="preserve"> </w:t>
      </w:r>
    </w:p>
    <w:p w:rsidR="00A50FE0" w:rsidRPr="00996711" w:rsidRDefault="00A50FE0" w:rsidP="00482C6A">
      <w:pPr>
        <w:pStyle w:val="a3"/>
        <w:spacing w:after="0"/>
        <w:ind w:left="0" w:firstLine="709"/>
        <w:jc w:val="both"/>
        <w:rPr>
          <w:rFonts w:ascii="Times New Roman" w:hAnsi="Times New Roman" w:cs="Times New Roman"/>
          <w:sz w:val="28"/>
          <w:szCs w:val="28"/>
        </w:rPr>
      </w:pPr>
    </w:p>
    <w:p w:rsidR="00A45C7D" w:rsidRPr="00996711" w:rsidRDefault="00A45C7D" w:rsidP="00482C6A">
      <w:pPr>
        <w:pStyle w:val="a3"/>
        <w:numPr>
          <w:ilvl w:val="0"/>
          <w:numId w:val="5"/>
        </w:numPr>
        <w:spacing w:after="0"/>
        <w:ind w:left="0" w:firstLine="709"/>
        <w:jc w:val="both"/>
        <w:rPr>
          <w:rFonts w:ascii="Times New Roman" w:hAnsi="Times New Roman" w:cs="Times New Roman"/>
          <w:sz w:val="28"/>
          <w:szCs w:val="28"/>
        </w:rPr>
      </w:pPr>
      <w:r w:rsidRPr="00996711">
        <w:rPr>
          <w:rFonts w:ascii="Times New Roman" w:hAnsi="Times New Roman" w:cs="Times New Roman"/>
          <w:sz w:val="28"/>
          <w:szCs w:val="28"/>
        </w:rPr>
        <w:t>коп</w:t>
      </w:r>
      <w:r w:rsidR="002D72EC" w:rsidRPr="00996711">
        <w:rPr>
          <w:rFonts w:ascii="Times New Roman" w:hAnsi="Times New Roman" w:cs="Times New Roman"/>
          <w:sz w:val="28"/>
          <w:szCs w:val="28"/>
        </w:rPr>
        <w:t>ії</w:t>
      </w:r>
      <w:r w:rsidRPr="00996711">
        <w:rPr>
          <w:rFonts w:ascii="Times New Roman" w:hAnsi="Times New Roman" w:cs="Times New Roman"/>
          <w:sz w:val="28"/>
          <w:szCs w:val="28"/>
        </w:rPr>
        <w:t xml:space="preserve"> </w:t>
      </w:r>
      <w:r w:rsidR="00FA57A1">
        <w:rPr>
          <w:rFonts w:ascii="Times New Roman" w:hAnsi="Times New Roman" w:cs="Times New Roman"/>
          <w:sz w:val="28"/>
          <w:szCs w:val="28"/>
        </w:rPr>
        <w:t xml:space="preserve">внутрішніх документів </w:t>
      </w:r>
      <w:r w:rsidRPr="00996711">
        <w:rPr>
          <w:rFonts w:ascii="Times New Roman" w:hAnsi="Times New Roman" w:cs="Times New Roman"/>
          <w:sz w:val="28"/>
          <w:szCs w:val="28"/>
        </w:rPr>
        <w:t>Центрального депозитарію</w:t>
      </w:r>
      <w:r w:rsidR="002D72EC" w:rsidRPr="00996711">
        <w:rPr>
          <w:rFonts w:ascii="Times New Roman" w:hAnsi="Times New Roman" w:cs="Times New Roman"/>
          <w:sz w:val="28"/>
          <w:szCs w:val="28"/>
        </w:rPr>
        <w:t>, які містять опис</w:t>
      </w:r>
      <w:r w:rsidR="002D72EC" w:rsidRPr="00996711">
        <w:t xml:space="preserve"> </w:t>
      </w:r>
      <w:r w:rsidR="002D72EC" w:rsidRPr="00996711">
        <w:rPr>
          <w:rFonts w:ascii="Times New Roman" w:hAnsi="Times New Roman" w:cs="Times New Roman"/>
          <w:sz w:val="28"/>
          <w:szCs w:val="28"/>
        </w:rPr>
        <w:t>порядку здійснення розрахунків  за правочинами щодо цінних паперів за умови проведення розрахунків за принципом “поставка цінних паперів проти оплати” з використанням спеціальних засобів СЕП (за наявності), засвідчені в установленому законодавством порядку;</w:t>
      </w:r>
    </w:p>
    <w:p w:rsidR="00A50FE0" w:rsidRPr="00996711" w:rsidRDefault="00A50FE0" w:rsidP="00482C6A">
      <w:pPr>
        <w:pStyle w:val="a3"/>
        <w:spacing w:after="0"/>
        <w:ind w:left="0" w:firstLine="709"/>
        <w:rPr>
          <w:rFonts w:ascii="Times New Roman" w:hAnsi="Times New Roman" w:cs="Times New Roman"/>
          <w:sz w:val="28"/>
          <w:szCs w:val="28"/>
        </w:rPr>
      </w:pPr>
    </w:p>
    <w:p w:rsidR="006E0141" w:rsidRPr="00996711" w:rsidRDefault="00864543" w:rsidP="00482C6A">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3) </w:t>
      </w:r>
      <w:r w:rsidR="001966BD" w:rsidRPr="00996711">
        <w:rPr>
          <w:rFonts w:ascii="Times New Roman" w:hAnsi="Times New Roman" w:cs="Times New Roman"/>
          <w:sz w:val="28"/>
          <w:szCs w:val="28"/>
        </w:rPr>
        <w:t>документи, передбачені нормативно-правовим актом Національного банку з питань використання засобів захисту Національного банку</w:t>
      </w:r>
      <w:r w:rsidR="00713F1C" w:rsidRPr="00996711">
        <w:rPr>
          <w:rFonts w:ascii="Times New Roman" w:hAnsi="Times New Roman" w:cs="Times New Roman"/>
          <w:sz w:val="28"/>
          <w:szCs w:val="28"/>
        </w:rPr>
        <w:t>.</w:t>
      </w:r>
    </w:p>
    <w:p w:rsidR="003011E3" w:rsidRPr="00996711" w:rsidRDefault="006E0141" w:rsidP="00482C6A">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Ц</w:t>
      </w:r>
      <w:r w:rsidR="003011E3" w:rsidRPr="00996711">
        <w:rPr>
          <w:rFonts w:ascii="Times New Roman" w:hAnsi="Times New Roman" w:cs="Times New Roman"/>
          <w:sz w:val="28"/>
          <w:szCs w:val="28"/>
        </w:rPr>
        <w:t xml:space="preserve">ентральний депозитарій </w:t>
      </w:r>
      <w:r w:rsidR="00411D4A">
        <w:rPr>
          <w:rFonts w:ascii="Times New Roman" w:hAnsi="Times New Roman" w:cs="Times New Roman"/>
          <w:sz w:val="28"/>
          <w:szCs w:val="28"/>
        </w:rPr>
        <w:t>в</w:t>
      </w:r>
      <w:r w:rsidR="00411D4A" w:rsidRPr="00996711">
        <w:rPr>
          <w:rFonts w:ascii="Times New Roman" w:hAnsi="Times New Roman" w:cs="Times New Roman"/>
          <w:sz w:val="28"/>
          <w:szCs w:val="28"/>
        </w:rPr>
        <w:t xml:space="preserve"> </w:t>
      </w:r>
      <w:r w:rsidR="003011E3" w:rsidRPr="00996711">
        <w:rPr>
          <w:rFonts w:ascii="Times New Roman" w:hAnsi="Times New Roman" w:cs="Times New Roman"/>
          <w:sz w:val="28"/>
          <w:szCs w:val="28"/>
        </w:rPr>
        <w:t xml:space="preserve">разі внесення змін до документів, що подавалися ним для укладення з Національним банком </w:t>
      </w:r>
      <w:r w:rsidR="006C1842">
        <w:rPr>
          <w:rFonts w:ascii="Times New Roman" w:hAnsi="Times New Roman" w:cs="Times New Roman"/>
          <w:sz w:val="28"/>
          <w:szCs w:val="28"/>
        </w:rPr>
        <w:t>Д</w:t>
      </w:r>
      <w:r w:rsidR="003011E3" w:rsidRPr="00996711">
        <w:rPr>
          <w:rFonts w:ascii="Times New Roman" w:hAnsi="Times New Roman" w:cs="Times New Roman"/>
          <w:sz w:val="28"/>
          <w:szCs w:val="28"/>
        </w:rPr>
        <w:t>оговору та приєднання до умов ЄДБО</w:t>
      </w:r>
      <w:r w:rsidR="00033B70">
        <w:rPr>
          <w:rFonts w:ascii="Times New Roman" w:hAnsi="Times New Roman" w:cs="Times New Roman"/>
          <w:sz w:val="28"/>
          <w:szCs w:val="28"/>
        </w:rPr>
        <w:t>,</w:t>
      </w:r>
      <w:r w:rsidR="00BB59CF" w:rsidRPr="00996711">
        <w:rPr>
          <w:rFonts w:ascii="Times New Roman" w:hAnsi="Times New Roman" w:cs="Times New Roman"/>
          <w:sz w:val="28"/>
          <w:szCs w:val="28"/>
        </w:rPr>
        <w:t xml:space="preserve"> </w:t>
      </w:r>
      <w:r w:rsidR="001F7136">
        <w:rPr>
          <w:rFonts w:ascii="Times New Roman" w:hAnsi="Times New Roman" w:cs="Times New Roman"/>
          <w:sz w:val="28"/>
          <w:szCs w:val="28"/>
        </w:rPr>
        <w:t>по</w:t>
      </w:r>
      <w:r w:rsidR="001F7136" w:rsidRPr="00996711">
        <w:rPr>
          <w:rFonts w:ascii="Times New Roman" w:hAnsi="Times New Roman" w:cs="Times New Roman"/>
          <w:sz w:val="28"/>
          <w:szCs w:val="28"/>
        </w:rPr>
        <w:t xml:space="preserve">дає </w:t>
      </w:r>
      <w:r w:rsidR="00B76AC5" w:rsidRPr="00996711">
        <w:rPr>
          <w:rFonts w:ascii="Times New Roman" w:hAnsi="Times New Roman" w:cs="Times New Roman"/>
          <w:sz w:val="28"/>
          <w:szCs w:val="28"/>
        </w:rPr>
        <w:t xml:space="preserve">Національному банку </w:t>
      </w:r>
      <w:r w:rsidR="006372FC" w:rsidRPr="00996711">
        <w:rPr>
          <w:rFonts w:ascii="Times New Roman" w:hAnsi="Times New Roman" w:cs="Times New Roman"/>
          <w:sz w:val="28"/>
          <w:szCs w:val="28"/>
        </w:rPr>
        <w:t>разом із супровідним листом оригінали або належним чином засвідчені копії документів, у яких відбулися зміни.</w:t>
      </w:r>
    </w:p>
    <w:p w:rsidR="00A50FE0" w:rsidRPr="00996711" w:rsidRDefault="00A50FE0" w:rsidP="00482C6A">
      <w:pPr>
        <w:spacing w:after="0"/>
        <w:ind w:firstLine="709"/>
        <w:jc w:val="both"/>
        <w:rPr>
          <w:rFonts w:ascii="Times New Roman" w:hAnsi="Times New Roman" w:cs="Times New Roman"/>
          <w:sz w:val="28"/>
          <w:szCs w:val="28"/>
        </w:rPr>
      </w:pPr>
    </w:p>
    <w:p w:rsidR="008B144A" w:rsidRPr="00996711" w:rsidRDefault="00BD6108"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1</w:t>
      </w:r>
      <w:r>
        <w:rPr>
          <w:rFonts w:ascii="Times New Roman" w:hAnsi="Times New Roman" w:cs="Times New Roman"/>
          <w:sz w:val="28"/>
          <w:szCs w:val="28"/>
        </w:rPr>
        <w:t>6</w:t>
      </w:r>
      <w:r w:rsidR="00786D11" w:rsidRPr="00996711">
        <w:rPr>
          <w:rFonts w:ascii="Times New Roman" w:hAnsi="Times New Roman" w:cs="Times New Roman"/>
          <w:sz w:val="28"/>
          <w:szCs w:val="28"/>
        </w:rPr>
        <w:t xml:space="preserve">. </w:t>
      </w:r>
      <w:r w:rsidR="008B144A" w:rsidRPr="00996711">
        <w:rPr>
          <w:rFonts w:ascii="Times New Roman" w:hAnsi="Times New Roman" w:cs="Times New Roman"/>
          <w:sz w:val="28"/>
          <w:szCs w:val="28"/>
        </w:rPr>
        <w:t xml:space="preserve">Підставами для відмови </w:t>
      </w:r>
      <w:r w:rsidR="00411D4A">
        <w:rPr>
          <w:rFonts w:ascii="Times New Roman" w:hAnsi="Times New Roman" w:cs="Times New Roman"/>
          <w:sz w:val="28"/>
          <w:szCs w:val="28"/>
        </w:rPr>
        <w:t xml:space="preserve">в </w:t>
      </w:r>
      <w:r w:rsidR="008B144A" w:rsidRPr="00996711">
        <w:rPr>
          <w:rFonts w:ascii="Times New Roman" w:hAnsi="Times New Roman" w:cs="Times New Roman"/>
          <w:sz w:val="28"/>
          <w:szCs w:val="28"/>
        </w:rPr>
        <w:t>наданні доступу</w:t>
      </w:r>
      <w:r w:rsidR="00367B11" w:rsidRPr="00996711">
        <w:rPr>
          <w:rFonts w:ascii="Times New Roman" w:hAnsi="Times New Roman" w:cs="Times New Roman"/>
          <w:sz w:val="28"/>
          <w:szCs w:val="28"/>
        </w:rPr>
        <w:t>/припинення надання доступу</w:t>
      </w:r>
      <w:r w:rsidR="008B144A" w:rsidRPr="00996711">
        <w:rPr>
          <w:rFonts w:ascii="Times New Roman" w:hAnsi="Times New Roman" w:cs="Times New Roman"/>
          <w:sz w:val="28"/>
          <w:szCs w:val="28"/>
        </w:rPr>
        <w:t xml:space="preserve"> до </w:t>
      </w:r>
      <w:r w:rsidR="000D0A38" w:rsidRPr="00996711">
        <w:rPr>
          <w:rFonts w:ascii="Times New Roman" w:hAnsi="Times New Roman" w:cs="Times New Roman"/>
          <w:sz w:val="28"/>
          <w:szCs w:val="28"/>
        </w:rPr>
        <w:t xml:space="preserve">технології обслуговування розрахунків </w:t>
      </w:r>
      <w:r w:rsidR="00313720">
        <w:rPr>
          <w:rFonts w:ascii="Times New Roman" w:hAnsi="Times New Roman" w:cs="Times New Roman"/>
          <w:sz w:val="28"/>
          <w:szCs w:val="28"/>
        </w:rPr>
        <w:t>і</w:t>
      </w:r>
      <w:r w:rsidR="000D0A38" w:rsidRPr="00996711">
        <w:rPr>
          <w:rFonts w:ascii="Times New Roman" w:hAnsi="Times New Roman" w:cs="Times New Roman"/>
          <w:sz w:val="28"/>
          <w:szCs w:val="28"/>
        </w:rPr>
        <w:t>з використанням спеціальних засобів СЕП</w:t>
      </w:r>
      <w:r w:rsidR="000D0A38" w:rsidRPr="00996711" w:rsidDel="000D0A38">
        <w:rPr>
          <w:rFonts w:ascii="Times New Roman" w:hAnsi="Times New Roman" w:cs="Times New Roman"/>
          <w:sz w:val="28"/>
          <w:szCs w:val="28"/>
        </w:rPr>
        <w:t xml:space="preserve"> </w:t>
      </w:r>
      <w:r w:rsidR="008B144A" w:rsidRPr="00996711">
        <w:rPr>
          <w:rFonts w:ascii="Times New Roman" w:hAnsi="Times New Roman" w:cs="Times New Roman"/>
          <w:sz w:val="28"/>
          <w:szCs w:val="28"/>
        </w:rPr>
        <w:t xml:space="preserve"> є:</w:t>
      </w:r>
    </w:p>
    <w:p w:rsidR="00A50FE0" w:rsidRPr="00996711" w:rsidRDefault="00A50FE0" w:rsidP="00CC7C3D">
      <w:pPr>
        <w:spacing w:after="0"/>
        <w:ind w:firstLine="709"/>
        <w:jc w:val="both"/>
        <w:rPr>
          <w:rFonts w:ascii="Times New Roman" w:hAnsi="Times New Roman" w:cs="Times New Roman"/>
          <w:sz w:val="28"/>
          <w:szCs w:val="28"/>
        </w:rPr>
      </w:pPr>
    </w:p>
    <w:p w:rsidR="00091848" w:rsidRPr="00996711" w:rsidRDefault="0092788F"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1) </w:t>
      </w:r>
      <w:r w:rsidR="00091848" w:rsidRPr="00996711">
        <w:rPr>
          <w:rFonts w:ascii="Times New Roman" w:hAnsi="Times New Roman" w:cs="Times New Roman"/>
          <w:sz w:val="28"/>
          <w:szCs w:val="28"/>
        </w:rPr>
        <w:t xml:space="preserve">звернення Центрального депозитарію із клопотанням про припинення доступу до </w:t>
      </w:r>
      <w:r w:rsidR="000D0A38" w:rsidRPr="00996711">
        <w:rPr>
          <w:rFonts w:ascii="Times New Roman" w:hAnsi="Times New Roman" w:cs="Times New Roman"/>
          <w:sz w:val="28"/>
          <w:szCs w:val="28"/>
        </w:rPr>
        <w:t xml:space="preserve">технології обслуговування розрахунків </w:t>
      </w:r>
      <w:r w:rsidR="00411D4A">
        <w:rPr>
          <w:rFonts w:ascii="Times New Roman" w:hAnsi="Times New Roman" w:cs="Times New Roman"/>
          <w:sz w:val="28"/>
          <w:szCs w:val="28"/>
        </w:rPr>
        <w:t>і</w:t>
      </w:r>
      <w:r w:rsidR="000D0A38" w:rsidRPr="00996711">
        <w:rPr>
          <w:rFonts w:ascii="Times New Roman" w:hAnsi="Times New Roman" w:cs="Times New Roman"/>
          <w:sz w:val="28"/>
          <w:szCs w:val="28"/>
        </w:rPr>
        <w:t>з використанням спеціальних засобів СЕП</w:t>
      </w:r>
      <w:r w:rsidR="00091848" w:rsidRPr="00996711">
        <w:rPr>
          <w:rFonts w:ascii="Times New Roman" w:hAnsi="Times New Roman" w:cs="Times New Roman"/>
          <w:sz w:val="28"/>
          <w:szCs w:val="28"/>
        </w:rPr>
        <w:t>;</w:t>
      </w:r>
    </w:p>
    <w:p w:rsidR="00A50FE0" w:rsidRPr="00996711" w:rsidRDefault="00A50FE0" w:rsidP="00CC7C3D">
      <w:pPr>
        <w:spacing w:after="0"/>
        <w:ind w:firstLine="709"/>
        <w:jc w:val="both"/>
        <w:rPr>
          <w:rFonts w:ascii="Times New Roman" w:hAnsi="Times New Roman" w:cs="Times New Roman"/>
          <w:sz w:val="28"/>
          <w:szCs w:val="28"/>
        </w:rPr>
      </w:pPr>
    </w:p>
    <w:p w:rsidR="0092788F" w:rsidRPr="00996711" w:rsidRDefault="00091848"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2) </w:t>
      </w:r>
      <w:r w:rsidR="009E3CA6" w:rsidRPr="00996711">
        <w:rPr>
          <w:rFonts w:ascii="Times New Roman" w:hAnsi="Times New Roman" w:cs="Times New Roman"/>
          <w:sz w:val="28"/>
          <w:szCs w:val="28"/>
        </w:rPr>
        <w:t>припинення провадження депозитарної діяльності Центрального депозитарію</w:t>
      </w:r>
      <w:r w:rsidR="00591931" w:rsidRPr="00996711">
        <w:rPr>
          <w:rFonts w:ascii="Times New Roman" w:hAnsi="Times New Roman" w:cs="Times New Roman"/>
          <w:sz w:val="28"/>
          <w:szCs w:val="28"/>
        </w:rPr>
        <w:t xml:space="preserve"> або </w:t>
      </w:r>
      <w:r w:rsidR="00051FE9">
        <w:rPr>
          <w:rFonts w:ascii="Times New Roman" w:hAnsi="Times New Roman" w:cs="Times New Roman"/>
          <w:sz w:val="28"/>
          <w:szCs w:val="28"/>
        </w:rPr>
        <w:t>відсутність</w:t>
      </w:r>
      <w:r w:rsidR="00F624A7">
        <w:rPr>
          <w:rFonts w:ascii="Times New Roman" w:hAnsi="Times New Roman" w:cs="Times New Roman"/>
          <w:sz w:val="28"/>
          <w:szCs w:val="28"/>
        </w:rPr>
        <w:t xml:space="preserve"> </w:t>
      </w:r>
      <w:r w:rsidR="00A61E5C">
        <w:rPr>
          <w:rFonts w:ascii="Times New Roman" w:hAnsi="Times New Roman" w:cs="Times New Roman"/>
          <w:sz w:val="28"/>
          <w:szCs w:val="28"/>
        </w:rPr>
        <w:t>ліцензії</w:t>
      </w:r>
      <w:r w:rsidR="00051FE9">
        <w:rPr>
          <w:rFonts w:ascii="Times New Roman" w:hAnsi="Times New Roman" w:cs="Times New Roman"/>
          <w:sz w:val="28"/>
          <w:szCs w:val="28"/>
        </w:rPr>
        <w:t xml:space="preserve">/виявлення факту </w:t>
      </w:r>
      <w:r w:rsidR="00591931" w:rsidRPr="00996711">
        <w:rPr>
          <w:rFonts w:ascii="Times New Roman" w:hAnsi="Times New Roman" w:cs="Times New Roman"/>
          <w:sz w:val="28"/>
          <w:szCs w:val="28"/>
        </w:rPr>
        <w:t xml:space="preserve">анулювання </w:t>
      </w:r>
      <w:r w:rsidR="00F760AB" w:rsidRPr="00996711">
        <w:rPr>
          <w:rFonts w:ascii="Times New Roman" w:hAnsi="Times New Roman" w:cs="Times New Roman"/>
          <w:sz w:val="28"/>
          <w:szCs w:val="28"/>
        </w:rPr>
        <w:t>ліцен</w:t>
      </w:r>
      <w:r w:rsidR="00A61E5C">
        <w:rPr>
          <w:rFonts w:ascii="Times New Roman" w:hAnsi="Times New Roman" w:cs="Times New Roman"/>
          <w:sz w:val="28"/>
          <w:szCs w:val="28"/>
        </w:rPr>
        <w:t>з</w:t>
      </w:r>
      <w:r w:rsidR="00F760AB" w:rsidRPr="00996711">
        <w:rPr>
          <w:rFonts w:ascii="Times New Roman" w:hAnsi="Times New Roman" w:cs="Times New Roman"/>
          <w:sz w:val="28"/>
          <w:szCs w:val="28"/>
        </w:rPr>
        <w:t>ії на провадження клірингової діяльності з визначення зобов’язань</w:t>
      </w:r>
      <w:r w:rsidR="009E3CA6" w:rsidRPr="00996711">
        <w:rPr>
          <w:rFonts w:ascii="Times New Roman" w:hAnsi="Times New Roman" w:cs="Times New Roman"/>
          <w:sz w:val="28"/>
          <w:szCs w:val="28"/>
        </w:rPr>
        <w:t>;</w:t>
      </w:r>
      <w:r w:rsidR="0092788F" w:rsidRPr="00996711">
        <w:rPr>
          <w:rFonts w:ascii="Times New Roman" w:hAnsi="Times New Roman" w:cs="Times New Roman"/>
          <w:sz w:val="28"/>
          <w:szCs w:val="28"/>
        </w:rPr>
        <w:t xml:space="preserve"> </w:t>
      </w:r>
    </w:p>
    <w:p w:rsidR="00A50FE0" w:rsidRPr="00996711" w:rsidRDefault="00A50FE0" w:rsidP="00CC7C3D">
      <w:pPr>
        <w:spacing w:after="0"/>
        <w:ind w:firstLine="709"/>
        <w:jc w:val="both"/>
        <w:rPr>
          <w:rFonts w:ascii="Times New Roman" w:hAnsi="Times New Roman" w:cs="Times New Roman"/>
          <w:sz w:val="28"/>
          <w:szCs w:val="28"/>
        </w:rPr>
      </w:pPr>
    </w:p>
    <w:p w:rsidR="0022051A" w:rsidRPr="00996711" w:rsidRDefault="00091848" w:rsidP="00CC7C3D">
      <w:pPr>
        <w:spacing w:after="0"/>
        <w:ind w:firstLine="709"/>
        <w:jc w:val="both"/>
        <w:rPr>
          <w:rFonts w:ascii="Times New Roman" w:hAnsi="Times New Roman" w:cs="Times New Roman"/>
          <w:sz w:val="28"/>
          <w:szCs w:val="28"/>
        </w:rPr>
      </w:pPr>
      <w:r w:rsidRPr="00FA57A1">
        <w:rPr>
          <w:rFonts w:ascii="Times New Roman" w:hAnsi="Times New Roman" w:cs="Times New Roman"/>
          <w:sz w:val="28"/>
          <w:szCs w:val="28"/>
        </w:rPr>
        <w:t>3</w:t>
      </w:r>
      <w:r w:rsidR="0092788F" w:rsidRPr="00FA57A1">
        <w:rPr>
          <w:rFonts w:ascii="Times New Roman" w:hAnsi="Times New Roman" w:cs="Times New Roman"/>
          <w:sz w:val="28"/>
          <w:szCs w:val="28"/>
        </w:rPr>
        <w:t xml:space="preserve">) </w:t>
      </w:r>
      <w:r w:rsidR="004354D1">
        <w:rPr>
          <w:rFonts w:ascii="Times New Roman" w:hAnsi="Times New Roman" w:cs="Times New Roman"/>
          <w:sz w:val="28"/>
          <w:szCs w:val="28"/>
        </w:rPr>
        <w:t>не</w:t>
      </w:r>
      <w:r w:rsidR="0092788F" w:rsidRPr="00FA57A1">
        <w:rPr>
          <w:rFonts w:ascii="Times New Roman" w:hAnsi="Times New Roman" w:cs="Times New Roman"/>
          <w:sz w:val="28"/>
          <w:szCs w:val="28"/>
        </w:rPr>
        <w:t xml:space="preserve">погодження </w:t>
      </w:r>
      <w:proofErr w:type="spellStart"/>
      <w:r w:rsidR="00FA57A1">
        <w:rPr>
          <w:rFonts w:ascii="Times New Roman" w:hAnsi="Times New Roman" w:cs="Times New Roman"/>
          <w:sz w:val="28"/>
          <w:szCs w:val="28"/>
        </w:rPr>
        <w:t>проєктів</w:t>
      </w:r>
      <w:proofErr w:type="spellEnd"/>
      <w:r w:rsidR="00FA57A1">
        <w:rPr>
          <w:rFonts w:ascii="Times New Roman" w:hAnsi="Times New Roman" w:cs="Times New Roman"/>
          <w:sz w:val="28"/>
          <w:szCs w:val="28"/>
        </w:rPr>
        <w:t xml:space="preserve"> </w:t>
      </w:r>
      <w:r w:rsidR="0092788F" w:rsidRPr="00FA57A1">
        <w:rPr>
          <w:rFonts w:ascii="Times New Roman" w:hAnsi="Times New Roman" w:cs="Times New Roman"/>
          <w:sz w:val="28"/>
          <w:szCs w:val="28"/>
        </w:rPr>
        <w:t>внутрішніх документів</w:t>
      </w:r>
      <w:r w:rsidR="00FA57A1">
        <w:rPr>
          <w:rFonts w:ascii="Times New Roman" w:hAnsi="Times New Roman" w:cs="Times New Roman"/>
          <w:sz w:val="28"/>
          <w:szCs w:val="28"/>
        </w:rPr>
        <w:t xml:space="preserve"> (змін до них)</w:t>
      </w:r>
      <w:r w:rsidR="00952DCD" w:rsidRPr="00FA57A1">
        <w:rPr>
          <w:rFonts w:ascii="Times New Roman" w:hAnsi="Times New Roman" w:cs="Times New Roman"/>
          <w:sz w:val="28"/>
          <w:szCs w:val="28"/>
        </w:rPr>
        <w:t xml:space="preserve"> відповідно до пунктів </w:t>
      </w:r>
      <w:r w:rsidR="00791639">
        <w:rPr>
          <w:rFonts w:ascii="Times New Roman" w:hAnsi="Times New Roman" w:cs="Times New Roman"/>
          <w:sz w:val="28"/>
          <w:szCs w:val="28"/>
        </w:rPr>
        <w:t>10</w:t>
      </w:r>
      <w:r w:rsidR="00411D4A">
        <w:rPr>
          <w:rFonts w:ascii="Times New Roman" w:hAnsi="Times New Roman" w:cs="Times New Roman"/>
          <w:sz w:val="28"/>
          <w:szCs w:val="28"/>
        </w:rPr>
        <w:t>−</w:t>
      </w:r>
      <w:r w:rsidR="00A43741" w:rsidRPr="00FA57A1">
        <w:rPr>
          <w:rFonts w:ascii="Times New Roman" w:hAnsi="Times New Roman" w:cs="Times New Roman"/>
          <w:sz w:val="28"/>
          <w:szCs w:val="28"/>
        </w:rPr>
        <w:t>1</w:t>
      </w:r>
      <w:r w:rsidR="00791639">
        <w:rPr>
          <w:rFonts w:ascii="Times New Roman" w:hAnsi="Times New Roman" w:cs="Times New Roman"/>
          <w:sz w:val="28"/>
          <w:szCs w:val="28"/>
        </w:rPr>
        <w:t>2</w:t>
      </w:r>
      <w:r w:rsidR="00A43741" w:rsidRPr="00FA57A1">
        <w:rPr>
          <w:rFonts w:ascii="Times New Roman" w:hAnsi="Times New Roman" w:cs="Times New Roman"/>
          <w:sz w:val="28"/>
          <w:szCs w:val="28"/>
        </w:rPr>
        <w:t xml:space="preserve"> розділу ІІ цього Положення</w:t>
      </w:r>
      <w:r w:rsidR="0092788F" w:rsidRPr="00FA57A1">
        <w:rPr>
          <w:rFonts w:ascii="Times New Roman" w:hAnsi="Times New Roman" w:cs="Times New Roman"/>
          <w:sz w:val="28"/>
          <w:szCs w:val="28"/>
        </w:rPr>
        <w:t>;</w:t>
      </w:r>
    </w:p>
    <w:p w:rsidR="00A50FE0" w:rsidRPr="00996711" w:rsidRDefault="00A50FE0" w:rsidP="00CC7C3D">
      <w:pPr>
        <w:spacing w:after="0"/>
        <w:ind w:firstLine="709"/>
        <w:jc w:val="both"/>
        <w:rPr>
          <w:rFonts w:ascii="Times New Roman" w:hAnsi="Times New Roman" w:cs="Times New Roman"/>
          <w:sz w:val="28"/>
          <w:szCs w:val="28"/>
        </w:rPr>
      </w:pPr>
    </w:p>
    <w:p w:rsidR="00F42EB7" w:rsidRPr="00996711" w:rsidRDefault="00051FE9"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741591" w:rsidRPr="00996711">
        <w:rPr>
          <w:rFonts w:ascii="Times New Roman" w:hAnsi="Times New Roman" w:cs="Times New Roman"/>
          <w:sz w:val="28"/>
          <w:szCs w:val="28"/>
        </w:rPr>
        <w:t xml:space="preserve">) порушення порядку проведення розрахунків за правочинами щодо цінних паперів </w:t>
      </w:r>
      <w:r w:rsidR="00646776">
        <w:rPr>
          <w:rFonts w:ascii="Times New Roman" w:hAnsi="Times New Roman" w:cs="Times New Roman"/>
          <w:sz w:val="28"/>
          <w:szCs w:val="28"/>
        </w:rPr>
        <w:t>і</w:t>
      </w:r>
      <w:r w:rsidR="00741591" w:rsidRPr="00996711">
        <w:rPr>
          <w:rFonts w:ascii="Times New Roman" w:hAnsi="Times New Roman" w:cs="Times New Roman"/>
          <w:sz w:val="28"/>
          <w:szCs w:val="28"/>
        </w:rPr>
        <w:t>з використанням спеціальних засобів СЕП</w:t>
      </w:r>
      <w:r w:rsidR="00F42EB7" w:rsidRPr="00996711">
        <w:rPr>
          <w:rFonts w:ascii="Times New Roman" w:hAnsi="Times New Roman" w:cs="Times New Roman"/>
          <w:sz w:val="28"/>
          <w:szCs w:val="28"/>
        </w:rPr>
        <w:t xml:space="preserve">, </w:t>
      </w:r>
      <w:r w:rsidR="00646776">
        <w:rPr>
          <w:rFonts w:ascii="Times New Roman" w:hAnsi="Times New Roman" w:cs="Times New Roman"/>
          <w:sz w:val="28"/>
          <w:szCs w:val="28"/>
        </w:rPr>
        <w:t>у</w:t>
      </w:r>
      <w:r w:rsidR="00646776" w:rsidRPr="00996711">
        <w:rPr>
          <w:rFonts w:ascii="Times New Roman" w:hAnsi="Times New Roman" w:cs="Times New Roman"/>
          <w:sz w:val="28"/>
          <w:szCs w:val="28"/>
        </w:rPr>
        <w:t xml:space="preserve">становленого </w:t>
      </w:r>
      <w:r w:rsidR="00F42EB7" w:rsidRPr="00996711">
        <w:rPr>
          <w:rFonts w:ascii="Times New Roman" w:hAnsi="Times New Roman" w:cs="Times New Roman"/>
          <w:sz w:val="28"/>
          <w:szCs w:val="28"/>
        </w:rPr>
        <w:t>цим По</w:t>
      </w:r>
      <w:r w:rsidR="000E7C97">
        <w:rPr>
          <w:rFonts w:ascii="Times New Roman" w:hAnsi="Times New Roman" w:cs="Times New Roman"/>
          <w:sz w:val="28"/>
          <w:szCs w:val="28"/>
        </w:rPr>
        <w:t>ложенням</w:t>
      </w:r>
      <w:r w:rsidR="00F42EB7" w:rsidRPr="00996711">
        <w:rPr>
          <w:rFonts w:ascii="Times New Roman" w:hAnsi="Times New Roman" w:cs="Times New Roman"/>
          <w:sz w:val="28"/>
          <w:szCs w:val="28"/>
        </w:rPr>
        <w:t xml:space="preserve"> та іншими нормативно-правовими актами Національного банку</w:t>
      </w:r>
      <w:r w:rsidR="00091848" w:rsidRPr="00996711">
        <w:rPr>
          <w:rFonts w:ascii="Times New Roman" w:hAnsi="Times New Roman" w:cs="Times New Roman"/>
          <w:sz w:val="28"/>
          <w:szCs w:val="28"/>
        </w:rPr>
        <w:t xml:space="preserve">, </w:t>
      </w:r>
      <w:r w:rsidR="00FA57A1">
        <w:rPr>
          <w:rFonts w:ascii="Times New Roman" w:hAnsi="Times New Roman" w:cs="Times New Roman"/>
          <w:sz w:val="28"/>
          <w:szCs w:val="28"/>
        </w:rPr>
        <w:lastRenderedPageBreak/>
        <w:t xml:space="preserve">включаючи випадки виявлення таких порушень за результатами розгляду скарг </w:t>
      </w:r>
      <w:r w:rsidR="00091848" w:rsidRPr="00996711">
        <w:rPr>
          <w:rFonts w:ascii="Times New Roman" w:hAnsi="Times New Roman" w:cs="Times New Roman"/>
          <w:sz w:val="28"/>
          <w:szCs w:val="28"/>
        </w:rPr>
        <w:t xml:space="preserve">клієнтів Центрального депозитарію щодо якості надання послуг </w:t>
      </w:r>
      <w:r w:rsidR="00646776">
        <w:rPr>
          <w:rFonts w:ascii="Times New Roman" w:hAnsi="Times New Roman" w:cs="Times New Roman"/>
          <w:sz w:val="28"/>
          <w:szCs w:val="28"/>
        </w:rPr>
        <w:t>і</w:t>
      </w:r>
      <w:r w:rsidR="00091848" w:rsidRPr="00996711">
        <w:rPr>
          <w:rFonts w:ascii="Times New Roman" w:hAnsi="Times New Roman" w:cs="Times New Roman"/>
          <w:sz w:val="28"/>
          <w:szCs w:val="28"/>
        </w:rPr>
        <w:t>з проведення таких розрахунків</w:t>
      </w:r>
      <w:r w:rsidR="00F42EB7" w:rsidRPr="00996711">
        <w:rPr>
          <w:rFonts w:ascii="Times New Roman" w:hAnsi="Times New Roman" w:cs="Times New Roman"/>
          <w:sz w:val="28"/>
          <w:szCs w:val="28"/>
        </w:rPr>
        <w:t>;</w:t>
      </w:r>
    </w:p>
    <w:p w:rsidR="00A50FE0" w:rsidRPr="00996711" w:rsidRDefault="00A50FE0" w:rsidP="00CC7C3D">
      <w:pPr>
        <w:spacing w:after="0"/>
        <w:ind w:firstLine="709"/>
        <w:jc w:val="both"/>
        <w:rPr>
          <w:rFonts w:ascii="Times New Roman" w:hAnsi="Times New Roman" w:cs="Times New Roman"/>
          <w:sz w:val="28"/>
          <w:szCs w:val="28"/>
        </w:rPr>
      </w:pPr>
    </w:p>
    <w:p w:rsidR="008C63B3" w:rsidRPr="00996711" w:rsidRDefault="00051FE9"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C63B3" w:rsidRPr="00996711">
        <w:rPr>
          <w:rFonts w:ascii="Times New Roman" w:hAnsi="Times New Roman" w:cs="Times New Roman"/>
          <w:sz w:val="28"/>
          <w:szCs w:val="28"/>
        </w:rPr>
        <w:t xml:space="preserve">) порушення порядку зберігання, використання та обліку засобів захисту інформації Національного банку, </w:t>
      </w:r>
      <w:r w:rsidR="00646776">
        <w:rPr>
          <w:rFonts w:ascii="Times New Roman" w:hAnsi="Times New Roman" w:cs="Times New Roman"/>
          <w:sz w:val="28"/>
          <w:szCs w:val="28"/>
        </w:rPr>
        <w:t>у</w:t>
      </w:r>
      <w:r w:rsidR="00646776" w:rsidRPr="00996711">
        <w:rPr>
          <w:rFonts w:ascii="Times New Roman" w:hAnsi="Times New Roman" w:cs="Times New Roman"/>
          <w:sz w:val="28"/>
          <w:szCs w:val="28"/>
        </w:rPr>
        <w:t xml:space="preserve">становленого </w:t>
      </w:r>
      <w:r w:rsidR="008C63B3" w:rsidRPr="00996711">
        <w:rPr>
          <w:rFonts w:ascii="Times New Roman" w:hAnsi="Times New Roman" w:cs="Times New Roman"/>
          <w:sz w:val="28"/>
          <w:szCs w:val="28"/>
        </w:rPr>
        <w:t>нормативно-правовими актами Національного банку з питань інформаційної безпеки.</w:t>
      </w:r>
    </w:p>
    <w:p w:rsidR="00A50FE0" w:rsidRPr="00996711" w:rsidRDefault="00A50FE0" w:rsidP="00CC7C3D">
      <w:pPr>
        <w:spacing w:after="0"/>
        <w:ind w:firstLine="709"/>
        <w:jc w:val="both"/>
        <w:rPr>
          <w:rFonts w:ascii="Times New Roman" w:hAnsi="Times New Roman" w:cs="Times New Roman"/>
          <w:sz w:val="28"/>
          <w:szCs w:val="28"/>
        </w:rPr>
      </w:pPr>
    </w:p>
    <w:p w:rsidR="00264A86" w:rsidRPr="00996711" w:rsidRDefault="00A43741" w:rsidP="00CC7C3D">
      <w:pPr>
        <w:spacing w:after="0"/>
        <w:ind w:firstLine="709"/>
        <w:jc w:val="center"/>
        <w:rPr>
          <w:rFonts w:ascii="Times New Roman" w:hAnsi="Times New Roman" w:cs="Times New Roman"/>
          <w:sz w:val="28"/>
          <w:szCs w:val="28"/>
        </w:rPr>
      </w:pPr>
      <w:r>
        <w:rPr>
          <w:rFonts w:ascii="Times New Roman" w:hAnsi="Times New Roman" w:cs="Times New Roman"/>
          <w:sz w:val="28"/>
          <w:szCs w:val="28"/>
        </w:rPr>
        <w:t>ІІІ</w:t>
      </w:r>
      <w:r w:rsidR="00264A86" w:rsidRPr="00996711">
        <w:rPr>
          <w:rFonts w:ascii="Times New Roman" w:hAnsi="Times New Roman" w:cs="Times New Roman"/>
          <w:sz w:val="28"/>
          <w:szCs w:val="28"/>
        </w:rPr>
        <w:t xml:space="preserve">. </w:t>
      </w:r>
      <w:r w:rsidR="00264A86" w:rsidRPr="00051FE9">
        <w:rPr>
          <w:rFonts w:ascii="Times New Roman" w:hAnsi="Times New Roman" w:cs="Times New Roman"/>
          <w:sz w:val="28"/>
          <w:szCs w:val="28"/>
        </w:rPr>
        <w:t xml:space="preserve">Порядок проведення </w:t>
      </w:r>
      <w:r w:rsidR="00A51465" w:rsidRPr="00051FE9">
        <w:rPr>
          <w:rFonts w:ascii="Times New Roman" w:hAnsi="Times New Roman" w:cs="Times New Roman"/>
          <w:sz w:val="28"/>
          <w:szCs w:val="28"/>
        </w:rPr>
        <w:t xml:space="preserve">грошових </w:t>
      </w:r>
      <w:r w:rsidR="00264A86" w:rsidRPr="00051FE9">
        <w:rPr>
          <w:rFonts w:ascii="Times New Roman" w:hAnsi="Times New Roman" w:cs="Times New Roman"/>
          <w:sz w:val="28"/>
          <w:szCs w:val="28"/>
        </w:rPr>
        <w:t xml:space="preserve">розрахунків за правочинами щодо цінних паперів </w:t>
      </w:r>
      <w:r w:rsidR="00646776">
        <w:rPr>
          <w:rFonts w:ascii="Times New Roman" w:hAnsi="Times New Roman" w:cs="Times New Roman"/>
          <w:sz w:val="28"/>
          <w:szCs w:val="28"/>
        </w:rPr>
        <w:t>і</w:t>
      </w:r>
      <w:r w:rsidR="00264A86" w:rsidRPr="00051FE9">
        <w:rPr>
          <w:rFonts w:ascii="Times New Roman" w:hAnsi="Times New Roman" w:cs="Times New Roman"/>
          <w:sz w:val="28"/>
          <w:szCs w:val="28"/>
        </w:rPr>
        <w:t>з використанням спеціальних засобів СЕП</w:t>
      </w:r>
    </w:p>
    <w:p w:rsidR="00E521FD" w:rsidRDefault="00E521FD" w:rsidP="00CC7C3D">
      <w:pPr>
        <w:spacing w:after="0"/>
        <w:ind w:firstLine="709"/>
        <w:jc w:val="both"/>
        <w:rPr>
          <w:rFonts w:ascii="Times New Roman" w:hAnsi="Times New Roman" w:cs="Times New Roman"/>
          <w:sz w:val="28"/>
          <w:szCs w:val="28"/>
        </w:rPr>
      </w:pPr>
    </w:p>
    <w:p w:rsidR="00BD6108" w:rsidRDefault="006708B6"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00E521FD">
        <w:rPr>
          <w:rFonts w:ascii="Times New Roman" w:hAnsi="Times New Roman" w:cs="Times New Roman"/>
          <w:sz w:val="28"/>
          <w:szCs w:val="28"/>
        </w:rPr>
        <w:t>.</w:t>
      </w:r>
      <w:r w:rsidR="00786D11" w:rsidRPr="00996711">
        <w:rPr>
          <w:rFonts w:ascii="Times New Roman" w:hAnsi="Times New Roman" w:cs="Times New Roman"/>
          <w:sz w:val="28"/>
          <w:szCs w:val="28"/>
        </w:rPr>
        <w:t xml:space="preserve"> </w:t>
      </w:r>
      <w:r w:rsidR="00423800">
        <w:rPr>
          <w:rFonts w:ascii="Times New Roman" w:hAnsi="Times New Roman" w:cs="Times New Roman"/>
          <w:sz w:val="28"/>
          <w:szCs w:val="28"/>
        </w:rPr>
        <w:t xml:space="preserve">Внутрішні документи Центрального депозитарію повинні </w:t>
      </w:r>
      <w:r w:rsidR="00D341C5">
        <w:rPr>
          <w:rFonts w:ascii="Times New Roman" w:hAnsi="Times New Roman" w:cs="Times New Roman"/>
          <w:sz w:val="28"/>
          <w:szCs w:val="28"/>
        </w:rPr>
        <w:t xml:space="preserve">містити положення щодо </w:t>
      </w:r>
      <w:r w:rsidR="001F7136">
        <w:rPr>
          <w:rFonts w:ascii="Times New Roman" w:hAnsi="Times New Roman" w:cs="Times New Roman"/>
          <w:sz w:val="28"/>
          <w:szCs w:val="28"/>
        </w:rPr>
        <w:t>такого</w:t>
      </w:r>
      <w:r w:rsidR="00BD6108">
        <w:rPr>
          <w:rFonts w:ascii="Times New Roman" w:hAnsi="Times New Roman" w:cs="Times New Roman"/>
          <w:sz w:val="28"/>
          <w:szCs w:val="28"/>
        </w:rPr>
        <w:t>:</w:t>
      </w:r>
    </w:p>
    <w:p w:rsidR="00C22D8D" w:rsidRDefault="00C22D8D" w:rsidP="00CC7C3D">
      <w:pPr>
        <w:spacing w:after="0"/>
        <w:ind w:firstLine="709"/>
        <w:jc w:val="both"/>
        <w:rPr>
          <w:rFonts w:ascii="Times New Roman" w:hAnsi="Times New Roman" w:cs="Times New Roman"/>
          <w:sz w:val="28"/>
          <w:szCs w:val="28"/>
        </w:rPr>
      </w:pPr>
    </w:p>
    <w:p w:rsidR="00092A8E" w:rsidRDefault="00BD6108"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2772E7">
        <w:rPr>
          <w:rFonts w:ascii="Times New Roman" w:hAnsi="Times New Roman" w:cs="Times New Roman"/>
          <w:sz w:val="28"/>
          <w:szCs w:val="28"/>
        </w:rPr>
        <w:t xml:space="preserve"> </w:t>
      </w:r>
      <w:r w:rsidR="00092A8E" w:rsidRPr="00996711">
        <w:rPr>
          <w:rFonts w:ascii="Times New Roman" w:hAnsi="Times New Roman" w:cs="Times New Roman"/>
          <w:sz w:val="28"/>
          <w:szCs w:val="28"/>
        </w:rPr>
        <w:t xml:space="preserve">Центральний </w:t>
      </w:r>
      <w:r w:rsidR="008C3589" w:rsidRPr="00996711">
        <w:rPr>
          <w:rFonts w:ascii="Times New Roman" w:hAnsi="Times New Roman" w:cs="Times New Roman"/>
          <w:sz w:val="28"/>
          <w:szCs w:val="28"/>
        </w:rPr>
        <w:t xml:space="preserve">депозитарій </w:t>
      </w:r>
      <w:r w:rsidR="00917DC5" w:rsidRPr="00996711">
        <w:rPr>
          <w:rFonts w:ascii="Times New Roman" w:hAnsi="Times New Roman" w:cs="Times New Roman"/>
          <w:sz w:val="28"/>
          <w:szCs w:val="28"/>
        </w:rPr>
        <w:t>забезпечує</w:t>
      </w:r>
      <w:r w:rsidR="002772E7">
        <w:rPr>
          <w:rFonts w:ascii="Times New Roman" w:hAnsi="Times New Roman" w:cs="Times New Roman"/>
          <w:sz w:val="28"/>
          <w:szCs w:val="28"/>
        </w:rPr>
        <w:t xml:space="preserve"> </w:t>
      </w:r>
      <w:r w:rsidR="00917DC5" w:rsidRPr="00996711">
        <w:rPr>
          <w:rFonts w:ascii="Times New Roman" w:hAnsi="Times New Roman" w:cs="Times New Roman"/>
          <w:sz w:val="28"/>
          <w:szCs w:val="28"/>
        </w:rPr>
        <w:t xml:space="preserve">проведення грошових розрахунків за правочинами щодо цінних паперів </w:t>
      </w:r>
      <w:r w:rsidR="00646776">
        <w:rPr>
          <w:rFonts w:ascii="Times New Roman" w:hAnsi="Times New Roman" w:cs="Times New Roman"/>
          <w:sz w:val="28"/>
          <w:szCs w:val="28"/>
        </w:rPr>
        <w:t>і</w:t>
      </w:r>
      <w:r w:rsidR="00917DC5" w:rsidRPr="00996711">
        <w:rPr>
          <w:rFonts w:ascii="Times New Roman" w:hAnsi="Times New Roman" w:cs="Times New Roman"/>
          <w:sz w:val="28"/>
          <w:szCs w:val="28"/>
        </w:rPr>
        <w:t>з використанням спеціальних засобів СЕП на підставі розпоряджень клієнтів</w:t>
      </w:r>
      <w:r w:rsidR="00C57234" w:rsidRPr="00996711">
        <w:rPr>
          <w:rFonts w:ascii="Times New Roman" w:hAnsi="Times New Roman" w:cs="Times New Roman"/>
          <w:sz w:val="28"/>
          <w:szCs w:val="28"/>
        </w:rPr>
        <w:t>, наданих у порядку, визначеному законодавством з питань депозитарної діяльності</w:t>
      </w:r>
      <w:r>
        <w:rPr>
          <w:rFonts w:ascii="Times New Roman" w:hAnsi="Times New Roman" w:cs="Times New Roman"/>
          <w:sz w:val="28"/>
          <w:szCs w:val="28"/>
        </w:rPr>
        <w:t>;</w:t>
      </w:r>
    </w:p>
    <w:p w:rsidR="00A50FE0" w:rsidRPr="00996711" w:rsidRDefault="00A50FE0" w:rsidP="00CC7C3D">
      <w:pPr>
        <w:spacing w:after="0"/>
        <w:ind w:firstLine="709"/>
        <w:jc w:val="both"/>
        <w:rPr>
          <w:rFonts w:ascii="Times New Roman" w:hAnsi="Times New Roman" w:cs="Times New Roman"/>
          <w:sz w:val="28"/>
          <w:szCs w:val="28"/>
        </w:rPr>
      </w:pPr>
    </w:p>
    <w:p w:rsidR="007F6C39" w:rsidRDefault="00BD6108"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782CA9">
        <w:rPr>
          <w:rFonts w:ascii="Times New Roman" w:hAnsi="Times New Roman" w:cs="Times New Roman"/>
          <w:sz w:val="28"/>
          <w:szCs w:val="28"/>
        </w:rPr>
        <w:t xml:space="preserve"> к</w:t>
      </w:r>
      <w:r w:rsidR="00101B7B">
        <w:rPr>
          <w:rFonts w:ascii="Times New Roman" w:hAnsi="Times New Roman" w:cs="Times New Roman"/>
          <w:sz w:val="28"/>
          <w:szCs w:val="28"/>
        </w:rPr>
        <w:t>лієнт Центрального депозитарію</w:t>
      </w:r>
      <w:r w:rsidR="002772E7">
        <w:rPr>
          <w:rFonts w:ascii="Times New Roman" w:hAnsi="Times New Roman" w:cs="Times New Roman"/>
          <w:sz w:val="28"/>
          <w:szCs w:val="28"/>
        </w:rPr>
        <w:t xml:space="preserve"> зобов’язаний</w:t>
      </w:r>
      <w:r w:rsidR="00101B7B">
        <w:rPr>
          <w:rFonts w:ascii="Times New Roman" w:hAnsi="Times New Roman" w:cs="Times New Roman"/>
          <w:sz w:val="28"/>
          <w:szCs w:val="28"/>
        </w:rPr>
        <w:t xml:space="preserve"> </w:t>
      </w:r>
      <w:r w:rsidR="00782CA9" w:rsidRPr="00996711">
        <w:rPr>
          <w:rFonts w:ascii="Times New Roman" w:hAnsi="Times New Roman" w:cs="Times New Roman"/>
          <w:sz w:val="28"/>
          <w:szCs w:val="28"/>
        </w:rPr>
        <w:t xml:space="preserve">зазначати </w:t>
      </w:r>
      <w:r w:rsidR="00101B7B">
        <w:rPr>
          <w:rFonts w:ascii="Times New Roman" w:hAnsi="Times New Roman" w:cs="Times New Roman"/>
          <w:sz w:val="28"/>
          <w:szCs w:val="28"/>
        </w:rPr>
        <w:t xml:space="preserve">в розпорядженні  </w:t>
      </w:r>
      <w:r w:rsidR="006B1D84" w:rsidRPr="00996711">
        <w:rPr>
          <w:rFonts w:ascii="Times New Roman" w:hAnsi="Times New Roman" w:cs="Times New Roman"/>
          <w:sz w:val="28"/>
          <w:szCs w:val="28"/>
        </w:rPr>
        <w:t xml:space="preserve">реквізити виключно такого обслуговуючого банку, який є в переліку </w:t>
      </w:r>
      <w:r w:rsidR="003E7DB4" w:rsidRPr="00996711">
        <w:rPr>
          <w:rFonts w:ascii="Times New Roman" w:hAnsi="Times New Roman" w:cs="Times New Roman"/>
          <w:sz w:val="28"/>
          <w:szCs w:val="28"/>
        </w:rPr>
        <w:t>банків, що виконали тестування взаємодії системи автоматизації депозитарію Національного банку та системи автоматизації обслуговуючого банку. Перелік обслуговуючих банків в актуальному стані оприлюднюється Національним банком на сторінці офіційного Інтернет-представництва Національного банку</w:t>
      </w:r>
      <w:r w:rsidR="007F6C39">
        <w:rPr>
          <w:rFonts w:ascii="Times New Roman" w:hAnsi="Times New Roman" w:cs="Times New Roman"/>
          <w:sz w:val="28"/>
          <w:szCs w:val="28"/>
        </w:rPr>
        <w:t>;</w:t>
      </w:r>
    </w:p>
    <w:p w:rsidR="007F6C39" w:rsidRDefault="007F6C39" w:rsidP="00CC7C3D">
      <w:pPr>
        <w:spacing w:after="0"/>
        <w:ind w:firstLine="709"/>
        <w:jc w:val="both"/>
        <w:rPr>
          <w:shd w:val="clear" w:color="auto" w:fill="FFFFFF"/>
        </w:rPr>
      </w:pPr>
    </w:p>
    <w:p w:rsidR="006B1D84" w:rsidRPr="00996711" w:rsidRDefault="007F6C39" w:rsidP="00CC7C3D">
      <w:pPr>
        <w:spacing w:after="0"/>
        <w:ind w:firstLine="709"/>
        <w:jc w:val="both"/>
        <w:rPr>
          <w:shd w:val="clear" w:color="auto" w:fill="FFFFFF"/>
        </w:rPr>
      </w:pPr>
      <w:r w:rsidRPr="007F6C39">
        <w:rPr>
          <w:rFonts w:ascii="Times New Roman" w:hAnsi="Times New Roman" w:cs="Times New Roman"/>
          <w:sz w:val="28"/>
          <w:szCs w:val="28"/>
        </w:rPr>
        <w:t xml:space="preserve">3)  </w:t>
      </w:r>
      <w:r>
        <w:rPr>
          <w:rFonts w:ascii="Times New Roman" w:hAnsi="Times New Roman" w:cs="Times New Roman"/>
          <w:sz w:val="28"/>
          <w:szCs w:val="28"/>
        </w:rPr>
        <w:t>о</w:t>
      </w:r>
      <w:r w:rsidRPr="007F6C39">
        <w:rPr>
          <w:rFonts w:ascii="Times New Roman" w:hAnsi="Times New Roman" w:cs="Times New Roman"/>
          <w:sz w:val="28"/>
          <w:szCs w:val="28"/>
        </w:rPr>
        <w:t>пис порядку здійснення розрахунків за правочинами щодо цінних паперів за умови проведення розрахунків за принципом “поставка цінних паперів проти оплати” із використанням спеціальних засобів СЕП</w:t>
      </w:r>
      <w:r w:rsidR="005678D3">
        <w:rPr>
          <w:rFonts w:ascii="Times New Roman" w:hAnsi="Times New Roman" w:cs="Times New Roman"/>
          <w:sz w:val="28"/>
          <w:szCs w:val="28"/>
        </w:rPr>
        <w:t xml:space="preserve">, який </w:t>
      </w:r>
      <w:r>
        <w:rPr>
          <w:rFonts w:ascii="Times New Roman" w:hAnsi="Times New Roman" w:cs="Times New Roman"/>
          <w:sz w:val="28"/>
          <w:szCs w:val="28"/>
        </w:rPr>
        <w:t xml:space="preserve"> відповід</w:t>
      </w:r>
      <w:r w:rsidR="005678D3">
        <w:rPr>
          <w:rFonts w:ascii="Times New Roman" w:hAnsi="Times New Roman" w:cs="Times New Roman"/>
          <w:sz w:val="28"/>
          <w:szCs w:val="28"/>
        </w:rPr>
        <w:t>ає</w:t>
      </w:r>
      <w:r>
        <w:rPr>
          <w:rFonts w:ascii="Times New Roman" w:hAnsi="Times New Roman" w:cs="Times New Roman"/>
          <w:sz w:val="28"/>
          <w:szCs w:val="28"/>
        </w:rPr>
        <w:t xml:space="preserve"> </w:t>
      </w:r>
      <w:r w:rsidR="005678D3">
        <w:rPr>
          <w:rFonts w:ascii="Times New Roman" w:hAnsi="Times New Roman" w:cs="Times New Roman"/>
          <w:sz w:val="28"/>
          <w:szCs w:val="28"/>
        </w:rPr>
        <w:t xml:space="preserve">вимогам </w:t>
      </w:r>
      <w:r>
        <w:rPr>
          <w:rFonts w:ascii="Times New Roman" w:hAnsi="Times New Roman" w:cs="Times New Roman"/>
          <w:sz w:val="28"/>
          <w:szCs w:val="28"/>
        </w:rPr>
        <w:t>пункту 18 розділу ІІІ цього Положення.</w:t>
      </w:r>
    </w:p>
    <w:p w:rsidR="004D6045" w:rsidRPr="004D6045" w:rsidRDefault="006708B6" w:rsidP="00CC7C3D">
      <w:pPr>
        <w:pStyle w:val="rvps2"/>
        <w:shd w:val="clear" w:color="auto" w:fill="FFFFFF"/>
        <w:spacing w:after="0"/>
        <w:ind w:firstLine="709"/>
        <w:jc w:val="both"/>
        <w:rPr>
          <w:rFonts w:eastAsiaTheme="minorHAnsi"/>
          <w:sz w:val="28"/>
          <w:szCs w:val="28"/>
          <w:lang w:eastAsia="en-US"/>
        </w:rPr>
      </w:pPr>
      <w:bookmarkStart w:id="1" w:name="n997"/>
      <w:bookmarkStart w:id="2" w:name="n652"/>
      <w:bookmarkEnd w:id="1"/>
      <w:bookmarkEnd w:id="2"/>
      <w:r>
        <w:rPr>
          <w:rFonts w:eastAsiaTheme="minorHAnsi"/>
          <w:sz w:val="28"/>
          <w:szCs w:val="28"/>
          <w:lang w:eastAsia="en-US"/>
        </w:rPr>
        <w:t>18</w:t>
      </w:r>
      <w:r w:rsidR="004D6045" w:rsidRPr="004D6045">
        <w:rPr>
          <w:rFonts w:eastAsiaTheme="minorHAnsi"/>
          <w:sz w:val="28"/>
          <w:szCs w:val="28"/>
          <w:lang w:eastAsia="en-US"/>
        </w:rPr>
        <w:t xml:space="preserve">. Опис порядку здійснення розрахунків за правочинами щодо цінних паперів за умови проведення розрахунків за принципом “поставка цінних паперів проти оплати” </w:t>
      </w:r>
      <w:r w:rsidR="00033B70">
        <w:rPr>
          <w:rFonts w:eastAsiaTheme="minorHAnsi"/>
          <w:sz w:val="28"/>
          <w:szCs w:val="28"/>
          <w:lang w:eastAsia="en-US"/>
        </w:rPr>
        <w:t>і</w:t>
      </w:r>
      <w:r w:rsidR="004D6045" w:rsidRPr="004D6045">
        <w:rPr>
          <w:rFonts w:eastAsiaTheme="minorHAnsi"/>
          <w:sz w:val="28"/>
          <w:szCs w:val="28"/>
          <w:lang w:eastAsia="en-US"/>
        </w:rPr>
        <w:t>з використанням спеціальних засобів СЕП</w:t>
      </w:r>
      <w:r w:rsidR="00F57A05">
        <w:rPr>
          <w:rFonts w:eastAsiaTheme="minorHAnsi"/>
          <w:sz w:val="28"/>
          <w:szCs w:val="28"/>
          <w:lang w:eastAsia="en-US"/>
        </w:rPr>
        <w:t>, зазначений у внутрішніх документах Центрального депозит</w:t>
      </w:r>
      <w:r w:rsidR="00DE252B">
        <w:rPr>
          <w:rFonts w:eastAsiaTheme="minorHAnsi"/>
          <w:sz w:val="28"/>
          <w:szCs w:val="28"/>
          <w:lang w:val="ru-RU" w:eastAsia="en-US"/>
        </w:rPr>
        <w:t>а</w:t>
      </w:r>
      <w:proofErr w:type="spellStart"/>
      <w:r w:rsidR="00F57A05">
        <w:rPr>
          <w:rFonts w:eastAsiaTheme="minorHAnsi"/>
          <w:sz w:val="28"/>
          <w:szCs w:val="28"/>
          <w:lang w:eastAsia="en-US"/>
        </w:rPr>
        <w:t>рі</w:t>
      </w:r>
      <w:proofErr w:type="spellEnd"/>
      <w:r w:rsidR="007553CB">
        <w:rPr>
          <w:rFonts w:eastAsiaTheme="minorHAnsi"/>
          <w:sz w:val="28"/>
          <w:szCs w:val="28"/>
          <w:lang w:val="ru-RU" w:eastAsia="en-US"/>
        </w:rPr>
        <w:t>ю</w:t>
      </w:r>
      <w:r w:rsidR="00F57A05">
        <w:rPr>
          <w:rFonts w:eastAsiaTheme="minorHAnsi"/>
          <w:sz w:val="28"/>
          <w:szCs w:val="28"/>
          <w:lang w:eastAsia="en-US"/>
        </w:rPr>
        <w:t>,</w:t>
      </w:r>
      <w:r w:rsidR="004D6045" w:rsidRPr="004D6045">
        <w:rPr>
          <w:rFonts w:eastAsiaTheme="minorHAnsi"/>
          <w:sz w:val="28"/>
          <w:szCs w:val="28"/>
          <w:lang w:eastAsia="en-US"/>
        </w:rPr>
        <w:t xml:space="preserve"> </w:t>
      </w:r>
      <w:r w:rsidR="00D341C5">
        <w:rPr>
          <w:rFonts w:eastAsiaTheme="minorHAnsi"/>
          <w:sz w:val="28"/>
          <w:szCs w:val="28"/>
          <w:lang w:eastAsia="en-US"/>
        </w:rPr>
        <w:t xml:space="preserve">крім </w:t>
      </w:r>
      <w:r w:rsidR="00440806">
        <w:rPr>
          <w:rFonts w:eastAsiaTheme="minorHAnsi"/>
          <w:sz w:val="28"/>
          <w:szCs w:val="28"/>
          <w:lang w:eastAsia="en-US"/>
        </w:rPr>
        <w:t xml:space="preserve">відповідності вимогам законодавства з питань депозитарної </w:t>
      </w:r>
      <w:r w:rsidR="007646D5">
        <w:rPr>
          <w:rFonts w:eastAsiaTheme="minorHAnsi"/>
          <w:sz w:val="28"/>
          <w:szCs w:val="28"/>
          <w:lang w:eastAsia="en-US"/>
        </w:rPr>
        <w:t xml:space="preserve">та клірингової </w:t>
      </w:r>
      <w:r w:rsidR="00440806">
        <w:rPr>
          <w:rFonts w:eastAsiaTheme="minorHAnsi"/>
          <w:sz w:val="28"/>
          <w:szCs w:val="28"/>
          <w:lang w:eastAsia="en-US"/>
        </w:rPr>
        <w:t xml:space="preserve">діяльності, </w:t>
      </w:r>
      <w:r w:rsidR="004D6045" w:rsidRPr="004D6045">
        <w:rPr>
          <w:rFonts w:eastAsiaTheme="minorHAnsi"/>
          <w:sz w:val="28"/>
          <w:szCs w:val="28"/>
          <w:lang w:eastAsia="en-US"/>
        </w:rPr>
        <w:t xml:space="preserve">повинен передбачати </w:t>
      </w:r>
      <w:r w:rsidR="00646776">
        <w:rPr>
          <w:rFonts w:eastAsiaTheme="minorHAnsi"/>
          <w:sz w:val="28"/>
          <w:szCs w:val="28"/>
          <w:lang w:eastAsia="en-US"/>
        </w:rPr>
        <w:t>таку</w:t>
      </w:r>
      <w:r w:rsidR="00646776" w:rsidRPr="004D6045">
        <w:rPr>
          <w:rFonts w:eastAsiaTheme="minorHAnsi"/>
          <w:sz w:val="28"/>
          <w:szCs w:val="28"/>
          <w:lang w:eastAsia="en-US"/>
        </w:rPr>
        <w:t xml:space="preserve"> </w:t>
      </w:r>
      <w:r w:rsidR="004D6045" w:rsidRPr="004D6045">
        <w:rPr>
          <w:rFonts w:eastAsiaTheme="minorHAnsi"/>
          <w:sz w:val="28"/>
          <w:szCs w:val="28"/>
          <w:lang w:eastAsia="en-US"/>
        </w:rPr>
        <w:t>послідовність дій Центрального депозитарію:</w:t>
      </w:r>
    </w:p>
    <w:p w:rsidR="00D25F00" w:rsidRDefault="004D6045" w:rsidP="00CC7C3D">
      <w:pPr>
        <w:pStyle w:val="rvps2"/>
        <w:shd w:val="clear" w:color="auto" w:fill="FFFFFF"/>
        <w:spacing w:after="0"/>
        <w:ind w:firstLine="709"/>
        <w:jc w:val="both"/>
        <w:rPr>
          <w:rFonts w:eastAsiaTheme="minorHAnsi"/>
          <w:sz w:val="28"/>
          <w:szCs w:val="28"/>
          <w:lang w:eastAsia="en-US"/>
        </w:rPr>
      </w:pPr>
      <w:r w:rsidRPr="004D6045">
        <w:rPr>
          <w:rFonts w:eastAsiaTheme="minorHAnsi"/>
          <w:sz w:val="28"/>
          <w:szCs w:val="28"/>
          <w:lang w:eastAsia="en-US"/>
        </w:rPr>
        <w:t>1)</w:t>
      </w:r>
      <w:r w:rsidRPr="004D6045">
        <w:rPr>
          <w:rFonts w:eastAsiaTheme="minorHAnsi"/>
          <w:sz w:val="28"/>
          <w:szCs w:val="28"/>
          <w:lang w:eastAsia="en-US"/>
        </w:rPr>
        <w:tab/>
      </w:r>
      <w:r w:rsidR="00D25F00">
        <w:rPr>
          <w:sz w:val="28"/>
          <w:szCs w:val="28"/>
        </w:rPr>
        <w:t>перевір</w:t>
      </w:r>
      <w:r w:rsidR="00D25F00" w:rsidRPr="006E75AC">
        <w:rPr>
          <w:sz w:val="28"/>
          <w:szCs w:val="28"/>
        </w:rPr>
        <w:t>ку</w:t>
      </w:r>
      <w:r w:rsidR="002772E7">
        <w:rPr>
          <w:sz w:val="28"/>
          <w:szCs w:val="28"/>
        </w:rPr>
        <w:t xml:space="preserve"> наявності в</w:t>
      </w:r>
      <w:r w:rsidR="00D25F00" w:rsidRPr="006E75AC">
        <w:rPr>
          <w:sz w:val="28"/>
          <w:szCs w:val="28"/>
        </w:rPr>
        <w:t xml:space="preserve"> </w:t>
      </w:r>
      <w:r w:rsidR="00D25F00" w:rsidRPr="00D25F00">
        <w:rPr>
          <w:sz w:val="28"/>
          <w:szCs w:val="28"/>
        </w:rPr>
        <w:t>розпоряджен</w:t>
      </w:r>
      <w:r w:rsidR="00D25F00">
        <w:rPr>
          <w:sz w:val="28"/>
          <w:szCs w:val="28"/>
        </w:rPr>
        <w:t>н</w:t>
      </w:r>
      <w:r w:rsidR="002772E7">
        <w:rPr>
          <w:sz w:val="28"/>
          <w:szCs w:val="28"/>
        </w:rPr>
        <w:t>і</w:t>
      </w:r>
      <w:r w:rsidR="00D25F00">
        <w:rPr>
          <w:sz w:val="28"/>
          <w:szCs w:val="28"/>
        </w:rPr>
        <w:t xml:space="preserve"> </w:t>
      </w:r>
      <w:r w:rsidR="00D25F00" w:rsidRPr="00996711">
        <w:rPr>
          <w:sz w:val="28"/>
          <w:szCs w:val="28"/>
        </w:rPr>
        <w:t xml:space="preserve">постачальника </w:t>
      </w:r>
      <w:r w:rsidR="002772E7" w:rsidRPr="00996711">
        <w:rPr>
          <w:sz w:val="28"/>
          <w:szCs w:val="28"/>
        </w:rPr>
        <w:t>інформаці</w:t>
      </w:r>
      <w:r w:rsidR="002772E7">
        <w:rPr>
          <w:sz w:val="28"/>
          <w:szCs w:val="28"/>
        </w:rPr>
        <w:t>ї</w:t>
      </w:r>
      <w:r w:rsidR="002772E7" w:rsidRPr="00996711">
        <w:rPr>
          <w:sz w:val="28"/>
          <w:szCs w:val="28"/>
        </w:rPr>
        <w:t xml:space="preserve"> </w:t>
      </w:r>
      <w:r w:rsidR="00D25F00" w:rsidRPr="00996711">
        <w:rPr>
          <w:sz w:val="28"/>
          <w:szCs w:val="28"/>
        </w:rPr>
        <w:t xml:space="preserve">щодо ідентифікаційного коду та міжнародного номера банківського рахунку </w:t>
      </w:r>
      <w:r w:rsidR="00D25F00" w:rsidRPr="00996711">
        <w:rPr>
          <w:sz w:val="28"/>
          <w:szCs w:val="28"/>
        </w:rPr>
        <w:lastRenderedPageBreak/>
        <w:t>(IBAN) власника цінних паперів або клієнта постачальника, який обслуговує власника цінних паперів</w:t>
      </w:r>
      <w:r w:rsidR="00D25F00">
        <w:rPr>
          <w:sz w:val="28"/>
          <w:szCs w:val="28"/>
        </w:rPr>
        <w:t xml:space="preserve">, а </w:t>
      </w:r>
      <w:r w:rsidR="002772E7">
        <w:rPr>
          <w:sz w:val="28"/>
          <w:szCs w:val="28"/>
        </w:rPr>
        <w:t>в р</w:t>
      </w:r>
      <w:r w:rsidR="002772E7" w:rsidRPr="00996711">
        <w:rPr>
          <w:sz w:val="28"/>
          <w:szCs w:val="28"/>
        </w:rPr>
        <w:t>озпорядженн</w:t>
      </w:r>
      <w:r w:rsidR="002772E7">
        <w:rPr>
          <w:sz w:val="28"/>
          <w:szCs w:val="28"/>
        </w:rPr>
        <w:t>і</w:t>
      </w:r>
      <w:r w:rsidR="002772E7" w:rsidRPr="00996711">
        <w:rPr>
          <w:sz w:val="28"/>
          <w:szCs w:val="28"/>
        </w:rPr>
        <w:t xml:space="preserve"> </w:t>
      </w:r>
      <w:r w:rsidR="00D25F00" w:rsidRPr="00996711">
        <w:rPr>
          <w:sz w:val="28"/>
          <w:szCs w:val="28"/>
        </w:rPr>
        <w:t>одержувача</w:t>
      </w:r>
      <w:r w:rsidR="00D25F00">
        <w:rPr>
          <w:sz w:val="28"/>
          <w:szCs w:val="28"/>
        </w:rPr>
        <w:t xml:space="preserve"> </w:t>
      </w:r>
      <w:r w:rsidR="00D25F00" w:rsidRPr="005C1193">
        <w:rPr>
          <w:sz w:val="28"/>
          <w:szCs w:val="28"/>
        </w:rPr>
        <w:t>–</w:t>
      </w:r>
      <w:r w:rsidR="00D25F00">
        <w:rPr>
          <w:sz w:val="28"/>
          <w:szCs w:val="28"/>
        </w:rPr>
        <w:t xml:space="preserve"> </w:t>
      </w:r>
      <w:r w:rsidR="002772E7" w:rsidRPr="00996711">
        <w:rPr>
          <w:sz w:val="28"/>
          <w:szCs w:val="28"/>
        </w:rPr>
        <w:t>інформаці</w:t>
      </w:r>
      <w:r w:rsidR="002772E7">
        <w:rPr>
          <w:sz w:val="28"/>
          <w:szCs w:val="28"/>
        </w:rPr>
        <w:t>ї</w:t>
      </w:r>
      <w:r w:rsidR="002772E7" w:rsidRPr="00996711">
        <w:rPr>
          <w:sz w:val="28"/>
          <w:szCs w:val="28"/>
        </w:rPr>
        <w:t xml:space="preserve"> </w:t>
      </w:r>
      <w:r w:rsidR="00D25F00" w:rsidRPr="00996711">
        <w:rPr>
          <w:sz w:val="28"/>
          <w:szCs w:val="28"/>
        </w:rPr>
        <w:t>щодо коду обслуговуючого банку та ідентифікаційного коду власника цінних паперів або клієнта одержувача, який обслуговує власника цінних паперів</w:t>
      </w:r>
      <w:r w:rsidR="00D25F00">
        <w:rPr>
          <w:sz w:val="28"/>
          <w:szCs w:val="28"/>
        </w:rPr>
        <w:t>;</w:t>
      </w:r>
    </w:p>
    <w:p w:rsidR="004D6045" w:rsidRPr="004D6045" w:rsidRDefault="00D25F00" w:rsidP="00CC7C3D">
      <w:pPr>
        <w:pStyle w:val="rvps2"/>
        <w:shd w:val="clear" w:color="auto" w:fill="FFFFFF"/>
        <w:spacing w:after="0"/>
        <w:ind w:firstLine="709"/>
        <w:jc w:val="both"/>
        <w:rPr>
          <w:rFonts w:eastAsiaTheme="minorHAnsi"/>
          <w:sz w:val="28"/>
          <w:szCs w:val="28"/>
          <w:lang w:eastAsia="en-US"/>
        </w:rPr>
      </w:pPr>
      <w:r>
        <w:rPr>
          <w:rFonts w:eastAsiaTheme="minorHAnsi"/>
          <w:sz w:val="28"/>
          <w:szCs w:val="28"/>
          <w:lang w:eastAsia="en-US"/>
        </w:rPr>
        <w:t xml:space="preserve">2) </w:t>
      </w:r>
      <w:r w:rsidR="004D6045" w:rsidRPr="004D6045">
        <w:rPr>
          <w:rFonts w:eastAsiaTheme="minorHAnsi"/>
          <w:sz w:val="28"/>
          <w:szCs w:val="28"/>
          <w:lang w:eastAsia="en-US"/>
        </w:rPr>
        <w:t xml:space="preserve">обов’язкове блокування Центральним депозитарієм </w:t>
      </w:r>
      <w:r w:rsidR="004C6A73" w:rsidRPr="004D6045">
        <w:rPr>
          <w:rFonts w:eastAsiaTheme="minorHAnsi"/>
          <w:sz w:val="28"/>
          <w:szCs w:val="28"/>
          <w:lang w:eastAsia="en-US"/>
        </w:rPr>
        <w:t xml:space="preserve">у разі </w:t>
      </w:r>
      <w:proofErr w:type="spellStart"/>
      <w:r w:rsidR="004C6A73" w:rsidRPr="004D6045">
        <w:rPr>
          <w:rFonts w:eastAsiaTheme="minorHAnsi"/>
          <w:sz w:val="28"/>
          <w:szCs w:val="28"/>
          <w:lang w:eastAsia="en-US"/>
        </w:rPr>
        <w:t>квитування</w:t>
      </w:r>
      <w:proofErr w:type="spellEnd"/>
      <w:r w:rsidR="004C6A73" w:rsidRPr="004D6045">
        <w:rPr>
          <w:rFonts w:eastAsiaTheme="minorHAnsi"/>
          <w:sz w:val="28"/>
          <w:szCs w:val="28"/>
          <w:lang w:eastAsia="en-US"/>
        </w:rPr>
        <w:t xml:space="preserve"> зустрічних розпоряджень клієнтів </w:t>
      </w:r>
      <w:r w:rsidR="004D6045" w:rsidRPr="004D6045">
        <w:rPr>
          <w:rFonts w:eastAsiaTheme="minorHAnsi"/>
          <w:sz w:val="28"/>
          <w:szCs w:val="28"/>
          <w:lang w:eastAsia="en-US"/>
        </w:rPr>
        <w:t xml:space="preserve">цінних паперів на рахунку </w:t>
      </w:r>
      <w:r w:rsidR="00F57A05">
        <w:rPr>
          <w:rFonts w:eastAsiaTheme="minorHAnsi"/>
          <w:sz w:val="28"/>
          <w:szCs w:val="28"/>
          <w:lang w:eastAsia="en-US"/>
        </w:rPr>
        <w:t xml:space="preserve">в цінних паперах постачальника </w:t>
      </w:r>
      <w:r w:rsidR="004D6045" w:rsidRPr="004D6045">
        <w:rPr>
          <w:rFonts w:eastAsiaTheme="minorHAnsi"/>
          <w:sz w:val="28"/>
          <w:szCs w:val="28"/>
          <w:lang w:eastAsia="en-US"/>
        </w:rPr>
        <w:t xml:space="preserve">до моменту завершення оплати </w:t>
      </w:r>
      <w:r w:rsidR="00F57A05" w:rsidRPr="00F57A05">
        <w:rPr>
          <w:rFonts w:eastAsiaTheme="minorHAnsi"/>
          <w:sz w:val="28"/>
          <w:szCs w:val="28"/>
          <w:lang w:eastAsia="en-US"/>
        </w:rPr>
        <w:t>з використанням спеціальних засобів СЕП</w:t>
      </w:r>
      <w:r w:rsidR="004D6045" w:rsidRPr="004D6045">
        <w:rPr>
          <w:rFonts w:eastAsiaTheme="minorHAnsi"/>
          <w:sz w:val="28"/>
          <w:szCs w:val="28"/>
          <w:lang w:eastAsia="en-US"/>
        </w:rPr>
        <w:t>;</w:t>
      </w:r>
    </w:p>
    <w:p w:rsidR="004D6045" w:rsidRPr="004D6045" w:rsidRDefault="00D25F00" w:rsidP="00CC7C3D">
      <w:pPr>
        <w:pStyle w:val="rvps2"/>
        <w:shd w:val="clear" w:color="auto" w:fill="FFFFFF"/>
        <w:spacing w:after="0"/>
        <w:ind w:firstLine="709"/>
        <w:jc w:val="both"/>
        <w:rPr>
          <w:rFonts w:eastAsiaTheme="minorHAnsi"/>
          <w:sz w:val="28"/>
          <w:szCs w:val="28"/>
          <w:lang w:eastAsia="en-US"/>
        </w:rPr>
      </w:pPr>
      <w:r>
        <w:rPr>
          <w:rFonts w:eastAsiaTheme="minorHAnsi"/>
          <w:sz w:val="28"/>
          <w:szCs w:val="28"/>
          <w:lang w:eastAsia="en-US"/>
        </w:rPr>
        <w:t>3</w:t>
      </w:r>
      <w:r w:rsidR="004D6045" w:rsidRPr="004D6045">
        <w:rPr>
          <w:rFonts w:eastAsiaTheme="minorHAnsi"/>
          <w:sz w:val="28"/>
          <w:szCs w:val="28"/>
          <w:lang w:eastAsia="en-US"/>
        </w:rPr>
        <w:t xml:space="preserve">) здійснення Центральним депозитарієм переказу цінних паперів на рахунок </w:t>
      </w:r>
      <w:r w:rsidR="00646776">
        <w:rPr>
          <w:rFonts w:eastAsiaTheme="minorHAnsi"/>
          <w:sz w:val="28"/>
          <w:szCs w:val="28"/>
          <w:lang w:eastAsia="en-US"/>
        </w:rPr>
        <w:t>у</w:t>
      </w:r>
      <w:r w:rsidR="00646776" w:rsidRPr="004D6045">
        <w:rPr>
          <w:rFonts w:eastAsiaTheme="minorHAnsi"/>
          <w:sz w:val="28"/>
          <w:szCs w:val="28"/>
          <w:lang w:eastAsia="en-US"/>
        </w:rPr>
        <w:t xml:space="preserve"> </w:t>
      </w:r>
      <w:r w:rsidR="004D6045" w:rsidRPr="004D6045">
        <w:rPr>
          <w:rFonts w:eastAsiaTheme="minorHAnsi"/>
          <w:sz w:val="28"/>
          <w:szCs w:val="28"/>
          <w:lang w:eastAsia="en-US"/>
        </w:rPr>
        <w:t>цінних паперах одержувача</w:t>
      </w:r>
      <w:r w:rsidR="00D341C5">
        <w:rPr>
          <w:rFonts w:eastAsiaTheme="minorHAnsi"/>
          <w:sz w:val="28"/>
          <w:szCs w:val="28"/>
          <w:lang w:eastAsia="en-US"/>
        </w:rPr>
        <w:t xml:space="preserve"> як не обтяжених зобов’язаннями</w:t>
      </w:r>
      <w:r w:rsidR="007553CB">
        <w:rPr>
          <w:rFonts w:eastAsiaTheme="minorHAnsi"/>
          <w:sz w:val="28"/>
          <w:szCs w:val="28"/>
          <w:lang w:eastAsia="en-US"/>
        </w:rPr>
        <w:t>,</w:t>
      </w:r>
      <w:r w:rsidR="004D6045" w:rsidRPr="004D6045">
        <w:rPr>
          <w:rFonts w:eastAsiaTheme="minorHAnsi"/>
          <w:sz w:val="28"/>
          <w:szCs w:val="28"/>
          <w:lang w:eastAsia="en-US"/>
        </w:rPr>
        <w:t xml:space="preserve"> одночасно з надходженням інформації про списання коштів </w:t>
      </w:r>
      <w:r w:rsidR="004145FD" w:rsidRPr="004D6045">
        <w:rPr>
          <w:rFonts w:eastAsiaTheme="minorHAnsi"/>
          <w:sz w:val="28"/>
          <w:szCs w:val="28"/>
          <w:lang w:eastAsia="en-US"/>
        </w:rPr>
        <w:t xml:space="preserve">від СЕП </w:t>
      </w:r>
      <w:r w:rsidR="004145FD">
        <w:rPr>
          <w:rFonts w:eastAsiaTheme="minorHAnsi"/>
          <w:sz w:val="28"/>
          <w:szCs w:val="28"/>
          <w:lang w:eastAsia="en-US"/>
        </w:rPr>
        <w:t>або обслуговуючого банку</w:t>
      </w:r>
      <w:r w:rsidR="004D6045" w:rsidRPr="004D6045">
        <w:rPr>
          <w:rFonts w:eastAsiaTheme="minorHAnsi"/>
          <w:sz w:val="28"/>
          <w:szCs w:val="28"/>
          <w:lang w:eastAsia="en-US"/>
        </w:rPr>
        <w:t>;</w:t>
      </w:r>
    </w:p>
    <w:p w:rsidR="004D6045" w:rsidRPr="004D6045" w:rsidRDefault="00D25F00" w:rsidP="00CC7C3D">
      <w:pPr>
        <w:pStyle w:val="rvps2"/>
        <w:shd w:val="clear" w:color="auto" w:fill="FFFFFF"/>
        <w:spacing w:after="0"/>
        <w:ind w:firstLine="709"/>
        <w:jc w:val="both"/>
        <w:rPr>
          <w:rFonts w:eastAsiaTheme="minorHAnsi"/>
          <w:sz w:val="28"/>
          <w:szCs w:val="28"/>
          <w:lang w:eastAsia="en-US"/>
        </w:rPr>
      </w:pPr>
      <w:r>
        <w:rPr>
          <w:rFonts w:eastAsiaTheme="minorHAnsi"/>
          <w:sz w:val="28"/>
          <w:szCs w:val="28"/>
          <w:lang w:eastAsia="en-US"/>
        </w:rPr>
        <w:t>4</w:t>
      </w:r>
      <w:r w:rsidR="004D6045" w:rsidRPr="004D6045">
        <w:rPr>
          <w:rFonts w:eastAsiaTheme="minorHAnsi"/>
          <w:sz w:val="28"/>
          <w:szCs w:val="28"/>
          <w:lang w:eastAsia="en-US"/>
        </w:rPr>
        <w:t>)</w:t>
      </w:r>
      <w:r w:rsidR="004D6045" w:rsidRPr="004D6045">
        <w:rPr>
          <w:rFonts w:eastAsiaTheme="minorHAnsi"/>
          <w:sz w:val="28"/>
          <w:szCs w:val="28"/>
          <w:lang w:eastAsia="en-US"/>
        </w:rPr>
        <w:tab/>
        <w:t xml:space="preserve">надання Центральним депозитарієм після переказу цінних паперів на рахунок </w:t>
      </w:r>
      <w:r w:rsidR="00646776">
        <w:rPr>
          <w:rFonts w:eastAsiaTheme="minorHAnsi"/>
          <w:sz w:val="28"/>
          <w:szCs w:val="28"/>
          <w:lang w:eastAsia="en-US"/>
        </w:rPr>
        <w:t>у</w:t>
      </w:r>
      <w:r w:rsidR="00646776" w:rsidRPr="004D6045">
        <w:rPr>
          <w:rFonts w:eastAsiaTheme="minorHAnsi"/>
          <w:sz w:val="28"/>
          <w:szCs w:val="28"/>
          <w:lang w:eastAsia="en-US"/>
        </w:rPr>
        <w:t xml:space="preserve"> </w:t>
      </w:r>
      <w:r w:rsidR="004D6045" w:rsidRPr="004D6045">
        <w:rPr>
          <w:rFonts w:eastAsiaTheme="minorHAnsi"/>
          <w:sz w:val="28"/>
          <w:szCs w:val="28"/>
          <w:lang w:eastAsia="en-US"/>
        </w:rPr>
        <w:t>цінних паперах одержувача відповідного звіту/повідомлення клієнту;</w:t>
      </w:r>
    </w:p>
    <w:p w:rsidR="007C1850" w:rsidRDefault="00D25F00" w:rsidP="00CC7C3D">
      <w:pPr>
        <w:pStyle w:val="rvps2"/>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5</w:t>
      </w:r>
      <w:r w:rsidR="004D6045" w:rsidRPr="004D6045">
        <w:rPr>
          <w:rFonts w:eastAsiaTheme="minorHAnsi"/>
          <w:sz w:val="28"/>
          <w:szCs w:val="28"/>
          <w:lang w:eastAsia="en-US"/>
        </w:rPr>
        <w:t>)</w:t>
      </w:r>
      <w:r w:rsidR="004D6045" w:rsidRPr="004D6045">
        <w:rPr>
          <w:rFonts w:eastAsiaTheme="minorHAnsi"/>
          <w:sz w:val="28"/>
          <w:szCs w:val="28"/>
          <w:lang w:eastAsia="en-US"/>
        </w:rPr>
        <w:tab/>
        <w:t>розблокування Центральним депозитарієм цінних паперів на рахунку в цінних паперах постачальника та надання інформації клієнту про неможливість завершення розрахунків, якщо оплата на підставі повідомлення про необхідність перерахування коштів не відбулася до завершення часу, визначеного регламентом СЕП для таких видів платежів, до закриття операційного дня Центрального депозитарію.</w:t>
      </w:r>
      <w:bookmarkStart w:id="3" w:name="n653"/>
      <w:bookmarkEnd w:id="3"/>
      <w:r w:rsidR="0070606E" w:rsidRPr="00996711">
        <w:rPr>
          <w:rFonts w:eastAsiaTheme="minorHAnsi"/>
          <w:sz w:val="28"/>
          <w:szCs w:val="28"/>
          <w:lang w:eastAsia="en-US"/>
        </w:rPr>
        <w:t xml:space="preserve"> </w:t>
      </w:r>
    </w:p>
    <w:p w:rsidR="00F57A05" w:rsidRDefault="00F57A05" w:rsidP="00CC7C3D">
      <w:pPr>
        <w:pStyle w:val="rvps2"/>
        <w:shd w:val="clear" w:color="auto" w:fill="FFFFFF"/>
        <w:spacing w:before="0" w:beforeAutospacing="0" w:after="0" w:afterAutospacing="0"/>
        <w:ind w:firstLine="709"/>
        <w:jc w:val="both"/>
        <w:rPr>
          <w:rFonts w:eastAsiaTheme="minorHAnsi"/>
          <w:sz w:val="28"/>
          <w:szCs w:val="28"/>
          <w:lang w:eastAsia="en-US"/>
        </w:rPr>
      </w:pPr>
    </w:p>
    <w:p w:rsidR="00051FE9" w:rsidRDefault="006708B6" w:rsidP="00CC7C3D">
      <w:pPr>
        <w:pStyle w:val="rvps2"/>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19</w:t>
      </w:r>
      <w:r w:rsidR="00F57A05">
        <w:rPr>
          <w:rFonts w:eastAsiaTheme="minorHAnsi"/>
          <w:sz w:val="28"/>
          <w:szCs w:val="28"/>
          <w:lang w:eastAsia="en-US"/>
        </w:rPr>
        <w:t xml:space="preserve">. </w:t>
      </w:r>
      <w:r w:rsidR="00051FE9">
        <w:rPr>
          <w:rFonts w:eastAsiaTheme="minorHAnsi"/>
          <w:sz w:val="28"/>
          <w:szCs w:val="28"/>
          <w:lang w:eastAsia="en-US"/>
        </w:rPr>
        <w:t xml:space="preserve">Грошові розрахунки </w:t>
      </w:r>
      <w:r w:rsidR="00051FE9" w:rsidRPr="004D6045">
        <w:rPr>
          <w:rFonts w:eastAsiaTheme="minorHAnsi"/>
          <w:sz w:val="28"/>
          <w:szCs w:val="28"/>
          <w:lang w:eastAsia="en-US"/>
        </w:rPr>
        <w:t>з використанням спеціальних засобів СЕП</w:t>
      </w:r>
      <w:r w:rsidR="00051FE9">
        <w:rPr>
          <w:rFonts w:eastAsiaTheme="minorHAnsi"/>
          <w:sz w:val="28"/>
          <w:szCs w:val="28"/>
          <w:lang w:eastAsia="en-US"/>
        </w:rPr>
        <w:t xml:space="preserve"> забезпечуються</w:t>
      </w:r>
      <w:r w:rsidR="004145FD">
        <w:rPr>
          <w:rFonts w:eastAsiaTheme="minorHAnsi"/>
          <w:sz w:val="28"/>
          <w:szCs w:val="28"/>
          <w:lang w:eastAsia="en-US"/>
        </w:rPr>
        <w:t>/здійснюються</w:t>
      </w:r>
      <w:r w:rsidR="00051FE9">
        <w:rPr>
          <w:rFonts w:eastAsiaTheme="minorHAnsi"/>
          <w:sz w:val="28"/>
          <w:szCs w:val="28"/>
          <w:lang w:eastAsia="en-US"/>
        </w:rPr>
        <w:t xml:space="preserve"> Центральним депозитарієм та обс</w:t>
      </w:r>
      <w:r w:rsidR="00F57A05">
        <w:rPr>
          <w:rFonts w:eastAsiaTheme="minorHAnsi"/>
          <w:sz w:val="28"/>
          <w:szCs w:val="28"/>
          <w:lang w:eastAsia="en-US"/>
        </w:rPr>
        <w:t>луговуючими банками таким чином</w:t>
      </w:r>
      <w:r w:rsidR="00051FE9">
        <w:rPr>
          <w:rFonts w:eastAsiaTheme="minorHAnsi"/>
          <w:sz w:val="28"/>
          <w:szCs w:val="28"/>
          <w:lang w:eastAsia="en-US"/>
        </w:rPr>
        <w:t>:</w:t>
      </w:r>
    </w:p>
    <w:p w:rsidR="00F57A05" w:rsidRDefault="00F57A05" w:rsidP="00CC7C3D">
      <w:pPr>
        <w:pStyle w:val="rvps2"/>
        <w:shd w:val="clear" w:color="auto" w:fill="FFFFFF"/>
        <w:spacing w:before="0" w:beforeAutospacing="0" w:after="0" w:afterAutospacing="0"/>
        <w:ind w:firstLine="709"/>
        <w:jc w:val="both"/>
        <w:rPr>
          <w:rFonts w:eastAsiaTheme="minorHAnsi"/>
          <w:sz w:val="28"/>
          <w:szCs w:val="28"/>
          <w:lang w:eastAsia="en-US"/>
        </w:rPr>
      </w:pPr>
    </w:p>
    <w:p w:rsidR="00A50FE0" w:rsidRDefault="00051FE9" w:rsidP="00CC7C3D">
      <w:pPr>
        <w:pStyle w:val="rvps2"/>
        <w:numPr>
          <w:ilvl w:val="0"/>
          <w:numId w:val="9"/>
        </w:numPr>
        <w:shd w:val="clear" w:color="auto" w:fill="FFFFFF"/>
        <w:spacing w:before="0" w:beforeAutospacing="0" w:after="0" w:afterAutospacing="0"/>
        <w:ind w:left="0" w:firstLine="709"/>
        <w:jc w:val="both"/>
        <w:rPr>
          <w:rFonts w:eastAsiaTheme="minorHAnsi"/>
          <w:sz w:val="28"/>
          <w:szCs w:val="28"/>
          <w:lang w:eastAsia="en-US"/>
        </w:rPr>
      </w:pPr>
      <w:r>
        <w:rPr>
          <w:rFonts w:eastAsiaTheme="minorHAnsi"/>
          <w:sz w:val="28"/>
          <w:szCs w:val="28"/>
          <w:lang w:eastAsia="en-US"/>
        </w:rPr>
        <w:t xml:space="preserve"> </w:t>
      </w:r>
      <w:r w:rsidRPr="004D6045">
        <w:rPr>
          <w:rFonts w:eastAsiaTheme="minorHAnsi"/>
          <w:sz w:val="28"/>
          <w:szCs w:val="28"/>
          <w:lang w:eastAsia="en-US"/>
        </w:rPr>
        <w:t>Центральни</w:t>
      </w:r>
      <w:r>
        <w:rPr>
          <w:rFonts w:eastAsiaTheme="minorHAnsi"/>
          <w:sz w:val="28"/>
          <w:szCs w:val="28"/>
          <w:lang w:eastAsia="en-US"/>
        </w:rPr>
        <w:t>й</w:t>
      </w:r>
      <w:r w:rsidRPr="004D6045">
        <w:rPr>
          <w:rFonts w:eastAsiaTheme="minorHAnsi"/>
          <w:sz w:val="28"/>
          <w:szCs w:val="28"/>
          <w:lang w:eastAsia="en-US"/>
        </w:rPr>
        <w:t xml:space="preserve"> депозитарі</w:t>
      </w:r>
      <w:r>
        <w:rPr>
          <w:rFonts w:eastAsiaTheme="minorHAnsi"/>
          <w:sz w:val="28"/>
          <w:szCs w:val="28"/>
          <w:lang w:eastAsia="en-US"/>
        </w:rPr>
        <w:t xml:space="preserve">й </w:t>
      </w:r>
      <w:r w:rsidR="00646776">
        <w:rPr>
          <w:rFonts w:eastAsiaTheme="minorHAnsi"/>
          <w:sz w:val="28"/>
          <w:szCs w:val="28"/>
          <w:lang w:eastAsia="en-US"/>
        </w:rPr>
        <w:t>в</w:t>
      </w:r>
      <w:r w:rsidR="00646776" w:rsidRPr="00F57A05">
        <w:rPr>
          <w:rFonts w:eastAsiaTheme="minorHAnsi"/>
          <w:sz w:val="28"/>
          <w:szCs w:val="28"/>
          <w:lang w:eastAsia="en-US"/>
        </w:rPr>
        <w:t xml:space="preserve"> </w:t>
      </w:r>
      <w:r w:rsidR="00F57A05" w:rsidRPr="00F57A05">
        <w:rPr>
          <w:rFonts w:eastAsiaTheme="minorHAnsi"/>
          <w:sz w:val="28"/>
          <w:szCs w:val="28"/>
          <w:lang w:eastAsia="en-US"/>
        </w:rPr>
        <w:t xml:space="preserve">разі </w:t>
      </w:r>
      <w:proofErr w:type="spellStart"/>
      <w:r w:rsidR="00F57A05" w:rsidRPr="00F57A05">
        <w:rPr>
          <w:rFonts w:eastAsiaTheme="minorHAnsi"/>
          <w:sz w:val="28"/>
          <w:szCs w:val="28"/>
          <w:lang w:eastAsia="en-US"/>
        </w:rPr>
        <w:t>квитування</w:t>
      </w:r>
      <w:proofErr w:type="spellEnd"/>
      <w:r w:rsidR="00F57A05" w:rsidRPr="00F57A05">
        <w:rPr>
          <w:rFonts w:eastAsiaTheme="minorHAnsi"/>
          <w:sz w:val="28"/>
          <w:szCs w:val="28"/>
          <w:lang w:eastAsia="en-US"/>
        </w:rPr>
        <w:t xml:space="preserve"> зустрічних розпоряджень клієнтів </w:t>
      </w:r>
      <w:r w:rsidR="00F57A05">
        <w:rPr>
          <w:rFonts w:eastAsiaTheme="minorHAnsi"/>
          <w:sz w:val="28"/>
          <w:szCs w:val="28"/>
          <w:lang w:eastAsia="en-US"/>
        </w:rPr>
        <w:t xml:space="preserve">та після блокування цінних паперів на рахунку в цінних паперах постачальника </w:t>
      </w:r>
      <w:r>
        <w:rPr>
          <w:rFonts w:eastAsiaTheme="minorHAnsi"/>
          <w:sz w:val="28"/>
          <w:szCs w:val="28"/>
          <w:lang w:eastAsia="en-US"/>
        </w:rPr>
        <w:t>відправляє</w:t>
      </w:r>
      <w:r w:rsidRPr="004D6045">
        <w:rPr>
          <w:rFonts w:eastAsiaTheme="minorHAnsi"/>
          <w:sz w:val="28"/>
          <w:szCs w:val="28"/>
          <w:lang w:eastAsia="en-US"/>
        </w:rPr>
        <w:t xml:space="preserve"> обслуговуючому банку, зазначеному </w:t>
      </w:r>
      <w:r w:rsidR="00646776">
        <w:rPr>
          <w:rFonts w:eastAsiaTheme="minorHAnsi"/>
          <w:sz w:val="28"/>
          <w:szCs w:val="28"/>
          <w:lang w:eastAsia="en-US"/>
        </w:rPr>
        <w:t xml:space="preserve">в </w:t>
      </w:r>
      <w:r w:rsidRPr="004D6045">
        <w:rPr>
          <w:rFonts w:eastAsiaTheme="minorHAnsi"/>
          <w:sz w:val="28"/>
          <w:szCs w:val="28"/>
          <w:lang w:eastAsia="en-US"/>
        </w:rPr>
        <w:t>розпорядженні одержувача,</w:t>
      </w:r>
      <w:r w:rsidR="00F57A05">
        <w:rPr>
          <w:rFonts w:eastAsiaTheme="minorHAnsi"/>
          <w:sz w:val="28"/>
          <w:szCs w:val="28"/>
          <w:lang w:eastAsia="en-US"/>
        </w:rPr>
        <w:t xml:space="preserve"> </w:t>
      </w:r>
      <w:r w:rsidRPr="004D6045">
        <w:rPr>
          <w:rFonts w:eastAsiaTheme="minorHAnsi"/>
          <w:sz w:val="28"/>
          <w:szCs w:val="28"/>
          <w:lang w:eastAsia="en-US"/>
        </w:rPr>
        <w:t>повідомлення про необхідність перерахування коштів (&amp;P);</w:t>
      </w:r>
    </w:p>
    <w:p w:rsidR="00F57A05" w:rsidRPr="00996711" w:rsidRDefault="00F57A05" w:rsidP="00CC7C3D">
      <w:pPr>
        <w:pStyle w:val="rvps2"/>
        <w:shd w:val="clear" w:color="auto" w:fill="FFFFFF"/>
        <w:spacing w:before="0" w:beforeAutospacing="0" w:after="0" w:afterAutospacing="0"/>
        <w:ind w:firstLine="709"/>
        <w:jc w:val="both"/>
        <w:rPr>
          <w:rFonts w:eastAsiaTheme="minorHAnsi"/>
          <w:sz w:val="28"/>
          <w:szCs w:val="28"/>
          <w:lang w:eastAsia="en-US"/>
        </w:rPr>
      </w:pPr>
    </w:p>
    <w:p w:rsidR="00F802D2" w:rsidRDefault="00782CA9" w:rsidP="00CC7C3D">
      <w:pPr>
        <w:pStyle w:val="rvps2"/>
        <w:shd w:val="clear" w:color="auto" w:fill="FFFFFF"/>
        <w:spacing w:before="0" w:beforeAutospacing="0" w:after="0" w:afterAutospacing="0"/>
        <w:ind w:firstLine="709"/>
        <w:jc w:val="both"/>
        <w:rPr>
          <w:rFonts w:eastAsiaTheme="minorHAnsi"/>
          <w:sz w:val="28"/>
          <w:szCs w:val="28"/>
          <w:lang w:eastAsia="en-US"/>
        </w:rPr>
      </w:pPr>
      <w:r w:rsidRPr="00996711">
        <w:rPr>
          <w:rFonts w:eastAsiaTheme="minorHAnsi"/>
          <w:sz w:val="28"/>
          <w:szCs w:val="28"/>
          <w:lang w:eastAsia="en-US"/>
        </w:rPr>
        <w:t>2</w:t>
      </w:r>
      <w:r w:rsidR="00F57A05">
        <w:rPr>
          <w:rFonts w:eastAsiaTheme="minorHAnsi"/>
          <w:sz w:val="28"/>
          <w:szCs w:val="28"/>
          <w:lang w:eastAsia="en-US"/>
        </w:rPr>
        <w:t>)</w:t>
      </w:r>
      <w:r w:rsidR="00F45595" w:rsidRPr="00996711">
        <w:rPr>
          <w:rFonts w:eastAsiaTheme="minorHAnsi"/>
          <w:sz w:val="28"/>
          <w:szCs w:val="28"/>
          <w:lang w:eastAsia="en-US"/>
        </w:rPr>
        <w:t xml:space="preserve"> </w:t>
      </w:r>
      <w:r w:rsidR="00F57A05">
        <w:rPr>
          <w:rFonts w:eastAsiaTheme="minorHAnsi"/>
          <w:sz w:val="28"/>
          <w:szCs w:val="28"/>
          <w:lang w:eastAsia="en-US"/>
        </w:rPr>
        <w:t>о</w:t>
      </w:r>
      <w:r w:rsidR="00F57A05" w:rsidRPr="00996711">
        <w:rPr>
          <w:rFonts w:eastAsiaTheme="minorHAnsi"/>
          <w:sz w:val="28"/>
          <w:szCs w:val="28"/>
          <w:lang w:eastAsia="en-US"/>
        </w:rPr>
        <w:t xml:space="preserve">бслуговуючий </w:t>
      </w:r>
      <w:r w:rsidR="00444674" w:rsidRPr="00996711">
        <w:rPr>
          <w:rFonts w:eastAsiaTheme="minorHAnsi"/>
          <w:sz w:val="28"/>
          <w:szCs w:val="28"/>
          <w:lang w:eastAsia="en-US"/>
        </w:rPr>
        <w:t>банк</w:t>
      </w:r>
      <w:r w:rsidR="00EC252A" w:rsidRPr="00996711">
        <w:rPr>
          <w:rFonts w:eastAsiaTheme="minorHAnsi"/>
          <w:sz w:val="28"/>
          <w:szCs w:val="28"/>
          <w:lang w:eastAsia="en-US"/>
        </w:rPr>
        <w:t xml:space="preserve">, зазначений </w:t>
      </w:r>
      <w:r w:rsidR="00646776">
        <w:rPr>
          <w:rFonts w:eastAsiaTheme="minorHAnsi"/>
          <w:sz w:val="28"/>
          <w:szCs w:val="28"/>
          <w:lang w:eastAsia="en-US"/>
        </w:rPr>
        <w:t>в</w:t>
      </w:r>
      <w:r w:rsidR="00646776" w:rsidRPr="00996711">
        <w:rPr>
          <w:rFonts w:eastAsiaTheme="minorHAnsi"/>
          <w:sz w:val="28"/>
          <w:szCs w:val="28"/>
          <w:lang w:eastAsia="en-US"/>
        </w:rPr>
        <w:t xml:space="preserve"> </w:t>
      </w:r>
      <w:r w:rsidR="00EC252A" w:rsidRPr="00996711">
        <w:rPr>
          <w:rFonts w:eastAsiaTheme="minorHAnsi"/>
          <w:sz w:val="28"/>
          <w:szCs w:val="28"/>
          <w:lang w:eastAsia="en-US"/>
        </w:rPr>
        <w:t xml:space="preserve">розпорядженні одержувача, </w:t>
      </w:r>
      <w:r w:rsidR="00444674" w:rsidRPr="00996711">
        <w:rPr>
          <w:rFonts w:eastAsiaTheme="minorHAnsi"/>
          <w:sz w:val="28"/>
          <w:szCs w:val="28"/>
          <w:lang w:eastAsia="en-US"/>
        </w:rPr>
        <w:t xml:space="preserve">на  підставі </w:t>
      </w:r>
      <w:r w:rsidR="00EC252A" w:rsidRPr="00996711">
        <w:rPr>
          <w:rFonts w:eastAsiaTheme="minorHAnsi"/>
          <w:sz w:val="28"/>
          <w:szCs w:val="28"/>
          <w:lang w:eastAsia="en-US"/>
        </w:rPr>
        <w:t>відповідного</w:t>
      </w:r>
      <w:r w:rsidR="00444674" w:rsidRPr="00996711">
        <w:rPr>
          <w:rFonts w:eastAsiaTheme="minorHAnsi"/>
          <w:sz w:val="28"/>
          <w:szCs w:val="28"/>
          <w:lang w:eastAsia="en-US"/>
        </w:rPr>
        <w:t xml:space="preserve"> платіжного доручення на перерахування коштів повинен виконати платіж за правочином щодо цінних паперів, скориставшись інформацією з </w:t>
      </w:r>
      <w:proofErr w:type="spellStart"/>
      <w:r w:rsidR="00444674" w:rsidRPr="00996711">
        <w:rPr>
          <w:rFonts w:eastAsiaTheme="minorHAnsi"/>
          <w:sz w:val="28"/>
          <w:szCs w:val="28"/>
          <w:lang w:eastAsia="en-US"/>
        </w:rPr>
        <w:t>файла</w:t>
      </w:r>
      <w:proofErr w:type="spellEnd"/>
      <w:r w:rsidR="00444674" w:rsidRPr="00996711">
        <w:rPr>
          <w:rFonts w:eastAsiaTheme="minorHAnsi"/>
          <w:sz w:val="28"/>
          <w:szCs w:val="28"/>
          <w:lang w:eastAsia="en-US"/>
        </w:rPr>
        <w:t xml:space="preserve"> &amp;P</w:t>
      </w:r>
      <w:r w:rsidR="00F45595" w:rsidRPr="00996711">
        <w:rPr>
          <w:rFonts w:eastAsiaTheme="minorHAnsi"/>
          <w:sz w:val="28"/>
          <w:szCs w:val="28"/>
          <w:lang w:eastAsia="en-US"/>
        </w:rPr>
        <w:t>, та</w:t>
      </w:r>
      <w:r w:rsidR="0058076B" w:rsidRPr="00996711">
        <w:rPr>
          <w:rFonts w:eastAsiaTheme="minorHAnsi"/>
          <w:sz w:val="28"/>
          <w:szCs w:val="28"/>
          <w:lang w:eastAsia="en-US"/>
        </w:rPr>
        <w:t xml:space="preserve"> </w:t>
      </w:r>
      <w:r w:rsidR="00646776">
        <w:rPr>
          <w:rFonts w:eastAsiaTheme="minorHAnsi"/>
          <w:sz w:val="28"/>
          <w:szCs w:val="28"/>
          <w:lang w:eastAsia="en-US"/>
        </w:rPr>
        <w:t>в разі</w:t>
      </w:r>
      <w:r w:rsidR="0058076B" w:rsidRPr="00996711">
        <w:rPr>
          <w:rFonts w:eastAsiaTheme="minorHAnsi"/>
          <w:sz w:val="28"/>
          <w:szCs w:val="28"/>
          <w:lang w:eastAsia="en-US"/>
        </w:rPr>
        <w:t xml:space="preserve"> виконання внутрішньобанківського переказу</w:t>
      </w:r>
      <w:r w:rsidR="00F45595" w:rsidRPr="00996711">
        <w:rPr>
          <w:rFonts w:eastAsiaTheme="minorHAnsi"/>
          <w:sz w:val="28"/>
          <w:szCs w:val="28"/>
          <w:lang w:eastAsia="en-US"/>
        </w:rPr>
        <w:t xml:space="preserve"> надіслати інформацію про виконаний платіж Центральному депозитарію</w:t>
      </w:r>
      <w:r w:rsidR="008D742D">
        <w:rPr>
          <w:rFonts w:eastAsiaTheme="minorHAnsi"/>
          <w:sz w:val="28"/>
          <w:szCs w:val="28"/>
          <w:lang w:eastAsia="en-US"/>
        </w:rPr>
        <w:t xml:space="preserve"> з використанням спеціальних засобів СЕП</w:t>
      </w:r>
      <w:r w:rsidR="00F802D2" w:rsidRPr="006E75AC">
        <w:rPr>
          <w:rFonts w:eastAsiaTheme="minorHAnsi"/>
          <w:sz w:val="28"/>
          <w:szCs w:val="28"/>
          <w:lang w:eastAsia="en-US"/>
        </w:rPr>
        <w:t>;</w:t>
      </w:r>
    </w:p>
    <w:p w:rsidR="00F802D2" w:rsidRPr="006E75AC" w:rsidRDefault="00F802D2" w:rsidP="00CC7C3D">
      <w:pPr>
        <w:pStyle w:val="rvps2"/>
        <w:shd w:val="clear" w:color="auto" w:fill="FFFFFF"/>
        <w:spacing w:before="0" w:beforeAutospacing="0" w:after="0" w:afterAutospacing="0"/>
        <w:ind w:firstLine="709"/>
        <w:jc w:val="both"/>
        <w:rPr>
          <w:rFonts w:eastAsiaTheme="minorHAnsi"/>
          <w:sz w:val="28"/>
          <w:szCs w:val="28"/>
          <w:lang w:eastAsia="en-US"/>
        </w:rPr>
      </w:pPr>
    </w:p>
    <w:p w:rsidR="00444674" w:rsidRDefault="00F802D2" w:rsidP="00CC7C3D">
      <w:pPr>
        <w:pStyle w:val="rvps2"/>
        <w:shd w:val="clear" w:color="auto" w:fill="FFFFFF"/>
        <w:spacing w:before="0" w:beforeAutospacing="0" w:after="0" w:afterAutospacing="0"/>
        <w:ind w:firstLine="709"/>
        <w:jc w:val="both"/>
        <w:rPr>
          <w:rFonts w:eastAsiaTheme="minorHAnsi"/>
          <w:sz w:val="28"/>
          <w:szCs w:val="28"/>
          <w:lang w:eastAsia="en-US"/>
        </w:rPr>
      </w:pPr>
      <w:r w:rsidRPr="006E75AC">
        <w:rPr>
          <w:rFonts w:eastAsiaTheme="minorHAnsi"/>
          <w:sz w:val="28"/>
          <w:szCs w:val="28"/>
          <w:lang w:eastAsia="en-US"/>
        </w:rPr>
        <w:lastRenderedPageBreak/>
        <w:t xml:space="preserve">3) </w:t>
      </w:r>
      <w:r w:rsidR="00565618">
        <w:rPr>
          <w:rFonts w:eastAsiaTheme="minorHAnsi"/>
          <w:sz w:val="28"/>
          <w:szCs w:val="28"/>
          <w:lang w:eastAsia="en-US"/>
        </w:rPr>
        <w:t>Центральний депозитарій отримує</w:t>
      </w:r>
      <w:r w:rsidR="008D742D">
        <w:rPr>
          <w:rFonts w:eastAsiaTheme="minorHAnsi"/>
          <w:sz w:val="28"/>
          <w:szCs w:val="28"/>
          <w:lang w:eastAsia="en-US"/>
        </w:rPr>
        <w:t xml:space="preserve"> та опрацьовує</w:t>
      </w:r>
      <w:r w:rsidR="00565618">
        <w:rPr>
          <w:rFonts w:eastAsiaTheme="minorHAnsi"/>
          <w:sz w:val="28"/>
          <w:szCs w:val="28"/>
          <w:lang w:eastAsia="en-US"/>
        </w:rPr>
        <w:t xml:space="preserve"> </w:t>
      </w:r>
      <w:r w:rsidR="008D742D">
        <w:rPr>
          <w:rFonts w:eastAsiaTheme="minorHAnsi"/>
          <w:sz w:val="28"/>
          <w:szCs w:val="28"/>
          <w:lang w:eastAsia="en-US"/>
        </w:rPr>
        <w:t xml:space="preserve">в порядку, визначеному цим Положенням та його внутрішніми документами, </w:t>
      </w:r>
      <w:r>
        <w:rPr>
          <w:rFonts w:eastAsiaTheme="minorHAnsi"/>
          <w:sz w:val="28"/>
          <w:szCs w:val="28"/>
          <w:lang w:eastAsia="en-US"/>
        </w:rPr>
        <w:t>інформацію про завершення грошових розрахунків</w:t>
      </w:r>
      <w:r w:rsidR="008D742D">
        <w:rPr>
          <w:rFonts w:eastAsiaTheme="minorHAnsi"/>
          <w:sz w:val="28"/>
          <w:szCs w:val="28"/>
          <w:lang w:eastAsia="en-US"/>
        </w:rPr>
        <w:t>. У</w:t>
      </w:r>
      <w:r w:rsidR="004145FD">
        <w:rPr>
          <w:rFonts w:eastAsiaTheme="minorHAnsi"/>
          <w:sz w:val="28"/>
          <w:szCs w:val="28"/>
          <w:lang w:eastAsia="en-US"/>
        </w:rPr>
        <w:t xml:space="preserve"> разі міжбанківського переказу</w:t>
      </w:r>
      <w:r w:rsidR="008D742D">
        <w:rPr>
          <w:rFonts w:eastAsiaTheme="minorHAnsi"/>
          <w:sz w:val="28"/>
          <w:szCs w:val="28"/>
          <w:lang w:eastAsia="en-US"/>
        </w:rPr>
        <w:t xml:space="preserve"> така інформація надходить</w:t>
      </w:r>
      <w:r>
        <w:rPr>
          <w:rFonts w:eastAsiaTheme="minorHAnsi"/>
          <w:sz w:val="28"/>
          <w:szCs w:val="28"/>
          <w:lang w:eastAsia="en-US"/>
        </w:rPr>
        <w:t xml:space="preserve"> </w:t>
      </w:r>
      <w:r w:rsidRPr="00F802D2">
        <w:rPr>
          <w:rFonts w:eastAsiaTheme="minorHAnsi"/>
          <w:sz w:val="28"/>
          <w:szCs w:val="28"/>
          <w:lang w:eastAsia="en-US"/>
        </w:rPr>
        <w:t>від СЕП</w:t>
      </w:r>
      <w:r w:rsidR="004145FD">
        <w:rPr>
          <w:rFonts w:eastAsiaTheme="minorHAnsi"/>
          <w:sz w:val="28"/>
          <w:szCs w:val="28"/>
          <w:lang w:eastAsia="en-US"/>
        </w:rPr>
        <w:t xml:space="preserve"> (інформація про </w:t>
      </w:r>
      <w:r w:rsidR="004145FD" w:rsidRPr="004D6045">
        <w:rPr>
          <w:rFonts w:eastAsiaTheme="minorHAnsi"/>
          <w:sz w:val="28"/>
          <w:szCs w:val="28"/>
          <w:lang w:eastAsia="en-US"/>
        </w:rPr>
        <w:t>списання коштів</w:t>
      </w:r>
      <w:r w:rsidR="004145FD" w:rsidRPr="004145FD">
        <w:rPr>
          <w:rFonts w:eastAsiaTheme="minorHAnsi"/>
          <w:sz w:val="28"/>
          <w:szCs w:val="28"/>
          <w:lang w:eastAsia="en-US"/>
        </w:rPr>
        <w:t xml:space="preserve"> </w:t>
      </w:r>
      <w:r w:rsidR="004145FD" w:rsidRPr="004D6045">
        <w:rPr>
          <w:rFonts w:eastAsiaTheme="minorHAnsi"/>
          <w:sz w:val="28"/>
          <w:szCs w:val="28"/>
          <w:lang w:eastAsia="en-US"/>
        </w:rPr>
        <w:t>з технічного рахунку в ЦОСЕП обслуговуючого банку</w:t>
      </w:r>
      <w:r w:rsidR="004145FD">
        <w:rPr>
          <w:rFonts w:eastAsiaTheme="minorHAnsi"/>
          <w:sz w:val="28"/>
          <w:szCs w:val="28"/>
          <w:lang w:eastAsia="en-US"/>
        </w:rPr>
        <w:t>),</w:t>
      </w:r>
      <w:r>
        <w:rPr>
          <w:rFonts w:eastAsiaTheme="minorHAnsi"/>
          <w:sz w:val="28"/>
          <w:szCs w:val="28"/>
          <w:lang w:eastAsia="en-US"/>
        </w:rPr>
        <w:t xml:space="preserve"> </w:t>
      </w:r>
      <w:r w:rsidR="004145FD">
        <w:rPr>
          <w:rFonts w:eastAsiaTheme="minorHAnsi"/>
          <w:sz w:val="28"/>
          <w:szCs w:val="28"/>
          <w:lang w:eastAsia="en-US"/>
        </w:rPr>
        <w:t>а</w:t>
      </w:r>
      <w:r w:rsidRPr="00F802D2">
        <w:rPr>
          <w:rFonts w:eastAsiaTheme="minorHAnsi"/>
          <w:sz w:val="28"/>
          <w:szCs w:val="28"/>
          <w:lang w:eastAsia="en-US"/>
        </w:rPr>
        <w:t xml:space="preserve"> в разі </w:t>
      </w:r>
      <w:r w:rsidR="004145FD">
        <w:rPr>
          <w:rFonts w:eastAsiaTheme="minorHAnsi"/>
          <w:sz w:val="28"/>
          <w:szCs w:val="28"/>
          <w:lang w:eastAsia="en-US"/>
        </w:rPr>
        <w:t>внутрішньобанківського переказу</w:t>
      </w:r>
      <w:r w:rsidRPr="00F802D2">
        <w:rPr>
          <w:rFonts w:eastAsiaTheme="minorHAnsi"/>
          <w:sz w:val="28"/>
          <w:szCs w:val="28"/>
          <w:lang w:eastAsia="en-US"/>
        </w:rPr>
        <w:t xml:space="preserve"> – від обслуговуючого банку</w:t>
      </w:r>
      <w:r w:rsidR="004145FD">
        <w:rPr>
          <w:rFonts w:eastAsiaTheme="minorHAnsi"/>
          <w:sz w:val="28"/>
          <w:szCs w:val="28"/>
          <w:lang w:eastAsia="en-US"/>
        </w:rPr>
        <w:t xml:space="preserve">, </w:t>
      </w:r>
      <w:r w:rsidR="004145FD" w:rsidRPr="00996711">
        <w:rPr>
          <w:rFonts w:eastAsiaTheme="minorHAnsi"/>
          <w:sz w:val="28"/>
          <w:szCs w:val="28"/>
          <w:lang w:eastAsia="en-US"/>
        </w:rPr>
        <w:t>зазначен</w:t>
      </w:r>
      <w:r w:rsidR="004145FD">
        <w:rPr>
          <w:rFonts w:eastAsiaTheme="minorHAnsi"/>
          <w:sz w:val="28"/>
          <w:szCs w:val="28"/>
          <w:lang w:eastAsia="en-US"/>
        </w:rPr>
        <w:t xml:space="preserve">ого </w:t>
      </w:r>
      <w:r w:rsidR="00646776">
        <w:rPr>
          <w:rFonts w:eastAsiaTheme="minorHAnsi"/>
          <w:sz w:val="28"/>
          <w:szCs w:val="28"/>
          <w:lang w:eastAsia="en-US"/>
        </w:rPr>
        <w:t xml:space="preserve">в </w:t>
      </w:r>
      <w:r w:rsidR="004145FD">
        <w:rPr>
          <w:rFonts w:eastAsiaTheme="minorHAnsi"/>
          <w:sz w:val="28"/>
          <w:szCs w:val="28"/>
          <w:lang w:eastAsia="en-US"/>
        </w:rPr>
        <w:t xml:space="preserve">розпорядженні одержувача (інформація </w:t>
      </w:r>
      <w:r w:rsidR="004145FD" w:rsidRPr="004D6045">
        <w:rPr>
          <w:rFonts w:eastAsiaTheme="minorHAnsi"/>
          <w:sz w:val="28"/>
          <w:szCs w:val="28"/>
          <w:lang w:eastAsia="en-US"/>
        </w:rPr>
        <w:t>про списання коштів із рахунк</w:t>
      </w:r>
      <w:r w:rsidR="00646776">
        <w:rPr>
          <w:rFonts w:eastAsiaTheme="minorHAnsi"/>
          <w:sz w:val="28"/>
          <w:szCs w:val="28"/>
          <w:lang w:eastAsia="en-US"/>
        </w:rPr>
        <w:t>у</w:t>
      </w:r>
      <w:r w:rsidR="004145FD" w:rsidRPr="004D6045">
        <w:rPr>
          <w:rFonts w:eastAsiaTheme="minorHAnsi"/>
          <w:sz w:val="28"/>
          <w:szCs w:val="28"/>
          <w:lang w:eastAsia="en-US"/>
        </w:rPr>
        <w:t xml:space="preserve"> в обслуговуючому банку</w:t>
      </w:r>
      <w:r w:rsidR="004145FD">
        <w:rPr>
          <w:rFonts w:eastAsiaTheme="minorHAnsi"/>
          <w:sz w:val="28"/>
          <w:szCs w:val="28"/>
          <w:lang w:eastAsia="en-US"/>
        </w:rPr>
        <w:t>)</w:t>
      </w:r>
      <w:r w:rsidR="00033B70">
        <w:rPr>
          <w:rFonts w:eastAsiaTheme="minorHAnsi"/>
          <w:sz w:val="28"/>
          <w:szCs w:val="28"/>
          <w:lang w:eastAsia="en-US"/>
        </w:rPr>
        <w:t>,</w:t>
      </w:r>
      <w:r w:rsidR="008D742D">
        <w:rPr>
          <w:rFonts w:eastAsiaTheme="minorHAnsi"/>
          <w:sz w:val="28"/>
          <w:szCs w:val="28"/>
          <w:lang w:eastAsia="en-US"/>
        </w:rPr>
        <w:t xml:space="preserve"> за допомогою спеціальних засобів СЕП</w:t>
      </w:r>
      <w:r w:rsidR="004145FD">
        <w:rPr>
          <w:rFonts w:eastAsiaTheme="minorHAnsi"/>
          <w:sz w:val="28"/>
          <w:szCs w:val="28"/>
          <w:lang w:eastAsia="en-US"/>
        </w:rPr>
        <w:t>.</w:t>
      </w:r>
    </w:p>
    <w:p w:rsidR="00E523E3" w:rsidRDefault="00E523E3" w:rsidP="00CC7C3D">
      <w:pPr>
        <w:pStyle w:val="rvps2"/>
        <w:shd w:val="clear" w:color="auto" w:fill="FFFFFF"/>
        <w:spacing w:before="0" w:beforeAutospacing="0" w:after="0" w:afterAutospacing="0"/>
        <w:ind w:firstLine="709"/>
        <w:jc w:val="both"/>
        <w:rPr>
          <w:rFonts w:eastAsiaTheme="minorHAnsi"/>
          <w:sz w:val="28"/>
          <w:szCs w:val="28"/>
          <w:lang w:eastAsia="en-US"/>
        </w:rPr>
      </w:pPr>
    </w:p>
    <w:p w:rsidR="00E523E3" w:rsidRPr="00996711" w:rsidRDefault="006708B6" w:rsidP="00CC7C3D">
      <w:pPr>
        <w:pStyle w:val="rvps2"/>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20</w:t>
      </w:r>
      <w:r w:rsidR="00E523E3" w:rsidRPr="00996711">
        <w:rPr>
          <w:rFonts w:eastAsiaTheme="minorHAnsi"/>
          <w:sz w:val="28"/>
          <w:szCs w:val="28"/>
          <w:lang w:eastAsia="en-US"/>
        </w:rPr>
        <w:t xml:space="preserve">. Технологія проведення платежів </w:t>
      </w:r>
      <w:r w:rsidR="00646776">
        <w:rPr>
          <w:rFonts w:eastAsiaTheme="minorHAnsi"/>
          <w:sz w:val="28"/>
          <w:szCs w:val="28"/>
          <w:lang w:eastAsia="en-US"/>
        </w:rPr>
        <w:t>і</w:t>
      </w:r>
      <w:r w:rsidR="00E523E3" w:rsidRPr="00996711">
        <w:rPr>
          <w:rFonts w:eastAsiaTheme="minorHAnsi"/>
          <w:sz w:val="28"/>
          <w:szCs w:val="28"/>
          <w:lang w:eastAsia="en-US"/>
        </w:rPr>
        <w:t>з використанням спеціальних засобів СЕП та порядок технічної взаємодії між банками, Національним банком, Центральним депозитарієм та СЕП визначається технічною документацією, яка містить опис інтерфейсу між СЕП та відповідними системами автоматизації банків та Національного банку, Центрального депозитарію (далі</w:t>
      </w:r>
      <w:r w:rsidR="00E523E3">
        <w:rPr>
          <w:rFonts w:eastAsiaTheme="minorHAnsi"/>
          <w:sz w:val="28"/>
          <w:szCs w:val="28"/>
          <w:lang w:eastAsia="en-US"/>
        </w:rPr>
        <w:t xml:space="preserve"> </w:t>
      </w:r>
      <w:r w:rsidR="00646776">
        <w:rPr>
          <w:rFonts w:eastAsiaTheme="minorHAnsi"/>
          <w:sz w:val="28"/>
          <w:szCs w:val="28"/>
          <w:lang w:eastAsia="en-US"/>
        </w:rPr>
        <w:t>−</w:t>
      </w:r>
      <w:r w:rsidR="00646776" w:rsidRPr="00996711">
        <w:rPr>
          <w:rFonts w:eastAsiaTheme="minorHAnsi"/>
          <w:sz w:val="28"/>
          <w:szCs w:val="28"/>
          <w:lang w:eastAsia="en-US"/>
        </w:rPr>
        <w:t xml:space="preserve"> </w:t>
      </w:r>
      <w:r w:rsidR="00E523E3" w:rsidRPr="00996711">
        <w:rPr>
          <w:rFonts w:eastAsiaTheme="minorHAnsi"/>
          <w:sz w:val="28"/>
          <w:szCs w:val="28"/>
          <w:lang w:eastAsia="en-US"/>
        </w:rPr>
        <w:t xml:space="preserve">технічна документація). Така технічна документація розробляється Національним банком та надається учасникам СЕП </w:t>
      </w:r>
      <w:r w:rsidR="00E523E3">
        <w:rPr>
          <w:rFonts w:eastAsiaTheme="minorHAnsi"/>
          <w:sz w:val="28"/>
          <w:szCs w:val="28"/>
          <w:lang w:eastAsia="en-US"/>
        </w:rPr>
        <w:t xml:space="preserve">відповідно до нормативно-правового </w:t>
      </w:r>
      <w:proofErr w:type="spellStart"/>
      <w:r w:rsidR="00646776">
        <w:rPr>
          <w:rFonts w:eastAsiaTheme="minorHAnsi"/>
          <w:sz w:val="28"/>
          <w:szCs w:val="28"/>
          <w:lang w:eastAsia="en-US"/>
        </w:rPr>
        <w:t>акта</w:t>
      </w:r>
      <w:proofErr w:type="spellEnd"/>
      <w:r w:rsidR="00646776" w:rsidRPr="00996711">
        <w:rPr>
          <w:rFonts w:eastAsiaTheme="minorHAnsi"/>
          <w:sz w:val="28"/>
          <w:szCs w:val="28"/>
          <w:lang w:eastAsia="en-US"/>
        </w:rPr>
        <w:t xml:space="preserve"> </w:t>
      </w:r>
      <w:r w:rsidR="00E523E3" w:rsidRPr="00996711">
        <w:rPr>
          <w:rFonts w:eastAsiaTheme="minorHAnsi"/>
          <w:sz w:val="28"/>
          <w:szCs w:val="28"/>
          <w:lang w:eastAsia="en-US"/>
        </w:rPr>
        <w:t>з питань міжбанківських переказів, а Центральному депозитарію</w:t>
      </w:r>
      <w:r w:rsidR="00D839ED">
        <w:rPr>
          <w:rFonts w:eastAsiaTheme="minorHAnsi"/>
          <w:sz w:val="28"/>
          <w:szCs w:val="28"/>
          <w:lang w:eastAsia="en-US"/>
        </w:rPr>
        <w:t xml:space="preserve"> –</w:t>
      </w:r>
      <w:r w:rsidR="00E523E3" w:rsidRPr="00996711">
        <w:rPr>
          <w:rFonts w:eastAsiaTheme="minorHAnsi"/>
          <w:sz w:val="28"/>
          <w:szCs w:val="28"/>
          <w:lang w:eastAsia="en-US"/>
        </w:rPr>
        <w:t xml:space="preserve"> на підставі </w:t>
      </w:r>
      <w:r w:rsidR="006C1842">
        <w:rPr>
          <w:rFonts w:eastAsiaTheme="minorHAnsi"/>
          <w:sz w:val="28"/>
          <w:szCs w:val="28"/>
          <w:lang w:eastAsia="en-US"/>
        </w:rPr>
        <w:t>Д</w:t>
      </w:r>
      <w:r w:rsidR="00E523E3" w:rsidRPr="00996711">
        <w:rPr>
          <w:rFonts w:eastAsiaTheme="minorHAnsi"/>
          <w:sz w:val="28"/>
          <w:szCs w:val="28"/>
          <w:lang w:eastAsia="en-US"/>
        </w:rPr>
        <w:t xml:space="preserve">оговору. </w:t>
      </w:r>
    </w:p>
    <w:p w:rsidR="00A50FE0" w:rsidRPr="00996711" w:rsidRDefault="00A50FE0" w:rsidP="00CC7C3D">
      <w:pPr>
        <w:pStyle w:val="rvps2"/>
        <w:shd w:val="clear" w:color="auto" w:fill="FFFFFF"/>
        <w:spacing w:before="0" w:beforeAutospacing="0" w:after="0" w:afterAutospacing="0"/>
        <w:ind w:firstLine="709"/>
        <w:jc w:val="both"/>
        <w:rPr>
          <w:rFonts w:eastAsiaTheme="minorHAnsi"/>
          <w:sz w:val="28"/>
          <w:szCs w:val="28"/>
          <w:lang w:eastAsia="en-US"/>
        </w:rPr>
      </w:pPr>
    </w:p>
    <w:p w:rsidR="007D6656" w:rsidRPr="00996711" w:rsidRDefault="00BC62A6" w:rsidP="00CC7C3D">
      <w:pPr>
        <w:spacing w:after="0"/>
        <w:ind w:firstLine="709"/>
        <w:jc w:val="center"/>
        <w:rPr>
          <w:rFonts w:ascii="Times New Roman" w:hAnsi="Times New Roman" w:cs="Times New Roman"/>
          <w:sz w:val="28"/>
          <w:szCs w:val="28"/>
        </w:rPr>
      </w:pPr>
      <w:bookmarkStart w:id="4" w:name="n998"/>
      <w:bookmarkStart w:id="5" w:name="n654"/>
      <w:bookmarkStart w:id="6" w:name="n999"/>
      <w:bookmarkStart w:id="7" w:name="n655"/>
      <w:bookmarkStart w:id="8" w:name="n656"/>
      <w:bookmarkStart w:id="9" w:name="n1000"/>
      <w:bookmarkStart w:id="10" w:name="n657"/>
      <w:bookmarkStart w:id="11" w:name="n1039"/>
      <w:bookmarkStart w:id="12" w:name="n187"/>
      <w:bookmarkStart w:id="13" w:name="n1040"/>
      <w:bookmarkEnd w:id="4"/>
      <w:bookmarkEnd w:id="5"/>
      <w:bookmarkEnd w:id="6"/>
      <w:bookmarkEnd w:id="7"/>
      <w:bookmarkEnd w:id="8"/>
      <w:bookmarkEnd w:id="9"/>
      <w:bookmarkEnd w:id="10"/>
      <w:bookmarkEnd w:id="11"/>
      <w:bookmarkEnd w:id="12"/>
      <w:bookmarkEnd w:id="13"/>
      <w:r>
        <w:rPr>
          <w:rFonts w:ascii="Times New Roman" w:hAnsi="Times New Roman" w:cs="Times New Roman"/>
          <w:sz w:val="28"/>
          <w:szCs w:val="28"/>
          <w:lang w:val="en-US"/>
        </w:rPr>
        <w:t>IV</w:t>
      </w:r>
      <w:r w:rsidR="00E66E6B" w:rsidRPr="00996711">
        <w:rPr>
          <w:rFonts w:ascii="Times New Roman" w:hAnsi="Times New Roman" w:cs="Times New Roman"/>
          <w:sz w:val="28"/>
          <w:szCs w:val="28"/>
        </w:rPr>
        <w:t xml:space="preserve">. </w:t>
      </w:r>
      <w:r w:rsidR="007D6656" w:rsidRPr="00996711">
        <w:rPr>
          <w:rFonts w:ascii="Times New Roman" w:hAnsi="Times New Roman" w:cs="Times New Roman"/>
          <w:sz w:val="28"/>
          <w:szCs w:val="28"/>
        </w:rPr>
        <w:t>Порядок</w:t>
      </w:r>
      <w:r w:rsidR="00E958ED" w:rsidRPr="00996711">
        <w:rPr>
          <w:rFonts w:ascii="Times New Roman" w:hAnsi="Times New Roman" w:cs="Times New Roman"/>
          <w:sz w:val="28"/>
          <w:szCs w:val="28"/>
        </w:rPr>
        <w:t xml:space="preserve"> проведення грошових розрахунків шляхом</w:t>
      </w:r>
      <w:r w:rsidR="007D6656" w:rsidRPr="00996711">
        <w:rPr>
          <w:rFonts w:ascii="Times New Roman" w:hAnsi="Times New Roman" w:cs="Times New Roman"/>
          <w:sz w:val="28"/>
          <w:szCs w:val="28"/>
        </w:rPr>
        <w:t xml:space="preserve"> відображення</w:t>
      </w:r>
      <w:r w:rsidR="00D72B25" w:rsidRPr="00996711">
        <w:rPr>
          <w:rFonts w:ascii="Times New Roman" w:hAnsi="Times New Roman" w:cs="Times New Roman"/>
          <w:sz w:val="28"/>
          <w:szCs w:val="28"/>
        </w:rPr>
        <w:t xml:space="preserve"> </w:t>
      </w:r>
      <w:r w:rsidR="00A61E5C">
        <w:rPr>
          <w:rFonts w:ascii="Times New Roman" w:hAnsi="Times New Roman" w:cs="Times New Roman"/>
          <w:sz w:val="28"/>
          <w:szCs w:val="28"/>
        </w:rPr>
        <w:t>в</w:t>
      </w:r>
      <w:r w:rsidR="00A61E5C" w:rsidRPr="00996711">
        <w:rPr>
          <w:rFonts w:ascii="Times New Roman" w:hAnsi="Times New Roman" w:cs="Times New Roman"/>
          <w:sz w:val="28"/>
          <w:szCs w:val="28"/>
        </w:rPr>
        <w:t xml:space="preserve"> </w:t>
      </w:r>
      <w:r w:rsidR="00FF3350" w:rsidRPr="00996711">
        <w:rPr>
          <w:rFonts w:ascii="Times New Roman" w:hAnsi="Times New Roman" w:cs="Times New Roman"/>
          <w:sz w:val="28"/>
          <w:szCs w:val="28"/>
        </w:rPr>
        <w:t xml:space="preserve">системі обліку </w:t>
      </w:r>
      <w:r w:rsidR="00E66E6B" w:rsidRPr="00996711">
        <w:rPr>
          <w:rFonts w:ascii="Times New Roman" w:hAnsi="Times New Roman" w:cs="Times New Roman"/>
          <w:sz w:val="28"/>
          <w:szCs w:val="28"/>
        </w:rPr>
        <w:t xml:space="preserve">зміни обсягу прав та зобов’язань щодо коштів між сторонами правочинів щодо цінних паперів та інших фінансових інструментів </w:t>
      </w:r>
      <w:r w:rsidR="00646776">
        <w:rPr>
          <w:rFonts w:ascii="Times New Roman" w:hAnsi="Times New Roman" w:cs="Times New Roman"/>
          <w:sz w:val="28"/>
          <w:szCs w:val="28"/>
        </w:rPr>
        <w:t>і</w:t>
      </w:r>
      <w:r w:rsidR="00E66E6B" w:rsidRPr="00996711">
        <w:rPr>
          <w:rFonts w:ascii="Times New Roman" w:hAnsi="Times New Roman" w:cs="Times New Roman"/>
          <w:sz w:val="28"/>
          <w:szCs w:val="28"/>
        </w:rPr>
        <w:t xml:space="preserve">з відображенням переходу права вимоги на кошти, у тому числі припинення зобов’язань щодо коштів за результатами </w:t>
      </w:r>
      <w:proofErr w:type="spellStart"/>
      <w:r w:rsidR="00E66E6B" w:rsidRPr="00996711">
        <w:rPr>
          <w:rFonts w:ascii="Times New Roman" w:hAnsi="Times New Roman" w:cs="Times New Roman"/>
          <w:sz w:val="28"/>
          <w:szCs w:val="28"/>
        </w:rPr>
        <w:t>неттінгу</w:t>
      </w:r>
      <w:proofErr w:type="spellEnd"/>
    </w:p>
    <w:p w:rsidR="00A50FE0" w:rsidRPr="00996711" w:rsidRDefault="00A50FE0" w:rsidP="00CC7C3D">
      <w:pPr>
        <w:spacing w:after="0"/>
        <w:ind w:firstLine="709"/>
        <w:jc w:val="center"/>
        <w:rPr>
          <w:rFonts w:ascii="Times New Roman" w:hAnsi="Times New Roman" w:cs="Times New Roman"/>
          <w:sz w:val="28"/>
          <w:szCs w:val="28"/>
        </w:rPr>
      </w:pPr>
    </w:p>
    <w:p w:rsidR="00C22E6D" w:rsidRPr="00996711" w:rsidRDefault="006708B6"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2</w:t>
      </w:r>
      <w:r>
        <w:rPr>
          <w:rFonts w:ascii="Times New Roman" w:hAnsi="Times New Roman" w:cs="Times New Roman"/>
          <w:sz w:val="28"/>
          <w:szCs w:val="28"/>
          <w:lang w:val="ru-RU"/>
        </w:rPr>
        <w:t>1</w:t>
      </w:r>
      <w:r w:rsidR="000669DF" w:rsidRPr="00996711">
        <w:rPr>
          <w:rFonts w:ascii="Times New Roman" w:hAnsi="Times New Roman" w:cs="Times New Roman"/>
          <w:sz w:val="28"/>
          <w:szCs w:val="28"/>
        </w:rPr>
        <w:t>.</w:t>
      </w:r>
      <w:r w:rsidR="00064F38" w:rsidRPr="00996711">
        <w:rPr>
          <w:rFonts w:ascii="Times New Roman" w:hAnsi="Times New Roman" w:cs="Times New Roman"/>
          <w:sz w:val="28"/>
          <w:szCs w:val="28"/>
        </w:rPr>
        <w:t xml:space="preserve"> </w:t>
      </w:r>
      <w:r w:rsidR="00BA01E8" w:rsidRPr="00996711">
        <w:rPr>
          <w:rFonts w:ascii="Times New Roman" w:hAnsi="Times New Roman" w:cs="Times New Roman"/>
          <w:sz w:val="28"/>
          <w:szCs w:val="28"/>
        </w:rPr>
        <w:t>С</w:t>
      </w:r>
      <w:r w:rsidR="00991F41" w:rsidRPr="00996711">
        <w:rPr>
          <w:rFonts w:ascii="Times New Roman" w:hAnsi="Times New Roman" w:cs="Times New Roman"/>
          <w:sz w:val="28"/>
          <w:szCs w:val="28"/>
        </w:rPr>
        <w:t>истема обліку має відповідати вимогам</w:t>
      </w:r>
      <w:r w:rsidR="00A61E5C">
        <w:rPr>
          <w:rFonts w:ascii="Times New Roman" w:hAnsi="Times New Roman" w:cs="Times New Roman"/>
          <w:sz w:val="28"/>
          <w:szCs w:val="28"/>
        </w:rPr>
        <w:t>,</w:t>
      </w:r>
      <w:r w:rsidR="00991F41" w:rsidRPr="00996711">
        <w:rPr>
          <w:rFonts w:ascii="Times New Roman" w:hAnsi="Times New Roman" w:cs="Times New Roman"/>
          <w:sz w:val="28"/>
          <w:szCs w:val="28"/>
        </w:rPr>
        <w:t xml:space="preserve"> </w:t>
      </w:r>
      <w:r w:rsidR="00DC5197">
        <w:rPr>
          <w:rFonts w:ascii="Times New Roman" w:hAnsi="Times New Roman" w:cs="Times New Roman"/>
          <w:sz w:val="28"/>
          <w:szCs w:val="28"/>
        </w:rPr>
        <w:t>у</w:t>
      </w:r>
      <w:r w:rsidR="00DC5197" w:rsidRPr="00996711">
        <w:rPr>
          <w:rFonts w:ascii="Times New Roman" w:hAnsi="Times New Roman" w:cs="Times New Roman"/>
          <w:sz w:val="28"/>
          <w:szCs w:val="28"/>
        </w:rPr>
        <w:t xml:space="preserve">становленим </w:t>
      </w:r>
      <w:r w:rsidR="00991F41" w:rsidRPr="00996711">
        <w:rPr>
          <w:rFonts w:ascii="Times New Roman" w:hAnsi="Times New Roman" w:cs="Times New Roman"/>
          <w:sz w:val="28"/>
          <w:szCs w:val="28"/>
        </w:rPr>
        <w:t xml:space="preserve">законодавством </w:t>
      </w:r>
      <w:r w:rsidR="00A54422" w:rsidRPr="00996711">
        <w:rPr>
          <w:rFonts w:ascii="Times New Roman" w:hAnsi="Times New Roman" w:cs="Times New Roman"/>
          <w:sz w:val="28"/>
          <w:szCs w:val="28"/>
        </w:rPr>
        <w:t>з питань клірингової діяльності</w:t>
      </w:r>
      <w:r w:rsidR="00A61E5C">
        <w:rPr>
          <w:rFonts w:ascii="Times New Roman" w:hAnsi="Times New Roman" w:cs="Times New Roman"/>
          <w:sz w:val="28"/>
          <w:szCs w:val="28"/>
        </w:rPr>
        <w:t>,</w:t>
      </w:r>
      <w:r w:rsidR="00A54422" w:rsidRPr="00996711">
        <w:rPr>
          <w:rFonts w:ascii="Times New Roman" w:hAnsi="Times New Roman" w:cs="Times New Roman"/>
          <w:sz w:val="28"/>
          <w:szCs w:val="28"/>
        </w:rPr>
        <w:t xml:space="preserve"> та </w:t>
      </w:r>
      <w:r w:rsidR="00D341C5">
        <w:rPr>
          <w:rFonts w:ascii="Times New Roman" w:hAnsi="Times New Roman" w:cs="Times New Roman"/>
          <w:sz w:val="28"/>
          <w:szCs w:val="28"/>
        </w:rPr>
        <w:t xml:space="preserve">в частині здійснення грошових розрахунків </w:t>
      </w:r>
      <w:r w:rsidR="00A54422" w:rsidRPr="00996711">
        <w:rPr>
          <w:rFonts w:ascii="Times New Roman" w:hAnsi="Times New Roman" w:cs="Times New Roman"/>
          <w:sz w:val="28"/>
          <w:szCs w:val="28"/>
        </w:rPr>
        <w:t>забезпечувати:</w:t>
      </w:r>
    </w:p>
    <w:p w:rsidR="00A54422" w:rsidRPr="00996711" w:rsidRDefault="00A54422" w:rsidP="00CC7C3D">
      <w:pPr>
        <w:spacing w:after="0"/>
        <w:ind w:firstLine="709"/>
        <w:jc w:val="both"/>
        <w:rPr>
          <w:rFonts w:ascii="Times New Roman" w:hAnsi="Times New Roman" w:cs="Times New Roman"/>
          <w:sz w:val="28"/>
          <w:szCs w:val="28"/>
        </w:rPr>
      </w:pPr>
    </w:p>
    <w:p w:rsidR="00217D7D" w:rsidRPr="00996711" w:rsidRDefault="00A54422"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1)</w:t>
      </w:r>
      <w:r w:rsidR="00BA01E8" w:rsidRPr="00996711">
        <w:rPr>
          <w:rFonts w:ascii="Times New Roman" w:hAnsi="Times New Roman" w:cs="Times New Roman"/>
          <w:sz w:val="28"/>
          <w:szCs w:val="28"/>
        </w:rPr>
        <w:t xml:space="preserve"> можливість </w:t>
      </w:r>
      <w:r w:rsidR="00B00C83" w:rsidRPr="00996711">
        <w:rPr>
          <w:rFonts w:ascii="Times New Roman" w:hAnsi="Times New Roman" w:cs="Times New Roman"/>
          <w:sz w:val="28"/>
          <w:szCs w:val="28"/>
        </w:rPr>
        <w:t>нада</w:t>
      </w:r>
      <w:r w:rsidR="00981A1D" w:rsidRPr="00996711">
        <w:rPr>
          <w:rFonts w:ascii="Times New Roman" w:hAnsi="Times New Roman" w:cs="Times New Roman"/>
          <w:sz w:val="28"/>
          <w:szCs w:val="28"/>
        </w:rPr>
        <w:t>ння</w:t>
      </w:r>
      <w:r w:rsidR="00B00C83" w:rsidRPr="00996711">
        <w:rPr>
          <w:rFonts w:ascii="Times New Roman" w:hAnsi="Times New Roman" w:cs="Times New Roman"/>
          <w:sz w:val="28"/>
          <w:szCs w:val="28"/>
        </w:rPr>
        <w:t xml:space="preserve"> </w:t>
      </w:r>
      <w:r w:rsidR="000D7D75" w:rsidRPr="00996711">
        <w:rPr>
          <w:rFonts w:ascii="Times New Roman" w:hAnsi="Times New Roman" w:cs="Times New Roman"/>
          <w:sz w:val="28"/>
          <w:szCs w:val="28"/>
        </w:rPr>
        <w:t xml:space="preserve">учасникам клірингу </w:t>
      </w:r>
      <w:r w:rsidR="00217D7D" w:rsidRPr="00996711">
        <w:rPr>
          <w:rFonts w:ascii="Times New Roman" w:hAnsi="Times New Roman" w:cs="Times New Roman"/>
          <w:sz w:val="28"/>
          <w:szCs w:val="28"/>
        </w:rPr>
        <w:t>виписки з клірингових рахунків</w:t>
      </w:r>
      <w:r w:rsidR="00F47173">
        <w:rPr>
          <w:rFonts w:ascii="Times New Roman" w:hAnsi="Times New Roman" w:cs="Times New Roman"/>
          <w:sz w:val="28"/>
          <w:szCs w:val="28"/>
        </w:rPr>
        <w:t xml:space="preserve"> </w:t>
      </w:r>
      <w:r w:rsidR="00137C12">
        <w:rPr>
          <w:rFonts w:ascii="Times New Roman" w:hAnsi="Times New Roman" w:cs="Times New Roman"/>
          <w:sz w:val="28"/>
          <w:szCs w:val="28"/>
        </w:rPr>
        <w:t>(субрахунків)</w:t>
      </w:r>
      <w:r w:rsidR="00D04076">
        <w:rPr>
          <w:rFonts w:ascii="Times New Roman" w:hAnsi="Times New Roman" w:cs="Times New Roman"/>
          <w:sz w:val="28"/>
          <w:szCs w:val="28"/>
        </w:rPr>
        <w:t xml:space="preserve"> учасників клірингу </w:t>
      </w:r>
      <w:r w:rsidR="00217D7D" w:rsidRPr="00996711">
        <w:rPr>
          <w:rFonts w:ascii="Times New Roman" w:hAnsi="Times New Roman" w:cs="Times New Roman"/>
          <w:sz w:val="28"/>
          <w:szCs w:val="28"/>
        </w:rPr>
        <w:t>для</w:t>
      </w:r>
      <w:r w:rsidR="00217D7D" w:rsidRPr="00996711">
        <w:t xml:space="preserve"> </w:t>
      </w:r>
      <w:r w:rsidR="00217D7D" w:rsidRPr="00996711">
        <w:rPr>
          <w:rFonts w:ascii="Times New Roman" w:hAnsi="Times New Roman" w:cs="Times New Roman"/>
          <w:sz w:val="28"/>
          <w:szCs w:val="28"/>
        </w:rPr>
        <w:t xml:space="preserve">підтвердження внесення/резервування коштів як гарантійного забезпечення для проведення клірингу, отримання коштів </w:t>
      </w:r>
      <w:r w:rsidR="00DC5197">
        <w:rPr>
          <w:rFonts w:ascii="Times New Roman" w:hAnsi="Times New Roman" w:cs="Times New Roman"/>
          <w:sz w:val="28"/>
          <w:szCs w:val="28"/>
        </w:rPr>
        <w:t>у</w:t>
      </w:r>
      <w:r w:rsidR="00DC5197" w:rsidRPr="00996711">
        <w:rPr>
          <w:rFonts w:ascii="Times New Roman" w:hAnsi="Times New Roman" w:cs="Times New Roman"/>
          <w:sz w:val="28"/>
          <w:szCs w:val="28"/>
        </w:rPr>
        <w:t xml:space="preserve">наслідок </w:t>
      </w:r>
      <w:r w:rsidR="00217D7D" w:rsidRPr="00996711">
        <w:rPr>
          <w:rFonts w:ascii="Times New Roman" w:hAnsi="Times New Roman" w:cs="Times New Roman"/>
          <w:sz w:val="28"/>
          <w:szCs w:val="28"/>
        </w:rPr>
        <w:t>розрахунків за правочинами або внаслідок виконання інших операцій, передбачених правилами клірингу особи, яка провадить клірингову діяльність</w:t>
      </w:r>
      <w:r w:rsidR="00033B70">
        <w:rPr>
          <w:rFonts w:ascii="Times New Roman" w:hAnsi="Times New Roman" w:cs="Times New Roman"/>
          <w:sz w:val="28"/>
          <w:szCs w:val="28"/>
        </w:rPr>
        <w:t>,</w:t>
      </w:r>
      <w:r w:rsidR="002B78CE" w:rsidRPr="00996711">
        <w:rPr>
          <w:rFonts w:ascii="Times New Roman" w:hAnsi="Times New Roman" w:cs="Times New Roman"/>
          <w:sz w:val="28"/>
          <w:szCs w:val="28"/>
        </w:rPr>
        <w:t xml:space="preserve"> та підтвердження факту проведення розрахунків, а також доходів та витрат за правочинами щодо цінних паперів, укладених на організованому ринку капіталу та поза ним</w:t>
      </w:r>
      <w:r w:rsidRPr="00996711">
        <w:rPr>
          <w:rFonts w:ascii="Times New Roman" w:hAnsi="Times New Roman" w:cs="Times New Roman"/>
          <w:sz w:val="28"/>
          <w:szCs w:val="28"/>
        </w:rPr>
        <w:t>;</w:t>
      </w:r>
    </w:p>
    <w:p w:rsidR="00D43B12" w:rsidRPr="00996711" w:rsidRDefault="00D43B12" w:rsidP="00CC7C3D">
      <w:pPr>
        <w:spacing w:after="0"/>
        <w:ind w:firstLine="709"/>
        <w:jc w:val="both"/>
        <w:rPr>
          <w:rFonts w:ascii="Times New Roman" w:hAnsi="Times New Roman" w:cs="Times New Roman"/>
          <w:sz w:val="28"/>
          <w:szCs w:val="28"/>
        </w:rPr>
      </w:pPr>
    </w:p>
    <w:p w:rsidR="00A54422" w:rsidRPr="00996711" w:rsidRDefault="00A54422"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2) </w:t>
      </w:r>
      <w:r w:rsidR="00DE30B8" w:rsidRPr="00996711">
        <w:rPr>
          <w:rFonts w:ascii="Times New Roman" w:hAnsi="Times New Roman" w:cs="Times New Roman"/>
          <w:sz w:val="28"/>
          <w:szCs w:val="28"/>
        </w:rPr>
        <w:t>надійний багаторівневий захист інформації від несанкціонованого доступу, використання, модифікації на різних етапах її формування, оброблення, передавання та приймання</w:t>
      </w:r>
      <w:r w:rsidRPr="00996711">
        <w:rPr>
          <w:rFonts w:ascii="Times New Roman" w:hAnsi="Times New Roman" w:cs="Times New Roman"/>
          <w:sz w:val="28"/>
          <w:szCs w:val="28"/>
        </w:rPr>
        <w:t>;</w:t>
      </w:r>
    </w:p>
    <w:p w:rsidR="003D606A" w:rsidRPr="00996711" w:rsidRDefault="003D606A" w:rsidP="00CC7C3D">
      <w:pPr>
        <w:spacing w:after="0"/>
        <w:ind w:firstLine="709"/>
        <w:jc w:val="both"/>
        <w:rPr>
          <w:rFonts w:ascii="Times New Roman" w:hAnsi="Times New Roman" w:cs="Times New Roman"/>
          <w:sz w:val="28"/>
          <w:szCs w:val="28"/>
        </w:rPr>
      </w:pPr>
    </w:p>
    <w:p w:rsidR="003D606A" w:rsidRDefault="00FB77D4" w:rsidP="00CC7C3D">
      <w:pPr>
        <w:pStyle w:val="a3"/>
        <w:spacing w:after="0"/>
        <w:ind w:left="0" w:firstLine="709"/>
        <w:jc w:val="both"/>
        <w:rPr>
          <w:rFonts w:ascii="Times New Roman" w:hAnsi="Times New Roman" w:cs="Times New Roman"/>
          <w:sz w:val="28"/>
          <w:szCs w:val="28"/>
        </w:rPr>
      </w:pPr>
      <w:r w:rsidRPr="00030632">
        <w:rPr>
          <w:rFonts w:ascii="Times New Roman" w:hAnsi="Times New Roman" w:cs="Times New Roman"/>
          <w:sz w:val="28"/>
          <w:szCs w:val="28"/>
        </w:rPr>
        <w:lastRenderedPageBreak/>
        <w:t xml:space="preserve">3) </w:t>
      </w:r>
      <w:r w:rsidR="003D606A" w:rsidRPr="00030632">
        <w:rPr>
          <w:rFonts w:ascii="Times New Roman" w:hAnsi="Times New Roman" w:cs="Times New Roman"/>
          <w:sz w:val="28"/>
          <w:szCs w:val="28"/>
        </w:rPr>
        <w:t>контроль за достовірністю інформації на всіх етапах її оброблення</w:t>
      </w:r>
      <w:r w:rsidR="00981A1D" w:rsidRPr="00030632">
        <w:rPr>
          <w:rFonts w:ascii="Times New Roman" w:hAnsi="Times New Roman" w:cs="Times New Roman"/>
          <w:sz w:val="28"/>
          <w:szCs w:val="28"/>
        </w:rPr>
        <w:t>;</w:t>
      </w:r>
    </w:p>
    <w:p w:rsidR="003D606A" w:rsidRPr="00996711" w:rsidRDefault="003D606A" w:rsidP="00CC7C3D">
      <w:pPr>
        <w:spacing w:after="0"/>
        <w:ind w:firstLine="709"/>
        <w:jc w:val="both"/>
        <w:rPr>
          <w:rFonts w:ascii="Times New Roman" w:hAnsi="Times New Roman" w:cs="Times New Roman"/>
          <w:sz w:val="28"/>
          <w:szCs w:val="28"/>
        </w:rPr>
      </w:pPr>
    </w:p>
    <w:p w:rsidR="003D606A" w:rsidRPr="00996711" w:rsidRDefault="00FB77D4"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4) </w:t>
      </w:r>
      <w:r w:rsidR="003D606A" w:rsidRPr="00996711">
        <w:rPr>
          <w:rFonts w:ascii="Times New Roman" w:hAnsi="Times New Roman" w:cs="Times New Roman"/>
          <w:sz w:val="28"/>
          <w:szCs w:val="28"/>
        </w:rPr>
        <w:t>процедури та механізми, які після збоїв чи інших порушень роботи системи обліку дають змогу відновити роботу без послаблення вимог щодо захисту інформації</w:t>
      </w:r>
      <w:r w:rsidR="00981A1D" w:rsidRPr="00996711">
        <w:rPr>
          <w:rFonts w:ascii="Times New Roman" w:hAnsi="Times New Roman" w:cs="Times New Roman"/>
          <w:sz w:val="28"/>
          <w:szCs w:val="28"/>
        </w:rPr>
        <w:t>;</w:t>
      </w:r>
    </w:p>
    <w:p w:rsidR="003D606A" w:rsidRPr="00996711" w:rsidRDefault="003D606A" w:rsidP="00CC7C3D">
      <w:pPr>
        <w:spacing w:after="0"/>
        <w:ind w:firstLine="709"/>
        <w:jc w:val="both"/>
        <w:rPr>
          <w:rFonts w:ascii="Times New Roman" w:hAnsi="Times New Roman" w:cs="Times New Roman"/>
          <w:sz w:val="28"/>
          <w:szCs w:val="28"/>
        </w:rPr>
      </w:pPr>
    </w:p>
    <w:p w:rsidR="003D606A" w:rsidRPr="00996711" w:rsidRDefault="00FB77D4"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5) </w:t>
      </w:r>
      <w:r w:rsidR="003D606A" w:rsidRPr="00996711">
        <w:rPr>
          <w:rFonts w:ascii="Times New Roman" w:hAnsi="Times New Roman" w:cs="Times New Roman"/>
          <w:sz w:val="28"/>
          <w:szCs w:val="28"/>
        </w:rPr>
        <w:t>фіксування спроб несанкціонованого доступу до системи обліку</w:t>
      </w:r>
      <w:r w:rsidR="00981A1D" w:rsidRPr="00996711">
        <w:rPr>
          <w:rFonts w:ascii="Times New Roman" w:hAnsi="Times New Roman" w:cs="Times New Roman"/>
          <w:sz w:val="28"/>
          <w:szCs w:val="28"/>
        </w:rPr>
        <w:t>;</w:t>
      </w:r>
    </w:p>
    <w:p w:rsidR="00CD02DC" w:rsidRPr="00996711" w:rsidRDefault="00CD02DC" w:rsidP="00CC7C3D">
      <w:pPr>
        <w:spacing w:after="0"/>
        <w:ind w:firstLine="709"/>
        <w:jc w:val="both"/>
        <w:rPr>
          <w:rFonts w:ascii="Times New Roman" w:hAnsi="Times New Roman" w:cs="Times New Roman"/>
          <w:sz w:val="28"/>
          <w:szCs w:val="28"/>
        </w:rPr>
      </w:pPr>
    </w:p>
    <w:p w:rsidR="00A54422" w:rsidRPr="00996711" w:rsidRDefault="00FB77D4"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6</w:t>
      </w:r>
      <w:r w:rsidR="00A54422" w:rsidRPr="00996711">
        <w:rPr>
          <w:rFonts w:ascii="Times New Roman" w:hAnsi="Times New Roman" w:cs="Times New Roman"/>
          <w:sz w:val="28"/>
          <w:szCs w:val="28"/>
        </w:rPr>
        <w:t>)</w:t>
      </w:r>
      <w:r w:rsidR="00A54422" w:rsidRPr="00996711">
        <w:t xml:space="preserve"> </w:t>
      </w:r>
      <w:r w:rsidR="00A54422" w:rsidRPr="00996711">
        <w:rPr>
          <w:rFonts w:ascii="Times New Roman" w:hAnsi="Times New Roman" w:cs="Times New Roman"/>
          <w:sz w:val="28"/>
          <w:szCs w:val="28"/>
        </w:rPr>
        <w:t xml:space="preserve">можливість резервного копіювання даних </w:t>
      </w:r>
      <w:r w:rsidR="00DC5197">
        <w:rPr>
          <w:rFonts w:ascii="Times New Roman" w:hAnsi="Times New Roman" w:cs="Times New Roman"/>
          <w:sz w:val="28"/>
          <w:szCs w:val="28"/>
        </w:rPr>
        <w:t>у</w:t>
      </w:r>
      <w:r w:rsidR="00DC5197" w:rsidRPr="00996711">
        <w:rPr>
          <w:rFonts w:ascii="Times New Roman" w:hAnsi="Times New Roman" w:cs="Times New Roman"/>
          <w:sz w:val="28"/>
          <w:szCs w:val="28"/>
        </w:rPr>
        <w:t xml:space="preserve"> </w:t>
      </w:r>
      <w:r w:rsidR="00A54422" w:rsidRPr="00996711">
        <w:rPr>
          <w:rFonts w:ascii="Times New Roman" w:hAnsi="Times New Roman" w:cs="Times New Roman"/>
          <w:sz w:val="28"/>
          <w:szCs w:val="28"/>
        </w:rPr>
        <w:t xml:space="preserve">будь-який час </w:t>
      </w:r>
      <w:r w:rsidR="00EA6FB0">
        <w:rPr>
          <w:rFonts w:ascii="Times New Roman" w:hAnsi="Times New Roman" w:cs="Times New Roman"/>
          <w:sz w:val="28"/>
          <w:szCs w:val="28"/>
        </w:rPr>
        <w:t>і</w:t>
      </w:r>
      <w:r w:rsidR="00A54422" w:rsidRPr="00996711">
        <w:rPr>
          <w:rFonts w:ascii="Times New Roman" w:hAnsi="Times New Roman" w:cs="Times New Roman"/>
          <w:sz w:val="28"/>
          <w:szCs w:val="28"/>
        </w:rPr>
        <w:t xml:space="preserve"> відновлення даних </w:t>
      </w:r>
      <w:r w:rsidR="00DC5197">
        <w:rPr>
          <w:rFonts w:ascii="Times New Roman" w:hAnsi="Times New Roman" w:cs="Times New Roman"/>
          <w:sz w:val="28"/>
          <w:szCs w:val="28"/>
        </w:rPr>
        <w:t>і</w:t>
      </w:r>
      <w:r w:rsidR="00A54422" w:rsidRPr="00996711">
        <w:rPr>
          <w:rFonts w:ascii="Times New Roman" w:hAnsi="Times New Roman" w:cs="Times New Roman"/>
          <w:sz w:val="28"/>
          <w:szCs w:val="28"/>
        </w:rPr>
        <w:t>з резервних копій</w:t>
      </w:r>
      <w:r w:rsidR="00421371" w:rsidRPr="00996711">
        <w:rPr>
          <w:rFonts w:ascii="Times New Roman" w:hAnsi="Times New Roman" w:cs="Times New Roman"/>
          <w:sz w:val="28"/>
          <w:szCs w:val="28"/>
        </w:rPr>
        <w:t>;</w:t>
      </w:r>
    </w:p>
    <w:p w:rsidR="00CD02DC" w:rsidRPr="00996711" w:rsidRDefault="00CD02DC" w:rsidP="00CC7C3D">
      <w:pPr>
        <w:spacing w:after="0"/>
        <w:ind w:firstLine="709"/>
        <w:jc w:val="both"/>
        <w:rPr>
          <w:rFonts w:ascii="Times New Roman" w:hAnsi="Times New Roman" w:cs="Times New Roman"/>
          <w:sz w:val="28"/>
          <w:szCs w:val="28"/>
        </w:rPr>
      </w:pPr>
    </w:p>
    <w:p w:rsidR="00421371" w:rsidRDefault="00FB77D4"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7</w:t>
      </w:r>
      <w:r w:rsidR="00421371" w:rsidRPr="00996711">
        <w:rPr>
          <w:rFonts w:ascii="Times New Roman" w:hAnsi="Times New Roman" w:cs="Times New Roman"/>
          <w:sz w:val="28"/>
          <w:szCs w:val="28"/>
        </w:rPr>
        <w:t>) можливість відтворення інформації про стан клірингових рахунків</w:t>
      </w:r>
      <w:r w:rsidR="00F47173">
        <w:rPr>
          <w:rFonts w:ascii="Times New Roman" w:hAnsi="Times New Roman" w:cs="Times New Roman"/>
          <w:sz w:val="28"/>
          <w:szCs w:val="28"/>
        </w:rPr>
        <w:t xml:space="preserve"> </w:t>
      </w:r>
      <w:r w:rsidR="00483E1F">
        <w:rPr>
          <w:rFonts w:ascii="Times New Roman" w:hAnsi="Times New Roman" w:cs="Times New Roman"/>
          <w:sz w:val="28"/>
          <w:szCs w:val="28"/>
        </w:rPr>
        <w:t xml:space="preserve">(субрахунків) </w:t>
      </w:r>
      <w:r w:rsidR="00030632" w:rsidRPr="00030632">
        <w:rPr>
          <w:rFonts w:ascii="Times New Roman" w:hAnsi="Times New Roman" w:cs="Times New Roman"/>
          <w:sz w:val="28"/>
          <w:szCs w:val="28"/>
        </w:rPr>
        <w:t>учасників</w:t>
      </w:r>
      <w:r w:rsidR="00483E1F">
        <w:rPr>
          <w:rFonts w:ascii="Times New Roman" w:hAnsi="Times New Roman" w:cs="Times New Roman"/>
          <w:sz w:val="28"/>
          <w:szCs w:val="28"/>
        </w:rPr>
        <w:t xml:space="preserve"> </w:t>
      </w:r>
      <w:r w:rsidR="00030632" w:rsidRPr="00030632">
        <w:rPr>
          <w:rFonts w:ascii="Times New Roman" w:hAnsi="Times New Roman" w:cs="Times New Roman"/>
          <w:sz w:val="28"/>
          <w:szCs w:val="28"/>
        </w:rPr>
        <w:t>клірингу</w:t>
      </w:r>
      <w:r w:rsidR="00421371" w:rsidRPr="00996711">
        <w:rPr>
          <w:rFonts w:ascii="Times New Roman" w:hAnsi="Times New Roman" w:cs="Times New Roman"/>
          <w:sz w:val="28"/>
          <w:szCs w:val="28"/>
        </w:rPr>
        <w:t>, інформації про операції на клірингових рахунках</w:t>
      </w:r>
      <w:r w:rsidR="00F47173">
        <w:rPr>
          <w:rFonts w:ascii="Times New Roman" w:hAnsi="Times New Roman" w:cs="Times New Roman"/>
          <w:sz w:val="28"/>
          <w:szCs w:val="28"/>
        </w:rPr>
        <w:t xml:space="preserve"> </w:t>
      </w:r>
      <w:r w:rsidR="00483E1F">
        <w:rPr>
          <w:rFonts w:ascii="Times New Roman" w:hAnsi="Times New Roman" w:cs="Times New Roman"/>
          <w:sz w:val="28"/>
          <w:szCs w:val="28"/>
        </w:rPr>
        <w:t>(субрахунках)</w:t>
      </w:r>
      <w:r w:rsidR="00483E1F" w:rsidRPr="00996711">
        <w:rPr>
          <w:rFonts w:ascii="Times New Roman" w:hAnsi="Times New Roman" w:cs="Times New Roman"/>
          <w:sz w:val="28"/>
          <w:szCs w:val="28"/>
        </w:rPr>
        <w:t xml:space="preserve"> </w:t>
      </w:r>
      <w:r w:rsidR="00465538">
        <w:rPr>
          <w:rFonts w:ascii="Times New Roman" w:hAnsi="Times New Roman" w:cs="Times New Roman"/>
          <w:sz w:val="28"/>
          <w:szCs w:val="28"/>
        </w:rPr>
        <w:t>учасників клірингу</w:t>
      </w:r>
      <w:r w:rsidR="00483E1F">
        <w:rPr>
          <w:rFonts w:ascii="Times New Roman" w:hAnsi="Times New Roman" w:cs="Times New Roman"/>
          <w:sz w:val="28"/>
          <w:szCs w:val="28"/>
        </w:rPr>
        <w:t xml:space="preserve"> </w:t>
      </w:r>
      <w:r w:rsidR="00421371" w:rsidRPr="00996711">
        <w:rPr>
          <w:rFonts w:ascii="Times New Roman" w:hAnsi="Times New Roman" w:cs="Times New Roman"/>
          <w:sz w:val="28"/>
          <w:szCs w:val="28"/>
        </w:rPr>
        <w:t xml:space="preserve">та іншої інформації, передбаченої законодавством України, за </w:t>
      </w:r>
      <w:r w:rsidR="00D4692E" w:rsidRPr="00996711">
        <w:rPr>
          <w:rFonts w:ascii="Times New Roman" w:hAnsi="Times New Roman" w:cs="Times New Roman"/>
          <w:sz w:val="28"/>
          <w:szCs w:val="28"/>
        </w:rPr>
        <w:t xml:space="preserve">період, </w:t>
      </w:r>
      <w:r w:rsidR="00DC5197">
        <w:rPr>
          <w:rFonts w:ascii="Times New Roman" w:hAnsi="Times New Roman" w:cs="Times New Roman"/>
          <w:sz w:val="28"/>
          <w:szCs w:val="28"/>
        </w:rPr>
        <w:t>у</w:t>
      </w:r>
      <w:r w:rsidR="00DC5197" w:rsidRPr="00996711">
        <w:rPr>
          <w:rFonts w:ascii="Times New Roman" w:hAnsi="Times New Roman" w:cs="Times New Roman"/>
          <w:sz w:val="28"/>
          <w:szCs w:val="28"/>
        </w:rPr>
        <w:t xml:space="preserve">становлений </w:t>
      </w:r>
      <w:r w:rsidR="00D4692E" w:rsidRPr="00996711">
        <w:rPr>
          <w:rFonts w:ascii="Times New Roman" w:hAnsi="Times New Roman" w:cs="Times New Roman"/>
          <w:sz w:val="28"/>
          <w:szCs w:val="28"/>
        </w:rPr>
        <w:t>законода</w:t>
      </w:r>
      <w:r w:rsidR="00495399" w:rsidRPr="00996711">
        <w:rPr>
          <w:rFonts w:ascii="Times New Roman" w:hAnsi="Times New Roman" w:cs="Times New Roman"/>
          <w:sz w:val="28"/>
          <w:szCs w:val="28"/>
        </w:rPr>
        <w:t>в</w:t>
      </w:r>
      <w:r w:rsidR="00D4692E" w:rsidRPr="00996711">
        <w:rPr>
          <w:rFonts w:ascii="Times New Roman" w:hAnsi="Times New Roman" w:cs="Times New Roman"/>
          <w:sz w:val="28"/>
          <w:szCs w:val="28"/>
        </w:rPr>
        <w:t xml:space="preserve">ством </w:t>
      </w:r>
      <w:r w:rsidR="00495399" w:rsidRPr="00996711">
        <w:rPr>
          <w:rFonts w:ascii="Times New Roman" w:hAnsi="Times New Roman" w:cs="Times New Roman"/>
          <w:sz w:val="28"/>
          <w:szCs w:val="28"/>
        </w:rPr>
        <w:t>з питань клірингової діяльності</w:t>
      </w:r>
      <w:r w:rsidR="00D4692E" w:rsidRPr="00996711">
        <w:rPr>
          <w:rFonts w:ascii="Times New Roman" w:hAnsi="Times New Roman" w:cs="Times New Roman"/>
          <w:sz w:val="28"/>
          <w:szCs w:val="28"/>
        </w:rPr>
        <w:t xml:space="preserve"> для зберігання таких </w:t>
      </w:r>
      <w:r w:rsidR="00495399" w:rsidRPr="00996711">
        <w:rPr>
          <w:rFonts w:ascii="Times New Roman" w:hAnsi="Times New Roman" w:cs="Times New Roman"/>
          <w:sz w:val="28"/>
          <w:szCs w:val="28"/>
        </w:rPr>
        <w:t>документів</w:t>
      </w:r>
      <w:r w:rsidR="002E7861" w:rsidRPr="00996711">
        <w:rPr>
          <w:rFonts w:ascii="Times New Roman" w:hAnsi="Times New Roman" w:cs="Times New Roman"/>
          <w:sz w:val="28"/>
          <w:szCs w:val="28"/>
        </w:rPr>
        <w:t>.</w:t>
      </w:r>
    </w:p>
    <w:p w:rsidR="002772E7" w:rsidRPr="00996711" w:rsidRDefault="002772E7" w:rsidP="00CC7C3D">
      <w:pPr>
        <w:spacing w:after="0"/>
        <w:ind w:firstLine="709"/>
        <w:jc w:val="both"/>
        <w:rPr>
          <w:rFonts w:ascii="Times New Roman" w:hAnsi="Times New Roman" w:cs="Times New Roman"/>
          <w:sz w:val="28"/>
          <w:szCs w:val="28"/>
        </w:rPr>
      </w:pPr>
    </w:p>
    <w:p w:rsidR="00533647" w:rsidRPr="00996711" w:rsidRDefault="006708B6"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2</w:t>
      </w:r>
      <w:r>
        <w:rPr>
          <w:rFonts w:ascii="Times New Roman" w:hAnsi="Times New Roman" w:cs="Times New Roman"/>
          <w:sz w:val="28"/>
          <w:szCs w:val="28"/>
        </w:rPr>
        <w:t>2</w:t>
      </w:r>
      <w:r w:rsidR="00533647" w:rsidRPr="00996711">
        <w:rPr>
          <w:rFonts w:ascii="Times New Roman" w:hAnsi="Times New Roman" w:cs="Times New Roman"/>
          <w:sz w:val="28"/>
          <w:szCs w:val="28"/>
        </w:rPr>
        <w:t>. Особа, яка провадить клірингову діяльність, відображає в системі обліку</w:t>
      </w:r>
      <w:r w:rsidR="00A4650B" w:rsidRPr="00996711">
        <w:rPr>
          <w:rFonts w:ascii="Times New Roman" w:hAnsi="Times New Roman" w:cs="Times New Roman"/>
          <w:sz w:val="28"/>
          <w:szCs w:val="28"/>
        </w:rPr>
        <w:t xml:space="preserve"> інформацію про</w:t>
      </w:r>
      <w:r w:rsidR="00533647" w:rsidRPr="00996711">
        <w:rPr>
          <w:rFonts w:ascii="Times New Roman" w:hAnsi="Times New Roman" w:cs="Times New Roman"/>
          <w:sz w:val="28"/>
          <w:szCs w:val="28"/>
        </w:rPr>
        <w:t xml:space="preserve"> </w:t>
      </w:r>
      <w:r w:rsidR="00060BDF" w:rsidRPr="00996711">
        <w:rPr>
          <w:rFonts w:ascii="Times New Roman" w:hAnsi="Times New Roman" w:cs="Times New Roman"/>
          <w:sz w:val="28"/>
          <w:szCs w:val="28"/>
        </w:rPr>
        <w:t xml:space="preserve">права та зобов’язання </w:t>
      </w:r>
      <w:r w:rsidR="00533647" w:rsidRPr="00996711">
        <w:rPr>
          <w:rFonts w:ascii="Times New Roman" w:hAnsi="Times New Roman" w:cs="Times New Roman"/>
          <w:sz w:val="28"/>
          <w:szCs w:val="28"/>
        </w:rPr>
        <w:t>учасників клірингу/клієнтів учасників клірингу</w:t>
      </w:r>
      <w:r w:rsidR="00E1683F" w:rsidRPr="00996711">
        <w:rPr>
          <w:rFonts w:ascii="Times New Roman" w:hAnsi="Times New Roman" w:cs="Times New Roman"/>
          <w:sz w:val="28"/>
          <w:szCs w:val="28"/>
        </w:rPr>
        <w:t xml:space="preserve"> щодо коштів</w:t>
      </w:r>
      <w:r w:rsidR="00533647" w:rsidRPr="00996711">
        <w:rPr>
          <w:rFonts w:ascii="Times New Roman" w:hAnsi="Times New Roman" w:cs="Times New Roman"/>
          <w:sz w:val="28"/>
          <w:szCs w:val="28"/>
        </w:rPr>
        <w:t xml:space="preserve">, що зараховані ними на рахунки такої особи, відкриті в </w:t>
      </w:r>
      <w:r w:rsidR="001E77D6">
        <w:rPr>
          <w:rFonts w:ascii="Times New Roman" w:hAnsi="Times New Roman" w:cs="Times New Roman"/>
          <w:sz w:val="28"/>
          <w:szCs w:val="28"/>
        </w:rPr>
        <w:t xml:space="preserve">порядку, </w:t>
      </w:r>
      <w:r w:rsidR="00DC5197">
        <w:rPr>
          <w:rFonts w:ascii="Times New Roman" w:hAnsi="Times New Roman" w:cs="Times New Roman"/>
          <w:sz w:val="28"/>
          <w:szCs w:val="28"/>
        </w:rPr>
        <w:t xml:space="preserve">установленому </w:t>
      </w:r>
      <w:r w:rsidR="001E77D6">
        <w:rPr>
          <w:rFonts w:ascii="Times New Roman" w:hAnsi="Times New Roman" w:cs="Times New Roman"/>
          <w:sz w:val="28"/>
          <w:szCs w:val="28"/>
        </w:rPr>
        <w:t xml:space="preserve">Законом України </w:t>
      </w:r>
      <w:r w:rsidR="00DC5197">
        <w:rPr>
          <w:rFonts w:ascii="Times New Roman" w:hAnsi="Times New Roman" w:cs="Times New Roman"/>
          <w:sz w:val="28"/>
          <w:szCs w:val="28"/>
        </w:rPr>
        <w:t>“</w:t>
      </w:r>
      <w:r w:rsidR="001E77D6">
        <w:rPr>
          <w:rFonts w:ascii="Times New Roman" w:hAnsi="Times New Roman" w:cs="Times New Roman"/>
          <w:sz w:val="28"/>
          <w:szCs w:val="28"/>
        </w:rPr>
        <w:t>Про ринки капіталу та організовані товарні ринки</w:t>
      </w:r>
      <w:r w:rsidR="00DC5197">
        <w:rPr>
          <w:rFonts w:ascii="Times New Roman" w:hAnsi="Times New Roman" w:cs="Times New Roman"/>
          <w:sz w:val="28"/>
          <w:szCs w:val="28"/>
        </w:rPr>
        <w:t>”</w:t>
      </w:r>
      <w:r w:rsidR="00533647" w:rsidRPr="00996711">
        <w:rPr>
          <w:rFonts w:ascii="Times New Roman" w:hAnsi="Times New Roman" w:cs="Times New Roman"/>
          <w:sz w:val="28"/>
          <w:szCs w:val="28"/>
        </w:rPr>
        <w:t xml:space="preserve">, для забезпечення здійснення грошових розрахунків за правочинами щодо цінних паперів </w:t>
      </w:r>
      <w:r w:rsidR="008D51E5" w:rsidRPr="00996711">
        <w:rPr>
          <w:rFonts w:ascii="Times New Roman" w:hAnsi="Times New Roman" w:cs="Times New Roman"/>
          <w:sz w:val="28"/>
          <w:szCs w:val="28"/>
        </w:rPr>
        <w:t>та інших фінансових інструментів</w:t>
      </w:r>
      <w:r w:rsidR="00DC5197">
        <w:rPr>
          <w:rFonts w:ascii="Times New Roman" w:hAnsi="Times New Roman" w:cs="Times New Roman"/>
          <w:sz w:val="28"/>
          <w:szCs w:val="28"/>
        </w:rPr>
        <w:t>,</w:t>
      </w:r>
      <w:r w:rsidR="008D51E5" w:rsidRPr="00996711">
        <w:rPr>
          <w:rFonts w:ascii="Times New Roman" w:hAnsi="Times New Roman" w:cs="Times New Roman"/>
          <w:sz w:val="28"/>
          <w:szCs w:val="28"/>
        </w:rPr>
        <w:t xml:space="preserve"> </w:t>
      </w:r>
      <w:r w:rsidR="00533647" w:rsidRPr="00996711">
        <w:rPr>
          <w:rFonts w:ascii="Times New Roman" w:hAnsi="Times New Roman" w:cs="Times New Roman"/>
          <w:sz w:val="28"/>
          <w:szCs w:val="28"/>
        </w:rPr>
        <w:t>укладеними на організованих ринках капіталу та поза ними</w:t>
      </w:r>
      <w:r w:rsidR="00726196">
        <w:rPr>
          <w:rFonts w:ascii="Times New Roman" w:hAnsi="Times New Roman" w:cs="Times New Roman"/>
          <w:sz w:val="28"/>
          <w:szCs w:val="28"/>
        </w:rPr>
        <w:t>,</w:t>
      </w:r>
      <w:r w:rsidR="00533647" w:rsidRPr="00996711">
        <w:rPr>
          <w:rFonts w:ascii="Times New Roman" w:hAnsi="Times New Roman" w:cs="Times New Roman"/>
          <w:sz w:val="28"/>
          <w:szCs w:val="28"/>
        </w:rPr>
        <w:t xml:space="preserve"> з дотриманням принципу “поставка цінних  паперів проти оплати”</w:t>
      </w:r>
      <w:r w:rsidR="00492CBB">
        <w:rPr>
          <w:rFonts w:ascii="Times New Roman" w:hAnsi="Times New Roman" w:cs="Times New Roman"/>
          <w:sz w:val="28"/>
          <w:szCs w:val="28"/>
        </w:rPr>
        <w:t xml:space="preserve"> та/або здійснення діяльності центрального контрагента</w:t>
      </w:r>
      <w:r w:rsidR="00533647" w:rsidRPr="00996711">
        <w:rPr>
          <w:rFonts w:ascii="Times New Roman" w:hAnsi="Times New Roman" w:cs="Times New Roman"/>
          <w:sz w:val="28"/>
          <w:szCs w:val="28"/>
        </w:rPr>
        <w:t>.</w:t>
      </w:r>
      <w:r w:rsidR="00BC62A6">
        <w:rPr>
          <w:rFonts w:ascii="Times New Roman" w:hAnsi="Times New Roman" w:cs="Times New Roman"/>
          <w:sz w:val="28"/>
          <w:szCs w:val="28"/>
        </w:rPr>
        <w:t xml:space="preserve"> </w:t>
      </w:r>
      <w:r w:rsidR="00533647" w:rsidRPr="00996711">
        <w:rPr>
          <w:rFonts w:ascii="Times New Roman" w:hAnsi="Times New Roman" w:cs="Times New Roman"/>
          <w:sz w:val="28"/>
          <w:szCs w:val="28"/>
        </w:rPr>
        <w:t>Особа, яка провадить клірингову діяльність</w:t>
      </w:r>
      <w:r w:rsidR="00C75FBA" w:rsidRPr="00996711">
        <w:rPr>
          <w:rFonts w:ascii="Times New Roman" w:hAnsi="Times New Roman" w:cs="Times New Roman"/>
          <w:sz w:val="28"/>
          <w:szCs w:val="28"/>
        </w:rPr>
        <w:t xml:space="preserve">, здійснює облік </w:t>
      </w:r>
      <w:r w:rsidR="00E1683F" w:rsidRPr="00996711">
        <w:rPr>
          <w:rFonts w:ascii="Times New Roman" w:hAnsi="Times New Roman" w:cs="Times New Roman"/>
          <w:sz w:val="28"/>
          <w:szCs w:val="28"/>
        </w:rPr>
        <w:t xml:space="preserve">прав та зобов’язань щодо </w:t>
      </w:r>
      <w:r w:rsidR="00C75FBA" w:rsidRPr="00996711">
        <w:rPr>
          <w:rFonts w:ascii="Times New Roman" w:hAnsi="Times New Roman" w:cs="Times New Roman"/>
          <w:sz w:val="28"/>
          <w:szCs w:val="28"/>
        </w:rPr>
        <w:t xml:space="preserve">коштів </w:t>
      </w:r>
      <w:r w:rsidR="00B71AC2" w:rsidRPr="00996711">
        <w:rPr>
          <w:rFonts w:ascii="Times New Roman" w:hAnsi="Times New Roman" w:cs="Times New Roman"/>
          <w:sz w:val="28"/>
          <w:szCs w:val="28"/>
        </w:rPr>
        <w:t>на клірингових рахунках за кожною</w:t>
      </w:r>
      <w:r w:rsidR="00C75FBA" w:rsidRPr="00996711">
        <w:rPr>
          <w:rFonts w:ascii="Times New Roman" w:hAnsi="Times New Roman" w:cs="Times New Roman"/>
          <w:sz w:val="28"/>
          <w:szCs w:val="28"/>
        </w:rPr>
        <w:t xml:space="preserve"> валют</w:t>
      </w:r>
      <w:r w:rsidR="00B71AC2" w:rsidRPr="00996711">
        <w:rPr>
          <w:rFonts w:ascii="Times New Roman" w:hAnsi="Times New Roman" w:cs="Times New Roman"/>
          <w:sz w:val="28"/>
          <w:szCs w:val="28"/>
        </w:rPr>
        <w:t>ою</w:t>
      </w:r>
      <w:r w:rsidR="000A716E" w:rsidRPr="00996711">
        <w:rPr>
          <w:rFonts w:ascii="Times New Roman" w:hAnsi="Times New Roman" w:cs="Times New Roman"/>
          <w:sz w:val="28"/>
          <w:szCs w:val="28"/>
        </w:rPr>
        <w:t xml:space="preserve"> окремо</w:t>
      </w:r>
      <w:r w:rsidR="00B71AC2" w:rsidRPr="00996711">
        <w:rPr>
          <w:rFonts w:ascii="Times New Roman" w:hAnsi="Times New Roman" w:cs="Times New Roman"/>
          <w:sz w:val="28"/>
          <w:szCs w:val="28"/>
        </w:rPr>
        <w:t>.</w:t>
      </w:r>
    </w:p>
    <w:p w:rsidR="0050213F" w:rsidRDefault="00D57D15"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Особа, яка провадить клірингову діяльність, </w:t>
      </w:r>
      <w:r w:rsidR="00DC5197">
        <w:rPr>
          <w:rFonts w:ascii="Times New Roman" w:hAnsi="Times New Roman" w:cs="Times New Roman"/>
          <w:sz w:val="28"/>
          <w:szCs w:val="28"/>
        </w:rPr>
        <w:t xml:space="preserve">під час </w:t>
      </w:r>
      <w:r>
        <w:rPr>
          <w:rFonts w:ascii="Times New Roman" w:hAnsi="Times New Roman" w:cs="Times New Roman"/>
          <w:sz w:val="28"/>
          <w:szCs w:val="28"/>
        </w:rPr>
        <w:t>відображенн</w:t>
      </w:r>
      <w:r w:rsidR="00DC5197">
        <w:rPr>
          <w:rFonts w:ascii="Times New Roman" w:hAnsi="Times New Roman" w:cs="Times New Roman"/>
          <w:sz w:val="28"/>
          <w:szCs w:val="28"/>
        </w:rPr>
        <w:t>я</w:t>
      </w:r>
      <w:r>
        <w:rPr>
          <w:rFonts w:ascii="Times New Roman" w:hAnsi="Times New Roman" w:cs="Times New Roman"/>
          <w:sz w:val="28"/>
          <w:szCs w:val="28"/>
        </w:rPr>
        <w:t xml:space="preserve"> в системі обліку інформації про </w:t>
      </w:r>
      <w:r w:rsidRPr="00D57D15">
        <w:rPr>
          <w:rFonts w:ascii="Times New Roman" w:hAnsi="Times New Roman" w:cs="Times New Roman"/>
          <w:sz w:val="28"/>
          <w:szCs w:val="28"/>
        </w:rPr>
        <w:t>права та зобов’язання учасників клірингу/клієнтів учасників клірингу щодо коштів</w:t>
      </w:r>
      <w:r>
        <w:rPr>
          <w:rFonts w:ascii="Times New Roman" w:hAnsi="Times New Roman" w:cs="Times New Roman"/>
          <w:sz w:val="28"/>
          <w:szCs w:val="28"/>
        </w:rPr>
        <w:t xml:space="preserve"> повинна забезпечити </w:t>
      </w:r>
      <w:r w:rsidRPr="00030632">
        <w:rPr>
          <w:rFonts w:ascii="Times New Roman" w:hAnsi="Times New Roman" w:cs="Times New Roman"/>
          <w:sz w:val="28"/>
          <w:szCs w:val="28"/>
        </w:rPr>
        <w:t xml:space="preserve">здійснення </w:t>
      </w:r>
      <w:r>
        <w:rPr>
          <w:rFonts w:ascii="Times New Roman" w:hAnsi="Times New Roman" w:cs="Times New Roman"/>
          <w:sz w:val="28"/>
          <w:szCs w:val="28"/>
        </w:rPr>
        <w:t xml:space="preserve">належних </w:t>
      </w:r>
      <w:r w:rsidRPr="00030632">
        <w:rPr>
          <w:rFonts w:ascii="Times New Roman" w:hAnsi="Times New Roman" w:cs="Times New Roman"/>
          <w:sz w:val="28"/>
          <w:szCs w:val="28"/>
        </w:rPr>
        <w:t xml:space="preserve">процедур контролю, </w:t>
      </w:r>
      <w:r w:rsidR="00DC5197">
        <w:rPr>
          <w:rFonts w:ascii="Times New Roman" w:hAnsi="Times New Roman" w:cs="Times New Roman"/>
          <w:sz w:val="28"/>
          <w:szCs w:val="28"/>
        </w:rPr>
        <w:t>у</w:t>
      </w:r>
      <w:r w:rsidR="00DC5197" w:rsidRPr="00030632">
        <w:rPr>
          <w:rFonts w:ascii="Times New Roman" w:hAnsi="Times New Roman" w:cs="Times New Roman"/>
          <w:sz w:val="28"/>
          <w:szCs w:val="28"/>
        </w:rPr>
        <w:t xml:space="preserve">ключаючи </w:t>
      </w:r>
      <w:r w:rsidRPr="00030632">
        <w:rPr>
          <w:rFonts w:ascii="Times New Roman" w:hAnsi="Times New Roman" w:cs="Times New Roman"/>
          <w:sz w:val="28"/>
          <w:szCs w:val="28"/>
        </w:rPr>
        <w:t>розмежування функцій між працівниками особи, яка провадить клірингову діяльність, контролю за введенням даних в інформаційні с</w:t>
      </w:r>
      <w:r>
        <w:rPr>
          <w:rFonts w:ascii="Times New Roman" w:hAnsi="Times New Roman" w:cs="Times New Roman"/>
          <w:sz w:val="28"/>
          <w:szCs w:val="28"/>
        </w:rPr>
        <w:t>истеми, звіряння даних</w:t>
      </w:r>
      <w:r w:rsidR="00172FB0" w:rsidRPr="00172FB0">
        <w:t xml:space="preserve"> </w:t>
      </w:r>
      <w:r w:rsidR="00172FB0" w:rsidRPr="00172FB0">
        <w:rPr>
          <w:rFonts w:ascii="Times New Roman" w:hAnsi="Times New Roman" w:cs="Times New Roman"/>
          <w:sz w:val="28"/>
          <w:szCs w:val="28"/>
        </w:rPr>
        <w:t>між різними інформаційними системами, а також на різних етапах оброблення даних</w:t>
      </w:r>
      <w:r>
        <w:rPr>
          <w:rFonts w:ascii="Times New Roman" w:hAnsi="Times New Roman" w:cs="Times New Roman"/>
          <w:sz w:val="28"/>
          <w:szCs w:val="28"/>
        </w:rPr>
        <w:t>, контролю</w:t>
      </w:r>
      <w:r w:rsidRPr="00030632">
        <w:rPr>
          <w:rFonts w:ascii="Times New Roman" w:hAnsi="Times New Roman" w:cs="Times New Roman"/>
          <w:sz w:val="28"/>
          <w:szCs w:val="28"/>
        </w:rPr>
        <w:t xml:space="preserve"> за виправленнями</w:t>
      </w:r>
      <w:r>
        <w:rPr>
          <w:rFonts w:ascii="Times New Roman" w:hAnsi="Times New Roman" w:cs="Times New Roman"/>
          <w:sz w:val="28"/>
          <w:szCs w:val="28"/>
        </w:rPr>
        <w:t xml:space="preserve"> та інші заходи контролю, передбачені </w:t>
      </w:r>
      <w:r w:rsidRPr="00D57D15">
        <w:rPr>
          <w:rFonts w:ascii="Times New Roman" w:hAnsi="Times New Roman" w:cs="Times New Roman"/>
          <w:sz w:val="28"/>
          <w:szCs w:val="28"/>
        </w:rPr>
        <w:t xml:space="preserve">законодавством з питань клірингової діяльності </w:t>
      </w:r>
      <w:r>
        <w:rPr>
          <w:rFonts w:ascii="Times New Roman" w:hAnsi="Times New Roman" w:cs="Times New Roman"/>
          <w:sz w:val="28"/>
          <w:szCs w:val="28"/>
        </w:rPr>
        <w:t>та внутрішніми документами такої особи.</w:t>
      </w:r>
    </w:p>
    <w:p w:rsidR="00D57D15" w:rsidRPr="00996711" w:rsidRDefault="00D57D15" w:rsidP="00CC7C3D">
      <w:pPr>
        <w:spacing w:after="0"/>
        <w:ind w:firstLine="709"/>
        <w:jc w:val="both"/>
        <w:rPr>
          <w:rFonts w:ascii="Times New Roman" w:hAnsi="Times New Roman" w:cs="Times New Roman"/>
          <w:sz w:val="28"/>
          <w:szCs w:val="28"/>
        </w:rPr>
      </w:pPr>
    </w:p>
    <w:p w:rsidR="00A3562D" w:rsidRDefault="006708B6" w:rsidP="00A3562D">
      <w:pPr>
        <w:spacing w:after="0"/>
        <w:ind w:firstLine="709"/>
        <w:jc w:val="both"/>
        <w:rPr>
          <w:rFonts w:ascii="Times New Roman" w:hAnsi="Times New Roman" w:cs="Times New Roman"/>
          <w:sz w:val="28"/>
          <w:szCs w:val="28"/>
        </w:rPr>
      </w:pPr>
      <w:r>
        <w:rPr>
          <w:rFonts w:ascii="Times New Roman" w:hAnsi="Times New Roman" w:cs="Times New Roman"/>
          <w:sz w:val="28"/>
          <w:szCs w:val="28"/>
        </w:rPr>
        <w:t>23</w:t>
      </w:r>
      <w:r w:rsidR="003522E6" w:rsidRPr="00996711">
        <w:rPr>
          <w:rFonts w:ascii="Times New Roman" w:hAnsi="Times New Roman" w:cs="Times New Roman"/>
          <w:sz w:val="28"/>
          <w:szCs w:val="28"/>
        </w:rPr>
        <w:t xml:space="preserve">. </w:t>
      </w:r>
      <w:r w:rsidR="00A3562D" w:rsidRPr="00A3562D">
        <w:rPr>
          <w:rFonts w:ascii="Times New Roman" w:hAnsi="Times New Roman" w:cs="Times New Roman"/>
          <w:sz w:val="28"/>
          <w:szCs w:val="28"/>
        </w:rPr>
        <w:t>Особа, яка провадить клірингову діяльність, зобов’язана забезпечити:</w:t>
      </w:r>
    </w:p>
    <w:p w:rsidR="00A3562D" w:rsidRPr="00A3562D" w:rsidRDefault="00A3562D" w:rsidP="00A3562D">
      <w:pPr>
        <w:spacing w:after="0"/>
        <w:ind w:firstLine="709"/>
        <w:jc w:val="both"/>
        <w:rPr>
          <w:rFonts w:ascii="Times New Roman" w:hAnsi="Times New Roman" w:cs="Times New Roman"/>
          <w:sz w:val="28"/>
          <w:szCs w:val="28"/>
        </w:rPr>
      </w:pPr>
    </w:p>
    <w:p w:rsidR="00A3562D" w:rsidRPr="00A3562D" w:rsidRDefault="00A3562D" w:rsidP="00A3562D">
      <w:pPr>
        <w:spacing w:after="0"/>
        <w:ind w:firstLine="709"/>
        <w:jc w:val="both"/>
        <w:rPr>
          <w:rFonts w:ascii="Times New Roman" w:hAnsi="Times New Roman" w:cs="Times New Roman"/>
          <w:sz w:val="28"/>
          <w:szCs w:val="28"/>
        </w:rPr>
      </w:pPr>
      <w:r w:rsidRPr="00A3562D">
        <w:rPr>
          <w:rFonts w:ascii="Times New Roman" w:hAnsi="Times New Roman" w:cs="Times New Roman"/>
          <w:sz w:val="28"/>
          <w:szCs w:val="28"/>
        </w:rPr>
        <w:lastRenderedPageBreak/>
        <w:t xml:space="preserve"> 1) облік прав та зобов’язань щодо коштів учасника клірингу </w:t>
      </w:r>
      <w:proofErr w:type="spellStart"/>
      <w:r w:rsidRPr="00A3562D">
        <w:rPr>
          <w:rFonts w:ascii="Times New Roman" w:hAnsi="Times New Roman" w:cs="Times New Roman"/>
          <w:sz w:val="28"/>
          <w:szCs w:val="28"/>
        </w:rPr>
        <w:t>відокремлено</w:t>
      </w:r>
      <w:proofErr w:type="spellEnd"/>
      <w:r w:rsidRPr="00A3562D">
        <w:rPr>
          <w:rFonts w:ascii="Times New Roman" w:hAnsi="Times New Roman" w:cs="Times New Roman"/>
          <w:sz w:val="28"/>
          <w:szCs w:val="28"/>
        </w:rPr>
        <w:t xml:space="preserve"> від прав та зобов’язань щодо коштів інших учасників клірингу/клієнтів учасників клірингу </w:t>
      </w:r>
      <w:r w:rsidR="001F7136">
        <w:rPr>
          <w:rFonts w:ascii="Times New Roman" w:hAnsi="Times New Roman" w:cs="Times New Roman"/>
          <w:sz w:val="28"/>
          <w:szCs w:val="28"/>
        </w:rPr>
        <w:t>і</w:t>
      </w:r>
      <w:r w:rsidR="001F7136" w:rsidRPr="00A3562D">
        <w:rPr>
          <w:rFonts w:ascii="Times New Roman" w:hAnsi="Times New Roman" w:cs="Times New Roman"/>
          <w:sz w:val="28"/>
          <w:szCs w:val="28"/>
        </w:rPr>
        <w:t xml:space="preserve"> </w:t>
      </w:r>
      <w:r w:rsidRPr="00A3562D">
        <w:rPr>
          <w:rFonts w:ascii="Times New Roman" w:hAnsi="Times New Roman" w:cs="Times New Roman"/>
          <w:sz w:val="28"/>
          <w:szCs w:val="28"/>
        </w:rPr>
        <w:t>прав та зобов’язань щодо коштів особи, яка провадить клірингову діяльність;</w:t>
      </w:r>
    </w:p>
    <w:p w:rsidR="00A3562D" w:rsidRPr="00A3562D" w:rsidRDefault="00A3562D" w:rsidP="00A3562D">
      <w:pPr>
        <w:spacing w:after="0"/>
        <w:ind w:firstLine="709"/>
        <w:jc w:val="both"/>
        <w:rPr>
          <w:rFonts w:ascii="Times New Roman" w:hAnsi="Times New Roman" w:cs="Times New Roman"/>
          <w:sz w:val="28"/>
          <w:szCs w:val="28"/>
        </w:rPr>
      </w:pPr>
    </w:p>
    <w:p w:rsidR="00B104E5" w:rsidRDefault="00A3562D" w:rsidP="00CC7C3D">
      <w:pPr>
        <w:spacing w:after="0"/>
        <w:ind w:firstLine="709"/>
        <w:jc w:val="both"/>
        <w:rPr>
          <w:rFonts w:ascii="Times New Roman" w:hAnsi="Times New Roman" w:cs="Times New Roman"/>
          <w:sz w:val="28"/>
          <w:szCs w:val="28"/>
        </w:rPr>
      </w:pPr>
      <w:r w:rsidRPr="00A3562D">
        <w:rPr>
          <w:rFonts w:ascii="Times New Roman" w:hAnsi="Times New Roman" w:cs="Times New Roman"/>
          <w:sz w:val="28"/>
          <w:szCs w:val="28"/>
        </w:rPr>
        <w:t>2) за бажанням учасника клірингу/клієнта учасника клірингу облік прав та зобов’язань щодо коштів клієнт</w:t>
      </w:r>
      <w:r>
        <w:rPr>
          <w:rFonts w:ascii="Times New Roman" w:hAnsi="Times New Roman" w:cs="Times New Roman"/>
          <w:sz w:val="28"/>
          <w:szCs w:val="28"/>
        </w:rPr>
        <w:t>а</w:t>
      </w:r>
      <w:r w:rsidRPr="00A3562D">
        <w:rPr>
          <w:rFonts w:ascii="Times New Roman" w:hAnsi="Times New Roman" w:cs="Times New Roman"/>
          <w:sz w:val="28"/>
          <w:szCs w:val="28"/>
        </w:rPr>
        <w:t xml:space="preserve"> учасник</w:t>
      </w:r>
      <w:r>
        <w:rPr>
          <w:rFonts w:ascii="Times New Roman" w:hAnsi="Times New Roman" w:cs="Times New Roman"/>
          <w:sz w:val="28"/>
          <w:szCs w:val="28"/>
        </w:rPr>
        <w:t>а</w:t>
      </w:r>
      <w:r w:rsidRPr="00A3562D">
        <w:rPr>
          <w:rFonts w:ascii="Times New Roman" w:hAnsi="Times New Roman" w:cs="Times New Roman"/>
          <w:sz w:val="28"/>
          <w:szCs w:val="28"/>
        </w:rPr>
        <w:t xml:space="preserve"> клірингу </w:t>
      </w:r>
      <w:proofErr w:type="spellStart"/>
      <w:r w:rsidRPr="00A3562D">
        <w:rPr>
          <w:rFonts w:ascii="Times New Roman" w:hAnsi="Times New Roman" w:cs="Times New Roman"/>
          <w:sz w:val="28"/>
          <w:szCs w:val="28"/>
        </w:rPr>
        <w:t>відокремлено</w:t>
      </w:r>
      <w:proofErr w:type="spellEnd"/>
      <w:r w:rsidRPr="00A3562D">
        <w:rPr>
          <w:rFonts w:ascii="Times New Roman" w:hAnsi="Times New Roman" w:cs="Times New Roman"/>
          <w:sz w:val="28"/>
          <w:szCs w:val="28"/>
        </w:rPr>
        <w:t xml:space="preserve"> від прав та зобов’язань щодо коштів інших клієнтів учасника клірингу.</w:t>
      </w:r>
    </w:p>
    <w:p w:rsidR="00B71481" w:rsidRPr="00996711" w:rsidRDefault="00B71481" w:rsidP="00CC7C3D">
      <w:pPr>
        <w:spacing w:after="0"/>
        <w:ind w:firstLine="709"/>
        <w:jc w:val="both"/>
        <w:rPr>
          <w:rFonts w:ascii="Times New Roman" w:hAnsi="Times New Roman" w:cs="Times New Roman"/>
          <w:sz w:val="28"/>
          <w:szCs w:val="28"/>
        </w:rPr>
      </w:pPr>
    </w:p>
    <w:p w:rsidR="00544C85" w:rsidRPr="00EC6A51" w:rsidRDefault="006708B6" w:rsidP="00CC7C3D">
      <w:pPr>
        <w:spacing w:after="0"/>
        <w:ind w:firstLine="709"/>
        <w:jc w:val="both"/>
        <w:rPr>
          <w:rFonts w:ascii="Times New Roman" w:hAnsi="Times New Roman" w:cs="Times New Roman"/>
          <w:sz w:val="28"/>
          <w:szCs w:val="28"/>
        </w:rPr>
      </w:pPr>
      <w:r w:rsidRPr="00EC6A51">
        <w:rPr>
          <w:rFonts w:ascii="Times New Roman" w:hAnsi="Times New Roman" w:cs="Times New Roman"/>
          <w:sz w:val="28"/>
          <w:szCs w:val="28"/>
        </w:rPr>
        <w:t>24</w:t>
      </w:r>
      <w:r w:rsidR="00395462" w:rsidRPr="00EC6A51">
        <w:rPr>
          <w:rFonts w:ascii="Times New Roman" w:hAnsi="Times New Roman" w:cs="Times New Roman"/>
          <w:sz w:val="28"/>
          <w:szCs w:val="28"/>
        </w:rPr>
        <w:t xml:space="preserve">. </w:t>
      </w:r>
      <w:r w:rsidR="00BC62A6" w:rsidRPr="00EC6A51">
        <w:rPr>
          <w:rFonts w:ascii="Times New Roman" w:hAnsi="Times New Roman" w:cs="Times New Roman"/>
          <w:sz w:val="28"/>
          <w:szCs w:val="28"/>
        </w:rPr>
        <w:t xml:space="preserve">Особа, яка провадить клірингову діяльність, зобов’язана забезпечити </w:t>
      </w:r>
      <w:r w:rsidR="00917BA2" w:rsidRPr="00EC6A51">
        <w:rPr>
          <w:rFonts w:ascii="Times New Roman" w:hAnsi="Times New Roman" w:cs="Times New Roman"/>
          <w:sz w:val="28"/>
          <w:szCs w:val="28"/>
        </w:rPr>
        <w:t xml:space="preserve">облік </w:t>
      </w:r>
      <w:r w:rsidR="0014092A" w:rsidRPr="00EC6A51">
        <w:rPr>
          <w:rFonts w:ascii="Times New Roman" w:hAnsi="Times New Roman" w:cs="Times New Roman"/>
          <w:sz w:val="28"/>
          <w:szCs w:val="28"/>
        </w:rPr>
        <w:t xml:space="preserve">прав та зобов’язань щодо </w:t>
      </w:r>
      <w:r w:rsidR="00917BA2" w:rsidRPr="00EC6A51">
        <w:rPr>
          <w:rFonts w:ascii="Times New Roman" w:hAnsi="Times New Roman" w:cs="Times New Roman"/>
          <w:sz w:val="28"/>
          <w:szCs w:val="28"/>
        </w:rPr>
        <w:t xml:space="preserve">коштів </w:t>
      </w:r>
      <w:proofErr w:type="spellStart"/>
      <w:r w:rsidR="00917BA2" w:rsidRPr="00EC6A51">
        <w:rPr>
          <w:rFonts w:ascii="Times New Roman" w:hAnsi="Times New Roman" w:cs="Times New Roman"/>
          <w:sz w:val="28"/>
          <w:szCs w:val="28"/>
        </w:rPr>
        <w:t>відокремлено</w:t>
      </w:r>
      <w:proofErr w:type="spellEnd"/>
      <w:r w:rsidR="00917BA2" w:rsidRPr="00EC6A51">
        <w:rPr>
          <w:rFonts w:ascii="Times New Roman" w:hAnsi="Times New Roman" w:cs="Times New Roman"/>
          <w:sz w:val="28"/>
          <w:szCs w:val="28"/>
        </w:rPr>
        <w:t xml:space="preserve"> за кожним </w:t>
      </w:r>
      <w:r w:rsidR="00EE0BCF" w:rsidRPr="00EC6A51">
        <w:rPr>
          <w:rFonts w:ascii="Times New Roman" w:hAnsi="Times New Roman" w:cs="Times New Roman"/>
          <w:sz w:val="28"/>
          <w:szCs w:val="28"/>
        </w:rPr>
        <w:t xml:space="preserve">кліринговим </w:t>
      </w:r>
      <w:r w:rsidR="00917BA2" w:rsidRPr="00EC6A51">
        <w:rPr>
          <w:rFonts w:ascii="Times New Roman" w:hAnsi="Times New Roman" w:cs="Times New Roman"/>
          <w:sz w:val="28"/>
          <w:szCs w:val="28"/>
        </w:rPr>
        <w:t>рахунком</w:t>
      </w:r>
      <w:r w:rsidR="00B07B8F">
        <w:rPr>
          <w:rFonts w:ascii="Times New Roman" w:hAnsi="Times New Roman" w:cs="Times New Roman"/>
          <w:sz w:val="28"/>
          <w:szCs w:val="28"/>
        </w:rPr>
        <w:t xml:space="preserve"> </w:t>
      </w:r>
      <w:r w:rsidR="00483E1F" w:rsidRPr="00EC6A51">
        <w:rPr>
          <w:rFonts w:ascii="Times New Roman" w:hAnsi="Times New Roman" w:cs="Times New Roman"/>
          <w:sz w:val="28"/>
          <w:szCs w:val="28"/>
        </w:rPr>
        <w:t>(субрахунком)</w:t>
      </w:r>
      <w:r w:rsidR="00917BA2" w:rsidRPr="00EC6A51">
        <w:rPr>
          <w:rFonts w:ascii="Times New Roman" w:hAnsi="Times New Roman" w:cs="Times New Roman"/>
          <w:sz w:val="28"/>
          <w:szCs w:val="28"/>
        </w:rPr>
        <w:t xml:space="preserve"> учасника клірингу, а також </w:t>
      </w:r>
      <w:r w:rsidR="00375AEA" w:rsidRPr="00EC6A51">
        <w:rPr>
          <w:rFonts w:ascii="Times New Roman" w:hAnsi="Times New Roman" w:cs="Times New Roman"/>
          <w:sz w:val="28"/>
          <w:szCs w:val="28"/>
        </w:rPr>
        <w:t xml:space="preserve">мати можливість розрахувати загальний обсяг </w:t>
      </w:r>
      <w:r w:rsidR="0014092A" w:rsidRPr="00EC6A51">
        <w:rPr>
          <w:rFonts w:ascii="Times New Roman" w:hAnsi="Times New Roman" w:cs="Times New Roman"/>
          <w:sz w:val="28"/>
          <w:szCs w:val="28"/>
        </w:rPr>
        <w:t xml:space="preserve">прав та </w:t>
      </w:r>
      <w:r w:rsidR="00375AEA" w:rsidRPr="00EC6A51">
        <w:rPr>
          <w:rFonts w:ascii="Times New Roman" w:hAnsi="Times New Roman" w:cs="Times New Roman"/>
          <w:sz w:val="28"/>
          <w:szCs w:val="28"/>
        </w:rPr>
        <w:t xml:space="preserve">зобов’язань </w:t>
      </w:r>
      <w:r w:rsidR="0014092A" w:rsidRPr="00EC6A51">
        <w:rPr>
          <w:rFonts w:ascii="Times New Roman" w:hAnsi="Times New Roman" w:cs="Times New Roman"/>
          <w:sz w:val="28"/>
          <w:szCs w:val="28"/>
        </w:rPr>
        <w:t xml:space="preserve">щодо </w:t>
      </w:r>
      <w:r w:rsidR="001939C5" w:rsidRPr="00EC6A51">
        <w:rPr>
          <w:rFonts w:ascii="Times New Roman" w:hAnsi="Times New Roman" w:cs="Times New Roman"/>
          <w:sz w:val="28"/>
          <w:szCs w:val="28"/>
        </w:rPr>
        <w:t>кошт</w:t>
      </w:r>
      <w:r w:rsidR="0014092A" w:rsidRPr="00EC6A51">
        <w:rPr>
          <w:rFonts w:ascii="Times New Roman" w:hAnsi="Times New Roman" w:cs="Times New Roman"/>
          <w:sz w:val="28"/>
          <w:szCs w:val="28"/>
        </w:rPr>
        <w:t>ів</w:t>
      </w:r>
      <w:r w:rsidR="00BB1042" w:rsidRPr="00EC6A51">
        <w:rPr>
          <w:rFonts w:ascii="Times New Roman" w:hAnsi="Times New Roman" w:cs="Times New Roman"/>
          <w:sz w:val="28"/>
          <w:szCs w:val="28"/>
        </w:rPr>
        <w:t xml:space="preserve">, що належать конкретному учаснику клірингу/клієнтам </w:t>
      </w:r>
      <w:r w:rsidR="00EC1A0F" w:rsidRPr="00EC6A51">
        <w:rPr>
          <w:rFonts w:ascii="Times New Roman" w:hAnsi="Times New Roman" w:cs="Times New Roman"/>
          <w:sz w:val="28"/>
          <w:szCs w:val="28"/>
        </w:rPr>
        <w:t xml:space="preserve">цього </w:t>
      </w:r>
      <w:r w:rsidR="00BB1042" w:rsidRPr="00EC6A51">
        <w:rPr>
          <w:rFonts w:ascii="Times New Roman" w:hAnsi="Times New Roman" w:cs="Times New Roman"/>
          <w:sz w:val="28"/>
          <w:szCs w:val="28"/>
        </w:rPr>
        <w:t>учасника клірингу</w:t>
      </w:r>
      <w:r w:rsidR="00EC1A0F" w:rsidRPr="00EC6A51">
        <w:rPr>
          <w:rFonts w:ascii="Times New Roman" w:hAnsi="Times New Roman" w:cs="Times New Roman"/>
          <w:sz w:val="28"/>
          <w:szCs w:val="28"/>
        </w:rPr>
        <w:t>.</w:t>
      </w:r>
    </w:p>
    <w:p w:rsidR="00421371" w:rsidRPr="00996711" w:rsidRDefault="0026213F" w:rsidP="00CC7C3D">
      <w:pPr>
        <w:spacing w:after="0"/>
        <w:ind w:firstLine="709"/>
        <w:jc w:val="both"/>
        <w:rPr>
          <w:rFonts w:ascii="Times New Roman" w:hAnsi="Times New Roman" w:cs="Times New Roman"/>
          <w:sz w:val="28"/>
          <w:szCs w:val="28"/>
        </w:rPr>
      </w:pPr>
      <w:r w:rsidRPr="00EC6A51">
        <w:rPr>
          <w:rFonts w:ascii="Times New Roman" w:hAnsi="Times New Roman" w:cs="Times New Roman"/>
          <w:sz w:val="28"/>
          <w:szCs w:val="28"/>
        </w:rPr>
        <w:t xml:space="preserve"> </w:t>
      </w:r>
    </w:p>
    <w:p w:rsidR="00BA01E8" w:rsidRPr="00996711" w:rsidRDefault="006708B6"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EA5570" w:rsidRPr="00996711">
        <w:rPr>
          <w:rFonts w:ascii="Times New Roman" w:hAnsi="Times New Roman" w:cs="Times New Roman"/>
          <w:sz w:val="28"/>
          <w:szCs w:val="28"/>
        </w:rPr>
        <w:t xml:space="preserve">. </w:t>
      </w:r>
      <w:r w:rsidR="00CC354F" w:rsidRPr="00996711">
        <w:rPr>
          <w:rFonts w:ascii="Times New Roman" w:hAnsi="Times New Roman" w:cs="Times New Roman"/>
          <w:sz w:val="28"/>
          <w:szCs w:val="28"/>
        </w:rPr>
        <w:t>Відображення зміни</w:t>
      </w:r>
      <w:r w:rsidR="0014092A" w:rsidRPr="00996711">
        <w:rPr>
          <w:rFonts w:ascii="Times New Roman" w:hAnsi="Times New Roman" w:cs="Times New Roman"/>
          <w:sz w:val="28"/>
          <w:szCs w:val="28"/>
        </w:rPr>
        <w:t xml:space="preserve"> прав та зобов’язань щодо</w:t>
      </w:r>
      <w:r w:rsidR="00EA5570" w:rsidRPr="00996711">
        <w:rPr>
          <w:rFonts w:ascii="Times New Roman" w:hAnsi="Times New Roman" w:cs="Times New Roman"/>
          <w:sz w:val="28"/>
          <w:szCs w:val="28"/>
        </w:rPr>
        <w:t xml:space="preserve"> коштів на клірингов</w:t>
      </w:r>
      <w:r w:rsidR="00CC354F" w:rsidRPr="00996711">
        <w:rPr>
          <w:rFonts w:ascii="Times New Roman" w:hAnsi="Times New Roman" w:cs="Times New Roman"/>
          <w:sz w:val="28"/>
          <w:szCs w:val="28"/>
        </w:rPr>
        <w:t>их</w:t>
      </w:r>
      <w:r w:rsidR="00EA5570" w:rsidRPr="00996711">
        <w:rPr>
          <w:rFonts w:ascii="Times New Roman" w:hAnsi="Times New Roman" w:cs="Times New Roman"/>
          <w:sz w:val="28"/>
          <w:szCs w:val="28"/>
        </w:rPr>
        <w:t xml:space="preserve"> рахунк</w:t>
      </w:r>
      <w:r w:rsidR="00CC354F" w:rsidRPr="00996711">
        <w:rPr>
          <w:rFonts w:ascii="Times New Roman" w:hAnsi="Times New Roman" w:cs="Times New Roman"/>
          <w:sz w:val="28"/>
          <w:szCs w:val="28"/>
        </w:rPr>
        <w:t>ах</w:t>
      </w:r>
      <w:r w:rsidR="00EA5570" w:rsidRPr="00996711">
        <w:rPr>
          <w:rFonts w:ascii="Times New Roman" w:hAnsi="Times New Roman" w:cs="Times New Roman"/>
          <w:sz w:val="28"/>
          <w:szCs w:val="28"/>
        </w:rPr>
        <w:t xml:space="preserve"> у системі обліку здійснюється особою, </w:t>
      </w:r>
      <w:r w:rsidR="00B6023A">
        <w:rPr>
          <w:rFonts w:ascii="Times New Roman" w:hAnsi="Times New Roman" w:cs="Times New Roman"/>
          <w:sz w:val="28"/>
          <w:szCs w:val="28"/>
        </w:rPr>
        <w:t>яка</w:t>
      </w:r>
      <w:r w:rsidR="00B6023A" w:rsidRPr="00996711">
        <w:rPr>
          <w:rFonts w:ascii="Times New Roman" w:hAnsi="Times New Roman" w:cs="Times New Roman"/>
          <w:sz w:val="28"/>
          <w:szCs w:val="28"/>
        </w:rPr>
        <w:t xml:space="preserve"> </w:t>
      </w:r>
      <w:r w:rsidR="00EA5570" w:rsidRPr="00996711">
        <w:rPr>
          <w:rFonts w:ascii="Times New Roman" w:hAnsi="Times New Roman" w:cs="Times New Roman"/>
          <w:sz w:val="28"/>
          <w:szCs w:val="28"/>
        </w:rPr>
        <w:t>провадить клірингову діяльність</w:t>
      </w:r>
      <w:r w:rsidR="00B07B8F">
        <w:rPr>
          <w:rFonts w:ascii="Times New Roman" w:hAnsi="Times New Roman" w:cs="Times New Roman"/>
          <w:sz w:val="28"/>
          <w:szCs w:val="28"/>
        </w:rPr>
        <w:t>,</w:t>
      </w:r>
      <w:r w:rsidR="00EA5570" w:rsidRPr="00996711">
        <w:rPr>
          <w:rFonts w:ascii="Times New Roman" w:hAnsi="Times New Roman" w:cs="Times New Roman"/>
          <w:sz w:val="28"/>
          <w:szCs w:val="28"/>
        </w:rPr>
        <w:t xml:space="preserve"> на підставі розпоряджень від учасників клірингу</w:t>
      </w:r>
      <w:r w:rsidR="00856E02" w:rsidRPr="00996711">
        <w:rPr>
          <w:rFonts w:ascii="Times New Roman" w:hAnsi="Times New Roman" w:cs="Times New Roman"/>
          <w:sz w:val="28"/>
          <w:szCs w:val="28"/>
        </w:rPr>
        <w:t>, розпоряджень</w:t>
      </w:r>
      <w:r w:rsidR="00B370AE" w:rsidRPr="00996711">
        <w:rPr>
          <w:rFonts w:ascii="Times New Roman" w:hAnsi="Times New Roman" w:cs="Times New Roman"/>
          <w:sz w:val="28"/>
          <w:szCs w:val="28"/>
        </w:rPr>
        <w:t xml:space="preserve"> (</w:t>
      </w:r>
      <w:r w:rsidR="00856E02" w:rsidRPr="00996711">
        <w:rPr>
          <w:rFonts w:ascii="Times New Roman" w:hAnsi="Times New Roman" w:cs="Times New Roman"/>
          <w:sz w:val="28"/>
          <w:szCs w:val="28"/>
        </w:rPr>
        <w:t>інформації</w:t>
      </w:r>
      <w:r w:rsidR="00B370AE" w:rsidRPr="00996711">
        <w:rPr>
          <w:rFonts w:ascii="Times New Roman" w:hAnsi="Times New Roman" w:cs="Times New Roman"/>
          <w:sz w:val="28"/>
          <w:szCs w:val="28"/>
        </w:rPr>
        <w:t>)</w:t>
      </w:r>
      <w:r w:rsidR="00100BB7" w:rsidRPr="00996711">
        <w:rPr>
          <w:rFonts w:ascii="Times New Roman" w:hAnsi="Times New Roman" w:cs="Times New Roman"/>
          <w:sz w:val="28"/>
          <w:szCs w:val="28"/>
        </w:rPr>
        <w:t xml:space="preserve"> </w:t>
      </w:r>
      <w:r w:rsidR="003B1DB9" w:rsidRPr="00996711">
        <w:rPr>
          <w:rFonts w:ascii="Times New Roman" w:hAnsi="Times New Roman" w:cs="Times New Roman"/>
          <w:sz w:val="28"/>
          <w:szCs w:val="28"/>
        </w:rPr>
        <w:t xml:space="preserve">від </w:t>
      </w:r>
      <w:r w:rsidR="00EA5570" w:rsidRPr="00996711">
        <w:rPr>
          <w:rFonts w:ascii="Times New Roman" w:hAnsi="Times New Roman" w:cs="Times New Roman"/>
          <w:sz w:val="28"/>
          <w:szCs w:val="28"/>
        </w:rPr>
        <w:t>особи, яка провадить клірингову діяльність</w:t>
      </w:r>
      <w:r w:rsidR="004A0E5D" w:rsidRPr="00996711">
        <w:rPr>
          <w:rFonts w:ascii="Times New Roman" w:hAnsi="Times New Roman" w:cs="Times New Roman"/>
          <w:sz w:val="28"/>
          <w:szCs w:val="28"/>
        </w:rPr>
        <w:t xml:space="preserve">, або </w:t>
      </w:r>
      <w:r w:rsidR="00B370AE" w:rsidRPr="00996711">
        <w:rPr>
          <w:rFonts w:ascii="Times New Roman" w:hAnsi="Times New Roman" w:cs="Times New Roman"/>
          <w:sz w:val="28"/>
          <w:szCs w:val="28"/>
        </w:rPr>
        <w:t>розпоряджень (</w:t>
      </w:r>
      <w:r w:rsidR="00C3664E" w:rsidRPr="00996711">
        <w:rPr>
          <w:rFonts w:ascii="Times New Roman" w:hAnsi="Times New Roman" w:cs="Times New Roman"/>
          <w:sz w:val="28"/>
          <w:szCs w:val="28"/>
        </w:rPr>
        <w:t>інформації</w:t>
      </w:r>
      <w:r w:rsidR="00B370AE" w:rsidRPr="00996711">
        <w:rPr>
          <w:rFonts w:ascii="Times New Roman" w:hAnsi="Times New Roman" w:cs="Times New Roman"/>
          <w:sz w:val="28"/>
          <w:szCs w:val="28"/>
        </w:rPr>
        <w:t>)</w:t>
      </w:r>
      <w:r w:rsidR="00C3664E" w:rsidRPr="00996711">
        <w:rPr>
          <w:rFonts w:ascii="Times New Roman" w:hAnsi="Times New Roman" w:cs="Times New Roman"/>
          <w:sz w:val="28"/>
          <w:szCs w:val="28"/>
        </w:rPr>
        <w:t xml:space="preserve"> від оператора організованих ринків капіталу</w:t>
      </w:r>
      <w:r w:rsidR="00EA5570" w:rsidRPr="00996711">
        <w:rPr>
          <w:rFonts w:ascii="Times New Roman" w:hAnsi="Times New Roman" w:cs="Times New Roman"/>
          <w:sz w:val="28"/>
          <w:szCs w:val="28"/>
        </w:rPr>
        <w:t xml:space="preserve"> в порядку та строки, </w:t>
      </w:r>
      <w:r w:rsidR="00DC5197">
        <w:rPr>
          <w:rFonts w:ascii="Times New Roman" w:hAnsi="Times New Roman" w:cs="Times New Roman"/>
          <w:sz w:val="28"/>
          <w:szCs w:val="28"/>
        </w:rPr>
        <w:t>у</w:t>
      </w:r>
      <w:r w:rsidR="00DC5197" w:rsidRPr="00996711">
        <w:rPr>
          <w:rFonts w:ascii="Times New Roman" w:hAnsi="Times New Roman" w:cs="Times New Roman"/>
          <w:sz w:val="28"/>
          <w:szCs w:val="28"/>
        </w:rPr>
        <w:t xml:space="preserve">становлені </w:t>
      </w:r>
      <w:r w:rsidR="00EA5570" w:rsidRPr="00996711">
        <w:rPr>
          <w:rFonts w:ascii="Times New Roman" w:hAnsi="Times New Roman" w:cs="Times New Roman"/>
          <w:sz w:val="28"/>
          <w:szCs w:val="28"/>
        </w:rPr>
        <w:t>правилами клірингу.</w:t>
      </w:r>
    </w:p>
    <w:p w:rsidR="00285A40" w:rsidRPr="00996711" w:rsidRDefault="00285A40" w:rsidP="00CC7C3D">
      <w:pPr>
        <w:spacing w:after="0"/>
        <w:ind w:firstLine="709"/>
        <w:jc w:val="both"/>
        <w:rPr>
          <w:rFonts w:ascii="Times New Roman" w:hAnsi="Times New Roman" w:cs="Times New Roman"/>
          <w:sz w:val="28"/>
          <w:szCs w:val="28"/>
        </w:rPr>
      </w:pPr>
    </w:p>
    <w:p w:rsidR="004B251F" w:rsidRPr="00996711" w:rsidRDefault="006708B6"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26</w:t>
      </w:r>
      <w:r w:rsidR="00395462" w:rsidRPr="00996711">
        <w:rPr>
          <w:rFonts w:ascii="Times New Roman" w:hAnsi="Times New Roman" w:cs="Times New Roman"/>
          <w:sz w:val="28"/>
          <w:szCs w:val="28"/>
        </w:rPr>
        <w:t xml:space="preserve">. </w:t>
      </w:r>
      <w:r w:rsidR="004B251F" w:rsidRPr="00996711">
        <w:rPr>
          <w:rFonts w:ascii="Times New Roman" w:hAnsi="Times New Roman" w:cs="Times New Roman"/>
          <w:sz w:val="28"/>
          <w:szCs w:val="28"/>
        </w:rPr>
        <w:t>Загальна с</w:t>
      </w:r>
      <w:r w:rsidR="00006317" w:rsidRPr="00996711">
        <w:rPr>
          <w:rFonts w:ascii="Times New Roman" w:hAnsi="Times New Roman" w:cs="Times New Roman"/>
          <w:sz w:val="28"/>
          <w:szCs w:val="28"/>
        </w:rPr>
        <w:t>ума коштів,</w:t>
      </w:r>
      <w:r w:rsidR="000343A0" w:rsidRPr="00996711">
        <w:rPr>
          <w:rFonts w:ascii="Times New Roman" w:hAnsi="Times New Roman" w:cs="Times New Roman"/>
          <w:sz w:val="28"/>
          <w:szCs w:val="28"/>
        </w:rPr>
        <w:t xml:space="preserve"> інформація про які</w:t>
      </w:r>
      <w:r w:rsidR="00006317" w:rsidRPr="00996711">
        <w:rPr>
          <w:rFonts w:ascii="Times New Roman" w:hAnsi="Times New Roman" w:cs="Times New Roman"/>
          <w:sz w:val="28"/>
          <w:szCs w:val="28"/>
        </w:rPr>
        <w:t xml:space="preserve"> обліковується на клірингових рахунках </w:t>
      </w:r>
      <w:r w:rsidR="00DC5197">
        <w:rPr>
          <w:rFonts w:ascii="Times New Roman" w:hAnsi="Times New Roman" w:cs="Times New Roman"/>
          <w:sz w:val="28"/>
          <w:szCs w:val="28"/>
        </w:rPr>
        <w:t>у</w:t>
      </w:r>
      <w:r w:rsidR="00DC5197" w:rsidRPr="00996711">
        <w:rPr>
          <w:rFonts w:ascii="Times New Roman" w:hAnsi="Times New Roman" w:cs="Times New Roman"/>
          <w:sz w:val="28"/>
          <w:szCs w:val="28"/>
        </w:rPr>
        <w:t xml:space="preserve"> </w:t>
      </w:r>
      <w:r w:rsidR="00006317" w:rsidRPr="00996711">
        <w:rPr>
          <w:rFonts w:ascii="Times New Roman" w:hAnsi="Times New Roman" w:cs="Times New Roman"/>
          <w:sz w:val="28"/>
          <w:szCs w:val="28"/>
        </w:rPr>
        <w:t>системі обліку</w:t>
      </w:r>
      <w:r w:rsidR="00B93488" w:rsidRPr="00996711">
        <w:rPr>
          <w:rFonts w:ascii="Times New Roman" w:hAnsi="Times New Roman" w:cs="Times New Roman"/>
          <w:sz w:val="28"/>
          <w:szCs w:val="28"/>
        </w:rPr>
        <w:t>,</w:t>
      </w:r>
      <w:r w:rsidR="00006317" w:rsidRPr="00996711">
        <w:rPr>
          <w:rFonts w:ascii="Times New Roman" w:hAnsi="Times New Roman" w:cs="Times New Roman"/>
          <w:sz w:val="28"/>
          <w:szCs w:val="28"/>
        </w:rPr>
        <w:t xml:space="preserve"> має дорівнювати </w:t>
      </w:r>
      <w:r w:rsidR="004B251F" w:rsidRPr="00996711">
        <w:rPr>
          <w:rFonts w:ascii="Times New Roman" w:hAnsi="Times New Roman" w:cs="Times New Roman"/>
          <w:sz w:val="28"/>
          <w:szCs w:val="28"/>
        </w:rPr>
        <w:t xml:space="preserve">загальній </w:t>
      </w:r>
      <w:r w:rsidR="00006317" w:rsidRPr="00996711">
        <w:rPr>
          <w:rFonts w:ascii="Times New Roman" w:hAnsi="Times New Roman" w:cs="Times New Roman"/>
          <w:sz w:val="28"/>
          <w:szCs w:val="28"/>
        </w:rPr>
        <w:t xml:space="preserve">сумі коштів, що обліковуються на </w:t>
      </w:r>
      <w:r w:rsidR="00FA2700" w:rsidRPr="00996711">
        <w:rPr>
          <w:rFonts w:ascii="Times New Roman" w:hAnsi="Times New Roman" w:cs="Times New Roman"/>
          <w:sz w:val="28"/>
          <w:szCs w:val="28"/>
        </w:rPr>
        <w:t xml:space="preserve">рахунках </w:t>
      </w:r>
      <w:r w:rsidR="0086251C" w:rsidRPr="00996711">
        <w:rPr>
          <w:rFonts w:ascii="Times New Roman" w:hAnsi="Times New Roman" w:cs="Times New Roman"/>
          <w:sz w:val="28"/>
          <w:szCs w:val="28"/>
        </w:rPr>
        <w:t xml:space="preserve">для здійснення/забезпечення розрахунків </w:t>
      </w:r>
      <w:r w:rsidR="00FA2700" w:rsidRPr="00996711">
        <w:rPr>
          <w:rFonts w:ascii="Times New Roman" w:hAnsi="Times New Roman" w:cs="Times New Roman"/>
          <w:sz w:val="28"/>
          <w:szCs w:val="28"/>
        </w:rPr>
        <w:t>особи, яка провадить клірингову діяльність</w:t>
      </w:r>
      <w:r w:rsidR="00006317" w:rsidRPr="00996711">
        <w:rPr>
          <w:rFonts w:ascii="Times New Roman" w:hAnsi="Times New Roman" w:cs="Times New Roman"/>
          <w:sz w:val="28"/>
          <w:szCs w:val="28"/>
        </w:rPr>
        <w:t>.</w:t>
      </w:r>
    </w:p>
    <w:p w:rsidR="00285A40" w:rsidRPr="00996711" w:rsidRDefault="00006317" w:rsidP="00CC7C3D">
      <w:pPr>
        <w:spacing w:after="0"/>
        <w:ind w:firstLine="709"/>
        <w:jc w:val="both"/>
        <w:rPr>
          <w:rFonts w:ascii="Times New Roman" w:hAnsi="Times New Roman" w:cs="Times New Roman"/>
          <w:sz w:val="28"/>
          <w:szCs w:val="28"/>
        </w:rPr>
      </w:pPr>
      <w:r w:rsidRPr="00996711">
        <w:rPr>
          <w:rFonts w:ascii="Times New Roman" w:hAnsi="Times New Roman" w:cs="Times New Roman"/>
          <w:sz w:val="28"/>
          <w:szCs w:val="28"/>
        </w:rPr>
        <w:t xml:space="preserve"> </w:t>
      </w:r>
      <w:r w:rsidR="00285A40" w:rsidRPr="00996711">
        <w:rPr>
          <w:rFonts w:ascii="Times New Roman" w:hAnsi="Times New Roman" w:cs="Times New Roman"/>
          <w:sz w:val="28"/>
          <w:szCs w:val="28"/>
        </w:rPr>
        <w:t xml:space="preserve">Особа, яка провадить клірингову діяльність </w:t>
      </w:r>
      <w:r w:rsidR="00B93488" w:rsidRPr="00996711">
        <w:rPr>
          <w:rFonts w:ascii="Times New Roman" w:hAnsi="Times New Roman" w:cs="Times New Roman"/>
          <w:sz w:val="28"/>
          <w:szCs w:val="28"/>
        </w:rPr>
        <w:t xml:space="preserve">регулярно, але не рідше ніж </w:t>
      </w:r>
      <w:r w:rsidR="00033B70">
        <w:rPr>
          <w:rFonts w:ascii="Times New Roman" w:hAnsi="Times New Roman" w:cs="Times New Roman"/>
          <w:sz w:val="28"/>
          <w:szCs w:val="28"/>
        </w:rPr>
        <w:t xml:space="preserve">один </w:t>
      </w:r>
      <w:r w:rsidR="00B93488" w:rsidRPr="00996711">
        <w:rPr>
          <w:rFonts w:ascii="Times New Roman" w:hAnsi="Times New Roman" w:cs="Times New Roman"/>
          <w:sz w:val="28"/>
          <w:szCs w:val="28"/>
        </w:rPr>
        <w:t>раз на день</w:t>
      </w:r>
      <w:r w:rsidR="004B251F" w:rsidRPr="00996711">
        <w:rPr>
          <w:rFonts w:ascii="Times New Roman" w:hAnsi="Times New Roman" w:cs="Times New Roman"/>
          <w:sz w:val="28"/>
          <w:szCs w:val="28"/>
        </w:rPr>
        <w:t>, що є операційним днем</w:t>
      </w:r>
      <w:r w:rsidR="000C0ED2" w:rsidRPr="00996711">
        <w:rPr>
          <w:rFonts w:ascii="Times New Roman" w:hAnsi="Times New Roman" w:cs="Times New Roman"/>
          <w:sz w:val="28"/>
          <w:szCs w:val="28"/>
        </w:rPr>
        <w:t xml:space="preserve"> для такої особи,</w:t>
      </w:r>
      <w:r w:rsidR="004B251F" w:rsidRPr="00996711">
        <w:rPr>
          <w:rFonts w:ascii="Times New Roman" w:hAnsi="Times New Roman" w:cs="Times New Roman"/>
          <w:sz w:val="28"/>
          <w:szCs w:val="28"/>
        </w:rPr>
        <w:t xml:space="preserve"> </w:t>
      </w:r>
      <w:r w:rsidR="00B93488" w:rsidRPr="00996711">
        <w:rPr>
          <w:rFonts w:ascii="Times New Roman" w:hAnsi="Times New Roman" w:cs="Times New Roman"/>
          <w:sz w:val="28"/>
          <w:szCs w:val="28"/>
        </w:rPr>
        <w:t xml:space="preserve"> </w:t>
      </w:r>
      <w:r w:rsidRPr="00996711">
        <w:rPr>
          <w:rFonts w:ascii="Times New Roman" w:hAnsi="Times New Roman" w:cs="Times New Roman"/>
          <w:sz w:val="28"/>
          <w:szCs w:val="28"/>
        </w:rPr>
        <w:t xml:space="preserve">зобов’язана здійснювати звірку залишків кошів, </w:t>
      </w:r>
      <w:r w:rsidR="0094457F" w:rsidRPr="00996711">
        <w:rPr>
          <w:rFonts w:ascii="Times New Roman" w:hAnsi="Times New Roman" w:cs="Times New Roman"/>
          <w:sz w:val="28"/>
          <w:szCs w:val="28"/>
        </w:rPr>
        <w:t>інформація про які</w:t>
      </w:r>
      <w:r w:rsidRPr="00996711">
        <w:rPr>
          <w:rFonts w:ascii="Times New Roman" w:hAnsi="Times New Roman" w:cs="Times New Roman"/>
          <w:sz w:val="28"/>
          <w:szCs w:val="28"/>
        </w:rPr>
        <w:t xml:space="preserve"> </w:t>
      </w:r>
      <w:r w:rsidR="00033B70" w:rsidRPr="00996711">
        <w:rPr>
          <w:rFonts w:ascii="Times New Roman" w:hAnsi="Times New Roman" w:cs="Times New Roman"/>
          <w:sz w:val="28"/>
          <w:szCs w:val="28"/>
        </w:rPr>
        <w:t>облікову</w:t>
      </w:r>
      <w:r w:rsidR="00033B70">
        <w:rPr>
          <w:rFonts w:ascii="Times New Roman" w:hAnsi="Times New Roman" w:cs="Times New Roman"/>
          <w:sz w:val="28"/>
          <w:szCs w:val="28"/>
        </w:rPr>
        <w:t>є</w:t>
      </w:r>
      <w:r w:rsidR="00033B70" w:rsidRPr="00996711">
        <w:rPr>
          <w:rFonts w:ascii="Times New Roman" w:hAnsi="Times New Roman" w:cs="Times New Roman"/>
          <w:sz w:val="28"/>
          <w:szCs w:val="28"/>
        </w:rPr>
        <w:t xml:space="preserve">ться </w:t>
      </w:r>
      <w:r w:rsidRPr="00996711">
        <w:rPr>
          <w:rFonts w:ascii="Times New Roman" w:hAnsi="Times New Roman" w:cs="Times New Roman"/>
          <w:sz w:val="28"/>
          <w:szCs w:val="28"/>
        </w:rPr>
        <w:t xml:space="preserve">на клірингових рахунках </w:t>
      </w:r>
      <w:r w:rsidR="00DC5197">
        <w:rPr>
          <w:rFonts w:ascii="Times New Roman" w:hAnsi="Times New Roman" w:cs="Times New Roman"/>
          <w:sz w:val="28"/>
          <w:szCs w:val="28"/>
        </w:rPr>
        <w:t>у</w:t>
      </w:r>
      <w:r w:rsidR="00DC5197" w:rsidRPr="00996711">
        <w:rPr>
          <w:rFonts w:ascii="Times New Roman" w:hAnsi="Times New Roman" w:cs="Times New Roman"/>
          <w:sz w:val="28"/>
          <w:szCs w:val="28"/>
        </w:rPr>
        <w:t xml:space="preserve"> </w:t>
      </w:r>
      <w:r w:rsidRPr="00996711">
        <w:rPr>
          <w:rFonts w:ascii="Times New Roman" w:hAnsi="Times New Roman" w:cs="Times New Roman"/>
          <w:sz w:val="28"/>
          <w:szCs w:val="28"/>
        </w:rPr>
        <w:t>системі обліку</w:t>
      </w:r>
      <w:r w:rsidR="00B6023A">
        <w:rPr>
          <w:rFonts w:ascii="Times New Roman" w:hAnsi="Times New Roman" w:cs="Times New Roman"/>
          <w:sz w:val="28"/>
          <w:szCs w:val="28"/>
        </w:rPr>
        <w:t>,</w:t>
      </w:r>
      <w:r w:rsidRPr="00996711">
        <w:rPr>
          <w:rFonts w:ascii="Times New Roman" w:hAnsi="Times New Roman" w:cs="Times New Roman"/>
          <w:sz w:val="28"/>
          <w:szCs w:val="28"/>
        </w:rPr>
        <w:t xml:space="preserve"> </w:t>
      </w:r>
      <w:r w:rsidR="0086251C" w:rsidRPr="00996711">
        <w:rPr>
          <w:rFonts w:ascii="Times New Roman" w:hAnsi="Times New Roman" w:cs="Times New Roman"/>
          <w:sz w:val="28"/>
          <w:szCs w:val="28"/>
        </w:rPr>
        <w:t>із залишками коштів на</w:t>
      </w:r>
      <w:r w:rsidRPr="00996711">
        <w:rPr>
          <w:rFonts w:ascii="Times New Roman" w:hAnsi="Times New Roman" w:cs="Times New Roman"/>
          <w:sz w:val="28"/>
          <w:szCs w:val="28"/>
        </w:rPr>
        <w:t xml:space="preserve"> рахунк</w:t>
      </w:r>
      <w:r w:rsidR="0086251C" w:rsidRPr="00996711">
        <w:rPr>
          <w:rFonts w:ascii="Times New Roman" w:hAnsi="Times New Roman" w:cs="Times New Roman"/>
          <w:sz w:val="28"/>
          <w:szCs w:val="28"/>
        </w:rPr>
        <w:t>ах</w:t>
      </w:r>
      <w:r w:rsidR="0086251C" w:rsidRPr="00996711">
        <w:t xml:space="preserve"> </w:t>
      </w:r>
      <w:r w:rsidR="0086251C" w:rsidRPr="00996711">
        <w:rPr>
          <w:rFonts w:ascii="Times New Roman" w:hAnsi="Times New Roman" w:cs="Times New Roman"/>
          <w:sz w:val="28"/>
          <w:szCs w:val="28"/>
        </w:rPr>
        <w:t>для здійснення/забезпечення розрахунків</w:t>
      </w:r>
      <w:r w:rsidRPr="00996711">
        <w:rPr>
          <w:rFonts w:ascii="Times New Roman" w:hAnsi="Times New Roman" w:cs="Times New Roman"/>
          <w:sz w:val="28"/>
          <w:szCs w:val="28"/>
        </w:rPr>
        <w:t xml:space="preserve"> такої особи. </w:t>
      </w:r>
    </w:p>
    <w:p w:rsidR="00573A9E" w:rsidRPr="00996711" w:rsidRDefault="00573A9E" w:rsidP="00CC7C3D">
      <w:pPr>
        <w:spacing w:after="0"/>
        <w:ind w:firstLine="709"/>
        <w:jc w:val="both"/>
        <w:rPr>
          <w:rFonts w:ascii="Times New Roman" w:hAnsi="Times New Roman" w:cs="Times New Roman"/>
          <w:sz w:val="28"/>
          <w:szCs w:val="28"/>
        </w:rPr>
      </w:pPr>
    </w:p>
    <w:p w:rsidR="00573A9E" w:rsidRPr="00996711" w:rsidRDefault="00791639"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6708B6">
        <w:rPr>
          <w:rFonts w:ascii="Times New Roman" w:hAnsi="Times New Roman" w:cs="Times New Roman"/>
          <w:sz w:val="28"/>
          <w:szCs w:val="28"/>
        </w:rPr>
        <w:t>7</w:t>
      </w:r>
      <w:r w:rsidR="00AD6C26" w:rsidRPr="00996711">
        <w:rPr>
          <w:rFonts w:ascii="Times New Roman" w:hAnsi="Times New Roman" w:cs="Times New Roman"/>
          <w:sz w:val="28"/>
          <w:szCs w:val="28"/>
        </w:rPr>
        <w:t xml:space="preserve">. </w:t>
      </w:r>
      <w:r w:rsidR="00573A9E" w:rsidRPr="00996711">
        <w:rPr>
          <w:rFonts w:ascii="Times New Roman" w:hAnsi="Times New Roman" w:cs="Times New Roman"/>
          <w:sz w:val="28"/>
          <w:szCs w:val="28"/>
        </w:rPr>
        <w:t>Особа, яка провадить клірингову діяльність, на запит учасника клірингу або періодично в порядку</w:t>
      </w:r>
      <w:r w:rsidR="00DC5197">
        <w:rPr>
          <w:rFonts w:ascii="Times New Roman" w:hAnsi="Times New Roman" w:cs="Times New Roman"/>
          <w:sz w:val="28"/>
          <w:szCs w:val="28"/>
        </w:rPr>
        <w:t>,</w:t>
      </w:r>
      <w:r w:rsidR="00573A9E" w:rsidRPr="00996711">
        <w:rPr>
          <w:rFonts w:ascii="Times New Roman" w:hAnsi="Times New Roman" w:cs="Times New Roman"/>
          <w:sz w:val="28"/>
          <w:szCs w:val="28"/>
        </w:rPr>
        <w:t xml:space="preserve"> </w:t>
      </w:r>
      <w:r w:rsidR="00DC5197">
        <w:rPr>
          <w:rFonts w:ascii="Times New Roman" w:hAnsi="Times New Roman" w:cs="Times New Roman"/>
          <w:sz w:val="28"/>
          <w:szCs w:val="28"/>
        </w:rPr>
        <w:t>у</w:t>
      </w:r>
      <w:r w:rsidR="00DC5197" w:rsidRPr="00996711">
        <w:rPr>
          <w:rFonts w:ascii="Times New Roman" w:hAnsi="Times New Roman" w:cs="Times New Roman"/>
          <w:sz w:val="28"/>
          <w:szCs w:val="28"/>
        </w:rPr>
        <w:t xml:space="preserve">становленому </w:t>
      </w:r>
      <w:r w:rsidR="00573A9E" w:rsidRPr="00996711">
        <w:rPr>
          <w:rFonts w:ascii="Times New Roman" w:hAnsi="Times New Roman" w:cs="Times New Roman"/>
          <w:sz w:val="28"/>
          <w:szCs w:val="28"/>
        </w:rPr>
        <w:t>внутрішніми документами такої особи або договором з учасником клірингу має надавати виписку з клірингового рахунку</w:t>
      </w:r>
      <w:r w:rsidR="00F47173">
        <w:rPr>
          <w:rFonts w:ascii="Times New Roman" w:hAnsi="Times New Roman" w:cs="Times New Roman"/>
          <w:sz w:val="28"/>
          <w:szCs w:val="28"/>
        </w:rPr>
        <w:t xml:space="preserve"> </w:t>
      </w:r>
      <w:r w:rsidR="00483E1F" w:rsidRPr="00482C6A">
        <w:rPr>
          <w:rFonts w:ascii="Times New Roman" w:hAnsi="Times New Roman" w:cs="Times New Roman"/>
          <w:sz w:val="28"/>
          <w:szCs w:val="28"/>
        </w:rPr>
        <w:t>(субрахунк</w:t>
      </w:r>
      <w:r w:rsidR="00483E1F">
        <w:rPr>
          <w:rFonts w:ascii="Times New Roman" w:hAnsi="Times New Roman" w:cs="Times New Roman"/>
          <w:sz w:val="28"/>
          <w:szCs w:val="28"/>
        </w:rPr>
        <w:t>у</w:t>
      </w:r>
      <w:r w:rsidR="00483E1F" w:rsidRPr="00482C6A">
        <w:rPr>
          <w:rFonts w:ascii="Times New Roman" w:hAnsi="Times New Roman" w:cs="Times New Roman"/>
          <w:sz w:val="28"/>
          <w:szCs w:val="28"/>
        </w:rPr>
        <w:t>)</w:t>
      </w:r>
      <w:r w:rsidR="00573A9E" w:rsidRPr="00996711">
        <w:rPr>
          <w:rFonts w:ascii="Times New Roman" w:hAnsi="Times New Roman" w:cs="Times New Roman"/>
          <w:sz w:val="28"/>
          <w:szCs w:val="28"/>
        </w:rPr>
        <w:t xml:space="preserve"> такого учасника клірингу</w:t>
      </w:r>
      <w:r w:rsidR="000069ED" w:rsidRPr="00996711">
        <w:rPr>
          <w:rFonts w:ascii="Times New Roman" w:hAnsi="Times New Roman" w:cs="Times New Roman"/>
          <w:sz w:val="28"/>
          <w:szCs w:val="28"/>
        </w:rPr>
        <w:t>. Виписка з клірингового рахунку</w:t>
      </w:r>
      <w:r w:rsidR="00F47173">
        <w:rPr>
          <w:rFonts w:ascii="Times New Roman" w:hAnsi="Times New Roman" w:cs="Times New Roman"/>
          <w:sz w:val="28"/>
          <w:szCs w:val="28"/>
        </w:rPr>
        <w:t xml:space="preserve"> </w:t>
      </w:r>
      <w:r w:rsidR="00483E1F">
        <w:rPr>
          <w:rFonts w:ascii="Times New Roman" w:hAnsi="Times New Roman" w:cs="Times New Roman"/>
          <w:sz w:val="28"/>
          <w:szCs w:val="28"/>
        </w:rPr>
        <w:t>(субрахунку)</w:t>
      </w:r>
      <w:r w:rsidR="00483E1F" w:rsidRPr="00996711">
        <w:rPr>
          <w:rFonts w:ascii="Times New Roman" w:hAnsi="Times New Roman" w:cs="Times New Roman"/>
          <w:sz w:val="28"/>
          <w:szCs w:val="28"/>
        </w:rPr>
        <w:t xml:space="preserve"> </w:t>
      </w:r>
      <w:r w:rsidR="000069ED" w:rsidRPr="00996711">
        <w:rPr>
          <w:rFonts w:ascii="Times New Roman" w:hAnsi="Times New Roman" w:cs="Times New Roman"/>
          <w:sz w:val="28"/>
          <w:szCs w:val="28"/>
        </w:rPr>
        <w:t xml:space="preserve"> учасника клірингу</w:t>
      </w:r>
      <w:r w:rsidR="00483E1F">
        <w:rPr>
          <w:rFonts w:ascii="Times New Roman" w:hAnsi="Times New Roman" w:cs="Times New Roman"/>
          <w:sz w:val="28"/>
          <w:szCs w:val="28"/>
        </w:rPr>
        <w:t xml:space="preserve"> </w:t>
      </w:r>
      <w:r w:rsidR="00856A73" w:rsidRPr="00996711">
        <w:rPr>
          <w:rFonts w:ascii="Times New Roman" w:hAnsi="Times New Roman" w:cs="Times New Roman"/>
          <w:sz w:val="28"/>
          <w:szCs w:val="28"/>
        </w:rPr>
        <w:t>має містити інформацію про</w:t>
      </w:r>
      <w:r w:rsidR="000069ED" w:rsidRPr="00996711">
        <w:rPr>
          <w:rFonts w:ascii="Times New Roman" w:hAnsi="Times New Roman" w:cs="Times New Roman"/>
          <w:sz w:val="28"/>
          <w:szCs w:val="28"/>
        </w:rPr>
        <w:t xml:space="preserve"> виконан</w:t>
      </w:r>
      <w:r w:rsidR="00856A73" w:rsidRPr="00996711">
        <w:rPr>
          <w:rFonts w:ascii="Times New Roman" w:hAnsi="Times New Roman" w:cs="Times New Roman"/>
          <w:sz w:val="28"/>
          <w:szCs w:val="28"/>
        </w:rPr>
        <w:t>і</w:t>
      </w:r>
      <w:r w:rsidR="000069ED" w:rsidRPr="00996711">
        <w:rPr>
          <w:rFonts w:ascii="Times New Roman" w:hAnsi="Times New Roman" w:cs="Times New Roman"/>
          <w:sz w:val="28"/>
          <w:szCs w:val="28"/>
        </w:rPr>
        <w:t xml:space="preserve"> за </w:t>
      </w:r>
      <w:r w:rsidR="008846A1" w:rsidRPr="008846A1">
        <w:rPr>
          <w:rFonts w:ascii="Times New Roman" w:hAnsi="Times New Roman" w:cs="Times New Roman"/>
          <w:sz w:val="28"/>
          <w:szCs w:val="28"/>
        </w:rPr>
        <w:t>період, визначений у запиті учасника клірингу або внутрішніми документами особи, яка провадить клірингову діяльність</w:t>
      </w:r>
      <w:r w:rsidR="008846A1">
        <w:rPr>
          <w:rFonts w:ascii="Times New Roman" w:hAnsi="Times New Roman" w:cs="Times New Roman"/>
          <w:sz w:val="28"/>
          <w:szCs w:val="28"/>
        </w:rPr>
        <w:t xml:space="preserve">, або відповідним договором, </w:t>
      </w:r>
      <w:r w:rsidR="00856A73" w:rsidRPr="00996711">
        <w:rPr>
          <w:rFonts w:ascii="Times New Roman" w:hAnsi="Times New Roman" w:cs="Times New Roman"/>
          <w:sz w:val="28"/>
          <w:szCs w:val="28"/>
        </w:rPr>
        <w:t xml:space="preserve"> операції на такому </w:t>
      </w:r>
      <w:r w:rsidR="00856A73" w:rsidRPr="00996711">
        <w:rPr>
          <w:rFonts w:ascii="Times New Roman" w:hAnsi="Times New Roman" w:cs="Times New Roman"/>
          <w:sz w:val="28"/>
          <w:szCs w:val="28"/>
        </w:rPr>
        <w:lastRenderedPageBreak/>
        <w:t xml:space="preserve">рахунку, </w:t>
      </w:r>
      <w:r w:rsidR="005C5244">
        <w:rPr>
          <w:rFonts w:ascii="Times New Roman" w:hAnsi="Times New Roman" w:cs="Times New Roman"/>
          <w:sz w:val="28"/>
          <w:szCs w:val="28"/>
        </w:rPr>
        <w:t>включаючи випадки</w:t>
      </w:r>
      <w:r w:rsidR="00A31030" w:rsidRPr="00996711">
        <w:rPr>
          <w:rFonts w:ascii="Times New Roman" w:hAnsi="Times New Roman" w:cs="Times New Roman"/>
          <w:sz w:val="28"/>
          <w:szCs w:val="28"/>
        </w:rPr>
        <w:t xml:space="preserve"> </w:t>
      </w:r>
      <w:r w:rsidR="007B5668" w:rsidRPr="00996711">
        <w:rPr>
          <w:rFonts w:ascii="Times New Roman" w:hAnsi="Times New Roman" w:cs="Times New Roman"/>
          <w:sz w:val="28"/>
          <w:szCs w:val="28"/>
        </w:rPr>
        <w:t xml:space="preserve">завершення грошових розрахунків за результатами </w:t>
      </w:r>
      <w:proofErr w:type="spellStart"/>
      <w:r w:rsidR="007B5668" w:rsidRPr="00996711">
        <w:rPr>
          <w:rFonts w:ascii="Times New Roman" w:hAnsi="Times New Roman" w:cs="Times New Roman"/>
          <w:sz w:val="28"/>
          <w:szCs w:val="28"/>
        </w:rPr>
        <w:t>неттінгу</w:t>
      </w:r>
      <w:proofErr w:type="spellEnd"/>
      <w:r w:rsidR="007B5668" w:rsidRPr="00996711">
        <w:rPr>
          <w:rFonts w:ascii="Times New Roman" w:hAnsi="Times New Roman" w:cs="Times New Roman"/>
          <w:sz w:val="28"/>
          <w:szCs w:val="28"/>
        </w:rPr>
        <w:t xml:space="preserve">/ліквідаційного </w:t>
      </w:r>
      <w:proofErr w:type="spellStart"/>
      <w:r w:rsidR="007B5668" w:rsidRPr="00996711">
        <w:rPr>
          <w:rFonts w:ascii="Times New Roman" w:hAnsi="Times New Roman" w:cs="Times New Roman"/>
          <w:sz w:val="28"/>
          <w:szCs w:val="28"/>
        </w:rPr>
        <w:t>неттінгу</w:t>
      </w:r>
      <w:proofErr w:type="spellEnd"/>
      <w:r w:rsidR="007B5668" w:rsidRPr="00996711">
        <w:rPr>
          <w:rFonts w:ascii="Times New Roman" w:hAnsi="Times New Roman" w:cs="Times New Roman"/>
          <w:sz w:val="28"/>
          <w:szCs w:val="28"/>
        </w:rPr>
        <w:t>.</w:t>
      </w:r>
    </w:p>
    <w:p w:rsidR="0094457F" w:rsidRPr="00996711" w:rsidRDefault="0094457F" w:rsidP="00CC7C3D">
      <w:pPr>
        <w:spacing w:after="0"/>
        <w:ind w:firstLine="709"/>
        <w:jc w:val="both"/>
        <w:rPr>
          <w:rFonts w:ascii="Times New Roman" w:hAnsi="Times New Roman" w:cs="Times New Roman"/>
          <w:sz w:val="28"/>
          <w:szCs w:val="28"/>
        </w:rPr>
      </w:pPr>
    </w:p>
    <w:p w:rsidR="00C16EF0" w:rsidRPr="00996711" w:rsidRDefault="006708B6"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28</w:t>
      </w:r>
      <w:r w:rsidR="00C16EF0" w:rsidRPr="00996711">
        <w:rPr>
          <w:rFonts w:ascii="Times New Roman" w:hAnsi="Times New Roman" w:cs="Times New Roman"/>
          <w:sz w:val="28"/>
          <w:szCs w:val="28"/>
        </w:rPr>
        <w:t>. Правила клірингу особи, яка провадить клірингову діяльність</w:t>
      </w:r>
      <w:r w:rsidR="00D4692E" w:rsidRPr="00996711">
        <w:rPr>
          <w:rFonts w:ascii="Times New Roman" w:hAnsi="Times New Roman" w:cs="Times New Roman"/>
          <w:sz w:val="28"/>
          <w:szCs w:val="28"/>
        </w:rPr>
        <w:t>,</w:t>
      </w:r>
      <w:r w:rsidR="00C16EF0" w:rsidRPr="00996711">
        <w:rPr>
          <w:rFonts w:ascii="Times New Roman" w:hAnsi="Times New Roman" w:cs="Times New Roman"/>
          <w:sz w:val="28"/>
          <w:szCs w:val="28"/>
        </w:rPr>
        <w:t xml:space="preserve"> мають </w:t>
      </w:r>
      <w:r w:rsidR="001453D0" w:rsidRPr="00996711">
        <w:rPr>
          <w:rFonts w:ascii="Times New Roman" w:hAnsi="Times New Roman" w:cs="Times New Roman"/>
          <w:sz w:val="28"/>
          <w:szCs w:val="28"/>
        </w:rPr>
        <w:t xml:space="preserve">визначати порядок виконання розпоряджень </w:t>
      </w:r>
      <w:r w:rsidR="008846A1">
        <w:rPr>
          <w:rFonts w:ascii="Times New Roman" w:hAnsi="Times New Roman" w:cs="Times New Roman"/>
          <w:sz w:val="28"/>
          <w:szCs w:val="28"/>
        </w:rPr>
        <w:t xml:space="preserve">та/або документів </w:t>
      </w:r>
      <w:r w:rsidR="001453D0" w:rsidRPr="00996711">
        <w:rPr>
          <w:rFonts w:ascii="Times New Roman" w:hAnsi="Times New Roman" w:cs="Times New Roman"/>
          <w:sz w:val="28"/>
          <w:szCs w:val="28"/>
        </w:rPr>
        <w:t xml:space="preserve">щодо </w:t>
      </w:r>
      <w:r w:rsidR="00CC5190" w:rsidRPr="00996711">
        <w:rPr>
          <w:rFonts w:ascii="Times New Roman" w:hAnsi="Times New Roman" w:cs="Times New Roman"/>
          <w:sz w:val="28"/>
          <w:szCs w:val="28"/>
        </w:rPr>
        <w:t xml:space="preserve">прав та зобов’язань щодо </w:t>
      </w:r>
      <w:r w:rsidR="001453D0" w:rsidRPr="00996711">
        <w:rPr>
          <w:rFonts w:ascii="Times New Roman" w:hAnsi="Times New Roman" w:cs="Times New Roman"/>
          <w:sz w:val="28"/>
          <w:szCs w:val="28"/>
        </w:rPr>
        <w:t xml:space="preserve">коштів </w:t>
      </w:r>
      <w:r w:rsidR="00DC5197">
        <w:rPr>
          <w:rFonts w:ascii="Times New Roman" w:hAnsi="Times New Roman" w:cs="Times New Roman"/>
          <w:sz w:val="28"/>
          <w:szCs w:val="28"/>
        </w:rPr>
        <w:t>у</w:t>
      </w:r>
      <w:r w:rsidR="00DC5197" w:rsidRPr="00996711">
        <w:rPr>
          <w:rFonts w:ascii="Times New Roman" w:hAnsi="Times New Roman" w:cs="Times New Roman"/>
          <w:sz w:val="28"/>
          <w:szCs w:val="28"/>
        </w:rPr>
        <w:t xml:space="preserve"> </w:t>
      </w:r>
      <w:r w:rsidR="00C837F6" w:rsidRPr="00996711">
        <w:rPr>
          <w:rFonts w:ascii="Times New Roman" w:hAnsi="Times New Roman" w:cs="Times New Roman"/>
          <w:sz w:val="28"/>
          <w:szCs w:val="28"/>
        </w:rPr>
        <w:t>системі обліку</w:t>
      </w:r>
      <w:r w:rsidR="00246880" w:rsidRPr="00996711">
        <w:rPr>
          <w:rFonts w:ascii="Times New Roman" w:hAnsi="Times New Roman" w:cs="Times New Roman"/>
          <w:sz w:val="28"/>
          <w:szCs w:val="28"/>
        </w:rPr>
        <w:t xml:space="preserve"> </w:t>
      </w:r>
      <w:r w:rsidR="001453D0" w:rsidRPr="00996711">
        <w:rPr>
          <w:rFonts w:ascii="Times New Roman" w:hAnsi="Times New Roman" w:cs="Times New Roman"/>
          <w:sz w:val="28"/>
          <w:szCs w:val="28"/>
        </w:rPr>
        <w:t xml:space="preserve">та передбачати механізм фіксації початку такого виконання,  а також </w:t>
      </w:r>
      <w:r w:rsidR="00C16EF0" w:rsidRPr="00996711">
        <w:rPr>
          <w:rFonts w:ascii="Times New Roman" w:hAnsi="Times New Roman" w:cs="Times New Roman"/>
          <w:sz w:val="28"/>
          <w:szCs w:val="28"/>
        </w:rPr>
        <w:t xml:space="preserve">момент, з якого </w:t>
      </w:r>
      <w:r w:rsidR="001453D0" w:rsidRPr="00996711">
        <w:rPr>
          <w:rFonts w:ascii="Times New Roman" w:hAnsi="Times New Roman" w:cs="Times New Roman"/>
          <w:sz w:val="28"/>
          <w:szCs w:val="28"/>
        </w:rPr>
        <w:t xml:space="preserve">такі </w:t>
      </w:r>
      <w:r w:rsidR="00C16EF0" w:rsidRPr="00996711">
        <w:rPr>
          <w:rFonts w:ascii="Times New Roman" w:hAnsi="Times New Roman" w:cs="Times New Roman"/>
          <w:sz w:val="28"/>
          <w:szCs w:val="28"/>
        </w:rPr>
        <w:t xml:space="preserve">розпорядження </w:t>
      </w:r>
      <w:r w:rsidR="00C61481">
        <w:rPr>
          <w:rFonts w:ascii="Times New Roman" w:hAnsi="Times New Roman" w:cs="Times New Roman"/>
          <w:sz w:val="28"/>
          <w:szCs w:val="28"/>
        </w:rPr>
        <w:t xml:space="preserve">та/або документи </w:t>
      </w:r>
      <w:r w:rsidR="00C16EF0" w:rsidRPr="00996711">
        <w:rPr>
          <w:rFonts w:ascii="Times New Roman" w:hAnsi="Times New Roman" w:cs="Times New Roman"/>
          <w:sz w:val="28"/>
          <w:szCs w:val="28"/>
        </w:rPr>
        <w:t xml:space="preserve">вважаються дійсними, законними, безвідкличними та обов’язковими </w:t>
      </w:r>
      <w:r w:rsidR="00C16EF0" w:rsidRPr="00DC537C">
        <w:rPr>
          <w:rFonts w:ascii="Times New Roman" w:hAnsi="Times New Roman" w:cs="Times New Roman"/>
          <w:sz w:val="28"/>
          <w:szCs w:val="28"/>
        </w:rPr>
        <w:t>для виконання для будь-яких третіх осіб</w:t>
      </w:r>
      <w:r w:rsidR="001453D0" w:rsidRPr="00DC537C">
        <w:rPr>
          <w:rFonts w:ascii="Times New Roman" w:hAnsi="Times New Roman" w:cs="Times New Roman"/>
          <w:sz w:val="28"/>
          <w:szCs w:val="28"/>
        </w:rPr>
        <w:t>.</w:t>
      </w:r>
    </w:p>
    <w:p w:rsidR="00BA01E8" w:rsidRPr="00996711" w:rsidRDefault="00BA01E8" w:rsidP="00CC7C3D">
      <w:pPr>
        <w:spacing w:after="0"/>
        <w:ind w:firstLine="709"/>
        <w:jc w:val="both"/>
        <w:rPr>
          <w:rFonts w:ascii="Times New Roman" w:hAnsi="Times New Roman" w:cs="Times New Roman"/>
          <w:sz w:val="28"/>
          <w:szCs w:val="28"/>
        </w:rPr>
      </w:pPr>
    </w:p>
    <w:p w:rsidR="001B1B5E" w:rsidRPr="00996711" w:rsidRDefault="006708B6" w:rsidP="00CC7C3D">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D25F00">
        <w:rPr>
          <w:rFonts w:ascii="Times New Roman" w:hAnsi="Times New Roman" w:cs="Times New Roman"/>
          <w:sz w:val="28"/>
          <w:szCs w:val="28"/>
        </w:rPr>
        <w:t>.</w:t>
      </w:r>
      <w:r w:rsidR="001B77FD" w:rsidRPr="001B77FD">
        <w:t xml:space="preserve"> </w:t>
      </w:r>
      <w:r w:rsidR="001B77FD" w:rsidRPr="001B77FD">
        <w:rPr>
          <w:rFonts w:ascii="Times New Roman" w:hAnsi="Times New Roman" w:cs="Times New Roman"/>
          <w:sz w:val="28"/>
          <w:szCs w:val="28"/>
        </w:rPr>
        <w:t>Правила клірингу особи, яка провадить клірингову діяльність, мають визначати</w:t>
      </w:r>
      <w:r w:rsidR="00652D17" w:rsidRPr="00996711">
        <w:rPr>
          <w:rFonts w:ascii="Times New Roman" w:hAnsi="Times New Roman" w:cs="Times New Roman"/>
          <w:sz w:val="28"/>
          <w:szCs w:val="28"/>
        </w:rPr>
        <w:t xml:space="preserve"> </w:t>
      </w:r>
      <w:r w:rsidR="001B77FD">
        <w:rPr>
          <w:rFonts w:ascii="Times New Roman" w:hAnsi="Times New Roman" w:cs="Times New Roman"/>
          <w:sz w:val="28"/>
          <w:szCs w:val="28"/>
        </w:rPr>
        <w:t>м</w:t>
      </w:r>
      <w:r w:rsidR="001B1B5E" w:rsidRPr="00996711">
        <w:rPr>
          <w:rFonts w:ascii="Times New Roman" w:hAnsi="Times New Roman" w:cs="Times New Roman"/>
          <w:sz w:val="28"/>
          <w:szCs w:val="28"/>
        </w:rPr>
        <w:t xml:space="preserve">аксимальний строк перебування внесених/зарезервованих коштів у системі обліку без їх використання </w:t>
      </w:r>
      <w:r w:rsidR="00DC5197">
        <w:rPr>
          <w:rFonts w:ascii="Times New Roman" w:hAnsi="Times New Roman" w:cs="Times New Roman"/>
          <w:sz w:val="28"/>
          <w:szCs w:val="28"/>
        </w:rPr>
        <w:t>в</w:t>
      </w:r>
      <w:r w:rsidR="00DC5197" w:rsidRPr="00996711">
        <w:rPr>
          <w:rFonts w:ascii="Times New Roman" w:hAnsi="Times New Roman" w:cs="Times New Roman"/>
          <w:sz w:val="28"/>
          <w:szCs w:val="28"/>
        </w:rPr>
        <w:t xml:space="preserve"> </w:t>
      </w:r>
      <w:r w:rsidR="001B1B5E" w:rsidRPr="00996711">
        <w:rPr>
          <w:rFonts w:ascii="Times New Roman" w:hAnsi="Times New Roman" w:cs="Times New Roman"/>
          <w:sz w:val="28"/>
          <w:szCs w:val="28"/>
        </w:rPr>
        <w:t>процесі клірингу</w:t>
      </w:r>
      <w:r w:rsidR="005608C2">
        <w:rPr>
          <w:rFonts w:ascii="Times New Roman" w:hAnsi="Times New Roman" w:cs="Times New Roman"/>
          <w:sz w:val="28"/>
          <w:szCs w:val="28"/>
        </w:rPr>
        <w:t xml:space="preserve">  відповідно до вимог, </w:t>
      </w:r>
      <w:r w:rsidR="00DC5197">
        <w:rPr>
          <w:rFonts w:ascii="Times New Roman" w:hAnsi="Times New Roman" w:cs="Times New Roman"/>
          <w:sz w:val="28"/>
          <w:szCs w:val="28"/>
        </w:rPr>
        <w:t xml:space="preserve">установлених </w:t>
      </w:r>
      <w:r w:rsidR="005608C2">
        <w:rPr>
          <w:rFonts w:ascii="Times New Roman" w:hAnsi="Times New Roman" w:cs="Times New Roman"/>
          <w:sz w:val="28"/>
          <w:szCs w:val="28"/>
        </w:rPr>
        <w:t>Національною комісією з цінних паперів та фондового ринку,</w:t>
      </w:r>
      <w:r w:rsidR="001B1B5E" w:rsidRPr="00996711">
        <w:rPr>
          <w:rFonts w:ascii="Times New Roman" w:hAnsi="Times New Roman" w:cs="Times New Roman"/>
          <w:sz w:val="28"/>
          <w:szCs w:val="28"/>
        </w:rPr>
        <w:t xml:space="preserve"> та порядок списання </w:t>
      </w:r>
      <w:r w:rsidR="00830736" w:rsidRPr="00996711">
        <w:rPr>
          <w:rFonts w:ascii="Times New Roman" w:hAnsi="Times New Roman" w:cs="Times New Roman"/>
          <w:sz w:val="28"/>
          <w:szCs w:val="28"/>
        </w:rPr>
        <w:t xml:space="preserve">прав та зобов’язань щодо </w:t>
      </w:r>
      <w:r w:rsidR="001B1B5E" w:rsidRPr="00996711">
        <w:rPr>
          <w:rFonts w:ascii="Times New Roman" w:hAnsi="Times New Roman" w:cs="Times New Roman"/>
          <w:sz w:val="28"/>
          <w:szCs w:val="28"/>
        </w:rPr>
        <w:t>кош</w:t>
      </w:r>
      <w:r w:rsidR="00830736" w:rsidRPr="00996711">
        <w:rPr>
          <w:rFonts w:ascii="Times New Roman" w:hAnsi="Times New Roman" w:cs="Times New Roman"/>
          <w:sz w:val="28"/>
          <w:szCs w:val="28"/>
        </w:rPr>
        <w:t>т</w:t>
      </w:r>
      <w:r w:rsidR="001B1B5E" w:rsidRPr="00996711">
        <w:rPr>
          <w:rFonts w:ascii="Times New Roman" w:hAnsi="Times New Roman" w:cs="Times New Roman"/>
          <w:sz w:val="28"/>
          <w:szCs w:val="28"/>
        </w:rPr>
        <w:t xml:space="preserve">ів </w:t>
      </w:r>
      <w:r w:rsidR="00DC5197">
        <w:rPr>
          <w:rFonts w:ascii="Times New Roman" w:hAnsi="Times New Roman" w:cs="Times New Roman"/>
          <w:sz w:val="28"/>
          <w:szCs w:val="28"/>
        </w:rPr>
        <w:t>і</w:t>
      </w:r>
      <w:r w:rsidR="001B1B5E" w:rsidRPr="00996711">
        <w:rPr>
          <w:rFonts w:ascii="Times New Roman" w:hAnsi="Times New Roman" w:cs="Times New Roman"/>
          <w:sz w:val="28"/>
          <w:szCs w:val="28"/>
        </w:rPr>
        <w:t>з клірингових рахунків</w:t>
      </w:r>
      <w:r w:rsidR="00F47173">
        <w:rPr>
          <w:rFonts w:ascii="Times New Roman" w:hAnsi="Times New Roman" w:cs="Times New Roman"/>
          <w:sz w:val="28"/>
          <w:szCs w:val="28"/>
        </w:rPr>
        <w:t xml:space="preserve"> </w:t>
      </w:r>
      <w:r w:rsidR="00483E1F">
        <w:rPr>
          <w:rFonts w:ascii="Times New Roman" w:hAnsi="Times New Roman" w:cs="Times New Roman"/>
          <w:sz w:val="28"/>
          <w:szCs w:val="28"/>
        </w:rPr>
        <w:t>(субрахунків)</w:t>
      </w:r>
      <w:r w:rsidR="00483E1F" w:rsidRPr="00996711">
        <w:rPr>
          <w:rFonts w:ascii="Times New Roman" w:hAnsi="Times New Roman" w:cs="Times New Roman"/>
          <w:sz w:val="28"/>
          <w:szCs w:val="28"/>
        </w:rPr>
        <w:t xml:space="preserve"> </w:t>
      </w:r>
      <w:r w:rsidR="001B1B5E" w:rsidRPr="00996711">
        <w:rPr>
          <w:rFonts w:ascii="Times New Roman" w:hAnsi="Times New Roman" w:cs="Times New Roman"/>
          <w:sz w:val="28"/>
          <w:szCs w:val="28"/>
        </w:rPr>
        <w:t xml:space="preserve"> учасників клірингу</w:t>
      </w:r>
      <w:r w:rsidR="00483E1F">
        <w:rPr>
          <w:rFonts w:ascii="Times New Roman" w:hAnsi="Times New Roman" w:cs="Times New Roman"/>
          <w:sz w:val="28"/>
          <w:szCs w:val="28"/>
        </w:rPr>
        <w:t xml:space="preserve"> </w:t>
      </w:r>
      <w:r w:rsidR="0018525F" w:rsidRPr="00996711">
        <w:rPr>
          <w:rFonts w:ascii="Times New Roman" w:hAnsi="Times New Roman" w:cs="Times New Roman"/>
          <w:sz w:val="28"/>
          <w:szCs w:val="28"/>
        </w:rPr>
        <w:t xml:space="preserve">після спливу такого строку, </w:t>
      </w:r>
      <w:r w:rsidR="005C5244">
        <w:rPr>
          <w:rFonts w:ascii="Times New Roman" w:hAnsi="Times New Roman" w:cs="Times New Roman"/>
          <w:sz w:val="28"/>
          <w:szCs w:val="28"/>
        </w:rPr>
        <w:t>включаючи випадки</w:t>
      </w:r>
      <w:r w:rsidR="0018525F" w:rsidRPr="00996711">
        <w:rPr>
          <w:rFonts w:ascii="Times New Roman" w:hAnsi="Times New Roman" w:cs="Times New Roman"/>
          <w:sz w:val="28"/>
          <w:szCs w:val="28"/>
        </w:rPr>
        <w:t xml:space="preserve"> ненадання учасником клірингу розпорядження на списання</w:t>
      </w:r>
      <w:r w:rsidR="009537E9" w:rsidRPr="00996711">
        <w:rPr>
          <w:rFonts w:ascii="Times New Roman" w:hAnsi="Times New Roman" w:cs="Times New Roman"/>
          <w:sz w:val="28"/>
          <w:szCs w:val="28"/>
        </w:rPr>
        <w:t xml:space="preserve"> таких</w:t>
      </w:r>
      <w:r w:rsidR="0018525F" w:rsidRPr="00996711">
        <w:rPr>
          <w:rFonts w:ascii="Times New Roman" w:hAnsi="Times New Roman" w:cs="Times New Roman"/>
          <w:sz w:val="28"/>
          <w:szCs w:val="28"/>
        </w:rPr>
        <w:t xml:space="preserve"> </w:t>
      </w:r>
      <w:r w:rsidR="00830736" w:rsidRPr="00996711">
        <w:rPr>
          <w:rFonts w:ascii="Times New Roman" w:hAnsi="Times New Roman" w:cs="Times New Roman"/>
          <w:sz w:val="28"/>
          <w:szCs w:val="28"/>
        </w:rPr>
        <w:t xml:space="preserve">прав та зобов’язань щодо </w:t>
      </w:r>
      <w:r w:rsidR="0018525F" w:rsidRPr="00996711">
        <w:rPr>
          <w:rFonts w:ascii="Times New Roman" w:hAnsi="Times New Roman" w:cs="Times New Roman"/>
          <w:sz w:val="28"/>
          <w:szCs w:val="28"/>
        </w:rPr>
        <w:t>коштів.</w:t>
      </w:r>
    </w:p>
    <w:p w:rsidR="00832ADE" w:rsidRPr="00996711" w:rsidRDefault="00832ADE" w:rsidP="002B4080">
      <w:pPr>
        <w:ind w:firstLine="709"/>
        <w:jc w:val="both"/>
        <w:rPr>
          <w:rFonts w:ascii="Times New Roman" w:hAnsi="Times New Roman" w:cs="Times New Roman"/>
          <w:sz w:val="28"/>
          <w:szCs w:val="28"/>
        </w:rPr>
      </w:pPr>
    </w:p>
    <w:sectPr w:rsidR="00832ADE" w:rsidRPr="00996711" w:rsidSect="00FC096A">
      <w:headerReference w:type="default" r:id="rId12"/>
      <w:headerReference w:type="first" r:id="rId13"/>
      <w:pgSz w:w="11906" w:h="16838" w:code="9"/>
      <w:pgMar w:top="567" w:right="567" w:bottom="1701"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35F" w:rsidRDefault="00F4735F" w:rsidP="002964BA">
      <w:pPr>
        <w:spacing w:after="0" w:line="240" w:lineRule="auto"/>
      </w:pPr>
      <w:r>
        <w:separator/>
      </w:r>
    </w:p>
  </w:endnote>
  <w:endnote w:type="continuationSeparator" w:id="0">
    <w:p w:rsidR="00F4735F" w:rsidRDefault="00F4735F" w:rsidP="0029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35F" w:rsidRDefault="00F4735F" w:rsidP="002964BA">
      <w:pPr>
        <w:spacing w:after="0" w:line="240" w:lineRule="auto"/>
      </w:pPr>
      <w:r>
        <w:separator/>
      </w:r>
    </w:p>
  </w:footnote>
  <w:footnote w:type="continuationSeparator" w:id="0">
    <w:p w:rsidR="00F4735F" w:rsidRDefault="00F4735F" w:rsidP="00296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392476"/>
      <w:docPartObj>
        <w:docPartGallery w:val="Page Numbers (Top of Page)"/>
        <w:docPartUnique/>
      </w:docPartObj>
    </w:sdtPr>
    <w:sdtEndPr>
      <w:rPr>
        <w:rFonts w:ascii="Times New Roman" w:hAnsi="Times New Roman" w:cs="Times New Roman"/>
        <w:sz w:val="28"/>
        <w:szCs w:val="28"/>
      </w:rPr>
    </w:sdtEndPr>
    <w:sdtContent>
      <w:p w:rsidR="00D24F86" w:rsidRPr="002964BA" w:rsidRDefault="00D24F86">
        <w:pPr>
          <w:pStyle w:val="ad"/>
          <w:jc w:val="center"/>
          <w:rPr>
            <w:rFonts w:ascii="Times New Roman" w:hAnsi="Times New Roman" w:cs="Times New Roman"/>
            <w:sz w:val="28"/>
            <w:szCs w:val="28"/>
          </w:rPr>
        </w:pPr>
        <w:r w:rsidRPr="002964BA">
          <w:rPr>
            <w:rFonts w:ascii="Times New Roman" w:hAnsi="Times New Roman" w:cs="Times New Roman"/>
            <w:sz w:val="28"/>
            <w:szCs w:val="28"/>
          </w:rPr>
          <w:fldChar w:fldCharType="begin"/>
        </w:r>
        <w:r w:rsidRPr="002964BA">
          <w:rPr>
            <w:rFonts w:ascii="Times New Roman" w:hAnsi="Times New Roman" w:cs="Times New Roman"/>
            <w:sz w:val="28"/>
            <w:szCs w:val="28"/>
          </w:rPr>
          <w:instrText>PAGE   \* MERGEFORMAT</w:instrText>
        </w:r>
        <w:r w:rsidRPr="002964BA">
          <w:rPr>
            <w:rFonts w:ascii="Times New Roman" w:hAnsi="Times New Roman" w:cs="Times New Roman"/>
            <w:sz w:val="28"/>
            <w:szCs w:val="28"/>
          </w:rPr>
          <w:fldChar w:fldCharType="separate"/>
        </w:r>
        <w:r w:rsidR="0042635D">
          <w:rPr>
            <w:rFonts w:ascii="Times New Roman" w:hAnsi="Times New Roman" w:cs="Times New Roman"/>
            <w:noProof/>
            <w:sz w:val="28"/>
            <w:szCs w:val="28"/>
          </w:rPr>
          <w:t>1</w:t>
        </w:r>
        <w:r w:rsidRPr="002964BA">
          <w:rPr>
            <w:rFonts w:ascii="Times New Roman" w:hAnsi="Times New Roman" w:cs="Times New Roman"/>
            <w:sz w:val="28"/>
            <w:szCs w:val="28"/>
          </w:rPr>
          <w:fldChar w:fldCharType="end"/>
        </w:r>
      </w:p>
    </w:sdtContent>
  </w:sdt>
  <w:p w:rsidR="00D24F86" w:rsidRDefault="00D24F86">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64A" w:rsidRPr="00B4364A" w:rsidRDefault="00B4364A" w:rsidP="00B4364A">
    <w:pPr>
      <w:pStyle w:val="ad"/>
      <w:jc w:val="right"/>
      <w:rPr>
        <w:rFonts w:ascii="Times New Roman" w:hAnsi="Times New Roman" w:cs="Times New Roman"/>
        <w:sz w:val="28"/>
        <w:szCs w:val="28"/>
      </w:rPr>
    </w:pPr>
    <w:r w:rsidRPr="00B4364A">
      <w:rPr>
        <w:rFonts w:ascii="Times New Roman" w:hAnsi="Times New Roman" w:cs="Times New Roman"/>
        <w:sz w:val="28"/>
        <w:szCs w:val="28"/>
      </w:rPr>
      <w:t>Офіційно опубліковано 03.12.2021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547637"/>
      <w:docPartObj>
        <w:docPartGallery w:val="Page Numbers (Top of Page)"/>
        <w:docPartUnique/>
      </w:docPartObj>
    </w:sdtPr>
    <w:sdtEndPr>
      <w:rPr>
        <w:rFonts w:ascii="Times New Roman" w:hAnsi="Times New Roman" w:cs="Times New Roman"/>
        <w:sz w:val="28"/>
        <w:szCs w:val="28"/>
      </w:rPr>
    </w:sdtEndPr>
    <w:sdtContent>
      <w:p w:rsidR="0042635D" w:rsidRPr="002964BA" w:rsidRDefault="0042635D">
        <w:pPr>
          <w:pStyle w:val="ad"/>
          <w:jc w:val="center"/>
          <w:rPr>
            <w:rFonts w:ascii="Times New Roman" w:hAnsi="Times New Roman" w:cs="Times New Roman"/>
            <w:sz w:val="28"/>
            <w:szCs w:val="28"/>
          </w:rPr>
        </w:pPr>
        <w:r w:rsidRPr="002964BA">
          <w:rPr>
            <w:rFonts w:ascii="Times New Roman" w:hAnsi="Times New Roman" w:cs="Times New Roman"/>
            <w:sz w:val="28"/>
            <w:szCs w:val="28"/>
          </w:rPr>
          <w:fldChar w:fldCharType="begin"/>
        </w:r>
        <w:r w:rsidRPr="002964BA">
          <w:rPr>
            <w:rFonts w:ascii="Times New Roman" w:hAnsi="Times New Roman" w:cs="Times New Roman"/>
            <w:sz w:val="28"/>
            <w:szCs w:val="28"/>
          </w:rPr>
          <w:instrText>PAGE   \* MERGEFORMAT</w:instrText>
        </w:r>
        <w:r w:rsidRPr="002964BA">
          <w:rPr>
            <w:rFonts w:ascii="Times New Roman" w:hAnsi="Times New Roman" w:cs="Times New Roman"/>
            <w:sz w:val="28"/>
            <w:szCs w:val="28"/>
          </w:rPr>
          <w:fldChar w:fldCharType="separate"/>
        </w:r>
        <w:r w:rsidR="00B4364A">
          <w:rPr>
            <w:rFonts w:ascii="Times New Roman" w:hAnsi="Times New Roman" w:cs="Times New Roman"/>
            <w:noProof/>
            <w:sz w:val="28"/>
            <w:szCs w:val="28"/>
          </w:rPr>
          <w:t>2</w:t>
        </w:r>
        <w:r w:rsidRPr="002964BA">
          <w:rPr>
            <w:rFonts w:ascii="Times New Roman" w:hAnsi="Times New Roman" w:cs="Times New Roman"/>
            <w:sz w:val="28"/>
            <w:szCs w:val="28"/>
          </w:rPr>
          <w:fldChar w:fldCharType="end"/>
        </w:r>
      </w:p>
    </w:sdtContent>
  </w:sdt>
  <w:p w:rsidR="0042635D" w:rsidRDefault="0042635D">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720789"/>
      <w:docPartObj>
        <w:docPartGallery w:val="Page Numbers (Top of Page)"/>
        <w:docPartUnique/>
      </w:docPartObj>
    </w:sdtPr>
    <w:sdtEndPr>
      <w:rPr>
        <w:rFonts w:ascii="Times New Roman" w:hAnsi="Times New Roman" w:cs="Times New Roman"/>
        <w:sz w:val="28"/>
        <w:szCs w:val="28"/>
      </w:rPr>
    </w:sdtEndPr>
    <w:sdtContent>
      <w:p w:rsidR="0042635D" w:rsidRPr="00DC537C" w:rsidRDefault="00B4364A">
        <w:pPr>
          <w:pStyle w:val="ad"/>
          <w:jc w:val="center"/>
          <w:rPr>
            <w:rFonts w:ascii="Times New Roman" w:hAnsi="Times New Roman" w:cs="Times New Roman"/>
            <w:sz w:val="28"/>
            <w:szCs w:val="28"/>
          </w:rPr>
        </w:pPr>
      </w:p>
    </w:sdtContent>
  </w:sdt>
  <w:p w:rsidR="007B663F" w:rsidRDefault="007B663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379D"/>
    <w:multiLevelType w:val="hybridMultilevel"/>
    <w:tmpl w:val="4A1C853E"/>
    <w:lvl w:ilvl="0" w:tplc="75C0DD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0C61D72"/>
    <w:multiLevelType w:val="hybridMultilevel"/>
    <w:tmpl w:val="3F1C70FE"/>
    <w:lvl w:ilvl="0" w:tplc="A718E016">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11910B64"/>
    <w:multiLevelType w:val="hybridMultilevel"/>
    <w:tmpl w:val="EAF430BA"/>
    <w:lvl w:ilvl="0" w:tplc="A828A368">
      <w:start w:val="1"/>
      <w:numFmt w:val="decimal"/>
      <w:lvlText w:val="%1)"/>
      <w:lvlJc w:val="left"/>
      <w:pPr>
        <w:ind w:left="1069" w:hanging="360"/>
      </w:pPr>
      <w:rPr>
        <w:rFonts w:ascii="Times New Roman" w:eastAsiaTheme="minorHAnsi"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1224BEF"/>
    <w:multiLevelType w:val="hybridMultilevel"/>
    <w:tmpl w:val="308CF81C"/>
    <w:lvl w:ilvl="0" w:tplc="3550CE2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5D4002B"/>
    <w:multiLevelType w:val="hybridMultilevel"/>
    <w:tmpl w:val="E9E45F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34A6161"/>
    <w:multiLevelType w:val="multilevel"/>
    <w:tmpl w:val="8320DAA8"/>
    <w:lvl w:ilvl="0">
      <w:start w:val="1"/>
      <w:numFmt w:val="decimal"/>
      <w:lvlText w:val="%1."/>
      <w:lvlJc w:val="left"/>
      <w:pPr>
        <w:ind w:left="2678" w:hanging="1260"/>
      </w:pPr>
    </w:lvl>
    <w:lvl w:ilvl="1">
      <w:start w:val="1"/>
      <w:numFmt w:val="decimal"/>
      <w:lvlText w:val="%1.%2."/>
      <w:lvlJc w:val="left"/>
      <w:pPr>
        <w:ind w:left="2537" w:hanging="1260"/>
      </w:pPr>
      <w:rPr>
        <w:rFonts w:ascii="Times New Roman" w:hAnsi="Times New Roman" w:cs="Times New Roman" w:hint="default"/>
        <w:sz w:val="24"/>
        <w:szCs w:val="24"/>
      </w:rPr>
    </w:lvl>
    <w:lvl w:ilvl="2">
      <w:start w:val="1"/>
      <w:numFmt w:val="decimal"/>
      <w:lvlText w:val="%1.%2.%3."/>
      <w:lvlJc w:val="left"/>
      <w:pPr>
        <w:ind w:left="1970" w:hanging="1260"/>
      </w:pPr>
      <w:rPr>
        <w:rFonts w:ascii="Times New Roman" w:hAnsi="Times New Roman" w:cs="Times New Roman" w:hint="default"/>
        <w:sz w:val="24"/>
        <w:szCs w:val="24"/>
      </w:rPr>
    </w:lvl>
    <w:lvl w:ilvl="3">
      <w:start w:val="1"/>
      <w:numFmt w:val="decimal"/>
      <w:lvlText w:val="%1.%2.%3.%4."/>
      <w:lvlJc w:val="left"/>
      <w:pPr>
        <w:ind w:left="3387" w:hanging="1260"/>
      </w:pPr>
      <w:rPr>
        <w:rFonts w:ascii="Times New Roman" w:hAnsi="Times New Roman" w:cs="Times New Roman" w:hint="default"/>
        <w:sz w:val="24"/>
        <w:szCs w:val="24"/>
      </w:r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 w15:restartNumberingAfterBreak="0">
    <w:nsid w:val="41CD0E77"/>
    <w:multiLevelType w:val="hybridMultilevel"/>
    <w:tmpl w:val="447A59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C6E4B5F"/>
    <w:multiLevelType w:val="multilevel"/>
    <w:tmpl w:val="63F4199E"/>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55667D3B"/>
    <w:multiLevelType w:val="multilevel"/>
    <w:tmpl w:val="E7042152"/>
    <w:lvl w:ilvl="0">
      <w:start w:val="10"/>
      <w:numFmt w:val="decimal"/>
      <w:lvlText w:val="%1."/>
      <w:lvlJc w:val="left"/>
      <w:pPr>
        <w:ind w:left="540" w:hanging="540"/>
      </w:pPr>
      <w:rPr>
        <w:rFonts w:hint="default"/>
      </w:rPr>
    </w:lvl>
    <w:lvl w:ilvl="1">
      <w:start w:val="1"/>
      <w:numFmt w:val="decimal"/>
      <w:lvlText w:val="%1.%2."/>
      <w:lvlJc w:val="left"/>
      <w:pPr>
        <w:ind w:left="4935"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 w:numId="2">
    <w:abstractNumId w:val="5"/>
  </w:num>
  <w:num w:numId="3">
    <w:abstractNumId w:val="7"/>
  </w:num>
  <w:num w:numId="4">
    <w:abstractNumId w:val="8"/>
  </w:num>
  <w:num w:numId="5">
    <w:abstractNumId w:val="2"/>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28"/>
    <w:rsid w:val="00006317"/>
    <w:rsid w:val="000069ED"/>
    <w:rsid w:val="00006FC7"/>
    <w:rsid w:val="00007AD0"/>
    <w:rsid w:val="00012190"/>
    <w:rsid w:val="000157ED"/>
    <w:rsid w:val="00016140"/>
    <w:rsid w:val="00030632"/>
    <w:rsid w:val="00033B70"/>
    <w:rsid w:val="000343A0"/>
    <w:rsid w:val="00035E13"/>
    <w:rsid w:val="00045D4F"/>
    <w:rsid w:val="00051FE9"/>
    <w:rsid w:val="00054091"/>
    <w:rsid w:val="00057EBB"/>
    <w:rsid w:val="00060BDF"/>
    <w:rsid w:val="00061799"/>
    <w:rsid w:val="00064DAE"/>
    <w:rsid w:val="00064F38"/>
    <w:rsid w:val="000669DF"/>
    <w:rsid w:val="0006755B"/>
    <w:rsid w:val="0007625E"/>
    <w:rsid w:val="000800DF"/>
    <w:rsid w:val="00082308"/>
    <w:rsid w:val="00085960"/>
    <w:rsid w:val="000910B2"/>
    <w:rsid w:val="00091848"/>
    <w:rsid w:val="00092A8E"/>
    <w:rsid w:val="00094FA5"/>
    <w:rsid w:val="000A3F31"/>
    <w:rsid w:val="000A4DC6"/>
    <w:rsid w:val="000A716E"/>
    <w:rsid w:val="000B77B5"/>
    <w:rsid w:val="000C0966"/>
    <w:rsid w:val="000C0ED2"/>
    <w:rsid w:val="000C1BB0"/>
    <w:rsid w:val="000D0A38"/>
    <w:rsid w:val="000D6E2D"/>
    <w:rsid w:val="000D7D75"/>
    <w:rsid w:val="000E043C"/>
    <w:rsid w:val="000E7C97"/>
    <w:rsid w:val="000F11CB"/>
    <w:rsid w:val="000F4706"/>
    <w:rsid w:val="000F5ABD"/>
    <w:rsid w:val="000F62B0"/>
    <w:rsid w:val="000F705F"/>
    <w:rsid w:val="00100BB7"/>
    <w:rsid w:val="00101B7B"/>
    <w:rsid w:val="00103375"/>
    <w:rsid w:val="0010793F"/>
    <w:rsid w:val="00114D77"/>
    <w:rsid w:val="00116030"/>
    <w:rsid w:val="00126970"/>
    <w:rsid w:val="001342F8"/>
    <w:rsid w:val="001362B3"/>
    <w:rsid w:val="00137C12"/>
    <w:rsid w:val="0014092A"/>
    <w:rsid w:val="001416A6"/>
    <w:rsid w:val="001430B9"/>
    <w:rsid w:val="001453D0"/>
    <w:rsid w:val="00146EDF"/>
    <w:rsid w:val="00147AB7"/>
    <w:rsid w:val="001524A5"/>
    <w:rsid w:val="0016412B"/>
    <w:rsid w:val="001661E2"/>
    <w:rsid w:val="00167BB9"/>
    <w:rsid w:val="00170A51"/>
    <w:rsid w:val="00172FB0"/>
    <w:rsid w:val="0017636B"/>
    <w:rsid w:val="0018525F"/>
    <w:rsid w:val="00185E8F"/>
    <w:rsid w:val="00191042"/>
    <w:rsid w:val="001932EE"/>
    <w:rsid w:val="001939C5"/>
    <w:rsid w:val="001966BD"/>
    <w:rsid w:val="00197564"/>
    <w:rsid w:val="001A3785"/>
    <w:rsid w:val="001A4FB3"/>
    <w:rsid w:val="001A6256"/>
    <w:rsid w:val="001A66AE"/>
    <w:rsid w:val="001B1453"/>
    <w:rsid w:val="001B1B5E"/>
    <w:rsid w:val="001B2695"/>
    <w:rsid w:val="001B549E"/>
    <w:rsid w:val="001B5731"/>
    <w:rsid w:val="001B77FD"/>
    <w:rsid w:val="001C3722"/>
    <w:rsid w:val="001C3DFA"/>
    <w:rsid w:val="001C4D67"/>
    <w:rsid w:val="001C6E08"/>
    <w:rsid w:val="001D1793"/>
    <w:rsid w:val="001D18C0"/>
    <w:rsid w:val="001D627A"/>
    <w:rsid w:val="001D632C"/>
    <w:rsid w:val="001D790E"/>
    <w:rsid w:val="001E3EAC"/>
    <w:rsid w:val="001E69D5"/>
    <w:rsid w:val="001E77D6"/>
    <w:rsid w:val="001F0AB6"/>
    <w:rsid w:val="001F0D6E"/>
    <w:rsid w:val="001F1421"/>
    <w:rsid w:val="001F24C2"/>
    <w:rsid w:val="001F558B"/>
    <w:rsid w:val="001F7136"/>
    <w:rsid w:val="00203166"/>
    <w:rsid w:val="00211C84"/>
    <w:rsid w:val="0021273B"/>
    <w:rsid w:val="00213FCA"/>
    <w:rsid w:val="00216033"/>
    <w:rsid w:val="00217D7D"/>
    <w:rsid w:val="0022051A"/>
    <w:rsid w:val="00233F9F"/>
    <w:rsid w:val="002368FA"/>
    <w:rsid w:val="00236CBA"/>
    <w:rsid w:val="00241A55"/>
    <w:rsid w:val="00243CF2"/>
    <w:rsid w:val="00246880"/>
    <w:rsid w:val="00246994"/>
    <w:rsid w:val="00247BA4"/>
    <w:rsid w:val="002511FD"/>
    <w:rsid w:val="00252309"/>
    <w:rsid w:val="00256900"/>
    <w:rsid w:val="0026116A"/>
    <w:rsid w:val="0026213F"/>
    <w:rsid w:val="002624CF"/>
    <w:rsid w:val="00264A86"/>
    <w:rsid w:val="002740DC"/>
    <w:rsid w:val="002744D7"/>
    <w:rsid w:val="002772E7"/>
    <w:rsid w:val="00280690"/>
    <w:rsid w:val="002818ED"/>
    <w:rsid w:val="00282410"/>
    <w:rsid w:val="00285A40"/>
    <w:rsid w:val="002924EF"/>
    <w:rsid w:val="002964BA"/>
    <w:rsid w:val="002A1071"/>
    <w:rsid w:val="002A1793"/>
    <w:rsid w:val="002A1B0F"/>
    <w:rsid w:val="002A52A7"/>
    <w:rsid w:val="002A7196"/>
    <w:rsid w:val="002B4080"/>
    <w:rsid w:val="002B5ED3"/>
    <w:rsid w:val="002B78CE"/>
    <w:rsid w:val="002C68E2"/>
    <w:rsid w:val="002C69D0"/>
    <w:rsid w:val="002D0A0C"/>
    <w:rsid w:val="002D0CCF"/>
    <w:rsid w:val="002D72EC"/>
    <w:rsid w:val="002E01C0"/>
    <w:rsid w:val="002E04CD"/>
    <w:rsid w:val="002E05C2"/>
    <w:rsid w:val="002E1D6D"/>
    <w:rsid w:val="002E245A"/>
    <w:rsid w:val="002E7084"/>
    <w:rsid w:val="002E7245"/>
    <w:rsid w:val="002E7861"/>
    <w:rsid w:val="002F2C07"/>
    <w:rsid w:val="002F6FD1"/>
    <w:rsid w:val="003011E3"/>
    <w:rsid w:val="0030405E"/>
    <w:rsid w:val="0030585E"/>
    <w:rsid w:val="00310B16"/>
    <w:rsid w:val="00312474"/>
    <w:rsid w:val="00313720"/>
    <w:rsid w:val="00331616"/>
    <w:rsid w:val="00332D50"/>
    <w:rsid w:val="00346751"/>
    <w:rsid w:val="00346AF3"/>
    <w:rsid w:val="00350395"/>
    <w:rsid w:val="003522E6"/>
    <w:rsid w:val="0035488E"/>
    <w:rsid w:val="003650D6"/>
    <w:rsid w:val="00367B11"/>
    <w:rsid w:val="00371C3D"/>
    <w:rsid w:val="0037211D"/>
    <w:rsid w:val="0037355E"/>
    <w:rsid w:val="00375453"/>
    <w:rsid w:val="00375AEA"/>
    <w:rsid w:val="00376D77"/>
    <w:rsid w:val="00382FAA"/>
    <w:rsid w:val="00395462"/>
    <w:rsid w:val="00395954"/>
    <w:rsid w:val="00395FB3"/>
    <w:rsid w:val="003A6E92"/>
    <w:rsid w:val="003B182D"/>
    <w:rsid w:val="003B1DB9"/>
    <w:rsid w:val="003B2701"/>
    <w:rsid w:val="003C1D84"/>
    <w:rsid w:val="003D1491"/>
    <w:rsid w:val="003D3133"/>
    <w:rsid w:val="003D606A"/>
    <w:rsid w:val="003D6D38"/>
    <w:rsid w:val="003D77F4"/>
    <w:rsid w:val="003E08EB"/>
    <w:rsid w:val="003E7DB4"/>
    <w:rsid w:val="003F1A14"/>
    <w:rsid w:val="003F2538"/>
    <w:rsid w:val="003F2595"/>
    <w:rsid w:val="00401202"/>
    <w:rsid w:val="00401457"/>
    <w:rsid w:val="00407AC9"/>
    <w:rsid w:val="00407C4C"/>
    <w:rsid w:val="00410804"/>
    <w:rsid w:val="00411705"/>
    <w:rsid w:val="00411D4A"/>
    <w:rsid w:val="00413554"/>
    <w:rsid w:val="004145FD"/>
    <w:rsid w:val="00415F58"/>
    <w:rsid w:val="00416135"/>
    <w:rsid w:val="00420412"/>
    <w:rsid w:val="00421371"/>
    <w:rsid w:val="00423800"/>
    <w:rsid w:val="00423949"/>
    <w:rsid w:val="0042635D"/>
    <w:rsid w:val="0043056E"/>
    <w:rsid w:val="00430CF3"/>
    <w:rsid w:val="0043170F"/>
    <w:rsid w:val="00432CD9"/>
    <w:rsid w:val="004354D1"/>
    <w:rsid w:val="00437A32"/>
    <w:rsid w:val="00440806"/>
    <w:rsid w:val="00444674"/>
    <w:rsid w:val="0044502E"/>
    <w:rsid w:val="0044710E"/>
    <w:rsid w:val="00450DC6"/>
    <w:rsid w:val="00453674"/>
    <w:rsid w:val="00456413"/>
    <w:rsid w:val="00461230"/>
    <w:rsid w:val="00465538"/>
    <w:rsid w:val="00465773"/>
    <w:rsid w:val="004728F5"/>
    <w:rsid w:val="004813D7"/>
    <w:rsid w:val="00482C6A"/>
    <w:rsid w:val="00483E1F"/>
    <w:rsid w:val="00485E3A"/>
    <w:rsid w:val="00486733"/>
    <w:rsid w:val="00486C29"/>
    <w:rsid w:val="0049149B"/>
    <w:rsid w:val="00492CBB"/>
    <w:rsid w:val="00495399"/>
    <w:rsid w:val="00496422"/>
    <w:rsid w:val="004A0754"/>
    <w:rsid w:val="004A0E5D"/>
    <w:rsid w:val="004A2F68"/>
    <w:rsid w:val="004A37D3"/>
    <w:rsid w:val="004B12B6"/>
    <w:rsid w:val="004B1ACE"/>
    <w:rsid w:val="004B1FEE"/>
    <w:rsid w:val="004B251F"/>
    <w:rsid w:val="004B5E55"/>
    <w:rsid w:val="004B6CA8"/>
    <w:rsid w:val="004B77A8"/>
    <w:rsid w:val="004C5E05"/>
    <w:rsid w:val="004C6139"/>
    <w:rsid w:val="004C6A73"/>
    <w:rsid w:val="004D2AEE"/>
    <w:rsid w:val="004D42B2"/>
    <w:rsid w:val="004D6045"/>
    <w:rsid w:val="004D6393"/>
    <w:rsid w:val="004E3224"/>
    <w:rsid w:val="004E39B0"/>
    <w:rsid w:val="004F49D9"/>
    <w:rsid w:val="004F5C0E"/>
    <w:rsid w:val="004F64A6"/>
    <w:rsid w:val="0050213F"/>
    <w:rsid w:val="00506044"/>
    <w:rsid w:val="005146A1"/>
    <w:rsid w:val="00523463"/>
    <w:rsid w:val="00531CCE"/>
    <w:rsid w:val="00533647"/>
    <w:rsid w:val="00544C85"/>
    <w:rsid w:val="00546727"/>
    <w:rsid w:val="0055058F"/>
    <w:rsid w:val="005548F4"/>
    <w:rsid w:val="005608C2"/>
    <w:rsid w:val="00563029"/>
    <w:rsid w:val="00565618"/>
    <w:rsid w:val="0056729D"/>
    <w:rsid w:val="005678D3"/>
    <w:rsid w:val="00571BCF"/>
    <w:rsid w:val="00573A9E"/>
    <w:rsid w:val="0058076B"/>
    <w:rsid w:val="005813B3"/>
    <w:rsid w:val="005826DC"/>
    <w:rsid w:val="0058566E"/>
    <w:rsid w:val="00585FC0"/>
    <w:rsid w:val="00591931"/>
    <w:rsid w:val="00594AF1"/>
    <w:rsid w:val="00596CA0"/>
    <w:rsid w:val="00597868"/>
    <w:rsid w:val="005A25BC"/>
    <w:rsid w:val="005A3D19"/>
    <w:rsid w:val="005B09E3"/>
    <w:rsid w:val="005B2879"/>
    <w:rsid w:val="005B7096"/>
    <w:rsid w:val="005C170A"/>
    <w:rsid w:val="005C3A23"/>
    <w:rsid w:val="005C5244"/>
    <w:rsid w:val="005F494E"/>
    <w:rsid w:val="005F5F12"/>
    <w:rsid w:val="00601473"/>
    <w:rsid w:val="00601552"/>
    <w:rsid w:val="006017B6"/>
    <w:rsid w:val="00607AE7"/>
    <w:rsid w:val="0061056E"/>
    <w:rsid w:val="0061173E"/>
    <w:rsid w:val="006140E6"/>
    <w:rsid w:val="0061429B"/>
    <w:rsid w:val="006209CD"/>
    <w:rsid w:val="00634434"/>
    <w:rsid w:val="006361EB"/>
    <w:rsid w:val="006372FC"/>
    <w:rsid w:val="00645C07"/>
    <w:rsid w:val="00646776"/>
    <w:rsid w:val="006511CA"/>
    <w:rsid w:val="00651EE2"/>
    <w:rsid w:val="00652D17"/>
    <w:rsid w:val="00657DFE"/>
    <w:rsid w:val="00657EBC"/>
    <w:rsid w:val="00665A26"/>
    <w:rsid w:val="006708B6"/>
    <w:rsid w:val="00680A69"/>
    <w:rsid w:val="0069249B"/>
    <w:rsid w:val="006A434F"/>
    <w:rsid w:val="006A58DA"/>
    <w:rsid w:val="006B127B"/>
    <w:rsid w:val="006B1D25"/>
    <w:rsid w:val="006B1D84"/>
    <w:rsid w:val="006C1842"/>
    <w:rsid w:val="006C757D"/>
    <w:rsid w:val="006D2BA5"/>
    <w:rsid w:val="006D43A5"/>
    <w:rsid w:val="006D5A45"/>
    <w:rsid w:val="006E0141"/>
    <w:rsid w:val="006E1A03"/>
    <w:rsid w:val="006E75AC"/>
    <w:rsid w:val="006E7C3F"/>
    <w:rsid w:val="006F0813"/>
    <w:rsid w:val="0070368B"/>
    <w:rsid w:val="00704B2B"/>
    <w:rsid w:val="0070606E"/>
    <w:rsid w:val="00712037"/>
    <w:rsid w:val="00713F1C"/>
    <w:rsid w:val="007229C6"/>
    <w:rsid w:val="00722B03"/>
    <w:rsid w:val="00723A25"/>
    <w:rsid w:val="00726196"/>
    <w:rsid w:val="00727482"/>
    <w:rsid w:val="0073295B"/>
    <w:rsid w:val="00736B72"/>
    <w:rsid w:val="00736CF5"/>
    <w:rsid w:val="00741591"/>
    <w:rsid w:val="00746CBA"/>
    <w:rsid w:val="00750037"/>
    <w:rsid w:val="00750872"/>
    <w:rsid w:val="007514A8"/>
    <w:rsid w:val="007553CB"/>
    <w:rsid w:val="007646D5"/>
    <w:rsid w:val="00773002"/>
    <w:rsid w:val="007761E6"/>
    <w:rsid w:val="0078003D"/>
    <w:rsid w:val="0078209D"/>
    <w:rsid w:val="00782CA9"/>
    <w:rsid w:val="00785E3F"/>
    <w:rsid w:val="00786D11"/>
    <w:rsid w:val="00791639"/>
    <w:rsid w:val="0079442E"/>
    <w:rsid w:val="00795394"/>
    <w:rsid w:val="00795E43"/>
    <w:rsid w:val="007A10E7"/>
    <w:rsid w:val="007A36BD"/>
    <w:rsid w:val="007A7C37"/>
    <w:rsid w:val="007B5668"/>
    <w:rsid w:val="007B663F"/>
    <w:rsid w:val="007C1850"/>
    <w:rsid w:val="007C68CA"/>
    <w:rsid w:val="007D0183"/>
    <w:rsid w:val="007D6656"/>
    <w:rsid w:val="007E1FC6"/>
    <w:rsid w:val="007E6F22"/>
    <w:rsid w:val="007F2952"/>
    <w:rsid w:val="007F5600"/>
    <w:rsid w:val="007F6C39"/>
    <w:rsid w:val="008008E9"/>
    <w:rsid w:val="00800F09"/>
    <w:rsid w:val="0080266F"/>
    <w:rsid w:val="008028BC"/>
    <w:rsid w:val="0081064A"/>
    <w:rsid w:val="008146BF"/>
    <w:rsid w:val="00821604"/>
    <w:rsid w:val="00824B23"/>
    <w:rsid w:val="00827571"/>
    <w:rsid w:val="00830736"/>
    <w:rsid w:val="00832ADE"/>
    <w:rsid w:val="00832EB8"/>
    <w:rsid w:val="00840A3F"/>
    <w:rsid w:val="00847E2D"/>
    <w:rsid w:val="0085038F"/>
    <w:rsid w:val="00853C50"/>
    <w:rsid w:val="00856A73"/>
    <w:rsid w:val="00856E02"/>
    <w:rsid w:val="008578D1"/>
    <w:rsid w:val="0086251C"/>
    <w:rsid w:val="00864543"/>
    <w:rsid w:val="008664BD"/>
    <w:rsid w:val="00873BFA"/>
    <w:rsid w:val="008742AE"/>
    <w:rsid w:val="00874346"/>
    <w:rsid w:val="008846A1"/>
    <w:rsid w:val="00884FE9"/>
    <w:rsid w:val="008A2EFF"/>
    <w:rsid w:val="008B144A"/>
    <w:rsid w:val="008B346E"/>
    <w:rsid w:val="008B4209"/>
    <w:rsid w:val="008C3589"/>
    <w:rsid w:val="008C3DB1"/>
    <w:rsid w:val="008C51F6"/>
    <w:rsid w:val="008C63B3"/>
    <w:rsid w:val="008C64D9"/>
    <w:rsid w:val="008C6A8E"/>
    <w:rsid w:val="008D1F07"/>
    <w:rsid w:val="008D41EA"/>
    <w:rsid w:val="008D4C88"/>
    <w:rsid w:val="008D51E5"/>
    <w:rsid w:val="008D742D"/>
    <w:rsid w:val="008E2C64"/>
    <w:rsid w:val="008E30ED"/>
    <w:rsid w:val="008E31D8"/>
    <w:rsid w:val="008E3FE0"/>
    <w:rsid w:val="008F2C3A"/>
    <w:rsid w:val="008F3BFA"/>
    <w:rsid w:val="008F4EF0"/>
    <w:rsid w:val="009065FD"/>
    <w:rsid w:val="0091246B"/>
    <w:rsid w:val="00915B4A"/>
    <w:rsid w:val="009177ED"/>
    <w:rsid w:val="00917BA2"/>
    <w:rsid w:val="00917DC5"/>
    <w:rsid w:val="00927083"/>
    <w:rsid w:val="0092788F"/>
    <w:rsid w:val="00931FD0"/>
    <w:rsid w:val="00932419"/>
    <w:rsid w:val="00937256"/>
    <w:rsid w:val="00940487"/>
    <w:rsid w:val="0094282C"/>
    <w:rsid w:val="00943065"/>
    <w:rsid w:val="0094457F"/>
    <w:rsid w:val="00952DCD"/>
    <w:rsid w:val="009537E9"/>
    <w:rsid w:val="00954A02"/>
    <w:rsid w:val="00957646"/>
    <w:rsid w:val="00963346"/>
    <w:rsid w:val="00973DA4"/>
    <w:rsid w:val="0097750B"/>
    <w:rsid w:val="00981A1D"/>
    <w:rsid w:val="009858FF"/>
    <w:rsid w:val="0098650D"/>
    <w:rsid w:val="00991F41"/>
    <w:rsid w:val="00994862"/>
    <w:rsid w:val="00996711"/>
    <w:rsid w:val="00996BC8"/>
    <w:rsid w:val="009B2BF2"/>
    <w:rsid w:val="009C4C67"/>
    <w:rsid w:val="009D1216"/>
    <w:rsid w:val="009E0291"/>
    <w:rsid w:val="009E1312"/>
    <w:rsid w:val="009E1734"/>
    <w:rsid w:val="009E2AF4"/>
    <w:rsid w:val="009E3CA6"/>
    <w:rsid w:val="009E41A4"/>
    <w:rsid w:val="009E5D1D"/>
    <w:rsid w:val="00A009A0"/>
    <w:rsid w:val="00A059D1"/>
    <w:rsid w:val="00A07610"/>
    <w:rsid w:val="00A07D85"/>
    <w:rsid w:val="00A17525"/>
    <w:rsid w:val="00A24625"/>
    <w:rsid w:val="00A24704"/>
    <w:rsid w:val="00A27838"/>
    <w:rsid w:val="00A31030"/>
    <w:rsid w:val="00A350CB"/>
    <w:rsid w:val="00A3562D"/>
    <w:rsid w:val="00A36155"/>
    <w:rsid w:val="00A43741"/>
    <w:rsid w:val="00A45C7D"/>
    <w:rsid w:val="00A46461"/>
    <w:rsid w:val="00A4650B"/>
    <w:rsid w:val="00A5071C"/>
    <w:rsid w:val="00A50FE0"/>
    <w:rsid w:val="00A51465"/>
    <w:rsid w:val="00A51E87"/>
    <w:rsid w:val="00A54422"/>
    <w:rsid w:val="00A54DD0"/>
    <w:rsid w:val="00A57308"/>
    <w:rsid w:val="00A616E4"/>
    <w:rsid w:val="00A61E5C"/>
    <w:rsid w:val="00A64787"/>
    <w:rsid w:val="00A6740D"/>
    <w:rsid w:val="00A67EF9"/>
    <w:rsid w:val="00A72B4F"/>
    <w:rsid w:val="00A73D26"/>
    <w:rsid w:val="00A77EC3"/>
    <w:rsid w:val="00A814DD"/>
    <w:rsid w:val="00A83398"/>
    <w:rsid w:val="00A86BE3"/>
    <w:rsid w:val="00A90881"/>
    <w:rsid w:val="00A92818"/>
    <w:rsid w:val="00A92FA5"/>
    <w:rsid w:val="00A92FDD"/>
    <w:rsid w:val="00AA70EC"/>
    <w:rsid w:val="00AB2E2C"/>
    <w:rsid w:val="00AB66EE"/>
    <w:rsid w:val="00AC3096"/>
    <w:rsid w:val="00AC4F46"/>
    <w:rsid w:val="00AD632F"/>
    <w:rsid w:val="00AD6C26"/>
    <w:rsid w:val="00AD7CA2"/>
    <w:rsid w:val="00AE1D07"/>
    <w:rsid w:val="00AE2053"/>
    <w:rsid w:val="00AE5C1A"/>
    <w:rsid w:val="00AF0A28"/>
    <w:rsid w:val="00AF6A85"/>
    <w:rsid w:val="00B00C83"/>
    <w:rsid w:val="00B010CE"/>
    <w:rsid w:val="00B015A2"/>
    <w:rsid w:val="00B02D9E"/>
    <w:rsid w:val="00B04559"/>
    <w:rsid w:val="00B07B8F"/>
    <w:rsid w:val="00B104E5"/>
    <w:rsid w:val="00B12CAA"/>
    <w:rsid w:val="00B215B0"/>
    <w:rsid w:val="00B25631"/>
    <w:rsid w:val="00B26519"/>
    <w:rsid w:val="00B3086E"/>
    <w:rsid w:val="00B32375"/>
    <w:rsid w:val="00B370AE"/>
    <w:rsid w:val="00B40A08"/>
    <w:rsid w:val="00B41C3E"/>
    <w:rsid w:val="00B4364A"/>
    <w:rsid w:val="00B44FF3"/>
    <w:rsid w:val="00B52AA8"/>
    <w:rsid w:val="00B6023A"/>
    <w:rsid w:val="00B60C24"/>
    <w:rsid w:val="00B63496"/>
    <w:rsid w:val="00B63639"/>
    <w:rsid w:val="00B67542"/>
    <w:rsid w:val="00B71481"/>
    <w:rsid w:val="00B71AC2"/>
    <w:rsid w:val="00B73343"/>
    <w:rsid w:val="00B749D8"/>
    <w:rsid w:val="00B75129"/>
    <w:rsid w:val="00B756EB"/>
    <w:rsid w:val="00B76AC5"/>
    <w:rsid w:val="00B8411A"/>
    <w:rsid w:val="00B87E6D"/>
    <w:rsid w:val="00B90BD9"/>
    <w:rsid w:val="00B92A22"/>
    <w:rsid w:val="00B93488"/>
    <w:rsid w:val="00BA01E8"/>
    <w:rsid w:val="00BA32C1"/>
    <w:rsid w:val="00BA3EE9"/>
    <w:rsid w:val="00BA5E2C"/>
    <w:rsid w:val="00BB0805"/>
    <w:rsid w:val="00BB1042"/>
    <w:rsid w:val="00BB59CF"/>
    <w:rsid w:val="00BC62A6"/>
    <w:rsid w:val="00BD0F3F"/>
    <w:rsid w:val="00BD57C2"/>
    <w:rsid w:val="00BD6108"/>
    <w:rsid w:val="00BE1772"/>
    <w:rsid w:val="00BE24EE"/>
    <w:rsid w:val="00BF3844"/>
    <w:rsid w:val="00BF449A"/>
    <w:rsid w:val="00C0225E"/>
    <w:rsid w:val="00C023DF"/>
    <w:rsid w:val="00C10B88"/>
    <w:rsid w:val="00C125F4"/>
    <w:rsid w:val="00C13C95"/>
    <w:rsid w:val="00C16EF0"/>
    <w:rsid w:val="00C17B0B"/>
    <w:rsid w:val="00C22D8D"/>
    <w:rsid w:val="00C22E6D"/>
    <w:rsid w:val="00C27495"/>
    <w:rsid w:val="00C30A37"/>
    <w:rsid w:val="00C317C0"/>
    <w:rsid w:val="00C35933"/>
    <w:rsid w:val="00C3664E"/>
    <w:rsid w:val="00C50C43"/>
    <w:rsid w:val="00C5370A"/>
    <w:rsid w:val="00C5595A"/>
    <w:rsid w:val="00C564B1"/>
    <w:rsid w:val="00C57154"/>
    <w:rsid w:val="00C57234"/>
    <w:rsid w:val="00C609FB"/>
    <w:rsid w:val="00C6126E"/>
    <w:rsid w:val="00C61481"/>
    <w:rsid w:val="00C6395C"/>
    <w:rsid w:val="00C64E17"/>
    <w:rsid w:val="00C70612"/>
    <w:rsid w:val="00C75328"/>
    <w:rsid w:val="00C75638"/>
    <w:rsid w:val="00C75FBA"/>
    <w:rsid w:val="00C837F6"/>
    <w:rsid w:val="00C871AF"/>
    <w:rsid w:val="00C87E04"/>
    <w:rsid w:val="00C908EF"/>
    <w:rsid w:val="00C91DD4"/>
    <w:rsid w:val="00C93749"/>
    <w:rsid w:val="00C938F9"/>
    <w:rsid w:val="00CB1DEF"/>
    <w:rsid w:val="00CC2486"/>
    <w:rsid w:val="00CC354F"/>
    <w:rsid w:val="00CC40FB"/>
    <w:rsid w:val="00CC43EB"/>
    <w:rsid w:val="00CC5190"/>
    <w:rsid w:val="00CC7C3D"/>
    <w:rsid w:val="00CD02DC"/>
    <w:rsid w:val="00CE476A"/>
    <w:rsid w:val="00CE476E"/>
    <w:rsid w:val="00CE507E"/>
    <w:rsid w:val="00CF0ABF"/>
    <w:rsid w:val="00CF30A8"/>
    <w:rsid w:val="00D04076"/>
    <w:rsid w:val="00D07168"/>
    <w:rsid w:val="00D07479"/>
    <w:rsid w:val="00D15FDE"/>
    <w:rsid w:val="00D16FBA"/>
    <w:rsid w:val="00D24F86"/>
    <w:rsid w:val="00D25F00"/>
    <w:rsid w:val="00D268B6"/>
    <w:rsid w:val="00D27EA6"/>
    <w:rsid w:val="00D340CD"/>
    <w:rsid w:val="00D341C5"/>
    <w:rsid w:val="00D343A6"/>
    <w:rsid w:val="00D34932"/>
    <w:rsid w:val="00D35995"/>
    <w:rsid w:val="00D359A6"/>
    <w:rsid w:val="00D40CCF"/>
    <w:rsid w:val="00D43B12"/>
    <w:rsid w:val="00D4692E"/>
    <w:rsid w:val="00D47773"/>
    <w:rsid w:val="00D55D21"/>
    <w:rsid w:val="00D57547"/>
    <w:rsid w:val="00D57D15"/>
    <w:rsid w:val="00D645A6"/>
    <w:rsid w:val="00D65D9E"/>
    <w:rsid w:val="00D71F58"/>
    <w:rsid w:val="00D72B25"/>
    <w:rsid w:val="00D75F33"/>
    <w:rsid w:val="00D800DA"/>
    <w:rsid w:val="00D837CA"/>
    <w:rsid w:val="00D837D5"/>
    <w:rsid w:val="00D839ED"/>
    <w:rsid w:val="00D942E5"/>
    <w:rsid w:val="00DA3C16"/>
    <w:rsid w:val="00DA5B5F"/>
    <w:rsid w:val="00DB1A45"/>
    <w:rsid w:val="00DB4C37"/>
    <w:rsid w:val="00DB64F7"/>
    <w:rsid w:val="00DC072C"/>
    <w:rsid w:val="00DC4711"/>
    <w:rsid w:val="00DC5197"/>
    <w:rsid w:val="00DC537C"/>
    <w:rsid w:val="00DD1754"/>
    <w:rsid w:val="00DD36C7"/>
    <w:rsid w:val="00DD3D1A"/>
    <w:rsid w:val="00DE252B"/>
    <w:rsid w:val="00DE30B8"/>
    <w:rsid w:val="00DE3FD3"/>
    <w:rsid w:val="00DE488D"/>
    <w:rsid w:val="00DF5EB7"/>
    <w:rsid w:val="00DF6E54"/>
    <w:rsid w:val="00E01E16"/>
    <w:rsid w:val="00E0218E"/>
    <w:rsid w:val="00E03CCD"/>
    <w:rsid w:val="00E04CE0"/>
    <w:rsid w:val="00E10672"/>
    <w:rsid w:val="00E112FB"/>
    <w:rsid w:val="00E1146C"/>
    <w:rsid w:val="00E145E4"/>
    <w:rsid w:val="00E1683F"/>
    <w:rsid w:val="00E2167D"/>
    <w:rsid w:val="00E233C8"/>
    <w:rsid w:val="00E23C83"/>
    <w:rsid w:val="00E242F9"/>
    <w:rsid w:val="00E30599"/>
    <w:rsid w:val="00E32A15"/>
    <w:rsid w:val="00E33DA6"/>
    <w:rsid w:val="00E35704"/>
    <w:rsid w:val="00E44F7E"/>
    <w:rsid w:val="00E4561B"/>
    <w:rsid w:val="00E46E44"/>
    <w:rsid w:val="00E47788"/>
    <w:rsid w:val="00E521FD"/>
    <w:rsid w:val="00E523E3"/>
    <w:rsid w:val="00E537A9"/>
    <w:rsid w:val="00E53C0A"/>
    <w:rsid w:val="00E57803"/>
    <w:rsid w:val="00E579D1"/>
    <w:rsid w:val="00E60604"/>
    <w:rsid w:val="00E66E6B"/>
    <w:rsid w:val="00E91713"/>
    <w:rsid w:val="00E958ED"/>
    <w:rsid w:val="00EA20B4"/>
    <w:rsid w:val="00EA4057"/>
    <w:rsid w:val="00EA5570"/>
    <w:rsid w:val="00EA6FB0"/>
    <w:rsid w:val="00EC1A0F"/>
    <w:rsid w:val="00EC252A"/>
    <w:rsid w:val="00EC368E"/>
    <w:rsid w:val="00EC3CBB"/>
    <w:rsid w:val="00EC6A51"/>
    <w:rsid w:val="00EC7ABE"/>
    <w:rsid w:val="00EE0BCF"/>
    <w:rsid w:val="00EE3C23"/>
    <w:rsid w:val="00EE5153"/>
    <w:rsid w:val="00EE6604"/>
    <w:rsid w:val="00EE6A3C"/>
    <w:rsid w:val="00EF19D4"/>
    <w:rsid w:val="00EF6543"/>
    <w:rsid w:val="00F00217"/>
    <w:rsid w:val="00F06711"/>
    <w:rsid w:val="00F12991"/>
    <w:rsid w:val="00F12D2D"/>
    <w:rsid w:val="00F145C3"/>
    <w:rsid w:val="00F163AC"/>
    <w:rsid w:val="00F2179A"/>
    <w:rsid w:val="00F24345"/>
    <w:rsid w:val="00F25528"/>
    <w:rsid w:val="00F37B63"/>
    <w:rsid w:val="00F42EB7"/>
    <w:rsid w:val="00F45595"/>
    <w:rsid w:val="00F47173"/>
    <w:rsid w:val="00F4735F"/>
    <w:rsid w:val="00F473F8"/>
    <w:rsid w:val="00F503CD"/>
    <w:rsid w:val="00F515DD"/>
    <w:rsid w:val="00F55B64"/>
    <w:rsid w:val="00F572BE"/>
    <w:rsid w:val="00F57773"/>
    <w:rsid w:val="00F57A05"/>
    <w:rsid w:val="00F62295"/>
    <w:rsid w:val="00F624A7"/>
    <w:rsid w:val="00F65472"/>
    <w:rsid w:val="00F65CF8"/>
    <w:rsid w:val="00F707E9"/>
    <w:rsid w:val="00F70B30"/>
    <w:rsid w:val="00F71B66"/>
    <w:rsid w:val="00F71BC0"/>
    <w:rsid w:val="00F760AB"/>
    <w:rsid w:val="00F802D2"/>
    <w:rsid w:val="00F85BC9"/>
    <w:rsid w:val="00F90A76"/>
    <w:rsid w:val="00F9540D"/>
    <w:rsid w:val="00FA0959"/>
    <w:rsid w:val="00FA2700"/>
    <w:rsid w:val="00FA5532"/>
    <w:rsid w:val="00FA57A1"/>
    <w:rsid w:val="00FA79EA"/>
    <w:rsid w:val="00FB0C60"/>
    <w:rsid w:val="00FB21F7"/>
    <w:rsid w:val="00FB77D4"/>
    <w:rsid w:val="00FC096A"/>
    <w:rsid w:val="00FC0B69"/>
    <w:rsid w:val="00FC221E"/>
    <w:rsid w:val="00FC551A"/>
    <w:rsid w:val="00FC726A"/>
    <w:rsid w:val="00FD0D20"/>
    <w:rsid w:val="00FD17F6"/>
    <w:rsid w:val="00FD3720"/>
    <w:rsid w:val="00FD45B8"/>
    <w:rsid w:val="00FD6D3A"/>
    <w:rsid w:val="00FE1C13"/>
    <w:rsid w:val="00FE26DD"/>
    <w:rsid w:val="00FF3350"/>
    <w:rsid w:val="00FF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8B8FA8"/>
  <w15:docId w15:val="{4C5A7126-79B1-4638-95F1-55427BE7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6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C0E"/>
    <w:pPr>
      <w:ind w:left="720"/>
      <w:contextualSpacing/>
    </w:pPr>
  </w:style>
  <w:style w:type="paragraph" w:customStyle="1" w:styleId="rvps2">
    <w:name w:val="rvps2"/>
    <w:basedOn w:val="a"/>
    <w:rsid w:val="007C18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C1850"/>
  </w:style>
  <w:style w:type="character" w:customStyle="1" w:styleId="rvts11">
    <w:name w:val="rvts11"/>
    <w:basedOn w:val="a0"/>
    <w:rsid w:val="007C1850"/>
  </w:style>
  <w:style w:type="character" w:styleId="a4">
    <w:name w:val="Hyperlink"/>
    <w:basedOn w:val="a0"/>
    <w:uiPriority w:val="99"/>
    <w:semiHidden/>
    <w:unhideWhenUsed/>
    <w:rsid w:val="007C1850"/>
    <w:rPr>
      <w:color w:val="0000FF"/>
      <w:u w:val="single"/>
    </w:rPr>
  </w:style>
  <w:style w:type="character" w:styleId="a5">
    <w:name w:val="annotation reference"/>
    <w:basedOn w:val="a0"/>
    <w:uiPriority w:val="99"/>
    <w:semiHidden/>
    <w:unhideWhenUsed/>
    <w:rsid w:val="00092A8E"/>
    <w:rPr>
      <w:sz w:val="16"/>
      <w:szCs w:val="16"/>
    </w:rPr>
  </w:style>
  <w:style w:type="paragraph" w:styleId="a6">
    <w:name w:val="annotation text"/>
    <w:basedOn w:val="a"/>
    <w:link w:val="a7"/>
    <w:uiPriority w:val="99"/>
    <w:unhideWhenUsed/>
    <w:rsid w:val="00092A8E"/>
    <w:pPr>
      <w:spacing w:line="240" w:lineRule="auto"/>
    </w:pPr>
    <w:rPr>
      <w:sz w:val="20"/>
      <w:szCs w:val="20"/>
    </w:rPr>
  </w:style>
  <w:style w:type="character" w:customStyle="1" w:styleId="a7">
    <w:name w:val="Текст примітки Знак"/>
    <w:basedOn w:val="a0"/>
    <w:link w:val="a6"/>
    <w:uiPriority w:val="99"/>
    <w:rsid w:val="00092A8E"/>
    <w:rPr>
      <w:sz w:val="20"/>
      <w:szCs w:val="20"/>
    </w:rPr>
  </w:style>
  <w:style w:type="paragraph" w:styleId="a8">
    <w:name w:val="annotation subject"/>
    <w:basedOn w:val="a6"/>
    <w:next w:val="a6"/>
    <w:link w:val="a9"/>
    <w:uiPriority w:val="99"/>
    <w:semiHidden/>
    <w:unhideWhenUsed/>
    <w:rsid w:val="00092A8E"/>
    <w:rPr>
      <w:b/>
      <w:bCs/>
    </w:rPr>
  </w:style>
  <w:style w:type="character" w:customStyle="1" w:styleId="a9">
    <w:name w:val="Тема примітки Знак"/>
    <w:basedOn w:val="a7"/>
    <w:link w:val="a8"/>
    <w:uiPriority w:val="99"/>
    <w:semiHidden/>
    <w:rsid w:val="00092A8E"/>
    <w:rPr>
      <w:b/>
      <w:bCs/>
      <w:sz w:val="20"/>
      <w:szCs w:val="20"/>
    </w:rPr>
  </w:style>
  <w:style w:type="paragraph" w:styleId="aa">
    <w:name w:val="Balloon Text"/>
    <w:basedOn w:val="a"/>
    <w:link w:val="ab"/>
    <w:uiPriority w:val="99"/>
    <w:semiHidden/>
    <w:unhideWhenUsed/>
    <w:rsid w:val="00092A8E"/>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092A8E"/>
    <w:rPr>
      <w:rFonts w:ascii="Segoe UI" w:hAnsi="Segoe UI" w:cs="Segoe UI"/>
      <w:sz w:val="18"/>
      <w:szCs w:val="18"/>
    </w:rPr>
  </w:style>
  <w:style w:type="table" w:customStyle="1" w:styleId="1">
    <w:name w:val="Сітка таблиці1"/>
    <w:basedOn w:val="a1"/>
    <w:next w:val="ac"/>
    <w:uiPriority w:val="59"/>
    <w:rsid w:val="0024688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24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964BA"/>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2964BA"/>
  </w:style>
  <w:style w:type="paragraph" w:styleId="af">
    <w:name w:val="footer"/>
    <w:basedOn w:val="a"/>
    <w:link w:val="af0"/>
    <w:uiPriority w:val="99"/>
    <w:unhideWhenUsed/>
    <w:rsid w:val="002964BA"/>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2964BA"/>
  </w:style>
  <w:style w:type="paragraph" w:styleId="af1">
    <w:name w:val="Revision"/>
    <w:hidden/>
    <w:uiPriority w:val="99"/>
    <w:semiHidden/>
    <w:rsid w:val="003A6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10639">
      <w:bodyDiv w:val="1"/>
      <w:marLeft w:val="0"/>
      <w:marRight w:val="0"/>
      <w:marTop w:val="0"/>
      <w:marBottom w:val="0"/>
      <w:divBdr>
        <w:top w:val="none" w:sz="0" w:space="0" w:color="auto"/>
        <w:left w:val="none" w:sz="0" w:space="0" w:color="auto"/>
        <w:bottom w:val="none" w:sz="0" w:space="0" w:color="auto"/>
        <w:right w:val="none" w:sz="0" w:space="0" w:color="auto"/>
      </w:divBdr>
    </w:div>
    <w:div w:id="1500805689">
      <w:bodyDiv w:val="1"/>
      <w:marLeft w:val="0"/>
      <w:marRight w:val="0"/>
      <w:marTop w:val="0"/>
      <w:marBottom w:val="0"/>
      <w:divBdr>
        <w:top w:val="none" w:sz="0" w:space="0" w:color="auto"/>
        <w:left w:val="none" w:sz="0" w:space="0" w:color="auto"/>
        <w:bottom w:val="none" w:sz="0" w:space="0" w:color="auto"/>
        <w:right w:val="none" w:sz="0" w:space="0" w:color="auto"/>
      </w:divBdr>
    </w:div>
    <w:div w:id="1637375386">
      <w:bodyDiv w:val="1"/>
      <w:marLeft w:val="0"/>
      <w:marRight w:val="0"/>
      <w:marTop w:val="0"/>
      <w:marBottom w:val="0"/>
      <w:divBdr>
        <w:top w:val="none" w:sz="0" w:space="0" w:color="auto"/>
        <w:left w:val="none" w:sz="0" w:space="0" w:color="auto"/>
        <w:bottom w:val="none" w:sz="0" w:space="0" w:color="auto"/>
        <w:right w:val="none" w:sz="0" w:space="0" w:color="auto"/>
      </w:divBdr>
    </w:div>
    <w:div w:id="1700279334">
      <w:bodyDiv w:val="1"/>
      <w:marLeft w:val="0"/>
      <w:marRight w:val="0"/>
      <w:marTop w:val="0"/>
      <w:marBottom w:val="0"/>
      <w:divBdr>
        <w:top w:val="none" w:sz="0" w:space="0" w:color="auto"/>
        <w:left w:val="none" w:sz="0" w:space="0" w:color="auto"/>
        <w:bottom w:val="none" w:sz="0" w:space="0" w:color="auto"/>
        <w:right w:val="none" w:sz="0" w:space="0" w:color="auto"/>
      </w:divBdr>
    </w:div>
    <w:div w:id="20911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C04B9-8E9E-422F-B6CC-6C9294CB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16672</Words>
  <Characters>9504</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Котлярова Ірина Федорівна</dc:creator>
  <cp:lastModifiedBy>Котлярова Ірина Федорівна</cp:lastModifiedBy>
  <cp:revision>3</cp:revision>
  <cp:lastPrinted>2021-12-02T20:05:00Z</cp:lastPrinted>
  <dcterms:created xsi:type="dcterms:W3CDTF">2021-12-02T20:06:00Z</dcterms:created>
  <dcterms:modified xsi:type="dcterms:W3CDTF">2021-12-03T06:26:00Z</dcterms:modified>
</cp:coreProperties>
</file>