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DFE3" w14:textId="77777777" w:rsidR="00FA7846" w:rsidRPr="002C1729" w:rsidRDefault="00FA7846" w:rsidP="00FA7846">
      <w:pPr>
        <w:rPr>
          <w:sz w:val="2"/>
          <w:szCs w:val="2"/>
        </w:rPr>
      </w:pPr>
    </w:p>
    <w:p w14:paraId="47EED71D"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501F58" w14:paraId="124E3732" w14:textId="77777777" w:rsidTr="00E054A9">
        <w:trPr>
          <w:trHeight w:val="851"/>
        </w:trPr>
        <w:tc>
          <w:tcPr>
            <w:tcW w:w="3284" w:type="dxa"/>
          </w:tcPr>
          <w:p w14:paraId="30BF5099" w14:textId="77777777" w:rsidR="00657593" w:rsidRDefault="00657593" w:rsidP="00E054A9"/>
        </w:tc>
        <w:tc>
          <w:tcPr>
            <w:tcW w:w="3285" w:type="dxa"/>
            <w:vMerge w:val="restart"/>
          </w:tcPr>
          <w:p w14:paraId="3683C7FD" w14:textId="77777777" w:rsidR="00657593" w:rsidRDefault="002057BC" w:rsidP="00E054A9">
            <w:pPr>
              <w:jc w:val="center"/>
            </w:pPr>
            <w:r>
              <w:rPr>
                <w:noProof/>
              </w:rPr>
              <w:object w:dxaOrig="689" w:dyaOrig="950" w14:anchorId="114BF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5pt;height:46.75pt;mso-width-percent:0;mso-height-percent:0;mso-width-percent:0;mso-height-percent:0" o:ole="">
                  <v:imagedata r:id="rId12" o:title=""/>
                </v:shape>
                <o:OLEObject Type="Embed" ProgID="CorelDraw.Graphic.16" ShapeID="_x0000_i1025" DrawAspect="Content" ObjectID="_1729108933" r:id="rId13"/>
              </w:object>
            </w:r>
          </w:p>
        </w:tc>
        <w:tc>
          <w:tcPr>
            <w:tcW w:w="3285" w:type="dxa"/>
          </w:tcPr>
          <w:p w14:paraId="789BF68B" w14:textId="77777777" w:rsidR="00657593" w:rsidRDefault="00657593" w:rsidP="00E054A9"/>
        </w:tc>
      </w:tr>
      <w:tr w:rsidR="00501F58" w14:paraId="1170822E" w14:textId="77777777" w:rsidTr="00E054A9">
        <w:tc>
          <w:tcPr>
            <w:tcW w:w="3284" w:type="dxa"/>
          </w:tcPr>
          <w:p w14:paraId="5DA84703" w14:textId="77777777" w:rsidR="00657593" w:rsidRDefault="00657593" w:rsidP="00E054A9"/>
        </w:tc>
        <w:tc>
          <w:tcPr>
            <w:tcW w:w="3285" w:type="dxa"/>
            <w:vMerge/>
          </w:tcPr>
          <w:p w14:paraId="1BB933BB" w14:textId="77777777" w:rsidR="00657593" w:rsidRDefault="00657593" w:rsidP="00E054A9"/>
        </w:tc>
        <w:tc>
          <w:tcPr>
            <w:tcW w:w="3285" w:type="dxa"/>
          </w:tcPr>
          <w:p w14:paraId="2B024728" w14:textId="77777777" w:rsidR="00657593" w:rsidRDefault="00657593" w:rsidP="00E054A9"/>
        </w:tc>
      </w:tr>
      <w:tr w:rsidR="00F22B0F" w14:paraId="1340DAA2" w14:textId="77777777" w:rsidTr="00E054A9">
        <w:tc>
          <w:tcPr>
            <w:tcW w:w="9854" w:type="dxa"/>
            <w:gridSpan w:val="3"/>
          </w:tcPr>
          <w:p w14:paraId="243EDE7A" w14:textId="77777777" w:rsidR="00657593" w:rsidRPr="00E10F0A" w:rsidRDefault="00937B48"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AE9B7E7" w14:textId="77777777" w:rsidR="00657593" w:rsidRDefault="00937B48" w:rsidP="00E054A9">
            <w:pPr>
              <w:jc w:val="center"/>
            </w:pPr>
            <w:r w:rsidRPr="00E10F0A">
              <w:rPr>
                <w:b/>
                <w:bCs/>
                <w:color w:val="006600"/>
                <w:sz w:val="32"/>
                <w:szCs w:val="32"/>
              </w:rPr>
              <w:t>П О С Т А Н О В А</w:t>
            </w:r>
          </w:p>
        </w:tc>
      </w:tr>
    </w:tbl>
    <w:p w14:paraId="3A1037CB" w14:textId="77777777" w:rsidR="00657593" w:rsidRPr="00566BA2" w:rsidRDefault="00657593" w:rsidP="00657593">
      <w:pPr>
        <w:rPr>
          <w:sz w:val="4"/>
          <w:szCs w:val="4"/>
        </w:rPr>
      </w:pPr>
    </w:p>
    <w:tbl>
      <w:tblPr>
        <w:tblStyle w:val="a9"/>
        <w:tblW w:w="12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2636"/>
        <w:gridCol w:w="1668"/>
        <w:gridCol w:w="1668"/>
        <w:gridCol w:w="1668"/>
        <w:gridCol w:w="1886"/>
      </w:tblGrid>
      <w:tr w:rsidR="005F4DDF" w14:paraId="391B8B54" w14:textId="77777777" w:rsidTr="00E771C3">
        <w:tc>
          <w:tcPr>
            <w:tcW w:w="3448" w:type="dxa"/>
            <w:vAlign w:val="bottom"/>
          </w:tcPr>
          <w:p w14:paraId="1B393067" w14:textId="0C7AEFBC" w:rsidR="005F4DDF" w:rsidRPr="005F4DDF" w:rsidRDefault="005F4DDF" w:rsidP="005F4DDF">
            <w:pPr>
              <w:rPr>
                <w:lang w:val="ru-RU"/>
              </w:rPr>
            </w:pPr>
            <w:r>
              <w:rPr>
                <w:lang w:val="en-US"/>
              </w:rPr>
              <w:t xml:space="preserve">04 </w:t>
            </w:r>
            <w:r>
              <w:t>листопада</w:t>
            </w:r>
            <w:r w:rsidRPr="00A60226">
              <w:t xml:space="preserve"> 2022 року</w:t>
            </w:r>
          </w:p>
        </w:tc>
        <w:tc>
          <w:tcPr>
            <w:tcW w:w="2636" w:type="dxa"/>
          </w:tcPr>
          <w:p w14:paraId="7C02A818" w14:textId="77777777" w:rsidR="005F4DDF" w:rsidRDefault="005F4DDF" w:rsidP="005F4DDF">
            <w:pPr>
              <w:spacing w:before="240"/>
              <w:jc w:val="center"/>
            </w:pPr>
            <w:r w:rsidRPr="00E10F0A">
              <w:rPr>
                <w:color w:val="006600"/>
              </w:rPr>
              <w:t>Київ</w:t>
            </w:r>
          </w:p>
        </w:tc>
        <w:tc>
          <w:tcPr>
            <w:tcW w:w="1668" w:type="dxa"/>
            <w:vAlign w:val="bottom"/>
          </w:tcPr>
          <w:p w14:paraId="389FCE6A" w14:textId="082B531E" w:rsidR="005F4DDF" w:rsidRPr="005F4DDF" w:rsidRDefault="005F4DDF" w:rsidP="005F4DDF">
            <w:pPr>
              <w:jc w:val="right"/>
              <w:rPr>
                <w:lang w:val="ru-RU"/>
              </w:rPr>
            </w:pPr>
            <w:r w:rsidRPr="00A60226">
              <w:t>№</w:t>
            </w:r>
          </w:p>
        </w:tc>
        <w:tc>
          <w:tcPr>
            <w:tcW w:w="1668" w:type="dxa"/>
            <w:vAlign w:val="bottom"/>
          </w:tcPr>
          <w:p w14:paraId="65BE91AC" w14:textId="4C4C4B3A" w:rsidR="005F4DDF" w:rsidRPr="005F4DDF" w:rsidRDefault="005F4DDF" w:rsidP="005F4DDF">
            <w:pPr>
              <w:rPr>
                <w:lang w:val="ru-RU"/>
              </w:rPr>
            </w:pPr>
            <w:r>
              <w:t>22</w:t>
            </w:r>
            <w:r>
              <w:rPr>
                <w:lang w:val="ru-RU"/>
              </w:rPr>
              <w:t>8</w:t>
            </w:r>
          </w:p>
        </w:tc>
        <w:tc>
          <w:tcPr>
            <w:tcW w:w="1668" w:type="dxa"/>
            <w:vAlign w:val="bottom"/>
          </w:tcPr>
          <w:p w14:paraId="0CF7A844" w14:textId="055C150A" w:rsidR="005F4DDF" w:rsidRPr="005F4DDF" w:rsidRDefault="005F4DDF" w:rsidP="005F4DDF">
            <w:pPr>
              <w:jc w:val="right"/>
              <w:rPr>
                <w:lang w:val="ru-RU"/>
              </w:rPr>
            </w:pPr>
          </w:p>
        </w:tc>
        <w:tc>
          <w:tcPr>
            <w:tcW w:w="1886" w:type="dxa"/>
            <w:vAlign w:val="bottom"/>
          </w:tcPr>
          <w:p w14:paraId="13FF02CF" w14:textId="77777777" w:rsidR="005F4DDF" w:rsidRDefault="005F4DDF" w:rsidP="005F4DDF">
            <w:pPr>
              <w:jc w:val="left"/>
            </w:pPr>
          </w:p>
        </w:tc>
      </w:tr>
    </w:tbl>
    <w:p w14:paraId="70BCDDF8" w14:textId="77777777" w:rsidR="00657593" w:rsidRPr="00CD0CD4" w:rsidRDefault="00657593" w:rsidP="00657593">
      <w:pPr>
        <w:rPr>
          <w:sz w:val="2"/>
          <w:szCs w:val="2"/>
        </w:rPr>
      </w:pPr>
    </w:p>
    <w:p w14:paraId="189C65BD"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F22B0F" w14:paraId="117AE30A" w14:textId="77777777" w:rsidTr="005212C5">
        <w:trPr>
          <w:jc w:val="center"/>
        </w:trPr>
        <w:tc>
          <w:tcPr>
            <w:tcW w:w="5000" w:type="pct"/>
          </w:tcPr>
          <w:p w14:paraId="42F7B3D7" w14:textId="77777777" w:rsidR="00B668BD" w:rsidRPr="006B5B52" w:rsidRDefault="00E916C7" w:rsidP="00B668BD">
            <w:pPr>
              <w:tabs>
                <w:tab w:val="left" w:pos="840"/>
                <w:tab w:val="center" w:pos="3293"/>
              </w:tabs>
              <w:spacing w:before="240"/>
              <w:jc w:val="center"/>
              <w:rPr>
                <w:bCs/>
              </w:rPr>
            </w:pPr>
            <w:r w:rsidRPr="006B5B52">
              <w:rPr>
                <w:bCs/>
              </w:rPr>
              <w:t>Про</w:t>
            </w:r>
            <w:r w:rsidR="00B668BD" w:rsidRPr="006B5B52">
              <w:rPr>
                <w:bCs/>
              </w:rPr>
              <w:t xml:space="preserve"> внесення змін до постанови </w:t>
            </w:r>
          </w:p>
          <w:p w14:paraId="33BB1114" w14:textId="77777777" w:rsidR="00B668BD" w:rsidRPr="006B5B52" w:rsidRDefault="00B668BD" w:rsidP="00B668BD">
            <w:pPr>
              <w:tabs>
                <w:tab w:val="left" w:pos="840"/>
                <w:tab w:val="center" w:pos="3293"/>
              </w:tabs>
              <w:jc w:val="center"/>
              <w:rPr>
                <w:bCs/>
              </w:rPr>
            </w:pPr>
            <w:r w:rsidRPr="006B5B52">
              <w:rPr>
                <w:bCs/>
              </w:rPr>
              <w:t>Правління Національного банку України</w:t>
            </w:r>
          </w:p>
          <w:p w14:paraId="2A8AFB2B" w14:textId="77777777" w:rsidR="00B668BD" w:rsidRDefault="00B668BD" w:rsidP="00B668BD">
            <w:pPr>
              <w:tabs>
                <w:tab w:val="left" w:pos="840"/>
                <w:tab w:val="center" w:pos="3293"/>
              </w:tabs>
              <w:jc w:val="center"/>
              <w:rPr>
                <w:bCs/>
              </w:rPr>
            </w:pPr>
            <w:r w:rsidRPr="006B5B52">
              <w:rPr>
                <w:bCs/>
              </w:rPr>
              <w:t>від 24 лютого 2022 року № 22</w:t>
            </w:r>
            <w:r>
              <w:rPr>
                <w:bCs/>
              </w:rPr>
              <w:t xml:space="preserve"> та окремі питання щодо форми укладання договорів</w:t>
            </w:r>
          </w:p>
          <w:p w14:paraId="30D25E5D" w14:textId="77777777" w:rsidR="002B3F71" w:rsidRPr="00CD0CD4" w:rsidRDefault="002B3F71" w:rsidP="007F32DA">
            <w:pPr>
              <w:tabs>
                <w:tab w:val="left" w:pos="840"/>
                <w:tab w:val="center" w:pos="3293"/>
              </w:tabs>
              <w:jc w:val="center"/>
              <w:rPr>
                <w:rFonts w:eastAsiaTheme="minorEastAsia"/>
                <w:color w:val="000000" w:themeColor="text1"/>
                <w:lang w:eastAsia="en-US"/>
              </w:rPr>
            </w:pPr>
          </w:p>
        </w:tc>
      </w:tr>
    </w:tbl>
    <w:p w14:paraId="3264B486" w14:textId="77777777" w:rsidR="007F32DA" w:rsidRDefault="007F32DA" w:rsidP="006B5B52">
      <w:pPr>
        <w:spacing w:before="240" w:after="240"/>
        <w:ind w:firstLine="567"/>
        <w:rPr>
          <w:lang w:eastAsia="ru-RU"/>
        </w:rPr>
      </w:pPr>
    </w:p>
    <w:p w14:paraId="5C6E53DE" w14:textId="77777777" w:rsidR="00E53CCD" w:rsidRPr="006B5B52" w:rsidRDefault="00D829C7" w:rsidP="006B5B52">
      <w:pPr>
        <w:spacing w:before="240" w:after="240"/>
        <w:ind w:firstLine="567"/>
        <w:rPr>
          <w:b/>
        </w:rPr>
      </w:pPr>
      <w:r w:rsidRPr="006B5B52">
        <w:rPr>
          <w:lang w:eastAsia="ru-RU"/>
        </w:rPr>
        <w:t xml:space="preserve">Відповідно до статей </w:t>
      </w:r>
      <w:r w:rsidR="006959F7">
        <w:rPr>
          <w:lang w:val="ru-RU" w:eastAsia="ru-RU"/>
        </w:rPr>
        <w:t xml:space="preserve">7, </w:t>
      </w:r>
      <w:r w:rsidRPr="006B5B52">
        <w:rPr>
          <w:lang w:eastAsia="ru-RU"/>
        </w:rPr>
        <w:t xml:space="preserve">15, 56 Закону України “Про Національний банк України”, </w:t>
      </w:r>
      <w:r w:rsidRPr="006B5B52">
        <w:t xml:space="preserve">Указу Президента </w:t>
      </w:r>
      <w:proofErr w:type="spellStart"/>
      <w:r w:rsidRPr="006B5B52">
        <w:t>України</w:t>
      </w:r>
      <w:proofErr w:type="spellEnd"/>
      <w:r w:rsidRPr="006B5B52">
        <w:t xml:space="preserve"> від 24 </w:t>
      </w:r>
      <w:bookmarkStart w:id="0" w:name="_GoBack"/>
      <w:bookmarkEnd w:id="0"/>
      <w:r w:rsidRPr="006B5B52">
        <w:t>лютого 2022 року №</w:t>
      </w:r>
      <w:r w:rsidRPr="006B5B52">
        <w:rPr>
          <w:lang w:val="en-US"/>
        </w:rPr>
        <w:t> </w:t>
      </w:r>
      <w:r w:rsidRPr="006B5B52">
        <w:t xml:space="preserve">64/2022 “Про введення воєнного стану в </w:t>
      </w:r>
      <w:proofErr w:type="spellStart"/>
      <w:r w:rsidRPr="006B5B52">
        <w:t>Україні</w:t>
      </w:r>
      <w:proofErr w:type="spellEnd"/>
      <w:r w:rsidRPr="006B5B52">
        <w:t xml:space="preserve">”, затвердженого Законом </w:t>
      </w:r>
      <w:proofErr w:type="spellStart"/>
      <w:r w:rsidRPr="006B5B52">
        <w:t>України</w:t>
      </w:r>
      <w:proofErr w:type="spellEnd"/>
      <w:r w:rsidRPr="006B5B52">
        <w:t xml:space="preserve"> від 24</w:t>
      </w:r>
      <w:r w:rsidRPr="006B5B52">
        <w:rPr>
          <w:lang w:val="ru-RU"/>
        </w:rPr>
        <w:t xml:space="preserve"> лютого </w:t>
      </w:r>
      <w:r w:rsidRPr="006B5B52">
        <w:t>2022 року №</w:t>
      </w:r>
      <w:r w:rsidRPr="006B5B52">
        <w:rPr>
          <w:lang w:val="en-US"/>
        </w:rPr>
        <w:t> </w:t>
      </w:r>
      <w:r w:rsidRPr="006B5B52">
        <w:t xml:space="preserve">2102-ІХ «Про затвердження Указу Президента </w:t>
      </w:r>
      <w:proofErr w:type="spellStart"/>
      <w:r w:rsidRPr="006B5B52">
        <w:t>України</w:t>
      </w:r>
      <w:proofErr w:type="spellEnd"/>
      <w:r w:rsidRPr="006B5B52">
        <w:t xml:space="preserve"> “Про введення воєнного стану в </w:t>
      </w:r>
      <w:proofErr w:type="spellStart"/>
      <w:r w:rsidRPr="006B5B52">
        <w:t>Україні</w:t>
      </w:r>
      <w:proofErr w:type="spellEnd"/>
      <w:r w:rsidRPr="006B5B52">
        <w:t xml:space="preserve">”», </w:t>
      </w:r>
      <w:r w:rsidRPr="006B5B52">
        <w:rPr>
          <w:lang w:eastAsia="ru-RU"/>
        </w:rPr>
        <w:t xml:space="preserve">Положення про регулювання Національним банком </w:t>
      </w:r>
      <w:proofErr w:type="spellStart"/>
      <w:r w:rsidRPr="006B5B52">
        <w:rPr>
          <w:lang w:eastAsia="ru-RU"/>
        </w:rPr>
        <w:t>України</w:t>
      </w:r>
      <w:proofErr w:type="spellEnd"/>
      <w:r w:rsidRPr="006B5B52">
        <w:rPr>
          <w:lang w:eastAsia="ru-RU"/>
        </w:rPr>
        <w:t xml:space="preserve"> грошово-кредитного та валютного ринків в умовах особливого періоду, затвердженого постановою Правління Національного банку </w:t>
      </w:r>
      <w:proofErr w:type="spellStart"/>
      <w:r w:rsidRPr="006B5B52">
        <w:rPr>
          <w:lang w:eastAsia="ru-RU"/>
        </w:rPr>
        <w:t>України</w:t>
      </w:r>
      <w:proofErr w:type="spellEnd"/>
      <w:r w:rsidRPr="006B5B52">
        <w:rPr>
          <w:lang w:eastAsia="ru-RU"/>
        </w:rPr>
        <w:t xml:space="preserve"> від 06 листопада 2019 року № 129/ДСК, </w:t>
      </w:r>
      <w:r w:rsidR="00EB1533">
        <w:rPr>
          <w:lang w:eastAsia="ru-RU"/>
        </w:rPr>
        <w:t xml:space="preserve">постанови Правління Національного банку України від 24 лютого 2022 року №18 </w:t>
      </w:r>
      <w:r w:rsidR="00EB1533">
        <w:t>“Про роботу банківської системи в період запровадження воєнного стану” (зі змінами)</w:t>
      </w:r>
      <w:r w:rsidR="00EB1533" w:rsidRPr="006B5B52">
        <w:rPr>
          <w:lang w:eastAsia="ru-RU"/>
        </w:rPr>
        <w:t xml:space="preserve">, </w:t>
      </w:r>
      <w:r w:rsidR="00EB1533">
        <w:rPr>
          <w:lang w:eastAsia="ru-RU"/>
        </w:rPr>
        <w:t xml:space="preserve">з метою </w:t>
      </w:r>
      <w:r w:rsidR="007F32DA">
        <w:rPr>
          <w:lang w:eastAsia="ru-RU"/>
        </w:rPr>
        <w:t xml:space="preserve">ефективного регулювання грошово-кредитного ринку </w:t>
      </w:r>
      <w:r w:rsidR="00420695">
        <w:rPr>
          <w:lang w:eastAsia="ru-RU"/>
        </w:rPr>
        <w:t xml:space="preserve">в </w:t>
      </w:r>
      <w:r w:rsidR="00EB1533">
        <w:rPr>
          <w:lang w:eastAsia="ru-RU"/>
        </w:rPr>
        <w:t>період воєнного стану</w:t>
      </w:r>
      <w:r w:rsidR="00FA508E" w:rsidRPr="006B5B52">
        <w:rPr>
          <w:b/>
        </w:rPr>
        <w:t xml:space="preserve"> </w:t>
      </w:r>
      <w:r w:rsidR="00115ECF" w:rsidRPr="006B5B52">
        <w:t xml:space="preserve">Правління Національного банку </w:t>
      </w:r>
      <w:r w:rsidR="00562C46" w:rsidRPr="006B5B52">
        <w:t>України</w:t>
      </w:r>
      <w:r w:rsidR="00562C46" w:rsidRPr="006B5B52">
        <w:rPr>
          <w:b/>
        </w:rPr>
        <w:t xml:space="preserve"> </w:t>
      </w:r>
      <w:r w:rsidR="00FA508E" w:rsidRPr="006B5B52">
        <w:rPr>
          <w:b/>
        </w:rPr>
        <w:t>постановляє:</w:t>
      </w:r>
    </w:p>
    <w:p w14:paraId="0F9447AA" w14:textId="77777777" w:rsidR="00F54149" w:rsidRDefault="00937B48" w:rsidP="00F54149">
      <w:pPr>
        <w:ind w:firstLine="567"/>
        <w:rPr>
          <w:lang w:eastAsia="ru-RU"/>
        </w:rPr>
      </w:pPr>
      <w:r w:rsidRPr="006B5B52">
        <w:t>1.</w:t>
      </w:r>
      <w:r w:rsidRPr="006B5B52">
        <w:rPr>
          <w:lang w:val="en-US"/>
        </w:rPr>
        <w:t> </w:t>
      </w:r>
      <w:proofErr w:type="spellStart"/>
      <w:r w:rsidR="00F54149">
        <w:t>Унести</w:t>
      </w:r>
      <w:proofErr w:type="spellEnd"/>
      <w:r w:rsidR="00F54149">
        <w:t xml:space="preserve"> до </w:t>
      </w:r>
      <w:r w:rsidR="00F54149" w:rsidRPr="006B5B52">
        <w:rPr>
          <w:lang w:eastAsia="ru-RU"/>
        </w:rPr>
        <w:t>постанови Правління Національного банку України від 24 лютого 2022 року № 22 “Про особливості підтримання ліквідності банків у період дії воєнного стану” (зі змінами)</w:t>
      </w:r>
      <w:r w:rsidR="00F54149">
        <w:rPr>
          <w:lang w:eastAsia="ru-RU"/>
        </w:rPr>
        <w:t xml:space="preserve"> такі зміни</w:t>
      </w:r>
      <w:r w:rsidR="00F54149" w:rsidRPr="002A01FA">
        <w:rPr>
          <w:lang w:eastAsia="ru-RU"/>
        </w:rPr>
        <w:t>:</w:t>
      </w:r>
    </w:p>
    <w:p w14:paraId="468DFA55" w14:textId="77777777" w:rsidR="00F54149" w:rsidRDefault="00F54149" w:rsidP="00F54149">
      <w:pPr>
        <w:tabs>
          <w:tab w:val="left" w:pos="567"/>
        </w:tabs>
        <w:ind w:firstLine="567"/>
      </w:pPr>
    </w:p>
    <w:p w14:paraId="40F397DD" w14:textId="7F6A97A0" w:rsidR="00E5537C" w:rsidRDefault="00F54149" w:rsidP="006D415A">
      <w:pPr>
        <w:pStyle w:val="af3"/>
        <w:numPr>
          <w:ilvl w:val="0"/>
          <w:numId w:val="4"/>
        </w:numPr>
        <w:tabs>
          <w:tab w:val="left" w:pos="567"/>
        </w:tabs>
        <w:ind w:left="0" w:firstLine="567"/>
      </w:pPr>
      <w:r>
        <w:t xml:space="preserve"> </w:t>
      </w:r>
      <w:r w:rsidR="00E5537C">
        <w:t xml:space="preserve">у </w:t>
      </w:r>
      <w:r>
        <w:t>п</w:t>
      </w:r>
      <w:r w:rsidRPr="006B5B52">
        <w:t>ункт</w:t>
      </w:r>
      <w:r w:rsidR="00E5537C">
        <w:t xml:space="preserve">і </w:t>
      </w:r>
      <w:r>
        <w:t>1</w:t>
      </w:r>
      <w:r w:rsidR="00E5537C">
        <w:rPr>
          <w:lang w:val="en-US"/>
        </w:rPr>
        <w:t>:</w:t>
      </w:r>
      <w:r>
        <w:t xml:space="preserve"> </w:t>
      </w:r>
    </w:p>
    <w:p w14:paraId="66182D57" w14:textId="77777777" w:rsidR="0049418A" w:rsidRDefault="0049418A" w:rsidP="0049418A">
      <w:pPr>
        <w:tabs>
          <w:tab w:val="left" w:pos="567"/>
        </w:tabs>
        <w:ind w:firstLine="567"/>
      </w:pPr>
      <w:r>
        <w:t>пункт</w:t>
      </w:r>
      <w:r w:rsidR="00E5537C">
        <w:t xml:space="preserve"> після слів </w:t>
      </w:r>
      <w:r w:rsidR="00353FB6" w:rsidRPr="00353FB6">
        <w:rPr>
          <w:lang w:val="ru-RU"/>
        </w:rPr>
        <w:t>“</w:t>
      </w:r>
      <w:r w:rsidR="00353FB6">
        <w:t>операції з рефінансування</w:t>
      </w:r>
      <w:r w:rsidR="00E5537C" w:rsidRPr="00E5537C">
        <w:rPr>
          <w:lang w:val="ru-RU"/>
        </w:rPr>
        <w:t>”</w:t>
      </w:r>
      <w:r w:rsidR="00E5537C">
        <w:t xml:space="preserve"> доповнити</w:t>
      </w:r>
      <w:r w:rsidR="00E5537C" w:rsidRPr="00F73BB3">
        <w:rPr>
          <w:lang w:val="ru-RU"/>
        </w:rPr>
        <w:t xml:space="preserve"> </w:t>
      </w:r>
      <w:r w:rsidR="00E5537C">
        <w:t>словами</w:t>
      </w:r>
      <w:r w:rsidR="00E5537C" w:rsidRPr="00F73BB3">
        <w:rPr>
          <w:lang w:val="ru-RU"/>
        </w:rPr>
        <w:t xml:space="preserve"> “</w:t>
      </w:r>
      <w:proofErr w:type="spellStart"/>
      <w:r w:rsidR="00E5537C">
        <w:rPr>
          <w:lang w:val="ru-RU"/>
        </w:rPr>
        <w:t>строком</w:t>
      </w:r>
      <w:proofErr w:type="spellEnd"/>
      <w:r w:rsidR="00E5537C">
        <w:rPr>
          <w:lang w:val="ru-RU"/>
        </w:rPr>
        <w:t xml:space="preserve"> до </w:t>
      </w:r>
      <w:r w:rsidR="00353FB6">
        <w:rPr>
          <w:lang w:val="ru-RU"/>
        </w:rPr>
        <w:t>одного</w:t>
      </w:r>
      <w:r w:rsidR="00E5537C">
        <w:rPr>
          <w:lang w:val="ru-RU"/>
        </w:rPr>
        <w:t xml:space="preserve"> року</w:t>
      </w:r>
      <w:r w:rsidR="007C56EC" w:rsidRPr="007C56EC">
        <w:rPr>
          <w:lang w:val="ru-RU"/>
        </w:rPr>
        <w:t>”</w:t>
      </w:r>
      <w:r w:rsidR="00E5537C" w:rsidRPr="00E5537C">
        <w:rPr>
          <w:lang w:val="ru-RU"/>
        </w:rPr>
        <w:t>;</w:t>
      </w:r>
      <w:r w:rsidRPr="0049418A">
        <w:t xml:space="preserve"> </w:t>
      </w:r>
    </w:p>
    <w:p w14:paraId="65029623" w14:textId="4AE24905" w:rsidR="0049418A" w:rsidRPr="00E5537C" w:rsidRDefault="0049418A" w:rsidP="0049418A">
      <w:pPr>
        <w:tabs>
          <w:tab w:val="left" w:pos="567"/>
        </w:tabs>
        <w:ind w:firstLine="567"/>
        <w:rPr>
          <w:lang w:val="ru-RU"/>
        </w:rPr>
      </w:pPr>
      <w:r>
        <w:t xml:space="preserve">слова </w:t>
      </w:r>
      <w:r w:rsidRPr="00E5537C">
        <w:rPr>
          <w:lang w:val="ru-RU"/>
        </w:rPr>
        <w:t>“</w:t>
      </w:r>
      <w:proofErr w:type="spellStart"/>
      <w:r>
        <w:rPr>
          <w:lang w:val="ru-RU"/>
        </w:rPr>
        <w:t>бланкові</w:t>
      </w:r>
      <w:proofErr w:type="spellEnd"/>
      <w:r w:rsidRPr="00E5537C">
        <w:rPr>
          <w:lang w:val="ru-RU"/>
        </w:rPr>
        <w:t>”</w:t>
      </w:r>
      <w:r>
        <w:t xml:space="preserve">, </w:t>
      </w:r>
      <w:r w:rsidRPr="00E5537C">
        <w:rPr>
          <w:lang w:val="ru-RU"/>
        </w:rPr>
        <w:t>“</w:t>
      </w:r>
      <w:r>
        <w:rPr>
          <w:lang w:val="ru-RU"/>
        </w:rPr>
        <w:t>(</w:t>
      </w:r>
      <w:r>
        <w:t xml:space="preserve">кредити </w:t>
      </w:r>
      <w:proofErr w:type="spellStart"/>
      <w:r>
        <w:t>овернайт</w:t>
      </w:r>
      <w:proofErr w:type="spellEnd"/>
      <w:r>
        <w:t xml:space="preserve"> та кредити рефінансування бланкові) (далі – бланкове рефінансування)</w:t>
      </w:r>
      <w:r w:rsidRPr="00E5537C">
        <w:rPr>
          <w:lang w:val="ru-RU"/>
        </w:rPr>
        <w:t>”</w:t>
      </w:r>
      <w:r>
        <w:t xml:space="preserve"> виключити</w:t>
      </w:r>
      <w:r w:rsidRPr="00E5537C">
        <w:rPr>
          <w:lang w:val="ru-RU"/>
        </w:rPr>
        <w:t>;</w:t>
      </w:r>
    </w:p>
    <w:p w14:paraId="4FC963D9" w14:textId="57DC5248" w:rsidR="00F54149" w:rsidRDefault="00E5537C" w:rsidP="00E5537C">
      <w:pPr>
        <w:tabs>
          <w:tab w:val="left" w:pos="567"/>
        </w:tabs>
        <w:ind w:firstLine="567"/>
      </w:pPr>
      <w:r>
        <w:t xml:space="preserve">пункт </w:t>
      </w:r>
      <w:r w:rsidR="00F54149">
        <w:t>доповнити двома новими абзацами такого змісту</w:t>
      </w:r>
      <w:r w:rsidR="00F54149" w:rsidRPr="00E5537C">
        <w:rPr>
          <w:lang w:val="ru-RU"/>
        </w:rPr>
        <w:t>:</w:t>
      </w:r>
    </w:p>
    <w:p w14:paraId="7C0854EB" w14:textId="0F408CE2" w:rsidR="00F54149" w:rsidRPr="005C72AA" w:rsidRDefault="00F54149" w:rsidP="00F54149">
      <w:pPr>
        <w:tabs>
          <w:tab w:val="left" w:pos="598"/>
        </w:tabs>
        <w:ind w:firstLine="598"/>
      </w:pPr>
      <w:r w:rsidRPr="00420695">
        <w:t>“</w:t>
      </w:r>
      <w:r w:rsidR="00691E86">
        <w:t xml:space="preserve">Банки мають право подавати </w:t>
      </w:r>
      <w:r w:rsidR="00691E86" w:rsidRPr="005C72AA">
        <w:t xml:space="preserve">до Національного банку </w:t>
      </w:r>
      <w:r w:rsidR="00691E86">
        <w:t>г</w:t>
      </w:r>
      <w:r w:rsidRPr="005C72AA">
        <w:t>енеральні кредитні договори</w:t>
      </w:r>
      <w:r w:rsidR="00605292">
        <w:t xml:space="preserve"> та</w:t>
      </w:r>
      <w:r w:rsidRPr="005C72AA">
        <w:t xml:space="preserve"> додаткові договори до них </w:t>
      </w:r>
      <w:r w:rsidR="00605292">
        <w:t>у</w:t>
      </w:r>
      <w:r w:rsidRPr="005C72AA">
        <w:t xml:space="preserve"> паперовій</w:t>
      </w:r>
      <w:r w:rsidR="00605292">
        <w:t xml:space="preserve"> або </w:t>
      </w:r>
      <w:r w:rsidRPr="005C72AA">
        <w:t>електронн</w:t>
      </w:r>
      <w:r>
        <w:t>ій формі</w:t>
      </w:r>
      <w:r w:rsidRPr="005C72AA">
        <w:t>.</w:t>
      </w:r>
    </w:p>
    <w:p w14:paraId="66AEBA73" w14:textId="2F49F9A9" w:rsidR="00F54149" w:rsidRPr="003B59BB" w:rsidRDefault="00F54149" w:rsidP="006D415A">
      <w:pPr>
        <w:ind w:firstLine="567"/>
        <w:rPr>
          <w:color w:val="000000" w:themeColor="text1"/>
          <w:lang w:val="ru-RU" w:eastAsia="ru-RU"/>
        </w:rPr>
      </w:pPr>
      <w:r w:rsidRPr="005C72AA">
        <w:rPr>
          <w:lang w:eastAsia="ru-RU"/>
        </w:rPr>
        <w:lastRenderedPageBreak/>
        <w:t>Вимог</w:t>
      </w:r>
      <w:r w:rsidR="001B6467">
        <w:rPr>
          <w:lang w:eastAsia="ru-RU"/>
        </w:rPr>
        <w:t>а</w:t>
      </w:r>
      <w:r w:rsidRPr="005C72AA">
        <w:rPr>
          <w:lang w:eastAsia="ru-RU"/>
        </w:rPr>
        <w:t xml:space="preserve"> абзацу </w:t>
      </w:r>
      <w:r>
        <w:rPr>
          <w:lang w:eastAsia="ru-RU"/>
        </w:rPr>
        <w:t>другого</w:t>
      </w:r>
      <w:r w:rsidRPr="005C72AA">
        <w:rPr>
          <w:lang w:eastAsia="ru-RU"/>
        </w:rPr>
        <w:t xml:space="preserve"> пункту 1 цієї постанови поширю</w:t>
      </w:r>
      <w:r w:rsidR="001B6467">
        <w:rPr>
          <w:lang w:eastAsia="ru-RU"/>
        </w:rPr>
        <w:t>є</w:t>
      </w:r>
      <w:r w:rsidRPr="005C72AA">
        <w:rPr>
          <w:lang w:eastAsia="ru-RU"/>
        </w:rPr>
        <w:t xml:space="preserve">ться на всі укладені починаючи з 24 </w:t>
      </w:r>
      <w:r w:rsidR="00766F5B">
        <w:rPr>
          <w:lang w:eastAsia="ru-RU"/>
        </w:rPr>
        <w:t>лютого</w:t>
      </w:r>
      <w:r w:rsidRPr="005C72AA">
        <w:rPr>
          <w:lang w:eastAsia="ru-RU"/>
        </w:rPr>
        <w:t xml:space="preserve"> 2022 року генеральні кредитні договори (</w:t>
      </w:r>
      <w:r w:rsidR="003C7D0D">
        <w:rPr>
          <w:lang w:eastAsia="ru-RU"/>
        </w:rPr>
        <w:t>за</w:t>
      </w:r>
      <w:r w:rsidRPr="005C72AA">
        <w:rPr>
          <w:lang w:eastAsia="ru-RU"/>
        </w:rPr>
        <w:t xml:space="preserve"> наявності)</w:t>
      </w:r>
      <w:r w:rsidR="00605292">
        <w:rPr>
          <w:lang w:eastAsia="ru-RU"/>
        </w:rPr>
        <w:t xml:space="preserve"> та</w:t>
      </w:r>
      <w:r w:rsidRPr="005C72AA">
        <w:rPr>
          <w:lang w:eastAsia="ru-RU"/>
        </w:rPr>
        <w:t xml:space="preserve"> додаткові договори до них.</w:t>
      </w:r>
      <w:r w:rsidRPr="00F54707">
        <w:t>”</w:t>
      </w:r>
      <w:r w:rsidRPr="003B59BB">
        <w:rPr>
          <w:color w:val="000000" w:themeColor="text1"/>
          <w:lang w:val="ru-RU" w:eastAsia="ru-RU"/>
        </w:rPr>
        <w:t>;</w:t>
      </w:r>
    </w:p>
    <w:p w14:paraId="5833AA03" w14:textId="77777777" w:rsidR="00F54149" w:rsidRDefault="00F54149" w:rsidP="00F54149">
      <w:pPr>
        <w:tabs>
          <w:tab w:val="left" w:pos="567"/>
        </w:tabs>
        <w:ind w:firstLine="567"/>
        <w:rPr>
          <w:color w:val="000000" w:themeColor="text1"/>
          <w:lang w:val="ru-RU" w:eastAsia="ru-RU"/>
        </w:rPr>
      </w:pPr>
    </w:p>
    <w:p w14:paraId="510E25EE" w14:textId="0A150B44" w:rsidR="007D47BF" w:rsidRDefault="00F73BB3" w:rsidP="007D47BF">
      <w:pPr>
        <w:pStyle w:val="af3"/>
        <w:numPr>
          <w:ilvl w:val="0"/>
          <w:numId w:val="4"/>
        </w:numPr>
        <w:tabs>
          <w:tab w:val="left" w:pos="567"/>
        </w:tabs>
        <w:ind w:left="0" w:firstLine="567"/>
      </w:pPr>
      <w:r>
        <w:rPr>
          <w:color w:val="000000" w:themeColor="text1"/>
          <w:lang w:eastAsia="ru-RU"/>
        </w:rPr>
        <w:t>пункт 3 викласти в такій редакції</w:t>
      </w:r>
      <w:r w:rsidR="007D47BF" w:rsidRPr="003B59BB">
        <w:rPr>
          <w:lang w:val="ru-RU"/>
        </w:rPr>
        <w:t>:</w:t>
      </w:r>
    </w:p>
    <w:p w14:paraId="41C0AF7E" w14:textId="65F0E9C8" w:rsidR="00F73BB3" w:rsidRDefault="005C4DA1" w:rsidP="00F73BB3">
      <w:pPr>
        <w:pStyle w:val="af4"/>
        <w:spacing w:before="0" w:beforeAutospacing="0" w:after="0" w:afterAutospacing="0"/>
        <w:ind w:firstLine="709"/>
        <w:jc w:val="both"/>
        <w:rPr>
          <w:color w:val="000000" w:themeColor="text1"/>
          <w:sz w:val="28"/>
          <w:szCs w:val="28"/>
        </w:rPr>
      </w:pPr>
      <w:r w:rsidRPr="00F73BB3">
        <w:rPr>
          <w:color w:val="212121"/>
          <w:sz w:val="28"/>
          <w:szCs w:val="28"/>
        </w:rPr>
        <w:t>“</w:t>
      </w:r>
      <w:r w:rsidR="00F73BB3" w:rsidRPr="00B20F76">
        <w:rPr>
          <w:sz w:val="28"/>
          <w:szCs w:val="28"/>
        </w:rPr>
        <w:t>3. Рішення щодо п</w:t>
      </w:r>
      <w:r w:rsidR="00F73BB3" w:rsidRPr="00B20F76">
        <w:rPr>
          <w:color w:val="000000" w:themeColor="text1"/>
          <w:sz w:val="28"/>
          <w:szCs w:val="28"/>
        </w:rPr>
        <w:t xml:space="preserve">еріодичності проведення тендерів з підтримання ліквідності банків, параметрів операцій з рефінансування приймається </w:t>
      </w:r>
      <w:r w:rsidR="00F73BB3" w:rsidRPr="00B20F76">
        <w:rPr>
          <w:sz w:val="28"/>
          <w:szCs w:val="28"/>
        </w:rPr>
        <w:t xml:space="preserve">посадовою особою, яка згідно з наказом Національного банку про розподіл функціональних обов’язків здійснює загальне керівництво та контролює діяльність підрозділів, пов’язану з регулюванням грошово-кредитного ринку </w:t>
      </w:r>
      <w:r w:rsidR="00F73BB3" w:rsidRPr="00B20F76">
        <w:rPr>
          <w:color w:val="000000" w:themeColor="text1"/>
          <w:sz w:val="28"/>
          <w:szCs w:val="28"/>
        </w:rPr>
        <w:t xml:space="preserve">на підставі пропозицій Департаменту відкритих ринків, Департаменту монетарної політики та економічного аналізу. </w:t>
      </w:r>
    </w:p>
    <w:p w14:paraId="7C74CF1F" w14:textId="1D554B47" w:rsidR="00F73BB3" w:rsidRDefault="00F73BB3" w:rsidP="00F73BB3">
      <w:pPr>
        <w:pStyle w:val="af4"/>
        <w:spacing w:before="0" w:beforeAutospacing="0" w:after="0" w:afterAutospacing="0"/>
        <w:ind w:firstLine="709"/>
        <w:jc w:val="both"/>
        <w:rPr>
          <w:sz w:val="28"/>
          <w:szCs w:val="28"/>
          <w:lang w:eastAsia="ru-RU"/>
        </w:rPr>
      </w:pPr>
      <w:proofErr w:type="spellStart"/>
      <w:r w:rsidRPr="005A3213">
        <w:rPr>
          <w:sz w:val="28"/>
          <w:szCs w:val="28"/>
          <w:lang w:eastAsia="ru-RU"/>
        </w:rPr>
        <w:t>Уключення</w:t>
      </w:r>
      <w:proofErr w:type="spellEnd"/>
      <w:r w:rsidRPr="005A3213">
        <w:rPr>
          <w:sz w:val="28"/>
          <w:szCs w:val="28"/>
          <w:lang w:eastAsia="ru-RU"/>
        </w:rPr>
        <w:t xml:space="preserve"> цінних паперів, що пропонуються банком до пулу</w:t>
      </w:r>
      <w:r>
        <w:rPr>
          <w:sz w:val="28"/>
          <w:szCs w:val="28"/>
          <w:lang w:eastAsia="ru-RU"/>
        </w:rPr>
        <w:t xml:space="preserve"> активів (майна)</w:t>
      </w:r>
      <w:r w:rsidRPr="005A3213">
        <w:rPr>
          <w:sz w:val="28"/>
          <w:szCs w:val="28"/>
          <w:lang w:eastAsia="ru-RU"/>
        </w:rPr>
        <w:t xml:space="preserve">, здійснюється шляхом блокування в заставу цінних паперів на рахунку в цінних паперах на користь Національного банку без унесення відповідних відомостей про їх обтяження до Державного реєстру обтяжень рухомого майна (далі – ДРОРМ), а також без перевірки в ДРОРМ відсутності інших обтяжень на активи (майно), що пропонуються банком для включення до пулу. </w:t>
      </w:r>
      <w:r>
        <w:rPr>
          <w:sz w:val="28"/>
          <w:szCs w:val="28"/>
          <w:lang w:eastAsia="ru-RU"/>
        </w:rPr>
        <w:t>Вимоги</w:t>
      </w:r>
      <w:r w:rsidRPr="005A3213">
        <w:rPr>
          <w:sz w:val="28"/>
          <w:szCs w:val="28"/>
          <w:lang w:eastAsia="ru-RU"/>
        </w:rPr>
        <w:t xml:space="preserve">  абзацу </w:t>
      </w:r>
      <w:r w:rsidR="0049418A">
        <w:rPr>
          <w:sz w:val="28"/>
          <w:szCs w:val="28"/>
          <w:lang w:eastAsia="ru-RU"/>
        </w:rPr>
        <w:t>другого</w:t>
      </w:r>
      <w:r w:rsidRPr="005A3213">
        <w:rPr>
          <w:sz w:val="28"/>
          <w:szCs w:val="28"/>
          <w:lang w:eastAsia="ru-RU"/>
        </w:rPr>
        <w:t xml:space="preserve"> пункту 3 цієї постанови поширю</w:t>
      </w:r>
      <w:r w:rsidR="00411174">
        <w:rPr>
          <w:sz w:val="28"/>
          <w:szCs w:val="28"/>
          <w:lang w:eastAsia="ru-RU"/>
        </w:rPr>
        <w:t>ю</w:t>
      </w:r>
      <w:r w:rsidRPr="005A3213">
        <w:rPr>
          <w:sz w:val="28"/>
          <w:szCs w:val="28"/>
          <w:lang w:eastAsia="ru-RU"/>
        </w:rPr>
        <w:t>ться на дії Національного банку без реєстрації в ДРОРМ, які були вчинені, починаючи з 02 березня 2022 року.</w:t>
      </w:r>
    </w:p>
    <w:p w14:paraId="283ADB2A" w14:textId="77777777" w:rsidR="00F73BB3" w:rsidRPr="005A3213" w:rsidRDefault="00F73BB3" w:rsidP="00F73BB3">
      <w:pPr>
        <w:pStyle w:val="af4"/>
        <w:spacing w:before="0" w:beforeAutospacing="0" w:after="0" w:afterAutospacing="0"/>
        <w:ind w:firstLine="709"/>
        <w:jc w:val="both"/>
        <w:rPr>
          <w:sz w:val="28"/>
          <w:szCs w:val="28"/>
          <w:lang w:eastAsia="ru-RU"/>
        </w:rPr>
      </w:pPr>
      <w:r>
        <w:rPr>
          <w:sz w:val="28"/>
          <w:szCs w:val="28"/>
          <w:lang w:eastAsia="ru-RU"/>
        </w:rPr>
        <w:t>Відповідальність за відсутність в ДРОРМ інших обтяжень на активи (майно), що пропонуються банком для включення до пулу та передавання їх у заставу, покладається на банк.</w:t>
      </w:r>
    </w:p>
    <w:p w14:paraId="74F69A52" w14:textId="77777777" w:rsidR="00F73BB3" w:rsidRPr="00DA7A32" w:rsidRDefault="00F73BB3" w:rsidP="00F73BB3">
      <w:pPr>
        <w:pStyle w:val="af4"/>
        <w:spacing w:before="0" w:beforeAutospacing="0" w:after="0" w:afterAutospacing="0"/>
        <w:ind w:firstLine="567"/>
        <w:jc w:val="both"/>
        <w:rPr>
          <w:sz w:val="28"/>
          <w:lang w:val="ru-RU"/>
        </w:rPr>
      </w:pPr>
      <w:r w:rsidRPr="00E0547D">
        <w:rPr>
          <w:sz w:val="28"/>
        </w:rPr>
        <w:t>Цінні папери враховуються у вартості пулу активів (майна) до настання строку їх погашення</w:t>
      </w:r>
      <w:r w:rsidRPr="00E0547D">
        <w:rPr>
          <w:sz w:val="28"/>
          <w:lang w:val="ru-RU"/>
        </w:rPr>
        <w:t>.</w:t>
      </w:r>
    </w:p>
    <w:p w14:paraId="338B213E" w14:textId="77777777" w:rsidR="00F73BB3" w:rsidRPr="00BA0CA2" w:rsidRDefault="00F73BB3" w:rsidP="00F73BB3">
      <w:pPr>
        <w:pStyle w:val="af4"/>
        <w:spacing w:before="0" w:beforeAutospacing="0" w:after="0" w:afterAutospacing="0"/>
        <w:ind w:firstLine="567"/>
        <w:jc w:val="both"/>
        <w:rPr>
          <w:sz w:val="28"/>
          <w:szCs w:val="28"/>
        </w:rPr>
      </w:pPr>
      <w:r w:rsidRPr="00BA0CA2">
        <w:rPr>
          <w:sz w:val="28"/>
          <w:szCs w:val="28"/>
        </w:rPr>
        <w:t>Вартість пулу активів (майна), переданого банком у заставу,</w:t>
      </w:r>
      <w:r w:rsidRPr="00BA0CA2">
        <w:rPr>
          <w:rStyle w:val="apple-converted-space"/>
          <w:sz w:val="28"/>
          <w:szCs w:val="28"/>
        </w:rPr>
        <w:t xml:space="preserve"> у разі належного виконання ним умов генерального кредитного договору та враховуючи, що банк за всіма кредитами, наданими Національним банком, не має простроченої заборгованості (основна сума кредиту, проценти за користування ним), </w:t>
      </w:r>
      <w:r w:rsidRPr="00BA0CA2">
        <w:rPr>
          <w:sz w:val="28"/>
          <w:szCs w:val="28"/>
        </w:rPr>
        <w:t>починаючи з 19 вересня 2022 року розраховується за такою формулою:</w:t>
      </w:r>
    </w:p>
    <w:p w14:paraId="7B871F43" w14:textId="77777777" w:rsidR="00F73BB3" w:rsidRPr="006B7EF5" w:rsidRDefault="00F73BB3" w:rsidP="00F73BB3">
      <w:pPr>
        <w:jc w:val="center"/>
        <w:rPr>
          <w:i/>
          <w:iCs/>
          <w:color w:val="212121"/>
        </w:rPr>
      </w:pPr>
      <w:proofErr w:type="spellStart"/>
      <w:r w:rsidRPr="006B7EF5">
        <w:rPr>
          <w:i/>
          <w:iCs/>
          <w:color w:val="212121"/>
        </w:rPr>
        <w:t>В</w:t>
      </w:r>
      <w:r w:rsidRPr="006B7EF5">
        <w:rPr>
          <w:i/>
          <w:iCs/>
          <w:color w:val="212121"/>
          <w:vertAlign w:val="subscript"/>
        </w:rPr>
        <w:t>п</w:t>
      </w:r>
      <w:proofErr w:type="spellEnd"/>
      <w:r w:rsidRPr="006B7EF5">
        <w:rPr>
          <w:i/>
          <w:iCs/>
          <w:color w:val="212121"/>
        </w:rPr>
        <w:t xml:space="preserve">= </w:t>
      </w:r>
      <w:proofErr w:type="spellStart"/>
      <w:r w:rsidRPr="006B7EF5">
        <w:rPr>
          <w:i/>
          <w:iCs/>
          <w:color w:val="212121"/>
        </w:rPr>
        <w:t>В</w:t>
      </w:r>
      <w:r w:rsidRPr="006B7EF5">
        <w:rPr>
          <w:i/>
          <w:iCs/>
          <w:color w:val="212121"/>
          <w:vertAlign w:val="subscript"/>
        </w:rPr>
        <w:t>псв</w:t>
      </w:r>
      <w:proofErr w:type="spellEnd"/>
      <w:r w:rsidRPr="006B7EF5">
        <w:rPr>
          <w:color w:val="212121"/>
        </w:rPr>
        <w:t xml:space="preserve"> *</w:t>
      </w:r>
      <w:r w:rsidRPr="006B7EF5">
        <w:rPr>
          <w:i/>
          <w:iCs/>
          <w:color w:val="212121"/>
        </w:rPr>
        <w:t xml:space="preserve">К + </w:t>
      </w:r>
      <w:proofErr w:type="spellStart"/>
      <w:r w:rsidRPr="006B7EF5">
        <w:rPr>
          <w:i/>
          <w:iCs/>
          <w:color w:val="212121"/>
        </w:rPr>
        <w:t>В</w:t>
      </w:r>
      <w:r w:rsidRPr="006B7EF5">
        <w:rPr>
          <w:i/>
          <w:iCs/>
          <w:color w:val="212121"/>
          <w:vertAlign w:val="subscript"/>
        </w:rPr>
        <w:t>пнв</w:t>
      </w:r>
      <w:proofErr w:type="spellEnd"/>
      <w:r w:rsidRPr="006B7EF5">
        <w:rPr>
          <w:color w:val="212121"/>
        </w:rPr>
        <w:t xml:space="preserve"> * (1 – </w:t>
      </w:r>
      <w:r w:rsidRPr="006B7EF5">
        <w:rPr>
          <w:i/>
          <w:iCs/>
          <w:color w:val="212121"/>
        </w:rPr>
        <w:t>К)</w:t>
      </w:r>
      <w:r w:rsidRPr="00B2530E">
        <w:rPr>
          <w:iCs/>
          <w:color w:val="212121"/>
        </w:rPr>
        <w:t>,</w:t>
      </w:r>
    </w:p>
    <w:p w14:paraId="09C74215" w14:textId="77777777" w:rsidR="00F73BB3" w:rsidRPr="006B7EF5" w:rsidRDefault="00F73BB3" w:rsidP="00F73BB3">
      <w:pPr>
        <w:rPr>
          <w:color w:val="212121"/>
        </w:rPr>
      </w:pPr>
    </w:p>
    <w:p w14:paraId="3C3ED31B" w14:textId="77777777" w:rsidR="00F73BB3" w:rsidRPr="006B7EF5" w:rsidRDefault="00F73BB3" w:rsidP="00F73BB3">
      <w:pPr>
        <w:rPr>
          <w:color w:val="212121"/>
        </w:rPr>
      </w:pPr>
      <w:r w:rsidRPr="006B7EF5">
        <w:rPr>
          <w:color w:val="212121"/>
        </w:rPr>
        <w:t>де</w:t>
      </w:r>
      <w:r w:rsidRPr="006B7EF5">
        <w:rPr>
          <w:i/>
          <w:iCs/>
          <w:color w:val="212121"/>
        </w:rPr>
        <w:t xml:space="preserve"> </w:t>
      </w:r>
      <w:r>
        <w:rPr>
          <w:i/>
          <w:iCs/>
          <w:color w:val="212121"/>
        </w:rPr>
        <w:t xml:space="preserve">    </w:t>
      </w:r>
      <w:proofErr w:type="spellStart"/>
      <w:r w:rsidRPr="006B7EF5">
        <w:rPr>
          <w:i/>
          <w:iCs/>
          <w:color w:val="212121"/>
        </w:rPr>
        <w:t>В</w:t>
      </w:r>
      <w:r w:rsidRPr="006B7EF5">
        <w:rPr>
          <w:i/>
          <w:iCs/>
          <w:color w:val="212121"/>
          <w:vertAlign w:val="subscript"/>
        </w:rPr>
        <w:t>п</w:t>
      </w:r>
      <w:proofErr w:type="spellEnd"/>
      <w:r w:rsidRPr="00753FAA">
        <w:rPr>
          <w:i/>
          <w:iCs/>
          <w:color w:val="212121"/>
        </w:rPr>
        <w:t xml:space="preserve"> </w:t>
      </w:r>
      <w:r>
        <w:rPr>
          <w:color w:val="212121"/>
        </w:rPr>
        <w:t>−</w:t>
      </w:r>
      <w:r w:rsidRPr="006B7EF5">
        <w:rPr>
          <w:i/>
          <w:iCs/>
          <w:color w:val="212121"/>
        </w:rPr>
        <w:t xml:space="preserve"> </w:t>
      </w:r>
      <w:r w:rsidRPr="006B7EF5">
        <w:rPr>
          <w:color w:val="212121"/>
        </w:rPr>
        <w:t>вартість пулу активів (майна);</w:t>
      </w:r>
    </w:p>
    <w:p w14:paraId="5135847B" w14:textId="77777777" w:rsidR="00F73BB3" w:rsidRPr="006B7EF5" w:rsidRDefault="00F73BB3" w:rsidP="00F73BB3">
      <w:pPr>
        <w:ind w:firstLine="567"/>
        <w:rPr>
          <w:color w:val="212121"/>
        </w:rPr>
      </w:pPr>
      <w:proofErr w:type="spellStart"/>
      <w:r w:rsidRPr="006B7EF5">
        <w:rPr>
          <w:i/>
          <w:iCs/>
          <w:color w:val="212121"/>
        </w:rPr>
        <w:t>В</w:t>
      </w:r>
      <w:r w:rsidRPr="006B7EF5">
        <w:rPr>
          <w:i/>
          <w:iCs/>
          <w:color w:val="212121"/>
          <w:vertAlign w:val="subscript"/>
        </w:rPr>
        <w:t>псв</w:t>
      </w:r>
      <w:proofErr w:type="spellEnd"/>
      <w:r w:rsidRPr="006B7EF5">
        <w:rPr>
          <w:color w:val="212121"/>
        </w:rPr>
        <w:t xml:space="preserve"> </w:t>
      </w:r>
      <w:r>
        <w:rPr>
          <w:color w:val="212121"/>
        </w:rPr>
        <w:t>−</w:t>
      </w:r>
      <w:r w:rsidRPr="006B7EF5">
        <w:rPr>
          <w:color w:val="212121"/>
        </w:rPr>
        <w:t xml:space="preserve"> вартість пулу активів (майна), розрахована із застосуванням справедливої вартості цінних паперів, що входять до складу пулу активів (майна), та коригуючих коефіцієнтів;</w:t>
      </w:r>
    </w:p>
    <w:p w14:paraId="0D283C14" w14:textId="77777777" w:rsidR="00F73BB3" w:rsidRPr="006B7EF5" w:rsidRDefault="00F73BB3" w:rsidP="00F73BB3">
      <w:pPr>
        <w:ind w:firstLine="567"/>
        <w:rPr>
          <w:color w:val="212121"/>
        </w:rPr>
      </w:pPr>
      <w:proofErr w:type="spellStart"/>
      <w:r w:rsidRPr="006B7EF5">
        <w:rPr>
          <w:i/>
          <w:iCs/>
          <w:color w:val="212121"/>
        </w:rPr>
        <w:t>В</w:t>
      </w:r>
      <w:r w:rsidRPr="006B7EF5">
        <w:rPr>
          <w:i/>
          <w:iCs/>
          <w:color w:val="212121"/>
          <w:vertAlign w:val="subscript"/>
        </w:rPr>
        <w:t>пнв</w:t>
      </w:r>
      <w:proofErr w:type="spellEnd"/>
      <w:r w:rsidRPr="006B7EF5">
        <w:rPr>
          <w:color w:val="212121"/>
        </w:rPr>
        <w:t xml:space="preserve"> </w:t>
      </w:r>
      <w:r>
        <w:rPr>
          <w:color w:val="212121"/>
        </w:rPr>
        <w:t>−</w:t>
      </w:r>
      <w:r w:rsidRPr="006B7EF5">
        <w:rPr>
          <w:color w:val="212121"/>
        </w:rPr>
        <w:t xml:space="preserve"> вартість пулу активів (майна), розрахована із застосуванням номінальної вартості цінних паперів, що входять до складу пулу активів (майна);</w:t>
      </w:r>
    </w:p>
    <w:p w14:paraId="5B957320" w14:textId="77777777" w:rsidR="00F73BB3" w:rsidRPr="006B7EF5" w:rsidRDefault="00F73BB3" w:rsidP="00F73BB3">
      <w:pPr>
        <w:ind w:firstLine="567"/>
        <w:rPr>
          <w:color w:val="212121"/>
        </w:rPr>
      </w:pPr>
      <w:r w:rsidRPr="006B7EF5">
        <w:rPr>
          <w:i/>
          <w:iCs/>
          <w:color w:val="212121"/>
        </w:rPr>
        <w:t>К</w:t>
      </w:r>
      <w:r w:rsidRPr="006B7EF5">
        <w:rPr>
          <w:color w:val="212121"/>
        </w:rPr>
        <w:t xml:space="preserve"> – частка основної заборгованості за кредитами,  отриманими банком після</w:t>
      </w:r>
      <w:r w:rsidRPr="006B7EF5">
        <w:t xml:space="preserve"> 1</w:t>
      </w:r>
      <w:r>
        <w:t>9</w:t>
      </w:r>
      <w:r w:rsidRPr="006B7EF5">
        <w:t xml:space="preserve"> вересня </w:t>
      </w:r>
      <w:r w:rsidRPr="006B7EF5">
        <w:rPr>
          <w:color w:val="212121"/>
        </w:rPr>
        <w:t xml:space="preserve">2022 року, включаючи кредити, надані на повернення раніше </w:t>
      </w:r>
      <w:r w:rsidRPr="006B7EF5">
        <w:rPr>
          <w:color w:val="212121"/>
        </w:rPr>
        <w:lastRenderedPageBreak/>
        <w:t>отриманих кредитів, у загальній сумі основної заборгованості за кредитами, отриманими банком за генеральним кредитним договором.</w:t>
      </w:r>
      <w:r w:rsidRPr="006B7EF5">
        <w:rPr>
          <w:rStyle w:val="apple-converted-space"/>
          <w:color w:val="212121"/>
        </w:rPr>
        <w:t> </w:t>
      </w:r>
    </w:p>
    <w:p w14:paraId="326BC659" w14:textId="77777777" w:rsidR="00F73BB3" w:rsidRPr="00F73BB3" w:rsidRDefault="00F73BB3" w:rsidP="00353FB6">
      <w:pPr>
        <w:tabs>
          <w:tab w:val="left" w:pos="567"/>
        </w:tabs>
        <w:ind w:firstLine="567"/>
        <w:rPr>
          <w:color w:val="212121"/>
        </w:rPr>
      </w:pPr>
      <w:r w:rsidRPr="00BA0CA2">
        <w:rPr>
          <w:color w:val="000000"/>
          <w:shd w:val="clear" w:color="auto" w:fill="FFFFFF"/>
        </w:rPr>
        <w:t xml:space="preserve">Визначення достатності забезпечення під час </w:t>
      </w:r>
      <w:r w:rsidRPr="00BA0CA2">
        <w:rPr>
          <w:color w:val="212121"/>
        </w:rPr>
        <w:t>опрацювання заявок</w:t>
      </w:r>
      <w:r w:rsidRPr="00BA0CA2">
        <w:t xml:space="preserve"> на включення активів (майна) до пулу/виключення активів (майна) з пулу/заміну активів (майна) у пулі</w:t>
      </w:r>
      <w:r w:rsidRPr="00BA0CA2">
        <w:rPr>
          <w:color w:val="212121"/>
        </w:rPr>
        <w:t xml:space="preserve"> </w:t>
      </w:r>
      <w:r w:rsidRPr="00BA0CA2">
        <w:rPr>
          <w:color w:val="000000"/>
          <w:shd w:val="clear" w:color="auto" w:fill="FFFFFF"/>
        </w:rPr>
        <w:t>здійснюється із застосуванням справедливої вартості цінних паперів та коригуючих коефіцієнтів, якщо заявки призводять до зменшення вартості пулу активів (майна), розрахованої із застосуванням справедливої вартості цінних паперів, що входять до складу пулу активів (майна), та коригуючих коефіцієнтів</w:t>
      </w:r>
      <w:r w:rsidRPr="00BA0CA2">
        <w:t>.</w:t>
      </w:r>
      <w:r w:rsidR="005C4DA1" w:rsidRPr="00F73BB3">
        <w:rPr>
          <w:color w:val="212121"/>
        </w:rPr>
        <w:t>”</w:t>
      </w:r>
      <w:r w:rsidRPr="00F73BB3">
        <w:rPr>
          <w:color w:val="212121"/>
        </w:rPr>
        <w:t>;</w:t>
      </w:r>
    </w:p>
    <w:p w14:paraId="5035D440" w14:textId="75F56C6F" w:rsidR="00F73BB3" w:rsidRDefault="00F73BB3" w:rsidP="00F73BB3">
      <w:pPr>
        <w:tabs>
          <w:tab w:val="left" w:pos="567"/>
        </w:tabs>
        <w:rPr>
          <w:color w:val="212121"/>
        </w:rPr>
      </w:pPr>
    </w:p>
    <w:p w14:paraId="4446C78F" w14:textId="77777777" w:rsidR="00F73BB3" w:rsidRPr="00F73BB3" w:rsidRDefault="00291774" w:rsidP="00291774">
      <w:pPr>
        <w:pStyle w:val="af3"/>
        <w:numPr>
          <w:ilvl w:val="0"/>
          <w:numId w:val="4"/>
        </w:numPr>
        <w:tabs>
          <w:tab w:val="left" w:pos="567"/>
        </w:tabs>
        <w:rPr>
          <w:color w:val="000000" w:themeColor="text1"/>
          <w:lang w:val="ru-RU" w:eastAsia="ru-RU"/>
        </w:rPr>
      </w:pPr>
      <w:r>
        <w:rPr>
          <w:color w:val="000000" w:themeColor="text1"/>
          <w:lang w:eastAsia="ru-RU"/>
        </w:rPr>
        <w:t>пункт</w:t>
      </w:r>
      <w:r w:rsidR="00F73BB3">
        <w:rPr>
          <w:color w:val="000000" w:themeColor="text1"/>
          <w:lang w:eastAsia="ru-RU"/>
        </w:rPr>
        <w:t>и 6, 6</w:t>
      </w:r>
      <w:r w:rsidR="00F73BB3" w:rsidRPr="00F73BB3">
        <w:rPr>
          <w:color w:val="000000" w:themeColor="text1"/>
          <w:vertAlign w:val="superscript"/>
          <w:lang w:eastAsia="ru-RU"/>
        </w:rPr>
        <w:t>1</w:t>
      </w:r>
      <w:r w:rsidR="00F73BB3">
        <w:rPr>
          <w:color w:val="000000" w:themeColor="text1"/>
          <w:lang w:eastAsia="ru-RU"/>
        </w:rPr>
        <w:t>,</w:t>
      </w:r>
      <w:r>
        <w:rPr>
          <w:color w:val="000000" w:themeColor="text1"/>
          <w:lang w:eastAsia="ru-RU"/>
        </w:rPr>
        <w:t xml:space="preserve"> 6</w:t>
      </w:r>
      <w:r w:rsidRPr="00291774">
        <w:rPr>
          <w:color w:val="000000" w:themeColor="text1"/>
          <w:vertAlign w:val="superscript"/>
          <w:lang w:eastAsia="ru-RU"/>
        </w:rPr>
        <w:t>2</w:t>
      </w:r>
      <w:r w:rsidR="00F73BB3" w:rsidRPr="00F73BB3">
        <w:rPr>
          <w:color w:val="000000" w:themeColor="text1"/>
          <w:lang w:eastAsia="ru-RU"/>
        </w:rPr>
        <w:t>,</w:t>
      </w:r>
      <w:r w:rsidR="00F73BB3">
        <w:rPr>
          <w:color w:val="000000" w:themeColor="text1"/>
          <w:lang w:eastAsia="ru-RU"/>
        </w:rPr>
        <w:t xml:space="preserve"> 9</w:t>
      </w:r>
      <w:r>
        <w:rPr>
          <w:color w:val="000000" w:themeColor="text1"/>
          <w:lang w:eastAsia="ru-RU"/>
        </w:rPr>
        <w:t xml:space="preserve"> </w:t>
      </w:r>
      <w:r w:rsidR="00F73BB3">
        <w:rPr>
          <w:color w:val="000000" w:themeColor="text1"/>
          <w:lang w:eastAsia="ru-RU"/>
        </w:rPr>
        <w:t>виключити.</w:t>
      </w:r>
    </w:p>
    <w:p w14:paraId="20BCCB9F" w14:textId="77777777" w:rsidR="007C3B4D" w:rsidRDefault="007C3B4D" w:rsidP="007C3B4D">
      <w:pPr>
        <w:ind w:firstLine="567"/>
      </w:pPr>
    </w:p>
    <w:p w14:paraId="05DC4CE9" w14:textId="6A9DBE3A" w:rsidR="008E5E0A" w:rsidRPr="005C72AA" w:rsidRDefault="007C3B4D" w:rsidP="008E5E0A">
      <w:pPr>
        <w:tabs>
          <w:tab w:val="left" w:pos="598"/>
        </w:tabs>
        <w:ind w:firstLine="598"/>
      </w:pPr>
      <w:r>
        <w:t xml:space="preserve">2. </w:t>
      </w:r>
      <w:r w:rsidR="00691E86">
        <w:t xml:space="preserve">Банки мають право подавати </w:t>
      </w:r>
      <w:r w:rsidR="00691E86" w:rsidRPr="005C72AA">
        <w:t xml:space="preserve">до Національного банку </w:t>
      </w:r>
      <w:r w:rsidR="00691E86">
        <w:t>г</w:t>
      </w:r>
      <w:r w:rsidR="008E5E0A" w:rsidRPr="005C72AA">
        <w:t>енеральні договор</w:t>
      </w:r>
      <w:r w:rsidR="008E5E0A">
        <w:t xml:space="preserve">и про проведення операцій </w:t>
      </w:r>
      <w:proofErr w:type="spellStart"/>
      <w:r w:rsidR="008E5E0A">
        <w:t>своп</w:t>
      </w:r>
      <w:proofErr w:type="spellEnd"/>
      <w:r w:rsidR="008E5E0A">
        <w:t xml:space="preserve"> процентної ставки</w:t>
      </w:r>
      <w:r w:rsidR="008E5E0A" w:rsidRPr="005C72AA">
        <w:t>,</w:t>
      </w:r>
      <w:r w:rsidR="008E5E0A">
        <w:t xml:space="preserve"> укладені відповідно до</w:t>
      </w:r>
      <w:r w:rsidR="008E5E0A" w:rsidRPr="005C72AA">
        <w:t xml:space="preserve"> </w:t>
      </w:r>
      <w:r w:rsidR="008E5E0A" w:rsidRPr="00691A50">
        <w:rPr>
          <w:bCs/>
        </w:rPr>
        <w:t xml:space="preserve">Положення про проведення Національним банком України на міжбанківському ринку операцій </w:t>
      </w:r>
      <w:proofErr w:type="spellStart"/>
      <w:r w:rsidR="008E5E0A" w:rsidRPr="00691A50">
        <w:rPr>
          <w:bCs/>
        </w:rPr>
        <w:t>своп</w:t>
      </w:r>
      <w:proofErr w:type="spellEnd"/>
      <w:r w:rsidR="008E5E0A" w:rsidRPr="00691A50">
        <w:rPr>
          <w:bCs/>
        </w:rPr>
        <w:t xml:space="preserve"> процентної ставки</w:t>
      </w:r>
      <w:r w:rsidR="008E5E0A" w:rsidRPr="00691A50">
        <w:t xml:space="preserve">, </w:t>
      </w:r>
      <w:r w:rsidR="008E5E0A">
        <w:t xml:space="preserve">затвердженого </w:t>
      </w:r>
      <w:r w:rsidR="008E5E0A" w:rsidRPr="006B5B52">
        <w:rPr>
          <w:lang w:eastAsia="ru-RU"/>
        </w:rPr>
        <w:t>постанов</w:t>
      </w:r>
      <w:r w:rsidR="008E5E0A">
        <w:rPr>
          <w:lang w:eastAsia="ru-RU"/>
        </w:rPr>
        <w:t>ою</w:t>
      </w:r>
      <w:r w:rsidR="008E5E0A" w:rsidRPr="006B5B52">
        <w:rPr>
          <w:lang w:eastAsia="ru-RU"/>
        </w:rPr>
        <w:t xml:space="preserve"> Правління Національного банку України від 2</w:t>
      </w:r>
      <w:r w:rsidR="008E5E0A">
        <w:rPr>
          <w:lang w:eastAsia="ru-RU"/>
        </w:rPr>
        <w:t>8</w:t>
      </w:r>
      <w:r w:rsidR="008E5E0A" w:rsidRPr="006B5B52">
        <w:rPr>
          <w:lang w:eastAsia="ru-RU"/>
        </w:rPr>
        <w:t> </w:t>
      </w:r>
      <w:r w:rsidR="008E5E0A">
        <w:rPr>
          <w:lang w:eastAsia="ru-RU"/>
        </w:rPr>
        <w:t>травня</w:t>
      </w:r>
      <w:r w:rsidR="008E5E0A" w:rsidRPr="006B5B52">
        <w:rPr>
          <w:lang w:eastAsia="ru-RU"/>
        </w:rPr>
        <w:t xml:space="preserve"> 202</w:t>
      </w:r>
      <w:r w:rsidR="008E5E0A">
        <w:rPr>
          <w:lang w:eastAsia="ru-RU"/>
        </w:rPr>
        <w:t>0</w:t>
      </w:r>
      <w:r w:rsidR="008E5E0A" w:rsidRPr="006B5B52">
        <w:rPr>
          <w:lang w:eastAsia="ru-RU"/>
        </w:rPr>
        <w:t xml:space="preserve"> року №</w:t>
      </w:r>
      <w:r w:rsidR="00605292">
        <w:rPr>
          <w:lang w:eastAsia="ru-RU"/>
        </w:rPr>
        <w:t> </w:t>
      </w:r>
      <w:r w:rsidR="008E5E0A">
        <w:rPr>
          <w:lang w:eastAsia="ru-RU"/>
        </w:rPr>
        <w:t>67</w:t>
      </w:r>
      <w:r w:rsidR="008E5E0A" w:rsidRPr="006B5B52">
        <w:rPr>
          <w:lang w:eastAsia="ru-RU"/>
        </w:rPr>
        <w:t xml:space="preserve"> (зі змінами)</w:t>
      </w:r>
      <w:r w:rsidR="00953EB3">
        <w:rPr>
          <w:lang w:eastAsia="ru-RU"/>
        </w:rPr>
        <w:t>,</w:t>
      </w:r>
      <w:r w:rsidR="00605292">
        <w:rPr>
          <w:lang w:eastAsia="ru-RU"/>
        </w:rPr>
        <w:t xml:space="preserve"> та</w:t>
      </w:r>
      <w:r w:rsidR="008E5E0A">
        <w:rPr>
          <w:lang w:eastAsia="ru-RU"/>
        </w:rPr>
        <w:t xml:space="preserve"> </w:t>
      </w:r>
      <w:r w:rsidR="008E5E0A" w:rsidRPr="005C72AA">
        <w:t xml:space="preserve">додаткові договори до них </w:t>
      </w:r>
      <w:r w:rsidR="00605292">
        <w:t xml:space="preserve">у </w:t>
      </w:r>
      <w:r w:rsidR="008E5E0A" w:rsidRPr="005C72AA">
        <w:t>паперовій</w:t>
      </w:r>
      <w:r w:rsidR="00605292">
        <w:t xml:space="preserve"> або</w:t>
      </w:r>
      <w:r w:rsidR="008E5E0A" w:rsidRPr="005C72AA">
        <w:t xml:space="preserve"> електронн</w:t>
      </w:r>
      <w:r w:rsidR="008E5E0A">
        <w:t>ій формі</w:t>
      </w:r>
      <w:r w:rsidR="008E5E0A" w:rsidRPr="005C72AA">
        <w:t>.</w:t>
      </w:r>
    </w:p>
    <w:p w14:paraId="6F7F3852" w14:textId="5098432A" w:rsidR="008E5E0A" w:rsidRDefault="008E5E0A" w:rsidP="008E5E0A">
      <w:pPr>
        <w:ind w:firstLine="567"/>
      </w:pPr>
      <w:r w:rsidRPr="005C72AA">
        <w:rPr>
          <w:lang w:eastAsia="ru-RU"/>
        </w:rPr>
        <w:t>Вимог</w:t>
      </w:r>
      <w:r w:rsidR="001B6467">
        <w:rPr>
          <w:lang w:eastAsia="ru-RU"/>
        </w:rPr>
        <w:t>а</w:t>
      </w:r>
      <w:r w:rsidRPr="005C72AA">
        <w:rPr>
          <w:lang w:eastAsia="ru-RU"/>
        </w:rPr>
        <w:t xml:space="preserve">  абзацу </w:t>
      </w:r>
      <w:r w:rsidR="00EB22DA">
        <w:rPr>
          <w:lang w:eastAsia="ru-RU"/>
        </w:rPr>
        <w:t>першого</w:t>
      </w:r>
      <w:r w:rsidR="00927905">
        <w:rPr>
          <w:lang w:eastAsia="ru-RU"/>
        </w:rPr>
        <w:t xml:space="preserve"> </w:t>
      </w:r>
      <w:r w:rsidRPr="005C72AA">
        <w:rPr>
          <w:lang w:eastAsia="ru-RU"/>
        </w:rPr>
        <w:t xml:space="preserve">пункту </w:t>
      </w:r>
      <w:r w:rsidR="00927905">
        <w:rPr>
          <w:lang w:eastAsia="ru-RU"/>
        </w:rPr>
        <w:t>2</w:t>
      </w:r>
      <w:r w:rsidRPr="005C72AA">
        <w:rPr>
          <w:lang w:eastAsia="ru-RU"/>
        </w:rPr>
        <w:t xml:space="preserve"> цієї постанови поширю</w:t>
      </w:r>
      <w:r w:rsidR="001B6467">
        <w:rPr>
          <w:lang w:eastAsia="ru-RU"/>
        </w:rPr>
        <w:t>є</w:t>
      </w:r>
      <w:r w:rsidRPr="005C72AA">
        <w:rPr>
          <w:lang w:eastAsia="ru-RU"/>
        </w:rPr>
        <w:t xml:space="preserve">ться на всі укладені починаючи з 24 </w:t>
      </w:r>
      <w:r w:rsidR="00766F5B">
        <w:rPr>
          <w:lang w:eastAsia="ru-RU"/>
        </w:rPr>
        <w:t>лютого</w:t>
      </w:r>
      <w:r w:rsidRPr="005C72AA">
        <w:rPr>
          <w:lang w:eastAsia="ru-RU"/>
        </w:rPr>
        <w:t xml:space="preserve"> 2022 року генеральні договори </w:t>
      </w:r>
      <w:r w:rsidR="00927905">
        <w:t xml:space="preserve">про проведення операцій </w:t>
      </w:r>
      <w:proofErr w:type="spellStart"/>
      <w:r w:rsidR="00927905">
        <w:t>своп</w:t>
      </w:r>
      <w:proofErr w:type="spellEnd"/>
      <w:r w:rsidR="00927905">
        <w:t xml:space="preserve"> процентної ставки </w:t>
      </w:r>
      <w:r w:rsidRPr="005C72AA">
        <w:rPr>
          <w:lang w:eastAsia="ru-RU"/>
        </w:rPr>
        <w:t>(</w:t>
      </w:r>
      <w:r w:rsidR="003C7D0D">
        <w:rPr>
          <w:lang w:eastAsia="ru-RU"/>
        </w:rPr>
        <w:t>за</w:t>
      </w:r>
      <w:r w:rsidRPr="005C72AA">
        <w:rPr>
          <w:lang w:eastAsia="ru-RU"/>
        </w:rPr>
        <w:t xml:space="preserve"> наявності)</w:t>
      </w:r>
      <w:r w:rsidR="00605292">
        <w:rPr>
          <w:lang w:eastAsia="ru-RU"/>
        </w:rPr>
        <w:t xml:space="preserve"> та</w:t>
      </w:r>
      <w:r w:rsidRPr="005C72AA">
        <w:rPr>
          <w:lang w:eastAsia="ru-RU"/>
        </w:rPr>
        <w:t xml:space="preserve"> додаткові договори до них</w:t>
      </w:r>
      <w:r>
        <w:t>.</w:t>
      </w:r>
    </w:p>
    <w:p w14:paraId="7EA08C09" w14:textId="77777777" w:rsidR="00AD7DF9" w:rsidRPr="006B5B52" w:rsidRDefault="005C72AA" w:rsidP="006B5B52">
      <w:pPr>
        <w:spacing w:before="240" w:after="240"/>
        <w:ind w:firstLine="567"/>
        <w:rPr>
          <w:rFonts w:eastAsiaTheme="minorEastAsia"/>
          <w:noProof/>
          <w:lang w:eastAsia="en-US"/>
        </w:rPr>
      </w:pPr>
      <w:r>
        <w:rPr>
          <w:rFonts w:eastAsiaTheme="minorEastAsia"/>
          <w:noProof/>
          <w:lang w:eastAsia="en-US"/>
        </w:rPr>
        <w:t>3</w:t>
      </w:r>
      <w:r w:rsidR="00937B48" w:rsidRPr="006B5B52">
        <w:rPr>
          <w:rFonts w:eastAsiaTheme="minorEastAsia"/>
          <w:noProof/>
          <w:lang w:eastAsia="en-US"/>
        </w:rPr>
        <w:t>. </w:t>
      </w:r>
      <w:r w:rsidR="00D829C7" w:rsidRPr="006B5B52">
        <w:rPr>
          <w:lang w:eastAsia="ru-RU"/>
        </w:rPr>
        <w:t xml:space="preserve">Департаменту відкритих ринків (Олексій </w:t>
      </w:r>
      <w:proofErr w:type="spellStart"/>
      <w:r w:rsidR="00D829C7" w:rsidRPr="006B5B52">
        <w:rPr>
          <w:lang w:eastAsia="ru-RU"/>
        </w:rPr>
        <w:t>Лупін</w:t>
      </w:r>
      <w:proofErr w:type="spellEnd"/>
      <w:r w:rsidR="00D829C7" w:rsidRPr="006B5B52">
        <w:rPr>
          <w:lang w:eastAsia="ru-RU"/>
        </w:rPr>
        <w:t>) після офіційного опублікування довести до відома банків України інформацію про прийняття цієї постанови</w:t>
      </w:r>
      <w:r w:rsidR="00D829C7" w:rsidRPr="006B5B52">
        <w:rPr>
          <w:rFonts w:eastAsiaTheme="minorEastAsia"/>
          <w:noProof/>
          <w:lang w:eastAsia="en-US"/>
        </w:rPr>
        <w:t>.</w:t>
      </w:r>
    </w:p>
    <w:p w14:paraId="702924FC" w14:textId="77777777" w:rsidR="00AD7DF9" w:rsidRPr="006B5B52" w:rsidRDefault="005C72AA" w:rsidP="006B5B52">
      <w:pPr>
        <w:spacing w:before="240" w:after="240"/>
        <w:ind w:firstLine="567"/>
        <w:rPr>
          <w:rFonts w:eastAsiaTheme="minorEastAsia"/>
          <w:noProof/>
          <w:lang w:eastAsia="en-US"/>
        </w:rPr>
      </w:pPr>
      <w:r>
        <w:rPr>
          <w:rFonts w:eastAsiaTheme="minorEastAsia"/>
          <w:noProof/>
          <w:lang w:eastAsia="en-US"/>
        </w:rPr>
        <w:t>4</w:t>
      </w:r>
      <w:r w:rsidR="00937B48" w:rsidRPr="006B5B52">
        <w:rPr>
          <w:rFonts w:eastAsiaTheme="minorEastAsia"/>
          <w:noProof/>
          <w:lang w:eastAsia="en-US"/>
        </w:rPr>
        <w:t>. </w:t>
      </w:r>
      <w:r w:rsidR="00D829C7" w:rsidRPr="006B5B52">
        <w:rPr>
          <w:lang w:eastAsia="ru-RU"/>
        </w:rPr>
        <w:t xml:space="preserve">Контроль за виконанням цієї постанови покласти на заступника Голови Національного банку України Юрія </w:t>
      </w:r>
      <w:proofErr w:type="spellStart"/>
      <w:r w:rsidR="00D829C7" w:rsidRPr="006B5B52">
        <w:rPr>
          <w:lang w:eastAsia="ru-RU"/>
        </w:rPr>
        <w:t>Гелетія</w:t>
      </w:r>
      <w:proofErr w:type="spellEnd"/>
      <w:r w:rsidR="00D829C7" w:rsidRPr="006B5B52">
        <w:rPr>
          <w:rFonts w:eastAsiaTheme="minorEastAsia"/>
          <w:noProof/>
          <w:lang w:val="ru-RU" w:eastAsia="en-US"/>
        </w:rPr>
        <w:t>.</w:t>
      </w:r>
    </w:p>
    <w:p w14:paraId="757CD127" w14:textId="6E7ABBDE" w:rsidR="005C72AA" w:rsidRDefault="005C72AA" w:rsidP="005C72AA">
      <w:pPr>
        <w:spacing w:before="240" w:after="240"/>
        <w:ind w:firstLine="567"/>
        <w:rPr>
          <w:rFonts w:eastAsiaTheme="minorEastAsia"/>
          <w:noProof/>
          <w:color w:val="000000" w:themeColor="text1"/>
          <w:lang w:eastAsia="en-US"/>
        </w:rPr>
      </w:pPr>
      <w:r>
        <w:rPr>
          <w:rFonts w:eastAsiaTheme="minorEastAsia"/>
          <w:noProof/>
          <w:lang w:eastAsia="en-US"/>
        </w:rPr>
        <w:t>5</w:t>
      </w:r>
      <w:r w:rsidR="00937B48" w:rsidRPr="006B5B52">
        <w:rPr>
          <w:rFonts w:eastAsiaTheme="minorEastAsia"/>
          <w:noProof/>
          <w:lang w:eastAsia="en-US"/>
        </w:rPr>
        <w:t>. </w:t>
      </w:r>
      <w:r w:rsidR="00D829C7" w:rsidRPr="006B5B52">
        <w:rPr>
          <w:lang w:eastAsia="ru-RU"/>
        </w:rPr>
        <w:t xml:space="preserve">Постанова набирає чинності </w:t>
      </w:r>
      <w:r w:rsidRPr="00BF6237">
        <w:rPr>
          <w:lang w:eastAsia="ru-RU"/>
        </w:rPr>
        <w:t>з дня, наступного за днем її офіційного опублікування</w:t>
      </w:r>
      <w:r w:rsidR="00E0207E">
        <w:rPr>
          <w:color w:val="000000"/>
          <w:shd w:val="clear" w:color="auto" w:fill="FFFFFF"/>
        </w:rPr>
        <w:t>.</w:t>
      </w:r>
    </w:p>
    <w:p w14:paraId="5070BDE0" w14:textId="77777777" w:rsidR="001F642C" w:rsidRDefault="001F642C" w:rsidP="006B5B52">
      <w:pPr>
        <w:spacing w:before="240" w:after="240"/>
        <w:ind w:firstLine="567"/>
        <w:rPr>
          <w:lang w:eastAsia="ru-RU"/>
        </w:rPr>
      </w:pPr>
    </w:p>
    <w:p w14:paraId="10312C32" w14:textId="77777777" w:rsidR="001F642C" w:rsidRPr="006B5B52" w:rsidRDefault="001F642C" w:rsidP="006B5B52">
      <w:pPr>
        <w:spacing w:before="240" w:after="240"/>
        <w:ind w:firstLine="567"/>
        <w:rPr>
          <w:rFonts w:eastAsiaTheme="minorEastAsia"/>
          <w:noProof/>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F22B0F" w:rsidRPr="006B5B52" w14:paraId="5BA6D98F" w14:textId="77777777" w:rsidTr="00CF2935">
        <w:tc>
          <w:tcPr>
            <w:tcW w:w="5495" w:type="dxa"/>
            <w:vAlign w:val="bottom"/>
          </w:tcPr>
          <w:p w14:paraId="49792A45" w14:textId="628CA724" w:rsidR="00DD60CC" w:rsidRPr="006B5B52" w:rsidRDefault="00D829C7" w:rsidP="00954131">
            <w:pPr>
              <w:tabs>
                <w:tab w:val="left" w:pos="7020"/>
                <w:tab w:val="left" w:pos="7200"/>
              </w:tabs>
              <w:autoSpaceDE w:val="0"/>
              <w:autoSpaceDN w:val="0"/>
              <w:ind w:left="-111"/>
              <w:jc w:val="left"/>
            </w:pPr>
            <w:r w:rsidRPr="006B5B52">
              <w:t>Голов</w:t>
            </w:r>
            <w:r w:rsidR="00090C3D">
              <w:t>а</w:t>
            </w:r>
          </w:p>
        </w:tc>
        <w:tc>
          <w:tcPr>
            <w:tcW w:w="4252" w:type="dxa"/>
            <w:vAlign w:val="bottom"/>
          </w:tcPr>
          <w:p w14:paraId="48576412" w14:textId="0823A845" w:rsidR="00DD60CC" w:rsidRPr="006B5B52" w:rsidRDefault="00090C3D" w:rsidP="00AC2472">
            <w:pPr>
              <w:tabs>
                <w:tab w:val="left" w:pos="7020"/>
                <w:tab w:val="left" w:pos="7200"/>
              </w:tabs>
              <w:autoSpaceDE w:val="0"/>
              <w:autoSpaceDN w:val="0"/>
              <w:ind w:left="32"/>
              <w:jc w:val="right"/>
            </w:pPr>
            <w:r>
              <w:t>Андрій ПИШНИЙ</w:t>
            </w:r>
          </w:p>
        </w:tc>
      </w:tr>
    </w:tbl>
    <w:p w14:paraId="2AF526AE" w14:textId="77777777" w:rsidR="008D10FD" w:rsidRPr="006B5B52" w:rsidRDefault="008D10FD" w:rsidP="00E53CCD"/>
    <w:p w14:paraId="19D9B1FC" w14:textId="77777777" w:rsidR="00FA508E" w:rsidRPr="006B5B52" w:rsidRDefault="00FA508E" w:rsidP="00E53CCD"/>
    <w:p w14:paraId="4F8DE30B" w14:textId="77777777" w:rsidR="00FA508E" w:rsidRPr="006B5B52" w:rsidRDefault="00937B48" w:rsidP="00FA508E">
      <w:pPr>
        <w:jc w:val="left"/>
      </w:pPr>
      <w:r w:rsidRPr="006B5B52">
        <w:t>Інд.</w:t>
      </w:r>
      <w:r w:rsidRPr="006B5B52">
        <w:rPr>
          <w:sz w:val="22"/>
          <w:szCs w:val="22"/>
        </w:rPr>
        <w:t xml:space="preserve"> </w:t>
      </w:r>
      <w:r w:rsidR="00D829C7" w:rsidRPr="006B5B52">
        <w:rPr>
          <w:lang w:val="en-US"/>
        </w:rPr>
        <w:t>40</w:t>
      </w:r>
    </w:p>
    <w:sectPr w:rsidR="00FA508E" w:rsidRPr="006B5B52" w:rsidSect="00420695">
      <w:headerReference w:type="default" r:id="rId14"/>
      <w:headerReference w:type="first" r:id="rId15"/>
      <w:footerReference w:type="first" r:id="rId16"/>
      <w:pgSz w:w="11906" w:h="16838" w:code="9"/>
      <w:pgMar w:top="851" w:right="567" w:bottom="1985"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7980" w14:textId="77777777" w:rsidR="00B508F0" w:rsidRDefault="00B508F0">
      <w:r>
        <w:separator/>
      </w:r>
    </w:p>
  </w:endnote>
  <w:endnote w:type="continuationSeparator" w:id="0">
    <w:p w14:paraId="5B06C541" w14:textId="77777777" w:rsidR="00B508F0" w:rsidRDefault="00B5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B8E3" w14:textId="77777777" w:rsidR="00F93C70" w:rsidRPr="00AB062E" w:rsidRDefault="00937B48" w:rsidP="00F93C70">
    <w:pPr>
      <w:pStyle w:val="a5"/>
      <w:jc w:val="right"/>
      <w:rPr>
        <w:color w:val="FFFFFF" w:themeColor="background1"/>
      </w:rPr>
    </w:pPr>
    <w:r w:rsidRPr="00AB062E">
      <w:rPr>
        <w:color w:val="FFFFFF" w:themeColor="background1"/>
      </w:rPr>
      <w:t>Шаблон</w:t>
    </w:r>
  </w:p>
  <w:p w14:paraId="2E88CE22" w14:textId="77777777" w:rsidR="00F93C70" w:rsidRPr="00F93C70" w:rsidRDefault="00937B48"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9A24" w14:textId="77777777" w:rsidR="00B508F0" w:rsidRDefault="00B508F0">
      <w:r>
        <w:separator/>
      </w:r>
    </w:p>
  </w:footnote>
  <w:footnote w:type="continuationSeparator" w:id="0">
    <w:p w14:paraId="34161570" w14:textId="77777777" w:rsidR="00B508F0" w:rsidRDefault="00B5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0331922A" w14:textId="6A9552F8" w:rsidR="00460BA2" w:rsidRDefault="00937B48">
        <w:pPr>
          <w:pStyle w:val="a5"/>
          <w:jc w:val="center"/>
        </w:pPr>
        <w:r>
          <w:fldChar w:fldCharType="begin"/>
        </w:r>
        <w:r>
          <w:instrText xml:space="preserve"> PAGE   \* MERGEFORMAT </w:instrText>
        </w:r>
        <w:r>
          <w:fldChar w:fldCharType="separate"/>
        </w:r>
        <w:r w:rsidR="005F4DDF">
          <w:rPr>
            <w:noProof/>
          </w:rPr>
          <w:t>2</w:t>
        </w:r>
        <w:r>
          <w:fldChar w:fldCharType="end"/>
        </w:r>
      </w:p>
    </w:sdtContent>
  </w:sdt>
  <w:p w14:paraId="1FC1024B"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C573" w14:textId="77777777" w:rsidR="005F4DDF" w:rsidRPr="00A60226" w:rsidRDefault="005F4DDF" w:rsidP="005F4DDF">
    <w:pPr>
      <w:pStyle w:val="a5"/>
      <w:tabs>
        <w:tab w:val="clear" w:pos="4819"/>
        <w:tab w:val="left" w:pos="5387"/>
      </w:tabs>
      <w:jc w:val="right"/>
      <w:rPr>
        <w:sz w:val="24"/>
        <w:szCs w:val="24"/>
      </w:rPr>
    </w:pPr>
    <w:r w:rsidRPr="00A60226">
      <w:rPr>
        <w:sz w:val="24"/>
        <w:szCs w:val="24"/>
      </w:rPr>
      <w:t>Офіційно опубліковано 04.11.2022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7562D15C">
      <w:start w:val="1"/>
      <w:numFmt w:val="decimal"/>
      <w:lvlText w:val="%1."/>
      <w:lvlJc w:val="left"/>
      <w:pPr>
        <w:ind w:left="3905" w:hanging="360"/>
      </w:pPr>
    </w:lvl>
    <w:lvl w:ilvl="1" w:tplc="462420DE">
      <w:start w:val="1"/>
      <w:numFmt w:val="lowerLetter"/>
      <w:lvlText w:val="%2."/>
      <w:lvlJc w:val="left"/>
      <w:pPr>
        <w:ind w:left="1789" w:hanging="360"/>
      </w:pPr>
    </w:lvl>
    <w:lvl w:ilvl="2" w:tplc="59185CC8">
      <w:start w:val="1"/>
      <w:numFmt w:val="lowerRoman"/>
      <w:lvlText w:val="%3."/>
      <w:lvlJc w:val="right"/>
      <w:pPr>
        <w:ind w:left="2509" w:hanging="180"/>
      </w:pPr>
    </w:lvl>
    <w:lvl w:ilvl="3" w:tplc="FBB4E0EA">
      <w:start w:val="1"/>
      <w:numFmt w:val="decimal"/>
      <w:lvlText w:val="%4."/>
      <w:lvlJc w:val="left"/>
      <w:pPr>
        <w:ind w:left="3229" w:hanging="360"/>
      </w:pPr>
    </w:lvl>
    <w:lvl w:ilvl="4" w:tplc="EE4C8278">
      <w:start w:val="1"/>
      <w:numFmt w:val="lowerLetter"/>
      <w:lvlText w:val="%5."/>
      <w:lvlJc w:val="left"/>
      <w:pPr>
        <w:ind w:left="3949" w:hanging="360"/>
      </w:pPr>
    </w:lvl>
    <w:lvl w:ilvl="5" w:tplc="92FE9058">
      <w:start w:val="1"/>
      <w:numFmt w:val="lowerRoman"/>
      <w:lvlText w:val="%6."/>
      <w:lvlJc w:val="right"/>
      <w:pPr>
        <w:ind w:left="4669" w:hanging="180"/>
      </w:pPr>
    </w:lvl>
    <w:lvl w:ilvl="6" w:tplc="0FA0CB64">
      <w:start w:val="1"/>
      <w:numFmt w:val="decimal"/>
      <w:lvlText w:val="%7."/>
      <w:lvlJc w:val="left"/>
      <w:pPr>
        <w:ind w:left="5389" w:hanging="360"/>
      </w:pPr>
    </w:lvl>
    <w:lvl w:ilvl="7" w:tplc="47BC5042">
      <w:start w:val="1"/>
      <w:numFmt w:val="lowerLetter"/>
      <w:lvlText w:val="%8."/>
      <w:lvlJc w:val="left"/>
      <w:pPr>
        <w:ind w:left="6109" w:hanging="360"/>
      </w:pPr>
    </w:lvl>
    <w:lvl w:ilvl="8" w:tplc="776E5522">
      <w:start w:val="1"/>
      <w:numFmt w:val="lowerRoman"/>
      <w:lvlText w:val="%9."/>
      <w:lvlJc w:val="right"/>
      <w:pPr>
        <w:ind w:left="6829" w:hanging="180"/>
      </w:pPr>
    </w:lvl>
  </w:abstractNum>
  <w:abstractNum w:abstractNumId="1" w15:restartNumberingAfterBreak="0">
    <w:nsid w:val="39745796"/>
    <w:multiLevelType w:val="hybridMultilevel"/>
    <w:tmpl w:val="D44AD2DE"/>
    <w:lvl w:ilvl="0" w:tplc="9D5A093A">
      <w:start w:val="1"/>
      <w:numFmt w:val="decimal"/>
      <w:lvlText w:val="%1."/>
      <w:lvlJc w:val="left"/>
      <w:pPr>
        <w:ind w:left="1429" w:hanging="360"/>
      </w:pPr>
    </w:lvl>
    <w:lvl w:ilvl="1" w:tplc="5E486168" w:tentative="1">
      <w:start w:val="1"/>
      <w:numFmt w:val="lowerLetter"/>
      <w:lvlText w:val="%2."/>
      <w:lvlJc w:val="left"/>
      <w:pPr>
        <w:ind w:left="2149" w:hanging="360"/>
      </w:pPr>
    </w:lvl>
    <w:lvl w:ilvl="2" w:tplc="2F1CAAA2" w:tentative="1">
      <w:start w:val="1"/>
      <w:numFmt w:val="lowerRoman"/>
      <w:lvlText w:val="%3."/>
      <w:lvlJc w:val="right"/>
      <w:pPr>
        <w:ind w:left="2869" w:hanging="180"/>
      </w:pPr>
    </w:lvl>
    <w:lvl w:ilvl="3" w:tplc="78AAB78C" w:tentative="1">
      <w:start w:val="1"/>
      <w:numFmt w:val="decimal"/>
      <w:lvlText w:val="%4."/>
      <w:lvlJc w:val="left"/>
      <w:pPr>
        <w:ind w:left="3589" w:hanging="360"/>
      </w:pPr>
    </w:lvl>
    <w:lvl w:ilvl="4" w:tplc="1920264E" w:tentative="1">
      <w:start w:val="1"/>
      <w:numFmt w:val="lowerLetter"/>
      <w:lvlText w:val="%5."/>
      <w:lvlJc w:val="left"/>
      <w:pPr>
        <w:ind w:left="4309" w:hanging="360"/>
      </w:pPr>
    </w:lvl>
    <w:lvl w:ilvl="5" w:tplc="FBC410EA" w:tentative="1">
      <w:start w:val="1"/>
      <w:numFmt w:val="lowerRoman"/>
      <w:lvlText w:val="%6."/>
      <w:lvlJc w:val="right"/>
      <w:pPr>
        <w:ind w:left="5029" w:hanging="180"/>
      </w:pPr>
    </w:lvl>
    <w:lvl w:ilvl="6" w:tplc="2E4C6B08" w:tentative="1">
      <w:start w:val="1"/>
      <w:numFmt w:val="decimal"/>
      <w:lvlText w:val="%7."/>
      <w:lvlJc w:val="left"/>
      <w:pPr>
        <w:ind w:left="5749" w:hanging="360"/>
      </w:pPr>
    </w:lvl>
    <w:lvl w:ilvl="7" w:tplc="8118DD88" w:tentative="1">
      <w:start w:val="1"/>
      <w:numFmt w:val="lowerLetter"/>
      <w:lvlText w:val="%8."/>
      <w:lvlJc w:val="left"/>
      <w:pPr>
        <w:ind w:left="6469" w:hanging="360"/>
      </w:pPr>
    </w:lvl>
    <w:lvl w:ilvl="8" w:tplc="254E7894" w:tentative="1">
      <w:start w:val="1"/>
      <w:numFmt w:val="lowerRoman"/>
      <w:lvlText w:val="%9."/>
      <w:lvlJc w:val="right"/>
      <w:pPr>
        <w:ind w:left="7189" w:hanging="180"/>
      </w:pPr>
    </w:lvl>
  </w:abstractNum>
  <w:abstractNum w:abstractNumId="2" w15:restartNumberingAfterBreak="0">
    <w:nsid w:val="6F1F3951"/>
    <w:multiLevelType w:val="hybridMultilevel"/>
    <w:tmpl w:val="33965596"/>
    <w:lvl w:ilvl="0" w:tplc="F5C08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13578F"/>
    <w:multiLevelType w:val="hybridMultilevel"/>
    <w:tmpl w:val="150237C4"/>
    <w:lvl w:ilvl="0" w:tplc="01322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82B"/>
    <w:rsid w:val="000064FA"/>
    <w:rsid w:val="000069AF"/>
    <w:rsid w:val="00015CF3"/>
    <w:rsid w:val="00015FDE"/>
    <w:rsid w:val="000271C0"/>
    <w:rsid w:val="0003331E"/>
    <w:rsid w:val="000342A5"/>
    <w:rsid w:val="0003793C"/>
    <w:rsid w:val="000543C6"/>
    <w:rsid w:val="00054495"/>
    <w:rsid w:val="000600A8"/>
    <w:rsid w:val="00061C52"/>
    <w:rsid w:val="00063480"/>
    <w:rsid w:val="000638F2"/>
    <w:rsid w:val="00090C3D"/>
    <w:rsid w:val="000B2990"/>
    <w:rsid w:val="000C20B7"/>
    <w:rsid w:val="000D51FD"/>
    <w:rsid w:val="000D778F"/>
    <w:rsid w:val="000E0877"/>
    <w:rsid w:val="000E0CB3"/>
    <w:rsid w:val="000E5B8C"/>
    <w:rsid w:val="000E7A13"/>
    <w:rsid w:val="00105299"/>
    <w:rsid w:val="00106229"/>
    <w:rsid w:val="00115ECF"/>
    <w:rsid w:val="001215DF"/>
    <w:rsid w:val="00154C4C"/>
    <w:rsid w:val="001564BA"/>
    <w:rsid w:val="00160AA0"/>
    <w:rsid w:val="001631E2"/>
    <w:rsid w:val="001639EC"/>
    <w:rsid w:val="001716B0"/>
    <w:rsid w:val="001740C0"/>
    <w:rsid w:val="00190E1A"/>
    <w:rsid w:val="001A0EE5"/>
    <w:rsid w:val="001A16FA"/>
    <w:rsid w:val="001A4CB9"/>
    <w:rsid w:val="001A6795"/>
    <w:rsid w:val="001B4D80"/>
    <w:rsid w:val="001B6467"/>
    <w:rsid w:val="001C206C"/>
    <w:rsid w:val="001D487A"/>
    <w:rsid w:val="001F3B2A"/>
    <w:rsid w:val="001F642C"/>
    <w:rsid w:val="002057BC"/>
    <w:rsid w:val="002238D1"/>
    <w:rsid w:val="00233F37"/>
    <w:rsid w:val="00241373"/>
    <w:rsid w:val="00241FF5"/>
    <w:rsid w:val="002516E3"/>
    <w:rsid w:val="00253BF9"/>
    <w:rsid w:val="00264983"/>
    <w:rsid w:val="00266678"/>
    <w:rsid w:val="00276988"/>
    <w:rsid w:val="00280DCC"/>
    <w:rsid w:val="00285DDA"/>
    <w:rsid w:val="00290169"/>
    <w:rsid w:val="00291774"/>
    <w:rsid w:val="002A01FA"/>
    <w:rsid w:val="002A2391"/>
    <w:rsid w:val="002A50AA"/>
    <w:rsid w:val="002B351E"/>
    <w:rsid w:val="002B3F71"/>
    <w:rsid w:val="002B582B"/>
    <w:rsid w:val="002C1729"/>
    <w:rsid w:val="002C1FDB"/>
    <w:rsid w:val="002C3434"/>
    <w:rsid w:val="002D1790"/>
    <w:rsid w:val="002F39B6"/>
    <w:rsid w:val="002F48EF"/>
    <w:rsid w:val="00325712"/>
    <w:rsid w:val="00331332"/>
    <w:rsid w:val="00332701"/>
    <w:rsid w:val="00340D07"/>
    <w:rsid w:val="00345982"/>
    <w:rsid w:val="00345BF1"/>
    <w:rsid w:val="003519E8"/>
    <w:rsid w:val="00353FB6"/>
    <w:rsid w:val="00356E34"/>
    <w:rsid w:val="00357676"/>
    <w:rsid w:val="0037267B"/>
    <w:rsid w:val="003808DC"/>
    <w:rsid w:val="0038385E"/>
    <w:rsid w:val="00384F65"/>
    <w:rsid w:val="0039725C"/>
    <w:rsid w:val="003A16E7"/>
    <w:rsid w:val="003A751F"/>
    <w:rsid w:val="003C3282"/>
    <w:rsid w:val="003C3985"/>
    <w:rsid w:val="003C7D0D"/>
    <w:rsid w:val="003D1404"/>
    <w:rsid w:val="003D6B33"/>
    <w:rsid w:val="003E253E"/>
    <w:rsid w:val="003F0441"/>
    <w:rsid w:val="003F28B5"/>
    <w:rsid w:val="003F7093"/>
    <w:rsid w:val="00401EDB"/>
    <w:rsid w:val="00404C93"/>
    <w:rsid w:val="00407877"/>
    <w:rsid w:val="00411174"/>
    <w:rsid w:val="004119F8"/>
    <w:rsid w:val="004130B9"/>
    <w:rsid w:val="00420695"/>
    <w:rsid w:val="00421C46"/>
    <w:rsid w:val="00427137"/>
    <w:rsid w:val="0043496A"/>
    <w:rsid w:val="00445E37"/>
    <w:rsid w:val="00446704"/>
    <w:rsid w:val="00455B45"/>
    <w:rsid w:val="00460087"/>
    <w:rsid w:val="00460BA2"/>
    <w:rsid w:val="004625B1"/>
    <w:rsid w:val="00464FFE"/>
    <w:rsid w:val="004666D6"/>
    <w:rsid w:val="00480F60"/>
    <w:rsid w:val="004940E0"/>
    <w:rsid w:val="0049418A"/>
    <w:rsid w:val="00494903"/>
    <w:rsid w:val="004A1CFC"/>
    <w:rsid w:val="004A5DF3"/>
    <w:rsid w:val="004A7F75"/>
    <w:rsid w:val="004B1FE9"/>
    <w:rsid w:val="004B5574"/>
    <w:rsid w:val="004D096D"/>
    <w:rsid w:val="004D2B57"/>
    <w:rsid w:val="004E22E2"/>
    <w:rsid w:val="004F7286"/>
    <w:rsid w:val="00501F58"/>
    <w:rsid w:val="0050563F"/>
    <w:rsid w:val="0051457D"/>
    <w:rsid w:val="005212A1"/>
    <w:rsid w:val="005212C5"/>
    <w:rsid w:val="00523C13"/>
    <w:rsid w:val="00524F07"/>
    <w:rsid w:val="005257C2"/>
    <w:rsid w:val="00532633"/>
    <w:rsid w:val="005403F1"/>
    <w:rsid w:val="00542533"/>
    <w:rsid w:val="005624B6"/>
    <w:rsid w:val="00562C46"/>
    <w:rsid w:val="00566BA2"/>
    <w:rsid w:val="005672BF"/>
    <w:rsid w:val="0057237F"/>
    <w:rsid w:val="0057325A"/>
    <w:rsid w:val="00577402"/>
    <w:rsid w:val="005822CB"/>
    <w:rsid w:val="00597AB6"/>
    <w:rsid w:val="005A0F4B"/>
    <w:rsid w:val="005A1D3C"/>
    <w:rsid w:val="005A3F34"/>
    <w:rsid w:val="005A77E1"/>
    <w:rsid w:val="005B2D03"/>
    <w:rsid w:val="005B6C93"/>
    <w:rsid w:val="005B798E"/>
    <w:rsid w:val="005C4DA1"/>
    <w:rsid w:val="005C5CBF"/>
    <w:rsid w:val="005C72AA"/>
    <w:rsid w:val="005D0135"/>
    <w:rsid w:val="005D3B88"/>
    <w:rsid w:val="005D45F5"/>
    <w:rsid w:val="005E3FA8"/>
    <w:rsid w:val="005F4CB4"/>
    <w:rsid w:val="005F4DDF"/>
    <w:rsid w:val="005F6B35"/>
    <w:rsid w:val="00605292"/>
    <w:rsid w:val="006121C5"/>
    <w:rsid w:val="00640612"/>
    <w:rsid w:val="0064227D"/>
    <w:rsid w:val="0065179F"/>
    <w:rsid w:val="00657593"/>
    <w:rsid w:val="00662034"/>
    <w:rsid w:val="006652C0"/>
    <w:rsid w:val="00670C95"/>
    <w:rsid w:val="00680D9F"/>
    <w:rsid w:val="00691E86"/>
    <w:rsid w:val="006925CE"/>
    <w:rsid w:val="00692C8C"/>
    <w:rsid w:val="006959F7"/>
    <w:rsid w:val="006B2748"/>
    <w:rsid w:val="006B465F"/>
    <w:rsid w:val="006B5B52"/>
    <w:rsid w:val="006B7EF5"/>
    <w:rsid w:val="006C06A1"/>
    <w:rsid w:val="006C0F22"/>
    <w:rsid w:val="006C13B1"/>
    <w:rsid w:val="006C4176"/>
    <w:rsid w:val="006C66EF"/>
    <w:rsid w:val="006D2617"/>
    <w:rsid w:val="006D415A"/>
    <w:rsid w:val="00700AA3"/>
    <w:rsid w:val="007142BA"/>
    <w:rsid w:val="00714823"/>
    <w:rsid w:val="00717197"/>
    <w:rsid w:val="0071789F"/>
    <w:rsid w:val="00730088"/>
    <w:rsid w:val="00747222"/>
    <w:rsid w:val="00750898"/>
    <w:rsid w:val="00753FAA"/>
    <w:rsid w:val="00766F5B"/>
    <w:rsid w:val="00773559"/>
    <w:rsid w:val="0078127A"/>
    <w:rsid w:val="00783AF2"/>
    <w:rsid w:val="00784D5D"/>
    <w:rsid w:val="00787E46"/>
    <w:rsid w:val="007A2BCB"/>
    <w:rsid w:val="007A32DB"/>
    <w:rsid w:val="007A6609"/>
    <w:rsid w:val="007B2EB3"/>
    <w:rsid w:val="007B3538"/>
    <w:rsid w:val="007B7B73"/>
    <w:rsid w:val="007C2CED"/>
    <w:rsid w:val="007C337C"/>
    <w:rsid w:val="007C3B4D"/>
    <w:rsid w:val="007C56EC"/>
    <w:rsid w:val="007D47BF"/>
    <w:rsid w:val="007E40BA"/>
    <w:rsid w:val="007F32DA"/>
    <w:rsid w:val="00802988"/>
    <w:rsid w:val="00811CD6"/>
    <w:rsid w:val="008159D0"/>
    <w:rsid w:val="00825BEB"/>
    <w:rsid w:val="00826AD1"/>
    <w:rsid w:val="008415A0"/>
    <w:rsid w:val="0085364B"/>
    <w:rsid w:val="00860646"/>
    <w:rsid w:val="008639DA"/>
    <w:rsid w:val="00866993"/>
    <w:rsid w:val="00874366"/>
    <w:rsid w:val="008762D8"/>
    <w:rsid w:val="008809A0"/>
    <w:rsid w:val="00882590"/>
    <w:rsid w:val="008851AC"/>
    <w:rsid w:val="00891C50"/>
    <w:rsid w:val="008934A9"/>
    <w:rsid w:val="00897035"/>
    <w:rsid w:val="008B1589"/>
    <w:rsid w:val="008B74DD"/>
    <w:rsid w:val="008C72B5"/>
    <w:rsid w:val="008D10FD"/>
    <w:rsid w:val="008D122F"/>
    <w:rsid w:val="008D5F60"/>
    <w:rsid w:val="008D727F"/>
    <w:rsid w:val="008E0CBD"/>
    <w:rsid w:val="008E1B8E"/>
    <w:rsid w:val="008E5E0A"/>
    <w:rsid w:val="008F0210"/>
    <w:rsid w:val="008F2600"/>
    <w:rsid w:val="008F2DCE"/>
    <w:rsid w:val="008F5D52"/>
    <w:rsid w:val="0090189A"/>
    <w:rsid w:val="00904F17"/>
    <w:rsid w:val="00922966"/>
    <w:rsid w:val="0092710A"/>
    <w:rsid w:val="00927905"/>
    <w:rsid w:val="00937AE3"/>
    <w:rsid w:val="00937B48"/>
    <w:rsid w:val="00937D24"/>
    <w:rsid w:val="0094007A"/>
    <w:rsid w:val="00943175"/>
    <w:rsid w:val="009527C4"/>
    <w:rsid w:val="00953EB3"/>
    <w:rsid w:val="00954131"/>
    <w:rsid w:val="00956D26"/>
    <w:rsid w:val="0095741D"/>
    <w:rsid w:val="00960362"/>
    <w:rsid w:val="0097288F"/>
    <w:rsid w:val="0098207E"/>
    <w:rsid w:val="009828C4"/>
    <w:rsid w:val="00990AAE"/>
    <w:rsid w:val="009A0C45"/>
    <w:rsid w:val="009A648B"/>
    <w:rsid w:val="009B6120"/>
    <w:rsid w:val="009C2F76"/>
    <w:rsid w:val="009C369D"/>
    <w:rsid w:val="009D1E82"/>
    <w:rsid w:val="009E47A8"/>
    <w:rsid w:val="009E69C3"/>
    <w:rsid w:val="009F5312"/>
    <w:rsid w:val="00A02AEC"/>
    <w:rsid w:val="00A0594A"/>
    <w:rsid w:val="00A10B22"/>
    <w:rsid w:val="00A12C47"/>
    <w:rsid w:val="00A158E7"/>
    <w:rsid w:val="00A17B63"/>
    <w:rsid w:val="00A23E04"/>
    <w:rsid w:val="00A3014D"/>
    <w:rsid w:val="00A46C15"/>
    <w:rsid w:val="00A50DC0"/>
    <w:rsid w:val="00A63695"/>
    <w:rsid w:val="00A64552"/>
    <w:rsid w:val="00A72F06"/>
    <w:rsid w:val="00A730F2"/>
    <w:rsid w:val="00A75ECA"/>
    <w:rsid w:val="00A77FFD"/>
    <w:rsid w:val="00AB062E"/>
    <w:rsid w:val="00AB4554"/>
    <w:rsid w:val="00AC2472"/>
    <w:rsid w:val="00AC47B6"/>
    <w:rsid w:val="00AC4E5A"/>
    <w:rsid w:val="00AD7DF9"/>
    <w:rsid w:val="00AE29BB"/>
    <w:rsid w:val="00AE2CAF"/>
    <w:rsid w:val="00AF33D9"/>
    <w:rsid w:val="00B002E4"/>
    <w:rsid w:val="00B1363C"/>
    <w:rsid w:val="00B20EB8"/>
    <w:rsid w:val="00B2530E"/>
    <w:rsid w:val="00B332B2"/>
    <w:rsid w:val="00B34CCC"/>
    <w:rsid w:val="00B36EC7"/>
    <w:rsid w:val="00B36EDD"/>
    <w:rsid w:val="00B40B77"/>
    <w:rsid w:val="00B508F0"/>
    <w:rsid w:val="00B50992"/>
    <w:rsid w:val="00B61C97"/>
    <w:rsid w:val="00B628C5"/>
    <w:rsid w:val="00B668BD"/>
    <w:rsid w:val="00B71933"/>
    <w:rsid w:val="00B72E41"/>
    <w:rsid w:val="00B731AA"/>
    <w:rsid w:val="00B8078D"/>
    <w:rsid w:val="00B924CA"/>
    <w:rsid w:val="00BD12A3"/>
    <w:rsid w:val="00BD6D34"/>
    <w:rsid w:val="00BD7F6E"/>
    <w:rsid w:val="00BF47B0"/>
    <w:rsid w:val="00BF5327"/>
    <w:rsid w:val="00C04685"/>
    <w:rsid w:val="00C129AD"/>
    <w:rsid w:val="00C13400"/>
    <w:rsid w:val="00C21D33"/>
    <w:rsid w:val="00C3382F"/>
    <w:rsid w:val="00C4377C"/>
    <w:rsid w:val="00C47F0F"/>
    <w:rsid w:val="00C51D84"/>
    <w:rsid w:val="00C52506"/>
    <w:rsid w:val="00C5393D"/>
    <w:rsid w:val="00C66ABC"/>
    <w:rsid w:val="00C82259"/>
    <w:rsid w:val="00C9297C"/>
    <w:rsid w:val="00C938D6"/>
    <w:rsid w:val="00C93B1B"/>
    <w:rsid w:val="00C94014"/>
    <w:rsid w:val="00CB0A99"/>
    <w:rsid w:val="00CB5A09"/>
    <w:rsid w:val="00CB69B4"/>
    <w:rsid w:val="00CD0CD4"/>
    <w:rsid w:val="00CD64B0"/>
    <w:rsid w:val="00CE3B9F"/>
    <w:rsid w:val="00CF1FB8"/>
    <w:rsid w:val="00CF2935"/>
    <w:rsid w:val="00CF2C65"/>
    <w:rsid w:val="00CF482F"/>
    <w:rsid w:val="00D0345C"/>
    <w:rsid w:val="00D078B6"/>
    <w:rsid w:val="00D1022C"/>
    <w:rsid w:val="00D27115"/>
    <w:rsid w:val="00D34DCC"/>
    <w:rsid w:val="00D35101"/>
    <w:rsid w:val="00D61D9B"/>
    <w:rsid w:val="00D829C7"/>
    <w:rsid w:val="00DA2F09"/>
    <w:rsid w:val="00DB478A"/>
    <w:rsid w:val="00DC02E1"/>
    <w:rsid w:val="00DC1E60"/>
    <w:rsid w:val="00DD1736"/>
    <w:rsid w:val="00DD60CC"/>
    <w:rsid w:val="00DF4D12"/>
    <w:rsid w:val="00E0207E"/>
    <w:rsid w:val="00E054A9"/>
    <w:rsid w:val="00E10AE2"/>
    <w:rsid w:val="00E10F0A"/>
    <w:rsid w:val="00E21875"/>
    <w:rsid w:val="00E2262F"/>
    <w:rsid w:val="00E25407"/>
    <w:rsid w:val="00E32599"/>
    <w:rsid w:val="00E33B0E"/>
    <w:rsid w:val="00E42511"/>
    <w:rsid w:val="00E42621"/>
    <w:rsid w:val="00E432BE"/>
    <w:rsid w:val="00E446A6"/>
    <w:rsid w:val="00E53CB5"/>
    <w:rsid w:val="00E53CCD"/>
    <w:rsid w:val="00E5537C"/>
    <w:rsid w:val="00E62607"/>
    <w:rsid w:val="00E6300A"/>
    <w:rsid w:val="00E71855"/>
    <w:rsid w:val="00E719A9"/>
    <w:rsid w:val="00E916C7"/>
    <w:rsid w:val="00EA1DE4"/>
    <w:rsid w:val="00EA60EA"/>
    <w:rsid w:val="00EB1533"/>
    <w:rsid w:val="00EB22DA"/>
    <w:rsid w:val="00EB29BF"/>
    <w:rsid w:val="00EC324F"/>
    <w:rsid w:val="00EC7C7F"/>
    <w:rsid w:val="00EE4D7D"/>
    <w:rsid w:val="00EF0267"/>
    <w:rsid w:val="00EF4B42"/>
    <w:rsid w:val="00F003D3"/>
    <w:rsid w:val="00F008AB"/>
    <w:rsid w:val="00F01870"/>
    <w:rsid w:val="00F03E32"/>
    <w:rsid w:val="00F04C92"/>
    <w:rsid w:val="00F14F58"/>
    <w:rsid w:val="00F15C79"/>
    <w:rsid w:val="00F22B0F"/>
    <w:rsid w:val="00F42289"/>
    <w:rsid w:val="00F42E75"/>
    <w:rsid w:val="00F45D65"/>
    <w:rsid w:val="00F517FA"/>
    <w:rsid w:val="00F52D16"/>
    <w:rsid w:val="00F54149"/>
    <w:rsid w:val="00F55E14"/>
    <w:rsid w:val="00F62D67"/>
    <w:rsid w:val="00F63BD9"/>
    <w:rsid w:val="00F6694C"/>
    <w:rsid w:val="00F73BB3"/>
    <w:rsid w:val="00F8145F"/>
    <w:rsid w:val="00F9283D"/>
    <w:rsid w:val="00F93C70"/>
    <w:rsid w:val="00F96F18"/>
    <w:rsid w:val="00FA1924"/>
    <w:rsid w:val="00FA508E"/>
    <w:rsid w:val="00FA5320"/>
    <w:rsid w:val="00FA7846"/>
    <w:rsid w:val="00FB3449"/>
    <w:rsid w:val="00FC26E5"/>
    <w:rsid w:val="00FC34B0"/>
    <w:rsid w:val="00FD19F1"/>
    <w:rsid w:val="00FD3523"/>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25DEC"/>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basedOn w:val="a"/>
    <w:uiPriority w:val="99"/>
    <w:unhideWhenUsed/>
    <w:rsid w:val="00D829C7"/>
    <w:pPr>
      <w:spacing w:before="100" w:beforeAutospacing="1" w:after="100" w:afterAutospacing="1"/>
      <w:jc w:val="left"/>
    </w:pPr>
    <w:rPr>
      <w:rFonts w:eastAsiaTheme="minorEastAsia"/>
      <w:sz w:val="24"/>
      <w:szCs w:val="24"/>
    </w:rPr>
  </w:style>
  <w:style w:type="paragraph" w:styleId="af5">
    <w:name w:val="Revision"/>
    <w:hidden/>
    <w:uiPriority w:val="99"/>
    <w:semiHidden/>
    <w:rsid w:val="00480F60"/>
    <w:pPr>
      <w:spacing w:after="0" w:line="240" w:lineRule="auto"/>
    </w:pPr>
    <w:rPr>
      <w:rFonts w:ascii="Times New Roman" w:hAnsi="Times New Roman" w:cs="Times New Roman"/>
      <w:sz w:val="28"/>
      <w:szCs w:val="28"/>
      <w:lang w:eastAsia="uk-UA"/>
    </w:rPr>
  </w:style>
  <w:style w:type="character" w:customStyle="1" w:styleId="apple-converted-space">
    <w:name w:val="apple-converted-space"/>
    <w:basedOn w:val="a0"/>
    <w:rsid w:val="006B7EF5"/>
  </w:style>
  <w:style w:type="character" w:styleId="af6">
    <w:name w:val="annotation reference"/>
    <w:basedOn w:val="a0"/>
    <w:uiPriority w:val="99"/>
    <w:semiHidden/>
    <w:unhideWhenUsed/>
    <w:rsid w:val="005D0135"/>
    <w:rPr>
      <w:sz w:val="16"/>
      <w:szCs w:val="16"/>
    </w:rPr>
  </w:style>
  <w:style w:type="paragraph" w:styleId="af7">
    <w:name w:val="annotation text"/>
    <w:basedOn w:val="a"/>
    <w:link w:val="af8"/>
    <w:uiPriority w:val="99"/>
    <w:semiHidden/>
    <w:unhideWhenUsed/>
    <w:rsid w:val="005D0135"/>
    <w:rPr>
      <w:sz w:val="20"/>
      <w:szCs w:val="20"/>
    </w:rPr>
  </w:style>
  <w:style w:type="character" w:customStyle="1" w:styleId="af8">
    <w:name w:val="Текст примітки Знак"/>
    <w:basedOn w:val="a0"/>
    <w:link w:val="af7"/>
    <w:uiPriority w:val="99"/>
    <w:semiHidden/>
    <w:rsid w:val="005D0135"/>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D0135"/>
    <w:rPr>
      <w:b/>
      <w:bCs/>
    </w:rPr>
  </w:style>
  <w:style w:type="character" w:customStyle="1" w:styleId="afa">
    <w:name w:val="Тема примітки Знак"/>
    <w:basedOn w:val="af8"/>
    <w:link w:val="af9"/>
    <w:uiPriority w:val="99"/>
    <w:semiHidden/>
    <w:rsid w:val="005D0135"/>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85A78F-11AD-4ABF-9360-D9FA38AF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3719</Words>
  <Characters>2121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Мігун Світлана Григорівна</cp:lastModifiedBy>
  <cp:revision>3</cp:revision>
  <cp:lastPrinted>2015-04-06T07:59:00Z</cp:lastPrinted>
  <dcterms:created xsi:type="dcterms:W3CDTF">2022-11-04T21:14:00Z</dcterms:created>
  <dcterms:modified xsi:type="dcterms:W3CDTF">2022-11-04T21:16:00Z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