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F0D1F" w14:textId="253EC154" w:rsidR="00FA7846" w:rsidRPr="00132F23" w:rsidRDefault="00132F23" w:rsidP="00132F23">
      <w:pPr>
        <w:jc w:val="right"/>
        <w:rPr>
          <w:sz w:val="24"/>
          <w:szCs w:val="24"/>
        </w:rPr>
      </w:pPr>
      <w:r w:rsidRPr="00132F23">
        <w:rPr>
          <w:sz w:val="24"/>
          <w:szCs w:val="24"/>
        </w:rPr>
        <w:t>Офіційно опубліковано 11.05.2022</w:t>
      </w:r>
    </w:p>
    <w:p w14:paraId="5CE7266B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221"/>
        <w:gridCol w:w="2641"/>
        <w:gridCol w:w="359"/>
        <w:gridCol w:w="1315"/>
        <w:gridCol w:w="1894"/>
      </w:tblGrid>
      <w:tr w:rsidR="00657593" w14:paraId="64A506D7" w14:textId="77777777" w:rsidTr="00E054A9">
        <w:trPr>
          <w:trHeight w:val="851"/>
        </w:trPr>
        <w:tc>
          <w:tcPr>
            <w:tcW w:w="3284" w:type="dxa"/>
          </w:tcPr>
          <w:p w14:paraId="2AB9ADA4" w14:textId="77777777" w:rsidR="00657593" w:rsidRDefault="00657593" w:rsidP="00E054A9"/>
        </w:tc>
        <w:tc>
          <w:tcPr>
            <w:tcW w:w="3285" w:type="dxa"/>
            <w:gridSpan w:val="3"/>
            <w:vMerge w:val="restart"/>
          </w:tcPr>
          <w:p w14:paraId="30472D18" w14:textId="77777777" w:rsidR="00657593" w:rsidRDefault="00657593" w:rsidP="00E054A9">
            <w:pPr>
              <w:jc w:val="center"/>
            </w:pPr>
            <w:r>
              <w:object w:dxaOrig="1595" w:dyaOrig="2201" w14:anchorId="640EE9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35pt;height:47.35pt" o:ole="">
                  <v:imagedata r:id="rId12" o:title=""/>
                </v:shape>
                <o:OLEObject Type="Embed" ProgID="CorelDraw.Graphic.16" ShapeID="_x0000_i1025" DrawAspect="Content" ObjectID="_1713710848" r:id="rId13"/>
              </w:object>
            </w:r>
          </w:p>
        </w:tc>
        <w:tc>
          <w:tcPr>
            <w:tcW w:w="3285" w:type="dxa"/>
            <w:gridSpan w:val="2"/>
          </w:tcPr>
          <w:p w14:paraId="3599B442" w14:textId="41D50C1E" w:rsidR="00657593" w:rsidRPr="00132F23" w:rsidRDefault="00657593" w:rsidP="00E054A9">
            <w:pPr>
              <w:rPr>
                <w:sz w:val="22"/>
              </w:rPr>
            </w:pPr>
          </w:p>
        </w:tc>
      </w:tr>
      <w:tr w:rsidR="00657593" w14:paraId="2431247E" w14:textId="77777777" w:rsidTr="00E054A9">
        <w:tc>
          <w:tcPr>
            <w:tcW w:w="3284" w:type="dxa"/>
          </w:tcPr>
          <w:p w14:paraId="2A044F28" w14:textId="77777777" w:rsidR="00657593" w:rsidRDefault="00657593" w:rsidP="00E054A9"/>
        </w:tc>
        <w:tc>
          <w:tcPr>
            <w:tcW w:w="3285" w:type="dxa"/>
            <w:gridSpan w:val="3"/>
            <w:vMerge/>
          </w:tcPr>
          <w:p w14:paraId="025D7E56" w14:textId="77777777" w:rsidR="00657593" w:rsidRDefault="00657593" w:rsidP="00E054A9"/>
        </w:tc>
        <w:tc>
          <w:tcPr>
            <w:tcW w:w="3285" w:type="dxa"/>
            <w:gridSpan w:val="2"/>
          </w:tcPr>
          <w:p w14:paraId="57C463AF" w14:textId="77777777" w:rsidR="00657593" w:rsidRDefault="00657593" w:rsidP="00E054A9"/>
        </w:tc>
      </w:tr>
      <w:tr w:rsidR="00657593" w14:paraId="22D142AB" w14:textId="77777777" w:rsidTr="00E054A9">
        <w:tc>
          <w:tcPr>
            <w:tcW w:w="9854" w:type="dxa"/>
            <w:gridSpan w:val="6"/>
          </w:tcPr>
          <w:p w14:paraId="0C51C02E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7466659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  <w:tr w:rsidR="00657593" w14:paraId="289A8221" w14:textId="77777777" w:rsidTr="0088719C">
        <w:tc>
          <w:tcPr>
            <w:tcW w:w="3510" w:type="dxa"/>
            <w:gridSpan w:val="2"/>
            <w:vAlign w:val="bottom"/>
          </w:tcPr>
          <w:p w14:paraId="50F767E5" w14:textId="4EA2B318" w:rsidR="00657593" w:rsidRPr="00566BA2" w:rsidRDefault="00132F23" w:rsidP="00E054A9">
            <w:r>
              <w:t>10 травня 2022 року</w:t>
            </w:r>
          </w:p>
        </w:tc>
        <w:tc>
          <w:tcPr>
            <w:tcW w:w="2694" w:type="dxa"/>
          </w:tcPr>
          <w:p w14:paraId="3E59AADC" w14:textId="77777777"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gridSpan w:val="2"/>
            <w:vAlign w:val="bottom"/>
          </w:tcPr>
          <w:p w14:paraId="10FC9EA1" w14:textId="77777777" w:rsidR="00657593" w:rsidRPr="00101D5A" w:rsidRDefault="00101D5A" w:rsidP="00E62607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465E3EC2" w14:textId="4D2BE1FE" w:rsidR="00657593" w:rsidRDefault="00132F23" w:rsidP="00290169">
            <w:pPr>
              <w:jc w:val="left"/>
            </w:pPr>
            <w:r>
              <w:t>№ 97</w:t>
            </w:r>
          </w:p>
        </w:tc>
      </w:tr>
    </w:tbl>
    <w:p w14:paraId="4A7EE3CF" w14:textId="77777777" w:rsidR="00657593" w:rsidRPr="00566BA2" w:rsidRDefault="00657593" w:rsidP="00657593">
      <w:pPr>
        <w:rPr>
          <w:sz w:val="4"/>
          <w:szCs w:val="4"/>
        </w:rPr>
      </w:pPr>
    </w:p>
    <w:p w14:paraId="00F66268" w14:textId="77777777" w:rsidR="00657593" w:rsidRPr="00CD0CD4" w:rsidRDefault="00657593" w:rsidP="00657593">
      <w:pPr>
        <w:rPr>
          <w:sz w:val="2"/>
          <w:szCs w:val="2"/>
        </w:rPr>
      </w:pPr>
    </w:p>
    <w:p w14:paraId="4A0B3C13" w14:textId="77777777" w:rsidR="00407890" w:rsidRPr="00132F23" w:rsidRDefault="00407890" w:rsidP="00562C46">
      <w:pPr>
        <w:ind w:firstLine="709"/>
        <w:jc w:val="center"/>
        <w:rPr>
          <w:rFonts w:eastAsiaTheme="minorEastAsia"/>
          <w:color w:val="000000" w:themeColor="text1"/>
          <w:sz w:val="24"/>
          <w:lang w:eastAsia="en-US"/>
        </w:rPr>
      </w:pPr>
    </w:p>
    <w:tbl>
      <w:tblPr>
        <w:tblStyle w:val="a9"/>
        <w:tblW w:w="389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4"/>
      </w:tblGrid>
      <w:tr w:rsidR="002B3F71" w:rsidRPr="00CD0CD4" w14:paraId="50A276C1" w14:textId="77777777" w:rsidTr="00B423B5">
        <w:trPr>
          <w:jc w:val="center"/>
        </w:trPr>
        <w:tc>
          <w:tcPr>
            <w:tcW w:w="5000" w:type="pct"/>
          </w:tcPr>
          <w:p w14:paraId="6B9BBCAF" w14:textId="6CAEE450" w:rsidR="002B3F71" w:rsidRPr="00CD0CD4" w:rsidRDefault="00A51137" w:rsidP="00996034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A51137">
              <w:rPr>
                <w:color w:val="000000"/>
              </w:rPr>
              <w:t>Про внесення змін до постанови Правління Національного банку Україн</w:t>
            </w:r>
            <w:r w:rsidR="001A74C8">
              <w:rPr>
                <w:color w:val="000000"/>
              </w:rPr>
              <w:t>и від 06 березня 2022 року №</w:t>
            </w:r>
            <w:r w:rsidR="00996034">
              <w:rPr>
                <w:color w:val="000000"/>
              </w:rPr>
              <w:t> </w:t>
            </w:r>
            <w:r w:rsidR="001A74C8">
              <w:rPr>
                <w:color w:val="000000"/>
              </w:rPr>
              <w:t>39</w:t>
            </w:r>
          </w:p>
        </w:tc>
      </w:tr>
    </w:tbl>
    <w:p w14:paraId="03B29F03" w14:textId="35778B9D" w:rsidR="00E53CCD" w:rsidRDefault="00A51137" w:rsidP="00E62607">
      <w:pPr>
        <w:spacing w:before="240" w:after="240"/>
        <w:ind w:firstLine="709"/>
        <w:rPr>
          <w:b/>
        </w:rPr>
      </w:pPr>
      <w:r>
        <w:t>Відповідно до статей 7, 15, 55</w:t>
      </w:r>
      <w:r w:rsidRPr="005D425C">
        <w:rPr>
          <w:vertAlign w:val="superscript"/>
        </w:rPr>
        <w:t>1</w:t>
      </w:r>
      <w:r w:rsidR="00BB3B77" w:rsidRPr="00881B13">
        <w:t>,</w:t>
      </w:r>
      <w:r w:rsidR="00BB3B77">
        <w:t xml:space="preserve"> 56</w:t>
      </w:r>
      <w:r>
        <w:t xml:space="preserve"> Закону України “Про Національний банк України”, статей 19, 21, 28 Закону України “Про фінансові послуги та державне регулювання ринків фінансових послуг”, </w:t>
      </w:r>
      <w:r w:rsidR="004D362C">
        <w:t>Указу</w:t>
      </w:r>
      <w:r>
        <w:t xml:space="preserve"> Президента </w:t>
      </w:r>
      <w:r w:rsidR="004D362C">
        <w:t>України</w:t>
      </w:r>
      <w:r>
        <w:t xml:space="preserve"> від 24 лютого 2022 року №</w:t>
      </w:r>
      <w:r w:rsidR="004D362C">
        <w:t> </w:t>
      </w:r>
      <w:r>
        <w:t xml:space="preserve">64/2022 “Про введення воєнного стану в </w:t>
      </w:r>
      <w:r w:rsidR="004D362C">
        <w:t>Україні”, затвердженого Законом України</w:t>
      </w:r>
      <w:r>
        <w:t xml:space="preserve"> від 24 лютого 2022 року №</w:t>
      </w:r>
      <w:r w:rsidR="004D362C">
        <w:t> </w:t>
      </w:r>
      <w:r>
        <w:t xml:space="preserve">2102-ІХ «Про затвердження Указу Президента </w:t>
      </w:r>
      <w:r w:rsidR="004D362C">
        <w:t>України</w:t>
      </w:r>
      <w:r>
        <w:t xml:space="preserve"> “Про введення воєнного стану в </w:t>
      </w:r>
      <w:r w:rsidR="004D362C">
        <w:t>Україні</w:t>
      </w:r>
      <w:r>
        <w:t>”», з метою забезпечення безпеки та фінансової стабільності фінансової системи, запобігання кризовим явищам у період запровадження воєнного стану в Україні</w:t>
      </w:r>
      <w:r w:rsidR="00FA508E" w:rsidRPr="00CD0CD4">
        <w:rPr>
          <w:b/>
        </w:rPr>
        <w:t xml:space="preserve">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768AE1D8" w14:textId="754D4EAA" w:rsidR="00A51137" w:rsidRDefault="00AD7DF9" w:rsidP="00E62607">
      <w:pPr>
        <w:spacing w:before="240" w:after="240"/>
        <w:ind w:firstLine="709"/>
      </w:pPr>
      <w:r w:rsidRPr="00A51137">
        <w:t>1.</w:t>
      </w:r>
      <w:r>
        <w:rPr>
          <w:lang w:val="en-US"/>
        </w:rPr>
        <w:t> </w:t>
      </w:r>
      <w:proofErr w:type="spellStart"/>
      <w:r w:rsidR="00A51137" w:rsidRPr="005A2E0D">
        <w:t>Унести</w:t>
      </w:r>
      <w:proofErr w:type="spellEnd"/>
      <w:r w:rsidR="00A51137" w:rsidRPr="005A2E0D">
        <w:t xml:space="preserve"> до постанови Правління Національного банку України від 06 березня 2022 року №</w:t>
      </w:r>
      <w:r w:rsidR="00996034">
        <w:t> </w:t>
      </w:r>
      <w:r w:rsidR="00A51137" w:rsidRPr="005A2E0D">
        <w:t>39 “Про врегулювання діяльності учасників ринку небанківських фінансових послуг, небанківських фінансових груп, учасників платіжного ринку, колекторських компаній та юридичних осіб, які отримали ліцензію на надання банкам послуг з інкасації” (зі змінами) такі зміни:</w:t>
      </w:r>
    </w:p>
    <w:p w14:paraId="2B7B7A20" w14:textId="44C73EFE" w:rsidR="002348FC" w:rsidRPr="006C6261" w:rsidRDefault="00A51137" w:rsidP="006C6261">
      <w:pPr>
        <w:ind w:firstLine="567"/>
        <w:rPr>
          <w:iCs/>
          <w:lang w:val="ru-RU"/>
        </w:rPr>
      </w:pPr>
      <w:r w:rsidRPr="006C6261">
        <w:rPr>
          <w:iCs/>
          <w:lang w:val="ru-RU"/>
        </w:rPr>
        <w:t xml:space="preserve">1) </w:t>
      </w:r>
      <w:r w:rsidR="006C6261" w:rsidRPr="006C6261">
        <w:rPr>
          <w:iCs/>
          <w:lang w:val="ru-RU"/>
        </w:rPr>
        <w:t>у підпункті 1 пункту 16 слова “</w:t>
      </w:r>
      <w:proofErr w:type="spellStart"/>
      <w:r w:rsidR="006C6261" w:rsidRPr="006C6261">
        <w:rPr>
          <w:iCs/>
          <w:lang w:val="ru-RU"/>
        </w:rPr>
        <w:t>збільшення</w:t>
      </w:r>
      <w:proofErr w:type="spellEnd"/>
      <w:r w:rsidR="006C6261" w:rsidRPr="006C6261">
        <w:rPr>
          <w:iCs/>
          <w:lang w:val="ru-RU"/>
        </w:rPr>
        <w:t xml:space="preserve"> </w:t>
      </w:r>
      <w:proofErr w:type="spellStart"/>
      <w:r w:rsidR="006C6261" w:rsidRPr="006C6261">
        <w:rPr>
          <w:iCs/>
          <w:lang w:val="ru-RU"/>
        </w:rPr>
        <w:t>строків</w:t>
      </w:r>
      <w:proofErr w:type="spellEnd"/>
      <w:r w:rsidR="006C6261" w:rsidRPr="006C6261">
        <w:rPr>
          <w:iCs/>
          <w:lang w:val="ru-RU"/>
        </w:rPr>
        <w:t xml:space="preserve"> </w:t>
      </w:r>
      <w:proofErr w:type="spellStart"/>
      <w:r w:rsidR="006C6261" w:rsidRPr="006C6261">
        <w:rPr>
          <w:iCs/>
          <w:lang w:val="ru-RU"/>
        </w:rPr>
        <w:t>користування</w:t>
      </w:r>
      <w:proofErr w:type="spellEnd"/>
      <w:r w:rsidR="006C6261">
        <w:rPr>
          <w:iCs/>
          <w:lang w:val="ru-RU"/>
        </w:rPr>
        <w:t xml:space="preserve"> </w:t>
      </w:r>
      <w:r w:rsidR="006C6261" w:rsidRPr="006C6261">
        <w:rPr>
          <w:iCs/>
          <w:lang w:val="ru-RU"/>
        </w:rPr>
        <w:t>активами та/</w:t>
      </w:r>
      <w:proofErr w:type="spellStart"/>
      <w:r w:rsidR="006C6261" w:rsidRPr="006C6261">
        <w:rPr>
          <w:iCs/>
          <w:lang w:val="ru-RU"/>
        </w:rPr>
        <w:t>або</w:t>
      </w:r>
      <w:proofErr w:type="spellEnd"/>
      <w:r w:rsidR="006C6261" w:rsidRPr="006C6261">
        <w:rPr>
          <w:iCs/>
          <w:lang w:val="ru-RU"/>
        </w:rPr>
        <w:t xml:space="preserve">” </w:t>
      </w:r>
      <w:proofErr w:type="spellStart"/>
      <w:r w:rsidR="006C6261" w:rsidRPr="006C6261">
        <w:rPr>
          <w:iCs/>
          <w:lang w:val="ru-RU"/>
        </w:rPr>
        <w:t>виключити</w:t>
      </w:r>
      <w:proofErr w:type="spellEnd"/>
      <w:r w:rsidR="006C6261" w:rsidRPr="006C6261">
        <w:rPr>
          <w:iCs/>
          <w:lang w:val="ru-RU"/>
        </w:rPr>
        <w:t>;</w:t>
      </w:r>
    </w:p>
    <w:p w14:paraId="0AD4D3EE" w14:textId="77777777" w:rsidR="0049011C" w:rsidRDefault="0049011C" w:rsidP="00B423B5">
      <w:pPr>
        <w:ind w:firstLine="567"/>
        <w:rPr>
          <w:iCs/>
        </w:rPr>
      </w:pPr>
    </w:p>
    <w:p w14:paraId="4DF16608" w14:textId="41574BCB" w:rsidR="00361126" w:rsidRDefault="00A51137" w:rsidP="00B423B5">
      <w:pPr>
        <w:ind w:firstLine="567"/>
        <w:rPr>
          <w:bCs/>
        </w:rPr>
      </w:pPr>
      <w:r w:rsidRPr="005A2E0D">
        <w:rPr>
          <w:iCs/>
        </w:rPr>
        <w:t xml:space="preserve">2) </w:t>
      </w:r>
      <w:r w:rsidR="00361126">
        <w:rPr>
          <w:bCs/>
          <w:lang w:val="ru-RU"/>
        </w:rPr>
        <w:t>пункт 16</w:t>
      </w:r>
      <w:r w:rsidR="00361126">
        <w:rPr>
          <w:bCs/>
          <w:vertAlign w:val="superscript"/>
          <w:lang w:val="ru-RU"/>
        </w:rPr>
        <w:t>1</w:t>
      </w:r>
      <w:r w:rsidR="00361126">
        <w:rPr>
          <w:bCs/>
          <w:lang w:val="ru-RU"/>
        </w:rPr>
        <w:t xml:space="preserve"> </w:t>
      </w:r>
      <w:r w:rsidR="00361126">
        <w:rPr>
          <w:bCs/>
        </w:rPr>
        <w:t>доповнити</w:t>
      </w:r>
      <w:r w:rsidR="00DC78AD">
        <w:rPr>
          <w:bCs/>
        </w:rPr>
        <w:t xml:space="preserve"> п’ятьма </w:t>
      </w:r>
      <w:r w:rsidR="004D362C">
        <w:rPr>
          <w:bCs/>
        </w:rPr>
        <w:t>новим</w:t>
      </w:r>
      <w:r w:rsidR="00DC78AD">
        <w:rPr>
          <w:bCs/>
        </w:rPr>
        <w:t>и</w:t>
      </w:r>
      <w:r w:rsidR="004D362C">
        <w:rPr>
          <w:bCs/>
        </w:rPr>
        <w:t xml:space="preserve"> </w:t>
      </w:r>
      <w:r w:rsidR="00DC78AD">
        <w:rPr>
          <w:bCs/>
        </w:rPr>
        <w:t xml:space="preserve">абзацами </w:t>
      </w:r>
      <w:r w:rsidR="00361126">
        <w:rPr>
          <w:bCs/>
        </w:rPr>
        <w:t>такого змісту:</w:t>
      </w:r>
    </w:p>
    <w:p w14:paraId="109E5622" w14:textId="2105D184" w:rsidR="00E81677" w:rsidRPr="00E81677" w:rsidRDefault="00361126" w:rsidP="00B423B5">
      <w:pPr>
        <w:ind w:firstLine="567"/>
        <w:rPr>
          <w:bCs/>
        </w:rPr>
      </w:pPr>
      <w:r w:rsidRPr="00361126">
        <w:rPr>
          <w:bCs/>
          <w:lang w:val="ru-RU"/>
        </w:rPr>
        <w:t>“</w:t>
      </w:r>
      <w:r w:rsidR="00E81677" w:rsidRPr="00E81677">
        <w:rPr>
          <w:bCs/>
        </w:rPr>
        <w:t>Кредитна спілка під час застосування вимог розділу VI Положення №</w:t>
      </w:r>
      <w:r w:rsidR="00996034">
        <w:rPr>
          <w:bCs/>
        </w:rPr>
        <w:t> </w:t>
      </w:r>
      <w:r w:rsidR="00E81677" w:rsidRPr="00E81677">
        <w:rPr>
          <w:bCs/>
        </w:rPr>
        <w:t xml:space="preserve">1840 визначає рівень простроченості договору кредиту відповідно до нових умов договору кредиту, пов’язаних </w:t>
      </w:r>
      <w:r w:rsidR="00996034">
        <w:rPr>
          <w:bCs/>
        </w:rPr>
        <w:t>і</w:t>
      </w:r>
      <w:r w:rsidR="00E81677" w:rsidRPr="00E81677">
        <w:rPr>
          <w:bCs/>
        </w:rPr>
        <w:t>з реструктуризацією зобов’язань за таким договором кредиту, за одночасного дотримання таких умов:</w:t>
      </w:r>
    </w:p>
    <w:p w14:paraId="255B05A2" w14:textId="762D1804" w:rsidR="00E81677" w:rsidRPr="00E81677" w:rsidRDefault="00E81677" w:rsidP="0049011C">
      <w:pPr>
        <w:tabs>
          <w:tab w:val="left" w:pos="851"/>
        </w:tabs>
        <w:spacing w:before="240"/>
        <w:ind w:firstLine="567"/>
        <w:rPr>
          <w:bCs/>
        </w:rPr>
      </w:pPr>
      <w:r w:rsidRPr="00E81677">
        <w:rPr>
          <w:bCs/>
        </w:rPr>
        <w:t>1)</w:t>
      </w:r>
      <w:r w:rsidRPr="00E81677">
        <w:rPr>
          <w:bCs/>
        </w:rPr>
        <w:tab/>
        <w:t xml:space="preserve">продовжено строк дії договору кредиту та/або </w:t>
      </w:r>
      <w:proofErr w:type="spellStart"/>
      <w:r w:rsidRPr="00E81677">
        <w:rPr>
          <w:bCs/>
        </w:rPr>
        <w:t>внесено</w:t>
      </w:r>
      <w:proofErr w:type="spellEnd"/>
      <w:r w:rsidRPr="00E81677">
        <w:rPr>
          <w:bCs/>
        </w:rPr>
        <w:t xml:space="preserve"> зміни до </w:t>
      </w:r>
      <w:r w:rsidR="00996034" w:rsidRPr="00E81677">
        <w:rPr>
          <w:bCs/>
        </w:rPr>
        <w:t>графік</w:t>
      </w:r>
      <w:r w:rsidR="00996034">
        <w:rPr>
          <w:bCs/>
        </w:rPr>
        <w:t xml:space="preserve">а </w:t>
      </w:r>
      <w:r w:rsidRPr="00E81677">
        <w:rPr>
          <w:bCs/>
        </w:rPr>
        <w:t>погашення кредиту, який не був простроченим станом на 23 лютого 2022 року;</w:t>
      </w:r>
    </w:p>
    <w:p w14:paraId="2FF3E2EE" w14:textId="073CB336" w:rsidR="00E81677" w:rsidRPr="00E81677" w:rsidRDefault="00E81677" w:rsidP="0049011C">
      <w:pPr>
        <w:tabs>
          <w:tab w:val="left" w:pos="709"/>
          <w:tab w:val="left" w:pos="851"/>
        </w:tabs>
        <w:spacing w:before="240"/>
        <w:ind w:firstLine="567"/>
        <w:rPr>
          <w:bCs/>
        </w:rPr>
      </w:pPr>
      <w:r w:rsidRPr="00E81677">
        <w:rPr>
          <w:bCs/>
        </w:rPr>
        <w:t>2)</w:t>
      </w:r>
      <w:r w:rsidRPr="00E81677">
        <w:rPr>
          <w:bCs/>
        </w:rPr>
        <w:tab/>
        <w:t xml:space="preserve">строк дії договору кредиту продовжено не більше ніж на </w:t>
      </w:r>
      <w:r w:rsidR="00996034">
        <w:rPr>
          <w:bCs/>
        </w:rPr>
        <w:t>один</w:t>
      </w:r>
      <w:r w:rsidR="00996034" w:rsidRPr="00E81677">
        <w:rPr>
          <w:bCs/>
        </w:rPr>
        <w:t xml:space="preserve"> </w:t>
      </w:r>
      <w:r w:rsidRPr="00E81677">
        <w:rPr>
          <w:bCs/>
        </w:rPr>
        <w:t>рік;</w:t>
      </w:r>
    </w:p>
    <w:p w14:paraId="3A559E73" w14:textId="50A9D5D1" w:rsidR="00E81677" w:rsidRPr="00E81677" w:rsidRDefault="00E81677" w:rsidP="0049011C">
      <w:pPr>
        <w:tabs>
          <w:tab w:val="left" w:pos="709"/>
          <w:tab w:val="left" w:pos="851"/>
        </w:tabs>
        <w:spacing w:before="240"/>
        <w:ind w:firstLine="567"/>
        <w:rPr>
          <w:bCs/>
        </w:rPr>
      </w:pPr>
      <w:r w:rsidRPr="00E81677">
        <w:rPr>
          <w:bCs/>
        </w:rPr>
        <w:t>3)</w:t>
      </w:r>
      <w:r w:rsidRPr="00E81677">
        <w:rPr>
          <w:bCs/>
        </w:rPr>
        <w:tab/>
      </w:r>
      <w:r w:rsidR="00996034" w:rsidRPr="00E81677">
        <w:rPr>
          <w:bCs/>
        </w:rPr>
        <w:t>кредитн</w:t>
      </w:r>
      <w:r w:rsidR="00996034">
        <w:rPr>
          <w:bCs/>
        </w:rPr>
        <w:t>а</w:t>
      </w:r>
      <w:r w:rsidR="00996034" w:rsidRPr="00E81677">
        <w:rPr>
          <w:bCs/>
        </w:rPr>
        <w:t xml:space="preserve"> спілк</w:t>
      </w:r>
      <w:r w:rsidR="00996034">
        <w:rPr>
          <w:bCs/>
        </w:rPr>
        <w:t>а</w:t>
      </w:r>
      <w:r w:rsidR="00996034" w:rsidRPr="00E81677">
        <w:rPr>
          <w:bCs/>
        </w:rPr>
        <w:t xml:space="preserve"> </w:t>
      </w:r>
      <w:r w:rsidRPr="00E81677">
        <w:rPr>
          <w:bCs/>
        </w:rPr>
        <w:t xml:space="preserve">на підставі заяви позичальника </w:t>
      </w:r>
      <w:r w:rsidR="00996034" w:rsidRPr="00E81677">
        <w:rPr>
          <w:bCs/>
        </w:rPr>
        <w:t>прийня</w:t>
      </w:r>
      <w:r w:rsidR="00996034">
        <w:rPr>
          <w:bCs/>
        </w:rPr>
        <w:t>ла</w:t>
      </w:r>
      <w:r w:rsidR="00996034" w:rsidRPr="00E81677">
        <w:rPr>
          <w:bCs/>
        </w:rPr>
        <w:t xml:space="preserve"> </w:t>
      </w:r>
      <w:r w:rsidRPr="00E81677">
        <w:rPr>
          <w:bCs/>
        </w:rPr>
        <w:t xml:space="preserve">обґрунтоване рішення, що відображено в рішенні кредитного комітету,  про необхідність </w:t>
      </w:r>
      <w:r w:rsidRPr="00E81677">
        <w:rPr>
          <w:bCs/>
        </w:rPr>
        <w:lastRenderedPageBreak/>
        <w:t xml:space="preserve">реструктуризації зобов’язань  за договором кредиту, спричиненої фінансовими труднощами позичальника внаслідок військової агресії </w:t>
      </w:r>
      <w:r w:rsidR="00910EE4">
        <w:rPr>
          <w:bCs/>
        </w:rPr>
        <w:t>р</w:t>
      </w:r>
      <w:r w:rsidR="00910EE4" w:rsidRPr="00E81677">
        <w:rPr>
          <w:bCs/>
        </w:rPr>
        <w:t xml:space="preserve">осійської </w:t>
      </w:r>
      <w:r w:rsidR="00910EE4">
        <w:rPr>
          <w:bCs/>
        </w:rPr>
        <w:t>ф</w:t>
      </w:r>
      <w:r w:rsidR="00910EE4" w:rsidRPr="00E81677">
        <w:rPr>
          <w:bCs/>
        </w:rPr>
        <w:t xml:space="preserve">едерації </w:t>
      </w:r>
      <w:r w:rsidRPr="00E81677">
        <w:rPr>
          <w:bCs/>
        </w:rPr>
        <w:t>проти України;</w:t>
      </w:r>
    </w:p>
    <w:p w14:paraId="40E40E3C" w14:textId="561F2DCF" w:rsidR="00A51137" w:rsidRDefault="00E81677" w:rsidP="0049011C">
      <w:pPr>
        <w:tabs>
          <w:tab w:val="left" w:pos="851"/>
        </w:tabs>
        <w:spacing w:before="240"/>
        <w:ind w:firstLine="567"/>
        <w:rPr>
          <w:bCs/>
          <w:lang w:val="ru-RU"/>
        </w:rPr>
      </w:pPr>
      <w:r w:rsidRPr="00E81677">
        <w:rPr>
          <w:bCs/>
        </w:rPr>
        <w:t>4)</w:t>
      </w:r>
      <w:r w:rsidRPr="00E81677">
        <w:rPr>
          <w:bCs/>
        </w:rPr>
        <w:tab/>
        <w:t>кредитна спілка здійснила реструктуризацію зобов’язань за договором кредиту в період дії воєнного стану.</w:t>
      </w:r>
      <w:r w:rsidR="00A51137" w:rsidRPr="005A2E0D">
        <w:rPr>
          <w:bCs/>
        </w:rPr>
        <w:t>”</w:t>
      </w:r>
      <w:r w:rsidR="00956DE5">
        <w:rPr>
          <w:bCs/>
          <w:lang w:val="ru-RU"/>
        </w:rPr>
        <w:t>;</w:t>
      </w:r>
    </w:p>
    <w:p w14:paraId="1376D9F7" w14:textId="77777777" w:rsidR="00956DE5" w:rsidRDefault="00956DE5" w:rsidP="00956DE5">
      <w:pPr>
        <w:tabs>
          <w:tab w:val="left" w:pos="851"/>
        </w:tabs>
        <w:ind w:firstLine="567"/>
        <w:rPr>
          <w:bCs/>
          <w:lang w:val="ru-RU"/>
        </w:rPr>
      </w:pPr>
    </w:p>
    <w:p w14:paraId="1864F34F" w14:textId="0A7D69B4" w:rsidR="00956DE5" w:rsidRPr="005A2E0D" w:rsidRDefault="006C6261" w:rsidP="00956DE5">
      <w:pPr>
        <w:tabs>
          <w:tab w:val="left" w:pos="851"/>
        </w:tabs>
        <w:ind w:firstLine="567"/>
        <w:rPr>
          <w:iCs/>
        </w:rPr>
      </w:pPr>
      <w:r>
        <w:rPr>
          <w:bCs/>
          <w:lang w:val="ru-RU"/>
        </w:rPr>
        <w:t>3</w:t>
      </w:r>
      <w:r w:rsidR="00956DE5">
        <w:rPr>
          <w:bCs/>
          <w:lang w:val="ru-RU"/>
        </w:rPr>
        <w:t>)</w:t>
      </w:r>
      <w:r w:rsidR="00956DE5">
        <w:rPr>
          <w:bCs/>
          <w:lang w:val="ru-RU"/>
        </w:rPr>
        <w:tab/>
      </w:r>
      <w:r w:rsidR="00956DE5" w:rsidRPr="005A2E0D">
        <w:t>постанову після пункту 19 доповнити новим пунктом 19</w:t>
      </w:r>
      <w:r w:rsidR="00956DE5" w:rsidRPr="005A2E0D">
        <w:rPr>
          <w:vertAlign w:val="superscript"/>
        </w:rPr>
        <w:t>1</w:t>
      </w:r>
      <w:r w:rsidR="00956DE5" w:rsidRPr="005A2E0D">
        <w:t xml:space="preserve"> такого змісту:</w:t>
      </w:r>
    </w:p>
    <w:p w14:paraId="73D6EBCF" w14:textId="77777777" w:rsidR="00956DE5" w:rsidRPr="00872CF9" w:rsidRDefault="00956DE5" w:rsidP="00956DE5">
      <w:pPr>
        <w:pStyle w:val="rvps2"/>
        <w:shd w:val="clear" w:color="auto" w:fill="FFFFFF"/>
        <w:spacing w:before="0" w:after="0" w:line="240" w:lineRule="auto"/>
        <w:ind w:firstLine="567"/>
        <w:contextualSpacing/>
        <w:jc w:val="both"/>
        <w:rPr>
          <w:bCs/>
          <w:color w:val="000000" w:themeColor="text1"/>
          <w:sz w:val="28"/>
          <w:szCs w:val="28"/>
          <w:lang w:val="uk-UA" w:eastAsia="uk-UA"/>
        </w:rPr>
      </w:pPr>
      <w:r w:rsidRPr="00872CF9">
        <w:rPr>
          <w:bCs/>
          <w:color w:val="000000" w:themeColor="text1"/>
          <w:sz w:val="28"/>
          <w:szCs w:val="28"/>
          <w:lang w:val="uk-UA" w:eastAsia="uk-UA"/>
        </w:rPr>
        <w:t>“19</w:t>
      </w:r>
      <w:r w:rsidRPr="00872CF9">
        <w:rPr>
          <w:bCs/>
          <w:color w:val="000000" w:themeColor="text1"/>
          <w:sz w:val="28"/>
          <w:szCs w:val="28"/>
          <w:vertAlign w:val="superscript"/>
          <w:lang w:val="uk-UA" w:eastAsia="uk-UA"/>
        </w:rPr>
        <w:t>1</w:t>
      </w:r>
      <w:r w:rsidRPr="00872CF9">
        <w:rPr>
          <w:bCs/>
          <w:color w:val="000000" w:themeColor="text1"/>
          <w:sz w:val="28"/>
          <w:szCs w:val="28"/>
          <w:lang w:val="uk-UA" w:eastAsia="uk-UA"/>
        </w:rPr>
        <w:t xml:space="preserve">. </w:t>
      </w:r>
      <w:r w:rsidRPr="00B316D1">
        <w:rPr>
          <w:bCs/>
          <w:color w:val="000000" w:themeColor="text1"/>
          <w:sz w:val="28"/>
          <w:szCs w:val="28"/>
          <w:lang w:val="uk-UA" w:eastAsia="uk-UA"/>
        </w:rPr>
        <w:t>Положення</w:t>
      </w:r>
      <w:r w:rsidRPr="00872CF9">
        <w:rPr>
          <w:bCs/>
          <w:color w:val="000000" w:themeColor="text1"/>
          <w:sz w:val="28"/>
          <w:szCs w:val="28"/>
          <w:lang w:val="uk-UA" w:eastAsia="uk-UA"/>
        </w:rPr>
        <w:t xml:space="preserve"> про застосування Національним банком України заходів впливу у сфері державного регулювання діяльності на ринках небанківських фінансових послуг, затверджен</w:t>
      </w:r>
      <w:r>
        <w:rPr>
          <w:bCs/>
          <w:color w:val="000000" w:themeColor="text1"/>
          <w:sz w:val="28"/>
          <w:szCs w:val="28"/>
          <w:lang w:val="uk-UA" w:eastAsia="uk-UA"/>
        </w:rPr>
        <w:t>е</w:t>
      </w:r>
      <w:r w:rsidRPr="00872CF9">
        <w:rPr>
          <w:bCs/>
          <w:color w:val="000000" w:themeColor="text1"/>
          <w:sz w:val="28"/>
          <w:szCs w:val="28"/>
          <w:lang w:val="uk-UA" w:eastAsia="uk-UA"/>
        </w:rPr>
        <w:t xml:space="preserve"> постановою Правління Національного банку України від 01 лютого 2021 року № 12 (зі змінами) (далі – Положення № 12)</w:t>
      </w:r>
      <w:r>
        <w:rPr>
          <w:bCs/>
          <w:color w:val="000000" w:themeColor="text1"/>
          <w:sz w:val="28"/>
          <w:szCs w:val="28"/>
          <w:lang w:val="uk-UA" w:eastAsia="uk-UA"/>
        </w:rPr>
        <w:t>,</w:t>
      </w:r>
      <w:r w:rsidRPr="00872CF9">
        <w:rPr>
          <w:bCs/>
          <w:color w:val="000000" w:themeColor="text1"/>
          <w:sz w:val="28"/>
          <w:szCs w:val="28"/>
          <w:lang w:val="uk-UA" w:eastAsia="uk-UA"/>
        </w:rPr>
        <w:t xml:space="preserve"> застосовується із такими особливостями:</w:t>
      </w:r>
    </w:p>
    <w:p w14:paraId="17215F0C" w14:textId="77777777" w:rsidR="00956DE5" w:rsidRPr="005D73D3" w:rsidRDefault="00956DE5" w:rsidP="00956DE5">
      <w:pPr>
        <w:pStyle w:val="rvps2"/>
        <w:shd w:val="clear" w:color="auto" w:fill="FFFFFF"/>
        <w:spacing w:before="0" w:after="0" w:line="240" w:lineRule="auto"/>
        <w:ind w:firstLine="567"/>
        <w:contextualSpacing/>
        <w:jc w:val="both"/>
        <w:rPr>
          <w:bCs/>
          <w:sz w:val="28"/>
          <w:szCs w:val="28"/>
          <w:lang w:val="uk-UA" w:eastAsia="uk-UA"/>
        </w:rPr>
      </w:pPr>
    </w:p>
    <w:p w14:paraId="76480E5F" w14:textId="77777777" w:rsidR="00956DE5" w:rsidRPr="00F465B4" w:rsidRDefault="00956DE5" w:rsidP="00956DE5">
      <w:pPr>
        <w:pStyle w:val="rvps2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567"/>
        <w:contextualSpacing/>
        <w:jc w:val="both"/>
        <w:rPr>
          <w:bCs/>
          <w:sz w:val="28"/>
          <w:szCs w:val="28"/>
          <w:lang w:val="uk-UA" w:eastAsia="uk-UA"/>
        </w:rPr>
      </w:pPr>
      <w:r w:rsidRPr="005A2E0D">
        <w:rPr>
          <w:bCs/>
          <w:sz w:val="28"/>
          <w:szCs w:val="28"/>
          <w:lang w:val="uk-UA" w:eastAsia="uk-UA"/>
        </w:rPr>
        <w:t xml:space="preserve">протягом дії воєнного стану в Україні та 30 календарних днів із дня його припинення або </w:t>
      </w:r>
      <w:r w:rsidRPr="00F465B4">
        <w:rPr>
          <w:bCs/>
          <w:sz w:val="28"/>
          <w:szCs w:val="28"/>
          <w:lang w:val="uk-UA" w:eastAsia="uk-UA"/>
        </w:rPr>
        <w:t xml:space="preserve">скасування Національний банк </w:t>
      </w:r>
      <w:r>
        <w:rPr>
          <w:bCs/>
          <w:sz w:val="28"/>
          <w:szCs w:val="28"/>
          <w:lang w:val="uk-UA" w:eastAsia="uk-UA"/>
        </w:rPr>
        <w:t>з власної ініціативи</w:t>
      </w:r>
      <w:r w:rsidRPr="00F465B4">
        <w:rPr>
          <w:bCs/>
          <w:sz w:val="28"/>
          <w:szCs w:val="28"/>
          <w:lang w:val="uk-UA" w:eastAsia="uk-UA"/>
        </w:rPr>
        <w:t xml:space="preserve"> внос</w:t>
      </w:r>
      <w:r>
        <w:rPr>
          <w:bCs/>
          <w:sz w:val="28"/>
          <w:szCs w:val="28"/>
          <w:lang w:val="uk-UA" w:eastAsia="uk-UA"/>
        </w:rPr>
        <w:t>ить</w:t>
      </w:r>
      <w:r w:rsidRPr="00F465B4">
        <w:rPr>
          <w:bCs/>
          <w:sz w:val="28"/>
          <w:szCs w:val="28"/>
          <w:lang w:val="uk-UA" w:eastAsia="uk-UA"/>
        </w:rPr>
        <w:t xml:space="preserve"> зміни до рішень про застосування заходів впливу, передбачених </w:t>
      </w:r>
      <w:r>
        <w:rPr>
          <w:bCs/>
          <w:sz w:val="28"/>
          <w:szCs w:val="28"/>
          <w:lang w:val="uk-UA" w:eastAsia="uk-UA"/>
        </w:rPr>
        <w:t xml:space="preserve">у </w:t>
      </w:r>
      <w:r w:rsidRPr="00F465B4">
        <w:rPr>
          <w:bCs/>
          <w:sz w:val="28"/>
          <w:szCs w:val="28"/>
          <w:lang w:val="uk-UA" w:eastAsia="uk-UA"/>
        </w:rPr>
        <w:t>пункта</w:t>
      </w:r>
      <w:r>
        <w:rPr>
          <w:bCs/>
          <w:sz w:val="28"/>
          <w:szCs w:val="28"/>
          <w:lang w:val="uk-UA" w:eastAsia="uk-UA"/>
        </w:rPr>
        <w:t>х</w:t>
      </w:r>
      <w:r w:rsidRPr="00F465B4">
        <w:rPr>
          <w:bCs/>
          <w:sz w:val="28"/>
          <w:szCs w:val="28"/>
          <w:lang w:val="uk-UA" w:eastAsia="uk-UA"/>
        </w:rPr>
        <w:t xml:space="preserve"> 1, 2, 6, 7</w:t>
      </w:r>
      <w:r w:rsidRPr="00F465B4">
        <w:rPr>
          <w:bCs/>
          <w:sz w:val="28"/>
          <w:szCs w:val="28"/>
          <w:vertAlign w:val="superscript"/>
          <w:lang w:val="uk-UA" w:eastAsia="uk-UA"/>
        </w:rPr>
        <w:t>1</w:t>
      </w:r>
      <w:r w:rsidRPr="00F465B4">
        <w:rPr>
          <w:bCs/>
          <w:sz w:val="28"/>
          <w:szCs w:val="28"/>
          <w:lang w:val="uk-UA" w:eastAsia="uk-UA"/>
        </w:rPr>
        <w:t xml:space="preserve">, 8 частини першої статті 40 </w:t>
      </w:r>
      <w:r w:rsidRPr="00F465B4">
        <w:rPr>
          <w:sz w:val="28"/>
          <w:szCs w:val="28"/>
          <w:lang w:val="uk-UA"/>
        </w:rPr>
        <w:t>Закону України “Про фінансові послуги та державне регулювання ринків фінансових послуг”</w:t>
      </w:r>
      <w:r>
        <w:rPr>
          <w:sz w:val="28"/>
          <w:szCs w:val="28"/>
          <w:lang w:val="uk-UA"/>
        </w:rPr>
        <w:t xml:space="preserve">, строк виконання яких припадає (припав) на період дії </w:t>
      </w:r>
      <w:r w:rsidRPr="005A2E0D">
        <w:rPr>
          <w:bCs/>
          <w:sz w:val="28"/>
          <w:szCs w:val="28"/>
          <w:lang w:val="uk-UA" w:eastAsia="uk-UA"/>
        </w:rPr>
        <w:t>воєнного стану в Україні</w:t>
      </w:r>
      <w:r>
        <w:rPr>
          <w:bCs/>
          <w:sz w:val="28"/>
          <w:szCs w:val="28"/>
          <w:lang w:val="uk-UA" w:eastAsia="uk-UA"/>
        </w:rPr>
        <w:t xml:space="preserve"> </w:t>
      </w:r>
      <w:r w:rsidRPr="005A2E0D">
        <w:rPr>
          <w:bCs/>
          <w:sz w:val="28"/>
          <w:szCs w:val="28"/>
          <w:lang w:val="uk-UA" w:eastAsia="uk-UA"/>
        </w:rPr>
        <w:t xml:space="preserve">та 30 календарних днів із дня його припинення або </w:t>
      </w:r>
      <w:r w:rsidRPr="00F465B4">
        <w:rPr>
          <w:bCs/>
          <w:sz w:val="28"/>
          <w:szCs w:val="28"/>
          <w:lang w:val="uk-UA" w:eastAsia="uk-UA"/>
        </w:rPr>
        <w:t>скасування</w:t>
      </w:r>
      <w:r w:rsidRPr="00F465B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</w:t>
      </w:r>
      <w:r w:rsidRPr="00F465B4">
        <w:rPr>
          <w:sz w:val="28"/>
          <w:szCs w:val="28"/>
          <w:lang w:val="uk-UA"/>
        </w:rPr>
        <w:t xml:space="preserve"> частині строків їх виконання</w:t>
      </w:r>
      <w:r w:rsidRPr="00F465B4">
        <w:rPr>
          <w:bCs/>
          <w:sz w:val="28"/>
          <w:szCs w:val="28"/>
          <w:lang w:val="uk-UA" w:eastAsia="uk-UA"/>
        </w:rPr>
        <w:t>;  </w:t>
      </w:r>
    </w:p>
    <w:p w14:paraId="455C497F" w14:textId="77777777" w:rsidR="00956DE5" w:rsidRPr="00F465B4" w:rsidRDefault="00956DE5" w:rsidP="00956DE5">
      <w:pPr>
        <w:pStyle w:val="rvps2"/>
        <w:shd w:val="clear" w:color="auto" w:fill="FFFFFF"/>
        <w:spacing w:before="0" w:after="0" w:line="240" w:lineRule="auto"/>
        <w:ind w:left="567"/>
        <w:contextualSpacing/>
        <w:jc w:val="both"/>
        <w:rPr>
          <w:bCs/>
          <w:sz w:val="28"/>
          <w:szCs w:val="28"/>
          <w:lang w:val="uk-UA" w:eastAsia="uk-UA"/>
        </w:rPr>
      </w:pPr>
    </w:p>
    <w:p w14:paraId="007C7810" w14:textId="77777777" w:rsidR="00956DE5" w:rsidRDefault="00956DE5" w:rsidP="00956DE5">
      <w:pPr>
        <w:pStyle w:val="af3"/>
        <w:numPr>
          <w:ilvl w:val="0"/>
          <w:numId w:val="3"/>
        </w:numPr>
        <w:ind w:left="0" w:firstLine="567"/>
        <w:rPr>
          <w:bCs/>
        </w:rPr>
      </w:pPr>
      <w:r w:rsidRPr="00F465B4">
        <w:rPr>
          <w:bCs/>
        </w:rPr>
        <w:t xml:space="preserve">рішення про внесення змін до рішень про застосування заходів впливу, які визначені </w:t>
      </w:r>
      <w:r>
        <w:rPr>
          <w:bCs/>
        </w:rPr>
        <w:t>в</w:t>
      </w:r>
      <w:r w:rsidRPr="00F465B4">
        <w:rPr>
          <w:bCs/>
        </w:rPr>
        <w:t xml:space="preserve"> підпункті 1 пункту 19</w:t>
      </w:r>
      <w:r w:rsidRPr="00F465B4">
        <w:rPr>
          <w:bCs/>
          <w:vertAlign w:val="superscript"/>
        </w:rPr>
        <w:t xml:space="preserve">1 </w:t>
      </w:r>
      <w:r w:rsidRPr="00F465B4">
        <w:rPr>
          <w:bCs/>
        </w:rPr>
        <w:t xml:space="preserve">цієї </w:t>
      </w:r>
      <w:r>
        <w:rPr>
          <w:bCs/>
        </w:rPr>
        <w:t>п</w:t>
      </w:r>
      <w:r w:rsidRPr="00F465B4">
        <w:rPr>
          <w:bCs/>
        </w:rPr>
        <w:t xml:space="preserve">останови, </w:t>
      </w:r>
      <w:r>
        <w:t>у</w:t>
      </w:r>
      <w:r w:rsidRPr="00F465B4">
        <w:t xml:space="preserve"> частині строків їх виконання</w:t>
      </w:r>
      <w:r w:rsidRPr="005A2E0D">
        <w:rPr>
          <w:bCs/>
        </w:rPr>
        <w:t xml:space="preserve"> приймає Правління</w:t>
      </w:r>
      <w:r>
        <w:rPr>
          <w:bCs/>
        </w:rPr>
        <w:t xml:space="preserve"> Національного банку</w:t>
      </w:r>
      <w:r w:rsidRPr="005A2E0D">
        <w:rPr>
          <w:bCs/>
        </w:rPr>
        <w:t>/Комітет з питань нагляду. Рішення Правління</w:t>
      </w:r>
      <w:r>
        <w:rPr>
          <w:bCs/>
        </w:rPr>
        <w:t xml:space="preserve"> Національного банку</w:t>
      </w:r>
      <w:r w:rsidRPr="005A2E0D">
        <w:rPr>
          <w:bCs/>
        </w:rPr>
        <w:t xml:space="preserve"> надсилається учаснику ринку небанківських фінансових послуг, щодо якого воно було прийнято, у порядку, визначеному в підпункті 2 пункту 15 розділу III </w:t>
      </w:r>
      <w:hyperlink r:id="rId14" w:anchor="Text" w:history="1">
        <w:r w:rsidRPr="005A2E0D">
          <w:rPr>
            <w:bCs/>
          </w:rPr>
          <w:t>Положення №</w:t>
        </w:r>
      </w:hyperlink>
      <w:r w:rsidRPr="005A2E0D">
        <w:rPr>
          <w:bCs/>
        </w:rPr>
        <w:t xml:space="preserve"> 12;</w:t>
      </w:r>
    </w:p>
    <w:p w14:paraId="4216B902" w14:textId="77777777" w:rsidR="00956DE5" w:rsidRPr="005A2E0D" w:rsidRDefault="00956DE5" w:rsidP="00956DE5">
      <w:pPr>
        <w:pStyle w:val="af3"/>
        <w:ind w:left="567"/>
        <w:rPr>
          <w:bCs/>
        </w:rPr>
      </w:pPr>
    </w:p>
    <w:p w14:paraId="7CC4483B" w14:textId="77777777" w:rsidR="00956DE5" w:rsidRPr="005A2E0D" w:rsidRDefault="00956DE5" w:rsidP="00956DE5">
      <w:pPr>
        <w:pStyle w:val="af3"/>
        <w:numPr>
          <w:ilvl w:val="0"/>
          <w:numId w:val="3"/>
        </w:numPr>
        <w:ind w:left="0" w:firstLine="567"/>
        <w:rPr>
          <w:bCs/>
        </w:rPr>
      </w:pPr>
      <w:r w:rsidRPr="005A2E0D">
        <w:rPr>
          <w:bCs/>
        </w:rPr>
        <w:t xml:space="preserve">Національний банк має право затверджувати виконання плану відновлення фінансової стабільності кредитних спілок на строк до </w:t>
      </w:r>
      <w:r>
        <w:rPr>
          <w:bCs/>
        </w:rPr>
        <w:t>18</w:t>
      </w:r>
      <w:r w:rsidRPr="005A2E0D">
        <w:rPr>
          <w:bCs/>
        </w:rPr>
        <w:t xml:space="preserve"> місяців.”.</w:t>
      </w:r>
    </w:p>
    <w:p w14:paraId="70C3D718" w14:textId="77777777" w:rsidR="00956DE5" w:rsidRDefault="00956DE5" w:rsidP="00956DE5">
      <w:pPr>
        <w:ind w:firstLine="567"/>
        <w:rPr>
          <w:rFonts w:eastAsia="SimSun"/>
        </w:rPr>
      </w:pPr>
    </w:p>
    <w:p w14:paraId="0802D8A9" w14:textId="145DE26B" w:rsidR="00A51137" w:rsidRDefault="00A51137" w:rsidP="00956DE5">
      <w:pPr>
        <w:ind w:firstLine="567"/>
        <w:rPr>
          <w:rFonts w:eastAsia="SimSun"/>
        </w:rPr>
      </w:pPr>
      <w:r w:rsidRPr="005A2E0D">
        <w:rPr>
          <w:rFonts w:eastAsia="SimSun"/>
        </w:rPr>
        <w:t xml:space="preserve">2. </w:t>
      </w:r>
      <w:r w:rsidRPr="005A2E0D">
        <w:t>Постанова набирає чинності з дня її офіційного опублікування</w:t>
      </w:r>
      <w:r w:rsidRPr="005A2E0D">
        <w:rPr>
          <w:rFonts w:eastAsia="SimSun"/>
        </w:rPr>
        <w:t xml:space="preserve">. </w:t>
      </w:r>
    </w:p>
    <w:p w14:paraId="3DED55CC" w14:textId="77777777" w:rsidR="00407890" w:rsidRDefault="00407890" w:rsidP="00A51137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</w:p>
    <w:p w14:paraId="282BA778" w14:textId="77777777" w:rsidR="00AD7DF9" w:rsidRDefault="00AD7DF9" w:rsidP="00AD7DF9">
      <w:pPr>
        <w:pStyle w:val="af3"/>
        <w:spacing w:before="240" w:after="120"/>
        <w:ind w:left="0" w:firstLine="709"/>
        <w:rPr>
          <w:rFonts w:eastAsiaTheme="minorEastAsia"/>
          <w:noProof/>
          <w:color w:val="000000" w:themeColor="text1"/>
          <w:lang w:eastAsia="en-US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DD60CC" w:rsidRPr="00CD0CD4" w14:paraId="437EADAD" w14:textId="77777777" w:rsidTr="00736C98">
        <w:tc>
          <w:tcPr>
            <w:tcW w:w="5387" w:type="dxa"/>
            <w:vAlign w:val="bottom"/>
          </w:tcPr>
          <w:p w14:paraId="14CCE4FF" w14:textId="731DA339" w:rsidR="00DD60CC" w:rsidRPr="00D93D49" w:rsidRDefault="00D93D49" w:rsidP="00337368">
            <w:pPr>
              <w:autoSpaceDE w:val="0"/>
              <w:autoSpaceDN w:val="0"/>
              <w:jc w:val="left"/>
              <w:rPr>
                <w:lang w:val="ru-RU"/>
              </w:rPr>
            </w:pPr>
            <w:r>
              <w:t xml:space="preserve">В.о. </w:t>
            </w:r>
            <w:r w:rsidR="00A51137" w:rsidRPr="005A2E0D">
              <w:t>Голов</w:t>
            </w:r>
            <w:bookmarkStart w:id="0" w:name="_GoBack"/>
            <w:bookmarkEnd w:id="0"/>
            <w:r>
              <w:rPr>
                <w:lang w:val="ru-RU"/>
              </w:rPr>
              <w:t>и</w:t>
            </w:r>
          </w:p>
        </w:tc>
        <w:tc>
          <w:tcPr>
            <w:tcW w:w="4252" w:type="dxa"/>
            <w:vAlign w:val="bottom"/>
          </w:tcPr>
          <w:p w14:paraId="1379D21F" w14:textId="5B7ACFBB" w:rsidR="00DD60CC" w:rsidRPr="00CD0CD4" w:rsidRDefault="00A51137" w:rsidP="00D93D49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5A2E0D">
              <w:t xml:space="preserve"> </w:t>
            </w:r>
            <w:r w:rsidR="00D93D49">
              <w:t>Юрій</w:t>
            </w:r>
            <w:r w:rsidR="00E734C4">
              <w:t xml:space="preserve"> </w:t>
            </w:r>
            <w:r w:rsidR="00D93D49">
              <w:t>ГЕЛЕТІЙ</w:t>
            </w:r>
          </w:p>
        </w:tc>
      </w:tr>
    </w:tbl>
    <w:p w14:paraId="6DD9AB73" w14:textId="77777777" w:rsidR="008D10FD" w:rsidRPr="00CD0CD4" w:rsidRDefault="008D10FD" w:rsidP="00E53CCD"/>
    <w:p w14:paraId="5293404E" w14:textId="77777777" w:rsidR="00FA508E" w:rsidRPr="00CD0CD4" w:rsidRDefault="00FA508E" w:rsidP="00E53CCD"/>
    <w:p w14:paraId="7616CEF8" w14:textId="77777777" w:rsidR="00FA508E" w:rsidRPr="00CD0CD4" w:rsidRDefault="00FA508E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A51137">
        <w:t>33</w:t>
      </w:r>
    </w:p>
    <w:sectPr w:rsidR="00FA508E" w:rsidRPr="00CD0CD4" w:rsidSect="00B423B5">
      <w:headerReference w:type="default" r:id="rId15"/>
      <w:footerReference w:type="first" r:id="rId16"/>
      <w:pgSz w:w="11906" w:h="16838" w:code="9"/>
      <w:pgMar w:top="567" w:right="567" w:bottom="170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595D0" w14:textId="77777777" w:rsidR="0026310C" w:rsidRDefault="0026310C" w:rsidP="00E53CCD">
      <w:r>
        <w:separator/>
      </w:r>
    </w:p>
  </w:endnote>
  <w:endnote w:type="continuationSeparator" w:id="0">
    <w:p w14:paraId="14E7DE5A" w14:textId="77777777" w:rsidR="0026310C" w:rsidRDefault="0026310C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6DB60" w14:textId="77777777" w:rsidR="005C44F4" w:rsidRPr="005C44F4" w:rsidRDefault="005C44F4" w:rsidP="005C44F4">
    <w:pPr>
      <w:pStyle w:val="a7"/>
      <w:jc w:val="right"/>
      <w:rPr>
        <w:color w:val="FFFFFF" w:themeColor="background1"/>
      </w:rPr>
    </w:pPr>
    <w:r w:rsidRPr="005C44F4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7B8AD" w14:textId="77777777" w:rsidR="0026310C" w:rsidRDefault="0026310C" w:rsidP="00E53CCD">
      <w:r>
        <w:separator/>
      </w:r>
    </w:p>
  </w:footnote>
  <w:footnote w:type="continuationSeparator" w:id="0">
    <w:p w14:paraId="592DEB86" w14:textId="77777777" w:rsidR="0026310C" w:rsidRDefault="0026310C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562CBF28" w14:textId="4B08F0DD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132F23">
          <w:rPr>
            <w:noProof/>
          </w:rPr>
          <w:t>2</w:t>
        </w:r>
        <w:r>
          <w:fldChar w:fldCharType="end"/>
        </w:r>
      </w:p>
    </w:sdtContent>
  </w:sdt>
  <w:p w14:paraId="0DAE4A82" w14:textId="77777777"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5694236"/>
    <w:multiLevelType w:val="hybridMultilevel"/>
    <w:tmpl w:val="0B9A5F74"/>
    <w:lvl w:ilvl="0" w:tplc="A886A47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37"/>
    <w:rsid w:val="000064FA"/>
    <w:rsid w:val="000069AF"/>
    <w:rsid w:val="00015CF3"/>
    <w:rsid w:val="00015FDE"/>
    <w:rsid w:val="0003000E"/>
    <w:rsid w:val="0003331E"/>
    <w:rsid w:val="000342A5"/>
    <w:rsid w:val="0003793C"/>
    <w:rsid w:val="000543C6"/>
    <w:rsid w:val="000600A8"/>
    <w:rsid w:val="00061C52"/>
    <w:rsid w:val="00063480"/>
    <w:rsid w:val="000638F2"/>
    <w:rsid w:val="000B2990"/>
    <w:rsid w:val="000C702E"/>
    <w:rsid w:val="000D778F"/>
    <w:rsid w:val="000E0CB3"/>
    <w:rsid w:val="000E5B8C"/>
    <w:rsid w:val="000E7A13"/>
    <w:rsid w:val="00101D5A"/>
    <w:rsid w:val="00106229"/>
    <w:rsid w:val="00115ECF"/>
    <w:rsid w:val="001268B6"/>
    <w:rsid w:val="00132F23"/>
    <w:rsid w:val="00143CB6"/>
    <w:rsid w:val="00150E95"/>
    <w:rsid w:val="001631E2"/>
    <w:rsid w:val="001716B0"/>
    <w:rsid w:val="001740C0"/>
    <w:rsid w:val="00190E1A"/>
    <w:rsid w:val="001A0EE5"/>
    <w:rsid w:val="001A16FA"/>
    <w:rsid w:val="001A4CB9"/>
    <w:rsid w:val="001A6795"/>
    <w:rsid w:val="001A74C8"/>
    <w:rsid w:val="001C206C"/>
    <w:rsid w:val="001D487A"/>
    <w:rsid w:val="00207245"/>
    <w:rsid w:val="002238D1"/>
    <w:rsid w:val="00233F37"/>
    <w:rsid w:val="002348FC"/>
    <w:rsid w:val="00241373"/>
    <w:rsid w:val="00253BF9"/>
    <w:rsid w:val="0026310C"/>
    <w:rsid w:val="00264983"/>
    <w:rsid w:val="00266678"/>
    <w:rsid w:val="00276988"/>
    <w:rsid w:val="00280DCC"/>
    <w:rsid w:val="00285DDA"/>
    <w:rsid w:val="00290169"/>
    <w:rsid w:val="002A2391"/>
    <w:rsid w:val="002B351E"/>
    <w:rsid w:val="002B3F71"/>
    <w:rsid w:val="002B582B"/>
    <w:rsid w:val="002C1FDB"/>
    <w:rsid w:val="002C72C1"/>
    <w:rsid w:val="002D1790"/>
    <w:rsid w:val="002F48EF"/>
    <w:rsid w:val="00332701"/>
    <w:rsid w:val="0033606D"/>
    <w:rsid w:val="00337368"/>
    <w:rsid w:val="00340D07"/>
    <w:rsid w:val="00345982"/>
    <w:rsid w:val="00356E34"/>
    <w:rsid w:val="00357676"/>
    <w:rsid w:val="00361126"/>
    <w:rsid w:val="00362178"/>
    <w:rsid w:val="00370A09"/>
    <w:rsid w:val="003815B4"/>
    <w:rsid w:val="0038385E"/>
    <w:rsid w:val="00384F65"/>
    <w:rsid w:val="0039725C"/>
    <w:rsid w:val="003A16E7"/>
    <w:rsid w:val="003A751F"/>
    <w:rsid w:val="003B7F81"/>
    <w:rsid w:val="003B7F89"/>
    <w:rsid w:val="003C3282"/>
    <w:rsid w:val="003C3985"/>
    <w:rsid w:val="003D3CA1"/>
    <w:rsid w:val="003D6B33"/>
    <w:rsid w:val="003F0441"/>
    <w:rsid w:val="003F28B5"/>
    <w:rsid w:val="003F7093"/>
    <w:rsid w:val="00401EDB"/>
    <w:rsid w:val="00404C93"/>
    <w:rsid w:val="00407877"/>
    <w:rsid w:val="00407890"/>
    <w:rsid w:val="004130B9"/>
    <w:rsid w:val="00436D5E"/>
    <w:rsid w:val="00446704"/>
    <w:rsid w:val="00455B45"/>
    <w:rsid w:val="00460BA2"/>
    <w:rsid w:val="004666D6"/>
    <w:rsid w:val="004814D6"/>
    <w:rsid w:val="0049011C"/>
    <w:rsid w:val="00492A9D"/>
    <w:rsid w:val="004A1CFC"/>
    <w:rsid w:val="004A5947"/>
    <w:rsid w:val="004A7F75"/>
    <w:rsid w:val="004B1FE9"/>
    <w:rsid w:val="004B5574"/>
    <w:rsid w:val="004D2B57"/>
    <w:rsid w:val="004D362C"/>
    <w:rsid w:val="004E22E2"/>
    <w:rsid w:val="004E7049"/>
    <w:rsid w:val="004F29BD"/>
    <w:rsid w:val="0050563F"/>
    <w:rsid w:val="00513D55"/>
    <w:rsid w:val="0051443D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7237F"/>
    <w:rsid w:val="00577402"/>
    <w:rsid w:val="0058015A"/>
    <w:rsid w:val="00581CA5"/>
    <w:rsid w:val="005822CB"/>
    <w:rsid w:val="00597AB6"/>
    <w:rsid w:val="005A0F4B"/>
    <w:rsid w:val="005A1D3C"/>
    <w:rsid w:val="005A3F34"/>
    <w:rsid w:val="005B2D03"/>
    <w:rsid w:val="005C44F4"/>
    <w:rsid w:val="005C5CBF"/>
    <w:rsid w:val="005D3B88"/>
    <w:rsid w:val="005D45F5"/>
    <w:rsid w:val="005E3FA8"/>
    <w:rsid w:val="005F4CB4"/>
    <w:rsid w:val="00610E5A"/>
    <w:rsid w:val="00640612"/>
    <w:rsid w:val="0064227D"/>
    <w:rsid w:val="0065179F"/>
    <w:rsid w:val="00657593"/>
    <w:rsid w:val="00670C95"/>
    <w:rsid w:val="00686049"/>
    <w:rsid w:val="006925CE"/>
    <w:rsid w:val="00692C8C"/>
    <w:rsid w:val="006B2748"/>
    <w:rsid w:val="006B465F"/>
    <w:rsid w:val="006C06A1"/>
    <w:rsid w:val="006C0F22"/>
    <w:rsid w:val="006C13B1"/>
    <w:rsid w:val="006C4176"/>
    <w:rsid w:val="006C6261"/>
    <w:rsid w:val="006C66EF"/>
    <w:rsid w:val="006D2617"/>
    <w:rsid w:val="00700AA3"/>
    <w:rsid w:val="0070719A"/>
    <w:rsid w:val="007142BA"/>
    <w:rsid w:val="00714823"/>
    <w:rsid w:val="00717197"/>
    <w:rsid w:val="0071789F"/>
    <w:rsid w:val="00730088"/>
    <w:rsid w:val="00736C98"/>
    <w:rsid w:val="00747222"/>
    <w:rsid w:val="00750898"/>
    <w:rsid w:val="00773559"/>
    <w:rsid w:val="0078127A"/>
    <w:rsid w:val="00783AF2"/>
    <w:rsid w:val="00787E46"/>
    <w:rsid w:val="0079411B"/>
    <w:rsid w:val="007A6609"/>
    <w:rsid w:val="007B7B73"/>
    <w:rsid w:val="007C2CED"/>
    <w:rsid w:val="00802988"/>
    <w:rsid w:val="008168F4"/>
    <w:rsid w:val="00835500"/>
    <w:rsid w:val="008415A0"/>
    <w:rsid w:val="0085364B"/>
    <w:rsid w:val="00855778"/>
    <w:rsid w:val="00866993"/>
    <w:rsid w:val="00874366"/>
    <w:rsid w:val="008762D8"/>
    <w:rsid w:val="00881B13"/>
    <w:rsid w:val="0088719C"/>
    <w:rsid w:val="00897035"/>
    <w:rsid w:val="008B1589"/>
    <w:rsid w:val="008B74DD"/>
    <w:rsid w:val="008C72B5"/>
    <w:rsid w:val="008D10FD"/>
    <w:rsid w:val="008D122F"/>
    <w:rsid w:val="008D159D"/>
    <w:rsid w:val="008D59F0"/>
    <w:rsid w:val="008D5F60"/>
    <w:rsid w:val="008D727F"/>
    <w:rsid w:val="008F0210"/>
    <w:rsid w:val="008F2600"/>
    <w:rsid w:val="008F5D52"/>
    <w:rsid w:val="00904F17"/>
    <w:rsid w:val="00910EE4"/>
    <w:rsid w:val="00922966"/>
    <w:rsid w:val="0092710A"/>
    <w:rsid w:val="009360DD"/>
    <w:rsid w:val="00937AE3"/>
    <w:rsid w:val="00937D24"/>
    <w:rsid w:val="00941A83"/>
    <w:rsid w:val="00943175"/>
    <w:rsid w:val="00950921"/>
    <w:rsid w:val="00956DE5"/>
    <w:rsid w:val="0095741D"/>
    <w:rsid w:val="0097288F"/>
    <w:rsid w:val="0098207E"/>
    <w:rsid w:val="00990AAE"/>
    <w:rsid w:val="00996034"/>
    <w:rsid w:val="009A7EA3"/>
    <w:rsid w:val="009B509D"/>
    <w:rsid w:val="009B6120"/>
    <w:rsid w:val="009C2F76"/>
    <w:rsid w:val="009F5312"/>
    <w:rsid w:val="00A02AEC"/>
    <w:rsid w:val="00A0594A"/>
    <w:rsid w:val="00A07D42"/>
    <w:rsid w:val="00A12C47"/>
    <w:rsid w:val="00A23E04"/>
    <w:rsid w:val="00A30956"/>
    <w:rsid w:val="00A31C26"/>
    <w:rsid w:val="00A4465F"/>
    <w:rsid w:val="00A46C15"/>
    <w:rsid w:val="00A50DC0"/>
    <w:rsid w:val="00A51137"/>
    <w:rsid w:val="00A63695"/>
    <w:rsid w:val="00A72F06"/>
    <w:rsid w:val="00A730F2"/>
    <w:rsid w:val="00A77FFD"/>
    <w:rsid w:val="00AB4554"/>
    <w:rsid w:val="00AC47B6"/>
    <w:rsid w:val="00AD0CAB"/>
    <w:rsid w:val="00AD482D"/>
    <w:rsid w:val="00AD7DF9"/>
    <w:rsid w:val="00AE29BB"/>
    <w:rsid w:val="00AE2CAF"/>
    <w:rsid w:val="00AE3CF5"/>
    <w:rsid w:val="00AF33D9"/>
    <w:rsid w:val="00B002E4"/>
    <w:rsid w:val="00B05D3A"/>
    <w:rsid w:val="00B332B2"/>
    <w:rsid w:val="00B34CCC"/>
    <w:rsid w:val="00B36EC7"/>
    <w:rsid w:val="00B36EDD"/>
    <w:rsid w:val="00B423B5"/>
    <w:rsid w:val="00B61C97"/>
    <w:rsid w:val="00B628C5"/>
    <w:rsid w:val="00B71933"/>
    <w:rsid w:val="00B8078D"/>
    <w:rsid w:val="00BA0AF2"/>
    <w:rsid w:val="00BB1C67"/>
    <w:rsid w:val="00BB3B77"/>
    <w:rsid w:val="00BB7C0A"/>
    <w:rsid w:val="00BC6856"/>
    <w:rsid w:val="00BD12A3"/>
    <w:rsid w:val="00BD5A7E"/>
    <w:rsid w:val="00BD7F6E"/>
    <w:rsid w:val="00BF47B0"/>
    <w:rsid w:val="00BF5327"/>
    <w:rsid w:val="00C0151E"/>
    <w:rsid w:val="00C13719"/>
    <w:rsid w:val="00C175D4"/>
    <w:rsid w:val="00C21D33"/>
    <w:rsid w:val="00C3382F"/>
    <w:rsid w:val="00C4203D"/>
    <w:rsid w:val="00C4377C"/>
    <w:rsid w:val="00C47F0F"/>
    <w:rsid w:val="00C5193E"/>
    <w:rsid w:val="00C51D84"/>
    <w:rsid w:val="00C52506"/>
    <w:rsid w:val="00C82259"/>
    <w:rsid w:val="00C9223A"/>
    <w:rsid w:val="00C9297C"/>
    <w:rsid w:val="00C94014"/>
    <w:rsid w:val="00CB0A99"/>
    <w:rsid w:val="00CB5A09"/>
    <w:rsid w:val="00CD0CD4"/>
    <w:rsid w:val="00CE3B9F"/>
    <w:rsid w:val="00CF1FB8"/>
    <w:rsid w:val="00CF2C65"/>
    <w:rsid w:val="00D078B6"/>
    <w:rsid w:val="00D1022C"/>
    <w:rsid w:val="00D179F9"/>
    <w:rsid w:val="00D27115"/>
    <w:rsid w:val="00D34DCC"/>
    <w:rsid w:val="00D46BE1"/>
    <w:rsid w:val="00D61D9B"/>
    <w:rsid w:val="00D80B9C"/>
    <w:rsid w:val="00D93D49"/>
    <w:rsid w:val="00DA2F09"/>
    <w:rsid w:val="00DC1E60"/>
    <w:rsid w:val="00DC58C3"/>
    <w:rsid w:val="00DC7767"/>
    <w:rsid w:val="00DC78AD"/>
    <w:rsid w:val="00DD60CC"/>
    <w:rsid w:val="00DF1BED"/>
    <w:rsid w:val="00DF4D12"/>
    <w:rsid w:val="00E06C63"/>
    <w:rsid w:val="00E10AE2"/>
    <w:rsid w:val="00E10F0A"/>
    <w:rsid w:val="00E163CE"/>
    <w:rsid w:val="00E21875"/>
    <w:rsid w:val="00E25407"/>
    <w:rsid w:val="00E27297"/>
    <w:rsid w:val="00E302FA"/>
    <w:rsid w:val="00E32599"/>
    <w:rsid w:val="00E33B0E"/>
    <w:rsid w:val="00E42621"/>
    <w:rsid w:val="00E446A6"/>
    <w:rsid w:val="00E52A5D"/>
    <w:rsid w:val="00E53CB5"/>
    <w:rsid w:val="00E53CCD"/>
    <w:rsid w:val="00E62607"/>
    <w:rsid w:val="00E6592D"/>
    <w:rsid w:val="00E71855"/>
    <w:rsid w:val="00E719A9"/>
    <w:rsid w:val="00E734C4"/>
    <w:rsid w:val="00E81677"/>
    <w:rsid w:val="00EA0D66"/>
    <w:rsid w:val="00EA1DE4"/>
    <w:rsid w:val="00EA60EA"/>
    <w:rsid w:val="00EB29BF"/>
    <w:rsid w:val="00EC7C7F"/>
    <w:rsid w:val="00EF2420"/>
    <w:rsid w:val="00EF4B42"/>
    <w:rsid w:val="00F003D3"/>
    <w:rsid w:val="00F008AB"/>
    <w:rsid w:val="00F03E32"/>
    <w:rsid w:val="00F16C47"/>
    <w:rsid w:val="00F403A7"/>
    <w:rsid w:val="00F42289"/>
    <w:rsid w:val="00F42E75"/>
    <w:rsid w:val="00F45D65"/>
    <w:rsid w:val="00F517FA"/>
    <w:rsid w:val="00F52D16"/>
    <w:rsid w:val="00F62D67"/>
    <w:rsid w:val="00F63BD9"/>
    <w:rsid w:val="00F663E9"/>
    <w:rsid w:val="00F6694C"/>
    <w:rsid w:val="00F73C2A"/>
    <w:rsid w:val="00F7503B"/>
    <w:rsid w:val="00F8145F"/>
    <w:rsid w:val="00F9283D"/>
    <w:rsid w:val="00F96F18"/>
    <w:rsid w:val="00FA073E"/>
    <w:rsid w:val="00FA508E"/>
    <w:rsid w:val="00FA5320"/>
    <w:rsid w:val="00FA7846"/>
    <w:rsid w:val="00FC26E5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AF3ED"/>
  <w15:docId w15:val="{EA7AC563-3B6F-4144-93AB-A4E6BF9F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4">
    <w:name w:val="Абзац списка Знак"/>
    <w:aliases w:val="Bullets Знак,Normal bullet 2 Знак"/>
    <w:link w:val="af3"/>
    <w:uiPriority w:val="34"/>
    <w:qFormat/>
    <w:locked/>
    <w:rsid w:val="00A51137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A51137"/>
    <w:pPr>
      <w:spacing w:before="280" w:after="280" w:line="276" w:lineRule="auto"/>
      <w:jc w:val="left"/>
    </w:pPr>
    <w:rPr>
      <w:kern w:val="2"/>
      <w:sz w:val="24"/>
      <w:szCs w:val="24"/>
      <w:lang w:val="ru-RU" w:eastAsia="ru-RU" w:bidi="hi-IN"/>
    </w:rPr>
  </w:style>
  <w:style w:type="character" w:styleId="af5">
    <w:name w:val="annotation reference"/>
    <w:basedOn w:val="a0"/>
    <w:uiPriority w:val="99"/>
    <w:semiHidden/>
    <w:unhideWhenUsed/>
    <w:rsid w:val="00A31C2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31C2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31C26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31C2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31C26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a">
    <w:name w:val="Revision"/>
    <w:hidden/>
    <w:uiPriority w:val="99"/>
    <w:semiHidden/>
    <w:rsid w:val="00996034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zakon.rada.gov.ua/laws/show/v0012500-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23D4D94-9123-483E-A2AC-CB91BC55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2549</Words>
  <Characters>1454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Медведєв Сергій Олегович</dc:creator>
  <cp:lastModifiedBy>Медведєв Сергій Олегович</cp:lastModifiedBy>
  <cp:revision>3</cp:revision>
  <cp:lastPrinted>2015-04-06T07:59:00Z</cp:lastPrinted>
  <dcterms:created xsi:type="dcterms:W3CDTF">2022-05-06T14:59:00Z</dcterms:created>
  <dcterms:modified xsi:type="dcterms:W3CDTF">2022-05-10T15:01:00Z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