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3227"/>
        <w:gridCol w:w="3204"/>
      </w:tblGrid>
      <w:tr w:rsidR="00DC5043" w:rsidRPr="00DC5043" w:rsidTr="009E75B8">
        <w:trPr>
          <w:trHeight w:val="851"/>
        </w:trPr>
        <w:tc>
          <w:tcPr>
            <w:tcW w:w="3208" w:type="dxa"/>
          </w:tcPr>
          <w:p w:rsidR="00DC5043" w:rsidRPr="00DC5043" w:rsidRDefault="00DC5043" w:rsidP="00106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vMerge w:val="restart"/>
          </w:tcPr>
          <w:p w:rsidR="00DC5043" w:rsidRPr="00DC5043" w:rsidRDefault="00DC5043" w:rsidP="00106772">
            <w:pPr>
              <w:jc w:val="center"/>
              <w:rPr>
                <w:rFonts w:ascii="Times New Roman" w:hAnsi="Times New Roman" w:cs="Times New Roman"/>
              </w:rPr>
            </w:pPr>
            <w:r w:rsidRPr="00DC5043">
              <w:rPr>
                <w:rFonts w:ascii="Times New Roman" w:eastAsiaTheme="minorHAnsi" w:hAnsi="Times New Roman" w:cs="Times New Roman"/>
              </w:rPr>
              <w:object w:dxaOrig="1595" w:dyaOrig="22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34.2pt;height:48.6pt" o:ole="">
                  <v:imagedata r:id="rId5" o:title=""/>
                </v:shape>
                <o:OLEObject Type="Embed" ProgID="CorelDraw.Graphic.16" ShapeID="_x0000_i1029" DrawAspect="Content" ObjectID="_1707216582" r:id="rId6"/>
              </w:object>
            </w:r>
          </w:p>
        </w:tc>
        <w:tc>
          <w:tcPr>
            <w:tcW w:w="3204" w:type="dxa"/>
          </w:tcPr>
          <w:p w:rsidR="000D19FE" w:rsidRPr="000D19FE" w:rsidRDefault="000D19FE" w:rsidP="000D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Офіційно опубліковано 24.02.2022</w:t>
            </w:r>
            <w:bookmarkStart w:id="0" w:name="_GoBack"/>
            <w:bookmarkEnd w:id="0"/>
          </w:p>
          <w:p w:rsidR="00DC5043" w:rsidRPr="00DC5043" w:rsidRDefault="00DC5043" w:rsidP="00106772">
            <w:pPr>
              <w:rPr>
                <w:rFonts w:ascii="Times New Roman" w:hAnsi="Times New Roman" w:cs="Times New Roman"/>
              </w:rPr>
            </w:pPr>
          </w:p>
        </w:tc>
      </w:tr>
      <w:tr w:rsidR="00DC5043" w:rsidRPr="00DC5043" w:rsidTr="009E75B8">
        <w:tc>
          <w:tcPr>
            <w:tcW w:w="3208" w:type="dxa"/>
          </w:tcPr>
          <w:p w:rsidR="00DC5043" w:rsidRPr="00DC5043" w:rsidRDefault="00DC5043" w:rsidP="00106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vMerge/>
          </w:tcPr>
          <w:p w:rsidR="00DC5043" w:rsidRPr="00DC5043" w:rsidRDefault="00DC5043" w:rsidP="00106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</w:tcPr>
          <w:p w:rsidR="00DC5043" w:rsidRPr="00DC5043" w:rsidRDefault="00DC5043" w:rsidP="00106772">
            <w:pPr>
              <w:rPr>
                <w:rFonts w:ascii="Times New Roman" w:hAnsi="Times New Roman" w:cs="Times New Roman"/>
              </w:rPr>
            </w:pPr>
          </w:p>
        </w:tc>
      </w:tr>
      <w:tr w:rsidR="00DC5043" w:rsidRPr="00DC5043" w:rsidTr="009E75B8">
        <w:tc>
          <w:tcPr>
            <w:tcW w:w="9639" w:type="dxa"/>
            <w:gridSpan w:val="3"/>
          </w:tcPr>
          <w:p w:rsidR="00DC5043" w:rsidRPr="00DC5043" w:rsidRDefault="00DC5043" w:rsidP="00106772">
            <w:pPr>
              <w:tabs>
                <w:tab w:val="left" w:pos="-360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006600"/>
                <w:spacing w:val="10"/>
              </w:rPr>
            </w:pPr>
            <w:r w:rsidRPr="00DC5043">
              <w:rPr>
                <w:rFonts w:ascii="Times New Roman" w:hAnsi="Times New Roman" w:cs="Times New Roman"/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:rsidR="00DC5043" w:rsidRPr="00DC5043" w:rsidRDefault="00EC5951" w:rsidP="00106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  <w:color w:val="006600"/>
                <w:sz w:val="32"/>
                <w:szCs w:val="32"/>
              </w:rPr>
              <w:t>ПОСТАНОВА</w:t>
            </w:r>
          </w:p>
        </w:tc>
      </w:tr>
    </w:tbl>
    <w:p w:rsidR="00DC5043" w:rsidRPr="00DC5043" w:rsidRDefault="00DC5043" w:rsidP="00DC5043">
      <w:pPr>
        <w:ind w:left="5954"/>
        <w:rPr>
          <w:rFonts w:ascii="Times New Roman" w:eastAsiaTheme="minorEastAsia" w:hAnsi="Times New Roman" w:cs="Times New Roman"/>
          <w:color w:val="000000" w:themeColor="text1"/>
          <w:sz w:val="4"/>
          <w:szCs w:val="4"/>
        </w:rPr>
      </w:pPr>
    </w:p>
    <w:tbl>
      <w:tblPr>
        <w:tblStyle w:val="a4"/>
        <w:tblW w:w="178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8930"/>
        <w:gridCol w:w="6702"/>
        <w:gridCol w:w="1892"/>
      </w:tblGrid>
      <w:tr w:rsidR="00DC5043" w:rsidRPr="00DC5043" w:rsidTr="00EC5951">
        <w:tc>
          <w:tcPr>
            <w:tcW w:w="284" w:type="dxa"/>
            <w:vAlign w:val="bottom"/>
          </w:tcPr>
          <w:p w:rsidR="00DC5043" w:rsidRPr="00DC5043" w:rsidRDefault="00DC5043" w:rsidP="00106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09"/>
              <w:gridCol w:w="2380"/>
              <w:gridCol w:w="1518"/>
              <w:gridCol w:w="1707"/>
            </w:tblGrid>
            <w:tr w:rsidR="00D06F5F" w:rsidTr="00414B02">
              <w:tc>
                <w:tcPr>
                  <w:tcW w:w="3510" w:type="dxa"/>
                  <w:vAlign w:val="bottom"/>
                </w:tcPr>
                <w:p w:rsidR="00D06F5F" w:rsidRPr="00D06F5F" w:rsidRDefault="00D06F5F" w:rsidP="00D06F5F">
                  <w:pPr>
                    <w:rPr>
                      <w:rFonts w:ascii="Times New Roman" w:hAnsi="Times New Roman" w:cs="Times New Roman"/>
                    </w:rPr>
                  </w:pPr>
                  <w:r w:rsidRPr="000D19FE">
                    <w:rPr>
                      <w:rFonts w:ascii="Times New Roman" w:hAnsi="Times New Roman" w:cs="Times New Roman"/>
                      <w:lang w:val="ru-RU"/>
                    </w:rPr>
                    <w:t xml:space="preserve">24 </w:t>
                  </w:r>
                  <w:r>
                    <w:rPr>
                      <w:rFonts w:ascii="Times New Roman" w:hAnsi="Times New Roman" w:cs="Times New Roman"/>
                    </w:rPr>
                    <w:t>лютого</w:t>
                  </w:r>
                  <w:r w:rsidRPr="00D06F5F">
                    <w:rPr>
                      <w:rFonts w:ascii="Times New Roman" w:hAnsi="Times New Roman" w:cs="Times New Roman"/>
                    </w:rPr>
                    <w:t xml:space="preserve"> 202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Pr="00D06F5F">
                    <w:rPr>
                      <w:rFonts w:ascii="Times New Roman" w:hAnsi="Times New Roman" w:cs="Times New Roman"/>
                    </w:rPr>
                    <w:t xml:space="preserve"> року</w:t>
                  </w:r>
                </w:p>
              </w:tc>
              <w:tc>
                <w:tcPr>
                  <w:tcW w:w="2694" w:type="dxa"/>
                </w:tcPr>
                <w:p w:rsidR="00D06F5F" w:rsidRPr="00D06F5F" w:rsidRDefault="00D06F5F" w:rsidP="00D06F5F">
                  <w:pPr>
                    <w:spacing w:before="240"/>
                    <w:jc w:val="center"/>
                    <w:rPr>
                      <w:rFonts w:ascii="Times New Roman" w:hAnsi="Times New Roman" w:cs="Times New Roman"/>
                    </w:rPr>
                  </w:pPr>
                  <w:r w:rsidRPr="00D06F5F">
                    <w:rPr>
                      <w:rFonts w:ascii="Times New Roman" w:hAnsi="Times New Roman" w:cs="Times New Roman"/>
                      <w:color w:val="006600"/>
                    </w:rPr>
                    <w:t>м. Київ</w:t>
                  </w:r>
                </w:p>
              </w:tc>
              <w:tc>
                <w:tcPr>
                  <w:tcW w:w="1713" w:type="dxa"/>
                  <w:vAlign w:val="bottom"/>
                </w:tcPr>
                <w:p w:rsidR="00D06F5F" w:rsidRPr="00101D5A" w:rsidRDefault="00D06F5F" w:rsidP="00D06F5F">
                  <w:pPr>
                    <w:jc w:val="right"/>
                  </w:pPr>
                  <w:r w:rsidRPr="00101D5A">
                    <w:rPr>
                      <w:color w:val="FFFFFF" w:themeColor="background1"/>
                    </w:rPr>
                    <w:t>№</w:t>
                  </w:r>
                </w:p>
              </w:tc>
              <w:tc>
                <w:tcPr>
                  <w:tcW w:w="1937" w:type="dxa"/>
                  <w:vAlign w:val="bottom"/>
                </w:tcPr>
                <w:p w:rsidR="00D06F5F" w:rsidRPr="00D06F5F" w:rsidRDefault="00D06F5F" w:rsidP="00D06F5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№ 18</w:t>
                  </w:r>
                </w:p>
              </w:tc>
            </w:tr>
          </w:tbl>
          <w:p w:rsidR="00DC5043" w:rsidRDefault="00EC5951" w:rsidP="00EC5951">
            <w:pPr>
              <w:spacing w:before="240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 роботу банківської системи в період запровадження воєнного стану</w:t>
            </w:r>
          </w:p>
          <w:p w:rsidR="00EC5951" w:rsidRPr="00DC5043" w:rsidRDefault="00EC5951" w:rsidP="00106772">
            <w:pPr>
              <w:spacing w:before="24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2" w:type="dxa"/>
            <w:vAlign w:val="bottom"/>
          </w:tcPr>
          <w:p w:rsidR="00DC5043" w:rsidRPr="00DC5043" w:rsidRDefault="00DC5043" w:rsidP="00106772">
            <w:pPr>
              <w:jc w:val="right"/>
              <w:rPr>
                <w:rFonts w:ascii="Times New Roman" w:hAnsi="Times New Roman" w:cs="Times New Roman"/>
              </w:rPr>
            </w:pPr>
            <w:r w:rsidRPr="00DC5043">
              <w:rPr>
                <w:rFonts w:ascii="Times New Roman" w:hAnsi="Times New Roman" w:cs="Times New Roman"/>
                <w:color w:val="FFFFFF" w:themeColor="background1"/>
              </w:rPr>
              <w:t>№</w:t>
            </w:r>
          </w:p>
        </w:tc>
        <w:tc>
          <w:tcPr>
            <w:tcW w:w="1892" w:type="dxa"/>
            <w:vAlign w:val="bottom"/>
          </w:tcPr>
          <w:p w:rsidR="00DC5043" w:rsidRPr="00DC5043" w:rsidRDefault="00DC5043" w:rsidP="00106772">
            <w:pPr>
              <w:rPr>
                <w:rFonts w:ascii="Times New Roman" w:hAnsi="Times New Roman" w:cs="Times New Roman"/>
              </w:rPr>
            </w:pPr>
          </w:p>
        </w:tc>
      </w:tr>
    </w:tbl>
    <w:p w:rsidR="00EC5951" w:rsidRDefault="00DC5043" w:rsidP="00EC595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Відповідно до ст</w:t>
      </w:r>
      <w:r w:rsidR="00E272D4">
        <w:rPr>
          <w:rFonts w:ascii="Times New Roman" w:hAnsi="Times New Roman" w:cs="Times New Roman"/>
        </w:rPr>
        <w:t>атті</w:t>
      </w:r>
      <w:r>
        <w:rPr>
          <w:rFonts w:ascii="Times New Roman" w:hAnsi="Times New Roman" w:cs="Times New Roman"/>
        </w:rPr>
        <w:t xml:space="preserve"> </w:t>
      </w:r>
      <w:r w:rsidR="00EC5951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Закону України «Про Національний банк України»</w:t>
      </w:r>
      <w:r w:rsidR="007E7FE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з метою забезпечення надійності та стабільності функціонування банківської системи Правління Націонал</w:t>
      </w:r>
      <w:r w:rsidR="00EC5951">
        <w:rPr>
          <w:rFonts w:ascii="Times New Roman" w:hAnsi="Times New Roman" w:cs="Times New Roman"/>
        </w:rPr>
        <w:t>ьного банку України постановляє:</w:t>
      </w:r>
    </w:p>
    <w:p w:rsidR="00EC5951" w:rsidRDefault="00EC5951" w:rsidP="00EC5951">
      <w:pPr>
        <w:pStyle w:val="a3"/>
        <w:jc w:val="both"/>
        <w:rPr>
          <w:rFonts w:ascii="Times New Roman" w:hAnsi="Times New Roman" w:cs="Times New Roman"/>
        </w:rPr>
      </w:pPr>
    </w:p>
    <w:p w:rsidR="00EC5951" w:rsidRPr="00EC5951" w:rsidRDefault="00EC5951" w:rsidP="00EC595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Правління Національного банку України </w:t>
      </w:r>
      <w:r w:rsidRPr="00EC5951">
        <w:rPr>
          <w:rFonts w:ascii="Times New Roman" w:hAnsi="Times New Roman" w:cs="Times New Roman"/>
        </w:rPr>
        <w:t>забезпечує свою роботу відповідно до Закону</w:t>
      </w:r>
      <w:r>
        <w:rPr>
          <w:rFonts w:ascii="Times New Roman" w:hAnsi="Times New Roman" w:cs="Times New Roman"/>
        </w:rPr>
        <w:t xml:space="preserve"> України Про Національний банк</w:t>
      </w:r>
      <w:r w:rsidRPr="00EC5951">
        <w:rPr>
          <w:rFonts w:ascii="Times New Roman" w:hAnsi="Times New Roman" w:cs="Times New Roman"/>
        </w:rPr>
        <w:t>, Ре</w:t>
      </w:r>
      <w:r>
        <w:rPr>
          <w:rFonts w:ascii="Times New Roman" w:hAnsi="Times New Roman" w:cs="Times New Roman"/>
        </w:rPr>
        <w:t>г</w:t>
      </w:r>
      <w:r w:rsidRPr="00EC5951">
        <w:rPr>
          <w:rFonts w:ascii="Times New Roman" w:hAnsi="Times New Roman" w:cs="Times New Roman"/>
        </w:rPr>
        <w:t>ламенту Правління Національного банку України в умовах особливого періоду, затвердженого рішенням Правління  Національного банку України від 21 серпня 2019 року № 606-рш, нормативно-правових та розпорядчих актів Національного банку України.</w:t>
      </w:r>
    </w:p>
    <w:p w:rsidR="00AE7C4C" w:rsidRPr="00DC5043" w:rsidRDefault="00AE7C4C" w:rsidP="00EC5951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Банки продовжують роботу з урахуванням обмежень, визначених цією постановою</w:t>
      </w:r>
      <w:r w:rsidR="007E7FE0">
        <w:rPr>
          <w:rFonts w:ascii="Times New Roman" w:hAnsi="Times New Roman" w:cs="Times New Roman"/>
        </w:rPr>
        <w:t>.</w:t>
      </w:r>
    </w:p>
    <w:p w:rsidR="00DC2159" w:rsidRDefault="00DC2159" w:rsidP="00EC5951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DC5043">
        <w:rPr>
          <w:rFonts w:ascii="Times New Roman" w:hAnsi="Times New Roman" w:cs="Times New Roman"/>
        </w:rPr>
        <w:t xml:space="preserve">Обмежити зняття готівки з рахунку </w:t>
      </w:r>
      <w:r w:rsidR="00DC5043">
        <w:rPr>
          <w:rFonts w:ascii="Times New Roman" w:hAnsi="Times New Roman" w:cs="Times New Roman"/>
        </w:rPr>
        <w:t xml:space="preserve">клієнта </w:t>
      </w:r>
      <w:r w:rsidRPr="00DC5043">
        <w:rPr>
          <w:rFonts w:ascii="Times New Roman" w:hAnsi="Times New Roman" w:cs="Times New Roman"/>
        </w:rPr>
        <w:t xml:space="preserve">в обсязі 100 000 грн </w:t>
      </w:r>
      <w:r w:rsidR="00DC5043">
        <w:rPr>
          <w:rFonts w:ascii="Times New Roman" w:hAnsi="Times New Roman" w:cs="Times New Roman"/>
        </w:rPr>
        <w:t>в день</w:t>
      </w:r>
      <w:r w:rsidR="009E75B8">
        <w:rPr>
          <w:rFonts w:ascii="Times New Roman" w:hAnsi="Times New Roman" w:cs="Times New Roman"/>
        </w:rPr>
        <w:t xml:space="preserve"> (не враховуючи виплати заробітної плати та соціальних виплат)</w:t>
      </w:r>
      <w:r w:rsidR="00B80133">
        <w:rPr>
          <w:rFonts w:ascii="Times New Roman" w:hAnsi="Times New Roman" w:cs="Times New Roman"/>
        </w:rPr>
        <w:t>,</w:t>
      </w:r>
      <w:r w:rsidRPr="00DC5043">
        <w:rPr>
          <w:rFonts w:ascii="Times New Roman" w:hAnsi="Times New Roman" w:cs="Times New Roman"/>
        </w:rPr>
        <w:t xml:space="preserve"> </w:t>
      </w:r>
      <w:r w:rsidR="00B80133" w:rsidRPr="00B80133">
        <w:rPr>
          <w:rFonts w:ascii="Times New Roman" w:hAnsi="Times New Roman" w:cs="Times New Roman"/>
        </w:rPr>
        <w:t xml:space="preserve">крім </w:t>
      </w:r>
      <w:r w:rsidR="00B80133">
        <w:rPr>
          <w:rFonts w:ascii="Times New Roman" w:hAnsi="Times New Roman" w:cs="Times New Roman"/>
        </w:rPr>
        <w:t xml:space="preserve">підприємств та установ, що забезпечують виконання </w:t>
      </w:r>
      <w:r w:rsidR="00B80133" w:rsidRPr="00B80133">
        <w:rPr>
          <w:rFonts w:ascii="Times New Roman" w:hAnsi="Times New Roman" w:cs="Times New Roman"/>
        </w:rPr>
        <w:t xml:space="preserve">мобілізаційних </w:t>
      </w:r>
      <w:r w:rsidR="00B80133">
        <w:rPr>
          <w:rFonts w:ascii="Times New Roman" w:hAnsi="Times New Roman" w:cs="Times New Roman"/>
        </w:rPr>
        <w:t>планів (завдань),</w:t>
      </w:r>
      <w:r w:rsidR="00D42FED">
        <w:rPr>
          <w:rFonts w:ascii="Times New Roman" w:hAnsi="Times New Roman" w:cs="Times New Roman"/>
        </w:rPr>
        <w:t xml:space="preserve"> </w:t>
      </w:r>
      <w:r w:rsidR="009E75B8">
        <w:rPr>
          <w:rFonts w:ascii="Times New Roman" w:hAnsi="Times New Roman" w:cs="Times New Roman"/>
        </w:rPr>
        <w:t xml:space="preserve">Уряду </w:t>
      </w:r>
      <w:r w:rsidR="00D42FED">
        <w:rPr>
          <w:rFonts w:ascii="Times New Roman" w:hAnsi="Times New Roman" w:cs="Times New Roman"/>
        </w:rPr>
        <w:t>та окремих дозволів Н</w:t>
      </w:r>
      <w:r w:rsidR="00B80133">
        <w:rPr>
          <w:rFonts w:ascii="Times New Roman" w:hAnsi="Times New Roman" w:cs="Times New Roman"/>
        </w:rPr>
        <w:t>аціонального банку України</w:t>
      </w:r>
      <w:r w:rsidR="00EC5951">
        <w:rPr>
          <w:rFonts w:ascii="Times New Roman" w:hAnsi="Times New Roman" w:cs="Times New Roman"/>
        </w:rPr>
        <w:t xml:space="preserve"> без нарахування та зняття комісій</w:t>
      </w:r>
      <w:r w:rsidR="007E7FE0">
        <w:rPr>
          <w:rFonts w:ascii="Times New Roman" w:hAnsi="Times New Roman" w:cs="Times New Roman"/>
        </w:rPr>
        <w:t>.</w:t>
      </w:r>
    </w:p>
    <w:p w:rsidR="00DC2159" w:rsidRDefault="00DC2159" w:rsidP="00EC5951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DC5043">
        <w:rPr>
          <w:rFonts w:ascii="Times New Roman" w:hAnsi="Times New Roman" w:cs="Times New Roman"/>
        </w:rPr>
        <w:t>Здійснювати безготівкові розрахунки без обмежень</w:t>
      </w:r>
      <w:r w:rsidR="007E7FE0">
        <w:rPr>
          <w:rFonts w:ascii="Times New Roman" w:hAnsi="Times New Roman" w:cs="Times New Roman"/>
        </w:rPr>
        <w:t>.</w:t>
      </w:r>
    </w:p>
    <w:p w:rsidR="00B80133" w:rsidRDefault="00DC2159" w:rsidP="00C519F0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B80133">
        <w:rPr>
          <w:rFonts w:ascii="Times New Roman" w:hAnsi="Times New Roman" w:cs="Times New Roman"/>
        </w:rPr>
        <w:t>Заборонити видачу готівкових коштів</w:t>
      </w:r>
      <w:r w:rsidR="00DC5043" w:rsidRPr="00B80133">
        <w:rPr>
          <w:rFonts w:ascii="Times New Roman" w:hAnsi="Times New Roman" w:cs="Times New Roman"/>
        </w:rPr>
        <w:t xml:space="preserve"> з рахунків клієнтів </w:t>
      </w:r>
      <w:r w:rsidR="00EC5951" w:rsidRPr="00B80133">
        <w:rPr>
          <w:rFonts w:ascii="Times New Roman" w:hAnsi="Times New Roman" w:cs="Times New Roman"/>
        </w:rPr>
        <w:t>в іноземній валюті</w:t>
      </w:r>
      <w:r w:rsidR="007E7FE0">
        <w:rPr>
          <w:rFonts w:ascii="Times New Roman" w:hAnsi="Times New Roman" w:cs="Times New Roman"/>
        </w:rPr>
        <w:t>,</w:t>
      </w:r>
      <w:r w:rsidR="00EC5951" w:rsidRPr="00B80133">
        <w:rPr>
          <w:rFonts w:ascii="Times New Roman" w:hAnsi="Times New Roman" w:cs="Times New Roman"/>
        </w:rPr>
        <w:t xml:space="preserve"> крім </w:t>
      </w:r>
      <w:r w:rsidR="00B80133">
        <w:rPr>
          <w:rFonts w:ascii="Times New Roman" w:hAnsi="Times New Roman" w:cs="Times New Roman"/>
        </w:rPr>
        <w:t xml:space="preserve">підприємств та установ, що забезпечують виконання </w:t>
      </w:r>
      <w:r w:rsidR="00EC5951" w:rsidRPr="00B80133">
        <w:rPr>
          <w:rFonts w:ascii="Times New Roman" w:hAnsi="Times New Roman" w:cs="Times New Roman"/>
        </w:rPr>
        <w:t xml:space="preserve">мобілізаційних </w:t>
      </w:r>
      <w:r w:rsidR="009E75B8">
        <w:rPr>
          <w:rFonts w:ascii="Times New Roman" w:hAnsi="Times New Roman" w:cs="Times New Roman"/>
        </w:rPr>
        <w:t>планів (завдань), Уряду</w:t>
      </w:r>
      <w:r w:rsidR="00B80133">
        <w:rPr>
          <w:rFonts w:ascii="Times New Roman" w:hAnsi="Times New Roman" w:cs="Times New Roman"/>
        </w:rPr>
        <w:t xml:space="preserve"> </w:t>
      </w:r>
      <w:r w:rsidR="00EC5951" w:rsidRPr="00B80133">
        <w:rPr>
          <w:rFonts w:ascii="Times New Roman" w:hAnsi="Times New Roman" w:cs="Times New Roman"/>
        </w:rPr>
        <w:t xml:space="preserve">та окремих дозволів </w:t>
      </w:r>
      <w:r w:rsidR="00B80133">
        <w:rPr>
          <w:rFonts w:ascii="Times New Roman" w:hAnsi="Times New Roman" w:cs="Times New Roman"/>
        </w:rPr>
        <w:t>Національного банку України</w:t>
      </w:r>
      <w:r w:rsidR="007E7FE0">
        <w:rPr>
          <w:rFonts w:ascii="Times New Roman" w:hAnsi="Times New Roman" w:cs="Times New Roman"/>
        </w:rPr>
        <w:t>.</w:t>
      </w:r>
    </w:p>
    <w:p w:rsidR="00DC2159" w:rsidRPr="00B80133" w:rsidRDefault="00DC2159" w:rsidP="00C519F0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B80133">
        <w:rPr>
          <w:rFonts w:ascii="Times New Roman" w:hAnsi="Times New Roman" w:cs="Times New Roman"/>
        </w:rPr>
        <w:t>Платежі Уряду здійснювати без обмежень згідно</w:t>
      </w:r>
      <w:r w:rsidR="00D42FED" w:rsidRPr="00B80133">
        <w:rPr>
          <w:rFonts w:ascii="Times New Roman" w:hAnsi="Times New Roman" w:cs="Times New Roman"/>
        </w:rPr>
        <w:t xml:space="preserve"> законодавства про особливий період</w:t>
      </w:r>
    </w:p>
    <w:p w:rsidR="00DC2159" w:rsidRPr="00DC5043" w:rsidRDefault="00DC2159" w:rsidP="00EC5951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DC5043">
        <w:rPr>
          <w:rFonts w:ascii="Times New Roman" w:hAnsi="Times New Roman" w:cs="Times New Roman"/>
        </w:rPr>
        <w:t>Підкріплювати банкомати готівкою без обмежень</w:t>
      </w:r>
      <w:r w:rsidR="007E7FE0">
        <w:rPr>
          <w:rFonts w:ascii="Times New Roman" w:hAnsi="Times New Roman" w:cs="Times New Roman"/>
        </w:rPr>
        <w:t>.</w:t>
      </w:r>
    </w:p>
    <w:p w:rsidR="00E272D4" w:rsidRDefault="00E272D4" w:rsidP="00EC5951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Банкам з</w:t>
      </w:r>
      <w:r w:rsidR="00DC2159" w:rsidRPr="00DC5043">
        <w:rPr>
          <w:rFonts w:ascii="Times New Roman" w:hAnsi="Times New Roman" w:cs="Times New Roman"/>
        </w:rPr>
        <w:t>абезпечити роботу відділень в безперебійному режимі</w:t>
      </w:r>
      <w:r>
        <w:rPr>
          <w:rFonts w:ascii="Times New Roman" w:hAnsi="Times New Roman" w:cs="Times New Roman"/>
        </w:rPr>
        <w:t xml:space="preserve"> в умовах відсутності загрози життю та </w:t>
      </w:r>
      <w:proofErr w:type="spellStart"/>
      <w:r>
        <w:rPr>
          <w:rFonts w:ascii="Times New Roman" w:hAnsi="Times New Roman" w:cs="Times New Roman"/>
        </w:rPr>
        <w:t>здоров</w:t>
      </w:r>
      <w:proofErr w:type="spellEnd"/>
      <w:r w:rsidRPr="00E272D4">
        <w:rPr>
          <w:rFonts w:ascii="Times New Roman" w:hAnsi="Times New Roman" w:cs="Times New Roman"/>
          <w:lang w:val="ru-RU"/>
        </w:rPr>
        <w:t>’</w:t>
      </w:r>
      <w:r>
        <w:rPr>
          <w:rFonts w:ascii="Times New Roman" w:hAnsi="Times New Roman" w:cs="Times New Roman"/>
        </w:rPr>
        <w:t xml:space="preserve">ю населення. </w:t>
      </w:r>
    </w:p>
    <w:p w:rsidR="00DC2159" w:rsidRPr="00DC5043" w:rsidRDefault="00E272D4" w:rsidP="00EC5951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Забезпечити доступ до </w:t>
      </w:r>
      <w:proofErr w:type="spellStart"/>
      <w:r>
        <w:rPr>
          <w:rFonts w:ascii="Times New Roman" w:hAnsi="Times New Roman" w:cs="Times New Roman"/>
        </w:rPr>
        <w:t>сейфових</w:t>
      </w:r>
      <w:proofErr w:type="spellEnd"/>
      <w:r>
        <w:rPr>
          <w:rFonts w:ascii="Times New Roman" w:hAnsi="Times New Roman" w:cs="Times New Roman"/>
        </w:rPr>
        <w:t xml:space="preserve"> скриньок в безперебійному режимі</w:t>
      </w:r>
      <w:r w:rsidR="007E7FE0">
        <w:rPr>
          <w:rFonts w:ascii="Times New Roman" w:hAnsi="Times New Roman" w:cs="Times New Roman"/>
        </w:rPr>
        <w:t>.</w:t>
      </w:r>
    </w:p>
    <w:p w:rsidR="00DC2159" w:rsidRDefault="00DC2159" w:rsidP="00EC5951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DC5043">
        <w:rPr>
          <w:rFonts w:ascii="Times New Roman" w:hAnsi="Times New Roman" w:cs="Times New Roman"/>
        </w:rPr>
        <w:t>НБУ здійснює підкріплення готівкою</w:t>
      </w:r>
      <w:r w:rsidR="00D42FED">
        <w:rPr>
          <w:rFonts w:ascii="Times New Roman" w:hAnsi="Times New Roman" w:cs="Times New Roman"/>
        </w:rPr>
        <w:t xml:space="preserve"> без обмежень</w:t>
      </w:r>
      <w:r w:rsidR="007E7FE0">
        <w:rPr>
          <w:rFonts w:ascii="Times New Roman" w:hAnsi="Times New Roman" w:cs="Times New Roman"/>
        </w:rPr>
        <w:t>.</w:t>
      </w:r>
      <w:r w:rsidR="00D42FED">
        <w:rPr>
          <w:rFonts w:ascii="Times New Roman" w:hAnsi="Times New Roman" w:cs="Times New Roman"/>
        </w:rPr>
        <w:t xml:space="preserve"> </w:t>
      </w:r>
    </w:p>
    <w:p w:rsidR="00D42FED" w:rsidRPr="00D42FED" w:rsidRDefault="00D42FED" w:rsidP="00EC5951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D42FED">
        <w:rPr>
          <w:rFonts w:ascii="Times New Roman" w:hAnsi="Times New Roman" w:cs="Times New Roman"/>
        </w:rPr>
        <w:t xml:space="preserve">НБУ здійснює бланкове рефінансування банків </w:t>
      </w:r>
      <w:r w:rsidR="00AE7C4C">
        <w:rPr>
          <w:rFonts w:ascii="Times New Roman" w:hAnsi="Times New Roman" w:cs="Times New Roman"/>
        </w:rPr>
        <w:t xml:space="preserve">для підтримки ліквідності </w:t>
      </w:r>
      <w:r w:rsidRPr="00D42FED">
        <w:rPr>
          <w:rFonts w:ascii="Times New Roman" w:hAnsi="Times New Roman" w:cs="Times New Roman"/>
        </w:rPr>
        <w:t>без обмежень</w:t>
      </w:r>
      <w:r>
        <w:rPr>
          <w:rFonts w:ascii="Times New Roman" w:hAnsi="Times New Roman" w:cs="Times New Roman"/>
        </w:rPr>
        <w:t xml:space="preserve"> по сумі терміном до 1 року з можливістю пролонгації ще на 1 рік.</w:t>
      </w:r>
    </w:p>
    <w:p w:rsidR="00D42FED" w:rsidRDefault="00D42FED" w:rsidP="00EC5951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D42FED">
        <w:rPr>
          <w:rFonts w:ascii="Times New Roman" w:hAnsi="Times New Roman" w:cs="Times New Roman"/>
        </w:rPr>
        <w:t>Призупинити роботу валютного ринку України</w:t>
      </w:r>
      <w:r w:rsidR="007E7FE0">
        <w:rPr>
          <w:rFonts w:ascii="Times New Roman" w:hAnsi="Times New Roman" w:cs="Times New Roman"/>
        </w:rPr>
        <w:t>,</w:t>
      </w:r>
      <w:r w:rsidR="00EC5951">
        <w:rPr>
          <w:rFonts w:ascii="Times New Roman" w:hAnsi="Times New Roman" w:cs="Times New Roman"/>
        </w:rPr>
        <w:t xml:space="preserve"> крім операцій продажу іноземної валюти клієнтами.</w:t>
      </w:r>
    </w:p>
    <w:p w:rsidR="00D42FED" w:rsidRDefault="00D42FED" w:rsidP="00EC5951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D42FED">
        <w:rPr>
          <w:rFonts w:ascii="Times New Roman" w:hAnsi="Times New Roman" w:cs="Times New Roman"/>
        </w:rPr>
        <w:t>Зафіксувати офіційний курс на 24.02.2022</w:t>
      </w:r>
      <w:r w:rsidR="009E75B8">
        <w:rPr>
          <w:rFonts w:ascii="Times New Roman" w:hAnsi="Times New Roman" w:cs="Times New Roman"/>
        </w:rPr>
        <w:t xml:space="preserve"> </w:t>
      </w:r>
    </w:p>
    <w:p w:rsidR="00D42FED" w:rsidRDefault="00D42FED" w:rsidP="00EC5951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Увести мораторій </w:t>
      </w:r>
      <w:r w:rsidRPr="00D42FED">
        <w:rPr>
          <w:rFonts w:ascii="Times New Roman" w:hAnsi="Times New Roman" w:cs="Times New Roman"/>
        </w:rPr>
        <w:t>на здійснення транскордонних валютних платежів (</w:t>
      </w:r>
      <w:r w:rsidR="00B80133" w:rsidRPr="00B80133">
        <w:rPr>
          <w:rFonts w:ascii="Times New Roman" w:hAnsi="Times New Roman" w:cs="Times New Roman"/>
        </w:rPr>
        <w:t xml:space="preserve">крім </w:t>
      </w:r>
      <w:r w:rsidR="00B80133">
        <w:rPr>
          <w:rFonts w:ascii="Times New Roman" w:hAnsi="Times New Roman" w:cs="Times New Roman"/>
        </w:rPr>
        <w:t xml:space="preserve">підприємств та установ, що забезпечують виконання </w:t>
      </w:r>
      <w:r w:rsidR="00B80133" w:rsidRPr="00B80133">
        <w:rPr>
          <w:rFonts w:ascii="Times New Roman" w:hAnsi="Times New Roman" w:cs="Times New Roman"/>
        </w:rPr>
        <w:t xml:space="preserve">мобілізаційних </w:t>
      </w:r>
      <w:r w:rsidR="00B80133">
        <w:rPr>
          <w:rFonts w:ascii="Times New Roman" w:hAnsi="Times New Roman" w:cs="Times New Roman"/>
        </w:rPr>
        <w:t>планів (завдань)</w:t>
      </w:r>
      <w:r w:rsidRPr="00D42FED">
        <w:rPr>
          <w:rFonts w:ascii="Times New Roman" w:hAnsi="Times New Roman" w:cs="Times New Roman"/>
        </w:rPr>
        <w:t xml:space="preserve"> та </w:t>
      </w:r>
      <w:r w:rsidR="009E75B8">
        <w:rPr>
          <w:rFonts w:ascii="Times New Roman" w:hAnsi="Times New Roman" w:cs="Times New Roman"/>
        </w:rPr>
        <w:t>Уряду</w:t>
      </w:r>
      <w:r w:rsidRPr="00D42FED">
        <w:rPr>
          <w:rFonts w:ascii="Times New Roman" w:hAnsi="Times New Roman" w:cs="Times New Roman"/>
        </w:rPr>
        <w:t>, окремих дозволів НБУ)</w:t>
      </w:r>
    </w:p>
    <w:p w:rsidR="00D42FED" w:rsidRDefault="00D42FED" w:rsidP="00EC5951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Зупинити здійснення обслуговуючими банками видаткових операцій за рахунками резидентів держави, що здійснил</w:t>
      </w:r>
      <w:r w:rsidR="00AE7C4C">
        <w:rPr>
          <w:rFonts w:ascii="Times New Roman" w:hAnsi="Times New Roman" w:cs="Times New Roman"/>
        </w:rPr>
        <w:t>а збройну агресію проти України.</w:t>
      </w:r>
    </w:p>
    <w:p w:rsidR="00EC5951" w:rsidRPr="00EC5951" w:rsidRDefault="00EC5951" w:rsidP="00EC5951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EC5951">
        <w:rPr>
          <w:rFonts w:ascii="Times New Roman" w:hAnsi="Times New Roman" w:cs="Times New Roman"/>
        </w:rPr>
        <w:t>Банкам-емітентам електронних грошей призупинити здійснення випуску електронних грошей, поповнення електронних гаманців електронними грошима, розповсюдження електронних грошей.</w:t>
      </w:r>
    </w:p>
    <w:p w:rsidR="00D42FED" w:rsidRPr="00DC5043" w:rsidRDefault="00D42FED" w:rsidP="00D42FED">
      <w:pPr>
        <w:pStyle w:val="a3"/>
        <w:rPr>
          <w:rFonts w:ascii="Times New Roman" w:hAnsi="Times New Roman" w:cs="Times New Roman"/>
        </w:rPr>
      </w:pPr>
    </w:p>
    <w:p w:rsidR="00DC2159" w:rsidRDefault="00DC5043" w:rsidP="00DC2159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Контроль за виконанням цієї постанови покласти на заступників Голови Національного банку України </w:t>
      </w:r>
      <w:proofErr w:type="spellStart"/>
      <w:r>
        <w:rPr>
          <w:rFonts w:ascii="Times New Roman" w:hAnsi="Times New Roman" w:cs="Times New Roman"/>
        </w:rPr>
        <w:t>Матузку</w:t>
      </w:r>
      <w:proofErr w:type="spellEnd"/>
      <w:r>
        <w:rPr>
          <w:rFonts w:ascii="Times New Roman" w:hAnsi="Times New Roman" w:cs="Times New Roman"/>
        </w:rPr>
        <w:t xml:space="preserve"> Я.В., </w:t>
      </w:r>
      <w:proofErr w:type="spellStart"/>
      <w:r>
        <w:rPr>
          <w:rFonts w:ascii="Times New Roman" w:hAnsi="Times New Roman" w:cs="Times New Roman"/>
        </w:rPr>
        <w:t>Гелетія</w:t>
      </w:r>
      <w:proofErr w:type="spellEnd"/>
      <w:r>
        <w:rPr>
          <w:rFonts w:ascii="Times New Roman" w:hAnsi="Times New Roman" w:cs="Times New Roman"/>
        </w:rPr>
        <w:t xml:space="preserve"> Ю.І. та </w:t>
      </w:r>
      <w:proofErr w:type="spellStart"/>
      <w:r>
        <w:rPr>
          <w:rFonts w:ascii="Times New Roman" w:hAnsi="Times New Roman" w:cs="Times New Roman"/>
        </w:rPr>
        <w:t>Шабана</w:t>
      </w:r>
      <w:proofErr w:type="spellEnd"/>
      <w:r>
        <w:rPr>
          <w:rFonts w:ascii="Times New Roman" w:hAnsi="Times New Roman" w:cs="Times New Roman"/>
        </w:rPr>
        <w:t xml:space="preserve"> О.В.</w:t>
      </w:r>
    </w:p>
    <w:p w:rsidR="00DC5043" w:rsidRDefault="00DC5043" w:rsidP="00DC2159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Постанова набирає чинності з дня прийняття.</w:t>
      </w:r>
    </w:p>
    <w:p w:rsidR="00DC5043" w:rsidRPr="00DC5043" w:rsidRDefault="00DC5043" w:rsidP="00DC2159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Голова                                                                                              Кирило Шевченко   </w:t>
      </w:r>
    </w:p>
    <w:sectPr w:rsidR="00DC5043" w:rsidRPr="00DC50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137D7"/>
    <w:multiLevelType w:val="hybridMultilevel"/>
    <w:tmpl w:val="E60E37DE"/>
    <w:lvl w:ilvl="0" w:tplc="8CD0970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71534E"/>
    <w:multiLevelType w:val="hybridMultilevel"/>
    <w:tmpl w:val="74E28E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D4F01"/>
    <w:multiLevelType w:val="hybridMultilevel"/>
    <w:tmpl w:val="25545F9C"/>
    <w:lvl w:ilvl="0" w:tplc="C6ECC1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EA3584"/>
    <w:multiLevelType w:val="hybridMultilevel"/>
    <w:tmpl w:val="DA4412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159"/>
    <w:rsid w:val="000D19FE"/>
    <w:rsid w:val="000D2AB7"/>
    <w:rsid w:val="00130EB7"/>
    <w:rsid w:val="001F0128"/>
    <w:rsid w:val="00330F96"/>
    <w:rsid w:val="007E7FE0"/>
    <w:rsid w:val="009A6A55"/>
    <w:rsid w:val="009E75B8"/>
    <w:rsid w:val="00AE7C4C"/>
    <w:rsid w:val="00B80133"/>
    <w:rsid w:val="00D06F5F"/>
    <w:rsid w:val="00D42FED"/>
    <w:rsid w:val="00DC2159"/>
    <w:rsid w:val="00DC5043"/>
    <w:rsid w:val="00E272D4"/>
    <w:rsid w:val="00EC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C9658"/>
  <w15:chartTrackingRefBased/>
  <w15:docId w15:val="{B225D367-E8F0-4EDD-9883-9F74F9DC6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159"/>
    <w:pPr>
      <w:ind w:left="720"/>
      <w:contextualSpacing/>
    </w:pPr>
  </w:style>
  <w:style w:type="table" w:styleId="a4">
    <w:name w:val="Table Grid"/>
    <w:basedOn w:val="a1"/>
    <w:uiPriority w:val="59"/>
    <w:rsid w:val="00DC5043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42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42F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2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1848</Words>
  <Characters>1054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Дегтярьова Наталія Михайлівна</dc:creator>
  <cp:keywords/>
  <dc:description/>
  <cp:lastModifiedBy>Максимчук Наталія Василівна</cp:lastModifiedBy>
  <cp:revision>4</cp:revision>
  <cp:lastPrinted>2022-02-24T11:51:00Z</cp:lastPrinted>
  <dcterms:created xsi:type="dcterms:W3CDTF">2022-02-24T11:53:00Z</dcterms:created>
  <dcterms:modified xsi:type="dcterms:W3CDTF">2022-02-24T12:03:00Z</dcterms:modified>
</cp:coreProperties>
</file>