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2F6B9" w14:textId="77777777" w:rsidR="00FA7846" w:rsidRPr="00CD0CD4" w:rsidRDefault="00FA7846" w:rsidP="00FA7846">
      <w:pPr>
        <w:rPr>
          <w:sz w:val="2"/>
          <w:szCs w:val="2"/>
        </w:rPr>
      </w:pPr>
    </w:p>
    <w:tbl>
      <w:tblPr>
        <w:tblStyle w:val="a9"/>
        <w:tblW w:w="0" w:type="auto"/>
        <w:tblLook w:val="04A0" w:firstRow="1" w:lastRow="0" w:firstColumn="1" w:lastColumn="0" w:noHBand="0" w:noVBand="1"/>
      </w:tblPr>
      <w:tblGrid>
        <w:gridCol w:w="3204"/>
        <w:gridCol w:w="3224"/>
        <w:gridCol w:w="3200"/>
      </w:tblGrid>
      <w:tr w:rsidR="003112FD" w:rsidRPr="00441086" w14:paraId="10ACC7F7" w14:textId="77777777" w:rsidTr="003112FD">
        <w:trPr>
          <w:trHeight w:val="292"/>
        </w:trPr>
        <w:tc>
          <w:tcPr>
            <w:tcW w:w="9628" w:type="dxa"/>
            <w:gridSpan w:val="3"/>
            <w:tcBorders>
              <w:top w:val="nil"/>
              <w:left w:val="nil"/>
              <w:bottom w:val="nil"/>
              <w:right w:val="nil"/>
            </w:tcBorders>
          </w:tcPr>
          <w:p w14:paraId="463F97BB" w14:textId="752169BC" w:rsidR="003112FD" w:rsidRPr="00441086" w:rsidRDefault="003112FD" w:rsidP="003112FD">
            <w:pPr>
              <w:rPr>
                <w:sz w:val="24"/>
                <w:szCs w:val="24"/>
              </w:rPr>
            </w:pPr>
            <w:r w:rsidRPr="00441086">
              <w:rPr>
                <w:sz w:val="24"/>
                <w:szCs w:val="24"/>
              </w:rPr>
              <w:t xml:space="preserve">                                          </w:t>
            </w:r>
            <w:r w:rsidR="00441086">
              <w:rPr>
                <w:sz w:val="24"/>
                <w:szCs w:val="24"/>
              </w:rPr>
              <w:t xml:space="preserve">                        </w:t>
            </w:r>
            <w:r w:rsidRPr="00441086">
              <w:rPr>
                <w:sz w:val="24"/>
                <w:szCs w:val="24"/>
              </w:rPr>
              <w:t xml:space="preserve">                                Офіційно опубліковано 06.01.2022</w:t>
            </w:r>
          </w:p>
        </w:tc>
      </w:tr>
      <w:tr w:rsidR="00657593" w14:paraId="319EB3FB" w14:textId="77777777" w:rsidTr="003112FD">
        <w:trPr>
          <w:trHeight w:val="851"/>
        </w:trPr>
        <w:tc>
          <w:tcPr>
            <w:tcW w:w="3204" w:type="dxa"/>
            <w:tcBorders>
              <w:top w:val="nil"/>
              <w:left w:val="nil"/>
              <w:bottom w:val="nil"/>
              <w:right w:val="nil"/>
            </w:tcBorders>
          </w:tcPr>
          <w:p w14:paraId="17630171" w14:textId="77777777" w:rsidR="00657593" w:rsidRDefault="00657593" w:rsidP="00D05856"/>
        </w:tc>
        <w:tc>
          <w:tcPr>
            <w:tcW w:w="3224" w:type="dxa"/>
            <w:vMerge w:val="restart"/>
            <w:tcBorders>
              <w:top w:val="nil"/>
              <w:left w:val="nil"/>
              <w:bottom w:val="nil"/>
              <w:right w:val="nil"/>
            </w:tcBorders>
          </w:tcPr>
          <w:p w14:paraId="4C3B1D20" w14:textId="77777777" w:rsidR="00657593" w:rsidRDefault="00657593" w:rsidP="00D05856">
            <w:pPr>
              <w:jc w:val="center"/>
            </w:pPr>
            <w:r>
              <w:object w:dxaOrig="1595" w:dyaOrig="2201" w14:anchorId="7C4BC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4.8pt;height:47.4pt" o:ole="">
                  <v:imagedata r:id="rId12" o:title=""/>
                </v:shape>
                <o:OLEObject Type="Embed" ProgID="CorelDraw.Graphic.16" ShapeID="_x0000_i1039" DrawAspect="Content" ObjectID="_1702892885" r:id="rId13"/>
              </w:object>
            </w:r>
          </w:p>
        </w:tc>
        <w:tc>
          <w:tcPr>
            <w:tcW w:w="3200" w:type="dxa"/>
            <w:tcBorders>
              <w:top w:val="nil"/>
              <w:left w:val="nil"/>
              <w:bottom w:val="nil"/>
              <w:right w:val="nil"/>
            </w:tcBorders>
          </w:tcPr>
          <w:p w14:paraId="12D933A3" w14:textId="77777777" w:rsidR="00657593" w:rsidRDefault="00657593" w:rsidP="00D05856"/>
        </w:tc>
      </w:tr>
      <w:tr w:rsidR="00657593" w14:paraId="1DFD65B8" w14:textId="77777777" w:rsidTr="003112FD">
        <w:tc>
          <w:tcPr>
            <w:tcW w:w="3204" w:type="dxa"/>
            <w:tcBorders>
              <w:top w:val="nil"/>
              <w:left w:val="nil"/>
              <w:bottom w:val="nil"/>
              <w:right w:val="nil"/>
            </w:tcBorders>
          </w:tcPr>
          <w:p w14:paraId="306B6DC4" w14:textId="77777777" w:rsidR="00657593" w:rsidRDefault="00657593" w:rsidP="00D05856"/>
        </w:tc>
        <w:tc>
          <w:tcPr>
            <w:tcW w:w="3224" w:type="dxa"/>
            <w:vMerge/>
            <w:tcBorders>
              <w:top w:val="nil"/>
              <w:left w:val="nil"/>
              <w:bottom w:val="nil"/>
              <w:right w:val="nil"/>
            </w:tcBorders>
          </w:tcPr>
          <w:p w14:paraId="245EB9EB" w14:textId="77777777" w:rsidR="00657593" w:rsidRDefault="00657593" w:rsidP="00D05856"/>
        </w:tc>
        <w:tc>
          <w:tcPr>
            <w:tcW w:w="3200" w:type="dxa"/>
            <w:tcBorders>
              <w:top w:val="nil"/>
              <w:left w:val="nil"/>
              <w:bottom w:val="nil"/>
              <w:right w:val="nil"/>
            </w:tcBorders>
          </w:tcPr>
          <w:p w14:paraId="610F2B4F" w14:textId="77777777" w:rsidR="00657593" w:rsidRDefault="00657593" w:rsidP="00D05856"/>
        </w:tc>
      </w:tr>
      <w:tr w:rsidR="00657593" w14:paraId="293E5551" w14:textId="77777777" w:rsidTr="003112FD">
        <w:tc>
          <w:tcPr>
            <w:tcW w:w="9628" w:type="dxa"/>
            <w:gridSpan w:val="3"/>
            <w:tcBorders>
              <w:top w:val="nil"/>
              <w:left w:val="nil"/>
              <w:bottom w:val="nil"/>
              <w:right w:val="nil"/>
            </w:tcBorders>
          </w:tcPr>
          <w:p w14:paraId="1D340C87" w14:textId="77777777" w:rsidR="00657593" w:rsidRPr="00E10F0A" w:rsidRDefault="00657593" w:rsidP="00D05856">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70D151DC" w14:textId="77777777" w:rsidR="00657593" w:rsidRDefault="00657593" w:rsidP="00D05856">
            <w:pPr>
              <w:jc w:val="center"/>
            </w:pPr>
            <w:r w:rsidRPr="00E10F0A">
              <w:rPr>
                <w:b/>
                <w:bCs/>
                <w:color w:val="006600"/>
                <w:sz w:val="32"/>
                <w:szCs w:val="32"/>
              </w:rPr>
              <w:t>П О С Т А Н О В А</w:t>
            </w:r>
          </w:p>
        </w:tc>
      </w:tr>
    </w:tbl>
    <w:p w14:paraId="575BC995"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2636"/>
        <w:gridCol w:w="1668"/>
        <w:gridCol w:w="1898"/>
      </w:tblGrid>
      <w:tr w:rsidR="00657593" w14:paraId="6AE0F1AB" w14:textId="77777777" w:rsidTr="00AB062E">
        <w:tc>
          <w:tcPr>
            <w:tcW w:w="3510" w:type="dxa"/>
            <w:vAlign w:val="bottom"/>
          </w:tcPr>
          <w:p w14:paraId="77514C11" w14:textId="205EDD5B" w:rsidR="00657593" w:rsidRPr="00566BA2" w:rsidRDefault="003112FD" w:rsidP="00D05856">
            <w:r>
              <w:t>31 грудня 2021 року</w:t>
            </w:r>
          </w:p>
        </w:tc>
        <w:tc>
          <w:tcPr>
            <w:tcW w:w="2694" w:type="dxa"/>
          </w:tcPr>
          <w:p w14:paraId="04E01A72" w14:textId="256DF994" w:rsidR="00657593" w:rsidRDefault="00657593" w:rsidP="00E62607">
            <w:pPr>
              <w:spacing w:before="240"/>
              <w:jc w:val="center"/>
            </w:pPr>
            <w:r w:rsidRPr="00E10F0A">
              <w:rPr>
                <w:color w:val="006600"/>
              </w:rPr>
              <w:t>Київ</w:t>
            </w:r>
          </w:p>
        </w:tc>
        <w:tc>
          <w:tcPr>
            <w:tcW w:w="1713" w:type="dxa"/>
            <w:vAlign w:val="bottom"/>
          </w:tcPr>
          <w:p w14:paraId="24633B0B" w14:textId="1A7BC687" w:rsidR="00657593" w:rsidRDefault="00657593" w:rsidP="00E62607">
            <w:pPr>
              <w:jc w:val="right"/>
            </w:pPr>
          </w:p>
        </w:tc>
        <w:tc>
          <w:tcPr>
            <w:tcW w:w="1937" w:type="dxa"/>
            <w:vAlign w:val="bottom"/>
          </w:tcPr>
          <w:p w14:paraId="0DDCCE3F" w14:textId="6A9951DC" w:rsidR="00657593" w:rsidRDefault="003112FD" w:rsidP="00290169">
            <w:pPr>
              <w:jc w:val="left"/>
            </w:pPr>
            <w:r>
              <w:t>№ 163</w:t>
            </w:r>
          </w:p>
        </w:tc>
      </w:tr>
    </w:tbl>
    <w:p w14:paraId="52A42275" w14:textId="77777777" w:rsidR="00657593" w:rsidRPr="00CD0CD4" w:rsidRDefault="00657593" w:rsidP="00657593">
      <w:pPr>
        <w:rPr>
          <w:sz w:val="2"/>
          <w:szCs w:val="2"/>
        </w:rPr>
      </w:pPr>
    </w:p>
    <w:p w14:paraId="32B2F6BA" w14:textId="77777777" w:rsidR="00E42621" w:rsidRPr="00441086" w:rsidRDefault="00E42621" w:rsidP="00562C46">
      <w:pPr>
        <w:ind w:firstLine="709"/>
        <w:jc w:val="center"/>
        <w:rPr>
          <w:rFonts w:eastAsiaTheme="minorEastAsia"/>
          <w:color w:val="000000" w:themeColor="text1"/>
          <w:sz w:val="22"/>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CD0CD4" w14:paraId="32B2F6BC" w14:textId="77777777" w:rsidTr="005212C5">
        <w:trPr>
          <w:jc w:val="center"/>
        </w:trPr>
        <w:tc>
          <w:tcPr>
            <w:tcW w:w="5000" w:type="pct"/>
          </w:tcPr>
          <w:p w14:paraId="32B2F6BB" w14:textId="114139D7" w:rsidR="002B3F71" w:rsidRPr="00CD0CD4" w:rsidRDefault="00CE4368" w:rsidP="00441086">
            <w:pPr>
              <w:tabs>
                <w:tab w:val="left" w:pos="840"/>
                <w:tab w:val="center" w:pos="3293"/>
              </w:tabs>
              <w:spacing w:before="240" w:after="240"/>
              <w:jc w:val="center"/>
              <w:rPr>
                <w:rFonts w:eastAsiaTheme="minorEastAsia"/>
                <w:color w:val="000000" w:themeColor="text1"/>
                <w:lang w:eastAsia="en-US"/>
              </w:rPr>
            </w:pPr>
            <w:r w:rsidRPr="00CE4368">
              <w:rPr>
                <w:rFonts w:eastAsiaTheme="minorEastAsia"/>
                <w:color w:val="000000" w:themeColor="text1"/>
                <w:lang w:eastAsia="en-US"/>
              </w:rPr>
              <w:t>Про затвердження Змін до Положення про порядок регулювання діяльності банківських груп</w:t>
            </w:r>
          </w:p>
        </w:tc>
      </w:tr>
    </w:tbl>
    <w:p w14:paraId="32B2F6BD" w14:textId="0D1E576C" w:rsidR="00E53CCD" w:rsidRDefault="00CE4368" w:rsidP="00CE4368">
      <w:pPr>
        <w:spacing w:before="240" w:after="240"/>
        <w:ind w:firstLine="709"/>
        <w:rPr>
          <w:b/>
        </w:rPr>
      </w:pPr>
      <w:r w:rsidRPr="00CE4368">
        <w:rPr>
          <w:rFonts w:eastAsiaTheme="minorEastAsia"/>
          <w:color w:val="000000" w:themeColor="text1"/>
          <w:lang w:eastAsia="en-US"/>
        </w:rPr>
        <w:t xml:space="preserve">Відповідно до статей 7, 15, 55, 56, 58  Закону України “Про Національний банк України”, статей 9, 66, 67, 69 Закону України “Про банки і банківську діяльність”, з метою вдосконалення регулювання діяльності банківських груп   </w:t>
      </w:r>
      <w:r w:rsidRPr="00CE4368">
        <w:rPr>
          <w:b/>
        </w:rPr>
        <w:t xml:space="preserve"> </w:t>
      </w:r>
      <w:r w:rsidRPr="00CE4368">
        <w:t>Правління Національного банку України</w:t>
      </w:r>
      <w:r w:rsidRPr="00CE4368">
        <w:rPr>
          <w:b/>
        </w:rPr>
        <w:t xml:space="preserve"> постановляє:</w:t>
      </w:r>
      <w:r>
        <w:rPr>
          <w:b/>
        </w:rPr>
        <w:t xml:space="preserve"> </w:t>
      </w:r>
      <w:r w:rsidR="00FA508E" w:rsidRPr="00CD0CD4">
        <w:rPr>
          <w:b/>
        </w:rPr>
        <w:t xml:space="preserve"> </w:t>
      </w:r>
    </w:p>
    <w:p w14:paraId="7D35A737" w14:textId="1538893B" w:rsidR="00AD7DF9" w:rsidRDefault="00CE4368" w:rsidP="00D45230">
      <w:pPr>
        <w:spacing w:before="240" w:after="240"/>
        <w:ind w:firstLine="709"/>
      </w:pPr>
      <w:r w:rsidRPr="00CE4368">
        <w:rPr>
          <w:lang w:val="ru-RU"/>
        </w:rPr>
        <w:t>1</w:t>
      </w:r>
      <w:r w:rsidRPr="00CE4368">
        <w:t>. Затвердити Зміни до Положення про порядок регулювання діяльності банківських груп, затвердженого постановою Правління Національного банку України від 20 червня 2012 року № 254, зареєстрованого в Міністерстві юстиції України 12 липня 2012 року за № 1178/21490 (зі змінами), що додаються.</w:t>
      </w:r>
    </w:p>
    <w:p w14:paraId="205B3B00" w14:textId="7EED86BF" w:rsidR="00CE4368" w:rsidRPr="00CE4368" w:rsidRDefault="00CE4368" w:rsidP="00D45230">
      <w:pPr>
        <w:spacing w:before="240" w:after="240"/>
        <w:ind w:firstLine="709"/>
        <w:rPr>
          <w:rFonts w:eastAsiaTheme="minorEastAsia"/>
          <w:noProof/>
          <w:color w:val="000000" w:themeColor="text1"/>
          <w:lang w:eastAsia="en-US"/>
        </w:rPr>
      </w:pPr>
      <w:r w:rsidRPr="00CE4368">
        <w:rPr>
          <w:rFonts w:eastAsiaTheme="minorEastAsia"/>
          <w:noProof/>
          <w:color w:val="000000" w:themeColor="text1"/>
          <w:lang w:eastAsia="en-US"/>
        </w:rPr>
        <w:t xml:space="preserve">2. </w:t>
      </w:r>
      <w:r w:rsidR="00F53509" w:rsidRPr="000F6C80">
        <w:rPr>
          <w:rFonts w:eastAsiaTheme="minorEastAsia"/>
          <w:noProof/>
          <w:color w:val="000000" w:themeColor="text1"/>
          <w:lang w:eastAsia="en-US"/>
        </w:rPr>
        <w:t>В</w:t>
      </w:r>
      <w:r w:rsidR="00F53509">
        <w:rPr>
          <w:rFonts w:eastAsiaTheme="minorEastAsia"/>
          <w:noProof/>
          <w:color w:val="000000" w:themeColor="text1"/>
          <w:lang w:eastAsia="en-US"/>
        </w:rPr>
        <w:t>і</w:t>
      </w:r>
      <w:r w:rsidR="00F53509" w:rsidRPr="000F6C80">
        <w:rPr>
          <w:rFonts w:eastAsiaTheme="minorEastAsia"/>
          <w:noProof/>
          <w:color w:val="000000" w:themeColor="text1"/>
          <w:lang w:eastAsia="en-US"/>
        </w:rPr>
        <w:t>дповідальним особам банківських груп</w:t>
      </w:r>
      <w:r w:rsidRPr="00CE4368">
        <w:rPr>
          <w:rFonts w:eastAsiaTheme="minorEastAsia"/>
          <w:noProof/>
          <w:color w:val="000000" w:themeColor="text1"/>
          <w:lang w:eastAsia="en-US"/>
        </w:rPr>
        <w:t>:</w:t>
      </w:r>
    </w:p>
    <w:p w14:paraId="19C34562" w14:textId="4F389B67" w:rsidR="00CE4368" w:rsidRPr="00CE4368" w:rsidRDefault="00CE4368" w:rsidP="00D45230">
      <w:pPr>
        <w:spacing w:before="240" w:after="240"/>
        <w:ind w:firstLine="709"/>
        <w:rPr>
          <w:rFonts w:eastAsiaTheme="minorEastAsia"/>
          <w:noProof/>
          <w:color w:val="000000" w:themeColor="text1"/>
          <w:lang w:eastAsia="en-US"/>
        </w:rPr>
      </w:pPr>
      <w:r w:rsidRPr="00CE4368">
        <w:rPr>
          <w:rFonts w:eastAsiaTheme="minorEastAsia"/>
          <w:noProof/>
          <w:color w:val="000000" w:themeColor="text1"/>
          <w:lang w:eastAsia="en-US"/>
        </w:rPr>
        <w:t xml:space="preserve">1) здійснити тестовий розрахунок мінімального розміру операційного ризику </w:t>
      </w:r>
      <w:r w:rsidR="00F53509">
        <w:rPr>
          <w:rFonts w:eastAsiaTheme="minorEastAsia"/>
          <w:noProof/>
          <w:color w:val="000000" w:themeColor="text1"/>
          <w:lang w:eastAsia="en-US"/>
        </w:rPr>
        <w:t xml:space="preserve">кредитно-інвестиційної підгрупи банківської групи відповідно до  </w:t>
      </w:r>
      <w:r w:rsidR="00F53509" w:rsidRPr="00F53509">
        <w:rPr>
          <w:rFonts w:eastAsiaTheme="minorEastAsia"/>
          <w:noProof/>
          <w:color w:val="000000" w:themeColor="text1"/>
          <w:lang w:eastAsia="en-US"/>
        </w:rPr>
        <w:t xml:space="preserve">Положення про порядок визначення банками України мінімального розміру операційного ризику, </w:t>
      </w:r>
      <w:bookmarkStart w:id="0" w:name="_GoBack"/>
      <w:r w:rsidR="00F53509" w:rsidRPr="00F53509">
        <w:rPr>
          <w:rFonts w:eastAsiaTheme="minorEastAsia"/>
          <w:noProof/>
          <w:color w:val="000000" w:themeColor="text1"/>
          <w:lang w:eastAsia="en-US"/>
        </w:rPr>
        <w:t xml:space="preserve">затвердженого </w:t>
      </w:r>
      <w:bookmarkEnd w:id="0"/>
      <w:r w:rsidR="00F53509" w:rsidRPr="00F53509">
        <w:rPr>
          <w:rFonts w:eastAsiaTheme="minorEastAsia"/>
          <w:noProof/>
          <w:color w:val="000000" w:themeColor="text1"/>
          <w:lang w:eastAsia="en-US"/>
        </w:rPr>
        <w:t>постановою Правління Національного банку України від 24 грудня 2019 року № 156</w:t>
      </w:r>
      <w:r w:rsidR="00F53509">
        <w:rPr>
          <w:rFonts w:eastAsiaTheme="minorEastAsia"/>
          <w:noProof/>
          <w:color w:val="000000" w:themeColor="text1"/>
          <w:lang w:eastAsia="en-US"/>
        </w:rPr>
        <w:t xml:space="preserve"> (зі змінами) (далі – Положення №</w:t>
      </w:r>
      <w:r w:rsidR="00D45230">
        <w:rPr>
          <w:rFonts w:eastAsiaTheme="minorEastAsia"/>
          <w:noProof/>
          <w:color w:val="000000" w:themeColor="text1"/>
          <w:lang w:eastAsia="en-US"/>
        </w:rPr>
        <w:t> </w:t>
      </w:r>
      <w:r w:rsidR="00F53509">
        <w:rPr>
          <w:rFonts w:eastAsiaTheme="minorEastAsia"/>
          <w:noProof/>
          <w:color w:val="000000" w:themeColor="text1"/>
          <w:lang w:eastAsia="en-US"/>
        </w:rPr>
        <w:t xml:space="preserve">156), </w:t>
      </w:r>
      <w:r w:rsidRPr="00CE4368">
        <w:rPr>
          <w:rFonts w:eastAsiaTheme="minorEastAsia"/>
          <w:noProof/>
          <w:color w:val="000000" w:themeColor="text1"/>
          <w:lang w:eastAsia="en-US"/>
        </w:rPr>
        <w:t>станом на 01 січня 202</w:t>
      </w:r>
      <w:r w:rsidR="000F6C80" w:rsidRPr="000F6C80">
        <w:rPr>
          <w:rFonts w:eastAsiaTheme="minorEastAsia"/>
          <w:noProof/>
          <w:color w:val="000000" w:themeColor="text1"/>
          <w:lang w:val="ru-RU" w:eastAsia="en-US"/>
        </w:rPr>
        <w:t>2</w:t>
      </w:r>
      <w:r w:rsidRPr="00CE4368">
        <w:rPr>
          <w:rFonts w:eastAsiaTheme="minorEastAsia"/>
          <w:noProof/>
          <w:color w:val="000000" w:themeColor="text1"/>
          <w:lang w:eastAsia="en-US"/>
        </w:rPr>
        <w:t xml:space="preserve"> року і у строк до 3</w:t>
      </w:r>
      <w:r w:rsidR="00F53509">
        <w:rPr>
          <w:rFonts w:eastAsiaTheme="minorEastAsia"/>
          <w:noProof/>
          <w:color w:val="000000" w:themeColor="text1"/>
          <w:lang w:eastAsia="en-US"/>
        </w:rPr>
        <w:t>0</w:t>
      </w:r>
      <w:r w:rsidRPr="00CE4368">
        <w:rPr>
          <w:rFonts w:eastAsiaTheme="minorEastAsia"/>
          <w:noProof/>
          <w:color w:val="000000" w:themeColor="text1"/>
          <w:lang w:eastAsia="en-US"/>
        </w:rPr>
        <w:t xml:space="preserve"> </w:t>
      </w:r>
      <w:r w:rsidR="00F53509">
        <w:rPr>
          <w:rFonts w:eastAsiaTheme="minorEastAsia"/>
          <w:noProof/>
          <w:color w:val="000000" w:themeColor="text1"/>
          <w:lang w:eastAsia="en-US"/>
        </w:rPr>
        <w:t xml:space="preserve">вересня </w:t>
      </w:r>
      <w:r w:rsidRPr="00CE4368">
        <w:rPr>
          <w:rFonts w:eastAsiaTheme="minorEastAsia"/>
          <w:noProof/>
          <w:color w:val="000000" w:themeColor="text1"/>
          <w:lang w:eastAsia="en-US"/>
        </w:rPr>
        <w:t>202</w:t>
      </w:r>
      <w:r w:rsidR="00F53509">
        <w:rPr>
          <w:rFonts w:eastAsiaTheme="minorEastAsia"/>
          <w:noProof/>
          <w:color w:val="000000" w:themeColor="text1"/>
          <w:lang w:eastAsia="en-US"/>
        </w:rPr>
        <w:t>2</w:t>
      </w:r>
      <w:r w:rsidRPr="00CE4368">
        <w:rPr>
          <w:rFonts w:eastAsiaTheme="minorEastAsia"/>
          <w:noProof/>
          <w:color w:val="000000" w:themeColor="text1"/>
          <w:lang w:eastAsia="en-US"/>
        </w:rPr>
        <w:t xml:space="preserve"> року подати його до Національного банку України;</w:t>
      </w:r>
    </w:p>
    <w:p w14:paraId="3F3F2178" w14:textId="76229419" w:rsidR="00CE4368" w:rsidRDefault="00CE4368" w:rsidP="00D45230">
      <w:pPr>
        <w:spacing w:before="240" w:after="240"/>
        <w:ind w:firstLine="709"/>
        <w:rPr>
          <w:rFonts w:eastAsiaTheme="minorEastAsia"/>
          <w:noProof/>
          <w:color w:val="000000" w:themeColor="text1"/>
          <w:lang w:eastAsia="en-US"/>
        </w:rPr>
      </w:pPr>
      <w:r w:rsidRPr="00CE4368">
        <w:rPr>
          <w:rFonts w:eastAsiaTheme="minorEastAsia"/>
          <w:noProof/>
          <w:color w:val="000000" w:themeColor="text1"/>
          <w:lang w:eastAsia="en-US"/>
        </w:rPr>
        <w:t>2) починаючи з 202</w:t>
      </w:r>
      <w:r w:rsidR="000F6C80" w:rsidRPr="000F6C80">
        <w:rPr>
          <w:rFonts w:eastAsiaTheme="minorEastAsia"/>
          <w:noProof/>
          <w:color w:val="000000" w:themeColor="text1"/>
          <w:lang w:eastAsia="en-US"/>
        </w:rPr>
        <w:t>3</w:t>
      </w:r>
      <w:r w:rsidRPr="00CE4368">
        <w:rPr>
          <w:rFonts w:eastAsiaTheme="minorEastAsia"/>
          <w:noProof/>
          <w:color w:val="000000" w:themeColor="text1"/>
          <w:lang w:eastAsia="en-US"/>
        </w:rPr>
        <w:t xml:space="preserve"> року здійснювати розрахунок мінімального розміру операційного ризику</w:t>
      </w:r>
      <w:r w:rsidR="00F53509">
        <w:rPr>
          <w:rFonts w:eastAsiaTheme="minorEastAsia"/>
          <w:noProof/>
          <w:color w:val="000000" w:themeColor="text1"/>
          <w:lang w:eastAsia="en-US"/>
        </w:rPr>
        <w:t xml:space="preserve"> кредитно-інвестиційної підгрупи банківської групи </w:t>
      </w:r>
      <w:r w:rsidRPr="00CE4368">
        <w:rPr>
          <w:rFonts w:eastAsiaTheme="minorEastAsia"/>
          <w:noProof/>
          <w:color w:val="000000" w:themeColor="text1"/>
          <w:lang w:eastAsia="en-US"/>
        </w:rPr>
        <w:t xml:space="preserve"> згідно з вимогами Положення</w:t>
      </w:r>
      <w:r w:rsidR="00F53509">
        <w:rPr>
          <w:rFonts w:eastAsiaTheme="minorEastAsia"/>
          <w:noProof/>
          <w:color w:val="000000" w:themeColor="text1"/>
          <w:lang w:eastAsia="en-US"/>
        </w:rPr>
        <w:t xml:space="preserve"> № 156;</w:t>
      </w:r>
    </w:p>
    <w:p w14:paraId="2D510CE4" w14:textId="475637CE" w:rsidR="00D45230" w:rsidRDefault="00F53509" w:rsidP="00894592">
      <w:pPr>
        <w:ind w:firstLine="709"/>
        <w:rPr>
          <w:rFonts w:eastAsiaTheme="minorEastAsia"/>
          <w:noProof/>
          <w:color w:val="000000" w:themeColor="text1"/>
          <w:lang w:eastAsia="en-US"/>
        </w:rPr>
      </w:pPr>
      <w:r>
        <w:rPr>
          <w:rFonts w:eastAsiaTheme="minorEastAsia"/>
          <w:noProof/>
          <w:color w:val="000000" w:themeColor="text1"/>
          <w:lang w:eastAsia="en-US"/>
        </w:rPr>
        <w:t xml:space="preserve">3) включати до розрахунку необхідного розміру регулятивного капіталу кредитно-інвестиційної підгрупи банківської групи </w:t>
      </w:r>
      <w:r w:rsidR="00D45230" w:rsidRPr="00D45230">
        <w:rPr>
          <w:rFonts w:eastAsiaTheme="minorEastAsia"/>
          <w:noProof/>
          <w:color w:val="000000" w:themeColor="text1"/>
          <w:lang w:eastAsia="en-US"/>
        </w:rPr>
        <w:t>мінімальн</w:t>
      </w:r>
      <w:r w:rsidR="00D45230">
        <w:rPr>
          <w:rFonts w:eastAsiaTheme="minorEastAsia"/>
          <w:noProof/>
          <w:color w:val="000000" w:themeColor="text1"/>
          <w:lang w:eastAsia="en-US"/>
        </w:rPr>
        <w:t>ий</w:t>
      </w:r>
      <w:r w:rsidR="00D45230" w:rsidRPr="00D45230">
        <w:rPr>
          <w:rFonts w:eastAsiaTheme="minorEastAsia"/>
          <w:noProof/>
          <w:color w:val="000000" w:themeColor="text1"/>
          <w:lang w:eastAsia="en-US"/>
        </w:rPr>
        <w:t xml:space="preserve"> розмір операційного ризику </w:t>
      </w:r>
      <w:r w:rsidR="00D45230">
        <w:rPr>
          <w:rFonts w:eastAsiaTheme="minorEastAsia"/>
          <w:noProof/>
          <w:color w:val="000000" w:themeColor="text1"/>
          <w:lang w:eastAsia="en-US"/>
        </w:rPr>
        <w:t>із застосуванням таких коефіцієнтів:</w:t>
      </w:r>
    </w:p>
    <w:p w14:paraId="5A51F3C7" w14:textId="28954C87" w:rsidR="00D45230" w:rsidRDefault="00D45230" w:rsidP="00894592">
      <w:pPr>
        <w:ind w:firstLine="709"/>
        <w:rPr>
          <w:rFonts w:eastAsiaTheme="minorEastAsia"/>
          <w:noProof/>
          <w:color w:val="000000" w:themeColor="text1"/>
          <w:lang w:eastAsia="en-US"/>
        </w:rPr>
      </w:pPr>
      <w:r>
        <w:rPr>
          <w:rFonts w:eastAsiaTheme="minorEastAsia"/>
          <w:noProof/>
          <w:color w:val="000000" w:themeColor="text1"/>
          <w:lang w:eastAsia="en-US"/>
        </w:rPr>
        <w:t>до 2</w:t>
      </w:r>
      <w:r w:rsidR="009E1F76">
        <w:rPr>
          <w:rFonts w:eastAsiaTheme="minorEastAsia"/>
          <w:noProof/>
          <w:color w:val="000000" w:themeColor="text1"/>
          <w:lang w:eastAsia="en-US"/>
        </w:rPr>
        <w:t>8</w:t>
      </w:r>
      <w:r>
        <w:rPr>
          <w:rFonts w:eastAsiaTheme="minorEastAsia"/>
          <w:noProof/>
          <w:color w:val="000000" w:themeColor="text1"/>
          <w:lang w:eastAsia="en-US"/>
        </w:rPr>
        <w:t xml:space="preserve"> грудня 202</w:t>
      </w:r>
      <w:r w:rsidR="000F6C80" w:rsidRPr="000F6C80">
        <w:rPr>
          <w:rFonts w:eastAsiaTheme="minorEastAsia"/>
          <w:noProof/>
          <w:color w:val="000000" w:themeColor="text1"/>
          <w:lang w:val="ru-RU" w:eastAsia="en-US"/>
        </w:rPr>
        <w:t>3</w:t>
      </w:r>
      <w:r>
        <w:rPr>
          <w:rFonts w:eastAsiaTheme="minorEastAsia"/>
          <w:noProof/>
          <w:color w:val="000000" w:themeColor="text1"/>
          <w:lang w:eastAsia="en-US"/>
        </w:rPr>
        <w:t xml:space="preserve"> року – 0;</w:t>
      </w:r>
    </w:p>
    <w:p w14:paraId="2C3C0AF9" w14:textId="5E01A0DE" w:rsidR="00D45230" w:rsidRDefault="00D45230" w:rsidP="0005422D">
      <w:pPr>
        <w:ind w:firstLine="709"/>
        <w:rPr>
          <w:rFonts w:eastAsiaTheme="minorEastAsia"/>
          <w:noProof/>
          <w:color w:val="000000" w:themeColor="text1"/>
          <w:lang w:eastAsia="en-US"/>
        </w:rPr>
      </w:pPr>
      <w:r>
        <w:rPr>
          <w:rFonts w:eastAsiaTheme="minorEastAsia"/>
          <w:noProof/>
          <w:color w:val="000000" w:themeColor="text1"/>
          <w:lang w:eastAsia="en-US"/>
        </w:rPr>
        <w:t xml:space="preserve">із </w:t>
      </w:r>
      <w:r w:rsidR="009E1F76">
        <w:rPr>
          <w:rFonts w:eastAsiaTheme="minorEastAsia"/>
          <w:noProof/>
          <w:color w:val="000000" w:themeColor="text1"/>
          <w:lang w:eastAsia="en-US"/>
        </w:rPr>
        <w:t>29</w:t>
      </w:r>
      <w:r>
        <w:rPr>
          <w:rFonts w:eastAsiaTheme="minorEastAsia"/>
          <w:noProof/>
          <w:color w:val="000000" w:themeColor="text1"/>
          <w:lang w:eastAsia="en-US"/>
        </w:rPr>
        <w:t xml:space="preserve"> грудня 202</w:t>
      </w:r>
      <w:r w:rsidR="000F6C80" w:rsidRPr="000F6C80">
        <w:rPr>
          <w:rFonts w:eastAsiaTheme="minorEastAsia"/>
          <w:noProof/>
          <w:color w:val="000000" w:themeColor="text1"/>
          <w:lang w:val="ru-RU" w:eastAsia="en-US"/>
        </w:rPr>
        <w:t>3</w:t>
      </w:r>
      <w:r>
        <w:rPr>
          <w:rFonts w:eastAsiaTheme="minorEastAsia"/>
          <w:noProof/>
          <w:color w:val="000000" w:themeColor="text1"/>
          <w:lang w:eastAsia="en-US"/>
        </w:rPr>
        <w:t xml:space="preserve"> року </w:t>
      </w:r>
      <w:r w:rsidRPr="00D45230">
        <w:rPr>
          <w:rFonts w:eastAsiaTheme="minorEastAsia"/>
          <w:noProof/>
          <w:color w:val="000000" w:themeColor="text1"/>
          <w:lang w:eastAsia="en-US"/>
        </w:rPr>
        <w:t>– 0</w:t>
      </w:r>
      <w:r>
        <w:rPr>
          <w:rFonts w:eastAsiaTheme="minorEastAsia"/>
          <w:noProof/>
          <w:color w:val="000000" w:themeColor="text1"/>
          <w:lang w:eastAsia="en-US"/>
        </w:rPr>
        <w:t>,5;</w:t>
      </w:r>
    </w:p>
    <w:p w14:paraId="07BD5FF6" w14:textId="4785FBA9" w:rsidR="00F53509" w:rsidRPr="00CE4368" w:rsidRDefault="00D45230" w:rsidP="0005422D">
      <w:pPr>
        <w:ind w:firstLine="709"/>
        <w:rPr>
          <w:rFonts w:eastAsiaTheme="minorEastAsia"/>
          <w:noProof/>
          <w:color w:val="000000" w:themeColor="text1"/>
          <w:lang w:eastAsia="en-US"/>
        </w:rPr>
      </w:pPr>
      <w:r>
        <w:rPr>
          <w:rFonts w:eastAsiaTheme="minorEastAsia"/>
          <w:noProof/>
          <w:color w:val="000000" w:themeColor="text1"/>
          <w:lang w:eastAsia="en-US"/>
        </w:rPr>
        <w:t>і</w:t>
      </w:r>
      <w:r w:rsidRPr="00D45230">
        <w:rPr>
          <w:rFonts w:eastAsiaTheme="minorEastAsia"/>
          <w:noProof/>
          <w:color w:val="000000" w:themeColor="text1"/>
          <w:lang w:eastAsia="en-US"/>
        </w:rPr>
        <w:t xml:space="preserve">з </w:t>
      </w:r>
      <w:r w:rsidR="009E1F76">
        <w:rPr>
          <w:rFonts w:eastAsiaTheme="minorEastAsia"/>
          <w:noProof/>
          <w:color w:val="000000" w:themeColor="text1"/>
          <w:lang w:eastAsia="en-US"/>
        </w:rPr>
        <w:t>31</w:t>
      </w:r>
      <w:r w:rsidRPr="00D45230">
        <w:rPr>
          <w:rFonts w:eastAsiaTheme="minorEastAsia"/>
          <w:noProof/>
          <w:color w:val="000000" w:themeColor="text1"/>
          <w:lang w:eastAsia="en-US"/>
        </w:rPr>
        <w:t xml:space="preserve"> грудня 202</w:t>
      </w:r>
      <w:r w:rsidR="000F6C80" w:rsidRPr="008072F3">
        <w:rPr>
          <w:rFonts w:eastAsiaTheme="minorEastAsia"/>
          <w:noProof/>
          <w:color w:val="000000" w:themeColor="text1"/>
          <w:lang w:eastAsia="en-US"/>
        </w:rPr>
        <w:t>4</w:t>
      </w:r>
      <w:r w:rsidRPr="00D45230">
        <w:rPr>
          <w:rFonts w:eastAsiaTheme="minorEastAsia"/>
          <w:noProof/>
          <w:color w:val="000000" w:themeColor="text1"/>
          <w:lang w:eastAsia="en-US"/>
        </w:rPr>
        <w:t xml:space="preserve"> року – </w:t>
      </w:r>
      <w:r>
        <w:rPr>
          <w:rFonts w:eastAsiaTheme="minorEastAsia"/>
          <w:noProof/>
          <w:color w:val="000000" w:themeColor="text1"/>
          <w:lang w:eastAsia="en-US"/>
        </w:rPr>
        <w:t>1</w:t>
      </w:r>
      <w:r w:rsidR="00411177">
        <w:rPr>
          <w:rFonts w:eastAsiaTheme="minorEastAsia"/>
          <w:noProof/>
          <w:color w:val="000000" w:themeColor="text1"/>
          <w:lang w:eastAsia="en-US"/>
        </w:rPr>
        <w:t>.</w:t>
      </w:r>
      <w:r>
        <w:rPr>
          <w:rFonts w:eastAsiaTheme="minorEastAsia"/>
          <w:noProof/>
          <w:color w:val="000000" w:themeColor="text1"/>
          <w:lang w:eastAsia="en-US"/>
        </w:rPr>
        <w:t xml:space="preserve"> </w:t>
      </w:r>
      <w:r w:rsidR="00F53509">
        <w:rPr>
          <w:rFonts w:eastAsiaTheme="minorEastAsia"/>
          <w:noProof/>
          <w:color w:val="000000" w:themeColor="text1"/>
          <w:lang w:eastAsia="en-US"/>
        </w:rPr>
        <w:t xml:space="preserve"> </w:t>
      </w:r>
    </w:p>
    <w:p w14:paraId="35060D55" w14:textId="51A7C488" w:rsidR="00AD7DF9" w:rsidRDefault="00CE4368" w:rsidP="00083C7E">
      <w:pPr>
        <w:spacing w:before="240" w:after="240"/>
        <w:ind w:firstLine="709"/>
        <w:rPr>
          <w:rFonts w:eastAsiaTheme="minorEastAsia"/>
          <w:noProof/>
          <w:color w:val="000000" w:themeColor="text1"/>
          <w:lang w:eastAsia="en-US"/>
        </w:rPr>
      </w:pPr>
      <w:r w:rsidRPr="00CE4368">
        <w:rPr>
          <w:rFonts w:eastAsiaTheme="minorEastAsia"/>
          <w:noProof/>
          <w:color w:val="000000" w:themeColor="text1"/>
          <w:lang w:eastAsia="en-US"/>
        </w:rPr>
        <w:lastRenderedPageBreak/>
        <w:t>3. Департаменту методології регулювання діяльності банків (Наталія Іваненко) після офіційного опублікування довести до відома банків України інформацію про прийняття цієї постанови.</w:t>
      </w:r>
    </w:p>
    <w:p w14:paraId="683B3C31" w14:textId="2397D233" w:rsidR="00CE4368" w:rsidRPr="00CE4368" w:rsidRDefault="00D45230" w:rsidP="00CE4368">
      <w:pPr>
        <w:spacing w:before="240" w:after="240"/>
        <w:ind w:firstLine="709"/>
        <w:rPr>
          <w:rFonts w:eastAsiaTheme="minorEastAsia"/>
          <w:noProof/>
          <w:color w:val="000000" w:themeColor="text1"/>
          <w:lang w:eastAsia="en-US"/>
        </w:rPr>
      </w:pPr>
      <w:r>
        <w:rPr>
          <w:rFonts w:eastAsiaTheme="minorEastAsia"/>
          <w:noProof/>
          <w:color w:val="000000" w:themeColor="text1"/>
          <w:lang w:val="ru-RU" w:eastAsia="en-US"/>
        </w:rPr>
        <w:t>4</w:t>
      </w:r>
      <w:r w:rsidR="00CE4368" w:rsidRPr="00CE4368">
        <w:rPr>
          <w:rFonts w:eastAsiaTheme="minorEastAsia"/>
          <w:noProof/>
          <w:color w:val="000000" w:themeColor="text1"/>
          <w:lang w:eastAsia="en-US"/>
        </w:rPr>
        <w:t xml:space="preserve">. Постанова набирає чинності з </w:t>
      </w:r>
      <w:r>
        <w:rPr>
          <w:rFonts w:eastAsiaTheme="minorEastAsia"/>
          <w:noProof/>
          <w:color w:val="000000" w:themeColor="text1"/>
          <w:lang w:eastAsia="en-US"/>
        </w:rPr>
        <w:t>0</w:t>
      </w:r>
      <w:r w:rsidR="000F6C80" w:rsidRPr="0024736C">
        <w:rPr>
          <w:rFonts w:eastAsiaTheme="minorEastAsia"/>
          <w:noProof/>
          <w:color w:val="000000" w:themeColor="text1"/>
          <w:lang w:val="ru-RU" w:eastAsia="en-US"/>
        </w:rPr>
        <w:t>1</w:t>
      </w:r>
      <w:r w:rsidR="00CE4368" w:rsidRPr="00CE4368">
        <w:rPr>
          <w:rFonts w:eastAsiaTheme="minorEastAsia"/>
          <w:noProof/>
          <w:color w:val="000000" w:themeColor="text1"/>
          <w:lang w:eastAsia="en-US"/>
        </w:rPr>
        <w:t xml:space="preserve"> </w:t>
      </w:r>
      <w:r w:rsidR="000F6C80">
        <w:rPr>
          <w:rFonts w:eastAsiaTheme="minorEastAsia"/>
          <w:noProof/>
          <w:color w:val="000000" w:themeColor="text1"/>
          <w:lang w:val="ru-RU" w:eastAsia="en-US"/>
        </w:rPr>
        <w:t xml:space="preserve">лютого </w:t>
      </w:r>
      <w:r w:rsidR="00CE4368" w:rsidRPr="00CE4368">
        <w:rPr>
          <w:rFonts w:eastAsiaTheme="minorEastAsia"/>
          <w:noProof/>
          <w:color w:val="000000" w:themeColor="text1"/>
          <w:lang w:eastAsia="en-US"/>
        </w:rPr>
        <w:t>2022 року.</w:t>
      </w:r>
    </w:p>
    <w:p w14:paraId="32B2F6C4" w14:textId="77777777" w:rsidR="00E42621" w:rsidRPr="00CD0CD4" w:rsidRDefault="00E42621" w:rsidP="00E42621">
      <w:pPr>
        <w:tabs>
          <w:tab w:val="left" w:pos="993"/>
        </w:tabs>
        <w:spacing w:after="120"/>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D45230" w:rsidRPr="00D45230" w14:paraId="77F93580" w14:textId="77777777" w:rsidTr="00D05856">
        <w:tc>
          <w:tcPr>
            <w:tcW w:w="5495" w:type="dxa"/>
            <w:vAlign w:val="bottom"/>
          </w:tcPr>
          <w:p w14:paraId="17DAF0A5" w14:textId="77777777" w:rsidR="00D45230" w:rsidRPr="00D45230" w:rsidRDefault="00D45230" w:rsidP="00D45230">
            <w:pPr>
              <w:autoSpaceDE w:val="0"/>
              <w:autoSpaceDN w:val="0"/>
              <w:jc w:val="left"/>
            </w:pPr>
            <w:r w:rsidRPr="00D45230">
              <w:rPr>
                <w:lang w:val="ru-RU"/>
              </w:rPr>
              <w:t xml:space="preserve">Голова </w:t>
            </w:r>
          </w:p>
        </w:tc>
        <w:tc>
          <w:tcPr>
            <w:tcW w:w="4252" w:type="dxa"/>
            <w:vAlign w:val="bottom"/>
          </w:tcPr>
          <w:p w14:paraId="454EB817" w14:textId="77777777" w:rsidR="00D45230" w:rsidRPr="00D45230" w:rsidRDefault="00D45230" w:rsidP="00D45230">
            <w:pPr>
              <w:tabs>
                <w:tab w:val="left" w:pos="7020"/>
                <w:tab w:val="left" w:pos="7200"/>
              </w:tabs>
              <w:autoSpaceDE w:val="0"/>
              <w:autoSpaceDN w:val="0"/>
              <w:ind w:left="32"/>
              <w:jc w:val="right"/>
            </w:pPr>
            <w:proofErr w:type="spellStart"/>
            <w:r w:rsidRPr="00D45230">
              <w:rPr>
                <w:lang w:val="ru-RU"/>
              </w:rPr>
              <w:t>Кирило</w:t>
            </w:r>
            <w:proofErr w:type="spellEnd"/>
            <w:r w:rsidRPr="00D45230">
              <w:rPr>
                <w:lang w:val="ru-RU"/>
              </w:rPr>
              <w:t xml:space="preserve"> ШЕВЧЕНКО</w:t>
            </w:r>
          </w:p>
        </w:tc>
      </w:tr>
    </w:tbl>
    <w:p w14:paraId="2E8665F7" w14:textId="77777777" w:rsidR="00D45230" w:rsidRPr="00D45230" w:rsidRDefault="00D45230" w:rsidP="00D45230"/>
    <w:p w14:paraId="75026EF2" w14:textId="77777777" w:rsidR="00D45230" w:rsidRPr="00D45230" w:rsidRDefault="00D45230" w:rsidP="00D45230"/>
    <w:p w14:paraId="79673F49" w14:textId="77777777" w:rsidR="00D45230" w:rsidRPr="00D45230" w:rsidRDefault="00D45230" w:rsidP="00D45230">
      <w:pPr>
        <w:jc w:val="left"/>
      </w:pPr>
      <w:r w:rsidRPr="00D45230">
        <w:t>Інд.</w:t>
      </w:r>
      <w:r w:rsidRPr="00D45230">
        <w:rPr>
          <w:sz w:val="22"/>
          <w:szCs w:val="22"/>
        </w:rPr>
        <w:t xml:space="preserve"> </w:t>
      </w:r>
      <w:r w:rsidRPr="00D45230">
        <w:rPr>
          <w:lang w:val="ru-RU"/>
        </w:rPr>
        <w:t>22</w:t>
      </w:r>
    </w:p>
    <w:p w14:paraId="32B2F6C5" w14:textId="77777777" w:rsidR="0095741D" w:rsidRDefault="0095741D" w:rsidP="00E42621">
      <w:pPr>
        <w:tabs>
          <w:tab w:val="left" w:pos="993"/>
        </w:tabs>
        <w:spacing w:after="120"/>
      </w:pPr>
    </w:p>
    <w:p w14:paraId="0A7C513E" w14:textId="77777777" w:rsidR="008072F3" w:rsidRDefault="008072F3" w:rsidP="00E42621">
      <w:pPr>
        <w:tabs>
          <w:tab w:val="left" w:pos="993"/>
        </w:tabs>
        <w:spacing w:after="120"/>
      </w:pPr>
    </w:p>
    <w:p w14:paraId="3A8524DE" w14:textId="77777777" w:rsidR="008072F3" w:rsidRDefault="008072F3" w:rsidP="00E42621">
      <w:pPr>
        <w:tabs>
          <w:tab w:val="left" w:pos="993"/>
        </w:tabs>
        <w:spacing w:after="120"/>
        <w:sectPr w:rsidR="008072F3" w:rsidSect="00CB69B4">
          <w:headerReference w:type="default" r:id="rId14"/>
          <w:headerReference w:type="first" r:id="rId15"/>
          <w:footerReference w:type="first" r:id="rId16"/>
          <w:pgSz w:w="11906" w:h="16838" w:code="9"/>
          <w:pgMar w:top="567" w:right="567" w:bottom="1701" w:left="1701" w:header="709" w:footer="709" w:gutter="0"/>
          <w:cols w:space="708"/>
          <w:titlePg/>
          <w:docGrid w:linePitch="381"/>
        </w:sectPr>
      </w:pPr>
    </w:p>
    <w:p w14:paraId="1DCA9307" w14:textId="77777777" w:rsidR="008072F3" w:rsidRPr="008072F3" w:rsidRDefault="008072F3" w:rsidP="008072F3">
      <w:pPr>
        <w:keepNext/>
        <w:shd w:val="clear" w:color="auto" w:fill="FFFFFF"/>
        <w:ind w:firstLine="5670"/>
        <w:outlineLvl w:val="5"/>
        <w:rPr>
          <w:lang w:eastAsia="ru-RU"/>
        </w:rPr>
      </w:pPr>
      <w:r w:rsidRPr="008072F3">
        <w:rPr>
          <w:lang w:eastAsia="ru-RU"/>
        </w:rPr>
        <w:lastRenderedPageBreak/>
        <w:t>ЗАТВЕРДЖЕНО</w:t>
      </w:r>
    </w:p>
    <w:p w14:paraId="7F773B8C" w14:textId="7A3B6F43" w:rsidR="008072F3" w:rsidRPr="008072F3" w:rsidRDefault="008072F3" w:rsidP="008072F3">
      <w:pPr>
        <w:shd w:val="clear" w:color="auto" w:fill="FFFFFF"/>
        <w:ind w:firstLine="5670"/>
      </w:pPr>
      <w:r>
        <w:rPr>
          <w:lang w:val="ru-RU"/>
        </w:rPr>
        <w:t>Постанова</w:t>
      </w:r>
      <w:r w:rsidRPr="008072F3">
        <w:t xml:space="preserve"> Правління</w:t>
      </w:r>
    </w:p>
    <w:p w14:paraId="1C34590E" w14:textId="77777777" w:rsidR="008072F3" w:rsidRPr="008072F3" w:rsidRDefault="008072F3" w:rsidP="008072F3">
      <w:pPr>
        <w:shd w:val="clear" w:color="auto" w:fill="FFFFFF"/>
        <w:ind w:firstLine="5670"/>
      </w:pPr>
      <w:r w:rsidRPr="008072F3">
        <w:t>Національного банку України</w:t>
      </w:r>
    </w:p>
    <w:p w14:paraId="56C9BE41" w14:textId="27BC441A" w:rsidR="008072F3" w:rsidRPr="008072F3" w:rsidRDefault="00441086" w:rsidP="008072F3">
      <w:pPr>
        <w:shd w:val="clear" w:color="auto" w:fill="FFFFFF"/>
        <w:ind w:firstLine="5670"/>
      </w:pPr>
      <w:r>
        <w:t>31</w:t>
      </w:r>
      <w:r w:rsidRPr="00441086">
        <w:t xml:space="preserve"> грудня 2021 року № 1</w:t>
      </w:r>
      <w:r>
        <w:t>63</w:t>
      </w:r>
    </w:p>
    <w:p w14:paraId="1494AFE3" w14:textId="77777777" w:rsidR="008072F3" w:rsidRPr="008072F3" w:rsidRDefault="008072F3" w:rsidP="008072F3">
      <w:pPr>
        <w:shd w:val="clear" w:color="auto" w:fill="FFFFFF"/>
        <w:ind w:firstLine="5670"/>
      </w:pPr>
    </w:p>
    <w:p w14:paraId="7EE1268E" w14:textId="77777777" w:rsidR="00BD1283" w:rsidRPr="008072F3" w:rsidRDefault="00BD1283" w:rsidP="008072F3">
      <w:pPr>
        <w:shd w:val="clear" w:color="auto" w:fill="FFFFFF"/>
        <w:ind w:firstLine="5670"/>
      </w:pPr>
    </w:p>
    <w:p w14:paraId="6BF8920D" w14:textId="77777777" w:rsidR="008072F3" w:rsidRPr="008072F3" w:rsidRDefault="008072F3" w:rsidP="008072F3">
      <w:pPr>
        <w:shd w:val="clear" w:color="auto" w:fill="FFFFFF"/>
        <w:jc w:val="center"/>
      </w:pPr>
      <w:r w:rsidRPr="008072F3">
        <w:t>Зміни до Положення про порядок регулювання</w:t>
      </w:r>
    </w:p>
    <w:p w14:paraId="3A0800BF" w14:textId="552850CE" w:rsidR="008072F3" w:rsidRPr="008072F3" w:rsidRDefault="008072F3" w:rsidP="008072F3">
      <w:pPr>
        <w:shd w:val="clear" w:color="auto" w:fill="FFFFFF"/>
        <w:jc w:val="center"/>
      </w:pPr>
      <w:r w:rsidRPr="008072F3">
        <w:t>діяльності банківських груп</w:t>
      </w:r>
    </w:p>
    <w:p w14:paraId="60117B52" w14:textId="77777777" w:rsidR="008072F3" w:rsidRDefault="008072F3" w:rsidP="008072F3">
      <w:pPr>
        <w:shd w:val="clear" w:color="auto" w:fill="FFFFFF"/>
        <w:jc w:val="center"/>
      </w:pPr>
    </w:p>
    <w:p w14:paraId="4E06225A" w14:textId="77777777" w:rsidR="008072F3" w:rsidRPr="008072F3" w:rsidRDefault="008072F3" w:rsidP="008072F3">
      <w:pPr>
        <w:ind w:firstLine="708"/>
      </w:pPr>
      <w:r w:rsidRPr="008072F3">
        <w:t>1.</w:t>
      </w:r>
      <w:r w:rsidRPr="008072F3">
        <w:rPr>
          <w:lang w:val="ru-RU"/>
        </w:rPr>
        <w:t xml:space="preserve"> </w:t>
      </w:r>
      <w:r w:rsidRPr="008072F3">
        <w:t>У розділі І:</w:t>
      </w:r>
    </w:p>
    <w:p w14:paraId="5C60AF69" w14:textId="77777777" w:rsidR="008072F3" w:rsidRPr="008072F3" w:rsidRDefault="008072F3" w:rsidP="008072F3">
      <w:pPr>
        <w:ind w:firstLine="708"/>
      </w:pPr>
    </w:p>
    <w:p w14:paraId="04362B63" w14:textId="1129F450" w:rsidR="008072F3" w:rsidRPr="008072F3" w:rsidRDefault="008072F3" w:rsidP="008072F3">
      <w:pPr>
        <w:ind w:firstLine="708"/>
      </w:pPr>
      <w:r w:rsidRPr="008072F3">
        <w:t>1)</w:t>
      </w:r>
      <w:r w:rsidRPr="008072F3">
        <w:rPr>
          <w:lang w:val="ru-RU"/>
        </w:rPr>
        <w:t xml:space="preserve"> </w:t>
      </w:r>
      <w:r w:rsidRPr="008072F3">
        <w:t xml:space="preserve">пункт 2 доповнити словами “(зі змінами)”; </w:t>
      </w:r>
    </w:p>
    <w:p w14:paraId="2D2B1915" w14:textId="77777777" w:rsidR="008072F3" w:rsidRPr="008072F3" w:rsidRDefault="008072F3" w:rsidP="008072F3">
      <w:pPr>
        <w:ind w:firstLine="708"/>
      </w:pPr>
    </w:p>
    <w:p w14:paraId="696E033B" w14:textId="77777777" w:rsidR="008072F3" w:rsidRPr="008072F3" w:rsidRDefault="008072F3" w:rsidP="008072F3">
      <w:pPr>
        <w:ind w:firstLine="708"/>
      </w:pPr>
      <w:r w:rsidRPr="008072F3">
        <w:t>2)</w:t>
      </w:r>
      <w:r w:rsidRPr="008072F3">
        <w:rPr>
          <w:lang w:val="ru-RU"/>
        </w:rPr>
        <w:t xml:space="preserve"> </w:t>
      </w:r>
      <w:r w:rsidRPr="008072F3">
        <w:t>у пункті 3:</w:t>
      </w:r>
    </w:p>
    <w:p w14:paraId="3C7EEF03" w14:textId="77777777" w:rsidR="008072F3" w:rsidRPr="008072F3" w:rsidRDefault="008072F3" w:rsidP="008072F3">
      <w:pPr>
        <w:ind w:firstLine="709"/>
      </w:pPr>
      <w:r w:rsidRPr="008072F3">
        <w:t>в абзаці першому:</w:t>
      </w:r>
    </w:p>
    <w:p w14:paraId="6CA4143D" w14:textId="77777777" w:rsidR="008072F3" w:rsidRPr="008072F3" w:rsidRDefault="008072F3" w:rsidP="008072F3">
      <w:pPr>
        <w:ind w:firstLine="708"/>
      </w:pPr>
      <w:r w:rsidRPr="008072F3">
        <w:t>слово “консолідованого” замінити словами “на консолідованій основі”;</w:t>
      </w:r>
    </w:p>
    <w:p w14:paraId="6DA9534E" w14:textId="77777777" w:rsidR="008072F3" w:rsidRPr="008072F3" w:rsidRDefault="008072F3" w:rsidP="008072F3">
      <w:pPr>
        <w:ind w:firstLine="708"/>
      </w:pPr>
      <w:r w:rsidRPr="008072F3">
        <w:t>слова “(далі – регулятивний капітал)” виключити;</w:t>
      </w:r>
    </w:p>
    <w:p w14:paraId="2502AB6F" w14:textId="4362610B" w:rsidR="008072F3" w:rsidRPr="008072F3" w:rsidRDefault="008072F3" w:rsidP="002D45E9">
      <w:pPr>
        <w:ind w:firstLine="708"/>
      </w:pPr>
      <w:r w:rsidRPr="008072F3">
        <w:t xml:space="preserve">підпункт “б” викласти </w:t>
      </w:r>
      <w:r w:rsidR="009A0EA8">
        <w:t>в</w:t>
      </w:r>
      <w:r w:rsidRPr="008072F3">
        <w:t xml:space="preserve"> такій редакції:</w:t>
      </w:r>
    </w:p>
    <w:p w14:paraId="72779817" w14:textId="77777777" w:rsidR="008072F3" w:rsidRPr="008072F3" w:rsidRDefault="008072F3" w:rsidP="008072F3">
      <w:pPr>
        <w:ind w:firstLine="709"/>
      </w:pPr>
      <w:r w:rsidRPr="008072F3">
        <w:t>“б) нормативи кредитного ризику:</w:t>
      </w:r>
    </w:p>
    <w:p w14:paraId="7112913B" w14:textId="77777777" w:rsidR="008072F3" w:rsidRPr="008072F3" w:rsidRDefault="008072F3" w:rsidP="008072F3">
      <w:pPr>
        <w:ind w:firstLine="709"/>
      </w:pPr>
      <w:r w:rsidRPr="008072F3">
        <w:t>максимального розміру кредитного ризику на одного контрагента (Н7к);</w:t>
      </w:r>
    </w:p>
    <w:p w14:paraId="705A6D68" w14:textId="77777777" w:rsidR="008072F3" w:rsidRPr="008072F3" w:rsidRDefault="008072F3" w:rsidP="008072F3">
      <w:pPr>
        <w:ind w:firstLine="709"/>
      </w:pPr>
      <w:r w:rsidRPr="008072F3">
        <w:t>великих кредитних ризиків (Н8к);</w:t>
      </w:r>
    </w:p>
    <w:p w14:paraId="58241B0D" w14:textId="77777777" w:rsidR="008072F3" w:rsidRPr="008072F3" w:rsidRDefault="008072F3" w:rsidP="008072F3">
      <w:pPr>
        <w:ind w:firstLine="709"/>
      </w:pPr>
      <w:r w:rsidRPr="008072F3">
        <w:t xml:space="preserve">максимального розміру кредитного ризику за операціями з </w:t>
      </w:r>
      <w:proofErr w:type="spellStart"/>
      <w:r w:rsidRPr="008072F3">
        <w:t>пов</w:t>
      </w:r>
      <w:proofErr w:type="spellEnd"/>
      <w:r w:rsidRPr="008072F3">
        <w:rPr>
          <w:lang w:val="ru-RU"/>
        </w:rPr>
        <w:t>’</w:t>
      </w:r>
      <w:proofErr w:type="spellStart"/>
      <w:r w:rsidRPr="008072F3">
        <w:t>язаними</w:t>
      </w:r>
      <w:proofErr w:type="spellEnd"/>
      <w:r w:rsidRPr="008072F3">
        <w:t xml:space="preserve"> особами (Н9к);”;</w:t>
      </w:r>
    </w:p>
    <w:p w14:paraId="7C2EADB1" w14:textId="77777777" w:rsidR="008072F3" w:rsidRDefault="008072F3" w:rsidP="008072F3">
      <w:pPr>
        <w:ind w:firstLine="708"/>
      </w:pPr>
    </w:p>
    <w:p w14:paraId="0050DE10" w14:textId="484D6F2E" w:rsidR="00F147AB" w:rsidRDefault="00F147AB" w:rsidP="008072F3">
      <w:pPr>
        <w:ind w:firstLine="708"/>
      </w:pPr>
      <w:r>
        <w:t>3) в абзаці другому пункту 6 слова</w:t>
      </w:r>
      <w:r w:rsidR="0072220B" w:rsidRPr="0072220B">
        <w:t xml:space="preserve"> та цифри</w:t>
      </w:r>
      <w:r>
        <w:t xml:space="preserve"> </w:t>
      </w:r>
      <w:r w:rsidR="0072220B" w:rsidRPr="0072220B">
        <w:t xml:space="preserve">“алгоритму розрахунку економічних нормативів, розробленого відповідно до Інструкції № 368 та затвердженого окремою постановою” </w:t>
      </w:r>
      <w:r w:rsidR="0072220B">
        <w:t>замінити словами та цифрами</w:t>
      </w:r>
      <w:r w:rsidR="0072220B" w:rsidRPr="0072220B">
        <w:t xml:space="preserve"> “методики розрахунку економічних нормативів, розробленої відповідно до Інструкції № 368 та схваленої рішенням”</w:t>
      </w:r>
      <w:r w:rsidR="0072220B">
        <w:t>;</w:t>
      </w:r>
    </w:p>
    <w:p w14:paraId="08FF6189" w14:textId="77777777" w:rsidR="0072220B" w:rsidRPr="0072220B" w:rsidRDefault="0072220B" w:rsidP="008072F3">
      <w:pPr>
        <w:ind w:firstLine="708"/>
      </w:pPr>
    </w:p>
    <w:p w14:paraId="25CA55B0" w14:textId="1F276C92" w:rsidR="008072F3" w:rsidRPr="008072F3" w:rsidRDefault="0072220B" w:rsidP="008072F3">
      <w:pPr>
        <w:ind w:firstLine="708"/>
      </w:pPr>
      <w:r>
        <w:t>4</w:t>
      </w:r>
      <w:r w:rsidR="008072F3" w:rsidRPr="008072F3">
        <w:t>)</w:t>
      </w:r>
      <w:r w:rsidR="008072F3" w:rsidRPr="008072F3">
        <w:rPr>
          <w:lang w:val="ru-RU"/>
        </w:rPr>
        <w:t xml:space="preserve"> </w:t>
      </w:r>
      <w:r w:rsidR="008072F3" w:rsidRPr="008072F3">
        <w:t>у пункті 7:</w:t>
      </w:r>
    </w:p>
    <w:p w14:paraId="5E461A7A" w14:textId="6D2B3037" w:rsidR="008072F3" w:rsidRPr="008072F3" w:rsidRDefault="008072F3" w:rsidP="008072F3">
      <w:pPr>
        <w:ind w:firstLine="708"/>
      </w:pPr>
      <w:r w:rsidRPr="008072F3">
        <w:t>абзац перший після літер та цифри “Н8к</w:t>
      </w:r>
      <w:r w:rsidR="007E181E">
        <w:t>,</w:t>
      </w:r>
      <w:r w:rsidRPr="008072F3">
        <w:t>” доповнити літерами та цифрою “Н9к</w:t>
      </w:r>
      <w:r w:rsidR="00083C7E">
        <w:t>,</w:t>
      </w:r>
      <w:r w:rsidRPr="008072F3">
        <w:t>”;</w:t>
      </w:r>
    </w:p>
    <w:p w14:paraId="4272967B" w14:textId="77777777" w:rsidR="008072F3" w:rsidRPr="008072F3" w:rsidRDefault="008072F3" w:rsidP="008072F3">
      <w:pPr>
        <w:ind w:firstLine="708"/>
      </w:pPr>
      <w:r w:rsidRPr="008072F3">
        <w:t>абзац другий виключити;</w:t>
      </w:r>
    </w:p>
    <w:p w14:paraId="4103D68F" w14:textId="77777777" w:rsidR="008072F3" w:rsidRPr="008072F3" w:rsidRDefault="008072F3" w:rsidP="008072F3">
      <w:pPr>
        <w:ind w:firstLine="708"/>
      </w:pPr>
    </w:p>
    <w:p w14:paraId="4B4AF8AD" w14:textId="404F077C" w:rsidR="008072F3" w:rsidRPr="008072F3" w:rsidRDefault="0072220B" w:rsidP="008072F3">
      <w:pPr>
        <w:ind w:firstLine="708"/>
      </w:pPr>
      <w:r>
        <w:t>5</w:t>
      </w:r>
      <w:r w:rsidR="008072F3" w:rsidRPr="008072F3">
        <w:t>)</w:t>
      </w:r>
      <w:r w:rsidR="008072F3" w:rsidRPr="008072F3">
        <w:rPr>
          <w:lang w:val="ru-RU"/>
        </w:rPr>
        <w:t xml:space="preserve"> </w:t>
      </w:r>
      <w:r w:rsidR="008072F3" w:rsidRPr="008072F3">
        <w:t>пункт 10 замінити чотирма новими пунктами</w:t>
      </w:r>
      <w:r w:rsidR="00083C7E">
        <w:t xml:space="preserve"> 10</w:t>
      </w:r>
      <w:r w:rsidR="00083C7E" w:rsidRPr="00083C7E">
        <w:t>–</w:t>
      </w:r>
      <w:r w:rsidR="00083C7E">
        <w:t>1</w:t>
      </w:r>
      <w:r w:rsidR="00610F6E">
        <w:t>3</w:t>
      </w:r>
      <w:r w:rsidR="00083C7E">
        <w:t xml:space="preserve"> </w:t>
      </w:r>
      <w:r w:rsidR="008072F3" w:rsidRPr="008072F3">
        <w:t>такого змісту:</w:t>
      </w:r>
    </w:p>
    <w:p w14:paraId="1632DEB1" w14:textId="77777777" w:rsidR="008072F3" w:rsidRPr="008072F3" w:rsidRDefault="008072F3" w:rsidP="008072F3">
      <w:pPr>
        <w:ind w:firstLine="708"/>
      </w:pPr>
      <w:r w:rsidRPr="008072F3">
        <w:t>“10. Відповідальна особа банківської групи має право не враховувати звітність учасників банківської групи (крім банків) під час складання консолідованої звітності банківської групи/</w:t>
      </w:r>
      <w:proofErr w:type="spellStart"/>
      <w:r w:rsidRPr="008072F3">
        <w:t>субконсолідованої</w:t>
      </w:r>
      <w:proofErr w:type="spellEnd"/>
      <w:r w:rsidRPr="008072F3">
        <w:t xml:space="preserve"> звітності підгрупи банківської групи, розрахунку нормативів банківської групи/підгрупи банківської групи за дотримання однієї з двох умов:</w:t>
      </w:r>
    </w:p>
    <w:p w14:paraId="3895D79C" w14:textId="77777777" w:rsidR="008072F3" w:rsidRPr="008072F3" w:rsidRDefault="008072F3" w:rsidP="008072F3">
      <w:pPr>
        <w:ind w:firstLine="708"/>
      </w:pPr>
    </w:p>
    <w:p w14:paraId="677D550F" w14:textId="3031BEA2" w:rsidR="008072F3" w:rsidRPr="008072F3" w:rsidRDefault="008072F3" w:rsidP="008072F3">
      <w:pPr>
        <w:ind w:firstLine="708"/>
      </w:pPr>
      <w:r w:rsidRPr="008072F3">
        <w:lastRenderedPageBreak/>
        <w:t>1)</w:t>
      </w:r>
      <w:r w:rsidRPr="008072F3">
        <w:rPr>
          <w:lang w:val="ru-RU"/>
        </w:rPr>
        <w:t xml:space="preserve"> </w:t>
      </w:r>
      <w:r w:rsidRPr="008072F3">
        <w:t>сукупні активи таких учасників банківської групи є меншими за найменшу з величин:</w:t>
      </w:r>
    </w:p>
    <w:p w14:paraId="4E351509" w14:textId="7F6B2C4F" w:rsidR="008072F3" w:rsidRPr="008072F3" w:rsidRDefault="008072F3" w:rsidP="008072F3">
      <w:pPr>
        <w:ind w:firstLine="708"/>
      </w:pPr>
      <w:r w:rsidRPr="008072F3">
        <w:t>3% активів банківської групи;</w:t>
      </w:r>
    </w:p>
    <w:p w14:paraId="6574EC62" w14:textId="77777777" w:rsidR="008072F3" w:rsidRPr="008072F3" w:rsidRDefault="008072F3" w:rsidP="008072F3">
      <w:pPr>
        <w:ind w:firstLine="708"/>
      </w:pPr>
      <w:r w:rsidRPr="008072F3">
        <w:t>300 млн грн;</w:t>
      </w:r>
    </w:p>
    <w:p w14:paraId="519D5DF1" w14:textId="77777777" w:rsidR="008072F3" w:rsidRPr="008072F3" w:rsidRDefault="008072F3" w:rsidP="008072F3">
      <w:pPr>
        <w:ind w:firstLine="708"/>
      </w:pPr>
    </w:p>
    <w:p w14:paraId="1D29C76F" w14:textId="77777777" w:rsidR="008072F3" w:rsidRPr="008072F3" w:rsidRDefault="008072F3" w:rsidP="008072F3">
      <w:pPr>
        <w:ind w:firstLine="708"/>
      </w:pPr>
      <w:r w:rsidRPr="008072F3">
        <w:t>2)</w:t>
      </w:r>
      <w:r w:rsidRPr="008072F3">
        <w:rPr>
          <w:lang w:val="ru-RU"/>
        </w:rPr>
        <w:t xml:space="preserve"> </w:t>
      </w:r>
      <w:r w:rsidRPr="008072F3">
        <w:t>відповідальна особа банківської групи та інші банки – учасники банківської групи відповідають одночасно таким умовам:</w:t>
      </w:r>
    </w:p>
    <w:p w14:paraId="66D4C1D7" w14:textId="77777777" w:rsidR="008072F3" w:rsidRPr="008072F3" w:rsidRDefault="008072F3" w:rsidP="008072F3">
      <w:pPr>
        <w:ind w:firstLine="708"/>
      </w:pPr>
      <w:r w:rsidRPr="008072F3">
        <w:t>не здійснюють контролю над такими учасниками банківської групи;</w:t>
      </w:r>
    </w:p>
    <w:p w14:paraId="0B1D511E" w14:textId="77777777" w:rsidR="008072F3" w:rsidRPr="008072F3" w:rsidRDefault="008072F3" w:rsidP="008072F3">
      <w:pPr>
        <w:ind w:firstLine="708"/>
      </w:pPr>
      <w:r w:rsidRPr="008072F3">
        <w:t>не здійснюють активних операцій з такими учасниками;</w:t>
      </w:r>
    </w:p>
    <w:p w14:paraId="7EBD909C" w14:textId="77777777" w:rsidR="008072F3" w:rsidRPr="008072F3" w:rsidRDefault="008072F3" w:rsidP="008072F3">
      <w:pPr>
        <w:ind w:firstLine="708"/>
      </w:pPr>
      <w:r w:rsidRPr="008072F3">
        <w:t xml:space="preserve">не здійснюють операцій, в яких банк та інші банки – учасники банківської групи є </w:t>
      </w:r>
      <w:proofErr w:type="spellStart"/>
      <w:r w:rsidRPr="008072F3">
        <w:t>вигодонабувачами</w:t>
      </w:r>
      <w:proofErr w:type="spellEnd"/>
      <w:r w:rsidRPr="008072F3">
        <w:t xml:space="preserve">; </w:t>
      </w:r>
    </w:p>
    <w:p w14:paraId="4961B106" w14:textId="77777777" w:rsidR="008072F3" w:rsidRPr="008072F3" w:rsidRDefault="008072F3" w:rsidP="008072F3">
      <w:pPr>
        <w:ind w:firstLine="708"/>
      </w:pPr>
      <w:r w:rsidRPr="008072F3">
        <w:t xml:space="preserve">визначили у своїй стратегії/політиці з управління ризиками принципи та підходи щодо уникнення активних операцій та операцій, в яких банк та інші банки – учасники банківської групи є </w:t>
      </w:r>
      <w:proofErr w:type="spellStart"/>
      <w:r w:rsidRPr="008072F3">
        <w:t>вигодонабувачами</w:t>
      </w:r>
      <w:proofErr w:type="spellEnd"/>
      <w:r w:rsidRPr="008072F3">
        <w:t>, та здійснюють належний контроль за їх дотриманням.</w:t>
      </w:r>
    </w:p>
    <w:p w14:paraId="43D112DD" w14:textId="77777777" w:rsidR="008072F3" w:rsidRPr="008072F3" w:rsidRDefault="008072F3" w:rsidP="008072F3">
      <w:pPr>
        <w:ind w:firstLine="708"/>
      </w:pPr>
    </w:p>
    <w:p w14:paraId="46CD8067" w14:textId="5628E523" w:rsidR="008072F3" w:rsidRPr="008072F3" w:rsidRDefault="008072F3" w:rsidP="008072F3">
      <w:pPr>
        <w:ind w:firstLine="708"/>
      </w:pPr>
      <w:r w:rsidRPr="008072F3">
        <w:t>11. Відповідальна особа банківської групи має право не складати консолідован</w:t>
      </w:r>
      <w:r w:rsidR="009A0EA8">
        <w:t>ої</w:t>
      </w:r>
      <w:r w:rsidRPr="008072F3">
        <w:t xml:space="preserve"> звітн</w:t>
      </w:r>
      <w:r w:rsidR="009A0EA8">
        <w:t>о</w:t>
      </w:r>
      <w:r w:rsidRPr="008072F3">
        <w:t>ст</w:t>
      </w:r>
      <w:r w:rsidR="009A0EA8">
        <w:t>і</w:t>
      </w:r>
      <w:r w:rsidRPr="008072F3">
        <w:t xml:space="preserve"> банківської групи/</w:t>
      </w:r>
      <w:proofErr w:type="spellStart"/>
      <w:r w:rsidRPr="008072F3">
        <w:t>субконсолідован</w:t>
      </w:r>
      <w:r w:rsidR="009A0EA8">
        <w:t>ої</w:t>
      </w:r>
      <w:proofErr w:type="spellEnd"/>
      <w:r w:rsidRPr="008072F3">
        <w:t xml:space="preserve"> звітн</w:t>
      </w:r>
      <w:r w:rsidR="009A0EA8">
        <w:t>о</w:t>
      </w:r>
      <w:r w:rsidRPr="008072F3">
        <w:t>ст</w:t>
      </w:r>
      <w:r w:rsidR="009A0EA8">
        <w:t>і</w:t>
      </w:r>
      <w:r w:rsidRPr="008072F3">
        <w:t xml:space="preserve"> підгрупи банківської групи, не здійснювати розрахунк</w:t>
      </w:r>
      <w:r w:rsidR="009A0EA8">
        <w:t>у</w:t>
      </w:r>
      <w:r w:rsidRPr="008072F3">
        <w:t xml:space="preserve"> нормативів банківської групи/підгрупи банківської групи, якщо до складу банківської групи</w:t>
      </w:r>
      <w:r w:rsidR="00CD4A86">
        <w:t>,</w:t>
      </w:r>
      <w:r w:rsidRPr="008072F3">
        <w:t xml:space="preserve"> крім банку</w:t>
      </w:r>
      <w:r w:rsidR="00CD4A86">
        <w:t>,</w:t>
      </w:r>
      <w:r w:rsidRPr="008072F3">
        <w:t xml:space="preserve"> входять лише учасники банківської групи, які відповідають </w:t>
      </w:r>
      <w:r w:rsidR="00610F6E">
        <w:t xml:space="preserve">одній з </w:t>
      </w:r>
      <w:r w:rsidRPr="00610F6E">
        <w:t>умов, визначени</w:t>
      </w:r>
      <w:r w:rsidR="00610F6E">
        <w:t>х</w:t>
      </w:r>
      <w:r w:rsidRPr="00610F6E">
        <w:t xml:space="preserve"> </w:t>
      </w:r>
      <w:r w:rsidR="00610F6E">
        <w:t xml:space="preserve">у </w:t>
      </w:r>
      <w:r w:rsidRPr="00610F6E">
        <w:t>пункт</w:t>
      </w:r>
      <w:r w:rsidR="00610F6E">
        <w:t>і</w:t>
      </w:r>
      <w:r w:rsidRPr="00610F6E">
        <w:t xml:space="preserve"> 10 розділу I цього Положення.</w:t>
      </w:r>
    </w:p>
    <w:p w14:paraId="54C3BA45" w14:textId="77777777" w:rsidR="008072F3" w:rsidRPr="008072F3" w:rsidRDefault="008072F3" w:rsidP="008072F3">
      <w:pPr>
        <w:ind w:firstLine="708"/>
      </w:pPr>
    </w:p>
    <w:p w14:paraId="73CDD483" w14:textId="77777777" w:rsidR="008072F3" w:rsidRPr="008072F3" w:rsidRDefault="008072F3" w:rsidP="008072F3">
      <w:pPr>
        <w:ind w:firstLine="708"/>
      </w:pPr>
      <w:r w:rsidRPr="008072F3">
        <w:t>12. Відповідальна особа банківської групи зобов’язана забезпечити дотримання банківською групою, підгрупами банківської групи вимог цього Положення.</w:t>
      </w:r>
    </w:p>
    <w:p w14:paraId="3A5E9190" w14:textId="77777777" w:rsidR="008072F3" w:rsidRPr="008072F3" w:rsidRDefault="008072F3" w:rsidP="008072F3">
      <w:pPr>
        <w:ind w:firstLine="708"/>
      </w:pPr>
    </w:p>
    <w:p w14:paraId="59031169" w14:textId="4AB6E839" w:rsidR="008072F3" w:rsidRPr="008072F3" w:rsidRDefault="008072F3" w:rsidP="008072F3">
      <w:pPr>
        <w:ind w:firstLine="708"/>
      </w:pPr>
      <w:r w:rsidRPr="008072F3">
        <w:t>13. Національний банк України (далі – Національний банк) адекватно вчиненому порушенню застосовує заходи впливу згідно зі статтею 73 Закону про банки та</w:t>
      </w:r>
      <w:r w:rsidR="00D21660">
        <w:t xml:space="preserve"> </w:t>
      </w:r>
      <w:r w:rsidRPr="008072F3">
        <w:t>нормативно-правовими актами Національного банку з питань застосування заходів впливу, якщо за результатами банківського нагляду встановлено факти невиконання банківською групою, підгрупою банківської групи, відповідальною особою банківської групи, іншими учасниками банківської групи вимог цього Положення.”.</w:t>
      </w:r>
    </w:p>
    <w:p w14:paraId="65BFC9A6" w14:textId="77777777" w:rsidR="008072F3" w:rsidRPr="008072F3" w:rsidRDefault="008072F3" w:rsidP="008072F3">
      <w:pPr>
        <w:ind w:firstLine="708"/>
      </w:pPr>
      <w:r w:rsidRPr="008072F3">
        <w:t>У зв’язку з цим пункт 11 уважати пунктом 14.</w:t>
      </w:r>
    </w:p>
    <w:p w14:paraId="09A7E3B6" w14:textId="77777777" w:rsidR="008072F3" w:rsidRPr="008072F3" w:rsidRDefault="008072F3" w:rsidP="008072F3">
      <w:pPr>
        <w:ind w:firstLine="708"/>
      </w:pPr>
    </w:p>
    <w:p w14:paraId="08D78102" w14:textId="77777777" w:rsidR="008072F3" w:rsidRPr="008072F3" w:rsidRDefault="008072F3" w:rsidP="008072F3">
      <w:pPr>
        <w:ind w:firstLine="708"/>
      </w:pPr>
      <w:r w:rsidRPr="008072F3">
        <w:t>2.</w:t>
      </w:r>
      <w:r w:rsidRPr="008072F3">
        <w:rPr>
          <w:lang w:val="ru-RU"/>
        </w:rPr>
        <w:t xml:space="preserve"> </w:t>
      </w:r>
      <w:r w:rsidRPr="008072F3">
        <w:t>У розділі ІІ:</w:t>
      </w:r>
    </w:p>
    <w:p w14:paraId="4E7CCC91" w14:textId="77777777" w:rsidR="008072F3" w:rsidRPr="008072F3" w:rsidRDefault="008072F3" w:rsidP="008072F3">
      <w:pPr>
        <w:ind w:firstLine="709"/>
        <w:rPr>
          <w:highlight w:val="yellow"/>
        </w:rPr>
      </w:pPr>
    </w:p>
    <w:p w14:paraId="24C0C246" w14:textId="77777777" w:rsidR="008072F3" w:rsidRPr="008072F3" w:rsidRDefault="008072F3" w:rsidP="008072F3">
      <w:pPr>
        <w:ind w:firstLine="709"/>
      </w:pPr>
      <w:r w:rsidRPr="008072F3">
        <w:t>1)</w:t>
      </w:r>
      <w:r w:rsidRPr="008072F3">
        <w:rPr>
          <w:lang w:val="ru-RU"/>
        </w:rPr>
        <w:t xml:space="preserve"> </w:t>
      </w:r>
      <w:r w:rsidRPr="008072F3">
        <w:t>у главі 1:</w:t>
      </w:r>
    </w:p>
    <w:p w14:paraId="11E9CAFA" w14:textId="77777777" w:rsidR="008072F3" w:rsidRPr="008072F3" w:rsidRDefault="008072F3" w:rsidP="008072F3">
      <w:pPr>
        <w:ind w:firstLine="709"/>
      </w:pPr>
      <w:r w:rsidRPr="008072F3">
        <w:t>в абзаці четвертому пункту 1.2 слова “учасників банківської групи (крім страхових компаній)” замінити словами “банку – учасника банківської групи”;</w:t>
      </w:r>
    </w:p>
    <w:p w14:paraId="511CA09A" w14:textId="16EDDB8B" w:rsidR="008072F3" w:rsidRPr="008072F3" w:rsidRDefault="008072F3" w:rsidP="008072F3">
      <w:pPr>
        <w:ind w:firstLine="709"/>
      </w:pPr>
      <w:r w:rsidRPr="008072F3">
        <w:lastRenderedPageBreak/>
        <w:t>абзаци четвертий</w:t>
      </w:r>
      <w:r w:rsidR="006B44EA">
        <w:t>,</w:t>
      </w:r>
      <w:r w:rsidRPr="008072F3">
        <w:t xml:space="preserve"> п’ятий пункту 1.4 </w:t>
      </w:r>
      <w:r w:rsidR="006704FB">
        <w:t xml:space="preserve">замінити десятьма новими абзацами четвертим </w:t>
      </w:r>
      <w:r w:rsidR="00D21660">
        <w:t xml:space="preserve">– </w:t>
      </w:r>
      <w:r w:rsidR="009B62C2">
        <w:t xml:space="preserve">тринадцятим </w:t>
      </w:r>
      <w:r w:rsidR="006704FB">
        <w:t>такого змісту</w:t>
      </w:r>
      <w:r w:rsidRPr="008072F3">
        <w:t>:</w:t>
      </w:r>
    </w:p>
    <w:p w14:paraId="524A0E3C" w14:textId="77777777" w:rsidR="008072F3" w:rsidRPr="008072F3" w:rsidRDefault="008072F3" w:rsidP="008072F3">
      <w:pPr>
        <w:ind w:firstLine="709"/>
      </w:pPr>
      <w:r w:rsidRPr="008072F3">
        <w:t>“Під час розрахунку регулятивного капіталу кредитно-інвестиційної підгрупи з капіталу учасника цієї підгрупи виключається:</w:t>
      </w:r>
    </w:p>
    <w:p w14:paraId="7E10E8E9" w14:textId="77777777" w:rsidR="008072F3" w:rsidRPr="008072F3" w:rsidRDefault="008072F3" w:rsidP="008072F3">
      <w:pPr>
        <w:ind w:firstLine="709"/>
      </w:pPr>
    </w:p>
    <w:p w14:paraId="69C44008" w14:textId="4DCCC8D3" w:rsidR="008072F3" w:rsidRPr="008072F3" w:rsidRDefault="008072F3" w:rsidP="008072F3">
      <w:pPr>
        <w:ind w:firstLine="709"/>
      </w:pPr>
      <w:r w:rsidRPr="008072F3">
        <w:t xml:space="preserve">1) сума вкладень у статутний капітал інших учасників цієї підгрупи та інші фінансові інструменти, що включаються до регулятивного капіталу учасника банківської групи, та які не були </w:t>
      </w:r>
      <w:r w:rsidR="00350DF9">
        <w:t>вирахувані</w:t>
      </w:r>
      <w:r w:rsidRPr="008072F3">
        <w:t xml:space="preserve"> під час розрахунку регулятивного капіталу цих учасників;</w:t>
      </w:r>
    </w:p>
    <w:p w14:paraId="28D969D2" w14:textId="77777777" w:rsidR="008072F3" w:rsidRPr="008072F3" w:rsidRDefault="008072F3" w:rsidP="008072F3">
      <w:pPr>
        <w:ind w:firstLine="709"/>
      </w:pPr>
    </w:p>
    <w:p w14:paraId="37BD5AE2" w14:textId="77777777" w:rsidR="008072F3" w:rsidRPr="008072F3" w:rsidRDefault="008072F3" w:rsidP="008072F3">
      <w:pPr>
        <w:ind w:firstLine="709"/>
      </w:pPr>
      <w:r w:rsidRPr="008072F3">
        <w:t>2) величина непокритого кредитного ризику учасника кредитно-інвестиційної підгрупи, операції якого включаються до розрахунку нормативів кредитного ризику банку з урахуванням  пункту 21 глави 1 розділу VI Інструкції № 368, яка визначається таким чином:</w:t>
      </w:r>
    </w:p>
    <w:p w14:paraId="76544F6A" w14:textId="77777777" w:rsidR="008072F3" w:rsidRPr="008072F3" w:rsidRDefault="008072F3" w:rsidP="008072F3">
      <w:pPr>
        <w:ind w:firstLine="709"/>
      </w:pPr>
      <w:r w:rsidRPr="008072F3">
        <w:t>визначається розмір кредитного ризику за активними операціями учасника кредитно-інвестиційної підгрупи згідно з порядком, визначеним Положенням про визначення банками України розміру кредитного ризику за активними банківськими операціями, затвердженим постановою Правління Національного банку України від 30 червня 2016 року № 351 (зі змінами) (далі – Положення № 351);</w:t>
      </w:r>
    </w:p>
    <w:p w14:paraId="1B778202" w14:textId="77777777" w:rsidR="008072F3" w:rsidRPr="008072F3" w:rsidRDefault="008072F3" w:rsidP="008072F3">
      <w:pPr>
        <w:ind w:firstLine="709"/>
      </w:pPr>
      <w:r w:rsidRPr="008072F3">
        <w:t>якщо сукупний розмір кредитного ризику за активними операціями є меншим або дорівнює сумі сукупного розміру резервів за такими операціями, сформованих відповідно до вимог міжнародних стандартів фінансової звітності (далі – розмір резервів за МСФЗ), та розміру уцінки фінансових активів, що оцінюються за справедливою вартістю, то величина непокритого кредитного ризику дорівнює нулю;</w:t>
      </w:r>
    </w:p>
    <w:p w14:paraId="52C33ACD" w14:textId="77777777" w:rsidR="008072F3" w:rsidRPr="008072F3" w:rsidRDefault="008072F3" w:rsidP="008072F3">
      <w:pPr>
        <w:ind w:firstLine="709"/>
      </w:pPr>
      <w:r w:rsidRPr="008072F3">
        <w:t xml:space="preserve">якщо сукупний розмір кредитного ризику за активними операціями перевищує суму розміру резервів за МСФЗ та розміру уцінки фінансових активів, що оцінюються за справедливою вартістю, то величина непокритого кредитного ризику дорівнює сумі такого перевищення. </w:t>
      </w:r>
    </w:p>
    <w:p w14:paraId="26B3AD88" w14:textId="77777777" w:rsidR="008072F3" w:rsidRPr="008072F3" w:rsidRDefault="008072F3" w:rsidP="008072F3">
      <w:pPr>
        <w:ind w:firstLine="709"/>
      </w:pPr>
      <w:r w:rsidRPr="008072F3">
        <w:t xml:space="preserve">Розмір кредитного ризику за активними операціями учасника кредитно-інвестиційної підгрупи, операції якого включаються до розрахунку нормативів кредитного ризику банку з урахуванням пункту 21 глави 1 розділу VI Інструкції № 368, визначається: </w:t>
      </w:r>
    </w:p>
    <w:p w14:paraId="5614F2D4" w14:textId="77777777" w:rsidR="008072F3" w:rsidRPr="008072F3" w:rsidRDefault="008072F3" w:rsidP="008072F3">
      <w:pPr>
        <w:ind w:firstLine="709"/>
      </w:pPr>
      <w:r w:rsidRPr="008072F3">
        <w:t>станом на перше число місяця, наступного за звітним кварталом;</w:t>
      </w:r>
    </w:p>
    <w:p w14:paraId="7CB4803C" w14:textId="77777777" w:rsidR="008072F3" w:rsidRPr="008072F3" w:rsidRDefault="008072F3" w:rsidP="008072F3">
      <w:pPr>
        <w:ind w:firstLine="709"/>
      </w:pPr>
      <w:r w:rsidRPr="008072F3">
        <w:t>згідно з внутрішнім положенням учасника кредитно-інвестиційної підгрупи щодо оцінки кредитного ризику за активними операціями, розробленим згідно з вимогами Положення № 351 та погодженим відповідальною особою банківської групи.</w:t>
      </w:r>
    </w:p>
    <w:p w14:paraId="33A87A1B" w14:textId="77777777" w:rsidR="008072F3" w:rsidRPr="008072F3" w:rsidRDefault="008072F3" w:rsidP="008072F3">
      <w:pPr>
        <w:ind w:firstLine="709"/>
      </w:pPr>
      <w:r w:rsidRPr="008072F3">
        <w:t xml:space="preserve">Відповідальна особа банківської групи забезпечує належний контроль за дотриманням учасником кредитно-інвестиційної підгрупи, операції якого включаються до розрахунку нормативів кредитного ризику банку з урахуванням </w:t>
      </w:r>
      <w:r w:rsidRPr="008072F3">
        <w:lastRenderedPageBreak/>
        <w:t>пункту 21 глави 1 розділу VI Інструкції №368, погодженого нею внутрішнього положення щодо оцінки кредитного ризику за активними операціями.”;</w:t>
      </w:r>
    </w:p>
    <w:p w14:paraId="61611E78" w14:textId="77777777" w:rsidR="008072F3" w:rsidRPr="008072F3" w:rsidRDefault="008072F3" w:rsidP="008072F3">
      <w:pPr>
        <w:ind w:firstLine="709"/>
      </w:pPr>
      <w:r w:rsidRPr="008072F3">
        <w:t>пункт 1.5 викласти в такій редакції:</w:t>
      </w:r>
    </w:p>
    <w:p w14:paraId="65DAD86E" w14:textId="3E712017" w:rsidR="008072F3" w:rsidRPr="008072F3" w:rsidRDefault="008072F3" w:rsidP="008072F3">
      <w:pPr>
        <w:ind w:firstLine="709"/>
      </w:pPr>
      <w:r w:rsidRPr="008072F3">
        <w:t>“1.5. Регулятивний капітал страхової підгрупи/страхової компанії</w:t>
      </w:r>
      <w:r w:rsidR="00B14D25">
        <w:t xml:space="preserve"> – учасника банківської групи</w:t>
      </w:r>
      <w:r w:rsidRPr="008072F3">
        <w:t xml:space="preserve">, якщо страхової підгрупи немає, визначається за </w:t>
      </w:r>
      <w:r w:rsidR="0019053E">
        <w:t xml:space="preserve">такою </w:t>
      </w:r>
      <w:r w:rsidRPr="008072F3">
        <w:t>формулою:</w:t>
      </w:r>
    </w:p>
    <w:p w14:paraId="17ADD0F3" w14:textId="77777777" w:rsidR="008072F3" w:rsidRPr="008072F3" w:rsidRDefault="008072F3" w:rsidP="008072F3">
      <w:pPr>
        <w:ind w:firstLine="709"/>
      </w:pPr>
      <w:r w:rsidRPr="008072F3">
        <w:t>РК(</w:t>
      </w:r>
      <w:proofErr w:type="spellStart"/>
      <w:r w:rsidRPr="008072F3">
        <w:t>сп</w:t>
      </w:r>
      <w:proofErr w:type="spellEnd"/>
      <w:r w:rsidRPr="008072F3">
        <w:t>/у) = ПА – З + ВАВ,</w:t>
      </w:r>
    </w:p>
    <w:p w14:paraId="0235BDB8" w14:textId="5B456921" w:rsidR="008072F3" w:rsidRPr="008072F3" w:rsidRDefault="008072F3" w:rsidP="008072F3">
      <w:r w:rsidRPr="008072F3">
        <w:t xml:space="preserve">де </w:t>
      </w:r>
      <w:r w:rsidRPr="00B14D25">
        <w:t xml:space="preserve">   </w:t>
      </w:r>
      <w:r w:rsidRPr="008072F3">
        <w:t>РК(</w:t>
      </w:r>
      <w:proofErr w:type="spellStart"/>
      <w:r w:rsidRPr="008072F3">
        <w:t>сп</w:t>
      </w:r>
      <w:proofErr w:type="spellEnd"/>
      <w:r w:rsidRPr="008072F3">
        <w:t>/у) – регулятивний капітал страхової підгрупи/страхової компанії</w:t>
      </w:r>
      <w:r w:rsidR="00B14D25">
        <w:t xml:space="preserve"> </w:t>
      </w:r>
      <w:r w:rsidR="00B14D25" w:rsidRPr="00B14D25">
        <w:t>– учасника банківської групи,</w:t>
      </w:r>
      <w:r w:rsidRPr="008072F3">
        <w:t xml:space="preserve"> якщо страхової підгрупи немає;</w:t>
      </w:r>
    </w:p>
    <w:p w14:paraId="62BBDB3D" w14:textId="76761B8D" w:rsidR="008072F3" w:rsidRPr="008072F3" w:rsidRDefault="008072F3" w:rsidP="008072F3">
      <w:pPr>
        <w:ind w:firstLine="709"/>
      </w:pPr>
      <w:r w:rsidRPr="008072F3">
        <w:t>ПА – сума прийнятних активів учасників страхової підгрупи/страхової компанії</w:t>
      </w:r>
      <w:r w:rsidR="00B14D25">
        <w:t xml:space="preserve"> </w:t>
      </w:r>
      <w:r w:rsidR="00B14D25" w:rsidRPr="00B14D25">
        <w:t>– учасника банківської групи,</w:t>
      </w:r>
      <w:r w:rsidRPr="008072F3">
        <w:t xml:space="preserve"> якщо страхової підгрупи немає, визначених відповідно до нормативно-правового </w:t>
      </w:r>
      <w:proofErr w:type="spellStart"/>
      <w:r w:rsidRPr="008072F3">
        <w:t>акта</w:t>
      </w:r>
      <w:proofErr w:type="spellEnd"/>
      <w:r w:rsidR="00F15CC5">
        <w:t xml:space="preserve">, що встановлює </w:t>
      </w:r>
      <w:r w:rsidRPr="008072F3">
        <w:t xml:space="preserve"> 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w:t>
      </w:r>
    </w:p>
    <w:p w14:paraId="5BD6911F" w14:textId="482B4F41" w:rsidR="008072F3" w:rsidRPr="008072F3" w:rsidRDefault="008072F3" w:rsidP="008072F3">
      <w:pPr>
        <w:ind w:firstLine="709"/>
      </w:pPr>
      <w:r w:rsidRPr="008072F3">
        <w:t>З – загальна сума зобов’язань учасників страхової підгрупи/страхової компанії</w:t>
      </w:r>
      <w:r w:rsidR="00B14D25">
        <w:t xml:space="preserve"> </w:t>
      </w:r>
      <w:r w:rsidR="00B14D25" w:rsidRPr="00B14D25">
        <w:t>– учасника банківської групи,</w:t>
      </w:r>
      <w:r w:rsidRPr="008072F3">
        <w:t xml:space="preserve"> якщо страхової підгрупи немає, що розраховується за даними </w:t>
      </w:r>
      <w:r w:rsidR="0082528E">
        <w:t>з</w:t>
      </w:r>
      <w:r w:rsidRPr="008072F3">
        <w:t>віту про фінансовий стан страховика, складеного за міжнародними стандартами фінансової звітності, як сумарна величина страхових резервів та загальної суми зобов’язань (поточних та непоточних зобов’язань і забезпечень);</w:t>
      </w:r>
    </w:p>
    <w:p w14:paraId="518A3A90" w14:textId="369CFCBF" w:rsidR="008072F3" w:rsidRPr="008072F3" w:rsidRDefault="008072F3" w:rsidP="008072F3">
      <w:pPr>
        <w:ind w:firstLine="709"/>
      </w:pPr>
      <w:r w:rsidRPr="008072F3">
        <w:t xml:space="preserve">ВАВ – розмір відстрочених </w:t>
      </w:r>
      <w:proofErr w:type="spellStart"/>
      <w:r w:rsidRPr="008072F3">
        <w:t>аквізиційних</w:t>
      </w:r>
      <w:proofErr w:type="spellEnd"/>
      <w:r w:rsidRPr="008072F3">
        <w:t xml:space="preserve"> витрат, застосований учасниками страхової підгрупи/страхової компанії</w:t>
      </w:r>
      <w:r w:rsidR="00B14D25">
        <w:t xml:space="preserve"> </w:t>
      </w:r>
      <w:r w:rsidR="00B14D25" w:rsidRPr="00B14D25">
        <w:t>– учасника банківської групи,</w:t>
      </w:r>
      <w:r w:rsidRPr="008072F3">
        <w:t xml:space="preserve"> якщо страхової підгрупи немає, для визначення нормативного обсягу активів, який визначається з метою дотримання нормативу платоспроможності та достатності капіталу відповідно до вимог та з урахуванням обмежень </w:t>
      </w:r>
      <w:r w:rsidRPr="00F15CC5">
        <w:t xml:space="preserve">нормативно-правового </w:t>
      </w:r>
      <w:proofErr w:type="spellStart"/>
      <w:r w:rsidRPr="00F15CC5">
        <w:t>акта</w:t>
      </w:r>
      <w:proofErr w:type="spellEnd"/>
      <w:r w:rsidR="00F15CC5" w:rsidRPr="00F15CC5">
        <w:t xml:space="preserve">, що встановлює </w:t>
      </w:r>
      <w:r w:rsidRPr="00F15CC5">
        <w:t>обов’язкові критерії і нормативи доста</w:t>
      </w:r>
      <w:r w:rsidRPr="008072F3">
        <w:t>тності капіталу та платоспроможності, ліквідності, прибутковості, якості активів та ризиковості операцій страховика.</w:t>
      </w:r>
    </w:p>
    <w:p w14:paraId="3EF57A28" w14:textId="77777777" w:rsidR="008072F3" w:rsidRPr="008072F3" w:rsidRDefault="008072F3" w:rsidP="008072F3">
      <w:pPr>
        <w:ind w:firstLine="709"/>
      </w:pPr>
      <w:r w:rsidRPr="008072F3">
        <w:t xml:space="preserve">Регулятивний капітал страхової підгрупи розраховується за даними </w:t>
      </w:r>
      <w:proofErr w:type="spellStart"/>
      <w:r w:rsidRPr="008072F3">
        <w:t>субконсолідованої</w:t>
      </w:r>
      <w:proofErr w:type="spellEnd"/>
      <w:r w:rsidRPr="008072F3">
        <w:t xml:space="preserve"> звітності страхової підгрупи.”;</w:t>
      </w:r>
    </w:p>
    <w:p w14:paraId="6A5C342F" w14:textId="77777777" w:rsidR="008072F3" w:rsidRPr="008072F3" w:rsidRDefault="008072F3" w:rsidP="008072F3">
      <w:pPr>
        <w:ind w:firstLine="709"/>
      </w:pPr>
    </w:p>
    <w:p w14:paraId="6E4ADF3D" w14:textId="77777777" w:rsidR="008072F3" w:rsidRPr="008072F3" w:rsidRDefault="008072F3" w:rsidP="008072F3">
      <w:pPr>
        <w:ind w:firstLine="709"/>
      </w:pPr>
      <w:r w:rsidRPr="008072F3">
        <w:t>2)</w:t>
      </w:r>
      <w:r w:rsidRPr="008072F3">
        <w:rPr>
          <w:lang w:val="ru-RU"/>
        </w:rPr>
        <w:t xml:space="preserve"> </w:t>
      </w:r>
      <w:r w:rsidRPr="008072F3">
        <w:t>у главі 2:</w:t>
      </w:r>
    </w:p>
    <w:p w14:paraId="49632424" w14:textId="77777777" w:rsidR="008072F3" w:rsidRPr="008072F3" w:rsidRDefault="008072F3" w:rsidP="008072F3">
      <w:pPr>
        <w:ind w:firstLine="709"/>
      </w:pPr>
      <w:r w:rsidRPr="008072F3">
        <w:t>в абзаці четвертому пункту 2.2 слова “учасників банківської групи (крім страхових компаній)” замінити словами “банку – учасника банківської групи”;</w:t>
      </w:r>
    </w:p>
    <w:p w14:paraId="7B6E5204" w14:textId="60C1D4B9" w:rsidR="008072F3" w:rsidRPr="008072F3" w:rsidRDefault="008072F3" w:rsidP="008072F3">
      <w:pPr>
        <w:ind w:firstLine="709"/>
      </w:pPr>
      <w:r w:rsidRPr="008072F3">
        <w:t>пункти 2.3</w:t>
      </w:r>
      <w:r w:rsidR="00CB2E98">
        <w:t>,</w:t>
      </w:r>
      <w:r w:rsidRPr="008072F3">
        <w:t xml:space="preserve"> 2.4 викласти в такій редакції:</w:t>
      </w:r>
    </w:p>
    <w:p w14:paraId="524D5498" w14:textId="77777777" w:rsidR="008072F3" w:rsidRPr="008072F3" w:rsidRDefault="008072F3" w:rsidP="008072F3">
      <w:pPr>
        <w:ind w:firstLine="709"/>
      </w:pPr>
      <w:r w:rsidRPr="008072F3">
        <w:t>“2.3. Необхідний розмір регулятивного капіталу кредитно-інвестиційної підгрупи/банку – учасника банківської групи, якщо кредитно-інвестиційної підгрупи немає, розраховується за такою формулою:</w:t>
      </w:r>
    </w:p>
    <w:p w14:paraId="7BB32FD8" w14:textId="77777777" w:rsidR="008072F3" w:rsidRPr="008072F3" w:rsidRDefault="008072F3" w:rsidP="008072F3">
      <w:pPr>
        <w:ind w:firstLine="709"/>
      </w:pPr>
      <w:r w:rsidRPr="008072F3">
        <w:t xml:space="preserve">НРК(кіп/у) = (Ар + </w:t>
      </w:r>
      <w:proofErr w:type="spellStart"/>
      <w:r w:rsidRPr="008072F3">
        <w:t>Свп</w:t>
      </w:r>
      <w:proofErr w:type="spellEnd"/>
      <w:r w:rsidRPr="008072F3">
        <w:t xml:space="preserve"> + ОР · 10 – НКР) · 0,1,</w:t>
      </w:r>
    </w:p>
    <w:p w14:paraId="243F6F80" w14:textId="567F4F92" w:rsidR="008072F3" w:rsidRPr="008072F3" w:rsidRDefault="008072F3" w:rsidP="008072F3">
      <w:r w:rsidRPr="008072F3">
        <w:t xml:space="preserve">де       Ар – сукупна сума консолідованих активів та позабалансових інструментів кредитно-інвестиційної підгрупи/сума активів та позабалансових інструментів банку – учасника банківської групи, якщо кредитно-інвестиційної підгрупи </w:t>
      </w:r>
      <w:r w:rsidRPr="008072F3">
        <w:lastRenderedPageBreak/>
        <w:t>немає, зважених на відповідні коефіцієнти ризику залежно від групи ризику, до якої віднесено актив, відповідно до глави 1 розділу IV Інструкції №</w:t>
      </w:r>
      <w:r w:rsidR="0019053E">
        <w:t> </w:t>
      </w:r>
      <w:r w:rsidRPr="008072F3">
        <w:t xml:space="preserve">368, з урахуванням даних аналітичного обліку згідно з </w:t>
      </w:r>
      <w:r w:rsidRPr="0072220B">
        <w:t>методикою розрахунку економічних нормативів, розроблен</w:t>
      </w:r>
      <w:r w:rsidR="00300DC1" w:rsidRPr="0072220B">
        <w:t>ою</w:t>
      </w:r>
      <w:r w:rsidRPr="0072220B">
        <w:t xml:space="preserve"> відповідно до Інструкції №</w:t>
      </w:r>
      <w:r w:rsidRPr="0072220B">
        <w:rPr>
          <w:lang w:val="ru-RU"/>
        </w:rPr>
        <w:t> </w:t>
      </w:r>
      <w:r w:rsidRPr="0072220B">
        <w:t>368 та схваленою рішенням Правління Національного банку;</w:t>
      </w:r>
    </w:p>
    <w:p w14:paraId="30A5490F" w14:textId="6D1C75F8" w:rsidR="008072F3" w:rsidRPr="008072F3" w:rsidRDefault="008072F3" w:rsidP="008072F3">
      <w:pPr>
        <w:ind w:firstLine="709"/>
      </w:pPr>
      <w:proofErr w:type="spellStart"/>
      <w:r w:rsidRPr="008072F3">
        <w:t>Свп</w:t>
      </w:r>
      <w:proofErr w:type="spellEnd"/>
      <w:r w:rsidRPr="008072F3">
        <w:t xml:space="preserve"> – сукупна сума відкритої валютної позиції, яка визначається в порядку, установленому главою 1 розділу IV Інструкції №</w:t>
      </w:r>
      <w:r w:rsidR="0019053E">
        <w:t> </w:t>
      </w:r>
      <w:r w:rsidRPr="008072F3">
        <w:t>368;</w:t>
      </w:r>
    </w:p>
    <w:p w14:paraId="4FF089D5" w14:textId="77777777" w:rsidR="008072F3" w:rsidRPr="008072F3" w:rsidRDefault="008072F3" w:rsidP="008072F3">
      <w:pPr>
        <w:ind w:firstLine="709"/>
      </w:pPr>
      <w:r w:rsidRPr="008072F3">
        <w:t xml:space="preserve">ОР – мінімальний розмір операційного ризику, який розраховується відповідно до нормативно-правового </w:t>
      </w:r>
      <w:proofErr w:type="spellStart"/>
      <w:r w:rsidRPr="008072F3">
        <w:t>акта</w:t>
      </w:r>
      <w:proofErr w:type="spellEnd"/>
      <w:r w:rsidRPr="008072F3">
        <w:t xml:space="preserve"> Національного банку щодо порядку визначення мінімального розміру операційного ризику;</w:t>
      </w:r>
    </w:p>
    <w:p w14:paraId="59E491DC" w14:textId="77E69471" w:rsidR="008072F3" w:rsidRPr="008072F3" w:rsidRDefault="008072F3" w:rsidP="008072F3">
      <w:pPr>
        <w:ind w:firstLine="709"/>
      </w:pPr>
      <w:r w:rsidRPr="008072F3">
        <w:t>НКР – сукупна величина непокритого кредитного ризику, яка вирахувана з регулятивного капіталу банку – учасника банківської групи, учасника кредитно-інвестиційної підгрупи, операції якого включаються до розрахунку нормативів кредитного ризику банку з урахуванням пункту 21 глави 1 розділу VI Інструкції №</w:t>
      </w:r>
      <w:r w:rsidR="0019053E" w:rsidRPr="00602BC7">
        <w:t xml:space="preserve"> </w:t>
      </w:r>
      <w:r w:rsidRPr="008072F3">
        <w:t>368.</w:t>
      </w:r>
    </w:p>
    <w:p w14:paraId="30BC8AD3" w14:textId="77777777" w:rsidR="008072F3" w:rsidRPr="008072F3" w:rsidRDefault="008072F3" w:rsidP="008072F3">
      <w:pPr>
        <w:ind w:firstLine="709"/>
      </w:pPr>
    </w:p>
    <w:p w14:paraId="4C269BB1" w14:textId="11C36F2A" w:rsidR="008072F3" w:rsidRPr="008072F3" w:rsidRDefault="008072F3" w:rsidP="008072F3">
      <w:pPr>
        <w:ind w:firstLine="709"/>
      </w:pPr>
      <w:r w:rsidRPr="008072F3">
        <w:t>2.4. Необхідний розмір регулятивного капіталу страхової підгрупи/страхової компанії</w:t>
      </w:r>
      <w:r w:rsidR="00B14D25">
        <w:t xml:space="preserve"> </w:t>
      </w:r>
      <w:r w:rsidR="00B14D25" w:rsidRPr="00B14D25">
        <w:t>– учасника банківської групи,</w:t>
      </w:r>
      <w:r w:rsidRPr="008072F3">
        <w:t xml:space="preserve"> якщо страхової підгрупи немає (</w:t>
      </w:r>
      <w:proofErr w:type="spellStart"/>
      <w:r w:rsidRPr="008072F3">
        <w:t>НРКсп</w:t>
      </w:r>
      <w:proofErr w:type="spellEnd"/>
      <w:r w:rsidRPr="008072F3">
        <w:t>/у)</w:t>
      </w:r>
      <w:r w:rsidR="0019053E">
        <w:t>,</w:t>
      </w:r>
      <w:r w:rsidRPr="008072F3">
        <w:t xml:space="preserve"> розраховується як сума необхідних розмірів регулятивного капіталу </w:t>
      </w:r>
      <w:r w:rsidR="00B14D25">
        <w:t xml:space="preserve">страхових компаній </w:t>
      </w:r>
      <w:r w:rsidR="00B14D25" w:rsidRPr="00B14D25">
        <w:t>–</w:t>
      </w:r>
      <w:r w:rsidR="00B14D25">
        <w:t xml:space="preserve"> </w:t>
      </w:r>
      <w:r w:rsidRPr="008072F3">
        <w:t>учасників цієї підгрупи/необхідний розмір регулятивного капіталу страхової компанії</w:t>
      </w:r>
      <w:r w:rsidR="00B14D25">
        <w:t xml:space="preserve"> </w:t>
      </w:r>
      <w:r w:rsidR="00B14D25" w:rsidRPr="00B14D25">
        <w:t>– учасника банківської групи</w:t>
      </w:r>
      <w:r w:rsidRPr="008072F3">
        <w:t xml:space="preserve">.  </w:t>
      </w:r>
    </w:p>
    <w:p w14:paraId="002FA361" w14:textId="77777777" w:rsidR="008072F3" w:rsidRPr="008072F3" w:rsidRDefault="008072F3" w:rsidP="008072F3">
      <w:pPr>
        <w:ind w:firstLine="709"/>
      </w:pPr>
      <w:r w:rsidRPr="008072F3">
        <w:t>Необхідний розмір регулятивного капіталу страхової компанії – учасника банківської групи визначається як більша з таких величин:</w:t>
      </w:r>
    </w:p>
    <w:p w14:paraId="3E9B7E0E" w14:textId="77777777" w:rsidR="008072F3" w:rsidRPr="008072F3" w:rsidRDefault="008072F3" w:rsidP="008072F3">
      <w:pPr>
        <w:ind w:firstLine="709"/>
      </w:pPr>
    </w:p>
    <w:p w14:paraId="6E3FB34E" w14:textId="77777777" w:rsidR="008072F3" w:rsidRPr="008072F3" w:rsidRDefault="008072F3" w:rsidP="008072F3">
      <w:pPr>
        <w:ind w:firstLine="709"/>
      </w:pPr>
      <w:r w:rsidRPr="008072F3">
        <w:t>1) К– величина, що дорівнює:</w:t>
      </w:r>
    </w:p>
    <w:p w14:paraId="1CCEA5DC" w14:textId="77777777" w:rsidR="008072F3" w:rsidRPr="008072F3" w:rsidRDefault="008072F3" w:rsidP="008072F3">
      <w:pPr>
        <w:ind w:firstLine="709"/>
      </w:pPr>
      <w:r w:rsidRPr="008072F3">
        <w:t>30 млн грн – для страховика, який здійснює або планує здійснювати види страхування інші, ніж страхування життя;</w:t>
      </w:r>
    </w:p>
    <w:p w14:paraId="3EBD9967" w14:textId="77777777" w:rsidR="008072F3" w:rsidRPr="008072F3" w:rsidRDefault="008072F3" w:rsidP="008072F3">
      <w:pPr>
        <w:ind w:firstLine="709"/>
      </w:pPr>
      <w:r w:rsidRPr="008072F3">
        <w:t>45 млн грн – для страховика, який здійснює або планує здійснювати страхування життя;</w:t>
      </w:r>
    </w:p>
    <w:p w14:paraId="0AB2CBE7" w14:textId="77777777" w:rsidR="008072F3" w:rsidRPr="008072F3" w:rsidRDefault="008072F3" w:rsidP="008072F3">
      <w:pPr>
        <w:ind w:firstLine="709"/>
      </w:pPr>
    </w:p>
    <w:p w14:paraId="08451B56" w14:textId="77777777" w:rsidR="008072F3" w:rsidRPr="008072F3" w:rsidRDefault="008072F3" w:rsidP="008072F3">
      <w:pPr>
        <w:ind w:firstLine="709"/>
      </w:pPr>
      <w:r w:rsidRPr="008072F3">
        <w:t>2) НЗП – нормативний запас платоспроможності, який розраховується відповідно до законодавства України.”.</w:t>
      </w:r>
    </w:p>
    <w:p w14:paraId="5E36717B" w14:textId="77777777" w:rsidR="008072F3" w:rsidRPr="008072F3" w:rsidRDefault="008072F3" w:rsidP="008072F3">
      <w:pPr>
        <w:ind w:firstLine="709"/>
      </w:pPr>
    </w:p>
    <w:p w14:paraId="69AC6136" w14:textId="77777777" w:rsidR="008072F3" w:rsidRPr="008072F3" w:rsidRDefault="008072F3" w:rsidP="008072F3">
      <w:pPr>
        <w:ind w:firstLine="708"/>
      </w:pPr>
      <w:r w:rsidRPr="008072F3">
        <w:t>3.</w:t>
      </w:r>
      <w:r w:rsidRPr="008072F3">
        <w:rPr>
          <w:lang w:val="ru-RU"/>
        </w:rPr>
        <w:t xml:space="preserve"> </w:t>
      </w:r>
      <w:r w:rsidRPr="008072F3">
        <w:t>У розділі І</w:t>
      </w:r>
      <w:r w:rsidRPr="008072F3">
        <w:rPr>
          <w:lang w:val="en-US"/>
        </w:rPr>
        <w:t>V</w:t>
      </w:r>
      <w:r w:rsidRPr="008072F3">
        <w:t>:</w:t>
      </w:r>
    </w:p>
    <w:p w14:paraId="151A332E" w14:textId="77777777" w:rsidR="008072F3" w:rsidRPr="008072F3" w:rsidRDefault="008072F3" w:rsidP="008072F3">
      <w:pPr>
        <w:ind w:firstLine="709"/>
        <w:rPr>
          <w:highlight w:val="yellow"/>
        </w:rPr>
      </w:pPr>
    </w:p>
    <w:p w14:paraId="292A2808" w14:textId="77777777" w:rsidR="008072F3" w:rsidRPr="008072F3" w:rsidRDefault="008072F3" w:rsidP="008072F3">
      <w:pPr>
        <w:ind w:firstLine="709"/>
      </w:pPr>
      <w:r w:rsidRPr="008072F3">
        <w:t>1)</w:t>
      </w:r>
      <w:r w:rsidRPr="008072F3">
        <w:rPr>
          <w:lang w:val="ru-RU"/>
        </w:rPr>
        <w:t xml:space="preserve"> </w:t>
      </w:r>
      <w:r w:rsidRPr="008072F3">
        <w:t>у главі 1:</w:t>
      </w:r>
    </w:p>
    <w:p w14:paraId="514E76D9" w14:textId="7789AA65" w:rsidR="008072F3" w:rsidRPr="008072F3" w:rsidRDefault="008072F3" w:rsidP="008072F3">
      <w:pPr>
        <w:ind w:firstLine="709"/>
      </w:pPr>
      <w:r w:rsidRPr="008072F3">
        <w:t>пункт 1.2  доповнити словами “, а також операції з придбання цінних паперів, дебіторська заборгованість, інші активні  операції, уключаючи нараховані за всіма цими операціями доходи”;</w:t>
      </w:r>
    </w:p>
    <w:p w14:paraId="4A3248A9" w14:textId="77777777" w:rsidR="008072F3" w:rsidRPr="008072F3" w:rsidRDefault="008072F3" w:rsidP="008072F3">
      <w:pPr>
        <w:ind w:firstLine="709"/>
      </w:pPr>
      <w:r w:rsidRPr="008072F3">
        <w:t>у пункті 1.3:</w:t>
      </w:r>
    </w:p>
    <w:p w14:paraId="061A4F78" w14:textId="77777777" w:rsidR="008072F3" w:rsidRPr="008072F3" w:rsidRDefault="008072F3" w:rsidP="008072F3">
      <w:pPr>
        <w:ind w:firstLine="708"/>
      </w:pPr>
      <w:r w:rsidRPr="008072F3">
        <w:t>абзац четвертий виключити.</w:t>
      </w:r>
    </w:p>
    <w:p w14:paraId="3A675A6D" w14:textId="2F6A7273" w:rsidR="008072F3" w:rsidRPr="008072F3" w:rsidRDefault="008072F3" w:rsidP="008072F3">
      <w:pPr>
        <w:ind w:firstLine="708"/>
      </w:pPr>
      <w:r w:rsidRPr="008072F3">
        <w:lastRenderedPageBreak/>
        <w:t>У зв’язку з цим абзаци п’ятий</w:t>
      </w:r>
      <w:r w:rsidR="00FD57E9">
        <w:t>,</w:t>
      </w:r>
      <w:r w:rsidRPr="008072F3">
        <w:t xml:space="preserve"> шостий уважати відповідно абзацами четвертим</w:t>
      </w:r>
      <w:r w:rsidR="00FD57E9">
        <w:t>,</w:t>
      </w:r>
      <w:r w:rsidRPr="008072F3">
        <w:t xml:space="preserve"> п’ятим;</w:t>
      </w:r>
    </w:p>
    <w:p w14:paraId="2A04EB67" w14:textId="77777777" w:rsidR="008072F3" w:rsidRPr="008072F3" w:rsidRDefault="008072F3" w:rsidP="008072F3">
      <w:pPr>
        <w:ind w:firstLine="708"/>
      </w:pPr>
      <w:r w:rsidRPr="008072F3">
        <w:t>в абзаці четвертому літери та цифри “Н10к” замінити літерами та цифрою “Н9к”;</w:t>
      </w:r>
    </w:p>
    <w:p w14:paraId="19C7A629" w14:textId="77777777" w:rsidR="008072F3" w:rsidRPr="008072F3" w:rsidRDefault="008072F3" w:rsidP="008072F3">
      <w:pPr>
        <w:ind w:firstLine="708"/>
      </w:pPr>
      <w:r w:rsidRPr="008072F3">
        <w:t>абзац п’ятий виключити;</w:t>
      </w:r>
    </w:p>
    <w:p w14:paraId="1B3E4146" w14:textId="77777777" w:rsidR="008072F3" w:rsidRPr="008072F3" w:rsidRDefault="008072F3" w:rsidP="008072F3">
      <w:pPr>
        <w:ind w:firstLine="708"/>
      </w:pPr>
    </w:p>
    <w:p w14:paraId="3E5ACDC2" w14:textId="77777777" w:rsidR="008072F3" w:rsidRPr="008072F3" w:rsidRDefault="008072F3" w:rsidP="008072F3">
      <w:pPr>
        <w:ind w:firstLine="709"/>
      </w:pPr>
      <w:r w:rsidRPr="008072F3">
        <w:t>2)</w:t>
      </w:r>
      <w:r w:rsidRPr="008072F3">
        <w:rPr>
          <w:lang w:val="ru-RU"/>
        </w:rPr>
        <w:t xml:space="preserve"> </w:t>
      </w:r>
      <w:r w:rsidRPr="008072F3">
        <w:t>у пункті 2.3 глави 2:</w:t>
      </w:r>
    </w:p>
    <w:p w14:paraId="3C944F36" w14:textId="77777777" w:rsidR="008072F3" w:rsidRPr="008072F3" w:rsidRDefault="008072F3" w:rsidP="008072F3">
      <w:pPr>
        <w:ind w:firstLine="709"/>
      </w:pPr>
      <w:r w:rsidRPr="008072F3">
        <w:t>в абзаці першому слова “учасників банківської групи (крім страхових компаній)” замінити словами “балансу банку – учасника банківської групи”;</w:t>
      </w:r>
    </w:p>
    <w:p w14:paraId="20AFAC40" w14:textId="77777777" w:rsidR="008072F3" w:rsidRPr="008072F3" w:rsidRDefault="008072F3" w:rsidP="008072F3">
      <w:pPr>
        <w:ind w:firstLine="709"/>
      </w:pPr>
      <w:r w:rsidRPr="008072F3">
        <w:t>в абзаці шостому слова “учасників банківської групи (крім страхових компаній)” замінити словами “сума всіх вимог банку – учасника банківської групи”;</w:t>
      </w:r>
    </w:p>
    <w:p w14:paraId="0E6FE0BB" w14:textId="77777777" w:rsidR="008072F3" w:rsidRPr="008072F3" w:rsidRDefault="008072F3" w:rsidP="008072F3">
      <w:pPr>
        <w:ind w:firstLine="709"/>
      </w:pPr>
      <w:r w:rsidRPr="008072F3">
        <w:t>абзац сьомий після слів “страхової підгрупи/” доповнити словами “сума всіх вимог”;</w:t>
      </w:r>
    </w:p>
    <w:p w14:paraId="750D125D" w14:textId="77777777" w:rsidR="008072F3" w:rsidRPr="008072F3" w:rsidRDefault="008072F3" w:rsidP="008072F3">
      <w:pPr>
        <w:ind w:firstLine="709"/>
      </w:pPr>
    </w:p>
    <w:p w14:paraId="11866EFA" w14:textId="77777777" w:rsidR="008072F3" w:rsidRPr="008072F3" w:rsidRDefault="008072F3" w:rsidP="008072F3">
      <w:pPr>
        <w:ind w:firstLine="709"/>
      </w:pPr>
      <w:r w:rsidRPr="008072F3">
        <w:t xml:space="preserve">3) у </w:t>
      </w:r>
      <w:r w:rsidRPr="008072F3">
        <w:rPr>
          <w:lang w:val="ru-RU"/>
        </w:rPr>
        <w:t>пункт</w:t>
      </w:r>
      <w:r w:rsidRPr="008072F3">
        <w:t>і</w:t>
      </w:r>
      <w:r w:rsidRPr="008072F3">
        <w:rPr>
          <w:lang w:val="ru-RU"/>
        </w:rPr>
        <w:t xml:space="preserve"> 3.5 </w:t>
      </w:r>
      <w:r w:rsidRPr="008072F3">
        <w:t>глави 3:</w:t>
      </w:r>
    </w:p>
    <w:p w14:paraId="6D5C2397" w14:textId="77777777" w:rsidR="008072F3" w:rsidRPr="008072F3" w:rsidRDefault="008072F3" w:rsidP="008072F3">
      <w:pPr>
        <w:ind w:firstLine="709"/>
      </w:pPr>
      <w:r w:rsidRPr="008072F3">
        <w:t>в абзаці першому слова “учасників банківської групи (крім страхових компаній)” замінити словами “балансу банку – учасника банківської групи”;</w:t>
      </w:r>
    </w:p>
    <w:p w14:paraId="02CE4F98" w14:textId="77777777" w:rsidR="008072F3" w:rsidRPr="008072F3" w:rsidRDefault="008072F3" w:rsidP="008072F3">
      <w:pPr>
        <w:ind w:firstLine="709"/>
      </w:pPr>
      <w:r w:rsidRPr="008072F3">
        <w:t>в абзаці шостому слова “учасників банківської групи (крім страхових компаній)” замінити словами “сума всіх вимог банку – учасника банківської групи”;</w:t>
      </w:r>
    </w:p>
    <w:p w14:paraId="3FD037E3" w14:textId="77777777" w:rsidR="008072F3" w:rsidRPr="008072F3" w:rsidRDefault="008072F3" w:rsidP="008072F3">
      <w:pPr>
        <w:ind w:firstLine="709"/>
      </w:pPr>
      <w:r w:rsidRPr="008072F3">
        <w:t>абзац сьомий після слів “страхової підгрупи/” доповнити словами “сума всіх вимог”;</w:t>
      </w:r>
    </w:p>
    <w:p w14:paraId="31FCC5C0" w14:textId="77777777" w:rsidR="008072F3" w:rsidRPr="008072F3" w:rsidRDefault="008072F3" w:rsidP="008072F3">
      <w:pPr>
        <w:ind w:firstLine="709"/>
      </w:pPr>
      <w:r w:rsidRPr="008072F3">
        <w:t>в абзаці дев’ятому слова “учасників банківської групи (крім страхових компаній)” замінити словами “банку – учасника банківської групи”;</w:t>
      </w:r>
    </w:p>
    <w:p w14:paraId="493B2FC4" w14:textId="77777777" w:rsidR="008072F3" w:rsidRPr="008072F3" w:rsidRDefault="008072F3" w:rsidP="008072F3">
      <w:pPr>
        <w:ind w:firstLine="709"/>
      </w:pPr>
    </w:p>
    <w:p w14:paraId="7EA443F2" w14:textId="77777777" w:rsidR="008072F3" w:rsidRPr="008072F3" w:rsidRDefault="008072F3" w:rsidP="008072F3">
      <w:pPr>
        <w:ind w:firstLine="709"/>
      </w:pPr>
      <w:r w:rsidRPr="008072F3">
        <w:t>4) главу 4 виключити;</w:t>
      </w:r>
    </w:p>
    <w:p w14:paraId="7ECFA1A2" w14:textId="36BB3686" w:rsidR="008072F3" w:rsidRPr="001222EE" w:rsidRDefault="00E36457" w:rsidP="001222EE">
      <w:pPr>
        <w:ind w:firstLine="709"/>
      </w:pPr>
      <w:r w:rsidRPr="001222EE">
        <w:t>У зв</w:t>
      </w:r>
      <w:r>
        <w:t>’</w:t>
      </w:r>
      <w:r w:rsidRPr="001222EE">
        <w:t>язку з цим глави 5, 6 уважати відповідно главами 4, 5, а пункти 5.1</w:t>
      </w:r>
      <w:r w:rsidR="001222EE" w:rsidRPr="008072F3">
        <w:t>–</w:t>
      </w:r>
      <w:r w:rsidRPr="001222EE">
        <w:t>5.6, 6.1</w:t>
      </w:r>
      <w:r w:rsidR="001222EE" w:rsidRPr="001222EE">
        <w:t>–</w:t>
      </w:r>
      <w:r w:rsidRPr="001222EE">
        <w:t xml:space="preserve">6.5 </w:t>
      </w:r>
      <w:r w:rsidR="006B29E0">
        <w:t xml:space="preserve">уважати </w:t>
      </w:r>
      <w:r w:rsidRPr="001222EE">
        <w:t>відповідно пунктами 4.1</w:t>
      </w:r>
      <w:r w:rsidR="001222EE" w:rsidRPr="001222EE">
        <w:t>–</w:t>
      </w:r>
      <w:r w:rsidRPr="001222EE">
        <w:t>4.6, 5.1</w:t>
      </w:r>
      <w:r w:rsidR="001222EE" w:rsidRPr="001222EE">
        <w:t>–</w:t>
      </w:r>
      <w:r w:rsidRPr="001222EE">
        <w:t>5.5</w:t>
      </w:r>
      <w:r w:rsidR="006B29E0">
        <w:t>;</w:t>
      </w:r>
    </w:p>
    <w:p w14:paraId="7F6FEE51" w14:textId="77777777" w:rsidR="00E36457" w:rsidRPr="00E36457" w:rsidRDefault="00E36457" w:rsidP="00E36457">
      <w:pPr>
        <w:ind w:firstLine="708"/>
      </w:pPr>
    </w:p>
    <w:p w14:paraId="7E78B477" w14:textId="08E93DDA" w:rsidR="008072F3" w:rsidRPr="001222EE" w:rsidRDefault="008072F3" w:rsidP="008072F3">
      <w:pPr>
        <w:ind w:firstLine="708"/>
      </w:pPr>
      <w:r w:rsidRPr="001222EE">
        <w:t xml:space="preserve">5) у главі </w:t>
      </w:r>
      <w:r w:rsidR="0054395D" w:rsidRPr="001222EE">
        <w:t>4</w:t>
      </w:r>
      <w:r w:rsidRPr="001222EE">
        <w:t>:</w:t>
      </w:r>
    </w:p>
    <w:p w14:paraId="68FB0C93" w14:textId="2F8CA445" w:rsidR="0054395D" w:rsidRPr="001222EE" w:rsidRDefault="0054395D" w:rsidP="008072F3">
      <w:pPr>
        <w:ind w:firstLine="709"/>
      </w:pPr>
      <w:r w:rsidRPr="001222EE">
        <w:t xml:space="preserve">у </w:t>
      </w:r>
      <w:r w:rsidR="006B29E0">
        <w:t xml:space="preserve">заголовку </w:t>
      </w:r>
      <w:r w:rsidRPr="001222EE">
        <w:t xml:space="preserve"> літери та цифри “Н10к” замінити літерами та цифрою “Н9к”;</w:t>
      </w:r>
    </w:p>
    <w:p w14:paraId="7862D501" w14:textId="5D905006" w:rsidR="0054395D" w:rsidRPr="001222EE" w:rsidRDefault="0054395D" w:rsidP="008072F3">
      <w:pPr>
        <w:ind w:firstLine="709"/>
      </w:pPr>
      <w:r w:rsidRPr="001222EE">
        <w:t>у пункті 4.1</w:t>
      </w:r>
      <w:r w:rsidR="00585B3C" w:rsidRPr="001222EE">
        <w:t xml:space="preserve"> літери та цифри “Н10к” замінити літерами та цифрою “Н9к”;</w:t>
      </w:r>
    </w:p>
    <w:p w14:paraId="59E71900" w14:textId="097BC8A0" w:rsidR="00585B3C" w:rsidRPr="001222EE" w:rsidRDefault="008072F3" w:rsidP="008072F3">
      <w:pPr>
        <w:ind w:firstLine="709"/>
      </w:pPr>
      <w:r w:rsidRPr="001222EE">
        <w:t xml:space="preserve">у пункті </w:t>
      </w:r>
      <w:r w:rsidR="00585B3C" w:rsidRPr="001222EE">
        <w:t>4</w:t>
      </w:r>
      <w:r w:rsidRPr="001222EE">
        <w:t>.2</w:t>
      </w:r>
      <w:r w:rsidR="00ED7643">
        <w:t xml:space="preserve"> </w:t>
      </w:r>
      <w:r w:rsidR="00585B3C" w:rsidRPr="001222EE">
        <w:t>літери</w:t>
      </w:r>
      <w:r w:rsidR="00ED7643">
        <w:t>,</w:t>
      </w:r>
      <w:r w:rsidR="00585B3C" w:rsidRPr="001222EE">
        <w:t xml:space="preserve"> цифри</w:t>
      </w:r>
      <w:r w:rsidR="00ED7643">
        <w:t xml:space="preserve"> та слово</w:t>
      </w:r>
      <w:r w:rsidR="00585B3C" w:rsidRPr="001222EE">
        <w:t xml:space="preserve"> “Н10к”</w:t>
      </w:r>
      <w:r w:rsidR="00ED7643">
        <w:t xml:space="preserve">, </w:t>
      </w:r>
      <w:r w:rsidR="00ED7643" w:rsidRPr="001222EE">
        <w:t xml:space="preserve">“статутного” </w:t>
      </w:r>
      <w:r w:rsidR="00585B3C" w:rsidRPr="001222EE">
        <w:t xml:space="preserve">замінити </w:t>
      </w:r>
      <w:r w:rsidR="00ED7643">
        <w:t xml:space="preserve">відповідно </w:t>
      </w:r>
      <w:r w:rsidR="00585B3C" w:rsidRPr="001222EE">
        <w:t>літерами</w:t>
      </w:r>
      <w:r w:rsidR="00ED7643">
        <w:t xml:space="preserve">, </w:t>
      </w:r>
      <w:r w:rsidR="00585B3C" w:rsidRPr="001222EE">
        <w:t xml:space="preserve"> цифрою </w:t>
      </w:r>
      <w:r w:rsidR="00ED7643">
        <w:t xml:space="preserve"> та словом </w:t>
      </w:r>
      <w:r w:rsidR="00585B3C" w:rsidRPr="001222EE">
        <w:t>“Н9к”</w:t>
      </w:r>
      <w:r w:rsidR="00ED7643">
        <w:t xml:space="preserve">, </w:t>
      </w:r>
      <w:r w:rsidR="00ED7643" w:rsidRPr="001222EE">
        <w:t>“регулятивного”</w:t>
      </w:r>
      <w:r w:rsidR="00585B3C" w:rsidRPr="001222EE">
        <w:t>;</w:t>
      </w:r>
    </w:p>
    <w:p w14:paraId="27861F89" w14:textId="33B92F67" w:rsidR="008072F3" w:rsidRPr="001222EE" w:rsidRDefault="008072F3" w:rsidP="008072F3">
      <w:pPr>
        <w:ind w:firstLine="709"/>
      </w:pPr>
      <w:r w:rsidRPr="001222EE">
        <w:t xml:space="preserve">у пункті </w:t>
      </w:r>
      <w:r w:rsidR="00585B3C" w:rsidRPr="001222EE">
        <w:t>4</w:t>
      </w:r>
      <w:r w:rsidRPr="001222EE">
        <w:t xml:space="preserve">.3: </w:t>
      </w:r>
    </w:p>
    <w:p w14:paraId="5F749D57" w14:textId="63D99BE0" w:rsidR="008072F3" w:rsidRPr="001222EE" w:rsidRDefault="008072F3" w:rsidP="008072F3">
      <w:pPr>
        <w:ind w:firstLine="709"/>
      </w:pPr>
      <w:r w:rsidRPr="001222EE">
        <w:t xml:space="preserve">абзац перший викласти </w:t>
      </w:r>
      <w:r w:rsidR="0019053E">
        <w:t>в</w:t>
      </w:r>
      <w:r w:rsidRPr="001222EE">
        <w:t xml:space="preserve"> такій редакції:</w:t>
      </w:r>
    </w:p>
    <w:p w14:paraId="17C4F2E4" w14:textId="625C615A" w:rsidR="008072F3" w:rsidRPr="001222EE" w:rsidRDefault="008072F3" w:rsidP="008072F3">
      <w:pPr>
        <w:ind w:firstLine="709"/>
      </w:pPr>
      <w:r w:rsidRPr="001222EE">
        <w:t>“</w:t>
      </w:r>
      <w:r w:rsidR="00585B3C" w:rsidRPr="001222EE">
        <w:t>4</w:t>
      </w:r>
      <w:r w:rsidRPr="001222EE">
        <w:t xml:space="preserve">.3. Норматив Н9к розраховується за даними </w:t>
      </w:r>
      <w:proofErr w:type="spellStart"/>
      <w:r w:rsidRPr="001222EE">
        <w:t>субконсолідованого</w:t>
      </w:r>
      <w:proofErr w:type="spellEnd"/>
      <w:r w:rsidRPr="001222EE">
        <w:t xml:space="preserve"> балансу кредитно-інвестиційної підгрупи/балансу банку – учасника банківської групи, якщо кредитно-інвестиційної підгрупи немає, та </w:t>
      </w:r>
      <w:proofErr w:type="spellStart"/>
      <w:r w:rsidRPr="001222EE">
        <w:t>субконсолідованого</w:t>
      </w:r>
      <w:proofErr w:type="spellEnd"/>
      <w:r w:rsidRPr="001222EE">
        <w:t xml:space="preserve"> балансу страхової підгрупи/балансу страхової компанії – учасника банківської групи, </w:t>
      </w:r>
      <w:r w:rsidRPr="001222EE">
        <w:lastRenderedPageBreak/>
        <w:t>якщо страхової підгрупи немає, та інформації, необхідної для такого розрахунку.”;</w:t>
      </w:r>
    </w:p>
    <w:p w14:paraId="0CB0B94B" w14:textId="07B0C484" w:rsidR="00585B3C" w:rsidRPr="001222EE" w:rsidRDefault="00585B3C" w:rsidP="008072F3">
      <w:pPr>
        <w:ind w:firstLine="709"/>
      </w:pPr>
      <w:r w:rsidRPr="001222EE">
        <w:t>в абзаці другому літери та цифри “Н10к” замінити літерами та цифрою “Н9к”;</w:t>
      </w:r>
    </w:p>
    <w:p w14:paraId="57C0A4C3" w14:textId="28ADA5CD" w:rsidR="00585B3C" w:rsidRPr="001222EE" w:rsidRDefault="008072F3" w:rsidP="008072F3">
      <w:pPr>
        <w:ind w:firstLine="708"/>
      </w:pPr>
      <w:r w:rsidRPr="001222EE">
        <w:t>в абзаці третьому</w:t>
      </w:r>
      <w:r w:rsidR="00063F74">
        <w:t xml:space="preserve"> </w:t>
      </w:r>
      <w:r w:rsidR="00585B3C" w:rsidRPr="001222EE">
        <w:t>літери та цифри “Н10к”</w:t>
      </w:r>
      <w:r w:rsidR="00063F74">
        <w:t xml:space="preserve">, </w:t>
      </w:r>
      <w:r w:rsidR="00063F74" w:rsidRPr="001222EE">
        <w:t>“СТ”</w:t>
      </w:r>
      <w:r w:rsidR="00063F74">
        <w:t xml:space="preserve"> </w:t>
      </w:r>
      <w:r w:rsidR="00585B3C" w:rsidRPr="001222EE">
        <w:t xml:space="preserve">замінити </w:t>
      </w:r>
      <w:r w:rsidR="00063F74">
        <w:t xml:space="preserve">відповідно </w:t>
      </w:r>
      <w:r w:rsidR="00585B3C" w:rsidRPr="001222EE">
        <w:t>літерами та цифрою “Н9к”</w:t>
      </w:r>
      <w:r w:rsidR="00063F74">
        <w:t xml:space="preserve">, </w:t>
      </w:r>
      <w:r w:rsidR="00063F74" w:rsidRPr="001222EE">
        <w:t>“</w:t>
      </w:r>
      <w:r w:rsidR="00063F74">
        <w:t>РК</w:t>
      </w:r>
      <w:r w:rsidR="00063F74" w:rsidRPr="001222EE">
        <w:t>”</w:t>
      </w:r>
      <w:r w:rsidR="00585B3C" w:rsidRPr="001222EE">
        <w:t>;</w:t>
      </w:r>
    </w:p>
    <w:p w14:paraId="10B7EEFB" w14:textId="77777777" w:rsidR="008072F3" w:rsidRPr="001222EE" w:rsidRDefault="008072F3" w:rsidP="008072F3">
      <w:pPr>
        <w:ind w:firstLine="708"/>
      </w:pPr>
      <w:r w:rsidRPr="001222EE">
        <w:t>абзац шостий викласти в такій редакції:</w:t>
      </w:r>
    </w:p>
    <w:p w14:paraId="7B57DB56" w14:textId="77777777" w:rsidR="008072F3" w:rsidRPr="001222EE" w:rsidRDefault="008072F3" w:rsidP="008072F3">
      <w:pPr>
        <w:ind w:firstLine="708"/>
      </w:pPr>
      <w:r w:rsidRPr="001222EE">
        <w:t xml:space="preserve">“де </w:t>
      </w:r>
      <w:proofErr w:type="spellStart"/>
      <w:r w:rsidRPr="001222EE">
        <w:t>Сзін</w:t>
      </w:r>
      <w:proofErr w:type="spellEnd"/>
      <w:r w:rsidRPr="001222EE">
        <w:t>(кіп/у) – сукупна сума всіх вимог учасників кредитно-інвестиційної підгрупи/сума всіх вимог банку – учасника банківської групи, якщо кредитно-інвестиційної підгрупи немає, до всіх пов’язаних осіб та суми всіх фінансових зобов’язань, наданих учасниками кредитно-інвестиційної підгрупи/банком – учасником банківської групи, якщо кредитно-інвестиційної підгрупи немає, щодо всіх пов’язаних осіб;”;</w:t>
      </w:r>
    </w:p>
    <w:p w14:paraId="74866F5F" w14:textId="77777777" w:rsidR="008072F3" w:rsidRPr="001222EE" w:rsidRDefault="008072F3" w:rsidP="008072F3">
      <w:pPr>
        <w:ind w:firstLine="709"/>
      </w:pPr>
      <w:r w:rsidRPr="001222EE">
        <w:t>абзац сьомий після слів “страхової підгрупи/” доповнити словами “сума всіх вимог”;</w:t>
      </w:r>
    </w:p>
    <w:p w14:paraId="1F821DB3" w14:textId="146C99A6" w:rsidR="00585B3C" w:rsidRPr="001222EE" w:rsidRDefault="00585B3C" w:rsidP="008072F3">
      <w:pPr>
        <w:ind w:firstLine="708"/>
      </w:pPr>
      <w:r w:rsidRPr="001222EE">
        <w:t>у пункті 4.4:</w:t>
      </w:r>
    </w:p>
    <w:p w14:paraId="254F2E2D" w14:textId="3BB1287A" w:rsidR="00585B3C" w:rsidRPr="008705FF" w:rsidRDefault="00585B3C" w:rsidP="008072F3">
      <w:pPr>
        <w:ind w:firstLine="708"/>
      </w:pPr>
      <w:r w:rsidRPr="008705FF">
        <w:t>у першому реченні літери</w:t>
      </w:r>
      <w:r w:rsidR="00E70038">
        <w:t xml:space="preserve">, </w:t>
      </w:r>
      <w:r w:rsidRPr="008705FF">
        <w:t>цифри</w:t>
      </w:r>
      <w:r w:rsidR="00477C5F">
        <w:t xml:space="preserve"> та слова </w:t>
      </w:r>
      <w:r w:rsidRPr="008705FF">
        <w:t>“Н10к”</w:t>
      </w:r>
      <w:r w:rsidR="00A554CB" w:rsidRPr="008705FF">
        <w:t>, “5.3</w:t>
      </w:r>
      <w:r w:rsidR="006B29E0" w:rsidRPr="008705FF">
        <w:t xml:space="preserve"> цієї глави</w:t>
      </w:r>
      <w:r w:rsidR="00A554CB" w:rsidRPr="008705FF">
        <w:t>”</w:t>
      </w:r>
      <w:r w:rsidRPr="008705FF">
        <w:t xml:space="preserve"> замінити </w:t>
      </w:r>
      <w:r w:rsidR="00A554CB" w:rsidRPr="008705FF">
        <w:t xml:space="preserve">відповідно </w:t>
      </w:r>
      <w:r w:rsidRPr="008705FF">
        <w:t>літерами</w:t>
      </w:r>
      <w:r w:rsidR="00E70038">
        <w:t>,</w:t>
      </w:r>
      <w:r w:rsidRPr="008705FF">
        <w:t xml:space="preserve"> цифр</w:t>
      </w:r>
      <w:r w:rsidR="00A554CB" w:rsidRPr="008705FF">
        <w:t>ами</w:t>
      </w:r>
      <w:r w:rsidR="00E70038">
        <w:t xml:space="preserve"> та словами</w:t>
      </w:r>
      <w:r w:rsidRPr="008705FF">
        <w:t xml:space="preserve"> “Н9к”</w:t>
      </w:r>
      <w:r w:rsidR="00A554CB" w:rsidRPr="008705FF">
        <w:t>, “4.3</w:t>
      </w:r>
      <w:r w:rsidR="006B29E0" w:rsidRPr="008705FF">
        <w:t xml:space="preserve"> глави </w:t>
      </w:r>
      <w:r w:rsidR="008705FF" w:rsidRPr="008705FF">
        <w:t>4</w:t>
      </w:r>
      <w:r w:rsidR="006B29E0" w:rsidRPr="008705FF">
        <w:t xml:space="preserve"> розділу</w:t>
      </w:r>
      <w:r w:rsidR="008705FF" w:rsidRPr="008705FF">
        <w:t xml:space="preserve"> IV</w:t>
      </w:r>
      <w:r w:rsidR="006B29E0" w:rsidRPr="008705FF">
        <w:t xml:space="preserve"> цього Положення</w:t>
      </w:r>
      <w:r w:rsidR="00A554CB" w:rsidRPr="008705FF">
        <w:t>”</w:t>
      </w:r>
      <w:r w:rsidRPr="008705FF">
        <w:t>;</w:t>
      </w:r>
    </w:p>
    <w:p w14:paraId="646B7689" w14:textId="72A39BD1" w:rsidR="008072F3" w:rsidRPr="001222EE" w:rsidRDefault="008072F3" w:rsidP="008072F3">
      <w:pPr>
        <w:ind w:firstLine="708"/>
      </w:pPr>
      <w:r w:rsidRPr="001222EE">
        <w:t xml:space="preserve">у </w:t>
      </w:r>
      <w:r w:rsidR="00A72CEF" w:rsidRPr="001222EE">
        <w:t xml:space="preserve">другому реченні </w:t>
      </w:r>
      <w:r w:rsidRPr="001222EE">
        <w:t xml:space="preserve"> літери “СТ” замінити літерами “РК”;</w:t>
      </w:r>
    </w:p>
    <w:p w14:paraId="7BB1C3CF" w14:textId="40374E10" w:rsidR="00585B3C" w:rsidRPr="001222EE" w:rsidRDefault="00585B3C" w:rsidP="008072F3">
      <w:pPr>
        <w:ind w:firstLine="708"/>
      </w:pPr>
      <w:r w:rsidRPr="001222EE">
        <w:t>у першому реченні пункту 4.5 літери та цифри “Н10к” замінити літерами та цифрою “Н9к”;</w:t>
      </w:r>
    </w:p>
    <w:p w14:paraId="5F7E6D03" w14:textId="170F9D44" w:rsidR="00585B3C" w:rsidRPr="001222EE" w:rsidRDefault="008072F3" w:rsidP="008072F3">
      <w:pPr>
        <w:ind w:firstLine="709"/>
      </w:pPr>
      <w:r w:rsidRPr="001222EE">
        <w:t xml:space="preserve">у пункті </w:t>
      </w:r>
      <w:r w:rsidR="00585B3C" w:rsidRPr="001222EE">
        <w:t>4</w:t>
      </w:r>
      <w:r w:rsidRPr="001222EE">
        <w:t>.6</w:t>
      </w:r>
      <w:r w:rsidR="00604115">
        <w:t xml:space="preserve"> </w:t>
      </w:r>
      <w:r w:rsidR="00585B3C" w:rsidRPr="001222EE">
        <w:t>літери та цифри “Н10к”</w:t>
      </w:r>
      <w:r w:rsidR="00604115">
        <w:t xml:space="preserve">, </w:t>
      </w:r>
      <w:r w:rsidR="00604115" w:rsidRPr="001222EE">
        <w:t xml:space="preserve">“30” </w:t>
      </w:r>
      <w:r w:rsidR="00585B3C" w:rsidRPr="001222EE">
        <w:t xml:space="preserve">замінити </w:t>
      </w:r>
      <w:r w:rsidR="00604115">
        <w:t xml:space="preserve">відповідно </w:t>
      </w:r>
      <w:r w:rsidR="00585B3C" w:rsidRPr="001222EE">
        <w:t>літерами та цифр</w:t>
      </w:r>
      <w:r w:rsidR="00604115">
        <w:t>ами</w:t>
      </w:r>
      <w:r w:rsidR="00585B3C" w:rsidRPr="001222EE">
        <w:t xml:space="preserve"> “Н9к”</w:t>
      </w:r>
      <w:r w:rsidR="00604115">
        <w:t xml:space="preserve">, </w:t>
      </w:r>
      <w:r w:rsidR="00604115" w:rsidRPr="001222EE">
        <w:t>“</w:t>
      </w:r>
      <w:r w:rsidR="00604115">
        <w:t>25</w:t>
      </w:r>
      <w:r w:rsidR="00604115" w:rsidRPr="001222EE">
        <w:t>”</w:t>
      </w:r>
      <w:r w:rsidR="00585B3C" w:rsidRPr="001222EE">
        <w:t>;</w:t>
      </w:r>
    </w:p>
    <w:p w14:paraId="2783632B" w14:textId="77777777" w:rsidR="008072F3" w:rsidRPr="001222EE" w:rsidRDefault="008072F3" w:rsidP="008072F3">
      <w:pPr>
        <w:ind w:firstLine="708"/>
      </w:pPr>
    </w:p>
    <w:p w14:paraId="768027EF" w14:textId="44E99421" w:rsidR="008072F3" w:rsidRPr="008072F3" w:rsidRDefault="008072F3" w:rsidP="008072F3">
      <w:pPr>
        <w:ind w:firstLine="708"/>
      </w:pPr>
      <w:r w:rsidRPr="001222EE">
        <w:t xml:space="preserve">6) главу </w:t>
      </w:r>
      <w:r w:rsidR="00585B3C" w:rsidRPr="001222EE">
        <w:t>5</w:t>
      </w:r>
      <w:r w:rsidRPr="001222EE">
        <w:t xml:space="preserve"> виключити.</w:t>
      </w:r>
    </w:p>
    <w:p w14:paraId="2D88E852" w14:textId="77777777" w:rsidR="008072F3" w:rsidRPr="008072F3" w:rsidRDefault="008072F3" w:rsidP="008072F3">
      <w:pPr>
        <w:ind w:firstLine="709"/>
      </w:pPr>
      <w:r w:rsidRPr="008072F3">
        <w:t xml:space="preserve"> </w:t>
      </w:r>
    </w:p>
    <w:p w14:paraId="78456C39" w14:textId="77777777" w:rsidR="008072F3" w:rsidRPr="008072F3" w:rsidRDefault="008072F3" w:rsidP="008072F3">
      <w:pPr>
        <w:ind w:firstLine="708"/>
      </w:pPr>
      <w:r w:rsidRPr="008072F3">
        <w:t>4. У розділі V:</w:t>
      </w:r>
    </w:p>
    <w:p w14:paraId="1A55D021" w14:textId="77777777" w:rsidR="008072F3" w:rsidRPr="008072F3" w:rsidRDefault="008072F3" w:rsidP="008072F3">
      <w:pPr>
        <w:ind w:firstLine="709"/>
        <w:rPr>
          <w:highlight w:val="yellow"/>
        </w:rPr>
      </w:pPr>
    </w:p>
    <w:p w14:paraId="691E3A8F" w14:textId="77777777" w:rsidR="008072F3" w:rsidRPr="008072F3" w:rsidRDefault="008072F3" w:rsidP="008072F3">
      <w:pPr>
        <w:ind w:firstLine="709"/>
      </w:pPr>
      <w:r w:rsidRPr="008072F3">
        <w:t>1) у пункті 1.3 глави 1:</w:t>
      </w:r>
    </w:p>
    <w:p w14:paraId="47B95F1C" w14:textId="77777777" w:rsidR="008072F3" w:rsidRPr="008072F3" w:rsidRDefault="008072F3" w:rsidP="008072F3">
      <w:pPr>
        <w:ind w:firstLine="709"/>
      </w:pPr>
      <w:r w:rsidRPr="008072F3">
        <w:t>в абзаці першому:</w:t>
      </w:r>
    </w:p>
    <w:p w14:paraId="2D8282E0" w14:textId="77777777" w:rsidR="008072F3" w:rsidRPr="008072F3" w:rsidRDefault="008072F3" w:rsidP="008072F3">
      <w:pPr>
        <w:ind w:firstLine="709"/>
      </w:pPr>
      <w:r w:rsidRPr="008072F3">
        <w:t>слова “учасників банківської групи (крім страхових компаній)” замінити словами “банку – учасника банківської групи”;</w:t>
      </w:r>
    </w:p>
    <w:p w14:paraId="02E38CB7" w14:textId="77777777" w:rsidR="008072F3" w:rsidRPr="008072F3" w:rsidRDefault="008072F3" w:rsidP="008072F3">
      <w:pPr>
        <w:ind w:firstLine="709"/>
      </w:pPr>
      <w:r w:rsidRPr="008072F3">
        <w:t>слово “іншої” виключити;</w:t>
      </w:r>
    </w:p>
    <w:p w14:paraId="6E9A0AF0" w14:textId="77777777" w:rsidR="008072F3" w:rsidRPr="008072F3" w:rsidRDefault="008072F3" w:rsidP="008072F3">
      <w:pPr>
        <w:ind w:firstLine="709"/>
      </w:pPr>
      <w:r w:rsidRPr="008072F3">
        <w:t>в абзаці шостому слова “учасниками банківської групи (крім страхових компаній)” замінити словами “банком – учасником банківської групи”;</w:t>
      </w:r>
    </w:p>
    <w:p w14:paraId="26A29DD1" w14:textId="77777777" w:rsidR="008072F3" w:rsidRPr="008072F3" w:rsidRDefault="008072F3" w:rsidP="008072F3">
      <w:pPr>
        <w:ind w:firstLine="709"/>
      </w:pPr>
    </w:p>
    <w:p w14:paraId="478D1273" w14:textId="77777777" w:rsidR="008072F3" w:rsidRPr="008072F3" w:rsidRDefault="008072F3" w:rsidP="008072F3">
      <w:pPr>
        <w:ind w:firstLine="709"/>
      </w:pPr>
      <w:r w:rsidRPr="008072F3">
        <w:t>2) у пункті 2.3 глави 2:</w:t>
      </w:r>
    </w:p>
    <w:p w14:paraId="0A09901C" w14:textId="77777777" w:rsidR="008072F3" w:rsidRPr="008072F3" w:rsidRDefault="008072F3" w:rsidP="008072F3">
      <w:pPr>
        <w:ind w:firstLine="709"/>
      </w:pPr>
      <w:r w:rsidRPr="008072F3">
        <w:t>в абзаці першому:</w:t>
      </w:r>
    </w:p>
    <w:p w14:paraId="2BEA3CD8" w14:textId="77777777" w:rsidR="008072F3" w:rsidRPr="008072F3" w:rsidRDefault="008072F3" w:rsidP="008072F3">
      <w:pPr>
        <w:ind w:firstLine="709"/>
      </w:pPr>
      <w:r w:rsidRPr="008072F3">
        <w:t>слова “учасників банківської групи (крім страхових компаній)” замінити словами “балансу банку – учасника банківської групи”;</w:t>
      </w:r>
    </w:p>
    <w:p w14:paraId="542CE68F" w14:textId="77777777" w:rsidR="008072F3" w:rsidRPr="008072F3" w:rsidRDefault="008072F3" w:rsidP="008072F3">
      <w:pPr>
        <w:ind w:firstLine="709"/>
      </w:pPr>
      <w:r w:rsidRPr="008072F3">
        <w:t>слово “іншої” виключити;</w:t>
      </w:r>
    </w:p>
    <w:p w14:paraId="5995EFB6" w14:textId="06F69A86" w:rsidR="008072F3" w:rsidRPr="008072F3" w:rsidRDefault="008072F3" w:rsidP="008072F3">
      <w:pPr>
        <w:ind w:firstLine="709"/>
      </w:pPr>
      <w:r w:rsidRPr="008072F3">
        <w:lastRenderedPageBreak/>
        <w:t>в абзаці шостому слова “учасниками банківської групи (крім страхових компаній)” замінити словами “банком – учасником банківської групи”</w:t>
      </w:r>
      <w:r w:rsidR="00047670">
        <w:t>.</w:t>
      </w:r>
    </w:p>
    <w:p w14:paraId="681A0B4E" w14:textId="77777777" w:rsidR="008072F3" w:rsidRPr="008072F3" w:rsidRDefault="008072F3" w:rsidP="008072F3">
      <w:pPr>
        <w:ind w:firstLine="709"/>
      </w:pPr>
    </w:p>
    <w:p w14:paraId="4A30A8A5" w14:textId="2E3DBEB6" w:rsidR="008072F3" w:rsidRPr="008072F3" w:rsidRDefault="0019053E" w:rsidP="008072F3">
      <w:pPr>
        <w:ind w:firstLine="709"/>
      </w:pPr>
      <w:r>
        <w:t>5</w:t>
      </w:r>
      <w:r w:rsidR="008072F3" w:rsidRPr="008072F3">
        <w:t>. У розділі VІ:</w:t>
      </w:r>
    </w:p>
    <w:p w14:paraId="47C29EB4" w14:textId="77777777" w:rsidR="008072F3" w:rsidRPr="008072F3" w:rsidRDefault="008072F3" w:rsidP="008072F3">
      <w:pPr>
        <w:ind w:firstLine="709"/>
      </w:pPr>
    </w:p>
    <w:p w14:paraId="104F344A" w14:textId="20EA80BA" w:rsidR="008072F3" w:rsidRPr="008072F3" w:rsidRDefault="008072F3" w:rsidP="008072F3">
      <w:pPr>
        <w:ind w:firstLine="709"/>
      </w:pPr>
      <w:r w:rsidRPr="008072F3">
        <w:t xml:space="preserve">1) пункт 1.2 глави 1 </w:t>
      </w:r>
      <w:r w:rsidR="00B70A52">
        <w:t xml:space="preserve">після </w:t>
      </w:r>
      <w:r w:rsidRPr="008072F3">
        <w:t>сл</w:t>
      </w:r>
      <w:r w:rsidR="00DA3BB6">
        <w:t>ів</w:t>
      </w:r>
      <w:r w:rsidRPr="008072F3">
        <w:t xml:space="preserve"> “консолідованої”</w:t>
      </w:r>
      <w:r w:rsidR="00047670">
        <w:t xml:space="preserve">, </w:t>
      </w:r>
      <w:r w:rsidRPr="008072F3">
        <w:t>“</w:t>
      </w:r>
      <w:proofErr w:type="spellStart"/>
      <w:r w:rsidRPr="008072F3">
        <w:t>субконсолідованої</w:t>
      </w:r>
      <w:proofErr w:type="spellEnd"/>
      <w:r w:rsidRPr="008072F3">
        <w:t xml:space="preserve">” </w:t>
      </w:r>
      <w:r w:rsidR="00B70A52">
        <w:t xml:space="preserve">доповнити </w:t>
      </w:r>
      <w:r w:rsidRPr="008072F3">
        <w:t>слов</w:t>
      </w:r>
      <w:r w:rsidR="00B70A52">
        <w:t>ом</w:t>
      </w:r>
      <w:r w:rsidRPr="008072F3">
        <w:t xml:space="preserve"> “фінансової”;</w:t>
      </w:r>
    </w:p>
    <w:p w14:paraId="4995A6A4" w14:textId="77777777" w:rsidR="008072F3" w:rsidRPr="008072F3" w:rsidRDefault="008072F3" w:rsidP="008072F3">
      <w:pPr>
        <w:ind w:firstLine="709"/>
      </w:pPr>
    </w:p>
    <w:p w14:paraId="0D26BE6B" w14:textId="77777777" w:rsidR="008072F3" w:rsidRPr="008072F3" w:rsidRDefault="008072F3" w:rsidP="008072F3">
      <w:pPr>
        <w:ind w:firstLine="709"/>
      </w:pPr>
      <w:r w:rsidRPr="008072F3">
        <w:t>2) у главі 2:</w:t>
      </w:r>
    </w:p>
    <w:p w14:paraId="2263C45F" w14:textId="77777777" w:rsidR="008072F3" w:rsidRPr="008072F3" w:rsidRDefault="008072F3" w:rsidP="008072F3">
      <w:pPr>
        <w:ind w:firstLine="709"/>
      </w:pPr>
      <w:r w:rsidRPr="008072F3">
        <w:t>абзац перший пункту 2.2 після слова “</w:t>
      </w:r>
      <w:proofErr w:type="spellStart"/>
      <w:r w:rsidRPr="008072F3">
        <w:t>субконсолідованої</w:t>
      </w:r>
      <w:proofErr w:type="spellEnd"/>
      <w:r w:rsidRPr="008072F3">
        <w:t>” доповнити словом “та”;</w:t>
      </w:r>
    </w:p>
    <w:p w14:paraId="68713E83" w14:textId="77777777" w:rsidR="008072F3" w:rsidRPr="008072F3" w:rsidRDefault="008072F3" w:rsidP="008072F3">
      <w:pPr>
        <w:ind w:firstLine="709"/>
      </w:pPr>
      <w:r w:rsidRPr="008072F3">
        <w:t>у пункті 2.3:</w:t>
      </w:r>
    </w:p>
    <w:p w14:paraId="5B7804CD" w14:textId="2259B261" w:rsidR="008072F3" w:rsidRPr="008072F3" w:rsidRDefault="008072F3" w:rsidP="008072F3">
      <w:pPr>
        <w:ind w:firstLine="709"/>
      </w:pPr>
      <w:r w:rsidRPr="008072F3">
        <w:t>абзац перш</w:t>
      </w:r>
      <w:r w:rsidR="00047670">
        <w:t>ий після</w:t>
      </w:r>
      <w:r w:rsidRPr="008072F3">
        <w:t xml:space="preserve"> сл</w:t>
      </w:r>
      <w:r w:rsidR="00047670">
        <w:t>ів</w:t>
      </w:r>
      <w:r w:rsidRPr="008072F3">
        <w:t xml:space="preserve"> “</w:t>
      </w:r>
      <w:r w:rsidR="00047670">
        <w:t>консолідовану</w:t>
      </w:r>
      <w:r w:rsidRPr="008072F3">
        <w:t>”</w:t>
      </w:r>
      <w:r w:rsidR="00047670">
        <w:t xml:space="preserve">, </w:t>
      </w:r>
      <w:r w:rsidR="00047670" w:rsidRPr="001222EE">
        <w:t>“</w:t>
      </w:r>
      <w:proofErr w:type="spellStart"/>
      <w:r w:rsidR="00047670" w:rsidRPr="001222EE">
        <w:t>субконсолідовану</w:t>
      </w:r>
      <w:proofErr w:type="spellEnd"/>
      <w:r w:rsidR="00047670" w:rsidRPr="001222EE">
        <w:t>”</w:t>
      </w:r>
      <w:r w:rsidRPr="008072F3">
        <w:t xml:space="preserve"> </w:t>
      </w:r>
      <w:r w:rsidR="00047670">
        <w:t xml:space="preserve">доповнити </w:t>
      </w:r>
      <w:r w:rsidRPr="008072F3">
        <w:t xml:space="preserve"> слов</w:t>
      </w:r>
      <w:r w:rsidR="00047670">
        <w:t>ом</w:t>
      </w:r>
      <w:r w:rsidR="001222EE">
        <w:t xml:space="preserve"> </w:t>
      </w:r>
      <w:r w:rsidRPr="008072F3">
        <w:t>“фінансову”;</w:t>
      </w:r>
    </w:p>
    <w:p w14:paraId="265D04D1" w14:textId="73B05B24" w:rsidR="008072F3" w:rsidRPr="008072F3" w:rsidRDefault="008072F3" w:rsidP="008072F3">
      <w:pPr>
        <w:ind w:firstLine="709"/>
      </w:pPr>
      <w:r w:rsidRPr="008072F3">
        <w:t>абзац друг</w:t>
      </w:r>
      <w:r w:rsidR="00047670">
        <w:t xml:space="preserve">ий після слів </w:t>
      </w:r>
      <w:r w:rsidR="001222EE" w:rsidRPr="001222EE">
        <w:t>“консолідован</w:t>
      </w:r>
      <w:r w:rsidR="001222EE">
        <w:t>а</w:t>
      </w:r>
      <w:r w:rsidR="001222EE" w:rsidRPr="001222EE">
        <w:t>”, “</w:t>
      </w:r>
      <w:proofErr w:type="spellStart"/>
      <w:r w:rsidR="001222EE" w:rsidRPr="001222EE">
        <w:t>субконсолідован</w:t>
      </w:r>
      <w:r w:rsidR="001222EE">
        <w:t>а</w:t>
      </w:r>
      <w:proofErr w:type="spellEnd"/>
      <w:r w:rsidR="001222EE" w:rsidRPr="001222EE">
        <w:t>”</w:t>
      </w:r>
      <w:r w:rsidR="001222EE">
        <w:t xml:space="preserve"> </w:t>
      </w:r>
      <w:r w:rsidR="00047670">
        <w:t>доповнити</w:t>
      </w:r>
      <w:r w:rsidRPr="008072F3">
        <w:t xml:space="preserve"> слов</w:t>
      </w:r>
      <w:r w:rsidR="00047670">
        <w:t>ом</w:t>
      </w:r>
      <w:r w:rsidR="001222EE">
        <w:t xml:space="preserve"> </w:t>
      </w:r>
      <w:r w:rsidRPr="008072F3">
        <w:t>“</w:t>
      </w:r>
      <w:r w:rsidR="00047670">
        <w:t>фінансова</w:t>
      </w:r>
      <w:r w:rsidRPr="008072F3">
        <w:t>”;</w:t>
      </w:r>
    </w:p>
    <w:p w14:paraId="598E7F52" w14:textId="77777777" w:rsidR="008072F3" w:rsidRPr="008072F3" w:rsidRDefault="008072F3" w:rsidP="008072F3">
      <w:pPr>
        <w:ind w:firstLine="709"/>
      </w:pPr>
      <w:r w:rsidRPr="008072F3">
        <w:t>в абзаці третьому слова “річна консолідована звітність банківської групи/</w:t>
      </w:r>
      <w:proofErr w:type="spellStart"/>
      <w:r w:rsidRPr="008072F3">
        <w:t>субконсолідована</w:t>
      </w:r>
      <w:proofErr w:type="spellEnd"/>
      <w:r w:rsidRPr="008072F3">
        <w:t xml:space="preserve"> звітність” замінити словами “проміжна, річна консолідована фінансова звітність банківської групи/</w:t>
      </w:r>
      <w:proofErr w:type="spellStart"/>
      <w:r w:rsidRPr="008072F3">
        <w:t>субконсолідована</w:t>
      </w:r>
      <w:proofErr w:type="spellEnd"/>
      <w:r w:rsidRPr="008072F3">
        <w:t xml:space="preserve"> фінансова звітність”;</w:t>
      </w:r>
    </w:p>
    <w:p w14:paraId="4AB74BDF" w14:textId="0E4EB286" w:rsidR="008072F3" w:rsidRPr="008072F3" w:rsidRDefault="008072F3" w:rsidP="008072F3">
      <w:pPr>
        <w:ind w:firstLine="709"/>
      </w:pPr>
      <w:r w:rsidRPr="008072F3">
        <w:t xml:space="preserve">пункт 2.5 </w:t>
      </w:r>
      <w:r w:rsidR="00100F61">
        <w:t xml:space="preserve">після </w:t>
      </w:r>
      <w:r w:rsidRPr="008072F3">
        <w:t>слов</w:t>
      </w:r>
      <w:r w:rsidR="00100F61">
        <w:t xml:space="preserve">а </w:t>
      </w:r>
      <w:r w:rsidR="00100F61" w:rsidRPr="001222EE">
        <w:rPr>
          <w:lang w:val="ru-RU"/>
        </w:rPr>
        <w:t>“</w:t>
      </w:r>
      <w:r w:rsidR="00100F61" w:rsidRPr="00DA4532">
        <w:t>консолідована</w:t>
      </w:r>
      <w:r w:rsidR="00100F61" w:rsidRPr="001222EE">
        <w:rPr>
          <w:lang w:val="ru-RU"/>
        </w:rPr>
        <w:t>”</w:t>
      </w:r>
      <w:r w:rsidRPr="008072F3">
        <w:t xml:space="preserve"> </w:t>
      </w:r>
      <w:r w:rsidR="004647C6">
        <w:t xml:space="preserve">доповнити словом </w:t>
      </w:r>
      <w:r w:rsidRPr="008072F3">
        <w:t>“фінансова”;</w:t>
      </w:r>
    </w:p>
    <w:p w14:paraId="74E6971B" w14:textId="6704FF2C" w:rsidR="008072F3" w:rsidRPr="008072F3" w:rsidRDefault="008072F3" w:rsidP="008072F3">
      <w:pPr>
        <w:ind w:firstLine="709"/>
      </w:pPr>
      <w:r w:rsidRPr="008072F3">
        <w:t xml:space="preserve">пункт 2.6 </w:t>
      </w:r>
      <w:r w:rsidR="004647C6">
        <w:t xml:space="preserve">після </w:t>
      </w:r>
      <w:r w:rsidR="00DA4532" w:rsidRPr="00DA4532">
        <w:t>слів “консолідован</w:t>
      </w:r>
      <w:r w:rsidR="00B70A52">
        <w:t>у</w:t>
      </w:r>
      <w:r w:rsidR="00DA4532" w:rsidRPr="00DA4532">
        <w:t>”, “</w:t>
      </w:r>
      <w:proofErr w:type="spellStart"/>
      <w:r w:rsidR="00DA4532" w:rsidRPr="00DA4532">
        <w:t>субконсолідован</w:t>
      </w:r>
      <w:r w:rsidR="00B70A52">
        <w:t>у</w:t>
      </w:r>
      <w:proofErr w:type="spellEnd"/>
      <w:r w:rsidR="00DA4532" w:rsidRPr="00DA4532">
        <w:t>” доповнити словом “фінансов</w:t>
      </w:r>
      <w:r w:rsidR="00B70A52">
        <w:t>у</w:t>
      </w:r>
      <w:r w:rsidR="00DA4532" w:rsidRPr="00DA4532">
        <w:t>”</w:t>
      </w:r>
      <w:r w:rsidRPr="008072F3">
        <w:t>;</w:t>
      </w:r>
    </w:p>
    <w:p w14:paraId="4D3FD2A1" w14:textId="77777777" w:rsidR="008072F3" w:rsidRPr="008072F3" w:rsidRDefault="008072F3" w:rsidP="008072F3">
      <w:pPr>
        <w:ind w:firstLine="709"/>
      </w:pPr>
      <w:r w:rsidRPr="008072F3">
        <w:t>пункт 2.7 викласти в такій редакції:</w:t>
      </w:r>
    </w:p>
    <w:p w14:paraId="24805304" w14:textId="4C14A2D7" w:rsidR="008072F3" w:rsidRPr="008072F3" w:rsidRDefault="008072F3" w:rsidP="008072F3">
      <w:pPr>
        <w:ind w:firstLine="709"/>
      </w:pPr>
      <w:r w:rsidRPr="008072F3">
        <w:t>“2.7. Відповідальна особа банківської групи зобов’язана не пізніше 1 червня</w:t>
      </w:r>
      <w:r w:rsidR="0019053E">
        <w:t xml:space="preserve"> року</w:t>
      </w:r>
      <w:r w:rsidRPr="008072F3">
        <w:t xml:space="preserve">, наступного за звітним, оприлюднювати річну консолідовану фінансову звітність банківської групи разом з аудиторським звітом шляхом розміщення на власному </w:t>
      </w:r>
      <w:proofErr w:type="spellStart"/>
      <w:r w:rsidRPr="008072F3">
        <w:t>вебсайті</w:t>
      </w:r>
      <w:proofErr w:type="spellEnd"/>
      <w:r w:rsidRPr="008072F3">
        <w:t xml:space="preserve"> та в інший спосіб у випадках, визначених законодавством України.”;</w:t>
      </w:r>
    </w:p>
    <w:p w14:paraId="3D914966" w14:textId="2625E690" w:rsidR="008072F3" w:rsidRPr="008072F3" w:rsidRDefault="008072F3" w:rsidP="008072F3">
      <w:pPr>
        <w:ind w:firstLine="709"/>
      </w:pPr>
      <w:r w:rsidRPr="008072F3">
        <w:t>пункт 2.8</w:t>
      </w:r>
      <w:r w:rsidR="0055518D">
        <w:t xml:space="preserve"> після </w:t>
      </w:r>
      <w:r w:rsidRPr="008072F3">
        <w:t>сл</w:t>
      </w:r>
      <w:r w:rsidR="000B7235">
        <w:t>ів</w:t>
      </w:r>
      <w:r w:rsidRPr="008072F3">
        <w:t xml:space="preserve"> “</w:t>
      </w:r>
      <w:r w:rsidR="0055518D">
        <w:t>консолідованою</w:t>
      </w:r>
      <w:r w:rsidRPr="008072F3">
        <w:t>”</w:t>
      </w:r>
      <w:r w:rsidR="00A3401F">
        <w:t xml:space="preserve">, </w:t>
      </w:r>
      <w:r w:rsidR="00A3401F" w:rsidRPr="008072F3">
        <w:t>“аудиторською фірмою,”</w:t>
      </w:r>
      <w:r w:rsidRPr="008072F3">
        <w:t xml:space="preserve"> </w:t>
      </w:r>
      <w:r w:rsidR="0055518D">
        <w:t xml:space="preserve">доповнити </w:t>
      </w:r>
      <w:r w:rsidR="00A3401F">
        <w:t xml:space="preserve">відповідно </w:t>
      </w:r>
      <w:r w:rsidRPr="008072F3">
        <w:t xml:space="preserve"> слов</w:t>
      </w:r>
      <w:r w:rsidR="00B70A52">
        <w:t>ами</w:t>
      </w:r>
      <w:r w:rsidRPr="008072F3">
        <w:t xml:space="preserve"> </w:t>
      </w:r>
      <w:r w:rsidR="00A3401F">
        <w:t xml:space="preserve">та цифрами </w:t>
      </w:r>
      <w:r w:rsidRPr="008072F3">
        <w:t>“фінансовою”</w:t>
      </w:r>
      <w:r w:rsidR="00A3401F">
        <w:t xml:space="preserve">, </w:t>
      </w:r>
      <w:r w:rsidR="00A3401F" w:rsidRPr="008072F3">
        <w:t>“Звіт про управління банківської групи, який складається з урахуванням вимог, визначених Інструкцією № 373, а також”</w:t>
      </w:r>
      <w:r w:rsidRPr="008072F3">
        <w:t>;</w:t>
      </w:r>
    </w:p>
    <w:p w14:paraId="302EC79A" w14:textId="77777777" w:rsidR="008072F3" w:rsidRPr="008072F3" w:rsidRDefault="008072F3" w:rsidP="008072F3">
      <w:pPr>
        <w:ind w:firstLine="709"/>
      </w:pPr>
      <w:r w:rsidRPr="008072F3">
        <w:t>у пункті 2.9:</w:t>
      </w:r>
    </w:p>
    <w:p w14:paraId="143BE871" w14:textId="77777777" w:rsidR="001E7203" w:rsidRDefault="008072F3" w:rsidP="008072F3">
      <w:pPr>
        <w:ind w:firstLine="709"/>
      </w:pPr>
      <w:r w:rsidRPr="008072F3">
        <w:t>в абзаці першому</w:t>
      </w:r>
      <w:r w:rsidR="001E7203">
        <w:t>:</w:t>
      </w:r>
    </w:p>
    <w:p w14:paraId="489C4B7F" w14:textId="7ED0B5D1" w:rsidR="001E7203" w:rsidRDefault="0019053E" w:rsidP="008072F3">
      <w:pPr>
        <w:ind w:firstLine="709"/>
      </w:pPr>
      <w:r>
        <w:t xml:space="preserve">абзац </w:t>
      </w:r>
      <w:r w:rsidR="001E7203">
        <w:t xml:space="preserve">після </w:t>
      </w:r>
      <w:r w:rsidR="008072F3" w:rsidRPr="008072F3">
        <w:t>сл</w:t>
      </w:r>
      <w:r w:rsidR="00B70A52">
        <w:t>ів</w:t>
      </w:r>
      <w:r w:rsidR="008072F3" w:rsidRPr="008072F3">
        <w:t xml:space="preserve"> “</w:t>
      </w:r>
      <w:r w:rsidR="001E7203">
        <w:t>консолідовану</w:t>
      </w:r>
      <w:r w:rsidR="008072F3" w:rsidRPr="008072F3">
        <w:t>”</w:t>
      </w:r>
      <w:r w:rsidR="00B70A52">
        <w:t xml:space="preserve">, </w:t>
      </w:r>
      <w:r w:rsidR="00B70A52" w:rsidRPr="008705FF">
        <w:rPr>
          <w:lang w:val="ru-RU"/>
        </w:rPr>
        <w:t>“</w:t>
      </w:r>
      <w:proofErr w:type="spellStart"/>
      <w:r w:rsidR="00B70A52">
        <w:t>субконсолідовану</w:t>
      </w:r>
      <w:proofErr w:type="spellEnd"/>
      <w:r w:rsidR="00B70A52" w:rsidRPr="008705FF">
        <w:rPr>
          <w:lang w:val="ru-RU"/>
        </w:rPr>
        <w:t>”</w:t>
      </w:r>
      <w:r w:rsidR="001E7203">
        <w:t xml:space="preserve"> доповнити словом </w:t>
      </w:r>
      <w:r w:rsidR="001E7203" w:rsidRPr="008072F3">
        <w:t>“фінансову”</w:t>
      </w:r>
      <w:r w:rsidR="001E7203">
        <w:t>;</w:t>
      </w:r>
    </w:p>
    <w:p w14:paraId="0DAC2070" w14:textId="4EB7F0BD" w:rsidR="008072F3" w:rsidRPr="008072F3" w:rsidRDefault="001E7203" w:rsidP="008072F3">
      <w:pPr>
        <w:ind w:firstLine="709"/>
      </w:pPr>
      <w:r>
        <w:t>слова та цифри</w:t>
      </w:r>
      <w:r w:rsidR="008072F3" w:rsidRPr="008072F3">
        <w:t xml:space="preserve"> “I</w:t>
      </w:r>
      <w:r w:rsidR="0019053E">
        <w:t>−</w:t>
      </w:r>
      <w:r w:rsidR="008072F3" w:rsidRPr="008072F3">
        <w:t>III квартали звітного року” замінити словами “результатами першого кварталу, першого півріччя, дев’яти місяців”;</w:t>
      </w:r>
    </w:p>
    <w:p w14:paraId="1F6512B9" w14:textId="0139D263" w:rsidR="008072F3" w:rsidRPr="008072F3" w:rsidRDefault="008072F3" w:rsidP="008072F3">
      <w:pPr>
        <w:ind w:firstLine="709"/>
      </w:pPr>
      <w:r w:rsidRPr="008072F3">
        <w:t>абзац четверт</w:t>
      </w:r>
      <w:r w:rsidR="007E70DF">
        <w:t>ий</w:t>
      </w:r>
      <w:r w:rsidRPr="008072F3">
        <w:t xml:space="preserve"> </w:t>
      </w:r>
      <w:r w:rsidR="00DA4532" w:rsidRPr="00DA4532">
        <w:t>після сл</w:t>
      </w:r>
      <w:r w:rsidR="00DA4532">
        <w:t>ів</w:t>
      </w:r>
      <w:r w:rsidR="00DA4532" w:rsidRPr="00DA4532">
        <w:t xml:space="preserve"> “консолідован</w:t>
      </w:r>
      <w:r w:rsidR="00DA4532">
        <w:t>ої</w:t>
      </w:r>
      <w:r w:rsidR="00DA4532" w:rsidRPr="00DA4532">
        <w:t>”</w:t>
      </w:r>
      <w:r w:rsidR="00DA4532">
        <w:t xml:space="preserve">, </w:t>
      </w:r>
      <w:r w:rsidR="00DA4532" w:rsidRPr="00DA4532">
        <w:t>“</w:t>
      </w:r>
      <w:proofErr w:type="spellStart"/>
      <w:r w:rsidR="00DA4532">
        <w:t>суб</w:t>
      </w:r>
      <w:r w:rsidR="00DA4532" w:rsidRPr="00DA4532">
        <w:t>консолідованої</w:t>
      </w:r>
      <w:proofErr w:type="spellEnd"/>
      <w:r w:rsidR="00DA4532" w:rsidRPr="00DA4532">
        <w:t>” доповнити словом “фінансов</w:t>
      </w:r>
      <w:r w:rsidR="00DA4532">
        <w:t>ої</w:t>
      </w:r>
      <w:r w:rsidR="00DA4532" w:rsidRPr="00DA4532">
        <w:t>”</w:t>
      </w:r>
      <w:r w:rsidRPr="008072F3">
        <w:t>;</w:t>
      </w:r>
    </w:p>
    <w:p w14:paraId="038C193B" w14:textId="5E67F536" w:rsidR="008072F3" w:rsidRPr="008072F3" w:rsidRDefault="008072F3" w:rsidP="008072F3">
      <w:pPr>
        <w:ind w:firstLine="709"/>
      </w:pPr>
      <w:r w:rsidRPr="008072F3">
        <w:t>абзац сьом</w:t>
      </w:r>
      <w:r w:rsidR="007E70DF">
        <w:t>ий</w:t>
      </w:r>
      <w:r w:rsidRPr="008072F3">
        <w:t xml:space="preserve"> </w:t>
      </w:r>
      <w:r w:rsidR="00DA4532" w:rsidRPr="00DA4532">
        <w:t>після слова “</w:t>
      </w:r>
      <w:r w:rsidR="00DA4532">
        <w:t>скороченої</w:t>
      </w:r>
      <w:r w:rsidR="00DA4532" w:rsidRPr="00DA4532">
        <w:t>” доповнити словом “фінансов</w:t>
      </w:r>
      <w:r w:rsidR="00DA4532">
        <w:t>ої</w:t>
      </w:r>
      <w:r w:rsidR="00DA4532" w:rsidRPr="00DA4532">
        <w:t>”</w:t>
      </w:r>
      <w:r w:rsidRPr="008072F3">
        <w:t>;</w:t>
      </w:r>
    </w:p>
    <w:p w14:paraId="0C4B4F25" w14:textId="18DCB8B8" w:rsidR="00360809" w:rsidRDefault="00DC2941" w:rsidP="008072F3">
      <w:pPr>
        <w:ind w:firstLine="709"/>
      </w:pPr>
      <w:r>
        <w:rPr>
          <w:lang w:val="ru-RU"/>
        </w:rPr>
        <w:lastRenderedPageBreak/>
        <w:t xml:space="preserve">у </w:t>
      </w:r>
      <w:r w:rsidRPr="00DC2941">
        <w:t>пункті</w:t>
      </w:r>
      <w:r>
        <w:rPr>
          <w:lang w:val="ru-RU"/>
        </w:rPr>
        <w:t xml:space="preserve"> 2.10</w:t>
      </w:r>
      <w:r w:rsidR="00360809">
        <w:t>:</w:t>
      </w:r>
    </w:p>
    <w:p w14:paraId="4D237802" w14:textId="267B0DDF" w:rsidR="00360809" w:rsidRDefault="00B87E61" w:rsidP="008072F3">
      <w:pPr>
        <w:ind w:firstLine="709"/>
      </w:pPr>
      <w:r>
        <w:t xml:space="preserve">пункт </w:t>
      </w:r>
      <w:r w:rsidR="00360809" w:rsidRPr="00360809">
        <w:t>після слів “консолідован</w:t>
      </w:r>
      <w:r w:rsidR="00360809">
        <w:t>у</w:t>
      </w:r>
      <w:r w:rsidR="00360809" w:rsidRPr="00360809">
        <w:t>”, “</w:t>
      </w:r>
      <w:proofErr w:type="spellStart"/>
      <w:r w:rsidR="00360809" w:rsidRPr="00360809">
        <w:t>субконсолідован</w:t>
      </w:r>
      <w:r w:rsidR="00360809">
        <w:t>у</w:t>
      </w:r>
      <w:proofErr w:type="spellEnd"/>
      <w:r w:rsidR="00360809" w:rsidRPr="00360809">
        <w:t>” доповнити словом “фінансов</w:t>
      </w:r>
      <w:r w:rsidR="00360809">
        <w:t>у</w:t>
      </w:r>
      <w:r w:rsidR="00360809" w:rsidRPr="00360809">
        <w:t>”</w:t>
      </w:r>
      <w:r w:rsidR="00360809">
        <w:t>;</w:t>
      </w:r>
    </w:p>
    <w:p w14:paraId="30B08DA1" w14:textId="551A642B" w:rsidR="008072F3" w:rsidRDefault="008072F3" w:rsidP="008072F3">
      <w:pPr>
        <w:ind w:firstLine="709"/>
      </w:pPr>
      <w:r w:rsidRPr="008072F3">
        <w:t>слов</w:t>
      </w:r>
      <w:r w:rsidR="00360809">
        <w:t>о</w:t>
      </w:r>
      <w:r w:rsidRPr="008072F3">
        <w:t xml:space="preserve"> “кварталом” замінити  слов</w:t>
      </w:r>
      <w:r w:rsidR="00360809">
        <w:t>ом</w:t>
      </w:r>
      <w:r w:rsidRPr="008072F3">
        <w:t xml:space="preserve"> “періодом”.</w:t>
      </w:r>
    </w:p>
    <w:p w14:paraId="70227E42" w14:textId="77777777" w:rsidR="00DC2941" w:rsidRPr="008072F3" w:rsidRDefault="00DC2941" w:rsidP="008072F3">
      <w:pPr>
        <w:ind w:firstLine="709"/>
      </w:pPr>
    </w:p>
    <w:p w14:paraId="33906D6B" w14:textId="77777777" w:rsidR="00842767" w:rsidRDefault="00842767" w:rsidP="008072F3">
      <w:pPr>
        <w:ind w:firstLine="709"/>
        <w:sectPr w:rsidR="00842767" w:rsidSect="008072F3">
          <w:headerReference w:type="default" r:id="rId17"/>
          <w:footerReference w:type="first" r:id="rId18"/>
          <w:pgSz w:w="11906" w:h="16838" w:code="9"/>
          <w:pgMar w:top="567" w:right="567" w:bottom="1701" w:left="1701" w:header="709" w:footer="709" w:gutter="0"/>
          <w:pgNumType w:start="1"/>
          <w:cols w:space="708"/>
          <w:titlePg/>
          <w:docGrid w:linePitch="381"/>
        </w:sectPr>
      </w:pPr>
    </w:p>
    <w:p w14:paraId="374B327F" w14:textId="4296F0E2" w:rsidR="008072F3" w:rsidRPr="008072F3" w:rsidRDefault="0019053E" w:rsidP="008072F3">
      <w:pPr>
        <w:ind w:firstLine="709"/>
      </w:pPr>
      <w:r>
        <w:lastRenderedPageBreak/>
        <w:t>6</w:t>
      </w:r>
      <w:r w:rsidR="008072F3" w:rsidRPr="008072F3">
        <w:t>. У таблиці додатк</w:t>
      </w:r>
      <w:r>
        <w:t>а</w:t>
      </w:r>
      <w:r w:rsidR="008072F3" w:rsidRPr="008072F3">
        <w:t xml:space="preserve"> до Положення:</w:t>
      </w:r>
    </w:p>
    <w:p w14:paraId="5ADCF1AD" w14:textId="77777777" w:rsidR="008072F3" w:rsidRPr="008072F3" w:rsidRDefault="008072F3" w:rsidP="008072F3">
      <w:pPr>
        <w:ind w:firstLine="709"/>
      </w:pPr>
    </w:p>
    <w:p w14:paraId="69306345" w14:textId="77777777" w:rsidR="008072F3" w:rsidRPr="008072F3" w:rsidRDefault="008072F3" w:rsidP="008072F3">
      <w:pPr>
        <w:ind w:firstLine="709"/>
      </w:pPr>
      <w:r w:rsidRPr="008072F3">
        <w:t>1) таблицю після рядка 10 доповнити новим рядком 11 такого змісту:</w:t>
      </w:r>
    </w:p>
    <w:p w14:paraId="0C3A026E" w14:textId="77777777" w:rsidR="002239C7" w:rsidRPr="008072F3" w:rsidRDefault="008072F3" w:rsidP="008072F3">
      <w:pPr>
        <w:ind w:firstLine="709"/>
      </w:pPr>
      <w:r w:rsidRPr="008072F3">
        <w:t>“</w:t>
      </w:r>
    </w:p>
    <w:tbl>
      <w:tblPr>
        <w:tblW w:w="45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771"/>
        <w:gridCol w:w="3608"/>
        <w:gridCol w:w="388"/>
        <w:gridCol w:w="388"/>
        <w:gridCol w:w="383"/>
        <w:gridCol w:w="359"/>
        <w:gridCol w:w="414"/>
        <w:gridCol w:w="420"/>
        <w:gridCol w:w="530"/>
        <w:gridCol w:w="545"/>
        <w:gridCol w:w="614"/>
        <w:gridCol w:w="700"/>
        <w:gridCol w:w="700"/>
        <w:gridCol w:w="695"/>
        <w:gridCol w:w="695"/>
        <w:gridCol w:w="695"/>
        <w:gridCol w:w="695"/>
      </w:tblGrid>
      <w:tr w:rsidR="002239C7" w:rsidRPr="002239C7" w14:paraId="58D433A0" w14:textId="77777777" w:rsidTr="00D05856">
        <w:trPr>
          <w:jc w:val="center"/>
        </w:trPr>
        <w:tc>
          <w:tcPr>
            <w:tcW w:w="195" w:type="pct"/>
            <w:shd w:val="clear" w:color="auto" w:fill="auto"/>
          </w:tcPr>
          <w:p w14:paraId="287BFCC6" w14:textId="77777777" w:rsidR="002239C7" w:rsidRPr="002239C7" w:rsidRDefault="002239C7" w:rsidP="002239C7">
            <w:pPr>
              <w:jc w:val="center"/>
            </w:pPr>
            <w:r w:rsidRPr="002239C7">
              <w:t>1</w:t>
            </w:r>
          </w:p>
        </w:tc>
        <w:tc>
          <w:tcPr>
            <w:tcW w:w="294" w:type="pct"/>
            <w:shd w:val="clear" w:color="auto" w:fill="auto"/>
          </w:tcPr>
          <w:p w14:paraId="379CF4FD" w14:textId="77777777" w:rsidR="002239C7" w:rsidRPr="002239C7" w:rsidRDefault="002239C7" w:rsidP="002239C7">
            <w:pPr>
              <w:jc w:val="center"/>
            </w:pPr>
            <w:r w:rsidRPr="002239C7">
              <w:t>2</w:t>
            </w:r>
          </w:p>
        </w:tc>
        <w:tc>
          <w:tcPr>
            <w:tcW w:w="1376" w:type="pct"/>
            <w:shd w:val="clear" w:color="auto" w:fill="auto"/>
          </w:tcPr>
          <w:p w14:paraId="1B6F59ED" w14:textId="77777777" w:rsidR="002239C7" w:rsidRPr="002239C7" w:rsidRDefault="002239C7" w:rsidP="002239C7">
            <w:pPr>
              <w:jc w:val="center"/>
            </w:pPr>
            <w:r w:rsidRPr="002239C7">
              <w:t>3</w:t>
            </w:r>
          </w:p>
        </w:tc>
        <w:tc>
          <w:tcPr>
            <w:tcW w:w="148" w:type="pct"/>
            <w:shd w:val="clear" w:color="auto" w:fill="auto"/>
          </w:tcPr>
          <w:p w14:paraId="19D9AA53" w14:textId="77777777" w:rsidR="002239C7" w:rsidRPr="002239C7" w:rsidRDefault="002239C7" w:rsidP="002239C7">
            <w:pPr>
              <w:jc w:val="center"/>
            </w:pPr>
            <w:r w:rsidRPr="002239C7">
              <w:t>4</w:t>
            </w:r>
          </w:p>
        </w:tc>
        <w:tc>
          <w:tcPr>
            <w:tcW w:w="148" w:type="pct"/>
            <w:shd w:val="clear" w:color="auto" w:fill="auto"/>
          </w:tcPr>
          <w:p w14:paraId="4E67E1BB" w14:textId="77777777" w:rsidR="002239C7" w:rsidRPr="002239C7" w:rsidRDefault="002239C7" w:rsidP="002239C7">
            <w:pPr>
              <w:jc w:val="center"/>
            </w:pPr>
            <w:r w:rsidRPr="002239C7">
              <w:t>5</w:t>
            </w:r>
          </w:p>
        </w:tc>
        <w:tc>
          <w:tcPr>
            <w:tcW w:w="146" w:type="pct"/>
            <w:shd w:val="clear" w:color="auto" w:fill="auto"/>
          </w:tcPr>
          <w:p w14:paraId="024BA9E4" w14:textId="77777777" w:rsidR="002239C7" w:rsidRPr="002239C7" w:rsidRDefault="002239C7" w:rsidP="002239C7">
            <w:pPr>
              <w:jc w:val="center"/>
            </w:pPr>
            <w:r w:rsidRPr="002239C7">
              <w:t>6</w:t>
            </w:r>
          </w:p>
        </w:tc>
        <w:tc>
          <w:tcPr>
            <w:tcW w:w="137" w:type="pct"/>
            <w:shd w:val="clear" w:color="auto" w:fill="auto"/>
          </w:tcPr>
          <w:p w14:paraId="2BC132F9" w14:textId="77777777" w:rsidR="002239C7" w:rsidRPr="002239C7" w:rsidRDefault="002239C7" w:rsidP="002239C7">
            <w:pPr>
              <w:jc w:val="center"/>
            </w:pPr>
            <w:r w:rsidRPr="002239C7">
              <w:t>7</w:t>
            </w:r>
          </w:p>
        </w:tc>
        <w:tc>
          <w:tcPr>
            <w:tcW w:w="158" w:type="pct"/>
          </w:tcPr>
          <w:p w14:paraId="2DCD3534" w14:textId="77777777" w:rsidR="002239C7" w:rsidRPr="002239C7" w:rsidRDefault="002239C7" w:rsidP="002239C7">
            <w:pPr>
              <w:jc w:val="center"/>
            </w:pPr>
            <w:r w:rsidRPr="002239C7">
              <w:t>8</w:t>
            </w:r>
          </w:p>
        </w:tc>
        <w:tc>
          <w:tcPr>
            <w:tcW w:w="160" w:type="pct"/>
          </w:tcPr>
          <w:p w14:paraId="347EE5F5" w14:textId="77777777" w:rsidR="002239C7" w:rsidRPr="002239C7" w:rsidRDefault="002239C7" w:rsidP="002239C7">
            <w:pPr>
              <w:jc w:val="center"/>
            </w:pPr>
            <w:r w:rsidRPr="002239C7">
              <w:t>9</w:t>
            </w:r>
          </w:p>
        </w:tc>
        <w:tc>
          <w:tcPr>
            <w:tcW w:w="202" w:type="pct"/>
          </w:tcPr>
          <w:p w14:paraId="0348A839" w14:textId="77777777" w:rsidR="002239C7" w:rsidRPr="002239C7" w:rsidRDefault="002239C7" w:rsidP="002239C7">
            <w:pPr>
              <w:jc w:val="center"/>
            </w:pPr>
            <w:r w:rsidRPr="002239C7">
              <w:t>10</w:t>
            </w:r>
          </w:p>
        </w:tc>
        <w:tc>
          <w:tcPr>
            <w:tcW w:w="208" w:type="pct"/>
          </w:tcPr>
          <w:p w14:paraId="156A395F" w14:textId="77777777" w:rsidR="002239C7" w:rsidRPr="002239C7" w:rsidRDefault="002239C7" w:rsidP="002239C7">
            <w:pPr>
              <w:jc w:val="center"/>
            </w:pPr>
            <w:r w:rsidRPr="002239C7">
              <w:t>11</w:t>
            </w:r>
          </w:p>
        </w:tc>
        <w:tc>
          <w:tcPr>
            <w:tcW w:w="234" w:type="pct"/>
          </w:tcPr>
          <w:p w14:paraId="2727C0DD" w14:textId="77777777" w:rsidR="002239C7" w:rsidRPr="002239C7" w:rsidRDefault="002239C7" w:rsidP="002239C7">
            <w:pPr>
              <w:jc w:val="center"/>
            </w:pPr>
            <w:r w:rsidRPr="002239C7">
              <w:t>12</w:t>
            </w:r>
          </w:p>
        </w:tc>
        <w:tc>
          <w:tcPr>
            <w:tcW w:w="267" w:type="pct"/>
          </w:tcPr>
          <w:p w14:paraId="3B1EB67A" w14:textId="77777777" w:rsidR="002239C7" w:rsidRPr="002239C7" w:rsidRDefault="002239C7" w:rsidP="002239C7">
            <w:pPr>
              <w:jc w:val="center"/>
            </w:pPr>
            <w:r w:rsidRPr="002239C7">
              <w:t>13</w:t>
            </w:r>
          </w:p>
        </w:tc>
        <w:tc>
          <w:tcPr>
            <w:tcW w:w="267" w:type="pct"/>
          </w:tcPr>
          <w:p w14:paraId="244B3825" w14:textId="77777777" w:rsidR="002239C7" w:rsidRPr="002239C7" w:rsidRDefault="002239C7" w:rsidP="002239C7">
            <w:pPr>
              <w:jc w:val="center"/>
            </w:pPr>
            <w:r w:rsidRPr="002239C7">
              <w:t>14</w:t>
            </w:r>
          </w:p>
        </w:tc>
        <w:tc>
          <w:tcPr>
            <w:tcW w:w="265" w:type="pct"/>
          </w:tcPr>
          <w:p w14:paraId="74B5A467" w14:textId="77777777" w:rsidR="002239C7" w:rsidRPr="002239C7" w:rsidRDefault="002239C7" w:rsidP="002239C7">
            <w:pPr>
              <w:jc w:val="center"/>
            </w:pPr>
            <w:r w:rsidRPr="002239C7">
              <w:t>15</w:t>
            </w:r>
          </w:p>
        </w:tc>
        <w:tc>
          <w:tcPr>
            <w:tcW w:w="265" w:type="pct"/>
          </w:tcPr>
          <w:p w14:paraId="7770EFC3" w14:textId="77777777" w:rsidR="002239C7" w:rsidRPr="002239C7" w:rsidRDefault="002239C7" w:rsidP="002239C7">
            <w:pPr>
              <w:jc w:val="center"/>
            </w:pPr>
            <w:r w:rsidRPr="002239C7">
              <w:t>16</w:t>
            </w:r>
          </w:p>
        </w:tc>
        <w:tc>
          <w:tcPr>
            <w:tcW w:w="265" w:type="pct"/>
          </w:tcPr>
          <w:p w14:paraId="42AAFEDB" w14:textId="77777777" w:rsidR="002239C7" w:rsidRPr="002239C7" w:rsidRDefault="002239C7" w:rsidP="002239C7">
            <w:pPr>
              <w:jc w:val="center"/>
            </w:pPr>
            <w:r w:rsidRPr="002239C7">
              <w:t>17</w:t>
            </w:r>
          </w:p>
        </w:tc>
        <w:tc>
          <w:tcPr>
            <w:tcW w:w="265" w:type="pct"/>
          </w:tcPr>
          <w:p w14:paraId="34FFEA81" w14:textId="77777777" w:rsidR="002239C7" w:rsidRPr="002239C7" w:rsidRDefault="002239C7" w:rsidP="002239C7">
            <w:pPr>
              <w:jc w:val="center"/>
            </w:pPr>
            <w:r w:rsidRPr="002239C7">
              <w:t>18</w:t>
            </w:r>
          </w:p>
        </w:tc>
      </w:tr>
      <w:tr w:rsidR="002239C7" w:rsidRPr="002239C7" w14:paraId="4558403C" w14:textId="77777777" w:rsidTr="00D05856">
        <w:trPr>
          <w:jc w:val="center"/>
        </w:trPr>
        <w:tc>
          <w:tcPr>
            <w:tcW w:w="195" w:type="pct"/>
            <w:shd w:val="clear" w:color="auto" w:fill="auto"/>
          </w:tcPr>
          <w:p w14:paraId="5FCD5604" w14:textId="77777777" w:rsidR="002239C7" w:rsidRPr="002239C7" w:rsidRDefault="002239C7" w:rsidP="002239C7">
            <w:pPr>
              <w:jc w:val="center"/>
            </w:pPr>
            <w:r w:rsidRPr="002239C7">
              <w:t>11</w:t>
            </w:r>
          </w:p>
        </w:tc>
        <w:tc>
          <w:tcPr>
            <w:tcW w:w="294" w:type="pct"/>
            <w:shd w:val="clear" w:color="auto" w:fill="auto"/>
          </w:tcPr>
          <w:p w14:paraId="6369CFF0" w14:textId="77777777" w:rsidR="002239C7" w:rsidRPr="00602BC7" w:rsidRDefault="002239C7" w:rsidP="002239C7">
            <w:pPr>
              <w:jc w:val="center"/>
              <w:rPr>
                <w:sz w:val="24"/>
                <w:szCs w:val="24"/>
              </w:rPr>
            </w:pPr>
            <w:r w:rsidRPr="00602BC7">
              <w:rPr>
                <w:sz w:val="24"/>
                <w:szCs w:val="24"/>
              </w:rPr>
              <w:t>1.1.5</w:t>
            </w:r>
          </w:p>
        </w:tc>
        <w:tc>
          <w:tcPr>
            <w:tcW w:w="1376" w:type="pct"/>
            <w:shd w:val="clear" w:color="auto" w:fill="auto"/>
          </w:tcPr>
          <w:p w14:paraId="6D5B0705" w14:textId="77777777" w:rsidR="002239C7" w:rsidRPr="002239C7" w:rsidRDefault="002239C7" w:rsidP="002239C7">
            <w:r w:rsidRPr="002239C7">
              <w:t>Капітальний інструмент з умовами списання/конверсії</w:t>
            </w:r>
          </w:p>
        </w:tc>
        <w:tc>
          <w:tcPr>
            <w:tcW w:w="148" w:type="pct"/>
            <w:shd w:val="clear" w:color="auto" w:fill="auto"/>
          </w:tcPr>
          <w:p w14:paraId="58294D0A" w14:textId="77777777" w:rsidR="002239C7" w:rsidRPr="002239C7" w:rsidRDefault="002239C7" w:rsidP="002239C7">
            <w:pPr>
              <w:jc w:val="center"/>
            </w:pPr>
          </w:p>
        </w:tc>
        <w:tc>
          <w:tcPr>
            <w:tcW w:w="148" w:type="pct"/>
            <w:shd w:val="clear" w:color="auto" w:fill="auto"/>
          </w:tcPr>
          <w:p w14:paraId="437D6D25" w14:textId="77777777" w:rsidR="002239C7" w:rsidRPr="002239C7" w:rsidRDefault="002239C7" w:rsidP="002239C7">
            <w:pPr>
              <w:jc w:val="center"/>
            </w:pPr>
          </w:p>
        </w:tc>
        <w:tc>
          <w:tcPr>
            <w:tcW w:w="146" w:type="pct"/>
            <w:shd w:val="clear" w:color="auto" w:fill="auto"/>
          </w:tcPr>
          <w:p w14:paraId="3DD10F97" w14:textId="77777777" w:rsidR="002239C7" w:rsidRPr="002239C7" w:rsidRDefault="002239C7" w:rsidP="002239C7">
            <w:pPr>
              <w:jc w:val="center"/>
            </w:pPr>
          </w:p>
        </w:tc>
        <w:tc>
          <w:tcPr>
            <w:tcW w:w="137" w:type="pct"/>
            <w:shd w:val="clear" w:color="auto" w:fill="auto"/>
          </w:tcPr>
          <w:p w14:paraId="184FE3F5" w14:textId="77777777" w:rsidR="002239C7" w:rsidRPr="002239C7" w:rsidRDefault="002239C7" w:rsidP="002239C7">
            <w:pPr>
              <w:jc w:val="center"/>
            </w:pPr>
            <w:r w:rsidRPr="002239C7">
              <w:t>х</w:t>
            </w:r>
          </w:p>
        </w:tc>
        <w:tc>
          <w:tcPr>
            <w:tcW w:w="158" w:type="pct"/>
          </w:tcPr>
          <w:p w14:paraId="4BE8E826" w14:textId="77777777" w:rsidR="002239C7" w:rsidRPr="002239C7" w:rsidRDefault="002239C7" w:rsidP="002239C7">
            <w:pPr>
              <w:jc w:val="center"/>
            </w:pPr>
            <w:r w:rsidRPr="002239C7">
              <w:t>х</w:t>
            </w:r>
          </w:p>
        </w:tc>
        <w:tc>
          <w:tcPr>
            <w:tcW w:w="160" w:type="pct"/>
          </w:tcPr>
          <w:p w14:paraId="411ED1D8" w14:textId="77777777" w:rsidR="002239C7" w:rsidRPr="002239C7" w:rsidRDefault="002239C7" w:rsidP="002239C7">
            <w:pPr>
              <w:jc w:val="center"/>
            </w:pPr>
            <w:r w:rsidRPr="002239C7">
              <w:t>х</w:t>
            </w:r>
          </w:p>
        </w:tc>
        <w:tc>
          <w:tcPr>
            <w:tcW w:w="202" w:type="pct"/>
          </w:tcPr>
          <w:p w14:paraId="566535B7" w14:textId="77777777" w:rsidR="002239C7" w:rsidRPr="002239C7" w:rsidRDefault="002239C7" w:rsidP="002239C7">
            <w:pPr>
              <w:jc w:val="center"/>
            </w:pPr>
            <w:r w:rsidRPr="002239C7">
              <w:t>х</w:t>
            </w:r>
          </w:p>
        </w:tc>
        <w:tc>
          <w:tcPr>
            <w:tcW w:w="208" w:type="pct"/>
          </w:tcPr>
          <w:p w14:paraId="03CA9D0D" w14:textId="77777777" w:rsidR="002239C7" w:rsidRPr="002239C7" w:rsidRDefault="002239C7" w:rsidP="002239C7">
            <w:pPr>
              <w:jc w:val="center"/>
            </w:pPr>
            <w:r w:rsidRPr="002239C7">
              <w:t>х</w:t>
            </w:r>
          </w:p>
        </w:tc>
        <w:tc>
          <w:tcPr>
            <w:tcW w:w="234" w:type="pct"/>
          </w:tcPr>
          <w:p w14:paraId="0EF7C0F6" w14:textId="77777777" w:rsidR="002239C7" w:rsidRPr="002239C7" w:rsidRDefault="002239C7" w:rsidP="002239C7">
            <w:pPr>
              <w:jc w:val="center"/>
            </w:pPr>
            <w:r w:rsidRPr="002239C7">
              <w:t>х</w:t>
            </w:r>
          </w:p>
        </w:tc>
        <w:tc>
          <w:tcPr>
            <w:tcW w:w="267" w:type="pct"/>
          </w:tcPr>
          <w:p w14:paraId="51B24A8C" w14:textId="77777777" w:rsidR="002239C7" w:rsidRPr="002239C7" w:rsidRDefault="002239C7" w:rsidP="002239C7">
            <w:pPr>
              <w:jc w:val="center"/>
            </w:pPr>
            <w:r w:rsidRPr="002239C7">
              <w:t>х</w:t>
            </w:r>
          </w:p>
        </w:tc>
        <w:tc>
          <w:tcPr>
            <w:tcW w:w="267" w:type="pct"/>
          </w:tcPr>
          <w:p w14:paraId="3FE2CB01" w14:textId="77777777" w:rsidR="002239C7" w:rsidRPr="002239C7" w:rsidRDefault="002239C7" w:rsidP="002239C7">
            <w:pPr>
              <w:jc w:val="center"/>
            </w:pPr>
            <w:r w:rsidRPr="002239C7">
              <w:t>х</w:t>
            </w:r>
          </w:p>
        </w:tc>
        <w:tc>
          <w:tcPr>
            <w:tcW w:w="265" w:type="pct"/>
          </w:tcPr>
          <w:p w14:paraId="7A92BFA6" w14:textId="77777777" w:rsidR="002239C7" w:rsidRPr="002239C7" w:rsidRDefault="002239C7" w:rsidP="002239C7">
            <w:pPr>
              <w:jc w:val="center"/>
            </w:pPr>
            <w:r w:rsidRPr="002239C7">
              <w:t>х</w:t>
            </w:r>
          </w:p>
        </w:tc>
        <w:tc>
          <w:tcPr>
            <w:tcW w:w="265" w:type="pct"/>
          </w:tcPr>
          <w:p w14:paraId="6ACF3EC9" w14:textId="77777777" w:rsidR="002239C7" w:rsidRPr="002239C7" w:rsidRDefault="002239C7" w:rsidP="002239C7">
            <w:pPr>
              <w:jc w:val="center"/>
            </w:pPr>
            <w:r w:rsidRPr="002239C7">
              <w:t>х</w:t>
            </w:r>
          </w:p>
        </w:tc>
        <w:tc>
          <w:tcPr>
            <w:tcW w:w="265" w:type="pct"/>
          </w:tcPr>
          <w:p w14:paraId="2BA88C0C" w14:textId="77777777" w:rsidR="002239C7" w:rsidRPr="002239C7" w:rsidRDefault="002239C7" w:rsidP="002239C7">
            <w:pPr>
              <w:jc w:val="center"/>
            </w:pPr>
            <w:r w:rsidRPr="002239C7">
              <w:t>х</w:t>
            </w:r>
          </w:p>
        </w:tc>
        <w:tc>
          <w:tcPr>
            <w:tcW w:w="265" w:type="pct"/>
          </w:tcPr>
          <w:p w14:paraId="7C1178E7" w14:textId="77777777" w:rsidR="002239C7" w:rsidRPr="002239C7" w:rsidRDefault="002239C7" w:rsidP="002239C7">
            <w:pPr>
              <w:jc w:val="center"/>
            </w:pPr>
            <w:r w:rsidRPr="002239C7">
              <w:t>х</w:t>
            </w:r>
          </w:p>
        </w:tc>
      </w:tr>
    </w:tbl>
    <w:p w14:paraId="3BA15D24" w14:textId="6F4B63A2" w:rsidR="008072F3" w:rsidRPr="008072F3" w:rsidRDefault="002239C7" w:rsidP="008072F3">
      <w:pPr>
        <w:ind w:right="-143" w:firstLine="8789"/>
      </w:pPr>
      <w:r>
        <w:t xml:space="preserve">                                                                            </w:t>
      </w:r>
      <w:r w:rsidR="008072F3" w:rsidRPr="008072F3">
        <w:t>”.</w:t>
      </w:r>
    </w:p>
    <w:p w14:paraId="387F0452" w14:textId="77777777" w:rsidR="008072F3" w:rsidRPr="008072F3" w:rsidRDefault="008072F3" w:rsidP="008072F3">
      <w:pPr>
        <w:shd w:val="clear" w:color="auto" w:fill="FFFFFF" w:themeFill="background1"/>
        <w:ind w:firstLine="709"/>
      </w:pPr>
      <w:r w:rsidRPr="008072F3">
        <w:t>У зв’язку з цим рядки 11–76 уважати відповідно рядками 12–77;</w:t>
      </w:r>
    </w:p>
    <w:p w14:paraId="7BD59A3F" w14:textId="77777777" w:rsidR="008072F3" w:rsidRPr="008072F3" w:rsidRDefault="008072F3" w:rsidP="008072F3">
      <w:pPr>
        <w:shd w:val="clear" w:color="auto" w:fill="FFFFFF" w:themeFill="background1"/>
        <w:ind w:firstLine="709"/>
      </w:pPr>
    </w:p>
    <w:p w14:paraId="4C8B68A2" w14:textId="33E03059" w:rsidR="008072F3" w:rsidRPr="00157A98" w:rsidRDefault="008072F3" w:rsidP="008072F3">
      <w:pPr>
        <w:shd w:val="clear" w:color="auto" w:fill="FFFFFF" w:themeFill="background1"/>
        <w:ind w:firstLine="709"/>
      </w:pPr>
      <w:r w:rsidRPr="008072F3">
        <w:t>2) у</w:t>
      </w:r>
      <w:r w:rsidR="001E7203">
        <w:t xml:space="preserve"> колонці 2 </w:t>
      </w:r>
      <w:r w:rsidRPr="008072F3">
        <w:t>рядк</w:t>
      </w:r>
      <w:r w:rsidR="001E7203">
        <w:t>ів</w:t>
      </w:r>
      <w:r w:rsidRPr="008072F3">
        <w:t xml:space="preserve"> 12</w:t>
      </w:r>
      <w:r w:rsidR="0019053E">
        <w:t>−</w:t>
      </w:r>
      <w:r w:rsidRPr="008072F3">
        <w:t>1</w:t>
      </w:r>
      <w:r w:rsidR="00DC2941">
        <w:t>8</w:t>
      </w:r>
      <w:r w:rsidRPr="008072F3">
        <w:t xml:space="preserve"> цифри “1.1.5”</w:t>
      </w:r>
      <w:r w:rsidR="00360809">
        <w:t xml:space="preserve">, </w:t>
      </w:r>
      <w:r w:rsidR="00360809" w:rsidRPr="002A155F">
        <w:rPr>
          <w:lang w:val="ru-RU"/>
        </w:rPr>
        <w:t>“1</w:t>
      </w:r>
      <w:r w:rsidR="00360809">
        <w:t>.</w:t>
      </w:r>
      <w:r w:rsidR="00360809" w:rsidRPr="002A155F">
        <w:rPr>
          <w:lang w:val="ru-RU"/>
        </w:rPr>
        <w:t>1</w:t>
      </w:r>
      <w:r w:rsidR="00360809">
        <w:rPr>
          <w:lang w:val="ru-RU"/>
        </w:rPr>
        <w:t>.</w:t>
      </w:r>
      <w:r w:rsidR="00360809" w:rsidRPr="002A155F">
        <w:rPr>
          <w:lang w:val="ru-RU"/>
        </w:rPr>
        <w:t>5</w:t>
      </w:r>
      <w:r w:rsidR="00360809">
        <w:rPr>
          <w:lang w:val="ru-RU"/>
        </w:rPr>
        <w:t>.</w:t>
      </w:r>
      <w:r w:rsidR="00360809" w:rsidRPr="002A155F">
        <w:rPr>
          <w:lang w:val="ru-RU"/>
        </w:rPr>
        <w:t>1”</w:t>
      </w:r>
      <w:r w:rsidR="00360809">
        <w:rPr>
          <w:lang w:val="ru-RU"/>
        </w:rPr>
        <w:t>,</w:t>
      </w:r>
      <w:r w:rsidRPr="008072F3">
        <w:t xml:space="preserve"> </w:t>
      </w:r>
      <w:r w:rsidR="002A155F" w:rsidRPr="002A155F">
        <w:t xml:space="preserve">“1.1.5.2”, “1.1.5.3”, “1.1.5.4”, “1.1.5.5”, “1.1.5.6” </w:t>
      </w:r>
      <w:r w:rsidRPr="008072F3">
        <w:t xml:space="preserve">замінити </w:t>
      </w:r>
      <w:r w:rsidR="002A155F">
        <w:t xml:space="preserve">відповідно </w:t>
      </w:r>
      <w:r w:rsidRPr="00157A98">
        <w:t>цифрами “1.1.6”</w:t>
      </w:r>
      <w:r w:rsidR="002A155F" w:rsidRPr="00157A98">
        <w:t>, “1.1.6.1”, “1.1.6.2”, “1.1.6.3”, “1.1.6.4”, “1.1.6.5”, “1.1.6.6”</w:t>
      </w:r>
      <w:r w:rsidRPr="00157A98">
        <w:t>;</w:t>
      </w:r>
    </w:p>
    <w:p w14:paraId="1B39F189" w14:textId="77777777" w:rsidR="008072F3" w:rsidRPr="00157A98" w:rsidRDefault="008072F3" w:rsidP="008072F3">
      <w:pPr>
        <w:shd w:val="clear" w:color="auto" w:fill="FFFFFF" w:themeFill="background1"/>
        <w:ind w:firstLine="709"/>
      </w:pPr>
    </w:p>
    <w:p w14:paraId="18F3D0B7" w14:textId="210EC500" w:rsidR="008072F3" w:rsidRPr="00157A98" w:rsidRDefault="008072F3" w:rsidP="008072F3">
      <w:pPr>
        <w:shd w:val="clear" w:color="auto" w:fill="FFFFFF" w:themeFill="background1"/>
        <w:ind w:firstLine="709"/>
      </w:pPr>
      <w:r w:rsidRPr="00157A98">
        <w:t xml:space="preserve">3) рядок 19 замінити двома новими рядками </w:t>
      </w:r>
      <w:r w:rsidR="001E7203" w:rsidRPr="00157A98">
        <w:t xml:space="preserve">19, 20 </w:t>
      </w:r>
      <w:r w:rsidRPr="00157A98">
        <w:t>такого змісту:</w:t>
      </w:r>
    </w:p>
    <w:p w14:paraId="0BF5574D" w14:textId="77777777" w:rsidR="00D05856" w:rsidRPr="00157A98" w:rsidRDefault="008072F3" w:rsidP="00D05856">
      <w:pPr>
        <w:shd w:val="clear" w:color="auto" w:fill="FFFFFF" w:themeFill="background1"/>
        <w:ind w:firstLine="709"/>
      </w:pPr>
      <w:r w:rsidRPr="00157A98">
        <w:t>“</w:t>
      </w:r>
    </w:p>
    <w:tbl>
      <w:tblPr>
        <w:tblW w:w="45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986"/>
        <w:gridCol w:w="3395"/>
        <w:gridCol w:w="388"/>
        <w:gridCol w:w="388"/>
        <w:gridCol w:w="383"/>
        <w:gridCol w:w="359"/>
        <w:gridCol w:w="414"/>
        <w:gridCol w:w="420"/>
        <w:gridCol w:w="530"/>
        <w:gridCol w:w="545"/>
        <w:gridCol w:w="614"/>
        <w:gridCol w:w="700"/>
        <w:gridCol w:w="700"/>
        <w:gridCol w:w="695"/>
        <w:gridCol w:w="695"/>
        <w:gridCol w:w="695"/>
        <w:gridCol w:w="692"/>
      </w:tblGrid>
      <w:tr w:rsidR="00D05856" w:rsidRPr="00157A98" w14:paraId="169D42D5" w14:textId="77777777" w:rsidTr="00D05856">
        <w:trPr>
          <w:jc w:val="center"/>
        </w:trPr>
        <w:tc>
          <w:tcPr>
            <w:tcW w:w="195" w:type="pct"/>
            <w:shd w:val="clear" w:color="auto" w:fill="auto"/>
          </w:tcPr>
          <w:p w14:paraId="5E22DA3F" w14:textId="77777777" w:rsidR="00D05856" w:rsidRPr="00157A98" w:rsidRDefault="00D05856" w:rsidP="00D05856">
            <w:pPr>
              <w:jc w:val="center"/>
            </w:pPr>
            <w:r w:rsidRPr="00157A98">
              <w:t>1</w:t>
            </w:r>
          </w:p>
        </w:tc>
        <w:tc>
          <w:tcPr>
            <w:tcW w:w="376" w:type="pct"/>
            <w:shd w:val="clear" w:color="auto" w:fill="auto"/>
          </w:tcPr>
          <w:p w14:paraId="7A1B8258" w14:textId="77777777" w:rsidR="00D05856" w:rsidRPr="00157A98" w:rsidRDefault="00D05856" w:rsidP="00D05856">
            <w:pPr>
              <w:jc w:val="center"/>
            </w:pPr>
            <w:r w:rsidRPr="00157A98">
              <w:t>2</w:t>
            </w:r>
          </w:p>
        </w:tc>
        <w:tc>
          <w:tcPr>
            <w:tcW w:w="1295" w:type="pct"/>
            <w:shd w:val="clear" w:color="auto" w:fill="auto"/>
          </w:tcPr>
          <w:p w14:paraId="0C64538C" w14:textId="77777777" w:rsidR="00D05856" w:rsidRPr="00157A98" w:rsidRDefault="00D05856" w:rsidP="00D05856">
            <w:pPr>
              <w:jc w:val="center"/>
            </w:pPr>
            <w:r w:rsidRPr="00157A98">
              <w:t>3</w:t>
            </w:r>
          </w:p>
        </w:tc>
        <w:tc>
          <w:tcPr>
            <w:tcW w:w="148" w:type="pct"/>
            <w:shd w:val="clear" w:color="auto" w:fill="auto"/>
          </w:tcPr>
          <w:p w14:paraId="7FE5D2C9" w14:textId="77777777" w:rsidR="00D05856" w:rsidRPr="00157A98" w:rsidRDefault="00D05856" w:rsidP="00D05856">
            <w:pPr>
              <w:jc w:val="center"/>
            </w:pPr>
            <w:r w:rsidRPr="00157A98">
              <w:t>4</w:t>
            </w:r>
          </w:p>
        </w:tc>
        <w:tc>
          <w:tcPr>
            <w:tcW w:w="148" w:type="pct"/>
            <w:shd w:val="clear" w:color="auto" w:fill="auto"/>
          </w:tcPr>
          <w:p w14:paraId="2ED45A50" w14:textId="77777777" w:rsidR="00D05856" w:rsidRPr="00157A98" w:rsidRDefault="00D05856" w:rsidP="00D05856">
            <w:pPr>
              <w:jc w:val="center"/>
            </w:pPr>
            <w:r w:rsidRPr="00157A98">
              <w:t>5</w:t>
            </w:r>
          </w:p>
        </w:tc>
        <w:tc>
          <w:tcPr>
            <w:tcW w:w="146" w:type="pct"/>
            <w:shd w:val="clear" w:color="auto" w:fill="auto"/>
          </w:tcPr>
          <w:p w14:paraId="23997B1E" w14:textId="77777777" w:rsidR="00D05856" w:rsidRPr="00157A98" w:rsidRDefault="00D05856" w:rsidP="00D05856">
            <w:pPr>
              <w:jc w:val="center"/>
            </w:pPr>
            <w:r w:rsidRPr="00157A98">
              <w:t>6</w:t>
            </w:r>
          </w:p>
        </w:tc>
        <w:tc>
          <w:tcPr>
            <w:tcW w:w="137" w:type="pct"/>
            <w:shd w:val="clear" w:color="auto" w:fill="auto"/>
          </w:tcPr>
          <w:p w14:paraId="5214EF63" w14:textId="77777777" w:rsidR="00D05856" w:rsidRPr="00157A98" w:rsidRDefault="00D05856" w:rsidP="00D05856">
            <w:pPr>
              <w:jc w:val="center"/>
            </w:pPr>
            <w:r w:rsidRPr="00157A98">
              <w:t>7</w:t>
            </w:r>
          </w:p>
        </w:tc>
        <w:tc>
          <w:tcPr>
            <w:tcW w:w="158" w:type="pct"/>
          </w:tcPr>
          <w:p w14:paraId="0830795E" w14:textId="77777777" w:rsidR="00D05856" w:rsidRPr="00157A98" w:rsidRDefault="00D05856" w:rsidP="00D05856">
            <w:pPr>
              <w:jc w:val="center"/>
            </w:pPr>
            <w:r w:rsidRPr="00157A98">
              <w:t>8</w:t>
            </w:r>
          </w:p>
        </w:tc>
        <w:tc>
          <w:tcPr>
            <w:tcW w:w="160" w:type="pct"/>
          </w:tcPr>
          <w:p w14:paraId="46ACBACE" w14:textId="77777777" w:rsidR="00D05856" w:rsidRPr="00157A98" w:rsidRDefault="00D05856" w:rsidP="00D05856">
            <w:pPr>
              <w:jc w:val="center"/>
            </w:pPr>
            <w:r w:rsidRPr="00157A98">
              <w:t>9</w:t>
            </w:r>
          </w:p>
        </w:tc>
        <w:tc>
          <w:tcPr>
            <w:tcW w:w="202" w:type="pct"/>
          </w:tcPr>
          <w:p w14:paraId="6B873864" w14:textId="77777777" w:rsidR="00D05856" w:rsidRPr="00157A98" w:rsidRDefault="00D05856" w:rsidP="00D05856">
            <w:pPr>
              <w:jc w:val="center"/>
            </w:pPr>
            <w:r w:rsidRPr="00157A98">
              <w:t>10</w:t>
            </w:r>
          </w:p>
        </w:tc>
        <w:tc>
          <w:tcPr>
            <w:tcW w:w="208" w:type="pct"/>
          </w:tcPr>
          <w:p w14:paraId="3D8B4013" w14:textId="77777777" w:rsidR="00D05856" w:rsidRPr="00157A98" w:rsidRDefault="00D05856" w:rsidP="00D05856">
            <w:pPr>
              <w:jc w:val="center"/>
            </w:pPr>
            <w:r w:rsidRPr="00157A98">
              <w:t>11</w:t>
            </w:r>
          </w:p>
        </w:tc>
        <w:tc>
          <w:tcPr>
            <w:tcW w:w="234" w:type="pct"/>
          </w:tcPr>
          <w:p w14:paraId="2225FA89" w14:textId="77777777" w:rsidR="00D05856" w:rsidRPr="00157A98" w:rsidRDefault="00D05856" w:rsidP="00D05856">
            <w:pPr>
              <w:jc w:val="center"/>
            </w:pPr>
            <w:r w:rsidRPr="00157A98">
              <w:t>12</w:t>
            </w:r>
          </w:p>
        </w:tc>
        <w:tc>
          <w:tcPr>
            <w:tcW w:w="267" w:type="pct"/>
          </w:tcPr>
          <w:p w14:paraId="2609273F" w14:textId="77777777" w:rsidR="00D05856" w:rsidRPr="00157A98" w:rsidRDefault="00D05856" w:rsidP="00D05856">
            <w:pPr>
              <w:jc w:val="center"/>
            </w:pPr>
            <w:r w:rsidRPr="00157A98">
              <w:t>13</w:t>
            </w:r>
          </w:p>
        </w:tc>
        <w:tc>
          <w:tcPr>
            <w:tcW w:w="267" w:type="pct"/>
          </w:tcPr>
          <w:p w14:paraId="48336EAF" w14:textId="77777777" w:rsidR="00D05856" w:rsidRPr="00157A98" w:rsidRDefault="00D05856" w:rsidP="00D05856">
            <w:pPr>
              <w:jc w:val="center"/>
            </w:pPr>
            <w:r w:rsidRPr="00157A98">
              <w:t>14</w:t>
            </w:r>
          </w:p>
        </w:tc>
        <w:tc>
          <w:tcPr>
            <w:tcW w:w="265" w:type="pct"/>
          </w:tcPr>
          <w:p w14:paraId="7829FE65" w14:textId="77777777" w:rsidR="00D05856" w:rsidRPr="00157A98" w:rsidRDefault="00D05856" w:rsidP="00D05856">
            <w:pPr>
              <w:jc w:val="center"/>
            </w:pPr>
            <w:r w:rsidRPr="00157A98">
              <w:t>15</w:t>
            </w:r>
          </w:p>
        </w:tc>
        <w:tc>
          <w:tcPr>
            <w:tcW w:w="265" w:type="pct"/>
          </w:tcPr>
          <w:p w14:paraId="7E116C30" w14:textId="77777777" w:rsidR="00D05856" w:rsidRPr="00157A98" w:rsidRDefault="00D05856" w:rsidP="00D05856">
            <w:pPr>
              <w:jc w:val="center"/>
            </w:pPr>
            <w:r w:rsidRPr="00157A98">
              <w:t>16</w:t>
            </w:r>
          </w:p>
        </w:tc>
        <w:tc>
          <w:tcPr>
            <w:tcW w:w="265" w:type="pct"/>
          </w:tcPr>
          <w:p w14:paraId="7D70653F" w14:textId="77777777" w:rsidR="00D05856" w:rsidRPr="00157A98" w:rsidRDefault="00D05856" w:rsidP="00D05856">
            <w:pPr>
              <w:jc w:val="center"/>
            </w:pPr>
            <w:r w:rsidRPr="00157A98">
              <w:t>17</w:t>
            </w:r>
          </w:p>
        </w:tc>
        <w:tc>
          <w:tcPr>
            <w:tcW w:w="265" w:type="pct"/>
          </w:tcPr>
          <w:p w14:paraId="5BE90CCF" w14:textId="77777777" w:rsidR="00D05856" w:rsidRPr="00157A98" w:rsidRDefault="00D05856" w:rsidP="00D05856">
            <w:pPr>
              <w:jc w:val="center"/>
            </w:pPr>
            <w:r w:rsidRPr="00157A98">
              <w:t>18</w:t>
            </w:r>
          </w:p>
        </w:tc>
      </w:tr>
      <w:tr w:rsidR="00D05856" w:rsidRPr="00157A98" w14:paraId="6EEE1FF0" w14:textId="77777777" w:rsidTr="00DC2941">
        <w:trPr>
          <w:jc w:val="center"/>
        </w:trPr>
        <w:tc>
          <w:tcPr>
            <w:tcW w:w="195" w:type="pct"/>
            <w:shd w:val="clear" w:color="auto" w:fill="auto"/>
          </w:tcPr>
          <w:p w14:paraId="2A19B2DB" w14:textId="77777777" w:rsidR="00D05856" w:rsidRPr="00157A98" w:rsidRDefault="00D05856" w:rsidP="00D05856">
            <w:pPr>
              <w:spacing w:after="160" w:line="259" w:lineRule="auto"/>
              <w:jc w:val="center"/>
              <w:rPr>
                <w:rFonts w:eastAsia="Calibri"/>
                <w:lang w:eastAsia="en-US"/>
              </w:rPr>
            </w:pPr>
            <w:r w:rsidRPr="00157A98">
              <w:rPr>
                <w:rFonts w:eastAsia="Calibri"/>
                <w:lang w:eastAsia="en-US"/>
              </w:rPr>
              <w:t>19</w:t>
            </w:r>
          </w:p>
        </w:tc>
        <w:tc>
          <w:tcPr>
            <w:tcW w:w="376" w:type="pct"/>
            <w:shd w:val="clear" w:color="auto" w:fill="auto"/>
          </w:tcPr>
          <w:p w14:paraId="36EF4E5B" w14:textId="77777777" w:rsidR="00D05856" w:rsidRPr="00157A98" w:rsidRDefault="00D05856" w:rsidP="00D05856">
            <w:pPr>
              <w:spacing w:after="160" w:line="259" w:lineRule="auto"/>
              <w:jc w:val="center"/>
              <w:rPr>
                <w:rFonts w:eastAsia="Calibri"/>
                <w:lang w:eastAsia="en-US"/>
              </w:rPr>
            </w:pPr>
            <w:r w:rsidRPr="00157A98">
              <w:rPr>
                <w:rFonts w:eastAsia="Calibri"/>
                <w:lang w:eastAsia="en-US"/>
              </w:rPr>
              <w:t>1.1.6.7</w:t>
            </w:r>
          </w:p>
        </w:tc>
        <w:tc>
          <w:tcPr>
            <w:tcW w:w="1295" w:type="pct"/>
            <w:shd w:val="clear" w:color="auto" w:fill="auto"/>
          </w:tcPr>
          <w:p w14:paraId="159DC7E3" w14:textId="77777777" w:rsidR="00D05856" w:rsidRPr="00157A98" w:rsidRDefault="00D05856" w:rsidP="00D05856">
            <w:pPr>
              <w:spacing w:after="160" w:line="259" w:lineRule="auto"/>
              <w:jc w:val="left"/>
              <w:rPr>
                <w:rFonts w:eastAsia="Calibri"/>
                <w:lang w:eastAsia="en-US"/>
              </w:rPr>
            </w:pPr>
            <w:r w:rsidRPr="00157A98">
              <w:rPr>
                <w:rFonts w:eastAsia="Calibri"/>
                <w:lang w:eastAsia="en-US"/>
              </w:rPr>
              <w:t>активи з права користування, базовими активами яких є нематеріальні активи, за мінусом суми амортизації</w:t>
            </w:r>
          </w:p>
        </w:tc>
        <w:tc>
          <w:tcPr>
            <w:tcW w:w="148" w:type="pct"/>
            <w:shd w:val="clear" w:color="auto" w:fill="auto"/>
          </w:tcPr>
          <w:p w14:paraId="610A063C" w14:textId="77777777" w:rsidR="00D05856" w:rsidRPr="00157A98" w:rsidRDefault="00D05856" w:rsidP="00D05856">
            <w:pPr>
              <w:jc w:val="center"/>
            </w:pPr>
          </w:p>
        </w:tc>
        <w:tc>
          <w:tcPr>
            <w:tcW w:w="148" w:type="pct"/>
            <w:shd w:val="clear" w:color="auto" w:fill="auto"/>
          </w:tcPr>
          <w:p w14:paraId="589E2388" w14:textId="77777777" w:rsidR="00D05856" w:rsidRPr="00157A98" w:rsidRDefault="00D05856" w:rsidP="00D05856">
            <w:pPr>
              <w:jc w:val="center"/>
            </w:pPr>
          </w:p>
        </w:tc>
        <w:tc>
          <w:tcPr>
            <w:tcW w:w="146" w:type="pct"/>
            <w:shd w:val="clear" w:color="auto" w:fill="auto"/>
          </w:tcPr>
          <w:p w14:paraId="45C5FC49" w14:textId="77777777" w:rsidR="00D05856" w:rsidRPr="00157A98" w:rsidRDefault="00D05856" w:rsidP="00D05856">
            <w:pPr>
              <w:jc w:val="center"/>
            </w:pPr>
          </w:p>
        </w:tc>
        <w:tc>
          <w:tcPr>
            <w:tcW w:w="137" w:type="pct"/>
            <w:shd w:val="clear" w:color="auto" w:fill="auto"/>
          </w:tcPr>
          <w:p w14:paraId="576C5B3A" w14:textId="77777777" w:rsidR="00D05856" w:rsidRPr="00157A98" w:rsidRDefault="00D05856" w:rsidP="00D05856">
            <w:pPr>
              <w:jc w:val="center"/>
            </w:pPr>
            <w:r w:rsidRPr="00157A98">
              <w:t>х</w:t>
            </w:r>
          </w:p>
        </w:tc>
        <w:tc>
          <w:tcPr>
            <w:tcW w:w="158" w:type="pct"/>
            <w:shd w:val="clear" w:color="auto" w:fill="auto"/>
          </w:tcPr>
          <w:p w14:paraId="72F4B0AF" w14:textId="77777777" w:rsidR="00D05856" w:rsidRPr="00157A98" w:rsidRDefault="00D05856" w:rsidP="00D05856">
            <w:pPr>
              <w:jc w:val="center"/>
            </w:pPr>
            <w:r w:rsidRPr="00157A98">
              <w:t>х</w:t>
            </w:r>
          </w:p>
        </w:tc>
        <w:tc>
          <w:tcPr>
            <w:tcW w:w="160" w:type="pct"/>
            <w:shd w:val="clear" w:color="auto" w:fill="auto"/>
          </w:tcPr>
          <w:p w14:paraId="302B2A01" w14:textId="77777777" w:rsidR="00D05856" w:rsidRPr="00157A98" w:rsidRDefault="00D05856" w:rsidP="00D05856">
            <w:pPr>
              <w:jc w:val="center"/>
            </w:pPr>
            <w:r w:rsidRPr="00157A98">
              <w:t>х</w:t>
            </w:r>
          </w:p>
        </w:tc>
        <w:tc>
          <w:tcPr>
            <w:tcW w:w="202" w:type="pct"/>
            <w:shd w:val="clear" w:color="auto" w:fill="auto"/>
          </w:tcPr>
          <w:p w14:paraId="02F728BB" w14:textId="77777777" w:rsidR="00D05856" w:rsidRPr="00157A98" w:rsidRDefault="00D05856" w:rsidP="00D05856">
            <w:pPr>
              <w:jc w:val="center"/>
            </w:pPr>
            <w:r w:rsidRPr="00157A98">
              <w:t>х</w:t>
            </w:r>
          </w:p>
        </w:tc>
        <w:tc>
          <w:tcPr>
            <w:tcW w:w="208" w:type="pct"/>
            <w:shd w:val="clear" w:color="auto" w:fill="auto"/>
          </w:tcPr>
          <w:p w14:paraId="5EE24288" w14:textId="77777777" w:rsidR="00D05856" w:rsidRPr="00157A98" w:rsidRDefault="00D05856" w:rsidP="00D05856">
            <w:pPr>
              <w:jc w:val="center"/>
            </w:pPr>
            <w:r w:rsidRPr="00157A98">
              <w:t>х</w:t>
            </w:r>
          </w:p>
        </w:tc>
        <w:tc>
          <w:tcPr>
            <w:tcW w:w="234" w:type="pct"/>
            <w:shd w:val="clear" w:color="auto" w:fill="auto"/>
          </w:tcPr>
          <w:p w14:paraId="291F48E1" w14:textId="77777777" w:rsidR="00D05856" w:rsidRPr="00157A98" w:rsidRDefault="00D05856" w:rsidP="00D05856">
            <w:pPr>
              <w:jc w:val="center"/>
            </w:pPr>
            <w:r w:rsidRPr="00157A98">
              <w:t>х</w:t>
            </w:r>
          </w:p>
        </w:tc>
        <w:tc>
          <w:tcPr>
            <w:tcW w:w="267" w:type="pct"/>
            <w:shd w:val="clear" w:color="auto" w:fill="auto"/>
          </w:tcPr>
          <w:p w14:paraId="303BB8AE" w14:textId="77777777" w:rsidR="00D05856" w:rsidRPr="00157A98" w:rsidRDefault="00D05856" w:rsidP="00D05856">
            <w:pPr>
              <w:jc w:val="center"/>
            </w:pPr>
            <w:r w:rsidRPr="00157A98">
              <w:t>х</w:t>
            </w:r>
          </w:p>
        </w:tc>
        <w:tc>
          <w:tcPr>
            <w:tcW w:w="267" w:type="pct"/>
            <w:shd w:val="clear" w:color="auto" w:fill="auto"/>
          </w:tcPr>
          <w:p w14:paraId="7E28B5FC" w14:textId="77777777" w:rsidR="00D05856" w:rsidRPr="00157A98" w:rsidRDefault="00D05856" w:rsidP="00D05856">
            <w:pPr>
              <w:jc w:val="center"/>
            </w:pPr>
            <w:r w:rsidRPr="00157A98">
              <w:t>х</w:t>
            </w:r>
          </w:p>
        </w:tc>
        <w:tc>
          <w:tcPr>
            <w:tcW w:w="265" w:type="pct"/>
            <w:shd w:val="clear" w:color="auto" w:fill="auto"/>
          </w:tcPr>
          <w:p w14:paraId="7ADA8F63" w14:textId="77777777" w:rsidR="00D05856" w:rsidRPr="00157A98" w:rsidRDefault="00D05856" w:rsidP="00D05856">
            <w:pPr>
              <w:jc w:val="center"/>
            </w:pPr>
            <w:r w:rsidRPr="00157A98">
              <w:t>х</w:t>
            </w:r>
          </w:p>
        </w:tc>
        <w:tc>
          <w:tcPr>
            <w:tcW w:w="265" w:type="pct"/>
            <w:shd w:val="clear" w:color="auto" w:fill="auto"/>
          </w:tcPr>
          <w:p w14:paraId="2DBBB922" w14:textId="77777777" w:rsidR="00D05856" w:rsidRPr="00157A98" w:rsidRDefault="00D05856" w:rsidP="00D05856">
            <w:pPr>
              <w:jc w:val="center"/>
            </w:pPr>
            <w:r w:rsidRPr="00157A98">
              <w:t>х</w:t>
            </w:r>
          </w:p>
        </w:tc>
        <w:tc>
          <w:tcPr>
            <w:tcW w:w="265" w:type="pct"/>
            <w:shd w:val="clear" w:color="auto" w:fill="auto"/>
          </w:tcPr>
          <w:p w14:paraId="15BA240C" w14:textId="77777777" w:rsidR="00D05856" w:rsidRPr="00157A98" w:rsidRDefault="00D05856" w:rsidP="00D05856">
            <w:pPr>
              <w:jc w:val="center"/>
            </w:pPr>
            <w:r w:rsidRPr="00157A98">
              <w:t>х</w:t>
            </w:r>
          </w:p>
        </w:tc>
        <w:tc>
          <w:tcPr>
            <w:tcW w:w="265" w:type="pct"/>
            <w:shd w:val="clear" w:color="auto" w:fill="auto"/>
          </w:tcPr>
          <w:p w14:paraId="210599E8" w14:textId="77777777" w:rsidR="00D05856" w:rsidRPr="00157A98" w:rsidRDefault="00D05856" w:rsidP="00D05856">
            <w:pPr>
              <w:jc w:val="center"/>
            </w:pPr>
            <w:r w:rsidRPr="00157A98">
              <w:t>х</w:t>
            </w:r>
          </w:p>
        </w:tc>
      </w:tr>
      <w:tr w:rsidR="00D05856" w:rsidRPr="00157A98" w14:paraId="103F9312" w14:textId="77777777" w:rsidTr="00D05856">
        <w:trPr>
          <w:jc w:val="center"/>
        </w:trPr>
        <w:tc>
          <w:tcPr>
            <w:tcW w:w="195" w:type="pct"/>
            <w:shd w:val="clear" w:color="auto" w:fill="auto"/>
          </w:tcPr>
          <w:p w14:paraId="404C1F0B" w14:textId="77777777" w:rsidR="00D05856" w:rsidRPr="00157A98" w:rsidRDefault="00D05856" w:rsidP="00D05856">
            <w:pPr>
              <w:spacing w:after="160" w:line="259" w:lineRule="auto"/>
              <w:jc w:val="center"/>
              <w:rPr>
                <w:rFonts w:eastAsia="Calibri"/>
                <w:lang w:eastAsia="en-US"/>
              </w:rPr>
            </w:pPr>
            <w:r w:rsidRPr="00157A98">
              <w:rPr>
                <w:rFonts w:eastAsia="Calibri"/>
                <w:lang w:eastAsia="en-US"/>
              </w:rPr>
              <w:t>20</w:t>
            </w:r>
          </w:p>
        </w:tc>
        <w:tc>
          <w:tcPr>
            <w:tcW w:w="376" w:type="pct"/>
            <w:shd w:val="clear" w:color="auto" w:fill="auto"/>
          </w:tcPr>
          <w:p w14:paraId="434FAF5B" w14:textId="77777777" w:rsidR="00D05856" w:rsidRPr="00157A98" w:rsidRDefault="00D05856" w:rsidP="00D05856">
            <w:pPr>
              <w:spacing w:after="160" w:line="259" w:lineRule="auto"/>
              <w:jc w:val="center"/>
              <w:rPr>
                <w:rFonts w:eastAsia="Calibri"/>
                <w:lang w:eastAsia="en-US"/>
              </w:rPr>
            </w:pPr>
            <w:r w:rsidRPr="00157A98">
              <w:rPr>
                <w:rFonts w:eastAsia="Calibri"/>
                <w:lang w:eastAsia="en-US"/>
              </w:rPr>
              <w:t>1.1.6.8</w:t>
            </w:r>
          </w:p>
        </w:tc>
        <w:tc>
          <w:tcPr>
            <w:tcW w:w="1295" w:type="pct"/>
            <w:shd w:val="clear" w:color="auto" w:fill="auto"/>
          </w:tcPr>
          <w:p w14:paraId="6306FF09" w14:textId="77777777" w:rsidR="00D05856" w:rsidRPr="00157A98" w:rsidRDefault="00D05856" w:rsidP="00D05856">
            <w:pPr>
              <w:spacing w:after="160" w:line="259" w:lineRule="auto"/>
              <w:jc w:val="left"/>
              <w:rPr>
                <w:rFonts w:eastAsia="Calibri"/>
                <w:lang w:eastAsia="en-US"/>
              </w:rPr>
            </w:pPr>
            <w:r w:rsidRPr="00157A98">
              <w:rPr>
                <w:rFonts w:eastAsia="Calibri"/>
                <w:lang w:eastAsia="en-US"/>
              </w:rPr>
              <w:t>сума балансової вартості непрофільних активів</w:t>
            </w:r>
          </w:p>
        </w:tc>
        <w:tc>
          <w:tcPr>
            <w:tcW w:w="148" w:type="pct"/>
            <w:shd w:val="clear" w:color="auto" w:fill="auto"/>
          </w:tcPr>
          <w:p w14:paraId="1E72F954" w14:textId="77777777" w:rsidR="00D05856" w:rsidRPr="00157A98" w:rsidRDefault="00D05856" w:rsidP="00D05856">
            <w:pPr>
              <w:jc w:val="center"/>
            </w:pPr>
          </w:p>
        </w:tc>
        <w:tc>
          <w:tcPr>
            <w:tcW w:w="148" w:type="pct"/>
            <w:shd w:val="clear" w:color="auto" w:fill="auto"/>
          </w:tcPr>
          <w:p w14:paraId="3BD3C510" w14:textId="77777777" w:rsidR="00D05856" w:rsidRPr="00157A98" w:rsidRDefault="00D05856" w:rsidP="00D05856">
            <w:pPr>
              <w:jc w:val="center"/>
            </w:pPr>
          </w:p>
        </w:tc>
        <w:tc>
          <w:tcPr>
            <w:tcW w:w="146" w:type="pct"/>
            <w:shd w:val="clear" w:color="auto" w:fill="auto"/>
          </w:tcPr>
          <w:p w14:paraId="463BBD78" w14:textId="77777777" w:rsidR="00D05856" w:rsidRPr="00157A98" w:rsidRDefault="00D05856" w:rsidP="00D05856">
            <w:pPr>
              <w:jc w:val="center"/>
            </w:pPr>
          </w:p>
        </w:tc>
        <w:tc>
          <w:tcPr>
            <w:tcW w:w="137" w:type="pct"/>
            <w:shd w:val="clear" w:color="auto" w:fill="auto"/>
          </w:tcPr>
          <w:p w14:paraId="7CE08972" w14:textId="77777777" w:rsidR="00D05856" w:rsidRPr="00157A98" w:rsidRDefault="00D05856" w:rsidP="00D05856">
            <w:pPr>
              <w:jc w:val="center"/>
            </w:pPr>
            <w:r w:rsidRPr="00157A98">
              <w:t>х</w:t>
            </w:r>
          </w:p>
        </w:tc>
        <w:tc>
          <w:tcPr>
            <w:tcW w:w="158" w:type="pct"/>
          </w:tcPr>
          <w:p w14:paraId="4D05C6FC" w14:textId="77777777" w:rsidR="00D05856" w:rsidRPr="00157A98" w:rsidRDefault="00D05856" w:rsidP="00D05856">
            <w:pPr>
              <w:jc w:val="center"/>
            </w:pPr>
            <w:r w:rsidRPr="00157A98">
              <w:t>х</w:t>
            </w:r>
          </w:p>
        </w:tc>
        <w:tc>
          <w:tcPr>
            <w:tcW w:w="160" w:type="pct"/>
          </w:tcPr>
          <w:p w14:paraId="71AF9307" w14:textId="77777777" w:rsidR="00D05856" w:rsidRPr="00157A98" w:rsidRDefault="00D05856" w:rsidP="00D05856">
            <w:pPr>
              <w:jc w:val="center"/>
            </w:pPr>
            <w:r w:rsidRPr="00157A98">
              <w:t>х</w:t>
            </w:r>
          </w:p>
        </w:tc>
        <w:tc>
          <w:tcPr>
            <w:tcW w:w="202" w:type="pct"/>
          </w:tcPr>
          <w:p w14:paraId="77A85971" w14:textId="77777777" w:rsidR="00D05856" w:rsidRPr="00157A98" w:rsidRDefault="00D05856" w:rsidP="00D05856">
            <w:pPr>
              <w:jc w:val="center"/>
            </w:pPr>
            <w:r w:rsidRPr="00157A98">
              <w:t>х</w:t>
            </w:r>
          </w:p>
        </w:tc>
        <w:tc>
          <w:tcPr>
            <w:tcW w:w="208" w:type="pct"/>
          </w:tcPr>
          <w:p w14:paraId="107C4575" w14:textId="77777777" w:rsidR="00D05856" w:rsidRPr="00157A98" w:rsidRDefault="00D05856" w:rsidP="00D05856">
            <w:pPr>
              <w:jc w:val="center"/>
            </w:pPr>
            <w:r w:rsidRPr="00157A98">
              <w:t>х</w:t>
            </w:r>
          </w:p>
        </w:tc>
        <w:tc>
          <w:tcPr>
            <w:tcW w:w="234" w:type="pct"/>
          </w:tcPr>
          <w:p w14:paraId="0A81414B" w14:textId="77777777" w:rsidR="00D05856" w:rsidRPr="00157A98" w:rsidRDefault="00D05856" w:rsidP="00D05856">
            <w:pPr>
              <w:jc w:val="center"/>
            </w:pPr>
            <w:r w:rsidRPr="00157A98">
              <w:t>х</w:t>
            </w:r>
          </w:p>
        </w:tc>
        <w:tc>
          <w:tcPr>
            <w:tcW w:w="267" w:type="pct"/>
          </w:tcPr>
          <w:p w14:paraId="1BB29F08" w14:textId="77777777" w:rsidR="00D05856" w:rsidRPr="00157A98" w:rsidRDefault="00D05856" w:rsidP="00D05856">
            <w:pPr>
              <w:jc w:val="center"/>
            </w:pPr>
            <w:r w:rsidRPr="00157A98">
              <w:t>х</w:t>
            </w:r>
          </w:p>
        </w:tc>
        <w:tc>
          <w:tcPr>
            <w:tcW w:w="267" w:type="pct"/>
          </w:tcPr>
          <w:p w14:paraId="2E8BC602" w14:textId="77777777" w:rsidR="00D05856" w:rsidRPr="00157A98" w:rsidRDefault="00D05856" w:rsidP="00D05856">
            <w:pPr>
              <w:jc w:val="center"/>
            </w:pPr>
            <w:r w:rsidRPr="00157A98">
              <w:t>х</w:t>
            </w:r>
          </w:p>
        </w:tc>
        <w:tc>
          <w:tcPr>
            <w:tcW w:w="265" w:type="pct"/>
          </w:tcPr>
          <w:p w14:paraId="4337F4DF" w14:textId="77777777" w:rsidR="00D05856" w:rsidRPr="00157A98" w:rsidRDefault="00D05856" w:rsidP="00D05856">
            <w:pPr>
              <w:jc w:val="center"/>
            </w:pPr>
            <w:r w:rsidRPr="00157A98">
              <w:t>х</w:t>
            </w:r>
          </w:p>
        </w:tc>
        <w:tc>
          <w:tcPr>
            <w:tcW w:w="265" w:type="pct"/>
          </w:tcPr>
          <w:p w14:paraId="54B9E70D" w14:textId="77777777" w:rsidR="00D05856" w:rsidRPr="00157A98" w:rsidRDefault="00D05856" w:rsidP="00D05856">
            <w:pPr>
              <w:jc w:val="center"/>
            </w:pPr>
            <w:r w:rsidRPr="00157A98">
              <w:t>х</w:t>
            </w:r>
          </w:p>
        </w:tc>
        <w:tc>
          <w:tcPr>
            <w:tcW w:w="265" w:type="pct"/>
          </w:tcPr>
          <w:p w14:paraId="7AE1C7F8" w14:textId="77777777" w:rsidR="00D05856" w:rsidRPr="00157A98" w:rsidRDefault="00D05856" w:rsidP="00D05856">
            <w:pPr>
              <w:jc w:val="center"/>
            </w:pPr>
            <w:r w:rsidRPr="00157A98">
              <w:t>х</w:t>
            </w:r>
          </w:p>
        </w:tc>
        <w:tc>
          <w:tcPr>
            <w:tcW w:w="265" w:type="pct"/>
          </w:tcPr>
          <w:p w14:paraId="42C164AA" w14:textId="77777777" w:rsidR="00D05856" w:rsidRPr="00157A98" w:rsidRDefault="00D05856" w:rsidP="00D05856">
            <w:pPr>
              <w:jc w:val="center"/>
            </w:pPr>
            <w:r w:rsidRPr="00157A98">
              <w:t>х</w:t>
            </w:r>
          </w:p>
        </w:tc>
      </w:tr>
    </w:tbl>
    <w:p w14:paraId="2E9AC69E" w14:textId="20375813" w:rsidR="008072F3" w:rsidRPr="00157A98" w:rsidRDefault="00D05856" w:rsidP="008072F3">
      <w:pPr>
        <w:ind w:right="-143" w:firstLine="8789"/>
      </w:pPr>
      <w:r w:rsidRPr="00157A98">
        <w:t xml:space="preserve">                                                                          </w:t>
      </w:r>
      <w:r w:rsidR="008072F3" w:rsidRPr="00157A98">
        <w:t>”.</w:t>
      </w:r>
    </w:p>
    <w:p w14:paraId="02C25C84" w14:textId="4A9285B6" w:rsidR="008072F3" w:rsidRPr="00157A98" w:rsidRDefault="008072F3" w:rsidP="008072F3">
      <w:pPr>
        <w:shd w:val="clear" w:color="auto" w:fill="FFFFFF" w:themeFill="background1"/>
        <w:ind w:firstLine="709"/>
      </w:pPr>
      <w:r w:rsidRPr="00157A98">
        <w:t>У зв’язку з цим рядки 20–77 уважати відповідно рядками 21–78;</w:t>
      </w:r>
    </w:p>
    <w:p w14:paraId="7563ED02" w14:textId="77777777" w:rsidR="008072F3" w:rsidRPr="00157A98" w:rsidRDefault="008072F3" w:rsidP="008072F3">
      <w:pPr>
        <w:ind w:firstLine="709"/>
      </w:pPr>
    </w:p>
    <w:p w14:paraId="15885F01" w14:textId="61269DF2" w:rsidR="008072F3" w:rsidRPr="00157A98" w:rsidRDefault="008072F3" w:rsidP="008072F3">
      <w:pPr>
        <w:ind w:firstLine="709"/>
      </w:pPr>
      <w:r w:rsidRPr="00157A98">
        <w:lastRenderedPageBreak/>
        <w:t xml:space="preserve">4) у </w:t>
      </w:r>
      <w:r w:rsidR="001E7203" w:rsidRPr="00157A98">
        <w:t xml:space="preserve">колонці 3 </w:t>
      </w:r>
      <w:r w:rsidRPr="00157A98">
        <w:t>рядк</w:t>
      </w:r>
      <w:r w:rsidR="001E7203" w:rsidRPr="00157A98">
        <w:t>а</w:t>
      </w:r>
      <w:r w:rsidRPr="00157A98">
        <w:t xml:space="preserve"> 34 слова “виконавчої влади, Національним банком України та Державною іпотечною установою” замінити словами “виконавчої влади України, Державною іпотечною установою та органами місцевого самоврядування України”;</w:t>
      </w:r>
    </w:p>
    <w:p w14:paraId="2BB16023" w14:textId="77777777" w:rsidR="008072F3" w:rsidRPr="00157A98" w:rsidRDefault="008072F3" w:rsidP="008072F3">
      <w:pPr>
        <w:ind w:firstLine="709"/>
      </w:pPr>
    </w:p>
    <w:p w14:paraId="4EC1F016" w14:textId="77777777" w:rsidR="008072F3" w:rsidRPr="00157A98" w:rsidRDefault="008072F3" w:rsidP="008072F3">
      <w:pPr>
        <w:ind w:firstLine="709"/>
      </w:pPr>
      <w:r w:rsidRPr="00157A98">
        <w:t>5) таблицю після рядка 43 доповнити новим рядком 44 такого змісту:</w:t>
      </w:r>
    </w:p>
    <w:p w14:paraId="7B27A1A4" w14:textId="77777777" w:rsidR="00D05856" w:rsidRPr="00157A98" w:rsidRDefault="008072F3" w:rsidP="008072F3">
      <w:pPr>
        <w:ind w:firstLine="709"/>
      </w:pPr>
      <w:r w:rsidRPr="00157A98">
        <w:t>“</w:t>
      </w:r>
    </w:p>
    <w:tbl>
      <w:tblPr>
        <w:tblW w:w="45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771"/>
        <w:gridCol w:w="3608"/>
        <w:gridCol w:w="388"/>
        <w:gridCol w:w="388"/>
        <w:gridCol w:w="383"/>
        <w:gridCol w:w="359"/>
        <w:gridCol w:w="414"/>
        <w:gridCol w:w="420"/>
        <w:gridCol w:w="530"/>
        <w:gridCol w:w="545"/>
        <w:gridCol w:w="614"/>
        <w:gridCol w:w="700"/>
        <w:gridCol w:w="700"/>
        <w:gridCol w:w="695"/>
        <w:gridCol w:w="695"/>
        <w:gridCol w:w="695"/>
        <w:gridCol w:w="695"/>
      </w:tblGrid>
      <w:tr w:rsidR="00D05856" w:rsidRPr="00157A98" w14:paraId="16600249" w14:textId="77777777" w:rsidTr="00D05856">
        <w:trPr>
          <w:jc w:val="center"/>
        </w:trPr>
        <w:tc>
          <w:tcPr>
            <w:tcW w:w="195" w:type="pct"/>
            <w:shd w:val="clear" w:color="auto" w:fill="auto"/>
          </w:tcPr>
          <w:p w14:paraId="3A710A30" w14:textId="77777777" w:rsidR="00D05856" w:rsidRPr="00157A98" w:rsidRDefault="00D05856" w:rsidP="00D05856">
            <w:pPr>
              <w:jc w:val="center"/>
            </w:pPr>
            <w:r w:rsidRPr="00157A98">
              <w:t>1</w:t>
            </w:r>
          </w:p>
        </w:tc>
        <w:tc>
          <w:tcPr>
            <w:tcW w:w="294" w:type="pct"/>
            <w:shd w:val="clear" w:color="auto" w:fill="auto"/>
          </w:tcPr>
          <w:p w14:paraId="1DA0A5C9" w14:textId="77777777" w:rsidR="00D05856" w:rsidRPr="00157A98" w:rsidRDefault="00D05856" w:rsidP="00D05856">
            <w:pPr>
              <w:jc w:val="center"/>
            </w:pPr>
            <w:r w:rsidRPr="00157A98">
              <w:t>2</w:t>
            </w:r>
          </w:p>
        </w:tc>
        <w:tc>
          <w:tcPr>
            <w:tcW w:w="1376" w:type="pct"/>
            <w:shd w:val="clear" w:color="auto" w:fill="auto"/>
          </w:tcPr>
          <w:p w14:paraId="3704DB66" w14:textId="77777777" w:rsidR="00D05856" w:rsidRPr="00157A98" w:rsidRDefault="00D05856" w:rsidP="00D05856">
            <w:pPr>
              <w:jc w:val="center"/>
            </w:pPr>
            <w:r w:rsidRPr="00157A98">
              <w:t>3</w:t>
            </w:r>
          </w:p>
        </w:tc>
        <w:tc>
          <w:tcPr>
            <w:tcW w:w="148" w:type="pct"/>
            <w:shd w:val="clear" w:color="auto" w:fill="auto"/>
          </w:tcPr>
          <w:p w14:paraId="5061A78E" w14:textId="77777777" w:rsidR="00D05856" w:rsidRPr="00157A98" w:rsidRDefault="00D05856" w:rsidP="00D05856">
            <w:pPr>
              <w:jc w:val="center"/>
            </w:pPr>
            <w:r w:rsidRPr="00157A98">
              <w:t>4</w:t>
            </w:r>
          </w:p>
        </w:tc>
        <w:tc>
          <w:tcPr>
            <w:tcW w:w="148" w:type="pct"/>
            <w:shd w:val="clear" w:color="auto" w:fill="auto"/>
          </w:tcPr>
          <w:p w14:paraId="4D65C1B6" w14:textId="77777777" w:rsidR="00D05856" w:rsidRPr="00157A98" w:rsidRDefault="00D05856" w:rsidP="00D05856">
            <w:pPr>
              <w:jc w:val="center"/>
            </w:pPr>
            <w:r w:rsidRPr="00157A98">
              <w:t>5</w:t>
            </w:r>
          </w:p>
        </w:tc>
        <w:tc>
          <w:tcPr>
            <w:tcW w:w="146" w:type="pct"/>
            <w:shd w:val="clear" w:color="auto" w:fill="auto"/>
          </w:tcPr>
          <w:p w14:paraId="53C535C3" w14:textId="77777777" w:rsidR="00D05856" w:rsidRPr="00157A98" w:rsidRDefault="00D05856" w:rsidP="00D05856">
            <w:pPr>
              <w:jc w:val="center"/>
            </w:pPr>
            <w:r w:rsidRPr="00157A98">
              <w:t>6</w:t>
            </w:r>
          </w:p>
        </w:tc>
        <w:tc>
          <w:tcPr>
            <w:tcW w:w="137" w:type="pct"/>
            <w:shd w:val="clear" w:color="auto" w:fill="auto"/>
          </w:tcPr>
          <w:p w14:paraId="4FAC6117" w14:textId="77777777" w:rsidR="00D05856" w:rsidRPr="00157A98" w:rsidRDefault="00D05856" w:rsidP="00D05856">
            <w:pPr>
              <w:jc w:val="center"/>
            </w:pPr>
            <w:r w:rsidRPr="00157A98">
              <w:t>7</w:t>
            </w:r>
          </w:p>
        </w:tc>
        <w:tc>
          <w:tcPr>
            <w:tcW w:w="158" w:type="pct"/>
          </w:tcPr>
          <w:p w14:paraId="231594BC" w14:textId="77777777" w:rsidR="00D05856" w:rsidRPr="00157A98" w:rsidRDefault="00D05856" w:rsidP="00D05856">
            <w:pPr>
              <w:jc w:val="center"/>
            </w:pPr>
            <w:r w:rsidRPr="00157A98">
              <w:t>8</w:t>
            </w:r>
          </w:p>
        </w:tc>
        <w:tc>
          <w:tcPr>
            <w:tcW w:w="160" w:type="pct"/>
          </w:tcPr>
          <w:p w14:paraId="0DF7C0EC" w14:textId="77777777" w:rsidR="00D05856" w:rsidRPr="00157A98" w:rsidRDefault="00D05856" w:rsidP="00D05856">
            <w:pPr>
              <w:jc w:val="center"/>
            </w:pPr>
            <w:r w:rsidRPr="00157A98">
              <w:t>9</w:t>
            </w:r>
          </w:p>
        </w:tc>
        <w:tc>
          <w:tcPr>
            <w:tcW w:w="202" w:type="pct"/>
          </w:tcPr>
          <w:p w14:paraId="74B0E24A" w14:textId="77777777" w:rsidR="00D05856" w:rsidRPr="00157A98" w:rsidRDefault="00D05856" w:rsidP="00D05856">
            <w:pPr>
              <w:jc w:val="center"/>
            </w:pPr>
            <w:r w:rsidRPr="00157A98">
              <w:t>10</w:t>
            </w:r>
          </w:p>
        </w:tc>
        <w:tc>
          <w:tcPr>
            <w:tcW w:w="208" w:type="pct"/>
          </w:tcPr>
          <w:p w14:paraId="40E638CE" w14:textId="77777777" w:rsidR="00D05856" w:rsidRPr="00157A98" w:rsidRDefault="00D05856" w:rsidP="00D05856">
            <w:pPr>
              <w:jc w:val="center"/>
            </w:pPr>
            <w:r w:rsidRPr="00157A98">
              <w:t>11</w:t>
            </w:r>
          </w:p>
        </w:tc>
        <w:tc>
          <w:tcPr>
            <w:tcW w:w="234" w:type="pct"/>
          </w:tcPr>
          <w:p w14:paraId="5B1DFD7E" w14:textId="77777777" w:rsidR="00D05856" w:rsidRPr="00157A98" w:rsidRDefault="00D05856" w:rsidP="00D05856">
            <w:pPr>
              <w:jc w:val="center"/>
            </w:pPr>
            <w:r w:rsidRPr="00157A98">
              <w:t>12</w:t>
            </w:r>
          </w:p>
        </w:tc>
        <w:tc>
          <w:tcPr>
            <w:tcW w:w="267" w:type="pct"/>
          </w:tcPr>
          <w:p w14:paraId="2892AFA1" w14:textId="77777777" w:rsidR="00D05856" w:rsidRPr="00157A98" w:rsidRDefault="00D05856" w:rsidP="00D05856">
            <w:pPr>
              <w:jc w:val="center"/>
            </w:pPr>
            <w:r w:rsidRPr="00157A98">
              <w:t>13</w:t>
            </w:r>
          </w:p>
        </w:tc>
        <w:tc>
          <w:tcPr>
            <w:tcW w:w="267" w:type="pct"/>
          </w:tcPr>
          <w:p w14:paraId="1E6879B3" w14:textId="77777777" w:rsidR="00D05856" w:rsidRPr="00157A98" w:rsidRDefault="00D05856" w:rsidP="00D05856">
            <w:pPr>
              <w:jc w:val="center"/>
            </w:pPr>
            <w:r w:rsidRPr="00157A98">
              <w:t>14</w:t>
            </w:r>
          </w:p>
        </w:tc>
        <w:tc>
          <w:tcPr>
            <w:tcW w:w="265" w:type="pct"/>
          </w:tcPr>
          <w:p w14:paraId="29118313" w14:textId="77777777" w:rsidR="00D05856" w:rsidRPr="00157A98" w:rsidRDefault="00D05856" w:rsidP="00D05856">
            <w:pPr>
              <w:jc w:val="center"/>
            </w:pPr>
            <w:r w:rsidRPr="00157A98">
              <w:t>15</w:t>
            </w:r>
          </w:p>
        </w:tc>
        <w:tc>
          <w:tcPr>
            <w:tcW w:w="265" w:type="pct"/>
          </w:tcPr>
          <w:p w14:paraId="1FDE287A" w14:textId="77777777" w:rsidR="00D05856" w:rsidRPr="00157A98" w:rsidRDefault="00D05856" w:rsidP="00D05856">
            <w:pPr>
              <w:jc w:val="center"/>
            </w:pPr>
            <w:r w:rsidRPr="00157A98">
              <w:t>16</w:t>
            </w:r>
          </w:p>
        </w:tc>
        <w:tc>
          <w:tcPr>
            <w:tcW w:w="265" w:type="pct"/>
          </w:tcPr>
          <w:p w14:paraId="28C3891E" w14:textId="77777777" w:rsidR="00D05856" w:rsidRPr="00157A98" w:rsidRDefault="00D05856" w:rsidP="00D05856">
            <w:pPr>
              <w:jc w:val="center"/>
            </w:pPr>
            <w:r w:rsidRPr="00157A98">
              <w:t>17</w:t>
            </w:r>
          </w:p>
        </w:tc>
        <w:tc>
          <w:tcPr>
            <w:tcW w:w="265" w:type="pct"/>
          </w:tcPr>
          <w:p w14:paraId="70701199" w14:textId="77777777" w:rsidR="00D05856" w:rsidRPr="00157A98" w:rsidRDefault="00D05856" w:rsidP="00D05856">
            <w:pPr>
              <w:jc w:val="center"/>
            </w:pPr>
            <w:r w:rsidRPr="00157A98">
              <w:t>18</w:t>
            </w:r>
          </w:p>
        </w:tc>
      </w:tr>
      <w:tr w:rsidR="00D05856" w:rsidRPr="00157A98" w14:paraId="0808C6AF" w14:textId="77777777" w:rsidTr="00D05856">
        <w:trPr>
          <w:jc w:val="center"/>
        </w:trPr>
        <w:tc>
          <w:tcPr>
            <w:tcW w:w="195" w:type="pct"/>
            <w:shd w:val="clear" w:color="auto" w:fill="auto"/>
          </w:tcPr>
          <w:p w14:paraId="7C446CFA" w14:textId="77777777" w:rsidR="00D05856" w:rsidRPr="00157A98" w:rsidRDefault="00D05856" w:rsidP="00D05856">
            <w:pPr>
              <w:spacing w:after="160" w:line="259" w:lineRule="auto"/>
              <w:jc w:val="center"/>
              <w:rPr>
                <w:rFonts w:eastAsia="Calibri"/>
                <w:lang w:eastAsia="en-US"/>
              </w:rPr>
            </w:pPr>
            <w:r w:rsidRPr="00157A98">
              <w:rPr>
                <w:rFonts w:eastAsia="Calibri"/>
                <w:lang w:eastAsia="en-US"/>
              </w:rPr>
              <w:t>44</w:t>
            </w:r>
          </w:p>
        </w:tc>
        <w:tc>
          <w:tcPr>
            <w:tcW w:w="294" w:type="pct"/>
            <w:shd w:val="clear" w:color="auto" w:fill="auto"/>
          </w:tcPr>
          <w:p w14:paraId="6815B771" w14:textId="77777777" w:rsidR="00D05856" w:rsidRPr="00157A98" w:rsidRDefault="00D05856" w:rsidP="00D05856">
            <w:pPr>
              <w:spacing w:after="160" w:line="259" w:lineRule="auto"/>
              <w:jc w:val="center"/>
              <w:rPr>
                <w:rFonts w:eastAsia="Calibri"/>
                <w:lang w:eastAsia="en-US"/>
              </w:rPr>
            </w:pPr>
            <w:r w:rsidRPr="00157A98">
              <w:rPr>
                <w:rFonts w:eastAsia="Calibri"/>
                <w:lang w:eastAsia="en-US"/>
              </w:rPr>
              <w:t>2.5</w:t>
            </w:r>
          </w:p>
        </w:tc>
        <w:tc>
          <w:tcPr>
            <w:tcW w:w="1376" w:type="pct"/>
            <w:shd w:val="clear" w:color="auto" w:fill="auto"/>
          </w:tcPr>
          <w:p w14:paraId="242B5760" w14:textId="77777777" w:rsidR="00D05856" w:rsidRPr="00157A98" w:rsidRDefault="00D05856" w:rsidP="00D05856">
            <w:pPr>
              <w:spacing w:after="160" w:line="259" w:lineRule="auto"/>
              <w:jc w:val="left"/>
              <w:rPr>
                <w:rFonts w:eastAsia="Calibri"/>
                <w:lang w:eastAsia="en-US"/>
              </w:rPr>
            </w:pPr>
            <w:r w:rsidRPr="00157A98">
              <w:rPr>
                <w:rFonts w:eastAsia="Calibri"/>
                <w:lang w:eastAsia="en-US"/>
              </w:rPr>
              <w:t>мінімальний розмір операційного ризику (ОР)</w:t>
            </w:r>
          </w:p>
        </w:tc>
        <w:tc>
          <w:tcPr>
            <w:tcW w:w="148" w:type="pct"/>
            <w:shd w:val="clear" w:color="auto" w:fill="auto"/>
          </w:tcPr>
          <w:p w14:paraId="2DC3B1E0" w14:textId="7ED67B68" w:rsidR="00D05856" w:rsidRPr="00157A98" w:rsidRDefault="00D05856" w:rsidP="00D05856">
            <w:pPr>
              <w:jc w:val="center"/>
            </w:pPr>
            <w:r w:rsidRPr="00157A98">
              <w:t>х</w:t>
            </w:r>
          </w:p>
        </w:tc>
        <w:tc>
          <w:tcPr>
            <w:tcW w:w="148" w:type="pct"/>
            <w:shd w:val="clear" w:color="auto" w:fill="auto"/>
          </w:tcPr>
          <w:p w14:paraId="478BBA76" w14:textId="10202F7A" w:rsidR="00D05856" w:rsidRPr="00157A98" w:rsidRDefault="00D05856" w:rsidP="00D05856">
            <w:pPr>
              <w:jc w:val="center"/>
            </w:pPr>
            <w:r w:rsidRPr="00157A98">
              <w:t>х</w:t>
            </w:r>
          </w:p>
        </w:tc>
        <w:tc>
          <w:tcPr>
            <w:tcW w:w="146" w:type="pct"/>
            <w:shd w:val="clear" w:color="auto" w:fill="auto"/>
          </w:tcPr>
          <w:p w14:paraId="567D23C6" w14:textId="10714EB6" w:rsidR="00D05856" w:rsidRPr="00157A98" w:rsidRDefault="00D05856" w:rsidP="00D05856">
            <w:pPr>
              <w:jc w:val="center"/>
            </w:pPr>
            <w:r w:rsidRPr="00157A98">
              <w:t>х</w:t>
            </w:r>
          </w:p>
        </w:tc>
        <w:tc>
          <w:tcPr>
            <w:tcW w:w="137" w:type="pct"/>
            <w:shd w:val="clear" w:color="auto" w:fill="auto"/>
          </w:tcPr>
          <w:p w14:paraId="19D233C8" w14:textId="77777777" w:rsidR="00D05856" w:rsidRPr="00157A98" w:rsidRDefault="00D05856" w:rsidP="00D05856">
            <w:pPr>
              <w:jc w:val="center"/>
            </w:pPr>
            <w:r w:rsidRPr="00157A98">
              <w:t>х</w:t>
            </w:r>
          </w:p>
        </w:tc>
        <w:tc>
          <w:tcPr>
            <w:tcW w:w="158" w:type="pct"/>
          </w:tcPr>
          <w:p w14:paraId="301932C2" w14:textId="77777777" w:rsidR="00D05856" w:rsidRPr="00157A98" w:rsidRDefault="00D05856" w:rsidP="00D05856">
            <w:pPr>
              <w:jc w:val="center"/>
            </w:pPr>
            <w:r w:rsidRPr="00157A98">
              <w:t>х</w:t>
            </w:r>
          </w:p>
        </w:tc>
        <w:tc>
          <w:tcPr>
            <w:tcW w:w="160" w:type="pct"/>
          </w:tcPr>
          <w:p w14:paraId="51BD11AB" w14:textId="77777777" w:rsidR="00D05856" w:rsidRPr="00157A98" w:rsidRDefault="00D05856" w:rsidP="00D05856">
            <w:pPr>
              <w:jc w:val="center"/>
            </w:pPr>
            <w:r w:rsidRPr="00157A98">
              <w:t>х</w:t>
            </w:r>
          </w:p>
        </w:tc>
        <w:tc>
          <w:tcPr>
            <w:tcW w:w="202" w:type="pct"/>
          </w:tcPr>
          <w:p w14:paraId="5D5BBB1D" w14:textId="77777777" w:rsidR="00D05856" w:rsidRPr="00157A98" w:rsidRDefault="00D05856" w:rsidP="00D05856">
            <w:pPr>
              <w:jc w:val="center"/>
            </w:pPr>
            <w:r w:rsidRPr="00157A98">
              <w:t>х</w:t>
            </w:r>
          </w:p>
        </w:tc>
        <w:tc>
          <w:tcPr>
            <w:tcW w:w="208" w:type="pct"/>
          </w:tcPr>
          <w:p w14:paraId="23263A41" w14:textId="2FB8AEA0" w:rsidR="00D05856" w:rsidRPr="00157A98" w:rsidRDefault="00D05856" w:rsidP="00D05856">
            <w:pPr>
              <w:jc w:val="center"/>
            </w:pPr>
          </w:p>
        </w:tc>
        <w:tc>
          <w:tcPr>
            <w:tcW w:w="234" w:type="pct"/>
          </w:tcPr>
          <w:p w14:paraId="0C95869D" w14:textId="77777777" w:rsidR="00D05856" w:rsidRPr="00157A98" w:rsidRDefault="00D05856" w:rsidP="00D05856">
            <w:pPr>
              <w:jc w:val="center"/>
            </w:pPr>
            <w:r w:rsidRPr="00157A98">
              <w:t>х</w:t>
            </w:r>
          </w:p>
        </w:tc>
        <w:tc>
          <w:tcPr>
            <w:tcW w:w="267" w:type="pct"/>
          </w:tcPr>
          <w:p w14:paraId="5F59F4F3" w14:textId="77777777" w:rsidR="00D05856" w:rsidRPr="00157A98" w:rsidRDefault="00D05856" w:rsidP="00D05856">
            <w:pPr>
              <w:jc w:val="center"/>
            </w:pPr>
            <w:r w:rsidRPr="00157A98">
              <w:t>х</w:t>
            </w:r>
          </w:p>
        </w:tc>
        <w:tc>
          <w:tcPr>
            <w:tcW w:w="267" w:type="pct"/>
          </w:tcPr>
          <w:p w14:paraId="1916E5CC" w14:textId="77777777" w:rsidR="00D05856" w:rsidRPr="00157A98" w:rsidRDefault="00D05856" w:rsidP="00D05856">
            <w:pPr>
              <w:jc w:val="center"/>
            </w:pPr>
            <w:r w:rsidRPr="00157A98">
              <w:t>х</w:t>
            </w:r>
          </w:p>
        </w:tc>
        <w:tc>
          <w:tcPr>
            <w:tcW w:w="265" w:type="pct"/>
          </w:tcPr>
          <w:p w14:paraId="1E7A7C95" w14:textId="77777777" w:rsidR="00D05856" w:rsidRPr="00157A98" w:rsidRDefault="00D05856" w:rsidP="00D05856">
            <w:pPr>
              <w:jc w:val="center"/>
            </w:pPr>
            <w:r w:rsidRPr="00157A98">
              <w:t>х</w:t>
            </w:r>
          </w:p>
        </w:tc>
        <w:tc>
          <w:tcPr>
            <w:tcW w:w="265" w:type="pct"/>
          </w:tcPr>
          <w:p w14:paraId="5C0A1FD1" w14:textId="77777777" w:rsidR="00D05856" w:rsidRPr="00157A98" w:rsidRDefault="00D05856" w:rsidP="00D05856">
            <w:pPr>
              <w:jc w:val="center"/>
            </w:pPr>
            <w:r w:rsidRPr="00157A98">
              <w:t>х</w:t>
            </w:r>
          </w:p>
        </w:tc>
        <w:tc>
          <w:tcPr>
            <w:tcW w:w="265" w:type="pct"/>
          </w:tcPr>
          <w:p w14:paraId="0B737DE7" w14:textId="77777777" w:rsidR="00D05856" w:rsidRPr="00157A98" w:rsidRDefault="00D05856" w:rsidP="00D05856">
            <w:pPr>
              <w:jc w:val="center"/>
            </w:pPr>
            <w:r w:rsidRPr="00157A98">
              <w:t>х</w:t>
            </w:r>
          </w:p>
        </w:tc>
        <w:tc>
          <w:tcPr>
            <w:tcW w:w="265" w:type="pct"/>
          </w:tcPr>
          <w:p w14:paraId="68B1CCC0" w14:textId="77777777" w:rsidR="00D05856" w:rsidRPr="00157A98" w:rsidRDefault="00D05856" w:rsidP="00D05856">
            <w:pPr>
              <w:jc w:val="center"/>
            </w:pPr>
            <w:r w:rsidRPr="00157A98">
              <w:t>х</w:t>
            </w:r>
          </w:p>
        </w:tc>
      </w:tr>
    </w:tbl>
    <w:p w14:paraId="0332BB51" w14:textId="47B66F09" w:rsidR="008072F3" w:rsidRPr="00157A98" w:rsidRDefault="00D05856" w:rsidP="008072F3">
      <w:pPr>
        <w:ind w:right="-143" w:firstLine="8789"/>
      </w:pPr>
      <w:r w:rsidRPr="00157A98">
        <w:t xml:space="preserve">                                                                          </w:t>
      </w:r>
      <w:r w:rsidR="008072F3" w:rsidRPr="00157A98">
        <w:t>”.</w:t>
      </w:r>
    </w:p>
    <w:p w14:paraId="4C48C3CE" w14:textId="77777777" w:rsidR="008072F3" w:rsidRPr="00157A98" w:rsidRDefault="008072F3" w:rsidP="008072F3">
      <w:pPr>
        <w:shd w:val="clear" w:color="auto" w:fill="FFFFFF" w:themeFill="background1"/>
        <w:ind w:firstLine="709"/>
      </w:pPr>
      <w:r w:rsidRPr="00157A98">
        <w:t>У зв’язку з цим рядки 44–78 уважати відповідно рядками 45–79;</w:t>
      </w:r>
    </w:p>
    <w:p w14:paraId="1E8C8437" w14:textId="77777777" w:rsidR="008072F3" w:rsidRPr="00157A98" w:rsidRDefault="008072F3" w:rsidP="008072F3">
      <w:pPr>
        <w:ind w:firstLine="709"/>
      </w:pPr>
    </w:p>
    <w:p w14:paraId="0FB8FC50" w14:textId="28024A11" w:rsidR="008072F3" w:rsidRPr="00157A98" w:rsidRDefault="008072F3" w:rsidP="008072F3">
      <w:pPr>
        <w:shd w:val="clear" w:color="auto" w:fill="FFFFFF" w:themeFill="background1"/>
        <w:ind w:firstLine="709"/>
      </w:pPr>
      <w:r w:rsidRPr="00157A98">
        <w:t>6) у</w:t>
      </w:r>
      <w:r w:rsidR="002A155F" w:rsidRPr="00157A98">
        <w:t xml:space="preserve"> колонці 2</w:t>
      </w:r>
      <w:r w:rsidRPr="00157A98">
        <w:t xml:space="preserve"> рядк</w:t>
      </w:r>
      <w:r w:rsidR="002A155F" w:rsidRPr="00157A98">
        <w:t>а</w:t>
      </w:r>
      <w:r w:rsidRPr="00157A98">
        <w:t xml:space="preserve"> 45  цифри “2.5” замінити цифрами “2.6”;</w:t>
      </w:r>
    </w:p>
    <w:p w14:paraId="46B443BB" w14:textId="77777777" w:rsidR="008072F3" w:rsidRPr="00157A98" w:rsidRDefault="008072F3" w:rsidP="008072F3">
      <w:pPr>
        <w:shd w:val="clear" w:color="auto" w:fill="FFFFFF" w:themeFill="background1"/>
        <w:ind w:firstLine="709"/>
      </w:pPr>
    </w:p>
    <w:p w14:paraId="0C973F65" w14:textId="77777777" w:rsidR="008072F3" w:rsidRPr="00157A98" w:rsidRDefault="008072F3" w:rsidP="008072F3">
      <w:pPr>
        <w:shd w:val="clear" w:color="auto" w:fill="FFFFFF" w:themeFill="background1"/>
        <w:ind w:firstLine="709"/>
      </w:pPr>
      <w:r w:rsidRPr="00157A98">
        <w:t>7) рядки 62–65 виключити.</w:t>
      </w:r>
    </w:p>
    <w:p w14:paraId="2167ACBB" w14:textId="77777777" w:rsidR="008072F3" w:rsidRPr="00157A98" w:rsidRDefault="008072F3" w:rsidP="008072F3">
      <w:pPr>
        <w:shd w:val="clear" w:color="auto" w:fill="FFFFFF" w:themeFill="background1"/>
        <w:ind w:firstLine="709"/>
      </w:pPr>
      <w:r w:rsidRPr="00157A98">
        <w:t>У зв’язку з цим рядки 66–79 уважати відповідно рядками 62–75;</w:t>
      </w:r>
    </w:p>
    <w:p w14:paraId="215A4DC3" w14:textId="77777777" w:rsidR="008072F3" w:rsidRPr="00157A98" w:rsidRDefault="008072F3" w:rsidP="008072F3">
      <w:pPr>
        <w:shd w:val="clear" w:color="auto" w:fill="FFFFFF" w:themeFill="background1"/>
        <w:ind w:firstLine="709"/>
      </w:pPr>
    </w:p>
    <w:p w14:paraId="04D26FC9" w14:textId="28546038" w:rsidR="008072F3" w:rsidRPr="00157A98" w:rsidRDefault="008072F3" w:rsidP="00A96FA5">
      <w:pPr>
        <w:shd w:val="clear" w:color="auto" w:fill="FFFFFF" w:themeFill="background1"/>
        <w:ind w:firstLine="709"/>
      </w:pPr>
      <w:r w:rsidRPr="00157A98">
        <w:t>8) у</w:t>
      </w:r>
      <w:r w:rsidR="002A155F" w:rsidRPr="00157A98">
        <w:t xml:space="preserve"> колонці 3 </w:t>
      </w:r>
      <w:r w:rsidRPr="00157A98">
        <w:t>рядк</w:t>
      </w:r>
      <w:r w:rsidR="002A155F" w:rsidRPr="00157A98">
        <w:t>а</w:t>
      </w:r>
      <w:r w:rsidRPr="00157A98">
        <w:t xml:space="preserve"> 62</w:t>
      </w:r>
      <w:r w:rsidR="00A96FA5">
        <w:t xml:space="preserve"> </w:t>
      </w:r>
      <w:r w:rsidRPr="00157A98">
        <w:t>літери та цифри “Н10к”</w:t>
      </w:r>
      <w:r w:rsidR="00A96FA5">
        <w:t xml:space="preserve">, </w:t>
      </w:r>
      <w:r w:rsidR="00A96FA5" w:rsidRPr="0025496F">
        <w:rPr>
          <w:lang w:val="ru-RU"/>
        </w:rPr>
        <w:t>“</w:t>
      </w:r>
      <w:r w:rsidR="00A96FA5">
        <w:rPr>
          <w:lang w:val="ru-RU"/>
        </w:rPr>
        <w:t>25</w:t>
      </w:r>
      <w:r w:rsidR="00A96FA5" w:rsidRPr="0025496F">
        <w:rPr>
          <w:lang w:val="ru-RU"/>
        </w:rPr>
        <w:t>”</w:t>
      </w:r>
      <w:r w:rsidRPr="00157A98">
        <w:t xml:space="preserve"> замінити </w:t>
      </w:r>
      <w:r w:rsidR="00A96FA5">
        <w:t xml:space="preserve">відповідно </w:t>
      </w:r>
      <w:r w:rsidRPr="00157A98">
        <w:t>літерами та цифр</w:t>
      </w:r>
      <w:r w:rsidR="00A96FA5">
        <w:t>ами</w:t>
      </w:r>
      <w:r w:rsidRPr="00157A98">
        <w:t xml:space="preserve"> “Н9к”</w:t>
      </w:r>
      <w:r w:rsidR="00A96FA5">
        <w:t xml:space="preserve">, </w:t>
      </w:r>
      <w:r w:rsidR="00A96FA5" w:rsidRPr="0025496F">
        <w:rPr>
          <w:lang w:val="ru-RU"/>
        </w:rPr>
        <w:t>“</w:t>
      </w:r>
      <w:r w:rsidR="00A96FA5">
        <w:rPr>
          <w:lang w:val="ru-RU"/>
        </w:rPr>
        <w:t>25</w:t>
      </w:r>
      <w:r w:rsidR="00A96FA5" w:rsidRPr="0025496F">
        <w:rPr>
          <w:lang w:val="ru-RU"/>
        </w:rPr>
        <w:t>”</w:t>
      </w:r>
      <w:r w:rsidRPr="00157A98">
        <w:t>;</w:t>
      </w:r>
    </w:p>
    <w:p w14:paraId="4A489358" w14:textId="77777777" w:rsidR="008072F3" w:rsidRPr="00157A98" w:rsidRDefault="008072F3" w:rsidP="008072F3">
      <w:pPr>
        <w:shd w:val="clear" w:color="auto" w:fill="FFFFFF" w:themeFill="background1"/>
        <w:ind w:firstLine="709"/>
      </w:pPr>
    </w:p>
    <w:p w14:paraId="0EF497A5" w14:textId="77777777" w:rsidR="0019053E" w:rsidRDefault="008072F3" w:rsidP="008072F3">
      <w:pPr>
        <w:shd w:val="clear" w:color="auto" w:fill="FFFFFF" w:themeFill="background1"/>
        <w:ind w:firstLine="709"/>
      </w:pPr>
      <w:r w:rsidRPr="00157A98">
        <w:t xml:space="preserve">9) </w:t>
      </w:r>
      <w:r w:rsidR="002A155F" w:rsidRPr="00157A98">
        <w:t xml:space="preserve">колонку 3 </w:t>
      </w:r>
      <w:r w:rsidRPr="00157A98">
        <w:t>рядк</w:t>
      </w:r>
      <w:r w:rsidR="002A155F" w:rsidRPr="00157A98">
        <w:t>а</w:t>
      </w:r>
      <w:r w:rsidRPr="00157A98">
        <w:t xml:space="preserve"> 64 викласти в такій редакції</w:t>
      </w:r>
      <w:r w:rsidR="0019053E">
        <w:t>:</w:t>
      </w:r>
    </w:p>
    <w:p w14:paraId="5D4973CE" w14:textId="018CBB28" w:rsidR="008072F3" w:rsidRPr="00157A98" w:rsidRDefault="008072F3" w:rsidP="008072F3">
      <w:pPr>
        <w:shd w:val="clear" w:color="auto" w:fill="FFFFFF" w:themeFill="background1"/>
        <w:ind w:firstLine="709"/>
      </w:pPr>
      <w:r w:rsidRPr="00157A98">
        <w:t xml:space="preserve"> “регулятивний капітал [РК(</w:t>
      </w:r>
      <w:proofErr w:type="spellStart"/>
      <w:r w:rsidRPr="00157A98">
        <w:t>бг</w:t>
      </w:r>
      <w:proofErr w:type="spellEnd"/>
      <w:r w:rsidRPr="00157A98">
        <w:t>)/РК(кіп)/РК(</w:t>
      </w:r>
      <w:proofErr w:type="spellStart"/>
      <w:r w:rsidRPr="00157A98">
        <w:t>сп</w:t>
      </w:r>
      <w:proofErr w:type="spellEnd"/>
      <w:r w:rsidRPr="00157A98">
        <w:t>)/РК(у)]”;</w:t>
      </w:r>
    </w:p>
    <w:p w14:paraId="65EC81B2" w14:textId="77777777" w:rsidR="008072F3" w:rsidRPr="00157A98" w:rsidRDefault="008072F3" w:rsidP="008072F3">
      <w:pPr>
        <w:shd w:val="clear" w:color="auto" w:fill="FFFFFF" w:themeFill="background1"/>
        <w:ind w:firstLine="709"/>
      </w:pPr>
    </w:p>
    <w:p w14:paraId="3D387E07" w14:textId="77777777" w:rsidR="008072F3" w:rsidRPr="00157A98" w:rsidRDefault="008072F3" w:rsidP="008072F3">
      <w:pPr>
        <w:shd w:val="clear" w:color="auto" w:fill="FFFFFF" w:themeFill="background1"/>
        <w:ind w:firstLine="709"/>
      </w:pPr>
      <w:r w:rsidRPr="00157A98">
        <w:t>10) рядки 65–67 виключити.</w:t>
      </w:r>
    </w:p>
    <w:p w14:paraId="3B47AFC1" w14:textId="77777777" w:rsidR="008072F3" w:rsidRPr="008072F3" w:rsidRDefault="008072F3" w:rsidP="008072F3">
      <w:pPr>
        <w:shd w:val="clear" w:color="auto" w:fill="FFFFFF" w:themeFill="background1"/>
        <w:ind w:firstLine="709"/>
      </w:pPr>
      <w:r w:rsidRPr="00157A98">
        <w:t>У зв’язку з цим рядки 68–75 уважати відповідно рядками 65–72.</w:t>
      </w:r>
    </w:p>
    <w:p w14:paraId="5E455C9D" w14:textId="25FEC981" w:rsidR="008072F3" w:rsidRPr="00CD0CD4" w:rsidRDefault="008072F3" w:rsidP="00E42621">
      <w:pPr>
        <w:tabs>
          <w:tab w:val="left" w:pos="993"/>
        </w:tabs>
        <w:spacing w:after="120"/>
      </w:pPr>
    </w:p>
    <w:sectPr w:rsidR="008072F3" w:rsidRPr="00CD0CD4" w:rsidSect="00842767">
      <w:pgSz w:w="16838" w:h="11906" w:orient="landscape" w:code="9"/>
      <w:pgMar w:top="1701" w:right="567" w:bottom="567"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2F193" w14:textId="77777777" w:rsidR="002119A9" w:rsidRDefault="002119A9" w:rsidP="00E53CCD">
      <w:r>
        <w:separator/>
      </w:r>
    </w:p>
  </w:endnote>
  <w:endnote w:type="continuationSeparator" w:id="0">
    <w:p w14:paraId="16EDF109" w14:textId="77777777" w:rsidR="002119A9" w:rsidRDefault="002119A9"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charset w:val="CC"/>
    <w:family w:val="roman"/>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67F46" w14:textId="77777777" w:rsidR="00D05856" w:rsidRPr="00AB062E" w:rsidRDefault="00D05856" w:rsidP="00F93C70">
    <w:pPr>
      <w:pStyle w:val="a5"/>
      <w:jc w:val="right"/>
      <w:rPr>
        <w:color w:val="FFFFFF" w:themeColor="background1"/>
      </w:rPr>
    </w:pPr>
    <w:r w:rsidRPr="00AB062E">
      <w:rPr>
        <w:color w:val="FFFFFF" w:themeColor="background1"/>
      </w:rPr>
      <w:t>Шаблон</w:t>
    </w:r>
  </w:p>
  <w:p w14:paraId="56CDD531" w14:textId="34E25CE8" w:rsidR="00D05856" w:rsidRPr="00F93C70" w:rsidRDefault="00D05856" w:rsidP="00F93C70">
    <w:pPr>
      <w:pStyle w:val="a7"/>
      <w:jc w:val="right"/>
      <w:rPr>
        <w:color w:val="FFFFFF" w:themeColor="background1"/>
      </w:rPr>
    </w:pPr>
    <w:r w:rsidRPr="00F93C70">
      <w:rPr>
        <w:color w:val="FFFFFF" w:themeColor="background1"/>
      </w:rPr>
      <w:t>Шаблон</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244D7" w14:textId="77777777" w:rsidR="00D05856" w:rsidRPr="005C44F4" w:rsidRDefault="00D05856" w:rsidP="00D05856">
    <w:pPr>
      <w:pStyle w:val="a7"/>
      <w:jc w:val="right"/>
      <w:rPr>
        <w:color w:val="FFFFFF" w:themeColor="background1"/>
      </w:rPr>
    </w:pPr>
    <w:r w:rsidRPr="005C44F4">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84EA4" w14:textId="77777777" w:rsidR="002119A9" w:rsidRDefault="002119A9" w:rsidP="00E53CCD">
      <w:r>
        <w:separator/>
      </w:r>
    </w:p>
  </w:footnote>
  <w:footnote w:type="continuationSeparator" w:id="0">
    <w:p w14:paraId="1E273C5A" w14:textId="77777777" w:rsidR="002119A9" w:rsidRDefault="002119A9"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32B2F6D1" w14:textId="6AE03FB7" w:rsidR="00D05856" w:rsidRDefault="00D05856">
        <w:pPr>
          <w:pStyle w:val="a5"/>
          <w:jc w:val="center"/>
        </w:pPr>
        <w:r>
          <w:fldChar w:fldCharType="begin"/>
        </w:r>
        <w:r>
          <w:instrText xml:space="preserve"> PAGE   \* MERGEFORMAT </w:instrText>
        </w:r>
        <w:r>
          <w:fldChar w:fldCharType="separate"/>
        </w:r>
        <w:r w:rsidR="00441086">
          <w:rPr>
            <w:noProof/>
          </w:rPr>
          <w:t>2</w:t>
        </w:r>
        <w:r>
          <w:fldChar w:fldCharType="end"/>
        </w:r>
      </w:p>
    </w:sdtContent>
  </w:sdt>
  <w:p w14:paraId="32B2F6D2" w14:textId="77777777" w:rsidR="00D05856" w:rsidRDefault="00D0585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83DF7" w14:textId="2788B3E1" w:rsidR="00D05856" w:rsidRDefault="00D05856">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991813"/>
      <w:docPartObj>
        <w:docPartGallery w:val="Page Numbers (Top of Page)"/>
        <w:docPartUnique/>
      </w:docPartObj>
    </w:sdtPr>
    <w:sdtEndPr/>
    <w:sdtContent>
      <w:p w14:paraId="3E7042A4" w14:textId="6FA0E336" w:rsidR="00D05856" w:rsidRDefault="00D05856">
        <w:pPr>
          <w:pStyle w:val="a5"/>
          <w:jc w:val="center"/>
        </w:pPr>
        <w:r>
          <w:fldChar w:fldCharType="begin"/>
        </w:r>
        <w:r>
          <w:instrText xml:space="preserve"> PAGE   \* MERGEFORMAT </w:instrText>
        </w:r>
        <w:r>
          <w:fldChar w:fldCharType="separate"/>
        </w:r>
        <w:r w:rsidR="00441086">
          <w:rPr>
            <w:noProof/>
          </w:rPr>
          <w:t>11</w:t>
        </w:r>
        <w:r>
          <w:fldChar w:fldCharType="end"/>
        </w:r>
      </w:p>
    </w:sdtContent>
  </w:sdt>
  <w:p w14:paraId="73B9544F" w14:textId="77777777" w:rsidR="00D05856" w:rsidRDefault="00D0585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64FA"/>
    <w:rsid w:val="000069AF"/>
    <w:rsid w:val="00015CF3"/>
    <w:rsid w:val="00015FDE"/>
    <w:rsid w:val="000271C0"/>
    <w:rsid w:val="00032BE7"/>
    <w:rsid w:val="0003331E"/>
    <w:rsid w:val="000342A5"/>
    <w:rsid w:val="0003793C"/>
    <w:rsid w:val="00047670"/>
    <w:rsid w:val="0005422D"/>
    <w:rsid w:val="000543C6"/>
    <w:rsid w:val="000600A8"/>
    <w:rsid w:val="00061C52"/>
    <w:rsid w:val="00063480"/>
    <w:rsid w:val="000638F2"/>
    <w:rsid w:val="00063F74"/>
    <w:rsid w:val="00083C7E"/>
    <w:rsid w:val="000A05FD"/>
    <w:rsid w:val="000B2990"/>
    <w:rsid w:val="000B7235"/>
    <w:rsid w:val="000D778F"/>
    <w:rsid w:val="000E0CB3"/>
    <w:rsid w:val="000E5B8C"/>
    <w:rsid w:val="000E7A13"/>
    <w:rsid w:val="000F6C80"/>
    <w:rsid w:val="00100F61"/>
    <w:rsid w:val="00106229"/>
    <w:rsid w:val="00115ECF"/>
    <w:rsid w:val="001222EE"/>
    <w:rsid w:val="0015405D"/>
    <w:rsid w:val="001552BE"/>
    <w:rsid w:val="00157A98"/>
    <w:rsid w:val="001631E2"/>
    <w:rsid w:val="001716B0"/>
    <w:rsid w:val="001740C0"/>
    <w:rsid w:val="00182C40"/>
    <w:rsid w:val="0019053E"/>
    <w:rsid w:val="00190E1A"/>
    <w:rsid w:val="001A0EE5"/>
    <w:rsid w:val="001A16FA"/>
    <w:rsid w:val="001A3E00"/>
    <w:rsid w:val="001A4CB9"/>
    <w:rsid w:val="001A6795"/>
    <w:rsid w:val="001C206C"/>
    <w:rsid w:val="001C20F6"/>
    <w:rsid w:val="001C462D"/>
    <w:rsid w:val="001D1C6C"/>
    <w:rsid w:val="001D487A"/>
    <w:rsid w:val="001E7203"/>
    <w:rsid w:val="001F3B2A"/>
    <w:rsid w:val="001F554C"/>
    <w:rsid w:val="001F73F3"/>
    <w:rsid w:val="002119A9"/>
    <w:rsid w:val="00217B1B"/>
    <w:rsid w:val="002238D1"/>
    <w:rsid w:val="002239C7"/>
    <w:rsid w:val="00233F37"/>
    <w:rsid w:val="00241373"/>
    <w:rsid w:val="0024736C"/>
    <w:rsid w:val="00253BF9"/>
    <w:rsid w:val="0025496F"/>
    <w:rsid w:val="00264983"/>
    <w:rsid w:val="00266678"/>
    <w:rsid w:val="00276988"/>
    <w:rsid w:val="00280DCC"/>
    <w:rsid w:val="00285DDA"/>
    <w:rsid w:val="00286E1B"/>
    <w:rsid w:val="00290169"/>
    <w:rsid w:val="00290B1A"/>
    <w:rsid w:val="002A155F"/>
    <w:rsid w:val="002A2391"/>
    <w:rsid w:val="002B351E"/>
    <w:rsid w:val="002B3F71"/>
    <w:rsid w:val="002B582B"/>
    <w:rsid w:val="002C1FDB"/>
    <w:rsid w:val="002D1790"/>
    <w:rsid w:val="002D2E1F"/>
    <w:rsid w:val="002D343F"/>
    <w:rsid w:val="002D45E9"/>
    <w:rsid w:val="002F48EF"/>
    <w:rsid w:val="00300DC1"/>
    <w:rsid w:val="003112FD"/>
    <w:rsid w:val="00331332"/>
    <w:rsid w:val="00332701"/>
    <w:rsid w:val="00340D07"/>
    <w:rsid w:val="00345982"/>
    <w:rsid w:val="00350DF9"/>
    <w:rsid w:val="00356E34"/>
    <w:rsid w:val="00357676"/>
    <w:rsid w:val="00360809"/>
    <w:rsid w:val="00366E2A"/>
    <w:rsid w:val="0038385E"/>
    <w:rsid w:val="00384F65"/>
    <w:rsid w:val="0039725C"/>
    <w:rsid w:val="003978EC"/>
    <w:rsid w:val="003A16E7"/>
    <w:rsid w:val="003A751F"/>
    <w:rsid w:val="003C3282"/>
    <w:rsid w:val="003C3985"/>
    <w:rsid w:val="003D3842"/>
    <w:rsid w:val="003D6B33"/>
    <w:rsid w:val="003D7D00"/>
    <w:rsid w:val="003E2002"/>
    <w:rsid w:val="003F0441"/>
    <w:rsid w:val="003F28B5"/>
    <w:rsid w:val="003F7093"/>
    <w:rsid w:val="00401EDB"/>
    <w:rsid w:val="004044DF"/>
    <w:rsid w:val="00404C93"/>
    <w:rsid w:val="00407877"/>
    <w:rsid w:val="00411177"/>
    <w:rsid w:val="004130B9"/>
    <w:rsid w:val="0043496A"/>
    <w:rsid w:val="00441086"/>
    <w:rsid w:val="00446704"/>
    <w:rsid w:val="00455B45"/>
    <w:rsid w:val="00460BA2"/>
    <w:rsid w:val="004647C6"/>
    <w:rsid w:val="004666D6"/>
    <w:rsid w:val="00477C5F"/>
    <w:rsid w:val="004A1CFC"/>
    <w:rsid w:val="004A7F75"/>
    <w:rsid w:val="004B1FE9"/>
    <w:rsid w:val="004B5574"/>
    <w:rsid w:val="004D2B57"/>
    <w:rsid w:val="004E22E2"/>
    <w:rsid w:val="004F1C34"/>
    <w:rsid w:val="0050563F"/>
    <w:rsid w:val="00516259"/>
    <w:rsid w:val="005212A1"/>
    <w:rsid w:val="005212C5"/>
    <w:rsid w:val="00523C13"/>
    <w:rsid w:val="00524F07"/>
    <w:rsid w:val="005257C2"/>
    <w:rsid w:val="00532633"/>
    <w:rsid w:val="005403F1"/>
    <w:rsid w:val="00542533"/>
    <w:rsid w:val="0054395D"/>
    <w:rsid w:val="0055518D"/>
    <w:rsid w:val="005624B6"/>
    <w:rsid w:val="00562C46"/>
    <w:rsid w:val="0057237F"/>
    <w:rsid w:val="00577402"/>
    <w:rsid w:val="005822CB"/>
    <w:rsid w:val="00585B3C"/>
    <w:rsid w:val="00597AB6"/>
    <w:rsid w:val="005A0F4B"/>
    <w:rsid w:val="005A1D3C"/>
    <w:rsid w:val="005A3F34"/>
    <w:rsid w:val="005B2D03"/>
    <w:rsid w:val="005C5CBF"/>
    <w:rsid w:val="005D3B88"/>
    <w:rsid w:val="005D45F5"/>
    <w:rsid w:val="005E3FA8"/>
    <w:rsid w:val="005F4CB4"/>
    <w:rsid w:val="005F6B35"/>
    <w:rsid w:val="00602BC7"/>
    <w:rsid w:val="00604115"/>
    <w:rsid w:val="00610F6E"/>
    <w:rsid w:val="006121C5"/>
    <w:rsid w:val="00632A25"/>
    <w:rsid w:val="00640612"/>
    <w:rsid w:val="0064227D"/>
    <w:rsid w:val="0065179F"/>
    <w:rsid w:val="0065481E"/>
    <w:rsid w:val="00657593"/>
    <w:rsid w:val="006704FB"/>
    <w:rsid w:val="00670C95"/>
    <w:rsid w:val="00671B89"/>
    <w:rsid w:val="0067203A"/>
    <w:rsid w:val="00684802"/>
    <w:rsid w:val="006925CE"/>
    <w:rsid w:val="00692C8C"/>
    <w:rsid w:val="006964AA"/>
    <w:rsid w:val="006B2748"/>
    <w:rsid w:val="006B29E0"/>
    <w:rsid w:val="006B44EA"/>
    <w:rsid w:val="006B465F"/>
    <w:rsid w:val="006C06A1"/>
    <w:rsid w:val="006C0F22"/>
    <w:rsid w:val="006C13B1"/>
    <w:rsid w:val="006C4176"/>
    <w:rsid w:val="006C66EF"/>
    <w:rsid w:val="006D2617"/>
    <w:rsid w:val="006E06B3"/>
    <w:rsid w:val="006F3966"/>
    <w:rsid w:val="00700AA3"/>
    <w:rsid w:val="007142BA"/>
    <w:rsid w:val="00714823"/>
    <w:rsid w:val="00716D97"/>
    <w:rsid w:val="00717197"/>
    <w:rsid w:val="0071789F"/>
    <w:rsid w:val="0072220B"/>
    <w:rsid w:val="00722E01"/>
    <w:rsid w:val="00730088"/>
    <w:rsid w:val="00747222"/>
    <w:rsid w:val="00750898"/>
    <w:rsid w:val="007614F5"/>
    <w:rsid w:val="00773559"/>
    <w:rsid w:val="0078127A"/>
    <w:rsid w:val="0078192D"/>
    <w:rsid w:val="00783AF2"/>
    <w:rsid w:val="00787E46"/>
    <w:rsid w:val="0079677C"/>
    <w:rsid w:val="007A2BCB"/>
    <w:rsid w:val="007A6609"/>
    <w:rsid w:val="007B3538"/>
    <w:rsid w:val="007B7B73"/>
    <w:rsid w:val="007C2CED"/>
    <w:rsid w:val="007E181E"/>
    <w:rsid w:val="007E70DF"/>
    <w:rsid w:val="00802988"/>
    <w:rsid w:val="008072F3"/>
    <w:rsid w:val="00807E61"/>
    <w:rsid w:val="0082528E"/>
    <w:rsid w:val="00831CAE"/>
    <w:rsid w:val="008415A0"/>
    <w:rsid w:val="00842767"/>
    <w:rsid w:val="0085364B"/>
    <w:rsid w:val="00866993"/>
    <w:rsid w:val="008705FF"/>
    <w:rsid w:val="00872185"/>
    <w:rsid w:val="00874366"/>
    <w:rsid w:val="008762D8"/>
    <w:rsid w:val="00876479"/>
    <w:rsid w:val="00894592"/>
    <w:rsid w:val="00897035"/>
    <w:rsid w:val="008B1589"/>
    <w:rsid w:val="008B74DD"/>
    <w:rsid w:val="008C72B5"/>
    <w:rsid w:val="008D10FD"/>
    <w:rsid w:val="008D122F"/>
    <w:rsid w:val="008D5F60"/>
    <w:rsid w:val="008D727F"/>
    <w:rsid w:val="008F0210"/>
    <w:rsid w:val="008F2600"/>
    <w:rsid w:val="008F5D52"/>
    <w:rsid w:val="00904F17"/>
    <w:rsid w:val="00922966"/>
    <w:rsid w:val="0092710A"/>
    <w:rsid w:val="00937AE3"/>
    <w:rsid w:val="00937D24"/>
    <w:rsid w:val="00943175"/>
    <w:rsid w:val="00954131"/>
    <w:rsid w:val="00956D26"/>
    <w:rsid w:val="0095741D"/>
    <w:rsid w:val="0097288F"/>
    <w:rsid w:val="0098207E"/>
    <w:rsid w:val="00990AAE"/>
    <w:rsid w:val="00990C11"/>
    <w:rsid w:val="009A0EA8"/>
    <w:rsid w:val="009B6120"/>
    <w:rsid w:val="009B62C2"/>
    <w:rsid w:val="009C2F76"/>
    <w:rsid w:val="009E1F76"/>
    <w:rsid w:val="009F4FAD"/>
    <w:rsid w:val="009F5312"/>
    <w:rsid w:val="00A02AEC"/>
    <w:rsid w:val="00A03A81"/>
    <w:rsid w:val="00A0594A"/>
    <w:rsid w:val="00A12C47"/>
    <w:rsid w:val="00A23E04"/>
    <w:rsid w:val="00A3401F"/>
    <w:rsid w:val="00A457AA"/>
    <w:rsid w:val="00A46C15"/>
    <w:rsid w:val="00A50DC0"/>
    <w:rsid w:val="00A554CB"/>
    <w:rsid w:val="00A63695"/>
    <w:rsid w:val="00A72CEF"/>
    <w:rsid w:val="00A72F06"/>
    <w:rsid w:val="00A730F2"/>
    <w:rsid w:val="00A77FFD"/>
    <w:rsid w:val="00A80367"/>
    <w:rsid w:val="00A96FA5"/>
    <w:rsid w:val="00AA426D"/>
    <w:rsid w:val="00AB062E"/>
    <w:rsid w:val="00AB14A7"/>
    <w:rsid w:val="00AB4554"/>
    <w:rsid w:val="00AC2472"/>
    <w:rsid w:val="00AC47B6"/>
    <w:rsid w:val="00AD7DF9"/>
    <w:rsid w:val="00AE29BB"/>
    <w:rsid w:val="00AE2CAF"/>
    <w:rsid w:val="00AF33D9"/>
    <w:rsid w:val="00B002E4"/>
    <w:rsid w:val="00B04CEA"/>
    <w:rsid w:val="00B14D25"/>
    <w:rsid w:val="00B332B2"/>
    <w:rsid w:val="00B34CCC"/>
    <w:rsid w:val="00B36EC7"/>
    <w:rsid w:val="00B36EDD"/>
    <w:rsid w:val="00B40B77"/>
    <w:rsid w:val="00B437AA"/>
    <w:rsid w:val="00B44990"/>
    <w:rsid w:val="00B61C97"/>
    <w:rsid w:val="00B628C5"/>
    <w:rsid w:val="00B70A52"/>
    <w:rsid w:val="00B71933"/>
    <w:rsid w:val="00B8078D"/>
    <w:rsid w:val="00B87E61"/>
    <w:rsid w:val="00BD1283"/>
    <w:rsid w:val="00BD12A3"/>
    <w:rsid w:val="00BD6D34"/>
    <w:rsid w:val="00BD7F6E"/>
    <w:rsid w:val="00BF47B0"/>
    <w:rsid w:val="00BF5327"/>
    <w:rsid w:val="00C14350"/>
    <w:rsid w:val="00C21D33"/>
    <w:rsid w:val="00C229D1"/>
    <w:rsid w:val="00C3382F"/>
    <w:rsid w:val="00C434E8"/>
    <w:rsid w:val="00C4377C"/>
    <w:rsid w:val="00C47F0F"/>
    <w:rsid w:val="00C51D84"/>
    <w:rsid w:val="00C52506"/>
    <w:rsid w:val="00C82259"/>
    <w:rsid w:val="00C8374B"/>
    <w:rsid w:val="00C9297C"/>
    <w:rsid w:val="00C94014"/>
    <w:rsid w:val="00CB0A99"/>
    <w:rsid w:val="00CB2E98"/>
    <w:rsid w:val="00CB5A09"/>
    <w:rsid w:val="00CB69B4"/>
    <w:rsid w:val="00CD0CD4"/>
    <w:rsid w:val="00CD4A86"/>
    <w:rsid w:val="00CE3B9F"/>
    <w:rsid w:val="00CE4368"/>
    <w:rsid w:val="00CF1FB8"/>
    <w:rsid w:val="00CF2C65"/>
    <w:rsid w:val="00D05856"/>
    <w:rsid w:val="00D078B6"/>
    <w:rsid w:val="00D1022C"/>
    <w:rsid w:val="00D21660"/>
    <w:rsid w:val="00D27115"/>
    <w:rsid w:val="00D34DCC"/>
    <w:rsid w:val="00D45230"/>
    <w:rsid w:val="00D57D85"/>
    <w:rsid w:val="00D61D9B"/>
    <w:rsid w:val="00DA2F09"/>
    <w:rsid w:val="00DA3BB6"/>
    <w:rsid w:val="00DA4532"/>
    <w:rsid w:val="00DC1E60"/>
    <w:rsid w:val="00DC2941"/>
    <w:rsid w:val="00DC40E4"/>
    <w:rsid w:val="00DD60CC"/>
    <w:rsid w:val="00DF4D12"/>
    <w:rsid w:val="00E10AE2"/>
    <w:rsid w:val="00E10F0A"/>
    <w:rsid w:val="00E20963"/>
    <w:rsid w:val="00E21875"/>
    <w:rsid w:val="00E23076"/>
    <w:rsid w:val="00E25407"/>
    <w:rsid w:val="00E32599"/>
    <w:rsid w:val="00E33B0E"/>
    <w:rsid w:val="00E36457"/>
    <w:rsid w:val="00E42621"/>
    <w:rsid w:val="00E446A6"/>
    <w:rsid w:val="00E53CB5"/>
    <w:rsid w:val="00E53CCD"/>
    <w:rsid w:val="00E62607"/>
    <w:rsid w:val="00E66BEE"/>
    <w:rsid w:val="00E70038"/>
    <w:rsid w:val="00E71855"/>
    <w:rsid w:val="00E719A9"/>
    <w:rsid w:val="00E83D42"/>
    <w:rsid w:val="00EA1DE4"/>
    <w:rsid w:val="00EA60EA"/>
    <w:rsid w:val="00EB29BF"/>
    <w:rsid w:val="00EB4321"/>
    <w:rsid w:val="00EC324F"/>
    <w:rsid w:val="00EC7C7F"/>
    <w:rsid w:val="00EC7DB6"/>
    <w:rsid w:val="00ED7643"/>
    <w:rsid w:val="00EE2F4D"/>
    <w:rsid w:val="00EF4B42"/>
    <w:rsid w:val="00F003D3"/>
    <w:rsid w:val="00F008AB"/>
    <w:rsid w:val="00F03E32"/>
    <w:rsid w:val="00F147AB"/>
    <w:rsid w:val="00F15CC5"/>
    <w:rsid w:val="00F42289"/>
    <w:rsid w:val="00F42E75"/>
    <w:rsid w:val="00F45D65"/>
    <w:rsid w:val="00F517FA"/>
    <w:rsid w:val="00F5294D"/>
    <w:rsid w:val="00F52D16"/>
    <w:rsid w:val="00F53509"/>
    <w:rsid w:val="00F62D67"/>
    <w:rsid w:val="00F63BD9"/>
    <w:rsid w:val="00F6694C"/>
    <w:rsid w:val="00F672E9"/>
    <w:rsid w:val="00F71BFB"/>
    <w:rsid w:val="00F8145F"/>
    <w:rsid w:val="00F9283D"/>
    <w:rsid w:val="00F93C70"/>
    <w:rsid w:val="00F96F18"/>
    <w:rsid w:val="00FA508E"/>
    <w:rsid w:val="00FA5320"/>
    <w:rsid w:val="00FA7846"/>
    <w:rsid w:val="00FC26E5"/>
    <w:rsid w:val="00FC34B0"/>
    <w:rsid w:val="00FD19F1"/>
    <w:rsid w:val="00FD370F"/>
    <w:rsid w:val="00FD57E9"/>
    <w:rsid w:val="00FE0B90"/>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B2F6A4"/>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table" w:customStyle="1" w:styleId="1">
    <w:name w:val="Сетка таблицы1"/>
    <w:basedOn w:val="a1"/>
    <w:next w:val="a9"/>
    <w:uiPriority w:val="59"/>
    <w:rsid w:val="00D45230"/>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722E01"/>
    <w:rPr>
      <w:sz w:val="16"/>
      <w:szCs w:val="16"/>
    </w:rPr>
  </w:style>
  <w:style w:type="paragraph" w:styleId="af5">
    <w:name w:val="annotation text"/>
    <w:basedOn w:val="a"/>
    <w:link w:val="af6"/>
    <w:uiPriority w:val="99"/>
    <w:unhideWhenUsed/>
    <w:rsid w:val="00722E01"/>
    <w:rPr>
      <w:sz w:val="20"/>
      <w:szCs w:val="20"/>
    </w:rPr>
  </w:style>
  <w:style w:type="character" w:customStyle="1" w:styleId="af6">
    <w:name w:val="Текст примітки Знак"/>
    <w:basedOn w:val="a0"/>
    <w:link w:val="af5"/>
    <w:uiPriority w:val="99"/>
    <w:rsid w:val="00722E01"/>
    <w:rPr>
      <w:rFonts w:ascii="Times New Roman" w:hAnsi="Times New Roman" w:cs="Times New Roman"/>
      <w:sz w:val="20"/>
      <w:szCs w:val="20"/>
      <w:lang w:eastAsia="uk-UA"/>
    </w:rPr>
  </w:style>
  <w:style w:type="paragraph" w:styleId="af7">
    <w:name w:val="annotation subject"/>
    <w:basedOn w:val="af5"/>
    <w:next w:val="af5"/>
    <w:link w:val="af8"/>
    <w:uiPriority w:val="99"/>
    <w:semiHidden/>
    <w:unhideWhenUsed/>
    <w:rsid w:val="00722E01"/>
    <w:rPr>
      <w:b/>
      <w:bCs/>
    </w:rPr>
  </w:style>
  <w:style w:type="character" w:customStyle="1" w:styleId="af8">
    <w:name w:val="Тема примітки Знак"/>
    <w:basedOn w:val="af6"/>
    <w:link w:val="af7"/>
    <w:uiPriority w:val="99"/>
    <w:semiHidden/>
    <w:rsid w:val="00722E01"/>
    <w:rPr>
      <w:rFonts w:ascii="Times New Roman" w:hAnsi="Times New Roman" w:cs="Times New Roman"/>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12939739-6432-4B62-94F6-19BEA411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13104</Words>
  <Characters>7470</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1a4506</dc:creator>
  <cp:lastModifiedBy>Ярмоленко Тетяна Василівна</cp:lastModifiedBy>
  <cp:revision>3</cp:revision>
  <cp:lastPrinted>2021-12-30T10:07:00Z</cp:lastPrinted>
  <dcterms:created xsi:type="dcterms:W3CDTF">2022-01-05T10:45:00Z</dcterms:created>
  <dcterms:modified xsi:type="dcterms:W3CDTF">2022-01-05T11:01:00Z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