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30731" w14:textId="77777777" w:rsidR="00C36DCD" w:rsidRDefault="00C36DCD" w:rsidP="00C36DCD">
      <w:pPr>
        <w:spacing w:after="12"/>
        <w:ind w:left="154" w:right="146" w:hanging="10"/>
        <w:jc w:val="center"/>
      </w:pPr>
      <w:r>
        <w:rPr>
          <w:b/>
        </w:rPr>
        <w:t>Аналіз регуляторного впливу</w:t>
      </w:r>
    </w:p>
    <w:p w14:paraId="2187AABC" w14:textId="77777777" w:rsidR="00C36DCD" w:rsidRPr="00480D32" w:rsidRDefault="00C36DCD" w:rsidP="00C36DCD">
      <w:pPr>
        <w:spacing w:after="12"/>
        <w:ind w:left="154" w:right="146" w:hanging="10"/>
        <w:jc w:val="center"/>
        <w:rPr>
          <w:b/>
        </w:rPr>
      </w:pPr>
      <w:r>
        <w:rPr>
          <w:b/>
        </w:rPr>
        <w:t>проєкту постанови Правління Національного банку України</w:t>
      </w:r>
    </w:p>
    <w:p w14:paraId="6CADB028" w14:textId="00E1404C" w:rsidR="00C36DCD" w:rsidRPr="005D5B8B" w:rsidRDefault="00C36DCD" w:rsidP="00C36DCD">
      <w:pPr>
        <w:spacing w:after="310"/>
        <w:ind w:left="154" w:right="146" w:hanging="10"/>
        <w:jc w:val="center"/>
        <w:rPr>
          <w:lang w:val="ru-RU"/>
        </w:rPr>
      </w:pPr>
      <w:r>
        <w:rPr>
          <w:b/>
        </w:rPr>
        <w:t>“</w:t>
      </w:r>
      <w:r w:rsidR="00480D32" w:rsidRPr="00480D32">
        <w:rPr>
          <w:b/>
        </w:rPr>
        <w:t>Про затвердження Положення про розкриття інформації та розміщення інформаційного документ</w:t>
      </w:r>
      <w:r w:rsidR="00A16B0E">
        <w:rPr>
          <w:b/>
        </w:rPr>
        <w:t>а</w:t>
      </w:r>
      <w:r w:rsidR="00480D32" w:rsidRPr="00480D32">
        <w:rPr>
          <w:b/>
        </w:rPr>
        <w:t xml:space="preserve"> про стандартний страховий продукт на вебсайтах страховиків та страхових посередників</w:t>
      </w:r>
      <w:r>
        <w:rPr>
          <w:b/>
        </w:rPr>
        <w:t>”</w:t>
      </w:r>
    </w:p>
    <w:p w14:paraId="7FD21F3A" w14:textId="77777777" w:rsidR="008B419C" w:rsidRDefault="008B419C" w:rsidP="00C36DCD">
      <w:pPr>
        <w:spacing w:after="0"/>
        <w:ind w:left="-15" w:right="0"/>
        <w:rPr>
          <w:b/>
        </w:rPr>
      </w:pPr>
    </w:p>
    <w:p w14:paraId="5E4BE1C5" w14:textId="2C1A1631" w:rsidR="00C36DCD" w:rsidRDefault="00C36DCD" w:rsidP="00C36DCD">
      <w:pPr>
        <w:spacing w:after="0"/>
        <w:ind w:left="-15" w:right="0"/>
      </w:pPr>
      <w:r>
        <w:rPr>
          <w:b/>
        </w:rPr>
        <w:t>І. Визначення проблеми, яку передбачається розв’яза</w:t>
      </w:r>
      <w:bookmarkStart w:id="0" w:name="_GoBack"/>
      <w:bookmarkEnd w:id="0"/>
      <w:r>
        <w:rPr>
          <w:b/>
        </w:rPr>
        <w:t>ти шляхом державного регулювання</w:t>
      </w:r>
    </w:p>
    <w:p w14:paraId="20212A7F" w14:textId="77777777" w:rsidR="00C36DCD" w:rsidRDefault="00C36DCD" w:rsidP="00C36DCD">
      <w:pPr>
        <w:ind w:left="-15" w:right="0"/>
      </w:pPr>
      <w:r>
        <w:t>Національний банк України відповідно до пункту 8</w:t>
      </w:r>
      <w:r>
        <w:rPr>
          <w:vertAlign w:val="superscript"/>
        </w:rPr>
        <w:t>1</w:t>
      </w:r>
      <w:r>
        <w:t xml:space="preserve"> статті 7 Закону України “Про Національний банк України” (далі – Закон про Національний банк) здійснює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та інших осіб, які не є фінансовими установами, але мають право надавати окремі фінансові послуги в межах, визначених Законом України “Про фінансові послуги та державне регулювання ринків фінансових послуг” та іншими законами України.</w:t>
      </w:r>
    </w:p>
    <w:p w14:paraId="3367FB24" w14:textId="414D7013" w:rsidR="003B3D62" w:rsidRDefault="00C36DCD" w:rsidP="003B3D62">
      <w:pPr>
        <w:spacing w:after="0" w:line="259" w:lineRule="auto"/>
        <w:ind w:right="5" w:firstLine="709"/>
        <w:rPr>
          <w:szCs w:val="28"/>
        </w:rPr>
      </w:pPr>
      <w:r>
        <w:t xml:space="preserve">Підготовка проєкту постанови Правління Національного банку </w:t>
      </w:r>
      <w:r w:rsidR="00A16B0E">
        <w:t xml:space="preserve">України </w:t>
      </w:r>
      <w:r>
        <w:t>“</w:t>
      </w:r>
      <w:r w:rsidR="003B3D62" w:rsidRPr="00977032">
        <w:rPr>
          <w:bCs/>
          <w:szCs w:val="28"/>
        </w:rPr>
        <w:t>Про затвердження Положення про розкриття інформації та розміщення інформаційного документ</w:t>
      </w:r>
      <w:r w:rsidR="00A16B0E">
        <w:rPr>
          <w:bCs/>
          <w:szCs w:val="28"/>
        </w:rPr>
        <w:t>а</w:t>
      </w:r>
      <w:r w:rsidR="003B3D62" w:rsidRPr="00977032">
        <w:rPr>
          <w:bCs/>
          <w:szCs w:val="28"/>
        </w:rPr>
        <w:t xml:space="preserve"> про стандартний страховий продукт на вебсайтах страховиків та страхових посередників</w:t>
      </w:r>
      <w:r>
        <w:t xml:space="preserve">” (далі – Проєкт) </w:t>
      </w:r>
      <w:r w:rsidR="00A16B0E">
        <w:t>у</w:t>
      </w:r>
      <w:r>
        <w:t xml:space="preserve"> межах реалізаці</w:t>
      </w:r>
      <w:r>
        <w:rPr>
          <w:sz w:val="24"/>
        </w:rPr>
        <w:t>ї</w:t>
      </w:r>
      <w:r>
        <w:t xml:space="preserve"> державної політики щодо захисту прав споживачів фінансових послуг зумовлена необхідністю </w:t>
      </w:r>
      <w:r w:rsidR="003B3D62">
        <w:t>встановлення вимог до розкр</w:t>
      </w:r>
      <w:r w:rsidR="0052089D">
        <w:t xml:space="preserve">иття інформації про страховика </w:t>
      </w:r>
      <w:r w:rsidR="003B3D62">
        <w:t>та страховий продукт на вебсайті страховика</w:t>
      </w:r>
      <w:r w:rsidR="003B3CB3">
        <w:t>,</w:t>
      </w:r>
      <w:r w:rsidR="003B3D62" w:rsidRPr="003B3D62">
        <w:rPr>
          <w:szCs w:val="28"/>
        </w:rPr>
        <w:t xml:space="preserve"> </w:t>
      </w:r>
      <w:r w:rsidR="003B3D62" w:rsidRPr="00977032">
        <w:rPr>
          <w:szCs w:val="28"/>
        </w:rPr>
        <w:t xml:space="preserve">уключаючи інформаційний документ про стандартний страховий продукт, а також </w:t>
      </w:r>
      <w:r w:rsidR="003B3D62">
        <w:rPr>
          <w:szCs w:val="28"/>
        </w:rPr>
        <w:t>до форми та порядку</w:t>
      </w:r>
      <w:r w:rsidR="003B3D62" w:rsidRPr="00977032">
        <w:rPr>
          <w:szCs w:val="28"/>
        </w:rPr>
        <w:t xml:space="preserve"> розкриття такої інформації</w:t>
      </w:r>
      <w:r w:rsidR="003B3D62">
        <w:rPr>
          <w:szCs w:val="28"/>
        </w:rPr>
        <w:t>.</w:t>
      </w:r>
    </w:p>
    <w:p w14:paraId="371A65FA" w14:textId="61EE4524" w:rsidR="003B3D62" w:rsidRDefault="003B3D62" w:rsidP="003B3D62">
      <w:pPr>
        <w:spacing w:after="0" w:line="259" w:lineRule="auto"/>
        <w:ind w:right="5" w:firstLine="709"/>
        <w:rPr>
          <w:szCs w:val="28"/>
        </w:rPr>
      </w:pPr>
      <w:r>
        <w:rPr>
          <w:szCs w:val="28"/>
        </w:rPr>
        <w:t xml:space="preserve">Встановлення </w:t>
      </w:r>
      <w:r w:rsidR="00A16B0E">
        <w:rPr>
          <w:szCs w:val="28"/>
        </w:rPr>
        <w:t xml:space="preserve">вищезазначених </w:t>
      </w:r>
      <w:r>
        <w:rPr>
          <w:szCs w:val="28"/>
        </w:rPr>
        <w:t>вимог запобігатиме недоб</w:t>
      </w:r>
      <w:r w:rsidR="004B1CC2">
        <w:rPr>
          <w:szCs w:val="28"/>
        </w:rPr>
        <w:t>рочесн</w:t>
      </w:r>
      <w:r w:rsidR="00A16B0E">
        <w:rPr>
          <w:szCs w:val="28"/>
        </w:rPr>
        <w:t>ій</w:t>
      </w:r>
      <w:r w:rsidR="004B1CC2">
        <w:rPr>
          <w:szCs w:val="28"/>
        </w:rPr>
        <w:t xml:space="preserve"> практи</w:t>
      </w:r>
      <w:r w:rsidR="00A16B0E">
        <w:rPr>
          <w:szCs w:val="28"/>
        </w:rPr>
        <w:t>ці</w:t>
      </w:r>
      <w:r w:rsidR="004B1CC2">
        <w:rPr>
          <w:szCs w:val="28"/>
        </w:rPr>
        <w:t xml:space="preserve"> приховування</w:t>
      </w:r>
      <w:r>
        <w:rPr>
          <w:szCs w:val="28"/>
        </w:rPr>
        <w:t xml:space="preserve"> важл</w:t>
      </w:r>
      <w:r w:rsidR="0052089D">
        <w:rPr>
          <w:szCs w:val="28"/>
        </w:rPr>
        <w:t xml:space="preserve">ивої інформації про страховика </w:t>
      </w:r>
      <w:r>
        <w:rPr>
          <w:szCs w:val="28"/>
        </w:rPr>
        <w:t>та страховий продукт, що має надаватися споживач</w:t>
      </w:r>
      <w:r w:rsidR="00A16B0E">
        <w:rPr>
          <w:szCs w:val="28"/>
        </w:rPr>
        <w:t>еві</w:t>
      </w:r>
      <w:r>
        <w:rPr>
          <w:szCs w:val="28"/>
        </w:rPr>
        <w:t xml:space="preserve"> до укладення договору страхування шляхом розміщення інформації на власних вебсайтах страховиків та страхових посередників.</w:t>
      </w:r>
    </w:p>
    <w:p w14:paraId="0AC6EFC1" w14:textId="63044DD0" w:rsidR="003B3D62" w:rsidRDefault="003B3D62" w:rsidP="003B3D62">
      <w:pPr>
        <w:spacing w:after="0" w:line="259" w:lineRule="auto"/>
        <w:ind w:right="5" w:firstLine="709"/>
      </w:pPr>
      <w:r>
        <w:rPr>
          <w:szCs w:val="28"/>
        </w:rPr>
        <w:t>Проєкт забезпечить можливість споживач</w:t>
      </w:r>
      <w:r w:rsidR="00A16B0E">
        <w:rPr>
          <w:szCs w:val="28"/>
        </w:rPr>
        <w:t>еві</w:t>
      </w:r>
      <w:r>
        <w:rPr>
          <w:szCs w:val="28"/>
        </w:rPr>
        <w:t xml:space="preserve"> </w:t>
      </w:r>
      <w:r w:rsidR="00A16B0E">
        <w:rPr>
          <w:szCs w:val="28"/>
        </w:rPr>
        <w:t>отримувати</w:t>
      </w:r>
      <w:r>
        <w:rPr>
          <w:szCs w:val="28"/>
        </w:rPr>
        <w:t xml:space="preserve"> ключову інформацію про страховий продукт шляхом ознайомлення з інформаційним документом про стандартний страховий продукт, в якому </w:t>
      </w:r>
      <w:r w:rsidR="00FB781E">
        <w:rPr>
          <w:szCs w:val="28"/>
          <w:lang w:val="ru-RU"/>
        </w:rPr>
        <w:t>містит</w:t>
      </w:r>
      <w:r w:rsidR="004B1CC2">
        <w:rPr>
          <w:szCs w:val="28"/>
          <w:lang w:val="ru-RU"/>
        </w:rPr>
        <w:t>и</w:t>
      </w:r>
      <w:r w:rsidR="00A16B0E">
        <w:rPr>
          <w:szCs w:val="28"/>
          <w:lang w:val="ru-RU"/>
        </w:rPr>
        <w:t>меться</w:t>
      </w:r>
      <w:r>
        <w:rPr>
          <w:szCs w:val="28"/>
        </w:rPr>
        <w:t xml:space="preserve"> інформація про страховика, основні умови страхового продукту, здійснення страхови</w:t>
      </w:r>
      <w:r w:rsidR="00FB781E">
        <w:rPr>
          <w:szCs w:val="28"/>
        </w:rPr>
        <w:t>х виплат та інш</w:t>
      </w:r>
      <w:r w:rsidR="00A16B0E">
        <w:rPr>
          <w:szCs w:val="28"/>
        </w:rPr>
        <w:t>а</w:t>
      </w:r>
      <w:r w:rsidR="00FB781E">
        <w:rPr>
          <w:szCs w:val="28"/>
        </w:rPr>
        <w:t xml:space="preserve"> інформаці</w:t>
      </w:r>
      <w:r w:rsidR="00A16B0E">
        <w:rPr>
          <w:szCs w:val="28"/>
        </w:rPr>
        <w:t>я</w:t>
      </w:r>
      <w:r w:rsidR="00EB22BB">
        <w:rPr>
          <w:szCs w:val="28"/>
        </w:rPr>
        <w:t xml:space="preserve"> </w:t>
      </w:r>
      <w:r w:rsidR="00FB781E">
        <w:rPr>
          <w:szCs w:val="28"/>
        </w:rPr>
        <w:t>про</w:t>
      </w:r>
      <w:r>
        <w:rPr>
          <w:szCs w:val="28"/>
        </w:rPr>
        <w:t xml:space="preserve"> страховий продукт.</w:t>
      </w:r>
    </w:p>
    <w:p w14:paraId="0CE880FB" w14:textId="77777777" w:rsidR="00C36DCD" w:rsidRDefault="00C36DCD" w:rsidP="00C36DCD">
      <w:pPr>
        <w:spacing w:after="310"/>
        <w:ind w:left="-15" w:right="0"/>
      </w:pPr>
      <w:r>
        <w:t>Зазначені проблеми не можуть вирішитися за допомогою ринкових механізмів, оскільки вони стосуються реалізації повноважень Національного банку</w:t>
      </w:r>
      <w:r w:rsidR="00A16B0E">
        <w:t xml:space="preserve"> України</w:t>
      </w:r>
      <w:r>
        <w:t xml:space="preserve"> з вирішення системних питань функціонування ринків фінансових послуг в Україні.</w:t>
      </w:r>
    </w:p>
    <w:p w14:paraId="3B686B71" w14:textId="77777777" w:rsidR="00C36DCD" w:rsidRDefault="00C36DCD" w:rsidP="00C36DCD">
      <w:pPr>
        <w:spacing w:after="0"/>
        <w:ind w:left="709" w:right="0" w:firstLine="0"/>
      </w:pPr>
      <w:r>
        <w:rPr>
          <w:b/>
        </w:rPr>
        <w:lastRenderedPageBreak/>
        <w:t>ІІ. Визначення цілей державного регулювання</w:t>
      </w:r>
    </w:p>
    <w:p w14:paraId="2FEE977B" w14:textId="666129EB" w:rsidR="00C36DCD" w:rsidRDefault="00C36DCD" w:rsidP="00C36DCD">
      <w:pPr>
        <w:spacing w:after="310"/>
        <w:ind w:left="-15" w:right="0"/>
      </w:pPr>
      <w:r>
        <w:t>Метою розроб</w:t>
      </w:r>
      <w:r w:rsidR="00A16B0E">
        <w:t>лення</w:t>
      </w:r>
      <w:r>
        <w:t xml:space="preserve"> Проєкту є </w:t>
      </w:r>
      <w:r w:rsidR="005E6CFE">
        <w:t xml:space="preserve">встановлення </w:t>
      </w:r>
      <w:r w:rsidR="005E6CFE" w:rsidRPr="00977032">
        <w:rPr>
          <w:szCs w:val="28"/>
        </w:rPr>
        <w:t>мінімального обсягу інформації, як</w:t>
      </w:r>
      <w:r w:rsidR="005E6CFE">
        <w:rPr>
          <w:szCs w:val="28"/>
        </w:rPr>
        <w:t>а</w:t>
      </w:r>
      <w:r w:rsidR="005E6CFE" w:rsidRPr="00977032">
        <w:rPr>
          <w:szCs w:val="28"/>
        </w:rPr>
        <w:t xml:space="preserve"> надається </w:t>
      </w:r>
      <w:r w:rsidR="005E6CFE" w:rsidRPr="007949A6">
        <w:rPr>
          <w:szCs w:val="28"/>
        </w:rPr>
        <w:t>споживач</w:t>
      </w:r>
      <w:r w:rsidR="00A16B0E">
        <w:rPr>
          <w:szCs w:val="28"/>
        </w:rPr>
        <w:t>еві</w:t>
      </w:r>
      <w:r w:rsidR="005E6CFE" w:rsidRPr="00977032">
        <w:rPr>
          <w:szCs w:val="28"/>
        </w:rPr>
        <w:t xml:space="preserve"> про страховика</w:t>
      </w:r>
      <w:r w:rsidR="0052089D">
        <w:rPr>
          <w:szCs w:val="28"/>
        </w:rPr>
        <w:t xml:space="preserve"> </w:t>
      </w:r>
      <w:r w:rsidR="005E6CFE" w:rsidRPr="00977032">
        <w:rPr>
          <w:szCs w:val="28"/>
        </w:rPr>
        <w:t>та страховий продукт, уключаючи інформаційний документ про стандартний страховий продукт, а також форму та порядок розкриття такої інформації</w:t>
      </w:r>
      <w:r>
        <w:t>.</w:t>
      </w:r>
    </w:p>
    <w:p w14:paraId="6F3623D2" w14:textId="77777777" w:rsidR="00C36DCD" w:rsidRDefault="00C36DCD" w:rsidP="00C36DCD">
      <w:pPr>
        <w:spacing w:after="0"/>
        <w:ind w:left="-15" w:right="0"/>
      </w:pPr>
      <w:r>
        <w:rPr>
          <w:b/>
        </w:rPr>
        <w:t>ІІІ. Визначення та оцінка всіх прийнятних альтернативних способів досягнення зазначених цілей, наведення аргументів щодо переваги обраного способу</w:t>
      </w:r>
    </w:p>
    <w:p w14:paraId="0B091CD6" w14:textId="53A4DB85" w:rsidR="00C36DCD" w:rsidRDefault="00C36DCD" w:rsidP="00C36DCD">
      <w:pPr>
        <w:ind w:left="-15" w:right="0"/>
      </w:pPr>
      <w:r>
        <w:t xml:space="preserve">Для досягнення цілей державного регулювання Національний банк </w:t>
      </w:r>
      <w:r w:rsidR="00A16B0E">
        <w:t xml:space="preserve">України у </w:t>
      </w:r>
      <w:r>
        <w:t>Проєкт</w:t>
      </w:r>
      <w:r w:rsidR="00A16B0E">
        <w:t>і</w:t>
      </w:r>
      <w:r>
        <w:t xml:space="preserve"> </w:t>
      </w:r>
      <w:r w:rsidR="005E6CFE">
        <w:t>встановлює вимоги до перел</w:t>
      </w:r>
      <w:r w:rsidR="002655ED">
        <w:t>і</w:t>
      </w:r>
      <w:r w:rsidR="005E6CFE">
        <w:t>ку</w:t>
      </w:r>
      <w:r w:rsidR="005E6CFE" w:rsidRPr="00977032">
        <w:rPr>
          <w:szCs w:val="28"/>
        </w:rPr>
        <w:t xml:space="preserve"> інформації, як</w:t>
      </w:r>
      <w:r w:rsidR="005E6CFE">
        <w:rPr>
          <w:szCs w:val="28"/>
        </w:rPr>
        <w:t>а</w:t>
      </w:r>
      <w:r w:rsidR="005E6CFE" w:rsidRPr="00977032">
        <w:rPr>
          <w:szCs w:val="28"/>
        </w:rPr>
        <w:t xml:space="preserve"> надається </w:t>
      </w:r>
      <w:r w:rsidR="005E6CFE" w:rsidRPr="007949A6">
        <w:rPr>
          <w:szCs w:val="28"/>
        </w:rPr>
        <w:t>споживач</w:t>
      </w:r>
      <w:r w:rsidR="00A16B0E">
        <w:rPr>
          <w:szCs w:val="28"/>
        </w:rPr>
        <w:t>еві</w:t>
      </w:r>
      <w:r w:rsidR="005E6CFE" w:rsidRPr="00977032">
        <w:rPr>
          <w:szCs w:val="28"/>
        </w:rPr>
        <w:t xml:space="preserve"> про страховика</w:t>
      </w:r>
      <w:r w:rsidR="00FB781E">
        <w:rPr>
          <w:szCs w:val="28"/>
        </w:rPr>
        <w:t xml:space="preserve"> </w:t>
      </w:r>
      <w:r w:rsidR="005E6CFE" w:rsidRPr="00977032">
        <w:rPr>
          <w:szCs w:val="28"/>
        </w:rPr>
        <w:t xml:space="preserve">та страховий продукт, уключаючи інформаційний документ про стандартний страховий продукт, а також </w:t>
      </w:r>
      <w:r w:rsidR="005E6CFE">
        <w:rPr>
          <w:szCs w:val="28"/>
        </w:rPr>
        <w:t>вимоги до форми та порядку</w:t>
      </w:r>
      <w:r w:rsidR="005E6CFE" w:rsidRPr="00977032">
        <w:rPr>
          <w:szCs w:val="28"/>
        </w:rPr>
        <w:t xml:space="preserve"> розкриття такої інформації</w:t>
      </w:r>
      <w:r>
        <w:t>.</w:t>
      </w:r>
    </w:p>
    <w:p w14:paraId="77A406CB" w14:textId="519ECCA5" w:rsidR="00C36DCD" w:rsidRDefault="00C36DCD" w:rsidP="00C36DCD">
      <w:pPr>
        <w:ind w:left="-15" w:right="0"/>
      </w:pPr>
      <w:r>
        <w:t xml:space="preserve">Альтернативним способом досягнення зазначених цілей може бути залишення </w:t>
      </w:r>
      <w:r w:rsidR="007E4F05">
        <w:t xml:space="preserve">без змін </w:t>
      </w:r>
      <w:r>
        <w:t>чинн</w:t>
      </w:r>
      <w:r w:rsidR="007E4F05">
        <w:t>их</w:t>
      </w:r>
      <w:r>
        <w:t xml:space="preserve"> вимог до порядку розкриття </w:t>
      </w:r>
      <w:r w:rsidR="005E6CFE">
        <w:t>інформації споживач</w:t>
      </w:r>
      <w:r w:rsidR="007E4F05">
        <w:t>еві</w:t>
      </w:r>
      <w:r w:rsidR="005E6CFE">
        <w:t xml:space="preserve"> страховиком та страховим посередником</w:t>
      </w:r>
      <w:r>
        <w:t xml:space="preserve">. </w:t>
      </w:r>
      <w:r w:rsidR="005E6CFE">
        <w:t>Проте</w:t>
      </w:r>
      <w:r>
        <w:t xml:space="preserve"> </w:t>
      </w:r>
      <w:r w:rsidR="007E4F05">
        <w:t>в</w:t>
      </w:r>
      <w:r>
        <w:t xml:space="preserve"> </w:t>
      </w:r>
      <w:r w:rsidR="007E4F05">
        <w:t>цьому разі</w:t>
      </w:r>
      <w:r w:rsidR="005E6CFE">
        <w:t xml:space="preserve"> залишаються</w:t>
      </w:r>
      <w:r>
        <w:t xml:space="preserve"> </w:t>
      </w:r>
      <w:r w:rsidR="005E6CFE">
        <w:t>неврегульованими</w:t>
      </w:r>
      <w:r>
        <w:t xml:space="preserve"> питання щодо</w:t>
      </w:r>
      <w:r w:rsidR="005E6CFE">
        <w:t xml:space="preserve"> переліку інформації, що розміщується на вебсайті, місця розміщення такої інформації на вебсайті, а також форм</w:t>
      </w:r>
      <w:r w:rsidR="007E4F05">
        <w:t>и</w:t>
      </w:r>
      <w:r w:rsidR="005E6CFE">
        <w:t xml:space="preserve"> та зміст</w:t>
      </w:r>
      <w:r w:rsidR="007E4F05">
        <w:t>у</w:t>
      </w:r>
      <w:r w:rsidR="005E6CFE">
        <w:t xml:space="preserve"> інформаційного документ</w:t>
      </w:r>
      <w:r w:rsidR="007E4F05">
        <w:t>а</w:t>
      </w:r>
      <w:r w:rsidR="005E6CFE">
        <w:t xml:space="preserve"> про стандартний страховий продукт</w:t>
      </w:r>
      <w:r>
        <w:t>.</w:t>
      </w:r>
    </w:p>
    <w:p w14:paraId="6AA59DC4" w14:textId="75DAB7C2" w:rsidR="00C36DCD" w:rsidRDefault="00D80837" w:rsidP="00C36DCD">
      <w:pPr>
        <w:ind w:left="-15" w:right="0"/>
      </w:pPr>
      <w:r>
        <w:t>Страховики та страхові посередники</w:t>
      </w:r>
      <w:r w:rsidR="003902F3">
        <w:t>,</w:t>
      </w:r>
      <w:r>
        <w:t xml:space="preserve"> маючи можливість розміщувати інформацію на вебсайтах на власний розсуд, не надають або надають неп</w:t>
      </w:r>
      <w:r w:rsidR="0052089D">
        <w:t xml:space="preserve">овну інформацію про страховика </w:t>
      </w:r>
      <w:r>
        <w:t xml:space="preserve">та страховий продукт. </w:t>
      </w:r>
      <w:r w:rsidR="003902F3">
        <w:t>К</w:t>
      </w:r>
      <w:r>
        <w:t>рім того, страховики не несуть відповідальність за достовірність та зрозумілість цієї інформації.</w:t>
      </w:r>
    </w:p>
    <w:p w14:paraId="6EA26A80" w14:textId="3C6E79BB" w:rsidR="00C36DCD" w:rsidRDefault="00D80837" w:rsidP="00C36DCD">
      <w:pPr>
        <w:spacing w:after="310"/>
        <w:ind w:left="-15" w:right="0"/>
      </w:pPr>
      <w:r>
        <w:t>З огляду на це</w:t>
      </w:r>
      <w:r w:rsidR="00C36DCD">
        <w:t xml:space="preserve"> Національний банк на підставі повноважень, визначених </w:t>
      </w:r>
      <w:r w:rsidR="003902F3">
        <w:t xml:space="preserve">у </w:t>
      </w:r>
      <w:r w:rsidR="00C36DCD">
        <w:t>Закон</w:t>
      </w:r>
      <w:r w:rsidR="003902F3">
        <w:t>і</w:t>
      </w:r>
      <w:r w:rsidR="00C36DCD">
        <w:t xml:space="preserve"> про Національний банк та </w:t>
      </w:r>
      <w:r w:rsidR="003902F3">
        <w:t xml:space="preserve">в </w:t>
      </w:r>
      <w:r w:rsidR="00C36DCD">
        <w:t>Закон</w:t>
      </w:r>
      <w:r w:rsidR="003902F3">
        <w:t>і</w:t>
      </w:r>
      <w:r w:rsidR="00C36DCD">
        <w:t xml:space="preserve"> </w:t>
      </w:r>
      <w:r>
        <w:t>України</w:t>
      </w:r>
      <w:r w:rsidRPr="005D5B8B">
        <w:t xml:space="preserve"> “</w:t>
      </w:r>
      <w:r>
        <w:t>Про страхування</w:t>
      </w:r>
      <w:r w:rsidRPr="005D5B8B">
        <w:t>” (далі – Закон про страхування)</w:t>
      </w:r>
      <w:r w:rsidR="00C36DCD">
        <w:t xml:space="preserve">, </w:t>
      </w:r>
      <w:r w:rsidR="003902F3">
        <w:t>вважає</w:t>
      </w:r>
      <w:r w:rsidR="00C36DCD">
        <w:t xml:space="preserve"> прийняття </w:t>
      </w:r>
      <w:r>
        <w:t>Проєкту</w:t>
      </w:r>
      <w:r w:rsidR="00C36DCD">
        <w:t xml:space="preserve"> найкращи</w:t>
      </w:r>
      <w:r w:rsidR="003902F3">
        <w:t>м</w:t>
      </w:r>
      <w:r w:rsidR="00C36DCD">
        <w:t xml:space="preserve"> спос</w:t>
      </w:r>
      <w:r w:rsidR="003902F3">
        <w:t>обом</w:t>
      </w:r>
      <w:r w:rsidR="00C36DCD">
        <w:t xml:space="preserve"> досягнення зазначених цілей.</w:t>
      </w:r>
    </w:p>
    <w:p w14:paraId="67DCABD4" w14:textId="62F477D4" w:rsidR="00C36DCD" w:rsidRDefault="00C36DCD" w:rsidP="00C36DCD">
      <w:pPr>
        <w:spacing w:after="0"/>
        <w:ind w:left="-15" w:right="0"/>
      </w:pPr>
      <w:r>
        <w:rPr>
          <w:b/>
        </w:rPr>
        <w:t>IV. Опис механізму, який пропонується застосувати для розв’язання проблеми, і відповідні заходи</w:t>
      </w:r>
    </w:p>
    <w:p w14:paraId="2B010B0D" w14:textId="6F4040DB" w:rsidR="00C36DCD" w:rsidRDefault="00C36DCD" w:rsidP="00C36DCD">
      <w:pPr>
        <w:ind w:left="-15" w:right="0"/>
      </w:pPr>
      <w:r>
        <w:t>В основу механізму, застосован</w:t>
      </w:r>
      <w:r w:rsidR="003902F3">
        <w:t>ого</w:t>
      </w:r>
      <w:r>
        <w:t xml:space="preserve"> для розв’язання проблем</w:t>
      </w:r>
      <w:r w:rsidR="003902F3">
        <w:t xml:space="preserve">и щодо розкриття вищезазначеної інформації </w:t>
      </w:r>
      <w:r w:rsidR="003902F3" w:rsidRPr="005D5B8B">
        <w:t>на вебсайтах страховиків та страхових посередників</w:t>
      </w:r>
      <w:r w:rsidRPr="00593B5D">
        <w:t>,</w:t>
      </w:r>
      <w:r>
        <w:t xml:space="preserve"> покладено </w:t>
      </w:r>
      <w:r w:rsidR="0043784D">
        <w:t>прийняття Проєкту</w:t>
      </w:r>
      <w:r w:rsidR="003902F3">
        <w:t xml:space="preserve">, в якому встановлюватимуться </w:t>
      </w:r>
      <w:r w:rsidR="0043784D">
        <w:t>такі вимоги</w:t>
      </w:r>
      <w:r>
        <w:t>:</w:t>
      </w:r>
    </w:p>
    <w:p w14:paraId="6211C5B7" w14:textId="24C1B08B" w:rsidR="0043784D" w:rsidRDefault="002655ED" w:rsidP="00321017">
      <w:pPr>
        <w:pStyle w:val="a8"/>
        <w:numPr>
          <w:ilvl w:val="0"/>
          <w:numId w:val="3"/>
        </w:numPr>
        <w:ind w:left="0" w:right="0" w:firstLine="709"/>
      </w:pPr>
      <w:r>
        <w:t>п</w:t>
      </w:r>
      <w:r w:rsidR="0043784D">
        <w:t>ерелік мінімального обсягу інформації про страховика</w:t>
      </w:r>
      <w:r w:rsidR="0052089D">
        <w:t>, яка</w:t>
      </w:r>
      <w:r w:rsidR="0043784D">
        <w:t xml:space="preserve"> розкривається на вебсторінці</w:t>
      </w:r>
      <w:r w:rsidR="00EB22BB">
        <w:t xml:space="preserve"> з інформацією</w:t>
      </w:r>
      <w:r w:rsidR="0043784D">
        <w:t xml:space="preserve"> про страховика та в інформаційному документі про стандартний страховий продукт</w:t>
      </w:r>
      <w:r w:rsidR="0043784D" w:rsidRPr="0043784D">
        <w:rPr>
          <w:lang w:val="ru-RU"/>
        </w:rPr>
        <w:t>;</w:t>
      </w:r>
    </w:p>
    <w:p w14:paraId="5EDAEF12" w14:textId="076EC2CD" w:rsidR="0043784D" w:rsidRDefault="002655ED" w:rsidP="00321017">
      <w:pPr>
        <w:pStyle w:val="a8"/>
        <w:numPr>
          <w:ilvl w:val="0"/>
          <w:numId w:val="3"/>
        </w:numPr>
        <w:ind w:left="0" w:right="0" w:firstLine="709"/>
      </w:pPr>
      <w:r>
        <w:t>п</w:t>
      </w:r>
      <w:r w:rsidR="0043784D">
        <w:t>ерелік мінімального обсягу інформації про страховий продукт, який розкривається на вебсайті з урахування особливостей страхови</w:t>
      </w:r>
      <w:r w:rsidR="00593B5D">
        <w:t>х</w:t>
      </w:r>
      <w:r w:rsidR="0043784D">
        <w:t xml:space="preserve"> продуктів за класами страхування 1</w:t>
      </w:r>
      <w:r w:rsidR="00593B5D">
        <w:rPr>
          <w:rFonts w:ascii="Calibri" w:hAnsi="Calibri" w:cs="Calibri"/>
        </w:rPr>
        <w:t>–</w:t>
      </w:r>
      <w:r w:rsidR="0043784D">
        <w:t>18 та 19</w:t>
      </w:r>
      <w:r w:rsidR="00593B5D">
        <w:rPr>
          <w:rFonts w:ascii="Calibri" w:hAnsi="Calibri" w:cs="Calibri"/>
        </w:rPr>
        <w:t>–</w:t>
      </w:r>
      <w:r w:rsidR="0043784D">
        <w:t>23</w:t>
      </w:r>
      <w:r w:rsidR="0043784D" w:rsidRPr="0043784D">
        <w:rPr>
          <w:lang w:val="ru-RU"/>
        </w:rPr>
        <w:t>;</w:t>
      </w:r>
    </w:p>
    <w:p w14:paraId="10126D78" w14:textId="77777777" w:rsidR="0043784D" w:rsidRDefault="002655ED" w:rsidP="00321017">
      <w:pPr>
        <w:pStyle w:val="a8"/>
        <w:numPr>
          <w:ilvl w:val="0"/>
          <w:numId w:val="3"/>
        </w:numPr>
        <w:ind w:left="0" w:right="0" w:firstLine="709"/>
      </w:pPr>
      <w:r>
        <w:lastRenderedPageBreak/>
        <w:t>мі</w:t>
      </w:r>
      <w:r w:rsidR="0043784D">
        <w:t>сце розкр</w:t>
      </w:r>
      <w:r w:rsidR="00FB781E">
        <w:t xml:space="preserve">иття інформації про страховика </w:t>
      </w:r>
      <w:r w:rsidR="0043784D">
        <w:t>та страховий продукт на вебсайті страховика та страхового посередника</w:t>
      </w:r>
      <w:r w:rsidR="0043784D" w:rsidRPr="0043784D">
        <w:rPr>
          <w:lang w:val="ru-RU"/>
        </w:rPr>
        <w:t>;</w:t>
      </w:r>
    </w:p>
    <w:p w14:paraId="2DFE4599" w14:textId="3F33E460" w:rsidR="0043784D" w:rsidRDefault="002655ED" w:rsidP="00321017">
      <w:pPr>
        <w:pStyle w:val="a8"/>
        <w:numPr>
          <w:ilvl w:val="0"/>
          <w:numId w:val="3"/>
        </w:numPr>
        <w:ind w:left="0" w:right="0" w:firstLine="709"/>
      </w:pPr>
      <w:r>
        <w:t>в</w:t>
      </w:r>
      <w:r w:rsidR="0043784D">
        <w:t>имоги до форми і змісту інформаційного документ</w:t>
      </w:r>
      <w:r w:rsidR="00593B5D">
        <w:t>а</w:t>
      </w:r>
      <w:r w:rsidR="0043784D">
        <w:t xml:space="preserve"> про стандартний страховий продукт</w:t>
      </w:r>
      <w:r w:rsidR="0043784D" w:rsidRPr="0043784D">
        <w:rPr>
          <w:lang w:val="ru-RU"/>
        </w:rPr>
        <w:t>;</w:t>
      </w:r>
    </w:p>
    <w:p w14:paraId="0EC0D07B" w14:textId="44CD0FAA" w:rsidR="0043784D" w:rsidRDefault="002655ED" w:rsidP="00321017">
      <w:pPr>
        <w:pStyle w:val="a8"/>
        <w:numPr>
          <w:ilvl w:val="0"/>
          <w:numId w:val="3"/>
        </w:numPr>
        <w:ind w:left="0" w:right="0" w:firstLine="709"/>
      </w:pPr>
      <w:r>
        <w:t>м</w:t>
      </w:r>
      <w:r w:rsidR="0043784D">
        <w:t>ісце розміщення інформаційного документ</w:t>
      </w:r>
      <w:r w:rsidR="00593B5D">
        <w:t>а</w:t>
      </w:r>
      <w:r w:rsidR="0043784D">
        <w:t xml:space="preserve"> про стандартний страховий продукт на вебсайті страховика та страхового посередника</w:t>
      </w:r>
      <w:r w:rsidR="0043784D" w:rsidRPr="0043784D">
        <w:rPr>
          <w:lang w:val="ru-RU"/>
        </w:rPr>
        <w:t>.</w:t>
      </w:r>
    </w:p>
    <w:p w14:paraId="160AC69E" w14:textId="09DECFF7" w:rsidR="00C36DCD" w:rsidRDefault="00C36DCD" w:rsidP="00C36DCD">
      <w:pPr>
        <w:spacing w:after="310"/>
        <w:ind w:left="-15" w:right="0"/>
      </w:pPr>
      <w:r>
        <w:t xml:space="preserve">У разі затвердження Правлінням Національного банку </w:t>
      </w:r>
      <w:r w:rsidR="00593B5D">
        <w:t xml:space="preserve">України </w:t>
      </w:r>
      <w:r>
        <w:t xml:space="preserve">запропонованого до розгляду Проєкту зміст цього регуляторного акта буде доведено до відома </w:t>
      </w:r>
      <w:r w:rsidR="0043784D">
        <w:t>страховиків та страхових посередників</w:t>
      </w:r>
      <w:r>
        <w:t xml:space="preserve"> шляхом офіційного оприлюднення.</w:t>
      </w:r>
    </w:p>
    <w:p w14:paraId="36725D43" w14:textId="77777777" w:rsidR="00C36DCD" w:rsidRDefault="00C36DCD" w:rsidP="00C36DCD">
      <w:pPr>
        <w:spacing w:after="0"/>
        <w:ind w:left="-15" w:right="0"/>
      </w:pPr>
      <w:r>
        <w:rPr>
          <w:b/>
        </w:rPr>
        <w:t>V. Обґрунтування можливості досягнення визначених цілей у разі прийняття регуляторного акта</w:t>
      </w:r>
    </w:p>
    <w:p w14:paraId="5C70A037" w14:textId="43DCFD17" w:rsidR="00C36DCD" w:rsidRDefault="00C36DCD" w:rsidP="00C36DCD">
      <w:pPr>
        <w:ind w:left="-15" w:right="0"/>
      </w:pPr>
      <w:r>
        <w:t xml:space="preserve">Вимоги регуляторного акта є обов’язковими для виконання </w:t>
      </w:r>
      <w:r w:rsidR="0043784D">
        <w:t>страховиками та страховими посередниками під час надання інформації споживач</w:t>
      </w:r>
      <w:r w:rsidR="00593B5D">
        <w:t>еві</w:t>
      </w:r>
      <w:r w:rsidR="0043784D">
        <w:t xml:space="preserve"> до укладення договору страхування</w:t>
      </w:r>
      <w:r>
        <w:t>.</w:t>
      </w:r>
    </w:p>
    <w:p w14:paraId="67BF45C1" w14:textId="77777777" w:rsidR="00C36DCD" w:rsidRDefault="00C36DCD" w:rsidP="00C36DCD">
      <w:pPr>
        <w:ind w:left="-15" w:right="0"/>
      </w:pPr>
      <w:r>
        <w:t>Ризик як негативного, так і позитивного потенційного впливу зовнішніх чинників на дію регуляторного акта зумовлюється змінами в законодавстві України, що може призвести до потреби внесення змін до регуляторного акта.</w:t>
      </w:r>
    </w:p>
    <w:p w14:paraId="2FE3ECE8" w14:textId="0FE62457" w:rsidR="00C36DCD" w:rsidRDefault="00C36DCD" w:rsidP="00C36DCD">
      <w:pPr>
        <w:ind w:left="-15" w:right="0"/>
      </w:pPr>
      <w:r>
        <w:t xml:space="preserve">Упровадження вимог, запропонованих </w:t>
      </w:r>
      <w:r w:rsidR="00593B5D">
        <w:t xml:space="preserve">у </w:t>
      </w:r>
      <w:r>
        <w:t>Проєкт</w:t>
      </w:r>
      <w:r w:rsidR="00593B5D">
        <w:t>і</w:t>
      </w:r>
      <w:r>
        <w:t>, не потребує додаткових витрат Державного бюджету України або витрат Національного банку</w:t>
      </w:r>
      <w:r w:rsidR="00593B5D">
        <w:t xml:space="preserve"> України</w:t>
      </w:r>
      <w:r>
        <w:t>, оскільки здійснюється в межах його повноважень.</w:t>
      </w:r>
    </w:p>
    <w:p w14:paraId="56045A6B" w14:textId="7D1ABB8B" w:rsidR="00C36DCD" w:rsidRDefault="00C36DCD" w:rsidP="00C36DCD">
      <w:pPr>
        <w:spacing w:after="310"/>
        <w:ind w:left="-15" w:right="0"/>
      </w:pPr>
      <w:r>
        <w:t xml:space="preserve">Здійснення державного контролю та нагляду за додержанням вимог </w:t>
      </w:r>
      <w:r w:rsidR="000E4F2E">
        <w:t xml:space="preserve">цього регуляторного </w:t>
      </w:r>
      <w:r>
        <w:t xml:space="preserve">акта відбуватиметься в межах здійснення Національним банком наглядової діяльності за дотриманням </w:t>
      </w:r>
      <w:r w:rsidR="004639B3">
        <w:t>страховиками та страховими посередниками</w:t>
      </w:r>
      <w:r>
        <w:t xml:space="preserve"> законодавства про захист прав споживачів фінансових послуг.</w:t>
      </w:r>
    </w:p>
    <w:p w14:paraId="000DA86C" w14:textId="77777777" w:rsidR="002C42AA" w:rsidRDefault="00C36DCD" w:rsidP="00C36DCD">
      <w:pPr>
        <w:spacing w:after="0"/>
        <w:ind w:left="709" w:right="517" w:firstLine="0"/>
        <w:rPr>
          <w:b/>
        </w:rPr>
      </w:pPr>
      <w:r>
        <w:rPr>
          <w:b/>
        </w:rPr>
        <w:t xml:space="preserve">VІ. Визначення очікуваних результатів прийняття акта </w:t>
      </w:r>
    </w:p>
    <w:p w14:paraId="2702D9C7" w14:textId="054529BD" w:rsidR="00C36DCD" w:rsidRDefault="00C36DCD" w:rsidP="00C36DCD">
      <w:pPr>
        <w:spacing w:after="0"/>
        <w:ind w:left="709" w:right="517" w:firstLine="0"/>
      </w:pPr>
      <w:r>
        <w:t>Прийняття Проєкту як регуляторного акт</w:t>
      </w:r>
      <w:r w:rsidR="000E4F2E">
        <w:t>а</w:t>
      </w:r>
      <w:r>
        <w:rPr>
          <w:sz w:val="24"/>
        </w:rPr>
        <w:t xml:space="preserve"> </w:t>
      </w:r>
      <w:r w:rsidR="000E4F2E">
        <w:t>дасть змогу</w:t>
      </w:r>
      <w:r>
        <w:t>:</w:t>
      </w:r>
    </w:p>
    <w:p w14:paraId="33697705" w14:textId="77777777" w:rsidR="00C36DCD" w:rsidRDefault="00C36DCD" w:rsidP="002655ED">
      <w:pPr>
        <w:numPr>
          <w:ilvl w:val="0"/>
          <w:numId w:val="1"/>
        </w:numPr>
        <w:ind w:right="0" w:firstLine="709"/>
      </w:pPr>
      <w:r>
        <w:t xml:space="preserve">чітко врегулювати </w:t>
      </w:r>
      <w:r w:rsidR="002C42AA">
        <w:t>мінімальний перелік та спосіб розкриття інформації страховиками та страховими посередниками</w:t>
      </w:r>
      <w:r>
        <w:t>;</w:t>
      </w:r>
    </w:p>
    <w:p w14:paraId="7007C61E" w14:textId="495ED7F4" w:rsidR="00C36DCD" w:rsidRDefault="00C36DCD" w:rsidP="000A66C5">
      <w:pPr>
        <w:numPr>
          <w:ilvl w:val="0"/>
          <w:numId w:val="1"/>
        </w:numPr>
        <w:ind w:right="0" w:firstLine="709"/>
      </w:pPr>
      <w:r>
        <w:t xml:space="preserve">зафіксувати </w:t>
      </w:r>
      <w:r w:rsidR="00AF5625">
        <w:t>форму та зміст інформаційного документ</w:t>
      </w:r>
      <w:r w:rsidR="000E4F2E">
        <w:t>а</w:t>
      </w:r>
      <w:r w:rsidR="00AF5625">
        <w:t xml:space="preserve"> про страховий продукт</w:t>
      </w:r>
      <w:r w:rsidR="00AF5625" w:rsidRPr="000A66C5">
        <w:rPr>
          <w:lang w:val="ru-RU"/>
        </w:rPr>
        <w:t>;</w:t>
      </w:r>
    </w:p>
    <w:p w14:paraId="75485BCA" w14:textId="0CF85EA8" w:rsidR="00C36DCD" w:rsidRDefault="00C36DCD" w:rsidP="002655ED">
      <w:pPr>
        <w:numPr>
          <w:ilvl w:val="0"/>
          <w:numId w:val="1"/>
        </w:numPr>
        <w:ind w:right="0" w:firstLine="709"/>
      </w:pPr>
      <w:r>
        <w:t xml:space="preserve">реалізувати функцію Національного банку </w:t>
      </w:r>
      <w:r w:rsidR="000E4F2E">
        <w:t xml:space="preserve">України </w:t>
      </w:r>
      <w:r>
        <w:t>зі здійснення захисту прав споживачів</w:t>
      </w:r>
      <w:r w:rsidR="00AF5625">
        <w:t xml:space="preserve"> на страховому ринку</w:t>
      </w:r>
      <w:r>
        <w:t>.</w:t>
      </w:r>
    </w:p>
    <w:p w14:paraId="73F64DFD" w14:textId="5CA71E58" w:rsidR="00C36DCD" w:rsidRDefault="00AF5625" w:rsidP="00C36DCD">
      <w:pPr>
        <w:ind w:left="-15" w:right="0"/>
      </w:pPr>
      <w:r>
        <w:t>Прийняття Проєкту</w:t>
      </w:r>
      <w:r w:rsidR="00C36DCD">
        <w:t xml:space="preserve"> посилить захист прав та інтересів споживачів фінансових послуг, зменшивши кількість </w:t>
      </w:r>
      <w:r w:rsidR="000E4F2E">
        <w:t xml:space="preserve">випадків </w:t>
      </w:r>
      <w:r>
        <w:t>недобросовісн</w:t>
      </w:r>
      <w:r w:rsidR="000E4F2E">
        <w:t>ої</w:t>
      </w:r>
      <w:r>
        <w:t xml:space="preserve"> практик</w:t>
      </w:r>
      <w:r w:rsidR="000E4F2E">
        <w:t>и</w:t>
      </w:r>
      <w:r w:rsidR="00C36DCD">
        <w:t xml:space="preserve"> під час </w:t>
      </w:r>
      <w:r>
        <w:t>надання страховиками та страховими посередниками інформації споживач</w:t>
      </w:r>
      <w:r w:rsidR="000E4F2E">
        <w:t>еві</w:t>
      </w:r>
      <w:r w:rsidR="00C36DCD">
        <w:t>.</w:t>
      </w:r>
    </w:p>
    <w:p w14:paraId="4B1ADB9F" w14:textId="5475FCCF" w:rsidR="00C36DCD" w:rsidRDefault="00C36DCD" w:rsidP="00C36DCD">
      <w:pPr>
        <w:spacing w:after="310"/>
        <w:ind w:left="-15" w:right="0"/>
      </w:pPr>
      <w:r>
        <w:t xml:space="preserve">Ураховуючи цілі правового регулювання </w:t>
      </w:r>
      <w:r w:rsidR="00AF5625">
        <w:t>Проєкту</w:t>
      </w:r>
      <w:r>
        <w:t xml:space="preserve">, не вбачаються можливі негативні наслідки </w:t>
      </w:r>
      <w:r w:rsidR="000E4F2E">
        <w:t>в</w:t>
      </w:r>
      <w:r>
        <w:t xml:space="preserve"> разі </w:t>
      </w:r>
      <w:r w:rsidR="000E4F2E">
        <w:t>його</w:t>
      </w:r>
      <w:r>
        <w:t xml:space="preserve"> прийняття.</w:t>
      </w:r>
    </w:p>
    <w:p w14:paraId="60682E36" w14:textId="77777777" w:rsidR="00C36DCD" w:rsidRDefault="00C36DCD" w:rsidP="00C36DCD">
      <w:pPr>
        <w:spacing w:after="0"/>
        <w:ind w:left="709" w:right="0" w:firstLine="0"/>
      </w:pPr>
      <w:r>
        <w:rPr>
          <w:b/>
        </w:rPr>
        <w:lastRenderedPageBreak/>
        <w:t>VІІ. Визначення показників результативності акта</w:t>
      </w:r>
    </w:p>
    <w:p w14:paraId="17C1CA73" w14:textId="4D70705C" w:rsidR="00E84532" w:rsidRDefault="00C36DCD" w:rsidP="00E84532">
      <w:pPr>
        <w:ind w:left="-15" w:right="0"/>
      </w:pPr>
      <w:r>
        <w:t>Для відстеження результативності Проєкту як регуляторного акт</w:t>
      </w:r>
      <w:r w:rsidR="000E4F2E">
        <w:t>а</w:t>
      </w:r>
      <w:r>
        <w:t xml:space="preserve"> планується аналізувати практику застосування вимог </w:t>
      </w:r>
      <w:r w:rsidR="00AF5625">
        <w:t>Проєкту</w:t>
      </w:r>
      <w:r>
        <w:t xml:space="preserve">, використовуючи звернення, запити, повідомлення споживачів, пропозиції </w:t>
      </w:r>
      <w:r w:rsidR="00AF5625">
        <w:t>страховиків та страхових посередників</w:t>
      </w:r>
      <w:r>
        <w:t>, а також відповідні публікації в засобах масової інформації.</w:t>
      </w:r>
    </w:p>
    <w:p w14:paraId="008068C9" w14:textId="6D93471F" w:rsidR="00E84532" w:rsidRDefault="00E84532" w:rsidP="00E84532">
      <w:pPr>
        <w:ind w:left="-15" w:right="0"/>
      </w:pPr>
      <w:r>
        <w:t>Окремим показником результативності запропонованого регуляторного акт</w:t>
      </w:r>
      <w:r w:rsidR="000E4F2E">
        <w:t>а</w:t>
      </w:r>
      <w:r>
        <w:t xml:space="preserve">, що може бути визначеним, є кількість запитів Національного банку </w:t>
      </w:r>
      <w:r w:rsidR="000E4F2E">
        <w:t xml:space="preserve">України </w:t>
      </w:r>
      <w:r>
        <w:t>до страховиків та страхових посередників про надання інформації щодо дотримання вимог нормативно-правових актів Національного банку України в частині розкриття інформації на вебсайті.</w:t>
      </w:r>
    </w:p>
    <w:p w14:paraId="594093AD" w14:textId="77777777" w:rsidR="00C36DCD" w:rsidRPr="00FB781E" w:rsidRDefault="00C36DCD" w:rsidP="00C36DCD">
      <w:pPr>
        <w:ind w:left="-15" w:right="0"/>
        <w:rPr>
          <w:lang w:val="ru-RU"/>
        </w:rPr>
      </w:pPr>
      <w:r>
        <w:t xml:space="preserve">Дія регуляторного акта поширюватиметься на всіх </w:t>
      </w:r>
      <w:r w:rsidR="00E84532">
        <w:t>страховиків та страхових посередників</w:t>
      </w:r>
      <w:r w:rsidR="00FB781E">
        <w:t>, які мають власний вебсайт</w:t>
      </w:r>
      <w:r w:rsidR="00E84532">
        <w:t xml:space="preserve">. </w:t>
      </w:r>
    </w:p>
    <w:p w14:paraId="1D6E3795" w14:textId="48676131" w:rsidR="00C36DCD" w:rsidRDefault="00C36DCD" w:rsidP="00C36DCD">
      <w:pPr>
        <w:spacing w:after="310"/>
        <w:ind w:left="-15" w:right="0"/>
      </w:pPr>
      <w:r>
        <w:t>Ураховуючи специфіку запропонованого регуляторного акт</w:t>
      </w:r>
      <w:r w:rsidR="000E4F2E">
        <w:t>а</w:t>
      </w:r>
      <w:r>
        <w:t>, визначити інші показники його результативності неможливо.</w:t>
      </w:r>
    </w:p>
    <w:p w14:paraId="28570501" w14:textId="3E9F6207" w:rsidR="00C36DCD" w:rsidRDefault="00C36DCD" w:rsidP="00C36DCD">
      <w:pPr>
        <w:spacing w:after="0"/>
        <w:ind w:left="-15" w:right="0"/>
      </w:pPr>
      <w:r>
        <w:rPr>
          <w:b/>
        </w:rPr>
        <w:t>VIII. Визначення заходів, із допомогою яких буде здійснюватися відстеження результативності акта</w:t>
      </w:r>
    </w:p>
    <w:p w14:paraId="2D67C1D8" w14:textId="21ECCFFC" w:rsidR="00C36DCD" w:rsidRDefault="00C36DCD" w:rsidP="00C36DCD">
      <w:pPr>
        <w:ind w:left="-15" w:right="0"/>
      </w:pPr>
      <w:r>
        <w:t xml:space="preserve"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банку, затвердженої постановою Кабінету Міністрів України і Національного банку </w:t>
      </w:r>
      <w:r w:rsidR="008B419C">
        <w:t xml:space="preserve">України </w:t>
      </w:r>
      <w:r>
        <w:t>від 14.04.2004 року № 471</w:t>
      </w:r>
      <w:r w:rsidR="008B419C">
        <w:t xml:space="preserve"> (зі змінами)</w:t>
      </w:r>
      <w:r>
        <w:t>.</w:t>
      </w:r>
    </w:p>
    <w:p w14:paraId="00844414" w14:textId="7C32F39E" w:rsidR="00C36DCD" w:rsidRDefault="00C36DCD" w:rsidP="00C36DCD">
      <w:pPr>
        <w:ind w:left="-15" w:right="0"/>
      </w:pPr>
      <w:r>
        <w:t xml:space="preserve">Базове відстеження результативності запропонованого регуляторного акта буде здійснено до набрання чинності цим документом, а </w:t>
      </w:r>
      <w:r w:rsidR="008B419C">
        <w:t>надалі</w:t>
      </w:r>
      <w:r>
        <w:t xml:space="preserve"> здійснюватиметься в </w:t>
      </w:r>
      <w:r w:rsidR="008B419C">
        <w:t>межах</w:t>
      </w:r>
      <w:r>
        <w:t xml:space="preserve"> відстеження результативності основного регуляторного акта.</w:t>
      </w:r>
    </w:p>
    <w:p w14:paraId="6D34671D" w14:textId="7340241B" w:rsidR="00C36DCD" w:rsidRDefault="00C36DCD" w:rsidP="00C36DCD">
      <w:pPr>
        <w:ind w:left="-15" w:right="0"/>
      </w:pPr>
      <w:r>
        <w:t xml:space="preserve">Для відстеження результативності акта Національний банк </w:t>
      </w:r>
      <w:r w:rsidR="008B419C">
        <w:t xml:space="preserve">України </w:t>
      </w:r>
      <w:r>
        <w:t>використовуватиме дані, отримані за результатами своєї діяльності.</w:t>
      </w:r>
    </w:p>
    <w:p w14:paraId="0E64B80E" w14:textId="5689EDFA" w:rsidR="00C36DCD" w:rsidRDefault="00C36DCD" w:rsidP="00C36DCD">
      <w:pPr>
        <w:spacing w:after="666"/>
        <w:ind w:left="-15" w:right="0"/>
      </w:pPr>
      <w:r>
        <w:t>Інформування суб’єктів господарювання щодо основних положень запропонованого регуляторного акта здійснюватиметься шляхом його оприлюднення на сторінці офіційного Інтернет-представництва Національного банку</w:t>
      </w:r>
      <w:r w:rsidR="008B419C">
        <w:t xml:space="preserve"> України</w:t>
      </w:r>
      <w:r>
        <w:t>.</w:t>
      </w:r>
    </w:p>
    <w:p w14:paraId="48F59B1F" w14:textId="77777777" w:rsidR="00C36DCD" w:rsidRDefault="00C36DCD" w:rsidP="00C36DCD">
      <w:pPr>
        <w:tabs>
          <w:tab w:val="center" w:pos="8193"/>
        </w:tabs>
        <w:ind w:left="-15" w:right="0" w:firstLine="0"/>
        <w:jc w:val="left"/>
      </w:pPr>
      <w:r>
        <w:t>Голова</w:t>
      </w:r>
      <w:r>
        <w:tab/>
        <w:t>Андрій ПИШНИЙ</w:t>
      </w:r>
    </w:p>
    <w:p w14:paraId="114CCA48" w14:textId="77777777" w:rsidR="00145C02" w:rsidRPr="00C36DCD" w:rsidRDefault="00145C02" w:rsidP="00C36DCD"/>
    <w:sectPr w:rsidR="00145C02" w:rsidRPr="00C36DCD" w:rsidSect="00C3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701" w:left="1701" w:header="709" w:footer="2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2504" w14:textId="77777777" w:rsidR="0015107C" w:rsidRDefault="0015107C" w:rsidP="00C36DCD">
      <w:pPr>
        <w:spacing w:after="0" w:line="240" w:lineRule="auto"/>
      </w:pPr>
      <w:r>
        <w:separator/>
      </w:r>
    </w:p>
  </w:endnote>
  <w:endnote w:type="continuationSeparator" w:id="0">
    <w:p w14:paraId="52FBEC6B" w14:textId="77777777" w:rsidR="0015107C" w:rsidRDefault="0015107C" w:rsidP="00C3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3671" w14:textId="77777777" w:rsidR="002150C6" w:rsidRDefault="0028223C">
    <w:pPr>
      <w:spacing w:after="0" w:line="259" w:lineRule="auto"/>
      <w:ind w:left="-1701" w:right="74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76101DA" wp14:editId="4F90E22F">
          <wp:simplePos x="0" y="0"/>
          <wp:positionH relativeFrom="page">
            <wp:posOffset>812800</wp:posOffset>
          </wp:positionH>
          <wp:positionV relativeFrom="page">
            <wp:posOffset>9753600</wp:posOffset>
          </wp:positionV>
          <wp:extent cx="5918200" cy="787400"/>
          <wp:effectExtent l="0" t="0" r="0" b="0"/>
          <wp:wrapSquare wrapText="bothSides"/>
          <wp:docPr id="685" name="Picture 6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" name="Picture 6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82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B899" w14:textId="77777777" w:rsidR="002150C6" w:rsidRDefault="0028223C">
    <w:pPr>
      <w:spacing w:after="0" w:line="259" w:lineRule="auto"/>
      <w:ind w:right="-68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2947" w14:textId="77777777" w:rsidR="002150C6" w:rsidRDefault="0015107C">
    <w:pPr>
      <w:spacing w:after="0" w:line="259" w:lineRule="auto"/>
      <w:ind w:left="-1701" w:right="741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CA5C2" w14:textId="77777777" w:rsidR="0015107C" w:rsidRDefault="0015107C" w:rsidP="00C36DCD">
      <w:pPr>
        <w:spacing w:after="0" w:line="240" w:lineRule="auto"/>
      </w:pPr>
      <w:r>
        <w:separator/>
      </w:r>
    </w:p>
  </w:footnote>
  <w:footnote w:type="continuationSeparator" w:id="0">
    <w:p w14:paraId="5E1E01EB" w14:textId="77777777" w:rsidR="0015107C" w:rsidRDefault="0015107C" w:rsidP="00C3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4834" w14:textId="77777777" w:rsidR="002150C6" w:rsidRDefault="0028223C">
    <w:pPr>
      <w:spacing w:after="45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593CD9C4" w14:textId="77777777" w:rsidR="002150C6" w:rsidRDefault="0028223C">
    <w:pPr>
      <w:spacing w:after="0" w:line="259" w:lineRule="auto"/>
      <w:ind w:right="-68" w:firstLine="0"/>
      <w:jc w:val="right"/>
    </w:pPr>
    <w:r>
      <w:t xml:space="preserve"> </w:t>
    </w:r>
  </w:p>
  <w:p w14:paraId="0E7B1D1B" w14:textId="77777777" w:rsidR="002150C6" w:rsidRDefault="0028223C">
    <w:pPr>
      <w:spacing w:after="0" w:line="259" w:lineRule="auto"/>
      <w:ind w:right="-68" w:firstLine="0"/>
      <w:jc w:val="right"/>
    </w:pPr>
    <w:r>
      <w:t xml:space="preserve"> </w:t>
    </w:r>
  </w:p>
  <w:p w14:paraId="241853AD" w14:textId="77777777" w:rsidR="002150C6" w:rsidRDefault="0028223C">
    <w:pPr>
      <w:spacing w:after="0" w:line="259" w:lineRule="auto"/>
      <w:ind w:right="-68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91292" w14:textId="733BC3FA" w:rsidR="002150C6" w:rsidRDefault="0028223C">
    <w:pPr>
      <w:spacing w:after="45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B8B">
      <w:rPr>
        <w:noProof/>
      </w:rPr>
      <w:t>4</w:t>
    </w:r>
    <w:r>
      <w:fldChar w:fldCharType="end"/>
    </w:r>
  </w:p>
  <w:p w14:paraId="789A4BD8" w14:textId="77777777" w:rsidR="002150C6" w:rsidRDefault="0028223C">
    <w:pPr>
      <w:spacing w:after="0" w:line="259" w:lineRule="auto"/>
      <w:ind w:right="-68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37F4" w14:textId="77777777" w:rsidR="002150C6" w:rsidRDefault="0015107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48BA"/>
    <w:multiLevelType w:val="hybridMultilevel"/>
    <w:tmpl w:val="3A02C438"/>
    <w:lvl w:ilvl="0" w:tplc="88C0B82E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E357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60DF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2180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E8B5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99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D01C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8FF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EFB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4C2C18"/>
    <w:multiLevelType w:val="hybridMultilevel"/>
    <w:tmpl w:val="EA9E3A2E"/>
    <w:lvl w:ilvl="0" w:tplc="E778AB6C"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702465E7"/>
    <w:multiLevelType w:val="hybridMultilevel"/>
    <w:tmpl w:val="C1882354"/>
    <w:lvl w:ilvl="0" w:tplc="D556EE8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A5"/>
    <w:rsid w:val="000449D6"/>
    <w:rsid w:val="000A66C5"/>
    <w:rsid w:val="000E4F2E"/>
    <w:rsid w:val="001237A5"/>
    <w:rsid w:val="00145C02"/>
    <w:rsid w:val="0015107C"/>
    <w:rsid w:val="001D0B70"/>
    <w:rsid w:val="002655ED"/>
    <w:rsid w:val="0028223C"/>
    <w:rsid w:val="002C42AA"/>
    <w:rsid w:val="002D7CF5"/>
    <w:rsid w:val="00321017"/>
    <w:rsid w:val="003902F3"/>
    <w:rsid w:val="003B3CB3"/>
    <w:rsid w:val="003B3D62"/>
    <w:rsid w:val="0043784D"/>
    <w:rsid w:val="004639B3"/>
    <w:rsid w:val="00480D32"/>
    <w:rsid w:val="004B1CC2"/>
    <w:rsid w:val="0052089D"/>
    <w:rsid w:val="00593B5D"/>
    <w:rsid w:val="005D5B8B"/>
    <w:rsid w:val="005E6CFE"/>
    <w:rsid w:val="007128D6"/>
    <w:rsid w:val="007E4F05"/>
    <w:rsid w:val="008B419C"/>
    <w:rsid w:val="00A16B0E"/>
    <w:rsid w:val="00AF5625"/>
    <w:rsid w:val="00BA12EC"/>
    <w:rsid w:val="00BD5D4F"/>
    <w:rsid w:val="00C36DCD"/>
    <w:rsid w:val="00CB20FC"/>
    <w:rsid w:val="00D80837"/>
    <w:rsid w:val="00E84532"/>
    <w:rsid w:val="00EB22BB"/>
    <w:rsid w:val="00FB5308"/>
    <w:rsid w:val="00FB5624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7EB8"/>
  <w15:chartTrackingRefBased/>
  <w15:docId w15:val="{FA1FF7D5-817A-4736-9A7C-1219C9A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CD"/>
    <w:pPr>
      <w:spacing w:after="3" w:line="249" w:lineRule="auto"/>
      <w:ind w:right="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3D6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B3D62"/>
    <w:pPr>
      <w:spacing w:after="16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примітки Знак"/>
    <w:basedOn w:val="a0"/>
    <w:link w:val="a4"/>
    <w:uiPriority w:val="99"/>
    <w:rsid w:val="003B3D6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3D62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paragraph" w:styleId="a8">
    <w:name w:val="List Paragraph"/>
    <w:basedOn w:val="a"/>
    <w:uiPriority w:val="34"/>
    <w:qFormat/>
    <w:rsid w:val="0043784D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A16B0E"/>
    <w:pPr>
      <w:spacing w:after="3"/>
      <w:ind w:right="2" w:firstLine="699"/>
      <w:jc w:val="both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character" w:customStyle="1" w:styleId="aa">
    <w:name w:val="Тема примітки Знак"/>
    <w:basedOn w:val="a5"/>
    <w:link w:val="a9"/>
    <w:uiPriority w:val="99"/>
    <w:semiHidden/>
    <w:rsid w:val="00A16B0E"/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5726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Подольчук Олег Володимирович</dc:creator>
  <cp:keywords/>
  <dc:description/>
  <cp:lastModifiedBy>Подольчук Олег Володимирович</cp:lastModifiedBy>
  <cp:revision>3</cp:revision>
  <dcterms:created xsi:type="dcterms:W3CDTF">2023-08-09T08:07:00Z</dcterms:created>
  <dcterms:modified xsi:type="dcterms:W3CDTF">2023-08-09T10:27:00Z</dcterms:modified>
</cp:coreProperties>
</file>