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0DFC" w14:textId="77777777" w:rsidR="00653CB9" w:rsidRPr="000110E3" w:rsidRDefault="00DD4053" w:rsidP="00F86980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0110E3">
        <w:rPr>
          <w:b/>
          <w:color w:val="000000"/>
          <w:sz w:val="28"/>
          <w:szCs w:val="28"/>
        </w:rPr>
        <w:t>Аналіз регуляторного впливу</w:t>
      </w:r>
      <w:r w:rsidR="00653CB9" w:rsidRPr="000110E3">
        <w:rPr>
          <w:b/>
          <w:color w:val="000000"/>
          <w:sz w:val="28"/>
          <w:szCs w:val="28"/>
        </w:rPr>
        <w:t xml:space="preserve"> </w:t>
      </w:r>
    </w:p>
    <w:p w14:paraId="4D414FF1" w14:textId="77777777" w:rsidR="00BE1DB9" w:rsidRPr="000110E3" w:rsidRDefault="00C6262C" w:rsidP="00F86980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proofErr w:type="spellStart"/>
      <w:r w:rsidRPr="000110E3">
        <w:rPr>
          <w:b/>
          <w:sz w:val="28"/>
          <w:szCs w:val="28"/>
        </w:rPr>
        <w:t>проєкту</w:t>
      </w:r>
      <w:proofErr w:type="spellEnd"/>
      <w:r w:rsidRPr="000110E3">
        <w:rPr>
          <w:b/>
          <w:sz w:val="28"/>
          <w:szCs w:val="28"/>
        </w:rPr>
        <w:t xml:space="preserve"> постанови Правління Національного банку України</w:t>
      </w:r>
      <w:r w:rsidR="00BE1DB9" w:rsidRPr="000110E3">
        <w:rPr>
          <w:b/>
          <w:sz w:val="28"/>
          <w:szCs w:val="28"/>
        </w:rPr>
        <w:t xml:space="preserve"> </w:t>
      </w:r>
    </w:p>
    <w:p w14:paraId="5DA4B0C2" w14:textId="77777777" w:rsidR="00F63A9E" w:rsidRPr="000110E3" w:rsidRDefault="00C6262C" w:rsidP="00F86980">
      <w:pPr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0110E3">
        <w:rPr>
          <w:b/>
          <w:bCs/>
          <w:sz w:val="28"/>
          <w:szCs w:val="28"/>
        </w:rPr>
        <w:t>“</w:t>
      </w:r>
      <w:r w:rsidR="00C847DA" w:rsidRPr="000110E3">
        <w:rPr>
          <w:b/>
          <w:sz w:val="28"/>
          <w:szCs w:val="28"/>
        </w:rPr>
        <w:t>Про затвердження Змін до Правил складання та подання звітності учасниками ринку небанківських фінансових послуг до Національного банку України</w:t>
      </w:r>
      <w:r w:rsidRPr="000110E3">
        <w:rPr>
          <w:b/>
          <w:bCs/>
          <w:sz w:val="28"/>
          <w:szCs w:val="28"/>
          <w:lang w:val="ru-RU"/>
        </w:rPr>
        <w:t>”</w:t>
      </w:r>
      <w:r w:rsidR="00976336" w:rsidRPr="000110E3">
        <w:rPr>
          <w:b/>
          <w:bCs/>
          <w:sz w:val="28"/>
          <w:szCs w:val="28"/>
          <w:lang w:val="ru-RU"/>
        </w:rPr>
        <w:t xml:space="preserve"> </w:t>
      </w:r>
    </w:p>
    <w:p w14:paraId="121DE503" w14:textId="77777777" w:rsidR="00C6262C" w:rsidRPr="000110E3" w:rsidRDefault="00C6262C" w:rsidP="00F86980">
      <w:pPr>
        <w:tabs>
          <w:tab w:val="left" w:pos="567"/>
        </w:tabs>
        <w:jc w:val="center"/>
        <w:rPr>
          <w:b/>
          <w:color w:val="000000"/>
          <w:sz w:val="20"/>
          <w:szCs w:val="20"/>
          <w:lang w:val="ru-RU"/>
        </w:rPr>
      </w:pPr>
    </w:p>
    <w:p w14:paraId="1FE75219" w14:textId="7BBFBB81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І. Визначення проблеми, яку передбачається  розв’язати шляхом державного регулювання</w:t>
      </w:r>
    </w:p>
    <w:p w14:paraId="084550CB" w14:textId="77777777" w:rsidR="00E7574C" w:rsidRPr="000110E3" w:rsidRDefault="00731E21" w:rsidP="00F869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Національний банк України </w:t>
      </w:r>
      <w:r w:rsidR="001D1CD4" w:rsidRPr="000110E3">
        <w:rPr>
          <w:sz w:val="28"/>
          <w:szCs w:val="28"/>
        </w:rPr>
        <w:t>(</w:t>
      </w:r>
      <w:r w:rsidR="001D1CD4" w:rsidRPr="000110E3">
        <w:rPr>
          <w:sz w:val="28"/>
          <w:szCs w:val="28"/>
          <w:lang w:eastAsia="en-US"/>
        </w:rPr>
        <w:t xml:space="preserve">далі – Національний банк) </w:t>
      </w:r>
      <w:r w:rsidRPr="000110E3">
        <w:rPr>
          <w:sz w:val="28"/>
          <w:szCs w:val="28"/>
          <w:lang w:eastAsia="en-US"/>
        </w:rPr>
        <w:t>відповідно до</w:t>
      </w:r>
      <w:r w:rsidR="001D1CD4" w:rsidRPr="000110E3">
        <w:rPr>
          <w:sz w:val="28"/>
          <w:szCs w:val="28"/>
          <w:lang w:eastAsia="en-US"/>
        </w:rPr>
        <w:t xml:space="preserve"> Закон</w:t>
      </w:r>
      <w:r w:rsidRPr="000110E3">
        <w:rPr>
          <w:sz w:val="28"/>
          <w:szCs w:val="28"/>
          <w:lang w:eastAsia="en-US"/>
        </w:rPr>
        <w:t xml:space="preserve">у України “Про Національний банк України” </w:t>
      </w:r>
      <w:r w:rsidR="005A6AFF" w:rsidRPr="000110E3">
        <w:rPr>
          <w:sz w:val="28"/>
          <w:szCs w:val="28"/>
          <w:lang w:eastAsia="en-US"/>
        </w:rPr>
        <w:t xml:space="preserve">(далі – Закон про Національний банк) </w:t>
      </w:r>
      <w:r w:rsidR="001D1CD4" w:rsidRPr="000110E3">
        <w:rPr>
          <w:sz w:val="28"/>
          <w:szCs w:val="28"/>
          <w:lang w:eastAsia="en-US"/>
        </w:rPr>
        <w:t>та Закону України “</w:t>
      </w:r>
      <w:r w:rsidR="00406207" w:rsidRPr="000110E3">
        <w:rPr>
          <w:sz w:val="28"/>
          <w:szCs w:val="28"/>
          <w:lang w:eastAsia="en-US"/>
        </w:rPr>
        <w:t>Про фінансові послуги та фінансові компанії</w:t>
      </w:r>
      <w:r w:rsidR="001D1CD4" w:rsidRPr="000110E3">
        <w:rPr>
          <w:sz w:val="28"/>
          <w:szCs w:val="28"/>
          <w:lang w:eastAsia="en-US"/>
        </w:rPr>
        <w:t xml:space="preserve">” </w:t>
      </w:r>
      <w:r w:rsidR="0060767B" w:rsidRPr="000110E3">
        <w:rPr>
          <w:sz w:val="28"/>
          <w:szCs w:val="28"/>
          <w:lang w:eastAsia="en-US"/>
        </w:rPr>
        <w:t>(далі – Закон про фінансові послуги</w:t>
      </w:r>
      <w:r w:rsidR="0060767B" w:rsidRPr="000110E3">
        <w:rPr>
          <w:sz w:val="28"/>
          <w:szCs w:val="28"/>
        </w:rPr>
        <w:t xml:space="preserve">) </w:t>
      </w:r>
      <w:r w:rsidR="001D1CD4" w:rsidRPr="000110E3">
        <w:rPr>
          <w:sz w:val="28"/>
          <w:szCs w:val="28"/>
        </w:rPr>
        <w:t>з метою забезпечення виконання функцій щодо</w:t>
      </w:r>
      <w:r w:rsidR="001D1CD4" w:rsidRPr="000110E3">
        <w:rPr>
          <w:sz w:val="28"/>
          <w:szCs w:val="28"/>
          <w:lang w:eastAsia="en-US"/>
        </w:rPr>
        <w:t xml:space="preserve"> державного регулювання у сфері ринків фінансових послуг </w:t>
      </w:r>
      <w:r w:rsidR="001D1CD4" w:rsidRPr="000110E3">
        <w:rPr>
          <w:sz w:val="28"/>
          <w:szCs w:val="28"/>
        </w:rPr>
        <w:t>у межах, визначених </w:t>
      </w:r>
      <w:r w:rsidR="0060767B" w:rsidRPr="000110E3">
        <w:rPr>
          <w:sz w:val="28"/>
          <w:szCs w:val="28"/>
        </w:rPr>
        <w:t>Законом про фінансові послуги</w:t>
      </w:r>
      <w:r w:rsidR="001D1CD4" w:rsidRPr="000110E3">
        <w:rPr>
          <w:sz w:val="28"/>
          <w:szCs w:val="28"/>
        </w:rPr>
        <w:t xml:space="preserve">, встановлює правила складання та подання </w:t>
      </w:r>
      <w:r w:rsidR="0060767B" w:rsidRPr="000110E3">
        <w:rPr>
          <w:sz w:val="28"/>
          <w:szCs w:val="28"/>
        </w:rPr>
        <w:t xml:space="preserve">звітності </w:t>
      </w:r>
      <w:r w:rsidR="001D1CD4" w:rsidRPr="000110E3">
        <w:rPr>
          <w:sz w:val="28"/>
          <w:szCs w:val="28"/>
        </w:rPr>
        <w:t>учасниками ринку небанківських фінансових послуг до Національного банку.</w:t>
      </w:r>
    </w:p>
    <w:p w14:paraId="663928B3" w14:textId="79B20D6A" w:rsidR="00847E77" w:rsidRPr="000110E3" w:rsidRDefault="0060767B" w:rsidP="00F869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В</w:t>
      </w:r>
      <w:r w:rsidR="00847E77" w:rsidRPr="000110E3">
        <w:rPr>
          <w:sz w:val="28"/>
          <w:szCs w:val="28"/>
        </w:rPr>
        <w:t xml:space="preserve">ідповідно до статей 6, 7, 15, 56 Закону </w:t>
      </w:r>
      <w:r w:rsidR="005A6AFF" w:rsidRPr="000110E3">
        <w:rPr>
          <w:sz w:val="28"/>
          <w:szCs w:val="28"/>
        </w:rPr>
        <w:t>про Національний банк</w:t>
      </w:r>
      <w:r w:rsidR="00847E77" w:rsidRPr="000110E3">
        <w:rPr>
          <w:sz w:val="28"/>
          <w:szCs w:val="28"/>
        </w:rPr>
        <w:t>, статей 12</w:t>
      </w:r>
      <w:r w:rsidR="00847E77" w:rsidRPr="000110E3">
        <w:rPr>
          <w:sz w:val="28"/>
          <w:szCs w:val="28"/>
          <w:vertAlign w:val="superscript"/>
        </w:rPr>
        <w:t>1</w:t>
      </w:r>
      <w:r w:rsidR="00847E77" w:rsidRPr="000110E3">
        <w:rPr>
          <w:sz w:val="28"/>
          <w:szCs w:val="28"/>
        </w:rPr>
        <w:t xml:space="preserve">, </w:t>
      </w:r>
      <w:r w:rsidR="00847E77" w:rsidRPr="000110E3">
        <w:rPr>
          <w:sz w:val="28"/>
          <w:szCs w:val="28"/>
          <w:lang w:val="ru-RU"/>
        </w:rPr>
        <w:t xml:space="preserve">21, </w:t>
      </w:r>
      <w:r w:rsidR="00847E77" w:rsidRPr="000110E3">
        <w:rPr>
          <w:sz w:val="28"/>
          <w:szCs w:val="28"/>
        </w:rPr>
        <w:t xml:space="preserve">28 Закону </w:t>
      </w:r>
      <w:r w:rsidR="0062129C">
        <w:rPr>
          <w:sz w:val="28"/>
          <w:szCs w:val="28"/>
        </w:rPr>
        <w:t xml:space="preserve">України </w:t>
      </w:r>
      <w:r w:rsidR="0062129C" w:rsidRPr="0062129C">
        <w:rPr>
          <w:sz w:val="28"/>
          <w:szCs w:val="28"/>
          <w:lang w:val="ru-RU"/>
        </w:rPr>
        <w:t>“</w:t>
      </w:r>
      <w:r w:rsidR="0062129C">
        <w:rPr>
          <w:sz w:val="28"/>
          <w:szCs w:val="28"/>
        </w:rPr>
        <w:t>П</w:t>
      </w:r>
      <w:r w:rsidR="00847E77" w:rsidRPr="000110E3">
        <w:rPr>
          <w:sz w:val="28"/>
          <w:szCs w:val="28"/>
        </w:rPr>
        <w:t>ро</w:t>
      </w:r>
      <w:r w:rsidR="00847E77" w:rsidRPr="000110E3">
        <w:rPr>
          <w:sz w:val="28"/>
          <w:szCs w:val="28"/>
          <w:lang w:val="ru-RU"/>
        </w:rPr>
        <w:t xml:space="preserve"> </w:t>
      </w:r>
      <w:r w:rsidR="00847E77" w:rsidRPr="000110E3">
        <w:rPr>
          <w:sz w:val="28"/>
          <w:szCs w:val="28"/>
        </w:rPr>
        <w:t>фінансові послуги</w:t>
      </w:r>
      <w:r w:rsidR="0062129C" w:rsidRPr="0062129C">
        <w:t xml:space="preserve"> </w:t>
      </w:r>
      <w:r w:rsidR="0062129C" w:rsidRPr="0062129C">
        <w:rPr>
          <w:sz w:val="28"/>
          <w:szCs w:val="28"/>
        </w:rPr>
        <w:t>та державне регулювання ринків фінансових послуг”</w:t>
      </w:r>
      <w:r w:rsidR="00847E77" w:rsidRPr="000110E3">
        <w:rPr>
          <w:sz w:val="28"/>
          <w:szCs w:val="28"/>
        </w:rPr>
        <w:t xml:space="preserve"> Правління Національного банку України </w:t>
      </w:r>
      <w:r w:rsidR="00671BDC" w:rsidRPr="000110E3">
        <w:rPr>
          <w:sz w:val="28"/>
          <w:szCs w:val="28"/>
        </w:rPr>
        <w:t>прийня</w:t>
      </w:r>
      <w:r w:rsidR="00671BDC">
        <w:rPr>
          <w:sz w:val="28"/>
          <w:szCs w:val="28"/>
        </w:rPr>
        <w:t>л</w:t>
      </w:r>
      <w:r w:rsidR="00671BDC" w:rsidRPr="000110E3">
        <w:rPr>
          <w:sz w:val="28"/>
          <w:szCs w:val="28"/>
        </w:rPr>
        <w:t xml:space="preserve">о постанову </w:t>
      </w:r>
      <w:r w:rsidR="00847E77" w:rsidRPr="000110E3">
        <w:rPr>
          <w:sz w:val="28"/>
          <w:szCs w:val="28"/>
        </w:rPr>
        <w:t>від 25.11.2021</w:t>
      </w:r>
      <w:r w:rsidRPr="000110E3">
        <w:rPr>
          <w:sz w:val="28"/>
          <w:szCs w:val="28"/>
        </w:rPr>
        <w:t xml:space="preserve"> № </w:t>
      </w:r>
      <w:r w:rsidR="00847E77" w:rsidRPr="000110E3">
        <w:rPr>
          <w:sz w:val="28"/>
          <w:szCs w:val="28"/>
        </w:rPr>
        <w:t>123</w:t>
      </w:r>
      <w:r w:rsidR="0014330A" w:rsidRPr="000110E3">
        <w:rPr>
          <w:sz w:val="28"/>
          <w:szCs w:val="28"/>
        </w:rPr>
        <w:t>, якою затверджено</w:t>
      </w:r>
      <w:r w:rsidR="00847E77" w:rsidRPr="000110E3">
        <w:rPr>
          <w:sz w:val="28"/>
          <w:szCs w:val="28"/>
        </w:rPr>
        <w:t xml:space="preserve"> Правил</w:t>
      </w:r>
      <w:r w:rsidR="0014330A" w:rsidRPr="000110E3">
        <w:rPr>
          <w:sz w:val="28"/>
          <w:szCs w:val="28"/>
        </w:rPr>
        <w:t>а</w:t>
      </w:r>
      <w:r w:rsidR="00847E77" w:rsidRPr="000110E3">
        <w:rPr>
          <w:sz w:val="28"/>
          <w:szCs w:val="28"/>
        </w:rPr>
        <w:t xml:space="preserve"> складання та подання звітності учасниками ринку небанківських фінансових послуг до Національного банку України</w:t>
      </w:r>
      <w:r w:rsidR="009C14ED" w:rsidRPr="000110E3">
        <w:rPr>
          <w:sz w:val="28"/>
          <w:szCs w:val="28"/>
        </w:rPr>
        <w:t xml:space="preserve"> (далі –</w:t>
      </w:r>
      <w:r w:rsidR="005A29C9" w:rsidRPr="000110E3">
        <w:rPr>
          <w:sz w:val="28"/>
          <w:szCs w:val="28"/>
        </w:rPr>
        <w:t xml:space="preserve"> </w:t>
      </w:r>
      <w:r w:rsidR="0014330A" w:rsidRPr="000110E3">
        <w:rPr>
          <w:sz w:val="28"/>
          <w:szCs w:val="28"/>
        </w:rPr>
        <w:t>Правила № 123</w:t>
      </w:r>
      <w:r w:rsidR="009C14ED" w:rsidRPr="000110E3">
        <w:rPr>
          <w:sz w:val="28"/>
          <w:szCs w:val="28"/>
        </w:rPr>
        <w:t>)</w:t>
      </w:r>
      <w:r w:rsidR="00847E77" w:rsidRPr="000110E3">
        <w:rPr>
          <w:sz w:val="28"/>
          <w:szCs w:val="28"/>
        </w:rPr>
        <w:t>.</w:t>
      </w:r>
    </w:p>
    <w:p w14:paraId="39DB5AA2" w14:textId="190A9FCD" w:rsidR="00406207" w:rsidRPr="000110E3" w:rsidRDefault="005F73D0" w:rsidP="00406207">
      <w:pPr>
        <w:widowControl w:val="0"/>
        <w:ind w:firstLine="567"/>
        <w:jc w:val="both"/>
        <w:rPr>
          <w:sz w:val="28"/>
          <w:szCs w:val="28"/>
        </w:rPr>
      </w:pPr>
      <w:r w:rsidRPr="00FF3DBC">
        <w:rPr>
          <w:sz w:val="28"/>
          <w:szCs w:val="28"/>
        </w:rPr>
        <w:t>У зв’язку з внес</w:t>
      </w:r>
      <w:r>
        <w:rPr>
          <w:sz w:val="28"/>
          <w:szCs w:val="28"/>
        </w:rPr>
        <w:t>енням змін до законодавства України,</w:t>
      </w:r>
      <w:r w:rsidRPr="00FF3DBC">
        <w:rPr>
          <w:sz w:val="28"/>
          <w:szCs w:val="28"/>
        </w:rPr>
        <w:t xml:space="preserve"> зокрема, </w:t>
      </w:r>
      <w:r>
        <w:rPr>
          <w:sz w:val="28"/>
          <w:szCs w:val="28"/>
        </w:rPr>
        <w:t xml:space="preserve">прийняття </w:t>
      </w:r>
      <w:r w:rsidR="00671BDC" w:rsidRPr="00FF3DBC">
        <w:rPr>
          <w:sz w:val="28"/>
          <w:szCs w:val="28"/>
        </w:rPr>
        <w:t>Закон</w:t>
      </w:r>
      <w:r w:rsidR="00671BDC">
        <w:rPr>
          <w:sz w:val="28"/>
          <w:szCs w:val="28"/>
        </w:rPr>
        <w:t>ів</w:t>
      </w:r>
      <w:r w:rsidR="00671BDC" w:rsidRPr="00FF3DBC">
        <w:rPr>
          <w:sz w:val="28"/>
          <w:szCs w:val="28"/>
        </w:rPr>
        <w:t xml:space="preserve"> </w:t>
      </w:r>
      <w:r w:rsidRPr="00FF3DBC">
        <w:rPr>
          <w:sz w:val="28"/>
          <w:szCs w:val="28"/>
        </w:rPr>
        <w:t>України “Про фінансові послуги та фінансові компанії”, “Про страхування”,</w:t>
      </w:r>
      <w:r w:rsidRPr="007E26FD">
        <w:rPr>
          <w:sz w:val="28"/>
          <w:szCs w:val="28"/>
        </w:rPr>
        <w:t xml:space="preserve"> </w:t>
      </w:r>
      <w:r w:rsidRPr="00303B36">
        <w:rPr>
          <w:sz w:val="28"/>
          <w:szCs w:val="28"/>
        </w:rPr>
        <w:t>“Про кредитні спілки”</w:t>
      </w:r>
      <w:r w:rsidR="005E3EDA">
        <w:rPr>
          <w:sz w:val="28"/>
          <w:szCs w:val="28"/>
        </w:rPr>
        <w:t xml:space="preserve">, </w:t>
      </w:r>
      <w:r w:rsidR="00665FAF" w:rsidRPr="000110E3">
        <w:rPr>
          <w:sz w:val="28"/>
          <w:szCs w:val="28"/>
        </w:rPr>
        <w:t xml:space="preserve">основні положення яких </w:t>
      </w:r>
      <w:r w:rsidR="005B2101">
        <w:rPr>
          <w:sz w:val="28"/>
          <w:szCs w:val="28"/>
        </w:rPr>
        <w:t>у</w:t>
      </w:r>
      <w:r w:rsidR="005B2101" w:rsidRPr="000110E3">
        <w:rPr>
          <w:sz w:val="28"/>
          <w:szCs w:val="28"/>
        </w:rPr>
        <w:t xml:space="preserve">водяться </w:t>
      </w:r>
      <w:r w:rsidR="00665FAF" w:rsidRPr="000110E3">
        <w:rPr>
          <w:sz w:val="28"/>
          <w:szCs w:val="28"/>
        </w:rPr>
        <w:t xml:space="preserve">в дію з 01.01.2024, </w:t>
      </w:r>
      <w:r w:rsidR="00406207" w:rsidRPr="000110E3">
        <w:rPr>
          <w:sz w:val="28"/>
          <w:szCs w:val="28"/>
        </w:rPr>
        <w:t>Національний банк набув повноваження змінювати вимоги до платоспроможності, ліквідності, прибутковості, якості активів та ризиковості операцій учасників ринку небанківських фінансових послуг.</w:t>
      </w:r>
    </w:p>
    <w:p w14:paraId="2F30B924" w14:textId="50D6306C" w:rsidR="00406207" w:rsidRPr="000110E3" w:rsidRDefault="00406207" w:rsidP="00406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З метою забезпечення вимог, визначених </w:t>
      </w:r>
      <w:r w:rsidR="005B2101">
        <w:rPr>
          <w:sz w:val="28"/>
          <w:szCs w:val="28"/>
        </w:rPr>
        <w:t xml:space="preserve">у </w:t>
      </w:r>
      <w:r w:rsidR="005B2101" w:rsidRPr="000110E3">
        <w:rPr>
          <w:sz w:val="28"/>
          <w:szCs w:val="28"/>
        </w:rPr>
        <w:t>підпункт</w:t>
      </w:r>
      <w:r w:rsidR="005B2101">
        <w:rPr>
          <w:sz w:val="28"/>
          <w:szCs w:val="28"/>
        </w:rPr>
        <w:t>і</w:t>
      </w:r>
      <w:r w:rsidR="005B2101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</w:rPr>
        <w:t>1 пункту 17 Положення про реєстрацію колекторських компаній, затвердженого Постановою Правління Національного банку України від 09.07.2021 №</w:t>
      </w:r>
      <w:r w:rsidR="005B2101">
        <w:rPr>
          <w:sz w:val="28"/>
          <w:szCs w:val="28"/>
        </w:rPr>
        <w:t> </w:t>
      </w:r>
      <w:r w:rsidRPr="000110E3">
        <w:rPr>
          <w:sz w:val="28"/>
          <w:szCs w:val="28"/>
        </w:rPr>
        <w:t>75</w:t>
      </w:r>
      <w:r w:rsidR="002B4D8B" w:rsidRPr="000110E3">
        <w:rPr>
          <w:sz w:val="28"/>
          <w:szCs w:val="28"/>
        </w:rPr>
        <w:t>,</w:t>
      </w:r>
      <w:r w:rsidRPr="000110E3">
        <w:rPr>
          <w:sz w:val="28"/>
          <w:szCs w:val="28"/>
        </w:rPr>
        <w:t xml:space="preserve"> перелік постачальни</w:t>
      </w:r>
      <w:r w:rsidR="00120D1E" w:rsidRPr="000110E3">
        <w:rPr>
          <w:sz w:val="28"/>
          <w:szCs w:val="28"/>
        </w:rPr>
        <w:t xml:space="preserve">ків </w:t>
      </w:r>
      <w:r w:rsidRPr="000110E3">
        <w:rPr>
          <w:sz w:val="28"/>
          <w:szCs w:val="28"/>
        </w:rPr>
        <w:t>звітності доповнено респондентами – колекторськими компаніями.</w:t>
      </w:r>
    </w:p>
    <w:p w14:paraId="7B3B6E12" w14:textId="77777777" w:rsidR="00406207" w:rsidRPr="000110E3" w:rsidRDefault="00406207" w:rsidP="00406207">
      <w:pPr>
        <w:widowControl w:val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З метою вдосконалення порядку провадження посередницької діяльності у сфері страхування постановою Правління Національного банку України від 30.06.2022 №</w:t>
      </w:r>
      <w:r w:rsidR="0018703E">
        <w:rPr>
          <w:sz w:val="28"/>
          <w:szCs w:val="28"/>
        </w:rPr>
        <w:t> </w:t>
      </w:r>
      <w:r w:rsidRPr="000110E3">
        <w:rPr>
          <w:sz w:val="28"/>
          <w:szCs w:val="28"/>
        </w:rPr>
        <w:t xml:space="preserve">135 “Про затвердження Положення про реєстрацію страхових та </w:t>
      </w:r>
      <w:proofErr w:type="spellStart"/>
      <w:r w:rsidRPr="000110E3">
        <w:rPr>
          <w:sz w:val="28"/>
          <w:szCs w:val="28"/>
        </w:rPr>
        <w:t>перестрахових</w:t>
      </w:r>
      <w:proofErr w:type="spellEnd"/>
      <w:r w:rsidRPr="000110E3">
        <w:rPr>
          <w:sz w:val="28"/>
          <w:szCs w:val="28"/>
        </w:rPr>
        <w:t xml:space="preserve">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України” скасовано подання згідно з Правилами № 123 звітних даних страховими та/або </w:t>
      </w:r>
      <w:proofErr w:type="spellStart"/>
      <w:r w:rsidRPr="000110E3">
        <w:rPr>
          <w:sz w:val="28"/>
          <w:szCs w:val="28"/>
        </w:rPr>
        <w:t>перестраховими</w:t>
      </w:r>
      <w:proofErr w:type="spellEnd"/>
      <w:r w:rsidRPr="000110E3">
        <w:rPr>
          <w:sz w:val="28"/>
          <w:szCs w:val="28"/>
        </w:rPr>
        <w:t xml:space="preserve"> брокерами.</w:t>
      </w:r>
    </w:p>
    <w:p w14:paraId="31FA9A22" w14:textId="0DDA9624" w:rsidR="00B1441B" w:rsidRPr="000110E3" w:rsidRDefault="00406207" w:rsidP="00B1441B">
      <w:pPr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Для врегулювання зазначених </w:t>
      </w:r>
      <w:r w:rsidR="00F06C69">
        <w:rPr>
          <w:sz w:val="28"/>
          <w:szCs w:val="28"/>
        </w:rPr>
        <w:t xml:space="preserve">вище </w:t>
      </w:r>
      <w:r w:rsidRPr="000110E3">
        <w:rPr>
          <w:sz w:val="28"/>
          <w:szCs w:val="28"/>
        </w:rPr>
        <w:t xml:space="preserve">питань виникла </w:t>
      </w:r>
      <w:r w:rsidR="0018703E">
        <w:rPr>
          <w:sz w:val="28"/>
          <w:szCs w:val="28"/>
        </w:rPr>
        <w:t>потреба</w:t>
      </w:r>
      <w:r w:rsidR="0018703E" w:rsidRPr="000110E3">
        <w:rPr>
          <w:sz w:val="28"/>
          <w:szCs w:val="28"/>
        </w:rPr>
        <w:t xml:space="preserve"> </w:t>
      </w:r>
      <w:r w:rsidR="00665FAF" w:rsidRPr="000110E3">
        <w:rPr>
          <w:sz w:val="28"/>
          <w:szCs w:val="28"/>
        </w:rPr>
        <w:t xml:space="preserve">у внесенні змін </w:t>
      </w:r>
      <w:r w:rsidR="00B1441B" w:rsidRPr="00B45F74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754F64" w:rsidRPr="00B45F74">
        <w:rPr>
          <w:color w:val="000000" w:themeColor="text1"/>
          <w:sz w:val="28"/>
          <w:szCs w:val="28"/>
          <w:shd w:val="clear" w:color="auto" w:fill="FFFFFF"/>
        </w:rPr>
        <w:t>Правил № 123</w:t>
      </w:r>
      <w:r w:rsidR="00B1441B" w:rsidRPr="000110E3">
        <w:rPr>
          <w:color w:val="333333"/>
          <w:sz w:val="28"/>
          <w:szCs w:val="28"/>
          <w:shd w:val="clear" w:color="auto" w:fill="FFFFFF"/>
        </w:rPr>
        <w:t xml:space="preserve"> </w:t>
      </w:r>
      <w:r w:rsidR="00665FAF" w:rsidRPr="000110E3">
        <w:rPr>
          <w:sz w:val="28"/>
          <w:szCs w:val="28"/>
        </w:rPr>
        <w:t xml:space="preserve">шляхом затвердження </w:t>
      </w:r>
      <w:proofErr w:type="spellStart"/>
      <w:r w:rsidR="00B1441B" w:rsidRPr="000110E3">
        <w:rPr>
          <w:sz w:val="28"/>
          <w:szCs w:val="28"/>
        </w:rPr>
        <w:t>проєкту</w:t>
      </w:r>
      <w:proofErr w:type="spellEnd"/>
      <w:r w:rsidR="00B1441B" w:rsidRPr="000110E3">
        <w:rPr>
          <w:sz w:val="28"/>
          <w:szCs w:val="28"/>
        </w:rPr>
        <w:t xml:space="preserve"> постанови Правління </w:t>
      </w:r>
      <w:r w:rsidR="00B1441B" w:rsidRPr="000110E3">
        <w:rPr>
          <w:sz w:val="28"/>
          <w:szCs w:val="28"/>
        </w:rPr>
        <w:lastRenderedPageBreak/>
        <w:t>Національного банку України “Про затвердження Змін до Правил складання та подання звітності учасниками ринку небанківських фінансових послуг до Національного банку України</w:t>
      </w:r>
      <w:r w:rsidR="00B1441B" w:rsidRPr="000110E3">
        <w:rPr>
          <w:bCs/>
          <w:sz w:val="28"/>
          <w:szCs w:val="28"/>
        </w:rPr>
        <w:t xml:space="preserve">” </w:t>
      </w:r>
      <w:r w:rsidR="00B1441B" w:rsidRPr="000110E3">
        <w:rPr>
          <w:sz w:val="28"/>
          <w:szCs w:val="28"/>
        </w:rPr>
        <w:t>(далі – регуляторний акт).</w:t>
      </w:r>
    </w:p>
    <w:p w14:paraId="75F7CBE9" w14:textId="77777777" w:rsidR="00C321A4" w:rsidRPr="000110E3" w:rsidRDefault="00C321A4" w:rsidP="00B1441B">
      <w:pPr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0110E3">
        <w:rPr>
          <w:sz w:val="28"/>
          <w:szCs w:val="28"/>
          <w:lang w:eastAsia="en-US"/>
        </w:rPr>
        <w:t xml:space="preserve">Суб’єктами, на яких поширюється дія регуляторного </w:t>
      </w:r>
      <w:proofErr w:type="spellStart"/>
      <w:r w:rsidRPr="000110E3">
        <w:rPr>
          <w:sz w:val="28"/>
          <w:szCs w:val="28"/>
          <w:lang w:eastAsia="en-US"/>
        </w:rPr>
        <w:t>акта</w:t>
      </w:r>
      <w:proofErr w:type="spellEnd"/>
      <w:r w:rsidRPr="000110E3">
        <w:rPr>
          <w:sz w:val="28"/>
          <w:szCs w:val="28"/>
          <w:lang w:eastAsia="en-US"/>
        </w:rPr>
        <w:t xml:space="preserve">, є </w:t>
      </w:r>
      <w:r w:rsidR="001A3342" w:rsidRPr="000110E3">
        <w:rPr>
          <w:sz w:val="28"/>
          <w:szCs w:val="28"/>
        </w:rPr>
        <w:t>учасники ринку небанківських фінансових послуг</w:t>
      </w:r>
      <w:r w:rsidR="008716F5" w:rsidRPr="008716F5">
        <w:rPr>
          <w:sz w:val="28"/>
          <w:szCs w:val="28"/>
        </w:rPr>
        <w:t>:</w:t>
      </w:r>
      <w:r w:rsidR="001A3342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  <w:lang w:eastAsia="en-US"/>
        </w:rPr>
        <w:t>страховики</w:t>
      </w:r>
      <w:r w:rsidR="00F642F8" w:rsidRPr="000110E3">
        <w:rPr>
          <w:sz w:val="28"/>
          <w:szCs w:val="28"/>
          <w:lang w:eastAsia="en-US"/>
        </w:rPr>
        <w:t xml:space="preserve">, </w:t>
      </w:r>
      <w:r w:rsidR="001A3342" w:rsidRPr="000110E3">
        <w:rPr>
          <w:sz w:val="28"/>
          <w:szCs w:val="28"/>
        </w:rPr>
        <w:t xml:space="preserve">кредитні спілки, </w:t>
      </w:r>
      <w:r w:rsidR="004231C6" w:rsidRPr="000110E3">
        <w:rPr>
          <w:sz w:val="28"/>
          <w:szCs w:val="28"/>
        </w:rPr>
        <w:t>фінансові компанії,</w:t>
      </w:r>
      <w:r w:rsidR="004231C6" w:rsidRPr="004231C6">
        <w:rPr>
          <w:sz w:val="28"/>
          <w:szCs w:val="28"/>
        </w:rPr>
        <w:t xml:space="preserve"> </w:t>
      </w:r>
      <w:r w:rsidR="001A3342" w:rsidRPr="000110E3">
        <w:rPr>
          <w:sz w:val="28"/>
          <w:szCs w:val="28"/>
        </w:rPr>
        <w:t>ло</w:t>
      </w:r>
      <w:r w:rsidR="005F73D0">
        <w:rPr>
          <w:sz w:val="28"/>
          <w:szCs w:val="28"/>
        </w:rPr>
        <w:t>мбарди, колекторські компанії</w:t>
      </w:r>
      <w:r w:rsidR="003018E9" w:rsidRPr="000110E3">
        <w:rPr>
          <w:sz w:val="28"/>
          <w:szCs w:val="28"/>
          <w:lang w:eastAsia="en-US"/>
        </w:rPr>
        <w:t>.</w:t>
      </w:r>
    </w:p>
    <w:p w14:paraId="3E56A760" w14:textId="3049EBD0" w:rsidR="00A44E3C" w:rsidRPr="000110E3" w:rsidRDefault="008B726B" w:rsidP="00F86980">
      <w:pPr>
        <w:pStyle w:val="21"/>
        <w:keepNext/>
        <w:tabs>
          <w:tab w:val="left" w:pos="567"/>
        </w:tabs>
        <w:spacing w:after="0" w:line="240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0110E3">
        <w:rPr>
          <w:sz w:val="28"/>
          <w:szCs w:val="28"/>
          <w:lang w:eastAsia="en-US"/>
        </w:rPr>
        <w:t>П</w:t>
      </w:r>
      <w:r w:rsidR="00386930" w:rsidRPr="000110E3">
        <w:rPr>
          <w:sz w:val="28"/>
          <w:szCs w:val="28"/>
          <w:lang w:eastAsia="en-US"/>
        </w:rPr>
        <w:t>итання</w:t>
      </w:r>
      <w:r w:rsidR="00C321A4" w:rsidRPr="000110E3">
        <w:rPr>
          <w:sz w:val="28"/>
          <w:szCs w:val="28"/>
          <w:lang w:eastAsia="en-US"/>
        </w:rPr>
        <w:t xml:space="preserve">, </w:t>
      </w:r>
      <w:r w:rsidR="008661A4">
        <w:rPr>
          <w:sz w:val="28"/>
          <w:szCs w:val="28"/>
          <w:lang w:eastAsia="en-US"/>
        </w:rPr>
        <w:t>що</w:t>
      </w:r>
      <w:r w:rsidR="008661A4" w:rsidRPr="000110E3">
        <w:rPr>
          <w:sz w:val="28"/>
          <w:szCs w:val="28"/>
          <w:lang w:eastAsia="en-US"/>
        </w:rPr>
        <w:t xml:space="preserve"> </w:t>
      </w:r>
      <w:r w:rsidR="00C321A4" w:rsidRPr="000110E3">
        <w:rPr>
          <w:sz w:val="28"/>
          <w:szCs w:val="28"/>
          <w:lang w:eastAsia="en-US"/>
        </w:rPr>
        <w:t xml:space="preserve">пропонується розв’язати шляхом державного регулювання, </w:t>
      </w:r>
      <w:r w:rsidR="00386930" w:rsidRPr="000110E3">
        <w:rPr>
          <w:sz w:val="28"/>
          <w:szCs w:val="28"/>
          <w:lang w:eastAsia="en-US"/>
        </w:rPr>
        <w:t xml:space="preserve">у разі його </w:t>
      </w:r>
      <w:r w:rsidRPr="000110E3">
        <w:rPr>
          <w:sz w:val="28"/>
          <w:szCs w:val="28"/>
          <w:lang w:eastAsia="en-US"/>
        </w:rPr>
        <w:t>не вирішення</w:t>
      </w:r>
      <w:r w:rsidR="001A3342" w:rsidRPr="000110E3">
        <w:rPr>
          <w:sz w:val="28"/>
          <w:szCs w:val="28"/>
          <w:lang w:eastAsia="en-US"/>
        </w:rPr>
        <w:t>,</w:t>
      </w:r>
      <w:r w:rsidRPr="000110E3">
        <w:rPr>
          <w:sz w:val="28"/>
          <w:szCs w:val="28"/>
          <w:lang w:eastAsia="en-US"/>
        </w:rPr>
        <w:t xml:space="preserve"> </w:t>
      </w:r>
      <w:r w:rsidR="00C321A4" w:rsidRPr="000110E3">
        <w:rPr>
          <w:sz w:val="28"/>
          <w:szCs w:val="28"/>
          <w:lang w:eastAsia="en-US"/>
        </w:rPr>
        <w:t>справляє негативний вплив на діяльність</w:t>
      </w:r>
      <w:r w:rsidR="001A3342" w:rsidRPr="000110E3">
        <w:rPr>
          <w:sz w:val="28"/>
          <w:szCs w:val="28"/>
          <w:lang w:eastAsia="en-US"/>
        </w:rPr>
        <w:t xml:space="preserve"> вищезазначених учасників</w:t>
      </w:r>
      <w:r w:rsidR="008716F5" w:rsidRPr="008716F5">
        <w:rPr>
          <w:sz w:val="28"/>
          <w:szCs w:val="28"/>
        </w:rPr>
        <w:t xml:space="preserve"> </w:t>
      </w:r>
      <w:r w:rsidR="008716F5" w:rsidRPr="000110E3">
        <w:rPr>
          <w:sz w:val="28"/>
          <w:szCs w:val="28"/>
        </w:rPr>
        <w:t>ринку небанківських фінансових послуг</w:t>
      </w:r>
      <w:r w:rsidR="00C321A4" w:rsidRPr="000110E3">
        <w:rPr>
          <w:sz w:val="28"/>
          <w:szCs w:val="28"/>
          <w:lang w:eastAsia="en-US"/>
        </w:rPr>
        <w:t>.</w:t>
      </w:r>
    </w:p>
    <w:p w14:paraId="1D5FDFED" w14:textId="77777777" w:rsidR="008B726B" w:rsidRPr="000110E3" w:rsidRDefault="008B726B" w:rsidP="00F86980">
      <w:pPr>
        <w:pStyle w:val="1"/>
        <w:tabs>
          <w:tab w:val="left" w:pos="567"/>
        </w:tabs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uk-UA" w:eastAsia="zh-CN"/>
        </w:rPr>
      </w:pPr>
    </w:p>
    <w:p w14:paraId="021E369B" w14:textId="77777777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ІІ. Визначення цілей державного регулювання </w:t>
      </w:r>
    </w:p>
    <w:p w14:paraId="5C2191ED" w14:textId="77777777" w:rsidR="00667891" w:rsidRPr="000110E3" w:rsidRDefault="002B4D8B" w:rsidP="00F86980">
      <w:pPr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Регуляторний акт</w:t>
      </w:r>
      <w:r w:rsidRPr="000110E3">
        <w:rPr>
          <w:color w:val="000000"/>
          <w:sz w:val="28"/>
          <w:szCs w:val="28"/>
        </w:rPr>
        <w:t xml:space="preserve"> розроблено з метою приведення </w:t>
      </w:r>
      <w:r w:rsidRPr="000110E3">
        <w:rPr>
          <w:sz w:val="28"/>
          <w:szCs w:val="28"/>
        </w:rPr>
        <w:t>Правил № 123 у відповідність до змін у законодавстві</w:t>
      </w:r>
      <w:r w:rsidRPr="000110E3">
        <w:rPr>
          <w:sz w:val="28"/>
          <w:szCs w:val="28"/>
          <w:shd w:val="clear" w:color="auto" w:fill="FFFFFF"/>
        </w:rPr>
        <w:t xml:space="preserve"> України, удосконалення звітності </w:t>
      </w:r>
      <w:r w:rsidRPr="000110E3">
        <w:rPr>
          <w:color w:val="000000"/>
          <w:sz w:val="28"/>
          <w:szCs w:val="28"/>
        </w:rPr>
        <w:t>від учасників ринку небанківських</w:t>
      </w:r>
      <w:r w:rsidRPr="000110E3">
        <w:rPr>
          <w:sz w:val="28"/>
          <w:szCs w:val="28"/>
        </w:rPr>
        <w:t xml:space="preserve"> фінансових послуг</w:t>
      </w:r>
      <w:r w:rsidRPr="000110E3">
        <w:rPr>
          <w:sz w:val="28"/>
          <w:szCs w:val="28"/>
          <w:shd w:val="clear" w:color="auto" w:fill="FFFFFF"/>
        </w:rPr>
        <w:t xml:space="preserve"> </w:t>
      </w:r>
      <w:r w:rsidRPr="000110E3">
        <w:rPr>
          <w:sz w:val="28"/>
          <w:szCs w:val="28"/>
        </w:rPr>
        <w:t>для забезпечення виконання Національним банком функцій з державного регулювання та нагляду у сфері ринків небанківських фінансових послуг.</w:t>
      </w:r>
    </w:p>
    <w:p w14:paraId="0EE82518" w14:textId="77777777" w:rsidR="002B4D8B" w:rsidRPr="000110E3" w:rsidRDefault="002B4D8B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 w:eastAsia="zh-CN"/>
        </w:rPr>
      </w:pPr>
    </w:p>
    <w:p w14:paraId="7AE3B4B9" w14:textId="77777777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ІІІ.</w:t>
      </w:r>
      <w:r w:rsidRPr="000110E3">
        <w:rPr>
          <w:rFonts w:ascii="Times New Roman" w:hAnsi="Times New Roman"/>
          <w:color w:val="auto"/>
          <w:sz w:val="28"/>
          <w:szCs w:val="28"/>
          <w:lang w:val="uk-UA" w:eastAsia="zh-CN"/>
        </w:rPr>
        <w:t xml:space="preserve"> </w:t>
      </w: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Визначення та оцінка всіх прийнятних альтернативних способів досягнення зазначених цілей, наведення аргументів щодо  переваг обраного способу</w:t>
      </w:r>
    </w:p>
    <w:p w14:paraId="0C992774" w14:textId="77777777" w:rsidR="00AB6629" w:rsidRPr="000110E3" w:rsidRDefault="00AB6629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Альтернативних способів досягнення встановлених цілей немає, так як </w:t>
      </w:r>
      <w:r w:rsidR="002B4D8B" w:rsidRPr="000110E3">
        <w:rPr>
          <w:sz w:val="28"/>
          <w:szCs w:val="28"/>
        </w:rPr>
        <w:t xml:space="preserve">у </w:t>
      </w:r>
      <w:r w:rsidR="0014330A" w:rsidRPr="000110E3">
        <w:rPr>
          <w:sz w:val="28"/>
          <w:szCs w:val="28"/>
        </w:rPr>
        <w:t>Правилах № 123</w:t>
      </w:r>
      <w:r w:rsidRPr="000110E3">
        <w:rPr>
          <w:sz w:val="28"/>
          <w:szCs w:val="28"/>
        </w:rPr>
        <w:t xml:space="preserve"> мають бути враховані зміни, що відбулися в законодавстві України.</w:t>
      </w:r>
    </w:p>
    <w:p w14:paraId="6A8B458F" w14:textId="17F6F877" w:rsidR="00AB6629" w:rsidRPr="000110E3" w:rsidRDefault="00AB6629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Звітність, </w:t>
      </w:r>
      <w:r w:rsidR="00B45F74">
        <w:rPr>
          <w:sz w:val="28"/>
          <w:szCs w:val="28"/>
        </w:rPr>
        <w:t xml:space="preserve">що </w:t>
      </w:r>
      <w:r w:rsidRPr="000110E3">
        <w:rPr>
          <w:sz w:val="28"/>
          <w:szCs w:val="28"/>
        </w:rPr>
        <w:t xml:space="preserve">отримує </w:t>
      </w:r>
      <w:r w:rsidR="00F06C69" w:rsidRPr="000110E3">
        <w:rPr>
          <w:sz w:val="28"/>
          <w:szCs w:val="28"/>
        </w:rPr>
        <w:t>Національни</w:t>
      </w:r>
      <w:r w:rsidR="00F06C69">
        <w:rPr>
          <w:sz w:val="28"/>
          <w:szCs w:val="28"/>
        </w:rPr>
        <w:t>й</w:t>
      </w:r>
      <w:r w:rsidR="00F06C69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</w:rPr>
        <w:t>банк</w:t>
      </w:r>
      <w:r w:rsidR="00D31099" w:rsidRPr="000110E3">
        <w:rPr>
          <w:sz w:val="28"/>
          <w:szCs w:val="28"/>
        </w:rPr>
        <w:t xml:space="preserve"> від учасників ринку небанківських фінансових послуг,</w:t>
      </w:r>
      <w:r w:rsidRPr="000110E3">
        <w:rPr>
          <w:sz w:val="28"/>
          <w:szCs w:val="28"/>
        </w:rPr>
        <w:t xml:space="preserve"> має </w:t>
      </w:r>
      <w:r w:rsidR="00D31099" w:rsidRPr="000110E3">
        <w:rPr>
          <w:sz w:val="28"/>
          <w:szCs w:val="28"/>
        </w:rPr>
        <w:t>надавати йому можливість здійснювати якісний нагляд за діяльністю цих учасників ринку, їх фінансовим станом та</w:t>
      </w:r>
      <w:r w:rsidR="00B06400" w:rsidRPr="000110E3">
        <w:rPr>
          <w:sz w:val="28"/>
          <w:szCs w:val="28"/>
        </w:rPr>
        <w:t xml:space="preserve"> </w:t>
      </w:r>
      <w:r w:rsidR="00D31099" w:rsidRPr="000110E3">
        <w:rPr>
          <w:sz w:val="28"/>
          <w:szCs w:val="28"/>
        </w:rPr>
        <w:t>за дотриманням ними вимог законодавства</w:t>
      </w:r>
      <w:r w:rsidR="00D53FB9" w:rsidRPr="000110E3">
        <w:rPr>
          <w:sz w:val="28"/>
          <w:szCs w:val="28"/>
        </w:rPr>
        <w:t xml:space="preserve"> України</w:t>
      </w:r>
      <w:r w:rsidR="00D31099" w:rsidRPr="000110E3">
        <w:rPr>
          <w:sz w:val="28"/>
          <w:szCs w:val="28"/>
        </w:rPr>
        <w:t>.</w:t>
      </w:r>
    </w:p>
    <w:p w14:paraId="7BF87688" w14:textId="77777777" w:rsidR="00A36ED2" w:rsidRPr="000110E3" w:rsidRDefault="00A36ED2" w:rsidP="00F86980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14:paraId="05E83BB7" w14:textId="77777777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ІV. Опис механізму, яки</w:t>
      </w:r>
      <w:r w:rsidR="008D5207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й пропонується застосувати для розв’язання </w:t>
      </w: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проблеми, і відповідні заходи</w:t>
      </w:r>
    </w:p>
    <w:p w14:paraId="39479C25" w14:textId="77777777" w:rsidR="00942426" w:rsidRPr="000110E3" w:rsidRDefault="00942426" w:rsidP="00942426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eastAsia="zh-CN"/>
        </w:rPr>
      </w:pPr>
      <w:r w:rsidRPr="000110E3">
        <w:rPr>
          <w:sz w:val="28"/>
          <w:szCs w:val="28"/>
        </w:rPr>
        <w:t>Регуляторний акт</w:t>
      </w:r>
      <w:r w:rsidRPr="000110E3">
        <w:rPr>
          <w:color w:val="000000"/>
          <w:sz w:val="28"/>
          <w:szCs w:val="28"/>
        </w:rPr>
        <w:t xml:space="preserve"> </w:t>
      </w:r>
      <w:r w:rsidRPr="000110E3">
        <w:rPr>
          <w:sz w:val="28"/>
          <w:szCs w:val="28"/>
        </w:rPr>
        <w:t>містить о</w:t>
      </w:r>
      <w:r w:rsidRPr="000110E3">
        <w:rPr>
          <w:sz w:val="28"/>
          <w:szCs w:val="28"/>
          <w:lang w:eastAsia="zh-CN"/>
        </w:rPr>
        <w:t xml:space="preserve">новлений перелік файлів з показниками звітності </w:t>
      </w:r>
      <w:r w:rsidRPr="000110E3">
        <w:rPr>
          <w:sz w:val="28"/>
          <w:szCs w:val="28"/>
        </w:rPr>
        <w:t>учасників ринку небанківських фінансових послуг</w:t>
      </w:r>
      <w:r w:rsidR="00B46563" w:rsidRPr="000110E3">
        <w:rPr>
          <w:sz w:val="28"/>
          <w:szCs w:val="28"/>
          <w:lang w:eastAsia="zh-CN"/>
        </w:rPr>
        <w:t>:</w:t>
      </w:r>
    </w:p>
    <w:p w14:paraId="0B3E07EB" w14:textId="37F146CB" w:rsidR="00B46563" w:rsidRPr="000110E3" w:rsidRDefault="00B46563" w:rsidP="00B4656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виключен</w:t>
      </w:r>
      <w:r w:rsidR="00C3187F"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17 файлів з показниками звітності та </w:t>
      </w:r>
      <w:r w:rsidR="00F06C69" w:rsidRPr="000110E3">
        <w:rPr>
          <w:sz w:val="28"/>
          <w:szCs w:val="28"/>
        </w:rPr>
        <w:t>запроваджен</w:t>
      </w:r>
      <w:r w:rsidR="00F06C69">
        <w:rPr>
          <w:sz w:val="28"/>
          <w:szCs w:val="28"/>
        </w:rPr>
        <w:t>о</w:t>
      </w:r>
      <w:r w:rsidR="00F06C69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</w:rPr>
        <w:t xml:space="preserve">19 нових файлів з показниками звітності, що подаються безпосередньо страховиками. </w:t>
      </w:r>
      <w:r w:rsidR="00D41F45" w:rsidRPr="00FF3DBC">
        <w:rPr>
          <w:sz w:val="28"/>
          <w:szCs w:val="28"/>
        </w:rPr>
        <w:t>Файли з показниками звітності IR6 “Дані про операції перестрахування” та IR12 “</w:t>
      </w:r>
      <w:r w:rsidR="00D41F45" w:rsidRPr="00FF3DBC">
        <w:rPr>
          <w:bCs/>
          <w:sz w:val="28"/>
          <w:szCs w:val="28"/>
        </w:rPr>
        <w:t>Дані про набуття у власність/проведення дооцінки нерухомого майна</w:t>
      </w:r>
      <w:r w:rsidR="00D41F45" w:rsidRPr="00FF3DBC">
        <w:rPr>
          <w:sz w:val="28"/>
          <w:szCs w:val="28"/>
        </w:rPr>
        <w:t xml:space="preserve">” </w:t>
      </w:r>
      <w:r w:rsidR="00F06C69">
        <w:rPr>
          <w:sz w:val="28"/>
          <w:szCs w:val="28"/>
        </w:rPr>
        <w:t xml:space="preserve">за структурою </w:t>
      </w:r>
      <w:r w:rsidR="003509D1" w:rsidRPr="00FF3DBC">
        <w:rPr>
          <w:sz w:val="28"/>
          <w:szCs w:val="28"/>
        </w:rPr>
        <w:t>залишилися без змін</w:t>
      </w:r>
      <w:r w:rsidR="003509D1">
        <w:rPr>
          <w:sz w:val="28"/>
          <w:szCs w:val="28"/>
        </w:rPr>
        <w:t xml:space="preserve">, змінився звітний період (подаватимуться за квартали, а не наростаючим підсумком </w:t>
      </w:r>
      <w:r w:rsidR="00334416">
        <w:rPr>
          <w:sz w:val="28"/>
          <w:szCs w:val="28"/>
        </w:rPr>
        <w:t>і</w:t>
      </w:r>
      <w:r w:rsidR="003509D1">
        <w:rPr>
          <w:sz w:val="28"/>
          <w:szCs w:val="28"/>
        </w:rPr>
        <w:t>з початку року)</w:t>
      </w:r>
      <w:r w:rsidR="003509D1" w:rsidRPr="00FF3DBC">
        <w:rPr>
          <w:sz w:val="28"/>
          <w:szCs w:val="28"/>
        </w:rPr>
        <w:t>.</w:t>
      </w:r>
      <w:r w:rsidR="00D41F45" w:rsidRPr="00D41F45">
        <w:rPr>
          <w:sz w:val="28"/>
          <w:szCs w:val="28"/>
          <w:lang w:val="ru-RU"/>
        </w:rPr>
        <w:t xml:space="preserve"> </w:t>
      </w:r>
      <w:r w:rsidRPr="000110E3">
        <w:rPr>
          <w:sz w:val="28"/>
          <w:szCs w:val="28"/>
        </w:rPr>
        <w:t xml:space="preserve">Регуляторним актом скасовано для страховиків вимоги щодо подання файлів </w:t>
      </w:r>
      <w:r w:rsidRPr="000110E3">
        <w:rPr>
          <w:sz w:val="28"/>
          <w:szCs w:val="28"/>
          <w:lang w:val="en-US"/>
        </w:rPr>
        <w:t>FR</w:t>
      </w:r>
      <w:r w:rsidRPr="000110E3">
        <w:rPr>
          <w:sz w:val="28"/>
          <w:szCs w:val="28"/>
        </w:rPr>
        <w:t>0 “Дані фінансової звітності”</w:t>
      </w:r>
      <w:r w:rsidR="00EE6085">
        <w:rPr>
          <w:sz w:val="28"/>
          <w:szCs w:val="28"/>
        </w:rPr>
        <w:t xml:space="preserve"> (далі – </w:t>
      </w:r>
      <w:r w:rsidR="00EE6085">
        <w:rPr>
          <w:sz w:val="28"/>
          <w:szCs w:val="28"/>
          <w:lang w:val="en-US"/>
        </w:rPr>
        <w:t>FR</w:t>
      </w:r>
      <w:r w:rsidR="00EE6085" w:rsidRPr="00EE6085">
        <w:rPr>
          <w:sz w:val="28"/>
          <w:szCs w:val="28"/>
          <w:lang w:val="ru-RU"/>
        </w:rPr>
        <w:t>0</w:t>
      </w:r>
      <w:r w:rsidR="00EE6085">
        <w:rPr>
          <w:sz w:val="28"/>
          <w:szCs w:val="28"/>
        </w:rPr>
        <w:t>)</w:t>
      </w:r>
      <w:r w:rsidRPr="000110E3">
        <w:rPr>
          <w:sz w:val="28"/>
          <w:szCs w:val="28"/>
        </w:rPr>
        <w:t xml:space="preserve">, </w:t>
      </w:r>
      <w:r w:rsidRPr="000110E3">
        <w:rPr>
          <w:sz w:val="28"/>
          <w:szCs w:val="28"/>
          <w:lang w:val="en-US"/>
        </w:rPr>
        <w:t>FR</w:t>
      </w:r>
      <w:r w:rsidRPr="000110E3">
        <w:rPr>
          <w:sz w:val="28"/>
          <w:szCs w:val="28"/>
        </w:rPr>
        <w:t xml:space="preserve">1 “Дані консолідованої фінансової звітності” </w:t>
      </w:r>
      <w:r w:rsidR="00EE6085" w:rsidRPr="00EE6085">
        <w:rPr>
          <w:sz w:val="28"/>
          <w:szCs w:val="28"/>
          <w:lang w:val="ru-RU"/>
        </w:rPr>
        <w:t>(</w:t>
      </w:r>
      <w:r w:rsidR="00EE6085">
        <w:rPr>
          <w:sz w:val="28"/>
          <w:szCs w:val="28"/>
        </w:rPr>
        <w:t>далі</w:t>
      </w:r>
      <w:r w:rsidR="00EE6085" w:rsidRPr="00EE6085">
        <w:rPr>
          <w:sz w:val="28"/>
          <w:szCs w:val="28"/>
          <w:lang w:val="ru-RU"/>
        </w:rPr>
        <w:t xml:space="preserve"> – </w:t>
      </w:r>
      <w:r w:rsidR="00EE6085">
        <w:rPr>
          <w:sz w:val="28"/>
          <w:szCs w:val="28"/>
          <w:lang w:val="en-US"/>
        </w:rPr>
        <w:t>FR</w:t>
      </w:r>
      <w:r w:rsidR="00EE6085" w:rsidRPr="00EE6085">
        <w:rPr>
          <w:sz w:val="28"/>
          <w:szCs w:val="28"/>
          <w:lang w:val="ru-RU"/>
        </w:rPr>
        <w:t xml:space="preserve">1) </w:t>
      </w:r>
      <w:r w:rsidRPr="000110E3">
        <w:rPr>
          <w:sz w:val="28"/>
          <w:szCs w:val="28"/>
        </w:rPr>
        <w:t xml:space="preserve">та подання </w:t>
      </w:r>
      <w:proofErr w:type="spellStart"/>
      <w:r w:rsidRPr="000110E3">
        <w:rPr>
          <w:sz w:val="28"/>
          <w:szCs w:val="28"/>
        </w:rPr>
        <w:t>актуарного</w:t>
      </w:r>
      <w:proofErr w:type="spellEnd"/>
      <w:r w:rsidRPr="000110E3">
        <w:rPr>
          <w:sz w:val="28"/>
          <w:szCs w:val="28"/>
        </w:rPr>
        <w:t xml:space="preserve"> звіту. Водночас оновлено пояснювальну записку до звітності страховика;</w:t>
      </w:r>
    </w:p>
    <w:p w14:paraId="65C278FE" w14:textId="3E9F87F4" w:rsidR="003667D2" w:rsidRPr="000110E3" w:rsidRDefault="00C3187F" w:rsidP="003667D2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lastRenderedPageBreak/>
        <w:t>виключен</w:t>
      </w:r>
      <w:r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</w:t>
      </w:r>
      <w:r w:rsidR="003667D2" w:rsidRPr="000110E3">
        <w:rPr>
          <w:sz w:val="28"/>
          <w:szCs w:val="28"/>
        </w:rPr>
        <w:t xml:space="preserve">10 файлів з показниками звітності та </w:t>
      </w:r>
      <w:r w:rsidR="00334416" w:rsidRPr="000110E3">
        <w:rPr>
          <w:sz w:val="28"/>
          <w:szCs w:val="28"/>
        </w:rPr>
        <w:t>запроваджен</w:t>
      </w:r>
      <w:r w:rsidR="00334416">
        <w:rPr>
          <w:sz w:val="28"/>
          <w:szCs w:val="28"/>
        </w:rPr>
        <w:t>о</w:t>
      </w:r>
      <w:r w:rsidR="00334416" w:rsidRPr="000110E3">
        <w:rPr>
          <w:sz w:val="28"/>
          <w:szCs w:val="28"/>
        </w:rPr>
        <w:t xml:space="preserve"> </w:t>
      </w:r>
      <w:r w:rsidR="003667D2" w:rsidRPr="000110E3">
        <w:rPr>
          <w:sz w:val="28"/>
          <w:szCs w:val="28"/>
        </w:rPr>
        <w:t xml:space="preserve">9 нових файлів з показниками звітності, що подаються безпосередньо кредитними спілками. Регуляторним актом скасовано подання пояснювальної записки до звітності кредитної спілки та вимоги щодо подання </w:t>
      </w:r>
      <w:proofErr w:type="spellStart"/>
      <w:r w:rsidR="00334416" w:rsidRPr="000110E3">
        <w:rPr>
          <w:sz w:val="28"/>
          <w:szCs w:val="28"/>
        </w:rPr>
        <w:t>файл</w:t>
      </w:r>
      <w:r w:rsidR="00334416">
        <w:rPr>
          <w:sz w:val="28"/>
          <w:szCs w:val="28"/>
        </w:rPr>
        <w:t>а</w:t>
      </w:r>
      <w:proofErr w:type="spellEnd"/>
      <w:r w:rsidR="00334416" w:rsidRPr="000110E3">
        <w:rPr>
          <w:sz w:val="28"/>
          <w:szCs w:val="28"/>
        </w:rPr>
        <w:t xml:space="preserve"> </w:t>
      </w:r>
      <w:r w:rsidR="003667D2" w:rsidRPr="000110E3">
        <w:rPr>
          <w:sz w:val="28"/>
          <w:szCs w:val="28"/>
          <w:lang w:val="en-US"/>
        </w:rPr>
        <w:t>FR</w:t>
      </w:r>
      <w:r w:rsidR="003667D2" w:rsidRPr="000110E3">
        <w:rPr>
          <w:sz w:val="28"/>
          <w:szCs w:val="28"/>
        </w:rPr>
        <w:t>0;</w:t>
      </w:r>
    </w:p>
    <w:p w14:paraId="70A89212" w14:textId="7C1CA877" w:rsidR="00B46563" w:rsidRPr="000110E3" w:rsidRDefault="00C3187F" w:rsidP="00B4656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виключен</w:t>
      </w:r>
      <w:r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</w:t>
      </w:r>
      <w:r w:rsidR="00B46563" w:rsidRPr="000110E3">
        <w:rPr>
          <w:sz w:val="28"/>
          <w:szCs w:val="28"/>
        </w:rPr>
        <w:t xml:space="preserve">11 файлів з показниками звітності та </w:t>
      </w:r>
      <w:r w:rsidRPr="000110E3">
        <w:rPr>
          <w:sz w:val="28"/>
          <w:szCs w:val="28"/>
        </w:rPr>
        <w:t>запроваджен</w:t>
      </w:r>
      <w:r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</w:t>
      </w:r>
      <w:r w:rsidR="00B46563" w:rsidRPr="000110E3">
        <w:rPr>
          <w:sz w:val="28"/>
          <w:szCs w:val="28"/>
        </w:rPr>
        <w:t>14 нових файлів з показниками звітності, що подаються фінансовими компаніями;</w:t>
      </w:r>
    </w:p>
    <w:p w14:paraId="0DF8A8AA" w14:textId="40AF2FA3" w:rsidR="00B46563" w:rsidRDefault="00C3187F" w:rsidP="00B4656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виключен</w:t>
      </w:r>
      <w:r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</w:t>
      </w:r>
      <w:r w:rsidR="00B46563" w:rsidRPr="000110E3">
        <w:rPr>
          <w:sz w:val="28"/>
          <w:szCs w:val="28"/>
        </w:rPr>
        <w:t xml:space="preserve">2 </w:t>
      </w:r>
      <w:r w:rsidRPr="000110E3">
        <w:rPr>
          <w:sz w:val="28"/>
          <w:szCs w:val="28"/>
        </w:rPr>
        <w:t>файл</w:t>
      </w:r>
      <w:r>
        <w:rPr>
          <w:sz w:val="28"/>
          <w:szCs w:val="28"/>
        </w:rPr>
        <w:t>и</w:t>
      </w:r>
      <w:r w:rsidRPr="000110E3">
        <w:rPr>
          <w:sz w:val="28"/>
          <w:szCs w:val="28"/>
        </w:rPr>
        <w:t xml:space="preserve"> </w:t>
      </w:r>
      <w:r w:rsidR="00B46563" w:rsidRPr="000110E3">
        <w:rPr>
          <w:sz w:val="28"/>
          <w:szCs w:val="28"/>
        </w:rPr>
        <w:t xml:space="preserve">з показниками звітності та </w:t>
      </w:r>
      <w:r w:rsidRPr="000110E3">
        <w:rPr>
          <w:sz w:val="28"/>
          <w:szCs w:val="28"/>
        </w:rPr>
        <w:t>запроваджен</w:t>
      </w:r>
      <w:r>
        <w:rPr>
          <w:sz w:val="28"/>
          <w:szCs w:val="28"/>
        </w:rPr>
        <w:t>о</w:t>
      </w:r>
      <w:r w:rsidRPr="000110E3">
        <w:rPr>
          <w:sz w:val="28"/>
          <w:szCs w:val="28"/>
        </w:rPr>
        <w:t xml:space="preserve"> </w:t>
      </w:r>
      <w:r w:rsidR="00B46563" w:rsidRPr="000110E3">
        <w:rPr>
          <w:sz w:val="28"/>
          <w:szCs w:val="28"/>
        </w:rPr>
        <w:t xml:space="preserve">9 нових файлів з показниками звітності, що подаються ломбардами. Перелік респондентів, які подають файл </w:t>
      </w:r>
      <w:r w:rsidR="00B46563" w:rsidRPr="000110E3">
        <w:rPr>
          <w:sz w:val="28"/>
          <w:szCs w:val="28"/>
          <w:lang w:val="en-US"/>
        </w:rPr>
        <w:t>FR</w:t>
      </w:r>
      <w:r w:rsidR="00B46563" w:rsidRPr="000110E3">
        <w:rPr>
          <w:sz w:val="28"/>
          <w:szCs w:val="28"/>
        </w:rPr>
        <w:t>1 доповнено ломбардами.</w:t>
      </w:r>
    </w:p>
    <w:p w14:paraId="176B396F" w14:textId="0C8382E5" w:rsidR="00EA14E4" w:rsidRPr="00BD4226" w:rsidRDefault="00EA14E4" w:rsidP="00EA14E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Ураховуючи, що </w:t>
      </w:r>
      <w:r w:rsidRPr="00336EF7">
        <w:rPr>
          <w:sz w:val="28"/>
          <w:szCs w:val="28"/>
        </w:rPr>
        <w:t>лізингодавці</w:t>
      </w:r>
      <w:r>
        <w:rPr>
          <w:sz w:val="28"/>
          <w:szCs w:val="28"/>
        </w:rPr>
        <w:t xml:space="preserve"> згідно з </w:t>
      </w:r>
      <w:r w:rsidRPr="00FF3DB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F3DBC">
        <w:rPr>
          <w:sz w:val="28"/>
          <w:szCs w:val="28"/>
        </w:rPr>
        <w:t xml:space="preserve"> України “Про фінансові послуги та фінансові компанії”</w:t>
      </w:r>
      <w:r>
        <w:rPr>
          <w:sz w:val="28"/>
          <w:szCs w:val="28"/>
        </w:rPr>
        <w:t xml:space="preserve"> набувають статусу фінансової компанії,</w:t>
      </w:r>
      <w:r w:rsidRPr="00336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вони мають подавати</w:t>
      </w:r>
      <w:r w:rsidRPr="00336EF7">
        <w:rPr>
          <w:color w:val="000000"/>
          <w:sz w:val="28"/>
          <w:szCs w:val="28"/>
        </w:rPr>
        <w:t xml:space="preserve"> до Національного банку файли з показниками звітності та електронні документи після 01</w:t>
      </w:r>
      <w:r w:rsidR="00B45F74">
        <w:rPr>
          <w:color w:val="000000"/>
          <w:sz w:val="28"/>
          <w:szCs w:val="28"/>
        </w:rPr>
        <w:t>.01.2024</w:t>
      </w:r>
      <w:r w:rsidRPr="00336EF7">
        <w:rPr>
          <w:color w:val="000000"/>
          <w:sz w:val="28"/>
          <w:szCs w:val="28"/>
        </w:rPr>
        <w:t xml:space="preserve"> відповідно до вимог, установлених до фінансових компаній</w:t>
      </w:r>
      <w:r>
        <w:rPr>
          <w:color w:val="000000"/>
          <w:sz w:val="28"/>
          <w:szCs w:val="28"/>
        </w:rPr>
        <w:t>.</w:t>
      </w:r>
      <w:r w:rsidRPr="00336EF7">
        <w:rPr>
          <w:color w:val="000000"/>
          <w:sz w:val="28"/>
          <w:szCs w:val="28"/>
        </w:rPr>
        <w:t xml:space="preserve"> </w:t>
      </w:r>
    </w:p>
    <w:p w14:paraId="0787093B" w14:textId="77777777" w:rsidR="00B46563" w:rsidRPr="000110E3" w:rsidRDefault="00B46563" w:rsidP="00B46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Перелік респондентів, які подають файли OS1 “Дані про остаточних ключових учасників та власників істотної участі </w:t>
      </w:r>
      <w:r w:rsidR="00D73B1B">
        <w:rPr>
          <w:sz w:val="28"/>
          <w:szCs w:val="28"/>
        </w:rPr>
        <w:t xml:space="preserve">в </w:t>
      </w:r>
      <w:r w:rsidRPr="000110E3">
        <w:rPr>
          <w:sz w:val="28"/>
          <w:szCs w:val="28"/>
        </w:rPr>
        <w:t>учасник</w:t>
      </w:r>
      <w:r w:rsidR="00D73B1B">
        <w:rPr>
          <w:sz w:val="28"/>
          <w:szCs w:val="28"/>
        </w:rPr>
        <w:t>у</w:t>
      </w:r>
      <w:r w:rsidRPr="000110E3">
        <w:rPr>
          <w:sz w:val="28"/>
          <w:szCs w:val="28"/>
        </w:rPr>
        <w:t xml:space="preserve"> ринку небанківських фінансових послуг”</w:t>
      </w:r>
      <w:r w:rsidR="00EE6085">
        <w:rPr>
          <w:sz w:val="28"/>
          <w:szCs w:val="28"/>
        </w:rPr>
        <w:t xml:space="preserve"> (далі – </w:t>
      </w:r>
      <w:r w:rsidR="00EE6085" w:rsidRPr="000110E3">
        <w:rPr>
          <w:sz w:val="28"/>
          <w:szCs w:val="28"/>
        </w:rPr>
        <w:t>OS1</w:t>
      </w:r>
      <w:r w:rsidR="00EE6085">
        <w:rPr>
          <w:sz w:val="28"/>
          <w:szCs w:val="28"/>
        </w:rPr>
        <w:t>)</w:t>
      </w:r>
      <w:r w:rsidRPr="000110E3">
        <w:rPr>
          <w:sz w:val="28"/>
          <w:szCs w:val="28"/>
        </w:rPr>
        <w:t xml:space="preserve">, OS2 “Дані реєстраційних документів фізичних осіб – остаточних ключових учасників та фізичних осіб – власників істотної участі </w:t>
      </w:r>
      <w:r w:rsidR="00D73B1B">
        <w:rPr>
          <w:sz w:val="28"/>
          <w:szCs w:val="28"/>
        </w:rPr>
        <w:t xml:space="preserve">в </w:t>
      </w:r>
      <w:r w:rsidRPr="000110E3">
        <w:rPr>
          <w:sz w:val="28"/>
          <w:szCs w:val="28"/>
        </w:rPr>
        <w:t>учасник</w:t>
      </w:r>
      <w:r w:rsidR="00D73B1B">
        <w:rPr>
          <w:sz w:val="28"/>
          <w:szCs w:val="28"/>
        </w:rPr>
        <w:t>у</w:t>
      </w:r>
      <w:r w:rsidRPr="000110E3">
        <w:rPr>
          <w:sz w:val="28"/>
          <w:szCs w:val="28"/>
        </w:rPr>
        <w:t xml:space="preserve"> ринку небанківських фінансових послуг”</w:t>
      </w:r>
      <w:r w:rsidR="00EE6085">
        <w:rPr>
          <w:sz w:val="28"/>
          <w:szCs w:val="28"/>
        </w:rPr>
        <w:t xml:space="preserve"> (далі – </w:t>
      </w:r>
      <w:r w:rsidR="00EE6085" w:rsidRPr="000110E3">
        <w:rPr>
          <w:sz w:val="28"/>
          <w:szCs w:val="28"/>
        </w:rPr>
        <w:t>OS2</w:t>
      </w:r>
      <w:r w:rsidR="00EE6085">
        <w:rPr>
          <w:sz w:val="28"/>
          <w:szCs w:val="28"/>
        </w:rPr>
        <w:t>)</w:t>
      </w:r>
      <w:r w:rsidRPr="000110E3">
        <w:rPr>
          <w:sz w:val="28"/>
          <w:szCs w:val="28"/>
        </w:rPr>
        <w:t xml:space="preserve">, OS3 “Дані про керівника та виконавця відомостей щодо остаточних ключових учасників та власників істотної участі </w:t>
      </w:r>
      <w:r w:rsidR="00D73B1B">
        <w:rPr>
          <w:sz w:val="28"/>
          <w:szCs w:val="28"/>
        </w:rPr>
        <w:t xml:space="preserve">в </w:t>
      </w:r>
      <w:r w:rsidRPr="000110E3">
        <w:rPr>
          <w:sz w:val="28"/>
          <w:szCs w:val="28"/>
        </w:rPr>
        <w:t>учасник</w:t>
      </w:r>
      <w:r w:rsidR="00D73B1B">
        <w:rPr>
          <w:sz w:val="28"/>
          <w:szCs w:val="28"/>
        </w:rPr>
        <w:t>у</w:t>
      </w:r>
      <w:r w:rsidRPr="000110E3">
        <w:rPr>
          <w:sz w:val="28"/>
          <w:szCs w:val="28"/>
        </w:rPr>
        <w:t xml:space="preserve"> ринку небанківських фінансових послуг” </w:t>
      </w:r>
      <w:r w:rsidR="00EE6085">
        <w:rPr>
          <w:sz w:val="28"/>
          <w:szCs w:val="28"/>
        </w:rPr>
        <w:t xml:space="preserve">(далі – </w:t>
      </w:r>
      <w:r w:rsidR="00EE6085" w:rsidRPr="000110E3">
        <w:rPr>
          <w:sz w:val="28"/>
          <w:szCs w:val="28"/>
        </w:rPr>
        <w:t>OS3</w:t>
      </w:r>
      <w:r w:rsidR="00EE6085">
        <w:rPr>
          <w:sz w:val="28"/>
          <w:szCs w:val="28"/>
        </w:rPr>
        <w:t xml:space="preserve">) </w:t>
      </w:r>
      <w:r w:rsidRPr="000110E3">
        <w:rPr>
          <w:sz w:val="28"/>
          <w:szCs w:val="28"/>
        </w:rPr>
        <w:t>доповнено колекторськими компаніями.</w:t>
      </w:r>
    </w:p>
    <w:p w14:paraId="6279CEDC" w14:textId="0EFB6208" w:rsidR="00B46563" w:rsidRPr="000110E3" w:rsidRDefault="00B46563" w:rsidP="00B46563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Регуляторним актом скасовано подання 3 </w:t>
      </w:r>
      <w:r w:rsidR="00B765E5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</w:rPr>
        <w:t xml:space="preserve">файлів з показниками звітності, що подавалися безпосередньо страховими та/або </w:t>
      </w:r>
      <w:proofErr w:type="spellStart"/>
      <w:r w:rsidRPr="000110E3">
        <w:rPr>
          <w:sz w:val="28"/>
          <w:szCs w:val="28"/>
        </w:rPr>
        <w:t>перестраховими</w:t>
      </w:r>
      <w:proofErr w:type="spellEnd"/>
      <w:r w:rsidRPr="000110E3">
        <w:rPr>
          <w:sz w:val="28"/>
          <w:szCs w:val="28"/>
        </w:rPr>
        <w:t xml:space="preserve"> брокерами, а також вимоги щодо подання ними </w:t>
      </w:r>
      <w:proofErr w:type="spellStart"/>
      <w:r w:rsidR="00C3187F" w:rsidRPr="000110E3">
        <w:rPr>
          <w:sz w:val="28"/>
          <w:szCs w:val="28"/>
        </w:rPr>
        <w:t>файл</w:t>
      </w:r>
      <w:r w:rsidR="00C3187F">
        <w:rPr>
          <w:sz w:val="28"/>
          <w:szCs w:val="28"/>
        </w:rPr>
        <w:t>а</w:t>
      </w:r>
      <w:proofErr w:type="spellEnd"/>
      <w:r w:rsidR="00C3187F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  <w:lang w:val="en-US"/>
        </w:rPr>
        <w:t>FR</w:t>
      </w:r>
      <w:r w:rsidRPr="000110E3">
        <w:rPr>
          <w:sz w:val="28"/>
          <w:szCs w:val="28"/>
        </w:rPr>
        <w:t xml:space="preserve">0, пояснювальної записки до звітності страхового та/або </w:t>
      </w:r>
      <w:proofErr w:type="spellStart"/>
      <w:r w:rsidRPr="000110E3">
        <w:rPr>
          <w:sz w:val="28"/>
          <w:szCs w:val="28"/>
        </w:rPr>
        <w:t>перестрахового</w:t>
      </w:r>
      <w:proofErr w:type="spellEnd"/>
      <w:r w:rsidRPr="000110E3">
        <w:rPr>
          <w:sz w:val="28"/>
          <w:szCs w:val="28"/>
        </w:rPr>
        <w:t xml:space="preserve"> брокера та пояснювальної записки до звітності страхового брокера – фізичної особи – суб’єкта підприємницької діяльності.</w:t>
      </w:r>
    </w:p>
    <w:p w14:paraId="7601B120" w14:textId="77777777" w:rsidR="00CB3A4C" w:rsidRPr="00C222CF" w:rsidRDefault="00CB3A4C" w:rsidP="00CB3A4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222CF">
        <w:rPr>
          <w:sz w:val="28"/>
          <w:szCs w:val="28"/>
        </w:rPr>
        <w:t xml:space="preserve">Також, ураховуючи потребу для учасників ринку небанківських фінансових послуг  у часі для налаштування програмного забезпечення під нові вимоги до звітності, </w:t>
      </w:r>
      <w:r w:rsidR="0067570E">
        <w:rPr>
          <w:sz w:val="28"/>
          <w:szCs w:val="28"/>
        </w:rPr>
        <w:t>регуляторним актом</w:t>
      </w:r>
      <w:r w:rsidRPr="00C222CF">
        <w:rPr>
          <w:sz w:val="28"/>
          <w:szCs w:val="28"/>
        </w:rPr>
        <w:t xml:space="preserve"> передбачено незастосування заходів впливу:</w:t>
      </w:r>
    </w:p>
    <w:p w14:paraId="39F50559" w14:textId="0304CEFF" w:rsidR="00CB3A4C" w:rsidRPr="00C222CF" w:rsidRDefault="00CB3A4C" w:rsidP="00CB3A4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222CF">
        <w:rPr>
          <w:sz w:val="28"/>
          <w:szCs w:val="28"/>
        </w:rPr>
        <w:t xml:space="preserve">до страховиків, фінансових компаній, лізингодавців, ломбардів за несвоєчасне подання файлів з показниками звітності, електронних документів та/або допущені помилки </w:t>
      </w:r>
      <w:r w:rsidR="00C3187F" w:rsidRPr="00C222CF">
        <w:rPr>
          <w:sz w:val="28"/>
          <w:szCs w:val="28"/>
        </w:rPr>
        <w:t>п</w:t>
      </w:r>
      <w:r w:rsidR="00C3187F">
        <w:rPr>
          <w:sz w:val="28"/>
          <w:szCs w:val="28"/>
        </w:rPr>
        <w:t>ід час</w:t>
      </w:r>
      <w:r w:rsidR="00C3187F" w:rsidRPr="00C222CF">
        <w:rPr>
          <w:sz w:val="28"/>
          <w:szCs w:val="28"/>
        </w:rPr>
        <w:t xml:space="preserve"> складанн</w:t>
      </w:r>
      <w:r w:rsidR="00C3187F">
        <w:rPr>
          <w:sz w:val="28"/>
          <w:szCs w:val="28"/>
        </w:rPr>
        <w:t>я</w:t>
      </w:r>
      <w:r w:rsidR="00C3187F" w:rsidRPr="00C222CF">
        <w:rPr>
          <w:sz w:val="28"/>
          <w:szCs w:val="28"/>
        </w:rPr>
        <w:t xml:space="preserve"> </w:t>
      </w:r>
      <w:r w:rsidRPr="00C222CF">
        <w:rPr>
          <w:sz w:val="28"/>
          <w:szCs w:val="28"/>
        </w:rPr>
        <w:t xml:space="preserve">звітності за </w:t>
      </w:r>
      <w:r w:rsidRPr="00C222CF">
        <w:rPr>
          <w:sz w:val="28"/>
          <w:szCs w:val="28"/>
          <w:lang w:val="en-US"/>
        </w:rPr>
        <w:t>I</w:t>
      </w:r>
      <w:r w:rsidRPr="00C222CF">
        <w:rPr>
          <w:sz w:val="28"/>
          <w:szCs w:val="28"/>
        </w:rPr>
        <w:t xml:space="preserve"> квартал 2024 року; </w:t>
      </w:r>
    </w:p>
    <w:p w14:paraId="07DAF064" w14:textId="25FD232C" w:rsidR="00CB3A4C" w:rsidRPr="00C222CF" w:rsidRDefault="00CB3A4C" w:rsidP="00CB3A4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C222CF">
        <w:rPr>
          <w:sz w:val="28"/>
          <w:szCs w:val="28"/>
        </w:rPr>
        <w:t xml:space="preserve">до кредитних спілок за несвоєчасне подання файлів </w:t>
      </w:r>
      <w:r w:rsidR="00CB5F47">
        <w:rPr>
          <w:sz w:val="28"/>
          <w:szCs w:val="28"/>
        </w:rPr>
        <w:t>і</w:t>
      </w:r>
      <w:r w:rsidRPr="00C222CF">
        <w:rPr>
          <w:sz w:val="28"/>
          <w:szCs w:val="28"/>
        </w:rPr>
        <w:t xml:space="preserve">з показниками звітності та/або допущені помилки </w:t>
      </w:r>
      <w:r w:rsidR="00C3187F" w:rsidRPr="00C222CF">
        <w:rPr>
          <w:sz w:val="28"/>
          <w:szCs w:val="28"/>
        </w:rPr>
        <w:t>п</w:t>
      </w:r>
      <w:r w:rsidR="00C3187F">
        <w:rPr>
          <w:sz w:val="28"/>
          <w:szCs w:val="28"/>
        </w:rPr>
        <w:t>ід час</w:t>
      </w:r>
      <w:r w:rsidR="00C3187F" w:rsidRPr="00C222CF">
        <w:rPr>
          <w:sz w:val="28"/>
          <w:szCs w:val="28"/>
        </w:rPr>
        <w:t xml:space="preserve"> складанн</w:t>
      </w:r>
      <w:r w:rsidR="00C3187F">
        <w:rPr>
          <w:sz w:val="28"/>
          <w:szCs w:val="28"/>
        </w:rPr>
        <w:t>я</w:t>
      </w:r>
      <w:r w:rsidR="00C3187F" w:rsidRPr="00C222CF">
        <w:rPr>
          <w:sz w:val="28"/>
          <w:szCs w:val="28"/>
        </w:rPr>
        <w:t xml:space="preserve"> </w:t>
      </w:r>
      <w:r w:rsidRPr="00C222CF">
        <w:rPr>
          <w:sz w:val="28"/>
          <w:szCs w:val="28"/>
        </w:rPr>
        <w:t>звітності зі звітною датою 01</w:t>
      </w:r>
      <w:r w:rsidR="001F2C56" w:rsidRPr="00C222CF">
        <w:rPr>
          <w:sz w:val="28"/>
          <w:szCs w:val="28"/>
        </w:rPr>
        <w:t> </w:t>
      </w:r>
      <w:r w:rsidRPr="00C222CF">
        <w:rPr>
          <w:sz w:val="28"/>
          <w:szCs w:val="28"/>
        </w:rPr>
        <w:t xml:space="preserve">лютого 2024 року, 01 березня 2024 року, 01 квітня 2024 року, 01 травня 2024 року, </w:t>
      </w:r>
      <w:r w:rsidR="00CB5F47">
        <w:rPr>
          <w:sz w:val="28"/>
          <w:szCs w:val="28"/>
        </w:rPr>
        <w:br/>
      </w:r>
      <w:r w:rsidRPr="00C222CF">
        <w:rPr>
          <w:sz w:val="28"/>
          <w:szCs w:val="28"/>
        </w:rPr>
        <w:t xml:space="preserve">01 червня 2024 </w:t>
      </w:r>
      <w:r w:rsidR="007269ED">
        <w:rPr>
          <w:sz w:val="28"/>
          <w:szCs w:val="28"/>
        </w:rPr>
        <w:t>року.</w:t>
      </w:r>
    </w:p>
    <w:p w14:paraId="7544E39F" w14:textId="61175ED9" w:rsidR="007269ED" w:rsidRDefault="007269ED" w:rsidP="007269ED">
      <w:pPr>
        <w:ind w:firstLine="567"/>
        <w:jc w:val="both"/>
        <w:rPr>
          <w:sz w:val="28"/>
          <w:szCs w:val="28"/>
        </w:rPr>
      </w:pPr>
      <w:r w:rsidRPr="007269ED">
        <w:rPr>
          <w:sz w:val="28"/>
          <w:szCs w:val="28"/>
        </w:rPr>
        <w:t xml:space="preserve">Національний банк не застосовує </w:t>
      </w:r>
      <w:r w:rsidR="00CB5F47" w:rsidRPr="007269ED">
        <w:rPr>
          <w:sz w:val="28"/>
          <w:szCs w:val="28"/>
        </w:rPr>
        <w:t>заход</w:t>
      </w:r>
      <w:r w:rsidR="00CB5F47">
        <w:rPr>
          <w:sz w:val="28"/>
          <w:szCs w:val="28"/>
        </w:rPr>
        <w:t>ів</w:t>
      </w:r>
      <w:r w:rsidR="00CB5F47" w:rsidRPr="007269ED">
        <w:rPr>
          <w:sz w:val="28"/>
          <w:szCs w:val="28"/>
        </w:rPr>
        <w:t xml:space="preserve"> </w:t>
      </w:r>
      <w:r w:rsidRPr="007269ED">
        <w:rPr>
          <w:sz w:val="28"/>
          <w:szCs w:val="28"/>
        </w:rPr>
        <w:t>впливу за умови, якщо файли з показниками звітності, електронні документи подані до Національного банку в повному обсязі до 25 липня 2024 року.</w:t>
      </w:r>
    </w:p>
    <w:p w14:paraId="6EDD4CE9" w14:textId="421727FD" w:rsidR="00CB3A4C" w:rsidRPr="00C222CF" w:rsidRDefault="00CB3A4C" w:rsidP="007269ED">
      <w:pPr>
        <w:ind w:firstLine="567"/>
        <w:jc w:val="both"/>
        <w:rPr>
          <w:sz w:val="28"/>
          <w:szCs w:val="28"/>
        </w:rPr>
      </w:pPr>
      <w:r w:rsidRPr="00C222CF">
        <w:rPr>
          <w:sz w:val="28"/>
          <w:szCs w:val="28"/>
        </w:rPr>
        <w:lastRenderedPageBreak/>
        <w:t xml:space="preserve">Вимоги щодо незастосування заходів впливу не поширюються на файли </w:t>
      </w:r>
      <w:r w:rsidRPr="00C222CF">
        <w:rPr>
          <w:sz w:val="28"/>
          <w:szCs w:val="28"/>
          <w:lang w:val="en-US"/>
        </w:rPr>
        <w:t>FR</w:t>
      </w:r>
      <w:r w:rsidRPr="00C222CF">
        <w:rPr>
          <w:sz w:val="28"/>
          <w:szCs w:val="28"/>
        </w:rPr>
        <w:t xml:space="preserve">0, </w:t>
      </w:r>
      <w:r w:rsidRPr="00C222CF">
        <w:rPr>
          <w:sz w:val="28"/>
          <w:szCs w:val="28"/>
          <w:lang w:val="en-US"/>
        </w:rPr>
        <w:t>FR</w:t>
      </w:r>
      <w:r w:rsidRPr="00C222CF">
        <w:rPr>
          <w:sz w:val="28"/>
          <w:szCs w:val="28"/>
        </w:rPr>
        <w:t>1</w:t>
      </w:r>
      <w:r w:rsidRPr="00C222CF">
        <w:rPr>
          <w:sz w:val="28"/>
          <w:szCs w:val="28"/>
          <w:shd w:val="clear" w:color="auto" w:fill="FFFFFF"/>
        </w:rPr>
        <w:t xml:space="preserve">, </w:t>
      </w:r>
      <w:r w:rsidRPr="00C222CF">
        <w:rPr>
          <w:sz w:val="28"/>
          <w:szCs w:val="28"/>
          <w:lang w:val="en-US"/>
        </w:rPr>
        <w:t>OS</w:t>
      </w:r>
      <w:r w:rsidRPr="00C222CF">
        <w:rPr>
          <w:sz w:val="28"/>
          <w:szCs w:val="28"/>
        </w:rPr>
        <w:t>1,</w:t>
      </w:r>
      <w:r w:rsidRPr="00C222CF">
        <w:rPr>
          <w:sz w:val="28"/>
          <w:szCs w:val="28"/>
          <w:shd w:val="clear" w:color="auto" w:fill="FFFFFF"/>
        </w:rPr>
        <w:t xml:space="preserve"> </w:t>
      </w:r>
      <w:r w:rsidRPr="00C222CF">
        <w:rPr>
          <w:sz w:val="28"/>
          <w:szCs w:val="28"/>
          <w:lang w:val="en-US"/>
        </w:rPr>
        <w:t>OS</w:t>
      </w:r>
      <w:r w:rsidRPr="00C222CF">
        <w:rPr>
          <w:sz w:val="28"/>
          <w:szCs w:val="28"/>
        </w:rPr>
        <w:t xml:space="preserve">2, </w:t>
      </w:r>
      <w:r w:rsidRPr="00C222CF">
        <w:rPr>
          <w:sz w:val="28"/>
          <w:szCs w:val="28"/>
          <w:lang w:val="en-US"/>
        </w:rPr>
        <w:t>OS</w:t>
      </w:r>
      <w:r w:rsidRPr="00C222CF">
        <w:rPr>
          <w:sz w:val="28"/>
          <w:szCs w:val="28"/>
        </w:rPr>
        <w:t xml:space="preserve">3 </w:t>
      </w:r>
      <w:r w:rsidRPr="00C222CF">
        <w:rPr>
          <w:sz w:val="28"/>
          <w:szCs w:val="28"/>
          <w:shd w:val="clear" w:color="auto" w:fill="FFFFFF"/>
        </w:rPr>
        <w:t xml:space="preserve"> та примітки до</w:t>
      </w:r>
      <w:r w:rsidRPr="00C222CF">
        <w:rPr>
          <w:sz w:val="28"/>
          <w:szCs w:val="28"/>
        </w:rPr>
        <w:t xml:space="preserve"> фінансової, консолідованої фінансової звітності, </w:t>
      </w:r>
      <w:r w:rsidR="00C3187F">
        <w:rPr>
          <w:sz w:val="28"/>
          <w:szCs w:val="28"/>
        </w:rPr>
        <w:t>що</w:t>
      </w:r>
      <w:r w:rsidR="00C3187F" w:rsidRPr="00C222CF">
        <w:rPr>
          <w:sz w:val="28"/>
          <w:szCs w:val="28"/>
        </w:rPr>
        <w:t xml:space="preserve"> </w:t>
      </w:r>
      <w:r w:rsidRPr="00C222CF">
        <w:rPr>
          <w:sz w:val="28"/>
          <w:szCs w:val="28"/>
        </w:rPr>
        <w:t>м</w:t>
      </w:r>
      <w:r w:rsidR="008845A6" w:rsidRPr="00C222CF">
        <w:rPr>
          <w:sz w:val="28"/>
          <w:szCs w:val="28"/>
        </w:rPr>
        <w:t>ають бути подані у встановлені в</w:t>
      </w:r>
      <w:r w:rsidRPr="00C222CF">
        <w:rPr>
          <w:sz w:val="28"/>
          <w:szCs w:val="28"/>
        </w:rPr>
        <w:t xml:space="preserve"> </w:t>
      </w:r>
      <w:r w:rsidR="00C3187F" w:rsidRPr="00C222CF">
        <w:rPr>
          <w:sz w:val="28"/>
          <w:szCs w:val="28"/>
        </w:rPr>
        <w:t>додатк</w:t>
      </w:r>
      <w:r w:rsidR="00C3187F">
        <w:rPr>
          <w:sz w:val="28"/>
          <w:szCs w:val="28"/>
        </w:rPr>
        <w:t>ах</w:t>
      </w:r>
      <w:r w:rsidR="00C3187F" w:rsidRPr="00C222CF">
        <w:rPr>
          <w:sz w:val="28"/>
          <w:szCs w:val="28"/>
        </w:rPr>
        <w:t xml:space="preserve"> </w:t>
      </w:r>
      <w:r w:rsidRPr="00C222CF">
        <w:rPr>
          <w:sz w:val="28"/>
          <w:szCs w:val="28"/>
        </w:rPr>
        <w:t>5 та 6 до Правил № 123 строки</w:t>
      </w:r>
      <w:r w:rsidRPr="00C222CF">
        <w:rPr>
          <w:sz w:val="28"/>
          <w:szCs w:val="28"/>
          <w:shd w:val="clear" w:color="auto" w:fill="FFFFFF"/>
        </w:rPr>
        <w:t>.</w:t>
      </w:r>
      <w:r w:rsidRPr="00C222CF">
        <w:rPr>
          <w:sz w:val="28"/>
          <w:szCs w:val="28"/>
        </w:rPr>
        <w:t xml:space="preserve"> </w:t>
      </w:r>
    </w:p>
    <w:p w14:paraId="3ADC741E" w14:textId="77777777" w:rsidR="00B46563" w:rsidRPr="000110E3" w:rsidRDefault="00B46563" w:rsidP="00123FA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Ступінь ефективності цього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оцінюватиметься за результатами аналізу отриманої звітності від учасників ринку небанківських фінансових послуг.</w:t>
      </w:r>
    </w:p>
    <w:p w14:paraId="365F64E9" w14:textId="77777777" w:rsidR="00FE35B1" w:rsidRPr="000110E3" w:rsidRDefault="00FE35B1" w:rsidP="00F8698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14:paraId="04AF1976" w14:textId="77777777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V. Обґрунтування можливості досягнення виз</w:t>
      </w:r>
      <w:r w:rsidR="00CB46BF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начених цілей у разі прийняття </w:t>
      </w: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регуляторного </w:t>
      </w:r>
      <w:proofErr w:type="spellStart"/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акта</w:t>
      </w:r>
      <w:proofErr w:type="spellEnd"/>
    </w:p>
    <w:p w14:paraId="4C707D09" w14:textId="77777777" w:rsidR="00B03397" w:rsidRPr="000110E3" w:rsidRDefault="00152F2A" w:rsidP="00F8698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110E3">
        <w:rPr>
          <w:color w:val="000000"/>
          <w:sz w:val="28"/>
          <w:szCs w:val="28"/>
        </w:rPr>
        <w:t xml:space="preserve">Вимоги регуляторного </w:t>
      </w:r>
      <w:proofErr w:type="spellStart"/>
      <w:r w:rsidRPr="000110E3">
        <w:rPr>
          <w:color w:val="000000"/>
          <w:sz w:val="28"/>
          <w:szCs w:val="28"/>
        </w:rPr>
        <w:t>акта</w:t>
      </w:r>
      <w:proofErr w:type="spellEnd"/>
      <w:r w:rsidRPr="000110E3">
        <w:rPr>
          <w:color w:val="000000"/>
          <w:sz w:val="28"/>
          <w:szCs w:val="28"/>
        </w:rPr>
        <w:t xml:space="preserve"> є обов’язковими для виконання </w:t>
      </w:r>
      <w:r w:rsidR="00193723" w:rsidRPr="000110E3">
        <w:rPr>
          <w:color w:val="000000"/>
          <w:sz w:val="28"/>
          <w:szCs w:val="28"/>
        </w:rPr>
        <w:t>учасниками ринку небанківських фінансових послуг</w:t>
      </w:r>
      <w:r w:rsidR="00CC1A20" w:rsidRPr="000110E3">
        <w:rPr>
          <w:color w:val="000000"/>
          <w:sz w:val="28"/>
          <w:szCs w:val="28"/>
        </w:rPr>
        <w:t>.</w:t>
      </w:r>
    </w:p>
    <w:p w14:paraId="1279B2D1" w14:textId="77777777" w:rsidR="004114C1" w:rsidRPr="000110E3" w:rsidRDefault="00D05A38" w:rsidP="00F869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Ризик як негативного, так і позитивного впливу зовнішніх чинників на дію цього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потенційно зумовлюється головним чином змінами в </w:t>
      </w:r>
      <w:r w:rsidR="004114C1" w:rsidRPr="000110E3">
        <w:rPr>
          <w:sz w:val="28"/>
          <w:szCs w:val="28"/>
        </w:rPr>
        <w:t>законодавчих актах України.</w:t>
      </w:r>
    </w:p>
    <w:p w14:paraId="61CDA8A8" w14:textId="77777777" w:rsidR="00BE4302" w:rsidRPr="000110E3" w:rsidRDefault="00D05A38" w:rsidP="00F869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  <w:lang w:eastAsia="uk-UA"/>
        </w:rPr>
        <w:t xml:space="preserve">Впровадження вимог такого регуляторного </w:t>
      </w:r>
      <w:proofErr w:type="spellStart"/>
      <w:r w:rsidRPr="000110E3">
        <w:rPr>
          <w:sz w:val="28"/>
          <w:szCs w:val="28"/>
          <w:lang w:eastAsia="uk-UA"/>
        </w:rPr>
        <w:t>акта</w:t>
      </w:r>
      <w:proofErr w:type="spellEnd"/>
      <w:r w:rsidRPr="000110E3">
        <w:rPr>
          <w:sz w:val="28"/>
          <w:szCs w:val="28"/>
          <w:lang w:eastAsia="uk-UA"/>
        </w:rPr>
        <w:t xml:space="preserve"> не потребує додаткових витрат </w:t>
      </w:r>
      <w:r w:rsidR="00047994" w:rsidRPr="000110E3">
        <w:rPr>
          <w:sz w:val="28"/>
          <w:szCs w:val="28"/>
        </w:rPr>
        <w:t>Державного бюджету України</w:t>
      </w:r>
      <w:r w:rsidR="00047994" w:rsidRPr="000110E3">
        <w:rPr>
          <w:sz w:val="28"/>
          <w:szCs w:val="28"/>
          <w:lang w:eastAsia="uk-UA"/>
        </w:rPr>
        <w:t xml:space="preserve"> та </w:t>
      </w:r>
      <w:r w:rsidR="00047994" w:rsidRPr="000110E3">
        <w:rPr>
          <w:sz w:val="28"/>
          <w:szCs w:val="28"/>
        </w:rPr>
        <w:t>додаткових витрат</w:t>
      </w:r>
      <w:r w:rsidR="00047994" w:rsidRPr="000110E3">
        <w:rPr>
          <w:sz w:val="28"/>
          <w:szCs w:val="28"/>
          <w:lang w:eastAsia="uk-UA"/>
        </w:rPr>
        <w:t xml:space="preserve"> </w:t>
      </w:r>
      <w:r w:rsidRPr="000110E3">
        <w:rPr>
          <w:sz w:val="28"/>
          <w:szCs w:val="28"/>
          <w:lang w:eastAsia="uk-UA"/>
        </w:rPr>
        <w:t xml:space="preserve">Національного банку, оскільки здійснюється в межах </w:t>
      </w:r>
      <w:r w:rsidR="00047994" w:rsidRPr="000110E3">
        <w:rPr>
          <w:sz w:val="28"/>
          <w:szCs w:val="28"/>
          <w:lang w:eastAsia="uk-UA"/>
        </w:rPr>
        <w:t xml:space="preserve">його </w:t>
      </w:r>
      <w:r w:rsidRPr="000110E3">
        <w:rPr>
          <w:sz w:val="28"/>
          <w:szCs w:val="28"/>
          <w:lang w:eastAsia="uk-UA"/>
        </w:rPr>
        <w:t>повноважень</w:t>
      </w:r>
      <w:r w:rsidR="00BE4302" w:rsidRPr="000110E3">
        <w:rPr>
          <w:sz w:val="28"/>
          <w:szCs w:val="28"/>
        </w:rPr>
        <w:t xml:space="preserve">. </w:t>
      </w:r>
    </w:p>
    <w:p w14:paraId="29CC1FBB" w14:textId="1F7C15CC" w:rsidR="00F313BF" w:rsidRPr="000110E3" w:rsidRDefault="00CC1A20" w:rsidP="00F86980">
      <w:pPr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110E3">
        <w:rPr>
          <w:sz w:val="28"/>
          <w:szCs w:val="28"/>
        </w:rPr>
        <w:t>Для учасників ринку небанківських фінансових послуг</w:t>
      </w:r>
      <w:r w:rsidR="00D05A38" w:rsidRPr="000110E3">
        <w:rPr>
          <w:sz w:val="28"/>
          <w:szCs w:val="28"/>
          <w:lang w:eastAsia="uk-UA"/>
        </w:rPr>
        <w:t xml:space="preserve"> у зв’язку з потребою приведення своєї діяльності у відповідність до вимог регуляторного </w:t>
      </w:r>
      <w:proofErr w:type="spellStart"/>
      <w:r w:rsidR="00D05A38" w:rsidRPr="000110E3">
        <w:rPr>
          <w:sz w:val="28"/>
          <w:szCs w:val="28"/>
          <w:lang w:eastAsia="uk-UA"/>
        </w:rPr>
        <w:t>акта</w:t>
      </w:r>
      <w:proofErr w:type="spellEnd"/>
      <w:r w:rsidR="00D05A38" w:rsidRPr="000110E3">
        <w:rPr>
          <w:sz w:val="28"/>
          <w:szCs w:val="28"/>
          <w:lang w:eastAsia="uk-UA"/>
        </w:rPr>
        <w:t xml:space="preserve"> </w:t>
      </w:r>
      <w:r w:rsidRPr="000110E3">
        <w:rPr>
          <w:sz w:val="28"/>
          <w:szCs w:val="28"/>
          <w:lang w:eastAsia="uk-UA"/>
        </w:rPr>
        <w:t>очікуються</w:t>
      </w:r>
      <w:r w:rsidR="00D05A38" w:rsidRPr="000110E3">
        <w:rPr>
          <w:sz w:val="28"/>
          <w:szCs w:val="28"/>
          <w:lang w:eastAsia="uk-UA"/>
        </w:rPr>
        <w:t xml:space="preserve"> додаткові витрати</w:t>
      </w:r>
      <w:r w:rsidR="00EE511A" w:rsidRPr="000110E3">
        <w:rPr>
          <w:sz w:val="28"/>
          <w:szCs w:val="28"/>
          <w:lang w:eastAsia="uk-UA"/>
        </w:rPr>
        <w:t xml:space="preserve"> </w:t>
      </w:r>
      <w:r w:rsidR="00F313BF" w:rsidRPr="000110E3">
        <w:rPr>
          <w:sz w:val="28"/>
          <w:szCs w:val="28"/>
          <w:lang w:eastAsia="uk-UA"/>
        </w:rPr>
        <w:t xml:space="preserve">на </w:t>
      </w:r>
      <w:r w:rsidR="00EE511A" w:rsidRPr="000110E3">
        <w:rPr>
          <w:sz w:val="28"/>
          <w:szCs w:val="28"/>
          <w:lang w:eastAsia="uk-UA"/>
        </w:rPr>
        <w:t>доопрац</w:t>
      </w:r>
      <w:r w:rsidR="008B726B" w:rsidRPr="000110E3">
        <w:rPr>
          <w:sz w:val="28"/>
          <w:szCs w:val="28"/>
          <w:lang w:eastAsia="uk-UA"/>
        </w:rPr>
        <w:t>ювання</w:t>
      </w:r>
      <w:r w:rsidR="00EE511A" w:rsidRPr="000110E3">
        <w:rPr>
          <w:sz w:val="28"/>
          <w:szCs w:val="28"/>
          <w:lang w:eastAsia="uk-UA"/>
        </w:rPr>
        <w:t xml:space="preserve"> </w:t>
      </w:r>
      <w:r w:rsidR="008B726B" w:rsidRPr="000110E3">
        <w:rPr>
          <w:sz w:val="28"/>
          <w:szCs w:val="28"/>
          <w:lang w:eastAsia="uk-UA"/>
        </w:rPr>
        <w:t>програмного</w:t>
      </w:r>
      <w:r w:rsidR="00EE511A" w:rsidRPr="000110E3">
        <w:rPr>
          <w:sz w:val="28"/>
          <w:szCs w:val="28"/>
          <w:lang w:eastAsia="uk-UA"/>
        </w:rPr>
        <w:t xml:space="preserve"> забезпеч</w:t>
      </w:r>
      <w:r w:rsidR="008B726B" w:rsidRPr="000110E3">
        <w:rPr>
          <w:sz w:val="28"/>
          <w:szCs w:val="28"/>
          <w:lang w:eastAsia="uk-UA"/>
        </w:rPr>
        <w:t>ення</w:t>
      </w:r>
      <w:r w:rsidR="00EE511A" w:rsidRPr="000110E3">
        <w:rPr>
          <w:sz w:val="28"/>
          <w:szCs w:val="28"/>
          <w:lang w:eastAsia="uk-UA"/>
        </w:rPr>
        <w:t xml:space="preserve">. </w:t>
      </w:r>
    </w:p>
    <w:p w14:paraId="16EA1597" w14:textId="77777777" w:rsidR="004118DD" w:rsidRPr="000110E3" w:rsidRDefault="004118DD" w:rsidP="00F8698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0110E3">
        <w:rPr>
          <w:sz w:val="28"/>
          <w:szCs w:val="28"/>
          <w:lang w:eastAsia="uk-UA"/>
        </w:rPr>
        <w:t>Державний контроль і</w:t>
      </w:r>
      <w:r w:rsidRPr="000110E3">
        <w:rPr>
          <w:sz w:val="28"/>
          <w:szCs w:val="28"/>
        </w:rPr>
        <w:t xml:space="preserve"> нагляд за дотриманням вимог положень запропонованого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забезпечуватиметься структурними підрозділами Національного банку, що здійснюють регулятивні та наглядові функції за учасниками ринку небанківських фінансових послуг, а також </w:t>
      </w:r>
      <w:r w:rsidR="00CC1A20" w:rsidRPr="000110E3">
        <w:rPr>
          <w:sz w:val="28"/>
          <w:szCs w:val="28"/>
        </w:rPr>
        <w:t xml:space="preserve">іншими </w:t>
      </w:r>
      <w:r w:rsidRPr="000110E3">
        <w:rPr>
          <w:sz w:val="28"/>
          <w:szCs w:val="28"/>
        </w:rPr>
        <w:t>підрозділ</w:t>
      </w:r>
      <w:r w:rsidR="00CC1A20" w:rsidRPr="000110E3">
        <w:rPr>
          <w:sz w:val="28"/>
          <w:szCs w:val="28"/>
        </w:rPr>
        <w:t>ами</w:t>
      </w:r>
      <w:r w:rsidRPr="000110E3">
        <w:rPr>
          <w:sz w:val="28"/>
          <w:szCs w:val="28"/>
        </w:rPr>
        <w:t>, відповідальним</w:t>
      </w:r>
      <w:r w:rsidR="00CC1A20" w:rsidRPr="000110E3">
        <w:rPr>
          <w:sz w:val="28"/>
          <w:szCs w:val="28"/>
        </w:rPr>
        <w:t>и</w:t>
      </w:r>
      <w:r w:rsidRPr="000110E3">
        <w:rPr>
          <w:sz w:val="28"/>
          <w:szCs w:val="28"/>
        </w:rPr>
        <w:t xml:space="preserve"> за встановлення вимог до </w:t>
      </w:r>
      <w:r w:rsidRPr="000110E3">
        <w:rPr>
          <w:bCs/>
          <w:sz w:val="28"/>
          <w:szCs w:val="28"/>
        </w:rPr>
        <w:t xml:space="preserve">складання та подання звітності </w:t>
      </w:r>
      <w:r w:rsidRPr="000110E3">
        <w:rPr>
          <w:sz w:val="28"/>
          <w:szCs w:val="28"/>
          <w:lang w:eastAsia="zh-CN"/>
        </w:rPr>
        <w:t>учасниками ринку небанківських фінансових послуг</w:t>
      </w:r>
      <w:r w:rsidRPr="000110E3">
        <w:rPr>
          <w:sz w:val="28"/>
          <w:szCs w:val="28"/>
        </w:rPr>
        <w:t>.</w:t>
      </w:r>
    </w:p>
    <w:p w14:paraId="2D4AEE5D" w14:textId="77777777" w:rsidR="0024787E" w:rsidRPr="000110E3" w:rsidRDefault="0024787E" w:rsidP="00F86980">
      <w:pPr>
        <w:tabs>
          <w:tab w:val="left" w:pos="567"/>
        </w:tabs>
        <w:ind w:right="-6" w:firstLine="709"/>
        <w:jc w:val="both"/>
        <w:rPr>
          <w:b/>
          <w:color w:val="000000"/>
          <w:sz w:val="28"/>
          <w:szCs w:val="28"/>
        </w:rPr>
      </w:pPr>
    </w:p>
    <w:p w14:paraId="2EA73B94" w14:textId="77777777" w:rsidR="00ED0DFC" w:rsidRPr="000110E3" w:rsidRDefault="00ED0DFC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VI. Визначення очікуваних результатів прийняття  </w:t>
      </w:r>
      <w:proofErr w:type="spellStart"/>
      <w:r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акта</w:t>
      </w:r>
      <w:proofErr w:type="spellEnd"/>
    </w:p>
    <w:p w14:paraId="60A575C7" w14:textId="4136F95A" w:rsidR="004118DD" w:rsidRPr="000110E3" w:rsidRDefault="00117092" w:rsidP="0018424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Основним позитивним </w:t>
      </w:r>
      <w:r w:rsidR="00FD426C">
        <w:rPr>
          <w:sz w:val="28"/>
          <w:szCs w:val="28"/>
        </w:rPr>
        <w:t>результатом</w:t>
      </w:r>
      <w:r w:rsidR="00FD426C" w:rsidRPr="000110E3">
        <w:rPr>
          <w:sz w:val="28"/>
          <w:szCs w:val="28"/>
        </w:rPr>
        <w:t xml:space="preserve"> </w:t>
      </w:r>
      <w:r w:rsidRPr="000110E3">
        <w:rPr>
          <w:sz w:val="28"/>
          <w:szCs w:val="28"/>
        </w:rPr>
        <w:t xml:space="preserve">дії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є </w:t>
      </w:r>
      <w:r w:rsidR="0044270A" w:rsidRPr="000110E3">
        <w:rPr>
          <w:sz w:val="28"/>
          <w:szCs w:val="28"/>
        </w:rPr>
        <w:t xml:space="preserve">актуалізація </w:t>
      </w:r>
      <w:r w:rsidRPr="000110E3">
        <w:rPr>
          <w:sz w:val="28"/>
          <w:szCs w:val="28"/>
        </w:rPr>
        <w:t xml:space="preserve">вимог </w:t>
      </w:r>
      <w:r w:rsidR="0014330A" w:rsidRPr="000110E3">
        <w:rPr>
          <w:sz w:val="28"/>
          <w:szCs w:val="28"/>
        </w:rPr>
        <w:t>Правил № 123</w:t>
      </w:r>
      <w:r w:rsidR="00C95CF5" w:rsidRPr="000110E3">
        <w:rPr>
          <w:sz w:val="28"/>
          <w:szCs w:val="28"/>
        </w:rPr>
        <w:t xml:space="preserve">, що </w:t>
      </w:r>
      <w:r w:rsidR="00FD426C">
        <w:rPr>
          <w:sz w:val="28"/>
          <w:szCs w:val="28"/>
        </w:rPr>
        <w:t>дасть змогу</w:t>
      </w:r>
      <w:r w:rsidR="00C95CF5" w:rsidRPr="000110E3">
        <w:rPr>
          <w:sz w:val="28"/>
          <w:szCs w:val="28"/>
        </w:rPr>
        <w:t xml:space="preserve"> </w:t>
      </w:r>
      <w:r w:rsidR="00FD426C" w:rsidRPr="000110E3">
        <w:rPr>
          <w:sz w:val="28"/>
          <w:szCs w:val="28"/>
        </w:rPr>
        <w:t>пода</w:t>
      </w:r>
      <w:r w:rsidR="00FD426C">
        <w:rPr>
          <w:sz w:val="28"/>
          <w:szCs w:val="28"/>
        </w:rPr>
        <w:t>вати</w:t>
      </w:r>
      <w:r w:rsidR="00FD426C" w:rsidRPr="000110E3">
        <w:rPr>
          <w:sz w:val="28"/>
          <w:szCs w:val="28"/>
        </w:rPr>
        <w:t xml:space="preserve"> </w:t>
      </w:r>
      <w:r w:rsidR="00184248" w:rsidRPr="000110E3">
        <w:rPr>
          <w:sz w:val="28"/>
          <w:szCs w:val="28"/>
        </w:rPr>
        <w:t>учасниками ринку небанківських фінансових послуг у</w:t>
      </w:r>
      <w:r w:rsidR="00133548" w:rsidRPr="000110E3">
        <w:rPr>
          <w:sz w:val="28"/>
          <w:szCs w:val="28"/>
        </w:rPr>
        <w:t>досконаленої</w:t>
      </w:r>
      <w:r w:rsidR="00C95CF5" w:rsidRPr="000110E3">
        <w:rPr>
          <w:sz w:val="28"/>
          <w:szCs w:val="28"/>
        </w:rPr>
        <w:t xml:space="preserve"> </w:t>
      </w:r>
      <w:r w:rsidR="00133548" w:rsidRPr="000110E3">
        <w:rPr>
          <w:sz w:val="28"/>
          <w:szCs w:val="28"/>
        </w:rPr>
        <w:t>звітності</w:t>
      </w:r>
      <w:r w:rsidR="00C95CF5" w:rsidRPr="000110E3">
        <w:rPr>
          <w:sz w:val="28"/>
          <w:szCs w:val="28"/>
        </w:rPr>
        <w:t xml:space="preserve"> </w:t>
      </w:r>
      <w:r w:rsidR="0046249F">
        <w:rPr>
          <w:sz w:val="28"/>
          <w:szCs w:val="28"/>
          <w:lang w:eastAsia="zh-CN"/>
        </w:rPr>
        <w:t>та</w:t>
      </w:r>
      <w:r w:rsidR="0046249F" w:rsidRPr="000110E3">
        <w:rPr>
          <w:sz w:val="28"/>
          <w:szCs w:val="28"/>
          <w:lang w:eastAsia="zh-CN"/>
        </w:rPr>
        <w:t xml:space="preserve"> </w:t>
      </w:r>
      <w:r w:rsidR="00DA5C59" w:rsidRPr="000110E3">
        <w:rPr>
          <w:sz w:val="28"/>
          <w:szCs w:val="28"/>
          <w:lang w:eastAsia="zh-CN"/>
        </w:rPr>
        <w:t xml:space="preserve">забезпечить </w:t>
      </w:r>
      <w:r w:rsidR="00CB789A">
        <w:rPr>
          <w:sz w:val="28"/>
          <w:szCs w:val="28"/>
          <w:lang w:eastAsia="zh-CN"/>
        </w:rPr>
        <w:t xml:space="preserve">можливість здійснення </w:t>
      </w:r>
      <w:r w:rsidR="00DA5C59" w:rsidRPr="000110E3">
        <w:rPr>
          <w:sz w:val="28"/>
          <w:szCs w:val="28"/>
          <w:lang w:eastAsia="zh-CN"/>
        </w:rPr>
        <w:t>належн</w:t>
      </w:r>
      <w:r w:rsidR="00CB789A">
        <w:rPr>
          <w:sz w:val="28"/>
          <w:szCs w:val="28"/>
          <w:lang w:eastAsia="zh-CN"/>
        </w:rPr>
        <w:t>ого</w:t>
      </w:r>
      <w:r w:rsidR="00DA5C59" w:rsidRPr="000110E3">
        <w:rPr>
          <w:sz w:val="28"/>
          <w:szCs w:val="28"/>
          <w:lang w:eastAsia="zh-CN"/>
        </w:rPr>
        <w:t xml:space="preserve"> контрол</w:t>
      </w:r>
      <w:r w:rsidR="00CB789A">
        <w:rPr>
          <w:sz w:val="28"/>
          <w:szCs w:val="28"/>
          <w:lang w:eastAsia="zh-CN"/>
        </w:rPr>
        <w:t>ю з боку Національного банку</w:t>
      </w:r>
      <w:r w:rsidR="00DA5C59" w:rsidRPr="000110E3">
        <w:rPr>
          <w:sz w:val="28"/>
          <w:szCs w:val="28"/>
          <w:lang w:eastAsia="zh-CN"/>
        </w:rPr>
        <w:t xml:space="preserve"> за показниками </w:t>
      </w:r>
      <w:r w:rsidR="00184248" w:rsidRPr="000110E3">
        <w:rPr>
          <w:sz w:val="28"/>
          <w:szCs w:val="28"/>
          <w:lang w:eastAsia="zh-CN"/>
        </w:rPr>
        <w:t xml:space="preserve">їх </w:t>
      </w:r>
      <w:r w:rsidR="00DA5C59" w:rsidRPr="000110E3">
        <w:rPr>
          <w:sz w:val="28"/>
          <w:szCs w:val="28"/>
          <w:lang w:eastAsia="zh-CN"/>
        </w:rPr>
        <w:t>діяльності</w:t>
      </w:r>
      <w:r w:rsidR="00AA32F1">
        <w:rPr>
          <w:sz w:val="28"/>
          <w:szCs w:val="28"/>
          <w:lang w:eastAsia="zh-CN"/>
        </w:rPr>
        <w:t>.</w:t>
      </w:r>
    </w:p>
    <w:p w14:paraId="46A44B67" w14:textId="77777777" w:rsidR="00117092" w:rsidRPr="000110E3" w:rsidRDefault="00272AC2" w:rsidP="00F869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Негативних наслідків від прийняття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для учасників ринку небанківських фінансових послуг не очікується. </w:t>
      </w:r>
    </w:p>
    <w:p w14:paraId="27ED8EC7" w14:textId="6A848A71" w:rsidR="00530F8B" w:rsidRPr="000110E3" w:rsidRDefault="00530F8B" w:rsidP="00530F8B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0110E3">
        <w:rPr>
          <w:rFonts w:eastAsia="Calibri"/>
          <w:sz w:val="28"/>
          <w:szCs w:val="28"/>
          <w:lang w:eastAsia="en-US"/>
        </w:rPr>
        <w:t xml:space="preserve">Звітність учасників ринку небанківських фінансових послуг, що запроваджується, є деталізованою, повною, прозорою та раціональною, відповідає </w:t>
      </w:r>
      <w:r w:rsidR="00992AB3" w:rsidRPr="000110E3">
        <w:rPr>
          <w:rFonts w:eastAsia="Calibri"/>
          <w:sz w:val="28"/>
          <w:szCs w:val="28"/>
          <w:lang w:eastAsia="en-US"/>
        </w:rPr>
        <w:t>найкращ</w:t>
      </w:r>
      <w:r w:rsidR="00992AB3">
        <w:rPr>
          <w:rFonts w:eastAsia="Calibri"/>
          <w:sz w:val="28"/>
          <w:szCs w:val="28"/>
          <w:lang w:eastAsia="en-US"/>
        </w:rPr>
        <w:t>ій</w:t>
      </w:r>
      <w:r w:rsidR="00992AB3" w:rsidRPr="000110E3">
        <w:rPr>
          <w:rFonts w:eastAsia="Calibri"/>
          <w:sz w:val="28"/>
          <w:szCs w:val="28"/>
          <w:lang w:eastAsia="en-US"/>
        </w:rPr>
        <w:t xml:space="preserve"> міжнародн</w:t>
      </w:r>
      <w:r w:rsidR="00992AB3">
        <w:rPr>
          <w:rFonts w:eastAsia="Calibri"/>
          <w:sz w:val="28"/>
          <w:szCs w:val="28"/>
          <w:lang w:eastAsia="en-US"/>
        </w:rPr>
        <w:t>ій</w:t>
      </w:r>
      <w:r w:rsidR="00992AB3" w:rsidRPr="000110E3">
        <w:rPr>
          <w:rFonts w:eastAsia="Calibri"/>
          <w:sz w:val="28"/>
          <w:szCs w:val="28"/>
          <w:lang w:eastAsia="en-US"/>
        </w:rPr>
        <w:t xml:space="preserve"> </w:t>
      </w:r>
      <w:r w:rsidRPr="000110E3">
        <w:rPr>
          <w:rFonts w:eastAsia="Calibri"/>
          <w:sz w:val="28"/>
          <w:szCs w:val="28"/>
          <w:lang w:eastAsia="en-US"/>
        </w:rPr>
        <w:t xml:space="preserve">та </w:t>
      </w:r>
      <w:r w:rsidR="00992AB3" w:rsidRPr="000110E3">
        <w:rPr>
          <w:rFonts w:eastAsia="Calibri"/>
          <w:sz w:val="28"/>
          <w:szCs w:val="28"/>
          <w:lang w:eastAsia="en-US"/>
        </w:rPr>
        <w:t>європейськ</w:t>
      </w:r>
      <w:r w:rsidR="00992AB3">
        <w:rPr>
          <w:rFonts w:eastAsia="Calibri"/>
          <w:sz w:val="28"/>
          <w:szCs w:val="28"/>
          <w:lang w:eastAsia="en-US"/>
        </w:rPr>
        <w:t>ій</w:t>
      </w:r>
      <w:r w:rsidR="00992AB3" w:rsidRPr="000110E3">
        <w:rPr>
          <w:rFonts w:eastAsia="Calibri"/>
          <w:sz w:val="28"/>
          <w:szCs w:val="28"/>
          <w:lang w:eastAsia="en-US"/>
        </w:rPr>
        <w:t xml:space="preserve"> практи</w:t>
      </w:r>
      <w:r w:rsidR="00992AB3">
        <w:rPr>
          <w:rFonts w:eastAsia="Calibri"/>
          <w:sz w:val="28"/>
          <w:szCs w:val="28"/>
          <w:lang w:eastAsia="en-US"/>
        </w:rPr>
        <w:t>ці</w:t>
      </w:r>
      <w:r w:rsidR="00992AB3" w:rsidRPr="000110E3">
        <w:rPr>
          <w:rFonts w:eastAsia="Calibri"/>
          <w:sz w:val="28"/>
          <w:szCs w:val="28"/>
          <w:lang w:eastAsia="en-US"/>
        </w:rPr>
        <w:t xml:space="preserve"> </w:t>
      </w:r>
      <w:r w:rsidRPr="000110E3">
        <w:rPr>
          <w:rFonts w:eastAsia="Calibri"/>
          <w:sz w:val="28"/>
          <w:szCs w:val="28"/>
          <w:lang w:eastAsia="en-US"/>
        </w:rPr>
        <w:t xml:space="preserve">(стандартам) </w:t>
      </w:r>
      <w:r w:rsidR="00234F0E">
        <w:rPr>
          <w:rFonts w:eastAsia="Calibri"/>
          <w:sz w:val="28"/>
          <w:szCs w:val="28"/>
          <w:lang w:eastAsia="en-US"/>
        </w:rPr>
        <w:t xml:space="preserve">щодо </w:t>
      </w:r>
      <w:r w:rsidRPr="000110E3">
        <w:rPr>
          <w:rFonts w:eastAsia="Calibri"/>
          <w:sz w:val="28"/>
          <w:szCs w:val="28"/>
          <w:lang w:eastAsia="en-US"/>
        </w:rPr>
        <w:t>нагляду, потреб регулятора та користувачів такої звітності. Забезпечена оптимізація регуляторного навантаження на суб’єкти нагляду шляхом запровадження узгодженого набору звітних показників.</w:t>
      </w:r>
    </w:p>
    <w:p w14:paraId="5F8B3265" w14:textId="4ACDB552" w:rsidR="00530F8B" w:rsidRPr="000110E3" w:rsidRDefault="00530F8B" w:rsidP="00530F8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10E3">
        <w:rPr>
          <w:rFonts w:eastAsia="Calibri"/>
          <w:sz w:val="28"/>
          <w:szCs w:val="28"/>
          <w:lang w:eastAsia="en-US"/>
        </w:rPr>
        <w:lastRenderedPageBreak/>
        <w:t xml:space="preserve">Така звітність </w:t>
      </w:r>
      <w:r w:rsidR="00C8166E" w:rsidRPr="000110E3">
        <w:rPr>
          <w:rFonts w:eastAsia="Calibri"/>
          <w:sz w:val="28"/>
          <w:szCs w:val="28"/>
          <w:lang w:eastAsia="en-US"/>
        </w:rPr>
        <w:t>д</w:t>
      </w:r>
      <w:r w:rsidR="00C8166E">
        <w:rPr>
          <w:rFonts w:eastAsia="Calibri"/>
          <w:sz w:val="28"/>
          <w:szCs w:val="28"/>
          <w:lang w:eastAsia="en-US"/>
        </w:rPr>
        <w:t>ає змогу</w:t>
      </w:r>
      <w:r w:rsidR="00C8166E" w:rsidRPr="000110E3">
        <w:rPr>
          <w:rFonts w:eastAsia="Calibri"/>
          <w:sz w:val="28"/>
          <w:szCs w:val="28"/>
          <w:lang w:eastAsia="en-US"/>
        </w:rPr>
        <w:t xml:space="preserve"> </w:t>
      </w:r>
      <w:r w:rsidRPr="000110E3">
        <w:rPr>
          <w:rFonts w:eastAsia="Calibri"/>
          <w:sz w:val="28"/>
          <w:szCs w:val="28"/>
          <w:lang w:eastAsia="en-US"/>
        </w:rPr>
        <w:t>здійснювати ефективний нагляд за учасниками ринку небанківських фінансових послуг на основі ризик-орієнтовного підходу.</w:t>
      </w:r>
    </w:p>
    <w:p w14:paraId="7A193F2E" w14:textId="50B1E84D" w:rsidR="00A261F7" w:rsidRPr="000110E3" w:rsidRDefault="00272AC2" w:rsidP="00F86980">
      <w:pPr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Ураховуючи специфіку </w:t>
      </w:r>
      <w:r w:rsidR="00117092" w:rsidRPr="000110E3">
        <w:rPr>
          <w:sz w:val="28"/>
          <w:szCs w:val="28"/>
        </w:rPr>
        <w:t xml:space="preserve">запропонованого регуляторного </w:t>
      </w:r>
      <w:proofErr w:type="spellStart"/>
      <w:r w:rsidR="00C8166E" w:rsidRPr="000110E3">
        <w:rPr>
          <w:sz w:val="28"/>
          <w:szCs w:val="28"/>
        </w:rPr>
        <w:t>акт</w:t>
      </w:r>
      <w:r w:rsidR="00C8166E">
        <w:rPr>
          <w:sz w:val="28"/>
          <w:szCs w:val="28"/>
        </w:rPr>
        <w:t>а</w:t>
      </w:r>
      <w:proofErr w:type="spellEnd"/>
      <w:r w:rsidRPr="000110E3">
        <w:rPr>
          <w:sz w:val="28"/>
          <w:szCs w:val="28"/>
        </w:rPr>
        <w:t xml:space="preserve">, </w:t>
      </w:r>
      <w:r w:rsidR="00117092" w:rsidRPr="000110E3">
        <w:rPr>
          <w:sz w:val="28"/>
          <w:szCs w:val="28"/>
        </w:rPr>
        <w:t xml:space="preserve">обчислення розмірів позитивних та можливих негативних наслідків його прийняття </w:t>
      </w:r>
      <w:r w:rsidRPr="000110E3">
        <w:rPr>
          <w:sz w:val="28"/>
          <w:szCs w:val="28"/>
        </w:rPr>
        <w:t>не вбачається за можливе.</w:t>
      </w:r>
    </w:p>
    <w:p w14:paraId="3599B688" w14:textId="77777777" w:rsidR="00A14A3C" w:rsidRPr="00A14A3C" w:rsidRDefault="00A14A3C" w:rsidP="00F86980">
      <w:pPr>
        <w:tabs>
          <w:tab w:val="left" w:pos="567"/>
        </w:tabs>
        <w:ind w:right="-6" w:firstLine="567"/>
        <w:jc w:val="both"/>
        <w:rPr>
          <w:color w:val="000000"/>
          <w:sz w:val="28"/>
          <w:szCs w:val="28"/>
        </w:rPr>
      </w:pPr>
    </w:p>
    <w:p w14:paraId="64FC4BC2" w14:textId="77777777" w:rsidR="008F2B5A" w:rsidRPr="000110E3" w:rsidRDefault="00A26A8C" w:rsidP="00F86980">
      <w:pPr>
        <w:tabs>
          <w:tab w:val="left" w:pos="567"/>
        </w:tabs>
        <w:ind w:right="-6" w:firstLine="567"/>
        <w:jc w:val="both"/>
        <w:rPr>
          <w:b/>
          <w:color w:val="000000"/>
          <w:sz w:val="28"/>
          <w:szCs w:val="28"/>
        </w:rPr>
      </w:pPr>
      <w:r w:rsidRPr="000110E3">
        <w:rPr>
          <w:b/>
          <w:color w:val="000000"/>
          <w:sz w:val="28"/>
          <w:szCs w:val="28"/>
          <w:lang w:val="en-US"/>
        </w:rPr>
        <w:t>VII</w:t>
      </w:r>
      <w:r w:rsidR="00E13BC5" w:rsidRPr="000110E3">
        <w:rPr>
          <w:b/>
          <w:color w:val="000000"/>
          <w:sz w:val="28"/>
          <w:szCs w:val="28"/>
        </w:rPr>
        <w:t>.</w:t>
      </w:r>
      <w:r w:rsidR="006D41CC" w:rsidRPr="000110E3">
        <w:rPr>
          <w:b/>
          <w:color w:val="000000"/>
          <w:sz w:val="28"/>
          <w:szCs w:val="28"/>
        </w:rPr>
        <w:t xml:space="preserve"> Обґрунтування запропонованого строку </w:t>
      </w:r>
      <w:r w:rsidR="000B010B" w:rsidRPr="000110E3">
        <w:rPr>
          <w:b/>
          <w:color w:val="000000"/>
          <w:sz w:val="28"/>
          <w:szCs w:val="28"/>
        </w:rPr>
        <w:t>дії</w:t>
      </w:r>
      <w:r w:rsidR="006D41CC" w:rsidRPr="000110E3">
        <w:rPr>
          <w:b/>
          <w:color w:val="000000"/>
          <w:sz w:val="28"/>
          <w:szCs w:val="28"/>
        </w:rPr>
        <w:t xml:space="preserve"> </w:t>
      </w:r>
      <w:r w:rsidR="000B010B" w:rsidRPr="000110E3">
        <w:rPr>
          <w:b/>
          <w:color w:val="000000"/>
          <w:sz w:val="28"/>
          <w:szCs w:val="28"/>
        </w:rPr>
        <w:t xml:space="preserve">регуляторного </w:t>
      </w:r>
      <w:proofErr w:type="spellStart"/>
      <w:r w:rsidR="006D41CC" w:rsidRPr="000110E3">
        <w:rPr>
          <w:b/>
          <w:color w:val="000000"/>
          <w:sz w:val="28"/>
          <w:szCs w:val="28"/>
        </w:rPr>
        <w:t>акт</w:t>
      </w:r>
      <w:r w:rsidR="00494FCA" w:rsidRPr="000110E3">
        <w:rPr>
          <w:b/>
          <w:color w:val="000000"/>
          <w:sz w:val="28"/>
          <w:szCs w:val="28"/>
        </w:rPr>
        <w:t>а</w:t>
      </w:r>
      <w:proofErr w:type="spellEnd"/>
    </w:p>
    <w:p w14:paraId="3DF32ED6" w14:textId="77777777" w:rsidR="001E4F97" w:rsidRPr="000110E3" w:rsidRDefault="001E4F97" w:rsidP="00F86980">
      <w:pPr>
        <w:tabs>
          <w:tab w:val="left" w:pos="567"/>
        </w:tabs>
        <w:ind w:right="-6" w:firstLine="567"/>
        <w:jc w:val="both"/>
        <w:rPr>
          <w:color w:val="000000"/>
          <w:sz w:val="28"/>
          <w:szCs w:val="28"/>
        </w:rPr>
      </w:pPr>
      <w:r w:rsidRPr="000110E3">
        <w:rPr>
          <w:color w:val="000000"/>
          <w:sz w:val="28"/>
          <w:szCs w:val="28"/>
        </w:rPr>
        <w:t xml:space="preserve">Вимоги </w:t>
      </w:r>
      <w:r w:rsidR="008F2B5A" w:rsidRPr="000110E3">
        <w:rPr>
          <w:sz w:val="28"/>
          <w:szCs w:val="28"/>
        </w:rPr>
        <w:t xml:space="preserve">регуляторного </w:t>
      </w:r>
      <w:proofErr w:type="spellStart"/>
      <w:r w:rsidR="008F2B5A" w:rsidRPr="000110E3">
        <w:rPr>
          <w:sz w:val="28"/>
          <w:szCs w:val="28"/>
        </w:rPr>
        <w:t>акта</w:t>
      </w:r>
      <w:proofErr w:type="spellEnd"/>
      <w:r w:rsidR="00126A64" w:rsidRPr="000110E3">
        <w:rPr>
          <w:color w:val="000000"/>
          <w:sz w:val="28"/>
          <w:szCs w:val="28"/>
        </w:rPr>
        <w:t xml:space="preserve"> </w:t>
      </w:r>
      <w:r w:rsidRPr="000110E3">
        <w:rPr>
          <w:color w:val="000000"/>
          <w:sz w:val="28"/>
          <w:szCs w:val="28"/>
        </w:rPr>
        <w:t xml:space="preserve">діють без визначення </w:t>
      </w:r>
      <w:r w:rsidR="000B010B" w:rsidRPr="000110E3">
        <w:rPr>
          <w:color w:val="000000"/>
          <w:sz w:val="28"/>
          <w:szCs w:val="28"/>
        </w:rPr>
        <w:t xml:space="preserve">кінцевого </w:t>
      </w:r>
      <w:r w:rsidRPr="000110E3">
        <w:rPr>
          <w:color w:val="000000"/>
          <w:sz w:val="28"/>
          <w:szCs w:val="28"/>
        </w:rPr>
        <w:t>строку</w:t>
      </w:r>
      <w:r w:rsidR="00B7234A" w:rsidRPr="000110E3">
        <w:rPr>
          <w:color w:val="000000"/>
          <w:sz w:val="28"/>
          <w:szCs w:val="28"/>
        </w:rPr>
        <w:t>,</w:t>
      </w:r>
      <w:r w:rsidR="000B010B" w:rsidRPr="000110E3">
        <w:rPr>
          <w:color w:val="000000"/>
          <w:sz w:val="28"/>
          <w:szCs w:val="28"/>
        </w:rPr>
        <w:t xml:space="preserve"> починаючи з дня </w:t>
      </w:r>
      <w:r w:rsidR="00A26A8C" w:rsidRPr="000110E3">
        <w:rPr>
          <w:color w:val="000000"/>
          <w:sz w:val="28"/>
          <w:szCs w:val="28"/>
        </w:rPr>
        <w:t xml:space="preserve">набрання </w:t>
      </w:r>
      <w:r w:rsidR="008F2B5A" w:rsidRPr="000110E3">
        <w:rPr>
          <w:color w:val="000000"/>
          <w:sz w:val="28"/>
          <w:szCs w:val="28"/>
        </w:rPr>
        <w:t>ним</w:t>
      </w:r>
      <w:r w:rsidR="00A26A8C" w:rsidRPr="000110E3">
        <w:rPr>
          <w:color w:val="000000"/>
          <w:sz w:val="28"/>
          <w:szCs w:val="28"/>
        </w:rPr>
        <w:t xml:space="preserve"> чинності</w:t>
      </w:r>
      <w:r w:rsidRPr="000110E3">
        <w:rPr>
          <w:color w:val="000000"/>
          <w:sz w:val="28"/>
          <w:szCs w:val="28"/>
        </w:rPr>
        <w:t>.</w:t>
      </w:r>
    </w:p>
    <w:p w14:paraId="3558AE05" w14:textId="77777777" w:rsidR="00701C0B" w:rsidRPr="000110E3" w:rsidRDefault="00701C0B" w:rsidP="00F86980">
      <w:pPr>
        <w:tabs>
          <w:tab w:val="left" w:pos="567"/>
        </w:tabs>
        <w:ind w:right="-6" w:firstLine="567"/>
        <w:jc w:val="both"/>
        <w:rPr>
          <w:b/>
          <w:color w:val="000000"/>
          <w:sz w:val="20"/>
          <w:szCs w:val="20"/>
          <w:lang w:val="ru-RU"/>
        </w:rPr>
      </w:pPr>
    </w:p>
    <w:p w14:paraId="2618CD56" w14:textId="77777777" w:rsidR="00E13BC5" w:rsidRPr="000110E3" w:rsidRDefault="00A26A8C" w:rsidP="00F86980">
      <w:pPr>
        <w:tabs>
          <w:tab w:val="left" w:pos="567"/>
        </w:tabs>
        <w:ind w:right="-6" w:firstLine="567"/>
        <w:jc w:val="both"/>
        <w:rPr>
          <w:b/>
          <w:sz w:val="28"/>
          <w:szCs w:val="28"/>
        </w:rPr>
      </w:pPr>
      <w:r w:rsidRPr="000110E3">
        <w:rPr>
          <w:b/>
          <w:sz w:val="28"/>
          <w:szCs w:val="28"/>
          <w:lang w:val="en-US"/>
        </w:rPr>
        <w:t>VIII</w:t>
      </w:r>
      <w:r w:rsidR="00E13BC5" w:rsidRPr="000110E3">
        <w:rPr>
          <w:b/>
          <w:sz w:val="28"/>
          <w:szCs w:val="28"/>
        </w:rPr>
        <w:t>.</w:t>
      </w:r>
      <w:r w:rsidR="006D41CC" w:rsidRPr="000110E3">
        <w:rPr>
          <w:b/>
          <w:sz w:val="28"/>
          <w:szCs w:val="28"/>
        </w:rPr>
        <w:t xml:space="preserve"> </w:t>
      </w:r>
      <w:r w:rsidR="009D4468" w:rsidRPr="000110E3">
        <w:rPr>
          <w:b/>
          <w:sz w:val="28"/>
          <w:szCs w:val="28"/>
        </w:rPr>
        <w:t xml:space="preserve">Визначення показників результативності </w:t>
      </w:r>
      <w:proofErr w:type="spellStart"/>
      <w:r w:rsidR="009D4468" w:rsidRPr="000110E3">
        <w:rPr>
          <w:b/>
          <w:sz w:val="28"/>
          <w:szCs w:val="28"/>
        </w:rPr>
        <w:t>акт</w:t>
      </w:r>
      <w:r w:rsidR="00494FCA" w:rsidRPr="000110E3">
        <w:rPr>
          <w:b/>
          <w:sz w:val="28"/>
          <w:szCs w:val="28"/>
        </w:rPr>
        <w:t>а</w:t>
      </w:r>
      <w:proofErr w:type="spellEnd"/>
    </w:p>
    <w:p w14:paraId="208A15B7" w14:textId="77777777" w:rsidR="00BF4824" w:rsidRPr="000110E3" w:rsidRDefault="004609C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В</w:t>
      </w:r>
      <w:r w:rsidR="00A54708" w:rsidRPr="000110E3">
        <w:rPr>
          <w:sz w:val="28"/>
          <w:szCs w:val="28"/>
        </w:rPr>
        <w:t>имоги регуляторного</w:t>
      </w:r>
      <w:r w:rsidR="002B0E8D" w:rsidRPr="000110E3">
        <w:rPr>
          <w:sz w:val="28"/>
          <w:szCs w:val="28"/>
        </w:rPr>
        <w:t xml:space="preserve"> </w:t>
      </w:r>
      <w:proofErr w:type="spellStart"/>
      <w:r w:rsidR="002B0E8D" w:rsidRPr="000110E3">
        <w:rPr>
          <w:sz w:val="28"/>
          <w:szCs w:val="28"/>
        </w:rPr>
        <w:t>акт</w:t>
      </w:r>
      <w:r w:rsidR="00510057">
        <w:rPr>
          <w:sz w:val="28"/>
          <w:szCs w:val="28"/>
        </w:rPr>
        <w:t>а</w:t>
      </w:r>
      <w:proofErr w:type="spellEnd"/>
      <w:r w:rsidR="002B0E8D" w:rsidRPr="000110E3">
        <w:rPr>
          <w:sz w:val="28"/>
          <w:szCs w:val="28"/>
        </w:rPr>
        <w:t xml:space="preserve"> </w:t>
      </w:r>
      <w:r w:rsidR="008D6C27" w:rsidRPr="000110E3">
        <w:rPr>
          <w:sz w:val="28"/>
          <w:szCs w:val="28"/>
        </w:rPr>
        <w:t xml:space="preserve">після </w:t>
      </w:r>
      <w:r w:rsidR="00896FFB" w:rsidRPr="000110E3">
        <w:rPr>
          <w:sz w:val="28"/>
          <w:szCs w:val="28"/>
        </w:rPr>
        <w:t xml:space="preserve">його </w:t>
      </w:r>
      <w:r w:rsidR="008D6C27" w:rsidRPr="000110E3">
        <w:rPr>
          <w:sz w:val="28"/>
          <w:szCs w:val="28"/>
        </w:rPr>
        <w:t xml:space="preserve">запровадження </w:t>
      </w:r>
      <w:r w:rsidRPr="000110E3">
        <w:rPr>
          <w:sz w:val="28"/>
          <w:szCs w:val="28"/>
        </w:rPr>
        <w:t>п</w:t>
      </w:r>
      <w:r w:rsidR="002B0E8D" w:rsidRPr="000110E3">
        <w:rPr>
          <w:sz w:val="28"/>
          <w:szCs w:val="28"/>
        </w:rPr>
        <w:t xml:space="preserve">оширюватимуться на </w:t>
      </w:r>
      <w:r w:rsidR="00C62FB6" w:rsidRPr="000110E3">
        <w:rPr>
          <w:sz w:val="28"/>
          <w:szCs w:val="28"/>
        </w:rPr>
        <w:t>таких учасників ринку небанківських фінансових послуг</w:t>
      </w:r>
      <w:r w:rsidR="00896FFB" w:rsidRPr="000110E3">
        <w:rPr>
          <w:sz w:val="28"/>
          <w:szCs w:val="28"/>
        </w:rPr>
        <w:t xml:space="preserve"> як</w:t>
      </w:r>
      <w:r w:rsidR="00C62FB6" w:rsidRPr="000110E3">
        <w:rPr>
          <w:sz w:val="28"/>
          <w:szCs w:val="28"/>
        </w:rPr>
        <w:t xml:space="preserve"> </w:t>
      </w:r>
      <w:r w:rsidR="00BF4824" w:rsidRPr="000110E3">
        <w:rPr>
          <w:sz w:val="28"/>
          <w:szCs w:val="28"/>
          <w:lang w:eastAsia="en-US"/>
        </w:rPr>
        <w:t xml:space="preserve">страховики, </w:t>
      </w:r>
      <w:r w:rsidR="003D0694" w:rsidRPr="000110E3">
        <w:rPr>
          <w:sz w:val="28"/>
          <w:szCs w:val="28"/>
        </w:rPr>
        <w:t xml:space="preserve">кредитні спілки, </w:t>
      </w:r>
      <w:r w:rsidR="003667D2" w:rsidRPr="000110E3">
        <w:rPr>
          <w:sz w:val="28"/>
          <w:szCs w:val="28"/>
        </w:rPr>
        <w:t xml:space="preserve">фінансові компанії, </w:t>
      </w:r>
      <w:r w:rsidR="003D0694" w:rsidRPr="000110E3">
        <w:rPr>
          <w:sz w:val="28"/>
          <w:szCs w:val="28"/>
        </w:rPr>
        <w:t>ло</w:t>
      </w:r>
      <w:r w:rsidR="003D0694">
        <w:rPr>
          <w:sz w:val="28"/>
          <w:szCs w:val="28"/>
        </w:rPr>
        <w:t>мбарди, колекторські компанії</w:t>
      </w:r>
      <w:r w:rsidR="00BF4824" w:rsidRPr="000110E3">
        <w:rPr>
          <w:sz w:val="28"/>
          <w:szCs w:val="28"/>
        </w:rPr>
        <w:t>.</w:t>
      </w:r>
    </w:p>
    <w:p w14:paraId="6C6FCD2B" w14:textId="77777777" w:rsidR="003D2D38" w:rsidRPr="000110E3" w:rsidRDefault="003D2D3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Показник</w:t>
      </w:r>
      <w:r w:rsidR="00BF4824" w:rsidRPr="000110E3">
        <w:rPr>
          <w:sz w:val="28"/>
          <w:szCs w:val="28"/>
        </w:rPr>
        <w:t>и</w:t>
      </w:r>
      <w:r w:rsidRPr="000110E3">
        <w:rPr>
          <w:sz w:val="28"/>
          <w:szCs w:val="28"/>
        </w:rPr>
        <w:t xml:space="preserve"> резул</w:t>
      </w:r>
      <w:r w:rsidR="00BF4824" w:rsidRPr="000110E3">
        <w:rPr>
          <w:sz w:val="28"/>
          <w:szCs w:val="28"/>
        </w:rPr>
        <w:t xml:space="preserve">ьтативності регуляторного </w:t>
      </w:r>
      <w:proofErr w:type="spellStart"/>
      <w:r w:rsidR="00BF4824"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>:</w:t>
      </w:r>
    </w:p>
    <w:p w14:paraId="181ED399" w14:textId="77777777" w:rsidR="003D2D38" w:rsidRPr="000110E3" w:rsidRDefault="003D2D38" w:rsidP="00F86980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кількість суб’єктів, на яких поширюватиметься дія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. </w:t>
      </w:r>
    </w:p>
    <w:p w14:paraId="71A85A7D" w14:textId="77777777" w:rsidR="00BF4824" w:rsidRPr="000110E3" w:rsidRDefault="003D2D38" w:rsidP="00BF4824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28610A">
        <w:rPr>
          <w:sz w:val="28"/>
          <w:szCs w:val="28"/>
        </w:rPr>
        <w:t>Станом на 01.</w:t>
      </w:r>
      <w:r w:rsidR="0044270A" w:rsidRPr="0028610A">
        <w:rPr>
          <w:sz w:val="28"/>
          <w:szCs w:val="28"/>
        </w:rPr>
        <w:t>0</w:t>
      </w:r>
      <w:r w:rsidR="00BF4824" w:rsidRPr="0028610A">
        <w:rPr>
          <w:sz w:val="28"/>
          <w:szCs w:val="28"/>
        </w:rPr>
        <w:t>7</w:t>
      </w:r>
      <w:r w:rsidRPr="0028610A">
        <w:rPr>
          <w:sz w:val="28"/>
          <w:szCs w:val="28"/>
        </w:rPr>
        <w:t>.202</w:t>
      </w:r>
      <w:r w:rsidR="00BF4824" w:rsidRPr="0028610A">
        <w:rPr>
          <w:sz w:val="28"/>
          <w:szCs w:val="28"/>
        </w:rPr>
        <w:t>3</w:t>
      </w:r>
      <w:r w:rsidRPr="0028610A">
        <w:rPr>
          <w:sz w:val="28"/>
          <w:szCs w:val="28"/>
        </w:rPr>
        <w:t xml:space="preserve"> в Україні зареєстровано </w:t>
      </w:r>
      <w:r w:rsidR="001470FD">
        <w:rPr>
          <w:sz w:val="28"/>
          <w:szCs w:val="28"/>
        </w:rPr>
        <w:t>116</w:t>
      </w:r>
      <w:r w:rsidR="0044270A" w:rsidRPr="0028610A">
        <w:rPr>
          <w:sz w:val="28"/>
          <w:szCs w:val="28"/>
        </w:rPr>
        <w:t xml:space="preserve"> </w:t>
      </w:r>
      <w:r w:rsidR="00396ABC" w:rsidRPr="0028610A">
        <w:rPr>
          <w:sz w:val="28"/>
          <w:szCs w:val="28"/>
        </w:rPr>
        <w:t>страховиків</w:t>
      </w:r>
      <w:r w:rsidR="00BF4824" w:rsidRPr="0028610A">
        <w:rPr>
          <w:sz w:val="28"/>
          <w:szCs w:val="28"/>
        </w:rPr>
        <w:t>,</w:t>
      </w:r>
      <w:r w:rsidR="0063110E" w:rsidRPr="0028610A">
        <w:rPr>
          <w:sz w:val="28"/>
          <w:szCs w:val="28"/>
        </w:rPr>
        <w:t xml:space="preserve"> </w:t>
      </w:r>
      <w:r w:rsidR="009D6301">
        <w:rPr>
          <w:sz w:val="28"/>
          <w:szCs w:val="28"/>
        </w:rPr>
        <w:t xml:space="preserve">151 </w:t>
      </w:r>
      <w:r w:rsidR="007E5956">
        <w:rPr>
          <w:sz w:val="28"/>
          <w:szCs w:val="28"/>
        </w:rPr>
        <w:t>кредитна спіл</w:t>
      </w:r>
      <w:r w:rsidR="004231C6" w:rsidRPr="0028610A">
        <w:rPr>
          <w:sz w:val="28"/>
          <w:szCs w:val="28"/>
        </w:rPr>
        <w:t>к</w:t>
      </w:r>
      <w:r w:rsidR="007E5956">
        <w:rPr>
          <w:sz w:val="28"/>
          <w:szCs w:val="28"/>
        </w:rPr>
        <w:t>а</w:t>
      </w:r>
      <w:r w:rsidR="004231C6" w:rsidRPr="0028610A">
        <w:rPr>
          <w:sz w:val="28"/>
          <w:szCs w:val="28"/>
        </w:rPr>
        <w:t xml:space="preserve">, </w:t>
      </w:r>
      <w:r w:rsidR="00AB4B7C">
        <w:rPr>
          <w:sz w:val="28"/>
          <w:szCs w:val="28"/>
        </w:rPr>
        <w:t>629</w:t>
      </w:r>
      <w:r w:rsidR="008C430D" w:rsidRPr="0028610A">
        <w:rPr>
          <w:sz w:val="28"/>
          <w:szCs w:val="28"/>
        </w:rPr>
        <w:t xml:space="preserve"> фінансових компаній, </w:t>
      </w:r>
      <w:r w:rsidR="000A1099">
        <w:rPr>
          <w:sz w:val="28"/>
          <w:szCs w:val="28"/>
        </w:rPr>
        <w:t xml:space="preserve">164 </w:t>
      </w:r>
      <w:r w:rsidR="007E5956">
        <w:rPr>
          <w:sz w:val="28"/>
          <w:szCs w:val="28"/>
        </w:rPr>
        <w:t>ломбард</w:t>
      </w:r>
      <w:r w:rsidR="00123012">
        <w:rPr>
          <w:sz w:val="28"/>
          <w:szCs w:val="28"/>
        </w:rPr>
        <w:t>и</w:t>
      </w:r>
      <w:r w:rsidR="0063110E" w:rsidRPr="0028610A">
        <w:rPr>
          <w:sz w:val="28"/>
          <w:szCs w:val="28"/>
        </w:rPr>
        <w:t>,</w:t>
      </w:r>
      <w:r w:rsidR="00BF4824" w:rsidRPr="0028610A">
        <w:rPr>
          <w:sz w:val="28"/>
          <w:szCs w:val="28"/>
        </w:rPr>
        <w:t xml:space="preserve"> </w:t>
      </w:r>
      <w:r w:rsidR="0028610A">
        <w:rPr>
          <w:sz w:val="28"/>
          <w:szCs w:val="28"/>
        </w:rPr>
        <w:t>82</w:t>
      </w:r>
      <w:r w:rsidR="00F86980" w:rsidRPr="0028610A">
        <w:rPr>
          <w:sz w:val="28"/>
          <w:szCs w:val="28"/>
        </w:rPr>
        <w:t xml:space="preserve"> </w:t>
      </w:r>
      <w:r w:rsidR="00383838" w:rsidRPr="0028610A">
        <w:rPr>
          <w:sz w:val="28"/>
          <w:szCs w:val="28"/>
        </w:rPr>
        <w:t>лізингодавц</w:t>
      </w:r>
      <w:r w:rsidR="007E5956">
        <w:rPr>
          <w:sz w:val="28"/>
          <w:szCs w:val="28"/>
        </w:rPr>
        <w:t>я</w:t>
      </w:r>
      <w:r w:rsidR="00383838" w:rsidRPr="00123012">
        <w:rPr>
          <w:sz w:val="28"/>
          <w:szCs w:val="28"/>
        </w:rPr>
        <w:t xml:space="preserve">, </w:t>
      </w:r>
      <w:r w:rsidR="00403837" w:rsidRPr="00123012">
        <w:rPr>
          <w:sz w:val="28"/>
          <w:szCs w:val="28"/>
        </w:rPr>
        <w:t>67</w:t>
      </w:r>
      <w:r w:rsidR="00403837">
        <w:rPr>
          <w:sz w:val="28"/>
          <w:szCs w:val="28"/>
        </w:rPr>
        <w:t xml:space="preserve"> </w:t>
      </w:r>
      <w:r w:rsidR="00383838" w:rsidRPr="0028610A">
        <w:rPr>
          <w:sz w:val="28"/>
          <w:szCs w:val="28"/>
        </w:rPr>
        <w:t>колекторських компаній</w:t>
      </w:r>
      <w:r w:rsidR="00BF4824" w:rsidRPr="0028610A">
        <w:rPr>
          <w:sz w:val="28"/>
          <w:szCs w:val="28"/>
        </w:rPr>
        <w:t>;</w:t>
      </w:r>
    </w:p>
    <w:p w14:paraId="62A4594E" w14:textId="77777777" w:rsidR="00CA743E" w:rsidRPr="000110E3" w:rsidRDefault="00CA743E" w:rsidP="009E7DB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кількість файлів з показниками звітності, що подаватимуться учасниками ринку небанківських фінансових послуг до Національного банку:</w:t>
      </w:r>
      <w:r w:rsidR="00BF4824" w:rsidRPr="000110E3">
        <w:rPr>
          <w:sz w:val="28"/>
          <w:szCs w:val="28"/>
        </w:rPr>
        <w:t xml:space="preserve"> </w:t>
      </w:r>
    </w:p>
    <w:p w14:paraId="5602F4C1" w14:textId="2B4E523F" w:rsidR="00BF4824" w:rsidRPr="000110E3" w:rsidRDefault="00CA743E" w:rsidP="00CA743E">
      <w:pPr>
        <w:pStyle w:val="ad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усього </w:t>
      </w:r>
      <w:r w:rsidR="00047EC3">
        <w:rPr>
          <w:sz w:val="28"/>
          <w:szCs w:val="28"/>
        </w:rPr>
        <w:t>4</w:t>
      </w:r>
      <w:bookmarkStart w:id="0" w:name="_GoBack"/>
      <w:bookmarkEnd w:id="0"/>
      <w:r w:rsidR="00BF4824" w:rsidRPr="000110E3">
        <w:rPr>
          <w:sz w:val="28"/>
          <w:szCs w:val="28"/>
        </w:rPr>
        <w:t xml:space="preserve">9 файлів з показниками звітності у форматі </w:t>
      </w:r>
      <w:r w:rsidR="00BF4824" w:rsidRPr="000110E3">
        <w:rPr>
          <w:sz w:val="28"/>
          <w:szCs w:val="28"/>
          <w:lang w:val="en-US"/>
        </w:rPr>
        <w:t>XML</w:t>
      </w:r>
      <w:r w:rsidR="00BF4824" w:rsidRPr="000110E3">
        <w:rPr>
          <w:sz w:val="28"/>
          <w:szCs w:val="28"/>
        </w:rPr>
        <w:t>, з яких:</w:t>
      </w:r>
    </w:p>
    <w:p w14:paraId="4A746DC6" w14:textId="77777777" w:rsidR="00BF4824" w:rsidRPr="000110E3" w:rsidRDefault="00BF4824" w:rsidP="00CA743E">
      <w:pPr>
        <w:pStyle w:val="ad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страховик</w:t>
      </w:r>
      <w:r w:rsidR="003C4A1F" w:rsidRPr="000110E3">
        <w:rPr>
          <w:sz w:val="28"/>
          <w:szCs w:val="28"/>
        </w:rPr>
        <w:t>ами</w:t>
      </w:r>
      <w:r w:rsidRPr="000110E3">
        <w:rPr>
          <w:sz w:val="28"/>
          <w:szCs w:val="28"/>
        </w:rPr>
        <w:t xml:space="preserve"> </w:t>
      </w:r>
      <w:r w:rsidR="000110E3" w:rsidRPr="000110E3">
        <w:rPr>
          <w:sz w:val="28"/>
          <w:szCs w:val="28"/>
        </w:rPr>
        <w:t xml:space="preserve">подаватимуться </w:t>
      </w:r>
      <w:r w:rsidR="003C4A1F" w:rsidRPr="000110E3">
        <w:rPr>
          <w:sz w:val="28"/>
          <w:szCs w:val="28"/>
        </w:rPr>
        <w:t xml:space="preserve">– </w:t>
      </w:r>
      <w:r w:rsidRPr="000110E3">
        <w:rPr>
          <w:sz w:val="28"/>
          <w:szCs w:val="28"/>
        </w:rPr>
        <w:t xml:space="preserve"> 24 файли;</w:t>
      </w:r>
    </w:p>
    <w:p w14:paraId="6FA420B7" w14:textId="77777777" w:rsidR="00BF4824" w:rsidRPr="000110E3" w:rsidRDefault="00BF4824" w:rsidP="00CA743E">
      <w:pPr>
        <w:pStyle w:val="ad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кредитн</w:t>
      </w:r>
      <w:r w:rsidR="003C4A1F" w:rsidRPr="000110E3">
        <w:rPr>
          <w:sz w:val="28"/>
          <w:szCs w:val="28"/>
        </w:rPr>
        <w:t>ими</w:t>
      </w:r>
      <w:r w:rsidRPr="000110E3">
        <w:rPr>
          <w:sz w:val="28"/>
          <w:szCs w:val="28"/>
        </w:rPr>
        <w:t xml:space="preserve"> спілк</w:t>
      </w:r>
      <w:r w:rsidR="003C4A1F" w:rsidRPr="000110E3">
        <w:rPr>
          <w:sz w:val="28"/>
          <w:szCs w:val="28"/>
        </w:rPr>
        <w:t>ами</w:t>
      </w:r>
      <w:r w:rsidRPr="000110E3">
        <w:rPr>
          <w:sz w:val="28"/>
          <w:szCs w:val="28"/>
        </w:rPr>
        <w:t xml:space="preserve"> – 9 файлів;</w:t>
      </w:r>
    </w:p>
    <w:p w14:paraId="0687F9E1" w14:textId="77777777" w:rsidR="004231C6" w:rsidRPr="000110E3" w:rsidRDefault="004231C6" w:rsidP="004231C6">
      <w:pPr>
        <w:pStyle w:val="ad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фінансовими компаніями – 19 файлів;</w:t>
      </w:r>
    </w:p>
    <w:p w14:paraId="2989E7B5" w14:textId="77777777" w:rsidR="00BF4824" w:rsidRPr="000110E3" w:rsidRDefault="00BF4824" w:rsidP="00CA743E">
      <w:pPr>
        <w:pStyle w:val="ad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ломбард</w:t>
      </w:r>
      <w:r w:rsidR="003C4A1F" w:rsidRPr="000110E3">
        <w:rPr>
          <w:sz w:val="28"/>
          <w:szCs w:val="28"/>
        </w:rPr>
        <w:t xml:space="preserve">ами </w:t>
      </w:r>
      <w:r w:rsidRPr="000110E3">
        <w:rPr>
          <w:sz w:val="28"/>
          <w:szCs w:val="28"/>
        </w:rPr>
        <w:t>– 14 файлів;</w:t>
      </w:r>
    </w:p>
    <w:p w14:paraId="2A8AE2B9" w14:textId="77777777" w:rsidR="00BF4824" w:rsidRPr="000110E3" w:rsidRDefault="00BF4824" w:rsidP="00CA743E">
      <w:pPr>
        <w:pStyle w:val="ad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колектор</w:t>
      </w:r>
      <w:r w:rsidR="00CA743E" w:rsidRPr="000110E3">
        <w:rPr>
          <w:sz w:val="28"/>
          <w:szCs w:val="28"/>
        </w:rPr>
        <w:t>ськ</w:t>
      </w:r>
      <w:r w:rsidR="003C4A1F" w:rsidRPr="000110E3">
        <w:rPr>
          <w:sz w:val="28"/>
          <w:szCs w:val="28"/>
        </w:rPr>
        <w:t xml:space="preserve">ими </w:t>
      </w:r>
      <w:r w:rsidR="00CA743E" w:rsidRPr="000110E3">
        <w:rPr>
          <w:sz w:val="28"/>
          <w:szCs w:val="28"/>
        </w:rPr>
        <w:t>компані</w:t>
      </w:r>
      <w:r w:rsidR="003C4A1F" w:rsidRPr="000110E3">
        <w:rPr>
          <w:sz w:val="28"/>
          <w:szCs w:val="28"/>
        </w:rPr>
        <w:t>ями</w:t>
      </w:r>
      <w:r w:rsidR="009E7DBC" w:rsidRPr="000110E3">
        <w:rPr>
          <w:sz w:val="28"/>
          <w:szCs w:val="28"/>
        </w:rPr>
        <w:t xml:space="preserve"> – 3 файли;</w:t>
      </w:r>
    </w:p>
    <w:p w14:paraId="2D289020" w14:textId="77777777" w:rsidR="00BF4824" w:rsidRPr="000110E3" w:rsidRDefault="009E7DBC" w:rsidP="009E7DBC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right="-6" w:firstLine="567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0110E3">
        <w:rPr>
          <w:sz w:val="28"/>
          <w:szCs w:val="28"/>
        </w:rPr>
        <w:t>е</w:t>
      </w:r>
      <w:r w:rsidR="00BF4824" w:rsidRPr="000110E3">
        <w:rPr>
          <w:sz w:val="28"/>
          <w:szCs w:val="28"/>
        </w:rPr>
        <w:t>лектронн</w:t>
      </w:r>
      <w:r w:rsidR="003C4A1F" w:rsidRPr="000110E3">
        <w:rPr>
          <w:sz w:val="28"/>
          <w:szCs w:val="28"/>
        </w:rPr>
        <w:t>і</w:t>
      </w:r>
      <w:r w:rsidR="00BF4824" w:rsidRPr="000110E3">
        <w:rPr>
          <w:sz w:val="28"/>
          <w:szCs w:val="28"/>
        </w:rPr>
        <w:t xml:space="preserve"> документ</w:t>
      </w:r>
      <w:r w:rsidR="003C4A1F" w:rsidRPr="000110E3">
        <w:rPr>
          <w:sz w:val="28"/>
          <w:szCs w:val="28"/>
        </w:rPr>
        <w:t>и</w:t>
      </w:r>
      <w:r w:rsidR="00BF4824" w:rsidRPr="000110E3">
        <w:rPr>
          <w:sz w:val="28"/>
          <w:szCs w:val="28"/>
        </w:rPr>
        <w:t xml:space="preserve"> у форматі  W</w:t>
      </w:r>
      <w:proofErr w:type="spellStart"/>
      <w:r w:rsidR="00BF4824" w:rsidRPr="000110E3">
        <w:rPr>
          <w:sz w:val="28"/>
          <w:szCs w:val="28"/>
          <w:lang w:val="en-US"/>
        </w:rPr>
        <w:t>ord</w:t>
      </w:r>
      <w:proofErr w:type="spellEnd"/>
      <w:r w:rsidR="00BF4824" w:rsidRPr="000110E3">
        <w:rPr>
          <w:sz w:val="28"/>
          <w:szCs w:val="28"/>
        </w:rPr>
        <w:t>, E</w:t>
      </w:r>
      <w:r w:rsidR="00BF4824" w:rsidRPr="000110E3">
        <w:rPr>
          <w:sz w:val="28"/>
          <w:szCs w:val="28"/>
          <w:lang w:val="en-US"/>
        </w:rPr>
        <w:t>x</w:t>
      </w:r>
      <w:r w:rsidR="00BF4824" w:rsidRPr="000110E3">
        <w:rPr>
          <w:sz w:val="28"/>
          <w:szCs w:val="28"/>
        </w:rPr>
        <w:t>с</w:t>
      </w:r>
      <w:r w:rsidR="00BF4824" w:rsidRPr="000110E3">
        <w:rPr>
          <w:sz w:val="28"/>
          <w:szCs w:val="28"/>
          <w:lang w:val="en-US"/>
        </w:rPr>
        <w:t>el</w:t>
      </w:r>
      <w:r w:rsidRPr="000110E3">
        <w:rPr>
          <w:sz w:val="28"/>
          <w:szCs w:val="28"/>
        </w:rPr>
        <w:t>, що подаватимуться</w:t>
      </w:r>
      <w:r w:rsidR="003C4A1F" w:rsidRPr="000110E3">
        <w:rPr>
          <w:sz w:val="28"/>
          <w:szCs w:val="28"/>
        </w:rPr>
        <w:t xml:space="preserve"> до Національного банку</w:t>
      </w:r>
      <w:r w:rsidR="00BF4824" w:rsidRPr="000110E3">
        <w:rPr>
          <w:color w:val="333333"/>
          <w:sz w:val="28"/>
          <w:szCs w:val="28"/>
          <w:shd w:val="clear" w:color="auto" w:fill="FFFFFF"/>
          <w:lang w:val="ru-RU"/>
        </w:rPr>
        <w:t>:</w:t>
      </w:r>
    </w:p>
    <w:p w14:paraId="082DE8F4" w14:textId="77777777" w:rsidR="00BF4824" w:rsidRPr="000110E3" w:rsidRDefault="00BF4824" w:rsidP="003C4A1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>фінансов</w:t>
      </w:r>
      <w:r w:rsidR="003C4A1F" w:rsidRPr="000110E3">
        <w:rPr>
          <w:sz w:val="28"/>
          <w:szCs w:val="28"/>
        </w:rPr>
        <w:t>ими</w:t>
      </w:r>
      <w:r w:rsidRPr="000110E3">
        <w:rPr>
          <w:sz w:val="28"/>
          <w:szCs w:val="28"/>
        </w:rPr>
        <w:t xml:space="preserve"> компані</w:t>
      </w:r>
      <w:r w:rsidR="003C4A1F" w:rsidRPr="000110E3">
        <w:rPr>
          <w:sz w:val="28"/>
          <w:szCs w:val="28"/>
        </w:rPr>
        <w:t>ями</w:t>
      </w:r>
      <w:r w:rsidRPr="000110E3">
        <w:rPr>
          <w:sz w:val="28"/>
          <w:szCs w:val="28"/>
        </w:rPr>
        <w:t xml:space="preserve"> та ломбард</w:t>
      </w:r>
      <w:r w:rsidR="003C4A1F" w:rsidRPr="000110E3">
        <w:rPr>
          <w:sz w:val="28"/>
          <w:szCs w:val="28"/>
        </w:rPr>
        <w:t>ами</w:t>
      </w:r>
      <w:r w:rsidRPr="000110E3">
        <w:rPr>
          <w:sz w:val="28"/>
          <w:szCs w:val="28"/>
        </w:rPr>
        <w:t xml:space="preserve"> – примітки до фінансової, консолідованої фінансової звітності;</w:t>
      </w:r>
    </w:p>
    <w:p w14:paraId="644E9D7F" w14:textId="77777777" w:rsidR="00BF4824" w:rsidRPr="000110E3" w:rsidRDefault="00BF4824" w:rsidP="009E7DBC">
      <w:pPr>
        <w:shd w:val="clear" w:color="auto" w:fill="FFFFFF"/>
        <w:tabs>
          <w:tab w:val="left" w:pos="567"/>
          <w:tab w:val="left" w:pos="709"/>
          <w:tab w:val="left" w:pos="851"/>
        </w:tabs>
        <w:ind w:left="567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0110E3">
        <w:rPr>
          <w:sz w:val="28"/>
          <w:szCs w:val="28"/>
        </w:rPr>
        <w:t>страховик</w:t>
      </w:r>
      <w:proofErr w:type="spellStart"/>
      <w:r w:rsidR="003C4A1F" w:rsidRPr="000110E3">
        <w:rPr>
          <w:sz w:val="28"/>
          <w:szCs w:val="28"/>
          <w:lang w:val="ru-RU"/>
        </w:rPr>
        <w:t>ами</w:t>
      </w:r>
      <w:proofErr w:type="spellEnd"/>
      <w:r w:rsidRPr="000110E3">
        <w:rPr>
          <w:sz w:val="28"/>
          <w:szCs w:val="28"/>
          <w:lang w:val="ru-RU"/>
        </w:rPr>
        <w:t xml:space="preserve"> –</w:t>
      </w:r>
      <w:r w:rsidRPr="000110E3">
        <w:rPr>
          <w:sz w:val="28"/>
          <w:szCs w:val="28"/>
        </w:rPr>
        <w:t xml:space="preserve"> пояснювальн</w:t>
      </w:r>
      <w:r w:rsidR="003C4A1F" w:rsidRPr="000110E3">
        <w:rPr>
          <w:sz w:val="28"/>
          <w:szCs w:val="28"/>
        </w:rPr>
        <w:t>а</w:t>
      </w:r>
      <w:r w:rsidRPr="000110E3">
        <w:rPr>
          <w:sz w:val="28"/>
          <w:szCs w:val="28"/>
        </w:rPr>
        <w:t xml:space="preserve"> записк</w:t>
      </w:r>
      <w:r w:rsidR="003C4A1F" w:rsidRPr="000110E3">
        <w:rPr>
          <w:sz w:val="28"/>
          <w:szCs w:val="28"/>
        </w:rPr>
        <w:t>а</w:t>
      </w:r>
      <w:r w:rsidRPr="000110E3">
        <w:rPr>
          <w:sz w:val="28"/>
          <w:szCs w:val="28"/>
        </w:rPr>
        <w:t xml:space="preserve"> до звітності.</w:t>
      </w:r>
    </w:p>
    <w:p w14:paraId="36FD0E91" w14:textId="77777777" w:rsidR="002B0E8D" w:rsidRPr="000110E3" w:rsidRDefault="002B0E8D" w:rsidP="00F86980">
      <w:pPr>
        <w:widowControl w:val="0"/>
        <w:tabs>
          <w:tab w:val="left" w:pos="567"/>
        </w:tabs>
        <w:ind w:right="-6" w:firstLine="567"/>
        <w:jc w:val="both"/>
        <w:rPr>
          <w:b/>
          <w:color w:val="000000"/>
          <w:sz w:val="20"/>
          <w:szCs w:val="20"/>
        </w:rPr>
      </w:pPr>
    </w:p>
    <w:p w14:paraId="2524AD10" w14:textId="77777777" w:rsidR="009E6C3D" w:rsidRPr="000110E3" w:rsidRDefault="0043258B" w:rsidP="00F86980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 w:eastAsia="zh-CN"/>
        </w:rPr>
      </w:pPr>
      <w:r w:rsidRPr="000110E3">
        <w:rPr>
          <w:rFonts w:ascii="Times New Roman" w:hAnsi="Times New Roman"/>
          <w:b/>
          <w:color w:val="auto"/>
          <w:sz w:val="28"/>
          <w:szCs w:val="28"/>
          <w:lang w:eastAsia="ru-RU"/>
        </w:rPr>
        <w:t>IX</w:t>
      </w:r>
      <w:r w:rsidR="00E13BC5" w:rsidRPr="000110E3">
        <w:rPr>
          <w:rFonts w:ascii="Times New Roman" w:hAnsi="Times New Roman"/>
          <w:b/>
          <w:color w:val="auto"/>
          <w:sz w:val="28"/>
          <w:szCs w:val="28"/>
          <w:lang w:val="ru-RU" w:eastAsia="ru-RU"/>
        </w:rPr>
        <w:t>.</w:t>
      </w:r>
      <w:r w:rsidR="009D4468" w:rsidRPr="000110E3">
        <w:rPr>
          <w:rFonts w:ascii="Times New Roman" w:hAnsi="Times New Roman"/>
          <w:b/>
          <w:color w:val="auto"/>
          <w:sz w:val="28"/>
          <w:szCs w:val="28"/>
          <w:lang w:val="ru-RU" w:eastAsia="ru-RU"/>
        </w:rPr>
        <w:t xml:space="preserve"> </w:t>
      </w:r>
      <w:r w:rsidR="00244C3D" w:rsidRPr="000110E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Визначення заходів, з допомогою яких здійснюватиметься</w:t>
      </w:r>
      <w:r w:rsidR="00244C3D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 відстеження </w:t>
      </w:r>
      <w:proofErr w:type="gramStart"/>
      <w:r w:rsidR="00244C3D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результативності  </w:t>
      </w:r>
      <w:proofErr w:type="spellStart"/>
      <w:r w:rsidR="00244C3D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>акта</w:t>
      </w:r>
      <w:proofErr w:type="spellEnd"/>
      <w:proofErr w:type="gramEnd"/>
      <w:r w:rsidR="00244C3D" w:rsidRPr="000110E3">
        <w:rPr>
          <w:rFonts w:ascii="Times New Roman" w:hAnsi="Times New Roman"/>
          <w:b/>
          <w:color w:val="auto"/>
          <w:sz w:val="28"/>
          <w:szCs w:val="28"/>
          <w:lang w:val="uk-UA" w:eastAsia="zh-CN"/>
        </w:rPr>
        <w:t xml:space="preserve"> </w:t>
      </w:r>
    </w:p>
    <w:p w14:paraId="0B10173B" w14:textId="77777777" w:rsidR="005A1DE6" w:rsidRPr="000110E3" w:rsidRDefault="005A1DE6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Відповідно до статей 3 та 10 Закону України “Про засади державної регуляторної політики в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у порядку, визначеному Методикою відстеження результативності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Національного банку України, затвердженою постановою Кабінету Міністрів України і Національного банку України від 14 квітня 2004 року № 471 (зі змінами). </w:t>
      </w:r>
    </w:p>
    <w:p w14:paraId="0357F2CD" w14:textId="3823E795" w:rsidR="009E6117" w:rsidRPr="000110E3" w:rsidRDefault="00B6493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буде здійснене до </w:t>
      </w:r>
      <w:r w:rsidRPr="000110E3">
        <w:rPr>
          <w:sz w:val="28"/>
          <w:szCs w:val="28"/>
        </w:rPr>
        <w:lastRenderedPageBreak/>
        <w:t xml:space="preserve">дня набрання чинності цим актом шляхом збору зауважень та пропозицій учасників ринку небанківських фінансових послуг у встановлений термін та їх аналізу. Виявлені </w:t>
      </w:r>
      <w:r w:rsidR="00B7198D" w:rsidRPr="000110E3">
        <w:rPr>
          <w:sz w:val="28"/>
          <w:szCs w:val="28"/>
        </w:rPr>
        <w:t xml:space="preserve">Національним банком </w:t>
      </w:r>
      <w:r w:rsidRPr="000110E3">
        <w:rPr>
          <w:sz w:val="28"/>
          <w:szCs w:val="28"/>
        </w:rPr>
        <w:t xml:space="preserve">за результатами розгляду одержаних зауважень та пропозицій неврегульовані та проблемні питання будуть урегульовані шляхом унесення до </w:t>
      </w:r>
      <w:proofErr w:type="spellStart"/>
      <w:r w:rsidRPr="000110E3">
        <w:rPr>
          <w:sz w:val="28"/>
          <w:szCs w:val="28"/>
        </w:rPr>
        <w:t>проєкту</w:t>
      </w:r>
      <w:proofErr w:type="spellEnd"/>
      <w:r w:rsidRPr="000110E3">
        <w:rPr>
          <w:sz w:val="28"/>
          <w:szCs w:val="28"/>
        </w:rPr>
        <w:t xml:space="preserve">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відповідних змін.</w:t>
      </w:r>
    </w:p>
    <w:p w14:paraId="600A5712" w14:textId="77777777" w:rsidR="009E6117" w:rsidRPr="000110E3" w:rsidRDefault="00B6493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проводитиметься не пізніше двох років із дня набрання чинності цим актом.</w:t>
      </w:r>
    </w:p>
    <w:p w14:paraId="07BB3B03" w14:textId="77777777" w:rsidR="00B64938" w:rsidRPr="000110E3" w:rsidRDefault="00B6493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  <w:r w:rsidRPr="000110E3">
        <w:rPr>
          <w:sz w:val="28"/>
          <w:szCs w:val="28"/>
        </w:rPr>
        <w:t xml:space="preserve">Періодичне відстеження результативності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 xml:space="preserve"> здійснюватиметься один раз на кожні три роки, починаючи з дня виконання заходів із повторного відстеження результативності регуляторного </w:t>
      </w:r>
      <w:proofErr w:type="spellStart"/>
      <w:r w:rsidRPr="000110E3">
        <w:rPr>
          <w:sz w:val="28"/>
          <w:szCs w:val="28"/>
        </w:rPr>
        <w:t>акта</w:t>
      </w:r>
      <w:proofErr w:type="spellEnd"/>
      <w:r w:rsidRPr="000110E3">
        <w:rPr>
          <w:sz w:val="28"/>
          <w:szCs w:val="28"/>
        </w:rPr>
        <w:t>.</w:t>
      </w:r>
    </w:p>
    <w:p w14:paraId="34D3A407" w14:textId="77777777" w:rsidR="00B64938" w:rsidRPr="000110E3" w:rsidRDefault="00B7198D" w:rsidP="00F8698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0E3">
        <w:rPr>
          <w:sz w:val="28"/>
          <w:szCs w:val="28"/>
          <w:lang w:eastAsia="uk-UA"/>
        </w:rPr>
        <w:t>В</w:t>
      </w:r>
      <w:r w:rsidR="00B64938" w:rsidRPr="000110E3">
        <w:rPr>
          <w:sz w:val="28"/>
          <w:szCs w:val="28"/>
          <w:lang w:eastAsia="uk-UA"/>
        </w:rPr>
        <w:t xml:space="preserve">ідстеження результативності регуляторного </w:t>
      </w:r>
      <w:proofErr w:type="spellStart"/>
      <w:r w:rsidR="00B64938" w:rsidRPr="000110E3">
        <w:rPr>
          <w:sz w:val="28"/>
          <w:szCs w:val="28"/>
          <w:lang w:eastAsia="uk-UA"/>
        </w:rPr>
        <w:t>акта</w:t>
      </w:r>
      <w:proofErr w:type="spellEnd"/>
      <w:r w:rsidR="00B64938" w:rsidRPr="000110E3">
        <w:rPr>
          <w:sz w:val="28"/>
          <w:szCs w:val="28"/>
          <w:lang w:eastAsia="uk-UA"/>
        </w:rPr>
        <w:t xml:space="preserve"> здійснюватиметься на підставі систематизації та опрацювання інформації, яка надходитиме до Національного банку від учасників ринку небанківських фінансових послуг, органів державної влади та місцевого самоврядування, контролюючих органів.</w:t>
      </w:r>
    </w:p>
    <w:p w14:paraId="36487463" w14:textId="77777777" w:rsidR="00B64938" w:rsidRPr="000110E3" w:rsidRDefault="00B64938" w:rsidP="00F86980">
      <w:pPr>
        <w:widowControl w:val="0"/>
        <w:tabs>
          <w:tab w:val="left" w:pos="567"/>
        </w:tabs>
        <w:ind w:right="-6" w:firstLine="567"/>
        <w:jc w:val="both"/>
        <w:rPr>
          <w:sz w:val="28"/>
          <w:szCs w:val="28"/>
        </w:rPr>
      </w:pPr>
    </w:p>
    <w:p w14:paraId="14A5DD9F" w14:textId="77777777" w:rsidR="00634074" w:rsidRPr="000110E3" w:rsidRDefault="00634074" w:rsidP="00F86980">
      <w:pPr>
        <w:tabs>
          <w:tab w:val="left" w:pos="567"/>
        </w:tabs>
        <w:ind w:right="-6"/>
        <w:rPr>
          <w:sz w:val="28"/>
          <w:szCs w:val="28"/>
        </w:rPr>
      </w:pPr>
    </w:p>
    <w:p w14:paraId="3A33E691" w14:textId="77777777" w:rsidR="00F43825" w:rsidRPr="000110E3" w:rsidRDefault="00F43825" w:rsidP="00F43825">
      <w:pPr>
        <w:rPr>
          <w:rFonts w:ascii="TimesNewRomanPSMT" w:hAnsi="TimesNewRomanPSMT" w:cs="TimesNewRomanPSMT"/>
          <w:color w:val="000000"/>
          <w:sz w:val="28"/>
          <w:szCs w:val="28"/>
        </w:rPr>
      </w:pPr>
      <w:r w:rsidRPr="000110E3">
        <w:rPr>
          <w:rFonts w:ascii="TimesNewRomanPSMT" w:hAnsi="TimesNewRomanPSMT" w:cs="TimesNewRomanPSMT"/>
          <w:color w:val="000000"/>
          <w:sz w:val="28"/>
          <w:szCs w:val="28"/>
        </w:rPr>
        <w:t xml:space="preserve">Голова </w:t>
      </w:r>
    </w:p>
    <w:p w14:paraId="74211F4A" w14:textId="77777777" w:rsidR="00F43825" w:rsidRPr="00674A06" w:rsidRDefault="00F43825" w:rsidP="00F43825">
      <w:pPr>
        <w:rPr>
          <w:rFonts w:ascii="TimesNewRomanPSMT" w:hAnsi="TimesNewRomanPSMT" w:cs="TimesNewRomanPSMT"/>
          <w:color w:val="000000"/>
          <w:sz w:val="28"/>
          <w:szCs w:val="28"/>
        </w:rPr>
      </w:pPr>
      <w:r w:rsidRPr="000110E3">
        <w:rPr>
          <w:rFonts w:ascii="TimesNewRomanPSMT" w:hAnsi="TimesNewRomanPSMT" w:cs="TimesNewRomanPSMT"/>
          <w:color w:val="000000"/>
          <w:sz w:val="28"/>
          <w:szCs w:val="28"/>
        </w:rPr>
        <w:t>Національного банку України                                               Андрій ПИШНИЙ</w:t>
      </w:r>
    </w:p>
    <w:p w14:paraId="35BA5930" w14:textId="77777777" w:rsidR="00D425FC" w:rsidRPr="00B64938" w:rsidRDefault="001B289B" w:rsidP="00F86980">
      <w:pPr>
        <w:tabs>
          <w:tab w:val="left" w:pos="567"/>
        </w:tabs>
        <w:ind w:right="-6"/>
        <w:rPr>
          <w:sz w:val="28"/>
          <w:szCs w:val="28"/>
          <w:lang w:val="ru-RU"/>
        </w:rPr>
      </w:pPr>
      <w:r w:rsidRPr="00B64938">
        <w:rPr>
          <w:sz w:val="28"/>
          <w:szCs w:val="28"/>
        </w:rPr>
        <w:t xml:space="preserve"> </w:t>
      </w:r>
      <w:r w:rsidR="004003D1" w:rsidRPr="00B64938">
        <w:rPr>
          <w:sz w:val="28"/>
          <w:szCs w:val="28"/>
        </w:rPr>
        <w:t xml:space="preserve">                                           </w:t>
      </w:r>
      <w:r w:rsidRPr="00B64938">
        <w:rPr>
          <w:sz w:val="28"/>
          <w:szCs w:val="28"/>
        </w:rPr>
        <w:t xml:space="preserve"> </w:t>
      </w:r>
      <w:r w:rsidR="006144A5" w:rsidRPr="00B64938">
        <w:rPr>
          <w:sz w:val="28"/>
          <w:szCs w:val="28"/>
        </w:rPr>
        <w:t xml:space="preserve"> </w:t>
      </w:r>
      <w:r w:rsidRPr="00B64938">
        <w:rPr>
          <w:sz w:val="28"/>
          <w:szCs w:val="28"/>
        </w:rPr>
        <w:t xml:space="preserve"> </w:t>
      </w:r>
      <w:r w:rsidR="004003D1" w:rsidRPr="00B64938">
        <w:rPr>
          <w:sz w:val="28"/>
          <w:szCs w:val="28"/>
        </w:rPr>
        <w:t xml:space="preserve">  </w:t>
      </w:r>
      <w:r w:rsidR="005C0033" w:rsidRPr="00B64938">
        <w:rPr>
          <w:sz w:val="28"/>
          <w:szCs w:val="28"/>
        </w:rPr>
        <w:t xml:space="preserve">                               </w:t>
      </w:r>
      <w:r w:rsidR="004003D1" w:rsidRPr="00B64938">
        <w:rPr>
          <w:sz w:val="28"/>
          <w:szCs w:val="28"/>
        </w:rPr>
        <w:t xml:space="preserve">  </w:t>
      </w:r>
    </w:p>
    <w:p w14:paraId="48FC514A" w14:textId="77777777" w:rsidR="00634074" w:rsidRPr="00B64938" w:rsidRDefault="00634074" w:rsidP="00F86980">
      <w:pPr>
        <w:tabs>
          <w:tab w:val="left" w:pos="567"/>
        </w:tabs>
        <w:ind w:right="-81"/>
        <w:jc w:val="both"/>
        <w:rPr>
          <w:color w:val="000000"/>
          <w:sz w:val="28"/>
        </w:rPr>
      </w:pPr>
    </w:p>
    <w:p w14:paraId="12C76F55" w14:textId="77777777" w:rsidR="00A90711" w:rsidRDefault="00A90711" w:rsidP="00F86980">
      <w:pPr>
        <w:tabs>
          <w:tab w:val="left" w:pos="567"/>
        </w:tabs>
        <w:ind w:right="-81"/>
        <w:jc w:val="both"/>
        <w:rPr>
          <w:color w:val="000000"/>
          <w:sz w:val="28"/>
          <w:lang w:val="ru-RU"/>
        </w:rPr>
      </w:pPr>
    </w:p>
    <w:sectPr w:rsidR="00A90711" w:rsidSect="00827F2C">
      <w:headerReference w:type="even" r:id="rId8"/>
      <w:headerReference w:type="default" r:id="rId9"/>
      <w:pgSz w:w="11906" w:h="16838" w:code="9"/>
      <w:pgMar w:top="1134" w:right="567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496D" w14:textId="77777777" w:rsidR="00E9271B" w:rsidRDefault="00E9271B">
      <w:r>
        <w:separator/>
      </w:r>
    </w:p>
  </w:endnote>
  <w:endnote w:type="continuationSeparator" w:id="0">
    <w:p w14:paraId="5F695EBF" w14:textId="77777777" w:rsidR="00E9271B" w:rsidRDefault="00E9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0576" w14:textId="77777777" w:rsidR="00E9271B" w:rsidRDefault="00E9271B">
      <w:r>
        <w:separator/>
      </w:r>
    </w:p>
  </w:footnote>
  <w:footnote w:type="continuationSeparator" w:id="0">
    <w:p w14:paraId="45EE18D9" w14:textId="77777777" w:rsidR="00E9271B" w:rsidRDefault="00E9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2A27" w14:textId="77777777" w:rsidR="00902968" w:rsidRDefault="00902968" w:rsidP="001352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25EFD0" w14:textId="77777777" w:rsidR="00902968" w:rsidRDefault="009029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91" w14:textId="1484572E" w:rsidR="00902968" w:rsidRDefault="00902968" w:rsidP="001352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EC3">
      <w:rPr>
        <w:rStyle w:val="a7"/>
        <w:noProof/>
      </w:rPr>
      <w:t>6</w:t>
    </w:r>
    <w:r>
      <w:rPr>
        <w:rStyle w:val="a7"/>
      </w:rPr>
      <w:fldChar w:fldCharType="end"/>
    </w:r>
  </w:p>
  <w:p w14:paraId="5D810448" w14:textId="77777777" w:rsidR="00902968" w:rsidRDefault="009029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97E"/>
    <w:multiLevelType w:val="hybridMultilevel"/>
    <w:tmpl w:val="6A165378"/>
    <w:lvl w:ilvl="0" w:tplc="26AE6F3A">
      <w:start w:val="1"/>
      <w:numFmt w:val="decimal"/>
      <w:lvlText w:val="%1)"/>
      <w:lvlJc w:val="left"/>
      <w:pPr>
        <w:ind w:left="1159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693BFA"/>
    <w:multiLevelType w:val="hybridMultilevel"/>
    <w:tmpl w:val="657EF4AC"/>
    <w:lvl w:ilvl="0" w:tplc="3EAA57FA">
      <w:start w:val="1"/>
      <w:numFmt w:val="decimal"/>
      <w:lvlText w:val="%1)"/>
      <w:lvlJc w:val="left"/>
      <w:pPr>
        <w:ind w:left="963" w:hanging="396"/>
      </w:pPr>
      <w:rPr>
        <w:rFonts w:hint="default"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D74A5"/>
    <w:multiLevelType w:val="hybridMultilevel"/>
    <w:tmpl w:val="F0B27096"/>
    <w:lvl w:ilvl="0" w:tplc="456E0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75EDD"/>
    <w:multiLevelType w:val="hybridMultilevel"/>
    <w:tmpl w:val="16F06464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91344B"/>
    <w:multiLevelType w:val="hybridMultilevel"/>
    <w:tmpl w:val="414EC322"/>
    <w:lvl w:ilvl="0" w:tplc="A80C488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1F50CFB"/>
    <w:multiLevelType w:val="hybridMultilevel"/>
    <w:tmpl w:val="3852EC98"/>
    <w:lvl w:ilvl="0" w:tplc="72CC86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7"/>
    <w:rsid w:val="00000CD2"/>
    <w:rsid w:val="00001BD1"/>
    <w:rsid w:val="00002457"/>
    <w:rsid w:val="000031B9"/>
    <w:rsid w:val="000110E3"/>
    <w:rsid w:val="00011731"/>
    <w:rsid w:val="00016C2A"/>
    <w:rsid w:val="00021174"/>
    <w:rsid w:val="00024FD8"/>
    <w:rsid w:val="000251FC"/>
    <w:rsid w:val="000256D3"/>
    <w:rsid w:val="00026E16"/>
    <w:rsid w:val="00031D6A"/>
    <w:rsid w:val="000322E8"/>
    <w:rsid w:val="0003562D"/>
    <w:rsid w:val="00035ABB"/>
    <w:rsid w:val="00040223"/>
    <w:rsid w:val="0004126C"/>
    <w:rsid w:val="000428DE"/>
    <w:rsid w:val="0004320A"/>
    <w:rsid w:val="000456A3"/>
    <w:rsid w:val="00045E3C"/>
    <w:rsid w:val="000468C7"/>
    <w:rsid w:val="00047994"/>
    <w:rsid w:val="00047EC3"/>
    <w:rsid w:val="00047FD5"/>
    <w:rsid w:val="00050822"/>
    <w:rsid w:val="0005673B"/>
    <w:rsid w:val="000568AE"/>
    <w:rsid w:val="00061D0F"/>
    <w:rsid w:val="00062CE0"/>
    <w:rsid w:val="0006500F"/>
    <w:rsid w:val="00066F4E"/>
    <w:rsid w:val="00072B1D"/>
    <w:rsid w:val="00074106"/>
    <w:rsid w:val="00075934"/>
    <w:rsid w:val="00080BB7"/>
    <w:rsid w:val="00082CDA"/>
    <w:rsid w:val="00090D3E"/>
    <w:rsid w:val="00092190"/>
    <w:rsid w:val="000A1099"/>
    <w:rsid w:val="000A226E"/>
    <w:rsid w:val="000A257A"/>
    <w:rsid w:val="000A367B"/>
    <w:rsid w:val="000A3BD1"/>
    <w:rsid w:val="000A4D7B"/>
    <w:rsid w:val="000A7C06"/>
    <w:rsid w:val="000B010B"/>
    <w:rsid w:val="000B02E5"/>
    <w:rsid w:val="000B0854"/>
    <w:rsid w:val="000B0FB6"/>
    <w:rsid w:val="000B11E2"/>
    <w:rsid w:val="000B5132"/>
    <w:rsid w:val="000B7E5C"/>
    <w:rsid w:val="000C08B6"/>
    <w:rsid w:val="000C3666"/>
    <w:rsid w:val="000D12F4"/>
    <w:rsid w:val="000D51B7"/>
    <w:rsid w:val="000E6C62"/>
    <w:rsid w:val="000F09D9"/>
    <w:rsid w:val="000F2C16"/>
    <w:rsid w:val="000F2E66"/>
    <w:rsid w:val="000F5246"/>
    <w:rsid w:val="00100DE2"/>
    <w:rsid w:val="00101ACA"/>
    <w:rsid w:val="00112DC0"/>
    <w:rsid w:val="001146E7"/>
    <w:rsid w:val="00114971"/>
    <w:rsid w:val="00114D32"/>
    <w:rsid w:val="00115E98"/>
    <w:rsid w:val="00117092"/>
    <w:rsid w:val="00120D1E"/>
    <w:rsid w:val="00123012"/>
    <w:rsid w:val="00123FA2"/>
    <w:rsid w:val="0012591D"/>
    <w:rsid w:val="001267B5"/>
    <w:rsid w:val="00126A64"/>
    <w:rsid w:val="001302A3"/>
    <w:rsid w:val="00130A1A"/>
    <w:rsid w:val="00131D14"/>
    <w:rsid w:val="00133548"/>
    <w:rsid w:val="001342A3"/>
    <w:rsid w:val="001352FA"/>
    <w:rsid w:val="00137D5E"/>
    <w:rsid w:val="0014179B"/>
    <w:rsid w:val="00141812"/>
    <w:rsid w:val="0014330A"/>
    <w:rsid w:val="00145796"/>
    <w:rsid w:val="001470FD"/>
    <w:rsid w:val="0015162A"/>
    <w:rsid w:val="00152D5C"/>
    <w:rsid w:val="00152F2A"/>
    <w:rsid w:val="00152F80"/>
    <w:rsid w:val="00154484"/>
    <w:rsid w:val="00157EA7"/>
    <w:rsid w:val="00160509"/>
    <w:rsid w:val="0016616D"/>
    <w:rsid w:val="00166333"/>
    <w:rsid w:val="001664D9"/>
    <w:rsid w:val="001726B3"/>
    <w:rsid w:val="0017402E"/>
    <w:rsid w:val="0017450F"/>
    <w:rsid w:val="0018155A"/>
    <w:rsid w:val="00181768"/>
    <w:rsid w:val="00184248"/>
    <w:rsid w:val="0018703E"/>
    <w:rsid w:val="00190018"/>
    <w:rsid w:val="00193723"/>
    <w:rsid w:val="001A3342"/>
    <w:rsid w:val="001A4AC5"/>
    <w:rsid w:val="001A74BA"/>
    <w:rsid w:val="001A74C4"/>
    <w:rsid w:val="001A74FB"/>
    <w:rsid w:val="001B0D98"/>
    <w:rsid w:val="001B289B"/>
    <w:rsid w:val="001B3DAF"/>
    <w:rsid w:val="001B47DA"/>
    <w:rsid w:val="001B5DD6"/>
    <w:rsid w:val="001B6E0F"/>
    <w:rsid w:val="001B6F4B"/>
    <w:rsid w:val="001B7641"/>
    <w:rsid w:val="001C04D8"/>
    <w:rsid w:val="001C2E8D"/>
    <w:rsid w:val="001C2F3B"/>
    <w:rsid w:val="001C3A95"/>
    <w:rsid w:val="001D1B71"/>
    <w:rsid w:val="001D1CD4"/>
    <w:rsid w:val="001E1870"/>
    <w:rsid w:val="001E4F97"/>
    <w:rsid w:val="001E578F"/>
    <w:rsid w:val="001E60E0"/>
    <w:rsid w:val="001E7118"/>
    <w:rsid w:val="001F167F"/>
    <w:rsid w:val="001F2C56"/>
    <w:rsid w:val="001F45DC"/>
    <w:rsid w:val="001F6E64"/>
    <w:rsid w:val="001F790B"/>
    <w:rsid w:val="00202C2D"/>
    <w:rsid w:val="00207ED1"/>
    <w:rsid w:val="00212B73"/>
    <w:rsid w:val="00214344"/>
    <w:rsid w:val="00216469"/>
    <w:rsid w:val="00220A89"/>
    <w:rsid w:val="0022490E"/>
    <w:rsid w:val="00226104"/>
    <w:rsid w:val="00227930"/>
    <w:rsid w:val="00230BD9"/>
    <w:rsid w:val="00234F0E"/>
    <w:rsid w:val="002378DE"/>
    <w:rsid w:val="002406DB"/>
    <w:rsid w:val="00242FA9"/>
    <w:rsid w:val="00244C3D"/>
    <w:rsid w:val="0024787E"/>
    <w:rsid w:val="00253A4E"/>
    <w:rsid w:val="00253BC9"/>
    <w:rsid w:val="00254CEA"/>
    <w:rsid w:val="00257971"/>
    <w:rsid w:val="00257A44"/>
    <w:rsid w:val="0026706A"/>
    <w:rsid w:val="00271526"/>
    <w:rsid w:val="00271669"/>
    <w:rsid w:val="00272AC2"/>
    <w:rsid w:val="00273319"/>
    <w:rsid w:val="00274E31"/>
    <w:rsid w:val="002770BC"/>
    <w:rsid w:val="002806E0"/>
    <w:rsid w:val="00280AA6"/>
    <w:rsid w:val="00285C86"/>
    <w:rsid w:val="0028610A"/>
    <w:rsid w:val="002935D6"/>
    <w:rsid w:val="00293C7E"/>
    <w:rsid w:val="002950C8"/>
    <w:rsid w:val="00295EFB"/>
    <w:rsid w:val="002962B1"/>
    <w:rsid w:val="00297B23"/>
    <w:rsid w:val="002A00CA"/>
    <w:rsid w:val="002A0F4E"/>
    <w:rsid w:val="002A3161"/>
    <w:rsid w:val="002A32F8"/>
    <w:rsid w:val="002B0E8D"/>
    <w:rsid w:val="002B32D5"/>
    <w:rsid w:val="002B4293"/>
    <w:rsid w:val="002B4D8B"/>
    <w:rsid w:val="002C231F"/>
    <w:rsid w:val="002C2DC9"/>
    <w:rsid w:val="002C2F1A"/>
    <w:rsid w:val="002C4287"/>
    <w:rsid w:val="002C518A"/>
    <w:rsid w:val="002C6899"/>
    <w:rsid w:val="002C7859"/>
    <w:rsid w:val="002D3125"/>
    <w:rsid w:val="002D354F"/>
    <w:rsid w:val="002E24BF"/>
    <w:rsid w:val="002E360A"/>
    <w:rsid w:val="002E36C3"/>
    <w:rsid w:val="002E3C93"/>
    <w:rsid w:val="002F0244"/>
    <w:rsid w:val="002F386D"/>
    <w:rsid w:val="002F4D86"/>
    <w:rsid w:val="00300D6A"/>
    <w:rsid w:val="003018E9"/>
    <w:rsid w:val="0030555B"/>
    <w:rsid w:val="00307522"/>
    <w:rsid w:val="00315929"/>
    <w:rsid w:val="0031737E"/>
    <w:rsid w:val="00321332"/>
    <w:rsid w:val="00323782"/>
    <w:rsid w:val="003243C3"/>
    <w:rsid w:val="003258C6"/>
    <w:rsid w:val="003270FE"/>
    <w:rsid w:val="00327B9F"/>
    <w:rsid w:val="003323F3"/>
    <w:rsid w:val="00334416"/>
    <w:rsid w:val="0033477C"/>
    <w:rsid w:val="00335595"/>
    <w:rsid w:val="00336BFE"/>
    <w:rsid w:val="00336EE0"/>
    <w:rsid w:val="003418FF"/>
    <w:rsid w:val="00341979"/>
    <w:rsid w:val="00346506"/>
    <w:rsid w:val="003509D1"/>
    <w:rsid w:val="00354227"/>
    <w:rsid w:val="00357CFB"/>
    <w:rsid w:val="003605C3"/>
    <w:rsid w:val="00363308"/>
    <w:rsid w:val="00364288"/>
    <w:rsid w:val="003663FB"/>
    <w:rsid w:val="003667D2"/>
    <w:rsid w:val="00371414"/>
    <w:rsid w:val="00371EC5"/>
    <w:rsid w:val="00371FA4"/>
    <w:rsid w:val="00373C1F"/>
    <w:rsid w:val="00373CED"/>
    <w:rsid w:val="00373F8A"/>
    <w:rsid w:val="003752DC"/>
    <w:rsid w:val="00375D92"/>
    <w:rsid w:val="00377590"/>
    <w:rsid w:val="00383838"/>
    <w:rsid w:val="003860B0"/>
    <w:rsid w:val="00386930"/>
    <w:rsid w:val="003913A5"/>
    <w:rsid w:val="00391E81"/>
    <w:rsid w:val="003968EA"/>
    <w:rsid w:val="00396ABC"/>
    <w:rsid w:val="003A0D2E"/>
    <w:rsid w:val="003A21CE"/>
    <w:rsid w:val="003A584F"/>
    <w:rsid w:val="003A7917"/>
    <w:rsid w:val="003B1259"/>
    <w:rsid w:val="003B46C1"/>
    <w:rsid w:val="003B4FAB"/>
    <w:rsid w:val="003B763F"/>
    <w:rsid w:val="003C02B6"/>
    <w:rsid w:val="003C2EB8"/>
    <w:rsid w:val="003C3E7A"/>
    <w:rsid w:val="003C4A1F"/>
    <w:rsid w:val="003C4EFF"/>
    <w:rsid w:val="003D0694"/>
    <w:rsid w:val="003D093F"/>
    <w:rsid w:val="003D2D38"/>
    <w:rsid w:val="003D431B"/>
    <w:rsid w:val="003D6A92"/>
    <w:rsid w:val="003E02CA"/>
    <w:rsid w:val="003E0D84"/>
    <w:rsid w:val="003E538B"/>
    <w:rsid w:val="003E77FB"/>
    <w:rsid w:val="003E7A96"/>
    <w:rsid w:val="003F2DBE"/>
    <w:rsid w:val="003F34A2"/>
    <w:rsid w:val="003F38CD"/>
    <w:rsid w:val="003F586D"/>
    <w:rsid w:val="004003D1"/>
    <w:rsid w:val="004005C9"/>
    <w:rsid w:val="004006A6"/>
    <w:rsid w:val="00403837"/>
    <w:rsid w:val="00406207"/>
    <w:rsid w:val="0040636D"/>
    <w:rsid w:val="004104CC"/>
    <w:rsid w:val="004114C1"/>
    <w:rsid w:val="004118DD"/>
    <w:rsid w:val="00413F25"/>
    <w:rsid w:val="00413FAF"/>
    <w:rsid w:val="0042011F"/>
    <w:rsid w:val="0042300E"/>
    <w:rsid w:val="004231C6"/>
    <w:rsid w:val="004233C5"/>
    <w:rsid w:val="0043258B"/>
    <w:rsid w:val="00432E50"/>
    <w:rsid w:val="00440D7D"/>
    <w:rsid w:val="004418B3"/>
    <w:rsid w:val="0044270A"/>
    <w:rsid w:val="004455BA"/>
    <w:rsid w:val="00445790"/>
    <w:rsid w:val="00445DD3"/>
    <w:rsid w:val="004553E2"/>
    <w:rsid w:val="004609C8"/>
    <w:rsid w:val="00460B33"/>
    <w:rsid w:val="004612E0"/>
    <w:rsid w:val="0046232D"/>
    <w:rsid w:val="0046249F"/>
    <w:rsid w:val="00462551"/>
    <w:rsid w:val="00464CFA"/>
    <w:rsid w:val="00471646"/>
    <w:rsid w:val="004761B6"/>
    <w:rsid w:val="0048272D"/>
    <w:rsid w:val="004830A4"/>
    <w:rsid w:val="0049146D"/>
    <w:rsid w:val="004926E2"/>
    <w:rsid w:val="00494FCA"/>
    <w:rsid w:val="00495176"/>
    <w:rsid w:val="0049652A"/>
    <w:rsid w:val="00496F16"/>
    <w:rsid w:val="004A0DD0"/>
    <w:rsid w:val="004A17FA"/>
    <w:rsid w:val="004A404F"/>
    <w:rsid w:val="004A50F2"/>
    <w:rsid w:val="004A530D"/>
    <w:rsid w:val="004A68F3"/>
    <w:rsid w:val="004A771F"/>
    <w:rsid w:val="004C1304"/>
    <w:rsid w:val="004C152A"/>
    <w:rsid w:val="004C4E44"/>
    <w:rsid w:val="004C65E3"/>
    <w:rsid w:val="004C76B4"/>
    <w:rsid w:val="004C7AE5"/>
    <w:rsid w:val="004D3155"/>
    <w:rsid w:val="004D6AB9"/>
    <w:rsid w:val="004E1AC2"/>
    <w:rsid w:val="004E334E"/>
    <w:rsid w:val="004F08A8"/>
    <w:rsid w:val="00505101"/>
    <w:rsid w:val="005057B3"/>
    <w:rsid w:val="00505D0B"/>
    <w:rsid w:val="00510057"/>
    <w:rsid w:val="005126E2"/>
    <w:rsid w:val="00514073"/>
    <w:rsid w:val="00516D66"/>
    <w:rsid w:val="005206B3"/>
    <w:rsid w:val="00521C3F"/>
    <w:rsid w:val="00521E27"/>
    <w:rsid w:val="00521ECA"/>
    <w:rsid w:val="0052232F"/>
    <w:rsid w:val="00522A04"/>
    <w:rsid w:val="00530386"/>
    <w:rsid w:val="00530F8B"/>
    <w:rsid w:val="00531551"/>
    <w:rsid w:val="00532AC1"/>
    <w:rsid w:val="00536F6D"/>
    <w:rsid w:val="005374F5"/>
    <w:rsid w:val="00541692"/>
    <w:rsid w:val="00542596"/>
    <w:rsid w:val="00550805"/>
    <w:rsid w:val="00560D97"/>
    <w:rsid w:val="0056177D"/>
    <w:rsid w:val="00564510"/>
    <w:rsid w:val="00564687"/>
    <w:rsid w:val="00564C80"/>
    <w:rsid w:val="00566A01"/>
    <w:rsid w:val="0056720B"/>
    <w:rsid w:val="00571842"/>
    <w:rsid w:val="00573DE8"/>
    <w:rsid w:val="00575A60"/>
    <w:rsid w:val="0057616C"/>
    <w:rsid w:val="0057638F"/>
    <w:rsid w:val="005860CC"/>
    <w:rsid w:val="00593CCD"/>
    <w:rsid w:val="00594662"/>
    <w:rsid w:val="005A16AA"/>
    <w:rsid w:val="005A1822"/>
    <w:rsid w:val="005A1DE6"/>
    <w:rsid w:val="005A29C9"/>
    <w:rsid w:val="005A33D9"/>
    <w:rsid w:val="005A48C0"/>
    <w:rsid w:val="005A6304"/>
    <w:rsid w:val="005A6AFF"/>
    <w:rsid w:val="005B1657"/>
    <w:rsid w:val="005B19E4"/>
    <w:rsid w:val="005B2101"/>
    <w:rsid w:val="005B58E0"/>
    <w:rsid w:val="005B5C8F"/>
    <w:rsid w:val="005B7E3E"/>
    <w:rsid w:val="005C0033"/>
    <w:rsid w:val="005C0F35"/>
    <w:rsid w:val="005C33BE"/>
    <w:rsid w:val="005C3C97"/>
    <w:rsid w:val="005C60B3"/>
    <w:rsid w:val="005C7143"/>
    <w:rsid w:val="005C7999"/>
    <w:rsid w:val="005D21E3"/>
    <w:rsid w:val="005D5B7E"/>
    <w:rsid w:val="005E1330"/>
    <w:rsid w:val="005E18BE"/>
    <w:rsid w:val="005E3DCD"/>
    <w:rsid w:val="005E3EDA"/>
    <w:rsid w:val="005E45F6"/>
    <w:rsid w:val="005E4F11"/>
    <w:rsid w:val="005E7702"/>
    <w:rsid w:val="005F226A"/>
    <w:rsid w:val="005F2877"/>
    <w:rsid w:val="005F30AD"/>
    <w:rsid w:val="005F42FB"/>
    <w:rsid w:val="005F73D0"/>
    <w:rsid w:val="006005A1"/>
    <w:rsid w:val="006018D1"/>
    <w:rsid w:val="00602E38"/>
    <w:rsid w:val="0060767B"/>
    <w:rsid w:val="006115BA"/>
    <w:rsid w:val="00613C7A"/>
    <w:rsid w:val="006144A5"/>
    <w:rsid w:val="00614BE2"/>
    <w:rsid w:val="00616B7D"/>
    <w:rsid w:val="006177C2"/>
    <w:rsid w:val="0062129C"/>
    <w:rsid w:val="00624191"/>
    <w:rsid w:val="00624D72"/>
    <w:rsid w:val="00630CA3"/>
    <w:rsid w:val="00630ED7"/>
    <w:rsid w:val="0063110E"/>
    <w:rsid w:val="00634074"/>
    <w:rsid w:val="006352AE"/>
    <w:rsid w:val="00636884"/>
    <w:rsid w:val="00636E9D"/>
    <w:rsid w:val="00637A15"/>
    <w:rsid w:val="00642718"/>
    <w:rsid w:val="0064297B"/>
    <w:rsid w:val="00645165"/>
    <w:rsid w:val="00647C31"/>
    <w:rsid w:val="00647E1D"/>
    <w:rsid w:val="00650A77"/>
    <w:rsid w:val="00653CB9"/>
    <w:rsid w:val="006540F7"/>
    <w:rsid w:val="00654D68"/>
    <w:rsid w:val="00662532"/>
    <w:rsid w:val="00665FAF"/>
    <w:rsid w:val="0066686E"/>
    <w:rsid w:val="00667891"/>
    <w:rsid w:val="00671BDC"/>
    <w:rsid w:val="0067570E"/>
    <w:rsid w:val="00677230"/>
    <w:rsid w:val="00677DD6"/>
    <w:rsid w:val="0068281B"/>
    <w:rsid w:val="00683FF5"/>
    <w:rsid w:val="00686110"/>
    <w:rsid w:val="00686748"/>
    <w:rsid w:val="006909CA"/>
    <w:rsid w:val="00690D89"/>
    <w:rsid w:val="00695C65"/>
    <w:rsid w:val="006974FD"/>
    <w:rsid w:val="006A58B4"/>
    <w:rsid w:val="006B0359"/>
    <w:rsid w:val="006B1356"/>
    <w:rsid w:val="006B4D23"/>
    <w:rsid w:val="006B6958"/>
    <w:rsid w:val="006B7888"/>
    <w:rsid w:val="006B7CAD"/>
    <w:rsid w:val="006C221E"/>
    <w:rsid w:val="006C3672"/>
    <w:rsid w:val="006C5BFA"/>
    <w:rsid w:val="006D41CC"/>
    <w:rsid w:val="006D4A8D"/>
    <w:rsid w:val="006D509A"/>
    <w:rsid w:val="006D70B7"/>
    <w:rsid w:val="006E0E9A"/>
    <w:rsid w:val="006E1ED0"/>
    <w:rsid w:val="006F5344"/>
    <w:rsid w:val="006F5985"/>
    <w:rsid w:val="006F710C"/>
    <w:rsid w:val="00701C0B"/>
    <w:rsid w:val="00702C77"/>
    <w:rsid w:val="00707505"/>
    <w:rsid w:val="00714CD4"/>
    <w:rsid w:val="007158B4"/>
    <w:rsid w:val="0071653A"/>
    <w:rsid w:val="007169CC"/>
    <w:rsid w:val="00716D58"/>
    <w:rsid w:val="007171E0"/>
    <w:rsid w:val="007202B8"/>
    <w:rsid w:val="00721132"/>
    <w:rsid w:val="007217BB"/>
    <w:rsid w:val="007220BE"/>
    <w:rsid w:val="00723615"/>
    <w:rsid w:val="00723684"/>
    <w:rsid w:val="00723C5E"/>
    <w:rsid w:val="00725146"/>
    <w:rsid w:val="007254D9"/>
    <w:rsid w:val="0072561A"/>
    <w:rsid w:val="007269ED"/>
    <w:rsid w:val="00726B13"/>
    <w:rsid w:val="00727B07"/>
    <w:rsid w:val="007308E0"/>
    <w:rsid w:val="00730B93"/>
    <w:rsid w:val="00731A9A"/>
    <w:rsid w:val="00731E21"/>
    <w:rsid w:val="00732E29"/>
    <w:rsid w:val="0073762F"/>
    <w:rsid w:val="00737D6D"/>
    <w:rsid w:val="00741902"/>
    <w:rsid w:val="00741FA3"/>
    <w:rsid w:val="007421CA"/>
    <w:rsid w:val="0074306A"/>
    <w:rsid w:val="007453EB"/>
    <w:rsid w:val="00751CE3"/>
    <w:rsid w:val="00753F7F"/>
    <w:rsid w:val="00753FD1"/>
    <w:rsid w:val="00754F64"/>
    <w:rsid w:val="00760DBC"/>
    <w:rsid w:val="00764CC0"/>
    <w:rsid w:val="00765AD8"/>
    <w:rsid w:val="007670DB"/>
    <w:rsid w:val="00767EFF"/>
    <w:rsid w:val="007740D0"/>
    <w:rsid w:val="00774431"/>
    <w:rsid w:val="00774C70"/>
    <w:rsid w:val="00777632"/>
    <w:rsid w:val="0077785A"/>
    <w:rsid w:val="00781422"/>
    <w:rsid w:val="007876A5"/>
    <w:rsid w:val="0079386C"/>
    <w:rsid w:val="00793ACB"/>
    <w:rsid w:val="00794985"/>
    <w:rsid w:val="007974DD"/>
    <w:rsid w:val="00797A8F"/>
    <w:rsid w:val="00797AAA"/>
    <w:rsid w:val="007A14F4"/>
    <w:rsid w:val="007A1E96"/>
    <w:rsid w:val="007A29AA"/>
    <w:rsid w:val="007A329E"/>
    <w:rsid w:val="007B06A3"/>
    <w:rsid w:val="007B2EB3"/>
    <w:rsid w:val="007B363B"/>
    <w:rsid w:val="007B44B8"/>
    <w:rsid w:val="007B5D48"/>
    <w:rsid w:val="007B6560"/>
    <w:rsid w:val="007D3EF3"/>
    <w:rsid w:val="007D4210"/>
    <w:rsid w:val="007D49F2"/>
    <w:rsid w:val="007E007A"/>
    <w:rsid w:val="007E1385"/>
    <w:rsid w:val="007E1DF9"/>
    <w:rsid w:val="007E346B"/>
    <w:rsid w:val="007E3DEC"/>
    <w:rsid w:val="007E51EE"/>
    <w:rsid w:val="007E5956"/>
    <w:rsid w:val="007E6CA5"/>
    <w:rsid w:val="007F06DE"/>
    <w:rsid w:val="007F156F"/>
    <w:rsid w:val="0080146B"/>
    <w:rsid w:val="00806E61"/>
    <w:rsid w:val="00812130"/>
    <w:rsid w:val="00813FBC"/>
    <w:rsid w:val="0081431D"/>
    <w:rsid w:val="00816E48"/>
    <w:rsid w:val="00817712"/>
    <w:rsid w:val="00817B2F"/>
    <w:rsid w:val="008220EA"/>
    <w:rsid w:val="00824334"/>
    <w:rsid w:val="0082631A"/>
    <w:rsid w:val="00827089"/>
    <w:rsid w:val="00827140"/>
    <w:rsid w:val="00827880"/>
    <w:rsid w:val="00827BD5"/>
    <w:rsid w:val="00827F2C"/>
    <w:rsid w:val="00832809"/>
    <w:rsid w:val="00832916"/>
    <w:rsid w:val="0083462F"/>
    <w:rsid w:val="00835D15"/>
    <w:rsid w:val="008377DE"/>
    <w:rsid w:val="0084700A"/>
    <w:rsid w:val="00847E77"/>
    <w:rsid w:val="008500C9"/>
    <w:rsid w:val="00850B6D"/>
    <w:rsid w:val="0085412A"/>
    <w:rsid w:val="00860A83"/>
    <w:rsid w:val="00863A77"/>
    <w:rsid w:val="00863DC6"/>
    <w:rsid w:val="008661A4"/>
    <w:rsid w:val="008713DB"/>
    <w:rsid w:val="008716F5"/>
    <w:rsid w:val="00883325"/>
    <w:rsid w:val="008837C2"/>
    <w:rsid w:val="00883F7D"/>
    <w:rsid w:val="008845A6"/>
    <w:rsid w:val="00892A0B"/>
    <w:rsid w:val="00893BB8"/>
    <w:rsid w:val="00895F84"/>
    <w:rsid w:val="008962E3"/>
    <w:rsid w:val="00896FFB"/>
    <w:rsid w:val="008A059A"/>
    <w:rsid w:val="008A143E"/>
    <w:rsid w:val="008A4AB0"/>
    <w:rsid w:val="008A4C1A"/>
    <w:rsid w:val="008B2200"/>
    <w:rsid w:val="008B307E"/>
    <w:rsid w:val="008B7125"/>
    <w:rsid w:val="008B726B"/>
    <w:rsid w:val="008B748E"/>
    <w:rsid w:val="008C4118"/>
    <w:rsid w:val="008C430D"/>
    <w:rsid w:val="008C473E"/>
    <w:rsid w:val="008C5734"/>
    <w:rsid w:val="008D3D1A"/>
    <w:rsid w:val="008D3DB9"/>
    <w:rsid w:val="008D4E5B"/>
    <w:rsid w:val="008D5207"/>
    <w:rsid w:val="008D6C27"/>
    <w:rsid w:val="008D7E20"/>
    <w:rsid w:val="008E4A3C"/>
    <w:rsid w:val="008E5556"/>
    <w:rsid w:val="008F2B5A"/>
    <w:rsid w:val="008F5EE0"/>
    <w:rsid w:val="008F6E8A"/>
    <w:rsid w:val="008F7639"/>
    <w:rsid w:val="00902968"/>
    <w:rsid w:val="00906F76"/>
    <w:rsid w:val="0090792F"/>
    <w:rsid w:val="00907E6C"/>
    <w:rsid w:val="00912652"/>
    <w:rsid w:val="00913EC7"/>
    <w:rsid w:val="0091476A"/>
    <w:rsid w:val="009147EB"/>
    <w:rsid w:val="00917EC7"/>
    <w:rsid w:val="009213CF"/>
    <w:rsid w:val="00921976"/>
    <w:rsid w:val="009246FC"/>
    <w:rsid w:val="009261BF"/>
    <w:rsid w:val="00927E57"/>
    <w:rsid w:val="00932462"/>
    <w:rsid w:val="009324BA"/>
    <w:rsid w:val="00936DA4"/>
    <w:rsid w:val="00937336"/>
    <w:rsid w:val="00937935"/>
    <w:rsid w:val="00941DFC"/>
    <w:rsid w:val="00942426"/>
    <w:rsid w:val="009429CD"/>
    <w:rsid w:val="009471B5"/>
    <w:rsid w:val="0095007A"/>
    <w:rsid w:val="009523F0"/>
    <w:rsid w:val="0095361F"/>
    <w:rsid w:val="00956D6E"/>
    <w:rsid w:val="00961CF3"/>
    <w:rsid w:val="00965E1C"/>
    <w:rsid w:val="00966C3D"/>
    <w:rsid w:val="00966EED"/>
    <w:rsid w:val="00967CC7"/>
    <w:rsid w:val="00967CDB"/>
    <w:rsid w:val="00974945"/>
    <w:rsid w:val="00976336"/>
    <w:rsid w:val="009822D1"/>
    <w:rsid w:val="0098508C"/>
    <w:rsid w:val="0098676F"/>
    <w:rsid w:val="009875BA"/>
    <w:rsid w:val="009915C9"/>
    <w:rsid w:val="00992AB3"/>
    <w:rsid w:val="00992F63"/>
    <w:rsid w:val="00993DAE"/>
    <w:rsid w:val="00995944"/>
    <w:rsid w:val="009A05F1"/>
    <w:rsid w:val="009A0758"/>
    <w:rsid w:val="009A39C5"/>
    <w:rsid w:val="009A45DC"/>
    <w:rsid w:val="009A476E"/>
    <w:rsid w:val="009A5DB7"/>
    <w:rsid w:val="009A6AFA"/>
    <w:rsid w:val="009B2808"/>
    <w:rsid w:val="009B56AA"/>
    <w:rsid w:val="009B7302"/>
    <w:rsid w:val="009C14ED"/>
    <w:rsid w:val="009C4A0A"/>
    <w:rsid w:val="009C5D47"/>
    <w:rsid w:val="009D1FD3"/>
    <w:rsid w:val="009D4468"/>
    <w:rsid w:val="009D56DA"/>
    <w:rsid w:val="009D6045"/>
    <w:rsid w:val="009D6301"/>
    <w:rsid w:val="009E1757"/>
    <w:rsid w:val="009E6117"/>
    <w:rsid w:val="009E6C3D"/>
    <w:rsid w:val="009E773E"/>
    <w:rsid w:val="009E7DBC"/>
    <w:rsid w:val="009F1B76"/>
    <w:rsid w:val="009F1F3C"/>
    <w:rsid w:val="009F53B0"/>
    <w:rsid w:val="009F7185"/>
    <w:rsid w:val="009F792D"/>
    <w:rsid w:val="00A00A9A"/>
    <w:rsid w:val="00A01941"/>
    <w:rsid w:val="00A02FB7"/>
    <w:rsid w:val="00A10476"/>
    <w:rsid w:val="00A112FD"/>
    <w:rsid w:val="00A11C95"/>
    <w:rsid w:val="00A12569"/>
    <w:rsid w:val="00A14A3C"/>
    <w:rsid w:val="00A15396"/>
    <w:rsid w:val="00A1559F"/>
    <w:rsid w:val="00A15796"/>
    <w:rsid w:val="00A1689D"/>
    <w:rsid w:val="00A171DB"/>
    <w:rsid w:val="00A21949"/>
    <w:rsid w:val="00A23C2B"/>
    <w:rsid w:val="00A261F7"/>
    <w:rsid w:val="00A26A8C"/>
    <w:rsid w:val="00A303C0"/>
    <w:rsid w:val="00A3068C"/>
    <w:rsid w:val="00A315F3"/>
    <w:rsid w:val="00A3459A"/>
    <w:rsid w:val="00A35C2C"/>
    <w:rsid w:val="00A363C5"/>
    <w:rsid w:val="00A36ED2"/>
    <w:rsid w:val="00A41865"/>
    <w:rsid w:val="00A424E0"/>
    <w:rsid w:val="00A44CB3"/>
    <w:rsid w:val="00A44E3C"/>
    <w:rsid w:val="00A46A1D"/>
    <w:rsid w:val="00A4770E"/>
    <w:rsid w:val="00A500A2"/>
    <w:rsid w:val="00A533BD"/>
    <w:rsid w:val="00A53B21"/>
    <w:rsid w:val="00A54708"/>
    <w:rsid w:val="00A54958"/>
    <w:rsid w:val="00A57264"/>
    <w:rsid w:val="00A6192D"/>
    <w:rsid w:val="00A63CB2"/>
    <w:rsid w:val="00A64471"/>
    <w:rsid w:val="00A661C0"/>
    <w:rsid w:val="00A7287D"/>
    <w:rsid w:val="00A758A1"/>
    <w:rsid w:val="00A77654"/>
    <w:rsid w:val="00A8129C"/>
    <w:rsid w:val="00A869FB"/>
    <w:rsid w:val="00A90020"/>
    <w:rsid w:val="00A90711"/>
    <w:rsid w:val="00A9177A"/>
    <w:rsid w:val="00A930B9"/>
    <w:rsid w:val="00A93F7D"/>
    <w:rsid w:val="00A956A4"/>
    <w:rsid w:val="00AA0008"/>
    <w:rsid w:val="00AA054D"/>
    <w:rsid w:val="00AA0BB5"/>
    <w:rsid w:val="00AA19BF"/>
    <w:rsid w:val="00AA32F1"/>
    <w:rsid w:val="00AA4E1A"/>
    <w:rsid w:val="00AA6A6E"/>
    <w:rsid w:val="00AA75AD"/>
    <w:rsid w:val="00AB0BA6"/>
    <w:rsid w:val="00AB23A2"/>
    <w:rsid w:val="00AB4387"/>
    <w:rsid w:val="00AB4B7C"/>
    <w:rsid w:val="00AB5E0B"/>
    <w:rsid w:val="00AB6629"/>
    <w:rsid w:val="00AB687C"/>
    <w:rsid w:val="00AC70FA"/>
    <w:rsid w:val="00AD3225"/>
    <w:rsid w:val="00AD4C54"/>
    <w:rsid w:val="00AE5842"/>
    <w:rsid w:val="00AE67B6"/>
    <w:rsid w:val="00AE6C53"/>
    <w:rsid w:val="00AE7D82"/>
    <w:rsid w:val="00AF62A7"/>
    <w:rsid w:val="00B0000D"/>
    <w:rsid w:val="00B03397"/>
    <w:rsid w:val="00B06400"/>
    <w:rsid w:val="00B07DAA"/>
    <w:rsid w:val="00B1441B"/>
    <w:rsid w:val="00B14FE0"/>
    <w:rsid w:val="00B23181"/>
    <w:rsid w:val="00B2429E"/>
    <w:rsid w:val="00B2722E"/>
    <w:rsid w:val="00B27D91"/>
    <w:rsid w:val="00B30D30"/>
    <w:rsid w:val="00B34724"/>
    <w:rsid w:val="00B36865"/>
    <w:rsid w:val="00B37CCE"/>
    <w:rsid w:val="00B42FB7"/>
    <w:rsid w:val="00B45204"/>
    <w:rsid w:val="00B45F74"/>
    <w:rsid w:val="00B46563"/>
    <w:rsid w:val="00B473DD"/>
    <w:rsid w:val="00B544BF"/>
    <w:rsid w:val="00B60817"/>
    <w:rsid w:val="00B64938"/>
    <w:rsid w:val="00B675FB"/>
    <w:rsid w:val="00B67C24"/>
    <w:rsid w:val="00B7198D"/>
    <w:rsid w:val="00B7234A"/>
    <w:rsid w:val="00B75A9E"/>
    <w:rsid w:val="00B75BF8"/>
    <w:rsid w:val="00B75EDA"/>
    <w:rsid w:val="00B765E5"/>
    <w:rsid w:val="00B8197F"/>
    <w:rsid w:val="00B84399"/>
    <w:rsid w:val="00B873AC"/>
    <w:rsid w:val="00B90A39"/>
    <w:rsid w:val="00BA2242"/>
    <w:rsid w:val="00BA5346"/>
    <w:rsid w:val="00BA5D41"/>
    <w:rsid w:val="00BA613F"/>
    <w:rsid w:val="00BB12B6"/>
    <w:rsid w:val="00BB39F2"/>
    <w:rsid w:val="00BB6BC0"/>
    <w:rsid w:val="00BC1B89"/>
    <w:rsid w:val="00BC4700"/>
    <w:rsid w:val="00BC477E"/>
    <w:rsid w:val="00BC592B"/>
    <w:rsid w:val="00BC6C06"/>
    <w:rsid w:val="00BD17DE"/>
    <w:rsid w:val="00BD5730"/>
    <w:rsid w:val="00BE1DB9"/>
    <w:rsid w:val="00BE1F74"/>
    <w:rsid w:val="00BE4302"/>
    <w:rsid w:val="00BE7E19"/>
    <w:rsid w:val="00BF064D"/>
    <w:rsid w:val="00BF0CF1"/>
    <w:rsid w:val="00BF148F"/>
    <w:rsid w:val="00BF1AD2"/>
    <w:rsid w:val="00BF35A1"/>
    <w:rsid w:val="00BF4824"/>
    <w:rsid w:val="00BF53F3"/>
    <w:rsid w:val="00BF7A0F"/>
    <w:rsid w:val="00C02970"/>
    <w:rsid w:val="00C062F5"/>
    <w:rsid w:val="00C10E15"/>
    <w:rsid w:val="00C11127"/>
    <w:rsid w:val="00C1138B"/>
    <w:rsid w:val="00C158D7"/>
    <w:rsid w:val="00C1623C"/>
    <w:rsid w:val="00C174D2"/>
    <w:rsid w:val="00C222CF"/>
    <w:rsid w:val="00C3187F"/>
    <w:rsid w:val="00C321A4"/>
    <w:rsid w:val="00C35445"/>
    <w:rsid w:val="00C35B99"/>
    <w:rsid w:val="00C41A78"/>
    <w:rsid w:val="00C444EE"/>
    <w:rsid w:val="00C4647F"/>
    <w:rsid w:val="00C510CA"/>
    <w:rsid w:val="00C537BC"/>
    <w:rsid w:val="00C56190"/>
    <w:rsid w:val="00C57680"/>
    <w:rsid w:val="00C57C66"/>
    <w:rsid w:val="00C6017D"/>
    <w:rsid w:val="00C6262C"/>
    <w:rsid w:val="00C62FB6"/>
    <w:rsid w:val="00C67E5C"/>
    <w:rsid w:val="00C71806"/>
    <w:rsid w:val="00C721B5"/>
    <w:rsid w:val="00C7420C"/>
    <w:rsid w:val="00C74F5C"/>
    <w:rsid w:val="00C8144E"/>
    <w:rsid w:val="00C8166E"/>
    <w:rsid w:val="00C82C4E"/>
    <w:rsid w:val="00C847DA"/>
    <w:rsid w:val="00C84A19"/>
    <w:rsid w:val="00C877A3"/>
    <w:rsid w:val="00C93ACB"/>
    <w:rsid w:val="00C95B6E"/>
    <w:rsid w:val="00C95CF5"/>
    <w:rsid w:val="00C978AA"/>
    <w:rsid w:val="00C9792C"/>
    <w:rsid w:val="00CA08AD"/>
    <w:rsid w:val="00CA1D38"/>
    <w:rsid w:val="00CA3A47"/>
    <w:rsid w:val="00CA5076"/>
    <w:rsid w:val="00CA622F"/>
    <w:rsid w:val="00CA743E"/>
    <w:rsid w:val="00CA7CDD"/>
    <w:rsid w:val="00CB0890"/>
    <w:rsid w:val="00CB1181"/>
    <w:rsid w:val="00CB3A4C"/>
    <w:rsid w:val="00CB46BF"/>
    <w:rsid w:val="00CB5F47"/>
    <w:rsid w:val="00CB789A"/>
    <w:rsid w:val="00CC1A20"/>
    <w:rsid w:val="00CC1DC2"/>
    <w:rsid w:val="00CC3996"/>
    <w:rsid w:val="00CC52B3"/>
    <w:rsid w:val="00CC7315"/>
    <w:rsid w:val="00CD233F"/>
    <w:rsid w:val="00CD2612"/>
    <w:rsid w:val="00CD4C95"/>
    <w:rsid w:val="00CD6657"/>
    <w:rsid w:val="00CD7AF1"/>
    <w:rsid w:val="00CE2D88"/>
    <w:rsid w:val="00CE35F8"/>
    <w:rsid w:val="00CE4825"/>
    <w:rsid w:val="00CE4CBF"/>
    <w:rsid w:val="00CF05AA"/>
    <w:rsid w:val="00CF690D"/>
    <w:rsid w:val="00D0287C"/>
    <w:rsid w:val="00D03DDE"/>
    <w:rsid w:val="00D04711"/>
    <w:rsid w:val="00D05221"/>
    <w:rsid w:val="00D05A38"/>
    <w:rsid w:val="00D161CA"/>
    <w:rsid w:val="00D166CF"/>
    <w:rsid w:val="00D27685"/>
    <w:rsid w:val="00D31099"/>
    <w:rsid w:val="00D31D53"/>
    <w:rsid w:val="00D34F34"/>
    <w:rsid w:val="00D350FE"/>
    <w:rsid w:val="00D3796C"/>
    <w:rsid w:val="00D41F45"/>
    <w:rsid w:val="00D425FC"/>
    <w:rsid w:val="00D42F82"/>
    <w:rsid w:val="00D4345B"/>
    <w:rsid w:val="00D44A88"/>
    <w:rsid w:val="00D47CD3"/>
    <w:rsid w:val="00D53FB9"/>
    <w:rsid w:val="00D552FE"/>
    <w:rsid w:val="00D56EAC"/>
    <w:rsid w:val="00D67F1B"/>
    <w:rsid w:val="00D70723"/>
    <w:rsid w:val="00D7074F"/>
    <w:rsid w:val="00D7218A"/>
    <w:rsid w:val="00D73B1B"/>
    <w:rsid w:val="00D76919"/>
    <w:rsid w:val="00D82FE2"/>
    <w:rsid w:val="00D835F4"/>
    <w:rsid w:val="00D8378A"/>
    <w:rsid w:val="00D83790"/>
    <w:rsid w:val="00D8619A"/>
    <w:rsid w:val="00D876FB"/>
    <w:rsid w:val="00D87D40"/>
    <w:rsid w:val="00D90285"/>
    <w:rsid w:val="00D9033D"/>
    <w:rsid w:val="00D935A6"/>
    <w:rsid w:val="00DA5C59"/>
    <w:rsid w:val="00DB06E5"/>
    <w:rsid w:val="00DB181D"/>
    <w:rsid w:val="00DB4704"/>
    <w:rsid w:val="00DB73D2"/>
    <w:rsid w:val="00DB7C41"/>
    <w:rsid w:val="00DC0397"/>
    <w:rsid w:val="00DC7393"/>
    <w:rsid w:val="00DC73F9"/>
    <w:rsid w:val="00DC78B2"/>
    <w:rsid w:val="00DD09C2"/>
    <w:rsid w:val="00DD4053"/>
    <w:rsid w:val="00DD4CAF"/>
    <w:rsid w:val="00DE0956"/>
    <w:rsid w:val="00DE0CAD"/>
    <w:rsid w:val="00DE15EF"/>
    <w:rsid w:val="00DE1D33"/>
    <w:rsid w:val="00DE25B8"/>
    <w:rsid w:val="00DE4A33"/>
    <w:rsid w:val="00DF1534"/>
    <w:rsid w:val="00DF4074"/>
    <w:rsid w:val="00E015EF"/>
    <w:rsid w:val="00E0462C"/>
    <w:rsid w:val="00E06BFB"/>
    <w:rsid w:val="00E06F67"/>
    <w:rsid w:val="00E07377"/>
    <w:rsid w:val="00E12A71"/>
    <w:rsid w:val="00E13643"/>
    <w:rsid w:val="00E13763"/>
    <w:rsid w:val="00E13BC5"/>
    <w:rsid w:val="00E15FDB"/>
    <w:rsid w:val="00E240EE"/>
    <w:rsid w:val="00E25091"/>
    <w:rsid w:val="00E25BA4"/>
    <w:rsid w:val="00E2670C"/>
    <w:rsid w:val="00E329CF"/>
    <w:rsid w:val="00E34076"/>
    <w:rsid w:val="00E365B1"/>
    <w:rsid w:val="00E53869"/>
    <w:rsid w:val="00E604FB"/>
    <w:rsid w:val="00E6296B"/>
    <w:rsid w:val="00E64296"/>
    <w:rsid w:val="00E672A9"/>
    <w:rsid w:val="00E70D5F"/>
    <w:rsid w:val="00E7574C"/>
    <w:rsid w:val="00E77825"/>
    <w:rsid w:val="00E8196E"/>
    <w:rsid w:val="00E83EEA"/>
    <w:rsid w:val="00E90EFF"/>
    <w:rsid w:val="00E9271B"/>
    <w:rsid w:val="00E95157"/>
    <w:rsid w:val="00E95FAD"/>
    <w:rsid w:val="00EA14E4"/>
    <w:rsid w:val="00EA4446"/>
    <w:rsid w:val="00EA7BF3"/>
    <w:rsid w:val="00EB0E28"/>
    <w:rsid w:val="00EB19CF"/>
    <w:rsid w:val="00EB2618"/>
    <w:rsid w:val="00EB4BC8"/>
    <w:rsid w:val="00EC2F09"/>
    <w:rsid w:val="00EC456F"/>
    <w:rsid w:val="00EC5403"/>
    <w:rsid w:val="00ED00AF"/>
    <w:rsid w:val="00ED0DFC"/>
    <w:rsid w:val="00ED5EDC"/>
    <w:rsid w:val="00EE0C39"/>
    <w:rsid w:val="00EE1A33"/>
    <w:rsid w:val="00EE2D04"/>
    <w:rsid w:val="00EE511A"/>
    <w:rsid w:val="00EE6085"/>
    <w:rsid w:val="00EF5ECF"/>
    <w:rsid w:val="00F00605"/>
    <w:rsid w:val="00F00F73"/>
    <w:rsid w:val="00F0358B"/>
    <w:rsid w:val="00F06C69"/>
    <w:rsid w:val="00F12064"/>
    <w:rsid w:val="00F15A3D"/>
    <w:rsid w:val="00F213FF"/>
    <w:rsid w:val="00F22030"/>
    <w:rsid w:val="00F256A8"/>
    <w:rsid w:val="00F25F67"/>
    <w:rsid w:val="00F313BF"/>
    <w:rsid w:val="00F34CE6"/>
    <w:rsid w:val="00F37292"/>
    <w:rsid w:val="00F37C4D"/>
    <w:rsid w:val="00F435E3"/>
    <w:rsid w:val="00F43825"/>
    <w:rsid w:val="00F445F2"/>
    <w:rsid w:val="00F51511"/>
    <w:rsid w:val="00F524C4"/>
    <w:rsid w:val="00F53983"/>
    <w:rsid w:val="00F55DE6"/>
    <w:rsid w:val="00F57986"/>
    <w:rsid w:val="00F634BA"/>
    <w:rsid w:val="00F63A9E"/>
    <w:rsid w:val="00F642F8"/>
    <w:rsid w:val="00F67B8F"/>
    <w:rsid w:val="00F704BB"/>
    <w:rsid w:val="00F740CB"/>
    <w:rsid w:val="00F750F0"/>
    <w:rsid w:val="00F754E3"/>
    <w:rsid w:val="00F8259B"/>
    <w:rsid w:val="00F83918"/>
    <w:rsid w:val="00F85C47"/>
    <w:rsid w:val="00F86980"/>
    <w:rsid w:val="00F924C1"/>
    <w:rsid w:val="00FA1A3F"/>
    <w:rsid w:val="00FA5302"/>
    <w:rsid w:val="00FA55CB"/>
    <w:rsid w:val="00FB10F4"/>
    <w:rsid w:val="00FB153C"/>
    <w:rsid w:val="00FB4BE3"/>
    <w:rsid w:val="00FB6BB0"/>
    <w:rsid w:val="00FC3C2D"/>
    <w:rsid w:val="00FC6389"/>
    <w:rsid w:val="00FD3AC4"/>
    <w:rsid w:val="00FD426C"/>
    <w:rsid w:val="00FE35B1"/>
    <w:rsid w:val="00FF0124"/>
    <w:rsid w:val="00FF0A66"/>
    <w:rsid w:val="00FF3A8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BFBE0"/>
  <w14:defaultImageDpi w14:val="0"/>
  <w15:docId w15:val="{EAFE680C-EEBD-4326-BD03-389D2BC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DFC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9"/>
    <w:qFormat/>
    <w:rsid w:val="00BE1F74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0DFC"/>
    <w:rPr>
      <w:rFonts w:ascii="Calibri Light" w:hAnsi="Calibri Light" w:cs="Times New Roman"/>
      <w:color w:val="2E74B5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0A3B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E3407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styleId="a7">
    <w:name w:val="page number"/>
    <w:basedOn w:val="a0"/>
    <w:uiPriority w:val="99"/>
    <w:rsid w:val="000A3BD1"/>
    <w:rPr>
      <w:rFonts w:cs="Times New Roman"/>
    </w:rPr>
  </w:style>
  <w:style w:type="paragraph" w:styleId="21">
    <w:name w:val="Body Text Indent 2"/>
    <w:basedOn w:val="a"/>
    <w:link w:val="22"/>
    <w:uiPriority w:val="99"/>
    <w:rsid w:val="003B4FA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rsid w:val="00A90020"/>
    <w:rPr>
      <w:sz w:val="28"/>
      <w:szCs w:val="20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aa">
    <w:name w:val="Îñíîâíîé òåêñò ñ îòñòóïîì"/>
    <w:basedOn w:val="a"/>
    <w:uiPriority w:val="99"/>
    <w:rsid w:val="00BE1F74"/>
    <w:pPr>
      <w:widowControl w:val="0"/>
      <w:ind w:right="-766" w:firstLine="720"/>
      <w:jc w:val="both"/>
    </w:pPr>
    <w:rPr>
      <w:rFonts w:ascii="Times New Roman CYR" w:hAnsi="Times New Roman CYR" w:cs="Times New Roman CYR"/>
      <w:b/>
      <w:bCs/>
      <w:lang w:val="ru-RU"/>
    </w:rPr>
  </w:style>
  <w:style w:type="paragraph" w:styleId="ab">
    <w:name w:val="footnote text"/>
    <w:basedOn w:val="a"/>
    <w:link w:val="ac"/>
    <w:uiPriority w:val="99"/>
    <w:rsid w:val="000B0FB6"/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locked/>
    <w:rsid w:val="000B0FB6"/>
    <w:rPr>
      <w:rFonts w:cs="Times New Roman"/>
      <w:sz w:val="20"/>
      <w:szCs w:val="20"/>
      <w:lang w:val="x-none" w:eastAsia="ru-RU"/>
    </w:rPr>
  </w:style>
  <w:style w:type="paragraph" w:styleId="ad">
    <w:name w:val="Normal (Web)"/>
    <w:aliases w:val="Обычный (Web)"/>
    <w:basedOn w:val="a"/>
    <w:link w:val="ae"/>
    <w:uiPriority w:val="99"/>
    <w:rsid w:val="00AE6C53"/>
    <w:pPr>
      <w:spacing w:before="100" w:beforeAutospacing="1" w:after="100" w:afterAutospacing="1"/>
    </w:pPr>
    <w:rPr>
      <w:lang w:eastAsia="uk-UA"/>
    </w:rPr>
  </w:style>
  <w:style w:type="character" w:styleId="af">
    <w:name w:val="footnote reference"/>
    <w:basedOn w:val="a0"/>
    <w:uiPriority w:val="99"/>
    <w:rsid w:val="000B0FB6"/>
    <w:rPr>
      <w:rFonts w:cs="Times New Roman"/>
      <w:vertAlign w:val="superscript"/>
    </w:rPr>
  </w:style>
  <w:style w:type="paragraph" w:customStyle="1" w:styleId="Default">
    <w:name w:val="Default"/>
    <w:rsid w:val="00AE6C5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e">
    <w:name w:val="Звичайний (веб) Знак"/>
    <w:aliases w:val="Обычный (Web) Знак"/>
    <w:link w:val="ad"/>
    <w:uiPriority w:val="99"/>
    <w:locked/>
    <w:rsid w:val="00AE6C53"/>
    <w:rPr>
      <w:sz w:val="24"/>
      <w:lang w:val="x-none" w:eastAsia="x-none"/>
    </w:rPr>
  </w:style>
  <w:style w:type="character" w:styleId="af0">
    <w:name w:val="Strong"/>
    <w:basedOn w:val="a0"/>
    <w:uiPriority w:val="22"/>
    <w:qFormat/>
    <w:rsid w:val="00AE6C53"/>
    <w:rPr>
      <w:rFonts w:cs="Times New Roman"/>
      <w:b/>
    </w:rPr>
  </w:style>
  <w:style w:type="paragraph" w:styleId="af1">
    <w:name w:val="List Paragraph"/>
    <w:basedOn w:val="a"/>
    <w:link w:val="af2"/>
    <w:uiPriority w:val="34"/>
    <w:qFormat/>
    <w:rsid w:val="00EE1A33"/>
    <w:pPr>
      <w:ind w:left="720"/>
      <w:contextualSpacing/>
      <w:jc w:val="both"/>
    </w:pPr>
    <w:rPr>
      <w:sz w:val="28"/>
      <w:szCs w:val="28"/>
      <w:lang w:eastAsia="uk-UA"/>
    </w:rPr>
  </w:style>
  <w:style w:type="character" w:customStyle="1" w:styleId="af2">
    <w:name w:val="Абзац списку Знак"/>
    <w:link w:val="af1"/>
    <w:uiPriority w:val="99"/>
    <w:locked/>
    <w:rsid w:val="00EE1A33"/>
    <w:rPr>
      <w:sz w:val="28"/>
    </w:rPr>
  </w:style>
  <w:style w:type="character" w:customStyle="1" w:styleId="rvts23">
    <w:name w:val="rvts23"/>
    <w:rsid w:val="00961CF3"/>
  </w:style>
  <w:style w:type="paragraph" w:customStyle="1" w:styleId="rvps2">
    <w:name w:val="rvps2"/>
    <w:basedOn w:val="a"/>
    <w:rsid w:val="008F6E8A"/>
    <w:pPr>
      <w:spacing w:before="100" w:beforeAutospacing="1" w:after="100" w:afterAutospacing="1"/>
    </w:pPr>
    <w:rPr>
      <w:lang w:val="en-US" w:eastAsia="en-US"/>
    </w:rPr>
  </w:style>
  <w:style w:type="character" w:styleId="af3">
    <w:name w:val="annotation reference"/>
    <w:basedOn w:val="a0"/>
    <w:uiPriority w:val="99"/>
    <w:rsid w:val="00D53FB9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D53FB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locked/>
    <w:rsid w:val="00D53FB9"/>
    <w:rPr>
      <w:rFonts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rsid w:val="00D53FB9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locked/>
    <w:rsid w:val="00D53FB9"/>
    <w:rPr>
      <w:rFonts w:cs="Times New Roman"/>
      <w:b/>
      <w:bCs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8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85C86"/>
    <w:rPr>
      <w:rFonts w:ascii="Courier New" w:hAnsi="Courier New" w:cs="Courier New"/>
      <w:sz w:val="20"/>
      <w:szCs w:val="20"/>
    </w:rPr>
  </w:style>
  <w:style w:type="paragraph" w:styleId="af8">
    <w:name w:val="Revision"/>
    <w:hidden/>
    <w:uiPriority w:val="99"/>
    <w:semiHidden/>
    <w:rsid w:val="00A424E0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5491-2C3F-43B0-A747-3FD36D7A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8678</Words>
  <Characters>4948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nbu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102bmk20</dc:creator>
  <cp:keywords/>
  <dc:description/>
  <cp:lastModifiedBy>Бузілова Інна Миколаївна</cp:lastModifiedBy>
  <cp:revision>5</cp:revision>
  <cp:lastPrinted>2017-08-17T12:32:00Z</cp:lastPrinted>
  <dcterms:created xsi:type="dcterms:W3CDTF">2023-09-07T11:37:00Z</dcterms:created>
  <dcterms:modified xsi:type="dcterms:W3CDTF">2023-09-18T09:58:00Z</dcterms:modified>
</cp:coreProperties>
</file>