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3CC" w:rsidRPr="00AE5091" w:rsidRDefault="00F903CC" w:rsidP="00AE5091"/>
    <w:p w:rsidR="00685786" w:rsidRPr="00AE5091" w:rsidRDefault="00A838FB" w:rsidP="00D06936">
      <w:pPr>
        <w:pStyle w:val="af4"/>
        <w:spacing w:before="0"/>
        <w:jc w:val="center"/>
        <w:rPr>
          <w:rFonts w:ascii="Times New Roman" w:hAnsi="Times New Roman"/>
          <w:b/>
          <w:sz w:val="28"/>
          <w:szCs w:val="28"/>
          <w:lang w:eastAsia="uk-UA"/>
        </w:rPr>
      </w:pPr>
      <w:r w:rsidRPr="00AE5091">
        <w:rPr>
          <w:rFonts w:ascii="Times New Roman" w:hAnsi="Times New Roman"/>
          <w:b/>
          <w:sz w:val="28"/>
          <w:szCs w:val="28"/>
          <w:lang w:eastAsia="uk-UA"/>
        </w:rPr>
        <w:t>Аналіз впливу</w:t>
      </w:r>
      <w:r w:rsidRPr="00D06936">
        <w:rPr>
          <w:rFonts w:ascii="Times New Roman" w:hAnsi="Times New Roman"/>
          <w:b/>
          <w:sz w:val="28"/>
          <w:szCs w:val="28"/>
          <w:lang w:eastAsia="uk-UA"/>
        </w:rPr>
        <w:t xml:space="preserve"> </w:t>
      </w:r>
      <w:r w:rsidRPr="00AE5091">
        <w:rPr>
          <w:rFonts w:ascii="Times New Roman" w:hAnsi="Times New Roman"/>
          <w:b/>
          <w:sz w:val="28"/>
          <w:szCs w:val="28"/>
          <w:lang w:eastAsia="uk-UA"/>
        </w:rPr>
        <w:t>проєкту постанови Правління Національного банку України</w:t>
      </w:r>
      <w:r w:rsidRPr="00D06936">
        <w:rPr>
          <w:rFonts w:ascii="Times New Roman" w:hAnsi="Times New Roman"/>
          <w:b/>
          <w:sz w:val="28"/>
          <w:szCs w:val="28"/>
          <w:lang w:eastAsia="uk-UA"/>
        </w:rPr>
        <w:t xml:space="preserve"> </w:t>
      </w:r>
      <w:r w:rsidR="00390920" w:rsidRPr="00D06936">
        <w:rPr>
          <w:rFonts w:ascii="Times New Roman" w:hAnsi="Times New Roman"/>
          <w:b/>
          <w:sz w:val="28"/>
          <w:szCs w:val="28"/>
          <w:lang w:eastAsia="uk-UA"/>
        </w:rPr>
        <w:t>«</w:t>
      </w:r>
      <w:r w:rsidR="007C5A87" w:rsidRPr="00AE5091">
        <w:rPr>
          <w:rFonts w:ascii="Times New Roman" w:hAnsi="Times New Roman"/>
          <w:b/>
          <w:sz w:val="28"/>
          <w:szCs w:val="28"/>
          <w:lang w:eastAsia="uk-UA"/>
        </w:rPr>
        <w:t>Про внесення змін до постанови Правління Національного банку України від 18 липня 2019 року № 97 “П</w:t>
      </w:r>
      <w:r w:rsidR="00042684" w:rsidRPr="00D06936">
        <w:rPr>
          <w:rFonts w:ascii="Times New Roman" w:hAnsi="Times New Roman"/>
          <w:b/>
          <w:sz w:val="28"/>
          <w:szCs w:val="28"/>
          <w:lang w:eastAsia="uk-UA"/>
        </w:rPr>
        <w:t>ро затвердження П</w:t>
      </w:r>
      <w:r w:rsidR="007C5A87" w:rsidRPr="00AE5091">
        <w:rPr>
          <w:rFonts w:ascii="Times New Roman" w:hAnsi="Times New Roman"/>
          <w:b/>
          <w:sz w:val="28"/>
          <w:szCs w:val="28"/>
          <w:lang w:eastAsia="uk-UA"/>
        </w:rPr>
        <w:t>оложення про організацію процесу управління проблемними активами в банках України”</w:t>
      </w:r>
      <w:r w:rsidR="00390920" w:rsidRPr="00AE5091">
        <w:rPr>
          <w:rFonts w:ascii="Times New Roman" w:hAnsi="Times New Roman"/>
          <w:b/>
          <w:sz w:val="28"/>
          <w:szCs w:val="28"/>
          <w:lang w:eastAsia="uk-UA"/>
        </w:rPr>
        <w:t>»</w:t>
      </w:r>
      <w:r w:rsidRPr="00AE5091">
        <w:rPr>
          <w:rFonts w:ascii="Times New Roman" w:hAnsi="Times New Roman"/>
          <w:b/>
          <w:sz w:val="28"/>
          <w:szCs w:val="28"/>
          <w:lang w:eastAsia="uk-UA"/>
        </w:rPr>
        <w:t xml:space="preserve"> на ринок фінансових, супровідних послуг</w:t>
      </w:r>
    </w:p>
    <w:p w:rsidR="00A838FB" w:rsidRPr="00D06936" w:rsidRDefault="00A838FB" w:rsidP="00D06936">
      <w:pPr>
        <w:pStyle w:val="af4"/>
        <w:spacing w:before="0"/>
        <w:jc w:val="center"/>
        <w:rPr>
          <w:rFonts w:ascii="Times New Roman" w:hAnsi="Times New Roman"/>
          <w:sz w:val="28"/>
          <w:szCs w:val="28"/>
        </w:rPr>
      </w:pPr>
    </w:p>
    <w:p w:rsidR="00AE5091" w:rsidRPr="00D06936" w:rsidRDefault="00AE5091" w:rsidP="00D06936">
      <w:pPr>
        <w:pStyle w:val="af4"/>
        <w:spacing w:before="0"/>
        <w:jc w:val="center"/>
        <w:rPr>
          <w:rFonts w:ascii="Times New Roman" w:hAnsi="Times New Roman"/>
          <w:sz w:val="28"/>
          <w:szCs w:val="28"/>
        </w:rPr>
      </w:pPr>
    </w:p>
    <w:p w:rsidR="00685786" w:rsidRPr="00AE5091" w:rsidRDefault="00A838FB" w:rsidP="00D06936">
      <w:pPr>
        <w:pStyle w:val="af4"/>
        <w:keepNext/>
        <w:numPr>
          <w:ilvl w:val="0"/>
          <w:numId w:val="4"/>
        </w:numPr>
        <w:spacing w:before="0"/>
        <w:ind w:hanging="225"/>
        <w:jc w:val="center"/>
        <w:rPr>
          <w:rFonts w:ascii="Times New Roman" w:hAnsi="Times New Roman"/>
          <w:b/>
          <w:sz w:val="28"/>
          <w:szCs w:val="28"/>
        </w:rPr>
      </w:pPr>
      <w:r w:rsidRPr="00AE5091">
        <w:rPr>
          <w:rFonts w:ascii="Times New Roman" w:hAnsi="Times New Roman"/>
          <w:b/>
          <w:sz w:val="28"/>
          <w:szCs w:val="28"/>
        </w:rPr>
        <w:t>Основні критерії, за якими буде оцінюватися ефективність</w:t>
      </w:r>
      <w:r w:rsidRPr="00D06936">
        <w:rPr>
          <w:rFonts w:ascii="Times New Roman" w:hAnsi="Times New Roman"/>
          <w:b/>
          <w:sz w:val="28"/>
          <w:szCs w:val="28"/>
        </w:rPr>
        <w:t xml:space="preserve"> </w:t>
      </w:r>
      <w:r w:rsidRPr="00AE5091">
        <w:rPr>
          <w:rFonts w:ascii="Times New Roman" w:hAnsi="Times New Roman"/>
          <w:b/>
          <w:sz w:val="28"/>
          <w:szCs w:val="28"/>
        </w:rPr>
        <w:t>результатів правового врегулювання</w:t>
      </w:r>
    </w:p>
    <w:p w:rsidR="00AE5091" w:rsidRPr="00D06936" w:rsidRDefault="00AE5091" w:rsidP="00D06936">
      <w:pPr>
        <w:pStyle w:val="af4"/>
        <w:keepNext/>
        <w:spacing w:before="0"/>
        <w:ind w:left="1359" w:firstLine="0"/>
        <w:rPr>
          <w:rFonts w:ascii="Times New Roman" w:hAnsi="Times New Roman"/>
          <w:sz w:val="28"/>
          <w:szCs w:val="28"/>
        </w:rPr>
      </w:pPr>
    </w:p>
    <w:p w:rsidR="00A838FB" w:rsidRPr="00AE5091" w:rsidRDefault="00A838FB">
      <w:pPr>
        <w:ind w:right="-1" w:firstLine="709"/>
        <w:rPr>
          <w:rFonts w:eastAsiaTheme="minorEastAsia"/>
          <w:color w:val="000000" w:themeColor="text1"/>
          <w:lang w:eastAsia="en-US"/>
        </w:rPr>
      </w:pPr>
      <w:r w:rsidRPr="00AE5091">
        <w:rPr>
          <w:rFonts w:eastAsiaTheme="minorEastAsia"/>
          <w:color w:val="000000" w:themeColor="text1"/>
          <w:lang w:eastAsia="en-US"/>
        </w:rPr>
        <w:t>Основними критеріями ефективності результату реалізації проєкту</w:t>
      </w:r>
      <w:r w:rsidRPr="00D06936">
        <w:rPr>
          <w:rFonts w:eastAsiaTheme="minorEastAsia"/>
          <w:color w:val="000000" w:themeColor="text1"/>
          <w:lang w:eastAsia="en-US"/>
        </w:rPr>
        <w:t xml:space="preserve"> </w:t>
      </w:r>
      <w:r w:rsidRPr="00AE5091">
        <w:rPr>
          <w:rFonts w:eastAsiaTheme="minorEastAsia"/>
          <w:color w:val="000000" w:themeColor="text1"/>
          <w:lang w:eastAsia="en-US"/>
        </w:rPr>
        <w:t xml:space="preserve">постанови Правління Національного банку України </w:t>
      </w:r>
      <w:r w:rsidR="00390920" w:rsidRPr="00AE5091">
        <w:rPr>
          <w:rFonts w:eastAsiaTheme="minorEastAsia"/>
          <w:color w:val="000000" w:themeColor="text1"/>
          <w:lang w:eastAsia="en-US"/>
        </w:rPr>
        <w:t>«</w:t>
      </w:r>
      <w:r w:rsidR="00042684" w:rsidRPr="00AE5091">
        <w:rPr>
          <w:rFonts w:eastAsiaTheme="minorEastAsia"/>
          <w:color w:val="000000" w:themeColor="text1"/>
          <w:lang w:eastAsia="en-US"/>
        </w:rPr>
        <w:t>Про внесення змін до постанови Правління Національного банку України  від 18 липня 2019 року №</w:t>
      </w:r>
      <w:r w:rsidR="0009751B" w:rsidRPr="00AE5091">
        <w:rPr>
          <w:rFonts w:eastAsiaTheme="minorEastAsia"/>
          <w:color w:val="000000" w:themeColor="text1"/>
          <w:lang w:eastAsia="en-US"/>
        </w:rPr>
        <w:t> </w:t>
      </w:r>
      <w:r w:rsidR="00042684" w:rsidRPr="00AE5091">
        <w:rPr>
          <w:rFonts w:eastAsiaTheme="minorEastAsia"/>
          <w:color w:val="000000" w:themeColor="text1"/>
          <w:lang w:eastAsia="en-US"/>
        </w:rPr>
        <w:t>97 “Про затвердження Положення про організацію процесу управління проблемними активами в банках України</w:t>
      </w:r>
      <w:r w:rsidRPr="00AE5091">
        <w:rPr>
          <w:rFonts w:eastAsiaTheme="minorEastAsia"/>
          <w:color w:val="000000" w:themeColor="text1"/>
          <w:lang w:eastAsia="en-US"/>
        </w:rPr>
        <w:t>”</w:t>
      </w:r>
      <w:r w:rsidR="00390920" w:rsidRPr="00AE5091">
        <w:rPr>
          <w:rFonts w:eastAsiaTheme="minorEastAsia"/>
          <w:color w:val="000000" w:themeColor="text1"/>
          <w:lang w:eastAsia="en-US"/>
        </w:rPr>
        <w:t>»</w:t>
      </w:r>
      <w:r w:rsidRPr="00AE5091">
        <w:rPr>
          <w:rFonts w:eastAsiaTheme="minorEastAsia"/>
          <w:color w:val="000000" w:themeColor="text1"/>
          <w:lang w:eastAsia="en-US"/>
        </w:rPr>
        <w:t xml:space="preserve"> (далі – Проєкт) є:</w:t>
      </w:r>
    </w:p>
    <w:p w:rsidR="00AC2D09" w:rsidRPr="00D06936" w:rsidRDefault="00AC2D09" w:rsidP="00D06936">
      <w:pPr>
        <w:ind w:firstLine="709"/>
      </w:pPr>
      <w:r w:rsidRPr="00AE5091">
        <w:rPr>
          <w:rFonts w:eastAsiaTheme="minorEastAsia"/>
          <w:color w:val="000000" w:themeColor="text1"/>
          <w:lang w:eastAsia="en-US"/>
        </w:rPr>
        <w:t xml:space="preserve">посилення контрольних функцій ради банку </w:t>
      </w:r>
      <w:r w:rsidRPr="00D06936">
        <w:t>щодо запобігання виникнення реального та потенційного конфлікту інтересів під час організації процесу управління проблемними активами;</w:t>
      </w:r>
    </w:p>
    <w:p w:rsidR="00F36A3C" w:rsidRPr="00AE5091" w:rsidRDefault="00397787" w:rsidP="00D06936">
      <w:pPr>
        <w:ind w:firstLine="709"/>
        <w:rPr>
          <w:rFonts w:eastAsiaTheme="minorEastAsia"/>
          <w:color w:val="000000" w:themeColor="text1"/>
          <w:lang w:eastAsia="en-US"/>
        </w:rPr>
      </w:pPr>
      <w:r w:rsidRPr="00AE5091">
        <w:rPr>
          <w:rFonts w:eastAsiaTheme="minorEastAsia"/>
          <w:color w:val="000000" w:themeColor="text1"/>
          <w:lang w:eastAsia="en-US"/>
        </w:rPr>
        <w:t>підвищення</w:t>
      </w:r>
      <w:r w:rsidR="00FC50DE" w:rsidRPr="00AE5091">
        <w:rPr>
          <w:rFonts w:eastAsiaTheme="minorEastAsia"/>
          <w:color w:val="000000" w:themeColor="text1"/>
          <w:lang w:eastAsia="en-US"/>
        </w:rPr>
        <w:t xml:space="preserve"> ефективності </w:t>
      </w:r>
      <w:r w:rsidR="00390920" w:rsidRPr="00AE5091">
        <w:rPr>
          <w:rFonts w:eastAsiaTheme="minorEastAsia"/>
          <w:color w:val="000000" w:themeColor="text1"/>
          <w:lang w:eastAsia="en-US"/>
        </w:rPr>
        <w:t xml:space="preserve">діяльності </w:t>
      </w:r>
      <w:r w:rsidR="00FC50DE" w:rsidRPr="00AE5091">
        <w:rPr>
          <w:rFonts w:eastAsiaTheme="minorEastAsia"/>
          <w:color w:val="000000" w:themeColor="text1"/>
          <w:lang w:eastAsia="en-US"/>
        </w:rPr>
        <w:t>підрозділ</w:t>
      </w:r>
      <w:r w:rsidR="00AD5B5E" w:rsidRPr="00AE5091">
        <w:rPr>
          <w:rFonts w:eastAsiaTheme="minorEastAsia"/>
          <w:color w:val="000000" w:themeColor="text1"/>
          <w:lang w:eastAsia="en-US"/>
        </w:rPr>
        <w:t>у</w:t>
      </w:r>
      <w:r w:rsidR="00390920" w:rsidRPr="00AE5091">
        <w:rPr>
          <w:rFonts w:eastAsiaTheme="minorEastAsia"/>
          <w:color w:val="000000" w:themeColor="text1"/>
          <w:lang w:eastAsia="en-US"/>
        </w:rPr>
        <w:t xml:space="preserve"> </w:t>
      </w:r>
      <w:r w:rsidR="00390920" w:rsidRPr="00D06936">
        <w:rPr>
          <w:rFonts w:eastAsiaTheme="minorEastAsia"/>
          <w:color w:val="000000" w:themeColor="text1"/>
          <w:lang w:eastAsia="en-US"/>
        </w:rPr>
        <w:t>роботи з непрацюючими активами</w:t>
      </w:r>
      <w:r w:rsidR="00FC50DE" w:rsidRPr="00AE5091">
        <w:rPr>
          <w:rFonts w:eastAsiaTheme="minorEastAsia"/>
          <w:color w:val="000000" w:themeColor="text1"/>
          <w:lang w:eastAsia="en-US"/>
        </w:rPr>
        <w:t xml:space="preserve"> </w:t>
      </w:r>
      <w:r w:rsidR="00390920" w:rsidRPr="00AE5091">
        <w:rPr>
          <w:rFonts w:eastAsiaTheme="minorEastAsia"/>
          <w:color w:val="000000" w:themeColor="text1"/>
          <w:lang w:eastAsia="en-US"/>
        </w:rPr>
        <w:t xml:space="preserve">(далі – підрозділ </w:t>
      </w:r>
      <w:r w:rsidR="00FC50DE" w:rsidRPr="00AE5091">
        <w:rPr>
          <w:rFonts w:eastAsiaTheme="minorEastAsia"/>
          <w:color w:val="000000" w:themeColor="text1"/>
          <w:lang w:eastAsia="en-US"/>
        </w:rPr>
        <w:t>НПА</w:t>
      </w:r>
      <w:r w:rsidR="00390920" w:rsidRPr="00AE5091">
        <w:rPr>
          <w:rFonts w:eastAsiaTheme="minorEastAsia"/>
          <w:color w:val="000000" w:themeColor="text1"/>
          <w:lang w:eastAsia="en-US"/>
        </w:rPr>
        <w:t>)</w:t>
      </w:r>
      <w:r w:rsidR="00FC50DE" w:rsidRPr="00AE5091">
        <w:rPr>
          <w:rFonts w:eastAsiaTheme="minorEastAsia"/>
          <w:color w:val="000000" w:themeColor="text1"/>
          <w:lang w:eastAsia="en-US"/>
        </w:rPr>
        <w:t xml:space="preserve"> </w:t>
      </w:r>
      <w:r w:rsidRPr="00AE5091">
        <w:rPr>
          <w:rFonts w:eastAsiaTheme="minorEastAsia"/>
          <w:color w:val="000000" w:themeColor="text1"/>
          <w:lang w:eastAsia="en-US"/>
        </w:rPr>
        <w:t xml:space="preserve">у банках </w:t>
      </w:r>
      <w:r w:rsidR="00FC50DE" w:rsidRPr="00AE5091">
        <w:rPr>
          <w:rFonts w:eastAsiaTheme="minorEastAsia"/>
          <w:color w:val="000000" w:themeColor="text1"/>
          <w:lang w:eastAsia="en-US"/>
        </w:rPr>
        <w:t xml:space="preserve">внаслідок </w:t>
      </w:r>
      <w:r w:rsidR="00F23AF9" w:rsidRPr="00AE5091">
        <w:rPr>
          <w:rFonts w:eastAsiaTheme="minorEastAsia"/>
          <w:color w:val="000000" w:themeColor="text1"/>
          <w:lang w:eastAsia="en-US"/>
        </w:rPr>
        <w:t xml:space="preserve">оптимізації </w:t>
      </w:r>
      <w:r w:rsidR="00390920" w:rsidRPr="00AE5091">
        <w:rPr>
          <w:rFonts w:eastAsiaTheme="minorEastAsia"/>
          <w:color w:val="000000" w:themeColor="text1"/>
          <w:lang w:eastAsia="en-US"/>
        </w:rPr>
        <w:t xml:space="preserve">їх </w:t>
      </w:r>
      <w:r w:rsidR="00F23AF9" w:rsidRPr="00AE5091">
        <w:rPr>
          <w:rFonts w:eastAsiaTheme="minorEastAsia"/>
          <w:color w:val="000000" w:themeColor="text1"/>
          <w:lang w:eastAsia="en-US"/>
        </w:rPr>
        <w:t xml:space="preserve">організаційної структури та </w:t>
      </w:r>
      <w:r w:rsidR="00FC50DE" w:rsidRPr="00AE5091">
        <w:rPr>
          <w:rFonts w:eastAsiaTheme="minorEastAsia"/>
          <w:color w:val="000000" w:themeColor="text1"/>
          <w:lang w:eastAsia="en-US"/>
        </w:rPr>
        <w:t xml:space="preserve">вдосконалення взаємодії </w:t>
      </w:r>
      <w:r w:rsidR="00F23AF9" w:rsidRPr="00AE5091">
        <w:rPr>
          <w:rFonts w:eastAsiaTheme="minorEastAsia"/>
          <w:color w:val="000000" w:themeColor="text1"/>
          <w:lang w:eastAsia="en-US"/>
        </w:rPr>
        <w:t>між підрозділами першої та другої ліній захисту</w:t>
      </w:r>
      <w:r w:rsidRPr="00AE5091">
        <w:rPr>
          <w:rFonts w:eastAsiaTheme="minorEastAsia"/>
          <w:color w:val="000000" w:themeColor="text1"/>
          <w:lang w:eastAsia="en-US"/>
        </w:rPr>
        <w:t xml:space="preserve"> у процесі управління проблемними активами, зокрема у системно важливих банках</w:t>
      </w:r>
      <w:r w:rsidR="00F36A3C" w:rsidRPr="00AE5091">
        <w:rPr>
          <w:rFonts w:eastAsiaTheme="minorEastAsia"/>
          <w:color w:val="000000" w:themeColor="text1"/>
          <w:lang w:eastAsia="en-US"/>
        </w:rPr>
        <w:t>;</w:t>
      </w:r>
    </w:p>
    <w:p w:rsidR="00AC2D09" w:rsidRPr="00AE5091" w:rsidRDefault="00AC2D09" w:rsidP="00D06936">
      <w:pPr>
        <w:ind w:firstLine="709"/>
      </w:pPr>
      <w:r w:rsidRPr="00AE5091">
        <w:rPr>
          <w:rFonts w:eastAsiaTheme="minorEastAsia"/>
          <w:color w:val="000000" w:themeColor="text1"/>
          <w:lang w:eastAsia="en-US"/>
        </w:rPr>
        <w:t xml:space="preserve">мінімізація ризику виникнення конфлікту інтересів у головного ризик-менеджера, у разі прийняття банком </w:t>
      </w:r>
      <w:r w:rsidRPr="00AE5091">
        <w:t>рішення про очолювання/підпорядкування підрозділу роботи з НПА головним(ому) ризик-менеджером(у)</w:t>
      </w:r>
      <w:r w:rsidRPr="00D06936">
        <w:t>.</w:t>
      </w:r>
    </w:p>
    <w:p w:rsidR="00AC2D09" w:rsidRPr="00D06936" w:rsidRDefault="00AC2D09" w:rsidP="00D06936">
      <w:pPr>
        <w:ind w:firstLine="709"/>
      </w:pPr>
    </w:p>
    <w:p w:rsidR="00A0323B" w:rsidRPr="00AE5091" w:rsidRDefault="00A838FB" w:rsidP="00D06936">
      <w:pPr>
        <w:ind w:firstLine="709"/>
        <w:rPr>
          <w:rFonts w:eastAsiaTheme="minorEastAsia"/>
          <w:color w:val="000000" w:themeColor="text1"/>
          <w:lang w:eastAsia="en-US"/>
        </w:rPr>
      </w:pPr>
      <w:r w:rsidRPr="00AE5091">
        <w:rPr>
          <w:rFonts w:eastAsiaTheme="minorEastAsia"/>
          <w:color w:val="000000" w:themeColor="text1"/>
          <w:lang w:eastAsia="en-US"/>
        </w:rPr>
        <w:t xml:space="preserve">Вимоги Проєкту поширюватимуться на банки, </w:t>
      </w:r>
      <w:r w:rsidR="00B044A4" w:rsidRPr="00AE5091">
        <w:rPr>
          <w:rFonts w:eastAsiaTheme="minorEastAsia"/>
          <w:color w:val="000000" w:themeColor="text1"/>
          <w:lang w:eastAsia="en-US"/>
        </w:rPr>
        <w:t xml:space="preserve">керівників банків, </w:t>
      </w:r>
      <w:r w:rsidRPr="00AE5091">
        <w:rPr>
          <w:rFonts w:eastAsiaTheme="minorEastAsia"/>
          <w:color w:val="000000" w:themeColor="text1"/>
          <w:lang w:eastAsia="en-US"/>
        </w:rPr>
        <w:t>головн</w:t>
      </w:r>
      <w:r w:rsidR="00B044A4" w:rsidRPr="00AE5091">
        <w:rPr>
          <w:rFonts w:eastAsiaTheme="minorEastAsia"/>
          <w:color w:val="000000" w:themeColor="text1"/>
          <w:lang w:eastAsia="en-US"/>
        </w:rPr>
        <w:t>их</w:t>
      </w:r>
      <w:r w:rsidRPr="00AE5091">
        <w:rPr>
          <w:rFonts w:eastAsiaTheme="minorEastAsia"/>
          <w:color w:val="000000" w:themeColor="text1"/>
          <w:lang w:eastAsia="en-US"/>
        </w:rPr>
        <w:t xml:space="preserve"> ризик-менеджер</w:t>
      </w:r>
      <w:r w:rsidR="00B044A4" w:rsidRPr="00AE5091">
        <w:rPr>
          <w:rFonts w:eastAsiaTheme="minorEastAsia"/>
          <w:color w:val="000000" w:themeColor="text1"/>
          <w:lang w:eastAsia="en-US"/>
        </w:rPr>
        <w:t>ів банків</w:t>
      </w:r>
      <w:r w:rsidRPr="00AE5091">
        <w:rPr>
          <w:rFonts w:eastAsiaTheme="minorEastAsia"/>
          <w:color w:val="000000" w:themeColor="text1"/>
          <w:lang w:eastAsia="en-US"/>
        </w:rPr>
        <w:t>, головн</w:t>
      </w:r>
      <w:r w:rsidR="00090600" w:rsidRPr="00AE5091">
        <w:rPr>
          <w:rFonts w:eastAsiaTheme="minorEastAsia"/>
          <w:color w:val="000000" w:themeColor="text1"/>
          <w:lang w:eastAsia="en-US"/>
        </w:rPr>
        <w:t>их</w:t>
      </w:r>
      <w:r w:rsidRPr="00AE5091">
        <w:rPr>
          <w:rFonts w:eastAsiaTheme="minorEastAsia"/>
          <w:color w:val="000000" w:themeColor="text1"/>
          <w:lang w:eastAsia="en-US"/>
        </w:rPr>
        <w:t xml:space="preserve"> комплаєнс-менеджер</w:t>
      </w:r>
      <w:r w:rsidR="00090600" w:rsidRPr="00AE5091">
        <w:rPr>
          <w:rFonts w:eastAsiaTheme="minorEastAsia"/>
          <w:color w:val="000000" w:themeColor="text1"/>
          <w:lang w:eastAsia="en-US"/>
        </w:rPr>
        <w:t>ів, керівників</w:t>
      </w:r>
      <w:r w:rsidRPr="00AE5091">
        <w:rPr>
          <w:rFonts w:eastAsiaTheme="minorEastAsia"/>
          <w:color w:val="000000" w:themeColor="text1"/>
          <w:lang w:eastAsia="en-US"/>
        </w:rPr>
        <w:t xml:space="preserve"> підро</w:t>
      </w:r>
      <w:r w:rsidR="00B044A4" w:rsidRPr="00AE5091">
        <w:rPr>
          <w:rFonts w:eastAsiaTheme="minorEastAsia"/>
          <w:color w:val="000000" w:themeColor="text1"/>
          <w:lang w:eastAsia="en-US"/>
        </w:rPr>
        <w:t>зділу внутрішнього аудиту банку</w:t>
      </w:r>
      <w:r w:rsidRPr="00AE5091">
        <w:rPr>
          <w:rFonts w:eastAsiaTheme="minorEastAsia"/>
          <w:color w:val="000000" w:themeColor="text1"/>
          <w:lang w:eastAsia="en-US"/>
        </w:rPr>
        <w:t>.</w:t>
      </w:r>
    </w:p>
    <w:p w:rsidR="00AC2D09" w:rsidRPr="00AE5091" w:rsidRDefault="00AC2D09" w:rsidP="00D06936">
      <w:pPr>
        <w:ind w:firstLine="709"/>
        <w:rPr>
          <w:rFonts w:eastAsiaTheme="minorEastAsia"/>
          <w:color w:val="000000" w:themeColor="text1"/>
          <w:lang w:eastAsia="en-US"/>
        </w:rPr>
      </w:pPr>
    </w:p>
    <w:p w:rsidR="00A838FB" w:rsidRPr="00AE5091" w:rsidRDefault="00A838FB" w:rsidP="00D06936">
      <w:pPr>
        <w:pStyle w:val="af4"/>
        <w:keepNext/>
        <w:numPr>
          <w:ilvl w:val="0"/>
          <w:numId w:val="4"/>
        </w:numPr>
        <w:spacing w:before="0"/>
        <w:ind w:hanging="366"/>
        <w:jc w:val="center"/>
        <w:rPr>
          <w:rFonts w:ascii="Times New Roman" w:hAnsi="Times New Roman"/>
          <w:b/>
          <w:sz w:val="28"/>
          <w:szCs w:val="28"/>
        </w:rPr>
      </w:pPr>
      <w:r w:rsidRPr="00AE5091">
        <w:rPr>
          <w:rFonts w:ascii="Times New Roman" w:hAnsi="Times New Roman"/>
          <w:b/>
          <w:sz w:val="28"/>
          <w:szCs w:val="28"/>
        </w:rPr>
        <w:t>Очікуваний вплив на сферу правового регулювання</w:t>
      </w:r>
    </w:p>
    <w:p w:rsidR="00AE5091" w:rsidRPr="00D06936" w:rsidRDefault="00AE5091" w:rsidP="00D06936">
      <w:pPr>
        <w:pStyle w:val="af4"/>
        <w:keepNext/>
        <w:spacing w:before="0"/>
        <w:ind w:left="1359" w:firstLine="0"/>
        <w:rPr>
          <w:rFonts w:ascii="Times New Roman" w:hAnsi="Times New Roman"/>
          <w:sz w:val="28"/>
          <w:szCs w:val="28"/>
        </w:rPr>
      </w:pPr>
    </w:p>
    <w:p w:rsidR="00A838FB" w:rsidRPr="00AE5091" w:rsidRDefault="00A838FB">
      <w:pPr>
        <w:ind w:firstLine="709"/>
        <w:rPr>
          <w:rFonts w:eastAsiaTheme="minorEastAsia"/>
          <w:lang w:eastAsia="en-US"/>
        </w:rPr>
      </w:pPr>
      <w:r w:rsidRPr="00AE5091">
        <w:rPr>
          <w:rFonts w:eastAsiaTheme="minorEastAsia"/>
          <w:lang w:eastAsia="en-US"/>
        </w:rPr>
        <w:t>Прийняття Проєкту спрямоване на:</w:t>
      </w:r>
    </w:p>
    <w:p w:rsidR="00AE5091" w:rsidRPr="00AE5091" w:rsidRDefault="00AE5091">
      <w:pPr>
        <w:ind w:firstLine="709"/>
        <w:rPr>
          <w:rFonts w:eastAsiaTheme="minorEastAsia"/>
          <w:lang w:eastAsia="en-US"/>
        </w:rPr>
      </w:pPr>
    </w:p>
    <w:p w:rsidR="00FA1C0C" w:rsidRPr="00AE5091" w:rsidRDefault="00FA1C0C" w:rsidP="00D06936">
      <w:pPr>
        <w:pStyle w:val="af3"/>
        <w:numPr>
          <w:ilvl w:val="0"/>
          <w:numId w:val="2"/>
        </w:numPr>
        <w:tabs>
          <w:tab w:val="left" w:pos="993"/>
        </w:tabs>
        <w:ind w:left="0" w:firstLine="709"/>
        <w:rPr>
          <w:rFonts w:eastAsiaTheme="minorEastAsia"/>
          <w:lang w:eastAsia="en-US"/>
        </w:rPr>
      </w:pPr>
      <w:r w:rsidRPr="00AE5091">
        <w:rPr>
          <w:rFonts w:eastAsiaTheme="minorEastAsia"/>
          <w:lang w:eastAsia="en-US"/>
        </w:rPr>
        <w:t xml:space="preserve">Підвищення ефективності </w:t>
      </w:r>
      <w:r w:rsidR="009D61F0" w:rsidRPr="00AE5091">
        <w:rPr>
          <w:rFonts w:eastAsiaTheme="minorEastAsia"/>
          <w:lang w:eastAsia="en-US"/>
        </w:rPr>
        <w:t xml:space="preserve">організації </w:t>
      </w:r>
      <w:r w:rsidRPr="00AE5091">
        <w:rPr>
          <w:rFonts w:eastAsiaTheme="minorEastAsia"/>
          <w:lang w:eastAsia="en-US"/>
        </w:rPr>
        <w:t>системи управління ризиками</w:t>
      </w:r>
      <w:r w:rsidR="00397787" w:rsidRPr="00AE5091">
        <w:rPr>
          <w:rFonts w:eastAsiaTheme="minorEastAsia"/>
          <w:lang w:eastAsia="en-US"/>
        </w:rPr>
        <w:t xml:space="preserve"> у банках</w:t>
      </w:r>
      <w:r w:rsidR="009D61F0" w:rsidRPr="00AE5091">
        <w:rPr>
          <w:rFonts w:eastAsiaTheme="minorEastAsia"/>
          <w:lang w:eastAsia="en-US"/>
        </w:rPr>
        <w:t>, яка ґрунтується на розподілі обов'язків між підрозділами банку із застосуванням моделі трьох ліній захисту</w:t>
      </w:r>
      <w:r w:rsidR="007F2E46" w:rsidRPr="007F2E46">
        <w:rPr>
          <w:rFonts w:eastAsiaTheme="minorEastAsia"/>
          <w:lang w:eastAsia="en-US"/>
        </w:rPr>
        <w:t>,</w:t>
      </w:r>
      <w:bookmarkStart w:id="0" w:name="_GoBack"/>
      <w:bookmarkEnd w:id="0"/>
      <w:r w:rsidRPr="00AE5091">
        <w:rPr>
          <w:rFonts w:eastAsiaTheme="minorEastAsia"/>
          <w:lang w:eastAsia="en-US"/>
        </w:rPr>
        <w:t xml:space="preserve"> </w:t>
      </w:r>
      <w:r w:rsidR="009D61F0" w:rsidRPr="00AE5091">
        <w:rPr>
          <w:rFonts w:eastAsiaTheme="minorEastAsia"/>
          <w:lang w:eastAsia="en-US"/>
        </w:rPr>
        <w:t>з метою забезпечення ефективно</w:t>
      </w:r>
      <w:r w:rsidR="00042684" w:rsidRPr="00AE5091">
        <w:rPr>
          <w:rFonts w:eastAsiaTheme="minorEastAsia"/>
          <w:lang w:eastAsia="en-US"/>
        </w:rPr>
        <w:t>го</w:t>
      </w:r>
      <w:r w:rsidR="009D61F0" w:rsidRPr="00AE5091">
        <w:rPr>
          <w:rFonts w:eastAsiaTheme="minorEastAsia"/>
          <w:lang w:eastAsia="en-US"/>
        </w:rPr>
        <w:t xml:space="preserve"> </w:t>
      </w:r>
      <w:r w:rsidR="00042684" w:rsidRPr="00AE5091">
        <w:rPr>
          <w:rFonts w:eastAsiaTheme="minorEastAsia"/>
          <w:lang w:eastAsia="en-US"/>
        </w:rPr>
        <w:t>процесу управління проблемними активами</w:t>
      </w:r>
      <w:r w:rsidR="009E0D4C" w:rsidRPr="00AE5091">
        <w:rPr>
          <w:rFonts w:eastAsiaTheme="minorEastAsia"/>
          <w:lang w:eastAsia="en-US"/>
        </w:rPr>
        <w:t>, зокрема у системно важливих банках</w:t>
      </w:r>
      <w:r w:rsidR="00594BA3" w:rsidRPr="00AE5091">
        <w:rPr>
          <w:rFonts w:eastAsiaTheme="minorEastAsia"/>
          <w:lang w:eastAsia="en-US"/>
        </w:rPr>
        <w:t>.</w:t>
      </w:r>
    </w:p>
    <w:p w:rsidR="00594BA3" w:rsidRPr="00D06936" w:rsidRDefault="00594BA3" w:rsidP="00D06936">
      <w:pPr>
        <w:pStyle w:val="af3"/>
        <w:tabs>
          <w:tab w:val="left" w:pos="993"/>
        </w:tabs>
        <w:ind w:left="709"/>
        <w:rPr>
          <w:rFonts w:eastAsiaTheme="minorEastAsia"/>
          <w:sz w:val="16"/>
          <w:szCs w:val="16"/>
          <w:lang w:eastAsia="en-US"/>
        </w:rPr>
      </w:pPr>
    </w:p>
    <w:p w:rsidR="004752C3" w:rsidRPr="00AE5091" w:rsidRDefault="00594BA3" w:rsidP="00D06936">
      <w:pPr>
        <w:pStyle w:val="af3"/>
        <w:numPr>
          <w:ilvl w:val="0"/>
          <w:numId w:val="2"/>
        </w:numPr>
        <w:tabs>
          <w:tab w:val="left" w:pos="993"/>
        </w:tabs>
        <w:ind w:left="0" w:firstLine="709"/>
        <w:rPr>
          <w:rFonts w:eastAsiaTheme="minorEastAsia"/>
          <w:lang w:eastAsia="en-US"/>
        </w:rPr>
      </w:pPr>
      <w:r w:rsidRPr="00AE5091">
        <w:rPr>
          <w:rFonts w:eastAsiaTheme="minorEastAsia"/>
          <w:lang w:eastAsia="en-US"/>
        </w:rPr>
        <w:t>Поси</w:t>
      </w:r>
      <w:r w:rsidR="009D61F0" w:rsidRPr="00AE5091">
        <w:rPr>
          <w:rFonts w:eastAsiaTheme="minorEastAsia"/>
          <w:lang w:eastAsia="en-US"/>
        </w:rPr>
        <w:t xml:space="preserve">лення </w:t>
      </w:r>
      <w:r w:rsidR="009E0D4C" w:rsidRPr="00AE5091">
        <w:rPr>
          <w:rFonts w:eastAsiaTheme="minorEastAsia"/>
          <w:lang w:eastAsia="en-US"/>
        </w:rPr>
        <w:t xml:space="preserve">контролю </w:t>
      </w:r>
      <w:r w:rsidR="00F23AF9" w:rsidRPr="00AE5091">
        <w:rPr>
          <w:rFonts w:eastAsiaTheme="minorEastAsia"/>
          <w:lang w:eastAsia="en-US"/>
        </w:rPr>
        <w:t>з боку</w:t>
      </w:r>
      <w:r w:rsidR="009E0D4C" w:rsidRPr="00AE5091">
        <w:rPr>
          <w:rFonts w:eastAsiaTheme="minorEastAsia"/>
          <w:lang w:eastAsia="en-US"/>
        </w:rPr>
        <w:t xml:space="preserve"> ради банку за своєчасним виявленням, урегулюванням та запобіганням конфліктам інтересів </w:t>
      </w:r>
      <w:r w:rsidR="00FA1C0C" w:rsidRPr="00AE5091">
        <w:rPr>
          <w:rFonts w:eastAsiaTheme="minorEastAsia"/>
          <w:lang w:eastAsia="en-US"/>
        </w:rPr>
        <w:t xml:space="preserve">у головного ризик-менеджера </w:t>
      </w:r>
      <w:r w:rsidR="006D0F26" w:rsidRPr="00D06936">
        <w:rPr>
          <w:rFonts w:eastAsiaTheme="minorEastAsia"/>
          <w:lang w:eastAsia="en-US"/>
        </w:rPr>
        <w:t xml:space="preserve">у </w:t>
      </w:r>
      <w:r w:rsidR="00FA1C0C" w:rsidRPr="00AE5091">
        <w:rPr>
          <w:rFonts w:eastAsiaTheme="minorEastAsia"/>
          <w:lang w:eastAsia="en-US"/>
        </w:rPr>
        <w:t>процес</w:t>
      </w:r>
      <w:r w:rsidR="006D0F26" w:rsidRPr="00AE5091">
        <w:rPr>
          <w:rFonts w:eastAsiaTheme="minorEastAsia"/>
          <w:lang w:eastAsia="en-US"/>
        </w:rPr>
        <w:t>і</w:t>
      </w:r>
      <w:r w:rsidR="00FA1C0C" w:rsidRPr="00AE5091">
        <w:rPr>
          <w:rFonts w:eastAsiaTheme="minorEastAsia"/>
          <w:lang w:eastAsia="en-US"/>
        </w:rPr>
        <w:t xml:space="preserve"> </w:t>
      </w:r>
      <w:r w:rsidRPr="00AE5091">
        <w:rPr>
          <w:rFonts w:eastAsiaTheme="minorEastAsia"/>
          <w:lang w:eastAsia="en-US"/>
        </w:rPr>
        <w:t xml:space="preserve">організації </w:t>
      </w:r>
      <w:r w:rsidR="00FA1C0C" w:rsidRPr="00AE5091">
        <w:rPr>
          <w:rFonts w:eastAsiaTheme="minorEastAsia"/>
          <w:lang w:eastAsia="en-US"/>
        </w:rPr>
        <w:t>управління проблемними активами</w:t>
      </w:r>
      <w:r w:rsidR="007C5A87" w:rsidRPr="00AE5091">
        <w:rPr>
          <w:rFonts w:eastAsiaTheme="minorEastAsia"/>
          <w:lang w:eastAsia="en-US"/>
        </w:rPr>
        <w:t>.</w:t>
      </w:r>
    </w:p>
    <w:p w:rsidR="00594BA3" w:rsidRPr="00D06936" w:rsidRDefault="00594BA3" w:rsidP="00D06936">
      <w:pPr>
        <w:pStyle w:val="af3"/>
        <w:numPr>
          <w:ilvl w:val="0"/>
          <w:numId w:val="2"/>
        </w:numPr>
        <w:tabs>
          <w:tab w:val="left" w:pos="993"/>
        </w:tabs>
        <w:ind w:left="0" w:firstLine="709"/>
        <w:rPr>
          <w:rFonts w:eastAsiaTheme="minorEastAsia"/>
          <w:lang w:eastAsia="en-US"/>
        </w:rPr>
      </w:pPr>
      <w:r w:rsidRPr="00AE5091">
        <w:rPr>
          <w:rFonts w:eastAsiaTheme="minorEastAsia"/>
          <w:lang w:eastAsia="en-US"/>
        </w:rPr>
        <w:lastRenderedPageBreak/>
        <w:t xml:space="preserve">Зниження функціонального навантаження на головного ризик-менеджера у системно важливих банках України, ураховуючи масштаб діяльності, </w:t>
      </w:r>
      <w:r w:rsidRPr="00AE5091">
        <w:rPr>
          <w:shd w:val="clear" w:color="auto" w:fill="FFFFFF"/>
        </w:rPr>
        <w:t>види, складність здійснюваних такими банками операцій.</w:t>
      </w:r>
    </w:p>
    <w:p w:rsidR="00594BA3" w:rsidRPr="00AE5091" w:rsidRDefault="00594BA3" w:rsidP="00D06936">
      <w:pPr>
        <w:pStyle w:val="af3"/>
        <w:tabs>
          <w:tab w:val="left" w:pos="993"/>
        </w:tabs>
        <w:ind w:left="709"/>
        <w:rPr>
          <w:rFonts w:eastAsiaTheme="minorEastAsia"/>
          <w:lang w:eastAsia="en-US"/>
        </w:rPr>
      </w:pPr>
    </w:p>
    <w:p w:rsidR="00962DD9" w:rsidRPr="00AE5091" w:rsidRDefault="00962DD9">
      <w:pPr>
        <w:pStyle w:val="af3"/>
        <w:ind w:left="0" w:firstLine="709"/>
        <w:rPr>
          <w:rFonts w:eastAsiaTheme="minorEastAsia"/>
          <w:lang w:eastAsia="en-US"/>
        </w:rPr>
      </w:pPr>
      <w:r w:rsidRPr="00AE5091">
        <w:rPr>
          <w:rFonts w:eastAsiaTheme="minorEastAsia"/>
          <w:color w:val="000000" w:themeColor="text1"/>
          <w:lang w:eastAsia="en-US"/>
        </w:rPr>
        <w:t>Це забезпечуватиметься</w:t>
      </w:r>
      <w:r w:rsidR="00594BA3" w:rsidRPr="00AE5091">
        <w:rPr>
          <w:rFonts w:eastAsiaTheme="minorEastAsia"/>
          <w:color w:val="000000" w:themeColor="text1"/>
          <w:lang w:eastAsia="en-US"/>
        </w:rPr>
        <w:t xml:space="preserve"> банками</w:t>
      </w:r>
      <w:r w:rsidRPr="00AE5091">
        <w:rPr>
          <w:rFonts w:eastAsiaTheme="minorEastAsia"/>
          <w:color w:val="000000" w:themeColor="text1"/>
          <w:lang w:eastAsia="en-US"/>
        </w:rPr>
        <w:t xml:space="preserve"> шляхом </w:t>
      </w:r>
      <w:r w:rsidR="00CF0072">
        <w:rPr>
          <w:rFonts w:eastAsiaTheme="minorEastAsia"/>
          <w:color w:val="000000" w:themeColor="text1"/>
          <w:lang w:eastAsia="en-US"/>
        </w:rPr>
        <w:t xml:space="preserve">приведення у відповідність організаційної структури у банках до вимог Проєкту, </w:t>
      </w:r>
      <w:r w:rsidRPr="00AE5091">
        <w:rPr>
          <w:rFonts w:eastAsiaTheme="minorEastAsia"/>
          <w:color w:val="000000" w:themeColor="text1"/>
          <w:lang w:eastAsia="en-US"/>
        </w:rPr>
        <w:t>затвердження/перегляду внутрішньобанківських документів, які мають містити чіткі вимоги щодо запобігання, інформування, управління реальним або потенційним конфліктом інтересів та вжиття заходів для його врегулювання працівниками банку під час організації процесу управління проблемними активами.</w:t>
      </w:r>
    </w:p>
    <w:p w:rsidR="00962DD9" w:rsidRPr="00AE5091" w:rsidRDefault="00962DD9">
      <w:pPr>
        <w:pStyle w:val="af3"/>
        <w:rPr>
          <w:rFonts w:eastAsiaTheme="minorEastAsia"/>
          <w:lang w:eastAsia="en-US"/>
        </w:rPr>
      </w:pPr>
    </w:p>
    <w:p w:rsidR="00B416ED" w:rsidRPr="00D06936" w:rsidRDefault="00B416ED" w:rsidP="00D06936">
      <w:pPr>
        <w:pStyle w:val="af3"/>
        <w:numPr>
          <w:ilvl w:val="0"/>
          <w:numId w:val="4"/>
        </w:numPr>
        <w:ind w:right="-1" w:hanging="508"/>
        <w:jc w:val="center"/>
        <w:rPr>
          <w:b/>
          <w:lang w:eastAsia="ru-RU"/>
        </w:rPr>
      </w:pPr>
      <w:r w:rsidRPr="00D06936">
        <w:rPr>
          <w:b/>
          <w:lang w:eastAsia="ru-RU"/>
        </w:rPr>
        <w:t>Розрахунок витрат і вигод</w:t>
      </w:r>
    </w:p>
    <w:p w:rsidR="00AE5091" w:rsidRPr="00AE5091" w:rsidRDefault="00AE5091" w:rsidP="00D06936">
      <w:pPr>
        <w:pStyle w:val="af3"/>
        <w:ind w:left="1359" w:right="-1"/>
        <w:rPr>
          <w:lang w:eastAsia="ru-RU"/>
        </w:rPr>
      </w:pPr>
    </w:p>
    <w:p w:rsidR="00090600" w:rsidRPr="00AE5091" w:rsidRDefault="00A838FB" w:rsidP="00D06936">
      <w:pPr>
        <w:ind w:firstLine="567"/>
        <w:rPr>
          <w:rFonts w:eastAsiaTheme="minorEastAsia"/>
          <w:color w:val="000000" w:themeColor="text1"/>
          <w:lang w:eastAsia="en-US"/>
        </w:rPr>
      </w:pPr>
      <w:r w:rsidRPr="00AE5091">
        <w:rPr>
          <w:rFonts w:eastAsiaTheme="minorEastAsia"/>
          <w:color w:val="000000" w:themeColor="text1"/>
          <w:lang w:eastAsia="en-US"/>
        </w:rPr>
        <w:t>Виконання вимог Проєкту не потребує додаткових витрат Національного</w:t>
      </w:r>
      <w:r w:rsidR="00B416ED" w:rsidRPr="00AE5091">
        <w:rPr>
          <w:rFonts w:eastAsiaTheme="minorEastAsia"/>
          <w:color w:val="000000" w:themeColor="text1"/>
          <w:lang w:eastAsia="en-US"/>
        </w:rPr>
        <w:t xml:space="preserve"> </w:t>
      </w:r>
      <w:r w:rsidRPr="00AE5091">
        <w:rPr>
          <w:rFonts w:eastAsiaTheme="minorEastAsia"/>
          <w:color w:val="000000" w:themeColor="text1"/>
          <w:lang w:eastAsia="en-US"/>
        </w:rPr>
        <w:t>банку України, оскільки здійснюється в межах його повноважень.</w:t>
      </w:r>
      <w:r w:rsidR="00B416ED" w:rsidRPr="00AE5091">
        <w:rPr>
          <w:rFonts w:eastAsiaTheme="minorEastAsia"/>
          <w:color w:val="000000" w:themeColor="text1"/>
          <w:lang w:eastAsia="en-US"/>
        </w:rPr>
        <w:t xml:space="preserve"> </w:t>
      </w:r>
    </w:p>
    <w:p w:rsidR="00090600" w:rsidRPr="00AE5091" w:rsidRDefault="00A838FB" w:rsidP="00D06936">
      <w:pPr>
        <w:ind w:firstLine="567"/>
        <w:rPr>
          <w:rFonts w:eastAsiaTheme="minorEastAsia"/>
          <w:color w:val="000000" w:themeColor="text1"/>
          <w:lang w:eastAsia="en-US"/>
        </w:rPr>
      </w:pPr>
      <w:r w:rsidRPr="00AE5091">
        <w:rPr>
          <w:rFonts w:eastAsiaTheme="minorEastAsia"/>
          <w:color w:val="000000" w:themeColor="text1"/>
          <w:lang w:eastAsia="en-US"/>
        </w:rPr>
        <w:t xml:space="preserve">Виконання вимог Проєкту потребуватиме витрат </w:t>
      </w:r>
      <w:r w:rsidR="00AE5091" w:rsidRPr="00AE5091">
        <w:rPr>
          <w:rFonts w:eastAsiaTheme="minorEastAsia"/>
          <w:color w:val="000000" w:themeColor="text1"/>
          <w:lang w:eastAsia="en-US"/>
        </w:rPr>
        <w:t xml:space="preserve">окремих </w:t>
      </w:r>
      <w:r w:rsidRPr="00AE5091">
        <w:rPr>
          <w:rFonts w:eastAsiaTheme="minorEastAsia"/>
          <w:color w:val="000000" w:themeColor="text1"/>
          <w:lang w:eastAsia="en-US"/>
        </w:rPr>
        <w:t xml:space="preserve">банків у процесі їх діяльності щодо </w:t>
      </w:r>
      <w:r w:rsidR="00AE5091" w:rsidRPr="00AE5091">
        <w:rPr>
          <w:rFonts w:eastAsiaTheme="minorEastAsia"/>
          <w:color w:val="000000" w:themeColor="text1"/>
          <w:lang w:eastAsia="en-US"/>
        </w:rPr>
        <w:t>організації процесу управління проблемними активами</w:t>
      </w:r>
      <w:r w:rsidRPr="00AE5091">
        <w:rPr>
          <w:rFonts w:eastAsiaTheme="minorEastAsia"/>
          <w:color w:val="000000" w:themeColor="text1"/>
          <w:lang w:eastAsia="en-US"/>
        </w:rPr>
        <w:t>.</w:t>
      </w:r>
      <w:r w:rsidR="00B416ED" w:rsidRPr="00AE5091">
        <w:rPr>
          <w:rFonts w:eastAsiaTheme="minorEastAsia"/>
          <w:color w:val="000000" w:themeColor="text1"/>
          <w:lang w:eastAsia="en-US"/>
        </w:rPr>
        <w:t xml:space="preserve"> </w:t>
      </w:r>
      <w:r w:rsidRPr="00AE5091">
        <w:rPr>
          <w:rFonts w:eastAsiaTheme="minorEastAsia"/>
          <w:color w:val="000000" w:themeColor="text1"/>
          <w:lang w:eastAsia="en-US"/>
        </w:rPr>
        <w:t xml:space="preserve">Розрахунок витрат і вигод залежатиме від рішень, прийнятих банками </w:t>
      </w:r>
      <w:r w:rsidR="009E0D4C" w:rsidRPr="00AE5091">
        <w:rPr>
          <w:rFonts w:eastAsiaTheme="minorEastAsia"/>
          <w:color w:val="000000" w:themeColor="text1"/>
          <w:lang w:eastAsia="en-US"/>
        </w:rPr>
        <w:t>в</w:t>
      </w:r>
      <w:r w:rsidRPr="00AE5091">
        <w:rPr>
          <w:rFonts w:eastAsiaTheme="minorEastAsia"/>
          <w:color w:val="000000" w:themeColor="text1"/>
          <w:lang w:eastAsia="en-US"/>
        </w:rPr>
        <w:t xml:space="preserve"> частині </w:t>
      </w:r>
      <w:r w:rsidR="00F9509E" w:rsidRPr="00AE5091">
        <w:rPr>
          <w:rFonts w:eastAsiaTheme="minorEastAsia"/>
          <w:color w:val="000000" w:themeColor="text1"/>
          <w:lang w:eastAsia="en-US"/>
        </w:rPr>
        <w:t xml:space="preserve">внесення змін в організаційну структуру </w:t>
      </w:r>
      <w:r w:rsidR="00B416ED" w:rsidRPr="00AE5091">
        <w:rPr>
          <w:rFonts w:eastAsiaTheme="minorEastAsia"/>
          <w:color w:val="000000" w:themeColor="text1"/>
          <w:lang w:eastAsia="en-US"/>
        </w:rPr>
        <w:t xml:space="preserve">для забезпечення </w:t>
      </w:r>
      <w:r w:rsidR="00F23AF9" w:rsidRPr="00AE5091">
        <w:rPr>
          <w:rFonts w:eastAsiaTheme="minorEastAsia"/>
          <w:color w:val="000000" w:themeColor="text1"/>
          <w:lang w:eastAsia="en-US"/>
        </w:rPr>
        <w:t xml:space="preserve">її </w:t>
      </w:r>
      <w:r w:rsidR="009E0D4C" w:rsidRPr="00AE5091">
        <w:rPr>
          <w:rFonts w:eastAsiaTheme="minorEastAsia"/>
          <w:color w:val="000000" w:themeColor="text1"/>
          <w:lang w:eastAsia="en-US"/>
        </w:rPr>
        <w:t xml:space="preserve">відповідності </w:t>
      </w:r>
      <w:r w:rsidR="00397787" w:rsidRPr="00AE5091">
        <w:rPr>
          <w:rFonts w:eastAsiaTheme="minorEastAsia"/>
          <w:color w:val="000000" w:themeColor="text1"/>
          <w:lang w:eastAsia="en-US"/>
        </w:rPr>
        <w:t>вимогам Проєкту.</w:t>
      </w:r>
      <w:r w:rsidR="00B416ED" w:rsidRPr="00AE5091">
        <w:rPr>
          <w:rFonts w:eastAsiaTheme="minorEastAsia"/>
          <w:color w:val="000000" w:themeColor="text1"/>
          <w:lang w:eastAsia="en-US"/>
        </w:rPr>
        <w:t xml:space="preserve"> </w:t>
      </w:r>
    </w:p>
    <w:p w:rsidR="00B416ED" w:rsidRPr="00D06936" w:rsidRDefault="00B416ED" w:rsidP="00D06936">
      <w:pPr>
        <w:ind w:firstLine="567"/>
        <w:rPr>
          <w:rFonts w:eastAsiaTheme="minorEastAsia"/>
          <w:color w:val="000000" w:themeColor="text1"/>
          <w:lang w:eastAsia="en-US"/>
        </w:rPr>
      </w:pPr>
      <w:r w:rsidRPr="00D06936">
        <w:rPr>
          <w:rFonts w:eastAsiaTheme="minorEastAsia"/>
          <w:color w:val="000000" w:themeColor="text1"/>
          <w:lang w:eastAsia="en-US"/>
        </w:rPr>
        <w:t>Враховуючи зазначене, розрахунок очікуваних витрат і вигод не може бути проведений у зв’язку з відсутністю джерела підтвердженої інформації, що може бути використана.</w:t>
      </w:r>
    </w:p>
    <w:p w:rsidR="00EF61E2" w:rsidRPr="00AE5091" w:rsidRDefault="00EF61E2">
      <w:pPr>
        <w:pStyle w:val="af4"/>
        <w:spacing w:before="0"/>
        <w:ind w:firstLine="0"/>
        <w:jc w:val="both"/>
        <w:rPr>
          <w:rFonts w:ascii="Times New Roman" w:hAnsi="Times New Roman"/>
          <w:sz w:val="28"/>
          <w:szCs w:val="28"/>
        </w:rPr>
      </w:pPr>
    </w:p>
    <w:p w:rsidR="00EF61E2" w:rsidRPr="00AE5091" w:rsidRDefault="00EF61E2">
      <w:pPr>
        <w:pStyle w:val="af4"/>
        <w:spacing w:before="0"/>
        <w:ind w:firstLine="0"/>
        <w:jc w:val="both"/>
        <w:rPr>
          <w:rFonts w:ascii="Times New Roman" w:hAnsi="Times New Roman"/>
          <w:sz w:val="28"/>
          <w:szCs w:val="28"/>
        </w:rPr>
      </w:pPr>
    </w:p>
    <w:p w:rsidR="00EF61E2" w:rsidRPr="00AE5091" w:rsidRDefault="00EF61E2">
      <w:pPr>
        <w:pStyle w:val="af4"/>
        <w:spacing w:before="0"/>
        <w:ind w:firstLine="0"/>
        <w:jc w:val="both"/>
        <w:rPr>
          <w:rFonts w:ascii="Times New Roman" w:hAnsi="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4394"/>
      </w:tblGrid>
      <w:tr w:rsidR="00685786" w:rsidRPr="00AE5091" w:rsidTr="008B6821">
        <w:tc>
          <w:tcPr>
            <w:tcW w:w="5353" w:type="dxa"/>
            <w:vAlign w:val="bottom"/>
          </w:tcPr>
          <w:p w:rsidR="00685786" w:rsidRPr="00AE5091" w:rsidRDefault="00B416ED">
            <w:pPr>
              <w:tabs>
                <w:tab w:val="left" w:pos="7020"/>
                <w:tab w:val="left" w:pos="7200"/>
              </w:tabs>
              <w:autoSpaceDE w:val="0"/>
              <w:autoSpaceDN w:val="0"/>
              <w:ind w:left="-107"/>
              <w:jc w:val="left"/>
            </w:pPr>
            <w:r w:rsidRPr="00AE5091">
              <w:t>Перший заступник Голови</w:t>
            </w:r>
          </w:p>
        </w:tc>
        <w:tc>
          <w:tcPr>
            <w:tcW w:w="4394" w:type="dxa"/>
            <w:vAlign w:val="bottom"/>
          </w:tcPr>
          <w:p w:rsidR="00685786" w:rsidRPr="00AE5091" w:rsidRDefault="00B416ED">
            <w:pPr>
              <w:tabs>
                <w:tab w:val="left" w:pos="7020"/>
                <w:tab w:val="left" w:pos="7200"/>
              </w:tabs>
              <w:autoSpaceDE w:val="0"/>
              <w:autoSpaceDN w:val="0"/>
              <w:ind w:left="32"/>
              <w:jc w:val="right"/>
            </w:pPr>
            <w:r w:rsidRPr="00AE5091">
              <w:t>Катерина РОЖКОВА</w:t>
            </w:r>
          </w:p>
        </w:tc>
      </w:tr>
    </w:tbl>
    <w:p w:rsidR="007C5A87" w:rsidRPr="00AE5091" w:rsidRDefault="007C5A87">
      <w:pPr>
        <w:pStyle w:val="af4"/>
        <w:spacing w:before="0"/>
        <w:ind w:firstLine="0"/>
        <w:jc w:val="both"/>
        <w:rPr>
          <w:rFonts w:ascii="Times New Roman" w:hAnsi="Times New Roman"/>
          <w:sz w:val="28"/>
          <w:szCs w:val="28"/>
        </w:rPr>
      </w:pPr>
    </w:p>
    <w:sectPr w:rsidR="007C5A87" w:rsidRPr="00AE5091" w:rsidSect="000376FB">
      <w:headerReference w:type="default" r:id="rId12"/>
      <w:pgSz w:w="11906" w:h="16838" w:code="9"/>
      <w:pgMar w:top="567" w:right="567" w:bottom="170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9FE" w:rsidRDefault="00B629FE" w:rsidP="00E53CCD">
      <w:r>
        <w:separator/>
      </w:r>
    </w:p>
  </w:endnote>
  <w:endnote w:type="continuationSeparator" w:id="0">
    <w:p w:rsidR="00B629FE" w:rsidRDefault="00B629FE" w:rsidP="00E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altName w:val="Haettenschweiler"/>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9FE" w:rsidRDefault="00B629FE" w:rsidP="00E53CCD">
      <w:r>
        <w:separator/>
      </w:r>
    </w:p>
  </w:footnote>
  <w:footnote w:type="continuationSeparator" w:id="0">
    <w:p w:rsidR="00B629FE" w:rsidRDefault="00B629FE" w:rsidP="00E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97573"/>
      <w:docPartObj>
        <w:docPartGallery w:val="Page Numbers (Top of Page)"/>
        <w:docPartUnique/>
      </w:docPartObj>
    </w:sdtPr>
    <w:sdtEndPr/>
    <w:sdtContent>
      <w:p w:rsidR="00ED042F" w:rsidRDefault="003F5757">
        <w:pPr>
          <w:pStyle w:val="a5"/>
          <w:jc w:val="center"/>
        </w:pPr>
        <w:r>
          <w:fldChar w:fldCharType="begin"/>
        </w:r>
        <w:r>
          <w:instrText xml:space="preserve"> PAGE   \* MERGEFORMAT </w:instrText>
        </w:r>
        <w:r>
          <w:fldChar w:fldCharType="separate"/>
        </w:r>
        <w:r w:rsidR="00397719">
          <w:rPr>
            <w:noProof/>
          </w:rPr>
          <w:t>2</w:t>
        </w:r>
        <w:r>
          <w:rPr>
            <w:noProof/>
          </w:rPr>
          <w:fldChar w:fldCharType="end"/>
        </w:r>
      </w:p>
    </w:sdtContent>
  </w:sdt>
  <w:p w:rsidR="00ED042F" w:rsidRDefault="00ED042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2385"/>
    <w:multiLevelType w:val="hybridMultilevel"/>
    <w:tmpl w:val="176AA136"/>
    <w:lvl w:ilvl="0" w:tplc="F496C8F6">
      <w:start w:val="1"/>
      <w:numFmt w:val="upperRoman"/>
      <w:lvlText w:val="%1."/>
      <w:lvlJc w:val="left"/>
      <w:pPr>
        <w:ind w:left="1359" w:hanging="720"/>
      </w:pPr>
      <w:rPr>
        <w:rFonts w:hint="default"/>
      </w:rPr>
    </w:lvl>
    <w:lvl w:ilvl="1" w:tplc="04220019" w:tentative="1">
      <w:start w:val="1"/>
      <w:numFmt w:val="lowerLetter"/>
      <w:lvlText w:val="%2."/>
      <w:lvlJc w:val="left"/>
      <w:pPr>
        <w:ind w:left="1719" w:hanging="360"/>
      </w:pPr>
    </w:lvl>
    <w:lvl w:ilvl="2" w:tplc="0422001B" w:tentative="1">
      <w:start w:val="1"/>
      <w:numFmt w:val="lowerRoman"/>
      <w:lvlText w:val="%3."/>
      <w:lvlJc w:val="right"/>
      <w:pPr>
        <w:ind w:left="2439" w:hanging="180"/>
      </w:pPr>
    </w:lvl>
    <w:lvl w:ilvl="3" w:tplc="0422000F" w:tentative="1">
      <w:start w:val="1"/>
      <w:numFmt w:val="decimal"/>
      <w:lvlText w:val="%4."/>
      <w:lvlJc w:val="left"/>
      <w:pPr>
        <w:ind w:left="3159" w:hanging="360"/>
      </w:pPr>
    </w:lvl>
    <w:lvl w:ilvl="4" w:tplc="04220019" w:tentative="1">
      <w:start w:val="1"/>
      <w:numFmt w:val="lowerLetter"/>
      <w:lvlText w:val="%5."/>
      <w:lvlJc w:val="left"/>
      <w:pPr>
        <w:ind w:left="3879" w:hanging="360"/>
      </w:pPr>
    </w:lvl>
    <w:lvl w:ilvl="5" w:tplc="0422001B" w:tentative="1">
      <w:start w:val="1"/>
      <w:numFmt w:val="lowerRoman"/>
      <w:lvlText w:val="%6."/>
      <w:lvlJc w:val="right"/>
      <w:pPr>
        <w:ind w:left="4599" w:hanging="180"/>
      </w:pPr>
    </w:lvl>
    <w:lvl w:ilvl="6" w:tplc="0422000F" w:tentative="1">
      <w:start w:val="1"/>
      <w:numFmt w:val="decimal"/>
      <w:lvlText w:val="%7."/>
      <w:lvlJc w:val="left"/>
      <w:pPr>
        <w:ind w:left="5319" w:hanging="360"/>
      </w:pPr>
    </w:lvl>
    <w:lvl w:ilvl="7" w:tplc="04220019" w:tentative="1">
      <w:start w:val="1"/>
      <w:numFmt w:val="lowerLetter"/>
      <w:lvlText w:val="%8."/>
      <w:lvlJc w:val="left"/>
      <w:pPr>
        <w:ind w:left="6039" w:hanging="360"/>
      </w:pPr>
    </w:lvl>
    <w:lvl w:ilvl="8" w:tplc="0422001B" w:tentative="1">
      <w:start w:val="1"/>
      <w:numFmt w:val="lowerRoman"/>
      <w:lvlText w:val="%9."/>
      <w:lvlJc w:val="right"/>
      <w:pPr>
        <w:ind w:left="6759" w:hanging="180"/>
      </w:pPr>
    </w:lvl>
  </w:abstractNum>
  <w:abstractNum w:abstractNumId="1" w15:restartNumberingAfterBreak="0">
    <w:nsid w:val="35D45593"/>
    <w:multiLevelType w:val="hybridMultilevel"/>
    <w:tmpl w:val="FAF29CBC"/>
    <w:lvl w:ilvl="0" w:tplc="288CF7FA">
      <w:start w:val="1"/>
      <w:numFmt w:val="decimal"/>
      <w:lvlText w:val="%1)"/>
      <w:lvlJc w:val="left"/>
      <w:pPr>
        <w:ind w:left="1159" w:hanging="45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39292B7C"/>
    <w:multiLevelType w:val="hybridMultilevel"/>
    <w:tmpl w:val="C55E21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C633875"/>
    <w:multiLevelType w:val="hybridMultilevel"/>
    <w:tmpl w:val="30269FEC"/>
    <w:lvl w:ilvl="0" w:tplc="4FE8D894">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8FB"/>
    <w:rsid w:val="000064FA"/>
    <w:rsid w:val="00015FDE"/>
    <w:rsid w:val="00016403"/>
    <w:rsid w:val="0002256F"/>
    <w:rsid w:val="00032033"/>
    <w:rsid w:val="000376FB"/>
    <w:rsid w:val="0003793C"/>
    <w:rsid w:val="00042684"/>
    <w:rsid w:val="00063480"/>
    <w:rsid w:val="00071CCE"/>
    <w:rsid w:val="00090600"/>
    <w:rsid w:val="0009751B"/>
    <w:rsid w:val="000A1A55"/>
    <w:rsid w:val="000B2990"/>
    <w:rsid w:val="000B5ADB"/>
    <w:rsid w:val="000C3F58"/>
    <w:rsid w:val="00100163"/>
    <w:rsid w:val="001068E6"/>
    <w:rsid w:val="0011747E"/>
    <w:rsid w:val="00121B0D"/>
    <w:rsid w:val="0013478B"/>
    <w:rsid w:val="00147395"/>
    <w:rsid w:val="00161673"/>
    <w:rsid w:val="001740C0"/>
    <w:rsid w:val="00190E1A"/>
    <w:rsid w:val="001926DA"/>
    <w:rsid w:val="001A16FA"/>
    <w:rsid w:val="001B19D1"/>
    <w:rsid w:val="001B6006"/>
    <w:rsid w:val="001C2AF9"/>
    <w:rsid w:val="001D487A"/>
    <w:rsid w:val="001F591C"/>
    <w:rsid w:val="0022117F"/>
    <w:rsid w:val="00227011"/>
    <w:rsid w:val="0023651D"/>
    <w:rsid w:val="00241373"/>
    <w:rsid w:val="00242AD9"/>
    <w:rsid w:val="00246406"/>
    <w:rsid w:val="00253BF9"/>
    <w:rsid w:val="00264983"/>
    <w:rsid w:val="00291F3D"/>
    <w:rsid w:val="002B7335"/>
    <w:rsid w:val="002D1790"/>
    <w:rsid w:val="002D52F9"/>
    <w:rsid w:val="002E13E7"/>
    <w:rsid w:val="002E2D74"/>
    <w:rsid w:val="002E48BA"/>
    <w:rsid w:val="002F2421"/>
    <w:rsid w:val="002F33F0"/>
    <w:rsid w:val="00305D75"/>
    <w:rsid w:val="003132E2"/>
    <w:rsid w:val="00316A67"/>
    <w:rsid w:val="0033133D"/>
    <w:rsid w:val="00356E34"/>
    <w:rsid w:val="00357676"/>
    <w:rsid w:val="003735ED"/>
    <w:rsid w:val="0037539E"/>
    <w:rsid w:val="0038385E"/>
    <w:rsid w:val="00383F4A"/>
    <w:rsid w:val="00390920"/>
    <w:rsid w:val="00397719"/>
    <w:rsid w:val="00397787"/>
    <w:rsid w:val="003A4242"/>
    <w:rsid w:val="003B4EDD"/>
    <w:rsid w:val="003C3282"/>
    <w:rsid w:val="003C3985"/>
    <w:rsid w:val="003D19A3"/>
    <w:rsid w:val="003E15DA"/>
    <w:rsid w:val="003F5757"/>
    <w:rsid w:val="00401EDB"/>
    <w:rsid w:val="00403259"/>
    <w:rsid w:val="00404C93"/>
    <w:rsid w:val="00407877"/>
    <w:rsid w:val="00411606"/>
    <w:rsid w:val="00412163"/>
    <w:rsid w:val="00424462"/>
    <w:rsid w:val="00445905"/>
    <w:rsid w:val="00455B45"/>
    <w:rsid w:val="00462932"/>
    <w:rsid w:val="00463E9E"/>
    <w:rsid w:val="00465933"/>
    <w:rsid w:val="004752C3"/>
    <w:rsid w:val="00484152"/>
    <w:rsid w:val="004A7F75"/>
    <w:rsid w:val="004E22E2"/>
    <w:rsid w:val="004F62FC"/>
    <w:rsid w:val="005008EF"/>
    <w:rsid w:val="00523C13"/>
    <w:rsid w:val="005243EF"/>
    <w:rsid w:val="005257C2"/>
    <w:rsid w:val="00542533"/>
    <w:rsid w:val="005624B6"/>
    <w:rsid w:val="00563AC1"/>
    <w:rsid w:val="0057237F"/>
    <w:rsid w:val="00577402"/>
    <w:rsid w:val="00591298"/>
    <w:rsid w:val="00594BA3"/>
    <w:rsid w:val="005A0F4B"/>
    <w:rsid w:val="005A1D3C"/>
    <w:rsid w:val="005A23E6"/>
    <w:rsid w:val="005A2BBA"/>
    <w:rsid w:val="005A3F34"/>
    <w:rsid w:val="005B2D03"/>
    <w:rsid w:val="005C5CBF"/>
    <w:rsid w:val="00606223"/>
    <w:rsid w:val="0063071E"/>
    <w:rsid w:val="00640612"/>
    <w:rsid w:val="00670C95"/>
    <w:rsid w:val="00684225"/>
    <w:rsid w:val="00685786"/>
    <w:rsid w:val="00690836"/>
    <w:rsid w:val="00694492"/>
    <w:rsid w:val="006A73CD"/>
    <w:rsid w:val="006B2748"/>
    <w:rsid w:val="006B52A6"/>
    <w:rsid w:val="006C4176"/>
    <w:rsid w:val="006C66EF"/>
    <w:rsid w:val="006D0F26"/>
    <w:rsid w:val="006D2617"/>
    <w:rsid w:val="00704C74"/>
    <w:rsid w:val="0071789F"/>
    <w:rsid w:val="00721769"/>
    <w:rsid w:val="00724CB0"/>
    <w:rsid w:val="007746E4"/>
    <w:rsid w:val="007802D9"/>
    <w:rsid w:val="007826CB"/>
    <w:rsid w:val="00783AF2"/>
    <w:rsid w:val="00787B45"/>
    <w:rsid w:val="007A225D"/>
    <w:rsid w:val="007A6609"/>
    <w:rsid w:val="007B3CA1"/>
    <w:rsid w:val="007C393C"/>
    <w:rsid w:val="007C5235"/>
    <w:rsid w:val="007C5A87"/>
    <w:rsid w:val="007F24D1"/>
    <w:rsid w:val="007F2E46"/>
    <w:rsid w:val="007F514C"/>
    <w:rsid w:val="00802988"/>
    <w:rsid w:val="00866993"/>
    <w:rsid w:val="00874366"/>
    <w:rsid w:val="008A2903"/>
    <w:rsid w:val="008B1328"/>
    <w:rsid w:val="008B6821"/>
    <w:rsid w:val="008D10FD"/>
    <w:rsid w:val="008D122F"/>
    <w:rsid w:val="008F2725"/>
    <w:rsid w:val="00904F17"/>
    <w:rsid w:val="00962DD9"/>
    <w:rsid w:val="0097288F"/>
    <w:rsid w:val="00982354"/>
    <w:rsid w:val="00995A8D"/>
    <w:rsid w:val="009A4AC7"/>
    <w:rsid w:val="009C2A40"/>
    <w:rsid w:val="009D5F43"/>
    <w:rsid w:val="009D61F0"/>
    <w:rsid w:val="009E0D4C"/>
    <w:rsid w:val="009E275D"/>
    <w:rsid w:val="009F5312"/>
    <w:rsid w:val="00A0323B"/>
    <w:rsid w:val="00A13921"/>
    <w:rsid w:val="00A23E04"/>
    <w:rsid w:val="00A349EE"/>
    <w:rsid w:val="00A41105"/>
    <w:rsid w:val="00A50DC0"/>
    <w:rsid w:val="00A72F06"/>
    <w:rsid w:val="00A77FFD"/>
    <w:rsid w:val="00A838FB"/>
    <w:rsid w:val="00AB18FF"/>
    <w:rsid w:val="00AC2D09"/>
    <w:rsid w:val="00AC47B6"/>
    <w:rsid w:val="00AD5B5E"/>
    <w:rsid w:val="00AE14AC"/>
    <w:rsid w:val="00AE2DD0"/>
    <w:rsid w:val="00AE5091"/>
    <w:rsid w:val="00AE725B"/>
    <w:rsid w:val="00B044A4"/>
    <w:rsid w:val="00B332B2"/>
    <w:rsid w:val="00B40323"/>
    <w:rsid w:val="00B416ED"/>
    <w:rsid w:val="00B50642"/>
    <w:rsid w:val="00B5752E"/>
    <w:rsid w:val="00B629FE"/>
    <w:rsid w:val="00B77FBC"/>
    <w:rsid w:val="00B83709"/>
    <w:rsid w:val="00B91ED2"/>
    <w:rsid w:val="00B95D78"/>
    <w:rsid w:val="00B974E0"/>
    <w:rsid w:val="00BD2AF3"/>
    <w:rsid w:val="00BF1BC3"/>
    <w:rsid w:val="00C0687C"/>
    <w:rsid w:val="00C1737E"/>
    <w:rsid w:val="00C21D33"/>
    <w:rsid w:val="00C35636"/>
    <w:rsid w:val="00C365F8"/>
    <w:rsid w:val="00C41293"/>
    <w:rsid w:val="00C4377C"/>
    <w:rsid w:val="00C763A3"/>
    <w:rsid w:val="00C82259"/>
    <w:rsid w:val="00CD02D0"/>
    <w:rsid w:val="00CE0EB3"/>
    <w:rsid w:val="00CE3B9F"/>
    <w:rsid w:val="00CF0072"/>
    <w:rsid w:val="00D0348B"/>
    <w:rsid w:val="00D06936"/>
    <w:rsid w:val="00D06A31"/>
    <w:rsid w:val="00D34DCC"/>
    <w:rsid w:val="00D430C4"/>
    <w:rsid w:val="00D842D0"/>
    <w:rsid w:val="00DB60BC"/>
    <w:rsid w:val="00DC0E7E"/>
    <w:rsid w:val="00DC1C72"/>
    <w:rsid w:val="00DC1E60"/>
    <w:rsid w:val="00DD106B"/>
    <w:rsid w:val="00DD4811"/>
    <w:rsid w:val="00DD60CC"/>
    <w:rsid w:val="00E25B9C"/>
    <w:rsid w:val="00E33B0E"/>
    <w:rsid w:val="00E47E52"/>
    <w:rsid w:val="00E53C42"/>
    <w:rsid w:val="00E53CB5"/>
    <w:rsid w:val="00E53CCD"/>
    <w:rsid w:val="00E54DE9"/>
    <w:rsid w:val="00EA1DE4"/>
    <w:rsid w:val="00ED042F"/>
    <w:rsid w:val="00ED5F99"/>
    <w:rsid w:val="00EE3E8A"/>
    <w:rsid w:val="00EF61E2"/>
    <w:rsid w:val="00EF64D4"/>
    <w:rsid w:val="00F003D3"/>
    <w:rsid w:val="00F02BA8"/>
    <w:rsid w:val="00F03226"/>
    <w:rsid w:val="00F03E32"/>
    <w:rsid w:val="00F23AF9"/>
    <w:rsid w:val="00F247F8"/>
    <w:rsid w:val="00F26DC0"/>
    <w:rsid w:val="00F36A3C"/>
    <w:rsid w:val="00F42E75"/>
    <w:rsid w:val="00F52D16"/>
    <w:rsid w:val="00F63BD9"/>
    <w:rsid w:val="00F6694C"/>
    <w:rsid w:val="00F903CC"/>
    <w:rsid w:val="00F9509E"/>
    <w:rsid w:val="00F958FF"/>
    <w:rsid w:val="00F96F18"/>
    <w:rsid w:val="00FA1C0C"/>
    <w:rsid w:val="00FB70A8"/>
    <w:rsid w:val="00FC50DE"/>
    <w:rsid w:val="00FD7E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F0B75A"/>
  <w15:docId w15:val="{DFAF46E2-CA1C-4C2A-93FE-EF4FB61E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semiHidden/>
    <w:unhideWhenUsed/>
    <w:rsid w:val="00E53CCD"/>
    <w:pPr>
      <w:tabs>
        <w:tab w:val="center" w:pos="4819"/>
        <w:tab w:val="right" w:pos="9639"/>
      </w:tabs>
    </w:pPr>
  </w:style>
  <w:style w:type="character" w:customStyle="1" w:styleId="a8">
    <w:name w:val="Нижній колонтитул Знак"/>
    <w:basedOn w:val="a0"/>
    <w:link w:val="a7"/>
    <w:uiPriority w:val="99"/>
    <w:semiHidden/>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basedOn w:val="a"/>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paragraph" w:customStyle="1" w:styleId="af4">
    <w:name w:val="Нормальний текст"/>
    <w:basedOn w:val="a"/>
    <w:rsid w:val="00246406"/>
    <w:pPr>
      <w:spacing w:before="120"/>
      <w:ind w:firstLine="567"/>
      <w:jc w:val="left"/>
    </w:pPr>
    <w:rPr>
      <w:rFonts w:ascii="Antiqua" w:hAnsi="Antiqua"/>
      <w:sz w:val="26"/>
      <w:szCs w:val="20"/>
      <w:lang w:eastAsia="ru-RU"/>
    </w:rPr>
  </w:style>
  <w:style w:type="paragraph" w:customStyle="1" w:styleId="af5">
    <w:name w:val="Назва документа"/>
    <w:basedOn w:val="a"/>
    <w:next w:val="af4"/>
    <w:rsid w:val="00246406"/>
    <w:pPr>
      <w:keepNext/>
      <w:keepLines/>
      <w:spacing w:before="240" w:after="240"/>
      <w:jc w:val="center"/>
    </w:pPr>
    <w:rPr>
      <w:rFonts w:ascii="Antiqua" w:hAnsi="Antiqua"/>
      <w:b/>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198341">
      <w:bodyDiv w:val="1"/>
      <w:marLeft w:val="0"/>
      <w:marRight w:val="0"/>
      <w:marTop w:val="0"/>
      <w:marBottom w:val="0"/>
      <w:divBdr>
        <w:top w:val="none" w:sz="0" w:space="0" w:color="auto"/>
        <w:left w:val="none" w:sz="0" w:space="0" w:color="auto"/>
        <w:bottom w:val="none" w:sz="0" w:space="0" w:color="auto"/>
        <w:right w:val="none" w:sz="0" w:space="0" w:color="auto"/>
      </w:divBdr>
    </w:div>
    <w:div w:id="43903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bu\tech\TEMPLATES\OFFICE\08_&#1055;&#1086;&#1103;&#1089;&#1085;&#1102;&#1074;&#1072;&#1083;&#1100;&#1085;&#1072;%20&#1079;&#1072;&#1087;&#1080;&#1089;&#1082;&#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367F0B-5131-4020-A588-9AE9ADB96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D1565F7-4F2E-4D63-BF8B-943C79710E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A5E79D-E3A2-47C4-A2DB-2FB61C315D3C}">
  <ds:schemaRefs>
    <ds:schemaRef ds:uri="http://schemas.microsoft.com/sharepoint/v3/contenttype/forms"/>
  </ds:schemaRefs>
</ds:datastoreItem>
</file>

<file path=customXml/itemProps5.xml><?xml version="1.0" encoding="utf-8"?>
<ds:datastoreItem xmlns:ds="http://schemas.openxmlformats.org/officeDocument/2006/customXml" ds:itemID="{A03F477A-054E-4E3A-BFFE-8220694BA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08_Пояснювальна записка</Template>
  <TotalTime>79</TotalTime>
  <Pages>2</Pages>
  <Words>2208</Words>
  <Characters>1260</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Тарасенко Валерій Вікторович</dc:creator>
  <cp:lastModifiedBy>Тарасенко Валерій Вікторович</cp:lastModifiedBy>
  <cp:revision>7</cp:revision>
  <cp:lastPrinted>2024-08-14T07:13:00Z</cp:lastPrinted>
  <dcterms:created xsi:type="dcterms:W3CDTF">2024-08-09T12:30:00Z</dcterms:created>
  <dcterms:modified xsi:type="dcterms:W3CDTF">2024-08-15T12:41:00Z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