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67" w:rsidRDefault="00DD4867">
      <w:pPr>
        <w:rPr>
          <w:sz w:val="2"/>
          <w:szCs w:val="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DD4867">
        <w:trPr>
          <w:trHeight w:val="851"/>
        </w:trPr>
        <w:tc>
          <w:tcPr>
            <w:tcW w:w="3207" w:type="dxa"/>
          </w:tcPr>
          <w:p w:rsidR="00DD4867" w:rsidRDefault="00DD4867"/>
        </w:tc>
        <w:tc>
          <w:tcPr>
            <w:tcW w:w="3227" w:type="dxa"/>
            <w:vMerge w:val="restart"/>
          </w:tcPr>
          <w:p w:rsidR="00DD4867" w:rsidRDefault="00F952C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8150" cy="609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sdt>
            <w:sdtPr>
              <w:rPr>
                <w:color w:val="000000" w:themeColor="text1"/>
              </w:rPr>
              <w:alias w:val="Заголовок"/>
              <w:tag w:val=""/>
              <w:id w:val="1116400235"/>
              <w:placeholder>
                <w:docPart w:val="6476261A5E9D4A2CA1B47CE09C476B2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:rsidR="00870486" w:rsidRPr="00444EC8" w:rsidRDefault="00870486" w:rsidP="00870486">
                <w:pPr>
                  <w:pStyle w:val="a5"/>
                  <w:jc w:val="right"/>
                  <w:rPr>
                    <w:color w:val="000000" w:themeColor="text1"/>
                  </w:rPr>
                </w:pPr>
                <w:r w:rsidRPr="00444EC8">
                  <w:rPr>
                    <w:color w:val="000000" w:themeColor="text1"/>
                  </w:rPr>
                  <w:t>ПРОЄКТ</w:t>
                </w:r>
              </w:p>
            </w:sdtContent>
          </w:sdt>
          <w:p w:rsidR="00DD4867" w:rsidRDefault="00DD4867"/>
        </w:tc>
      </w:tr>
      <w:tr w:rsidR="00DD4867">
        <w:tc>
          <w:tcPr>
            <w:tcW w:w="3207" w:type="dxa"/>
          </w:tcPr>
          <w:p w:rsidR="00DD4867" w:rsidRDefault="00DD4867"/>
        </w:tc>
        <w:tc>
          <w:tcPr>
            <w:tcW w:w="3227" w:type="dxa"/>
            <w:vMerge/>
          </w:tcPr>
          <w:p w:rsidR="00DD4867" w:rsidRDefault="00DD4867"/>
        </w:tc>
        <w:tc>
          <w:tcPr>
            <w:tcW w:w="3204" w:type="dxa"/>
          </w:tcPr>
          <w:p w:rsidR="00DD4867" w:rsidRDefault="00DD4867"/>
        </w:tc>
      </w:tr>
      <w:tr w:rsidR="00DD4867">
        <w:tc>
          <w:tcPr>
            <w:tcW w:w="9638" w:type="dxa"/>
            <w:gridSpan w:val="3"/>
          </w:tcPr>
          <w:p w:rsidR="00DD4867" w:rsidRDefault="00F952C0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:rsidR="00DD4867" w:rsidRDefault="00F952C0">
            <w:pPr>
              <w:jc w:val="center"/>
            </w:pPr>
            <w:r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:rsidR="00DD4867" w:rsidRDefault="00DD4867">
      <w:pPr>
        <w:rPr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DD4867">
        <w:tc>
          <w:tcPr>
            <w:tcW w:w="3510" w:type="dxa"/>
            <w:vAlign w:val="bottom"/>
          </w:tcPr>
          <w:p w:rsidR="00DD4867" w:rsidRDefault="00DD4867"/>
        </w:tc>
        <w:tc>
          <w:tcPr>
            <w:tcW w:w="2694" w:type="dxa"/>
          </w:tcPr>
          <w:p w:rsidR="00DD4867" w:rsidRDefault="00F952C0">
            <w:pPr>
              <w:spacing w:before="240"/>
              <w:jc w:val="center"/>
            </w:pPr>
            <w:r>
              <w:rPr>
                <w:color w:val="006600"/>
                <w:lang w:val="ru-RU"/>
              </w:rPr>
              <w:t xml:space="preserve"> </w:t>
            </w:r>
            <w:r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:rsidR="00DD4867" w:rsidRDefault="00F952C0">
            <w:pPr>
              <w:jc w:val="right"/>
            </w:pPr>
            <w:r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:rsidR="00DD4867" w:rsidRDefault="00DD4867">
            <w:pPr>
              <w:jc w:val="left"/>
            </w:pPr>
          </w:p>
        </w:tc>
      </w:tr>
    </w:tbl>
    <w:p w:rsidR="00DD4867" w:rsidRDefault="00DD4867">
      <w:pPr>
        <w:rPr>
          <w:sz w:val="2"/>
          <w:szCs w:val="2"/>
        </w:rPr>
      </w:pPr>
    </w:p>
    <w:tbl>
      <w:tblPr>
        <w:tblStyle w:val="af5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DD4867">
        <w:trPr>
          <w:jc w:val="center"/>
        </w:trPr>
        <w:tc>
          <w:tcPr>
            <w:tcW w:w="5000" w:type="pct"/>
          </w:tcPr>
          <w:p w:rsidR="00DD2D5F" w:rsidRDefault="00DD2D5F" w:rsidP="00CC35D7">
            <w:pPr>
              <w:tabs>
                <w:tab w:val="left" w:pos="840"/>
                <w:tab w:val="center" w:pos="3293"/>
              </w:tabs>
              <w:jc w:val="center"/>
              <w:rPr>
                <w:color w:val="000000" w:themeColor="dark1"/>
              </w:rPr>
            </w:pPr>
          </w:p>
          <w:p w:rsidR="00DD2D5F" w:rsidRDefault="00DD2D5F" w:rsidP="00CC35D7">
            <w:pPr>
              <w:tabs>
                <w:tab w:val="left" w:pos="840"/>
                <w:tab w:val="center" w:pos="3293"/>
              </w:tabs>
              <w:jc w:val="center"/>
              <w:rPr>
                <w:color w:val="000000" w:themeColor="dark1"/>
              </w:rPr>
            </w:pPr>
          </w:p>
          <w:p w:rsidR="00DD4867" w:rsidRDefault="00F952C0" w:rsidP="00CC35D7">
            <w:pPr>
              <w:tabs>
                <w:tab w:val="left" w:pos="840"/>
                <w:tab w:val="center" w:pos="3293"/>
              </w:tabs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dark1"/>
              </w:rPr>
              <w:t>Про внесення змін до Правил зберігання, захисту, використання та розкриття банківської таємниці</w:t>
            </w:r>
            <w:r>
              <w:rPr>
                <w:color w:val="000000" w:themeColor="dark1"/>
                <w:lang w:eastAsia="en-US"/>
              </w:rPr>
              <w:t xml:space="preserve"> </w:t>
            </w:r>
          </w:p>
        </w:tc>
      </w:tr>
    </w:tbl>
    <w:p w:rsidR="00DD2D5F" w:rsidRDefault="00DD2D5F" w:rsidP="00CC35D7">
      <w:pPr>
        <w:ind w:firstLine="567"/>
        <w:rPr>
          <w:color w:val="000000" w:themeColor="dark1"/>
        </w:rPr>
      </w:pPr>
    </w:p>
    <w:p w:rsidR="00DD2D5F" w:rsidRDefault="00DD2D5F" w:rsidP="00CC35D7">
      <w:pPr>
        <w:ind w:firstLine="567"/>
        <w:rPr>
          <w:color w:val="000000" w:themeColor="dark1"/>
        </w:rPr>
      </w:pPr>
    </w:p>
    <w:p w:rsidR="00DD4867" w:rsidRDefault="00F952C0" w:rsidP="00A6782C">
      <w:pPr>
        <w:ind w:firstLine="709"/>
        <w:rPr>
          <w:b/>
        </w:rPr>
      </w:pPr>
      <w:r>
        <w:rPr>
          <w:color w:val="000000" w:themeColor="dark1"/>
        </w:rPr>
        <w:t xml:space="preserve">Відповідно до статей 7, 15, 56 Закону України </w:t>
      </w:r>
      <w:r>
        <w:t xml:space="preserve">“Про Національний банк України”, статті 62 Закону України “Про банки і банківську діяльність”, </w:t>
      </w:r>
      <w:r w:rsidR="00013EFA" w:rsidRPr="007E0DED">
        <w:t>з метою</w:t>
      </w:r>
      <w:bookmarkStart w:id="0" w:name="_GoBack"/>
      <w:bookmarkEnd w:id="0"/>
      <w:r w:rsidR="00013EFA" w:rsidRPr="007E0DED">
        <w:t xml:space="preserve"> </w:t>
      </w:r>
      <w:r w:rsidR="00013EFA">
        <w:t>в</w:t>
      </w:r>
      <w:r w:rsidR="00013EFA" w:rsidRPr="007E0DED">
        <w:t>досконалення порядку розкриття інформації, що становить</w:t>
      </w:r>
      <w:r>
        <w:t xml:space="preserve"> банківськ</w:t>
      </w:r>
      <w:r w:rsidR="00013EFA">
        <w:t>у таємницю,</w:t>
      </w:r>
      <w:r>
        <w:t xml:space="preserve"> Правління Національного банку України</w:t>
      </w:r>
      <w:r>
        <w:rPr>
          <w:b/>
        </w:rPr>
        <w:t xml:space="preserve"> постановляє:</w:t>
      </w:r>
    </w:p>
    <w:p w:rsidR="00334F8B" w:rsidRPr="001F16E0" w:rsidRDefault="00334F8B" w:rsidP="00050404">
      <w:pPr>
        <w:pStyle w:val="af1"/>
        <w:ind w:left="0" w:firstLine="709"/>
      </w:pPr>
    </w:p>
    <w:p w:rsidR="00DD4867" w:rsidRPr="00334F8B" w:rsidRDefault="00F952C0" w:rsidP="00050404">
      <w:pPr>
        <w:pStyle w:val="af1"/>
        <w:ind w:left="0" w:firstLine="709"/>
        <w:rPr>
          <w:noProof/>
        </w:rPr>
      </w:pPr>
      <w:r w:rsidRPr="00334F8B">
        <w:rPr>
          <w:lang w:val="ru-RU"/>
        </w:rPr>
        <w:t>1.</w:t>
      </w:r>
      <w:r w:rsidRPr="00334F8B">
        <w:rPr>
          <w:lang w:val="en-US"/>
        </w:rPr>
        <w:t> </w:t>
      </w:r>
      <w:proofErr w:type="spellStart"/>
      <w:r w:rsidRPr="00334F8B">
        <w:rPr>
          <w:shd w:val="clear" w:color="auto" w:fill="FFFFFF"/>
        </w:rPr>
        <w:t>Унести</w:t>
      </w:r>
      <w:proofErr w:type="spellEnd"/>
      <w:r w:rsidRPr="00334F8B">
        <w:rPr>
          <w:shd w:val="clear" w:color="auto" w:fill="FFFFFF"/>
        </w:rPr>
        <w:t xml:space="preserve"> до</w:t>
      </w:r>
      <w:r w:rsidR="00A6782C">
        <w:rPr>
          <w:shd w:val="clear" w:color="auto" w:fill="FFFFFF"/>
        </w:rPr>
        <w:t xml:space="preserve"> глави 3</w:t>
      </w:r>
      <w:r w:rsidRPr="00334F8B">
        <w:rPr>
          <w:shd w:val="clear" w:color="auto" w:fill="FFFFFF"/>
        </w:rPr>
        <w:t xml:space="preserve"> Правил зберігання, захисту, використання та розкриття банківської таємниці, затверджених постановою Правління Національного банку України від 14 липня 2006 року № 267, зареєстрованих у Міністерстві юстиції України 03 серпня 2006 року за № 935/12809 (зі змінами), такі зміни:</w:t>
      </w:r>
      <w:r w:rsidRPr="00334F8B">
        <w:rPr>
          <w:noProof/>
        </w:rPr>
        <w:t xml:space="preserve"> </w:t>
      </w:r>
    </w:p>
    <w:p w:rsidR="00DD4867" w:rsidRPr="00CC35D7" w:rsidRDefault="00DD4867" w:rsidP="00050404">
      <w:pPr>
        <w:pStyle w:val="af1"/>
        <w:ind w:left="0" w:firstLine="709"/>
        <w:rPr>
          <w:rStyle w:val="af4"/>
          <w:noProof/>
          <w:color w:val="auto"/>
        </w:rPr>
      </w:pPr>
    </w:p>
    <w:p w:rsidR="00DD4867" w:rsidRPr="002E6C67" w:rsidRDefault="00AF51E2" w:rsidP="00050404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rPr>
          <w:noProof/>
        </w:rPr>
      </w:pPr>
      <w:r>
        <w:rPr>
          <w:noProof/>
        </w:rPr>
        <w:t>підпункт</w:t>
      </w:r>
      <w:r w:rsidR="00F952C0" w:rsidRPr="00CC35D7">
        <w:rPr>
          <w:noProof/>
        </w:rPr>
        <w:t xml:space="preserve"> </w:t>
      </w:r>
      <w:r w:rsidR="0096696B">
        <w:rPr>
          <w:noProof/>
        </w:rPr>
        <w:t>2</w:t>
      </w:r>
      <w:r>
        <w:rPr>
          <w:noProof/>
        </w:rPr>
        <w:t xml:space="preserve"> пункту 2</w:t>
      </w:r>
      <w:r w:rsidR="00F952C0" w:rsidRPr="00CC35D7">
        <w:rPr>
          <w:noProof/>
        </w:rPr>
        <w:t xml:space="preserve"> викласти в такій редакц</w:t>
      </w:r>
      <w:r w:rsidR="00F952C0" w:rsidRPr="002E6C67">
        <w:rPr>
          <w:noProof/>
        </w:rPr>
        <w:t>ії:</w:t>
      </w:r>
    </w:p>
    <w:p w:rsidR="00DD4867" w:rsidRDefault="00F952C0" w:rsidP="00050404">
      <w:pPr>
        <w:pStyle w:val="af1"/>
        <w:ind w:left="0" w:firstLine="709"/>
      </w:pPr>
      <w:r w:rsidRPr="005E529F">
        <w:t>“</w:t>
      </w:r>
      <w:r w:rsidR="00AF51E2">
        <w:t>2</w:t>
      </w:r>
      <w:r w:rsidR="005E529F" w:rsidRPr="005E529F">
        <w:rPr>
          <w:bCs/>
          <w:shd w:val="clear" w:color="auto" w:fill="FFFFFF"/>
        </w:rPr>
        <w:t>) в електрон</w:t>
      </w:r>
      <w:r w:rsidR="00833C9B">
        <w:rPr>
          <w:bCs/>
          <w:shd w:val="clear" w:color="auto" w:fill="FFFFFF"/>
        </w:rPr>
        <w:t>н</w:t>
      </w:r>
      <w:r w:rsidR="005E529F" w:rsidRPr="005E529F">
        <w:rPr>
          <w:bCs/>
          <w:shd w:val="clear" w:color="auto" w:fill="FFFFFF"/>
        </w:rPr>
        <w:t>ом</w:t>
      </w:r>
      <w:r w:rsidR="00833C9B">
        <w:rPr>
          <w:bCs/>
          <w:shd w:val="clear" w:color="auto" w:fill="FFFFFF"/>
        </w:rPr>
        <w:t>у</w:t>
      </w:r>
      <w:r w:rsidR="005E529F" w:rsidRPr="005E529F">
        <w:rPr>
          <w:bCs/>
          <w:shd w:val="clear" w:color="auto" w:fill="FFFFFF"/>
        </w:rPr>
        <w:t xml:space="preserve"> вигляді - кваліфікованим електронним підписом або удосконаленим електронним підписом з кваліфікованим сертифікатом, або іншим електронним підписом цієї особи, створеним відповідно до вимог </w:t>
      </w:r>
      <w:r w:rsidR="005E529F" w:rsidRPr="005E529F">
        <w:t>Положення про використання електронного підпису та електронної печатки, затвердженого постановою Правління Національного банку України від 20 грудня 2023 року № 172 (далі - Положення № 172).</w:t>
      </w:r>
      <w:r w:rsidRPr="005E529F">
        <w:t>”;</w:t>
      </w:r>
    </w:p>
    <w:p w:rsidR="005E529F" w:rsidRDefault="005E529F" w:rsidP="00050404">
      <w:pPr>
        <w:pStyle w:val="af1"/>
        <w:ind w:left="0" w:firstLine="709"/>
      </w:pPr>
    </w:p>
    <w:p w:rsidR="005E529F" w:rsidRPr="002E6C67" w:rsidRDefault="00AF51E2" w:rsidP="00050404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rPr>
          <w:noProof/>
        </w:rPr>
      </w:pPr>
      <w:r>
        <w:rPr>
          <w:noProof/>
        </w:rPr>
        <w:t xml:space="preserve">підпункт 2 </w:t>
      </w:r>
      <w:r w:rsidR="005E529F" w:rsidRPr="00CC35D7">
        <w:rPr>
          <w:noProof/>
        </w:rPr>
        <w:t>пункт</w:t>
      </w:r>
      <w:r w:rsidR="00833C9B">
        <w:rPr>
          <w:noProof/>
        </w:rPr>
        <w:t>у</w:t>
      </w:r>
      <w:r w:rsidR="005E529F" w:rsidRPr="00CC35D7">
        <w:rPr>
          <w:noProof/>
        </w:rPr>
        <w:t xml:space="preserve"> </w:t>
      </w:r>
      <w:r>
        <w:rPr>
          <w:noProof/>
        </w:rPr>
        <w:t>3</w:t>
      </w:r>
      <w:r w:rsidR="005E529F" w:rsidRPr="00CC35D7">
        <w:rPr>
          <w:noProof/>
        </w:rPr>
        <w:t xml:space="preserve"> викласти в такій редакц</w:t>
      </w:r>
      <w:r w:rsidR="005E529F" w:rsidRPr="002E6C67">
        <w:rPr>
          <w:noProof/>
        </w:rPr>
        <w:t>ії:</w:t>
      </w:r>
    </w:p>
    <w:p w:rsidR="00AF51E2" w:rsidRDefault="00AF51E2" w:rsidP="00050404">
      <w:pPr>
        <w:ind w:firstLine="709"/>
      </w:pPr>
      <w:r w:rsidRPr="00781783">
        <w:t>“</w:t>
      </w:r>
      <w:r w:rsidRPr="00781783">
        <w:rPr>
          <w:bCs/>
          <w:shd w:val="clear" w:color="auto" w:fill="FFFFFF"/>
        </w:rPr>
        <w:t xml:space="preserve">2) в електронному вигляді - кваліфікованим електронним підписом або удосконаленим електронним підписом з кваліфікованим сертифікатом, або іншим електронним підписом керівника чи уповноваженої ним особи, створеним відповідно до вимог </w:t>
      </w:r>
      <w:r w:rsidRPr="00781783">
        <w:t>Положення № 172</w:t>
      </w:r>
      <w:r w:rsidRPr="00781783">
        <w:rPr>
          <w:bCs/>
          <w:shd w:val="clear" w:color="auto" w:fill="FFFFFF"/>
        </w:rPr>
        <w:t>.</w:t>
      </w:r>
      <w:r w:rsidR="00781783" w:rsidRPr="00781783">
        <w:t>”;</w:t>
      </w:r>
      <w:r w:rsidR="00D9413D">
        <w:t xml:space="preserve"> </w:t>
      </w:r>
    </w:p>
    <w:p w:rsidR="0086477B" w:rsidRDefault="0086477B" w:rsidP="00050404">
      <w:pPr>
        <w:ind w:firstLine="709"/>
      </w:pPr>
    </w:p>
    <w:p w:rsidR="0086477B" w:rsidRPr="00804B2E" w:rsidRDefault="00C36F1E" w:rsidP="00050404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rPr>
          <w:noProof/>
          <w:color w:val="000000" w:themeColor="text1"/>
        </w:rPr>
      </w:pPr>
      <w:r>
        <w:rPr>
          <w:noProof/>
          <w:color w:val="000000" w:themeColor="text1"/>
        </w:rPr>
        <w:t>перше речення</w:t>
      </w:r>
      <w:r w:rsidR="001228A5" w:rsidRPr="00804B2E">
        <w:rPr>
          <w:noProof/>
          <w:color w:val="000000" w:themeColor="text1"/>
        </w:rPr>
        <w:t xml:space="preserve"> </w:t>
      </w:r>
      <w:r w:rsidR="0086477B" w:rsidRPr="00804B2E">
        <w:rPr>
          <w:noProof/>
          <w:color w:val="000000" w:themeColor="text1"/>
        </w:rPr>
        <w:t>пункт</w:t>
      </w:r>
      <w:r>
        <w:rPr>
          <w:noProof/>
          <w:color w:val="000000" w:themeColor="text1"/>
        </w:rPr>
        <w:t>у</w:t>
      </w:r>
      <w:r w:rsidR="0086477B" w:rsidRPr="00804B2E">
        <w:rPr>
          <w:noProof/>
          <w:color w:val="000000" w:themeColor="text1"/>
        </w:rPr>
        <w:t xml:space="preserve"> </w:t>
      </w:r>
      <w:r w:rsidR="001228A5" w:rsidRPr="00804B2E">
        <w:rPr>
          <w:noProof/>
          <w:color w:val="000000" w:themeColor="text1"/>
        </w:rPr>
        <w:t>1</w:t>
      </w:r>
      <w:r w:rsidR="0086477B" w:rsidRPr="00804B2E">
        <w:rPr>
          <w:noProof/>
          <w:color w:val="000000" w:themeColor="text1"/>
        </w:rPr>
        <w:t>3 викласти в такій редакції:</w:t>
      </w:r>
    </w:p>
    <w:p w:rsidR="0086477B" w:rsidRPr="00804B2E" w:rsidRDefault="0086477B" w:rsidP="00050404">
      <w:pPr>
        <w:ind w:firstLine="709"/>
        <w:rPr>
          <w:bCs/>
          <w:color w:val="000000" w:themeColor="text1"/>
          <w:shd w:val="clear" w:color="auto" w:fill="FFFFFF"/>
        </w:rPr>
      </w:pPr>
      <w:r w:rsidRPr="00804B2E">
        <w:rPr>
          <w:color w:val="000000" w:themeColor="text1"/>
        </w:rPr>
        <w:t>“</w:t>
      </w:r>
      <w:r w:rsidR="00A6782C">
        <w:rPr>
          <w:color w:val="000000" w:themeColor="text1"/>
        </w:rPr>
        <w:t xml:space="preserve">13. </w:t>
      </w:r>
      <w:r w:rsidR="001228A5" w:rsidRPr="00804B2E">
        <w:rPr>
          <w:color w:val="000000" w:themeColor="text1"/>
        </w:rPr>
        <w:t xml:space="preserve">Банки надають на адресу вповноваженого державного органу та осіб, визначених у Законі про банки, інформацію, що становить банківську таємницю, </w:t>
      </w:r>
      <w:r w:rsidR="001228A5" w:rsidRPr="00804B2E">
        <w:rPr>
          <w:color w:val="000000" w:themeColor="text1"/>
        </w:rPr>
        <w:lastRenderedPageBreak/>
        <w:t>у паперовому або електронному вигляді, якщо це визначено в запиті вповноваженого державного органу та осіб, визначених у Законі про банки.</w:t>
      </w:r>
      <w:r w:rsidRPr="00804B2E">
        <w:rPr>
          <w:color w:val="000000" w:themeColor="text1"/>
        </w:rPr>
        <w:t xml:space="preserve">”; </w:t>
      </w:r>
    </w:p>
    <w:p w:rsidR="0086477B" w:rsidRDefault="0086477B" w:rsidP="00050404">
      <w:pPr>
        <w:ind w:firstLine="709"/>
        <w:rPr>
          <w:bCs/>
          <w:shd w:val="clear" w:color="auto" w:fill="FFFFFF"/>
        </w:rPr>
      </w:pPr>
    </w:p>
    <w:p w:rsidR="00804B2E" w:rsidRPr="009824A0" w:rsidRDefault="00833C9B" w:rsidP="00050404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rPr>
          <w:noProof/>
          <w:color w:val="000000" w:themeColor="text1"/>
        </w:rPr>
      </w:pPr>
      <w:r w:rsidRPr="009824A0">
        <w:rPr>
          <w:noProof/>
          <w:color w:val="000000" w:themeColor="text1"/>
        </w:rPr>
        <w:t>абзац другий</w:t>
      </w:r>
      <w:r w:rsidR="00C36F1E" w:rsidRPr="009824A0">
        <w:rPr>
          <w:noProof/>
          <w:color w:val="000000" w:themeColor="text1"/>
        </w:rPr>
        <w:t xml:space="preserve"> </w:t>
      </w:r>
      <w:r w:rsidR="00804B2E" w:rsidRPr="009824A0">
        <w:rPr>
          <w:noProof/>
          <w:color w:val="000000" w:themeColor="text1"/>
        </w:rPr>
        <w:t>пункт</w:t>
      </w:r>
      <w:r w:rsidR="00050404" w:rsidRPr="009824A0">
        <w:rPr>
          <w:noProof/>
          <w:color w:val="000000" w:themeColor="text1"/>
        </w:rPr>
        <w:t>у</w:t>
      </w:r>
      <w:r w:rsidR="00804B2E" w:rsidRPr="009824A0">
        <w:rPr>
          <w:noProof/>
          <w:color w:val="000000" w:themeColor="text1"/>
        </w:rPr>
        <w:t xml:space="preserve"> 2</w:t>
      </w:r>
      <w:r w:rsidR="00C36F1E" w:rsidRPr="009824A0">
        <w:rPr>
          <w:noProof/>
          <w:color w:val="000000" w:themeColor="text1"/>
        </w:rPr>
        <w:t>0</w:t>
      </w:r>
      <w:r w:rsidR="00804B2E" w:rsidRPr="009824A0">
        <w:rPr>
          <w:noProof/>
          <w:color w:val="000000" w:themeColor="text1"/>
        </w:rPr>
        <w:t xml:space="preserve"> викласти в такій редакції:</w:t>
      </w:r>
    </w:p>
    <w:p w:rsidR="00D43684" w:rsidRDefault="00804B2E" w:rsidP="00050404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9824A0">
        <w:rPr>
          <w:color w:val="000000" w:themeColor="text1"/>
          <w:lang w:val="uk-UA"/>
        </w:rPr>
        <w:t>“</w:t>
      </w:r>
      <w:r w:rsidR="00050404" w:rsidRPr="009824A0">
        <w:rPr>
          <w:color w:val="000000" w:themeColor="text1"/>
          <w:sz w:val="28"/>
          <w:szCs w:val="28"/>
          <w:lang w:val="uk-UA"/>
        </w:rPr>
        <w:t xml:space="preserve">Запит приватного виконавця на отримання інформації, яка становить банківську таємницю, має </w:t>
      </w:r>
      <w:r w:rsidR="00D43684" w:rsidRPr="00560ACB">
        <w:rPr>
          <w:color w:val="000000" w:themeColor="text1"/>
          <w:sz w:val="28"/>
          <w:szCs w:val="28"/>
          <w:lang w:val="uk-UA"/>
        </w:rPr>
        <w:t>відповідати таким вимогам:</w:t>
      </w:r>
    </w:p>
    <w:p w:rsidR="001D206D" w:rsidRDefault="00D43684" w:rsidP="00050404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1) </w:t>
      </w:r>
      <w:r w:rsidR="00050404" w:rsidRPr="009824A0">
        <w:rPr>
          <w:color w:val="000000" w:themeColor="text1"/>
          <w:sz w:val="28"/>
          <w:szCs w:val="28"/>
          <w:lang w:val="uk-UA"/>
        </w:rPr>
        <w:t>наданий у паперовій формі за підписом приватного виконавця, скріпленим печаткою, або в електронній формі з кваліфікованим електронним підписом приватного виконавця</w:t>
      </w:r>
      <w:r w:rsidR="00B67512">
        <w:rPr>
          <w:color w:val="000000" w:themeColor="text1"/>
          <w:sz w:val="28"/>
          <w:szCs w:val="28"/>
          <w:lang w:val="uk-UA"/>
        </w:rPr>
        <w:t>;</w:t>
      </w:r>
      <w:r w:rsidR="00050404" w:rsidRPr="009824A0">
        <w:rPr>
          <w:color w:val="000000" w:themeColor="text1"/>
          <w:sz w:val="28"/>
          <w:szCs w:val="28"/>
          <w:lang w:val="uk-UA"/>
        </w:rPr>
        <w:t xml:space="preserve"> </w:t>
      </w:r>
    </w:p>
    <w:p w:rsidR="001D206D" w:rsidRDefault="001D206D" w:rsidP="00050404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2) </w:t>
      </w:r>
      <w:r w:rsidR="00050404" w:rsidRPr="009824A0">
        <w:rPr>
          <w:color w:val="000000" w:themeColor="text1"/>
          <w:sz w:val="28"/>
          <w:szCs w:val="28"/>
          <w:lang w:val="uk-UA"/>
        </w:rPr>
        <w:t>містити вихідний номер, дату складання</w:t>
      </w:r>
      <w:r w:rsidR="00050404" w:rsidRPr="004D57E9">
        <w:rPr>
          <w:color w:val="000000" w:themeColor="text1"/>
          <w:sz w:val="28"/>
          <w:szCs w:val="28"/>
          <w:lang w:val="uk-UA"/>
        </w:rPr>
        <w:t xml:space="preserve">, </w:t>
      </w:r>
      <w:r w:rsidR="004D57E9" w:rsidRPr="004D57E9">
        <w:rPr>
          <w:color w:val="000000"/>
          <w:sz w:val="28"/>
          <w:szCs w:val="28"/>
          <w:lang w:val="uk-UA"/>
        </w:rPr>
        <w:t xml:space="preserve">найменування </w:t>
      </w:r>
      <w:r w:rsidR="00050404" w:rsidRPr="004D57E9">
        <w:rPr>
          <w:color w:val="000000" w:themeColor="text1"/>
          <w:sz w:val="28"/>
          <w:szCs w:val="28"/>
          <w:lang w:val="uk-UA"/>
        </w:rPr>
        <w:t>адресат</w:t>
      </w:r>
      <w:r w:rsidR="004D57E9">
        <w:rPr>
          <w:color w:val="000000" w:themeColor="text1"/>
          <w:sz w:val="28"/>
          <w:szCs w:val="28"/>
          <w:lang w:val="uk-UA"/>
        </w:rPr>
        <w:t>а</w:t>
      </w:r>
      <w:r w:rsidR="00050404" w:rsidRPr="009824A0">
        <w:rPr>
          <w:color w:val="000000" w:themeColor="text1"/>
          <w:sz w:val="28"/>
          <w:szCs w:val="28"/>
          <w:lang w:val="uk-UA"/>
        </w:rPr>
        <w:t xml:space="preserve"> (банк), прізвище, ім’я, по батькові приватного виконавця, його адресу</w:t>
      </w:r>
      <w:r>
        <w:rPr>
          <w:color w:val="000000" w:themeColor="text1"/>
          <w:sz w:val="28"/>
          <w:szCs w:val="28"/>
          <w:lang w:val="uk-UA"/>
        </w:rPr>
        <w:t>;</w:t>
      </w:r>
      <w:r w:rsidR="00050404" w:rsidRPr="009824A0">
        <w:rPr>
          <w:color w:val="000000" w:themeColor="text1"/>
          <w:sz w:val="28"/>
          <w:szCs w:val="28"/>
          <w:lang w:val="uk-UA"/>
        </w:rPr>
        <w:t xml:space="preserve"> </w:t>
      </w:r>
    </w:p>
    <w:p w:rsidR="009B61A8" w:rsidRPr="009B61A8" w:rsidRDefault="001D206D" w:rsidP="00050404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3) </w:t>
      </w:r>
      <w:r w:rsidR="00532AAB">
        <w:rPr>
          <w:color w:val="000000" w:themeColor="text1"/>
          <w:sz w:val="28"/>
          <w:szCs w:val="28"/>
          <w:lang w:val="uk-UA"/>
        </w:rPr>
        <w:t xml:space="preserve">містити </w:t>
      </w:r>
      <w:r w:rsidR="00AD630C" w:rsidRPr="00AD630C">
        <w:rPr>
          <w:color w:val="000000" w:themeColor="text1"/>
          <w:sz w:val="28"/>
          <w:szCs w:val="28"/>
          <w:lang w:val="uk-UA"/>
        </w:rPr>
        <w:t>передбачені </w:t>
      </w:r>
      <w:r w:rsidR="004D57E9" w:rsidRPr="001E1BC5">
        <w:rPr>
          <w:color w:val="000000" w:themeColor="text1"/>
          <w:sz w:val="28"/>
          <w:szCs w:val="28"/>
          <w:lang w:val="uk-UA"/>
        </w:rPr>
        <w:t>Законом про банки</w:t>
      </w:r>
      <w:r w:rsidR="00AD630C" w:rsidRPr="00AD630C">
        <w:rPr>
          <w:color w:val="000000" w:themeColor="text1"/>
          <w:sz w:val="28"/>
          <w:szCs w:val="28"/>
          <w:lang w:val="uk-UA"/>
        </w:rPr>
        <w:t> підстави та посилання на його відповідні норми для отримання цієї інформації</w:t>
      </w:r>
      <w:r w:rsidR="008C7B51">
        <w:rPr>
          <w:color w:val="000000" w:themeColor="text1"/>
          <w:sz w:val="28"/>
          <w:szCs w:val="28"/>
          <w:lang w:val="uk-UA"/>
        </w:rPr>
        <w:t>.</w:t>
      </w:r>
      <w:r w:rsidR="00804B2E" w:rsidRPr="009824A0">
        <w:rPr>
          <w:color w:val="000000" w:themeColor="text1"/>
          <w:lang w:val="uk-UA"/>
        </w:rPr>
        <w:t>”</w:t>
      </w:r>
      <w:r w:rsidR="00050404" w:rsidRPr="009824A0">
        <w:rPr>
          <w:color w:val="000000" w:themeColor="text1"/>
          <w:lang w:val="uk-UA"/>
        </w:rPr>
        <w:t>.</w:t>
      </w:r>
    </w:p>
    <w:p w:rsidR="00DD4867" w:rsidRPr="00CC35D7" w:rsidRDefault="00F952C0" w:rsidP="00050404">
      <w:pPr>
        <w:ind w:firstLine="709"/>
        <w:rPr>
          <w:noProof/>
        </w:rPr>
      </w:pPr>
      <w:r w:rsidRPr="00CC35D7">
        <w:rPr>
          <w:noProof/>
          <w:lang w:eastAsia="en-US"/>
        </w:rPr>
        <w:t>2. </w:t>
      </w:r>
      <w:r w:rsidRPr="00334F8B">
        <w:t>Постанова набирає чинності з дня, наступного за днем її офіційного опублікування</w:t>
      </w:r>
      <w:r w:rsidRPr="00CC35D7">
        <w:rPr>
          <w:noProof/>
        </w:rPr>
        <w:t>.</w:t>
      </w:r>
    </w:p>
    <w:p w:rsidR="00DD4867" w:rsidRPr="00E53634" w:rsidRDefault="00DD4867">
      <w:pPr>
        <w:spacing w:before="240" w:after="240"/>
        <w:rPr>
          <w:noProof/>
          <w:lang w:eastAsia="en-US"/>
        </w:rPr>
      </w:pPr>
    </w:p>
    <w:p w:rsidR="00DD4867" w:rsidRDefault="00F952C0">
      <w:r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ПИШНИЙ</w:t>
      </w:r>
    </w:p>
    <w:p w:rsidR="00DD4867" w:rsidRDefault="00DD4867"/>
    <w:p w:rsidR="00DD4867" w:rsidRDefault="00DD4867"/>
    <w:p w:rsidR="00DD4867" w:rsidRDefault="00DD4867"/>
    <w:p w:rsidR="00DD4867" w:rsidRDefault="00F952C0">
      <w:pPr>
        <w:jc w:val="left"/>
      </w:pPr>
      <w:r>
        <w:t>Інд. 18</w:t>
      </w:r>
      <w:r>
        <w:rPr>
          <w:sz w:val="22"/>
          <w:szCs w:val="22"/>
        </w:rPr>
        <w:t xml:space="preserve"> </w:t>
      </w:r>
    </w:p>
    <w:p w:rsidR="00DD4867" w:rsidRDefault="00DD4867">
      <w:pPr>
        <w:ind w:right="-1"/>
        <w:rPr>
          <w:lang w:val="ru-RU"/>
        </w:rPr>
      </w:pPr>
    </w:p>
    <w:sectPr w:rsidR="00DD4867" w:rsidSect="00CC35D7">
      <w:headerReference w:type="default" r:id="rId13"/>
      <w:pgSz w:w="11906" w:h="16838"/>
      <w:pgMar w:top="567" w:right="567" w:bottom="226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D0" w:rsidRDefault="00C57DD0">
      <w:r>
        <w:separator/>
      </w:r>
    </w:p>
  </w:endnote>
  <w:endnote w:type="continuationSeparator" w:id="0">
    <w:p w:rsidR="00C57DD0" w:rsidRDefault="00C5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D0" w:rsidRDefault="00C57DD0">
      <w:r>
        <w:separator/>
      </w:r>
    </w:p>
  </w:footnote>
  <w:footnote w:type="continuationSeparator" w:id="0">
    <w:p w:rsidR="00C57DD0" w:rsidRDefault="00C5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227731"/>
      <w:docPartObj>
        <w:docPartGallery w:val="Page Numbers (Top of Page)"/>
        <w:docPartUnique/>
      </w:docPartObj>
    </w:sdtPr>
    <w:sdtEndPr/>
    <w:sdtContent>
      <w:p w:rsidR="00DD2D5F" w:rsidRDefault="00DD2D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486">
          <w:rPr>
            <w:noProof/>
          </w:rPr>
          <w:t>2</w:t>
        </w:r>
        <w:r>
          <w:fldChar w:fldCharType="end"/>
        </w:r>
      </w:p>
    </w:sdtContent>
  </w:sdt>
  <w:p w:rsidR="00DD2D5F" w:rsidRDefault="00DD2D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B26CE24"/>
    <w:lvl w:ilvl="0" w:tplc="4346505C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67"/>
    <w:rsid w:val="00013EFA"/>
    <w:rsid w:val="00050404"/>
    <w:rsid w:val="000A2599"/>
    <w:rsid w:val="00101CCF"/>
    <w:rsid w:val="00111552"/>
    <w:rsid w:val="001228A5"/>
    <w:rsid w:val="00143ACC"/>
    <w:rsid w:val="001C0601"/>
    <w:rsid w:val="001D206D"/>
    <w:rsid w:val="001E1BC5"/>
    <w:rsid w:val="001F16E0"/>
    <w:rsid w:val="002E6C67"/>
    <w:rsid w:val="00334F8B"/>
    <w:rsid w:val="00336E54"/>
    <w:rsid w:val="00407DCB"/>
    <w:rsid w:val="00444EC8"/>
    <w:rsid w:val="00466926"/>
    <w:rsid w:val="004C2A66"/>
    <w:rsid w:val="004D57E9"/>
    <w:rsid w:val="004E0876"/>
    <w:rsid w:val="00532AAB"/>
    <w:rsid w:val="00560ACB"/>
    <w:rsid w:val="005A3354"/>
    <w:rsid w:val="005E13C5"/>
    <w:rsid w:val="005E529F"/>
    <w:rsid w:val="006709FC"/>
    <w:rsid w:val="0070037F"/>
    <w:rsid w:val="007265A3"/>
    <w:rsid w:val="00781688"/>
    <w:rsid w:val="00781783"/>
    <w:rsid w:val="007E7789"/>
    <w:rsid w:val="00804B2E"/>
    <w:rsid w:val="00833C9B"/>
    <w:rsid w:val="00841EBC"/>
    <w:rsid w:val="0086477B"/>
    <w:rsid w:val="00870486"/>
    <w:rsid w:val="008C7B51"/>
    <w:rsid w:val="0096696B"/>
    <w:rsid w:val="009824A0"/>
    <w:rsid w:val="00987177"/>
    <w:rsid w:val="009B61A8"/>
    <w:rsid w:val="00A6782C"/>
    <w:rsid w:val="00AA768B"/>
    <w:rsid w:val="00AD630C"/>
    <w:rsid w:val="00AF51E2"/>
    <w:rsid w:val="00B22FD8"/>
    <w:rsid w:val="00B5124A"/>
    <w:rsid w:val="00B67512"/>
    <w:rsid w:val="00B67938"/>
    <w:rsid w:val="00BA7C71"/>
    <w:rsid w:val="00C36F1E"/>
    <w:rsid w:val="00C57DD0"/>
    <w:rsid w:val="00C8174C"/>
    <w:rsid w:val="00CC35D7"/>
    <w:rsid w:val="00CF4111"/>
    <w:rsid w:val="00CF44FD"/>
    <w:rsid w:val="00D43684"/>
    <w:rsid w:val="00D50ECC"/>
    <w:rsid w:val="00D541C3"/>
    <w:rsid w:val="00D9413D"/>
    <w:rsid w:val="00DD2D5F"/>
    <w:rsid w:val="00DD4867"/>
    <w:rsid w:val="00E1594F"/>
    <w:rsid w:val="00E23A91"/>
    <w:rsid w:val="00E53634"/>
    <w:rsid w:val="00EC4D33"/>
    <w:rsid w:val="00F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BCC3"/>
  <w15:docId w15:val="{5F19F5F8-02DB-40D3-AD57-49CF3E47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qFormat/>
    <w:pPr>
      <w:ind w:left="5040" w:firstLine="720"/>
      <w:jc w:val="center"/>
    </w:pPr>
    <w:rPr>
      <w:b/>
      <w:sz w:val="24"/>
      <w:szCs w:val="20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customStyle="1" w:styleId="a9">
    <w:name w:val="Обратный адрес"/>
    <w:basedOn w:val="aa"/>
    <w:qFormat/>
    <w:pPr>
      <w:spacing w:after="360"/>
      <w:contextualSpacing/>
      <w:jc w:val="left"/>
    </w:pPr>
    <w:rPr>
      <w:color w:val="000000" w:themeColor="text1"/>
      <w:sz w:val="22"/>
      <w:szCs w:val="22"/>
      <w:lang w:val="ru-RU" w:eastAsia="en-US"/>
    </w:rPr>
  </w:style>
  <w:style w:type="paragraph" w:styleId="aa">
    <w:name w:val="No Spacing"/>
    <w:link w:val="ab"/>
    <w:qFormat/>
    <w:pPr>
      <w:spacing w:after="0" w:line="240" w:lineRule="auto"/>
      <w:jc w:val="both"/>
    </w:pPr>
    <w:rPr>
      <w:sz w:val="28"/>
      <w:szCs w:val="28"/>
      <w:lang w:eastAsia="uk-UA"/>
    </w:rPr>
  </w:style>
  <w:style w:type="paragraph" w:styleId="ac">
    <w:name w:val="Balloon Text"/>
    <w:basedOn w:val="a"/>
    <w:link w:val="ad"/>
    <w:semiHidden/>
    <w:rPr>
      <w:rFonts w:ascii="Tahoma" w:hAnsi="Tahoma"/>
      <w:sz w:val="16"/>
      <w:szCs w:val="16"/>
    </w:rPr>
  </w:style>
  <w:style w:type="paragraph" w:customStyle="1" w:styleId="ae">
    <w:name w:val="Текст даты"/>
    <w:basedOn w:val="a"/>
    <w:pPr>
      <w:spacing w:before="720" w:after="200" w:line="276" w:lineRule="auto"/>
      <w:contextualSpacing/>
      <w:jc w:val="left"/>
    </w:pPr>
    <w:rPr>
      <w:color w:val="000000" w:themeColor="text1"/>
      <w:sz w:val="22"/>
      <w:szCs w:val="22"/>
      <w:lang w:val="ru-RU" w:eastAsia="en-US"/>
    </w:rPr>
  </w:style>
  <w:style w:type="paragraph" w:styleId="af">
    <w:name w:val="Salutation"/>
    <w:basedOn w:val="aa"/>
    <w:next w:val="a"/>
    <w:link w:val="af0"/>
    <w:qFormat/>
    <w:pPr>
      <w:spacing w:before="480" w:after="320"/>
      <w:contextualSpacing/>
      <w:jc w:val="left"/>
    </w:pPr>
    <w:rPr>
      <w:b/>
      <w:bCs/>
      <w:color w:val="000000" w:themeColor="text1"/>
      <w:sz w:val="22"/>
      <w:szCs w:val="22"/>
      <w:lang w:val="ru-RU" w:eastAsia="en-US"/>
    </w:rPr>
  </w:style>
  <w:style w:type="paragraph" w:styleId="af1">
    <w:name w:val="List Paragraph"/>
    <w:basedOn w:val="a"/>
    <w:uiPriority w:val="99"/>
    <w:qFormat/>
    <w:pPr>
      <w:ind w:left="720"/>
      <w:contextualSpacing/>
    </w:pPr>
  </w:style>
  <w:style w:type="character" w:styleId="af2">
    <w:name w:val="line number"/>
    <w:basedOn w:val="a0"/>
    <w:semiHidden/>
  </w:style>
  <w:style w:type="character" w:styleId="af3">
    <w:name w:val="Hyperlink"/>
    <w:basedOn w:val="a0"/>
    <w:rPr>
      <w:color w:val="0000FF" w:themeColor="hyperlink"/>
      <w:u w:val="single"/>
    </w:rPr>
  </w:style>
  <w:style w:type="character" w:customStyle="1" w:styleId="a4">
    <w:name w:val="Назва Знак"/>
    <w:basedOn w:val="a0"/>
    <w:link w:val="a3"/>
    <w:rPr>
      <w:rFonts w:ascii="Times New Roman" w:hAnsi="Times New Roman"/>
      <w:b/>
      <w:sz w:val="20"/>
      <w:szCs w:val="20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hAnsi="Times New Roman"/>
      <w:sz w:val="28"/>
      <w:szCs w:val="28"/>
      <w:lang w:eastAsia="uk-UA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/>
      <w:sz w:val="28"/>
      <w:szCs w:val="28"/>
      <w:lang w:eastAsia="uk-UA"/>
    </w:rPr>
  </w:style>
  <w:style w:type="character" w:customStyle="1" w:styleId="ad">
    <w:name w:val="Текст у виносці Знак"/>
    <w:basedOn w:val="a0"/>
    <w:link w:val="ac"/>
    <w:semiHidden/>
    <w:rPr>
      <w:rFonts w:ascii="Tahoma" w:hAnsi="Tahoma"/>
      <w:sz w:val="16"/>
      <w:szCs w:val="16"/>
      <w:lang w:eastAsia="uk-UA"/>
    </w:rPr>
  </w:style>
  <w:style w:type="character" w:styleId="af4">
    <w:name w:val="Placeholder Text"/>
    <w:basedOn w:val="a0"/>
    <w:semiHidden/>
    <w:rPr>
      <w:color w:val="808080"/>
    </w:rPr>
  </w:style>
  <w:style w:type="character" w:customStyle="1" w:styleId="af0">
    <w:name w:val="Привітання Знак"/>
    <w:basedOn w:val="a0"/>
    <w:link w:val="af"/>
    <w:rPr>
      <w:b/>
      <w:bCs/>
      <w:color w:val="000000" w:themeColor="text1"/>
      <w:lang w:val="ru-RU"/>
    </w:rPr>
  </w:style>
  <w:style w:type="character" w:customStyle="1" w:styleId="ab">
    <w:name w:val="Без інтервалів Знак"/>
    <w:basedOn w:val="a0"/>
    <w:link w:val="aa"/>
    <w:rPr>
      <w:rFonts w:ascii="Times New Roman" w:hAnsi="Times New Roman"/>
      <w:sz w:val="28"/>
      <w:szCs w:val="28"/>
      <w:lang w:eastAsia="uk-UA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5040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6261A5E9D4A2CA1B47CE09C476B2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0AB495F-99D8-4FAA-9DE6-2B01477AB917}"/>
      </w:docPartPr>
      <w:docPartBody>
        <w:p w:rsidR="00000000" w:rsidRDefault="00C542B8" w:rsidP="00C542B8">
          <w:pPr>
            <w:pStyle w:val="6476261A5E9D4A2CA1B47CE09C476B2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B8"/>
    <w:rsid w:val="00C542B8"/>
    <w:rsid w:val="00E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4861E2208E47F096FE8B9CB4BDC1C9">
    <w:name w:val="A64861E2208E47F096FE8B9CB4BDC1C9"/>
    <w:rsid w:val="00C542B8"/>
  </w:style>
  <w:style w:type="paragraph" w:customStyle="1" w:styleId="6476261A5E9D4A2CA1B47CE09C476B29">
    <w:name w:val="6476261A5E9D4A2CA1B47CE09C476B29"/>
    <w:rsid w:val="00C54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6C56F5-89FE-4844-9590-63D8D2F9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</vt:lpstr>
    </vt:vector>
  </TitlesOfParts>
  <Company>National Bank of Ukraine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Лівшун Оксана Володимирівна</dc:creator>
  <cp:lastModifiedBy>Одинець Олена Миколаївна</cp:lastModifiedBy>
  <cp:revision>6</cp:revision>
  <cp:lastPrinted>2025-11-21T15:42:00Z</cp:lastPrinted>
  <dcterms:created xsi:type="dcterms:W3CDTF">2025-11-13T13:46:00Z</dcterms:created>
  <dcterms:modified xsi:type="dcterms:W3CDTF">2025-11-21T15:43:00Z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