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39159" w14:textId="77777777" w:rsidR="00B930E3" w:rsidRPr="00F24CA4" w:rsidRDefault="00B930E3">
      <w:pPr>
        <w:rPr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:rsidRPr="0070011F" w14:paraId="68428E03" w14:textId="77777777" w:rsidTr="00D96228">
        <w:trPr>
          <w:trHeight w:val="851"/>
        </w:trPr>
        <w:tc>
          <w:tcPr>
            <w:tcW w:w="1664" w:type="pct"/>
          </w:tcPr>
          <w:p w14:paraId="450BF500" w14:textId="77777777" w:rsidR="00410EC0" w:rsidRPr="0070011F" w:rsidRDefault="00410EC0" w:rsidP="000F60CD"/>
        </w:tc>
        <w:tc>
          <w:tcPr>
            <w:tcW w:w="1674" w:type="pct"/>
            <w:vMerge w:val="restart"/>
          </w:tcPr>
          <w:p w14:paraId="76C2C987" w14:textId="77777777" w:rsidR="00410EC0" w:rsidRPr="0070011F" w:rsidRDefault="00410EC0" w:rsidP="000F60CD">
            <w:pPr>
              <w:jc w:val="center"/>
            </w:pPr>
            <w:r w:rsidRPr="0070011F">
              <w:object w:dxaOrig="1595" w:dyaOrig="2201" w14:anchorId="7B7D9B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2pt;height:48pt" o:ole="">
                  <v:imagedata r:id="rId12" o:title=""/>
                </v:shape>
                <o:OLEObject Type="Embed" ProgID="CorelDraw.Graphic.16" ShapeID="_x0000_i1025" DrawAspect="Content" ObjectID="_1825582532" r:id="rId13"/>
              </w:object>
            </w:r>
          </w:p>
        </w:tc>
        <w:tc>
          <w:tcPr>
            <w:tcW w:w="1662" w:type="pct"/>
          </w:tcPr>
          <w:p w14:paraId="29BA39A7" w14:textId="710CEC25" w:rsidR="00410EC0" w:rsidRPr="0070011F" w:rsidRDefault="00F1562E" w:rsidP="00F1562E">
            <w:pPr>
              <w:jc w:val="right"/>
            </w:pPr>
            <w:r w:rsidRPr="00F1562E">
              <w:t>ПРОЄКТ</w:t>
            </w:r>
          </w:p>
        </w:tc>
      </w:tr>
      <w:tr w:rsidR="00410EC0" w:rsidRPr="0070011F" w14:paraId="13438AEF" w14:textId="77777777" w:rsidTr="00D96228">
        <w:tc>
          <w:tcPr>
            <w:tcW w:w="1664" w:type="pct"/>
          </w:tcPr>
          <w:p w14:paraId="5C4EFAD4" w14:textId="77777777" w:rsidR="00410EC0" w:rsidRPr="0070011F" w:rsidRDefault="00410EC0" w:rsidP="000F60CD"/>
        </w:tc>
        <w:tc>
          <w:tcPr>
            <w:tcW w:w="1674" w:type="pct"/>
            <w:vMerge/>
          </w:tcPr>
          <w:p w14:paraId="5CF98CE0" w14:textId="77777777" w:rsidR="00410EC0" w:rsidRPr="0070011F" w:rsidRDefault="00410EC0" w:rsidP="000F60CD"/>
        </w:tc>
        <w:tc>
          <w:tcPr>
            <w:tcW w:w="1662" w:type="pct"/>
          </w:tcPr>
          <w:p w14:paraId="6C9E62DC" w14:textId="77777777" w:rsidR="00410EC0" w:rsidRPr="0070011F" w:rsidRDefault="00410EC0" w:rsidP="000F60CD"/>
        </w:tc>
      </w:tr>
      <w:tr w:rsidR="00410EC0" w:rsidRPr="0070011F" w14:paraId="22B06CA7" w14:textId="77777777" w:rsidTr="00D96228">
        <w:tc>
          <w:tcPr>
            <w:tcW w:w="5000" w:type="pct"/>
            <w:gridSpan w:val="3"/>
          </w:tcPr>
          <w:p w14:paraId="2135B3CA" w14:textId="77777777" w:rsidR="00410EC0" w:rsidRPr="0070011F" w:rsidRDefault="00410EC0" w:rsidP="000F60C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70011F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43F125E" w14:textId="77777777" w:rsidR="00410EC0" w:rsidRPr="0070011F" w:rsidRDefault="00410EC0" w:rsidP="000F60CD">
            <w:pPr>
              <w:jc w:val="center"/>
            </w:pPr>
            <w:r w:rsidRPr="0070011F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6545079A" w14:textId="77777777" w:rsidR="00410EC0" w:rsidRPr="0070011F" w:rsidRDefault="00410EC0" w:rsidP="00410EC0">
      <w:pPr>
        <w:rPr>
          <w:sz w:val="4"/>
          <w:szCs w:val="4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2635"/>
        <w:gridCol w:w="1675"/>
        <w:gridCol w:w="1895"/>
      </w:tblGrid>
      <w:tr w:rsidR="00410EC0" w:rsidRPr="0070011F" w14:paraId="5A32C654" w14:textId="77777777" w:rsidTr="00D96228">
        <w:tc>
          <w:tcPr>
            <w:tcW w:w="1781" w:type="pct"/>
            <w:vAlign w:val="bottom"/>
          </w:tcPr>
          <w:p w14:paraId="24417CFB" w14:textId="77777777" w:rsidR="00410EC0" w:rsidRPr="0070011F" w:rsidRDefault="00410EC0" w:rsidP="000F60CD"/>
        </w:tc>
        <w:tc>
          <w:tcPr>
            <w:tcW w:w="1367" w:type="pct"/>
          </w:tcPr>
          <w:p w14:paraId="7F648172" w14:textId="77777777" w:rsidR="00410EC0" w:rsidRPr="0070011F" w:rsidRDefault="00BF0770" w:rsidP="000F60CD">
            <w:pPr>
              <w:spacing w:before="240"/>
              <w:jc w:val="center"/>
            </w:pPr>
            <w:r w:rsidRPr="0070011F">
              <w:rPr>
                <w:color w:val="006600"/>
              </w:rPr>
              <w:t xml:space="preserve"> </w:t>
            </w:r>
            <w:r w:rsidR="00410EC0" w:rsidRPr="0070011F">
              <w:rPr>
                <w:color w:val="006600"/>
              </w:rPr>
              <w:t>Київ</w:t>
            </w:r>
          </w:p>
        </w:tc>
        <w:tc>
          <w:tcPr>
            <w:tcW w:w="869" w:type="pct"/>
            <w:vAlign w:val="bottom"/>
          </w:tcPr>
          <w:p w14:paraId="4DC6F191" w14:textId="77777777" w:rsidR="00410EC0" w:rsidRPr="0070011F" w:rsidRDefault="00410EC0" w:rsidP="000F60CD">
            <w:pPr>
              <w:jc w:val="right"/>
            </w:pPr>
            <w:r w:rsidRPr="0070011F">
              <w:rPr>
                <w:color w:val="FFFFFF" w:themeColor="background1"/>
              </w:rPr>
              <w:t>№</w:t>
            </w:r>
          </w:p>
        </w:tc>
        <w:tc>
          <w:tcPr>
            <w:tcW w:w="983" w:type="pct"/>
            <w:vAlign w:val="bottom"/>
          </w:tcPr>
          <w:p w14:paraId="642E2AF4" w14:textId="77777777" w:rsidR="00410EC0" w:rsidRPr="0070011F" w:rsidRDefault="00410EC0" w:rsidP="000F60CD">
            <w:pPr>
              <w:jc w:val="left"/>
            </w:pPr>
          </w:p>
        </w:tc>
      </w:tr>
    </w:tbl>
    <w:p w14:paraId="68EF6FBC" w14:textId="77777777" w:rsidR="00410EC0" w:rsidRPr="0070011F" w:rsidRDefault="00410EC0" w:rsidP="00410EC0">
      <w:pPr>
        <w:rPr>
          <w:sz w:val="2"/>
          <w:szCs w:val="2"/>
        </w:rPr>
      </w:pPr>
    </w:p>
    <w:p w14:paraId="449E7CBA" w14:textId="77777777" w:rsidR="00410EC0" w:rsidRPr="0070011F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  <w:bookmarkStart w:id="0" w:name="_GoBack"/>
      <w:bookmarkEnd w:id="0"/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4"/>
      </w:tblGrid>
      <w:tr w:rsidR="00410EC0" w:rsidRPr="0070011F" w14:paraId="6ABADA6B" w14:textId="77777777" w:rsidTr="00D96228">
        <w:trPr>
          <w:jc w:val="center"/>
        </w:trPr>
        <w:tc>
          <w:tcPr>
            <w:tcW w:w="5000" w:type="pct"/>
          </w:tcPr>
          <w:p w14:paraId="0F23C7F6" w14:textId="77777777" w:rsidR="00410EC0" w:rsidRPr="0070011F" w:rsidRDefault="00221CBD" w:rsidP="000F60CD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70011F">
              <w:rPr>
                <w:rFonts w:eastAsia="SimSun"/>
                <w:color w:val="000000" w:themeColor="text1"/>
              </w:rPr>
              <w:t>Про затвердження Змін до Положення про встановлення вимог щодо забезпечення платоспроможності та інвестиційної діяльності страховика</w:t>
            </w:r>
          </w:p>
        </w:tc>
      </w:tr>
    </w:tbl>
    <w:p w14:paraId="1D5A219A" w14:textId="08EDECE8" w:rsidR="00410EC0" w:rsidRPr="0070011F" w:rsidRDefault="00221CBD" w:rsidP="00410EC0">
      <w:pPr>
        <w:spacing w:before="240" w:after="240"/>
        <w:ind w:firstLine="567"/>
        <w:rPr>
          <w:b/>
        </w:rPr>
      </w:pPr>
      <w:r w:rsidRPr="0070011F">
        <w:rPr>
          <w:rFonts w:eastAsia="SimSun"/>
          <w:color w:val="000000" w:themeColor="text1"/>
        </w:rPr>
        <w:t xml:space="preserve">Відповідно до статей </w:t>
      </w:r>
      <w:r w:rsidRPr="0070011F">
        <w:t>7, 15, 55</w:t>
      </w:r>
      <w:r w:rsidRPr="0070011F">
        <w:rPr>
          <w:vertAlign w:val="superscript"/>
        </w:rPr>
        <w:t>1</w:t>
      </w:r>
      <w:r w:rsidR="00697C11">
        <w:t>, 56</w:t>
      </w:r>
      <w:r w:rsidR="00697C11" w:rsidRPr="0070011F">
        <w:t>,</w:t>
      </w:r>
      <w:r w:rsidRPr="0070011F">
        <w:t xml:space="preserve"> 61 Закону України “Про Національний банк України”, статті 21 Закону України “Про фінансові послуги та фінансові компанії”, статей 37, 38, 45, 114 Закону України “Про</w:t>
      </w:r>
      <w:r w:rsidRPr="0070011F">
        <w:rPr>
          <w:lang w:eastAsia="en-US"/>
        </w:rPr>
        <w:t xml:space="preserve"> страхування”, </w:t>
      </w:r>
      <w:r w:rsidRPr="0070011F">
        <w:rPr>
          <w:rFonts w:eastAsia="SimSun"/>
        </w:rPr>
        <w:t>пункту 9 розділу ХІ</w:t>
      </w:r>
      <w:r w:rsidRPr="0070011F">
        <w:rPr>
          <w:lang w:eastAsia="en-US"/>
        </w:rPr>
        <w:t xml:space="preserve"> Закону України “Про рейтингування”</w:t>
      </w:r>
      <w:r w:rsidR="00F97473">
        <w:rPr>
          <w:lang w:eastAsia="en-US"/>
        </w:rPr>
        <w:t>,</w:t>
      </w:r>
      <w:r w:rsidRPr="0070011F">
        <w:rPr>
          <w:lang w:eastAsia="en-US"/>
        </w:rPr>
        <w:t xml:space="preserve"> </w:t>
      </w:r>
      <w:r w:rsidRPr="0070011F">
        <w:rPr>
          <w:color w:val="000000" w:themeColor="text1"/>
        </w:rPr>
        <w:t xml:space="preserve">з метою приведення нормативно-правового акта Національного банку України, що встановлює вимоги до платоспроможності та інвестиційної діяльності страховика, у відповідність до вимог </w:t>
      </w:r>
      <w:r w:rsidR="00697C11" w:rsidRPr="0070011F">
        <w:rPr>
          <w:lang w:eastAsia="en-US"/>
        </w:rPr>
        <w:t xml:space="preserve">законодавства України </w:t>
      </w:r>
      <w:r w:rsidR="008A4804">
        <w:rPr>
          <w:lang w:eastAsia="en-US"/>
        </w:rPr>
        <w:t>у сфері</w:t>
      </w:r>
      <w:r w:rsidR="00697C11" w:rsidRPr="0070011F">
        <w:rPr>
          <w:lang w:eastAsia="en-US"/>
        </w:rPr>
        <w:t xml:space="preserve"> рейтингування </w:t>
      </w:r>
      <w:r w:rsidRPr="0070011F">
        <w:rPr>
          <w:color w:val="000000" w:themeColor="text1"/>
        </w:rPr>
        <w:t>та вдосконалення регулювання діяльності з надання страхових послуг</w:t>
      </w:r>
      <w:r w:rsidR="00410EC0" w:rsidRPr="0070011F">
        <w:rPr>
          <w:b/>
        </w:rPr>
        <w:t xml:space="preserve"> </w:t>
      </w:r>
      <w:r w:rsidR="00410EC0" w:rsidRPr="0070011F">
        <w:t>Правління Національного банку України</w:t>
      </w:r>
      <w:r w:rsidR="00410EC0" w:rsidRPr="0070011F">
        <w:rPr>
          <w:b/>
        </w:rPr>
        <w:t xml:space="preserve"> постановляє:</w:t>
      </w:r>
    </w:p>
    <w:p w14:paraId="25C7C58C" w14:textId="77777777" w:rsidR="00410EC0" w:rsidRPr="0070011F" w:rsidRDefault="00410EC0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70011F">
        <w:t>1. </w:t>
      </w:r>
      <w:r w:rsidR="00221CBD" w:rsidRPr="0070011F">
        <w:rPr>
          <w:shd w:val="clear" w:color="auto" w:fill="FFFFFF"/>
        </w:rPr>
        <w:t xml:space="preserve">Затвердити Зміни </w:t>
      </w:r>
      <w:r w:rsidR="00221CBD" w:rsidRPr="0070011F">
        <w:rPr>
          <w:color w:val="0D0D0D" w:themeColor="text1" w:themeTint="F2"/>
          <w:shd w:val="clear" w:color="auto" w:fill="FFFFFF"/>
        </w:rPr>
        <w:t>до</w:t>
      </w:r>
      <w:r w:rsidR="00221CBD" w:rsidRPr="0070011F">
        <w:t xml:space="preserve"> </w:t>
      </w:r>
      <w:r w:rsidR="00221CBD" w:rsidRPr="0070011F">
        <w:rPr>
          <w:shd w:val="clear" w:color="auto" w:fill="FFFFFF"/>
        </w:rPr>
        <w:t>Положення</w:t>
      </w:r>
      <w:r w:rsidR="00221CBD" w:rsidRPr="0070011F">
        <w:t xml:space="preserve"> </w:t>
      </w:r>
      <w:r w:rsidR="00221CBD" w:rsidRPr="0070011F">
        <w:rPr>
          <w:shd w:val="clear" w:color="auto" w:fill="FFFFFF"/>
        </w:rPr>
        <w:t xml:space="preserve">про встановлення вимог щодо забезпечення платоспроможності та інвестиційної діяльності страховика, затвердженого постановою Правління Національного банку України </w:t>
      </w:r>
      <w:r w:rsidR="00221CBD" w:rsidRPr="0070011F">
        <w:t xml:space="preserve">від 29 грудня 2023 року № 201 </w:t>
      </w:r>
      <w:r w:rsidR="00221CBD" w:rsidRPr="0070011F">
        <w:rPr>
          <w:shd w:val="clear" w:color="auto" w:fill="FFFFFF"/>
        </w:rPr>
        <w:t>(зі змінами) (далі – Зміни), що додаються</w:t>
      </w:r>
      <w:r w:rsidRPr="0070011F">
        <w:rPr>
          <w:rFonts w:eastAsiaTheme="minorEastAsia"/>
          <w:noProof/>
          <w:color w:val="000000" w:themeColor="text1"/>
          <w:lang w:eastAsia="en-US"/>
        </w:rPr>
        <w:t>.</w:t>
      </w:r>
    </w:p>
    <w:p w14:paraId="1A65B609" w14:textId="00808303" w:rsidR="00410EC0" w:rsidRDefault="009A5253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2</w:t>
      </w:r>
      <w:r w:rsidR="00410EC0" w:rsidRPr="0070011F">
        <w:rPr>
          <w:rFonts w:eastAsiaTheme="minorEastAsia"/>
          <w:noProof/>
          <w:color w:val="000000" w:themeColor="text1"/>
          <w:lang w:eastAsia="en-US"/>
        </w:rPr>
        <w:t>. </w:t>
      </w:r>
      <w:r w:rsidR="00F8795F" w:rsidRPr="0070011F">
        <w:rPr>
          <w:rFonts w:eastAsiaTheme="minorEastAsia"/>
          <w:noProof/>
          <w:color w:val="000000" w:themeColor="text1"/>
          <w:lang w:eastAsia="en-US"/>
        </w:rPr>
        <w:t xml:space="preserve">Вимоги (обмеження) щодо рейтингів, визначені </w:t>
      </w:r>
      <w:r w:rsidR="00F8795F" w:rsidRPr="006B261B">
        <w:rPr>
          <w:rFonts w:eastAsiaTheme="minorEastAsia"/>
          <w:noProof/>
          <w:color w:val="000000" w:themeColor="text1"/>
          <w:lang w:eastAsia="en-US"/>
        </w:rPr>
        <w:t xml:space="preserve">у абзацах четвертому – </w:t>
      </w:r>
      <w:r w:rsidR="000C382B" w:rsidRPr="006B261B">
        <w:rPr>
          <w:rFonts w:eastAsiaTheme="minorEastAsia"/>
          <w:noProof/>
          <w:color w:val="000000" w:themeColor="text1"/>
          <w:lang w:eastAsia="en-US"/>
        </w:rPr>
        <w:t>десятому</w:t>
      </w:r>
      <w:r w:rsidR="00F8795F" w:rsidRPr="0070011F">
        <w:rPr>
          <w:rFonts w:eastAsiaTheme="minorEastAsia"/>
          <w:noProof/>
          <w:color w:val="000000" w:themeColor="text1"/>
          <w:lang w:eastAsia="en-US"/>
        </w:rPr>
        <w:t xml:space="preserve"> підпункту 4, підпункті 5 пункту 33 глави 6 розділу ІІ </w:t>
      </w:r>
      <w:r w:rsidR="00F8795F" w:rsidRPr="0070011F">
        <w:rPr>
          <w:shd w:val="clear" w:color="auto" w:fill="FFFFFF"/>
        </w:rPr>
        <w:t>Положення</w:t>
      </w:r>
      <w:r w:rsidR="00F8795F" w:rsidRPr="0070011F">
        <w:t xml:space="preserve"> </w:t>
      </w:r>
      <w:r w:rsidR="00F8795F" w:rsidRPr="0070011F">
        <w:rPr>
          <w:shd w:val="clear" w:color="auto" w:fill="FFFFFF"/>
        </w:rPr>
        <w:t xml:space="preserve">про встановлення вимог щодо забезпечення платоспроможності та інвестиційної діяльності страховика, затвердженого постановою Правління Національного банку України </w:t>
      </w:r>
      <w:r w:rsidR="00F8795F" w:rsidRPr="0070011F">
        <w:t xml:space="preserve">від 29 грудня 2023 року № 201 </w:t>
      </w:r>
      <w:r w:rsidR="00F8795F" w:rsidRPr="0070011F">
        <w:rPr>
          <w:shd w:val="clear" w:color="auto" w:fill="FFFFFF"/>
        </w:rPr>
        <w:t>(зі змінами) (далі – Положення)</w:t>
      </w:r>
      <w:r w:rsidR="00F8795F" w:rsidRPr="0070011F">
        <w:rPr>
          <w:rFonts w:eastAsiaTheme="minorEastAsia"/>
          <w:noProof/>
          <w:color w:val="000000" w:themeColor="text1"/>
          <w:lang w:eastAsia="en-US"/>
        </w:rPr>
        <w:t>, протягом одного року після набрання чинності ціє</w:t>
      </w:r>
      <w:r w:rsidR="00703E7D">
        <w:rPr>
          <w:rFonts w:eastAsiaTheme="minorEastAsia"/>
          <w:noProof/>
          <w:color w:val="000000" w:themeColor="text1"/>
          <w:lang w:eastAsia="en-US"/>
        </w:rPr>
        <w:t>ю</w:t>
      </w:r>
      <w:r w:rsidR="00F8795F" w:rsidRPr="0070011F">
        <w:rPr>
          <w:rFonts w:eastAsiaTheme="minorEastAsia"/>
          <w:noProof/>
          <w:color w:val="000000" w:themeColor="text1"/>
          <w:lang w:eastAsia="en-US"/>
        </w:rPr>
        <w:t xml:space="preserve"> постанов</w:t>
      </w:r>
      <w:r w:rsidR="00703E7D">
        <w:rPr>
          <w:rFonts w:eastAsiaTheme="minorEastAsia"/>
          <w:noProof/>
          <w:color w:val="000000" w:themeColor="text1"/>
          <w:lang w:eastAsia="en-US"/>
        </w:rPr>
        <w:t>ою</w:t>
      </w:r>
      <w:r w:rsidR="00F8795F" w:rsidRPr="0070011F">
        <w:rPr>
          <w:rFonts w:eastAsiaTheme="minorEastAsia"/>
          <w:noProof/>
          <w:color w:val="000000" w:themeColor="text1"/>
          <w:lang w:eastAsia="en-US"/>
        </w:rPr>
        <w:t xml:space="preserve"> не поширюються на включення до суми прийнятних активів страховика корпоративних облігацій іноземних емітентів, цінних паперів іноземних держав-емітентів, що станом на 31 грудня 2025 року включалися до суми прийнятних активів відповідно до вимог Положення </w:t>
      </w:r>
      <w:r w:rsidR="009A1DBF">
        <w:rPr>
          <w:rFonts w:eastAsiaTheme="minorEastAsia"/>
          <w:noProof/>
          <w:color w:val="000000" w:themeColor="text1"/>
          <w:lang w:eastAsia="en-US"/>
        </w:rPr>
        <w:t xml:space="preserve">без урахування Змін, унесених </w:t>
      </w:r>
      <w:r w:rsidR="00F8795F" w:rsidRPr="0070011F">
        <w:rPr>
          <w:rFonts w:eastAsiaTheme="minorEastAsia"/>
          <w:noProof/>
          <w:color w:val="000000" w:themeColor="text1"/>
          <w:lang w:eastAsia="en-US"/>
        </w:rPr>
        <w:t>цією постановою</w:t>
      </w:r>
      <w:r w:rsidR="00410EC0" w:rsidRPr="0070011F">
        <w:rPr>
          <w:rFonts w:eastAsiaTheme="minorEastAsia"/>
          <w:noProof/>
          <w:color w:val="000000" w:themeColor="text1"/>
          <w:lang w:eastAsia="en-US"/>
        </w:rPr>
        <w:t>.</w:t>
      </w:r>
    </w:p>
    <w:p w14:paraId="4B0524C0" w14:textId="4F94DCFD" w:rsidR="009A5253" w:rsidRPr="0070011F" w:rsidRDefault="009A5253" w:rsidP="009A5253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3</w:t>
      </w:r>
      <w:r w:rsidRPr="0070011F">
        <w:rPr>
          <w:rFonts w:eastAsiaTheme="minorEastAsia"/>
          <w:noProof/>
          <w:color w:val="000000" w:themeColor="text1"/>
          <w:lang w:eastAsia="en-US"/>
        </w:rPr>
        <w:t>. </w:t>
      </w:r>
      <w:r w:rsidRPr="0070011F">
        <w:rPr>
          <w:shd w:val="clear" w:color="auto" w:fill="FFFFFF"/>
        </w:rPr>
        <w:t>Департаменту методології регулювання діяльності небанківських фінансових установ (Сергій Савчук) після офіційного опублікування довести до відома страховиків інформацію про прийняття цієї постанови</w:t>
      </w:r>
      <w:r w:rsidRPr="0070011F">
        <w:rPr>
          <w:rFonts w:eastAsiaTheme="minorEastAsia"/>
          <w:noProof/>
          <w:color w:val="000000" w:themeColor="text1"/>
          <w:lang w:eastAsia="en-US"/>
        </w:rPr>
        <w:t>.</w:t>
      </w:r>
    </w:p>
    <w:p w14:paraId="1F5FBD68" w14:textId="77777777" w:rsidR="009A5253" w:rsidRPr="0070011F" w:rsidRDefault="009A5253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</w:p>
    <w:p w14:paraId="36F20896" w14:textId="7E9D44C3" w:rsidR="00410EC0" w:rsidRPr="0070011F" w:rsidRDefault="00A72446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70011F">
        <w:rPr>
          <w:rFonts w:eastAsiaTheme="minorEastAsia"/>
          <w:noProof/>
          <w:color w:val="000000" w:themeColor="text1"/>
          <w:lang w:eastAsia="en-US"/>
        </w:rPr>
        <w:t>4. </w:t>
      </w:r>
      <w:r w:rsidR="00221CBD" w:rsidRPr="0070011F">
        <w:rPr>
          <w:rFonts w:eastAsiaTheme="minorEastAsia"/>
          <w:noProof/>
          <w:color w:val="000000" w:themeColor="text1"/>
          <w:lang w:eastAsia="en-US"/>
        </w:rPr>
        <w:t xml:space="preserve">Постанова набирає чинності з дня, наступного за днем її офіційного опублікування, </w:t>
      </w:r>
      <w:r w:rsidR="00221CBD" w:rsidRPr="00B454C8">
        <w:rPr>
          <w:rFonts w:eastAsiaTheme="minorEastAsia"/>
          <w:noProof/>
          <w:color w:val="000000" w:themeColor="text1"/>
          <w:lang w:eastAsia="en-US"/>
        </w:rPr>
        <w:t xml:space="preserve">крім абзаців </w:t>
      </w:r>
      <w:r w:rsidR="00B454C8" w:rsidRPr="00B454C8">
        <w:rPr>
          <w:rFonts w:eastAsiaTheme="minorEastAsia"/>
          <w:noProof/>
          <w:color w:val="000000" w:themeColor="text1"/>
          <w:lang w:eastAsia="en-US"/>
        </w:rPr>
        <w:t>першого</w:t>
      </w:r>
      <w:r w:rsidR="00B454C8">
        <w:rPr>
          <w:rFonts w:eastAsiaTheme="minorEastAsia"/>
          <w:noProof/>
          <w:color w:val="000000" w:themeColor="text1"/>
          <w:lang w:eastAsia="en-US"/>
        </w:rPr>
        <w:t> </w:t>
      </w:r>
      <w:r w:rsidR="00B454C8" w:rsidRPr="0070011F">
        <w:rPr>
          <w:shd w:val="clear" w:color="auto" w:fill="FFFFFF"/>
        </w:rPr>
        <w:t>–</w:t>
      </w:r>
      <w:r w:rsidR="00B454C8">
        <w:rPr>
          <w:rFonts w:eastAsiaTheme="minorEastAsia"/>
          <w:noProof/>
          <w:color w:val="000000" w:themeColor="text1"/>
          <w:lang w:eastAsia="en-US"/>
        </w:rPr>
        <w:t> </w:t>
      </w:r>
      <w:r w:rsidR="001C46C1">
        <w:rPr>
          <w:rFonts w:eastAsiaTheme="minorEastAsia"/>
          <w:noProof/>
          <w:color w:val="000000" w:themeColor="text1"/>
          <w:lang w:eastAsia="en-US"/>
        </w:rPr>
        <w:t>дев</w:t>
      </w:r>
      <w:r w:rsidR="001C46C1" w:rsidRPr="001C46C1">
        <w:rPr>
          <w:rFonts w:eastAsiaTheme="minorEastAsia"/>
          <w:noProof/>
          <w:color w:val="000000" w:themeColor="text1"/>
          <w:lang w:eastAsia="en-US"/>
        </w:rPr>
        <w:t>’</w:t>
      </w:r>
      <w:r w:rsidR="001C46C1">
        <w:rPr>
          <w:rFonts w:eastAsiaTheme="minorEastAsia"/>
          <w:noProof/>
          <w:color w:val="000000" w:themeColor="text1"/>
          <w:lang w:eastAsia="en-US"/>
        </w:rPr>
        <w:t>ятого</w:t>
      </w:r>
      <w:r w:rsidR="00B454C8" w:rsidRPr="00B454C8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221CBD" w:rsidRPr="00B454C8">
        <w:rPr>
          <w:rFonts w:eastAsiaTheme="minorEastAsia"/>
          <w:noProof/>
          <w:color w:val="000000" w:themeColor="text1"/>
          <w:lang w:eastAsia="en-US"/>
        </w:rPr>
        <w:t>підпункту 2 пункту 2</w:t>
      </w:r>
      <w:r w:rsidR="00221CBD" w:rsidRPr="0070011F">
        <w:rPr>
          <w:rFonts w:eastAsiaTheme="minorEastAsia"/>
          <w:noProof/>
          <w:color w:val="000000" w:themeColor="text1"/>
          <w:lang w:eastAsia="en-US"/>
        </w:rPr>
        <w:t xml:space="preserve"> Змін, </w:t>
      </w:r>
      <w:r w:rsidR="00221CBD" w:rsidRPr="0070011F">
        <w:rPr>
          <w:bCs/>
        </w:rPr>
        <w:t>які набирають чинності з 01 січня 202</w:t>
      </w:r>
      <w:r w:rsidR="003E40B2">
        <w:rPr>
          <w:bCs/>
        </w:rPr>
        <w:t>6</w:t>
      </w:r>
      <w:r w:rsidR="00221CBD" w:rsidRPr="0070011F">
        <w:rPr>
          <w:bCs/>
        </w:rPr>
        <w:t xml:space="preserve"> року</w:t>
      </w:r>
      <w:r w:rsidR="005A6B99" w:rsidRPr="0070011F">
        <w:rPr>
          <w:rFonts w:eastAsiaTheme="minorEastAsia"/>
          <w:noProof/>
          <w:color w:val="000000" w:themeColor="text1"/>
          <w:lang w:eastAsia="en-US"/>
        </w:rPr>
        <w:t>.</w:t>
      </w:r>
    </w:p>
    <w:p w14:paraId="7E40391B" w14:textId="77777777" w:rsidR="00410EC0" w:rsidRPr="0070011F" w:rsidRDefault="00410EC0" w:rsidP="00410EC0">
      <w:pPr>
        <w:pStyle w:val="af3"/>
        <w:spacing w:before="240" w:after="120"/>
        <w:ind w:left="0" w:firstLine="567"/>
        <w:rPr>
          <w:rFonts w:eastAsiaTheme="minorEastAsia"/>
          <w:noProof/>
          <w:color w:val="000000" w:themeColor="text1"/>
          <w:lang w:eastAsia="en-US"/>
        </w:rPr>
      </w:pPr>
    </w:p>
    <w:p w14:paraId="00DBC01E" w14:textId="77777777" w:rsidR="00410EC0" w:rsidRPr="0070011F" w:rsidRDefault="00410EC0" w:rsidP="00410EC0">
      <w:pPr>
        <w:spacing w:after="120"/>
      </w:pPr>
    </w:p>
    <w:p w14:paraId="0965E364" w14:textId="77777777" w:rsidR="00410EC0" w:rsidRPr="0070011F" w:rsidRDefault="00410EC0" w:rsidP="00410EC0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10EC0" w:rsidRPr="0070011F" w14:paraId="5DC08B12" w14:textId="77777777" w:rsidTr="000F60CD">
        <w:tc>
          <w:tcPr>
            <w:tcW w:w="5387" w:type="dxa"/>
            <w:vAlign w:val="bottom"/>
          </w:tcPr>
          <w:p w14:paraId="24D1386A" w14:textId="77777777" w:rsidR="00410EC0" w:rsidRPr="0070011F" w:rsidRDefault="00221CBD" w:rsidP="009B7F4D">
            <w:pPr>
              <w:autoSpaceDE w:val="0"/>
              <w:autoSpaceDN w:val="0"/>
              <w:ind w:left="-111"/>
              <w:jc w:val="left"/>
            </w:pPr>
            <w:r w:rsidRPr="0070011F">
              <w:t>Голова</w:t>
            </w:r>
          </w:p>
        </w:tc>
        <w:tc>
          <w:tcPr>
            <w:tcW w:w="4252" w:type="dxa"/>
            <w:vAlign w:val="bottom"/>
          </w:tcPr>
          <w:p w14:paraId="096E0B9F" w14:textId="77777777" w:rsidR="00410EC0" w:rsidRPr="0070011F" w:rsidRDefault="00221CBD" w:rsidP="000F60CD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70011F">
              <w:t>Андрій ПИШНИЙ</w:t>
            </w:r>
          </w:p>
        </w:tc>
      </w:tr>
    </w:tbl>
    <w:p w14:paraId="3EA40B7E" w14:textId="77777777" w:rsidR="00410EC0" w:rsidRPr="0070011F" w:rsidRDefault="00410EC0" w:rsidP="00410EC0"/>
    <w:p w14:paraId="3659A9C1" w14:textId="77777777" w:rsidR="00410EC0" w:rsidRPr="0070011F" w:rsidRDefault="00410EC0" w:rsidP="00410EC0"/>
    <w:p w14:paraId="28D227CF" w14:textId="77777777" w:rsidR="00410EC0" w:rsidRPr="0070011F" w:rsidRDefault="00410EC0" w:rsidP="00410EC0">
      <w:pPr>
        <w:jc w:val="left"/>
      </w:pPr>
      <w:r w:rsidRPr="0070011F">
        <w:t>Інд.</w:t>
      </w:r>
      <w:r w:rsidRPr="0070011F">
        <w:rPr>
          <w:sz w:val="22"/>
          <w:szCs w:val="22"/>
        </w:rPr>
        <w:t xml:space="preserve"> </w:t>
      </w:r>
      <w:r w:rsidR="00221CBD" w:rsidRPr="0070011F">
        <w:t>33</w:t>
      </w:r>
    </w:p>
    <w:p w14:paraId="214DE9BF" w14:textId="77777777" w:rsidR="00410EC0" w:rsidRPr="0070011F" w:rsidRDefault="00410EC0" w:rsidP="00410EC0">
      <w:pPr>
        <w:ind w:firstLine="5670"/>
        <w:jc w:val="left"/>
        <w:sectPr w:rsidR="00410EC0" w:rsidRPr="0070011F" w:rsidSect="00E6592D">
          <w:headerReference w:type="default" r:id="rId14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450D0B0B" w14:textId="77777777" w:rsidR="00221CBD" w:rsidRPr="0070011F" w:rsidRDefault="00221CBD" w:rsidP="00221CBD">
      <w:pPr>
        <w:ind w:firstLine="5954"/>
        <w:jc w:val="left"/>
      </w:pPr>
      <w:r w:rsidRPr="0070011F">
        <w:rPr>
          <w:rFonts w:eastAsia="Calibri"/>
          <w:caps/>
        </w:rPr>
        <w:lastRenderedPageBreak/>
        <w:t>затверджено</w:t>
      </w:r>
    </w:p>
    <w:p w14:paraId="206D89DA" w14:textId="77777777" w:rsidR="00221CBD" w:rsidRPr="0070011F" w:rsidRDefault="00221CBD" w:rsidP="00221CBD">
      <w:pPr>
        <w:ind w:firstLine="5954"/>
        <w:jc w:val="left"/>
      </w:pPr>
      <w:r w:rsidRPr="0070011F">
        <w:t>Постанова Правління</w:t>
      </w:r>
    </w:p>
    <w:p w14:paraId="254E3668" w14:textId="77777777" w:rsidR="00410EC0" w:rsidRPr="0070011F" w:rsidRDefault="00410EC0" w:rsidP="00410EC0">
      <w:pPr>
        <w:ind w:firstLine="5954"/>
        <w:jc w:val="left"/>
      </w:pPr>
      <w:r w:rsidRPr="0070011F">
        <w:t>Національного банку України</w:t>
      </w:r>
    </w:p>
    <w:p w14:paraId="4489EED3" w14:textId="77777777" w:rsidR="00410EC0" w:rsidRPr="0070011F" w:rsidRDefault="00410EC0" w:rsidP="00410EC0">
      <w:pPr>
        <w:jc w:val="center"/>
      </w:pPr>
    </w:p>
    <w:p w14:paraId="7A9BF395" w14:textId="77777777" w:rsidR="00410EC0" w:rsidRPr="0070011F" w:rsidRDefault="00410EC0" w:rsidP="00410EC0">
      <w:pPr>
        <w:jc w:val="center"/>
      </w:pPr>
    </w:p>
    <w:p w14:paraId="4BDCA0A7" w14:textId="77777777" w:rsidR="00410EC0" w:rsidRPr="0070011F" w:rsidRDefault="00221CBD" w:rsidP="00410EC0">
      <w:pPr>
        <w:jc w:val="center"/>
      </w:pPr>
      <w:r w:rsidRPr="0070011F">
        <w:rPr>
          <w:shd w:val="clear" w:color="auto" w:fill="FFFFFF"/>
        </w:rPr>
        <w:t xml:space="preserve">Зміни </w:t>
      </w:r>
      <w:r w:rsidRPr="0070011F">
        <w:rPr>
          <w:color w:val="0D0D0D" w:themeColor="text1" w:themeTint="F2"/>
          <w:shd w:val="clear" w:color="auto" w:fill="FFFFFF"/>
        </w:rPr>
        <w:t>до</w:t>
      </w:r>
      <w:r w:rsidRPr="0070011F">
        <w:t xml:space="preserve"> </w:t>
      </w:r>
      <w:r w:rsidRPr="0070011F">
        <w:rPr>
          <w:shd w:val="clear" w:color="auto" w:fill="FFFFFF"/>
        </w:rPr>
        <w:t>Положення</w:t>
      </w:r>
      <w:r w:rsidRPr="0070011F">
        <w:t xml:space="preserve"> </w:t>
      </w:r>
      <w:r w:rsidRPr="0070011F">
        <w:rPr>
          <w:shd w:val="clear" w:color="auto" w:fill="FFFFFF"/>
        </w:rPr>
        <w:t>про встановлення вимог щодо забезпечення платоспроможності та інвестиційної діяльності страховика</w:t>
      </w:r>
    </w:p>
    <w:p w14:paraId="6A0BF484" w14:textId="77777777" w:rsidR="00410EC0" w:rsidRPr="0070011F" w:rsidRDefault="00410EC0" w:rsidP="00410EC0">
      <w:pPr>
        <w:jc w:val="center"/>
      </w:pPr>
    </w:p>
    <w:p w14:paraId="1C33E4BA" w14:textId="5B170E8C" w:rsidR="004E47B1" w:rsidRDefault="004E47B1" w:rsidP="003A5911">
      <w:pPr>
        <w:pStyle w:val="af3"/>
        <w:numPr>
          <w:ilvl w:val="0"/>
          <w:numId w:val="2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У </w:t>
      </w:r>
      <w:r w:rsidR="0070011F">
        <w:rPr>
          <w:shd w:val="clear" w:color="auto" w:fill="FFFFFF"/>
        </w:rPr>
        <w:t>розділ</w:t>
      </w:r>
      <w:r w:rsidR="005E7F99">
        <w:rPr>
          <w:shd w:val="clear" w:color="auto" w:fill="FFFFFF"/>
        </w:rPr>
        <w:t>і</w:t>
      </w:r>
      <w:r w:rsidR="0070011F">
        <w:rPr>
          <w:shd w:val="clear" w:color="auto" w:fill="FFFFFF"/>
        </w:rPr>
        <w:t xml:space="preserve"> І</w:t>
      </w:r>
      <w:r>
        <w:rPr>
          <w:shd w:val="clear" w:color="auto" w:fill="FFFFFF"/>
        </w:rPr>
        <w:t>:</w:t>
      </w:r>
      <w:r w:rsidR="0070011F">
        <w:rPr>
          <w:shd w:val="clear" w:color="auto" w:fill="FFFFFF"/>
        </w:rPr>
        <w:t xml:space="preserve"> </w:t>
      </w:r>
    </w:p>
    <w:p w14:paraId="420CBA79" w14:textId="77777777" w:rsidR="004E47B1" w:rsidRDefault="004E47B1" w:rsidP="004E47B1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</w:p>
    <w:p w14:paraId="67B06197" w14:textId="78CF8165" w:rsidR="003A5911" w:rsidRPr="0070011F" w:rsidRDefault="004E47B1" w:rsidP="004E47B1">
      <w:pPr>
        <w:pStyle w:val="af3"/>
        <w:numPr>
          <w:ilvl w:val="0"/>
          <w:numId w:val="5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>п</w:t>
      </w:r>
      <w:r w:rsidRPr="0070011F">
        <w:rPr>
          <w:shd w:val="clear" w:color="auto" w:fill="FFFFFF"/>
        </w:rPr>
        <w:t xml:space="preserve">ункт 3 </w:t>
      </w:r>
      <w:r w:rsidR="006A0C7C">
        <w:rPr>
          <w:shd w:val="clear" w:color="auto" w:fill="FFFFFF"/>
        </w:rPr>
        <w:t xml:space="preserve">глави 1 </w:t>
      </w:r>
      <w:r w:rsidR="003A5911" w:rsidRPr="0070011F">
        <w:rPr>
          <w:shd w:val="clear" w:color="auto" w:fill="FFFFFF"/>
        </w:rPr>
        <w:t xml:space="preserve">після абзацу п’ятнадцятого </w:t>
      </w:r>
      <w:r w:rsidR="0070011F" w:rsidRPr="001C55C0">
        <w:rPr>
          <w:shd w:val="clear" w:color="auto" w:fill="FFFFFF"/>
        </w:rPr>
        <w:t xml:space="preserve">доповнити новим абзацом </w:t>
      </w:r>
      <w:r w:rsidR="009A5253">
        <w:rPr>
          <w:shd w:val="clear" w:color="auto" w:fill="FFFFFF"/>
        </w:rPr>
        <w:t xml:space="preserve">шістнадцятим </w:t>
      </w:r>
      <w:r w:rsidR="0070011F" w:rsidRPr="001C55C0">
        <w:rPr>
          <w:shd w:val="clear" w:color="auto" w:fill="FFFFFF"/>
        </w:rPr>
        <w:t>такого змісту</w:t>
      </w:r>
      <w:r w:rsidR="003A5911" w:rsidRPr="0070011F">
        <w:rPr>
          <w:shd w:val="clear" w:color="auto" w:fill="FFFFFF"/>
        </w:rPr>
        <w:t>:</w:t>
      </w:r>
    </w:p>
    <w:p w14:paraId="749CBE6F" w14:textId="2DB56A6E" w:rsidR="003A5911" w:rsidRDefault="009A5253" w:rsidP="0070011F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rFonts w:eastAsiaTheme="minorEastAsia"/>
          <w:noProof/>
          <w:color w:val="000000" w:themeColor="text1"/>
          <w:lang w:eastAsia="en-US"/>
        </w:rPr>
        <w:t>«</w:t>
      </w:r>
      <w:r w:rsidR="0070011F" w:rsidRPr="0070011F">
        <w:rPr>
          <w:shd w:val="clear" w:color="auto" w:fill="FFFFFF"/>
        </w:rPr>
        <w:t>Терміни “кредитний рейтинг”, “національна шкала кредитних рейтингів”, “рейтингове агентство”, “суверенний рейтинг” вжива</w:t>
      </w:r>
      <w:r w:rsidR="00E414BF">
        <w:rPr>
          <w:shd w:val="clear" w:color="auto" w:fill="FFFFFF"/>
        </w:rPr>
        <w:t>ю</w:t>
      </w:r>
      <w:r w:rsidR="0070011F" w:rsidRPr="0070011F">
        <w:rPr>
          <w:shd w:val="clear" w:color="auto" w:fill="FFFFFF"/>
        </w:rPr>
        <w:t>ться в значенні, визначеному в Законі України “</w:t>
      </w:r>
      <w:r w:rsidR="0070011F">
        <w:rPr>
          <w:shd w:val="clear" w:color="auto" w:fill="FFFFFF"/>
        </w:rPr>
        <w:t>Про рейтин</w:t>
      </w:r>
      <w:r w:rsidR="0070011F" w:rsidRPr="0070011F">
        <w:rPr>
          <w:shd w:val="clear" w:color="auto" w:fill="FFFFFF"/>
        </w:rPr>
        <w:t>гування”.</w:t>
      </w:r>
      <w:r>
        <w:rPr>
          <w:rFonts w:eastAsiaTheme="minorEastAsia"/>
          <w:noProof/>
          <w:color w:val="000000" w:themeColor="text1"/>
          <w:lang w:eastAsia="en-US"/>
        </w:rPr>
        <w:t>»</w:t>
      </w:r>
      <w:r w:rsidR="003A5911" w:rsidRPr="0070011F">
        <w:rPr>
          <w:shd w:val="clear" w:color="auto" w:fill="FFFFFF"/>
        </w:rPr>
        <w:t>.</w:t>
      </w:r>
    </w:p>
    <w:p w14:paraId="21E8FC44" w14:textId="2383935B" w:rsidR="004E47B1" w:rsidRDefault="009A5253" w:rsidP="0070011F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>У зв</w:t>
      </w:r>
      <w:r w:rsidRPr="00BE0C36">
        <w:rPr>
          <w:shd w:val="clear" w:color="auto" w:fill="FFFFFF"/>
        </w:rPr>
        <w:t>’</w:t>
      </w:r>
      <w:r>
        <w:rPr>
          <w:shd w:val="clear" w:color="auto" w:fill="FFFFFF"/>
        </w:rPr>
        <w:t>язку з цим абзац шістнадцятий уважати абзацом сімнадцятим</w:t>
      </w:r>
      <w:r w:rsidR="004E47B1">
        <w:rPr>
          <w:shd w:val="clear" w:color="auto" w:fill="FFFFFF"/>
        </w:rPr>
        <w:t>;</w:t>
      </w:r>
    </w:p>
    <w:p w14:paraId="5D65BBAA" w14:textId="77777777" w:rsidR="004E47B1" w:rsidRDefault="004E47B1" w:rsidP="0070011F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</w:p>
    <w:p w14:paraId="3C42ADB2" w14:textId="4BA3EFEF" w:rsidR="009A5253" w:rsidRPr="009A5253" w:rsidRDefault="004E47B1" w:rsidP="004E47B1">
      <w:pPr>
        <w:pStyle w:val="af3"/>
        <w:numPr>
          <w:ilvl w:val="0"/>
          <w:numId w:val="5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>підпункт 1 пункту 4</w:t>
      </w:r>
      <w:r w:rsidR="005A0942">
        <w:rPr>
          <w:shd w:val="clear" w:color="auto" w:fill="FFFFFF"/>
        </w:rPr>
        <w:t xml:space="preserve"> глави 2 </w:t>
      </w:r>
      <w:r>
        <w:rPr>
          <w:shd w:val="clear" w:color="auto" w:fill="FFFFFF"/>
        </w:rPr>
        <w:t xml:space="preserve">доповнити новим абзацом </w:t>
      </w:r>
      <w:r w:rsidRPr="001C55C0">
        <w:rPr>
          <w:shd w:val="clear" w:color="auto" w:fill="FFFFFF"/>
        </w:rPr>
        <w:t>такого змісту</w:t>
      </w:r>
      <w:r>
        <w:rPr>
          <w:shd w:val="clear" w:color="auto" w:fill="FFFFFF"/>
        </w:rPr>
        <w:t>:</w:t>
      </w:r>
    </w:p>
    <w:p w14:paraId="650E6BCA" w14:textId="3813F0F9" w:rsidR="003A5911" w:rsidRPr="004E47B1" w:rsidRDefault="004E47B1" w:rsidP="004E47B1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 w:rsidRPr="004E47B1">
        <w:rPr>
          <w:shd w:val="clear" w:color="auto" w:fill="FFFFFF"/>
        </w:rPr>
        <w:t>“Страховик виз</w:t>
      </w:r>
      <w:r>
        <w:rPr>
          <w:shd w:val="clear" w:color="auto" w:fill="FFFFFF"/>
        </w:rPr>
        <w:t>начає розмір регулятивного капі</w:t>
      </w:r>
      <w:r w:rsidRPr="004E47B1">
        <w:rPr>
          <w:shd w:val="clear" w:color="auto" w:fill="FFFFFF"/>
        </w:rPr>
        <w:t>талу, ґрунтуючись на актуальних (станом на день розрахунку ре</w:t>
      </w:r>
      <w:r>
        <w:rPr>
          <w:shd w:val="clear" w:color="auto" w:fill="FFFFFF"/>
        </w:rPr>
        <w:t>гулятивного капіталу), відповід</w:t>
      </w:r>
      <w:r w:rsidRPr="004E47B1">
        <w:rPr>
          <w:shd w:val="clear" w:color="auto" w:fill="FFFFFF"/>
        </w:rPr>
        <w:t>них, достовірних, повних даних з урахуван</w:t>
      </w:r>
      <w:r>
        <w:rPr>
          <w:shd w:val="clear" w:color="auto" w:fill="FFFFFF"/>
        </w:rPr>
        <w:t>ням ви</w:t>
      </w:r>
      <w:r w:rsidRPr="004E47B1">
        <w:rPr>
          <w:shd w:val="clear" w:color="auto" w:fill="FFFFFF"/>
        </w:rPr>
        <w:t>мог розділу ІІ цього Положення</w:t>
      </w:r>
      <w:r>
        <w:rPr>
          <w:shd w:val="clear" w:color="auto" w:fill="FFFFFF"/>
        </w:rPr>
        <w:t>;</w:t>
      </w:r>
      <w:r w:rsidRPr="004E47B1">
        <w:rPr>
          <w:shd w:val="clear" w:color="auto" w:fill="FFFFFF"/>
        </w:rPr>
        <w:t>”</w:t>
      </w:r>
      <w:r>
        <w:rPr>
          <w:shd w:val="clear" w:color="auto" w:fill="FFFFFF"/>
        </w:rPr>
        <w:t>.</w:t>
      </w:r>
    </w:p>
    <w:p w14:paraId="346D44FF" w14:textId="77777777" w:rsidR="004E47B1" w:rsidRPr="0070011F" w:rsidRDefault="004E47B1" w:rsidP="003A5911">
      <w:pPr>
        <w:pStyle w:val="af3"/>
        <w:tabs>
          <w:tab w:val="left" w:pos="993"/>
        </w:tabs>
        <w:ind w:left="567"/>
        <w:rPr>
          <w:shd w:val="clear" w:color="auto" w:fill="FFFFFF"/>
        </w:rPr>
      </w:pPr>
    </w:p>
    <w:p w14:paraId="754A1453" w14:textId="77777777" w:rsidR="00E97A59" w:rsidRDefault="0070011F" w:rsidP="003A5911">
      <w:pPr>
        <w:pStyle w:val="af3"/>
        <w:numPr>
          <w:ilvl w:val="0"/>
          <w:numId w:val="2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У розділі </w:t>
      </w:r>
      <w:r w:rsidR="00F172EA">
        <w:rPr>
          <w:shd w:val="clear" w:color="auto" w:fill="FFFFFF"/>
        </w:rPr>
        <w:t>ІІ</w:t>
      </w:r>
      <w:r w:rsidR="00221CBD" w:rsidRPr="0070011F">
        <w:rPr>
          <w:shd w:val="clear" w:color="auto" w:fill="FFFFFF"/>
        </w:rPr>
        <w:t>:</w:t>
      </w:r>
    </w:p>
    <w:p w14:paraId="35FA9C3B" w14:textId="77777777" w:rsidR="00F172EA" w:rsidRDefault="00F172EA" w:rsidP="00F172EA">
      <w:pPr>
        <w:tabs>
          <w:tab w:val="left" w:pos="993"/>
        </w:tabs>
        <w:rPr>
          <w:shd w:val="clear" w:color="auto" w:fill="FFFFFF"/>
        </w:rPr>
      </w:pPr>
    </w:p>
    <w:p w14:paraId="6A484272" w14:textId="77777777" w:rsidR="00F172EA" w:rsidRPr="00703E7D" w:rsidRDefault="00F172EA" w:rsidP="00F172EA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703E7D">
        <w:rPr>
          <w:shd w:val="clear" w:color="auto" w:fill="FFFFFF"/>
        </w:rPr>
        <w:t>у главі 4:</w:t>
      </w:r>
    </w:p>
    <w:p w14:paraId="712A0666" w14:textId="77777777" w:rsidR="00F172EA" w:rsidRDefault="00F172EA" w:rsidP="00F172EA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у підпункті 3 пункту 11: </w:t>
      </w:r>
    </w:p>
    <w:p w14:paraId="744461F9" w14:textId="77777777" w:rsidR="00F172EA" w:rsidRPr="00F172EA" w:rsidRDefault="00E414BF" w:rsidP="00F172EA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F172EA">
        <w:rPr>
          <w:shd w:val="clear" w:color="auto" w:fill="FFFFFF"/>
        </w:rPr>
        <w:t xml:space="preserve"> абзаці першому слова </w:t>
      </w:r>
      <w:r w:rsidR="00F172EA" w:rsidRPr="00F172EA">
        <w:rPr>
          <w:shd w:val="clear" w:color="auto" w:fill="FFFFFF"/>
          <w:lang w:val="ru-RU"/>
        </w:rPr>
        <w:t>“</w:t>
      </w:r>
      <w:r w:rsidR="00F172EA" w:rsidRPr="00F92DEA">
        <w:t xml:space="preserve">за даними звіту про </w:t>
      </w:r>
      <w:r w:rsidR="00F172EA" w:rsidRPr="00F172EA">
        <w:rPr>
          <w:shd w:val="clear" w:color="auto" w:fill="FFFFFF"/>
        </w:rPr>
        <w:t>фінансовий стан страховика у складі фінансової звітності страховика”</w:t>
      </w:r>
      <w:r w:rsidR="00F172EA">
        <w:rPr>
          <w:shd w:val="clear" w:color="auto" w:fill="FFFFFF"/>
        </w:rPr>
        <w:t xml:space="preserve"> замінити словами </w:t>
      </w:r>
      <w:r w:rsidR="00F172EA" w:rsidRPr="00F172EA">
        <w:rPr>
          <w:shd w:val="clear" w:color="auto" w:fill="FFFFFF"/>
        </w:rPr>
        <w:t>“за даними останнього</w:t>
      </w:r>
      <w:r w:rsidR="00F172EA">
        <w:rPr>
          <w:shd w:val="clear" w:color="auto" w:fill="FFFFFF"/>
        </w:rPr>
        <w:t xml:space="preserve"> звіту про фінансовий стан стра</w:t>
      </w:r>
      <w:r w:rsidR="00F172EA" w:rsidRPr="00F172EA">
        <w:rPr>
          <w:shd w:val="clear" w:color="auto" w:fill="FFFFFF"/>
        </w:rPr>
        <w:t>ховика у складі річної фінансової звітності страховика”;</w:t>
      </w:r>
    </w:p>
    <w:p w14:paraId="7E6F9573" w14:textId="0FE4AA73" w:rsidR="00F172EA" w:rsidRDefault="00F172EA" w:rsidP="00F172EA">
      <w:pPr>
        <w:pStyle w:val="af3"/>
        <w:tabs>
          <w:tab w:val="left" w:pos="993"/>
        </w:tabs>
        <w:ind w:left="0" w:firstLine="567"/>
      </w:pPr>
      <w:r>
        <w:rPr>
          <w:shd w:val="clear" w:color="auto" w:fill="FFFFFF"/>
        </w:rPr>
        <w:t xml:space="preserve">абзац третій </w:t>
      </w:r>
      <w:r w:rsidRPr="00CF07FC">
        <w:rPr>
          <w:color w:val="000000" w:themeColor="text1"/>
        </w:rPr>
        <w:t xml:space="preserve">замінити </w:t>
      </w:r>
      <w:r>
        <w:rPr>
          <w:color w:val="000000" w:themeColor="text1"/>
        </w:rPr>
        <w:t>двома</w:t>
      </w:r>
      <w:r w:rsidRPr="00CF07FC">
        <w:rPr>
          <w:color w:val="000000" w:themeColor="text1"/>
        </w:rPr>
        <w:t xml:space="preserve"> новими абзацами</w:t>
      </w:r>
      <w:r w:rsidR="001979CC">
        <w:rPr>
          <w:color w:val="000000" w:themeColor="text1"/>
        </w:rPr>
        <w:t xml:space="preserve"> третім та четвертим</w:t>
      </w:r>
      <w:r w:rsidRPr="00CF07FC">
        <w:rPr>
          <w:color w:val="000000" w:themeColor="text1"/>
        </w:rPr>
        <w:t xml:space="preserve"> такого змісту</w:t>
      </w:r>
      <w:r>
        <w:t>:</w:t>
      </w:r>
    </w:p>
    <w:p w14:paraId="19C550B2" w14:textId="77777777" w:rsidR="00F172EA" w:rsidRPr="00F172EA" w:rsidRDefault="00F172EA" w:rsidP="00F172EA">
      <w:pPr>
        <w:pStyle w:val="af3"/>
        <w:ind w:left="0" w:firstLine="567"/>
      </w:pPr>
      <w:r w:rsidRPr="00F172EA">
        <w:t>“</w:t>
      </w:r>
      <w:r w:rsidRPr="00F92DEA">
        <w:t xml:space="preserve">іншого розподілу такого нерозподіленого прибутку, здійсненого після звітної дати, на яку була складена така фінансова звітність, включаючи </w:t>
      </w:r>
      <w:r w:rsidRPr="00F172EA">
        <w:t>здійснене</w:t>
      </w:r>
      <w:r w:rsidRPr="00F92DEA">
        <w:t xml:space="preserve"> збільшення статутного капіталу страховика, резервів та фондів страховика</w:t>
      </w:r>
      <w:r>
        <w:t xml:space="preserve"> </w:t>
      </w:r>
      <w:r w:rsidRPr="00F172EA">
        <w:t>за рахунок нерозподіленого прибутку;</w:t>
      </w:r>
    </w:p>
    <w:p w14:paraId="41B57024" w14:textId="77777777" w:rsidR="00F172EA" w:rsidRDefault="00F172EA" w:rsidP="00F172EA">
      <w:pPr>
        <w:pStyle w:val="af3"/>
        <w:ind w:left="0" w:firstLine="567"/>
      </w:pPr>
      <w:r w:rsidRPr="00F172EA">
        <w:t>здійснення іншої зміни такого нерозподіленого прибутку внаслідок перерозподілу елементів власного капіталу, зазначеного в пункті 18</w:t>
      </w:r>
      <w:r w:rsidRPr="00FA3DBC">
        <w:rPr>
          <w:vertAlign w:val="superscript"/>
        </w:rPr>
        <w:t>1</w:t>
      </w:r>
      <w:r w:rsidRPr="00F172EA">
        <w:t xml:space="preserve"> глави 4 розділу ІІ цього Положення</w:t>
      </w:r>
      <w:r w:rsidR="00170FAE">
        <w:t>.</w:t>
      </w:r>
      <w:r w:rsidRPr="00F172EA">
        <w:t>”</w:t>
      </w:r>
      <w:r>
        <w:t>.</w:t>
      </w:r>
    </w:p>
    <w:p w14:paraId="689BE6BF" w14:textId="23C0BEED" w:rsidR="00F172EA" w:rsidRPr="00F172EA" w:rsidRDefault="00F172EA" w:rsidP="00F172EA">
      <w:pPr>
        <w:tabs>
          <w:tab w:val="left" w:pos="993"/>
        </w:tabs>
        <w:ind w:firstLine="567"/>
        <w:rPr>
          <w:shd w:val="clear" w:color="auto" w:fill="FFFFFF"/>
        </w:rPr>
      </w:pPr>
      <w:r w:rsidRPr="00F172EA">
        <w:rPr>
          <w:shd w:val="clear" w:color="auto" w:fill="FFFFFF"/>
        </w:rPr>
        <w:t xml:space="preserve">У зв’язку з цим абзац четвертий </w:t>
      </w:r>
      <w:r w:rsidR="006A09DB">
        <w:rPr>
          <w:shd w:val="clear" w:color="auto" w:fill="FFFFFF"/>
        </w:rPr>
        <w:t>у</w:t>
      </w:r>
      <w:r w:rsidRPr="00F172EA">
        <w:rPr>
          <w:shd w:val="clear" w:color="auto" w:fill="FFFFFF"/>
        </w:rPr>
        <w:t>важати абзацом п’ятим</w:t>
      </w:r>
      <w:r>
        <w:rPr>
          <w:shd w:val="clear" w:color="auto" w:fill="FFFFFF"/>
        </w:rPr>
        <w:t>;</w:t>
      </w:r>
    </w:p>
    <w:p w14:paraId="3FF02D24" w14:textId="34695015" w:rsidR="00F172EA" w:rsidRDefault="00CD6D61" w:rsidP="00F172EA">
      <w:pPr>
        <w:pStyle w:val="af3"/>
        <w:tabs>
          <w:tab w:val="left" w:pos="993"/>
        </w:tabs>
        <w:ind w:left="0" w:firstLine="567"/>
      </w:pPr>
      <w:r>
        <w:rPr>
          <w:shd w:val="clear" w:color="auto" w:fill="FFFFFF"/>
        </w:rPr>
        <w:t xml:space="preserve">абзац шостий </w:t>
      </w:r>
      <w:r w:rsidR="00F172EA">
        <w:rPr>
          <w:shd w:val="clear" w:color="auto" w:fill="FFFFFF"/>
        </w:rPr>
        <w:t>підпункт</w:t>
      </w:r>
      <w:r>
        <w:rPr>
          <w:shd w:val="clear" w:color="auto" w:fill="FFFFFF"/>
        </w:rPr>
        <w:t>у</w:t>
      </w:r>
      <w:r w:rsidR="00F172E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4 </w:t>
      </w:r>
      <w:r w:rsidR="004779CF" w:rsidRPr="001C55C0">
        <w:t>викласти в такій редакції</w:t>
      </w:r>
      <w:r w:rsidR="004779CF">
        <w:t>:</w:t>
      </w:r>
    </w:p>
    <w:p w14:paraId="7C008C4D" w14:textId="77777777" w:rsidR="004779CF" w:rsidRDefault="004779CF" w:rsidP="00F172EA">
      <w:pPr>
        <w:pStyle w:val="af3"/>
        <w:tabs>
          <w:tab w:val="left" w:pos="993"/>
        </w:tabs>
        <w:ind w:left="0" w:firstLine="567"/>
      </w:pPr>
      <w:r w:rsidRPr="004779CF">
        <w:lastRenderedPageBreak/>
        <w:t>“</w:t>
      </w:r>
      <w:r w:rsidRPr="008F2D64">
        <w:t>відрахування до резервних фондів здійснено з прибутку після оподаткування або з прибутку до оподаткування, скоригованого на всі потенційні податкові зобов</w:t>
      </w:r>
      <w:r>
        <w:t>’</w:t>
      </w:r>
      <w:r w:rsidRPr="008F2D64">
        <w:t xml:space="preserve">язання, </w:t>
      </w:r>
      <w:r w:rsidRPr="00ED57BE">
        <w:t>визначеного на</w:t>
      </w:r>
      <w:r w:rsidRPr="008F2D64">
        <w:t xml:space="preserve"> підставі</w:t>
      </w:r>
      <w:r>
        <w:t xml:space="preserve"> </w:t>
      </w:r>
      <w:r w:rsidRPr="004779CF">
        <w:t>звіту про фінансовий стан страховика у складі</w:t>
      </w:r>
      <w:r w:rsidRPr="008F2D64">
        <w:t xml:space="preserve"> фінансової звітності страховика, достовірність та повнота якої підтверджені згідно з аудиторським звітом щодо проведення обов’язкового аудиту фінансової звітності страховика</w:t>
      </w:r>
      <w:r>
        <w:t xml:space="preserve"> </w:t>
      </w:r>
      <w:r w:rsidRPr="004779CF">
        <w:t>та/або звітом щодо огляду проміжної фінансової інформації</w:t>
      </w:r>
      <w:r w:rsidRPr="008F2D64">
        <w:t>, складеним суб’єктом аудиторської діяльності, що має право здійснювати обов’язковий аудит фінансової звітності підприємств, що становлять суспільний інтерес, який містить немодифіковану думку такого суб’єкта аудиторської діяльності;</w:t>
      </w:r>
      <w:r w:rsidRPr="004779CF">
        <w:t>”</w:t>
      </w:r>
      <w:r>
        <w:t>;</w:t>
      </w:r>
    </w:p>
    <w:p w14:paraId="3C135817" w14:textId="77777777" w:rsidR="004779CF" w:rsidRDefault="004779CF" w:rsidP="004779CF">
      <w:pPr>
        <w:pStyle w:val="af3"/>
        <w:tabs>
          <w:tab w:val="left" w:pos="993"/>
        </w:tabs>
        <w:ind w:left="0" w:firstLine="567"/>
      </w:pPr>
      <w:r>
        <w:rPr>
          <w:shd w:val="clear" w:color="auto" w:fill="FFFFFF"/>
        </w:rPr>
        <w:t>пункт 11</w:t>
      </w:r>
      <w:r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 xml:space="preserve"> </w:t>
      </w:r>
      <w:r w:rsidRPr="001C55C0">
        <w:t>викласти в такій редакції</w:t>
      </w:r>
      <w:r>
        <w:t>:</w:t>
      </w:r>
    </w:p>
    <w:p w14:paraId="4D273668" w14:textId="77777777" w:rsidR="004779CF" w:rsidRPr="004779CF" w:rsidRDefault="004779CF" w:rsidP="00F172EA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 w:rsidRPr="004779CF">
        <w:rPr>
          <w:shd w:val="clear" w:color="auto" w:fill="FFFFFF"/>
        </w:rPr>
        <w:t>“</w:t>
      </w:r>
      <w:r w:rsidRPr="00DB7293">
        <w:t>11</w:t>
      </w:r>
      <w:r w:rsidRPr="00DB7293">
        <w:rPr>
          <w:b/>
          <w:bCs/>
          <w:vertAlign w:val="superscript"/>
        </w:rPr>
        <w:t>2</w:t>
      </w:r>
      <w:r w:rsidRPr="00DB7293">
        <w:t>. Страховик, якщо суб’єктом (суб’єктами) аудиторської діяльності, що має (мають) право здійснювати обов’язковий аудит фінансової звітності підприємств, що становлять суспільний інтерес, складено інший аудиторський звіт щодо проведення обов’язкового аудиту фінансової звітності страховика</w:t>
      </w:r>
      <w:r>
        <w:t xml:space="preserve"> </w:t>
      </w:r>
      <w:r w:rsidRPr="004779CF">
        <w:t>та/або звіт щодо огляду проміжної фінансової інформації</w:t>
      </w:r>
      <w:r w:rsidRPr="00DB7293">
        <w:t>, ураховує думку суб’єкта аудиторської діяльності, зазначену в останньому аудиторському звіті суб’єкта аудиторської діяльності щодо проведення обов’язкового аудиту такої фінансової звітності страховика</w:t>
      </w:r>
      <w:r>
        <w:t xml:space="preserve"> </w:t>
      </w:r>
      <w:r w:rsidRPr="004779CF">
        <w:t>та/або звіті щодо огляду проміжної фінансової інформації</w:t>
      </w:r>
      <w:r w:rsidRPr="00DB7293">
        <w:t>.</w:t>
      </w:r>
      <w:r w:rsidRPr="004779CF">
        <w:t>”;</w:t>
      </w:r>
    </w:p>
    <w:p w14:paraId="745F1BA1" w14:textId="77777777" w:rsidR="004779CF" w:rsidRDefault="004779CF" w:rsidP="004779CF">
      <w:pPr>
        <w:pStyle w:val="af3"/>
        <w:tabs>
          <w:tab w:val="left" w:pos="993"/>
        </w:tabs>
        <w:ind w:left="0" w:firstLine="567"/>
      </w:pPr>
      <w:r>
        <w:rPr>
          <w:shd w:val="clear" w:color="auto" w:fill="FFFFFF"/>
        </w:rPr>
        <w:t xml:space="preserve">абзац перший підпункту 1 пункту 13 </w:t>
      </w:r>
      <w:r w:rsidRPr="001C55C0">
        <w:t>викласти в такій редакції</w:t>
      </w:r>
      <w:r>
        <w:t>:</w:t>
      </w:r>
    </w:p>
    <w:p w14:paraId="7FB3E63F" w14:textId="77777777" w:rsidR="00F172EA" w:rsidRPr="004779CF" w:rsidRDefault="004779CF" w:rsidP="00F172EA">
      <w:pPr>
        <w:pStyle w:val="af3"/>
        <w:tabs>
          <w:tab w:val="left" w:pos="993"/>
        </w:tabs>
        <w:ind w:left="0" w:firstLine="567"/>
      </w:pPr>
      <w:r w:rsidRPr="004779CF">
        <w:rPr>
          <w:shd w:val="clear" w:color="auto" w:fill="FFFFFF"/>
        </w:rPr>
        <w:t>“</w:t>
      </w:r>
      <w:r>
        <w:rPr>
          <w:shd w:val="clear" w:color="auto" w:fill="FFFFFF"/>
        </w:rPr>
        <w:t xml:space="preserve">1) </w:t>
      </w:r>
      <w:r w:rsidRPr="008F2D64">
        <w:t xml:space="preserve">непокритий </w:t>
      </w:r>
      <w:r w:rsidRPr="00B5749B">
        <w:t xml:space="preserve">збиток минулих років, розмір якого визначається за даними </w:t>
      </w:r>
      <w:r w:rsidRPr="004779CF">
        <w:t>останнього</w:t>
      </w:r>
      <w:r>
        <w:t xml:space="preserve"> </w:t>
      </w:r>
      <w:r w:rsidRPr="00B5749B">
        <w:t xml:space="preserve">звіту про фінансовий стан страховика у складі </w:t>
      </w:r>
      <w:r w:rsidRPr="004779CF">
        <w:t>річної</w:t>
      </w:r>
      <w:r>
        <w:t xml:space="preserve"> </w:t>
      </w:r>
      <w:r w:rsidRPr="00B5749B">
        <w:t>фінансової звітності страховика та зазначений у складі власного капіталу в регуляторній звітності страховика</w:t>
      </w:r>
      <w:r>
        <w:t xml:space="preserve">, </w:t>
      </w:r>
      <w:r w:rsidRPr="004779CF">
        <w:t>з урахуванням здійснених змін щодо такого непокритого збитку внаслідок перерозподілу елементів власного капіталу, зазначеного в пункті 18</w:t>
      </w:r>
      <w:r w:rsidRPr="00FA3DBC">
        <w:rPr>
          <w:vertAlign w:val="superscript"/>
        </w:rPr>
        <w:t>1</w:t>
      </w:r>
      <w:r w:rsidRPr="004779CF">
        <w:t xml:space="preserve"> глави 4 розділу ІІ цього Положення</w:t>
      </w:r>
      <w:r w:rsidR="003F4525">
        <w:t>.</w:t>
      </w:r>
      <w:r w:rsidRPr="004779CF">
        <w:t>”;</w:t>
      </w:r>
    </w:p>
    <w:p w14:paraId="3394FB58" w14:textId="77777777" w:rsidR="004779CF" w:rsidRPr="00FA3DBC" w:rsidRDefault="003F4525" w:rsidP="00F172EA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FA3DBC">
        <w:rPr>
          <w:shd w:val="clear" w:color="auto" w:fill="FFFFFF"/>
        </w:rPr>
        <w:t xml:space="preserve"> абзаці першому пункту 18 цифри</w:t>
      </w:r>
      <w:r w:rsidR="00FA3DBC" w:rsidRPr="00FA3DBC">
        <w:rPr>
          <w:shd w:val="clear" w:color="auto" w:fill="FFFFFF"/>
        </w:rPr>
        <w:t xml:space="preserve"> “19”</w:t>
      </w:r>
      <w:r w:rsidR="00FA3DBC">
        <w:rPr>
          <w:shd w:val="clear" w:color="auto" w:fill="FFFFFF"/>
        </w:rPr>
        <w:t xml:space="preserve"> замінити цифрами </w:t>
      </w:r>
      <w:r w:rsidR="00FA3DBC" w:rsidRPr="00FA3DBC">
        <w:rPr>
          <w:shd w:val="clear" w:color="auto" w:fill="FFFFFF"/>
        </w:rPr>
        <w:t>“17”;</w:t>
      </w:r>
    </w:p>
    <w:p w14:paraId="757B2D91" w14:textId="77777777" w:rsidR="00FA3DBC" w:rsidRPr="00FA3DBC" w:rsidRDefault="00FA3DBC" w:rsidP="00F172EA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 w:rsidRPr="00FA3DBC">
        <w:rPr>
          <w:shd w:val="clear" w:color="auto" w:fill="FFFFFF"/>
        </w:rPr>
        <w:t>главу після пункту 18 доповнити новим пунктом 18</w:t>
      </w:r>
      <w:r w:rsidRPr="00703E7D">
        <w:rPr>
          <w:shd w:val="clear" w:color="auto" w:fill="FFFFFF"/>
          <w:vertAlign w:val="superscript"/>
        </w:rPr>
        <w:t>1</w:t>
      </w:r>
      <w:r w:rsidRPr="00FA3DBC">
        <w:rPr>
          <w:shd w:val="clear" w:color="auto" w:fill="FFFFFF"/>
        </w:rPr>
        <w:t xml:space="preserve"> </w:t>
      </w:r>
      <w:r w:rsidRPr="00F61F33">
        <w:rPr>
          <w:shd w:val="clear" w:color="auto" w:fill="FFFFFF"/>
        </w:rPr>
        <w:t>такого змісту</w:t>
      </w:r>
      <w:r w:rsidR="003F4525">
        <w:rPr>
          <w:shd w:val="clear" w:color="auto" w:fill="FFFFFF"/>
        </w:rPr>
        <w:t>:</w:t>
      </w:r>
    </w:p>
    <w:p w14:paraId="11900246" w14:textId="77777777" w:rsidR="00FA3DBC" w:rsidRPr="00FA3DBC" w:rsidRDefault="00FA3DBC" w:rsidP="00FA3DBC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 w:rsidRPr="00FA3DBC">
        <w:rPr>
          <w:shd w:val="clear" w:color="auto" w:fill="FFFFFF"/>
        </w:rPr>
        <w:t>“18</w:t>
      </w:r>
      <w:r w:rsidRPr="00FA3DBC">
        <w:rPr>
          <w:shd w:val="clear" w:color="auto" w:fill="FFFFFF"/>
          <w:vertAlign w:val="superscript"/>
        </w:rPr>
        <w:t>1</w:t>
      </w:r>
      <w:r w:rsidRPr="00FA3DBC">
        <w:rPr>
          <w:shd w:val="clear" w:color="auto" w:fill="FFFFFF"/>
        </w:rPr>
        <w:t>. Страховик при здійсненні перерозподілу елементів власного капіталу (їх частин) в наступних звітних періодах після звітного періоду, за який складено аудиторський звіт щодо проведення обов’язкового аудит</w:t>
      </w:r>
      <w:r>
        <w:rPr>
          <w:shd w:val="clear" w:color="auto" w:fill="FFFFFF"/>
        </w:rPr>
        <w:t>у фінансової звітності страхови</w:t>
      </w:r>
      <w:r w:rsidRPr="00FA3DBC">
        <w:rPr>
          <w:shd w:val="clear" w:color="auto" w:fill="FFFFFF"/>
        </w:rPr>
        <w:t>ка, відносить такі перерозподілені елементи власного капіталу (їх частини) до складових:</w:t>
      </w:r>
    </w:p>
    <w:p w14:paraId="5CB3EECD" w14:textId="77777777" w:rsidR="00FA3DBC" w:rsidRDefault="00FA3DBC" w:rsidP="00FA3DBC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</w:p>
    <w:p w14:paraId="7DDD113A" w14:textId="77777777" w:rsidR="00FA3DBC" w:rsidRPr="00FA3DBC" w:rsidRDefault="00FA3DBC" w:rsidP="00FA3DBC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 w:rsidRPr="00FA3DBC">
        <w:rPr>
          <w:shd w:val="clear" w:color="auto" w:fill="FFFFFF"/>
        </w:rPr>
        <w:t>1) того ж рівня регулятивного капіталу, що був визначений страховиком згідно з вимогами пунктів 11 – 18 глави 4 ро</w:t>
      </w:r>
      <w:r>
        <w:rPr>
          <w:shd w:val="clear" w:color="auto" w:fill="FFFFFF"/>
        </w:rPr>
        <w:t>зділу ІІ цього Положення до про</w:t>
      </w:r>
      <w:r w:rsidRPr="00FA3DBC">
        <w:rPr>
          <w:shd w:val="clear" w:color="auto" w:fill="FFFFFF"/>
        </w:rPr>
        <w:t>ведення такого перерозподілу;</w:t>
      </w:r>
    </w:p>
    <w:p w14:paraId="24EAC759" w14:textId="77777777" w:rsidR="00FA3DBC" w:rsidRDefault="00FA3DBC" w:rsidP="00FA3DBC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</w:p>
    <w:p w14:paraId="5DEE5CC0" w14:textId="77777777" w:rsidR="00FA3DBC" w:rsidRPr="00FA3DBC" w:rsidRDefault="00FA3DBC" w:rsidP="00FA3DBC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 w:rsidRPr="00FA3DBC">
        <w:rPr>
          <w:shd w:val="clear" w:color="auto" w:fill="FFFFFF"/>
        </w:rPr>
        <w:t>2) іншого рівня регулятивного капіталу, ніж був визначений страховиком згідно з вимогами пунктів 11 – 18 глави 4 роз</w:t>
      </w:r>
      <w:r>
        <w:rPr>
          <w:shd w:val="clear" w:color="auto" w:fill="FFFFFF"/>
        </w:rPr>
        <w:t>ділу ІІ цього Положення до тако</w:t>
      </w:r>
      <w:r w:rsidRPr="00FA3DBC">
        <w:rPr>
          <w:shd w:val="clear" w:color="auto" w:fill="FFFFFF"/>
        </w:rPr>
        <w:t>го перерозподілу, після підтвердження достовірності та повноти фінансов</w:t>
      </w:r>
      <w:r>
        <w:rPr>
          <w:shd w:val="clear" w:color="auto" w:fill="FFFFFF"/>
        </w:rPr>
        <w:t xml:space="preserve">ої </w:t>
      </w:r>
      <w:r>
        <w:rPr>
          <w:shd w:val="clear" w:color="auto" w:fill="FFFFFF"/>
        </w:rPr>
        <w:lastRenderedPageBreak/>
        <w:t>звітності згідно з аудиторсь</w:t>
      </w:r>
      <w:r w:rsidRPr="00FA3DBC">
        <w:rPr>
          <w:shd w:val="clear" w:color="auto" w:fill="FFFFFF"/>
        </w:rPr>
        <w:t>ким звітом щодо проведення обов’язкового аудиту фінансової звітності страховика та/або звітом щодо огляду проміжної фінансової інформації, складеним суб’єктом аудиторської діяльності, що має право здійснювати обов’язковий аудит фінансової звітності підприємств, що становлять суспільний інтерес, за звітний період, в я</w:t>
      </w:r>
      <w:r>
        <w:rPr>
          <w:shd w:val="clear" w:color="auto" w:fill="FFFFFF"/>
        </w:rPr>
        <w:t>кому проведено перерозподіл еле</w:t>
      </w:r>
      <w:r w:rsidRPr="00FA3DBC">
        <w:rPr>
          <w:shd w:val="clear" w:color="auto" w:fill="FFFFFF"/>
        </w:rPr>
        <w:t>ментів власного капіталу (їх частин).”</w:t>
      </w:r>
      <w:r>
        <w:rPr>
          <w:shd w:val="clear" w:color="auto" w:fill="FFFFFF"/>
        </w:rPr>
        <w:t>;</w:t>
      </w:r>
    </w:p>
    <w:p w14:paraId="1C690D2A" w14:textId="77777777" w:rsidR="00FA3DBC" w:rsidRDefault="00FA3DBC" w:rsidP="00FA3DBC">
      <w:pPr>
        <w:pStyle w:val="af3"/>
        <w:tabs>
          <w:tab w:val="left" w:pos="993"/>
        </w:tabs>
        <w:ind w:left="0" w:firstLine="567"/>
      </w:pPr>
      <w:r>
        <w:rPr>
          <w:shd w:val="clear" w:color="auto" w:fill="FFFFFF"/>
        </w:rPr>
        <w:t xml:space="preserve">абзац перший підпункту 2 пункту 20 </w:t>
      </w:r>
      <w:r w:rsidRPr="001C55C0">
        <w:t>викласти в такій редакції</w:t>
      </w:r>
      <w:r>
        <w:t>:</w:t>
      </w:r>
    </w:p>
    <w:p w14:paraId="052ACED1" w14:textId="347C098B" w:rsidR="00FA3DBC" w:rsidRDefault="00BE2725" w:rsidP="00F172EA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>«</w:t>
      </w:r>
      <w:r w:rsidR="00FA3DBC">
        <w:rPr>
          <w:shd w:val="clear" w:color="auto" w:fill="FFFFFF"/>
        </w:rPr>
        <w:t xml:space="preserve">2) </w:t>
      </w:r>
      <w:r w:rsidR="00FA3DBC" w:rsidRPr="00D95920">
        <w:rPr>
          <w:lang w:eastAsia="en-US"/>
        </w:rPr>
        <w:t>суми зобов’язань страховика, що визначаються як загальна сума всіх зобов’язань і забезпечень, крім позабалансових (дал</w:t>
      </w:r>
      <w:r w:rsidR="00FA3DBC">
        <w:rPr>
          <w:lang w:eastAsia="en-US"/>
        </w:rPr>
        <w:t>і – Загальна сума зобов’язань)</w:t>
      </w:r>
      <w:r w:rsidR="00FA6EF0">
        <w:rPr>
          <w:lang w:eastAsia="en-US"/>
        </w:rPr>
        <w:t xml:space="preserve">, </w:t>
      </w:r>
      <w:r w:rsidR="00FA6EF0" w:rsidRPr="00D95920">
        <w:rPr>
          <w:lang w:eastAsia="en-US"/>
        </w:rPr>
        <w:t xml:space="preserve">відповідно до встановлених у главі 5 розділу ІІ цього Положення вимог </w:t>
      </w:r>
      <w:r w:rsidR="00FA6EF0">
        <w:rPr>
          <w:lang w:eastAsia="en-US"/>
        </w:rPr>
        <w:t xml:space="preserve">та </w:t>
      </w:r>
      <w:r w:rsidR="00FA6EF0" w:rsidRPr="00FA3DBC">
        <w:rPr>
          <w:lang w:eastAsia="en-US"/>
        </w:rPr>
        <w:t>в</w:t>
      </w:r>
      <w:r w:rsidR="00D664C1">
        <w:rPr>
          <w:lang w:eastAsia="en-US"/>
        </w:rPr>
        <w:t xml:space="preserve">ідповідно до порядку формування (крім періодичності та строку подання) </w:t>
      </w:r>
      <w:r w:rsidR="00FA6EF0" w:rsidRPr="00FA3DBC">
        <w:rPr>
          <w:lang w:eastAsia="en-US"/>
        </w:rPr>
        <w:t>показників</w:t>
      </w:r>
      <w:r w:rsidR="00FA6EF0" w:rsidRPr="00D95920">
        <w:rPr>
          <w:lang w:eastAsia="en-US"/>
        </w:rPr>
        <w:t xml:space="preserve"> </w:t>
      </w:r>
      <w:r w:rsidR="00FA6EF0" w:rsidRPr="00FA3DBC">
        <w:rPr>
          <w:lang w:eastAsia="en-US"/>
        </w:rPr>
        <w:t>регуляторної</w:t>
      </w:r>
      <w:r w:rsidR="00FA6EF0" w:rsidRPr="00D95920">
        <w:rPr>
          <w:lang w:eastAsia="en-US"/>
        </w:rPr>
        <w:t xml:space="preserve"> </w:t>
      </w:r>
      <w:r w:rsidR="00FA6EF0" w:rsidRPr="00FA3DBC">
        <w:rPr>
          <w:lang w:eastAsia="en-US"/>
        </w:rPr>
        <w:t>звітності</w:t>
      </w:r>
      <w:r w:rsidR="00FA6EF0" w:rsidRPr="00D95920">
        <w:rPr>
          <w:lang w:eastAsia="en-US"/>
        </w:rPr>
        <w:t xml:space="preserve"> </w:t>
      </w:r>
      <w:r w:rsidR="00FA6EF0" w:rsidRPr="00FA3DBC">
        <w:rPr>
          <w:lang w:eastAsia="en-US"/>
        </w:rPr>
        <w:t>страховика</w:t>
      </w:r>
      <w:r w:rsidR="00FA3DBC" w:rsidRPr="00D95920">
        <w:rPr>
          <w:lang w:eastAsia="en-US"/>
        </w:rPr>
        <w:t xml:space="preserve">, </w:t>
      </w:r>
      <w:r w:rsidR="00FA6EF0" w:rsidRPr="00FA6EF0">
        <w:rPr>
          <w:lang w:eastAsia="en-US"/>
        </w:rPr>
        <w:t>що подаються до Національного банку у файлах із показниками звітності у форматі XML IRB3 “Дані регуляторного бала</w:t>
      </w:r>
      <w:r w:rsidR="00FA6EF0">
        <w:rPr>
          <w:lang w:eastAsia="en-US"/>
        </w:rPr>
        <w:t>нсу. Зобов’язання та забезпечен</w:t>
      </w:r>
      <w:r w:rsidR="00FA6EF0" w:rsidRPr="00FA6EF0">
        <w:rPr>
          <w:lang w:eastAsia="en-US"/>
        </w:rPr>
        <w:t>ня” та IRB4 “Дані</w:t>
      </w:r>
      <w:r w:rsidR="00FA6EF0">
        <w:rPr>
          <w:lang w:eastAsia="en-US"/>
        </w:rPr>
        <w:t xml:space="preserve"> регуляторного балансу. Суборди</w:t>
      </w:r>
      <w:r w:rsidR="00FA6EF0" w:rsidRPr="00FA6EF0">
        <w:rPr>
          <w:lang w:eastAsia="en-US"/>
        </w:rPr>
        <w:t>нований борг та позабалансові зобов’язання”</w:t>
      </w:r>
      <w:r w:rsidR="00FA6EF0">
        <w:rPr>
          <w:lang w:eastAsia="en-US"/>
        </w:rPr>
        <w:t>.</w:t>
      </w:r>
      <w:r w:rsidR="00FA6EF0" w:rsidRPr="00FA6EF0">
        <w:rPr>
          <w:lang w:eastAsia="en-US"/>
        </w:rPr>
        <w:t xml:space="preserve"> За</w:t>
      </w:r>
      <w:r w:rsidR="00FA6EF0">
        <w:rPr>
          <w:lang w:eastAsia="en-US"/>
        </w:rPr>
        <w:t>гальна сума зобов’язань визнача</w:t>
      </w:r>
      <w:r w:rsidR="00FA6EF0" w:rsidRPr="00FA6EF0">
        <w:rPr>
          <w:lang w:eastAsia="en-US"/>
        </w:rPr>
        <w:t>ється</w:t>
      </w:r>
      <w:r w:rsidR="00FA6EF0">
        <w:rPr>
          <w:lang w:eastAsia="en-US"/>
        </w:rPr>
        <w:t xml:space="preserve"> </w:t>
      </w:r>
      <w:r w:rsidR="00FA3DBC" w:rsidRPr="00D95920">
        <w:rPr>
          <w:lang w:eastAsia="en-US"/>
        </w:rPr>
        <w:t>без урахування</w:t>
      </w:r>
      <w:r w:rsidR="00FA3DBC">
        <w:rPr>
          <w:lang w:eastAsia="en-US"/>
        </w:rPr>
        <w:t>:</w:t>
      </w:r>
      <w:r>
        <w:rPr>
          <w:shd w:val="clear" w:color="auto" w:fill="FFFFFF"/>
        </w:rPr>
        <w:t>»</w:t>
      </w:r>
      <w:r w:rsidR="005A38FE">
        <w:rPr>
          <w:shd w:val="clear" w:color="auto" w:fill="FFFFFF"/>
        </w:rPr>
        <w:t>;</w:t>
      </w:r>
    </w:p>
    <w:p w14:paraId="564CD123" w14:textId="77777777" w:rsidR="00FA3DBC" w:rsidRPr="00FA3DBC" w:rsidRDefault="00FA3DBC" w:rsidP="00F172EA">
      <w:pPr>
        <w:pStyle w:val="af3"/>
        <w:tabs>
          <w:tab w:val="left" w:pos="993"/>
        </w:tabs>
        <w:ind w:left="0" w:firstLine="567"/>
        <w:rPr>
          <w:shd w:val="clear" w:color="auto" w:fill="FFFFFF"/>
        </w:rPr>
      </w:pPr>
    </w:p>
    <w:p w14:paraId="5C0001CE" w14:textId="77777777" w:rsidR="00F172EA" w:rsidRPr="00703E7D" w:rsidRDefault="00F172EA" w:rsidP="00F172EA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703E7D">
        <w:rPr>
          <w:shd w:val="clear" w:color="auto" w:fill="FFFFFF"/>
        </w:rPr>
        <w:t>у главі 6:</w:t>
      </w:r>
    </w:p>
    <w:p w14:paraId="075230BA" w14:textId="77777777" w:rsidR="00286F59" w:rsidRDefault="00286F59" w:rsidP="00286F59">
      <w:pPr>
        <w:pStyle w:val="af3"/>
        <w:tabs>
          <w:tab w:val="left" w:pos="993"/>
        </w:tabs>
        <w:ind w:left="0" w:firstLine="567"/>
        <w:rPr>
          <w:lang w:eastAsia="en-US"/>
        </w:rPr>
      </w:pPr>
      <w:r>
        <w:rPr>
          <w:lang w:eastAsia="en-US"/>
        </w:rPr>
        <w:t>у пункті 33:</w:t>
      </w:r>
    </w:p>
    <w:p w14:paraId="772410D4" w14:textId="47320221" w:rsidR="00F172EA" w:rsidRPr="000D0E42" w:rsidRDefault="005A38FE" w:rsidP="00286F59">
      <w:pPr>
        <w:pStyle w:val="af3"/>
        <w:tabs>
          <w:tab w:val="left" w:pos="993"/>
        </w:tabs>
        <w:ind w:left="0" w:firstLine="567"/>
        <w:rPr>
          <w:lang w:eastAsia="en-US"/>
        </w:rPr>
      </w:pPr>
      <w:r w:rsidRPr="00286F59">
        <w:rPr>
          <w:lang w:eastAsia="en-US"/>
        </w:rPr>
        <w:t>у підпункті 3 слова “рейтинговою шкалою” замінити словами “</w:t>
      </w:r>
      <w:r w:rsidRPr="00E01991">
        <w:rPr>
          <w:lang w:eastAsia="en-US"/>
        </w:rPr>
        <w:t xml:space="preserve">шкалою </w:t>
      </w:r>
      <w:r w:rsidRPr="000D0E42">
        <w:rPr>
          <w:lang w:eastAsia="en-US"/>
        </w:rPr>
        <w:t>кредитних рейтингів”;</w:t>
      </w:r>
    </w:p>
    <w:p w14:paraId="099C3F2D" w14:textId="77E2D1AD" w:rsidR="00286F59" w:rsidRDefault="00286F59" w:rsidP="00286F59">
      <w:pPr>
        <w:pStyle w:val="af3"/>
        <w:tabs>
          <w:tab w:val="left" w:pos="993"/>
        </w:tabs>
        <w:ind w:left="0" w:firstLine="567"/>
        <w:rPr>
          <w:lang w:eastAsia="en-US"/>
        </w:rPr>
      </w:pPr>
      <w:r w:rsidRPr="000D0E42">
        <w:rPr>
          <w:lang w:eastAsia="en-US"/>
        </w:rPr>
        <w:t>абзац дев’ят</w:t>
      </w:r>
      <w:r w:rsidR="00A05F2B">
        <w:rPr>
          <w:lang w:eastAsia="en-US"/>
        </w:rPr>
        <w:t>ий</w:t>
      </w:r>
      <w:r w:rsidRPr="000D0E42">
        <w:rPr>
          <w:lang w:eastAsia="en-US"/>
        </w:rPr>
        <w:t xml:space="preserve"> </w:t>
      </w:r>
      <w:r w:rsidR="00603A17">
        <w:rPr>
          <w:lang w:eastAsia="en-US"/>
        </w:rPr>
        <w:t xml:space="preserve">підпункту 4 </w:t>
      </w:r>
      <w:r w:rsidR="008D3224">
        <w:rPr>
          <w:lang w:eastAsia="en-US"/>
        </w:rPr>
        <w:t xml:space="preserve">замінити </w:t>
      </w:r>
      <w:r w:rsidR="008D3224" w:rsidRPr="008D3224">
        <w:rPr>
          <w:lang w:eastAsia="en-US"/>
        </w:rPr>
        <w:t>двома новими абзацами такого змісту</w:t>
      </w:r>
      <w:r w:rsidR="00A05F2B">
        <w:rPr>
          <w:lang w:eastAsia="en-US"/>
        </w:rPr>
        <w:t>:</w:t>
      </w:r>
    </w:p>
    <w:p w14:paraId="77843A7F" w14:textId="54301AE1" w:rsidR="008D3224" w:rsidRDefault="00BE2725" w:rsidP="00286F59">
      <w:pPr>
        <w:pStyle w:val="af3"/>
        <w:tabs>
          <w:tab w:val="left" w:pos="993"/>
        </w:tabs>
        <w:ind w:left="0" w:firstLine="567"/>
        <w:rPr>
          <w:lang w:eastAsia="en-US"/>
        </w:rPr>
      </w:pPr>
      <w:r>
        <w:rPr>
          <w:lang w:eastAsia="en-US"/>
        </w:rPr>
        <w:t>«</w:t>
      </w:r>
      <w:r w:rsidR="008D3224" w:rsidRPr="008D3224">
        <w:rPr>
          <w:lang w:eastAsia="en-US"/>
        </w:rPr>
        <w:t>Кредитний рейтинг іноземного емітента корпоративних облігацій повинен бути дозволений до використання в Україні відповідно до Закону України “Про рейтингування”.</w:t>
      </w:r>
    </w:p>
    <w:p w14:paraId="5FC643A2" w14:textId="366BE3E5" w:rsidR="00A05F2B" w:rsidRDefault="00A05F2B" w:rsidP="00286F59">
      <w:pPr>
        <w:pStyle w:val="af3"/>
        <w:tabs>
          <w:tab w:val="left" w:pos="993"/>
        </w:tabs>
        <w:ind w:left="0" w:firstLine="567"/>
        <w:rPr>
          <w:lang w:eastAsia="en-US"/>
        </w:rPr>
      </w:pPr>
      <w:r w:rsidRPr="00A05F2B">
        <w:rPr>
          <w:lang w:eastAsia="en-US"/>
        </w:rPr>
        <w:t xml:space="preserve">Усі дозволені </w:t>
      </w:r>
      <w:r>
        <w:rPr>
          <w:lang w:eastAsia="en-US"/>
        </w:rPr>
        <w:t>до використання в Україні відпо</w:t>
      </w:r>
      <w:r w:rsidRPr="00A05F2B">
        <w:rPr>
          <w:lang w:eastAsia="en-US"/>
        </w:rPr>
        <w:t>відно до Закону України “Про рейтингування” кредитн</w:t>
      </w:r>
      <w:r>
        <w:rPr>
          <w:lang w:eastAsia="en-US"/>
        </w:rPr>
        <w:t>і рейтинги іноземного емітента</w:t>
      </w:r>
      <w:r w:rsidRPr="00A05F2B">
        <w:rPr>
          <w:lang w:eastAsia="en-US"/>
        </w:rPr>
        <w:t xml:space="preserve">, якщо таких рейтингів присвоєно кілька та/або рейтинг (рейтинги) присвоєно більше ніж одним </w:t>
      </w:r>
      <w:r w:rsidR="00E82A6A">
        <w:rPr>
          <w:lang w:eastAsia="en-US"/>
        </w:rPr>
        <w:t>іноземним</w:t>
      </w:r>
      <w:r w:rsidR="00830B6C">
        <w:rPr>
          <w:lang w:eastAsia="en-US"/>
        </w:rPr>
        <w:t xml:space="preserve"> </w:t>
      </w:r>
      <w:r w:rsidRPr="00A05F2B">
        <w:rPr>
          <w:lang w:eastAsia="en-US"/>
        </w:rPr>
        <w:t xml:space="preserve">рейтинговим агентством, повинні відповідати вимогам, зазначеним у підпункті 4 пункту 33 глави 6 розділу </w:t>
      </w:r>
      <w:r w:rsidRPr="00A05F2B">
        <w:rPr>
          <w:lang w:val="en-US" w:eastAsia="en-US"/>
        </w:rPr>
        <w:t>I</w:t>
      </w:r>
      <w:r w:rsidRPr="00A05F2B">
        <w:rPr>
          <w:lang w:eastAsia="en-US"/>
        </w:rPr>
        <w:t>І цього Положення;</w:t>
      </w:r>
      <w:r w:rsidR="00BE2725">
        <w:rPr>
          <w:lang w:eastAsia="en-US"/>
        </w:rPr>
        <w:t>»</w:t>
      </w:r>
      <w:r>
        <w:rPr>
          <w:lang w:eastAsia="en-US"/>
        </w:rPr>
        <w:t>;</w:t>
      </w:r>
    </w:p>
    <w:p w14:paraId="0E04359A" w14:textId="082830BB" w:rsidR="006810C9" w:rsidRDefault="00286F59" w:rsidP="00286F59">
      <w:pPr>
        <w:pStyle w:val="af3"/>
        <w:tabs>
          <w:tab w:val="left" w:pos="993"/>
        </w:tabs>
        <w:ind w:left="0" w:firstLine="567"/>
        <w:rPr>
          <w:lang w:eastAsia="en-US"/>
        </w:rPr>
      </w:pPr>
      <w:r w:rsidRPr="000D0E42">
        <w:rPr>
          <w:lang w:eastAsia="en-US"/>
        </w:rPr>
        <w:t>абзац шост</w:t>
      </w:r>
      <w:r w:rsidR="006810C9">
        <w:rPr>
          <w:lang w:eastAsia="en-US"/>
        </w:rPr>
        <w:t>ий</w:t>
      </w:r>
      <w:r w:rsidR="00B02AB3">
        <w:rPr>
          <w:lang w:eastAsia="en-US"/>
        </w:rPr>
        <w:t xml:space="preserve"> підпункту 5 </w:t>
      </w:r>
      <w:r w:rsidR="00B02AB3" w:rsidRPr="00B02AB3">
        <w:rPr>
          <w:lang w:eastAsia="en-US"/>
        </w:rPr>
        <w:t>замінити двома новими абзацами такого змісту</w:t>
      </w:r>
      <w:r w:rsidR="006810C9">
        <w:rPr>
          <w:lang w:eastAsia="en-US"/>
        </w:rPr>
        <w:t>:</w:t>
      </w:r>
    </w:p>
    <w:p w14:paraId="5360EC9D" w14:textId="08E22CA3" w:rsidR="00B02AB3" w:rsidRDefault="006810C9" w:rsidP="00286F59">
      <w:pPr>
        <w:pStyle w:val="af3"/>
        <w:tabs>
          <w:tab w:val="left" w:pos="993"/>
        </w:tabs>
        <w:ind w:left="0" w:firstLine="567"/>
        <w:rPr>
          <w:lang w:eastAsia="en-US"/>
        </w:rPr>
      </w:pPr>
      <w:r>
        <w:rPr>
          <w:lang w:eastAsia="en-US"/>
        </w:rPr>
        <w:t>«</w:t>
      </w:r>
      <w:r w:rsidR="00B02AB3" w:rsidRPr="00B02AB3">
        <w:rPr>
          <w:lang w:eastAsia="en-US"/>
        </w:rPr>
        <w:t>Суверенні рейтинги за довгостроковими зобов’язаннями країни, в якій державою здійснено випуск цінних паперів, повинні бути дозволені до використання в Україні відповідно до Закону України “Про рейтингування”.</w:t>
      </w:r>
    </w:p>
    <w:p w14:paraId="32E5F10E" w14:textId="6412A207" w:rsidR="00286F59" w:rsidRPr="000D0E42" w:rsidRDefault="006810C9" w:rsidP="00286F59">
      <w:pPr>
        <w:pStyle w:val="af3"/>
        <w:tabs>
          <w:tab w:val="left" w:pos="993"/>
        </w:tabs>
        <w:ind w:left="0" w:firstLine="567"/>
        <w:rPr>
          <w:lang w:eastAsia="en-US"/>
        </w:rPr>
      </w:pPr>
      <w:r w:rsidRPr="006810C9">
        <w:rPr>
          <w:lang w:eastAsia="en-US"/>
        </w:rPr>
        <w:t>Усі дозволені до використання в Україні відповідно до Закону України “Про рейтингування” сувер</w:t>
      </w:r>
      <w:r>
        <w:rPr>
          <w:lang w:eastAsia="en-US"/>
        </w:rPr>
        <w:t>енні рейтинги країни, в якій державою здійснено ви</w:t>
      </w:r>
      <w:r w:rsidRPr="006810C9">
        <w:rPr>
          <w:lang w:eastAsia="en-US"/>
        </w:rPr>
        <w:t xml:space="preserve">пуск цінних паперів, якщо таких рейтингів присвоєно кілька та/або рейтинг (рейтинги) присвоєно більше ніж одним </w:t>
      </w:r>
      <w:r w:rsidR="00E82A6A">
        <w:rPr>
          <w:lang w:eastAsia="en-US"/>
        </w:rPr>
        <w:t>іноземним</w:t>
      </w:r>
      <w:r w:rsidR="00B02AB3">
        <w:rPr>
          <w:lang w:eastAsia="en-US"/>
        </w:rPr>
        <w:t xml:space="preserve"> </w:t>
      </w:r>
      <w:r w:rsidRPr="006810C9">
        <w:rPr>
          <w:lang w:eastAsia="en-US"/>
        </w:rPr>
        <w:t>рейтинговим агентством, повинні відповідати вимогам, зазначеним у підпункті 5 пункту 33 глави 6 розділу IІ цього Положення.</w:t>
      </w:r>
      <w:r>
        <w:rPr>
          <w:lang w:eastAsia="en-US"/>
        </w:rPr>
        <w:t>»</w:t>
      </w:r>
      <w:r w:rsidR="00286F59" w:rsidRPr="000D0E42">
        <w:rPr>
          <w:lang w:eastAsia="en-US"/>
        </w:rPr>
        <w:t>;</w:t>
      </w:r>
    </w:p>
    <w:p w14:paraId="2F2142DC" w14:textId="61354F57" w:rsidR="00286F59" w:rsidRPr="000D0E42" w:rsidRDefault="000D0E42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  <w:r w:rsidRPr="000D0E42">
        <w:rPr>
          <w:lang w:eastAsia="en-US"/>
        </w:rPr>
        <w:t>пункт 37 після слів “під заставу викупної суми,” доповнити словами “а також дебіторська заборгованість за такими кре</w:t>
      </w:r>
      <w:r>
        <w:rPr>
          <w:lang w:eastAsia="en-US"/>
        </w:rPr>
        <w:t>дитами</w:t>
      </w:r>
      <w:r w:rsidRPr="000D0E42">
        <w:rPr>
          <w:lang w:eastAsia="en-US"/>
        </w:rPr>
        <w:t>”</w:t>
      </w:r>
      <w:r>
        <w:rPr>
          <w:lang w:val="ru-RU" w:eastAsia="en-US"/>
        </w:rPr>
        <w:t>.</w:t>
      </w:r>
    </w:p>
    <w:p w14:paraId="2A0EB37C" w14:textId="77777777" w:rsidR="000D0E42" w:rsidRPr="000D0E42" w:rsidRDefault="000D0E42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</w:p>
    <w:p w14:paraId="1108736B" w14:textId="77777777" w:rsidR="00F172EA" w:rsidRPr="001C55C0" w:rsidRDefault="000D0E42" w:rsidP="00F172EA">
      <w:pPr>
        <w:pStyle w:val="af3"/>
        <w:numPr>
          <w:ilvl w:val="0"/>
          <w:numId w:val="2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Підпункт 6 пункту 73 </w:t>
      </w:r>
      <w:r w:rsidR="00F172EA">
        <w:rPr>
          <w:shd w:val="clear" w:color="auto" w:fill="FFFFFF"/>
        </w:rPr>
        <w:t>глав</w:t>
      </w:r>
      <w:r>
        <w:rPr>
          <w:shd w:val="clear" w:color="auto" w:fill="FFFFFF"/>
        </w:rPr>
        <w:t>и</w:t>
      </w:r>
      <w:r w:rsidR="00F172EA">
        <w:rPr>
          <w:shd w:val="clear" w:color="auto" w:fill="FFFFFF"/>
        </w:rPr>
        <w:t xml:space="preserve"> 12 розділу </w:t>
      </w:r>
      <w:r w:rsidR="00F172EA" w:rsidRPr="00527013">
        <w:rPr>
          <w:shd w:val="clear" w:color="auto" w:fill="FFFFFF"/>
        </w:rPr>
        <w:t>V</w:t>
      </w:r>
      <w:r>
        <w:rPr>
          <w:shd w:val="clear" w:color="auto" w:fill="FFFFFF"/>
        </w:rPr>
        <w:t xml:space="preserve"> </w:t>
      </w:r>
      <w:r w:rsidRPr="001C55C0">
        <w:t>викласти в такій редакції</w:t>
      </w:r>
      <w:r w:rsidR="00F172EA" w:rsidRPr="001C55C0">
        <w:rPr>
          <w:shd w:val="clear" w:color="auto" w:fill="FFFFFF"/>
        </w:rPr>
        <w:t>:</w:t>
      </w:r>
    </w:p>
    <w:p w14:paraId="0C407B68" w14:textId="77777777" w:rsidR="00F172EA" w:rsidRDefault="000D0E42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  <w:r w:rsidRPr="000D0E42">
        <w:rPr>
          <w:lang w:eastAsia="en-US"/>
        </w:rPr>
        <w:t>“</w:t>
      </w:r>
      <w:r w:rsidRPr="00840F84">
        <w:t xml:space="preserve">6) </w:t>
      </w:r>
      <w:r w:rsidRPr="000D0E42">
        <w:t>грошових коштів на поточному рахунку, що відповідають сумі</w:t>
      </w:r>
      <w:r w:rsidRPr="00840F84">
        <w:t xml:space="preserve"> помилково перерахованих коштів на рахунок страховика;</w:t>
      </w:r>
      <w:r w:rsidRPr="000D0E42">
        <w:rPr>
          <w:lang w:eastAsia="en-US"/>
        </w:rPr>
        <w:t>”</w:t>
      </w:r>
      <w:r w:rsidR="007370F0">
        <w:rPr>
          <w:lang w:eastAsia="en-US"/>
        </w:rPr>
        <w:t>.</w:t>
      </w:r>
    </w:p>
    <w:p w14:paraId="20CB0CB7" w14:textId="77777777" w:rsidR="007370F0" w:rsidRDefault="007370F0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</w:p>
    <w:p w14:paraId="226A8856" w14:textId="77777777" w:rsidR="00BE0C36" w:rsidRDefault="00BE0C36" w:rsidP="007370F0">
      <w:pPr>
        <w:pStyle w:val="af3"/>
        <w:numPr>
          <w:ilvl w:val="0"/>
          <w:numId w:val="2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>У пункті 1 додатка 3 до Положення:</w:t>
      </w:r>
    </w:p>
    <w:p w14:paraId="72725F9E" w14:textId="77777777" w:rsidR="00862EC8" w:rsidRDefault="00862EC8" w:rsidP="00A720E6">
      <w:pPr>
        <w:tabs>
          <w:tab w:val="left" w:pos="993"/>
        </w:tabs>
        <w:ind w:left="567"/>
        <w:rPr>
          <w:shd w:val="clear" w:color="auto" w:fill="FFFFFF"/>
        </w:rPr>
      </w:pPr>
    </w:p>
    <w:p w14:paraId="0B3FD99D" w14:textId="3EB3CD04" w:rsidR="001356AF" w:rsidRPr="00F87E9E" w:rsidRDefault="00F87E9E" w:rsidP="00D742FC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rPr>
          <w:shd w:val="clear" w:color="auto" w:fill="FFFFFF"/>
        </w:rPr>
      </w:pPr>
      <w:r w:rsidRPr="00F87E9E">
        <w:rPr>
          <w:shd w:val="clear" w:color="auto" w:fill="FFFFFF"/>
        </w:rPr>
        <w:t xml:space="preserve">в </w:t>
      </w:r>
      <w:r>
        <w:rPr>
          <w:lang w:eastAsia="en-US"/>
        </w:rPr>
        <w:t>абзацах дванадцятому, тринадцятому, сімнадцятому, вісімнадцятому</w:t>
      </w:r>
      <w:r>
        <w:rPr>
          <w:shd w:val="clear" w:color="auto" w:fill="FFFFFF"/>
        </w:rPr>
        <w:t xml:space="preserve"> </w:t>
      </w:r>
      <w:r w:rsidR="00862EC8" w:rsidRPr="00F87E9E">
        <w:rPr>
          <w:shd w:val="clear" w:color="auto" w:fill="FFFFFF"/>
        </w:rPr>
        <w:t>підпункт</w:t>
      </w:r>
      <w:r>
        <w:rPr>
          <w:shd w:val="clear" w:color="auto" w:fill="FFFFFF"/>
        </w:rPr>
        <w:t>у</w:t>
      </w:r>
      <w:r w:rsidR="00862EC8" w:rsidRPr="00F87E9E">
        <w:rPr>
          <w:shd w:val="clear" w:color="auto" w:fill="FFFFFF"/>
        </w:rPr>
        <w:t xml:space="preserve"> 1</w:t>
      </w:r>
      <w:r w:rsidR="001356AF" w:rsidRPr="00F87E9E">
        <w:rPr>
          <w:shd w:val="clear" w:color="auto" w:fill="FFFFFF"/>
        </w:rPr>
        <w:t>:</w:t>
      </w:r>
    </w:p>
    <w:p w14:paraId="0ACF1ED9" w14:textId="77777777" w:rsidR="007370F0" w:rsidRDefault="00BB0AE0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  <w:r>
        <w:rPr>
          <w:lang w:eastAsia="en-US"/>
        </w:rPr>
        <w:t xml:space="preserve">слова </w:t>
      </w:r>
      <w:r w:rsidRPr="00BB0AE0">
        <w:rPr>
          <w:lang w:eastAsia="en-US"/>
        </w:rPr>
        <w:t>“очікуваних регресів”</w:t>
      </w:r>
      <w:r>
        <w:rPr>
          <w:lang w:eastAsia="en-US"/>
        </w:rPr>
        <w:t xml:space="preserve"> </w:t>
      </w:r>
      <w:r w:rsidRPr="000D0E42">
        <w:rPr>
          <w:lang w:eastAsia="en-US"/>
        </w:rPr>
        <w:t>замінити словами</w:t>
      </w:r>
      <w:r>
        <w:rPr>
          <w:lang w:eastAsia="en-US"/>
        </w:rPr>
        <w:t xml:space="preserve"> </w:t>
      </w:r>
      <w:r w:rsidRPr="00BB0AE0">
        <w:rPr>
          <w:lang w:eastAsia="en-US"/>
        </w:rPr>
        <w:t xml:space="preserve">“регресних вимог та </w:t>
      </w:r>
      <w:r>
        <w:rPr>
          <w:lang w:eastAsia="en-US"/>
        </w:rPr>
        <w:t>суброгацій та доходів від очіку</w:t>
      </w:r>
      <w:r w:rsidRPr="00BB0AE0">
        <w:rPr>
          <w:lang w:eastAsia="en-US"/>
        </w:rPr>
        <w:t>ваної їх реалізації”</w:t>
      </w:r>
      <w:r>
        <w:rPr>
          <w:lang w:eastAsia="en-US"/>
        </w:rPr>
        <w:t>;</w:t>
      </w:r>
    </w:p>
    <w:p w14:paraId="46DF2C3F" w14:textId="77777777" w:rsidR="00BB0AE0" w:rsidRDefault="00BB0AE0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  <w:r>
        <w:rPr>
          <w:lang w:eastAsia="en-US"/>
        </w:rPr>
        <w:t xml:space="preserve">слова </w:t>
      </w:r>
      <w:r w:rsidRPr="00BB0AE0">
        <w:rPr>
          <w:lang w:val="ru-RU" w:eastAsia="en-US"/>
        </w:rPr>
        <w:t xml:space="preserve">“та маржі ризику за таким резервом,” </w:t>
      </w:r>
      <w:r>
        <w:rPr>
          <w:lang w:eastAsia="en-US"/>
        </w:rPr>
        <w:t>виключити;</w:t>
      </w:r>
    </w:p>
    <w:p w14:paraId="7AB13650" w14:textId="08D7B0D1" w:rsidR="00BB0AE0" w:rsidRDefault="00BB0AE0" w:rsidP="000D0E42">
      <w:pPr>
        <w:pStyle w:val="af3"/>
        <w:tabs>
          <w:tab w:val="left" w:pos="993"/>
        </w:tabs>
        <w:ind w:left="0" w:firstLine="567"/>
        <w:rPr>
          <w:lang w:val="ru-RU" w:eastAsia="en-US"/>
        </w:rPr>
      </w:pPr>
      <w:r w:rsidRPr="00BB0AE0">
        <w:rPr>
          <w:color w:val="0D0D0D" w:themeColor="text1" w:themeTint="F2"/>
        </w:rPr>
        <w:t>слова “</w:t>
      </w:r>
      <w:r w:rsidRPr="00862EC8">
        <w:rPr>
          <w:color w:val="0D0D0D" w:themeColor="text1" w:themeTint="F2"/>
        </w:rPr>
        <w:t>резерву витрат</w:t>
      </w:r>
      <w:r w:rsidRPr="00BB0AE0">
        <w:rPr>
          <w:lang w:val="ru-RU" w:eastAsia="en-US"/>
        </w:rPr>
        <w:t>”</w:t>
      </w:r>
      <w:r>
        <w:rPr>
          <w:lang w:val="ru-RU" w:eastAsia="en-US"/>
        </w:rPr>
        <w:t xml:space="preserve"> замінити слов</w:t>
      </w:r>
      <w:r w:rsidR="00A720E6">
        <w:rPr>
          <w:lang w:val="ru-RU" w:eastAsia="en-US"/>
        </w:rPr>
        <w:t>ом</w:t>
      </w:r>
      <w:r>
        <w:rPr>
          <w:lang w:val="ru-RU" w:eastAsia="en-US"/>
        </w:rPr>
        <w:t xml:space="preserve"> </w:t>
      </w:r>
      <w:r w:rsidRPr="00BB0AE0">
        <w:rPr>
          <w:lang w:val="ru-RU" w:eastAsia="en-US"/>
        </w:rPr>
        <w:t>“</w:t>
      </w:r>
      <w:r w:rsidRPr="00862EC8">
        <w:rPr>
          <w:color w:val="0D0D0D" w:themeColor="text1" w:themeTint="F2"/>
        </w:rPr>
        <w:t>витрат</w:t>
      </w:r>
      <w:r w:rsidRPr="00BB0AE0">
        <w:rPr>
          <w:lang w:val="ru-RU" w:eastAsia="en-US"/>
        </w:rPr>
        <w:t>”</w:t>
      </w:r>
      <w:r w:rsidR="00BE0C36">
        <w:rPr>
          <w:lang w:val="ru-RU" w:eastAsia="en-US"/>
        </w:rPr>
        <w:t>;</w:t>
      </w:r>
    </w:p>
    <w:p w14:paraId="33DE5E99" w14:textId="77777777" w:rsidR="00862EC8" w:rsidRDefault="00862EC8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</w:p>
    <w:p w14:paraId="527F8611" w14:textId="70046082" w:rsidR="00BE0C36" w:rsidRDefault="00862EC8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  <w:r>
        <w:rPr>
          <w:lang w:eastAsia="en-US"/>
        </w:rPr>
        <w:t xml:space="preserve">2) </w:t>
      </w:r>
      <w:r w:rsidR="00BE0C36">
        <w:rPr>
          <w:lang w:eastAsia="en-US"/>
        </w:rPr>
        <w:t xml:space="preserve">в </w:t>
      </w:r>
      <w:r w:rsidR="00BE0C36" w:rsidRPr="00BE0C36">
        <w:rPr>
          <w:lang w:eastAsia="en-US"/>
        </w:rPr>
        <w:t>абзацах восьмому – одинадцятому</w:t>
      </w:r>
      <w:r w:rsidR="009C03C8" w:rsidRPr="009C03C8">
        <w:rPr>
          <w:lang w:eastAsia="en-US"/>
        </w:rPr>
        <w:t xml:space="preserve"> </w:t>
      </w:r>
      <w:r w:rsidR="009C03C8">
        <w:rPr>
          <w:lang w:eastAsia="en-US"/>
        </w:rPr>
        <w:t xml:space="preserve"> підпункту</w:t>
      </w:r>
      <w:r w:rsidR="009C03C8" w:rsidRPr="00862EC8">
        <w:rPr>
          <w:lang w:eastAsia="en-US"/>
        </w:rPr>
        <w:t xml:space="preserve"> 2</w:t>
      </w:r>
      <w:r w:rsidR="00BE0C36">
        <w:rPr>
          <w:lang w:eastAsia="en-US"/>
        </w:rPr>
        <w:t>:</w:t>
      </w:r>
    </w:p>
    <w:p w14:paraId="2FEE87AA" w14:textId="3B5F690A" w:rsidR="00BE0C36" w:rsidRPr="00BE0C36" w:rsidRDefault="00BE0C36" w:rsidP="00BE0C36">
      <w:pPr>
        <w:pStyle w:val="af3"/>
        <w:tabs>
          <w:tab w:val="left" w:pos="993"/>
        </w:tabs>
        <w:ind w:left="0" w:firstLine="567"/>
        <w:rPr>
          <w:lang w:eastAsia="en-US"/>
        </w:rPr>
      </w:pPr>
      <w:r w:rsidRPr="00BE0C36">
        <w:rPr>
          <w:lang w:eastAsia="en-US"/>
        </w:rPr>
        <w:t xml:space="preserve">слова “очікуваних регресів” замінити словами </w:t>
      </w:r>
      <w:r>
        <w:rPr>
          <w:lang w:eastAsia="en-US"/>
        </w:rPr>
        <w:t xml:space="preserve">“регресних вимог та </w:t>
      </w:r>
      <w:r w:rsidRPr="00BE0C36">
        <w:rPr>
          <w:lang w:eastAsia="en-US"/>
        </w:rPr>
        <w:t>суброгацій та доходів від очікуваної їх реалізації”;</w:t>
      </w:r>
    </w:p>
    <w:p w14:paraId="6CD75394" w14:textId="77777777" w:rsidR="00BE0C36" w:rsidRPr="00BE0C36" w:rsidRDefault="00BE0C36" w:rsidP="00BE0C36">
      <w:pPr>
        <w:pStyle w:val="af3"/>
        <w:ind w:left="567"/>
        <w:rPr>
          <w:lang w:eastAsia="en-US"/>
        </w:rPr>
      </w:pPr>
      <w:r w:rsidRPr="00BE0C36">
        <w:rPr>
          <w:lang w:eastAsia="en-US"/>
        </w:rPr>
        <w:t xml:space="preserve">слова </w:t>
      </w:r>
      <w:r w:rsidRPr="00BE0C36">
        <w:rPr>
          <w:lang w:val="ru-RU" w:eastAsia="en-US"/>
        </w:rPr>
        <w:t xml:space="preserve">“та маржі ризику за таким резервом,” </w:t>
      </w:r>
      <w:r w:rsidRPr="00BE0C36">
        <w:rPr>
          <w:lang w:eastAsia="en-US"/>
        </w:rPr>
        <w:t>виключити;</w:t>
      </w:r>
    </w:p>
    <w:p w14:paraId="1BAE5844" w14:textId="7D30E5F5" w:rsidR="00BE0C36" w:rsidRPr="00BE0C36" w:rsidRDefault="00BE0C36" w:rsidP="00BE0C36">
      <w:pPr>
        <w:pStyle w:val="af3"/>
        <w:tabs>
          <w:tab w:val="left" w:pos="993"/>
        </w:tabs>
        <w:ind w:left="0" w:firstLine="567"/>
        <w:rPr>
          <w:color w:val="0D0D0D" w:themeColor="text1" w:themeTint="F2"/>
        </w:rPr>
      </w:pPr>
      <w:r w:rsidRPr="00BE0C36">
        <w:rPr>
          <w:color w:val="0D0D0D" w:themeColor="text1" w:themeTint="F2"/>
        </w:rPr>
        <w:t>слова “резерву витрат” замінити слов</w:t>
      </w:r>
      <w:r w:rsidR="00A720E6">
        <w:rPr>
          <w:color w:val="0D0D0D" w:themeColor="text1" w:themeTint="F2"/>
        </w:rPr>
        <w:t>ом</w:t>
      </w:r>
      <w:r w:rsidRPr="00BE0C36">
        <w:rPr>
          <w:color w:val="0D0D0D" w:themeColor="text1" w:themeTint="F2"/>
        </w:rPr>
        <w:t xml:space="preserve"> “витрат”;</w:t>
      </w:r>
    </w:p>
    <w:p w14:paraId="2F3D7A30" w14:textId="77777777" w:rsidR="00862EC8" w:rsidRDefault="00862EC8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</w:p>
    <w:p w14:paraId="0292B801" w14:textId="78EA56B6" w:rsidR="00BE0C36" w:rsidRDefault="00862EC8" w:rsidP="000D0E42">
      <w:pPr>
        <w:pStyle w:val="af3"/>
        <w:tabs>
          <w:tab w:val="left" w:pos="993"/>
        </w:tabs>
        <w:ind w:left="0" w:firstLine="567"/>
        <w:rPr>
          <w:lang w:eastAsia="en-US"/>
        </w:rPr>
      </w:pPr>
      <w:r>
        <w:rPr>
          <w:lang w:eastAsia="en-US"/>
        </w:rPr>
        <w:t xml:space="preserve">3) </w:t>
      </w:r>
      <w:r w:rsidR="00F87E9E">
        <w:rPr>
          <w:lang w:eastAsia="en-US"/>
        </w:rPr>
        <w:t xml:space="preserve">в </w:t>
      </w:r>
      <w:r w:rsidR="00F87E9E" w:rsidRPr="00BE0C36">
        <w:rPr>
          <w:lang w:eastAsia="en-US"/>
        </w:rPr>
        <w:t xml:space="preserve">абзацах </w:t>
      </w:r>
      <w:r w:rsidR="00F87E9E" w:rsidRPr="00D742FC">
        <w:rPr>
          <w:lang w:eastAsia="en-US"/>
        </w:rPr>
        <w:t>третьому – шостому</w:t>
      </w:r>
      <w:r w:rsidR="00F87E9E">
        <w:rPr>
          <w:lang w:eastAsia="en-US"/>
        </w:rPr>
        <w:t xml:space="preserve"> </w:t>
      </w:r>
      <w:r w:rsidRPr="00862EC8">
        <w:rPr>
          <w:lang w:eastAsia="en-US"/>
        </w:rPr>
        <w:t>підпункт</w:t>
      </w:r>
      <w:r w:rsidR="00F87E9E">
        <w:rPr>
          <w:lang w:eastAsia="en-US"/>
        </w:rPr>
        <w:t>у</w:t>
      </w:r>
      <w:r w:rsidRPr="00862EC8">
        <w:rPr>
          <w:lang w:eastAsia="en-US"/>
        </w:rPr>
        <w:t xml:space="preserve"> 3</w:t>
      </w:r>
      <w:r w:rsidR="00F87E9E">
        <w:rPr>
          <w:lang w:eastAsia="en-US"/>
        </w:rPr>
        <w:t>:</w:t>
      </w:r>
      <w:r>
        <w:rPr>
          <w:lang w:eastAsia="en-US"/>
        </w:rPr>
        <w:t xml:space="preserve"> </w:t>
      </w:r>
    </w:p>
    <w:p w14:paraId="1E952082" w14:textId="77777777" w:rsidR="00BE0C36" w:rsidRDefault="00BE0C36" w:rsidP="00BE0C36">
      <w:pPr>
        <w:pStyle w:val="af3"/>
        <w:tabs>
          <w:tab w:val="left" w:pos="993"/>
        </w:tabs>
        <w:ind w:left="0" w:firstLine="567"/>
        <w:rPr>
          <w:lang w:eastAsia="en-US"/>
        </w:rPr>
      </w:pPr>
      <w:r>
        <w:rPr>
          <w:lang w:eastAsia="en-US"/>
        </w:rPr>
        <w:t xml:space="preserve">слова </w:t>
      </w:r>
      <w:r w:rsidRPr="00BB0AE0">
        <w:rPr>
          <w:lang w:eastAsia="en-US"/>
        </w:rPr>
        <w:t>“очікуваних регресів”</w:t>
      </w:r>
      <w:r>
        <w:rPr>
          <w:lang w:eastAsia="en-US"/>
        </w:rPr>
        <w:t xml:space="preserve"> </w:t>
      </w:r>
      <w:r w:rsidRPr="000D0E42">
        <w:rPr>
          <w:lang w:eastAsia="en-US"/>
        </w:rPr>
        <w:t>замінити словами</w:t>
      </w:r>
      <w:r>
        <w:rPr>
          <w:lang w:eastAsia="en-US"/>
        </w:rPr>
        <w:t xml:space="preserve"> </w:t>
      </w:r>
      <w:r w:rsidRPr="00BB0AE0">
        <w:rPr>
          <w:lang w:eastAsia="en-US"/>
        </w:rPr>
        <w:t xml:space="preserve">“регресних вимог та </w:t>
      </w:r>
      <w:r>
        <w:rPr>
          <w:lang w:eastAsia="en-US"/>
        </w:rPr>
        <w:t>суброгацій та доходів від очіку</w:t>
      </w:r>
      <w:r w:rsidRPr="00BB0AE0">
        <w:rPr>
          <w:lang w:eastAsia="en-US"/>
        </w:rPr>
        <w:t>ваної їх реалізації”</w:t>
      </w:r>
      <w:r>
        <w:rPr>
          <w:lang w:eastAsia="en-US"/>
        </w:rPr>
        <w:t>;</w:t>
      </w:r>
    </w:p>
    <w:p w14:paraId="5A0CD598" w14:textId="77777777" w:rsidR="00BE0C36" w:rsidRDefault="00BE0C36" w:rsidP="00BE0C36">
      <w:pPr>
        <w:pStyle w:val="af3"/>
        <w:tabs>
          <w:tab w:val="left" w:pos="993"/>
        </w:tabs>
        <w:ind w:left="0" w:firstLine="567"/>
        <w:rPr>
          <w:lang w:eastAsia="en-US"/>
        </w:rPr>
      </w:pPr>
      <w:r>
        <w:rPr>
          <w:lang w:eastAsia="en-US"/>
        </w:rPr>
        <w:t xml:space="preserve">слова </w:t>
      </w:r>
      <w:r w:rsidRPr="00BB0AE0">
        <w:rPr>
          <w:lang w:val="ru-RU" w:eastAsia="en-US"/>
        </w:rPr>
        <w:t xml:space="preserve">“та маржі ризику за таким резервом,” </w:t>
      </w:r>
      <w:r>
        <w:rPr>
          <w:lang w:eastAsia="en-US"/>
        </w:rPr>
        <w:t>виключити;</w:t>
      </w:r>
    </w:p>
    <w:p w14:paraId="28D8F9A0" w14:textId="14BA632F" w:rsidR="00BE0C36" w:rsidRPr="00BE0C36" w:rsidRDefault="00BE0C36" w:rsidP="00BE0C36">
      <w:pPr>
        <w:pStyle w:val="af3"/>
        <w:tabs>
          <w:tab w:val="left" w:pos="993"/>
        </w:tabs>
        <w:ind w:left="0" w:firstLine="567"/>
        <w:rPr>
          <w:lang w:eastAsia="en-US"/>
        </w:rPr>
      </w:pPr>
      <w:r w:rsidRPr="00BB0AE0">
        <w:rPr>
          <w:color w:val="0D0D0D" w:themeColor="text1" w:themeTint="F2"/>
        </w:rPr>
        <w:t>слова “</w:t>
      </w:r>
      <w:r w:rsidRPr="00A720E6">
        <w:rPr>
          <w:color w:val="0D0D0D" w:themeColor="text1" w:themeTint="F2"/>
        </w:rPr>
        <w:t>резерву витрат</w:t>
      </w:r>
      <w:r w:rsidRPr="00A720E6">
        <w:rPr>
          <w:lang w:val="ru-RU" w:eastAsia="en-US"/>
        </w:rPr>
        <w:t>” замінити слов</w:t>
      </w:r>
      <w:r w:rsidR="00A720E6" w:rsidRPr="00A720E6">
        <w:rPr>
          <w:lang w:val="ru-RU" w:eastAsia="en-US"/>
        </w:rPr>
        <w:t>ом</w:t>
      </w:r>
      <w:r w:rsidRPr="00A720E6">
        <w:rPr>
          <w:lang w:val="ru-RU" w:eastAsia="en-US"/>
        </w:rPr>
        <w:t xml:space="preserve"> “</w:t>
      </w:r>
      <w:r w:rsidRPr="00A720E6">
        <w:rPr>
          <w:color w:val="0D0D0D" w:themeColor="text1" w:themeTint="F2"/>
        </w:rPr>
        <w:t>витрат</w:t>
      </w:r>
      <w:r w:rsidRPr="00A720E6">
        <w:rPr>
          <w:lang w:val="ru-RU" w:eastAsia="en-US"/>
        </w:rPr>
        <w:t>”</w:t>
      </w:r>
      <w:r w:rsidR="00A720E6" w:rsidRPr="00A720E6">
        <w:rPr>
          <w:lang w:val="ru-RU" w:eastAsia="en-US"/>
        </w:rPr>
        <w:t>.</w:t>
      </w:r>
    </w:p>
    <w:sectPr w:rsidR="00BE0C36" w:rsidRPr="00BE0C36" w:rsidSect="00AD1D19">
      <w:headerReference w:type="first" r:id="rId15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ECD91" w14:textId="77777777" w:rsidR="002D03A3" w:rsidRDefault="002D03A3" w:rsidP="00E53CCD">
      <w:r>
        <w:separator/>
      </w:r>
    </w:p>
  </w:endnote>
  <w:endnote w:type="continuationSeparator" w:id="0">
    <w:p w14:paraId="375D3897" w14:textId="77777777" w:rsidR="002D03A3" w:rsidRDefault="002D03A3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F645" w14:textId="77777777" w:rsidR="002D03A3" w:rsidRDefault="002D03A3" w:rsidP="00E53CCD">
      <w:r>
        <w:separator/>
      </w:r>
    </w:p>
  </w:footnote>
  <w:footnote w:type="continuationSeparator" w:id="0">
    <w:p w14:paraId="75869183" w14:textId="77777777" w:rsidR="002D03A3" w:rsidRDefault="002D03A3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092317"/>
      <w:docPartObj>
        <w:docPartGallery w:val="Page Numbers (Top of Page)"/>
        <w:docPartUnique/>
      </w:docPartObj>
    </w:sdtPr>
    <w:sdtEndPr/>
    <w:sdtContent>
      <w:p w14:paraId="38933E7A" w14:textId="7B350286" w:rsidR="00AD1D19" w:rsidRDefault="00AD1D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62E">
          <w:rPr>
            <w:noProof/>
          </w:rPr>
          <w:t>4</w:t>
        </w:r>
        <w:r>
          <w:fldChar w:fldCharType="end"/>
        </w:r>
      </w:p>
    </w:sdtContent>
  </w:sdt>
  <w:p w14:paraId="2F3F4677" w14:textId="77777777" w:rsidR="00AD1D19" w:rsidRDefault="00AD1D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654D2" w14:textId="057D9630" w:rsidR="00AD1D19" w:rsidRDefault="00AD1D19">
    <w:pPr>
      <w:pStyle w:val="a5"/>
      <w:jc w:val="center"/>
    </w:pPr>
  </w:p>
  <w:p w14:paraId="2D445A07" w14:textId="77777777" w:rsidR="007E2E2F" w:rsidRPr="00B930E3" w:rsidRDefault="007E2E2F" w:rsidP="00B93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05F7"/>
    <w:multiLevelType w:val="hybridMultilevel"/>
    <w:tmpl w:val="400C665A"/>
    <w:lvl w:ilvl="0" w:tplc="F4BC6F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F44C8F"/>
    <w:multiLevelType w:val="hybridMultilevel"/>
    <w:tmpl w:val="F2BA5A80"/>
    <w:lvl w:ilvl="0" w:tplc="3A288F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000946"/>
    <w:multiLevelType w:val="hybridMultilevel"/>
    <w:tmpl w:val="1C7632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A2011"/>
    <w:multiLevelType w:val="hybridMultilevel"/>
    <w:tmpl w:val="AAA8A258"/>
    <w:lvl w:ilvl="0" w:tplc="CBD0A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4E4DB8"/>
    <w:multiLevelType w:val="hybridMultilevel"/>
    <w:tmpl w:val="497A5B24"/>
    <w:lvl w:ilvl="0" w:tplc="B9E06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2C"/>
    <w:rsid w:val="000064FA"/>
    <w:rsid w:val="00015FDE"/>
    <w:rsid w:val="00016403"/>
    <w:rsid w:val="000318FB"/>
    <w:rsid w:val="000378F7"/>
    <w:rsid w:val="0003793C"/>
    <w:rsid w:val="00037B56"/>
    <w:rsid w:val="000506D8"/>
    <w:rsid w:val="00063480"/>
    <w:rsid w:val="000713E8"/>
    <w:rsid w:val="00071A3D"/>
    <w:rsid w:val="00097B89"/>
    <w:rsid w:val="000B2990"/>
    <w:rsid w:val="000B5ADB"/>
    <w:rsid w:val="000C382B"/>
    <w:rsid w:val="000C3F58"/>
    <w:rsid w:val="000D0E42"/>
    <w:rsid w:val="000D44E2"/>
    <w:rsid w:val="000E2148"/>
    <w:rsid w:val="000E4B44"/>
    <w:rsid w:val="000E700F"/>
    <w:rsid w:val="00100163"/>
    <w:rsid w:val="001025EF"/>
    <w:rsid w:val="00102C1C"/>
    <w:rsid w:val="001068E6"/>
    <w:rsid w:val="001356AF"/>
    <w:rsid w:val="001652CD"/>
    <w:rsid w:val="00170FAE"/>
    <w:rsid w:val="001740C0"/>
    <w:rsid w:val="00190E1A"/>
    <w:rsid w:val="00192423"/>
    <w:rsid w:val="001979CC"/>
    <w:rsid w:val="001A16FA"/>
    <w:rsid w:val="001A42D2"/>
    <w:rsid w:val="001C46C1"/>
    <w:rsid w:val="001D3A55"/>
    <w:rsid w:val="001D487A"/>
    <w:rsid w:val="001D54AA"/>
    <w:rsid w:val="001E2732"/>
    <w:rsid w:val="001E341E"/>
    <w:rsid w:val="001E5DB4"/>
    <w:rsid w:val="001F591C"/>
    <w:rsid w:val="001F64D4"/>
    <w:rsid w:val="001F71E8"/>
    <w:rsid w:val="00201D44"/>
    <w:rsid w:val="00204F22"/>
    <w:rsid w:val="00207DA9"/>
    <w:rsid w:val="0021268A"/>
    <w:rsid w:val="00221CBD"/>
    <w:rsid w:val="0022221E"/>
    <w:rsid w:val="00233146"/>
    <w:rsid w:val="0023651D"/>
    <w:rsid w:val="00241373"/>
    <w:rsid w:val="002453A3"/>
    <w:rsid w:val="00253BF9"/>
    <w:rsid w:val="00257FAC"/>
    <w:rsid w:val="00264983"/>
    <w:rsid w:val="00272B80"/>
    <w:rsid w:val="002846E4"/>
    <w:rsid w:val="00286F59"/>
    <w:rsid w:val="00296513"/>
    <w:rsid w:val="002A172E"/>
    <w:rsid w:val="002A1D6A"/>
    <w:rsid w:val="002A7DE0"/>
    <w:rsid w:val="002B5BCF"/>
    <w:rsid w:val="002C677D"/>
    <w:rsid w:val="002C7B4D"/>
    <w:rsid w:val="002C7DE8"/>
    <w:rsid w:val="002D03A3"/>
    <w:rsid w:val="002D171B"/>
    <w:rsid w:val="002D1790"/>
    <w:rsid w:val="002D5205"/>
    <w:rsid w:val="002D52F9"/>
    <w:rsid w:val="002E023A"/>
    <w:rsid w:val="002F33F0"/>
    <w:rsid w:val="002F660B"/>
    <w:rsid w:val="0031386A"/>
    <w:rsid w:val="0033133D"/>
    <w:rsid w:val="00356E34"/>
    <w:rsid w:val="00357676"/>
    <w:rsid w:val="00364833"/>
    <w:rsid w:val="0036488F"/>
    <w:rsid w:val="00371783"/>
    <w:rsid w:val="0038167B"/>
    <w:rsid w:val="0038385E"/>
    <w:rsid w:val="00385074"/>
    <w:rsid w:val="003A383B"/>
    <w:rsid w:val="003A5911"/>
    <w:rsid w:val="003B4F96"/>
    <w:rsid w:val="003C3282"/>
    <w:rsid w:val="003C3985"/>
    <w:rsid w:val="003C421E"/>
    <w:rsid w:val="003C7337"/>
    <w:rsid w:val="003D19A3"/>
    <w:rsid w:val="003E40B2"/>
    <w:rsid w:val="003F4317"/>
    <w:rsid w:val="003F4525"/>
    <w:rsid w:val="00401EDB"/>
    <w:rsid w:val="00404C93"/>
    <w:rsid w:val="00407877"/>
    <w:rsid w:val="00410EC0"/>
    <w:rsid w:val="00410FA1"/>
    <w:rsid w:val="004217F1"/>
    <w:rsid w:val="004318B3"/>
    <w:rsid w:val="004414F7"/>
    <w:rsid w:val="00445E20"/>
    <w:rsid w:val="00455B45"/>
    <w:rsid w:val="00472E7B"/>
    <w:rsid w:val="004779CF"/>
    <w:rsid w:val="00484152"/>
    <w:rsid w:val="00494BE0"/>
    <w:rsid w:val="004A7F75"/>
    <w:rsid w:val="004B2375"/>
    <w:rsid w:val="004B4733"/>
    <w:rsid w:val="004D7E2E"/>
    <w:rsid w:val="004E0515"/>
    <w:rsid w:val="004E22E2"/>
    <w:rsid w:val="004E47B1"/>
    <w:rsid w:val="004F5AE4"/>
    <w:rsid w:val="004F62FC"/>
    <w:rsid w:val="00523C13"/>
    <w:rsid w:val="005257C2"/>
    <w:rsid w:val="00540210"/>
    <w:rsid w:val="00542533"/>
    <w:rsid w:val="005537EC"/>
    <w:rsid w:val="00561938"/>
    <w:rsid w:val="005624B6"/>
    <w:rsid w:val="00563A19"/>
    <w:rsid w:val="00563AC1"/>
    <w:rsid w:val="0057237F"/>
    <w:rsid w:val="00577402"/>
    <w:rsid w:val="00591298"/>
    <w:rsid w:val="00595A77"/>
    <w:rsid w:val="005A0942"/>
    <w:rsid w:val="005A0F4B"/>
    <w:rsid w:val="005A1D3C"/>
    <w:rsid w:val="005A2BBA"/>
    <w:rsid w:val="005A38FE"/>
    <w:rsid w:val="005A3F34"/>
    <w:rsid w:val="005A6B99"/>
    <w:rsid w:val="005B2D03"/>
    <w:rsid w:val="005C5CBF"/>
    <w:rsid w:val="005D2F3D"/>
    <w:rsid w:val="005D67E5"/>
    <w:rsid w:val="005E7F99"/>
    <w:rsid w:val="005F6418"/>
    <w:rsid w:val="00603A17"/>
    <w:rsid w:val="00610F11"/>
    <w:rsid w:val="0061599B"/>
    <w:rsid w:val="0063071E"/>
    <w:rsid w:val="0063271C"/>
    <w:rsid w:val="00635BAA"/>
    <w:rsid w:val="00640612"/>
    <w:rsid w:val="00653558"/>
    <w:rsid w:val="00655864"/>
    <w:rsid w:val="00670C95"/>
    <w:rsid w:val="006810C9"/>
    <w:rsid w:val="00681460"/>
    <w:rsid w:val="00684225"/>
    <w:rsid w:val="006871CD"/>
    <w:rsid w:val="00697C11"/>
    <w:rsid w:val="006A09DB"/>
    <w:rsid w:val="006A0AE1"/>
    <w:rsid w:val="006A0C7C"/>
    <w:rsid w:val="006B0B9C"/>
    <w:rsid w:val="006B116A"/>
    <w:rsid w:val="006B261B"/>
    <w:rsid w:val="006B2748"/>
    <w:rsid w:val="006B2B80"/>
    <w:rsid w:val="006B7D35"/>
    <w:rsid w:val="006C4176"/>
    <w:rsid w:val="006C54BC"/>
    <w:rsid w:val="006C66EF"/>
    <w:rsid w:val="006D2617"/>
    <w:rsid w:val="006E2386"/>
    <w:rsid w:val="006F3CFB"/>
    <w:rsid w:val="0070011F"/>
    <w:rsid w:val="0070152E"/>
    <w:rsid w:val="00702896"/>
    <w:rsid w:val="00703E7D"/>
    <w:rsid w:val="0071224D"/>
    <w:rsid w:val="0071789F"/>
    <w:rsid w:val="007370F0"/>
    <w:rsid w:val="007476B2"/>
    <w:rsid w:val="00772C27"/>
    <w:rsid w:val="007802D9"/>
    <w:rsid w:val="00783AF2"/>
    <w:rsid w:val="00785BE6"/>
    <w:rsid w:val="0079324A"/>
    <w:rsid w:val="007A038B"/>
    <w:rsid w:val="007A6609"/>
    <w:rsid w:val="007E2E2F"/>
    <w:rsid w:val="007F24D1"/>
    <w:rsid w:val="007F514C"/>
    <w:rsid w:val="00802988"/>
    <w:rsid w:val="008135AE"/>
    <w:rsid w:val="008237B1"/>
    <w:rsid w:val="00830B6C"/>
    <w:rsid w:val="00834346"/>
    <w:rsid w:val="00850F68"/>
    <w:rsid w:val="008555CA"/>
    <w:rsid w:val="00862EC8"/>
    <w:rsid w:val="008654DE"/>
    <w:rsid w:val="00866993"/>
    <w:rsid w:val="008732ED"/>
    <w:rsid w:val="00874366"/>
    <w:rsid w:val="008A4804"/>
    <w:rsid w:val="008A58E9"/>
    <w:rsid w:val="008A704D"/>
    <w:rsid w:val="008B014D"/>
    <w:rsid w:val="008B164A"/>
    <w:rsid w:val="008C2498"/>
    <w:rsid w:val="008D10FD"/>
    <w:rsid w:val="008D122F"/>
    <w:rsid w:val="008D3224"/>
    <w:rsid w:val="008E18F7"/>
    <w:rsid w:val="00904F17"/>
    <w:rsid w:val="009105BB"/>
    <w:rsid w:val="00927231"/>
    <w:rsid w:val="00961672"/>
    <w:rsid w:val="0097288F"/>
    <w:rsid w:val="00984B02"/>
    <w:rsid w:val="009943E9"/>
    <w:rsid w:val="00994CD4"/>
    <w:rsid w:val="00995A8D"/>
    <w:rsid w:val="009A1DBF"/>
    <w:rsid w:val="009A4DE6"/>
    <w:rsid w:val="009A5253"/>
    <w:rsid w:val="009A6373"/>
    <w:rsid w:val="009B7F4D"/>
    <w:rsid w:val="009C03C8"/>
    <w:rsid w:val="009C63D5"/>
    <w:rsid w:val="009C717F"/>
    <w:rsid w:val="009D6D44"/>
    <w:rsid w:val="009F5312"/>
    <w:rsid w:val="00A05F2B"/>
    <w:rsid w:val="00A06ADB"/>
    <w:rsid w:val="00A104FB"/>
    <w:rsid w:val="00A23E04"/>
    <w:rsid w:val="00A4433E"/>
    <w:rsid w:val="00A47EF0"/>
    <w:rsid w:val="00A50DC0"/>
    <w:rsid w:val="00A51C39"/>
    <w:rsid w:val="00A708BE"/>
    <w:rsid w:val="00A720E6"/>
    <w:rsid w:val="00A72446"/>
    <w:rsid w:val="00A72F06"/>
    <w:rsid w:val="00A77FFD"/>
    <w:rsid w:val="00A862D9"/>
    <w:rsid w:val="00AA726B"/>
    <w:rsid w:val="00AB1C0F"/>
    <w:rsid w:val="00AB28F1"/>
    <w:rsid w:val="00AC47B6"/>
    <w:rsid w:val="00AD1D19"/>
    <w:rsid w:val="00AE16F0"/>
    <w:rsid w:val="00AF1A96"/>
    <w:rsid w:val="00AF4040"/>
    <w:rsid w:val="00AF59AC"/>
    <w:rsid w:val="00B001CC"/>
    <w:rsid w:val="00B02AB3"/>
    <w:rsid w:val="00B04483"/>
    <w:rsid w:val="00B12A6F"/>
    <w:rsid w:val="00B24F71"/>
    <w:rsid w:val="00B31892"/>
    <w:rsid w:val="00B332B2"/>
    <w:rsid w:val="00B36394"/>
    <w:rsid w:val="00B454C8"/>
    <w:rsid w:val="00B5752E"/>
    <w:rsid w:val="00B616A5"/>
    <w:rsid w:val="00B66974"/>
    <w:rsid w:val="00B67B26"/>
    <w:rsid w:val="00B765D7"/>
    <w:rsid w:val="00B77FBC"/>
    <w:rsid w:val="00B85728"/>
    <w:rsid w:val="00B930E3"/>
    <w:rsid w:val="00BA342C"/>
    <w:rsid w:val="00BB0AE0"/>
    <w:rsid w:val="00BB0FE6"/>
    <w:rsid w:val="00BB44AB"/>
    <w:rsid w:val="00BC6419"/>
    <w:rsid w:val="00BE0C36"/>
    <w:rsid w:val="00BE2725"/>
    <w:rsid w:val="00BE6C11"/>
    <w:rsid w:val="00BF052C"/>
    <w:rsid w:val="00BF0770"/>
    <w:rsid w:val="00C10589"/>
    <w:rsid w:val="00C21D33"/>
    <w:rsid w:val="00C22D27"/>
    <w:rsid w:val="00C261F6"/>
    <w:rsid w:val="00C3669E"/>
    <w:rsid w:val="00C36ED6"/>
    <w:rsid w:val="00C41293"/>
    <w:rsid w:val="00C422E3"/>
    <w:rsid w:val="00C4377C"/>
    <w:rsid w:val="00C437A7"/>
    <w:rsid w:val="00C61E3C"/>
    <w:rsid w:val="00C65DEC"/>
    <w:rsid w:val="00C763A3"/>
    <w:rsid w:val="00C80F5E"/>
    <w:rsid w:val="00C82259"/>
    <w:rsid w:val="00C831BC"/>
    <w:rsid w:val="00C8418C"/>
    <w:rsid w:val="00CB0E91"/>
    <w:rsid w:val="00CD6D61"/>
    <w:rsid w:val="00CD7381"/>
    <w:rsid w:val="00CE3B9F"/>
    <w:rsid w:val="00D0057B"/>
    <w:rsid w:val="00D11F25"/>
    <w:rsid w:val="00D22554"/>
    <w:rsid w:val="00D27113"/>
    <w:rsid w:val="00D33A3D"/>
    <w:rsid w:val="00D34DCC"/>
    <w:rsid w:val="00D664C1"/>
    <w:rsid w:val="00D742FC"/>
    <w:rsid w:val="00D74DCE"/>
    <w:rsid w:val="00D842D0"/>
    <w:rsid w:val="00D96228"/>
    <w:rsid w:val="00D971E0"/>
    <w:rsid w:val="00DC1E60"/>
    <w:rsid w:val="00DD106B"/>
    <w:rsid w:val="00DD60CC"/>
    <w:rsid w:val="00DD71CB"/>
    <w:rsid w:val="00DF7AC7"/>
    <w:rsid w:val="00E33B0E"/>
    <w:rsid w:val="00E34A3F"/>
    <w:rsid w:val="00E414BF"/>
    <w:rsid w:val="00E43E79"/>
    <w:rsid w:val="00E53CB5"/>
    <w:rsid w:val="00E53CCD"/>
    <w:rsid w:val="00E60FF5"/>
    <w:rsid w:val="00E82A6A"/>
    <w:rsid w:val="00E8777E"/>
    <w:rsid w:val="00E97386"/>
    <w:rsid w:val="00E97A59"/>
    <w:rsid w:val="00EA0246"/>
    <w:rsid w:val="00EA1DE4"/>
    <w:rsid w:val="00EA3A24"/>
    <w:rsid w:val="00ED042F"/>
    <w:rsid w:val="00ED095E"/>
    <w:rsid w:val="00ED5EF3"/>
    <w:rsid w:val="00ED60D8"/>
    <w:rsid w:val="00EE059D"/>
    <w:rsid w:val="00EE3E8A"/>
    <w:rsid w:val="00EE5950"/>
    <w:rsid w:val="00EE72B5"/>
    <w:rsid w:val="00F003D3"/>
    <w:rsid w:val="00F03226"/>
    <w:rsid w:val="00F03E32"/>
    <w:rsid w:val="00F12C5A"/>
    <w:rsid w:val="00F1562E"/>
    <w:rsid w:val="00F172EA"/>
    <w:rsid w:val="00F24CA4"/>
    <w:rsid w:val="00F31023"/>
    <w:rsid w:val="00F332C0"/>
    <w:rsid w:val="00F42E75"/>
    <w:rsid w:val="00F52D16"/>
    <w:rsid w:val="00F63BD9"/>
    <w:rsid w:val="00F646A4"/>
    <w:rsid w:val="00F6694C"/>
    <w:rsid w:val="00F8795F"/>
    <w:rsid w:val="00F87E9E"/>
    <w:rsid w:val="00F96F18"/>
    <w:rsid w:val="00F97473"/>
    <w:rsid w:val="00FA3DBC"/>
    <w:rsid w:val="00FA6EF0"/>
    <w:rsid w:val="00FA7B67"/>
    <w:rsid w:val="00FC6F50"/>
    <w:rsid w:val="00FD134C"/>
    <w:rsid w:val="00FD7644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93CF2"/>
  <w15:docId w15:val="{84FB3670-CCB5-4A32-B7D8-31F25EAF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3"/>
    <w:uiPriority w:val="34"/>
    <w:qFormat/>
    <w:locked/>
    <w:rsid w:val="00221CBD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annotation reference"/>
    <w:basedOn w:val="a0"/>
    <w:uiPriority w:val="99"/>
    <w:semiHidden/>
    <w:unhideWhenUsed/>
    <w:rsid w:val="00F9747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97473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F97473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97473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F97473"/>
    <w:rPr>
      <w:rFonts w:ascii="Times New Roman" w:hAnsi="Times New Roman" w:cs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05_&#1055;&#1086;&#1089;&#1090;&#1072;&#1085;&#1086;&#1074;&#1072;%20&#1055;&#1088;&#1072;&#1074;&#1083;&#1110;&#1085;&#1085;&#1103;%20&#1053;&#1041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4A20EAF-CD3B-41FD-8C8E-15D83725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05_Постанова Правління НБУ</Template>
  <TotalTime>2</TotalTime>
  <Pages>6</Pages>
  <Words>6631</Words>
  <Characters>3780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 Ольга Миколаївна</dc:creator>
  <cp:lastModifiedBy>Зима Марина Анатоліївна</cp:lastModifiedBy>
  <cp:revision>3</cp:revision>
  <cp:lastPrinted>2023-07-04T07:51:00Z</cp:lastPrinted>
  <dcterms:created xsi:type="dcterms:W3CDTF">2025-11-24T12:17:00Z</dcterms:created>
  <dcterms:modified xsi:type="dcterms:W3CDTF">2025-11-25T11:29:00Z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