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E515" w14:textId="77777777" w:rsidR="00E443CF" w:rsidRPr="0019489B" w:rsidRDefault="00E443CF" w:rsidP="00122618">
      <w:pPr>
        <w:pStyle w:val="a4"/>
        <w:spacing w:before="0" w:beforeAutospacing="0" w:after="0" w:afterAutospacing="0"/>
        <w:jc w:val="center"/>
        <w:rPr>
          <w:b/>
          <w:sz w:val="28"/>
          <w:szCs w:val="28"/>
        </w:rPr>
      </w:pPr>
      <w:r w:rsidRPr="0019489B">
        <w:rPr>
          <w:b/>
          <w:sz w:val="28"/>
          <w:szCs w:val="28"/>
        </w:rPr>
        <w:t>Порівняльна таблиця</w:t>
      </w:r>
    </w:p>
    <w:p w14:paraId="2F551618" w14:textId="6B8DE29A" w:rsidR="00E443CF" w:rsidRPr="0019489B" w:rsidRDefault="00E443CF" w:rsidP="00E443CF">
      <w:pPr>
        <w:pStyle w:val="a4"/>
        <w:spacing w:before="0" w:beforeAutospacing="0" w:after="0" w:afterAutospacing="0"/>
        <w:ind w:firstLine="709"/>
        <w:jc w:val="center"/>
        <w:rPr>
          <w:rFonts w:eastAsia="SimSun"/>
          <w:b/>
          <w:sz w:val="28"/>
          <w:szCs w:val="28"/>
        </w:rPr>
      </w:pPr>
      <w:r w:rsidRPr="0019489B">
        <w:rPr>
          <w:b/>
          <w:sz w:val="28"/>
          <w:szCs w:val="28"/>
        </w:rPr>
        <w:t xml:space="preserve">до проєкту постанови </w:t>
      </w:r>
      <w:r w:rsidRPr="0019489B">
        <w:rPr>
          <w:rFonts w:eastAsia="SimSun"/>
          <w:b/>
          <w:sz w:val="28"/>
          <w:szCs w:val="28"/>
        </w:rPr>
        <w:t>Правління Національного банку України “</w:t>
      </w:r>
      <w:r w:rsidR="001E5C9D" w:rsidRPr="0019489B">
        <w:rPr>
          <w:rFonts w:eastAsia="SimSun"/>
          <w:b/>
          <w:sz w:val="28"/>
          <w:szCs w:val="28"/>
        </w:rPr>
        <w:t>Про затвердження Положення про вимоги до додаткового звіту суб’єкта аудиторської діяльності щодо страховика та порядку його подання та внесення змін до постанови Правління Національного банку України від 29 грудня 2023 року №199</w:t>
      </w:r>
      <w:r w:rsidRPr="0019489B">
        <w:rPr>
          <w:rFonts w:eastAsia="SimSun"/>
          <w:b/>
          <w:sz w:val="28"/>
          <w:szCs w:val="28"/>
        </w:rPr>
        <w:t>”</w:t>
      </w:r>
    </w:p>
    <w:p w14:paraId="6E3D6AC9" w14:textId="77777777" w:rsidR="00E443CF" w:rsidRPr="0019489B" w:rsidRDefault="00E443CF" w:rsidP="00E443CF">
      <w:pPr>
        <w:pStyle w:val="a4"/>
        <w:spacing w:before="0" w:beforeAutospacing="0" w:after="0" w:afterAutospacing="0"/>
        <w:ind w:firstLine="709"/>
        <w:jc w:val="center"/>
        <w:rPr>
          <w:sz w:val="28"/>
          <w:szCs w:val="28"/>
        </w:rPr>
      </w:pPr>
      <w:r w:rsidRPr="0019489B">
        <w:rPr>
          <w:sz w:val="28"/>
          <w:szCs w:val="28"/>
        </w:rPr>
        <w:t> </w:t>
      </w:r>
    </w:p>
    <w:tbl>
      <w:tblPr>
        <w:tblStyle w:val="a3"/>
        <w:tblW w:w="5000" w:type="pct"/>
        <w:tblBorders>
          <w:bottom w:val="none" w:sz="0" w:space="0" w:color="auto"/>
        </w:tblBorders>
        <w:tblLook w:val="04A0" w:firstRow="1" w:lastRow="0" w:firstColumn="1" w:lastColumn="0" w:noHBand="0" w:noVBand="1"/>
      </w:tblPr>
      <w:tblGrid>
        <w:gridCol w:w="706"/>
        <w:gridCol w:w="7229"/>
        <w:gridCol w:w="6341"/>
      </w:tblGrid>
      <w:tr w:rsidR="001E5C9D" w:rsidRPr="0019489B" w14:paraId="0A0C5EED" w14:textId="77777777" w:rsidTr="0051787F">
        <w:tc>
          <w:tcPr>
            <w:tcW w:w="247" w:type="pct"/>
          </w:tcPr>
          <w:p w14:paraId="45369994" w14:textId="77777777" w:rsidR="001E5C9D" w:rsidRPr="0019489B" w:rsidRDefault="001E5C9D" w:rsidP="00E443CF">
            <w:pPr>
              <w:pStyle w:val="a4"/>
              <w:spacing w:before="0" w:beforeAutospacing="0" w:after="0" w:afterAutospacing="0"/>
              <w:jc w:val="center"/>
              <w:rPr>
                <w:sz w:val="28"/>
                <w:szCs w:val="28"/>
              </w:rPr>
            </w:pPr>
            <w:r w:rsidRPr="0019489B">
              <w:rPr>
                <w:sz w:val="28"/>
                <w:szCs w:val="28"/>
              </w:rPr>
              <w:t>№ з/п</w:t>
            </w:r>
          </w:p>
        </w:tc>
        <w:tc>
          <w:tcPr>
            <w:tcW w:w="2532" w:type="pct"/>
            <w:hideMark/>
          </w:tcPr>
          <w:p w14:paraId="5AAEA6A5" w14:textId="77777777" w:rsidR="001E5C9D" w:rsidRPr="0019489B" w:rsidRDefault="001E5C9D" w:rsidP="00E443CF">
            <w:pPr>
              <w:pStyle w:val="a4"/>
              <w:spacing w:before="0" w:beforeAutospacing="0" w:after="0" w:afterAutospacing="0"/>
              <w:jc w:val="center"/>
              <w:rPr>
                <w:sz w:val="28"/>
                <w:szCs w:val="28"/>
              </w:rPr>
            </w:pPr>
            <w:r w:rsidRPr="0019489B">
              <w:rPr>
                <w:sz w:val="28"/>
                <w:szCs w:val="28"/>
              </w:rPr>
              <w:t>Зміст положення (норми) чинного нормативно-правового акта</w:t>
            </w:r>
          </w:p>
        </w:tc>
        <w:tc>
          <w:tcPr>
            <w:tcW w:w="2222" w:type="pct"/>
            <w:hideMark/>
          </w:tcPr>
          <w:p w14:paraId="793BE6A6" w14:textId="77777777" w:rsidR="001E5C9D" w:rsidRPr="0019489B" w:rsidRDefault="001E5C9D" w:rsidP="00E443CF">
            <w:pPr>
              <w:pStyle w:val="a4"/>
              <w:spacing w:before="0" w:beforeAutospacing="0" w:after="0" w:afterAutospacing="0"/>
              <w:jc w:val="center"/>
              <w:rPr>
                <w:sz w:val="28"/>
                <w:szCs w:val="28"/>
              </w:rPr>
            </w:pPr>
            <w:r w:rsidRPr="0019489B">
              <w:rPr>
                <w:sz w:val="28"/>
                <w:szCs w:val="28"/>
              </w:rPr>
              <w:t>Зміст відповідного положення (норми) проєкту нормативно-правового акта</w:t>
            </w:r>
          </w:p>
        </w:tc>
      </w:tr>
    </w:tbl>
    <w:p w14:paraId="17A25DE0" w14:textId="77777777" w:rsidR="00D01832" w:rsidRPr="0019489B" w:rsidRDefault="00D01832" w:rsidP="00E443CF">
      <w:pPr>
        <w:pStyle w:val="a4"/>
        <w:tabs>
          <w:tab w:val="left" w:pos="4789"/>
        </w:tabs>
        <w:spacing w:before="0" w:beforeAutospacing="0" w:after="0" w:afterAutospacing="0"/>
        <w:ind w:left="113"/>
        <w:rPr>
          <w:sz w:val="2"/>
          <w:szCs w:val="2"/>
        </w:rPr>
      </w:pPr>
      <w:r w:rsidRPr="0019489B">
        <w:rPr>
          <w:sz w:val="2"/>
          <w:szCs w:val="2"/>
        </w:rPr>
        <w:tab/>
      </w:r>
    </w:p>
    <w:tbl>
      <w:tblPr>
        <w:tblStyle w:val="a3"/>
        <w:tblW w:w="5000" w:type="pct"/>
        <w:tblLook w:val="04A0" w:firstRow="1" w:lastRow="0" w:firstColumn="1" w:lastColumn="0" w:noHBand="0" w:noVBand="1"/>
      </w:tblPr>
      <w:tblGrid>
        <w:gridCol w:w="706"/>
        <w:gridCol w:w="7229"/>
        <w:gridCol w:w="6341"/>
      </w:tblGrid>
      <w:tr w:rsidR="001E5C9D" w:rsidRPr="0019489B" w14:paraId="1DEC3630" w14:textId="77777777" w:rsidTr="0051787F">
        <w:trPr>
          <w:trHeight w:val="20"/>
          <w:tblHeader/>
        </w:trPr>
        <w:tc>
          <w:tcPr>
            <w:tcW w:w="247" w:type="pct"/>
          </w:tcPr>
          <w:p w14:paraId="4AF8218E" w14:textId="77777777" w:rsidR="001E5C9D" w:rsidRPr="0019489B" w:rsidRDefault="001E5C9D" w:rsidP="00BD24F8">
            <w:pPr>
              <w:pStyle w:val="a4"/>
              <w:widowControl w:val="0"/>
              <w:spacing w:before="0" w:beforeAutospacing="0" w:after="0" w:afterAutospacing="0"/>
              <w:jc w:val="center"/>
              <w:rPr>
                <w:sz w:val="28"/>
                <w:szCs w:val="28"/>
              </w:rPr>
            </w:pPr>
            <w:r w:rsidRPr="0019489B">
              <w:rPr>
                <w:sz w:val="28"/>
                <w:szCs w:val="28"/>
              </w:rPr>
              <w:t>1</w:t>
            </w:r>
          </w:p>
        </w:tc>
        <w:tc>
          <w:tcPr>
            <w:tcW w:w="2532" w:type="pct"/>
            <w:hideMark/>
          </w:tcPr>
          <w:p w14:paraId="2C2C33DB" w14:textId="77777777" w:rsidR="001E5C9D" w:rsidRPr="0019489B" w:rsidRDefault="001E5C9D" w:rsidP="00BD24F8">
            <w:pPr>
              <w:pStyle w:val="a4"/>
              <w:widowControl w:val="0"/>
              <w:spacing w:before="0" w:beforeAutospacing="0" w:after="0" w:afterAutospacing="0"/>
              <w:jc w:val="center"/>
              <w:rPr>
                <w:sz w:val="28"/>
                <w:szCs w:val="28"/>
              </w:rPr>
            </w:pPr>
            <w:r w:rsidRPr="0019489B">
              <w:rPr>
                <w:sz w:val="28"/>
                <w:szCs w:val="28"/>
              </w:rPr>
              <w:t>2</w:t>
            </w:r>
          </w:p>
        </w:tc>
        <w:tc>
          <w:tcPr>
            <w:tcW w:w="2222" w:type="pct"/>
            <w:hideMark/>
          </w:tcPr>
          <w:p w14:paraId="36CE2848" w14:textId="77777777" w:rsidR="001E5C9D" w:rsidRPr="0019489B" w:rsidRDefault="001E5C9D" w:rsidP="00BD24F8">
            <w:pPr>
              <w:pStyle w:val="a4"/>
              <w:widowControl w:val="0"/>
              <w:spacing w:before="0" w:beforeAutospacing="0" w:after="0" w:afterAutospacing="0"/>
              <w:jc w:val="center"/>
              <w:rPr>
                <w:sz w:val="28"/>
                <w:szCs w:val="28"/>
              </w:rPr>
            </w:pPr>
            <w:r w:rsidRPr="0019489B">
              <w:rPr>
                <w:sz w:val="28"/>
                <w:szCs w:val="28"/>
              </w:rPr>
              <w:t>3</w:t>
            </w:r>
          </w:p>
        </w:tc>
      </w:tr>
      <w:tr w:rsidR="00BD24F8" w:rsidRPr="0019489B" w14:paraId="65E0EB28" w14:textId="77777777" w:rsidTr="00BD24F8">
        <w:trPr>
          <w:trHeight w:val="20"/>
        </w:trPr>
        <w:tc>
          <w:tcPr>
            <w:tcW w:w="247" w:type="pct"/>
          </w:tcPr>
          <w:p w14:paraId="09E795B9" w14:textId="77777777" w:rsidR="00BD24F8" w:rsidRPr="0019489B" w:rsidRDefault="00BD24F8" w:rsidP="00BD24F8">
            <w:pPr>
              <w:pStyle w:val="a4"/>
              <w:widowControl w:val="0"/>
              <w:spacing w:before="0" w:beforeAutospacing="0" w:after="0" w:afterAutospacing="0"/>
              <w:jc w:val="center"/>
              <w:rPr>
                <w:sz w:val="28"/>
                <w:szCs w:val="28"/>
              </w:rPr>
            </w:pPr>
            <w:r w:rsidRPr="0019489B">
              <w:rPr>
                <w:sz w:val="28"/>
                <w:szCs w:val="28"/>
              </w:rPr>
              <w:t>1</w:t>
            </w:r>
          </w:p>
        </w:tc>
        <w:tc>
          <w:tcPr>
            <w:tcW w:w="4753" w:type="pct"/>
            <w:gridSpan w:val="2"/>
          </w:tcPr>
          <w:p w14:paraId="14679C39" w14:textId="77777777" w:rsidR="00BD24F8" w:rsidRPr="0019489B" w:rsidRDefault="00BD24F8" w:rsidP="00BD24F8">
            <w:pPr>
              <w:pStyle w:val="a4"/>
              <w:widowControl w:val="0"/>
              <w:spacing w:before="0" w:beforeAutospacing="0" w:after="0" w:afterAutospacing="0"/>
              <w:jc w:val="center"/>
              <w:rPr>
                <w:sz w:val="28"/>
                <w:szCs w:val="28"/>
              </w:rPr>
            </w:pPr>
            <w:r w:rsidRPr="0019489B">
              <w:rPr>
                <w:sz w:val="28"/>
                <w:szCs w:val="28"/>
              </w:rPr>
              <w:t>Положення про авторизацію надавачів фінансових послуг та умови здійснення ними діяльності з надання фінансових послуг”</w:t>
            </w:r>
          </w:p>
        </w:tc>
      </w:tr>
      <w:tr w:rsidR="00BD24F8" w:rsidRPr="0019489B" w14:paraId="610C81A0" w14:textId="77777777" w:rsidTr="0051787F">
        <w:trPr>
          <w:trHeight w:val="20"/>
        </w:trPr>
        <w:tc>
          <w:tcPr>
            <w:tcW w:w="247" w:type="pct"/>
          </w:tcPr>
          <w:p w14:paraId="00AA3D12" w14:textId="77777777" w:rsidR="00BD24F8" w:rsidRPr="0019489B" w:rsidRDefault="00BD24F8" w:rsidP="00BD24F8">
            <w:pPr>
              <w:pStyle w:val="a4"/>
              <w:widowControl w:val="0"/>
              <w:spacing w:before="0" w:beforeAutospacing="0" w:after="0" w:afterAutospacing="0"/>
              <w:ind w:firstLine="25"/>
              <w:jc w:val="center"/>
              <w:rPr>
                <w:sz w:val="28"/>
                <w:szCs w:val="28"/>
              </w:rPr>
            </w:pPr>
            <w:r w:rsidRPr="0019489B">
              <w:rPr>
                <w:sz w:val="28"/>
                <w:szCs w:val="28"/>
              </w:rPr>
              <w:t>2</w:t>
            </w:r>
          </w:p>
        </w:tc>
        <w:tc>
          <w:tcPr>
            <w:tcW w:w="2532" w:type="pct"/>
          </w:tcPr>
          <w:p w14:paraId="1DF57F5B" w14:textId="77777777" w:rsidR="00BD24F8" w:rsidRPr="0019489B" w:rsidRDefault="00BD24F8" w:rsidP="00BD24F8">
            <w:pPr>
              <w:widowControl w:val="0"/>
            </w:pPr>
            <w:r w:rsidRPr="0019489B">
              <w:t xml:space="preserve">743. Надавач фінансових послуг зобов’язаний надати Національному банку протягом трьох робочих днів після: </w:t>
            </w:r>
          </w:p>
          <w:p w14:paraId="6E239927" w14:textId="77777777" w:rsidR="00BD24F8" w:rsidRPr="0019489B" w:rsidRDefault="00BD24F8" w:rsidP="00BD24F8">
            <w:pPr>
              <w:widowControl w:val="0"/>
            </w:pPr>
            <w:r w:rsidRPr="0019489B">
              <w:t>…</w:t>
            </w:r>
          </w:p>
          <w:p w14:paraId="66B7635E" w14:textId="77777777" w:rsidR="00BD24F8" w:rsidRPr="0019489B" w:rsidRDefault="00BD24F8" w:rsidP="00BD24F8">
            <w:pPr>
              <w:widowControl w:val="0"/>
            </w:pPr>
          </w:p>
          <w:p w14:paraId="246BE87D" w14:textId="77777777" w:rsidR="00BD24F8" w:rsidRPr="0019489B" w:rsidRDefault="00BD24F8" w:rsidP="00BD24F8">
            <w:pPr>
              <w:widowControl w:val="0"/>
              <w:rPr>
                <w:b/>
              </w:rPr>
            </w:pPr>
            <w:r w:rsidRPr="0019489B">
              <w:t xml:space="preserve">5) призначення суб’єкта аудиторської діяльності, який надаватиме послуги з обов’язкового аудиту фінансової звітності страховика (для страховиків): письмове повідомлення із зазначенням даних про суб’єкта аудиторської діяльності, наведених у пунктах 1–4 частини третьої статті 21 Закону України “Про аудит фінансової звітності та аудиторську діяльність”, за формою, </w:t>
            </w:r>
            <w:r w:rsidRPr="0019489B">
              <w:rPr>
                <w:b/>
                <w:strike/>
              </w:rPr>
              <w:t>встановленою нормативно-правовим актом Національного банку щодо заповнення та подання повідомлення фінансовою установою, яка віднесена до підприємств, що становлять суспільний інтерес, про суб’єкта аудиторської діяльності, який надаватиме послуги аудиту фінансової звітності</w:t>
            </w:r>
            <w:r w:rsidRPr="0019489B">
              <w:t>.</w:t>
            </w:r>
          </w:p>
        </w:tc>
        <w:tc>
          <w:tcPr>
            <w:tcW w:w="2222" w:type="pct"/>
          </w:tcPr>
          <w:p w14:paraId="5AC2C6FF" w14:textId="77777777" w:rsidR="00BD24F8" w:rsidRPr="0019489B" w:rsidRDefault="00BD24F8" w:rsidP="00BD24F8">
            <w:pPr>
              <w:widowControl w:val="0"/>
            </w:pPr>
            <w:r w:rsidRPr="0019489B">
              <w:t xml:space="preserve">743. Надавач фінансових послуг зобов’язаний надати Національному банку протягом трьох робочих днів після: </w:t>
            </w:r>
          </w:p>
          <w:p w14:paraId="7D58F854" w14:textId="77777777" w:rsidR="00BD24F8" w:rsidRPr="0019489B" w:rsidRDefault="00BD24F8" w:rsidP="00BD24F8">
            <w:pPr>
              <w:widowControl w:val="0"/>
            </w:pPr>
            <w:r w:rsidRPr="0019489B">
              <w:t>…</w:t>
            </w:r>
          </w:p>
          <w:p w14:paraId="593BAA98" w14:textId="77777777" w:rsidR="00BD24F8" w:rsidRPr="0019489B" w:rsidRDefault="00BD24F8" w:rsidP="0051787F">
            <w:pPr>
              <w:pStyle w:val="rvps2"/>
              <w:widowControl w:val="0"/>
              <w:shd w:val="clear" w:color="auto" w:fill="FFFFFF"/>
              <w:spacing w:before="0" w:beforeAutospacing="0" w:after="0" w:afterAutospacing="0"/>
              <w:jc w:val="both"/>
              <w:rPr>
                <w:b/>
                <w:sz w:val="28"/>
                <w:szCs w:val="28"/>
              </w:rPr>
            </w:pPr>
            <w:r w:rsidRPr="0019489B">
              <w:rPr>
                <w:sz w:val="28"/>
                <w:szCs w:val="28"/>
              </w:rPr>
              <w:t xml:space="preserve">5) призначення суб’єкта аудиторської діяльності, який надаватиме послуги з обов’язкового аудиту фінансової звітності страховика (для страховиків): письмове повідомлення із зазначенням даних про суб’єкта аудиторської діяльності, наведених у пунктах 1–4 частини третьої статті 21 Закону України “Про аудит фінансової звітності та аудиторську діяльність”, за формою, </w:t>
            </w:r>
            <w:r w:rsidRPr="0019489B">
              <w:rPr>
                <w:b/>
                <w:sz w:val="28"/>
                <w:szCs w:val="28"/>
              </w:rPr>
              <w:t>затвердженою розпорядчим актом Національного банку та розміщеною на сторінці офіційного Інтернет-представництва Національного банку.</w:t>
            </w:r>
          </w:p>
        </w:tc>
      </w:tr>
      <w:tr w:rsidR="00BD24F8" w:rsidRPr="0019489B" w14:paraId="03CBB5A0" w14:textId="77777777" w:rsidTr="00BD24F8">
        <w:trPr>
          <w:trHeight w:val="20"/>
        </w:trPr>
        <w:tc>
          <w:tcPr>
            <w:tcW w:w="247" w:type="pct"/>
          </w:tcPr>
          <w:p w14:paraId="37D5D35B" w14:textId="77777777" w:rsidR="00BD24F8" w:rsidRPr="0019489B" w:rsidRDefault="00BD24F8" w:rsidP="00BD24F8">
            <w:pPr>
              <w:pStyle w:val="a4"/>
              <w:widowControl w:val="0"/>
              <w:spacing w:before="0" w:beforeAutospacing="0" w:after="0" w:afterAutospacing="0"/>
              <w:jc w:val="center"/>
              <w:rPr>
                <w:sz w:val="28"/>
                <w:szCs w:val="28"/>
              </w:rPr>
            </w:pPr>
            <w:r w:rsidRPr="0019489B">
              <w:rPr>
                <w:sz w:val="28"/>
                <w:szCs w:val="28"/>
              </w:rPr>
              <w:t>3</w:t>
            </w:r>
          </w:p>
        </w:tc>
        <w:tc>
          <w:tcPr>
            <w:tcW w:w="4753" w:type="pct"/>
            <w:gridSpan w:val="2"/>
            <w:hideMark/>
          </w:tcPr>
          <w:p w14:paraId="211A2A0B" w14:textId="27223788" w:rsidR="00BD24F8" w:rsidRPr="0019489B" w:rsidRDefault="00BD24F8" w:rsidP="00A16C7B">
            <w:pPr>
              <w:pStyle w:val="a4"/>
              <w:widowControl w:val="0"/>
              <w:spacing w:before="0" w:beforeAutospacing="0" w:after="0" w:afterAutospacing="0"/>
              <w:jc w:val="center"/>
              <w:rPr>
                <w:sz w:val="28"/>
                <w:szCs w:val="28"/>
              </w:rPr>
            </w:pPr>
            <w:r w:rsidRPr="0019489B">
              <w:rPr>
                <w:sz w:val="28"/>
                <w:szCs w:val="28"/>
              </w:rPr>
              <w:t xml:space="preserve">Додаток 5 до постанови Правління Національного банку України від 29 грудня 2023 року № 199 “Про затвердження Положення про авторизацію надавачів фінансових послуг та умови здійснення ними діяльності з </w:t>
            </w:r>
            <w:r w:rsidRPr="0019489B">
              <w:rPr>
                <w:sz w:val="28"/>
                <w:szCs w:val="28"/>
              </w:rPr>
              <w:lastRenderedPageBreak/>
              <w:t xml:space="preserve">надання фінансових послуг” </w:t>
            </w:r>
            <w:bookmarkStart w:id="0" w:name="_GoBack"/>
            <w:bookmarkEnd w:id="0"/>
          </w:p>
        </w:tc>
      </w:tr>
      <w:tr w:rsidR="00BD24F8" w:rsidRPr="0019489B" w14:paraId="328CE1BF" w14:textId="77777777" w:rsidTr="0051787F">
        <w:trPr>
          <w:trHeight w:val="20"/>
        </w:trPr>
        <w:tc>
          <w:tcPr>
            <w:tcW w:w="247" w:type="pct"/>
          </w:tcPr>
          <w:p w14:paraId="3903757F" w14:textId="77777777" w:rsidR="00BD24F8" w:rsidRPr="0019489B" w:rsidRDefault="00BD24F8" w:rsidP="00BD24F8">
            <w:pPr>
              <w:pStyle w:val="a4"/>
              <w:widowControl w:val="0"/>
              <w:spacing w:before="0" w:beforeAutospacing="0" w:after="0" w:afterAutospacing="0"/>
              <w:ind w:firstLine="25"/>
              <w:jc w:val="center"/>
              <w:rPr>
                <w:sz w:val="28"/>
                <w:szCs w:val="28"/>
              </w:rPr>
            </w:pPr>
            <w:r w:rsidRPr="0019489B">
              <w:rPr>
                <w:sz w:val="28"/>
                <w:szCs w:val="28"/>
              </w:rPr>
              <w:lastRenderedPageBreak/>
              <w:t>4</w:t>
            </w:r>
          </w:p>
        </w:tc>
        <w:tc>
          <w:tcPr>
            <w:tcW w:w="2532" w:type="pct"/>
          </w:tcPr>
          <w:p w14:paraId="54BF4FB8" w14:textId="77777777" w:rsidR="00BD24F8" w:rsidRPr="0019489B" w:rsidRDefault="00BD24F8" w:rsidP="00BD24F8">
            <w:pPr>
              <w:pStyle w:val="a4"/>
              <w:widowControl w:val="0"/>
              <w:spacing w:before="0" w:beforeAutospacing="0" w:after="0" w:afterAutospacing="0"/>
              <w:jc w:val="both"/>
              <w:rPr>
                <w:sz w:val="28"/>
                <w:szCs w:val="28"/>
              </w:rPr>
            </w:pPr>
            <w:r w:rsidRPr="0019489B">
              <w:rPr>
                <w:sz w:val="28"/>
                <w:szCs w:val="28"/>
              </w:rPr>
              <w:t xml:space="preserve">5. Звіт про надання впевненості повинен включати підтвердження суб’єктом аудиторської діяльності оцінки активів небанківської фінансової установи відповідно до вимог міжнародних стандартів фінансової звітності за такими статтями: </w:t>
            </w:r>
          </w:p>
          <w:p w14:paraId="4A6223BB" w14:textId="77777777" w:rsidR="00BD24F8" w:rsidRPr="0019489B" w:rsidRDefault="00BD24F8" w:rsidP="00BD24F8">
            <w:pPr>
              <w:pStyle w:val="a4"/>
              <w:widowControl w:val="0"/>
              <w:spacing w:before="0" w:beforeAutospacing="0" w:after="0" w:afterAutospacing="0"/>
              <w:jc w:val="both"/>
              <w:rPr>
                <w:sz w:val="28"/>
                <w:szCs w:val="28"/>
              </w:rPr>
            </w:pPr>
            <w:r w:rsidRPr="0019489B">
              <w:rPr>
                <w:sz w:val="28"/>
                <w:szCs w:val="28"/>
              </w:rPr>
              <w:t xml:space="preserve">1) грошові кошти та еквіваленти, </w:t>
            </w:r>
          </w:p>
          <w:p w14:paraId="32018743" w14:textId="77777777" w:rsidR="00BD24F8" w:rsidRPr="0019489B" w:rsidRDefault="00BD24F8" w:rsidP="00BD24F8">
            <w:pPr>
              <w:pStyle w:val="a4"/>
              <w:widowControl w:val="0"/>
              <w:spacing w:before="0" w:beforeAutospacing="0" w:after="0" w:afterAutospacing="0"/>
              <w:jc w:val="both"/>
              <w:rPr>
                <w:sz w:val="28"/>
                <w:szCs w:val="28"/>
              </w:rPr>
            </w:pPr>
            <w:r w:rsidRPr="0019489B">
              <w:rPr>
                <w:sz w:val="28"/>
                <w:szCs w:val="28"/>
              </w:rPr>
              <w:t xml:space="preserve">2) державні цінні папери, </w:t>
            </w:r>
          </w:p>
          <w:p w14:paraId="7FAEF65E" w14:textId="77777777" w:rsidR="00BD24F8" w:rsidRPr="0019489B" w:rsidRDefault="00BD24F8" w:rsidP="00BD24F8">
            <w:pPr>
              <w:pStyle w:val="a4"/>
              <w:widowControl w:val="0"/>
              <w:spacing w:before="0" w:beforeAutospacing="0" w:after="0" w:afterAutospacing="0"/>
              <w:jc w:val="both"/>
              <w:rPr>
                <w:sz w:val="28"/>
                <w:szCs w:val="28"/>
              </w:rPr>
            </w:pPr>
            <w:r w:rsidRPr="0019489B">
              <w:rPr>
                <w:sz w:val="28"/>
                <w:szCs w:val="28"/>
              </w:rPr>
              <w:t xml:space="preserve">3) акції, облігації іноземних емітентів та цінні папери іноземних держав, </w:t>
            </w:r>
          </w:p>
          <w:p w14:paraId="762E7CF7" w14:textId="77777777" w:rsidR="00BD24F8" w:rsidRPr="0019489B" w:rsidRDefault="00BD24F8" w:rsidP="00BD24F8">
            <w:pPr>
              <w:pStyle w:val="a4"/>
              <w:widowControl w:val="0"/>
              <w:spacing w:before="0" w:beforeAutospacing="0" w:after="0" w:afterAutospacing="0"/>
              <w:jc w:val="both"/>
              <w:rPr>
                <w:sz w:val="28"/>
                <w:szCs w:val="28"/>
              </w:rPr>
            </w:pPr>
            <w:r w:rsidRPr="0019489B">
              <w:rPr>
                <w:sz w:val="28"/>
                <w:szCs w:val="28"/>
              </w:rPr>
              <w:t xml:space="preserve">4) дебіторська заборгованість, </w:t>
            </w:r>
          </w:p>
          <w:p w14:paraId="707D03A4" w14:textId="77777777" w:rsidR="00BD24F8" w:rsidRPr="0019489B" w:rsidRDefault="00BD24F8" w:rsidP="00BD24F8">
            <w:pPr>
              <w:pStyle w:val="a4"/>
              <w:widowControl w:val="0"/>
              <w:spacing w:before="0" w:beforeAutospacing="0" w:after="0" w:afterAutospacing="0"/>
              <w:jc w:val="both"/>
              <w:rPr>
                <w:sz w:val="28"/>
                <w:szCs w:val="28"/>
              </w:rPr>
            </w:pPr>
            <w:r w:rsidRPr="0019489B">
              <w:rPr>
                <w:sz w:val="28"/>
                <w:szCs w:val="28"/>
              </w:rPr>
              <w:t xml:space="preserve">5) нерухоме майно, </w:t>
            </w:r>
          </w:p>
          <w:p w14:paraId="0701AAC9" w14:textId="77777777" w:rsidR="00BD24F8" w:rsidRPr="0019489B" w:rsidRDefault="00BD24F8" w:rsidP="00BD24F8">
            <w:pPr>
              <w:pStyle w:val="a4"/>
              <w:widowControl w:val="0"/>
              <w:spacing w:before="0" w:beforeAutospacing="0" w:after="0" w:afterAutospacing="0"/>
              <w:jc w:val="both"/>
              <w:rPr>
                <w:sz w:val="28"/>
                <w:szCs w:val="28"/>
              </w:rPr>
            </w:pPr>
            <w:r w:rsidRPr="0019489B">
              <w:rPr>
                <w:sz w:val="28"/>
                <w:szCs w:val="28"/>
              </w:rPr>
              <w:t>6) активи з правом користування відповідно до Міжнародного стандарту фінансової звітності 16 “Оренда”, якщо інше не передбачено нормативно-правовим актом Національного банку, яким визначено вимоги до аудиторських звітів.</w:t>
            </w:r>
          </w:p>
          <w:p w14:paraId="66018C67" w14:textId="77777777" w:rsidR="00BD24F8" w:rsidRPr="0019489B" w:rsidRDefault="00BD24F8" w:rsidP="00BD24F8">
            <w:pPr>
              <w:pStyle w:val="a4"/>
              <w:widowControl w:val="0"/>
              <w:spacing w:before="0" w:beforeAutospacing="0" w:after="0" w:afterAutospacing="0"/>
              <w:jc w:val="both"/>
              <w:rPr>
                <w:b/>
                <w:sz w:val="28"/>
                <w:szCs w:val="28"/>
              </w:rPr>
            </w:pPr>
            <w:r w:rsidRPr="0019489B">
              <w:rPr>
                <w:b/>
                <w:sz w:val="28"/>
                <w:szCs w:val="28"/>
              </w:rPr>
              <w:t>відсутній</w:t>
            </w:r>
          </w:p>
        </w:tc>
        <w:tc>
          <w:tcPr>
            <w:tcW w:w="2222" w:type="pct"/>
          </w:tcPr>
          <w:p w14:paraId="64742BC6" w14:textId="77777777" w:rsidR="00BD24F8" w:rsidRPr="0019489B" w:rsidRDefault="00BD24F8" w:rsidP="00BD24F8">
            <w:pPr>
              <w:pStyle w:val="a4"/>
              <w:widowControl w:val="0"/>
              <w:spacing w:before="0" w:beforeAutospacing="0" w:after="0" w:afterAutospacing="0"/>
              <w:jc w:val="both"/>
              <w:rPr>
                <w:sz w:val="28"/>
                <w:szCs w:val="28"/>
              </w:rPr>
            </w:pPr>
          </w:p>
          <w:p w14:paraId="57C03B65" w14:textId="77777777" w:rsidR="00BD24F8" w:rsidRPr="0019489B" w:rsidRDefault="00BD24F8" w:rsidP="00BD24F8">
            <w:pPr>
              <w:pStyle w:val="a4"/>
              <w:widowControl w:val="0"/>
              <w:spacing w:before="0" w:beforeAutospacing="0" w:after="0" w:afterAutospacing="0"/>
              <w:jc w:val="both"/>
              <w:rPr>
                <w:sz w:val="28"/>
                <w:szCs w:val="28"/>
              </w:rPr>
            </w:pPr>
          </w:p>
          <w:p w14:paraId="04B38430" w14:textId="77777777" w:rsidR="00BD24F8" w:rsidRPr="0019489B" w:rsidRDefault="00BD24F8" w:rsidP="00BD24F8">
            <w:pPr>
              <w:pStyle w:val="a4"/>
              <w:widowControl w:val="0"/>
              <w:spacing w:before="0" w:beforeAutospacing="0" w:after="0" w:afterAutospacing="0"/>
              <w:jc w:val="both"/>
              <w:rPr>
                <w:sz w:val="28"/>
                <w:szCs w:val="28"/>
              </w:rPr>
            </w:pPr>
          </w:p>
          <w:p w14:paraId="75E2C787" w14:textId="77777777" w:rsidR="00BD24F8" w:rsidRPr="0019489B" w:rsidRDefault="00BD24F8" w:rsidP="00BD24F8">
            <w:pPr>
              <w:pStyle w:val="a4"/>
              <w:widowControl w:val="0"/>
              <w:spacing w:before="0" w:beforeAutospacing="0" w:after="0" w:afterAutospacing="0"/>
              <w:jc w:val="both"/>
              <w:rPr>
                <w:sz w:val="28"/>
                <w:szCs w:val="28"/>
              </w:rPr>
            </w:pPr>
          </w:p>
          <w:p w14:paraId="180D78B0" w14:textId="77777777" w:rsidR="00BD24F8" w:rsidRPr="0019489B" w:rsidRDefault="00BD24F8" w:rsidP="00BD24F8">
            <w:pPr>
              <w:pStyle w:val="a4"/>
              <w:widowControl w:val="0"/>
              <w:spacing w:before="0" w:beforeAutospacing="0" w:after="0" w:afterAutospacing="0"/>
              <w:jc w:val="both"/>
              <w:rPr>
                <w:sz w:val="28"/>
                <w:szCs w:val="28"/>
              </w:rPr>
            </w:pPr>
          </w:p>
          <w:p w14:paraId="57DBA81E" w14:textId="77777777" w:rsidR="00BD24F8" w:rsidRPr="0019489B" w:rsidRDefault="00BD24F8" w:rsidP="00BD24F8">
            <w:pPr>
              <w:pStyle w:val="a4"/>
              <w:widowControl w:val="0"/>
              <w:spacing w:before="0" w:beforeAutospacing="0" w:after="0" w:afterAutospacing="0"/>
              <w:jc w:val="both"/>
              <w:rPr>
                <w:sz w:val="28"/>
                <w:szCs w:val="28"/>
              </w:rPr>
            </w:pPr>
          </w:p>
          <w:p w14:paraId="20CD58DF" w14:textId="77777777" w:rsidR="00BD24F8" w:rsidRPr="0019489B" w:rsidRDefault="00BD24F8" w:rsidP="00BD24F8">
            <w:pPr>
              <w:pStyle w:val="a4"/>
              <w:widowControl w:val="0"/>
              <w:spacing w:before="0" w:beforeAutospacing="0" w:after="0" w:afterAutospacing="0"/>
              <w:jc w:val="both"/>
              <w:rPr>
                <w:sz w:val="28"/>
                <w:szCs w:val="28"/>
              </w:rPr>
            </w:pPr>
          </w:p>
          <w:p w14:paraId="00D731EA" w14:textId="77777777" w:rsidR="00BD24F8" w:rsidRPr="0019489B" w:rsidRDefault="00BD24F8" w:rsidP="00BD24F8">
            <w:pPr>
              <w:pStyle w:val="a4"/>
              <w:widowControl w:val="0"/>
              <w:spacing w:before="0" w:beforeAutospacing="0" w:after="0" w:afterAutospacing="0"/>
              <w:jc w:val="both"/>
              <w:rPr>
                <w:sz w:val="28"/>
                <w:szCs w:val="28"/>
              </w:rPr>
            </w:pPr>
          </w:p>
          <w:p w14:paraId="5AA29BBF" w14:textId="77777777" w:rsidR="00BD24F8" w:rsidRPr="0019489B" w:rsidRDefault="00BD24F8" w:rsidP="00BD24F8">
            <w:pPr>
              <w:pStyle w:val="a4"/>
              <w:widowControl w:val="0"/>
              <w:spacing w:before="0" w:beforeAutospacing="0" w:after="0" w:afterAutospacing="0"/>
              <w:jc w:val="both"/>
              <w:rPr>
                <w:sz w:val="28"/>
                <w:szCs w:val="28"/>
              </w:rPr>
            </w:pPr>
          </w:p>
          <w:p w14:paraId="2B3DE201" w14:textId="77777777" w:rsidR="00BD24F8" w:rsidRPr="0019489B" w:rsidRDefault="00BD24F8" w:rsidP="00BD24F8">
            <w:pPr>
              <w:pStyle w:val="a4"/>
              <w:widowControl w:val="0"/>
              <w:spacing w:before="0" w:beforeAutospacing="0" w:after="0" w:afterAutospacing="0"/>
              <w:jc w:val="both"/>
              <w:rPr>
                <w:sz w:val="28"/>
                <w:szCs w:val="28"/>
              </w:rPr>
            </w:pPr>
          </w:p>
          <w:p w14:paraId="001409B9" w14:textId="77777777" w:rsidR="00BD24F8" w:rsidRPr="0019489B" w:rsidRDefault="00BD24F8" w:rsidP="00BD24F8">
            <w:pPr>
              <w:pStyle w:val="a4"/>
              <w:widowControl w:val="0"/>
              <w:spacing w:before="0" w:beforeAutospacing="0" w:after="0" w:afterAutospacing="0"/>
              <w:jc w:val="both"/>
              <w:rPr>
                <w:sz w:val="28"/>
                <w:szCs w:val="28"/>
              </w:rPr>
            </w:pPr>
          </w:p>
          <w:p w14:paraId="1BC5AB04" w14:textId="77777777" w:rsidR="00BD24F8" w:rsidRPr="0019489B" w:rsidRDefault="00BD24F8" w:rsidP="00BD24F8">
            <w:pPr>
              <w:pStyle w:val="a4"/>
              <w:widowControl w:val="0"/>
              <w:spacing w:before="0" w:beforeAutospacing="0" w:after="0" w:afterAutospacing="0"/>
              <w:jc w:val="both"/>
              <w:rPr>
                <w:sz w:val="28"/>
                <w:szCs w:val="28"/>
              </w:rPr>
            </w:pPr>
          </w:p>
          <w:p w14:paraId="093E83C3" w14:textId="77777777" w:rsidR="0051787F" w:rsidRPr="0019489B" w:rsidRDefault="0051787F" w:rsidP="00BD24F8">
            <w:pPr>
              <w:pStyle w:val="a4"/>
              <w:widowControl w:val="0"/>
              <w:spacing w:before="0" w:beforeAutospacing="0" w:after="0" w:afterAutospacing="0"/>
              <w:jc w:val="both"/>
              <w:rPr>
                <w:sz w:val="28"/>
                <w:szCs w:val="28"/>
              </w:rPr>
            </w:pPr>
          </w:p>
          <w:p w14:paraId="3E517FA5" w14:textId="77777777" w:rsidR="00BD24F8" w:rsidRPr="0019489B" w:rsidRDefault="00BD24F8" w:rsidP="00BD24F8">
            <w:pPr>
              <w:pStyle w:val="a4"/>
              <w:widowControl w:val="0"/>
              <w:spacing w:before="0" w:beforeAutospacing="0" w:after="0" w:afterAutospacing="0"/>
              <w:jc w:val="both"/>
              <w:rPr>
                <w:sz w:val="28"/>
                <w:szCs w:val="28"/>
              </w:rPr>
            </w:pPr>
          </w:p>
          <w:p w14:paraId="579AB26F" w14:textId="77777777" w:rsidR="00BD24F8" w:rsidRPr="0019489B" w:rsidRDefault="00BD24F8" w:rsidP="00BD24F8">
            <w:pPr>
              <w:pStyle w:val="a4"/>
              <w:widowControl w:val="0"/>
              <w:spacing w:before="0" w:beforeAutospacing="0" w:after="0" w:afterAutospacing="0"/>
              <w:jc w:val="both"/>
              <w:rPr>
                <w:b/>
                <w:sz w:val="28"/>
                <w:szCs w:val="28"/>
              </w:rPr>
            </w:pPr>
          </w:p>
          <w:p w14:paraId="64BC2FD4" w14:textId="77777777" w:rsidR="00BD24F8" w:rsidRPr="0019489B" w:rsidRDefault="00BD24F8" w:rsidP="00BD24F8">
            <w:pPr>
              <w:pStyle w:val="a4"/>
              <w:widowControl w:val="0"/>
              <w:spacing w:before="0" w:beforeAutospacing="0" w:after="0" w:afterAutospacing="0"/>
              <w:jc w:val="both"/>
              <w:rPr>
                <w:b/>
                <w:sz w:val="28"/>
                <w:szCs w:val="28"/>
              </w:rPr>
            </w:pPr>
          </w:p>
          <w:p w14:paraId="2283BA40" w14:textId="77777777" w:rsidR="00BD24F8" w:rsidRPr="0019489B" w:rsidRDefault="00BD24F8" w:rsidP="00BD24F8">
            <w:pPr>
              <w:pStyle w:val="a4"/>
              <w:widowControl w:val="0"/>
              <w:spacing w:before="0" w:beforeAutospacing="0" w:after="0" w:afterAutospacing="0"/>
              <w:jc w:val="both"/>
              <w:rPr>
                <w:b/>
                <w:sz w:val="28"/>
                <w:szCs w:val="28"/>
              </w:rPr>
            </w:pPr>
            <w:r w:rsidRPr="0019489B">
              <w:rPr>
                <w:b/>
                <w:sz w:val="28"/>
                <w:szCs w:val="28"/>
              </w:rPr>
              <w:t xml:space="preserve">Пункт 5 додатка 5 до </w:t>
            </w:r>
            <w:r w:rsidRPr="0019489B">
              <w:rPr>
                <w:sz w:val="28"/>
                <w:szCs w:val="28"/>
              </w:rPr>
              <w:t xml:space="preserve">постанови Правління Національного банку України “Про затвердження Положення про авторизацію надавачів фінансових послуг та умови здійснення ними діяльності з надання фінансових послуг” </w:t>
            </w:r>
            <w:r w:rsidRPr="0019489B">
              <w:rPr>
                <w:b/>
                <w:sz w:val="28"/>
                <w:szCs w:val="28"/>
              </w:rPr>
              <w:t>не застосовується до звіту про надання впевненості щодо річних звітних даних (даних звітності) за 2023 рік страховиків.</w:t>
            </w:r>
          </w:p>
        </w:tc>
      </w:tr>
    </w:tbl>
    <w:p w14:paraId="61BD3493" w14:textId="77777777" w:rsidR="00E443CF" w:rsidRPr="0019489B" w:rsidRDefault="00E443CF" w:rsidP="00E443CF">
      <w:pPr>
        <w:pStyle w:val="a4"/>
        <w:spacing w:before="0" w:beforeAutospacing="0" w:after="0" w:afterAutospacing="0"/>
        <w:ind w:firstLine="709"/>
        <w:jc w:val="center"/>
        <w:rPr>
          <w:sz w:val="28"/>
          <w:szCs w:val="28"/>
        </w:rPr>
      </w:pPr>
    </w:p>
    <w:p w14:paraId="3296E397" w14:textId="77777777" w:rsidR="00E443CF" w:rsidRPr="0019489B" w:rsidRDefault="00E443CF" w:rsidP="00E443CF">
      <w:pPr>
        <w:pStyle w:val="a4"/>
        <w:spacing w:before="0" w:beforeAutospacing="0" w:after="0" w:afterAutospacing="0"/>
        <w:ind w:firstLine="709"/>
        <w:jc w:val="center"/>
        <w:rPr>
          <w:sz w:val="28"/>
          <w:szCs w:val="28"/>
        </w:rPr>
      </w:pPr>
      <w:r w:rsidRPr="0019489B">
        <w:rPr>
          <w:sz w:val="28"/>
          <w:szCs w:val="28"/>
        </w:rPr>
        <w:t> </w:t>
      </w:r>
    </w:p>
    <w:tbl>
      <w:tblPr>
        <w:tblStyle w:val="a3"/>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7796"/>
      </w:tblGrid>
      <w:tr w:rsidR="00E443CF" w:rsidRPr="00E443CF" w14:paraId="4F0C67EE" w14:textId="77777777" w:rsidTr="00F32A4D">
        <w:tc>
          <w:tcPr>
            <w:tcW w:w="6521" w:type="dxa"/>
            <w:vAlign w:val="bottom"/>
          </w:tcPr>
          <w:p w14:paraId="61A5D8D1" w14:textId="77777777" w:rsidR="00E443CF" w:rsidRPr="0019489B" w:rsidRDefault="00E443CF" w:rsidP="00F17CF0">
            <w:pPr>
              <w:autoSpaceDE w:val="0"/>
              <w:autoSpaceDN w:val="0"/>
              <w:spacing w:after="60"/>
            </w:pPr>
            <w:r w:rsidRPr="0019489B">
              <w:lastRenderedPageBreak/>
              <w:t xml:space="preserve">Директор Департаменту методології </w:t>
            </w:r>
            <w:r w:rsidRPr="0019489B">
              <w:rPr>
                <w:bCs/>
              </w:rPr>
              <w:t>регулювання діяльності небанківських фінансових установ</w:t>
            </w:r>
          </w:p>
        </w:tc>
        <w:tc>
          <w:tcPr>
            <w:tcW w:w="7796" w:type="dxa"/>
            <w:vAlign w:val="bottom"/>
          </w:tcPr>
          <w:p w14:paraId="327BB646" w14:textId="77777777" w:rsidR="00E443CF" w:rsidRPr="00E443CF" w:rsidRDefault="00E443CF" w:rsidP="00F17CF0">
            <w:pPr>
              <w:tabs>
                <w:tab w:val="left" w:pos="7020"/>
                <w:tab w:val="left" w:pos="7200"/>
              </w:tabs>
              <w:autoSpaceDE w:val="0"/>
              <w:autoSpaceDN w:val="0"/>
              <w:spacing w:after="60"/>
              <w:jc w:val="right"/>
            </w:pPr>
            <w:r w:rsidRPr="0019489B">
              <w:t>Сергій САВЧУК</w:t>
            </w:r>
          </w:p>
        </w:tc>
      </w:tr>
    </w:tbl>
    <w:p w14:paraId="29FC00C3" w14:textId="77777777" w:rsidR="00E443CF" w:rsidRPr="00E443CF" w:rsidRDefault="00E443CF" w:rsidP="00E443CF">
      <w:pPr>
        <w:pStyle w:val="a4"/>
        <w:spacing w:before="0" w:beforeAutospacing="0" w:after="0" w:afterAutospacing="0"/>
        <w:ind w:firstLine="709"/>
        <w:jc w:val="both"/>
      </w:pPr>
    </w:p>
    <w:sectPr w:rsidR="00E443CF" w:rsidRPr="00E443CF" w:rsidSect="00606ADE">
      <w:pgSz w:w="16838" w:h="11906" w:orient="landscape"/>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CF"/>
    <w:rsid w:val="00080F88"/>
    <w:rsid w:val="000E422C"/>
    <w:rsid w:val="000F6DA9"/>
    <w:rsid w:val="00122618"/>
    <w:rsid w:val="00127624"/>
    <w:rsid w:val="001521B9"/>
    <w:rsid w:val="0019489B"/>
    <w:rsid w:val="001B6030"/>
    <w:rsid w:val="001E5C9D"/>
    <w:rsid w:val="0023681D"/>
    <w:rsid w:val="0051787F"/>
    <w:rsid w:val="00606ADE"/>
    <w:rsid w:val="006F1EEC"/>
    <w:rsid w:val="00702581"/>
    <w:rsid w:val="00911123"/>
    <w:rsid w:val="00A16C7B"/>
    <w:rsid w:val="00B07478"/>
    <w:rsid w:val="00BD24F8"/>
    <w:rsid w:val="00D01832"/>
    <w:rsid w:val="00DB4EA1"/>
    <w:rsid w:val="00E443CF"/>
    <w:rsid w:val="00E83908"/>
    <w:rsid w:val="00F32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B740"/>
  <w15:chartTrackingRefBased/>
  <w15:docId w15:val="{DEA84F76-E181-4901-A6A4-985CB159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CF"/>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43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rsid w:val="00E443CF"/>
    <w:pPr>
      <w:spacing w:before="100" w:beforeAutospacing="1" w:after="100" w:afterAutospacing="1"/>
      <w:jc w:val="left"/>
    </w:pPr>
    <w:rPr>
      <w:rFonts w:eastAsiaTheme="minorEastAsia"/>
      <w:sz w:val="24"/>
      <w:szCs w:val="24"/>
    </w:rPr>
  </w:style>
  <w:style w:type="character" w:customStyle="1" w:styleId="a5">
    <w:name w:val="Звичайний (веб) Знак"/>
    <w:link w:val="a4"/>
    <w:uiPriority w:val="99"/>
    <w:locked/>
    <w:rsid w:val="00E443CF"/>
    <w:rPr>
      <w:rFonts w:ascii="Times New Roman" w:eastAsiaTheme="minorEastAsia" w:hAnsi="Times New Roman" w:cs="Times New Roman"/>
      <w:sz w:val="24"/>
      <w:szCs w:val="24"/>
      <w:lang w:eastAsia="uk-UA"/>
    </w:rPr>
  </w:style>
  <w:style w:type="character" w:styleId="a6">
    <w:name w:val="Hyperlink"/>
    <w:basedOn w:val="a0"/>
    <w:uiPriority w:val="99"/>
    <w:semiHidden/>
    <w:unhideWhenUsed/>
    <w:rsid w:val="00E443CF"/>
    <w:rPr>
      <w:color w:val="0000FF"/>
      <w:u w:val="single"/>
    </w:rPr>
  </w:style>
  <w:style w:type="paragraph" w:customStyle="1" w:styleId="rvps2">
    <w:name w:val="rvps2"/>
    <w:basedOn w:val="a"/>
    <w:qFormat/>
    <w:rsid w:val="00BD24F8"/>
    <w:pPr>
      <w:spacing w:before="100" w:beforeAutospacing="1" w:after="100" w:afterAutospacing="1"/>
      <w:jc w:val="left"/>
    </w:pPr>
    <w:rPr>
      <w:sz w:val="24"/>
      <w:szCs w:val="24"/>
    </w:rPr>
  </w:style>
  <w:style w:type="paragraph" w:styleId="a7">
    <w:name w:val="Balloon Text"/>
    <w:basedOn w:val="a"/>
    <w:link w:val="a8"/>
    <w:uiPriority w:val="99"/>
    <w:semiHidden/>
    <w:unhideWhenUsed/>
    <w:rsid w:val="00BD24F8"/>
    <w:rPr>
      <w:rFonts w:ascii="Segoe UI" w:hAnsi="Segoe UI" w:cs="Segoe UI"/>
      <w:sz w:val="18"/>
      <w:szCs w:val="18"/>
    </w:rPr>
  </w:style>
  <w:style w:type="character" w:customStyle="1" w:styleId="a8">
    <w:name w:val="Текст у виносці Знак"/>
    <w:basedOn w:val="a0"/>
    <w:link w:val="a7"/>
    <w:uiPriority w:val="99"/>
    <w:semiHidden/>
    <w:rsid w:val="00BD24F8"/>
    <w:rPr>
      <w:rFonts w:ascii="Segoe UI" w:eastAsia="Times New Roman" w:hAnsi="Segoe UI" w:cs="Segoe UI"/>
      <w:sz w:val="18"/>
      <w:szCs w:val="18"/>
      <w:lang w:eastAsia="uk-UA"/>
    </w:rPr>
  </w:style>
  <w:style w:type="character" w:styleId="a9">
    <w:name w:val="annotation reference"/>
    <w:basedOn w:val="a0"/>
    <w:uiPriority w:val="99"/>
    <w:semiHidden/>
    <w:unhideWhenUsed/>
    <w:rsid w:val="001521B9"/>
    <w:rPr>
      <w:sz w:val="16"/>
      <w:szCs w:val="16"/>
    </w:rPr>
  </w:style>
  <w:style w:type="paragraph" w:styleId="aa">
    <w:name w:val="annotation text"/>
    <w:basedOn w:val="a"/>
    <w:link w:val="ab"/>
    <w:uiPriority w:val="99"/>
    <w:semiHidden/>
    <w:unhideWhenUsed/>
    <w:rsid w:val="001521B9"/>
    <w:rPr>
      <w:sz w:val="20"/>
      <w:szCs w:val="20"/>
    </w:rPr>
  </w:style>
  <w:style w:type="character" w:customStyle="1" w:styleId="ab">
    <w:name w:val="Текст примітки Знак"/>
    <w:basedOn w:val="a0"/>
    <w:link w:val="aa"/>
    <w:uiPriority w:val="99"/>
    <w:semiHidden/>
    <w:rsid w:val="001521B9"/>
    <w:rPr>
      <w:rFonts w:ascii="Times New Roman" w:eastAsia="Times New Roman" w:hAnsi="Times New Roman" w:cs="Times New Roman"/>
      <w:sz w:val="20"/>
      <w:szCs w:val="20"/>
      <w:lang w:eastAsia="uk-UA"/>
    </w:rPr>
  </w:style>
  <w:style w:type="paragraph" w:styleId="ac">
    <w:name w:val="annotation subject"/>
    <w:basedOn w:val="aa"/>
    <w:next w:val="aa"/>
    <w:link w:val="ad"/>
    <w:uiPriority w:val="99"/>
    <w:semiHidden/>
    <w:unhideWhenUsed/>
    <w:rsid w:val="001521B9"/>
    <w:rPr>
      <w:b/>
      <w:bCs/>
    </w:rPr>
  </w:style>
  <w:style w:type="character" w:customStyle="1" w:styleId="ad">
    <w:name w:val="Тема примітки Знак"/>
    <w:basedOn w:val="ab"/>
    <w:link w:val="ac"/>
    <w:uiPriority w:val="99"/>
    <w:semiHidden/>
    <w:rsid w:val="001521B9"/>
    <w:rPr>
      <w:rFonts w:ascii="Times New Roman" w:eastAsia="Times New Roman" w:hAnsi="Times New Roman" w:cs="Times New Roman"/>
      <w:b/>
      <w:bCs/>
      <w:sz w:val="20"/>
      <w:szCs w:val="20"/>
      <w:lang w:eastAsia="uk-UA"/>
    </w:rPr>
  </w:style>
  <w:style w:type="character" w:customStyle="1" w:styleId="rvts9">
    <w:name w:val="rvts9"/>
    <w:basedOn w:val="a0"/>
    <w:rsid w:val="0008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2085</Words>
  <Characters>1189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Ольга Миколаївна</dc:creator>
  <cp:keywords/>
  <dc:description/>
  <cp:lastModifiedBy>Ященко Ольга Миколаївна</cp:lastModifiedBy>
  <cp:revision>4</cp:revision>
  <dcterms:created xsi:type="dcterms:W3CDTF">2024-01-24T09:08:00Z</dcterms:created>
  <dcterms:modified xsi:type="dcterms:W3CDTF">2024-01-26T13:54:00Z</dcterms:modified>
</cp:coreProperties>
</file>