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E515" w14:textId="6F86832E" w:rsidR="00E443CF" w:rsidRPr="0019489B" w:rsidRDefault="00E443CF" w:rsidP="00122618">
      <w:pPr>
        <w:pStyle w:val="a4"/>
        <w:spacing w:before="0" w:beforeAutospacing="0" w:after="0" w:afterAutospacing="0"/>
        <w:jc w:val="center"/>
        <w:rPr>
          <w:b/>
          <w:sz w:val="28"/>
          <w:szCs w:val="28"/>
        </w:rPr>
      </w:pPr>
      <w:r w:rsidRPr="0019489B">
        <w:rPr>
          <w:b/>
          <w:sz w:val="28"/>
          <w:szCs w:val="28"/>
        </w:rPr>
        <w:t>Порівняльна таблиця</w:t>
      </w:r>
    </w:p>
    <w:p w14:paraId="2F551618" w14:textId="497D1C5D" w:rsidR="00E443CF" w:rsidRPr="0019489B" w:rsidRDefault="00E443CF" w:rsidP="00E443CF">
      <w:pPr>
        <w:pStyle w:val="a4"/>
        <w:spacing w:before="0" w:beforeAutospacing="0" w:after="0" w:afterAutospacing="0"/>
        <w:ind w:firstLine="709"/>
        <w:jc w:val="center"/>
        <w:rPr>
          <w:rFonts w:eastAsia="SimSun"/>
          <w:b/>
          <w:sz w:val="28"/>
          <w:szCs w:val="28"/>
        </w:rPr>
      </w:pPr>
      <w:r w:rsidRPr="0019489B">
        <w:rPr>
          <w:b/>
          <w:sz w:val="28"/>
          <w:szCs w:val="28"/>
        </w:rPr>
        <w:t xml:space="preserve">до </w:t>
      </w:r>
      <w:proofErr w:type="spellStart"/>
      <w:r w:rsidRPr="0019489B">
        <w:rPr>
          <w:b/>
          <w:sz w:val="28"/>
          <w:szCs w:val="28"/>
        </w:rPr>
        <w:t>проєкту</w:t>
      </w:r>
      <w:proofErr w:type="spellEnd"/>
      <w:r w:rsidRPr="0019489B">
        <w:rPr>
          <w:b/>
          <w:sz w:val="28"/>
          <w:szCs w:val="28"/>
        </w:rPr>
        <w:t xml:space="preserve"> постанови </w:t>
      </w:r>
      <w:r w:rsidRPr="0019489B">
        <w:rPr>
          <w:rFonts w:eastAsia="SimSun"/>
          <w:b/>
          <w:sz w:val="28"/>
          <w:szCs w:val="28"/>
        </w:rPr>
        <w:t>Правління Національного банку України “</w:t>
      </w:r>
      <w:r w:rsidR="00CC287D" w:rsidRPr="00CC287D">
        <w:rPr>
          <w:rFonts w:eastAsia="SimSun"/>
          <w:b/>
          <w:sz w:val="28"/>
          <w:szCs w:val="28"/>
        </w:rPr>
        <w:t>Про затвердження Положення про визначення методики оцінки активів і зобов’язань для цілей розрахунку регулятивного капіталу страховика та внесення змін до Положення про встановлення вимог щодо забезпечення платоспроможності та інвестиційної діяльності страховика</w:t>
      </w:r>
      <w:r w:rsidRPr="0019489B">
        <w:rPr>
          <w:rFonts w:eastAsia="SimSun"/>
          <w:b/>
          <w:sz w:val="28"/>
          <w:szCs w:val="28"/>
        </w:rPr>
        <w:t>”</w:t>
      </w:r>
    </w:p>
    <w:p w14:paraId="6E3D6AC9" w14:textId="77777777" w:rsidR="00E443CF" w:rsidRPr="0019489B" w:rsidRDefault="00E443CF" w:rsidP="00E443CF">
      <w:pPr>
        <w:pStyle w:val="a4"/>
        <w:spacing w:before="0" w:beforeAutospacing="0" w:after="0" w:afterAutospacing="0"/>
        <w:ind w:firstLine="709"/>
        <w:jc w:val="center"/>
        <w:rPr>
          <w:sz w:val="28"/>
          <w:szCs w:val="28"/>
        </w:rPr>
      </w:pPr>
      <w:r w:rsidRPr="0019489B">
        <w:rPr>
          <w:sz w:val="28"/>
          <w:szCs w:val="28"/>
        </w:rPr>
        <w:t> </w:t>
      </w:r>
    </w:p>
    <w:tbl>
      <w:tblPr>
        <w:tblStyle w:val="a3"/>
        <w:tblW w:w="5000" w:type="pct"/>
        <w:tblBorders>
          <w:bottom w:val="none" w:sz="0" w:space="0" w:color="auto"/>
        </w:tblBorders>
        <w:tblLook w:val="04A0" w:firstRow="1" w:lastRow="0" w:firstColumn="1" w:lastColumn="0" w:noHBand="0" w:noVBand="1"/>
      </w:tblPr>
      <w:tblGrid>
        <w:gridCol w:w="706"/>
        <w:gridCol w:w="6802"/>
        <w:gridCol w:w="6768"/>
      </w:tblGrid>
      <w:tr w:rsidR="001E5C9D" w:rsidRPr="00263964" w14:paraId="0A0C5EED" w14:textId="77777777" w:rsidTr="00EB1BC2">
        <w:tc>
          <w:tcPr>
            <w:tcW w:w="247" w:type="pct"/>
          </w:tcPr>
          <w:p w14:paraId="45369994" w14:textId="77777777" w:rsidR="001E5C9D" w:rsidRPr="00263964" w:rsidRDefault="001E5C9D" w:rsidP="00E443CF">
            <w:pPr>
              <w:pStyle w:val="a4"/>
              <w:spacing w:before="0" w:beforeAutospacing="0" w:after="0" w:afterAutospacing="0"/>
              <w:jc w:val="center"/>
              <w:rPr>
                <w:szCs w:val="28"/>
              </w:rPr>
            </w:pPr>
            <w:r w:rsidRPr="00263964">
              <w:rPr>
                <w:szCs w:val="28"/>
              </w:rPr>
              <w:t>№ з/п</w:t>
            </w:r>
          </w:p>
        </w:tc>
        <w:tc>
          <w:tcPr>
            <w:tcW w:w="2382" w:type="pct"/>
            <w:hideMark/>
          </w:tcPr>
          <w:p w14:paraId="5AAEA6A5" w14:textId="77777777" w:rsidR="001E5C9D" w:rsidRPr="00263964" w:rsidRDefault="001E5C9D" w:rsidP="00E443CF">
            <w:pPr>
              <w:pStyle w:val="a4"/>
              <w:spacing w:before="0" w:beforeAutospacing="0" w:after="0" w:afterAutospacing="0"/>
              <w:jc w:val="center"/>
              <w:rPr>
                <w:szCs w:val="28"/>
              </w:rPr>
            </w:pPr>
            <w:r w:rsidRPr="00263964">
              <w:rPr>
                <w:szCs w:val="28"/>
              </w:rPr>
              <w:t xml:space="preserve">Зміст положення (норми) чинного нормативно-правового </w:t>
            </w:r>
            <w:proofErr w:type="spellStart"/>
            <w:r w:rsidRPr="00263964">
              <w:rPr>
                <w:szCs w:val="28"/>
              </w:rPr>
              <w:t>акта</w:t>
            </w:r>
            <w:proofErr w:type="spellEnd"/>
          </w:p>
        </w:tc>
        <w:tc>
          <w:tcPr>
            <w:tcW w:w="2370" w:type="pct"/>
            <w:hideMark/>
          </w:tcPr>
          <w:p w14:paraId="793BE6A6" w14:textId="77777777" w:rsidR="001E5C9D" w:rsidRPr="00263964" w:rsidRDefault="001E5C9D" w:rsidP="00E443CF">
            <w:pPr>
              <w:pStyle w:val="a4"/>
              <w:spacing w:before="0" w:beforeAutospacing="0" w:after="0" w:afterAutospacing="0"/>
              <w:jc w:val="center"/>
              <w:rPr>
                <w:szCs w:val="28"/>
              </w:rPr>
            </w:pPr>
            <w:r w:rsidRPr="00263964">
              <w:rPr>
                <w:szCs w:val="28"/>
              </w:rPr>
              <w:t xml:space="preserve">Зміст відповідного положення (норми) </w:t>
            </w:r>
            <w:proofErr w:type="spellStart"/>
            <w:r w:rsidRPr="00263964">
              <w:rPr>
                <w:szCs w:val="28"/>
              </w:rPr>
              <w:t>проєкту</w:t>
            </w:r>
            <w:proofErr w:type="spellEnd"/>
            <w:r w:rsidRPr="00263964">
              <w:rPr>
                <w:szCs w:val="28"/>
              </w:rPr>
              <w:t xml:space="preserve"> нормативно-правового </w:t>
            </w:r>
            <w:proofErr w:type="spellStart"/>
            <w:r w:rsidRPr="00263964">
              <w:rPr>
                <w:szCs w:val="28"/>
              </w:rPr>
              <w:t>акта</w:t>
            </w:r>
            <w:proofErr w:type="spellEnd"/>
          </w:p>
        </w:tc>
      </w:tr>
    </w:tbl>
    <w:p w14:paraId="17A25DE0" w14:textId="77777777" w:rsidR="00D01832" w:rsidRPr="0019489B" w:rsidRDefault="00D01832" w:rsidP="00E443CF">
      <w:pPr>
        <w:pStyle w:val="a4"/>
        <w:tabs>
          <w:tab w:val="left" w:pos="4789"/>
        </w:tabs>
        <w:spacing w:before="0" w:beforeAutospacing="0" w:after="0" w:afterAutospacing="0"/>
        <w:ind w:left="113"/>
        <w:rPr>
          <w:sz w:val="2"/>
          <w:szCs w:val="2"/>
        </w:rPr>
      </w:pPr>
      <w:r w:rsidRPr="0019489B">
        <w:rPr>
          <w:sz w:val="2"/>
          <w:szCs w:val="2"/>
        </w:rPr>
        <w:tab/>
      </w:r>
    </w:p>
    <w:tbl>
      <w:tblPr>
        <w:tblStyle w:val="a3"/>
        <w:tblW w:w="5000" w:type="pct"/>
        <w:tblLayout w:type="fixed"/>
        <w:tblLook w:val="04A0" w:firstRow="1" w:lastRow="0" w:firstColumn="1" w:lastColumn="0" w:noHBand="0" w:noVBand="1"/>
      </w:tblPr>
      <w:tblGrid>
        <w:gridCol w:w="705"/>
        <w:gridCol w:w="6804"/>
        <w:gridCol w:w="6767"/>
      </w:tblGrid>
      <w:tr w:rsidR="001E5C9D" w:rsidRPr="00263964" w14:paraId="1DEC3630" w14:textId="77777777" w:rsidTr="0076208F">
        <w:trPr>
          <w:trHeight w:val="20"/>
          <w:tblHeader/>
        </w:trPr>
        <w:tc>
          <w:tcPr>
            <w:tcW w:w="247" w:type="pct"/>
          </w:tcPr>
          <w:p w14:paraId="4AF8218E" w14:textId="77777777" w:rsidR="001E5C9D" w:rsidRPr="00263964" w:rsidRDefault="001E5C9D" w:rsidP="00A00384">
            <w:pPr>
              <w:pStyle w:val="a4"/>
              <w:widowControl w:val="0"/>
              <w:spacing w:before="0" w:beforeAutospacing="0" w:after="0" w:afterAutospacing="0"/>
              <w:jc w:val="center"/>
              <w:rPr>
                <w:szCs w:val="28"/>
              </w:rPr>
            </w:pPr>
            <w:r w:rsidRPr="00263964">
              <w:rPr>
                <w:szCs w:val="28"/>
              </w:rPr>
              <w:t>1</w:t>
            </w:r>
          </w:p>
        </w:tc>
        <w:tc>
          <w:tcPr>
            <w:tcW w:w="2383" w:type="pct"/>
            <w:hideMark/>
          </w:tcPr>
          <w:p w14:paraId="2C2C33DB" w14:textId="77777777" w:rsidR="001E5C9D" w:rsidRPr="00263964" w:rsidRDefault="001E5C9D" w:rsidP="00A00384">
            <w:pPr>
              <w:pStyle w:val="a4"/>
              <w:widowControl w:val="0"/>
              <w:spacing w:before="0" w:beforeAutospacing="0" w:after="0" w:afterAutospacing="0"/>
              <w:jc w:val="center"/>
              <w:rPr>
                <w:szCs w:val="28"/>
              </w:rPr>
            </w:pPr>
            <w:r w:rsidRPr="00263964">
              <w:rPr>
                <w:szCs w:val="28"/>
              </w:rPr>
              <w:t>2</w:t>
            </w:r>
          </w:p>
        </w:tc>
        <w:tc>
          <w:tcPr>
            <w:tcW w:w="2370" w:type="pct"/>
            <w:hideMark/>
          </w:tcPr>
          <w:p w14:paraId="36CE2848" w14:textId="77777777" w:rsidR="001E5C9D" w:rsidRPr="00263964" w:rsidRDefault="001E5C9D" w:rsidP="00A00384">
            <w:pPr>
              <w:pStyle w:val="a4"/>
              <w:widowControl w:val="0"/>
              <w:spacing w:before="0" w:beforeAutospacing="0" w:after="0" w:afterAutospacing="0"/>
              <w:jc w:val="center"/>
              <w:rPr>
                <w:szCs w:val="28"/>
              </w:rPr>
            </w:pPr>
            <w:r w:rsidRPr="00263964">
              <w:rPr>
                <w:szCs w:val="28"/>
              </w:rPr>
              <w:t>3</w:t>
            </w:r>
          </w:p>
        </w:tc>
      </w:tr>
      <w:tr w:rsidR="00263964" w:rsidRPr="00263964" w14:paraId="65E0EB28" w14:textId="77777777" w:rsidTr="0076208F">
        <w:trPr>
          <w:trHeight w:val="20"/>
        </w:trPr>
        <w:tc>
          <w:tcPr>
            <w:tcW w:w="247" w:type="pct"/>
          </w:tcPr>
          <w:p w14:paraId="09E795B9" w14:textId="2809460D" w:rsidR="00263964" w:rsidRPr="00263964" w:rsidRDefault="00263964" w:rsidP="00263964">
            <w:pPr>
              <w:pStyle w:val="a4"/>
              <w:widowControl w:val="0"/>
              <w:numPr>
                <w:ilvl w:val="0"/>
                <w:numId w:val="6"/>
              </w:numPr>
              <w:tabs>
                <w:tab w:val="left" w:pos="169"/>
              </w:tabs>
              <w:spacing w:before="0" w:beforeAutospacing="0" w:after="0" w:afterAutospacing="0"/>
              <w:ind w:left="0" w:firstLine="0"/>
              <w:jc w:val="center"/>
              <w:rPr>
                <w:szCs w:val="28"/>
              </w:rPr>
            </w:pPr>
          </w:p>
        </w:tc>
        <w:tc>
          <w:tcPr>
            <w:tcW w:w="4753" w:type="pct"/>
            <w:gridSpan w:val="2"/>
          </w:tcPr>
          <w:p w14:paraId="14679C39" w14:textId="5A21D993" w:rsidR="00263964" w:rsidRPr="005C0907" w:rsidRDefault="00263964" w:rsidP="00263964">
            <w:pPr>
              <w:widowControl w:val="0"/>
              <w:jc w:val="center"/>
              <w:rPr>
                <w:b/>
                <w:sz w:val="24"/>
              </w:rPr>
            </w:pPr>
            <w:r w:rsidRPr="005C0907">
              <w:rPr>
                <w:b/>
                <w:sz w:val="24"/>
              </w:rPr>
              <w:t>Положення про встановлення вимог щодо забезпечення платоспроможності та інвестиційної діяльності страховика</w:t>
            </w:r>
          </w:p>
        </w:tc>
      </w:tr>
      <w:tr w:rsidR="00BA10A6" w:rsidRPr="00263964" w14:paraId="602D412D" w14:textId="77777777" w:rsidTr="0076208F">
        <w:trPr>
          <w:trHeight w:val="20"/>
        </w:trPr>
        <w:tc>
          <w:tcPr>
            <w:tcW w:w="247" w:type="pct"/>
          </w:tcPr>
          <w:p w14:paraId="6D055585" w14:textId="77777777" w:rsidR="00BA10A6" w:rsidRPr="00263964" w:rsidRDefault="00BA10A6" w:rsidP="00263964">
            <w:pPr>
              <w:pStyle w:val="a4"/>
              <w:widowControl w:val="0"/>
              <w:numPr>
                <w:ilvl w:val="0"/>
                <w:numId w:val="6"/>
              </w:numPr>
              <w:tabs>
                <w:tab w:val="left" w:pos="169"/>
              </w:tabs>
              <w:spacing w:before="0" w:beforeAutospacing="0" w:after="0" w:afterAutospacing="0"/>
              <w:ind w:left="0" w:firstLine="0"/>
              <w:jc w:val="center"/>
              <w:rPr>
                <w:szCs w:val="28"/>
              </w:rPr>
            </w:pPr>
          </w:p>
        </w:tc>
        <w:tc>
          <w:tcPr>
            <w:tcW w:w="2383" w:type="pct"/>
          </w:tcPr>
          <w:p w14:paraId="15681AFF" w14:textId="79D8373A" w:rsidR="007D3E86" w:rsidRDefault="007D3E86" w:rsidP="00477057">
            <w:pPr>
              <w:pStyle w:val="3"/>
              <w:keepNext w:val="0"/>
              <w:keepLines w:val="0"/>
              <w:widowControl w:val="0"/>
              <w:spacing w:before="0"/>
              <w:jc w:val="center"/>
              <w:outlineLvl w:val="2"/>
              <w:rPr>
                <w:rFonts w:ascii="Times New Roman" w:hAnsi="Times New Roman" w:cs="Times New Roman"/>
                <w:bCs/>
                <w:color w:val="auto"/>
                <w:szCs w:val="28"/>
                <w:lang w:val="ru-RU" w:eastAsia="en-US"/>
              </w:rPr>
            </w:pPr>
            <w:r w:rsidRPr="007D3E86">
              <w:rPr>
                <w:rFonts w:ascii="Times New Roman" w:hAnsi="Times New Roman" w:cs="Times New Roman"/>
                <w:bCs/>
                <w:color w:val="auto"/>
                <w:szCs w:val="28"/>
                <w:lang w:eastAsia="en-US"/>
              </w:rPr>
              <w:t xml:space="preserve">3. Контроль за дотриманням вимог </w:t>
            </w:r>
            <w:r w:rsidRPr="007D3E86">
              <w:rPr>
                <w:rFonts w:ascii="Times New Roman" w:hAnsi="Times New Roman" w:cs="Times New Roman"/>
                <w:bCs/>
                <w:strike/>
                <w:color w:val="auto"/>
                <w:szCs w:val="28"/>
                <w:lang w:eastAsia="en-US"/>
              </w:rPr>
              <w:t>цього Положення</w:t>
            </w:r>
            <w:r>
              <w:rPr>
                <w:rFonts w:ascii="Times New Roman" w:hAnsi="Times New Roman" w:cs="Times New Roman"/>
                <w:bCs/>
                <w:color w:val="auto"/>
                <w:szCs w:val="28"/>
                <w:lang w:val="ru-RU" w:eastAsia="en-US"/>
              </w:rPr>
              <w:t>.</w:t>
            </w:r>
          </w:p>
          <w:p w14:paraId="76CBB03E" w14:textId="77777777" w:rsidR="007D3E86" w:rsidRPr="007D3E86" w:rsidRDefault="007D3E86" w:rsidP="007D3E86">
            <w:pPr>
              <w:rPr>
                <w:lang w:val="ru-RU" w:eastAsia="en-US"/>
              </w:rPr>
            </w:pPr>
          </w:p>
          <w:p w14:paraId="6D358A23" w14:textId="580A122D" w:rsidR="00BA10A6" w:rsidRDefault="00BF034A" w:rsidP="00263964">
            <w:pPr>
              <w:pStyle w:val="3"/>
              <w:keepNext w:val="0"/>
              <w:keepLines w:val="0"/>
              <w:widowControl w:val="0"/>
              <w:spacing w:before="0"/>
              <w:outlineLvl w:val="2"/>
              <w:rPr>
                <w:rFonts w:ascii="Times New Roman" w:hAnsi="Times New Roman" w:cs="Times New Roman"/>
                <w:bCs/>
                <w:color w:val="auto"/>
                <w:szCs w:val="28"/>
                <w:lang w:eastAsia="en-US"/>
              </w:rPr>
            </w:pPr>
            <w:r w:rsidRPr="00BF034A">
              <w:rPr>
                <w:rFonts w:ascii="Times New Roman" w:hAnsi="Times New Roman" w:cs="Times New Roman"/>
                <w:bCs/>
                <w:color w:val="auto"/>
                <w:szCs w:val="28"/>
                <w:lang w:eastAsia="en-US"/>
              </w:rPr>
              <w:t>6. Страховик зобов’язаний забезпечити постійний контроль за дотриманням вимог цього Положення, включаючи, але не виключно:</w:t>
            </w:r>
          </w:p>
          <w:p w14:paraId="1F32A304" w14:textId="092DB684" w:rsidR="0020063D" w:rsidRDefault="0020063D" w:rsidP="0020063D">
            <w:pPr>
              <w:ind w:firstLine="27"/>
              <w:rPr>
                <w:rFonts w:eastAsiaTheme="majorEastAsia"/>
                <w:bCs/>
                <w:sz w:val="24"/>
                <w:lang w:eastAsia="en-US"/>
              </w:rPr>
            </w:pPr>
          </w:p>
          <w:p w14:paraId="37F8F670" w14:textId="1274A034" w:rsidR="007D3E86" w:rsidRPr="007D3E86" w:rsidRDefault="007D3E86" w:rsidP="0020063D">
            <w:pPr>
              <w:ind w:firstLine="27"/>
              <w:rPr>
                <w:rFonts w:eastAsiaTheme="majorEastAsia"/>
                <w:bCs/>
                <w:sz w:val="24"/>
                <w:lang w:eastAsia="en-US"/>
              </w:rPr>
            </w:pPr>
            <w:r w:rsidRPr="007D3E86">
              <w:rPr>
                <w:rFonts w:eastAsiaTheme="majorEastAsia"/>
                <w:bCs/>
                <w:sz w:val="24"/>
                <w:lang w:eastAsia="en-US"/>
              </w:rPr>
              <w:t>1) контроль за відповідністю складових регулятивного капіталу вимогам цього Положення протягом усього строку включення їх до регулятивного капіталу страховика;</w:t>
            </w:r>
          </w:p>
          <w:p w14:paraId="6512F150" w14:textId="77777777" w:rsidR="007D3E86" w:rsidRPr="007D3E86" w:rsidRDefault="007D3E86" w:rsidP="007D3E86">
            <w:pPr>
              <w:rPr>
                <w:rFonts w:eastAsiaTheme="majorEastAsia"/>
                <w:bCs/>
                <w:sz w:val="24"/>
                <w:lang w:eastAsia="en-US"/>
              </w:rPr>
            </w:pPr>
          </w:p>
          <w:p w14:paraId="0F85CB4E" w14:textId="22C086F8" w:rsidR="007D3E86" w:rsidRDefault="007D3E86" w:rsidP="0020063D">
            <w:pPr>
              <w:ind w:firstLine="27"/>
              <w:rPr>
                <w:rFonts w:eastAsiaTheme="majorEastAsia"/>
                <w:bCs/>
                <w:sz w:val="24"/>
                <w:lang w:eastAsia="en-US"/>
              </w:rPr>
            </w:pPr>
            <w:r w:rsidRPr="007D3E86">
              <w:rPr>
                <w:rFonts w:eastAsiaTheme="majorEastAsia"/>
                <w:bCs/>
                <w:sz w:val="24"/>
                <w:lang w:eastAsia="en-US"/>
              </w:rPr>
              <w:t>2) контроль за відповідністю активів страховика, віднесених до прийнятних активів для розрахунку регулятивного капіталу та/або до прийнятних активів для покриття технічних резервів, вимогам цього Положення</w:t>
            </w:r>
            <w:r w:rsidRPr="00477057">
              <w:rPr>
                <w:rFonts w:eastAsiaTheme="majorEastAsia"/>
                <w:bCs/>
                <w:strike/>
                <w:sz w:val="24"/>
                <w:lang w:eastAsia="en-US"/>
              </w:rPr>
              <w:t>.</w:t>
            </w:r>
          </w:p>
          <w:p w14:paraId="7C9163A5" w14:textId="70A8BCAE" w:rsidR="007D3E86" w:rsidRDefault="007D3E86" w:rsidP="00E65265">
            <w:pPr>
              <w:rPr>
                <w:rFonts w:eastAsiaTheme="majorEastAsia"/>
                <w:bCs/>
                <w:sz w:val="24"/>
                <w:lang w:eastAsia="en-US"/>
              </w:rPr>
            </w:pPr>
          </w:p>
          <w:p w14:paraId="145B5646" w14:textId="0F098709" w:rsidR="007D3E86" w:rsidRDefault="007D3E86" w:rsidP="00E65265">
            <w:pPr>
              <w:rPr>
                <w:rFonts w:eastAsiaTheme="majorEastAsia"/>
                <w:bCs/>
                <w:sz w:val="24"/>
                <w:lang w:eastAsia="en-US"/>
              </w:rPr>
            </w:pPr>
          </w:p>
          <w:p w14:paraId="7B8E224F" w14:textId="0001414E" w:rsidR="007D3E86" w:rsidRDefault="007D3E86" w:rsidP="00E65265">
            <w:pPr>
              <w:rPr>
                <w:rFonts w:eastAsiaTheme="majorEastAsia"/>
                <w:bCs/>
                <w:sz w:val="24"/>
                <w:lang w:eastAsia="en-US"/>
              </w:rPr>
            </w:pPr>
          </w:p>
          <w:p w14:paraId="4B32F6B2" w14:textId="7D2EEEB1" w:rsidR="00477057" w:rsidRDefault="00477057" w:rsidP="00E65265">
            <w:pPr>
              <w:rPr>
                <w:rFonts w:eastAsiaTheme="majorEastAsia"/>
                <w:bCs/>
                <w:sz w:val="24"/>
                <w:lang w:eastAsia="en-US"/>
              </w:rPr>
            </w:pPr>
          </w:p>
          <w:p w14:paraId="0C87F6D0" w14:textId="77777777" w:rsidR="00477057" w:rsidRDefault="00477057" w:rsidP="00E65265">
            <w:pPr>
              <w:rPr>
                <w:rFonts w:eastAsiaTheme="majorEastAsia"/>
                <w:bCs/>
                <w:sz w:val="24"/>
                <w:lang w:eastAsia="en-US"/>
              </w:rPr>
            </w:pPr>
          </w:p>
          <w:p w14:paraId="00AEB2D3" w14:textId="7578CA0F" w:rsidR="007D3E86" w:rsidRPr="00477057" w:rsidRDefault="007D3E86" w:rsidP="00477057">
            <w:pPr>
              <w:ind w:left="594"/>
              <w:rPr>
                <w:rFonts w:eastAsiaTheme="majorEastAsia"/>
                <w:b/>
                <w:bCs/>
                <w:i/>
                <w:sz w:val="24"/>
                <w:lang w:eastAsia="en-US"/>
              </w:rPr>
            </w:pPr>
            <w:r w:rsidRPr="00477057">
              <w:rPr>
                <w:rFonts w:eastAsiaTheme="majorEastAsia"/>
                <w:b/>
                <w:bCs/>
                <w:i/>
                <w:sz w:val="24"/>
                <w:lang w:eastAsia="en-US"/>
              </w:rPr>
              <w:lastRenderedPageBreak/>
              <w:t>відсутній</w:t>
            </w:r>
          </w:p>
        </w:tc>
        <w:tc>
          <w:tcPr>
            <w:tcW w:w="2370" w:type="pct"/>
          </w:tcPr>
          <w:p w14:paraId="34BC6A1E" w14:textId="098CFEAF" w:rsidR="007D3E86" w:rsidRPr="007D3E86" w:rsidRDefault="007D3E86" w:rsidP="00477057">
            <w:pPr>
              <w:pStyle w:val="3"/>
              <w:keepNext w:val="0"/>
              <w:keepLines w:val="0"/>
              <w:widowControl w:val="0"/>
              <w:spacing w:before="0"/>
              <w:jc w:val="center"/>
              <w:outlineLvl w:val="2"/>
              <w:rPr>
                <w:rFonts w:ascii="Times New Roman" w:hAnsi="Times New Roman" w:cs="Times New Roman"/>
                <w:bCs/>
                <w:color w:val="auto"/>
                <w:szCs w:val="28"/>
                <w:lang w:eastAsia="en-US"/>
              </w:rPr>
            </w:pPr>
            <w:r w:rsidRPr="007D3E86">
              <w:rPr>
                <w:rFonts w:ascii="Times New Roman" w:hAnsi="Times New Roman" w:cs="Times New Roman"/>
                <w:bCs/>
                <w:color w:val="auto"/>
                <w:szCs w:val="28"/>
                <w:lang w:eastAsia="en-US"/>
              </w:rPr>
              <w:lastRenderedPageBreak/>
              <w:t>3. Контроль за дотриманням вимог</w:t>
            </w:r>
            <w:r>
              <w:rPr>
                <w:rFonts w:ascii="Times New Roman" w:hAnsi="Times New Roman" w:cs="Times New Roman"/>
                <w:bCs/>
                <w:color w:val="auto"/>
                <w:szCs w:val="28"/>
                <w:lang w:eastAsia="en-US"/>
              </w:rPr>
              <w:t xml:space="preserve"> </w:t>
            </w:r>
            <w:r w:rsidRPr="00477057">
              <w:rPr>
                <w:rFonts w:ascii="Times New Roman" w:hAnsi="Times New Roman" w:cs="Times New Roman"/>
                <w:b/>
                <w:bCs/>
                <w:color w:val="auto"/>
                <w:szCs w:val="28"/>
                <w:lang w:eastAsia="en-US"/>
              </w:rPr>
              <w:t>до платоспроможності</w:t>
            </w:r>
          </w:p>
          <w:p w14:paraId="1841FE2B" w14:textId="77777777" w:rsidR="007D3E86" w:rsidRDefault="007D3E86" w:rsidP="00263964">
            <w:pPr>
              <w:pStyle w:val="3"/>
              <w:keepNext w:val="0"/>
              <w:keepLines w:val="0"/>
              <w:widowControl w:val="0"/>
              <w:spacing w:before="0"/>
              <w:outlineLvl w:val="2"/>
              <w:rPr>
                <w:rFonts w:ascii="Times New Roman" w:hAnsi="Times New Roman" w:cs="Times New Roman"/>
                <w:bCs/>
                <w:color w:val="auto"/>
                <w:szCs w:val="28"/>
                <w:lang w:eastAsia="en-US"/>
              </w:rPr>
            </w:pPr>
          </w:p>
          <w:p w14:paraId="1E7273B4" w14:textId="011337D9" w:rsidR="00BA10A6" w:rsidRDefault="00BF034A" w:rsidP="00263964">
            <w:pPr>
              <w:pStyle w:val="3"/>
              <w:keepNext w:val="0"/>
              <w:keepLines w:val="0"/>
              <w:widowControl w:val="0"/>
              <w:spacing w:before="0"/>
              <w:outlineLvl w:val="2"/>
              <w:rPr>
                <w:rFonts w:ascii="Times New Roman" w:hAnsi="Times New Roman" w:cs="Times New Roman"/>
                <w:bCs/>
                <w:color w:val="auto"/>
                <w:szCs w:val="28"/>
                <w:lang w:eastAsia="en-US"/>
              </w:rPr>
            </w:pPr>
            <w:r w:rsidRPr="00BF034A">
              <w:rPr>
                <w:rFonts w:ascii="Times New Roman" w:hAnsi="Times New Roman" w:cs="Times New Roman"/>
                <w:bCs/>
                <w:color w:val="auto"/>
                <w:szCs w:val="28"/>
                <w:lang w:eastAsia="en-US"/>
              </w:rPr>
              <w:t>6. Страховик зобов’язаний забезпечити постійний контроль за дотриманням вимог цього Положення</w:t>
            </w:r>
            <w:r w:rsidRPr="00BF034A">
              <w:rPr>
                <w:rFonts w:ascii="Times New Roman" w:hAnsi="Times New Roman" w:cs="Times New Roman"/>
                <w:b/>
                <w:bCs/>
                <w:color w:val="auto"/>
                <w:szCs w:val="28"/>
                <w:lang w:eastAsia="en-US"/>
              </w:rPr>
              <w:t xml:space="preserve">, а також нормативно-правового </w:t>
            </w:r>
            <w:proofErr w:type="spellStart"/>
            <w:r w:rsidRPr="00BF034A">
              <w:rPr>
                <w:rFonts w:ascii="Times New Roman" w:hAnsi="Times New Roman" w:cs="Times New Roman"/>
                <w:b/>
                <w:bCs/>
                <w:color w:val="auto"/>
                <w:szCs w:val="28"/>
                <w:lang w:eastAsia="en-US"/>
              </w:rPr>
              <w:t>акта</w:t>
            </w:r>
            <w:proofErr w:type="spellEnd"/>
            <w:r w:rsidRPr="00BF034A">
              <w:rPr>
                <w:rFonts w:ascii="Times New Roman" w:hAnsi="Times New Roman" w:cs="Times New Roman"/>
                <w:b/>
                <w:bCs/>
                <w:color w:val="auto"/>
                <w:szCs w:val="28"/>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sidRPr="00BF034A">
              <w:rPr>
                <w:rFonts w:ascii="Times New Roman" w:hAnsi="Times New Roman" w:cs="Times New Roman"/>
                <w:bCs/>
                <w:color w:val="auto"/>
                <w:szCs w:val="28"/>
                <w:lang w:eastAsia="en-US"/>
              </w:rPr>
              <w:t>, включаючи, але не виключно:</w:t>
            </w:r>
          </w:p>
          <w:p w14:paraId="6F36877F" w14:textId="5952431E" w:rsidR="00E65265" w:rsidRDefault="00E65265" w:rsidP="00E65265">
            <w:pPr>
              <w:rPr>
                <w:lang w:eastAsia="en-US"/>
              </w:rPr>
            </w:pPr>
          </w:p>
          <w:p w14:paraId="2291D582" w14:textId="77777777" w:rsidR="007D3E86" w:rsidRPr="00477057" w:rsidRDefault="007D3E86" w:rsidP="0020063D">
            <w:pPr>
              <w:ind w:firstLine="36"/>
              <w:rPr>
                <w:rFonts w:eastAsiaTheme="majorEastAsia"/>
                <w:bCs/>
                <w:sz w:val="24"/>
                <w:lang w:eastAsia="en-US"/>
              </w:rPr>
            </w:pPr>
            <w:r w:rsidRPr="00477057">
              <w:rPr>
                <w:rFonts w:eastAsiaTheme="majorEastAsia"/>
                <w:bCs/>
                <w:sz w:val="24"/>
                <w:lang w:eastAsia="en-US"/>
              </w:rPr>
              <w:t>1) контроль за відповідністю складових регулятивного капіталу вимогам цього Положення протягом усього строку включення їх до регулятивного капіталу страховика;</w:t>
            </w:r>
          </w:p>
          <w:p w14:paraId="4FB89E63" w14:textId="77777777" w:rsidR="007D3E86" w:rsidRPr="00477057" w:rsidRDefault="007D3E86" w:rsidP="007D3E86">
            <w:pPr>
              <w:ind w:firstLine="461"/>
              <w:rPr>
                <w:rFonts w:eastAsiaTheme="majorEastAsia"/>
                <w:bCs/>
                <w:sz w:val="24"/>
                <w:lang w:eastAsia="en-US"/>
              </w:rPr>
            </w:pPr>
          </w:p>
          <w:p w14:paraId="405AD7DA" w14:textId="31DE35E9" w:rsidR="007D3E86" w:rsidRDefault="007D3E86" w:rsidP="0020063D">
            <w:pPr>
              <w:rPr>
                <w:rFonts w:eastAsiaTheme="majorEastAsia"/>
                <w:b/>
                <w:bCs/>
                <w:sz w:val="24"/>
                <w:lang w:eastAsia="en-US"/>
              </w:rPr>
            </w:pPr>
            <w:r w:rsidRPr="00477057">
              <w:rPr>
                <w:rFonts w:eastAsiaTheme="majorEastAsia"/>
                <w:bCs/>
                <w:sz w:val="24"/>
                <w:lang w:eastAsia="en-US"/>
              </w:rPr>
              <w:t>2) контроль за відповідністю активів страховика, віднесених до прийнятних активів для розрахунку регулятивного капіталу та/або до прийнятних активів для покриття технічних резервів, вимогам цього Положення</w:t>
            </w:r>
            <w:r w:rsidRPr="00477057">
              <w:rPr>
                <w:rFonts w:eastAsiaTheme="majorEastAsia"/>
                <w:b/>
                <w:bCs/>
                <w:sz w:val="24"/>
                <w:lang w:eastAsia="en-US"/>
              </w:rPr>
              <w:t>;</w:t>
            </w:r>
          </w:p>
          <w:p w14:paraId="34C702A3" w14:textId="77777777" w:rsidR="0020063D" w:rsidRPr="00477057" w:rsidRDefault="0020063D" w:rsidP="0020063D">
            <w:pPr>
              <w:rPr>
                <w:rFonts w:eastAsiaTheme="majorEastAsia"/>
                <w:bCs/>
                <w:sz w:val="24"/>
                <w:lang w:eastAsia="en-US"/>
              </w:rPr>
            </w:pPr>
          </w:p>
          <w:p w14:paraId="490F0485" w14:textId="3ED2F61C" w:rsidR="007D3E86" w:rsidRPr="00E65265" w:rsidRDefault="007D3E86" w:rsidP="0020063D">
            <w:pPr>
              <w:ind w:firstLine="36"/>
              <w:rPr>
                <w:lang w:eastAsia="en-US"/>
              </w:rPr>
            </w:pPr>
            <w:r w:rsidRPr="00477057">
              <w:rPr>
                <w:rFonts w:eastAsiaTheme="majorEastAsia"/>
                <w:b/>
                <w:bCs/>
                <w:sz w:val="24"/>
                <w:lang w:eastAsia="en-US"/>
              </w:rPr>
              <w:lastRenderedPageBreak/>
              <w:t xml:space="preserve">3) контроль за відповідністю оцінки вартості активів і зобов’язань страховика, крім оцінки технічних резервів, які включаються до розрахунку регулятивного капіталу страховика відповідно до цього Положення, вимогам нормативно-правового </w:t>
            </w:r>
            <w:proofErr w:type="spellStart"/>
            <w:r w:rsidRPr="00477057">
              <w:rPr>
                <w:rFonts w:eastAsiaTheme="majorEastAsia"/>
                <w:b/>
                <w:bCs/>
                <w:sz w:val="24"/>
                <w:lang w:eastAsia="en-US"/>
              </w:rPr>
              <w:t>акта</w:t>
            </w:r>
            <w:proofErr w:type="spellEnd"/>
            <w:r w:rsidRPr="00477057">
              <w:rPr>
                <w:rFonts w:eastAsiaTheme="majorEastAsia"/>
                <w:b/>
                <w:bCs/>
                <w:sz w:val="24"/>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p>
        </w:tc>
      </w:tr>
      <w:tr w:rsidR="00BA10A6" w:rsidRPr="00263964" w14:paraId="16CE1AA5" w14:textId="77777777" w:rsidTr="0076208F">
        <w:trPr>
          <w:trHeight w:val="20"/>
        </w:trPr>
        <w:tc>
          <w:tcPr>
            <w:tcW w:w="247" w:type="pct"/>
          </w:tcPr>
          <w:p w14:paraId="00258BB0" w14:textId="77777777" w:rsidR="00BA10A6" w:rsidRPr="00263964" w:rsidRDefault="00BA10A6" w:rsidP="00263964">
            <w:pPr>
              <w:pStyle w:val="a4"/>
              <w:widowControl w:val="0"/>
              <w:numPr>
                <w:ilvl w:val="0"/>
                <w:numId w:val="6"/>
              </w:numPr>
              <w:tabs>
                <w:tab w:val="left" w:pos="169"/>
              </w:tabs>
              <w:spacing w:before="0" w:beforeAutospacing="0" w:after="0" w:afterAutospacing="0"/>
              <w:ind w:left="0" w:firstLine="0"/>
              <w:jc w:val="center"/>
              <w:rPr>
                <w:szCs w:val="28"/>
              </w:rPr>
            </w:pPr>
          </w:p>
        </w:tc>
        <w:tc>
          <w:tcPr>
            <w:tcW w:w="2383" w:type="pct"/>
          </w:tcPr>
          <w:p w14:paraId="3B6C8F91" w14:textId="33BAC5AE" w:rsidR="00BA10A6" w:rsidRPr="00E65265" w:rsidRDefault="00E65265" w:rsidP="00263964">
            <w:pPr>
              <w:pStyle w:val="3"/>
              <w:keepNext w:val="0"/>
              <w:keepLines w:val="0"/>
              <w:widowControl w:val="0"/>
              <w:spacing w:before="0"/>
              <w:outlineLvl w:val="2"/>
              <w:rPr>
                <w:rFonts w:ascii="Times New Roman" w:hAnsi="Times New Roman" w:cs="Times New Roman"/>
                <w:bCs/>
                <w:color w:val="auto"/>
                <w:szCs w:val="28"/>
                <w:lang w:eastAsia="en-US"/>
              </w:rPr>
            </w:pPr>
            <w:r>
              <w:rPr>
                <w:rFonts w:ascii="Times New Roman" w:hAnsi="Times New Roman" w:cs="Times New Roman"/>
                <w:bCs/>
                <w:color w:val="auto"/>
                <w:szCs w:val="28"/>
                <w:lang w:eastAsia="en-US"/>
              </w:rPr>
              <w:t xml:space="preserve">7. </w:t>
            </w:r>
            <w:r w:rsidRPr="00E65265">
              <w:rPr>
                <w:rFonts w:ascii="Times New Roman" w:hAnsi="Times New Roman" w:cs="Times New Roman"/>
                <w:bCs/>
                <w:color w:val="auto"/>
                <w:szCs w:val="28"/>
                <w:lang w:eastAsia="en-US"/>
              </w:rPr>
              <w:t>Страховик під час здійснення контролю за відповідністю складової регулятивного капіталу, активу страховика, віднесеного до прийнятних активів, вимогам цього Положення враховує зміст усіх укладених страховиком правочинів, що стосуються такої складової регулятивного капіталу, такого активу.</w:t>
            </w:r>
          </w:p>
        </w:tc>
        <w:tc>
          <w:tcPr>
            <w:tcW w:w="2370" w:type="pct"/>
          </w:tcPr>
          <w:p w14:paraId="4ECC8318" w14:textId="5E3A7B4B" w:rsidR="00BA10A6" w:rsidRPr="00263964" w:rsidRDefault="00E65265" w:rsidP="00477057">
            <w:pPr>
              <w:pStyle w:val="3"/>
              <w:keepNext w:val="0"/>
              <w:keepLines w:val="0"/>
              <w:widowControl w:val="0"/>
              <w:spacing w:before="0"/>
              <w:outlineLvl w:val="2"/>
              <w:rPr>
                <w:rFonts w:ascii="Times New Roman" w:hAnsi="Times New Roman" w:cs="Times New Roman"/>
                <w:color w:val="auto"/>
                <w:szCs w:val="28"/>
              </w:rPr>
            </w:pPr>
            <w:r>
              <w:rPr>
                <w:rFonts w:ascii="Times New Roman" w:hAnsi="Times New Roman" w:cs="Times New Roman"/>
                <w:bCs/>
                <w:color w:val="auto"/>
                <w:szCs w:val="28"/>
                <w:lang w:eastAsia="en-US"/>
              </w:rPr>
              <w:t xml:space="preserve">7. </w:t>
            </w:r>
            <w:r w:rsidRPr="00E65265">
              <w:rPr>
                <w:rFonts w:ascii="Times New Roman" w:hAnsi="Times New Roman" w:cs="Times New Roman"/>
                <w:bCs/>
                <w:color w:val="auto"/>
                <w:szCs w:val="28"/>
                <w:lang w:eastAsia="en-US"/>
              </w:rPr>
              <w:t xml:space="preserve">Страховик під час здійснення контролю за відповідністю складової регулятивного капіталу, активу страховика, віднесеного до прийнятних активів, вимогам цього Положення </w:t>
            </w:r>
            <w:r w:rsidRPr="00E65265">
              <w:rPr>
                <w:rFonts w:ascii="Times New Roman" w:hAnsi="Times New Roman" w:cs="Times New Roman"/>
                <w:b/>
                <w:bCs/>
                <w:color w:val="auto"/>
                <w:szCs w:val="28"/>
                <w:lang w:eastAsia="en-US"/>
              </w:rPr>
              <w:t>та</w:t>
            </w:r>
            <w:r w:rsidR="00477057">
              <w:rPr>
                <w:rFonts w:ascii="Times New Roman" w:hAnsi="Times New Roman" w:cs="Times New Roman"/>
                <w:b/>
                <w:bCs/>
                <w:color w:val="auto"/>
                <w:szCs w:val="28"/>
                <w:lang w:eastAsia="en-US"/>
              </w:rPr>
              <w:t xml:space="preserve"> </w:t>
            </w:r>
            <w:r w:rsidR="00477057" w:rsidRPr="00477057">
              <w:rPr>
                <w:rFonts w:ascii="Times New Roman" w:hAnsi="Times New Roman" w:cs="Times New Roman"/>
                <w:b/>
                <w:bCs/>
                <w:color w:val="auto"/>
                <w:szCs w:val="28"/>
                <w:lang w:eastAsia="en-US"/>
              </w:rPr>
              <w:t xml:space="preserve">нормативно-правового </w:t>
            </w:r>
            <w:proofErr w:type="spellStart"/>
            <w:r w:rsidR="00477057" w:rsidRPr="00477057">
              <w:rPr>
                <w:rFonts w:ascii="Times New Roman" w:hAnsi="Times New Roman" w:cs="Times New Roman"/>
                <w:b/>
                <w:bCs/>
                <w:color w:val="auto"/>
                <w:szCs w:val="28"/>
                <w:lang w:eastAsia="en-US"/>
              </w:rPr>
              <w:t>акта</w:t>
            </w:r>
            <w:proofErr w:type="spellEnd"/>
            <w:r w:rsidR="00477057" w:rsidRPr="00477057">
              <w:rPr>
                <w:rFonts w:ascii="Times New Roman" w:hAnsi="Times New Roman" w:cs="Times New Roman"/>
                <w:b/>
                <w:bCs/>
                <w:color w:val="auto"/>
                <w:szCs w:val="28"/>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враховує зміст усіх укладених страховиком правочинів, що стосуються такої складової регулятивного капіталу, такого активу.</w:t>
            </w:r>
          </w:p>
        </w:tc>
      </w:tr>
      <w:tr w:rsidR="003E4F19" w:rsidRPr="00263964" w14:paraId="435C103D" w14:textId="77777777" w:rsidTr="0076208F">
        <w:trPr>
          <w:trHeight w:val="20"/>
        </w:trPr>
        <w:tc>
          <w:tcPr>
            <w:tcW w:w="247" w:type="pct"/>
          </w:tcPr>
          <w:p w14:paraId="44592D87" w14:textId="77777777" w:rsidR="003E4F19" w:rsidRPr="00263964" w:rsidRDefault="003E4F19" w:rsidP="003E4F19">
            <w:pPr>
              <w:pStyle w:val="a4"/>
              <w:widowControl w:val="0"/>
              <w:numPr>
                <w:ilvl w:val="0"/>
                <w:numId w:val="6"/>
              </w:numPr>
              <w:tabs>
                <w:tab w:val="left" w:pos="169"/>
              </w:tabs>
              <w:spacing w:before="0" w:beforeAutospacing="0" w:after="0" w:afterAutospacing="0"/>
              <w:ind w:left="0" w:firstLine="0"/>
              <w:jc w:val="center"/>
              <w:rPr>
                <w:szCs w:val="28"/>
              </w:rPr>
            </w:pPr>
          </w:p>
        </w:tc>
        <w:tc>
          <w:tcPr>
            <w:tcW w:w="2383" w:type="pct"/>
          </w:tcPr>
          <w:p w14:paraId="2C346A83" w14:textId="5B8E9327" w:rsidR="003E4F19" w:rsidRDefault="003E4F19" w:rsidP="003E4F19">
            <w:pPr>
              <w:pStyle w:val="3"/>
              <w:keepNext w:val="0"/>
              <w:keepLines w:val="0"/>
              <w:widowControl w:val="0"/>
              <w:spacing w:before="0"/>
              <w:outlineLvl w:val="2"/>
              <w:rPr>
                <w:rFonts w:ascii="Times New Roman" w:hAnsi="Times New Roman" w:cs="Times New Roman"/>
                <w:bCs/>
                <w:color w:val="auto"/>
                <w:szCs w:val="28"/>
                <w:lang w:eastAsia="en-US"/>
              </w:rPr>
            </w:pPr>
            <w:r>
              <w:rPr>
                <w:rFonts w:ascii="Times New Roman" w:hAnsi="Times New Roman" w:cs="Times New Roman"/>
                <w:bCs/>
                <w:color w:val="auto"/>
                <w:szCs w:val="28"/>
                <w:lang w:eastAsia="en-US"/>
              </w:rPr>
              <w:t xml:space="preserve">8. </w:t>
            </w:r>
            <w:r w:rsidRPr="00E65265">
              <w:rPr>
                <w:rFonts w:ascii="Times New Roman" w:hAnsi="Times New Roman" w:cs="Times New Roman"/>
                <w:bCs/>
                <w:color w:val="auto"/>
                <w:szCs w:val="28"/>
                <w:lang w:eastAsia="en-US"/>
              </w:rPr>
              <w:t>Національний банк або уповноважена Національним банком на здійснення інспекційної перевірки особа</w:t>
            </w:r>
            <w:r w:rsidRPr="00E65265" w:rsidDel="000A0895">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під час здійснення безвиїзного нагляду та/або інспекційної перевірки з метою перевірки відповідності складових регулятивного капіталу, активів страховика, віднесених до прийнятних активів, вимогам цього Положення одержує на запит або вимогу від страховика документи (включаючи їх копії), інформацію та письмові пояснення</w:t>
            </w:r>
            <w:r w:rsidRPr="00E65265" w:rsidDel="000A0895">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 xml:space="preserve">(в електронній та/або паперовій формі) у межах процедур, визначених нормативно-правовими актами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ринках небанківських фінансових </w:t>
            </w:r>
            <w:r w:rsidRPr="00E65265">
              <w:rPr>
                <w:rFonts w:ascii="Times New Roman" w:hAnsi="Times New Roman" w:cs="Times New Roman"/>
                <w:bCs/>
                <w:color w:val="auto"/>
                <w:szCs w:val="28"/>
                <w:lang w:eastAsia="en-US"/>
              </w:rPr>
              <w:lastRenderedPageBreak/>
              <w:t>послуг.</w:t>
            </w:r>
          </w:p>
        </w:tc>
        <w:tc>
          <w:tcPr>
            <w:tcW w:w="2370" w:type="pct"/>
          </w:tcPr>
          <w:p w14:paraId="71E6EE97" w14:textId="0498DB25" w:rsidR="003E4F19" w:rsidRDefault="003E4F19" w:rsidP="00477057">
            <w:pPr>
              <w:pStyle w:val="3"/>
              <w:keepNext w:val="0"/>
              <w:keepLines w:val="0"/>
              <w:widowControl w:val="0"/>
              <w:spacing w:before="0"/>
              <w:outlineLvl w:val="2"/>
              <w:rPr>
                <w:rFonts w:ascii="Times New Roman" w:hAnsi="Times New Roman" w:cs="Times New Roman"/>
                <w:bCs/>
                <w:color w:val="auto"/>
                <w:szCs w:val="28"/>
                <w:lang w:eastAsia="en-US"/>
              </w:rPr>
            </w:pPr>
            <w:r>
              <w:rPr>
                <w:rFonts w:ascii="Times New Roman" w:hAnsi="Times New Roman" w:cs="Times New Roman"/>
                <w:bCs/>
                <w:color w:val="auto"/>
                <w:szCs w:val="28"/>
                <w:lang w:eastAsia="en-US"/>
              </w:rPr>
              <w:lastRenderedPageBreak/>
              <w:t xml:space="preserve">8. </w:t>
            </w:r>
            <w:r w:rsidRPr="00E65265">
              <w:rPr>
                <w:rFonts w:ascii="Times New Roman" w:hAnsi="Times New Roman" w:cs="Times New Roman"/>
                <w:bCs/>
                <w:color w:val="auto"/>
                <w:szCs w:val="28"/>
                <w:lang w:eastAsia="en-US"/>
              </w:rPr>
              <w:t>Національний банк або уповноважена Національним банком на здійснення інспекційної перевірки особа</w:t>
            </w:r>
            <w:r w:rsidRPr="00E65265" w:rsidDel="000A0895">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під час здійснення безвиїзного нагляду та/або інспекційної перевірки з метою перевірки відповідності складових регулятивного капіталу, активів страховика, віднесених до прийнятних активів, вимогам цього Положення</w:t>
            </w:r>
            <w:r w:rsidR="009C0EBC" w:rsidRPr="009C0EBC">
              <w:rPr>
                <w:rFonts w:ascii="Times New Roman" w:hAnsi="Times New Roman" w:cs="Times New Roman"/>
                <w:b/>
                <w:bCs/>
                <w:color w:val="auto"/>
                <w:szCs w:val="28"/>
                <w:lang w:eastAsia="en-US"/>
              </w:rPr>
              <w:t>, а також перевірки</w:t>
            </w:r>
            <w:r w:rsidRPr="00E65265">
              <w:rPr>
                <w:rFonts w:ascii="Times New Roman" w:hAnsi="Times New Roman" w:cs="Times New Roman"/>
                <w:bCs/>
                <w:color w:val="auto"/>
                <w:szCs w:val="28"/>
                <w:lang w:eastAsia="en-US"/>
              </w:rPr>
              <w:t xml:space="preserve"> </w:t>
            </w:r>
            <w:r w:rsidR="009C0EBC" w:rsidRPr="009C0EBC">
              <w:rPr>
                <w:rFonts w:ascii="Times New Roman" w:hAnsi="Times New Roman" w:cs="Times New Roman"/>
                <w:b/>
                <w:bCs/>
                <w:color w:val="auto"/>
                <w:szCs w:val="28"/>
                <w:lang w:eastAsia="en-US"/>
              </w:rPr>
              <w:t>оцінки вартості прийнятних активів для розрахунку регулятивного капіталу</w:t>
            </w:r>
            <w:r w:rsidR="009C0EBC">
              <w:rPr>
                <w:rFonts w:ascii="Times New Roman" w:hAnsi="Times New Roman" w:cs="Times New Roman"/>
                <w:b/>
                <w:bCs/>
                <w:color w:val="auto"/>
                <w:szCs w:val="28"/>
                <w:lang w:eastAsia="en-US"/>
              </w:rPr>
              <w:t xml:space="preserve"> вимогам</w:t>
            </w:r>
            <w:r w:rsidR="00477057">
              <w:rPr>
                <w:rFonts w:ascii="Times New Roman" w:hAnsi="Times New Roman" w:cs="Times New Roman"/>
                <w:b/>
                <w:bCs/>
                <w:color w:val="auto"/>
                <w:szCs w:val="28"/>
                <w:lang w:eastAsia="en-US"/>
              </w:rPr>
              <w:t xml:space="preserve"> </w:t>
            </w:r>
            <w:r w:rsidR="00477057" w:rsidRPr="00477057">
              <w:rPr>
                <w:rFonts w:ascii="Times New Roman" w:hAnsi="Times New Roman" w:cs="Times New Roman"/>
                <w:b/>
                <w:bCs/>
                <w:color w:val="auto"/>
                <w:szCs w:val="28"/>
                <w:lang w:eastAsia="en-US"/>
              </w:rPr>
              <w:t xml:space="preserve">нормативно-правового </w:t>
            </w:r>
            <w:proofErr w:type="spellStart"/>
            <w:r w:rsidR="00477057" w:rsidRPr="00477057">
              <w:rPr>
                <w:rFonts w:ascii="Times New Roman" w:hAnsi="Times New Roman" w:cs="Times New Roman"/>
                <w:b/>
                <w:bCs/>
                <w:color w:val="auto"/>
                <w:szCs w:val="28"/>
                <w:lang w:eastAsia="en-US"/>
              </w:rPr>
              <w:t>акта</w:t>
            </w:r>
            <w:proofErr w:type="spellEnd"/>
            <w:r w:rsidR="00477057" w:rsidRPr="00477057">
              <w:rPr>
                <w:rFonts w:ascii="Times New Roman" w:hAnsi="Times New Roman" w:cs="Times New Roman"/>
                <w:b/>
                <w:bCs/>
                <w:color w:val="auto"/>
                <w:szCs w:val="28"/>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sidR="009C0EBC">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одержує на запит або вимогу від страховика документи (включаючи їх копії), інформацію та письмові пояснення</w:t>
            </w:r>
            <w:r w:rsidRPr="00E65265" w:rsidDel="000A0895">
              <w:rPr>
                <w:rFonts w:ascii="Times New Roman" w:hAnsi="Times New Roman" w:cs="Times New Roman"/>
                <w:bCs/>
                <w:color w:val="auto"/>
                <w:szCs w:val="28"/>
                <w:lang w:eastAsia="en-US"/>
              </w:rPr>
              <w:t xml:space="preserve"> </w:t>
            </w:r>
            <w:r w:rsidRPr="00E65265">
              <w:rPr>
                <w:rFonts w:ascii="Times New Roman" w:hAnsi="Times New Roman" w:cs="Times New Roman"/>
                <w:bCs/>
                <w:color w:val="auto"/>
                <w:szCs w:val="28"/>
                <w:lang w:eastAsia="en-US"/>
              </w:rPr>
              <w:t xml:space="preserve">(в електронній та/або паперовій формі) у </w:t>
            </w:r>
            <w:r w:rsidRPr="00E65265">
              <w:rPr>
                <w:rFonts w:ascii="Times New Roman" w:hAnsi="Times New Roman" w:cs="Times New Roman"/>
                <w:bCs/>
                <w:color w:val="auto"/>
                <w:szCs w:val="28"/>
                <w:lang w:eastAsia="en-US"/>
              </w:rPr>
              <w:lastRenderedPageBreak/>
              <w:t>межах процедур, визначених нормативно-правовими актами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ринках небанківських фінансових послуг.</w:t>
            </w:r>
          </w:p>
        </w:tc>
      </w:tr>
      <w:tr w:rsidR="003E4F19" w:rsidRPr="00263964" w14:paraId="384481E5" w14:textId="77777777" w:rsidTr="0076208F">
        <w:trPr>
          <w:trHeight w:val="20"/>
        </w:trPr>
        <w:tc>
          <w:tcPr>
            <w:tcW w:w="247" w:type="pct"/>
          </w:tcPr>
          <w:p w14:paraId="0C1F9A29" w14:textId="77777777" w:rsidR="003E4F19" w:rsidRPr="00263964" w:rsidRDefault="003E4F19" w:rsidP="003E4F19">
            <w:pPr>
              <w:pStyle w:val="a4"/>
              <w:widowControl w:val="0"/>
              <w:numPr>
                <w:ilvl w:val="0"/>
                <w:numId w:val="6"/>
              </w:numPr>
              <w:tabs>
                <w:tab w:val="left" w:pos="169"/>
              </w:tabs>
              <w:spacing w:before="0" w:beforeAutospacing="0" w:after="0" w:afterAutospacing="0"/>
              <w:ind w:left="0" w:firstLine="0"/>
              <w:jc w:val="center"/>
              <w:rPr>
                <w:szCs w:val="28"/>
              </w:rPr>
            </w:pPr>
          </w:p>
        </w:tc>
        <w:tc>
          <w:tcPr>
            <w:tcW w:w="2383" w:type="pct"/>
          </w:tcPr>
          <w:p w14:paraId="3369BBAF" w14:textId="2F2996C4" w:rsidR="003E4F19" w:rsidRDefault="003E4F19" w:rsidP="003E4F19">
            <w:pPr>
              <w:pStyle w:val="3"/>
              <w:keepNext w:val="0"/>
              <w:keepLines w:val="0"/>
              <w:widowControl w:val="0"/>
              <w:spacing w:before="0"/>
              <w:outlineLvl w:val="2"/>
              <w:rPr>
                <w:rFonts w:ascii="Times New Roman" w:hAnsi="Times New Roman" w:cs="Times New Roman"/>
                <w:bCs/>
                <w:color w:val="auto"/>
                <w:szCs w:val="28"/>
                <w:lang w:eastAsia="en-US"/>
              </w:rPr>
            </w:pPr>
            <w:r>
              <w:rPr>
                <w:rFonts w:ascii="Times New Roman" w:hAnsi="Times New Roman" w:cs="Times New Roman"/>
                <w:bCs/>
                <w:color w:val="auto"/>
                <w:szCs w:val="28"/>
                <w:lang w:eastAsia="en-US"/>
              </w:rPr>
              <w:t xml:space="preserve">9. </w:t>
            </w:r>
            <w:r w:rsidRPr="00E65265">
              <w:rPr>
                <w:rFonts w:ascii="Times New Roman" w:hAnsi="Times New Roman" w:cs="Times New Roman"/>
                <w:bCs/>
                <w:color w:val="auto"/>
                <w:szCs w:val="28"/>
                <w:lang w:eastAsia="en-US"/>
              </w:rPr>
              <w:t xml:space="preserve">Національний банк або уповноважена Національним банком на здійснення інспекційної перевірки особа повідомляє страховика про невідповідність складових регулятивного капіталу та/або активів страховика, віднесених до прийнятних активів, </w:t>
            </w:r>
            <w:r w:rsidRPr="00312E4D">
              <w:rPr>
                <w:rFonts w:ascii="Times New Roman" w:hAnsi="Times New Roman" w:cs="Times New Roman"/>
                <w:bCs/>
                <w:strike/>
                <w:color w:val="auto"/>
                <w:szCs w:val="28"/>
                <w:lang w:eastAsia="en-US"/>
              </w:rPr>
              <w:t xml:space="preserve">у межах процедур, визначених </w:t>
            </w:r>
            <w:r w:rsidRPr="0020063D">
              <w:rPr>
                <w:rFonts w:ascii="Times New Roman" w:hAnsi="Times New Roman" w:cs="Times New Roman"/>
                <w:bCs/>
                <w:strike/>
                <w:color w:val="auto"/>
                <w:szCs w:val="28"/>
                <w:lang w:eastAsia="en-US"/>
              </w:rPr>
              <w:t>нормативно-правовими актами</w:t>
            </w:r>
            <w:r w:rsidRPr="00E65265">
              <w:rPr>
                <w:rFonts w:ascii="Times New Roman" w:hAnsi="Times New Roman" w:cs="Times New Roman"/>
                <w:bCs/>
                <w:color w:val="auto"/>
                <w:szCs w:val="28"/>
                <w:lang w:eastAsia="en-US"/>
              </w:rPr>
              <w:t xml:space="preserve">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ринках небанківських фінансових послуг.</w:t>
            </w:r>
          </w:p>
        </w:tc>
        <w:tc>
          <w:tcPr>
            <w:tcW w:w="2370" w:type="pct"/>
          </w:tcPr>
          <w:p w14:paraId="7A520987" w14:textId="7FBA8D6C" w:rsidR="003E4F19" w:rsidRDefault="003E4F19" w:rsidP="0020063D">
            <w:pPr>
              <w:pStyle w:val="3"/>
              <w:keepNext w:val="0"/>
              <w:keepLines w:val="0"/>
              <w:widowControl w:val="0"/>
              <w:spacing w:before="0"/>
              <w:outlineLvl w:val="2"/>
              <w:rPr>
                <w:rFonts w:ascii="Times New Roman" w:hAnsi="Times New Roman" w:cs="Times New Roman"/>
                <w:bCs/>
                <w:color w:val="auto"/>
                <w:szCs w:val="28"/>
                <w:lang w:eastAsia="en-US"/>
              </w:rPr>
            </w:pPr>
            <w:r>
              <w:rPr>
                <w:rFonts w:ascii="Times New Roman" w:hAnsi="Times New Roman" w:cs="Times New Roman"/>
                <w:bCs/>
                <w:color w:val="auto"/>
                <w:szCs w:val="28"/>
                <w:lang w:eastAsia="en-US"/>
              </w:rPr>
              <w:t xml:space="preserve">9. </w:t>
            </w:r>
            <w:r w:rsidRPr="00E65265">
              <w:rPr>
                <w:rFonts w:ascii="Times New Roman" w:hAnsi="Times New Roman" w:cs="Times New Roman"/>
                <w:bCs/>
                <w:color w:val="auto"/>
                <w:szCs w:val="28"/>
                <w:lang w:eastAsia="en-US"/>
              </w:rPr>
              <w:t xml:space="preserve">Національний банк або уповноважена Національним банком на здійснення інспекційної перевірки особа повідомляє страховика про невідповідність складових регулятивного капіталу та/або активів страховика, віднесених до прийнятних активів, </w:t>
            </w:r>
            <w:r w:rsidR="00B845BE" w:rsidRPr="00B845BE">
              <w:rPr>
                <w:rFonts w:ascii="Times New Roman" w:hAnsi="Times New Roman" w:cs="Times New Roman"/>
                <w:b/>
                <w:bCs/>
                <w:color w:val="auto"/>
                <w:szCs w:val="28"/>
                <w:lang w:eastAsia="en-US"/>
              </w:rPr>
              <w:t>вимогам цього Положення,</w:t>
            </w:r>
            <w:r w:rsidR="00B845BE" w:rsidRPr="009C0EBC">
              <w:rPr>
                <w:rFonts w:ascii="Times New Roman" w:hAnsi="Times New Roman" w:cs="Times New Roman"/>
                <w:b/>
                <w:bCs/>
                <w:color w:val="auto"/>
                <w:szCs w:val="28"/>
                <w:lang w:eastAsia="en-US"/>
              </w:rPr>
              <w:t xml:space="preserve"> а також оцінки вартості прийнятних активів для розрахунку регулятивного капіталу</w:t>
            </w:r>
            <w:r w:rsidR="00B845BE">
              <w:rPr>
                <w:rFonts w:ascii="Times New Roman" w:hAnsi="Times New Roman" w:cs="Times New Roman"/>
                <w:b/>
                <w:bCs/>
                <w:color w:val="auto"/>
                <w:szCs w:val="28"/>
                <w:lang w:eastAsia="en-US"/>
              </w:rPr>
              <w:t xml:space="preserve"> вимогам</w:t>
            </w:r>
            <w:r w:rsidR="0020063D">
              <w:rPr>
                <w:rFonts w:ascii="Times New Roman" w:hAnsi="Times New Roman" w:cs="Times New Roman"/>
                <w:b/>
                <w:bCs/>
                <w:color w:val="auto"/>
                <w:szCs w:val="28"/>
                <w:lang w:eastAsia="en-US"/>
              </w:rPr>
              <w:t xml:space="preserve"> </w:t>
            </w:r>
            <w:r w:rsidR="0020063D" w:rsidRPr="0020063D">
              <w:rPr>
                <w:rFonts w:ascii="Times New Roman" w:hAnsi="Times New Roman" w:cs="Times New Roman"/>
                <w:b/>
                <w:bCs/>
                <w:color w:val="auto"/>
                <w:szCs w:val="28"/>
                <w:lang w:eastAsia="en-US"/>
              </w:rPr>
              <w:t xml:space="preserve">нормативно-правового </w:t>
            </w:r>
            <w:proofErr w:type="spellStart"/>
            <w:r w:rsidR="0020063D" w:rsidRPr="0020063D">
              <w:rPr>
                <w:rFonts w:ascii="Times New Roman" w:hAnsi="Times New Roman" w:cs="Times New Roman"/>
                <w:b/>
                <w:bCs/>
                <w:color w:val="auto"/>
                <w:szCs w:val="28"/>
                <w:lang w:eastAsia="en-US"/>
              </w:rPr>
              <w:t>акта</w:t>
            </w:r>
            <w:proofErr w:type="spellEnd"/>
            <w:r w:rsidR="0020063D" w:rsidRPr="0020063D">
              <w:rPr>
                <w:rFonts w:ascii="Times New Roman" w:hAnsi="Times New Roman" w:cs="Times New Roman"/>
                <w:b/>
                <w:bCs/>
                <w:color w:val="auto"/>
                <w:szCs w:val="28"/>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sidR="00B845BE" w:rsidRPr="00E65265">
              <w:rPr>
                <w:rFonts w:ascii="Times New Roman" w:hAnsi="Times New Roman" w:cs="Times New Roman"/>
                <w:bCs/>
                <w:color w:val="auto"/>
                <w:szCs w:val="28"/>
                <w:lang w:eastAsia="en-US"/>
              </w:rPr>
              <w:t xml:space="preserve"> </w:t>
            </w:r>
            <w:r w:rsidR="00312E4D" w:rsidRPr="00312E4D">
              <w:rPr>
                <w:rFonts w:ascii="Times New Roman" w:hAnsi="Times New Roman" w:cs="Times New Roman"/>
                <w:b/>
                <w:bCs/>
                <w:color w:val="auto"/>
                <w:szCs w:val="28"/>
                <w:lang w:eastAsia="en-US"/>
              </w:rPr>
              <w:t>відповідно до положень</w:t>
            </w:r>
            <w:r w:rsidRPr="00E65265">
              <w:rPr>
                <w:rFonts w:ascii="Times New Roman" w:hAnsi="Times New Roman" w:cs="Times New Roman"/>
                <w:bCs/>
                <w:color w:val="auto"/>
                <w:szCs w:val="28"/>
                <w:lang w:eastAsia="en-US"/>
              </w:rPr>
              <w:t xml:space="preserve"> </w:t>
            </w:r>
            <w:r w:rsidRPr="0020063D">
              <w:rPr>
                <w:rFonts w:ascii="Times New Roman" w:hAnsi="Times New Roman" w:cs="Times New Roman"/>
                <w:b/>
                <w:bCs/>
                <w:color w:val="auto"/>
                <w:szCs w:val="28"/>
                <w:lang w:eastAsia="en-US"/>
              </w:rPr>
              <w:t>нормативно-правови</w:t>
            </w:r>
            <w:r w:rsidR="00312E4D" w:rsidRPr="0020063D">
              <w:rPr>
                <w:rFonts w:ascii="Times New Roman" w:hAnsi="Times New Roman" w:cs="Times New Roman"/>
                <w:b/>
                <w:bCs/>
                <w:color w:val="auto"/>
                <w:szCs w:val="28"/>
                <w:lang w:eastAsia="en-US"/>
              </w:rPr>
              <w:t>х</w:t>
            </w:r>
            <w:r w:rsidRPr="0020063D">
              <w:rPr>
                <w:rFonts w:ascii="Times New Roman" w:hAnsi="Times New Roman" w:cs="Times New Roman"/>
                <w:b/>
                <w:bCs/>
                <w:color w:val="auto"/>
                <w:szCs w:val="28"/>
                <w:lang w:eastAsia="en-US"/>
              </w:rPr>
              <w:t xml:space="preserve"> акт</w:t>
            </w:r>
            <w:r w:rsidR="00312E4D" w:rsidRPr="0020063D">
              <w:rPr>
                <w:rFonts w:ascii="Times New Roman" w:hAnsi="Times New Roman" w:cs="Times New Roman"/>
                <w:b/>
                <w:bCs/>
                <w:color w:val="auto"/>
                <w:szCs w:val="28"/>
                <w:lang w:eastAsia="en-US"/>
              </w:rPr>
              <w:t>ів</w:t>
            </w:r>
            <w:r w:rsidRPr="00E65265">
              <w:rPr>
                <w:rFonts w:ascii="Times New Roman" w:hAnsi="Times New Roman" w:cs="Times New Roman"/>
                <w:bCs/>
                <w:color w:val="auto"/>
                <w:szCs w:val="28"/>
                <w:lang w:eastAsia="en-US"/>
              </w:rPr>
              <w:t xml:space="preserve">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ринках небанківських фінансових послуг.</w:t>
            </w:r>
          </w:p>
        </w:tc>
      </w:tr>
      <w:tr w:rsidR="00263964" w:rsidRPr="00263964" w14:paraId="7E0ADFC4" w14:textId="77777777" w:rsidTr="0076208F">
        <w:trPr>
          <w:trHeight w:val="20"/>
        </w:trPr>
        <w:tc>
          <w:tcPr>
            <w:tcW w:w="247" w:type="pct"/>
          </w:tcPr>
          <w:p w14:paraId="717A5F2F" w14:textId="14287596" w:rsidR="00263964" w:rsidRPr="00263964" w:rsidRDefault="00263964" w:rsidP="00263964">
            <w:pPr>
              <w:pStyle w:val="a4"/>
              <w:widowControl w:val="0"/>
              <w:numPr>
                <w:ilvl w:val="0"/>
                <w:numId w:val="6"/>
              </w:numPr>
              <w:tabs>
                <w:tab w:val="left" w:pos="311"/>
              </w:tabs>
              <w:spacing w:before="0" w:beforeAutospacing="0" w:after="0" w:afterAutospacing="0"/>
              <w:ind w:left="0" w:firstLine="0"/>
              <w:jc w:val="center"/>
              <w:rPr>
                <w:szCs w:val="28"/>
              </w:rPr>
            </w:pPr>
          </w:p>
        </w:tc>
        <w:tc>
          <w:tcPr>
            <w:tcW w:w="2383" w:type="pct"/>
          </w:tcPr>
          <w:p w14:paraId="231B0263" w14:textId="22F2C301" w:rsidR="00263964" w:rsidRPr="00263964" w:rsidRDefault="00263964" w:rsidP="00263964">
            <w:pPr>
              <w:pStyle w:val="3"/>
              <w:keepNext w:val="0"/>
              <w:keepLines w:val="0"/>
              <w:widowControl w:val="0"/>
              <w:spacing w:before="0"/>
              <w:outlineLvl w:val="2"/>
              <w:rPr>
                <w:rFonts w:ascii="Times New Roman" w:hAnsi="Times New Roman" w:cs="Times New Roman"/>
                <w:color w:val="auto"/>
                <w:szCs w:val="28"/>
              </w:rPr>
            </w:pPr>
            <w:r w:rsidRPr="00263964">
              <w:rPr>
                <w:rFonts w:ascii="Times New Roman" w:hAnsi="Times New Roman" w:cs="Times New Roman"/>
                <w:color w:val="auto"/>
                <w:szCs w:val="28"/>
              </w:rPr>
              <w:t xml:space="preserve">27. Страховик здійснює оцінку активів та зобов’язань </w:t>
            </w:r>
            <w:r w:rsidRPr="00263964">
              <w:rPr>
                <w:rFonts w:ascii="Times New Roman" w:hAnsi="Times New Roman" w:cs="Times New Roman"/>
                <w:bCs/>
                <w:color w:val="auto"/>
                <w:szCs w:val="28"/>
                <w:lang w:eastAsia="en-US"/>
              </w:rPr>
              <w:t>для цілей розрахунку регулятивного капіталу</w:t>
            </w:r>
            <w:r w:rsidRPr="00263964">
              <w:rPr>
                <w:rFonts w:ascii="Times New Roman" w:hAnsi="Times New Roman" w:cs="Times New Roman"/>
                <w:color w:val="auto"/>
                <w:szCs w:val="28"/>
              </w:rPr>
              <w:t xml:space="preserve">, крім оцінки технічних резервів, згідно з </w:t>
            </w:r>
            <w:r w:rsidRPr="00263964">
              <w:rPr>
                <w:rFonts w:ascii="Times New Roman" w:hAnsi="Times New Roman" w:cs="Times New Roman"/>
                <w:b/>
                <w:strike/>
                <w:color w:val="auto"/>
                <w:szCs w:val="28"/>
              </w:rPr>
              <w:t xml:space="preserve">міжнародними стандартами фінансової звітності, які оприлюднені державною мовою на офіційному </w:t>
            </w:r>
            <w:proofErr w:type="spellStart"/>
            <w:r w:rsidRPr="00263964">
              <w:rPr>
                <w:rFonts w:ascii="Times New Roman" w:hAnsi="Times New Roman" w:cs="Times New Roman"/>
                <w:b/>
                <w:strike/>
                <w:color w:val="auto"/>
                <w:szCs w:val="28"/>
              </w:rPr>
              <w:t>вебсайті</w:t>
            </w:r>
            <w:proofErr w:type="spellEnd"/>
            <w:r w:rsidRPr="00263964">
              <w:rPr>
                <w:rFonts w:ascii="Times New Roman" w:hAnsi="Times New Roman" w:cs="Times New Roman"/>
                <w:b/>
                <w:strike/>
                <w:color w:val="auto"/>
                <w:szCs w:val="28"/>
              </w:rPr>
              <w:t xml:space="preserve"> центрального органу виконавчої влади, що забезпечує формування та реалізує державну політику у сфері бухгалтерського обліку та аудиту.</w:t>
            </w:r>
            <w:r w:rsidRPr="00263964">
              <w:rPr>
                <w:rFonts w:ascii="Times New Roman" w:hAnsi="Times New Roman" w:cs="Times New Roman"/>
                <w:color w:val="auto"/>
                <w:szCs w:val="28"/>
              </w:rPr>
              <w:t xml:space="preserve"> </w:t>
            </w:r>
          </w:p>
          <w:p w14:paraId="7EA28342" w14:textId="7173B08C" w:rsidR="00263964" w:rsidRPr="00263964" w:rsidRDefault="00263964" w:rsidP="00263964">
            <w:pPr>
              <w:pStyle w:val="3"/>
              <w:keepNext w:val="0"/>
              <w:keepLines w:val="0"/>
              <w:widowControl w:val="0"/>
              <w:spacing w:before="0"/>
              <w:outlineLvl w:val="2"/>
              <w:rPr>
                <w:shd w:val="clear" w:color="auto" w:fill="FFFFFF"/>
              </w:rPr>
            </w:pPr>
            <w:r w:rsidRPr="00263964">
              <w:rPr>
                <w:rFonts w:ascii="Times New Roman" w:hAnsi="Times New Roman" w:cs="Times New Roman"/>
                <w:color w:val="auto"/>
                <w:szCs w:val="28"/>
              </w:rPr>
              <w:t>…</w:t>
            </w:r>
          </w:p>
        </w:tc>
        <w:tc>
          <w:tcPr>
            <w:tcW w:w="2370" w:type="pct"/>
          </w:tcPr>
          <w:p w14:paraId="485D5C9E" w14:textId="7D130729" w:rsidR="00263964" w:rsidRPr="00263964" w:rsidRDefault="00263964" w:rsidP="00263964">
            <w:pPr>
              <w:pStyle w:val="3"/>
              <w:keepNext w:val="0"/>
              <w:keepLines w:val="0"/>
              <w:widowControl w:val="0"/>
              <w:spacing w:before="0"/>
              <w:outlineLvl w:val="2"/>
              <w:rPr>
                <w:rFonts w:ascii="Times New Roman" w:hAnsi="Times New Roman" w:cs="Times New Roman"/>
                <w:b/>
                <w:bCs/>
                <w:color w:val="auto"/>
                <w:szCs w:val="28"/>
                <w:lang w:eastAsia="en-US"/>
              </w:rPr>
            </w:pPr>
            <w:r w:rsidRPr="00263964">
              <w:rPr>
                <w:rFonts w:ascii="Times New Roman" w:hAnsi="Times New Roman" w:cs="Times New Roman"/>
                <w:bCs/>
                <w:color w:val="auto"/>
                <w:szCs w:val="28"/>
                <w:lang w:eastAsia="en-US"/>
              </w:rPr>
              <w:t xml:space="preserve">27. Страховик здійснює оцінку активів та зобов’язань для цілей розрахунку регулятивного капіталу, крім оцінки технічних резервів, згідно з </w:t>
            </w:r>
            <w:r w:rsidRPr="00263964">
              <w:rPr>
                <w:rFonts w:ascii="Times New Roman" w:hAnsi="Times New Roman" w:cs="Times New Roman"/>
                <w:b/>
                <w:bCs/>
                <w:color w:val="auto"/>
                <w:szCs w:val="28"/>
                <w:lang w:eastAsia="en-US"/>
              </w:rPr>
              <w:t>вимогами</w:t>
            </w:r>
            <w:r w:rsidR="0020063D">
              <w:rPr>
                <w:rFonts w:ascii="Times New Roman" w:hAnsi="Times New Roman" w:cs="Times New Roman"/>
                <w:b/>
                <w:bCs/>
                <w:color w:val="auto"/>
                <w:szCs w:val="28"/>
                <w:lang w:eastAsia="en-US"/>
              </w:rPr>
              <w:t xml:space="preserve"> </w:t>
            </w:r>
            <w:r w:rsidR="0020063D" w:rsidRPr="0020063D">
              <w:rPr>
                <w:rFonts w:ascii="Times New Roman" w:hAnsi="Times New Roman" w:cs="Times New Roman"/>
                <w:b/>
                <w:bCs/>
                <w:color w:val="auto"/>
                <w:szCs w:val="28"/>
                <w:lang w:eastAsia="en-US"/>
              </w:rPr>
              <w:t xml:space="preserve">нормативно-правового </w:t>
            </w:r>
            <w:proofErr w:type="spellStart"/>
            <w:r w:rsidR="0020063D" w:rsidRPr="0020063D">
              <w:rPr>
                <w:rFonts w:ascii="Times New Roman" w:hAnsi="Times New Roman" w:cs="Times New Roman"/>
                <w:b/>
                <w:bCs/>
                <w:color w:val="auto"/>
                <w:szCs w:val="28"/>
                <w:lang w:eastAsia="en-US"/>
              </w:rPr>
              <w:t>акта</w:t>
            </w:r>
            <w:proofErr w:type="spellEnd"/>
            <w:r w:rsidR="0020063D" w:rsidRPr="0020063D">
              <w:rPr>
                <w:rFonts w:ascii="Times New Roman" w:hAnsi="Times New Roman" w:cs="Times New Roman"/>
                <w:b/>
                <w:bCs/>
                <w:color w:val="auto"/>
                <w:szCs w:val="28"/>
                <w:lang w:eastAsia="en-US"/>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sidRPr="00263964">
              <w:rPr>
                <w:rFonts w:ascii="Times New Roman" w:hAnsi="Times New Roman" w:cs="Times New Roman"/>
                <w:b/>
                <w:bCs/>
                <w:color w:val="auto"/>
                <w:szCs w:val="28"/>
                <w:lang w:eastAsia="en-US"/>
              </w:rPr>
              <w:t>.</w:t>
            </w:r>
          </w:p>
          <w:p w14:paraId="40E0282F" w14:textId="77777777" w:rsidR="00263964" w:rsidRPr="00263964" w:rsidRDefault="00263964" w:rsidP="00263964">
            <w:pPr>
              <w:rPr>
                <w:sz w:val="24"/>
                <w:lang w:eastAsia="en-US"/>
              </w:rPr>
            </w:pPr>
          </w:p>
          <w:p w14:paraId="3B927E7A" w14:textId="60914A66" w:rsidR="00263964" w:rsidRPr="00263964" w:rsidRDefault="00263964" w:rsidP="00263964">
            <w:pPr>
              <w:rPr>
                <w:sz w:val="24"/>
                <w:lang w:eastAsia="en-US"/>
              </w:rPr>
            </w:pPr>
            <w:r w:rsidRPr="00263964">
              <w:rPr>
                <w:sz w:val="24"/>
                <w:lang w:eastAsia="en-US"/>
              </w:rPr>
              <w:t>…</w:t>
            </w:r>
          </w:p>
        </w:tc>
      </w:tr>
      <w:tr w:rsidR="0090375E" w:rsidRPr="00263964" w14:paraId="4ECC8733" w14:textId="77777777" w:rsidTr="0076208F">
        <w:trPr>
          <w:trHeight w:val="20"/>
        </w:trPr>
        <w:tc>
          <w:tcPr>
            <w:tcW w:w="247" w:type="pct"/>
          </w:tcPr>
          <w:p w14:paraId="69949480" w14:textId="77777777" w:rsidR="0090375E" w:rsidRPr="00263964" w:rsidRDefault="0090375E" w:rsidP="0090375E">
            <w:pPr>
              <w:pStyle w:val="a4"/>
              <w:widowControl w:val="0"/>
              <w:numPr>
                <w:ilvl w:val="0"/>
                <w:numId w:val="6"/>
              </w:numPr>
              <w:tabs>
                <w:tab w:val="left" w:pos="311"/>
              </w:tabs>
              <w:spacing w:before="0" w:beforeAutospacing="0" w:after="0" w:afterAutospacing="0"/>
              <w:ind w:left="0" w:firstLine="0"/>
              <w:jc w:val="center"/>
              <w:rPr>
                <w:szCs w:val="28"/>
              </w:rPr>
            </w:pPr>
          </w:p>
        </w:tc>
        <w:tc>
          <w:tcPr>
            <w:tcW w:w="2383" w:type="pct"/>
          </w:tcPr>
          <w:p w14:paraId="56171415" w14:textId="77777777" w:rsidR="0090375E" w:rsidRPr="00074FDC" w:rsidRDefault="0090375E" w:rsidP="0090375E">
            <w:pPr>
              <w:pStyle w:val="3"/>
              <w:keepNext w:val="0"/>
              <w:keepLines w:val="0"/>
              <w:widowControl w:val="0"/>
              <w:spacing w:before="0"/>
              <w:outlineLvl w:val="2"/>
              <w:rPr>
                <w:rFonts w:ascii="Times New Roman" w:hAnsi="Times New Roman" w:cs="Times New Roman"/>
                <w:color w:val="auto"/>
                <w:szCs w:val="28"/>
              </w:rPr>
            </w:pPr>
            <w:r>
              <w:rPr>
                <w:rFonts w:ascii="Times New Roman" w:hAnsi="Times New Roman" w:cs="Times New Roman"/>
                <w:color w:val="auto"/>
                <w:szCs w:val="28"/>
              </w:rPr>
              <w:t xml:space="preserve">43. </w:t>
            </w:r>
            <w:r w:rsidRPr="00074FDC">
              <w:rPr>
                <w:rFonts w:ascii="Times New Roman" w:hAnsi="Times New Roman" w:cs="Times New Roman"/>
                <w:color w:val="auto"/>
                <w:szCs w:val="28"/>
              </w:rPr>
              <w:t>Сума прийнятних активів не включає:</w:t>
            </w:r>
          </w:p>
          <w:p w14:paraId="4E6A5E4B" w14:textId="77777777" w:rsidR="0090375E" w:rsidRDefault="0090375E" w:rsidP="0090375E">
            <w:pPr>
              <w:pStyle w:val="3"/>
              <w:keepNext w:val="0"/>
              <w:keepLines w:val="0"/>
              <w:widowControl w:val="0"/>
              <w:spacing w:before="0"/>
              <w:outlineLvl w:val="2"/>
              <w:rPr>
                <w:rFonts w:ascii="Times New Roman" w:hAnsi="Times New Roman" w:cs="Times New Roman"/>
                <w:color w:val="auto"/>
                <w:szCs w:val="28"/>
              </w:rPr>
            </w:pPr>
            <w:r>
              <w:rPr>
                <w:rFonts w:ascii="Times New Roman" w:hAnsi="Times New Roman" w:cs="Times New Roman"/>
                <w:color w:val="auto"/>
                <w:szCs w:val="28"/>
              </w:rPr>
              <w:t>…</w:t>
            </w:r>
          </w:p>
          <w:p w14:paraId="61B035F7" w14:textId="48FA4317" w:rsidR="0090375E" w:rsidRDefault="0090375E" w:rsidP="0090375E">
            <w:pPr>
              <w:pStyle w:val="3"/>
              <w:keepNext w:val="0"/>
              <w:keepLines w:val="0"/>
              <w:widowControl w:val="0"/>
              <w:spacing w:before="0"/>
              <w:outlineLvl w:val="2"/>
              <w:rPr>
                <w:rFonts w:ascii="Times New Roman" w:hAnsi="Times New Roman" w:cs="Times New Roman"/>
                <w:strike/>
                <w:color w:val="auto"/>
                <w:szCs w:val="28"/>
              </w:rPr>
            </w:pPr>
            <w:r>
              <w:rPr>
                <w:rFonts w:ascii="Times New Roman" w:hAnsi="Times New Roman" w:cs="Times New Roman"/>
                <w:color w:val="auto"/>
                <w:szCs w:val="28"/>
              </w:rPr>
              <w:t xml:space="preserve">9) </w:t>
            </w:r>
            <w:r w:rsidRPr="00074FDC">
              <w:rPr>
                <w:rFonts w:ascii="Times New Roman" w:hAnsi="Times New Roman" w:cs="Times New Roman"/>
                <w:color w:val="auto"/>
                <w:szCs w:val="28"/>
              </w:rPr>
              <w:t>активи, які обтяжені для забезпечення виконання інших зобов’язань, ніж зобов’язання за договорами страхування (перестрахування) (включаючи застави, гарантії, зобов’язання)</w:t>
            </w:r>
            <w:r w:rsidRPr="00D436A8">
              <w:rPr>
                <w:rFonts w:ascii="Times New Roman" w:hAnsi="Times New Roman" w:cs="Times New Roman"/>
                <w:strike/>
                <w:color w:val="auto"/>
                <w:szCs w:val="28"/>
              </w:rPr>
              <w:t>.</w:t>
            </w:r>
          </w:p>
          <w:p w14:paraId="43ECA2BF" w14:textId="77777777" w:rsidR="00D436A8" w:rsidRPr="00D436A8" w:rsidRDefault="00D436A8" w:rsidP="00D436A8"/>
          <w:p w14:paraId="0411EDE9" w14:textId="401332F3" w:rsidR="0090375E" w:rsidRPr="00D436A8" w:rsidRDefault="0090375E" w:rsidP="00D436A8">
            <w:pPr>
              <w:ind w:left="604"/>
            </w:pPr>
            <w:r w:rsidRPr="00263964">
              <w:rPr>
                <w:b/>
                <w:i/>
                <w:sz w:val="24"/>
                <w:lang w:eastAsia="en-US"/>
              </w:rPr>
              <w:t>відсутній</w:t>
            </w:r>
          </w:p>
        </w:tc>
        <w:tc>
          <w:tcPr>
            <w:tcW w:w="2370" w:type="pct"/>
          </w:tcPr>
          <w:p w14:paraId="6D9E3848" w14:textId="77777777" w:rsidR="0090375E" w:rsidRPr="00074FDC" w:rsidRDefault="0090375E" w:rsidP="0090375E">
            <w:pPr>
              <w:pStyle w:val="3"/>
              <w:keepNext w:val="0"/>
              <w:keepLines w:val="0"/>
              <w:widowControl w:val="0"/>
              <w:spacing w:before="0"/>
              <w:outlineLvl w:val="2"/>
              <w:rPr>
                <w:rFonts w:ascii="Times New Roman" w:hAnsi="Times New Roman" w:cs="Times New Roman"/>
                <w:color w:val="auto"/>
                <w:szCs w:val="28"/>
              </w:rPr>
            </w:pPr>
            <w:r>
              <w:rPr>
                <w:rFonts w:ascii="Times New Roman" w:hAnsi="Times New Roman" w:cs="Times New Roman"/>
                <w:color w:val="auto"/>
                <w:szCs w:val="28"/>
              </w:rPr>
              <w:t xml:space="preserve">43. </w:t>
            </w:r>
            <w:r w:rsidRPr="00074FDC">
              <w:rPr>
                <w:rFonts w:ascii="Times New Roman" w:hAnsi="Times New Roman" w:cs="Times New Roman"/>
                <w:color w:val="auto"/>
                <w:szCs w:val="28"/>
              </w:rPr>
              <w:t>Сума прийнятних активів не включає:</w:t>
            </w:r>
          </w:p>
          <w:p w14:paraId="69E20AFB" w14:textId="77777777" w:rsidR="0090375E" w:rsidRDefault="0090375E" w:rsidP="0090375E">
            <w:pPr>
              <w:pStyle w:val="3"/>
              <w:keepNext w:val="0"/>
              <w:keepLines w:val="0"/>
              <w:widowControl w:val="0"/>
              <w:spacing w:before="0"/>
              <w:outlineLvl w:val="2"/>
              <w:rPr>
                <w:rFonts w:ascii="Times New Roman" w:hAnsi="Times New Roman" w:cs="Times New Roman"/>
                <w:color w:val="auto"/>
                <w:szCs w:val="28"/>
              </w:rPr>
            </w:pPr>
            <w:r>
              <w:rPr>
                <w:rFonts w:ascii="Times New Roman" w:hAnsi="Times New Roman" w:cs="Times New Roman"/>
                <w:color w:val="auto"/>
                <w:szCs w:val="28"/>
              </w:rPr>
              <w:t>…</w:t>
            </w:r>
          </w:p>
          <w:p w14:paraId="3F5DB361" w14:textId="255529D1" w:rsidR="0090375E" w:rsidRDefault="0090375E" w:rsidP="00D436A8">
            <w:pPr>
              <w:pStyle w:val="3"/>
              <w:keepNext w:val="0"/>
              <w:keepLines w:val="0"/>
              <w:widowControl w:val="0"/>
              <w:spacing w:before="0"/>
              <w:outlineLvl w:val="2"/>
              <w:rPr>
                <w:rFonts w:ascii="Times New Roman" w:hAnsi="Times New Roman" w:cs="Times New Roman"/>
                <w:b/>
                <w:color w:val="auto"/>
                <w:szCs w:val="28"/>
              </w:rPr>
            </w:pPr>
            <w:r>
              <w:rPr>
                <w:rFonts w:ascii="Times New Roman" w:hAnsi="Times New Roman" w:cs="Times New Roman"/>
                <w:color w:val="auto"/>
                <w:szCs w:val="28"/>
              </w:rPr>
              <w:t xml:space="preserve">9) </w:t>
            </w:r>
            <w:r w:rsidRPr="00074FDC">
              <w:rPr>
                <w:rFonts w:ascii="Times New Roman" w:hAnsi="Times New Roman" w:cs="Times New Roman"/>
                <w:color w:val="auto"/>
                <w:szCs w:val="28"/>
              </w:rPr>
              <w:t>активи, які обтяжені для забезпечення виконання інших зобов’язань, ніж зобов’язання за договорами страхування (перестрахування) (включаючи з</w:t>
            </w:r>
            <w:r>
              <w:rPr>
                <w:rFonts w:ascii="Times New Roman" w:hAnsi="Times New Roman" w:cs="Times New Roman"/>
                <w:color w:val="auto"/>
                <w:szCs w:val="28"/>
              </w:rPr>
              <w:t>астави, гарантії, зобов’язання)</w:t>
            </w:r>
            <w:r w:rsidRPr="00D436A8">
              <w:rPr>
                <w:rFonts w:ascii="Times New Roman" w:hAnsi="Times New Roman" w:cs="Times New Roman"/>
                <w:b/>
                <w:color w:val="auto"/>
                <w:szCs w:val="28"/>
              </w:rPr>
              <w:t>;</w:t>
            </w:r>
          </w:p>
          <w:p w14:paraId="4F31EA67" w14:textId="77777777" w:rsidR="00D436A8" w:rsidRPr="00D436A8" w:rsidRDefault="00D436A8" w:rsidP="00D436A8"/>
          <w:p w14:paraId="3EE0BD57" w14:textId="5E06A3BB" w:rsidR="0090375E" w:rsidRPr="00D436A8" w:rsidRDefault="0090375E" w:rsidP="0020063D">
            <w:pPr>
              <w:pStyle w:val="3"/>
              <w:keepNext w:val="0"/>
              <w:keepLines w:val="0"/>
              <w:widowControl w:val="0"/>
              <w:spacing w:before="0"/>
              <w:outlineLvl w:val="2"/>
              <w:rPr>
                <w:b/>
              </w:rPr>
            </w:pPr>
            <w:r w:rsidRPr="00D436A8">
              <w:rPr>
                <w:rFonts w:ascii="Times New Roman" w:hAnsi="Times New Roman" w:cs="Times New Roman"/>
                <w:b/>
                <w:color w:val="auto"/>
                <w:szCs w:val="28"/>
              </w:rPr>
              <w:t>10)</w:t>
            </w:r>
            <w:r w:rsidRPr="00D436A8">
              <w:rPr>
                <w:b/>
              </w:rPr>
              <w:t xml:space="preserve"> </w:t>
            </w:r>
            <w:r w:rsidR="00BA10A6" w:rsidRPr="00BA10A6">
              <w:rPr>
                <w:rFonts w:ascii="Times New Roman" w:hAnsi="Times New Roman" w:cs="Times New Roman"/>
                <w:b/>
                <w:color w:val="auto"/>
                <w:szCs w:val="28"/>
              </w:rPr>
              <w:t>активи, оцінка яких</w:t>
            </w:r>
            <w:r w:rsidR="00097523">
              <w:rPr>
                <w:rFonts w:ascii="Times New Roman" w:hAnsi="Times New Roman" w:cs="Times New Roman"/>
                <w:b/>
                <w:color w:val="auto"/>
                <w:szCs w:val="28"/>
              </w:rPr>
              <w:t xml:space="preserve"> (крім оцінки технічних резервів)</w:t>
            </w:r>
            <w:r w:rsidR="00BA10A6" w:rsidRPr="00BA10A6">
              <w:rPr>
                <w:rFonts w:ascii="Times New Roman" w:hAnsi="Times New Roman" w:cs="Times New Roman"/>
                <w:b/>
                <w:color w:val="auto"/>
                <w:szCs w:val="28"/>
              </w:rPr>
              <w:t xml:space="preserve"> здійснена у порядку, що не відповідає вимогам</w:t>
            </w:r>
            <w:r w:rsidR="0020063D">
              <w:rPr>
                <w:rFonts w:ascii="Times New Roman" w:hAnsi="Times New Roman" w:cs="Times New Roman"/>
                <w:b/>
                <w:color w:val="auto"/>
                <w:szCs w:val="28"/>
              </w:rPr>
              <w:t xml:space="preserve"> </w:t>
            </w:r>
            <w:r w:rsidR="0020063D" w:rsidRPr="0020063D">
              <w:rPr>
                <w:rFonts w:ascii="Times New Roman" w:hAnsi="Times New Roman" w:cs="Times New Roman"/>
                <w:b/>
                <w:color w:val="auto"/>
                <w:szCs w:val="28"/>
              </w:rPr>
              <w:t xml:space="preserve">нормативно-правового </w:t>
            </w:r>
            <w:proofErr w:type="spellStart"/>
            <w:r w:rsidR="0020063D" w:rsidRPr="0020063D">
              <w:rPr>
                <w:rFonts w:ascii="Times New Roman" w:hAnsi="Times New Roman" w:cs="Times New Roman"/>
                <w:b/>
                <w:color w:val="auto"/>
                <w:szCs w:val="28"/>
              </w:rPr>
              <w:t>акта</w:t>
            </w:r>
            <w:proofErr w:type="spellEnd"/>
            <w:r w:rsidR="0020063D" w:rsidRPr="0020063D">
              <w:rPr>
                <w:rFonts w:ascii="Times New Roman" w:hAnsi="Times New Roman" w:cs="Times New Roman"/>
                <w:b/>
                <w:color w:val="auto"/>
                <w:szCs w:val="28"/>
              </w:rPr>
              <w:t xml:space="preserve"> Національного банку з питань визначення методики оцінки активів і зобов’язань для цілей розрахунку регулятивного капіталу страховика</w:t>
            </w:r>
            <w:r w:rsidR="00BA10A6">
              <w:rPr>
                <w:rFonts w:ascii="Times New Roman" w:hAnsi="Times New Roman" w:cs="Times New Roman"/>
                <w:b/>
                <w:color w:val="auto"/>
                <w:szCs w:val="28"/>
              </w:rPr>
              <w:t>.</w:t>
            </w:r>
          </w:p>
        </w:tc>
      </w:tr>
    </w:tbl>
    <w:p w14:paraId="61BD3493" w14:textId="264E84A4" w:rsidR="00E443CF" w:rsidRDefault="00E443CF" w:rsidP="00E443CF">
      <w:pPr>
        <w:pStyle w:val="a4"/>
        <w:spacing w:before="0" w:beforeAutospacing="0" w:after="0" w:afterAutospacing="0"/>
        <w:ind w:firstLine="709"/>
        <w:jc w:val="center"/>
        <w:rPr>
          <w:sz w:val="28"/>
          <w:szCs w:val="28"/>
        </w:rPr>
      </w:pPr>
    </w:p>
    <w:p w14:paraId="2D434492" w14:textId="77777777" w:rsidR="00413FCB" w:rsidRPr="0019489B" w:rsidRDefault="00413FCB" w:rsidP="00E443CF">
      <w:pPr>
        <w:pStyle w:val="a4"/>
        <w:spacing w:before="0" w:beforeAutospacing="0" w:after="0" w:afterAutospacing="0"/>
        <w:ind w:firstLine="709"/>
        <w:jc w:val="center"/>
        <w:rPr>
          <w:sz w:val="28"/>
          <w:szCs w:val="28"/>
        </w:rPr>
      </w:pPr>
    </w:p>
    <w:p w14:paraId="3296E397" w14:textId="77777777" w:rsidR="00E443CF" w:rsidRPr="0019489B" w:rsidRDefault="00E443CF" w:rsidP="00E443CF">
      <w:pPr>
        <w:pStyle w:val="a4"/>
        <w:spacing w:before="0" w:beforeAutospacing="0" w:after="0" w:afterAutospacing="0"/>
        <w:ind w:firstLine="709"/>
        <w:jc w:val="center"/>
        <w:rPr>
          <w:sz w:val="28"/>
          <w:szCs w:val="28"/>
        </w:rPr>
      </w:pPr>
      <w:r w:rsidRPr="0019489B">
        <w:rPr>
          <w:sz w:val="28"/>
          <w:szCs w:val="28"/>
        </w:rPr>
        <w:t> </w:t>
      </w:r>
    </w:p>
    <w:tbl>
      <w:tblPr>
        <w:tblStyle w:val="a3"/>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7796"/>
      </w:tblGrid>
      <w:tr w:rsidR="00E443CF" w:rsidRPr="00E443CF" w14:paraId="4F0C67EE" w14:textId="77777777" w:rsidTr="00F32A4D">
        <w:tc>
          <w:tcPr>
            <w:tcW w:w="6521" w:type="dxa"/>
            <w:vAlign w:val="bottom"/>
          </w:tcPr>
          <w:p w14:paraId="61A5D8D1" w14:textId="77777777" w:rsidR="00E443CF" w:rsidRPr="0019489B" w:rsidRDefault="00E443CF" w:rsidP="00F17CF0">
            <w:pPr>
              <w:autoSpaceDE w:val="0"/>
              <w:autoSpaceDN w:val="0"/>
              <w:spacing w:after="60"/>
            </w:pPr>
            <w:r w:rsidRPr="0019489B">
              <w:t xml:space="preserve">Директор Департаменту методології </w:t>
            </w:r>
            <w:r w:rsidRPr="0019489B">
              <w:rPr>
                <w:bCs/>
              </w:rPr>
              <w:t>регулювання діяльності небанківських фінансових установ</w:t>
            </w:r>
          </w:p>
        </w:tc>
        <w:tc>
          <w:tcPr>
            <w:tcW w:w="7796" w:type="dxa"/>
            <w:vAlign w:val="bottom"/>
          </w:tcPr>
          <w:p w14:paraId="327BB646" w14:textId="77777777" w:rsidR="00E443CF" w:rsidRPr="00E443CF" w:rsidRDefault="00E443CF" w:rsidP="00F17CF0">
            <w:pPr>
              <w:tabs>
                <w:tab w:val="left" w:pos="7020"/>
                <w:tab w:val="left" w:pos="7200"/>
              </w:tabs>
              <w:autoSpaceDE w:val="0"/>
              <w:autoSpaceDN w:val="0"/>
              <w:spacing w:after="60"/>
              <w:jc w:val="right"/>
            </w:pPr>
            <w:r w:rsidRPr="0019489B">
              <w:t>Сергій САВЧУК</w:t>
            </w:r>
          </w:p>
        </w:tc>
      </w:tr>
    </w:tbl>
    <w:p w14:paraId="29FC00C3" w14:textId="2F8A3F27" w:rsidR="00E443CF" w:rsidRDefault="00E443CF" w:rsidP="00E443CF">
      <w:pPr>
        <w:pStyle w:val="a4"/>
        <w:spacing w:before="0" w:beforeAutospacing="0" w:after="0" w:afterAutospacing="0"/>
        <w:ind w:firstLine="709"/>
        <w:jc w:val="both"/>
      </w:pPr>
    </w:p>
    <w:p w14:paraId="65A580A0" w14:textId="32909BEF" w:rsidR="00413FCB" w:rsidRPr="00437113" w:rsidRDefault="00413FCB" w:rsidP="00437113">
      <w:pPr>
        <w:pStyle w:val="a4"/>
        <w:spacing w:before="0" w:beforeAutospacing="0" w:after="0" w:afterAutospacing="0"/>
        <w:ind w:firstLine="709"/>
        <w:jc w:val="both"/>
        <w:rPr>
          <w:color w:val="000000"/>
          <w:sz w:val="28"/>
          <w:szCs w:val="28"/>
        </w:rPr>
      </w:pPr>
      <w:r w:rsidRPr="00C133F5">
        <w:rPr>
          <w:color w:val="000000"/>
          <w:sz w:val="28"/>
          <w:szCs w:val="28"/>
        </w:rPr>
        <w:t>“____” ______________ 20___ року</w:t>
      </w:r>
      <w:bookmarkStart w:id="0" w:name="_GoBack"/>
      <w:bookmarkEnd w:id="0"/>
    </w:p>
    <w:sectPr w:rsidR="00413FCB" w:rsidRPr="00437113" w:rsidSect="00413FCB">
      <w:pgSz w:w="16838" w:h="11906" w:orient="landscape"/>
      <w:pgMar w:top="1418" w:right="85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EB8"/>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570260"/>
    <w:multiLevelType w:val="hybridMultilevel"/>
    <w:tmpl w:val="F2229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ADB21CD"/>
    <w:multiLevelType w:val="hybridMultilevel"/>
    <w:tmpl w:val="0E8C7A80"/>
    <w:lvl w:ilvl="0" w:tplc="E5E4EAC0">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4041744"/>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5B7E70"/>
    <w:multiLevelType w:val="hybridMultilevel"/>
    <w:tmpl w:val="A0CC61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4F70F9"/>
    <w:multiLevelType w:val="multilevel"/>
    <w:tmpl w:val="086A3378"/>
    <w:lvl w:ilvl="0">
      <w:start w:val="1"/>
      <w:numFmt w:val="decimal"/>
      <w:lvlText w:val="%1."/>
      <w:lvlJc w:val="left"/>
      <w:pPr>
        <w:ind w:left="1495" w:hanging="360"/>
      </w:pPr>
      <w:rPr>
        <w:rFonts w:ascii="Times New Roman" w:hAnsi="Times New Roman" w:cs="Times New Roman" w:hint="default"/>
        <w:color w:val="auto"/>
        <w:sz w:val="28"/>
        <w:szCs w:val="28"/>
        <w:lang w:val="ru-RU"/>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6" w15:restartNumberingAfterBreak="0">
    <w:nsid w:val="6E3E1FA3"/>
    <w:multiLevelType w:val="hybridMultilevel"/>
    <w:tmpl w:val="D8E212AC"/>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F"/>
    <w:rsid w:val="00080F88"/>
    <w:rsid w:val="00097523"/>
    <w:rsid w:val="000E422C"/>
    <w:rsid w:val="000F4E4B"/>
    <w:rsid w:val="000F6DA9"/>
    <w:rsid w:val="00122618"/>
    <w:rsid w:val="00127624"/>
    <w:rsid w:val="001521B9"/>
    <w:rsid w:val="00173E8D"/>
    <w:rsid w:val="0019489B"/>
    <w:rsid w:val="001B6030"/>
    <w:rsid w:val="001C4AD5"/>
    <w:rsid w:val="001E5C9D"/>
    <w:rsid w:val="0020063D"/>
    <w:rsid w:val="0023681D"/>
    <w:rsid w:val="00263964"/>
    <w:rsid w:val="00297637"/>
    <w:rsid w:val="00312E4D"/>
    <w:rsid w:val="003444EF"/>
    <w:rsid w:val="003C5018"/>
    <w:rsid w:val="003E4F19"/>
    <w:rsid w:val="003F0564"/>
    <w:rsid w:val="00413FCB"/>
    <w:rsid w:val="00437113"/>
    <w:rsid w:val="004409F5"/>
    <w:rsid w:val="004736FD"/>
    <w:rsid w:val="00477057"/>
    <w:rsid w:val="004F514C"/>
    <w:rsid w:val="004F621C"/>
    <w:rsid w:val="0051787F"/>
    <w:rsid w:val="00522F69"/>
    <w:rsid w:val="00586D3E"/>
    <w:rsid w:val="005C0907"/>
    <w:rsid w:val="00606ADE"/>
    <w:rsid w:val="006E4BEE"/>
    <w:rsid w:val="006F1EEC"/>
    <w:rsid w:val="00702581"/>
    <w:rsid w:val="0076208F"/>
    <w:rsid w:val="00795DF8"/>
    <w:rsid w:val="007D3E86"/>
    <w:rsid w:val="0084625E"/>
    <w:rsid w:val="0090375E"/>
    <w:rsid w:val="00911123"/>
    <w:rsid w:val="00943834"/>
    <w:rsid w:val="00970CC8"/>
    <w:rsid w:val="009B00BE"/>
    <w:rsid w:val="009C0EBC"/>
    <w:rsid w:val="00A00384"/>
    <w:rsid w:val="00A16C7B"/>
    <w:rsid w:val="00B07478"/>
    <w:rsid w:val="00B651A8"/>
    <w:rsid w:val="00B845BE"/>
    <w:rsid w:val="00B8786E"/>
    <w:rsid w:val="00BA10A6"/>
    <w:rsid w:val="00BD24F8"/>
    <w:rsid w:val="00BF034A"/>
    <w:rsid w:val="00CC287D"/>
    <w:rsid w:val="00CE10C7"/>
    <w:rsid w:val="00D01832"/>
    <w:rsid w:val="00D200AD"/>
    <w:rsid w:val="00D436A8"/>
    <w:rsid w:val="00DB4EA1"/>
    <w:rsid w:val="00E0339F"/>
    <w:rsid w:val="00E443CF"/>
    <w:rsid w:val="00E65265"/>
    <w:rsid w:val="00E83908"/>
    <w:rsid w:val="00E941AB"/>
    <w:rsid w:val="00EB1BC2"/>
    <w:rsid w:val="00F32A4D"/>
    <w:rsid w:val="00F93A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B740"/>
  <w15:chartTrackingRefBased/>
  <w15:docId w15:val="{DEA84F76-E181-4901-A6A4-985CB159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CF"/>
    <w:pPr>
      <w:spacing w:after="0" w:line="240" w:lineRule="auto"/>
      <w:jc w:val="both"/>
    </w:pPr>
    <w:rPr>
      <w:rFonts w:ascii="Times New Roman" w:eastAsia="Times New Roman" w:hAnsi="Times New Roman" w:cs="Times New Roman"/>
      <w:sz w:val="28"/>
      <w:szCs w:val="28"/>
      <w:lang w:eastAsia="uk-UA"/>
    </w:rPr>
  </w:style>
  <w:style w:type="paragraph" w:styleId="3">
    <w:name w:val="heading 3"/>
    <w:basedOn w:val="a"/>
    <w:next w:val="a"/>
    <w:link w:val="30"/>
    <w:uiPriority w:val="9"/>
    <w:unhideWhenUsed/>
    <w:qFormat/>
    <w:rsid w:val="00CC28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E443CF"/>
    <w:pPr>
      <w:spacing w:before="100" w:beforeAutospacing="1" w:after="100" w:afterAutospacing="1"/>
      <w:jc w:val="left"/>
    </w:pPr>
    <w:rPr>
      <w:rFonts w:eastAsiaTheme="minorEastAsia"/>
      <w:sz w:val="24"/>
      <w:szCs w:val="24"/>
    </w:rPr>
  </w:style>
  <w:style w:type="character" w:customStyle="1" w:styleId="a5">
    <w:name w:val="Звичайний (веб) Знак"/>
    <w:link w:val="a4"/>
    <w:uiPriority w:val="99"/>
    <w:locked/>
    <w:rsid w:val="00E443CF"/>
    <w:rPr>
      <w:rFonts w:ascii="Times New Roman" w:eastAsiaTheme="minorEastAsia" w:hAnsi="Times New Roman" w:cs="Times New Roman"/>
      <w:sz w:val="24"/>
      <w:szCs w:val="24"/>
      <w:lang w:eastAsia="uk-UA"/>
    </w:rPr>
  </w:style>
  <w:style w:type="character" w:styleId="a6">
    <w:name w:val="Hyperlink"/>
    <w:basedOn w:val="a0"/>
    <w:uiPriority w:val="99"/>
    <w:unhideWhenUsed/>
    <w:rsid w:val="00E443CF"/>
    <w:rPr>
      <w:color w:val="0000FF"/>
      <w:u w:val="single"/>
    </w:rPr>
  </w:style>
  <w:style w:type="paragraph" w:customStyle="1" w:styleId="rvps2">
    <w:name w:val="rvps2"/>
    <w:basedOn w:val="a"/>
    <w:qFormat/>
    <w:rsid w:val="00BD24F8"/>
    <w:pPr>
      <w:spacing w:before="100" w:beforeAutospacing="1" w:after="100" w:afterAutospacing="1"/>
      <w:jc w:val="left"/>
    </w:pPr>
    <w:rPr>
      <w:sz w:val="24"/>
      <w:szCs w:val="24"/>
    </w:rPr>
  </w:style>
  <w:style w:type="paragraph" w:styleId="a7">
    <w:name w:val="Balloon Text"/>
    <w:basedOn w:val="a"/>
    <w:link w:val="a8"/>
    <w:uiPriority w:val="99"/>
    <w:semiHidden/>
    <w:unhideWhenUsed/>
    <w:rsid w:val="00BD24F8"/>
    <w:rPr>
      <w:rFonts w:ascii="Segoe UI" w:hAnsi="Segoe UI" w:cs="Segoe UI"/>
      <w:sz w:val="18"/>
      <w:szCs w:val="18"/>
    </w:rPr>
  </w:style>
  <w:style w:type="character" w:customStyle="1" w:styleId="a8">
    <w:name w:val="Текст у виносці Знак"/>
    <w:basedOn w:val="a0"/>
    <w:link w:val="a7"/>
    <w:uiPriority w:val="99"/>
    <w:semiHidden/>
    <w:rsid w:val="00BD24F8"/>
    <w:rPr>
      <w:rFonts w:ascii="Segoe UI" w:eastAsia="Times New Roman" w:hAnsi="Segoe UI" w:cs="Segoe UI"/>
      <w:sz w:val="18"/>
      <w:szCs w:val="18"/>
      <w:lang w:eastAsia="uk-UA"/>
    </w:rPr>
  </w:style>
  <w:style w:type="character" w:styleId="a9">
    <w:name w:val="annotation reference"/>
    <w:basedOn w:val="a0"/>
    <w:uiPriority w:val="99"/>
    <w:semiHidden/>
    <w:unhideWhenUsed/>
    <w:rsid w:val="001521B9"/>
    <w:rPr>
      <w:sz w:val="16"/>
      <w:szCs w:val="16"/>
    </w:rPr>
  </w:style>
  <w:style w:type="paragraph" w:styleId="aa">
    <w:name w:val="annotation text"/>
    <w:basedOn w:val="a"/>
    <w:link w:val="ab"/>
    <w:uiPriority w:val="99"/>
    <w:semiHidden/>
    <w:unhideWhenUsed/>
    <w:rsid w:val="001521B9"/>
    <w:rPr>
      <w:sz w:val="20"/>
      <w:szCs w:val="20"/>
    </w:rPr>
  </w:style>
  <w:style w:type="character" w:customStyle="1" w:styleId="ab">
    <w:name w:val="Текст примітки Знак"/>
    <w:basedOn w:val="a0"/>
    <w:link w:val="aa"/>
    <w:uiPriority w:val="99"/>
    <w:semiHidden/>
    <w:rsid w:val="001521B9"/>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1521B9"/>
    <w:rPr>
      <w:b/>
      <w:bCs/>
    </w:rPr>
  </w:style>
  <w:style w:type="character" w:customStyle="1" w:styleId="ad">
    <w:name w:val="Тема примітки Знак"/>
    <w:basedOn w:val="ab"/>
    <w:link w:val="ac"/>
    <w:uiPriority w:val="99"/>
    <w:semiHidden/>
    <w:rsid w:val="001521B9"/>
    <w:rPr>
      <w:rFonts w:ascii="Times New Roman" w:eastAsia="Times New Roman" w:hAnsi="Times New Roman" w:cs="Times New Roman"/>
      <w:b/>
      <w:bCs/>
      <w:sz w:val="20"/>
      <w:szCs w:val="20"/>
      <w:lang w:eastAsia="uk-UA"/>
    </w:rPr>
  </w:style>
  <w:style w:type="character" w:customStyle="1" w:styleId="rvts9">
    <w:name w:val="rvts9"/>
    <w:basedOn w:val="a0"/>
    <w:rsid w:val="00080F88"/>
  </w:style>
  <w:style w:type="character" w:customStyle="1" w:styleId="30">
    <w:name w:val="Заголовок 3 Знак"/>
    <w:basedOn w:val="a0"/>
    <w:link w:val="3"/>
    <w:uiPriority w:val="9"/>
    <w:rsid w:val="00CC287D"/>
    <w:rPr>
      <w:rFonts w:asciiTheme="majorHAnsi" w:eastAsiaTheme="majorEastAsia" w:hAnsiTheme="majorHAnsi" w:cstheme="majorBidi"/>
      <w:color w:val="1F4D78" w:themeColor="accent1" w:themeShade="7F"/>
      <w:sz w:val="24"/>
      <w:szCs w:val="24"/>
      <w:lang w:eastAsia="uk-UA"/>
    </w:rPr>
  </w:style>
  <w:style w:type="paragraph" w:styleId="ae">
    <w:name w:val="List Paragraph"/>
    <w:aliases w:val="Bullets,Normal bullet 2,Heading Bullet,Number normal,Number Normal,text bullet,List Numbers,Elenco Normale,List Paragraph - sub title,Абзац списку1"/>
    <w:basedOn w:val="a"/>
    <w:link w:val="af"/>
    <w:uiPriority w:val="34"/>
    <w:qFormat/>
    <w:rsid w:val="00CC287D"/>
    <w:pPr>
      <w:ind w:left="720"/>
      <w:contextualSpacing/>
    </w:pPr>
  </w:style>
  <w:style w:type="character" w:customStyle="1" w:styleId="af">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e"/>
    <w:uiPriority w:val="34"/>
    <w:qFormat/>
    <w:locked/>
    <w:rsid w:val="00CC287D"/>
    <w:rPr>
      <w:rFonts w:ascii="Times New Roman" w:eastAsia="Times New Roman" w:hAnsi="Times New Roman" w:cs="Times New Roman"/>
      <w:sz w:val="28"/>
      <w:szCs w:val="28"/>
      <w:lang w:eastAsia="uk-UA"/>
    </w:rPr>
  </w:style>
  <w:style w:type="paragraph" w:styleId="af0">
    <w:name w:val="No Spacing"/>
    <w:link w:val="af1"/>
    <w:uiPriority w:val="1"/>
    <w:qFormat/>
    <w:rsid w:val="0076208F"/>
    <w:pPr>
      <w:spacing w:after="0" w:line="240" w:lineRule="auto"/>
      <w:jc w:val="both"/>
    </w:pPr>
    <w:rPr>
      <w:rFonts w:ascii="Times New Roman" w:eastAsia="Times New Roman" w:hAnsi="Times New Roman" w:cs="Times New Roman"/>
      <w:sz w:val="28"/>
      <w:szCs w:val="28"/>
      <w:lang w:eastAsia="uk-UA"/>
    </w:rPr>
  </w:style>
  <w:style w:type="character" w:customStyle="1" w:styleId="af1">
    <w:name w:val="Без інтервалів Знак"/>
    <w:basedOn w:val="a0"/>
    <w:link w:val="af0"/>
    <w:uiPriority w:val="1"/>
    <w:rsid w:val="0076208F"/>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4892</Words>
  <Characters>2789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Зима Марина Анатоліївна</cp:lastModifiedBy>
  <cp:revision>2</cp:revision>
  <dcterms:created xsi:type="dcterms:W3CDTF">2024-05-17T07:42:00Z</dcterms:created>
  <dcterms:modified xsi:type="dcterms:W3CDTF">2024-05-17T07:42:00Z</dcterms:modified>
</cp:coreProperties>
</file>