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10513" w14:textId="77777777" w:rsidR="0036703E" w:rsidRPr="00EC7401" w:rsidRDefault="0036703E" w:rsidP="00367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401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14:paraId="6A4C507D" w14:textId="74BF7847" w:rsidR="0036703E" w:rsidRPr="00EC7401" w:rsidRDefault="0036703E" w:rsidP="0036703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740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C740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C7401">
        <w:rPr>
          <w:rFonts w:ascii="Times New Roman" w:hAnsi="Times New Roman" w:cs="Times New Roman"/>
          <w:sz w:val="28"/>
          <w:szCs w:val="28"/>
        </w:rPr>
        <w:t xml:space="preserve"> постанови Правління Національного банку України “</w:t>
      </w:r>
      <w:r w:rsidR="004F3802" w:rsidRPr="00EC7401">
        <w:rPr>
          <w:rFonts w:ascii="Times New Roman" w:hAnsi="Times New Roman" w:cs="Times New Roman"/>
          <w:sz w:val="28"/>
          <w:szCs w:val="28"/>
        </w:rPr>
        <w:t>Про затвердження</w:t>
      </w:r>
      <w:r w:rsidR="00C06919" w:rsidRPr="00EC7401">
        <w:rPr>
          <w:rFonts w:ascii="Times New Roman" w:hAnsi="Times New Roman" w:cs="Times New Roman"/>
          <w:sz w:val="28"/>
          <w:szCs w:val="28"/>
        </w:rPr>
        <w:t xml:space="preserve"> З</w:t>
      </w:r>
      <w:r w:rsidRPr="00EC7401">
        <w:rPr>
          <w:rFonts w:ascii="Times New Roman" w:hAnsi="Times New Roman" w:cs="Times New Roman"/>
          <w:sz w:val="28"/>
          <w:szCs w:val="28"/>
        </w:rPr>
        <w:t xml:space="preserve">мін до Положення про </w:t>
      </w:r>
      <w:proofErr w:type="spellStart"/>
      <w:r w:rsidRPr="00EC7401">
        <w:rPr>
          <w:rFonts w:ascii="Times New Roman" w:hAnsi="Times New Roman" w:cs="Times New Roman"/>
          <w:sz w:val="28"/>
          <w:szCs w:val="28"/>
        </w:rPr>
        <w:t>пруденційні</w:t>
      </w:r>
      <w:proofErr w:type="spellEnd"/>
      <w:r w:rsidRPr="00EC7401">
        <w:rPr>
          <w:rFonts w:ascii="Times New Roman" w:hAnsi="Times New Roman" w:cs="Times New Roman"/>
          <w:sz w:val="28"/>
          <w:szCs w:val="28"/>
        </w:rPr>
        <w:t xml:space="preserve"> вимоги до фінансових компаній”</w:t>
      </w:r>
    </w:p>
    <w:p w14:paraId="0CB8BA28" w14:textId="77777777" w:rsidR="0036703E" w:rsidRPr="00EC7401" w:rsidRDefault="0036703E" w:rsidP="00367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3"/>
        <w:gridCol w:w="7563"/>
      </w:tblGrid>
      <w:tr w:rsidR="00EC7401" w:rsidRPr="00EC7401" w14:paraId="22CDDE6D" w14:textId="77777777" w:rsidTr="00C33E53">
        <w:tc>
          <w:tcPr>
            <w:tcW w:w="2500" w:type="pct"/>
            <w:hideMark/>
          </w:tcPr>
          <w:p w14:paraId="25CA55D8" w14:textId="77777777" w:rsidR="0036703E" w:rsidRPr="00EC7401" w:rsidRDefault="0036703E" w:rsidP="00887477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 xml:space="preserve">Зміст положення (норми) чинного нормативно-правового </w:t>
            </w:r>
            <w:proofErr w:type="spellStart"/>
            <w:r w:rsidRPr="00EC7401">
              <w:rPr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500" w:type="pct"/>
            <w:hideMark/>
          </w:tcPr>
          <w:p w14:paraId="5E4BF39E" w14:textId="77777777" w:rsidR="0036703E" w:rsidRPr="00EC7401" w:rsidRDefault="0036703E" w:rsidP="00887477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 xml:space="preserve">Зміст відповідного положення (норми) </w:t>
            </w:r>
            <w:proofErr w:type="spellStart"/>
            <w:r w:rsidRPr="00EC7401">
              <w:rPr>
                <w:sz w:val="28"/>
                <w:szCs w:val="28"/>
              </w:rPr>
              <w:t>проєкту</w:t>
            </w:r>
            <w:proofErr w:type="spellEnd"/>
            <w:r w:rsidRPr="00EC7401">
              <w:rPr>
                <w:sz w:val="28"/>
                <w:szCs w:val="28"/>
              </w:rPr>
              <w:t xml:space="preserve"> нормативно-правового </w:t>
            </w:r>
            <w:proofErr w:type="spellStart"/>
            <w:r w:rsidRPr="00EC7401">
              <w:rPr>
                <w:sz w:val="28"/>
                <w:szCs w:val="28"/>
              </w:rPr>
              <w:t>акта</w:t>
            </w:r>
            <w:proofErr w:type="spellEnd"/>
          </w:p>
        </w:tc>
      </w:tr>
      <w:tr w:rsidR="00EC7401" w:rsidRPr="00EC7401" w14:paraId="6DFC9696" w14:textId="77777777" w:rsidTr="00C33E53">
        <w:tc>
          <w:tcPr>
            <w:tcW w:w="2500" w:type="pct"/>
            <w:hideMark/>
          </w:tcPr>
          <w:p w14:paraId="4EDAAFE6" w14:textId="77777777" w:rsidR="0036703E" w:rsidRPr="00EC7401" w:rsidRDefault="0036703E" w:rsidP="00887477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1</w:t>
            </w:r>
          </w:p>
        </w:tc>
        <w:tc>
          <w:tcPr>
            <w:tcW w:w="2500" w:type="pct"/>
            <w:hideMark/>
          </w:tcPr>
          <w:p w14:paraId="369ADC27" w14:textId="77777777" w:rsidR="0036703E" w:rsidRPr="00EC7401" w:rsidRDefault="0036703E" w:rsidP="00887477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2</w:t>
            </w:r>
          </w:p>
        </w:tc>
      </w:tr>
      <w:tr w:rsidR="00EC7401" w:rsidRPr="00EC7401" w14:paraId="42CE0D71" w14:textId="77777777" w:rsidTr="00953C5B">
        <w:tc>
          <w:tcPr>
            <w:tcW w:w="2500" w:type="pct"/>
            <w:tcBorders>
              <w:bottom w:val="nil"/>
            </w:tcBorders>
          </w:tcPr>
          <w:p w14:paraId="0E29F134" w14:textId="77777777" w:rsidR="00953C5B" w:rsidRPr="00EC7401" w:rsidRDefault="00953C5B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8. Фінансова компанія зобов’язана:</w:t>
            </w:r>
          </w:p>
          <w:p w14:paraId="7A172357" w14:textId="77777777" w:rsidR="00953C5B" w:rsidRPr="00EC7401" w:rsidRDefault="00953C5B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0" w:name="n28"/>
            <w:bookmarkEnd w:id="0"/>
            <w:r w:rsidRPr="00EC7401">
              <w:rPr>
                <w:sz w:val="28"/>
                <w:szCs w:val="28"/>
              </w:rPr>
              <w:t>1) щодня протягом усього строку дії ліцензії на діяльність фінансової компанії (далі - ліцензія):</w:t>
            </w:r>
          </w:p>
          <w:p w14:paraId="64B3BD6F" w14:textId="77777777" w:rsidR="00953C5B" w:rsidRPr="00EC7401" w:rsidRDefault="00953C5B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1" w:name="n29"/>
            <w:bookmarkEnd w:id="1"/>
            <w:r w:rsidRPr="00EC7401">
              <w:rPr>
                <w:sz w:val="28"/>
                <w:szCs w:val="28"/>
              </w:rPr>
              <w:t>…</w:t>
            </w:r>
          </w:p>
          <w:p w14:paraId="5E773CD7" w14:textId="77777777" w:rsidR="00953C5B" w:rsidRPr="00EC7401" w:rsidRDefault="00953C5B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2" w:name="n30"/>
            <w:bookmarkEnd w:id="2"/>
            <w:r w:rsidRPr="00EC7401">
              <w:rPr>
                <w:sz w:val="28"/>
                <w:szCs w:val="28"/>
              </w:rPr>
              <w:t>виконувати вимоги щодо достатності власного капіталу, визначені в </w:t>
            </w:r>
            <w:r w:rsidRPr="00EC7401">
              <w:rPr>
                <w:rFonts w:eastAsiaTheme="minorEastAsia"/>
                <w:b/>
                <w:sz w:val="28"/>
                <w:szCs w:val="28"/>
              </w:rPr>
              <w:t>пунктах 12-16</w:t>
            </w:r>
            <w:r w:rsidRPr="00EC7401">
              <w:rPr>
                <w:sz w:val="28"/>
                <w:szCs w:val="28"/>
              </w:rPr>
              <w:t> цього Положення, та дотримуватися значення нормативу левериджу, визначеного в </w:t>
            </w:r>
            <w:r w:rsidRPr="00EC7401">
              <w:rPr>
                <w:rFonts w:eastAsiaTheme="minorEastAsia"/>
                <w:sz w:val="28"/>
                <w:szCs w:val="28"/>
              </w:rPr>
              <w:t>пункті 19</w:t>
            </w:r>
            <w:r w:rsidRPr="00EC7401">
              <w:rPr>
                <w:sz w:val="28"/>
                <w:szCs w:val="28"/>
              </w:rPr>
              <w:t> цього Положення;</w:t>
            </w:r>
          </w:p>
          <w:p w14:paraId="1F65E511" w14:textId="77777777" w:rsidR="00953C5B" w:rsidRPr="00EC7401" w:rsidRDefault="00953C5B" w:rsidP="005719F9">
            <w:pPr>
              <w:pStyle w:val="a4"/>
              <w:spacing w:before="0" w:beforeAutospacing="0" w:after="0" w:afterAutospacing="0"/>
              <w:ind w:firstLine="450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…</w:t>
            </w:r>
          </w:p>
        </w:tc>
        <w:tc>
          <w:tcPr>
            <w:tcW w:w="2500" w:type="pct"/>
            <w:tcBorders>
              <w:bottom w:val="nil"/>
            </w:tcBorders>
          </w:tcPr>
          <w:p w14:paraId="2311724D" w14:textId="77777777" w:rsidR="003A34EA" w:rsidRPr="00EC7401" w:rsidRDefault="003A34EA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8. Фінансова компанія зобов’язана:</w:t>
            </w:r>
          </w:p>
          <w:p w14:paraId="6F5AC57E" w14:textId="77777777" w:rsidR="003A34EA" w:rsidRPr="00EC7401" w:rsidRDefault="003A34EA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1) щодня протягом усього строку дії ліцензії на діяльність фінансової компанії (далі - ліцензія):</w:t>
            </w:r>
          </w:p>
          <w:p w14:paraId="08576498" w14:textId="77777777" w:rsidR="003A34EA" w:rsidRPr="00EC7401" w:rsidRDefault="003A34EA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…</w:t>
            </w:r>
          </w:p>
          <w:p w14:paraId="1BBACB66" w14:textId="1FAA1F23" w:rsidR="003A34EA" w:rsidRPr="00EC7401" w:rsidRDefault="003A34EA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виконувати вимоги щодо достатності власного капіталу, визначені в </w:t>
            </w:r>
            <w:r w:rsidRPr="00EC7401">
              <w:rPr>
                <w:b/>
                <w:sz w:val="28"/>
                <w:szCs w:val="28"/>
              </w:rPr>
              <w:t>під</w:t>
            </w:r>
            <w:r w:rsidRPr="00EC7401">
              <w:rPr>
                <w:rFonts w:eastAsiaTheme="minorEastAsia"/>
                <w:b/>
                <w:sz w:val="28"/>
                <w:szCs w:val="28"/>
              </w:rPr>
              <w:t>пунктах 1-7 пункту 12</w:t>
            </w:r>
            <w:r w:rsidRPr="00EC7401">
              <w:rPr>
                <w:sz w:val="28"/>
                <w:szCs w:val="28"/>
              </w:rPr>
              <w:t> цього Положення, та дотримуватися значення нормативу левериджу, визначеного в </w:t>
            </w:r>
            <w:r w:rsidRPr="00EC7401">
              <w:rPr>
                <w:rFonts w:eastAsiaTheme="minorEastAsia"/>
                <w:sz w:val="28"/>
                <w:szCs w:val="28"/>
              </w:rPr>
              <w:t>пункті 19</w:t>
            </w:r>
            <w:r w:rsidRPr="00EC7401">
              <w:rPr>
                <w:sz w:val="28"/>
                <w:szCs w:val="28"/>
              </w:rPr>
              <w:t> цього Положення;</w:t>
            </w:r>
          </w:p>
          <w:p w14:paraId="6819DA06" w14:textId="77777777" w:rsidR="00953C5B" w:rsidRPr="00EC7401" w:rsidRDefault="003A34EA" w:rsidP="005719F9">
            <w:pPr>
              <w:pStyle w:val="a4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…</w:t>
            </w:r>
          </w:p>
        </w:tc>
      </w:tr>
      <w:tr w:rsidR="00EC7401" w:rsidRPr="00EC7401" w14:paraId="768087FB" w14:textId="77777777" w:rsidTr="00E476D9"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14:paraId="75E68C27" w14:textId="77777777" w:rsidR="00953C5B" w:rsidRPr="00EC7401" w:rsidRDefault="00953C5B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  <w:shd w:val="clear" w:color="auto" w:fill="FFFFFF"/>
              </w:rPr>
              <w:t xml:space="preserve">3) не пізніше другого робочого дня після дня, у якому фінансова компанія не виконала хоча б одну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пруденційну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вимогу щодо достатності власного капіталу, визначену в </w:t>
            </w:r>
            <w:r w:rsidRPr="00EC7401">
              <w:rPr>
                <w:b/>
                <w:sz w:val="28"/>
                <w:szCs w:val="28"/>
                <w:shd w:val="clear" w:color="auto" w:fill="FFFFFF"/>
              </w:rPr>
              <w:t>пунктах 12-16</w:t>
            </w:r>
            <w:r w:rsidRPr="00EC7401">
              <w:rPr>
                <w:sz w:val="28"/>
                <w:szCs w:val="28"/>
                <w:shd w:val="clear" w:color="auto" w:fill="FFFFFF"/>
              </w:rPr>
              <w:t xml:space="preserve"> цього Положення (якщо відповідна вимога поширюється на фінансову компанію), або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пруденційну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вимогу щодо нормативного значення нормативу левериджу, визначену в пункті 19 цього Положення (далі - порушення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вимоги), письмово повідомити Національний банк про порушення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вимоги відповідно до вимог, зазначених у пункті 9 цього Положення.</w:t>
            </w: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14:paraId="289BA7C9" w14:textId="1B0584D6" w:rsidR="00953C5B" w:rsidRPr="00EC7401" w:rsidRDefault="003A34EA" w:rsidP="005719F9">
            <w:pPr>
              <w:pStyle w:val="a4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  <w:shd w:val="clear" w:color="auto" w:fill="FFFFFF"/>
              </w:rPr>
              <w:t xml:space="preserve">3) не пізніше другого робочого дня після дня, у якому фінансова компанія не виконала хоча б одну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пруденційну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вимогу щодо достатності власного капіталу, визначену в </w:t>
            </w:r>
            <w:r w:rsidRPr="00EC7401">
              <w:rPr>
                <w:b/>
                <w:sz w:val="28"/>
                <w:szCs w:val="28"/>
              </w:rPr>
              <w:t xml:space="preserve">підпунктах 1-7 пункту 12 </w:t>
            </w:r>
            <w:r w:rsidRPr="00EC7401">
              <w:rPr>
                <w:sz w:val="28"/>
                <w:szCs w:val="28"/>
                <w:shd w:val="clear" w:color="auto" w:fill="FFFFFF"/>
              </w:rPr>
              <w:t xml:space="preserve">цього Положення (якщо відповідна вимога поширюється на фінансову компанію), або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пруденційну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вимогу щодо нормативного значення нормативу левериджу, визначену в пункті 19 цього Положення (далі - порушення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вимоги), письмово повідомити Національний банк про порушення </w:t>
            </w:r>
            <w:proofErr w:type="spellStart"/>
            <w:r w:rsidRPr="00EC7401">
              <w:rPr>
                <w:sz w:val="28"/>
                <w:szCs w:val="28"/>
                <w:shd w:val="clear" w:color="auto" w:fill="FFFFFF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  <w:shd w:val="clear" w:color="auto" w:fill="FFFFFF"/>
              </w:rPr>
              <w:t xml:space="preserve"> вимоги відповідно до вимог, зазначених у пункті 9 цього Положення.</w:t>
            </w:r>
          </w:p>
        </w:tc>
      </w:tr>
      <w:tr w:rsidR="00EC7401" w:rsidRPr="00EC7401" w14:paraId="5267302A" w14:textId="77777777" w:rsidTr="00E476D9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3BEDB0B4" w14:textId="77777777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 xml:space="preserve">9. Фінансова компанія повідомляє Національний банк про порушення </w:t>
            </w:r>
            <w:proofErr w:type="spellStart"/>
            <w:r w:rsidRPr="00EC7401">
              <w:rPr>
                <w:sz w:val="28"/>
                <w:szCs w:val="28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</w:rPr>
              <w:t xml:space="preserve"> вимоги в листі, який має бути </w:t>
            </w:r>
            <w:r w:rsidRPr="00EC7401">
              <w:rPr>
                <w:sz w:val="28"/>
                <w:szCs w:val="28"/>
              </w:rPr>
              <w:lastRenderedPageBreak/>
              <w:t>підписаний керівником (особою, яка виконує обов’язки керівника) фінансової компанії (далі - лист про порушення), із зазначенням у листі:</w:t>
            </w:r>
          </w:p>
          <w:p w14:paraId="28A0C16F" w14:textId="77777777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3" w:name="n34"/>
            <w:bookmarkEnd w:id="3"/>
            <w:r w:rsidRPr="00EC7401">
              <w:rPr>
                <w:sz w:val="28"/>
                <w:szCs w:val="28"/>
              </w:rPr>
              <w:t>…</w:t>
            </w:r>
          </w:p>
          <w:p w14:paraId="3A298336" w14:textId="77777777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bookmarkStart w:id="4" w:name="n36"/>
            <w:bookmarkEnd w:id="4"/>
            <w:r w:rsidRPr="00EC7401">
              <w:rPr>
                <w:sz w:val="28"/>
                <w:szCs w:val="28"/>
              </w:rPr>
              <w:t xml:space="preserve">3) фактичного значення розміру власного капіталу, дати (дат) порушення </w:t>
            </w:r>
            <w:proofErr w:type="spellStart"/>
            <w:r w:rsidRPr="00EC7401">
              <w:rPr>
                <w:sz w:val="28"/>
                <w:szCs w:val="28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</w:rPr>
              <w:t xml:space="preserve"> вимоги щодо достатності власного капіталу, а також розрахунку власного капіталу [розрахунок подається шляхом надання інформації про складові власного капіталу станом на дату (дати) порушення </w:t>
            </w:r>
            <w:proofErr w:type="spellStart"/>
            <w:r w:rsidRPr="00EC7401">
              <w:rPr>
                <w:sz w:val="28"/>
                <w:szCs w:val="28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</w:rPr>
              <w:t xml:space="preserve"> вимоги щодо достатності власного капіталу] - у разі порушення вимог щодо достатності власного капіталу, визначених у</w:t>
            </w:r>
            <w:r w:rsidRPr="00EC7401">
              <w:rPr>
                <w:b/>
                <w:sz w:val="28"/>
                <w:szCs w:val="28"/>
              </w:rPr>
              <w:t> </w:t>
            </w:r>
            <w:r w:rsidRPr="00EC7401">
              <w:rPr>
                <w:rFonts w:eastAsiaTheme="minorEastAsia"/>
                <w:b/>
                <w:sz w:val="28"/>
                <w:szCs w:val="28"/>
              </w:rPr>
              <w:t>пунктах 12-16</w:t>
            </w:r>
            <w:r w:rsidRPr="00EC7401">
              <w:rPr>
                <w:sz w:val="28"/>
                <w:szCs w:val="28"/>
              </w:rPr>
              <w:t> цього Положення (якщо відповідна вимога поширюється на фінансову компанію);</w:t>
            </w:r>
          </w:p>
          <w:p w14:paraId="659B77D2" w14:textId="77777777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401">
              <w:rPr>
                <w:sz w:val="28"/>
                <w:szCs w:val="28"/>
                <w:shd w:val="clear" w:color="auto" w:fill="FFFFFF"/>
              </w:rPr>
              <w:t>…</w:t>
            </w:r>
            <w:bookmarkStart w:id="5" w:name="_GoBack"/>
            <w:bookmarkEnd w:id="5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8509EE4" w14:textId="77777777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lastRenderedPageBreak/>
              <w:t xml:space="preserve">9. Фінансова компанія повідомляє Національний банк про порушення </w:t>
            </w:r>
            <w:proofErr w:type="spellStart"/>
            <w:r w:rsidRPr="00EC7401">
              <w:rPr>
                <w:sz w:val="28"/>
                <w:szCs w:val="28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</w:rPr>
              <w:t xml:space="preserve"> вимоги в листі, який має бути </w:t>
            </w:r>
            <w:r w:rsidRPr="00EC7401">
              <w:rPr>
                <w:sz w:val="28"/>
                <w:szCs w:val="28"/>
              </w:rPr>
              <w:lastRenderedPageBreak/>
              <w:t>підписаний керівником (особою, яка виконує обов’язки керівника) фінансової компанії (далі - лист про порушення), із зазначенням у листі:</w:t>
            </w:r>
          </w:p>
          <w:p w14:paraId="67EC3E02" w14:textId="77777777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>…</w:t>
            </w:r>
          </w:p>
          <w:p w14:paraId="6D13C0DE" w14:textId="6677BEAF" w:rsidR="00E476D9" w:rsidRPr="00EC7401" w:rsidRDefault="00E476D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t xml:space="preserve">3) фактичного значення розміру власного капіталу, дати (дат) порушення </w:t>
            </w:r>
            <w:proofErr w:type="spellStart"/>
            <w:r w:rsidRPr="00EC7401">
              <w:rPr>
                <w:sz w:val="28"/>
                <w:szCs w:val="28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</w:rPr>
              <w:t xml:space="preserve"> вимоги щодо достатності власного капіталу, а також розрахунку власного капіталу [розрахунок подається шляхом надання інформації про складові власного капіталу станом на дату (дати) порушення </w:t>
            </w:r>
            <w:proofErr w:type="spellStart"/>
            <w:r w:rsidRPr="00EC7401">
              <w:rPr>
                <w:sz w:val="28"/>
                <w:szCs w:val="28"/>
              </w:rPr>
              <w:t>пруденційної</w:t>
            </w:r>
            <w:proofErr w:type="spellEnd"/>
            <w:r w:rsidRPr="00EC7401">
              <w:rPr>
                <w:sz w:val="28"/>
                <w:szCs w:val="28"/>
              </w:rPr>
              <w:t xml:space="preserve"> вимоги щодо достатності власного капіталу] - у разі порушення вимог щодо достатності власного капіталу, визначених у </w:t>
            </w:r>
            <w:r w:rsidRPr="00EC7401">
              <w:rPr>
                <w:b/>
                <w:sz w:val="28"/>
                <w:szCs w:val="28"/>
              </w:rPr>
              <w:t>під</w:t>
            </w:r>
            <w:r w:rsidRPr="00EC7401">
              <w:rPr>
                <w:rFonts w:eastAsiaTheme="minorEastAsia"/>
                <w:b/>
                <w:sz w:val="28"/>
                <w:szCs w:val="28"/>
              </w:rPr>
              <w:t>пунктах 1-7 пункту 12</w:t>
            </w:r>
            <w:r w:rsidR="0036166E" w:rsidRPr="00EC7401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EC7401">
              <w:rPr>
                <w:sz w:val="28"/>
                <w:szCs w:val="28"/>
              </w:rPr>
              <w:t>цього Положення (якщо відповідна вимога поширюється на фінансову компанію);</w:t>
            </w:r>
          </w:p>
          <w:p w14:paraId="29DB054D" w14:textId="77777777" w:rsidR="00E476D9" w:rsidRPr="00EC7401" w:rsidRDefault="00E476D9" w:rsidP="005719F9">
            <w:pPr>
              <w:pStyle w:val="a4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401"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EC7401" w:rsidRPr="00EC7401" w14:paraId="529A69DE" w14:textId="77777777" w:rsidTr="00953C5B">
        <w:tc>
          <w:tcPr>
            <w:tcW w:w="2500" w:type="pct"/>
            <w:tcBorders>
              <w:top w:val="single" w:sz="4" w:space="0" w:color="auto"/>
            </w:tcBorders>
          </w:tcPr>
          <w:p w14:paraId="5BAFA940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lastRenderedPageBreak/>
              <w:t xml:space="preserve">12. </w:t>
            </w:r>
            <w:r w:rsidRPr="00EC7401">
              <w:rPr>
                <w:b/>
                <w:sz w:val="28"/>
                <w:szCs w:val="28"/>
              </w:rPr>
              <w:t>Власний капітал фінансової компанії, до ліцензії якої включено право на надання одного (єдиного) виду фінансових послуг, є достатнім, якщо його розмір не менший ніж</w:t>
            </w:r>
            <w:r w:rsidRPr="00EC7401">
              <w:rPr>
                <w:sz w:val="28"/>
                <w:szCs w:val="28"/>
              </w:rPr>
              <w:t>:</w:t>
            </w:r>
            <w:bookmarkStart w:id="6" w:name="n42"/>
            <w:bookmarkEnd w:id="6"/>
          </w:p>
          <w:p w14:paraId="7CFCEEF6" w14:textId="77777777" w:rsidR="003A2284" w:rsidRPr="00EC7401" w:rsidRDefault="003A2284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  <w:p w14:paraId="0E685718" w14:textId="77777777" w:rsidR="00E438D7" w:rsidRPr="00EC7401" w:rsidRDefault="00461066" w:rsidP="005719F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firstLine="450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20 мільйонів гривень - для надання гарантій;</w:t>
            </w:r>
            <w:bookmarkStart w:id="7" w:name="n43"/>
            <w:bookmarkEnd w:id="7"/>
          </w:p>
          <w:p w14:paraId="53E1F3C8" w14:textId="77777777" w:rsidR="003A2284" w:rsidRPr="00EC7401" w:rsidRDefault="003A2284" w:rsidP="005719F9">
            <w:pPr>
              <w:pStyle w:val="rvps2"/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</w:p>
          <w:p w14:paraId="1E52251D" w14:textId="77777777" w:rsidR="00E438D7" w:rsidRPr="00EC7401" w:rsidRDefault="00461066" w:rsidP="005719F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0" w:firstLine="450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15 мільйонів гривень - для торгівлі валютними цінностями в готівковій формі;</w:t>
            </w:r>
            <w:bookmarkStart w:id="8" w:name="n44"/>
            <w:bookmarkEnd w:id="8"/>
          </w:p>
          <w:p w14:paraId="50667AC3" w14:textId="77777777" w:rsidR="003A2284" w:rsidRPr="00EC7401" w:rsidRDefault="003A2284" w:rsidP="005719F9">
            <w:pPr>
              <w:pStyle w:val="rvps2"/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</w:p>
          <w:p w14:paraId="068071A5" w14:textId="77777777" w:rsidR="00461066" w:rsidRPr="00EC7401" w:rsidRDefault="00461066" w:rsidP="005719F9">
            <w:pPr>
              <w:pStyle w:val="rvps2"/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lastRenderedPageBreak/>
              <w:t>3) 10 мільйонів гривень - для надання коштів та банківських металів у кредит або факторингу, або фінансового лізингу.</w:t>
            </w:r>
          </w:p>
          <w:p w14:paraId="08948283" w14:textId="77777777" w:rsidR="00461066" w:rsidRPr="00EC7401" w:rsidRDefault="00461066" w:rsidP="005719F9">
            <w:pPr>
              <w:pStyle w:val="a4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445F9E93" w14:textId="5AA0A4A3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sz w:val="28"/>
                <w:szCs w:val="28"/>
              </w:rPr>
              <w:lastRenderedPageBreak/>
              <w:t xml:space="preserve">12. </w:t>
            </w:r>
            <w:r w:rsidRPr="00EC7401">
              <w:rPr>
                <w:b/>
                <w:sz w:val="28"/>
                <w:szCs w:val="28"/>
              </w:rPr>
              <w:t xml:space="preserve">Власний капітал фінансової компанії є достатнім, якщо його розмір </w:t>
            </w:r>
            <w:r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після </w:t>
            </w:r>
            <w:r w:rsidR="00DB07D6" w:rsidRPr="00EC7401">
              <w:rPr>
                <w:b/>
                <w:bCs/>
                <w:sz w:val="28"/>
                <w:szCs w:val="28"/>
                <w:shd w:val="clear" w:color="auto" w:fill="FFFFFF"/>
              </w:rPr>
              <w:t>зменшення власного</w:t>
            </w:r>
            <w:r w:rsidR="00F85F54"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капіталу</w:t>
            </w:r>
            <w:r w:rsidR="00DB07D6"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на відрахування, зазначені у пункті 13 цього Положення,</w:t>
            </w:r>
            <w:r w:rsidR="00F85F54"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та </w:t>
            </w:r>
            <w:r w:rsidR="006D6D5A"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врахування </w:t>
            </w:r>
            <w:proofErr w:type="spellStart"/>
            <w:r w:rsidRPr="00EC7401">
              <w:rPr>
                <w:b/>
                <w:bCs/>
                <w:sz w:val="28"/>
                <w:szCs w:val="28"/>
                <w:shd w:val="clear" w:color="auto" w:fill="FFFFFF"/>
              </w:rPr>
              <w:t>субординованого</w:t>
            </w:r>
            <w:proofErr w:type="spellEnd"/>
            <w:r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боргу </w:t>
            </w:r>
            <w:r w:rsidR="00347149" w:rsidRPr="00EC7401">
              <w:rPr>
                <w:b/>
                <w:sz w:val="28"/>
                <w:szCs w:val="28"/>
              </w:rPr>
              <w:t>у</w:t>
            </w:r>
            <w:r w:rsidR="00296FAF" w:rsidRPr="00EC7401">
              <w:rPr>
                <w:b/>
                <w:sz w:val="28"/>
                <w:szCs w:val="28"/>
              </w:rPr>
              <w:t xml:space="preserve"> складі власного капіталу у</w:t>
            </w:r>
            <w:r w:rsidR="008E038A" w:rsidRPr="00EC7401">
              <w:rPr>
                <w:b/>
                <w:sz w:val="28"/>
                <w:szCs w:val="28"/>
              </w:rPr>
              <w:t xml:space="preserve"> випадку, визнач</w:t>
            </w:r>
            <w:r w:rsidR="00D76931" w:rsidRPr="00EC7401">
              <w:rPr>
                <w:b/>
                <w:sz w:val="28"/>
                <w:szCs w:val="28"/>
              </w:rPr>
              <w:t>е</w:t>
            </w:r>
            <w:r w:rsidR="008E038A" w:rsidRPr="00EC7401">
              <w:rPr>
                <w:b/>
                <w:sz w:val="28"/>
                <w:szCs w:val="28"/>
              </w:rPr>
              <w:t>ному в пункті 14</w:t>
            </w:r>
            <w:r w:rsidR="00347149" w:rsidRPr="00EC7401">
              <w:rPr>
                <w:b/>
                <w:sz w:val="28"/>
                <w:szCs w:val="28"/>
              </w:rPr>
              <w:t xml:space="preserve"> цього Положення</w:t>
            </w:r>
            <w:r w:rsidRPr="00EC7401">
              <w:rPr>
                <w:b/>
                <w:bCs/>
                <w:sz w:val="28"/>
                <w:szCs w:val="28"/>
                <w:shd w:val="clear" w:color="auto" w:fill="FFFFFF"/>
              </w:rPr>
              <w:t xml:space="preserve">, є </w:t>
            </w:r>
            <w:r w:rsidRPr="00EC7401">
              <w:rPr>
                <w:b/>
                <w:sz w:val="28"/>
                <w:szCs w:val="28"/>
              </w:rPr>
              <w:t>не менший ніж</w:t>
            </w:r>
            <w:r w:rsidRPr="00EC7401">
              <w:rPr>
                <w:sz w:val="28"/>
                <w:szCs w:val="28"/>
              </w:rPr>
              <w:t>:</w:t>
            </w:r>
          </w:p>
          <w:p w14:paraId="23535614" w14:textId="77777777" w:rsidR="003A2284" w:rsidRPr="00EC7401" w:rsidRDefault="003A2284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4F1A0D97" w14:textId="77777777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1) 20 мільйонів гривень, якщо </w:t>
            </w:r>
            <w:r w:rsidR="00316D0A" w:rsidRPr="00EC7401">
              <w:rPr>
                <w:b/>
                <w:sz w:val="28"/>
                <w:szCs w:val="28"/>
              </w:rPr>
              <w:t xml:space="preserve">фінансова компанія має право надавати одну фінансову послугу – надання </w:t>
            </w:r>
            <w:r w:rsidR="00441478" w:rsidRPr="00EC7401">
              <w:rPr>
                <w:b/>
                <w:sz w:val="28"/>
                <w:szCs w:val="28"/>
              </w:rPr>
              <w:t>гарантій</w:t>
            </w:r>
            <w:r w:rsidRPr="00EC7401">
              <w:rPr>
                <w:b/>
                <w:sz w:val="28"/>
                <w:szCs w:val="28"/>
              </w:rPr>
              <w:t>;</w:t>
            </w:r>
          </w:p>
          <w:p w14:paraId="358828E8" w14:textId="77777777" w:rsidR="003A2284" w:rsidRPr="00EC7401" w:rsidRDefault="003A2284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439617F5" w14:textId="77777777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lastRenderedPageBreak/>
              <w:t xml:space="preserve">2) 15 мільйонів гривень, якщо </w:t>
            </w:r>
            <w:r w:rsidR="00316D0A" w:rsidRPr="00EC7401">
              <w:rPr>
                <w:b/>
                <w:sz w:val="28"/>
                <w:szCs w:val="28"/>
              </w:rPr>
              <w:t xml:space="preserve">фінансова компанія має </w:t>
            </w:r>
            <w:r w:rsidR="00220E84" w:rsidRPr="00EC7401">
              <w:rPr>
                <w:b/>
                <w:sz w:val="28"/>
                <w:szCs w:val="28"/>
              </w:rPr>
              <w:t xml:space="preserve">право </w:t>
            </w:r>
            <w:r w:rsidR="00316D0A" w:rsidRPr="00EC7401">
              <w:rPr>
                <w:b/>
                <w:sz w:val="28"/>
                <w:szCs w:val="28"/>
              </w:rPr>
              <w:t>надавати одну фінансову послуг</w:t>
            </w:r>
            <w:r w:rsidR="002B498F" w:rsidRPr="00EC7401">
              <w:rPr>
                <w:b/>
                <w:sz w:val="28"/>
                <w:szCs w:val="28"/>
              </w:rPr>
              <w:t>у</w:t>
            </w:r>
            <w:r w:rsidR="00316D0A" w:rsidRPr="00EC7401">
              <w:rPr>
                <w:b/>
                <w:sz w:val="28"/>
                <w:szCs w:val="28"/>
              </w:rPr>
              <w:t xml:space="preserve"> – </w:t>
            </w:r>
            <w:r w:rsidR="00022D97" w:rsidRPr="00EC7401">
              <w:rPr>
                <w:b/>
                <w:sz w:val="28"/>
                <w:szCs w:val="28"/>
              </w:rPr>
              <w:t>т</w:t>
            </w:r>
            <w:r w:rsidR="00316D0A" w:rsidRPr="00EC7401">
              <w:rPr>
                <w:b/>
                <w:sz w:val="28"/>
                <w:szCs w:val="28"/>
              </w:rPr>
              <w:t>оргівля</w:t>
            </w:r>
            <w:r w:rsidRPr="00EC7401">
              <w:rPr>
                <w:b/>
                <w:sz w:val="28"/>
                <w:szCs w:val="28"/>
              </w:rPr>
              <w:t xml:space="preserve"> валютними цінностями</w:t>
            </w:r>
            <w:r w:rsidR="006F3252" w:rsidRPr="00EC7401">
              <w:rPr>
                <w:b/>
                <w:sz w:val="28"/>
                <w:szCs w:val="28"/>
              </w:rPr>
              <w:t xml:space="preserve"> в готівковій формі</w:t>
            </w:r>
            <w:r w:rsidRPr="00EC7401">
              <w:rPr>
                <w:b/>
                <w:sz w:val="28"/>
                <w:szCs w:val="28"/>
              </w:rPr>
              <w:t>;</w:t>
            </w:r>
          </w:p>
          <w:p w14:paraId="7021FD60" w14:textId="77777777" w:rsidR="003A2284" w:rsidRPr="00EC7401" w:rsidRDefault="003A2284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630230E0" w14:textId="7361ECC6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3) 10 мільйонів </w:t>
            </w:r>
            <w:r w:rsidR="00DC24D2" w:rsidRPr="00EC7401">
              <w:rPr>
                <w:b/>
                <w:sz w:val="28"/>
                <w:szCs w:val="28"/>
              </w:rPr>
              <w:t xml:space="preserve">гривень, </w:t>
            </w:r>
            <w:r w:rsidRPr="00EC7401">
              <w:rPr>
                <w:b/>
                <w:sz w:val="28"/>
                <w:szCs w:val="28"/>
              </w:rPr>
              <w:t xml:space="preserve">якщо </w:t>
            </w:r>
            <w:r w:rsidR="00316D0A" w:rsidRPr="00EC7401">
              <w:rPr>
                <w:b/>
                <w:sz w:val="28"/>
                <w:szCs w:val="28"/>
              </w:rPr>
              <w:t>фінансова компанія має право надавати одну фінансову послуг</w:t>
            </w:r>
            <w:r w:rsidR="002B498F" w:rsidRPr="00EC7401">
              <w:rPr>
                <w:b/>
                <w:sz w:val="28"/>
                <w:szCs w:val="28"/>
              </w:rPr>
              <w:t>у</w:t>
            </w:r>
            <w:r w:rsidR="00316D0A" w:rsidRPr="00EC7401">
              <w:rPr>
                <w:b/>
                <w:sz w:val="28"/>
                <w:szCs w:val="28"/>
              </w:rPr>
              <w:t xml:space="preserve"> –  </w:t>
            </w:r>
            <w:r w:rsidR="006F3252" w:rsidRPr="00EC7401">
              <w:rPr>
                <w:b/>
                <w:sz w:val="28"/>
                <w:szCs w:val="28"/>
              </w:rPr>
              <w:t xml:space="preserve">надання коштів та банківських металів у кредит, або </w:t>
            </w:r>
            <w:r w:rsidRPr="00EC7401">
              <w:rPr>
                <w:b/>
                <w:sz w:val="28"/>
                <w:szCs w:val="28"/>
              </w:rPr>
              <w:t>факторинг, або</w:t>
            </w:r>
            <w:r w:rsidR="00316D0A" w:rsidRPr="00EC7401">
              <w:rPr>
                <w:b/>
                <w:sz w:val="28"/>
                <w:szCs w:val="28"/>
              </w:rPr>
              <w:t xml:space="preserve"> фінансовий</w:t>
            </w:r>
            <w:r w:rsidR="002B498F" w:rsidRPr="00EC7401">
              <w:rPr>
                <w:b/>
                <w:sz w:val="28"/>
                <w:szCs w:val="28"/>
              </w:rPr>
              <w:t xml:space="preserve"> лізинг</w:t>
            </w:r>
            <w:r w:rsidRPr="00EC7401">
              <w:rPr>
                <w:b/>
                <w:sz w:val="28"/>
                <w:szCs w:val="28"/>
              </w:rPr>
              <w:t xml:space="preserve">; </w:t>
            </w:r>
          </w:p>
          <w:p w14:paraId="6619FBE1" w14:textId="77777777" w:rsidR="00364B61" w:rsidRPr="00EC7401" w:rsidRDefault="00364B61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0DE0E645" w14:textId="3F723114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4) 10 мільйонів гривень та додатково  п’ять мільйонів гривень із розрахунку на кожен включений до </w:t>
            </w:r>
            <w:r w:rsidR="002B498F" w:rsidRPr="00EC7401">
              <w:rPr>
                <w:b/>
                <w:sz w:val="28"/>
                <w:szCs w:val="28"/>
              </w:rPr>
              <w:t>ліцензії вид фінансових послуг (</w:t>
            </w:r>
            <w:r w:rsidRPr="00EC7401">
              <w:rPr>
                <w:b/>
                <w:sz w:val="28"/>
                <w:szCs w:val="28"/>
              </w:rPr>
              <w:t>починаючи з другого</w:t>
            </w:r>
            <w:r w:rsidR="002B498F" w:rsidRPr="00EC7401">
              <w:rPr>
                <w:b/>
                <w:sz w:val="28"/>
                <w:szCs w:val="28"/>
              </w:rPr>
              <w:t xml:space="preserve">), </w:t>
            </w:r>
            <w:r w:rsidR="00316D0A" w:rsidRPr="00EC7401">
              <w:rPr>
                <w:b/>
                <w:sz w:val="28"/>
                <w:szCs w:val="28"/>
              </w:rPr>
              <w:t>як</w:t>
            </w:r>
            <w:r w:rsidR="006F3252" w:rsidRPr="00EC7401">
              <w:rPr>
                <w:b/>
                <w:sz w:val="28"/>
                <w:szCs w:val="28"/>
              </w:rPr>
              <w:t xml:space="preserve">що </w:t>
            </w:r>
            <w:r w:rsidR="00316D0A" w:rsidRPr="00EC7401">
              <w:rPr>
                <w:b/>
                <w:sz w:val="28"/>
                <w:szCs w:val="28"/>
              </w:rPr>
              <w:t>фінансова компанія має право надати два</w:t>
            </w:r>
            <w:r w:rsidRPr="00EC7401">
              <w:rPr>
                <w:b/>
                <w:sz w:val="28"/>
                <w:szCs w:val="28"/>
              </w:rPr>
              <w:t xml:space="preserve"> чи </w:t>
            </w:r>
            <w:r w:rsidR="00316D0A" w:rsidRPr="00EC7401">
              <w:rPr>
                <w:b/>
                <w:sz w:val="28"/>
                <w:szCs w:val="28"/>
              </w:rPr>
              <w:t xml:space="preserve">більше </w:t>
            </w:r>
            <w:r w:rsidRPr="00EC7401">
              <w:rPr>
                <w:b/>
                <w:sz w:val="28"/>
                <w:szCs w:val="28"/>
              </w:rPr>
              <w:t>видів фінансових послуг (крім надання гарантій та/або торгівлі валютними цінностями в готівковій формі);</w:t>
            </w:r>
          </w:p>
          <w:p w14:paraId="40FE98BB" w14:textId="77777777" w:rsidR="0081130C" w:rsidRPr="00EC7401" w:rsidRDefault="0081130C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683F1414" w14:textId="48D79CE9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5) 20 мільйонів гривень та додатково п’ять мільйонів гривень із розрахунку на кожен включений до </w:t>
            </w:r>
            <w:r w:rsidR="002B498F" w:rsidRPr="00EC7401">
              <w:rPr>
                <w:b/>
                <w:sz w:val="28"/>
                <w:szCs w:val="28"/>
              </w:rPr>
              <w:t>ліцензії вид фінансових послуг (</w:t>
            </w:r>
            <w:r w:rsidRPr="00EC7401">
              <w:rPr>
                <w:b/>
                <w:sz w:val="28"/>
                <w:szCs w:val="28"/>
              </w:rPr>
              <w:t>починаючи з другого</w:t>
            </w:r>
            <w:r w:rsidR="002B498F" w:rsidRPr="00EC7401">
              <w:rPr>
                <w:b/>
                <w:sz w:val="28"/>
                <w:szCs w:val="28"/>
              </w:rPr>
              <w:t>)</w:t>
            </w:r>
            <w:r w:rsidRPr="00EC7401">
              <w:rPr>
                <w:b/>
                <w:sz w:val="28"/>
                <w:szCs w:val="28"/>
              </w:rPr>
              <w:t xml:space="preserve">, </w:t>
            </w:r>
            <w:r w:rsidR="002B498F" w:rsidRPr="00EC7401">
              <w:rPr>
                <w:b/>
                <w:sz w:val="28"/>
                <w:szCs w:val="28"/>
              </w:rPr>
              <w:t>якщо</w:t>
            </w:r>
            <w:r w:rsidRPr="00EC7401">
              <w:rPr>
                <w:b/>
                <w:sz w:val="28"/>
                <w:szCs w:val="28"/>
              </w:rPr>
              <w:t xml:space="preserve"> </w:t>
            </w:r>
            <w:r w:rsidR="002B498F" w:rsidRPr="00EC7401">
              <w:rPr>
                <w:b/>
                <w:sz w:val="28"/>
                <w:szCs w:val="28"/>
              </w:rPr>
              <w:t>фінансова компанія має право</w:t>
            </w:r>
            <w:r w:rsidR="00441478" w:rsidRPr="00EC7401">
              <w:rPr>
                <w:b/>
                <w:sz w:val="28"/>
                <w:szCs w:val="28"/>
              </w:rPr>
              <w:t xml:space="preserve"> на</w:t>
            </w:r>
            <w:r w:rsidR="002B498F" w:rsidRPr="00EC7401">
              <w:rPr>
                <w:b/>
                <w:sz w:val="28"/>
                <w:szCs w:val="28"/>
              </w:rPr>
              <w:t xml:space="preserve"> </w:t>
            </w:r>
            <w:r w:rsidR="00316D0A" w:rsidRPr="00EC7401">
              <w:rPr>
                <w:b/>
                <w:sz w:val="28"/>
                <w:szCs w:val="28"/>
              </w:rPr>
              <w:t>на</w:t>
            </w:r>
            <w:r w:rsidR="00441478" w:rsidRPr="00EC7401">
              <w:rPr>
                <w:b/>
                <w:sz w:val="28"/>
                <w:szCs w:val="28"/>
              </w:rPr>
              <w:t>дання гарантій</w:t>
            </w:r>
            <w:r w:rsidRPr="00EC7401">
              <w:rPr>
                <w:b/>
                <w:sz w:val="28"/>
                <w:szCs w:val="28"/>
              </w:rPr>
              <w:t xml:space="preserve">, а також </w:t>
            </w:r>
            <w:r w:rsidR="00441478" w:rsidRPr="00EC7401">
              <w:rPr>
                <w:b/>
                <w:sz w:val="28"/>
                <w:szCs w:val="28"/>
              </w:rPr>
              <w:t>на надання інших видів</w:t>
            </w:r>
            <w:r w:rsidR="00316D0A" w:rsidRPr="00EC7401">
              <w:rPr>
                <w:b/>
                <w:sz w:val="28"/>
                <w:szCs w:val="28"/>
              </w:rPr>
              <w:t xml:space="preserve"> </w:t>
            </w:r>
            <w:r w:rsidRPr="00EC7401">
              <w:rPr>
                <w:b/>
                <w:sz w:val="28"/>
                <w:szCs w:val="28"/>
              </w:rPr>
              <w:t>фінансових послуг (крім торгівлі валютним цінностями в готівковій формі);</w:t>
            </w:r>
          </w:p>
          <w:p w14:paraId="56F2347B" w14:textId="77777777" w:rsidR="003A2284" w:rsidRPr="00EC7401" w:rsidRDefault="003A2284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24D43E22" w14:textId="0E285BB9" w:rsidR="0061718D" w:rsidRPr="00EC7401" w:rsidRDefault="0061718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6) 15 мільйонів гривень</w:t>
            </w:r>
            <w:r w:rsidR="007053D7" w:rsidRPr="00EC7401">
              <w:rPr>
                <w:b/>
                <w:sz w:val="28"/>
                <w:szCs w:val="28"/>
              </w:rPr>
              <w:t xml:space="preserve"> (якщо фінансова компанія має ліцензію на здійснення валютних операцій в частині торгівлі валютними цінностями в готівковій формі та у неї відсутнє право на надання гарантій)</w:t>
            </w:r>
            <w:r w:rsidRPr="00EC7401">
              <w:rPr>
                <w:b/>
                <w:sz w:val="28"/>
                <w:szCs w:val="28"/>
              </w:rPr>
              <w:t xml:space="preserve"> та додатково </w:t>
            </w:r>
            <w:r w:rsidRPr="00EC7401">
              <w:rPr>
                <w:b/>
                <w:sz w:val="28"/>
                <w:szCs w:val="28"/>
              </w:rPr>
              <w:lastRenderedPageBreak/>
              <w:t xml:space="preserve">п’ять мільйонів гривень із розрахунку на кожен включений до </w:t>
            </w:r>
            <w:r w:rsidR="002B498F" w:rsidRPr="00EC7401">
              <w:rPr>
                <w:b/>
                <w:sz w:val="28"/>
                <w:szCs w:val="28"/>
              </w:rPr>
              <w:t>ліцензії вид фінансових послуг</w:t>
            </w:r>
            <w:r w:rsidRPr="00EC7401">
              <w:rPr>
                <w:b/>
                <w:sz w:val="28"/>
                <w:szCs w:val="28"/>
              </w:rPr>
              <w:t>;</w:t>
            </w:r>
          </w:p>
          <w:p w14:paraId="4FD97DEE" w14:textId="77777777" w:rsidR="00854FC9" w:rsidRPr="00EC7401" w:rsidRDefault="00854FC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75E7A463" w14:textId="4E2BF260" w:rsidR="00461066" w:rsidRPr="00EC7401" w:rsidRDefault="005719F9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7) </w:t>
            </w:r>
            <w:r w:rsidR="002B498F" w:rsidRPr="00EC7401">
              <w:rPr>
                <w:b/>
                <w:sz w:val="28"/>
                <w:szCs w:val="28"/>
              </w:rPr>
              <w:t>35 мільйонів гривень</w:t>
            </w:r>
            <w:r w:rsidR="00393C21" w:rsidRPr="00EC7401">
              <w:rPr>
                <w:b/>
                <w:sz w:val="28"/>
                <w:szCs w:val="28"/>
              </w:rPr>
              <w:t xml:space="preserve"> (якщо фінансова компанія </w:t>
            </w:r>
            <w:r w:rsidR="002B498F" w:rsidRPr="00EC7401">
              <w:rPr>
                <w:b/>
                <w:sz w:val="28"/>
                <w:szCs w:val="28"/>
              </w:rPr>
              <w:t xml:space="preserve"> </w:t>
            </w:r>
            <w:r w:rsidR="00393C21" w:rsidRPr="00EC7401">
              <w:rPr>
                <w:b/>
                <w:sz w:val="28"/>
                <w:szCs w:val="28"/>
              </w:rPr>
              <w:t xml:space="preserve">має право на надання гарантій та у неї є ліцензія на здійснення валютних операцій в частині торгівлі валютними цінностями в готівковій формі) </w:t>
            </w:r>
            <w:r w:rsidR="002B498F" w:rsidRPr="00EC7401">
              <w:rPr>
                <w:b/>
                <w:sz w:val="28"/>
                <w:szCs w:val="28"/>
              </w:rPr>
              <w:t>та додатково п’ять мільйонів гривень із розрахунку на кожен включений до ліцензії вид фінансових послуг</w:t>
            </w:r>
            <w:r w:rsidR="005729DC" w:rsidRPr="00EC7401">
              <w:rPr>
                <w:b/>
                <w:sz w:val="28"/>
                <w:szCs w:val="28"/>
              </w:rPr>
              <w:t xml:space="preserve"> (</w:t>
            </w:r>
            <w:r w:rsidR="00CA7BAB" w:rsidRPr="00EC7401">
              <w:rPr>
                <w:b/>
                <w:sz w:val="28"/>
                <w:szCs w:val="28"/>
              </w:rPr>
              <w:t xml:space="preserve">крім надання </w:t>
            </w:r>
            <w:r w:rsidR="005729DC" w:rsidRPr="00EC7401">
              <w:rPr>
                <w:b/>
                <w:sz w:val="28"/>
                <w:szCs w:val="28"/>
              </w:rPr>
              <w:t>гарантій)</w:t>
            </w:r>
            <w:r w:rsidR="00441478" w:rsidRPr="00EC7401">
              <w:rPr>
                <w:b/>
                <w:sz w:val="28"/>
                <w:szCs w:val="28"/>
              </w:rPr>
              <w:t>.</w:t>
            </w:r>
            <w:r w:rsidR="0061718D" w:rsidRPr="00EC740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7401" w:rsidRPr="00EC7401" w14:paraId="400BB5DB" w14:textId="77777777" w:rsidTr="00953C5B">
        <w:tc>
          <w:tcPr>
            <w:tcW w:w="2500" w:type="pct"/>
            <w:tcBorders>
              <w:top w:val="single" w:sz="4" w:space="0" w:color="auto"/>
            </w:tcBorders>
          </w:tcPr>
          <w:p w14:paraId="30578BE4" w14:textId="32859939" w:rsidR="00AC7EFB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lastRenderedPageBreak/>
              <w:t>13. Власний капітал фінансової компанії, до ліцензії якої включено право на надання двох чи більше видів фінансових послуг (крім надання гарантій та/або торгівлі валютними цінностями в готівковій формі), є достатнім, якщо його розмір не менший ніж 10 мільйонів гривень та додатково не менший ніж п’ять мільйонів гривень із розрахунку на кожен включений до ліцензії вид фінансових послуг, починаючи з другого.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2DAE2F9" w14:textId="7307116D" w:rsidR="00DB07D6" w:rsidRPr="00EC7401" w:rsidRDefault="00DB07D6" w:rsidP="005719F9">
            <w:pPr>
              <w:pStyle w:val="rvps2"/>
              <w:shd w:val="clear" w:color="auto" w:fill="FFFFFF"/>
              <w:tabs>
                <w:tab w:val="left" w:pos="826"/>
              </w:tabs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13. Відрахування </w:t>
            </w:r>
            <w:r w:rsidR="00AF1CD3" w:rsidRPr="00EC7401">
              <w:rPr>
                <w:b/>
                <w:sz w:val="28"/>
                <w:szCs w:val="28"/>
              </w:rPr>
              <w:t xml:space="preserve">із власного капіталу фінансової компанії </w:t>
            </w:r>
            <w:r w:rsidRPr="00EC7401">
              <w:rPr>
                <w:b/>
                <w:sz w:val="28"/>
                <w:szCs w:val="28"/>
              </w:rPr>
              <w:t xml:space="preserve">для цілей </w:t>
            </w:r>
            <w:r w:rsidR="00AF1CD3" w:rsidRPr="00EC7401">
              <w:rPr>
                <w:b/>
                <w:sz w:val="28"/>
                <w:szCs w:val="28"/>
              </w:rPr>
              <w:t xml:space="preserve">визначення </w:t>
            </w:r>
            <w:r w:rsidR="00347149" w:rsidRPr="00EC7401">
              <w:rPr>
                <w:b/>
                <w:sz w:val="28"/>
                <w:szCs w:val="28"/>
              </w:rPr>
              <w:t>достатності</w:t>
            </w:r>
            <w:r w:rsidR="00DE0491" w:rsidRPr="00EC7401">
              <w:rPr>
                <w:b/>
                <w:sz w:val="28"/>
                <w:szCs w:val="28"/>
              </w:rPr>
              <w:t xml:space="preserve"> її</w:t>
            </w:r>
            <w:r w:rsidR="00347149" w:rsidRPr="00EC7401">
              <w:rPr>
                <w:b/>
                <w:sz w:val="28"/>
                <w:szCs w:val="28"/>
              </w:rPr>
              <w:t xml:space="preserve"> власного капіталу</w:t>
            </w:r>
            <w:r w:rsidRPr="00EC7401">
              <w:rPr>
                <w:b/>
                <w:sz w:val="28"/>
                <w:szCs w:val="28"/>
              </w:rPr>
              <w:t xml:space="preserve"> </w:t>
            </w:r>
            <w:r w:rsidR="008F0612" w:rsidRPr="00EC7401">
              <w:rPr>
                <w:b/>
                <w:sz w:val="28"/>
                <w:szCs w:val="28"/>
              </w:rPr>
              <w:t xml:space="preserve"> </w:t>
            </w:r>
            <w:r w:rsidRPr="00EC7401">
              <w:rPr>
                <w:b/>
                <w:sz w:val="28"/>
                <w:szCs w:val="28"/>
              </w:rPr>
              <w:t>включають:</w:t>
            </w:r>
          </w:p>
          <w:p w14:paraId="200EF6F6" w14:textId="77777777" w:rsidR="00DB07D6" w:rsidRPr="00EC7401" w:rsidRDefault="00DB07D6" w:rsidP="005719F9">
            <w:pPr>
              <w:pStyle w:val="rvps2"/>
              <w:shd w:val="clear" w:color="auto" w:fill="FFFFFF"/>
              <w:tabs>
                <w:tab w:val="left" w:pos="826"/>
              </w:tabs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5703000E" w14:textId="77777777" w:rsidR="00DB07D6" w:rsidRPr="00EC7401" w:rsidRDefault="00DB07D6" w:rsidP="005719F9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543"/>
              </w:tabs>
              <w:spacing w:before="0" w:beforeAutospacing="0" w:after="0" w:afterAutospacing="0"/>
              <w:ind w:left="-24" w:firstLine="425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капітал у дооцінках;</w:t>
            </w:r>
          </w:p>
          <w:p w14:paraId="50B2ADE0" w14:textId="77777777" w:rsidR="00DB07D6" w:rsidRPr="00EC7401" w:rsidRDefault="00DB07D6" w:rsidP="005719F9">
            <w:pPr>
              <w:pStyle w:val="rvps2"/>
              <w:shd w:val="clear" w:color="auto" w:fill="FFFFFF"/>
              <w:tabs>
                <w:tab w:val="left" w:pos="826"/>
              </w:tabs>
              <w:spacing w:before="0" w:beforeAutospacing="0" w:after="0" w:afterAutospacing="0"/>
              <w:ind w:left="1044" w:firstLine="401"/>
              <w:jc w:val="both"/>
              <w:rPr>
                <w:b/>
                <w:sz w:val="28"/>
                <w:szCs w:val="28"/>
              </w:rPr>
            </w:pPr>
          </w:p>
          <w:p w14:paraId="6775A168" w14:textId="77777777" w:rsidR="000A458D" w:rsidRPr="00EC7401" w:rsidRDefault="00DB07D6" w:rsidP="005719F9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826"/>
                <w:tab w:val="left" w:pos="967"/>
              </w:tabs>
              <w:spacing w:before="0" w:beforeAutospacing="0" w:after="0" w:afterAutospacing="0"/>
              <w:ind w:left="0"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довгострокові фінансові інвестиції, які обліковуються за методом участі в капіталі інших підприємств</w:t>
            </w:r>
            <w:r w:rsidR="000A458D" w:rsidRPr="00EC7401">
              <w:rPr>
                <w:b/>
                <w:sz w:val="28"/>
                <w:szCs w:val="28"/>
              </w:rPr>
              <w:t>;</w:t>
            </w:r>
          </w:p>
          <w:p w14:paraId="09C596C9" w14:textId="77777777" w:rsidR="000A458D" w:rsidRPr="00EC7401" w:rsidRDefault="000A458D" w:rsidP="005719F9">
            <w:pPr>
              <w:pStyle w:val="a9"/>
              <w:tabs>
                <w:tab w:val="left" w:pos="826"/>
              </w:tabs>
              <w:ind w:firstLine="401"/>
              <w:rPr>
                <w:sz w:val="28"/>
                <w:szCs w:val="28"/>
              </w:rPr>
            </w:pPr>
          </w:p>
          <w:p w14:paraId="53D0CB58" w14:textId="77777777" w:rsidR="000A458D" w:rsidRPr="00EC7401" w:rsidRDefault="000A458D" w:rsidP="005719F9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826"/>
                <w:tab w:val="left" w:pos="967"/>
              </w:tabs>
              <w:spacing w:before="0" w:beforeAutospacing="0" w:after="0" w:afterAutospacing="0"/>
              <w:ind w:left="0"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резервний капітал, крім резервного капіталу, сформованого за рахунок прибутку / доходу;</w:t>
            </w:r>
          </w:p>
          <w:p w14:paraId="0C15C97C" w14:textId="77777777" w:rsidR="000A458D" w:rsidRPr="00EC7401" w:rsidRDefault="000A458D" w:rsidP="005719F9">
            <w:pPr>
              <w:pStyle w:val="a9"/>
              <w:tabs>
                <w:tab w:val="left" w:pos="826"/>
              </w:tabs>
              <w:ind w:firstLine="401"/>
              <w:rPr>
                <w:b/>
                <w:sz w:val="28"/>
                <w:szCs w:val="28"/>
              </w:rPr>
            </w:pPr>
          </w:p>
          <w:p w14:paraId="299E7C1A" w14:textId="3ADF5DB5" w:rsidR="008F0612" w:rsidRPr="00EC7401" w:rsidRDefault="000A458D" w:rsidP="005719F9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826"/>
                <w:tab w:val="left" w:pos="967"/>
              </w:tabs>
              <w:spacing w:before="0" w:beforeAutospacing="0" w:after="0" w:afterAutospacing="0"/>
              <w:ind w:left="0"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додатковий капітал, сформований за рахунок безоплатно отриманих необоротних активів та інших джерел</w:t>
            </w:r>
            <w:r w:rsidRPr="00EC7401">
              <w:rPr>
                <w:sz w:val="28"/>
                <w:szCs w:val="28"/>
              </w:rPr>
              <w:t xml:space="preserve">, </w:t>
            </w:r>
            <w:r w:rsidRPr="00EC7401">
              <w:rPr>
                <w:b/>
                <w:sz w:val="28"/>
                <w:szCs w:val="28"/>
              </w:rPr>
              <w:t>крім грошових внесків учасників (акціонерів)</w:t>
            </w:r>
            <w:r w:rsidRPr="00EC740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C7401">
              <w:rPr>
                <w:b/>
                <w:sz w:val="28"/>
                <w:szCs w:val="28"/>
              </w:rPr>
              <w:t>фінансової компанії</w:t>
            </w:r>
            <w:r w:rsidRPr="00EC7401">
              <w:rPr>
                <w:sz w:val="28"/>
                <w:szCs w:val="28"/>
              </w:rPr>
              <w:t>.</w:t>
            </w:r>
            <w:r w:rsidR="00F01C6B" w:rsidRPr="00EC7401">
              <w:rPr>
                <w:sz w:val="28"/>
                <w:szCs w:val="28"/>
              </w:rPr>
              <w:t xml:space="preserve"> </w:t>
            </w:r>
          </w:p>
        </w:tc>
      </w:tr>
      <w:tr w:rsidR="00EC7401" w:rsidRPr="00EC7401" w14:paraId="0183BB14" w14:textId="77777777" w:rsidTr="00C33E53">
        <w:tc>
          <w:tcPr>
            <w:tcW w:w="2500" w:type="pct"/>
          </w:tcPr>
          <w:p w14:paraId="0EB71445" w14:textId="0DD71BED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lastRenderedPageBreak/>
              <w:t>14. Власний капітал фінансової компанії, до ліцензії якої включено право на надання гарантій, а також право на надання інших фінансових послуг (крім торгівлі валютним цінностями в готівковій формі), є достатнім, якщо його розмір не менший ніж 20 мільйонів гривень та додатково не менший ніж п’ять мільйонів гривень із розрахунку на кожен включений до ліцензії вид фінансових послуг, починаючи з другого.</w:t>
            </w:r>
          </w:p>
        </w:tc>
        <w:tc>
          <w:tcPr>
            <w:tcW w:w="2500" w:type="pct"/>
          </w:tcPr>
          <w:p w14:paraId="3F1ECCA3" w14:textId="11529D58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14. </w:t>
            </w:r>
            <w:r w:rsidRPr="00EC7401">
              <w:rPr>
                <w:b/>
                <w:sz w:val="28"/>
                <w:szCs w:val="28"/>
                <w:shd w:val="clear" w:color="auto" w:fill="FFFFFF"/>
              </w:rPr>
              <w:t xml:space="preserve">Фінансова компанія для цілей визначення достатності свого власного капіталу враховує </w:t>
            </w:r>
            <w:proofErr w:type="spellStart"/>
            <w:r w:rsidRPr="00EC7401">
              <w:rPr>
                <w:b/>
                <w:sz w:val="28"/>
                <w:szCs w:val="28"/>
                <w:shd w:val="clear" w:color="auto" w:fill="FFFFFF"/>
              </w:rPr>
              <w:t>субординований</w:t>
            </w:r>
            <w:proofErr w:type="spellEnd"/>
            <w:r w:rsidRPr="00EC7401">
              <w:rPr>
                <w:b/>
                <w:sz w:val="28"/>
                <w:szCs w:val="28"/>
                <w:shd w:val="clear" w:color="auto" w:fill="FFFFFF"/>
              </w:rPr>
              <w:t xml:space="preserve"> борг </w:t>
            </w:r>
            <w:r w:rsidR="00296FAF" w:rsidRPr="00EC7401">
              <w:rPr>
                <w:b/>
                <w:sz w:val="28"/>
                <w:szCs w:val="28"/>
                <w:shd w:val="clear" w:color="auto" w:fill="FFFFFF"/>
              </w:rPr>
              <w:t>у</w:t>
            </w:r>
            <w:r w:rsidRPr="00EC7401">
              <w:rPr>
                <w:b/>
                <w:sz w:val="28"/>
                <w:szCs w:val="28"/>
                <w:shd w:val="clear" w:color="auto" w:fill="FFFFFF"/>
              </w:rPr>
              <w:t xml:space="preserve"> склад</w:t>
            </w:r>
            <w:r w:rsidR="00296FAF" w:rsidRPr="00EC7401">
              <w:rPr>
                <w:b/>
                <w:sz w:val="28"/>
                <w:szCs w:val="28"/>
                <w:shd w:val="clear" w:color="auto" w:fill="FFFFFF"/>
              </w:rPr>
              <w:t>і</w:t>
            </w:r>
            <w:r w:rsidRPr="00EC7401">
              <w:rPr>
                <w:b/>
                <w:sz w:val="28"/>
                <w:szCs w:val="28"/>
                <w:shd w:val="clear" w:color="auto" w:fill="FFFFFF"/>
              </w:rPr>
              <w:t xml:space="preserve"> власного капіталу (збільшує власний капітал на суму </w:t>
            </w:r>
            <w:proofErr w:type="spellStart"/>
            <w:r w:rsidRPr="00EC7401">
              <w:rPr>
                <w:b/>
                <w:sz w:val="28"/>
                <w:szCs w:val="28"/>
                <w:shd w:val="clear" w:color="auto" w:fill="FFFFFF"/>
              </w:rPr>
              <w:t>субординованого</w:t>
            </w:r>
            <w:proofErr w:type="spellEnd"/>
            <w:r w:rsidRPr="00EC7401">
              <w:rPr>
                <w:b/>
                <w:sz w:val="28"/>
                <w:szCs w:val="28"/>
                <w:shd w:val="clear" w:color="auto" w:fill="FFFFFF"/>
              </w:rPr>
              <w:t xml:space="preserve"> боргу)</w:t>
            </w:r>
            <w:r w:rsidRPr="00EC7401">
              <w:rPr>
                <w:b/>
                <w:sz w:val="28"/>
                <w:szCs w:val="28"/>
              </w:rPr>
              <w:t xml:space="preserve">, якщо  на дату розрахунку розміру свого власного капіталу фінансова компанія має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субординований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борг, щодо якого вона отримала в порядку, встановленому Положенням про авторизацію надавачів фінансових послуг та умови здійснення ними діяльності з надання фінансових послуг, затверджен</w:t>
            </w:r>
            <w:r w:rsidR="0030444C" w:rsidRPr="00EC7401">
              <w:rPr>
                <w:b/>
                <w:sz w:val="28"/>
                <w:szCs w:val="28"/>
              </w:rPr>
              <w:t>им</w:t>
            </w:r>
            <w:r w:rsidRPr="00EC7401">
              <w:rPr>
                <w:b/>
                <w:sz w:val="28"/>
                <w:szCs w:val="28"/>
              </w:rPr>
              <w:t xml:space="preserve"> постановою Правління Національного банку України від 29 грудня 2023 року № 199 (зі змінами), один із таких дозволів Національного банку:</w:t>
            </w:r>
          </w:p>
          <w:p w14:paraId="1B9D677A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</w:p>
          <w:p w14:paraId="00977A22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1</w:t>
            </w:r>
            <w:r w:rsidRPr="00EC7401">
              <w:rPr>
                <w:sz w:val="28"/>
                <w:szCs w:val="28"/>
              </w:rPr>
              <w:t xml:space="preserve">) на включення залучених коштів на умовах </w:t>
            </w:r>
            <w:proofErr w:type="spellStart"/>
            <w:r w:rsidRPr="00EC7401">
              <w:rPr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z w:val="28"/>
                <w:szCs w:val="28"/>
              </w:rPr>
              <w:t xml:space="preserve"> боргу до регулятивного капіталу;</w:t>
            </w:r>
          </w:p>
          <w:p w14:paraId="4E35106A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</w:p>
          <w:p w14:paraId="64C396D6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2)</w:t>
            </w:r>
            <w:r w:rsidRPr="00EC7401">
              <w:rPr>
                <w:sz w:val="28"/>
                <w:szCs w:val="28"/>
              </w:rPr>
              <w:t xml:space="preserve"> на включення залучених коштів на умовах </w:t>
            </w:r>
            <w:proofErr w:type="spellStart"/>
            <w:r w:rsidRPr="00EC7401">
              <w:rPr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z w:val="28"/>
                <w:szCs w:val="28"/>
              </w:rPr>
              <w:t xml:space="preserve"> боргу до регулятивного капіталу у зв’язку із заміною інвестора;</w:t>
            </w:r>
          </w:p>
          <w:p w14:paraId="3E7E7D5D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</w:p>
          <w:p w14:paraId="159C28A9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3)</w:t>
            </w:r>
            <w:r w:rsidRPr="00EC7401">
              <w:rPr>
                <w:sz w:val="28"/>
                <w:szCs w:val="28"/>
              </w:rPr>
              <w:t xml:space="preserve"> на врахування </w:t>
            </w:r>
            <w:proofErr w:type="spellStart"/>
            <w:r w:rsidRPr="00EC7401">
              <w:rPr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z w:val="28"/>
                <w:szCs w:val="28"/>
              </w:rPr>
              <w:t xml:space="preserve"> боргу фінансовою компанією у </w:t>
            </w:r>
            <w:proofErr w:type="spellStart"/>
            <w:r w:rsidRPr="00EC7401">
              <w:rPr>
                <w:sz w:val="28"/>
                <w:szCs w:val="28"/>
              </w:rPr>
              <w:t>пруденційних</w:t>
            </w:r>
            <w:proofErr w:type="spellEnd"/>
            <w:r w:rsidRPr="00EC7401">
              <w:rPr>
                <w:sz w:val="28"/>
                <w:szCs w:val="28"/>
              </w:rPr>
              <w:t xml:space="preserve"> вимогах;</w:t>
            </w:r>
          </w:p>
          <w:p w14:paraId="22D0A700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</w:p>
          <w:p w14:paraId="01E67784" w14:textId="2BEC01FF" w:rsidR="00461066" w:rsidRPr="00EC7401" w:rsidRDefault="00033EE4" w:rsidP="002417E6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4)</w:t>
            </w:r>
            <w:r w:rsidRPr="00EC7401">
              <w:rPr>
                <w:sz w:val="28"/>
                <w:szCs w:val="28"/>
              </w:rPr>
              <w:t xml:space="preserve"> на врахування </w:t>
            </w:r>
            <w:proofErr w:type="spellStart"/>
            <w:r w:rsidRPr="00EC7401">
              <w:rPr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z w:val="28"/>
                <w:szCs w:val="28"/>
              </w:rPr>
              <w:t xml:space="preserve"> боргу фінансовою компанією у </w:t>
            </w:r>
            <w:proofErr w:type="spellStart"/>
            <w:r w:rsidRPr="00EC7401">
              <w:rPr>
                <w:sz w:val="28"/>
                <w:szCs w:val="28"/>
              </w:rPr>
              <w:t>пруденційних</w:t>
            </w:r>
            <w:proofErr w:type="spellEnd"/>
            <w:r w:rsidRPr="00EC7401">
              <w:rPr>
                <w:sz w:val="28"/>
                <w:szCs w:val="28"/>
              </w:rPr>
              <w:t xml:space="preserve"> вимогах у зв’язку із заміною інвестора.</w:t>
            </w:r>
          </w:p>
        </w:tc>
      </w:tr>
      <w:tr w:rsidR="00EC7401" w:rsidRPr="00EC7401" w14:paraId="0359C128" w14:textId="77777777" w:rsidTr="00C33E53">
        <w:tc>
          <w:tcPr>
            <w:tcW w:w="2500" w:type="pct"/>
          </w:tcPr>
          <w:p w14:paraId="3B0DBB76" w14:textId="6B69DD91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lastRenderedPageBreak/>
              <w:t>15. Власний капітал фінансової компанії, до ліцензії якої включено право на торгівлю валютними цінностями в готівковій формі, а також право на надання інших фінансових послуг (крім надання гарантій), є достатнім, якщо його розмір не менший ніж 15 мільйонів гривень та додатково не менший ніж п’ять мільйонів гривень із розрахунку на кожен включений до ліцензії вид фінансових послуг, починаючи з другого.</w:t>
            </w:r>
          </w:p>
        </w:tc>
        <w:tc>
          <w:tcPr>
            <w:tcW w:w="2500" w:type="pct"/>
          </w:tcPr>
          <w:p w14:paraId="57751B20" w14:textId="75C4628B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15. Фінансова компанія, яка відповідно до вимог </w:t>
            </w:r>
            <w:r w:rsidRPr="00EC7401">
              <w:rPr>
                <w:rFonts w:eastAsiaTheme="minorEastAsia"/>
                <w:b/>
                <w:sz w:val="28"/>
                <w:szCs w:val="28"/>
              </w:rPr>
              <w:t>пункту 14</w:t>
            </w:r>
            <w:r w:rsidRPr="00EC7401">
              <w:rPr>
                <w:b/>
                <w:sz w:val="28"/>
                <w:szCs w:val="28"/>
              </w:rPr>
              <w:t xml:space="preserve">  цього Положення, врахувала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субординований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 </w:t>
            </w:r>
            <w:r w:rsidR="00296FAF" w:rsidRPr="00EC7401">
              <w:rPr>
                <w:b/>
                <w:sz w:val="28"/>
                <w:szCs w:val="28"/>
              </w:rPr>
              <w:t>у</w:t>
            </w:r>
            <w:r w:rsidRPr="00EC7401">
              <w:rPr>
                <w:b/>
                <w:sz w:val="28"/>
                <w:szCs w:val="28"/>
              </w:rPr>
              <w:t xml:space="preserve"> склад</w:t>
            </w:r>
            <w:r w:rsidR="00296FAF" w:rsidRPr="00EC7401">
              <w:rPr>
                <w:b/>
                <w:sz w:val="28"/>
                <w:szCs w:val="28"/>
              </w:rPr>
              <w:t>і</w:t>
            </w:r>
            <w:r w:rsidRPr="00EC7401">
              <w:rPr>
                <w:b/>
                <w:sz w:val="28"/>
                <w:szCs w:val="28"/>
              </w:rPr>
              <w:t xml:space="preserve"> власного капіталу, зменшує суму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боргу, врахованого </w:t>
            </w:r>
            <w:r w:rsidR="00296FAF" w:rsidRPr="00EC7401">
              <w:rPr>
                <w:b/>
                <w:sz w:val="28"/>
                <w:szCs w:val="28"/>
              </w:rPr>
              <w:t>у</w:t>
            </w:r>
            <w:r w:rsidRPr="00EC7401">
              <w:rPr>
                <w:b/>
                <w:sz w:val="28"/>
                <w:szCs w:val="28"/>
              </w:rPr>
              <w:t xml:space="preserve"> складу власного капіталу:</w:t>
            </w:r>
          </w:p>
          <w:p w14:paraId="31720F05" w14:textId="77777777" w:rsidR="000D2415" w:rsidRPr="00EC7401" w:rsidRDefault="000D2415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429E9189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1) на суму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боргу, яка була достроково погашена фінансовою компанією на дату розрахунку власного капіталу;</w:t>
            </w:r>
          </w:p>
          <w:p w14:paraId="584218B9" w14:textId="77777777" w:rsidR="00033EE4" w:rsidRPr="00EC7401" w:rsidRDefault="00033EE4" w:rsidP="00033EE4">
            <w:pPr>
              <w:pStyle w:val="rvps2"/>
              <w:shd w:val="clear" w:color="auto" w:fill="FFFFFF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</w:p>
          <w:p w14:paraId="00CAE903" w14:textId="367213E9" w:rsidR="00461066" w:rsidRPr="00EC7401" w:rsidRDefault="00033EE4" w:rsidP="00033EE4">
            <w:pPr>
              <w:pStyle w:val="a4"/>
              <w:spacing w:before="0" w:beforeAutospacing="0" w:after="0" w:afterAutospacing="0"/>
              <w:ind w:firstLine="401"/>
              <w:jc w:val="both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 xml:space="preserve">2) щорічно на 20 відсотків первинного або фактичного (у разі дострокового погашення певної суми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боргу) розміру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боргу протягом п’яти останніх років дії угоди (договору) про залучення </w:t>
            </w:r>
            <w:proofErr w:type="spellStart"/>
            <w:r w:rsidRPr="00EC7401">
              <w:rPr>
                <w:b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b/>
                <w:sz w:val="28"/>
                <w:szCs w:val="28"/>
              </w:rPr>
              <w:t xml:space="preserve"> боргу за графіком</w:t>
            </w:r>
            <w:r w:rsidR="0030444C" w:rsidRPr="00EC7401">
              <w:rPr>
                <w:b/>
                <w:sz w:val="28"/>
                <w:szCs w:val="28"/>
              </w:rPr>
              <w:t xml:space="preserve"> </w:t>
            </w:r>
            <w:r w:rsidR="0030444C" w:rsidRPr="00EC7401">
              <w:rPr>
                <w:b/>
                <w:bCs/>
                <w:sz w:val="28"/>
                <w:szCs w:val="28"/>
              </w:rPr>
              <w:t xml:space="preserve">зменшення суми </w:t>
            </w:r>
            <w:proofErr w:type="spellStart"/>
            <w:r w:rsidR="0030444C" w:rsidRPr="00EC7401">
              <w:rPr>
                <w:b/>
                <w:bCs/>
                <w:sz w:val="28"/>
                <w:szCs w:val="28"/>
              </w:rPr>
              <w:t>субординованого</w:t>
            </w:r>
            <w:proofErr w:type="spellEnd"/>
            <w:r w:rsidR="0030444C" w:rsidRPr="00EC7401">
              <w:rPr>
                <w:b/>
                <w:bCs/>
                <w:sz w:val="28"/>
                <w:szCs w:val="28"/>
              </w:rPr>
              <w:t xml:space="preserve"> боргу, що враховується у складі власного капіталу</w:t>
            </w:r>
            <w:r w:rsidRPr="00EC7401">
              <w:rPr>
                <w:b/>
                <w:sz w:val="28"/>
                <w:szCs w:val="28"/>
              </w:rPr>
              <w:t>, зазначеним у додатку до цього Положення.</w:t>
            </w:r>
          </w:p>
        </w:tc>
      </w:tr>
      <w:tr w:rsidR="00EC7401" w:rsidRPr="00EC7401" w14:paraId="4F297469" w14:textId="77777777" w:rsidTr="00C33E53">
        <w:tc>
          <w:tcPr>
            <w:tcW w:w="2500" w:type="pct"/>
          </w:tcPr>
          <w:p w14:paraId="2553BD54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trike/>
                <w:sz w:val="28"/>
                <w:szCs w:val="28"/>
              </w:rPr>
            </w:pPr>
            <w:r w:rsidRPr="00EC7401">
              <w:rPr>
                <w:b/>
                <w:strike/>
                <w:sz w:val="28"/>
                <w:szCs w:val="28"/>
              </w:rPr>
              <w:t>16. Власний капітал фінансової компанії, до ліцензії якої включено право на надання гарантій та на торгівлю валютними цінностями в готівковій формі, а також право на надання інших фінансових послуг, є достатнім, якщо його розмір не менший ніж 35 мільйонів гривень та додатково не менший ніж п’ять мільйонів гривень із розрахунку на кожен включений до ліцензії вид фінансових послуг, починаючи з третього.</w:t>
            </w:r>
          </w:p>
        </w:tc>
        <w:tc>
          <w:tcPr>
            <w:tcW w:w="2500" w:type="pct"/>
          </w:tcPr>
          <w:p w14:paraId="1892FB6B" w14:textId="77777777" w:rsidR="00441478" w:rsidRPr="00EC7401" w:rsidRDefault="00441478" w:rsidP="00887477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14:paraId="59C3FF64" w14:textId="1EC2AF27" w:rsidR="00461066" w:rsidRPr="00EC7401" w:rsidRDefault="00441478" w:rsidP="0088747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7401">
              <w:rPr>
                <w:b/>
                <w:sz w:val="28"/>
                <w:szCs w:val="28"/>
              </w:rPr>
              <w:t>Виключено (перенесено до підпункту 7 пункту 12)</w:t>
            </w:r>
          </w:p>
        </w:tc>
      </w:tr>
      <w:tr w:rsidR="00EC7401" w:rsidRPr="00EC7401" w14:paraId="0ADF4B66" w14:textId="77777777" w:rsidTr="00C33E53">
        <w:tc>
          <w:tcPr>
            <w:tcW w:w="2500" w:type="pct"/>
          </w:tcPr>
          <w:p w14:paraId="0463B079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b/>
                <w:strike/>
                <w:sz w:val="28"/>
                <w:szCs w:val="28"/>
              </w:rPr>
            </w:pPr>
            <w:bookmarkStart w:id="9" w:name="n46"/>
            <w:bookmarkStart w:id="10" w:name="n47"/>
            <w:bookmarkStart w:id="11" w:name="n83"/>
            <w:bookmarkStart w:id="12" w:name="n48"/>
            <w:bookmarkStart w:id="13" w:name="n49"/>
            <w:bookmarkEnd w:id="9"/>
            <w:bookmarkEnd w:id="10"/>
            <w:bookmarkEnd w:id="11"/>
            <w:bookmarkEnd w:id="12"/>
            <w:bookmarkEnd w:id="13"/>
            <w:r w:rsidRPr="00EC7401">
              <w:rPr>
                <w:b/>
                <w:strike/>
                <w:sz w:val="28"/>
                <w:szCs w:val="28"/>
              </w:rPr>
              <w:lastRenderedPageBreak/>
              <w:t>17. Фінансова компанія, у якої розмір власного капіталу менший, ніж достатній розмір, визначений в пунктах 12-16 цього Положення, вважається такою, що виконує вимоги пунктів 12-16 цього Положення (у разі поширення відповідної вимоги на фінансову компанію), якщо одночасно:</w:t>
            </w:r>
          </w:p>
          <w:p w14:paraId="7F75BAA4" w14:textId="77777777" w:rsidR="006C03DD" w:rsidRPr="00EC7401" w:rsidRDefault="006C03DD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b/>
                <w:strike/>
                <w:sz w:val="28"/>
                <w:szCs w:val="28"/>
              </w:rPr>
            </w:pPr>
            <w:bookmarkStart w:id="14" w:name="n50"/>
            <w:bookmarkEnd w:id="14"/>
          </w:p>
          <w:p w14:paraId="6286179E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b/>
                <w:strike/>
                <w:sz w:val="28"/>
                <w:szCs w:val="28"/>
              </w:rPr>
            </w:pPr>
            <w:r w:rsidRPr="00EC7401">
              <w:rPr>
                <w:b/>
                <w:strike/>
                <w:sz w:val="28"/>
                <w:szCs w:val="28"/>
              </w:rPr>
              <w:t xml:space="preserve">1) має на дату розрахунку розміру свого власного капіталу </w:t>
            </w:r>
            <w:proofErr w:type="spellStart"/>
            <w:r w:rsidRPr="00EC7401">
              <w:rPr>
                <w:b/>
                <w:strike/>
                <w:sz w:val="28"/>
                <w:szCs w:val="28"/>
              </w:rPr>
              <w:t>субординований</w:t>
            </w:r>
            <w:proofErr w:type="spellEnd"/>
            <w:r w:rsidRPr="00EC7401">
              <w:rPr>
                <w:b/>
                <w:strike/>
                <w:sz w:val="28"/>
                <w:szCs w:val="28"/>
              </w:rPr>
              <w:t xml:space="preserve"> борг, щодо якого фінансова компанія отримала в порядку, встановленому нормативно-правовим актом Національного банку з питань авторизації надавачів фінансових послуг, один із таких дозволів Національного банку:</w:t>
            </w:r>
          </w:p>
          <w:p w14:paraId="4D44F3EC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trike/>
                <w:sz w:val="28"/>
                <w:szCs w:val="28"/>
              </w:rPr>
            </w:pPr>
            <w:bookmarkStart w:id="15" w:name="n51"/>
            <w:bookmarkEnd w:id="15"/>
            <w:r w:rsidRPr="00EC7401">
              <w:rPr>
                <w:strike/>
                <w:sz w:val="28"/>
                <w:szCs w:val="28"/>
              </w:rPr>
              <w:t xml:space="preserve">на включення залучених коштів на умовах </w:t>
            </w:r>
            <w:proofErr w:type="spellStart"/>
            <w:r w:rsidRPr="00EC7401">
              <w:rPr>
                <w:strike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trike/>
                <w:sz w:val="28"/>
                <w:szCs w:val="28"/>
              </w:rPr>
              <w:t xml:space="preserve"> боргу до регулятивного капіталу;</w:t>
            </w:r>
          </w:p>
          <w:p w14:paraId="694E714F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trike/>
                <w:sz w:val="28"/>
                <w:szCs w:val="28"/>
              </w:rPr>
            </w:pPr>
            <w:bookmarkStart w:id="16" w:name="n52"/>
            <w:bookmarkEnd w:id="16"/>
            <w:r w:rsidRPr="00EC7401">
              <w:rPr>
                <w:strike/>
                <w:sz w:val="28"/>
                <w:szCs w:val="28"/>
              </w:rPr>
              <w:t xml:space="preserve">на включення залучених коштів на умовах </w:t>
            </w:r>
            <w:proofErr w:type="spellStart"/>
            <w:r w:rsidRPr="00EC7401">
              <w:rPr>
                <w:strike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trike/>
                <w:sz w:val="28"/>
                <w:szCs w:val="28"/>
              </w:rPr>
              <w:t xml:space="preserve"> боргу до регулятивного капіталу у зв’язку із заміною інвестора;</w:t>
            </w:r>
          </w:p>
          <w:p w14:paraId="015DD5F8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trike/>
                <w:sz w:val="28"/>
                <w:szCs w:val="28"/>
              </w:rPr>
            </w:pPr>
            <w:bookmarkStart w:id="17" w:name="n53"/>
            <w:bookmarkEnd w:id="17"/>
            <w:r w:rsidRPr="00EC7401">
              <w:rPr>
                <w:strike/>
                <w:sz w:val="28"/>
                <w:szCs w:val="28"/>
              </w:rPr>
              <w:t xml:space="preserve">на врахування </w:t>
            </w:r>
            <w:proofErr w:type="spellStart"/>
            <w:r w:rsidRPr="00EC7401">
              <w:rPr>
                <w:strike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trike/>
                <w:sz w:val="28"/>
                <w:szCs w:val="28"/>
              </w:rPr>
              <w:t xml:space="preserve"> боргу фінансовою компанією у </w:t>
            </w:r>
            <w:proofErr w:type="spellStart"/>
            <w:r w:rsidRPr="00EC7401">
              <w:rPr>
                <w:strike/>
                <w:sz w:val="28"/>
                <w:szCs w:val="28"/>
              </w:rPr>
              <w:t>пруденційних</w:t>
            </w:r>
            <w:proofErr w:type="spellEnd"/>
            <w:r w:rsidRPr="00EC7401">
              <w:rPr>
                <w:strike/>
                <w:sz w:val="28"/>
                <w:szCs w:val="28"/>
              </w:rPr>
              <w:t xml:space="preserve"> вимогах;</w:t>
            </w:r>
          </w:p>
          <w:p w14:paraId="07E63EA6" w14:textId="77777777" w:rsidR="00461066" w:rsidRPr="00EC7401" w:rsidRDefault="00461066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trike/>
                <w:sz w:val="28"/>
                <w:szCs w:val="28"/>
              </w:rPr>
            </w:pPr>
            <w:bookmarkStart w:id="18" w:name="n54"/>
            <w:bookmarkEnd w:id="18"/>
            <w:r w:rsidRPr="00EC7401">
              <w:rPr>
                <w:strike/>
                <w:sz w:val="28"/>
                <w:szCs w:val="28"/>
              </w:rPr>
              <w:t xml:space="preserve">на врахування </w:t>
            </w:r>
            <w:proofErr w:type="spellStart"/>
            <w:r w:rsidRPr="00EC7401">
              <w:rPr>
                <w:strike/>
                <w:sz w:val="28"/>
                <w:szCs w:val="28"/>
              </w:rPr>
              <w:t>субординованого</w:t>
            </w:r>
            <w:proofErr w:type="spellEnd"/>
            <w:r w:rsidRPr="00EC7401">
              <w:rPr>
                <w:strike/>
                <w:sz w:val="28"/>
                <w:szCs w:val="28"/>
              </w:rPr>
              <w:t xml:space="preserve"> боргу фінансовою компанією у </w:t>
            </w:r>
            <w:proofErr w:type="spellStart"/>
            <w:r w:rsidRPr="00EC7401">
              <w:rPr>
                <w:strike/>
                <w:sz w:val="28"/>
                <w:szCs w:val="28"/>
              </w:rPr>
              <w:t>пруденційних</w:t>
            </w:r>
            <w:proofErr w:type="spellEnd"/>
            <w:r w:rsidRPr="00EC7401">
              <w:rPr>
                <w:strike/>
                <w:sz w:val="28"/>
                <w:szCs w:val="28"/>
              </w:rPr>
              <w:t xml:space="preserve"> вимогах у зв’язку із заміною інвестора;</w:t>
            </w:r>
          </w:p>
          <w:p w14:paraId="26FE1896" w14:textId="77777777" w:rsidR="006C03DD" w:rsidRPr="00EC7401" w:rsidRDefault="006C03DD" w:rsidP="005719F9">
            <w:pPr>
              <w:pStyle w:val="a4"/>
              <w:spacing w:before="0" w:beforeAutospacing="0" w:after="0" w:afterAutospacing="0"/>
              <w:ind w:firstLine="306"/>
              <w:jc w:val="both"/>
              <w:rPr>
                <w:strike/>
                <w:sz w:val="28"/>
                <w:szCs w:val="28"/>
                <w:shd w:val="clear" w:color="auto" w:fill="FFFFFF"/>
              </w:rPr>
            </w:pPr>
            <w:bookmarkStart w:id="19" w:name="n55"/>
            <w:bookmarkEnd w:id="19"/>
          </w:p>
          <w:p w14:paraId="7D01ECE5" w14:textId="77777777" w:rsidR="0036703E" w:rsidRPr="00EC7401" w:rsidRDefault="006C03DD" w:rsidP="005719F9">
            <w:pPr>
              <w:pStyle w:val="a4"/>
              <w:spacing w:before="0" w:beforeAutospacing="0" w:after="0" w:afterAutospacing="0"/>
              <w:ind w:firstLine="306"/>
              <w:jc w:val="both"/>
              <w:rPr>
                <w:b/>
                <w:strike/>
                <w:sz w:val="28"/>
                <w:szCs w:val="28"/>
              </w:rPr>
            </w:pPr>
            <w:r w:rsidRPr="00EC7401">
              <w:rPr>
                <w:b/>
                <w:strike/>
                <w:sz w:val="28"/>
                <w:szCs w:val="28"/>
                <w:shd w:val="clear" w:color="auto" w:fill="FFFFFF"/>
              </w:rPr>
              <w:t xml:space="preserve">2) різниця між достатнім та наявним розміром власного капіталу фінансової компанії не перевищує суми </w:t>
            </w:r>
            <w:proofErr w:type="spellStart"/>
            <w:r w:rsidRPr="00EC7401">
              <w:rPr>
                <w:b/>
                <w:strike/>
                <w:sz w:val="28"/>
                <w:szCs w:val="28"/>
                <w:shd w:val="clear" w:color="auto" w:fill="FFFFFF"/>
              </w:rPr>
              <w:lastRenderedPageBreak/>
              <w:t>субординованого</w:t>
            </w:r>
            <w:proofErr w:type="spellEnd"/>
            <w:r w:rsidRPr="00EC7401">
              <w:rPr>
                <w:b/>
                <w:strike/>
                <w:sz w:val="28"/>
                <w:szCs w:val="28"/>
                <w:shd w:val="clear" w:color="auto" w:fill="FFFFFF"/>
              </w:rPr>
              <w:t xml:space="preserve"> боргу, зазначеного в підпункті 1 пункту 17 цього Положення.</w:t>
            </w:r>
          </w:p>
        </w:tc>
        <w:tc>
          <w:tcPr>
            <w:tcW w:w="2500" w:type="pct"/>
          </w:tcPr>
          <w:p w14:paraId="118E0753" w14:textId="3F51E14B" w:rsidR="006C03DD" w:rsidRPr="00EC7401" w:rsidRDefault="00033EE4" w:rsidP="00033EE4">
            <w:pPr>
              <w:pStyle w:val="a4"/>
              <w:spacing w:before="0" w:beforeAutospacing="0" w:after="0" w:afterAutospacing="0"/>
              <w:ind w:firstLine="401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C7401">
              <w:rPr>
                <w:b/>
                <w:sz w:val="28"/>
                <w:szCs w:val="28"/>
                <w:shd w:val="clear" w:color="auto" w:fill="FFFFFF"/>
              </w:rPr>
              <w:lastRenderedPageBreak/>
              <w:t>Виключено (перенесено до пункту 14)</w:t>
            </w:r>
          </w:p>
          <w:p w14:paraId="10BBACC2" w14:textId="5E83C918" w:rsidR="006D6D5A" w:rsidRPr="00EC7401" w:rsidRDefault="006D6D5A" w:rsidP="005719F9">
            <w:pPr>
              <w:pStyle w:val="a4"/>
              <w:spacing w:before="0" w:beforeAutospacing="0" w:after="0" w:afterAutospacing="0"/>
              <w:ind w:firstLine="401"/>
              <w:jc w:val="both"/>
              <w:rPr>
                <w:strike/>
                <w:sz w:val="28"/>
                <w:szCs w:val="28"/>
              </w:rPr>
            </w:pPr>
          </w:p>
        </w:tc>
      </w:tr>
      <w:tr w:rsidR="00EC7401" w:rsidRPr="00EC7401" w14:paraId="71EAF136" w14:textId="77777777" w:rsidTr="00C33E53">
        <w:tc>
          <w:tcPr>
            <w:tcW w:w="2500" w:type="pct"/>
          </w:tcPr>
          <w:p w14:paraId="30F919F0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18. </w:t>
            </w:r>
            <w:bookmarkStart w:id="20" w:name="n430"/>
            <w:bookmarkStart w:id="21" w:name="n431"/>
            <w:bookmarkStart w:id="22" w:name="n432"/>
            <w:bookmarkStart w:id="23" w:name="n32"/>
            <w:bookmarkStart w:id="24" w:name="n33"/>
            <w:bookmarkEnd w:id="20"/>
            <w:bookmarkEnd w:id="21"/>
            <w:bookmarkEnd w:id="22"/>
            <w:bookmarkEnd w:id="23"/>
            <w:bookmarkEnd w:id="24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Норматив левериджу розраховується за такою формулою:</w:t>
            </w:r>
          </w:p>
          <w:p w14:paraId="5F64E13B" w14:textId="77777777" w:rsidR="00C33E53" w:rsidRPr="00EC7401" w:rsidRDefault="00C33E53" w:rsidP="005719F9">
            <w:pPr>
              <w:shd w:val="clear" w:color="auto" w:fill="FFFFFF"/>
              <w:tabs>
                <w:tab w:val="left" w:pos="0"/>
              </w:tabs>
              <w:ind w:firstLine="306"/>
              <w:jc w:val="center"/>
            </w:pPr>
          </w:p>
          <w:p w14:paraId="3C21747E" w14:textId="77777777" w:rsidR="00C33E53" w:rsidRPr="00EC7401" w:rsidRDefault="00543E98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ЗК+РК-НК-ВК-ЗБ+НПР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ДЗ+ПЗ+ЗН+ГН+0,4×НБКЛ+ПАА+ІП3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×100</m:t>
                </m:r>
                <m:r>
                  <m:rPr>
                    <m:lit/>
                    <m:nor/>
                  </m:rPr>
                  <w:rPr>
                    <w:b/>
                    <w:strike/>
                    <w:sz w:val="28"/>
                    <w:szCs w:val="28"/>
                  </w:rPr>
                  <m:t>%</m:t>
                </m:r>
                <m:r>
                  <m:rPr>
                    <m:lit/>
                    <m:nor/>
                  </m:rPr>
                  <w:rPr>
                    <w:sz w:val="28"/>
                    <w:szCs w:val="28"/>
                  </w:rPr>
                  <m:t xml:space="preserve">, </m:t>
                </m:r>
              </m:oMath>
            </m:oMathPara>
          </w:p>
          <w:p w14:paraId="6A7EDA5D" w14:textId="77777777" w:rsidR="00C33E53" w:rsidRPr="00EC7401" w:rsidRDefault="00C33E53" w:rsidP="005719F9">
            <w:pPr>
              <w:shd w:val="clear" w:color="auto" w:fill="FFFFFF"/>
              <w:tabs>
                <w:tab w:val="left" w:pos="709"/>
              </w:tabs>
              <w:ind w:firstLine="306"/>
            </w:pPr>
            <w:r w:rsidRPr="00EC7401">
              <w:t xml:space="preserve"> </w:t>
            </w:r>
          </w:p>
          <w:p w14:paraId="1F8C24C3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    ЗК – зареєстрований (пайовий) капітал;</w:t>
            </w:r>
          </w:p>
          <w:p w14:paraId="5E6B13CC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РК – резервний капітал;</w:t>
            </w:r>
          </w:p>
          <w:p w14:paraId="4CE35379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НК – неоплачений капітал;</w:t>
            </w:r>
          </w:p>
          <w:p w14:paraId="4806250B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ВК – вилучений капітал;</w:t>
            </w:r>
          </w:p>
          <w:p w14:paraId="2EC7F9E7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 – непокритий збиток;</w:t>
            </w:r>
          </w:p>
          <w:p w14:paraId="48CAE3C4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НПР – нерозподілений прибуток за рік. Фінансова компанія має право включити НПР до розрахунку нормативу левериджу в розмірі та з дотриманням вимог, зазначених у пункті 21 або 22 цього Положення;</w:t>
            </w:r>
          </w:p>
          <w:p w14:paraId="2A90AFAB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ДЗ – довгострокові зобов’язання і забезпечення;</w:t>
            </w:r>
          </w:p>
          <w:p w14:paraId="0BB00851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ПЗ – поточні зобов’язання і забезпечення;</w:t>
            </w:r>
          </w:p>
          <w:p w14:paraId="7B3BD30E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 – зобов’язання, пов’язані з необоротними активами, утримуваними для продажу, та групами вибуття;</w:t>
            </w:r>
          </w:p>
          <w:p w14:paraId="411CB2CD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ГН – </w:t>
            </w:r>
            <w:r w:rsidRPr="00EC7401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uk-UA"/>
              </w:rPr>
              <w:t>залишкова вартість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наданих гарантій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05043FEA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НБКЛ – залишкова вартість наданих безвідкличних кредитних лімітів</w:t>
            </w:r>
            <w:r w:rsidRPr="00EC7401" w:rsidDel="00CD42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[сума, у межах якої фінансова компанія взяла на себе безвідкличне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зобовʼязання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перед позичальником надати йому кредит (включаючи безвідкличне зобов’язання надати кредит у вигляді 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відновлюваної кредитної лінії) повністю або частинами протягом строку кредитування, зменшена на фактично надані позичальнику суми кредиту];</w:t>
            </w:r>
          </w:p>
          <w:p w14:paraId="0F149488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ПАА – залишкова вартість наданих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поручительств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акцептів та авалів;</w:t>
            </w:r>
          </w:p>
          <w:p w14:paraId="2392D271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ІПЗ – інші позабалансові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зобовʼязання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43A4489B" w14:textId="77777777" w:rsidR="00C33E53" w:rsidRPr="00EC7401" w:rsidRDefault="00C33E53" w:rsidP="005719F9">
            <w:pPr>
              <w:pStyle w:val="rvps2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14:paraId="5D361DB8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18. Норматив левериджу розраховується за такою формулою:</w:t>
            </w:r>
          </w:p>
          <w:p w14:paraId="001F1695" w14:textId="77777777" w:rsidR="00C33E53" w:rsidRPr="00EC7401" w:rsidRDefault="00C33E53" w:rsidP="005719F9">
            <w:pPr>
              <w:shd w:val="clear" w:color="auto" w:fill="FFFFFF"/>
              <w:tabs>
                <w:tab w:val="left" w:pos="0"/>
              </w:tabs>
              <w:ind w:firstLine="401"/>
              <w:jc w:val="center"/>
            </w:pPr>
          </w:p>
          <w:p w14:paraId="43B1F379" w14:textId="2BE08C1C" w:rsidR="00C33E53" w:rsidRPr="00EC7401" w:rsidRDefault="00543E98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ЗК+РК-НК-ВК-ЗБ+НПР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ДЗ+ПЗ+ЗН+ГН+0,4×НБКЛ+ПАА+ІП3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8"/>
                    <w:szCs w:val="28"/>
                  </w:rPr>
                  <m:t xml:space="preserve">, </m:t>
                </m:r>
              </m:oMath>
            </m:oMathPara>
          </w:p>
          <w:p w14:paraId="1CD63C48" w14:textId="77777777" w:rsidR="00C33E53" w:rsidRPr="00EC7401" w:rsidRDefault="00C33E53" w:rsidP="005719F9">
            <w:pPr>
              <w:shd w:val="clear" w:color="auto" w:fill="FFFFFF"/>
              <w:tabs>
                <w:tab w:val="left" w:pos="709"/>
              </w:tabs>
              <w:ind w:firstLine="401"/>
            </w:pPr>
            <w:r w:rsidRPr="00EC7401">
              <w:t xml:space="preserve"> </w:t>
            </w:r>
          </w:p>
          <w:p w14:paraId="61D3576B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    ЗК – зареєстрований (пайовий) капітал;</w:t>
            </w:r>
          </w:p>
          <w:p w14:paraId="03CD85BB" w14:textId="606BE28A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РК – </w:t>
            </w:r>
            <w:r w:rsidR="000A458D" w:rsidRPr="00EC740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резервний капітал, сформований за рахунок прибутку / доходу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7E9012F3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НК – неоплачений капітал;</w:t>
            </w:r>
          </w:p>
          <w:p w14:paraId="7833E112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ВК – вилучений капітал;</w:t>
            </w:r>
          </w:p>
          <w:p w14:paraId="794E65D9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 – непокритий збиток;</w:t>
            </w:r>
          </w:p>
          <w:p w14:paraId="4FA62ED7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НПР – нерозподілений прибуток за рік. Фінансова компанія має право включити НПР до розрахунку нормативу левериджу в розмірі та з дотриманням вимог, зазначених у пункті 21 або 22 цього Положення;</w:t>
            </w:r>
          </w:p>
          <w:p w14:paraId="355FD56F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ДЗ – довгострокові зобов’язання і забезпечення;</w:t>
            </w:r>
          </w:p>
          <w:p w14:paraId="388BC94F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ПЗ – поточні зобов’язання і забезпечення;</w:t>
            </w:r>
          </w:p>
          <w:p w14:paraId="65B6A833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 – зобов’язання, пов’язані з необоротними активами, утримуваними для продажу, та групами вибуття;</w:t>
            </w:r>
          </w:p>
          <w:p w14:paraId="2B5F97D4" w14:textId="25DEB634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ГН –  </w:t>
            </w:r>
            <w:r w:rsidR="00FD00F7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сума 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наданих гарантій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0D5057B1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НБКЛ – залишкова вартість наданих безвідкличних кредитних лімітів</w:t>
            </w:r>
            <w:r w:rsidRPr="00EC7401" w:rsidDel="00CD42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[сума, у межах якої фінансова компанія взяла на себе безвідкличне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зобовʼязання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перед позичальником надати йому кредит (включаючи </w:t>
            </w: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безвідкличне зобов’язання надати кредит у вигляді відновлюваної кредитної лінії) повністю або частинами протягом строку кредитування, зменшена на фактично надані позичальнику суми кредиту];</w:t>
            </w:r>
          </w:p>
          <w:p w14:paraId="5E40D334" w14:textId="77777777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ПАА – залишкова вартість наданих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поручительств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акцептів та авалів;</w:t>
            </w:r>
          </w:p>
          <w:p w14:paraId="10824DAF" w14:textId="5D44B872" w:rsidR="00C33E53" w:rsidRPr="00EC7401" w:rsidRDefault="00C33E53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401"/>
              <w:jc w:val="both"/>
              <w:rPr>
                <w:sz w:val="28"/>
                <w:szCs w:val="28"/>
              </w:rPr>
            </w:pPr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ІПЗ – інші позабалансові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зобовʼязання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36166E" w:rsidRPr="00EC7401" w14:paraId="46DF6073" w14:textId="77777777" w:rsidTr="00C33E53">
        <w:tc>
          <w:tcPr>
            <w:tcW w:w="2500" w:type="pct"/>
          </w:tcPr>
          <w:p w14:paraId="09996129" w14:textId="77777777" w:rsidR="0036166E" w:rsidRPr="00EC7401" w:rsidRDefault="0036166E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BB329B8" w14:textId="101CCA2D" w:rsidR="00E824CE" w:rsidRPr="00EC7401" w:rsidRDefault="00E824CE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firstLine="3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Відсутній</w:t>
            </w:r>
          </w:p>
        </w:tc>
        <w:tc>
          <w:tcPr>
            <w:tcW w:w="2500" w:type="pct"/>
          </w:tcPr>
          <w:p w14:paraId="6BEE519A" w14:textId="5F8F34C7" w:rsidR="00E824CE" w:rsidRPr="00EC7401" w:rsidRDefault="00E824CE" w:rsidP="00B56304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left="4086" w:right="282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74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Додаток </w:t>
            </w:r>
            <w:r w:rsidRPr="00EC74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C74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до Положення про </w:t>
            </w:r>
            <w:proofErr w:type="spellStart"/>
            <w:r w:rsidRPr="00EC74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пруденційні</w:t>
            </w:r>
            <w:proofErr w:type="spellEnd"/>
            <w:r w:rsidRPr="00EC74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вимоги до фінансових компаній</w:t>
            </w:r>
            <w:r w:rsidRPr="00EC74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C74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(підпункт 2 пункту 15)</w:t>
            </w:r>
          </w:p>
          <w:p w14:paraId="6A7B42C7" w14:textId="77777777" w:rsidR="00887477" w:rsidRPr="00EC7401" w:rsidRDefault="00887477" w:rsidP="005719F9">
            <w:pPr>
              <w:shd w:val="clear" w:color="auto" w:fill="FFFFFF"/>
              <w:ind w:left="450" w:right="450" w:firstLine="4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542A4541" w14:textId="0BA8AF78" w:rsidR="00E824CE" w:rsidRPr="00EC7401" w:rsidRDefault="00E824CE" w:rsidP="005719F9">
            <w:pPr>
              <w:shd w:val="clear" w:color="auto" w:fill="FFFFFF"/>
              <w:ind w:left="450" w:right="450" w:firstLine="4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  <w:r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зменшення суми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боргу, що враховується </w:t>
            </w:r>
            <w:r w:rsidR="00296FAF"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склад</w:t>
            </w:r>
            <w:r w:rsidR="00296FAF"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  <w:r w:rsidRPr="00EC7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власного капіталу</w:t>
            </w:r>
          </w:p>
          <w:p w14:paraId="39C8C72C" w14:textId="2D0A961E" w:rsidR="00E824CE" w:rsidRPr="00EC7401" w:rsidRDefault="00E824CE" w:rsidP="005719F9">
            <w:pPr>
              <w:shd w:val="clear" w:color="auto" w:fill="FFFFFF"/>
              <w:ind w:left="4936" w:right="-2" w:firstLine="4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Таблиця</w:t>
            </w:r>
          </w:p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3825"/>
              <w:gridCol w:w="2799"/>
            </w:tblGrid>
            <w:tr w:rsidR="00EC7401" w:rsidRPr="00EC7401" w14:paraId="6584693F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672C66B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№ з/п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32BF41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Строк до закінчення дії угоди (договору) про залучення </w:t>
                  </w:r>
                  <w:proofErr w:type="spellStart"/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субординованого</w:t>
                  </w:r>
                  <w:proofErr w:type="spellEnd"/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боргу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DFE5EC" w14:textId="46E1868B" w:rsidR="00E824CE" w:rsidRPr="00EC7401" w:rsidRDefault="00E824CE" w:rsidP="00296FAF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Сума </w:t>
                  </w:r>
                  <w:proofErr w:type="spellStart"/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субординованого</w:t>
                  </w:r>
                  <w:proofErr w:type="spellEnd"/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боргу, що враховується </w:t>
                  </w:r>
                  <w:r w:rsidR="00296FAF"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у </w:t>
                  </w: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склад</w:t>
                  </w:r>
                  <w:r w:rsidR="00296FAF"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і</w:t>
                  </w: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власного капіталу</w:t>
                  </w:r>
                </w:p>
              </w:tc>
            </w:tr>
            <w:tr w:rsidR="00EC7401" w:rsidRPr="00EC7401" w14:paraId="27086608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C67FEA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25E850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4DF04B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</w:tr>
            <w:tr w:rsidR="00EC7401" w:rsidRPr="00EC7401" w14:paraId="01EBA522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83F1342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1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D26FFD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Більше чотирьох років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21F32C7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100</w:t>
                  </w:r>
                </w:p>
              </w:tc>
            </w:tr>
            <w:tr w:rsidR="00EC7401" w:rsidRPr="00EC7401" w14:paraId="62EBA6F8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82ABC9B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lastRenderedPageBreak/>
                    <w:t>2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925A13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Від чотирьох до трьох років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965FF2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80</w:t>
                  </w:r>
                </w:p>
              </w:tc>
            </w:tr>
            <w:tr w:rsidR="00EC7401" w:rsidRPr="00EC7401" w14:paraId="672606F7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71730E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579655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Від трьох до двох років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2F2832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60</w:t>
                  </w:r>
                </w:p>
              </w:tc>
            </w:tr>
            <w:tr w:rsidR="00EC7401" w:rsidRPr="00EC7401" w14:paraId="26025EAC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8E614DD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4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BB21AC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Від двох до одного року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07B6F3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40</w:t>
                  </w:r>
                </w:p>
              </w:tc>
            </w:tr>
            <w:tr w:rsidR="00EC7401" w:rsidRPr="00EC7401" w14:paraId="0F99C838" w14:textId="77777777" w:rsidTr="00945424"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F6B085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5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DEB575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Менше одного року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FE42CDC" w14:textId="77777777" w:rsidR="00E824CE" w:rsidRPr="00EC7401" w:rsidRDefault="00E824CE" w:rsidP="005719F9">
                  <w:pPr>
                    <w:spacing w:after="0" w:line="240" w:lineRule="auto"/>
                    <w:ind w:firstLine="4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EC74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20</w:t>
                  </w:r>
                </w:p>
              </w:tc>
            </w:tr>
          </w:tbl>
          <w:p w14:paraId="4A71EF16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434EF27" w14:textId="344B5E6B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1. Приклад № 1.</w:t>
            </w:r>
          </w:p>
          <w:p w14:paraId="4DC75F3E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Строк, на який фінансова компанія залучила кошти на умовах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становить сім років (з 01 лютого 2020 року до 31 січня 2027 року).</w:t>
            </w:r>
          </w:p>
          <w:p w14:paraId="749DB093" w14:textId="54F368FF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Сума залучених коштів на умовах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на яку отримано </w:t>
            </w:r>
            <w:r w:rsidR="00806CD2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один із 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дозв</w:t>
            </w:r>
            <w:r w:rsidR="00806CD2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</w:t>
            </w:r>
            <w:r w:rsidR="00806CD2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ів Національного банку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</w:t>
            </w:r>
            <w:r w:rsidR="00806CD2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зазначених в підпунктах 1–4 пункту 14 Положення про </w:t>
            </w:r>
            <w:proofErr w:type="spellStart"/>
            <w:r w:rsidR="00806CD2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пруденційні</w:t>
            </w:r>
            <w:proofErr w:type="spellEnd"/>
            <w:r w:rsidR="00806CD2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вимоги до фінансових компаній (далі – дозвіл),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дорівнює 600000 грн.</w:t>
            </w:r>
          </w:p>
          <w:p w14:paraId="608BFC8C" w14:textId="12B971EC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Розрахунок суми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що враховується </w:t>
            </w:r>
            <w:r w:rsidR="00296FAF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склад</w:t>
            </w:r>
            <w:r w:rsidR="00296FAF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власного капіталу, здійснюється так:</w:t>
            </w:r>
          </w:p>
          <w:p w14:paraId="7E01EE0A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5647E84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1) з 01 лютого 2020 року до 31 січня 2023 року - 100%, або 600000 грн;</w:t>
            </w:r>
          </w:p>
          <w:p w14:paraId="7FE12E08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B56913B" w14:textId="0B817138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2) з 01 лютого 2023 року до 31 січня 2024 року - 80%, або 480000 грн;</w:t>
            </w:r>
          </w:p>
          <w:p w14:paraId="0739173B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30E40E7" w14:textId="4B1F34CA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3) з 01 лютого 2024 року до 31 січня 2025 року - 60%, або 360000 грн;</w:t>
            </w:r>
          </w:p>
          <w:p w14:paraId="6D197A21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4DCA7CC" w14:textId="53B8A186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4) з 01 лютого 2025 року до 31 січня 2026 року - 40%, або 240000 грн;</w:t>
            </w:r>
          </w:p>
          <w:p w14:paraId="565B37C5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01E1AB1" w14:textId="3D230A13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5) з 01 лютого 2026 року до 31 січня 2027 року - 20%, або 120000 грн.</w:t>
            </w:r>
          </w:p>
          <w:p w14:paraId="04464622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DF2F37B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2. Приклад № 2.</w:t>
            </w:r>
          </w:p>
          <w:p w14:paraId="6C73A733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Строк, на який фінансова компанія залучила кошти на умовах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становить сім років (з 01 лютого 2020 року до 31 січня 2027 року).</w:t>
            </w:r>
          </w:p>
          <w:p w14:paraId="2BE23090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Сума залучених коштів на умовах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на яку отримано дозвіл, дорівнює 600000 грн, водночас фінансова компанія 01 липня 2023 року здійснила дострокове погашення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 на суму 100000 грн.</w:t>
            </w:r>
          </w:p>
          <w:p w14:paraId="1F6DC07B" w14:textId="0B177846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Розрахунок суми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що враховується </w:t>
            </w:r>
            <w:r w:rsidR="00296FAF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склад</w:t>
            </w:r>
            <w:r w:rsidR="00296FAF"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власного капіталу з урахуванням достроково погашеної суми </w:t>
            </w:r>
            <w:proofErr w:type="spellStart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субординованого</w:t>
            </w:r>
            <w:proofErr w:type="spellEnd"/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боргу, здійснюється так:</w:t>
            </w:r>
          </w:p>
          <w:p w14:paraId="41F450FC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07E030D" w14:textId="5BD97F45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1) з 01 лютого 2020 року до 31 січня 2023 року - 100%, або 600000 грн;</w:t>
            </w:r>
          </w:p>
          <w:p w14:paraId="13CB3E2D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D47F7CC" w14:textId="52BF667A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2) з 01 лютого 2023 року до 30 червня 2023 року - 80%, або 480000 грн;</w:t>
            </w:r>
          </w:p>
          <w:p w14:paraId="27EC58C8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CF9FA12" w14:textId="7BA2999F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3) з 01 липня 2023 року до 31 січня 2024 року - 80%, або 400000 грн</w:t>
            </w:r>
          </w:p>
          <w:p w14:paraId="3ADFAE51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CFB376A" w14:textId="2B8F7DF3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4) з 01 лютого 2024 року до 31 січня 2025 року - 60%, або 300000 грн;</w:t>
            </w:r>
          </w:p>
          <w:p w14:paraId="6D8A7D3A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C89C42A" w14:textId="739D1DBB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5) з 01 лютого2025 року до 31 січня 2026 року - 40%, або 200000 грн;</w:t>
            </w:r>
          </w:p>
          <w:p w14:paraId="1845929E" w14:textId="77777777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C372CE4" w14:textId="5A12A4B5" w:rsidR="00E824CE" w:rsidRPr="00EC7401" w:rsidRDefault="00E824CE" w:rsidP="005719F9">
            <w:pPr>
              <w:shd w:val="clear" w:color="auto" w:fill="FFFFFF"/>
              <w:ind w:firstLine="4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6) з 01 лютого</w:t>
            </w:r>
            <w:r w:rsidRPr="00EC7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EC7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2026 року до 31 січня 2027 року - 20%, або 100000 грн.</w:t>
            </w:r>
          </w:p>
          <w:p w14:paraId="33545F78" w14:textId="7E734C6F" w:rsidR="00E824CE" w:rsidRPr="00EC7401" w:rsidRDefault="00E824CE" w:rsidP="005719F9">
            <w:pPr>
              <w:pStyle w:val="ab"/>
              <w:tabs>
                <w:tab w:val="left" w:pos="993"/>
                <w:tab w:val="left" w:pos="1134"/>
                <w:tab w:val="left" w:pos="1276"/>
              </w:tabs>
              <w:ind w:right="282" w:firstLine="4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75EF9E6" w14:textId="0E55AC02" w:rsidR="001C1F3F" w:rsidRPr="00EC7401" w:rsidRDefault="001C1F3F" w:rsidP="007F11A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5" w:name="n719"/>
      <w:bookmarkStart w:id="26" w:name="n720"/>
      <w:bookmarkStart w:id="27" w:name="n721"/>
      <w:bookmarkStart w:id="28" w:name="n722"/>
      <w:bookmarkEnd w:id="25"/>
      <w:bookmarkEnd w:id="26"/>
      <w:bookmarkEnd w:id="27"/>
      <w:bookmarkEnd w:id="28"/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56"/>
      </w:tblGrid>
      <w:tr w:rsidR="009C391C" w:rsidRPr="00EC7401" w14:paraId="188A391F" w14:textId="77777777" w:rsidTr="00945424">
        <w:tc>
          <w:tcPr>
            <w:tcW w:w="5353" w:type="dxa"/>
            <w:vAlign w:val="bottom"/>
          </w:tcPr>
          <w:p w14:paraId="40BA15AD" w14:textId="77777777" w:rsidR="009C391C" w:rsidRPr="00EC7401" w:rsidRDefault="009C391C" w:rsidP="0094542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0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74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Департаменту методології регулювання діяльності небанківських фінансових установ</w:t>
            </w:r>
          </w:p>
        </w:tc>
        <w:tc>
          <w:tcPr>
            <w:tcW w:w="9956" w:type="dxa"/>
            <w:vAlign w:val="bottom"/>
          </w:tcPr>
          <w:p w14:paraId="3DDE69B6" w14:textId="77777777" w:rsidR="009C391C" w:rsidRPr="00EC7401" w:rsidRDefault="009C391C" w:rsidP="0094542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EC74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Сергій САВЧУК</w:t>
            </w:r>
          </w:p>
        </w:tc>
      </w:tr>
    </w:tbl>
    <w:p w14:paraId="0E82D9C5" w14:textId="77777777" w:rsidR="001C1F3F" w:rsidRPr="00EC7401" w:rsidRDefault="001C1F3F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4ABC16" w14:textId="6631F84D" w:rsidR="001C1F3F" w:rsidRPr="00EC7401" w:rsidRDefault="001C1F3F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0F9F2E" w14:textId="6A54E7EE" w:rsidR="00826979" w:rsidRPr="00EC7401" w:rsidRDefault="00826979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28D1F" w14:textId="250E7BC6" w:rsidR="00826979" w:rsidRPr="00EC7401" w:rsidRDefault="00826979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AF1A18" w14:textId="77777777" w:rsidR="00826979" w:rsidRPr="00EC7401" w:rsidRDefault="00826979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1197AB" w14:textId="60F6B74B" w:rsidR="008C2FBF" w:rsidRPr="00EC7401" w:rsidRDefault="008C2FBF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E2B4ED" w14:textId="77777777" w:rsidR="000A458D" w:rsidRPr="00EC7401" w:rsidRDefault="000A458D" w:rsidP="001C1F3F">
      <w:pPr>
        <w:ind w:left="110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A458D" w:rsidRPr="00EC7401" w:rsidSect="007F11AC">
      <w:headerReference w:type="default" r:id="rId8"/>
      <w:pgSz w:w="16838" w:h="11906" w:orient="landscape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A65A" w14:textId="77777777" w:rsidR="00543E98" w:rsidRDefault="00543E98" w:rsidP="00721398">
      <w:pPr>
        <w:spacing w:after="0" w:line="240" w:lineRule="auto"/>
      </w:pPr>
      <w:r>
        <w:separator/>
      </w:r>
    </w:p>
  </w:endnote>
  <w:endnote w:type="continuationSeparator" w:id="0">
    <w:p w14:paraId="5681902A" w14:textId="77777777" w:rsidR="00543E98" w:rsidRDefault="00543E98" w:rsidP="00721398">
      <w:pPr>
        <w:spacing w:after="0" w:line="240" w:lineRule="auto"/>
      </w:pPr>
      <w:r>
        <w:continuationSeparator/>
      </w:r>
    </w:p>
  </w:endnote>
  <w:endnote w:type="continuationNotice" w:id="1">
    <w:p w14:paraId="4F0269EC" w14:textId="77777777" w:rsidR="00543E98" w:rsidRDefault="00543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0230" w14:textId="77777777" w:rsidR="00543E98" w:rsidRDefault="00543E98" w:rsidP="00721398">
      <w:pPr>
        <w:spacing w:after="0" w:line="240" w:lineRule="auto"/>
      </w:pPr>
      <w:r>
        <w:separator/>
      </w:r>
    </w:p>
  </w:footnote>
  <w:footnote w:type="continuationSeparator" w:id="0">
    <w:p w14:paraId="079E628C" w14:textId="77777777" w:rsidR="00543E98" w:rsidRDefault="00543E98" w:rsidP="00721398">
      <w:pPr>
        <w:spacing w:after="0" w:line="240" w:lineRule="auto"/>
      </w:pPr>
      <w:r>
        <w:continuationSeparator/>
      </w:r>
    </w:p>
  </w:footnote>
  <w:footnote w:type="continuationNotice" w:id="1">
    <w:p w14:paraId="00967D9F" w14:textId="77777777" w:rsidR="00543E98" w:rsidRDefault="00543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1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7D05C1" w14:textId="13649438" w:rsidR="00C33E53" w:rsidRPr="00721398" w:rsidRDefault="00C33E5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13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13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13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740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213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01D00DF" w14:textId="77777777" w:rsidR="00C33E53" w:rsidRDefault="00C33E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3DCD"/>
    <w:multiLevelType w:val="hybridMultilevel"/>
    <w:tmpl w:val="4BAA1708"/>
    <w:lvl w:ilvl="0" w:tplc="8A184AF0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55C82ECB"/>
    <w:multiLevelType w:val="hybridMultilevel"/>
    <w:tmpl w:val="3490D8AE"/>
    <w:lvl w:ilvl="0" w:tplc="5FC0DA7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5E3B3D87"/>
    <w:multiLevelType w:val="hybridMultilevel"/>
    <w:tmpl w:val="2472746E"/>
    <w:lvl w:ilvl="0" w:tplc="B35EC5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6D967C5"/>
    <w:multiLevelType w:val="hybridMultilevel"/>
    <w:tmpl w:val="F9BAE2DA"/>
    <w:lvl w:ilvl="0" w:tplc="8A38FCCC">
      <w:start w:val="1"/>
      <w:numFmt w:val="decimal"/>
      <w:lvlText w:val="%1)"/>
      <w:lvlJc w:val="left"/>
      <w:pPr>
        <w:ind w:left="10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71E66442"/>
    <w:multiLevelType w:val="hybridMultilevel"/>
    <w:tmpl w:val="B57A92DC"/>
    <w:lvl w:ilvl="0" w:tplc="EC5AB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1603"/>
    <w:multiLevelType w:val="hybridMultilevel"/>
    <w:tmpl w:val="44A6023C"/>
    <w:lvl w:ilvl="0" w:tplc="2F3A4E46">
      <w:start w:val="1"/>
      <w:numFmt w:val="upperRoman"/>
      <w:lvlText w:val="%1."/>
      <w:lvlJc w:val="right"/>
      <w:pPr>
        <w:ind w:left="1637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26B2"/>
    <w:multiLevelType w:val="hybridMultilevel"/>
    <w:tmpl w:val="CC848098"/>
    <w:lvl w:ilvl="0" w:tplc="45D0C5C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7489"/>
    <w:rsid w:val="00022D97"/>
    <w:rsid w:val="00026B16"/>
    <w:rsid w:val="00033EE4"/>
    <w:rsid w:val="000379E6"/>
    <w:rsid w:val="00043D1E"/>
    <w:rsid w:val="00055A00"/>
    <w:rsid w:val="000626E4"/>
    <w:rsid w:val="000712E7"/>
    <w:rsid w:val="000A458D"/>
    <w:rsid w:val="000B4251"/>
    <w:rsid w:val="000D2415"/>
    <w:rsid w:val="000D37DE"/>
    <w:rsid w:val="00116F88"/>
    <w:rsid w:val="001521B9"/>
    <w:rsid w:val="0016143C"/>
    <w:rsid w:val="00174C37"/>
    <w:rsid w:val="0017602A"/>
    <w:rsid w:val="00177832"/>
    <w:rsid w:val="00185203"/>
    <w:rsid w:val="001C1F3F"/>
    <w:rsid w:val="001E55F0"/>
    <w:rsid w:val="00201608"/>
    <w:rsid w:val="00220E84"/>
    <w:rsid w:val="002317BD"/>
    <w:rsid w:val="00240163"/>
    <w:rsid w:val="002417E6"/>
    <w:rsid w:val="0026103B"/>
    <w:rsid w:val="002703EA"/>
    <w:rsid w:val="0027416F"/>
    <w:rsid w:val="0029076C"/>
    <w:rsid w:val="00296FAF"/>
    <w:rsid w:val="002B498F"/>
    <w:rsid w:val="002C3853"/>
    <w:rsid w:val="002C3F86"/>
    <w:rsid w:val="002C66EF"/>
    <w:rsid w:val="002D0361"/>
    <w:rsid w:val="002D0FFA"/>
    <w:rsid w:val="002E161E"/>
    <w:rsid w:val="002F5554"/>
    <w:rsid w:val="002F5875"/>
    <w:rsid w:val="003002F4"/>
    <w:rsid w:val="0030444C"/>
    <w:rsid w:val="00316D0A"/>
    <w:rsid w:val="00337BBF"/>
    <w:rsid w:val="00342CFF"/>
    <w:rsid w:val="00347149"/>
    <w:rsid w:val="00351665"/>
    <w:rsid w:val="003558DB"/>
    <w:rsid w:val="0036166E"/>
    <w:rsid w:val="00364B61"/>
    <w:rsid w:val="0036703E"/>
    <w:rsid w:val="00367D5D"/>
    <w:rsid w:val="00377C62"/>
    <w:rsid w:val="00381A99"/>
    <w:rsid w:val="00393C21"/>
    <w:rsid w:val="00393C74"/>
    <w:rsid w:val="003A2284"/>
    <w:rsid w:val="003A34EA"/>
    <w:rsid w:val="003E5993"/>
    <w:rsid w:val="003F1C4C"/>
    <w:rsid w:val="003F3C8B"/>
    <w:rsid w:val="00423179"/>
    <w:rsid w:val="00431366"/>
    <w:rsid w:val="00441478"/>
    <w:rsid w:val="00451DCC"/>
    <w:rsid w:val="00457C0B"/>
    <w:rsid w:val="00461066"/>
    <w:rsid w:val="004706C8"/>
    <w:rsid w:val="004877D2"/>
    <w:rsid w:val="004952CC"/>
    <w:rsid w:val="004A1D83"/>
    <w:rsid w:val="004C44D7"/>
    <w:rsid w:val="004C7119"/>
    <w:rsid w:val="004D0DBE"/>
    <w:rsid w:val="004D200A"/>
    <w:rsid w:val="004F3802"/>
    <w:rsid w:val="00501EF5"/>
    <w:rsid w:val="00507594"/>
    <w:rsid w:val="005078E6"/>
    <w:rsid w:val="0052120B"/>
    <w:rsid w:val="005354CA"/>
    <w:rsid w:val="00543E98"/>
    <w:rsid w:val="005719F9"/>
    <w:rsid w:val="005729DC"/>
    <w:rsid w:val="00580D4B"/>
    <w:rsid w:val="0059250A"/>
    <w:rsid w:val="005A47BD"/>
    <w:rsid w:val="005A4854"/>
    <w:rsid w:val="005B1D58"/>
    <w:rsid w:val="005C17D7"/>
    <w:rsid w:val="005E3F83"/>
    <w:rsid w:val="005F73FA"/>
    <w:rsid w:val="00607141"/>
    <w:rsid w:val="0061339E"/>
    <w:rsid w:val="00614718"/>
    <w:rsid w:val="0061718D"/>
    <w:rsid w:val="00617BBA"/>
    <w:rsid w:val="00627A0A"/>
    <w:rsid w:val="006704E8"/>
    <w:rsid w:val="006B30FE"/>
    <w:rsid w:val="006C03DD"/>
    <w:rsid w:val="006D6D5A"/>
    <w:rsid w:val="006F3252"/>
    <w:rsid w:val="007053D7"/>
    <w:rsid w:val="00712A9F"/>
    <w:rsid w:val="00721398"/>
    <w:rsid w:val="0072278D"/>
    <w:rsid w:val="007257B1"/>
    <w:rsid w:val="00750EA9"/>
    <w:rsid w:val="00754985"/>
    <w:rsid w:val="00787AE2"/>
    <w:rsid w:val="007C7030"/>
    <w:rsid w:val="007C7549"/>
    <w:rsid w:val="007F0EE0"/>
    <w:rsid w:val="007F11AC"/>
    <w:rsid w:val="007F2417"/>
    <w:rsid w:val="007F7F48"/>
    <w:rsid w:val="00806CD2"/>
    <w:rsid w:val="0081130C"/>
    <w:rsid w:val="00821EA6"/>
    <w:rsid w:val="00826979"/>
    <w:rsid w:val="00837EB5"/>
    <w:rsid w:val="00852EF2"/>
    <w:rsid w:val="00854FC9"/>
    <w:rsid w:val="00861609"/>
    <w:rsid w:val="00872EB3"/>
    <w:rsid w:val="00881367"/>
    <w:rsid w:val="00884253"/>
    <w:rsid w:val="00887477"/>
    <w:rsid w:val="008C13A8"/>
    <w:rsid w:val="008C2FBF"/>
    <w:rsid w:val="008E038A"/>
    <w:rsid w:val="008F04BD"/>
    <w:rsid w:val="008F0612"/>
    <w:rsid w:val="008F68EB"/>
    <w:rsid w:val="009138AA"/>
    <w:rsid w:val="00945BF0"/>
    <w:rsid w:val="00947FE3"/>
    <w:rsid w:val="00953C5B"/>
    <w:rsid w:val="00956AC1"/>
    <w:rsid w:val="00957180"/>
    <w:rsid w:val="009835B1"/>
    <w:rsid w:val="00993549"/>
    <w:rsid w:val="00993F15"/>
    <w:rsid w:val="009B0071"/>
    <w:rsid w:val="009C07CA"/>
    <w:rsid w:val="009C391C"/>
    <w:rsid w:val="00A164E7"/>
    <w:rsid w:val="00A264BB"/>
    <w:rsid w:val="00A33A4A"/>
    <w:rsid w:val="00A402BF"/>
    <w:rsid w:val="00A570BA"/>
    <w:rsid w:val="00AA4912"/>
    <w:rsid w:val="00AB4D83"/>
    <w:rsid w:val="00AC1D05"/>
    <w:rsid w:val="00AC7A62"/>
    <w:rsid w:val="00AC7EFB"/>
    <w:rsid w:val="00AD5072"/>
    <w:rsid w:val="00AE5473"/>
    <w:rsid w:val="00AF03B8"/>
    <w:rsid w:val="00AF1CD3"/>
    <w:rsid w:val="00B16A48"/>
    <w:rsid w:val="00B222C5"/>
    <w:rsid w:val="00B3047B"/>
    <w:rsid w:val="00B40C58"/>
    <w:rsid w:val="00B56304"/>
    <w:rsid w:val="00B612A0"/>
    <w:rsid w:val="00B70112"/>
    <w:rsid w:val="00B742AD"/>
    <w:rsid w:val="00B95CC5"/>
    <w:rsid w:val="00BC2808"/>
    <w:rsid w:val="00BE2AFC"/>
    <w:rsid w:val="00C06919"/>
    <w:rsid w:val="00C126AD"/>
    <w:rsid w:val="00C22B1B"/>
    <w:rsid w:val="00C24537"/>
    <w:rsid w:val="00C33E53"/>
    <w:rsid w:val="00C50CA6"/>
    <w:rsid w:val="00C50D7E"/>
    <w:rsid w:val="00C54EC4"/>
    <w:rsid w:val="00C5515B"/>
    <w:rsid w:val="00C57E42"/>
    <w:rsid w:val="00C71829"/>
    <w:rsid w:val="00CA7BAB"/>
    <w:rsid w:val="00CB76C4"/>
    <w:rsid w:val="00CC24C4"/>
    <w:rsid w:val="00CF22F0"/>
    <w:rsid w:val="00D331B6"/>
    <w:rsid w:val="00D33E8B"/>
    <w:rsid w:val="00D630A3"/>
    <w:rsid w:val="00D63F1A"/>
    <w:rsid w:val="00D72A83"/>
    <w:rsid w:val="00D748D3"/>
    <w:rsid w:val="00D76931"/>
    <w:rsid w:val="00D92AC1"/>
    <w:rsid w:val="00D9537F"/>
    <w:rsid w:val="00DB07D6"/>
    <w:rsid w:val="00DC24D2"/>
    <w:rsid w:val="00DC6C03"/>
    <w:rsid w:val="00DD10AF"/>
    <w:rsid w:val="00DE0491"/>
    <w:rsid w:val="00DF4F93"/>
    <w:rsid w:val="00DF751C"/>
    <w:rsid w:val="00E26222"/>
    <w:rsid w:val="00E438D7"/>
    <w:rsid w:val="00E476D9"/>
    <w:rsid w:val="00E62E57"/>
    <w:rsid w:val="00E824CE"/>
    <w:rsid w:val="00E84863"/>
    <w:rsid w:val="00EA608B"/>
    <w:rsid w:val="00EC7401"/>
    <w:rsid w:val="00ED0929"/>
    <w:rsid w:val="00ED414D"/>
    <w:rsid w:val="00F01C6B"/>
    <w:rsid w:val="00F0668D"/>
    <w:rsid w:val="00F15FEB"/>
    <w:rsid w:val="00F1798B"/>
    <w:rsid w:val="00F22D87"/>
    <w:rsid w:val="00F30DFE"/>
    <w:rsid w:val="00F3261B"/>
    <w:rsid w:val="00F36C7B"/>
    <w:rsid w:val="00F50182"/>
    <w:rsid w:val="00F568D0"/>
    <w:rsid w:val="00F80A9C"/>
    <w:rsid w:val="00F85F54"/>
    <w:rsid w:val="00F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9287"/>
  <w15:chartTrackingRefBased/>
  <w15:docId w15:val="{BB2EBEE0-3259-4FFE-B153-4C7A9426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3670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5">
    <w:name w:val="Звичайний (веб) Знак"/>
    <w:link w:val="a4"/>
    <w:uiPriority w:val="99"/>
    <w:locked/>
    <w:rsid w:val="0036703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6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61066"/>
  </w:style>
  <w:style w:type="character" w:customStyle="1" w:styleId="rvts11">
    <w:name w:val="rvts11"/>
    <w:basedOn w:val="a0"/>
    <w:rsid w:val="00461066"/>
  </w:style>
  <w:style w:type="character" w:styleId="a6">
    <w:name w:val="Hyperlink"/>
    <w:basedOn w:val="a0"/>
    <w:uiPriority w:val="99"/>
    <w:semiHidden/>
    <w:unhideWhenUsed/>
    <w:rsid w:val="004610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106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228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703E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703E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2703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03E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703EA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213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721398"/>
  </w:style>
  <w:style w:type="paragraph" w:styleId="af1">
    <w:name w:val="footer"/>
    <w:basedOn w:val="a"/>
    <w:link w:val="af2"/>
    <w:uiPriority w:val="99"/>
    <w:unhideWhenUsed/>
    <w:rsid w:val="007213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721398"/>
  </w:style>
  <w:style w:type="paragraph" w:customStyle="1" w:styleId="rvps7">
    <w:name w:val="rvps7"/>
    <w:basedOn w:val="a"/>
    <w:rsid w:val="001C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C1F3F"/>
  </w:style>
  <w:style w:type="paragraph" w:customStyle="1" w:styleId="rvps11">
    <w:name w:val="rvps11"/>
    <w:basedOn w:val="a"/>
    <w:rsid w:val="001C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C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1C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3">
    <w:name w:val="Revision"/>
    <w:hidden/>
    <w:uiPriority w:val="99"/>
    <w:semiHidden/>
    <w:rsid w:val="0099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6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BBA5-0933-49CD-B681-468CC16B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10194</Words>
  <Characters>5811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Владислав Васильович</dc:creator>
  <cp:keywords/>
  <dc:description/>
  <cp:lastModifiedBy>Жигінас Владислав Васильович</cp:lastModifiedBy>
  <cp:revision>7</cp:revision>
  <dcterms:created xsi:type="dcterms:W3CDTF">2025-06-16T13:05:00Z</dcterms:created>
  <dcterms:modified xsi:type="dcterms:W3CDTF">2025-06-20T09:08:00Z</dcterms:modified>
</cp:coreProperties>
</file>