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E0AA5" w14:textId="1A925315" w:rsidR="00E443CF" w:rsidRPr="009C5822" w:rsidRDefault="00C24623" w:rsidP="00E77F09">
      <w:pPr>
        <w:pStyle w:val="a4"/>
        <w:spacing w:before="0" w:beforeAutospacing="0" w:after="0" w:afterAutospacing="0"/>
        <w:ind w:left="2268" w:right="2520"/>
        <w:jc w:val="center"/>
        <w:rPr>
          <w:sz w:val="28"/>
          <w:szCs w:val="28"/>
        </w:rPr>
      </w:pPr>
      <w:r>
        <w:rPr>
          <w:sz w:val="28"/>
          <w:szCs w:val="28"/>
        </w:rPr>
        <w:t xml:space="preserve"> </w:t>
      </w:r>
      <w:r w:rsidR="00E443CF" w:rsidRPr="009C5822">
        <w:rPr>
          <w:sz w:val="28"/>
          <w:szCs w:val="28"/>
        </w:rPr>
        <w:t>Порівняльна таблиця</w:t>
      </w:r>
    </w:p>
    <w:p w14:paraId="7C8B485C" w14:textId="3AC91FFA" w:rsidR="00E443CF" w:rsidRPr="009C5822" w:rsidRDefault="00E443CF" w:rsidP="00E77F09">
      <w:pPr>
        <w:pStyle w:val="a4"/>
        <w:spacing w:before="0" w:beforeAutospacing="0" w:after="0" w:afterAutospacing="0"/>
        <w:ind w:left="2268" w:right="2520" w:firstLine="709"/>
        <w:jc w:val="center"/>
        <w:rPr>
          <w:rFonts w:eastAsia="SimSun"/>
          <w:sz w:val="28"/>
          <w:szCs w:val="28"/>
        </w:rPr>
      </w:pPr>
      <w:r w:rsidRPr="009C5822">
        <w:rPr>
          <w:sz w:val="28"/>
          <w:szCs w:val="28"/>
        </w:rPr>
        <w:t xml:space="preserve">до </w:t>
      </w:r>
      <w:proofErr w:type="spellStart"/>
      <w:r w:rsidRPr="009C5822">
        <w:rPr>
          <w:sz w:val="28"/>
          <w:szCs w:val="28"/>
        </w:rPr>
        <w:t>проєкту</w:t>
      </w:r>
      <w:proofErr w:type="spellEnd"/>
      <w:r w:rsidRPr="009C5822">
        <w:rPr>
          <w:sz w:val="28"/>
          <w:szCs w:val="28"/>
        </w:rPr>
        <w:t xml:space="preserve"> постанови </w:t>
      </w:r>
      <w:r w:rsidRPr="009C5822">
        <w:rPr>
          <w:rFonts w:eastAsia="SimSun"/>
          <w:sz w:val="28"/>
          <w:szCs w:val="28"/>
        </w:rPr>
        <w:t>Правління Національного банку України “</w:t>
      </w:r>
      <w:r w:rsidR="00520213" w:rsidRPr="009C5822">
        <w:rPr>
          <w:rFonts w:eastAsia="SimSun"/>
          <w:sz w:val="28"/>
          <w:szCs w:val="28"/>
        </w:rPr>
        <w:t>Про затвердження Змін</w:t>
      </w:r>
      <w:r w:rsidR="007B2E0B" w:rsidRPr="009C5822">
        <w:rPr>
          <w:rFonts w:eastAsia="SimSun"/>
          <w:sz w:val="28"/>
          <w:szCs w:val="28"/>
        </w:rPr>
        <w:t xml:space="preserve"> до </w:t>
      </w:r>
      <w:r w:rsidR="00765EE7" w:rsidRPr="009C5822">
        <w:rPr>
          <w:rFonts w:eastAsia="SimSun"/>
          <w:sz w:val="28"/>
          <w:szCs w:val="28"/>
        </w:rPr>
        <w:t>Положення про встановлення вимог щодо забезпечення платоспроможності та інвестиційної діяльності страховика</w:t>
      </w:r>
      <w:r w:rsidR="00226DE3" w:rsidRPr="009C5822">
        <w:rPr>
          <w:rFonts w:eastAsia="SimSun"/>
          <w:sz w:val="28"/>
          <w:szCs w:val="28"/>
        </w:rPr>
        <w:t>”</w:t>
      </w:r>
    </w:p>
    <w:tbl>
      <w:tblPr>
        <w:tblStyle w:val="a3"/>
        <w:tblW w:w="4815" w:type="pct"/>
        <w:tblBorders>
          <w:bottom w:val="none" w:sz="0" w:space="0" w:color="auto"/>
        </w:tblBorders>
        <w:tblLook w:val="04A0" w:firstRow="1" w:lastRow="0" w:firstColumn="1" w:lastColumn="0" w:noHBand="0" w:noVBand="1"/>
      </w:tblPr>
      <w:tblGrid>
        <w:gridCol w:w="6874"/>
        <w:gridCol w:w="6874"/>
      </w:tblGrid>
      <w:tr w:rsidR="009C5822" w:rsidRPr="00530CFB" w14:paraId="65551070" w14:textId="77777777" w:rsidTr="009C5822">
        <w:tc>
          <w:tcPr>
            <w:tcW w:w="2500" w:type="pct"/>
            <w:hideMark/>
          </w:tcPr>
          <w:p w14:paraId="6CB4FA88" w14:textId="77777777" w:rsidR="009C5822" w:rsidRPr="00530CFB" w:rsidRDefault="009C5822" w:rsidP="00B5282C">
            <w:pPr>
              <w:pStyle w:val="a4"/>
              <w:spacing w:before="0" w:beforeAutospacing="0" w:after="0" w:afterAutospacing="0"/>
              <w:jc w:val="center"/>
              <w:rPr>
                <w:sz w:val="28"/>
                <w:szCs w:val="28"/>
              </w:rPr>
            </w:pPr>
            <w:r w:rsidRPr="00530CFB">
              <w:rPr>
                <w:sz w:val="28"/>
                <w:szCs w:val="28"/>
              </w:rPr>
              <w:t xml:space="preserve">Зміст положення (норми) чинного нормативно-правового </w:t>
            </w:r>
            <w:proofErr w:type="spellStart"/>
            <w:r w:rsidRPr="00530CFB">
              <w:rPr>
                <w:sz w:val="28"/>
                <w:szCs w:val="28"/>
              </w:rPr>
              <w:t>акта</w:t>
            </w:r>
            <w:proofErr w:type="spellEnd"/>
          </w:p>
        </w:tc>
        <w:tc>
          <w:tcPr>
            <w:tcW w:w="2500" w:type="pct"/>
            <w:hideMark/>
          </w:tcPr>
          <w:p w14:paraId="75FC2645" w14:textId="77777777" w:rsidR="009C5822" w:rsidRPr="00530CFB" w:rsidRDefault="009C5822" w:rsidP="00B5282C">
            <w:pPr>
              <w:pStyle w:val="a4"/>
              <w:spacing w:before="0" w:beforeAutospacing="0" w:after="0" w:afterAutospacing="0"/>
              <w:jc w:val="center"/>
              <w:rPr>
                <w:sz w:val="28"/>
                <w:szCs w:val="28"/>
              </w:rPr>
            </w:pPr>
            <w:r w:rsidRPr="00530CFB">
              <w:rPr>
                <w:sz w:val="28"/>
                <w:szCs w:val="28"/>
              </w:rPr>
              <w:t xml:space="preserve">Зміст відповідного положення (норми) </w:t>
            </w:r>
            <w:proofErr w:type="spellStart"/>
            <w:r w:rsidRPr="00530CFB">
              <w:rPr>
                <w:sz w:val="28"/>
                <w:szCs w:val="28"/>
              </w:rPr>
              <w:t>проєкту</w:t>
            </w:r>
            <w:proofErr w:type="spellEnd"/>
            <w:r w:rsidRPr="00530CFB">
              <w:rPr>
                <w:sz w:val="28"/>
                <w:szCs w:val="28"/>
              </w:rPr>
              <w:t xml:space="preserve"> нормативно-правового </w:t>
            </w:r>
            <w:proofErr w:type="spellStart"/>
            <w:r w:rsidRPr="00530CFB">
              <w:rPr>
                <w:sz w:val="28"/>
                <w:szCs w:val="28"/>
              </w:rPr>
              <w:t>акта</w:t>
            </w:r>
            <w:proofErr w:type="spellEnd"/>
          </w:p>
        </w:tc>
      </w:tr>
    </w:tbl>
    <w:p w14:paraId="0B647DC5" w14:textId="77777777" w:rsidR="00D01832" w:rsidRPr="00530CFB" w:rsidRDefault="00D01832" w:rsidP="00B5282C">
      <w:pPr>
        <w:pStyle w:val="a4"/>
        <w:tabs>
          <w:tab w:val="left" w:pos="4789"/>
        </w:tabs>
        <w:spacing w:before="0" w:beforeAutospacing="0" w:after="0" w:afterAutospacing="0"/>
        <w:ind w:left="113"/>
        <w:rPr>
          <w:sz w:val="2"/>
          <w:szCs w:val="2"/>
        </w:rPr>
      </w:pPr>
      <w:r w:rsidRPr="00530CFB">
        <w:rPr>
          <w:sz w:val="2"/>
          <w:szCs w:val="2"/>
        </w:rPr>
        <w:tab/>
      </w:r>
    </w:p>
    <w:tbl>
      <w:tblPr>
        <w:tblStyle w:val="a3"/>
        <w:tblW w:w="13750" w:type="dxa"/>
        <w:tblLayout w:type="fixed"/>
        <w:tblLook w:val="04A0" w:firstRow="1" w:lastRow="0" w:firstColumn="1" w:lastColumn="0" w:noHBand="0" w:noVBand="1"/>
      </w:tblPr>
      <w:tblGrid>
        <w:gridCol w:w="6875"/>
        <w:gridCol w:w="6875"/>
      </w:tblGrid>
      <w:tr w:rsidR="009C5822" w:rsidRPr="00530CFB" w14:paraId="76085142" w14:textId="77777777" w:rsidTr="009C5822">
        <w:trPr>
          <w:trHeight w:val="20"/>
          <w:tblHeader/>
        </w:trPr>
        <w:tc>
          <w:tcPr>
            <w:tcW w:w="6875" w:type="dxa"/>
            <w:hideMark/>
          </w:tcPr>
          <w:p w14:paraId="233B2F79" w14:textId="4F6F02E7" w:rsidR="009C5822" w:rsidRPr="00530CFB" w:rsidRDefault="009C5822" w:rsidP="0058011F">
            <w:pPr>
              <w:pStyle w:val="a4"/>
              <w:widowControl w:val="0"/>
              <w:spacing w:before="0" w:beforeAutospacing="0" w:after="0" w:afterAutospacing="0"/>
              <w:ind w:right="29" w:firstLine="181"/>
              <w:jc w:val="center"/>
              <w:rPr>
                <w:sz w:val="28"/>
                <w:szCs w:val="28"/>
              </w:rPr>
            </w:pPr>
            <w:r>
              <w:rPr>
                <w:sz w:val="28"/>
                <w:szCs w:val="28"/>
              </w:rPr>
              <w:t>1</w:t>
            </w:r>
          </w:p>
        </w:tc>
        <w:tc>
          <w:tcPr>
            <w:tcW w:w="6875" w:type="dxa"/>
            <w:hideMark/>
          </w:tcPr>
          <w:p w14:paraId="3098EEA7" w14:textId="5A4CB346" w:rsidR="009C5822" w:rsidRPr="00530CFB" w:rsidRDefault="009C5822" w:rsidP="0058011F">
            <w:pPr>
              <w:pStyle w:val="a4"/>
              <w:widowControl w:val="0"/>
              <w:spacing w:before="0" w:beforeAutospacing="0" w:after="0" w:afterAutospacing="0"/>
              <w:ind w:firstLine="176"/>
              <w:jc w:val="center"/>
              <w:rPr>
                <w:sz w:val="28"/>
                <w:szCs w:val="28"/>
              </w:rPr>
            </w:pPr>
            <w:r>
              <w:rPr>
                <w:sz w:val="28"/>
                <w:szCs w:val="28"/>
              </w:rPr>
              <w:t>2</w:t>
            </w:r>
          </w:p>
        </w:tc>
      </w:tr>
      <w:tr w:rsidR="009C5822" w:rsidRPr="00530CFB" w14:paraId="7D26F77A" w14:textId="77777777" w:rsidTr="009C5822">
        <w:trPr>
          <w:trHeight w:val="20"/>
        </w:trPr>
        <w:tc>
          <w:tcPr>
            <w:tcW w:w="13750" w:type="dxa"/>
            <w:gridSpan w:val="2"/>
            <w:shd w:val="clear" w:color="auto" w:fill="auto"/>
          </w:tcPr>
          <w:p w14:paraId="482CE3AB" w14:textId="43DB7338" w:rsidR="009C5822" w:rsidRPr="009C5822" w:rsidRDefault="009C5822" w:rsidP="0058011F">
            <w:pPr>
              <w:pStyle w:val="ae"/>
              <w:tabs>
                <w:tab w:val="left" w:pos="454"/>
              </w:tabs>
              <w:ind w:left="0" w:firstLine="176"/>
              <w:jc w:val="center"/>
            </w:pPr>
            <w:r w:rsidRPr="009C5822">
              <w:t xml:space="preserve">Положення про встановлення вимог щодо забезпечення платоспроможності та інвестиційної діяльності страховика, затверджене постановою Правління Національного банку України від 29 грудня 2023 </w:t>
            </w:r>
            <w:r w:rsidR="00E77F09">
              <w:t>року № </w:t>
            </w:r>
            <w:r w:rsidRPr="009C5822">
              <w:t>201 (зі змінами)</w:t>
            </w:r>
          </w:p>
        </w:tc>
      </w:tr>
      <w:tr w:rsidR="009C5822" w:rsidRPr="00530CFB" w14:paraId="23C098E0" w14:textId="77777777" w:rsidTr="009C5822">
        <w:trPr>
          <w:trHeight w:val="20"/>
        </w:trPr>
        <w:tc>
          <w:tcPr>
            <w:tcW w:w="6875" w:type="dxa"/>
            <w:shd w:val="clear" w:color="auto" w:fill="auto"/>
          </w:tcPr>
          <w:p w14:paraId="4F41B05F" w14:textId="77777777" w:rsidR="009C5822" w:rsidRPr="005736EB" w:rsidRDefault="009C5822" w:rsidP="0058011F">
            <w:pPr>
              <w:pStyle w:val="3"/>
              <w:keepNext w:val="0"/>
              <w:keepLines w:val="0"/>
              <w:widowControl w:val="0"/>
              <w:tabs>
                <w:tab w:val="left" w:pos="885"/>
              </w:tabs>
              <w:spacing w:before="0"/>
              <w:ind w:firstLine="460"/>
              <w:outlineLvl w:val="2"/>
              <w:rPr>
                <w:rFonts w:ascii="Times New Roman" w:hAnsi="Times New Roman" w:cs="Times New Roman"/>
                <w:color w:val="auto"/>
                <w:sz w:val="28"/>
                <w:szCs w:val="28"/>
              </w:rPr>
            </w:pPr>
            <w:r>
              <w:rPr>
                <w:rFonts w:ascii="Times New Roman" w:hAnsi="Times New Roman" w:cs="Times New Roman"/>
                <w:color w:val="auto"/>
                <w:sz w:val="28"/>
                <w:szCs w:val="28"/>
              </w:rPr>
              <w:t xml:space="preserve">3. </w:t>
            </w:r>
            <w:r w:rsidRPr="005736EB">
              <w:rPr>
                <w:rFonts w:ascii="Times New Roman" w:hAnsi="Times New Roman" w:cs="Times New Roman"/>
                <w:color w:val="auto"/>
                <w:sz w:val="28"/>
                <w:szCs w:val="28"/>
              </w:rPr>
              <w:t xml:space="preserve">Терміни в цьому Положенні </w:t>
            </w:r>
            <w:r>
              <w:rPr>
                <w:rFonts w:ascii="Times New Roman" w:hAnsi="Times New Roman" w:cs="Times New Roman"/>
                <w:color w:val="auto"/>
                <w:sz w:val="28"/>
                <w:szCs w:val="28"/>
              </w:rPr>
              <w:t>в</w:t>
            </w:r>
            <w:r w:rsidRPr="005736EB">
              <w:rPr>
                <w:rFonts w:ascii="Times New Roman" w:hAnsi="Times New Roman" w:cs="Times New Roman"/>
                <w:color w:val="auto"/>
                <w:sz w:val="28"/>
                <w:szCs w:val="28"/>
              </w:rPr>
              <w:t>живаються в таких значеннях:</w:t>
            </w:r>
          </w:p>
          <w:p w14:paraId="2617FA07" w14:textId="77777777" w:rsidR="009C5822" w:rsidRDefault="009C5822" w:rsidP="0058011F">
            <w:pPr>
              <w:widowControl w:val="0"/>
              <w:ind w:firstLine="567"/>
            </w:pPr>
            <w:r>
              <w:t>…</w:t>
            </w:r>
          </w:p>
          <w:p w14:paraId="00DFA1AF" w14:textId="77777777" w:rsidR="009C5822" w:rsidRPr="005736EB" w:rsidRDefault="009C5822" w:rsidP="0058011F">
            <w:pPr>
              <w:widowControl w:val="0"/>
              <w:ind w:firstLine="567"/>
            </w:pPr>
            <w:r w:rsidRPr="005736EB">
              <w:t>Термін “пов’язані з</w:t>
            </w:r>
            <w:r>
              <w:t>і</w:t>
            </w:r>
            <w:r w:rsidRPr="005736EB">
              <w:t xml:space="preserve"> страховиком особи” вживається </w:t>
            </w:r>
            <w:r>
              <w:t>в</w:t>
            </w:r>
            <w:r w:rsidRPr="005736EB">
              <w:t xml:space="preserve"> значенні, визначеному </w:t>
            </w:r>
            <w:r>
              <w:t>в</w:t>
            </w:r>
            <w:r w:rsidRPr="005736EB">
              <w:t xml:space="preserve"> статті 36 Закону про страхування.</w:t>
            </w:r>
          </w:p>
          <w:p w14:paraId="1E4A6076" w14:textId="77777777" w:rsidR="009C5822" w:rsidRDefault="009C5822" w:rsidP="0058011F">
            <w:pPr>
              <w:widowControl w:val="0"/>
              <w:ind w:firstLine="567"/>
            </w:pPr>
            <w:r w:rsidRPr="005736EB">
              <w:t>Термін “</w:t>
            </w:r>
            <w:proofErr w:type="spellStart"/>
            <w:r w:rsidRPr="005736EB">
              <w:t>субординований</w:t>
            </w:r>
            <w:proofErr w:type="spellEnd"/>
            <w:r w:rsidRPr="005736EB">
              <w:t xml:space="preserve"> борг” вживається </w:t>
            </w:r>
            <w:r>
              <w:t>в</w:t>
            </w:r>
            <w:r w:rsidRPr="005736EB">
              <w:t xml:space="preserve"> значенні, визначеному </w:t>
            </w:r>
            <w:r>
              <w:t>в</w:t>
            </w:r>
            <w:r w:rsidRPr="005736EB">
              <w:t xml:space="preserve"> Законі про страхування.</w:t>
            </w:r>
          </w:p>
          <w:p w14:paraId="4C0B8394" w14:textId="77777777" w:rsidR="009C5822" w:rsidRDefault="009C5822" w:rsidP="0058011F">
            <w:pPr>
              <w:widowControl w:val="0"/>
              <w:ind w:firstLine="567"/>
              <w:rPr>
                <w:lang w:eastAsia="en-US"/>
              </w:rPr>
            </w:pPr>
          </w:p>
          <w:p w14:paraId="03E0B295" w14:textId="1D99DC3C" w:rsidR="009C5822" w:rsidRPr="002D4E60" w:rsidRDefault="009C5822" w:rsidP="0058011F">
            <w:pPr>
              <w:widowControl w:val="0"/>
              <w:ind w:firstLine="567"/>
              <w:rPr>
                <w:b/>
                <w:lang w:eastAsia="en-US"/>
              </w:rPr>
            </w:pPr>
            <w:r>
              <w:rPr>
                <w:b/>
                <w:lang w:eastAsia="en-US"/>
              </w:rPr>
              <w:t xml:space="preserve">Абзац </w:t>
            </w:r>
            <w:r w:rsidRPr="002D4E60">
              <w:rPr>
                <w:b/>
                <w:lang w:eastAsia="en-US"/>
              </w:rPr>
              <w:t>відсутній</w:t>
            </w:r>
          </w:p>
          <w:p w14:paraId="70C3980C" w14:textId="4A67C598" w:rsidR="009C5822" w:rsidRDefault="009C5822" w:rsidP="0058011F">
            <w:pPr>
              <w:widowControl w:val="0"/>
              <w:ind w:firstLine="567"/>
              <w:rPr>
                <w:lang w:eastAsia="en-US"/>
              </w:rPr>
            </w:pPr>
          </w:p>
          <w:p w14:paraId="0A142C5E" w14:textId="32A2B83F" w:rsidR="009C5822" w:rsidRDefault="009C5822" w:rsidP="0058011F">
            <w:pPr>
              <w:widowControl w:val="0"/>
              <w:ind w:firstLine="567"/>
              <w:rPr>
                <w:lang w:eastAsia="en-US"/>
              </w:rPr>
            </w:pPr>
          </w:p>
          <w:p w14:paraId="2783298C" w14:textId="77777777" w:rsidR="009C5822" w:rsidRDefault="009C5822" w:rsidP="0058011F">
            <w:pPr>
              <w:widowControl w:val="0"/>
              <w:ind w:firstLine="567"/>
              <w:rPr>
                <w:lang w:eastAsia="en-US"/>
              </w:rPr>
            </w:pPr>
          </w:p>
          <w:p w14:paraId="1AACED43" w14:textId="0E2B4EBD" w:rsidR="00DE11B0" w:rsidRDefault="009C5822" w:rsidP="007C634E">
            <w:pPr>
              <w:widowControl w:val="0"/>
              <w:ind w:firstLine="567"/>
              <w:rPr>
                <w:lang w:eastAsia="en-US"/>
              </w:rPr>
            </w:pPr>
            <w:r w:rsidRPr="005736EB">
              <w:rPr>
                <w:lang w:eastAsia="en-US"/>
              </w:rPr>
              <w:t xml:space="preserve">Інші терміни, </w:t>
            </w:r>
            <w:r>
              <w:rPr>
                <w:lang w:eastAsia="en-US"/>
              </w:rPr>
              <w:t>що</w:t>
            </w:r>
            <w:r w:rsidRPr="005736EB">
              <w:rPr>
                <w:lang w:eastAsia="en-US"/>
              </w:rPr>
              <w:t xml:space="preserve"> використовуються в цьому Положенні, уживаються в значеннях, визначених у Законі про фінансові послуги, Законі про страхування та інших </w:t>
            </w:r>
            <w:r w:rsidRPr="005736EB">
              <w:rPr>
                <w:lang w:eastAsia="en-US"/>
              </w:rPr>
              <w:lastRenderedPageBreak/>
              <w:t>нормативно-правових актах з питань регулювання страхової діяльності.</w:t>
            </w:r>
          </w:p>
        </w:tc>
        <w:tc>
          <w:tcPr>
            <w:tcW w:w="6875" w:type="dxa"/>
            <w:shd w:val="clear" w:color="auto" w:fill="auto"/>
          </w:tcPr>
          <w:p w14:paraId="7716E234" w14:textId="77777777" w:rsidR="009C5822" w:rsidRPr="005736EB" w:rsidRDefault="009C5822" w:rsidP="0058011F">
            <w:pPr>
              <w:pStyle w:val="3"/>
              <w:keepNext w:val="0"/>
              <w:keepLines w:val="0"/>
              <w:widowControl w:val="0"/>
              <w:tabs>
                <w:tab w:val="left" w:pos="885"/>
              </w:tabs>
              <w:spacing w:before="0"/>
              <w:ind w:firstLine="460"/>
              <w:outlineLvl w:val="2"/>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3. </w:t>
            </w:r>
            <w:r w:rsidRPr="005736EB">
              <w:rPr>
                <w:rFonts w:ascii="Times New Roman" w:hAnsi="Times New Roman" w:cs="Times New Roman"/>
                <w:color w:val="auto"/>
                <w:sz w:val="28"/>
                <w:szCs w:val="28"/>
              </w:rPr>
              <w:t xml:space="preserve">Терміни в цьому Положенні </w:t>
            </w:r>
            <w:r>
              <w:rPr>
                <w:rFonts w:ascii="Times New Roman" w:hAnsi="Times New Roman" w:cs="Times New Roman"/>
                <w:color w:val="auto"/>
                <w:sz w:val="28"/>
                <w:szCs w:val="28"/>
              </w:rPr>
              <w:t>в</w:t>
            </w:r>
            <w:r w:rsidRPr="005736EB">
              <w:rPr>
                <w:rFonts w:ascii="Times New Roman" w:hAnsi="Times New Roman" w:cs="Times New Roman"/>
                <w:color w:val="auto"/>
                <w:sz w:val="28"/>
                <w:szCs w:val="28"/>
              </w:rPr>
              <w:t>живаються в таких значеннях:</w:t>
            </w:r>
          </w:p>
          <w:p w14:paraId="43F0CDF1" w14:textId="77777777" w:rsidR="009C5822" w:rsidRDefault="009C5822" w:rsidP="0058011F">
            <w:pPr>
              <w:widowControl w:val="0"/>
              <w:ind w:firstLine="567"/>
            </w:pPr>
            <w:r>
              <w:t>…</w:t>
            </w:r>
          </w:p>
          <w:p w14:paraId="08196382" w14:textId="3525C6E8" w:rsidR="009C5822" w:rsidRPr="005736EB" w:rsidRDefault="009C5822" w:rsidP="0058011F">
            <w:pPr>
              <w:widowControl w:val="0"/>
              <w:ind w:firstLine="567"/>
            </w:pPr>
            <w:r w:rsidRPr="005736EB">
              <w:t>Термін “пов’язані з</w:t>
            </w:r>
            <w:r>
              <w:t>і</w:t>
            </w:r>
            <w:r w:rsidRPr="005736EB">
              <w:t xml:space="preserve"> страховиком особи” вживається </w:t>
            </w:r>
            <w:r>
              <w:t>в</w:t>
            </w:r>
            <w:r w:rsidRPr="005736EB">
              <w:t xml:space="preserve"> значенні, визначеному </w:t>
            </w:r>
            <w:r>
              <w:t>в</w:t>
            </w:r>
            <w:r w:rsidRPr="005736EB">
              <w:t xml:space="preserve"> статті 36 Закону про страхування.</w:t>
            </w:r>
          </w:p>
          <w:p w14:paraId="510B143E" w14:textId="77777777" w:rsidR="009C5822" w:rsidRDefault="009C5822" w:rsidP="0058011F">
            <w:pPr>
              <w:widowControl w:val="0"/>
              <w:ind w:firstLine="567"/>
            </w:pPr>
            <w:r w:rsidRPr="005736EB">
              <w:t>Термін “</w:t>
            </w:r>
            <w:proofErr w:type="spellStart"/>
            <w:r w:rsidRPr="005736EB">
              <w:t>субординований</w:t>
            </w:r>
            <w:proofErr w:type="spellEnd"/>
            <w:r w:rsidRPr="005736EB">
              <w:t xml:space="preserve"> борг” вживається </w:t>
            </w:r>
            <w:r>
              <w:t>в</w:t>
            </w:r>
            <w:r w:rsidRPr="005736EB">
              <w:t xml:space="preserve"> значенні, визначеному </w:t>
            </w:r>
            <w:r>
              <w:t>в</w:t>
            </w:r>
            <w:r w:rsidRPr="005736EB">
              <w:t xml:space="preserve"> Законі про страхування.</w:t>
            </w:r>
          </w:p>
          <w:p w14:paraId="4F114EC6" w14:textId="73B0758B" w:rsidR="009C5822" w:rsidRPr="00AC4CA4" w:rsidRDefault="009C5822" w:rsidP="0058011F">
            <w:pPr>
              <w:widowControl w:val="0"/>
              <w:ind w:firstLine="567"/>
              <w:rPr>
                <w:b/>
              </w:rPr>
            </w:pPr>
            <w:r w:rsidRPr="00AC4CA4">
              <w:rPr>
                <w:b/>
              </w:rPr>
              <w:t xml:space="preserve">Терміни </w:t>
            </w:r>
            <w:r w:rsidRPr="0019746D">
              <w:rPr>
                <w:b/>
                <w:lang w:val="ru-RU"/>
              </w:rPr>
              <w:t>“</w:t>
            </w:r>
            <w:r w:rsidRPr="00AC4CA4">
              <w:rPr>
                <w:b/>
              </w:rPr>
              <w:t>кредитний рейтинг</w:t>
            </w:r>
            <w:r w:rsidRPr="0019746D">
              <w:rPr>
                <w:b/>
                <w:lang w:val="ru-RU"/>
              </w:rPr>
              <w:t xml:space="preserve">”, </w:t>
            </w:r>
            <w:r w:rsidRPr="00881D91">
              <w:rPr>
                <w:b/>
              </w:rPr>
              <w:t>“національна шкала кредитних рейтингів”,</w:t>
            </w:r>
            <w:r w:rsidRPr="0019746D">
              <w:rPr>
                <w:b/>
                <w:lang w:val="ru-RU"/>
              </w:rPr>
              <w:t xml:space="preserve"> “</w:t>
            </w:r>
            <w:r w:rsidRPr="00AC4CA4">
              <w:rPr>
                <w:b/>
              </w:rPr>
              <w:t>рейтингове агентство</w:t>
            </w:r>
            <w:r w:rsidRPr="0019746D">
              <w:rPr>
                <w:b/>
                <w:lang w:val="ru-RU"/>
              </w:rPr>
              <w:t>”</w:t>
            </w:r>
            <w:r>
              <w:rPr>
                <w:b/>
              </w:rPr>
              <w:t xml:space="preserve">, </w:t>
            </w:r>
            <w:r w:rsidRPr="0019746D">
              <w:rPr>
                <w:b/>
                <w:lang w:val="ru-RU"/>
              </w:rPr>
              <w:t>“</w:t>
            </w:r>
            <w:r>
              <w:rPr>
                <w:b/>
              </w:rPr>
              <w:t>суверенний рейтинг</w:t>
            </w:r>
            <w:r w:rsidRPr="0019746D">
              <w:rPr>
                <w:b/>
                <w:lang w:val="ru-RU"/>
              </w:rPr>
              <w:t>”</w:t>
            </w:r>
            <w:r w:rsidRPr="00AC4CA4">
              <w:rPr>
                <w:b/>
              </w:rPr>
              <w:t xml:space="preserve"> вжива</w:t>
            </w:r>
            <w:r w:rsidR="001F3CC8">
              <w:rPr>
                <w:b/>
              </w:rPr>
              <w:t>ю</w:t>
            </w:r>
            <w:r w:rsidRPr="00AC4CA4">
              <w:rPr>
                <w:b/>
              </w:rPr>
              <w:t xml:space="preserve">ться в значенні, визначеному в Законі </w:t>
            </w:r>
            <w:r w:rsidRPr="006F0944">
              <w:rPr>
                <w:b/>
                <w:lang w:eastAsia="en-US"/>
              </w:rPr>
              <w:t xml:space="preserve">України </w:t>
            </w:r>
            <w:r w:rsidRPr="0019746D">
              <w:rPr>
                <w:b/>
                <w:lang w:val="ru-RU" w:eastAsia="en-US"/>
              </w:rPr>
              <w:t>“</w:t>
            </w:r>
            <w:r w:rsidRPr="006F0944">
              <w:rPr>
                <w:b/>
                <w:lang w:eastAsia="en-US"/>
              </w:rPr>
              <w:t xml:space="preserve">Про </w:t>
            </w:r>
            <w:proofErr w:type="spellStart"/>
            <w:r w:rsidRPr="006F0944">
              <w:rPr>
                <w:b/>
                <w:lang w:eastAsia="en-US"/>
              </w:rPr>
              <w:t>рейтингування</w:t>
            </w:r>
            <w:proofErr w:type="spellEnd"/>
            <w:r w:rsidRPr="0019746D">
              <w:rPr>
                <w:b/>
                <w:lang w:val="ru-RU" w:eastAsia="en-US"/>
              </w:rPr>
              <w:t>”</w:t>
            </w:r>
            <w:r>
              <w:rPr>
                <w:b/>
              </w:rPr>
              <w:t>.</w:t>
            </w:r>
          </w:p>
          <w:p w14:paraId="79A0AAAD" w14:textId="58C43E55" w:rsidR="00DE11B0" w:rsidRDefault="009C5822" w:rsidP="007C634E">
            <w:pPr>
              <w:widowControl w:val="0"/>
              <w:ind w:firstLine="567"/>
            </w:pPr>
            <w:r w:rsidRPr="005736EB">
              <w:t xml:space="preserve">Інші терміни, </w:t>
            </w:r>
            <w:r>
              <w:t>що</w:t>
            </w:r>
            <w:r w:rsidRPr="005736EB">
              <w:t xml:space="preserve"> використовуються в цьому Положенні, уживаються в значеннях, визначених у Законі про фінансові послуги, Законі про страхування та інших </w:t>
            </w:r>
            <w:r w:rsidRPr="005736EB">
              <w:lastRenderedPageBreak/>
              <w:t>нормативно-правових актах з питань регулювання страхової діяльності.</w:t>
            </w:r>
          </w:p>
        </w:tc>
      </w:tr>
      <w:tr w:rsidR="00EA1DBB" w:rsidRPr="00530CFB" w14:paraId="36BC9324" w14:textId="77777777" w:rsidTr="009C5822">
        <w:trPr>
          <w:trHeight w:val="20"/>
        </w:trPr>
        <w:tc>
          <w:tcPr>
            <w:tcW w:w="6875" w:type="dxa"/>
            <w:shd w:val="clear" w:color="auto" w:fill="auto"/>
          </w:tcPr>
          <w:p w14:paraId="41B0F932"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lastRenderedPageBreak/>
              <w:t>4.</w:t>
            </w:r>
            <w:r w:rsidRPr="00EA1DBB">
              <w:rPr>
                <w:rFonts w:ascii="Times New Roman" w:hAnsi="Times New Roman" w:cs="Times New Roman"/>
                <w:color w:val="auto"/>
                <w:sz w:val="28"/>
                <w:szCs w:val="28"/>
              </w:rPr>
              <w:tab/>
              <w:t>Оцінка страховиком платоспроможності може здійснюватися в такому порядку:</w:t>
            </w:r>
          </w:p>
          <w:p w14:paraId="3D54BACC"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p>
          <w:p w14:paraId="768EF075"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1)</w:t>
            </w:r>
            <w:r w:rsidRPr="00EA1DBB">
              <w:rPr>
                <w:rFonts w:ascii="Times New Roman" w:hAnsi="Times New Roman" w:cs="Times New Roman"/>
                <w:color w:val="auto"/>
                <w:sz w:val="28"/>
                <w:szCs w:val="28"/>
              </w:rPr>
              <w:tab/>
              <w:t>визначення регулятивного капіталу як суми капіталу першого рівня, капіталу другого рівня та капіталу третього рівня, що здійснюється в такому порядку:</w:t>
            </w:r>
          </w:p>
          <w:p w14:paraId="64ABBC3A"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розподіл складових регулятивного капіталу між капіталом першого рівня, капіталом другого рівня та капіталом третього рівня відповідно до пунктів 10–19 глави 4 розділу ІІ цього Положення;</w:t>
            </w:r>
          </w:p>
          <w:p w14:paraId="2B60E380"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розрахунок надлишку прийнятних активів для цілей розрахунку регулятивного капіталу над зобов’язаннями страховика відповідно до пункту 20 глави 4 розділу ІІ цього Положення;</w:t>
            </w:r>
          </w:p>
          <w:p w14:paraId="3F046497"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коригування розміру регулятивного капіталу першого або регулятивного капіталу другого рівня, що здійснюється відповідно до пункту 21 глави 4 розділу ІІ цього Положення, на різницю величин, визначених відповідно до абзаців другого та третього підпункту 1 пункту 4 глави 2 розділу І цього Положення;</w:t>
            </w:r>
          </w:p>
          <w:p w14:paraId="7E10FE9B" w14:textId="0878D8C1" w:rsidR="00DE11B0" w:rsidRDefault="00DE11B0" w:rsidP="0058011F">
            <w:pPr>
              <w:pStyle w:val="3"/>
              <w:keepNext w:val="0"/>
              <w:keepLines w:val="0"/>
              <w:widowControl w:val="0"/>
              <w:tabs>
                <w:tab w:val="left" w:pos="885"/>
              </w:tabs>
              <w:ind w:firstLine="460"/>
              <w:outlineLvl w:val="2"/>
              <w:rPr>
                <w:rFonts w:ascii="Times New Roman" w:hAnsi="Times New Roman" w:cs="Times New Roman"/>
                <w:b/>
                <w:color w:val="auto"/>
                <w:sz w:val="28"/>
                <w:szCs w:val="28"/>
              </w:rPr>
            </w:pPr>
          </w:p>
          <w:p w14:paraId="1F200B27" w14:textId="77777777" w:rsidR="00D97898" w:rsidRPr="00D97898" w:rsidRDefault="00D97898" w:rsidP="00D97898"/>
          <w:p w14:paraId="2693CC73" w14:textId="700DB35E" w:rsidR="00EA1DBB" w:rsidRPr="00EA1DBB" w:rsidRDefault="007C634E" w:rsidP="0058011F">
            <w:pPr>
              <w:pStyle w:val="3"/>
              <w:keepNext w:val="0"/>
              <w:keepLines w:val="0"/>
              <w:widowControl w:val="0"/>
              <w:tabs>
                <w:tab w:val="left" w:pos="885"/>
              </w:tabs>
              <w:ind w:firstLine="460"/>
              <w:outlineLvl w:val="2"/>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Абзац </w:t>
            </w:r>
            <w:r w:rsidR="00EA1DBB" w:rsidRPr="00EA1DBB">
              <w:rPr>
                <w:rFonts w:ascii="Times New Roman" w:hAnsi="Times New Roman" w:cs="Times New Roman"/>
                <w:b/>
                <w:color w:val="auto"/>
                <w:sz w:val="28"/>
                <w:szCs w:val="28"/>
              </w:rPr>
              <w:t>відсутній</w:t>
            </w:r>
          </w:p>
          <w:p w14:paraId="69728660" w14:textId="4B1D1E5A" w:rsidR="00EA1DBB" w:rsidRDefault="00EA1DBB" w:rsidP="0058011F"/>
          <w:p w14:paraId="3722435B" w14:textId="5210EC88" w:rsidR="00EA1DBB" w:rsidRDefault="00EA1DBB" w:rsidP="0058011F"/>
          <w:p w14:paraId="6E4EFFDC" w14:textId="37A2B5D7" w:rsidR="00EA1DBB" w:rsidRDefault="00EA1DBB" w:rsidP="0058011F"/>
          <w:p w14:paraId="7826CAC6" w14:textId="188743A4" w:rsidR="0058011F" w:rsidRDefault="0058011F" w:rsidP="0058011F"/>
          <w:p w14:paraId="183A972A" w14:textId="77777777" w:rsidR="00D97898" w:rsidRDefault="00D97898" w:rsidP="0058011F"/>
          <w:p w14:paraId="0F171838"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2)</w:t>
            </w:r>
            <w:r w:rsidRPr="00EA1DBB">
              <w:rPr>
                <w:rFonts w:ascii="Times New Roman" w:hAnsi="Times New Roman" w:cs="Times New Roman"/>
                <w:color w:val="auto"/>
                <w:sz w:val="28"/>
                <w:szCs w:val="28"/>
              </w:rPr>
              <w:tab/>
              <w:t>визначення прийнятного регулятивного капіталу як регулятивного капіталу з дотриманням пропорції складових рівнів регулятивного капіталу відповідно до пунктів 22–25 глави 4 розділу ІІ цього Положення;</w:t>
            </w:r>
          </w:p>
          <w:p w14:paraId="0408D7EA"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p>
          <w:p w14:paraId="624FEEFE"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3)</w:t>
            </w:r>
            <w:r w:rsidRPr="00EA1DBB">
              <w:rPr>
                <w:rFonts w:ascii="Times New Roman" w:hAnsi="Times New Roman" w:cs="Times New Roman"/>
                <w:color w:val="auto"/>
                <w:sz w:val="28"/>
                <w:szCs w:val="28"/>
              </w:rPr>
              <w:tab/>
              <w:t>розрахунок капіталу платоспроможності за спрощеним підходом відповідно до глави 7 розділу ІІІ цього Положення з урахуванням вимог розділу IV цього Положення;</w:t>
            </w:r>
          </w:p>
          <w:p w14:paraId="2F906EF3"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p>
          <w:p w14:paraId="52FD309A"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4)</w:t>
            </w:r>
            <w:r w:rsidRPr="00EA1DBB">
              <w:rPr>
                <w:rFonts w:ascii="Times New Roman" w:hAnsi="Times New Roman" w:cs="Times New Roman"/>
                <w:color w:val="auto"/>
                <w:sz w:val="28"/>
                <w:szCs w:val="28"/>
              </w:rPr>
              <w:tab/>
              <w:t>визначення мінімального капіталу за спрощеним підходом відповідно до глави 8 розділу ІІІ цього Положення;</w:t>
            </w:r>
          </w:p>
          <w:p w14:paraId="563E52FE"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p>
          <w:p w14:paraId="0D0499CE" w14:textId="3002CC51" w:rsidR="00EA1DBB" w:rsidRDefault="00EA1DBB" w:rsidP="0058011F">
            <w:pPr>
              <w:pStyle w:val="3"/>
              <w:keepNext w:val="0"/>
              <w:keepLines w:val="0"/>
              <w:widowControl w:val="0"/>
              <w:tabs>
                <w:tab w:val="left" w:pos="885"/>
              </w:tabs>
              <w:spacing w:before="0"/>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5)</w:t>
            </w:r>
            <w:r w:rsidRPr="00EA1DBB">
              <w:rPr>
                <w:rFonts w:ascii="Times New Roman" w:hAnsi="Times New Roman" w:cs="Times New Roman"/>
                <w:color w:val="auto"/>
                <w:sz w:val="28"/>
                <w:szCs w:val="28"/>
              </w:rPr>
              <w:tab/>
              <w:t>порівняння прийнятного регулятивного капіталу для виконання вимог до капіталу платоспроможності з капіталом платоспроможності та прийнятного ре</w:t>
            </w:r>
            <w:r w:rsidRPr="00EA1DBB">
              <w:rPr>
                <w:rFonts w:ascii="Times New Roman" w:hAnsi="Times New Roman" w:cs="Times New Roman"/>
                <w:color w:val="auto"/>
                <w:sz w:val="28"/>
                <w:szCs w:val="28"/>
              </w:rPr>
              <w:lastRenderedPageBreak/>
              <w:t>гулятивного капіталу для виконання вимог до мінімального капіталу з мінімальним капіталом відповідно до пункту 26 глави 4 розділу ІІ цього Положення.</w:t>
            </w:r>
          </w:p>
        </w:tc>
        <w:tc>
          <w:tcPr>
            <w:tcW w:w="6875" w:type="dxa"/>
            <w:shd w:val="clear" w:color="auto" w:fill="auto"/>
          </w:tcPr>
          <w:p w14:paraId="7C3380A4"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lastRenderedPageBreak/>
              <w:t>4.</w:t>
            </w:r>
            <w:r w:rsidRPr="00EA1DBB">
              <w:rPr>
                <w:rFonts w:ascii="Times New Roman" w:hAnsi="Times New Roman" w:cs="Times New Roman"/>
                <w:color w:val="auto"/>
                <w:sz w:val="28"/>
                <w:szCs w:val="28"/>
              </w:rPr>
              <w:tab/>
              <w:t>Оцінка страховиком платоспроможності може здійснюватися в такому порядку:</w:t>
            </w:r>
          </w:p>
          <w:p w14:paraId="5EDB174D"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p>
          <w:p w14:paraId="1619CB67"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1)</w:t>
            </w:r>
            <w:r w:rsidRPr="00EA1DBB">
              <w:rPr>
                <w:rFonts w:ascii="Times New Roman" w:hAnsi="Times New Roman" w:cs="Times New Roman"/>
                <w:color w:val="auto"/>
                <w:sz w:val="28"/>
                <w:szCs w:val="28"/>
              </w:rPr>
              <w:tab/>
              <w:t>визначення регулятивного капіталу як суми капіталу першого рівня, капіталу другого рівня та капіталу третього рівня, що здійснюється в такому порядку:</w:t>
            </w:r>
          </w:p>
          <w:p w14:paraId="769CED81"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розподіл складових регулятивного капіталу між капіталом першого рівня, капіталом другого рівня та капіталом третього рівня відповідно до пунктів 10–19 глави 4 розділу ІІ цього Положення;</w:t>
            </w:r>
          </w:p>
          <w:p w14:paraId="7D506BD0"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розрахунок надлишку прийнятних активів для цілей розрахунку регулятивного капіталу над зобов’язаннями страховика відповідно до пункту 20 глави 4 розділу ІІ цього Положення;</w:t>
            </w:r>
          </w:p>
          <w:p w14:paraId="114517CE" w14:textId="3CC59754" w:rsid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коригування розміру регулятивного капіталу першого або регулятивного капіталу другого рівня, що здійснюється відповідно до пункту 21 глави 4 розділу ІІ цього Положення, на різницю величин, визначених відповідно до абзаців другого та третього підпункту 1 пункту 4 глави 2 розділу І цього Положення</w:t>
            </w:r>
            <w:r>
              <w:rPr>
                <w:rFonts w:ascii="Times New Roman" w:hAnsi="Times New Roman" w:cs="Times New Roman"/>
                <w:color w:val="auto"/>
                <w:sz w:val="28"/>
                <w:szCs w:val="28"/>
              </w:rPr>
              <w:t>.</w:t>
            </w:r>
          </w:p>
          <w:p w14:paraId="034B363B" w14:textId="77777777" w:rsidR="00D97898" w:rsidRPr="00D97898" w:rsidRDefault="00D97898" w:rsidP="00D97898"/>
          <w:p w14:paraId="5272180B" w14:textId="4BD95BC0" w:rsidR="00EA1DBB" w:rsidRDefault="00EA1DBB" w:rsidP="0058011F">
            <w:pPr>
              <w:pStyle w:val="3"/>
              <w:keepNext w:val="0"/>
              <w:keepLines w:val="0"/>
              <w:widowControl w:val="0"/>
              <w:tabs>
                <w:tab w:val="left" w:pos="885"/>
              </w:tabs>
              <w:ind w:firstLine="460"/>
              <w:outlineLvl w:val="2"/>
              <w:rPr>
                <w:rFonts w:ascii="Times New Roman" w:hAnsi="Times New Roman" w:cs="Times New Roman"/>
                <w:b/>
                <w:color w:val="auto"/>
                <w:sz w:val="28"/>
                <w:szCs w:val="28"/>
              </w:rPr>
            </w:pPr>
            <w:r w:rsidRPr="00EA1DBB">
              <w:rPr>
                <w:rFonts w:ascii="Times New Roman" w:hAnsi="Times New Roman" w:cs="Times New Roman"/>
                <w:b/>
                <w:color w:val="auto"/>
                <w:sz w:val="28"/>
                <w:szCs w:val="28"/>
              </w:rPr>
              <w:lastRenderedPageBreak/>
              <w:t>Страховик визначає розмір регулятивного капіталу, ґрунтуючись на актуальних</w:t>
            </w:r>
            <w:r w:rsidR="005178C2">
              <w:rPr>
                <w:rFonts w:ascii="Times New Roman" w:hAnsi="Times New Roman" w:cs="Times New Roman"/>
                <w:b/>
                <w:color w:val="auto"/>
                <w:sz w:val="28"/>
                <w:szCs w:val="28"/>
              </w:rPr>
              <w:t xml:space="preserve"> (станом на день розрахунку регулятивного капіталу)</w:t>
            </w:r>
            <w:r w:rsidRPr="00EA1DBB">
              <w:rPr>
                <w:rFonts w:ascii="Times New Roman" w:hAnsi="Times New Roman" w:cs="Times New Roman"/>
                <w:b/>
                <w:color w:val="auto"/>
                <w:sz w:val="28"/>
                <w:szCs w:val="28"/>
              </w:rPr>
              <w:t>, відповідних, достовірних, повних даних з урахуванням вимог розділу ІІ цього Положення</w:t>
            </w:r>
            <w:r w:rsidR="00C80CF0">
              <w:rPr>
                <w:rFonts w:ascii="Times New Roman" w:hAnsi="Times New Roman" w:cs="Times New Roman"/>
                <w:b/>
                <w:color w:val="auto"/>
                <w:sz w:val="28"/>
                <w:szCs w:val="28"/>
              </w:rPr>
              <w:t>;</w:t>
            </w:r>
          </w:p>
          <w:p w14:paraId="6CA1A166" w14:textId="77777777" w:rsidR="007C634E" w:rsidRPr="007C634E" w:rsidRDefault="007C634E" w:rsidP="007C634E"/>
          <w:p w14:paraId="2E178D9D"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2)</w:t>
            </w:r>
            <w:r w:rsidRPr="00EA1DBB">
              <w:rPr>
                <w:rFonts w:ascii="Times New Roman" w:hAnsi="Times New Roman" w:cs="Times New Roman"/>
                <w:color w:val="auto"/>
                <w:sz w:val="28"/>
                <w:szCs w:val="28"/>
              </w:rPr>
              <w:tab/>
              <w:t>визначення прийнятного регулятивного капіталу як регулятивного капіталу з дотриманням пропорції складових рівнів регулятивного капіталу відповідно до пунктів 22–25 глави 4 розділу ІІ цього Положення;</w:t>
            </w:r>
          </w:p>
          <w:p w14:paraId="58A07E99"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p>
          <w:p w14:paraId="2025A720"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3)</w:t>
            </w:r>
            <w:r w:rsidRPr="00EA1DBB">
              <w:rPr>
                <w:rFonts w:ascii="Times New Roman" w:hAnsi="Times New Roman" w:cs="Times New Roman"/>
                <w:color w:val="auto"/>
                <w:sz w:val="28"/>
                <w:szCs w:val="28"/>
              </w:rPr>
              <w:tab/>
              <w:t>розрахунок капіталу платоспроможності за спрощеним підходом відповідно до глави 7 розділу ІІІ цього Положення з урахуванням вимог розділу IV цього Положення;</w:t>
            </w:r>
          </w:p>
          <w:p w14:paraId="5F892D8C"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p>
          <w:p w14:paraId="2CA5332B"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4)</w:t>
            </w:r>
            <w:r w:rsidRPr="00EA1DBB">
              <w:rPr>
                <w:rFonts w:ascii="Times New Roman" w:hAnsi="Times New Roman" w:cs="Times New Roman"/>
                <w:color w:val="auto"/>
                <w:sz w:val="28"/>
                <w:szCs w:val="28"/>
              </w:rPr>
              <w:tab/>
              <w:t>визначення мінімального капіталу за спрощеним підходом відповідно до глави 8 розділу ІІІ цього Положення;</w:t>
            </w:r>
          </w:p>
          <w:p w14:paraId="58A8D442" w14:textId="77777777" w:rsidR="00EA1DBB" w:rsidRPr="00EA1DBB" w:rsidRDefault="00EA1DBB" w:rsidP="0058011F">
            <w:pPr>
              <w:pStyle w:val="3"/>
              <w:keepNext w:val="0"/>
              <w:keepLines w:val="0"/>
              <w:widowControl w:val="0"/>
              <w:tabs>
                <w:tab w:val="left" w:pos="885"/>
              </w:tabs>
              <w:ind w:firstLine="460"/>
              <w:outlineLvl w:val="2"/>
              <w:rPr>
                <w:rFonts w:ascii="Times New Roman" w:hAnsi="Times New Roman" w:cs="Times New Roman"/>
                <w:color w:val="auto"/>
                <w:sz w:val="28"/>
                <w:szCs w:val="28"/>
              </w:rPr>
            </w:pPr>
          </w:p>
          <w:p w14:paraId="048D2B23" w14:textId="5D635A72" w:rsidR="007C634E" w:rsidRPr="007C634E" w:rsidRDefault="00EA1DBB" w:rsidP="007C634E">
            <w:pPr>
              <w:pStyle w:val="3"/>
              <w:keepNext w:val="0"/>
              <w:keepLines w:val="0"/>
              <w:widowControl w:val="0"/>
              <w:tabs>
                <w:tab w:val="left" w:pos="885"/>
              </w:tabs>
              <w:spacing w:before="0"/>
              <w:ind w:firstLine="460"/>
              <w:outlineLvl w:val="2"/>
              <w:rPr>
                <w:rFonts w:ascii="Times New Roman" w:hAnsi="Times New Roman" w:cs="Times New Roman"/>
                <w:color w:val="auto"/>
                <w:sz w:val="28"/>
                <w:szCs w:val="28"/>
              </w:rPr>
            </w:pPr>
            <w:r w:rsidRPr="00EA1DBB">
              <w:rPr>
                <w:rFonts w:ascii="Times New Roman" w:hAnsi="Times New Roman" w:cs="Times New Roman"/>
                <w:color w:val="auto"/>
                <w:sz w:val="28"/>
                <w:szCs w:val="28"/>
              </w:rPr>
              <w:t>5)</w:t>
            </w:r>
            <w:r w:rsidRPr="00EA1DBB">
              <w:rPr>
                <w:rFonts w:ascii="Times New Roman" w:hAnsi="Times New Roman" w:cs="Times New Roman"/>
                <w:color w:val="auto"/>
                <w:sz w:val="28"/>
                <w:szCs w:val="28"/>
              </w:rPr>
              <w:tab/>
              <w:t>порівняння прийнятного регулятивного капіталу для виконання вимог до капіталу платоспроможності з капіталом платоспроможності та прийнятного ре</w:t>
            </w:r>
            <w:r w:rsidRPr="00EA1DBB">
              <w:rPr>
                <w:rFonts w:ascii="Times New Roman" w:hAnsi="Times New Roman" w:cs="Times New Roman"/>
                <w:color w:val="auto"/>
                <w:sz w:val="28"/>
                <w:szCs w:val="28"/>
              </w:rPr>
              <w:lastRenderedPageBreak/>
              <w:t>гулятивного капіталу для виконання вимог до мінімального капіталу з мінімальним капіталом відповідно до пункту 26 глави 4 розділу ІІ цього Положення.</w:t>
            </w:r>
          </w:p>
        </w:tc>
      </w:tr>
      <w:tr w:rsidR="009C5822" w:rsidRPr="00B73144" w14:paraId="10DF20CE" w14:textId="77777777" w:rsidTr="009C5822">
        <w:trPr>
          <w:trHeight w:val="20"/>
        </w:trPr>
        <w:tc>
          <w:tcPr>
            <w:tcW w:w="6875" w:type="dxa"/>
            <w:shd w:val="clear" w:color="auto" w:fill="auto"/>
          </w:tcPr>
          <w:p w14:paraId="2B188019" w14:textId="77777777" w:rsidR="009C5822" w:rsidRPr="008F2D64" w:rsidRDefault="009C5822" w:rsidP="0058011F">
            <w:pPr>
              <w:pStyle w:val="3"/>
              <w:keepNext w:val="0"/>
              <w:keepLines w:val="0"/>
              <w:widowControl w:val="0"/>
              <w:numPr>
                <w:ilvl w:val="0"/>
                <w:numId w:val="1"/>
              </w:numPr>
              <w:spacing w:before="0"/>
              <w:ind w:left="35" w:firstLine="567"/>
              <w:outlineLvl w:val="2"/>
              <w:rPr>
                <w:rFonts w:ascii="Times New Roman" w:hAnsi="Times New Roman" w:cs="Times New Roman"/>
                <w:color w:val="auto"/>
                <w:sz w:val="28"/>
                <w:szCs w:val="28"/>
              </w:rPr>
            </w:pPr>
            <w:r w:rsidRPr="008F2D64">
              <w:rPr>
                <w:rFonts w:ascii="Times New Roman" w:hAnsi="Times New Roman" w:cs="Times New Roman"/>
                <w:color w:val="auto"/>
                <w:sz w:val="28"/>
                <w:szCs w:val="28"/>
              </w:rPr>
              <w:lastRenderedPageBreak/>
              <w:t xml:space="preserve">Регулятивний капітал першого рівня </w:t>
            </w:r>
            <w:r>
              <w:rPr>
                <w:rFonts w:ascii="Times New Roman" w:hAnsi="Times New Roman" w:cs="Times New Roman"/>
                <w:color w:val="auto"/>
                <w:sz w:val="28"/>
                <w:szCs w:val="28"/>
              </w:rPr>
              <w:t>містить</w:t>
            </w:r>
            <w:r w:rsidRPr="008F2D64">
              <w:rPr>
                <w:rFonts w:ascii="Times New Roman" w:hAnsi="Times New Roman" w:cs="Times New Roman"/>
                <w:color w:val="auto"/>
                <w:sz w:val="28"/>
                <w:szCs w:val="28"/>
              </w:rPr>
              <w:t xml:space="preserve"> такі складові:</w:t>
            </w:r>
          </w:p>
          <w:p w14:paraId="5E31779A" w14:textId="77777777" w:rsidR="009C5822" w:rsidRDefault="009C5822" w:rsidP="0058011F">
            <w:pPr>
              <w:pStyle w:val="ae"/>
              <w:widowControl w:val="0"/>
              <w:tabs>
                <w:tab w:val="left" w:pos="984"/>
              </w:tabs>
              <w:ind w:left="0" w:firstLine="567"/>
            </w:pPr>
            <w:r>
              <w:t>…</w:t>
            </w:r>
          </w:p>
          <w:p w14:paraId="2AC62A82" w14:textId="77777777" w:rsidR="009C5822" w:rsidRDefault="009C5822" w:rsidP="0058011F">
            <w:pPr>
              <w:pStyle w:val="ae"/>
              <w:widowControl w:val="0"/>
              <w:numPr>
                <w:ilvl w:val="1"/>
                <w:numId w:val="8"/>
              </w:numPr>
              <w:tabs>
                <w:tab w:val="left" w:pos="1097"/>
              </w:tabs>
              <w:ind w:left="0" w:firstLine="530"/>
            </w:pPr>
            <w:r w:rsidRPr="00F92DEA">
              <w:t>нерозподілений прибуток минулих років, розмір якого визначається за даними звіту про фінансовий стан страховика у складі фінансової звітності страховика, достовірність та повнота якої підтверджені згідно з аудиторським звітом щодо проведення обов’язкового аудиту фінансової звітності страховика, складеним суб’єктом аудиторської діяльності, що має право здійснювати обов’язковий аудит фінансової звітності підприємств, що становлять суспільний інтерес, який містить немодифіковану думку такого суб’єкта аудиторської діяльності, та зазначений у складі власного капіталу в регуляторній звітності страховика після:</w:t>
            </w:r>
          </w:p>
          <w:p w14:paraId="0F5995B8" w14:textId="77777777" w:rsidR="009C5822" w:rsidRDefault="009C5822" w:rsidP="0058011F">
            <w:pPr>
              <w:pStyle w:val="ae"/>
              <w:ind w:left="567"/>
            </w:pPr>
            <w:r w:rsidRPr="00F92DEA">
              <w:t>вирахування дивідендів, які мають бути виплачені;</w:t>
            </w:r>
          </w:p>
          <w:p w14:paraId="7AD17B2C" w14:textId="15ADDED1" w:rsidR="009C5822" w:rsidRPr="007C634E" w:rsidRDefault="009C5822" w:rsidP="0058011F">
            <w:pPr>
              <w:pStyle w:val="ae"/>
              <w:ind w:left="0" w:firstLine="567"/>
              <w:rPr>
                <w:rFonts w:eastAsia="SimSun"/>
                <w:sz w:val="24"/>
                <w:szCs w:val="24"/>
              </w:rPr>
            </w:pPr>
            <w:r w:rsidRPr="00F92DEA">
              <w:t xml:space="preserve">іншого розподілу такого нерозподіленого прибутку, здійсненого після звітної дати, на яку була складена така фінансова звітність, включаючи </w:t>
            </w:r>
            <w:r w:rsidRPr="002E6DF3">
              <w:rPr>
                <w:b/>
                <w:strike/>
              </w:rPr>
              <w:t xml:space="preserve">направлення такого нерозподіленого прибутку на </w:t>
            </w:r>
            <w:r w:rsidRPr="00F92DEA">
              <w:t>збільшення статутного капіталу страховика, резервів та фондів страховика.</w:t>
            </w:r>
          </w:p>
          <w:p w14:paraId="555D136F" w14:textId="1AE181C2" w:rsidR="009C5822" w:rsidRPr="00EE7EBA" w:rsidRDefault="009C5822" w:rsidP="0058011F">
            <w:pPr>
              <w:widowControl w:val="0"/>
              <w:ind w:firstLine="567"/>
              <w:rPr>
                <w:b/>
              </w:rPr>
            </w:pPr>
            <w:bookmarkStart w:id="0" w:name="_GoBack"/>
            <w:bookmarkEnd w:id="0"/>
            <w:r w:rsidRPr="00EE7EBA">
              <w:rPr>
                <w:b/>
              </w:rPr>
              <w:lastRenderedPageBreak/>
              <w:t>Абзац відсутній</w:t>
            </w:r>
          </w:p>
          <w:p w14:paraId="6A3BC6F6" w14:textId="77777777" w:rsidR="009C5822" w:rsidRDefault="009C5822" w:rsidP="0058011F">
            <w:pPr>
              <w:widowControl w:val="0"/>
              <w:ind w:firstLine="567"/>
            </w:pPr>
          </w:p>
          <w:p w14:paraId="24C90D21" w14:textId="4C9B6953" w:rsidR="009C5822" w:rsidRDefault="009C5822" w:rsidP="0058011F">
            <w:pPr>
              <w:widowControl w:val="0"/>
              <w:ind w:firstLine="567"/>
            </w:pPr>
          </w:p>
          <w:p w14:paraId="01246E63" w14:textId="77777777" w:rsidR="00C515F3" w:rsidRDefault="00C515F3" w:rsidP="0058011F">
            <w:pPr>
              <w:widowControl w:val="0"/>
              <w:ind w:firstLine="567"/>
            </w:pPr>
          </w:p>
          <w:p w14:paraId="516F4430" w14:textId="64FBE4AA" w:rsidR="009C5822" w:rsidRPr="008F2D64" w:rsidRDefault="009C5822" w:rsidP="0058011F">
            <w:pPr>
              <w:widowControl w:val="0"/>
              <w:ind w:firstLine="567"/>
            </w:pPr>
            <w:r w:rsidRPr="008F2D64">
              <w:t xml:space="preserve">Регулятивний капітал першого рівня не </w:t>
            </w:r>
            <w:r>
              <w:t>містить</w:t>
            </w:r>
            <w:r w:rsidRPr="008F2D64">
              <w:t xml:space="preserve"> </w:t>
            </w:r>
            <w:r w:rsidRPr="00840F84">
              <w:t>прибутку поточного та звітного років, зазначеного в підпункті 3 пункту 14 глави 4 розділу ІІ цього Положення</w:t>
            </w:r>
            <w:r w:rsidRPr="008F2D64">
              <w:t xml:space="preserve">; </w:t>
            </w:r>
          </w:p>
          <w:p w14:paraId="3497D35C" w14:textId="77777777" w:rsidR="009C5822" w:rsidRPr="008F2D64" w:rsidRDefault="009C5822" w:rsidP="0058011F">
            <w:pPr>
              <w:widowControl w:val="0"/>
              <w:ind w:firstLine="567"/>
            </w:pPr>
          </w:p>
          <w:p w14:paraId="3F9435CE" w14:textId="77777777" w:rsidR="009C5822" w:rsidRPr="008F2D64" w:rsidRDefault="009C5822" w:rsidP="0058011F">
            <w:pPr>
              <w:pStyle w:val="ae"/>
              <w:widowControl w:val="0"/>
              <w:numPr>
                <w:ilvl w:val="1"/>
                <w:numId w:val="8"/>
              </w:numPr>
              <w:tabs>
                <w:tab w:val="left" w:pos="1097"/>
              </w:tabs>
              <w:ind w:left="0" w:firstLine="530"/>
            </w:pPr>
            <w:r w:rsidRPr="008F2D64">
              <w:t>резерви та фонди, створені або збільшені за рахунок нерозподіленого прибутку та інформація про які розкрита у фінансов</w:t>
            </w:r>
            <w:r>
              <w:t>ій</w:t>
            </w:r>
            <w:r w:rsidRPr="008F2D64">
              <w:t xml:space="preserve"> звітності страховика </w:t>
            </w:r>
            <w:r>
              <w:t xml:space="preserve">і </w:t>
            </w:r>
            <w:r w:rsidRPr="008F2D64">
              <w:t xml:space="preserve">зазначена </w:t>
            </w:r>
            <w:r>
              <w:t>в</w:t>
            </w:r>
            <w:r w:rsidRPr="008F2D64">
              <w:t xml:space="preserve"> регуляторній звітності страховика, що </w:t>
            </w:r>
            <w:r>
              <w:t>містять у собі</w:t>
            </w:r>
            <w:r w:rsidRPr="008F2D64">
              <w:t>:</w:t>
            </w:r>
          </w:p>
          <w:p w14:paraId="33E10152" w14:textId="77777777" w:rsidR="009C5822" w:rsidRPr="008F2D64" w:rsidRDefault="009C5822" w:rsidP="0058011F">
            <w:pPr>
              <w:pStyle w:val="ae"/>
              <w:widowControl w:val="0"/>
              <w:ind w:left="0" w:firstLine="567"/>
            </w:pPr>
            <w:r w:rsidRPr="008F2D64">
              <w:t>резервний капітал, що створюється згідно із законодавством України;</w:t>
            </w:r>
          </w:p>
          <w:p w14:paraId="59FC6654" w14:textId="77777777" w:rsidR="009C5822" w:rsidRPr="008F2D64" w:rsidRDefault="009C5822" w:rsidP="0058011F">
            <w:pPr>
              <w:pStyle w:val="ae"/>
              <w:widowControl w:val="0"/>
              <w:ind w:left="0" w:firstLine="567"/>
            </w:pPr>
            <w:r w:rsidRPr="008F2D64">
              <w:t>додаткові та спеціальні фонди, що створюються відповідно до статуту страховика для цілей інших, ніж виплата дивідендів;</w:t>
            </w:r>
          </w:p>
          <w:p w14:paraId="42EE7F8E" w14:textId="77777777" w:rsidR="009C5822" w:rsidRPr="008F2D64" w:rsidRDefault="009C5822" w:rsidP="0058011F">
            <w:pPr>
              <w:pStyle w:val="ae"/>
              <w:widowControl w:val="0"/>
              <w:ind w:left="0" w:firstLine="567"/>
            </w:pPr>
            <w:r w:rsidRPr="008F2D64">
              <w:t xml:space="preserve">інші резерви, що обліковуються у складі власного капіталу страховика, створені страховиком відповідно до внутрішніх документів страховика для виконання зобов’язань за договорами страхування (перестрахування), крім технічних резервів, розрахованих відповідно до нормативно-правового </w:t>
            </w:r>
            <w:proofErr w:type="spellStart"/>
            <w:r w:rsidRPr="008F2D64">
              <w:t>акта</w:t>
            </w:r>
            <w:proofErr w:type="spellEnd"/>
            <w:r w:rsidRPr="008F2D64">
              <w:t xml:space="preserve"> Національного банку щодо порядку формування страховиками технічних </w:t>
            </w:r>
            <w:r w:rsidRPr="008F2D64">
              <w:lastRenderedPageBreak/>
              <w:t>резервів.</w:t>
            </w:r>
          </w:p>
          <w:p w14:paraId="52A038A9" w14:textId="77777777" w:rsidR="009C5822" w:rsidRPr="008F2D64" w:rsidRDefault="009C5822" w:rsidP="0058011F">
            <w:pPr>
              <w:widowControl w:val="0"/>
              <w:ind w:firstLine="567"/>
            </w:pPr>
            <w:r w:rsidRPr="008F2D64">
              <w:t xml:space="preserve">Резерви і фонди, визначені в підпункті 4 пункту 11 глави 4 розділу ІІ цього Положення (далі – резервні фонди), включаються до складу регулятивного капіталу першого рівня за умови, що вони відповідають таким критеріям: </w:t>
            </w:r>
          </w:p>
          <w:p w14:paraId="67AA8F92" w14:textId="77777777" w:rsidR="009C5822" w:rsidRPr="008F2D64" w:rsidRDefault="009C5822" w:rsidP="0058011F">
            <w:pPr>
              <w:widowControl w:val="0"/>
              <w:ind w:firstLine="567"/>
            </w:pPr>
            <w:r w:rsidRPr="008F2D64">
              <w:t>відрахування до резервних фондів здійснено з прибутку після оподаткування або з прибутку до оподаткування, скоригованого на всі потенційні податкові зобов</w:t>
            </w:r>
            <w:r>
              <w:t>’</w:t>
            </w:r>
            <w:r w:rsidRPr="008F2D64">
              <w:t xml:space="preserve">язання, визначеного на підставі фінансової звітності страховика, достовірність та повнота якої підтверджені </w:t>
            </w:r>
            <w:r w:rsidRPr="008F2D64">
              <w:rPr>
                <w:lang w:eastAsia="en-US"/>
              </w:rPr>
              <w:t xml:space="preserve">згідно з аудиторським звітом щодо проведення обов’язкового аудиту фінансової звітності страховика, складеним </w:t>
            </w:r>
            <w:r w:rsidRPr="008F2D64">
              <w:t xml:space="preserve">суб’єктом аудиторської діяльності, що має право здійснювати обов’язковий аудит фінансової звітності підприємств, що становлять суспільний інтерес, який містить немодифіковану думку такого суб’єкта аудиторської діяльності; </w:t>
            </w:r>
          </w:p>
          <w:p w14:paraId="65E2F9CD" w14:textId="0637D999" w:rsidR="009C5822" w:rsidRDefault="009C5822" w:rsidP="0058011F">
            <w:pPr>
              <w:widowControl w:val="0"/>
              <w:ind w:firstLine="567"/>
            </w:pPr>
          </w:p>
          <w:p w14:paraId="27A37503" w14:textId="77777777" w:rsidR="0058011F" w:rsidRDefault="0058011F" w:rsidP="0058011F">
            <w:pPr>
              <w:widowControl w:val="0"/>
              <w:ind w:firstLine="567"/>
            </w:pPr>
          </w:p>
          <w:p w14:paraId="1552CEA0" w14:textId="5E2FABE9" w:rsidR="009C5822" w:rsidRPr="008F2D64" w:rsidRDefault="009C5822" w:rsidP="0058011F">
            <w:pPr>
              <w:widowControl w:val="0"/>
              <w:ind w:firstLine="567"/>
            </w:pPr>
            <w:r w:rsidRPr="008F2D64">
              <w:t xml:space="preserve">призначення резервних фондів і рух коштів </w:t>
            </w:r>
            <w:r>
              <w:t>за</w:t>
            </w:r>
            <w:r w:rsidRPr="008F2D64">
              <w:t xml:space="preserve"> ним</w:t>
            </w:r>
            <w:r>
              <w:t>и</w:t>
            </w:r>
            <w:r w:rsidRPr="008F2D64">
              <w:t xml:space="preserve"> окремо розкрито у звітності страховика; </w:t>
            </w:r>
          </w:p>
          <w:p w14:paraId="61F600E1" w14:textId="24CD89E6" w:rsidR="009C5822" w:rsidRPr="00840F84" w:rsidRDefault="009C5822" w:rsidP="0058011F">
            <w:pPr>
              <w:pStyle w:val="ae"/>
              <w:widowControl w:val="0"/>
              <w:tabs>
                <w:tab w:val="left" w:pos="984"/>
              </w:tabs>
              <w:ind w:left="0" w:firstLine="567"/>
            </w:pPr>
            <w:r w:rsidRPr="008F2D64">
              <w:t>резервні фонди повинні бути в розпорядженні страховика з метою необмеженого і негайного їх використання для покриття збитків.</w:t>
            </w:r>
          </w:p>
        </w:tc>
        <w:tc>
          <w:tcPr>
            <w:tcW w:w="6875" w:type="dxa"/>
            <w:shd w:val="clear" w:color="auto" w:fill="auto"/>
          </w:tcPr>
          <w:p w14:paraId="358C90AE" w14:textId="77777777" w:rsidR="009C5822" w:rsidRPr="008F2D64" w:rsidRDefault="009C5822" w:rsidP="0058011F">
            <w:pPr>
              <w:pStyle w:val="3"/>
              <w:keepNext w:val="0"/>
              <w:keepLines w:val="0"/>
              <w:widowControl w:val="0"/>
              <w:numPr>
                <w:ilvl w:val="0"/>
                <w:numId w:val="5"/>
              </w:numPr>
              <w:spacing w:before="0"/>
              <w:ind w:left="0" w:firstLine="530"/>
              <w:outlineLvl w:val="2"/>
              <w:rPr>
                <w:rFonts w:ascii="Times New Roman" w:hAnsi="Times New Roman" w:cs="Times New Roman"/>
                <w:color w:val="auto"/>
                <w:sz w:val="28"/>
                <w:szCs w:val="28"/>
              </w:rPr>
            </w:pPr>
            <w:r w:rsidRPr="008F2D64">
              <w:rPr>
                <w:rFonts w:ascii="Times New Roman" w:hAnsi="Times New Roman" w:cs="Times New Roman"/>
                <w:color w:val="auto"/>
                <w:sz w:val="28"/>
                <w:szCs w:val="28"/>
              </w:rPr>
              <w:lastRenderedPageBreak/>
              <w:t xml:space="preserve">Регулятивний капітал першого рівня </w:t>
            </w:r>
            <w:r>
              <w:rPr>
                <w:rFonts w:ascii="Times New Roman" w:hAnsi="Times New Roman" w:cs="Times New Roman"/>
                <w:color w:val="auto"/>
                <w:sz w:val="28"/>
                <w:szCs w:val="28"/>
              </w:rPr>
              <w:t>містить</w:t>
            </w:r>
            <w:r w:rsidRPr="008F2D64">
              <w:rPr>
                <w:rFonts w:ascii="Times New Roman" w:hAnsi="Times New Roman" w:cs="Times New Roman"/>
                <w:color w:val="auto"/>
                <w:sz w:val="28"/>
                <w:szCs w:val="28"/>
              </w:rPr>
              <w:t xml:space="preserve"> такі складові:</w:t>
            </w:r>
          </w:p>
          <w:p w14:paraId="73A27C0A" w14:textId="337C42D8" w:rsidR="009C5822" w:rsidRDefault="009C5822" w:rsidP="0058011F">
            <w:pPr>
              <w:pStyle w:val="ae"/>
              <w:widowControl w:val="0"/>
              <w:ind w:left="0" w:firstLine="567"/>
            </w:pPr>
            <w:r>
              <w:t>…</w:t>
            </w:r>
          </w:p>
          <w:p w14:paraId="03E45189" w14:textId="6A358A08" w:rsidR="009C5822" w:rsidRDefault="009C5822" w:rsidP="0058011F">
            <w:pPr>
              <w:pStyle w:val="ae"/>
              <w:widowControl w:val="0"/>
              <w:numPr>
                <w:ilvl w:val="1"/>
                <w:numId w:val="9"/>
              </w:numPr>
              <w:tabs>
                <w:tab w:val="left" w:pos="1097"/>
              </w:tabs>
              <w:ind w:left="0" w:firstLine="530"/>
            </w:pPr>
            <w:r w:rsidRPr="00F92DEA">
              <w:t xml:space="preserve">нерозподілений прибуток минулих років, розмір якого визначається за даними </w:t>
            </w:r>
            <w:r w:rsidRPr="00576498">
              <w:rPr>
                <w:b/>
              </w:rPr>
              <w:t>останнього</w:t>
            </w:r>
            <w:r>
              <w:t xml:space="preserve"> </w:t>
            </w:r>
            <w:r w:rsidRPr="00F92DEA">
              <w:t xml:space="preserve">звіту про фінансовий стан страховика у складі </w:t>
            </w:r>
            <w:r w:rsidRPr="00576498">
              <w:rPr>
                <w:b/>
              </w:rPr>
              <w:t>річної</w:t>
            </w:r>
            <w:r>
              <w:t xml:space="preserve"> </w:t>
            </w:r>
            <w:r w:rsidRPr="00F92DEA">
              <w:t>фінансової звітності страховика, достовірність та повнота якої підтверджені згідно з аудиторським звітом щодо проведення обов’язкового аудиту фінансової звітності страховика, складеним суб’єктом аудиторської діяльності, що має право здійснювати обов’язковий аудит фінансової звітності підприємств, що становлять суспільний інтерес, який містить немодифіковану думку такого суб’єкта аудиторської діяльності, та зазначений у складі власного капіталу в регуляторній звітності страховика після:</w:t>
            </w:r>
          </w:p>
          <w:p w14:paraId="6918974F" w14:textId="77777777" w:rsidR="009C5822" w:rsidRDefault="009C5822" w:rsidP="0058011F">
            <w:pPr>
              <w:pStyle w:val="ae"/>
              <w:ind w:left="567"/>
            </w:pPr>
            <w:r w:rsidRPr="00F92DEA">
              <w:t>вирахування дивідендів, які мають бути виплачені;</w:t>
            </w:r>
          </w:p>
          <w:p w14:paraId="41353CBE" w14:textId="77777777" w:rsidR="00C515F3" w:rsidRDefault="009C5822" w:rsidP="0058011F">
            <w:pPr>
              <w:pStyle w:val="ae"/>
              <w:ind w:left="0" w:firstLine="567"/>
              <w:rPr>
                <w:b/>
              </w:rPr>
            </w:pPr>
            <w:r w:rsidRPr="00F92DEA">
              <w:t xml:space="preserve">іншого розподілу такого нерозподіленого прибутку, здійсненого після звітної дати, на яку була складена така фінансова звітність, включаючи </w:t>
            </w:r>
            <w:r w:rsidRPr="002E6DF3">
              <w:rPr>
                <w:b/>
              </w:rPr>
              <w:t>здійснене</w:t>
            </w:r>
            <w:r w:rsidRPr="00F92DEA">
              <w:t xml:space="preserve"> збільшення статутного капіталу страховика, резервів та фондів страховика</w:t>
            </w:r>
            <w:r>
              <w:t xml:space="preserve"> </w:t>
            </w:r>
            <w:r w:rsidRPr="002E6DF3">
              <w:rPr>
                <w:b/>
              </w:rPr>
              <w:t>за рахунок нерозподіленого прибутку</w:t>
            </w:r>
            <w:r>
              <w:rPr>
                <w:b/>
              </w:rPr>
              <w:t>;</w:t>
            </w:r>
          </w:p>
          <w:p w14:paraId="6F71A7C9" w14:textId="40E58BE9" w:rsidR="009C5822" w:rsidRPr="0058011F" w:rsidRDefault="009C5822" w:rsidP="0058011F">
            <w:pPr>
              <w:pStyle w:val="ae"/>
              <w:ind w:left="0" w:firstLine="567"/>
              <w:rPr>
                <w:b/>
              </w:rPr>
            </w:pPr>
            <w:r>
              <w:rPr>
                <w:b/>
              </w:rPr>
              <w:lastRenderedPageBreak/>
              <w:t xml:space="preserve">здійснення іншої зміни такого </w:t>
            </w:r>
            <w:r w:rsidRPr="00CB2DBA">
              <w:rPr>
                <w:b/>
              </w:rPr>
              <w:t>нерозподілен</w:t>
            </w:r>
            <w:r>
              <w:rPr>
                <w:b/>
              </w:rPr>
              <w:t>ого прибут</w:t>
            </w:r>
            <w:r w:rsidRPr="00CB2DBA">
              <w:rPr>
                <w:b/>
              </w:rPr>
              <w:t>к</w:t>
            </w:r>
            <w:r>
              <w:rPr>
                <w:b/>
              </w:rPr>
              <w:t>у внаслідок перерозподілу елементів власного капіталу, зазначеного в пункті 18</w:t>
            </w:r>
            <w:r w:rsidRPr="00A94519">
              <w:rPr>
                <w:b/>
                <w:vertAlign w:val="superscript"/>
              </w:rPr>
              <w:t>1</w:t>
            </w:r>
            <w:r>
              <w:rPr>
                <w:b/>
              </w:rPr>
              <w:t xml:space="preserve"> </w:t>
            </w:r>
            <w:r w:rsidRPr="00CB2DBA">
              <w:rPr>
                <w:b/>
              </w:rPr>
              <w:t>глави 4 розділу ІІ цього Положення</w:t>
            </w:r>
            <w:r w:rsidRPr="00F92DEA">
              <w:t>.</w:t>
            </w:r>
            <w:r w:rsidRPr="00F92DEA">
              <w:rPr>
                <w:i/>
              </w:rPr>
              <w:t xml:space="preserve"> </w:t>
            </w:r>
          </w:p>
          <w:p w14:paraId="5DA7EF14" w14:textId="1B24656A" w:rsidR="009C5822" w:rsidRPr="008F2D64" w:rsidRDefault="009C5822" w:rsidP="0058011F">
            <w:pPr>
              <w:widowControl w:val="0"/>
              <w:ind w:firstLine="567"/>
            </w:pPr>
            <w:r w:rsidRPr="008F2D64">
              <w:t xml:space="preserve">Регулятивний капітал першого рівня не </w:t>
            </w:r>
            <w:r>
              <w:t>містить</w:t>
            </w:r>
            <w:r w:rsidRPr="008F2D64">
              <w:t xml:space="preserve"> </w:t>
            </w:r>
            <w:r w:rsidRPr="00840F84">
              <w:t>прибутку поточного та звітного років, зазначеного в підпункті 3 пункту 14 глави 4 розділу ІІ цього Положення</w:t>
            </w:r>
            <w:r w:rsidRPr="008F2D64">
              <w:t xml:space="preserve">; </w:t>
            </w:r>
          </w:p>
          <w:p w14:paraId="0E8BC1B0" w14:textId="617483E2" w:rsidR="009C5822" w:rsidRDefault="009C5822" w:rsidP="0058011F">
            <w:pPr>
              <w:widowControl w:val="0"/>
              <w:ind w:firstLine="567"/>
            </w:pPr>
          </w:p>
          <w:p w14:paraId="2292343D" w14:textId="77777777" w:rsidR="009C5822" w:rsidRPr="008F2D64" w:rsidRDefault="009C5822" w:rsidP="0058011F">
            <w:pPr>
              <w:pStyle w:val="ae"/>
              <w:widowControl w:val="0"/>
              <w:numPr>
                <w:ilvl w:val="1"/>
                <w:numId w:val="9"/>
              </w:numPr>
              <w:tabs>
                <w:tab w:val="left" w:pos="1097"/>
              </w:tabs>
              <w:ind w:left="0" w:firstLine="530"/>
            </w:pPr>
            <w:r w:rsidRPr="008F2D64">
              <w:t>резерви та фонди, створені або збільшені за рахунок нерозподіленого прибутку та інформація про які розкрита у фінансов</w:t>
            </w:r>
            <w:r>
              <w:t>ій</w:t>
            </w:r>
            <w:r w:rsidRPr="008F2D64">
              <w:t xml:space="preserve"> звітності страховика </w:t>
            </w:r>
            <w:r>
              <w:t xml:space="preserve">і </w:t>
            </w:r>
            <w:r w:rsidRPr="008F2D64">
              <w:t xml:space="preserve">зазначена </w:t>
            </w:r>
            <w:r>
              <w:t>в</w:t>
            </w:r>
            <w:r w:rsidRPr="008F2D64">
              <w:t xml:space="preserve"> регуляторній звітності страховика, що </w:t>
            </w:r>
            <w:r>
              <w:t>містять у собі</w:t>
            </w:r>
            <w:r w:rsidRPr="008F2D64">
              <w:t>:</w:t>
            </w:r>
          </w:p>
          <w:p w14:paraId="5DEABD95" w14:textId="77777777" w:rsidR="009C5822" w:rsidRPr="008F2D64" w:rsidRDefault="009C5822" w:rsidP="0058011F">
            <w:pPr>
              <w:pStyle w:val="ae"/>
              <w:widowControl w:val="0"/>
              <w:ind w:left="0" w:firstLine="567"/>
            </w:pPr>
            <w:r w:rsidRPr="008F2D64">
              <w:t>резервний капітал, що створюється згідно із законодавством України;</w:t>
            </w:r>
          </w:p>
          <w:p w14:paraId="1177EA87" w14:textId="77777777" w:rsidR="009C5822" w:rsidRPr="008F2D64" w:rsidRDefault="009C5822" w:rsidP="0058011F">
            <w:pPr>
              <w:pStyle w:val="ae"/>
              <w:widowControl w:val="0"/>
              <w:ind w:left="0" w:firstLine="567"/>
            </w:pPr>
            <w:r w:rsidRPr="008F2D64">
              <w:t>додаткові та спеціальні фонди, що створюються відповідно до статуту страховика для цілей інших, ніж виплата дивідендів;</w:t>
            </w:r>
          </w:p>
          <w:p w14:paraId="406CF803" w14:textId="77777777" w:rsidR="009C5822" w:rsidRPr="008F2D64" w:rsidRDefault="009C5822" w:rsidP="0058011F">
            <w:pPr>
              <w:pStyle w:val="ae"/>
              <w:widowControl w:val="0"/>
              <w:ind w:left="0" w:firstLine="567"/>
            </w:pPr>
            <w:r w:rsidRPr="008F2D64">
              <w:t xml:space="preserve">інші резерви, що обліковуються у складі власного капіталу страховика, створені страховиком відповідно до внутрішніх документів страховика для виконання зобов’язань за договорами страхування (перестрахування), крім технічних резервів, розрахованих відповідно до нормативно-правового </w:t>
            </w:r>
            <w:proofErr w:type="spellStart"/>
            <w:r w:rsidRPr="008F2D64">
              <w:t>акта</w:t>
            </w:r>
            <w:proofErr w:type="spellEnd"/>
            <w:r w:rsidRPr="008F2D64">
              <w:t xml:space="preserve"> Національного банку щодо порядку формування страховиками технічних </w:t>
            </w:r>
            <w:r w:rsidRPr="008F2D64">
              <w:lastRenderedPageBreak/>
              <w:t>резервів.</w:t>
            </w:r>
          </w:p>
          <w:p w14:paraId="2F73630F" w14:textId="77777777" w:rsidR="009C5822" w:rsidRPr="008F2D64" w:rsidRDefault="009C5822" w:rsidP="0058011F">
            <w:pPr>
              <w:widowControl w:val="0"/>
              <w:ind w:firstLine="567"/>
            </w:pPr>
            <w:r w:rsidRPr="008F2D64">
              <w:t xml:space="preserve">Резерви і фонди, визначені в підпункті 4 пункту 11 глави 4 розділу ІІ цього Положення (далі – резервні фонди), включаються до складу регулятивного капіталу першого рівня за умови, що вони відповідають таким критеріям: </w:t>
            </w:r>
          </w:p>
          <w:p w14:paraId="78ABF35D" w14:textId="3B9ACF44" w:rsidR="009C5822" w:rsidRPr="008F2D64" w:rsidRDefault="009C5822" w:rsidP="0058011F">
            <w:pPr>
              <w:widowControl w:val="0"/>
              <w:ind w:firstLine="567"/>
            </w:pPr>
            <w:r w:rsidRPr="008F2D64">
              <w:t>відрахування до резервних фондів здійснено з прибутку після оподаткування або з прибутку до оподаткування, скоригованого на всі потенційні податкові зобов</w:t>
            </w:r>
            <w:r>
              <w:t>’</w:t>
            </w:r>
            <w:r w:rsidRPr="008F2D64">
              <w:t xml:space="preserve">язання, </w:t>
            </w:r>
            <w:r w:rsidRPr="00ED57BE">
              <w:t>визначеного на</w:t>
            </w:r>
            <w:r w:rsidRPr="008F2D64">
              <w:t xml:space="preserve"> підставі</w:t>
            </w:r>
            <w:r>
              <w:t xml:space="preserve"> </w:t>
            </w:r>
            <w:r w:rsidRPr="00ED57BE">
              <w:rPr>
                <w:b/>
              </w:rPr>
              <w:t>звіту про фінансовий стан страховика у складі</w:t>
            </w:r>
            <w:r w:rsidRPr="008F2D64">
              <w:t xml:space="preserve"> фінансової звітності страховика, достовірність та повнота якої підтверджені </w:t>
            </w:r>
            <w:r w:rsidRPr="008F2D64">
              <w:rPr>
                <w:lang w:eastAsia="en-US"/>
              </w:rPr>
              <w:t>згідно з аудиторським звітом щодо проведення обов’язкового аудиту фінансової звітності страховика</w:t>
            </w:r>
            <w:r>
              <w:rPr>
                <w:lang w:eastAsia="en-US"/>
              </w:rPr>
              <w:t xml:space="preserve"> </w:t>
            </w:r>
            <w:r w:rsidRPr="002D4E60">
              <w:rPr>
                <w:b/>
                <w:lang w:eastAsia="en-US"/>
              </w:rPr>
              <w:t>та/або звіт</w:t>
            </w:r>
            <w:r>
              <w:rPr>
                <w:b/>
                <w:lang w:eastAsia="en-US"/>
              </w:rPr>
              <w:t>ом</w:t>
            </w:r>
            <w:r w:rsidRPr="002D4E60">
              <w:rPr>
                <w:b/>
                <w:lang w:eastAsia="en-US"/>
              </w:rPr>
              <w:t xml:space="preserve"> щодо огляду проміжної фінансової інформації</w:t>
            </w:r>
            <w:r w:rsidRPr="008F2D64">
              <w:rPr>
                <w:lang w:eastAsia="en-US"/>
              </w:rPr>
              <w:t xml:space="preserve">, складеним </w:t>
            </w:r>
            <w:r w:rsidRPr="008F2D64">
              <w:t xml:space="preserve">суб’єктом аудиторської діяльності, що має право здійснювати обов’язковий аудит фінансової звітності підприємств, що становлять суспільний інтерес, який містить немодифіковану думку такого суб’єкта аудиторської діяльності; </w:t>
            </w:r>
          </w:p>
          <w:p w14:paraId="77A42A79" w14:textId="77777777" w:rsidR="009C5822" w:rsidRPr="008F2D64" w:rsidRDefault="009C5822" w:rsidP="0058011F">
            <w:pPr>
              <w:widowControl w:val="0"/>
              <w:ind w:firstLine="567"/>
            </w:pPr>
            <w:r w:rsidRPr="008F2D64">
              <w:t xml:space="preserve">призначення резервних фондів і рух коштів </w:t>
            </w:r>
            <w:r>
              <w:t>за</w:t>
            </w:r>
            <w:r w:rsidRPr="008F2D64">
              <w:t xml:space="preserve"> ним</w:t>
            </w:r>
            <w:r>
              <w:t>и</w:t>
            </w:r>
            <w:r w:rsidRPr="008F2D64">
              <w:t xml:space="preserve"> окремо розкрито у звітності страховика; </w:t>
            </w:r>
          </w:p>
          <w:p w14:paraId="5B5617E2" w14:textId="6529CEDB" w:rsidR="009C5822" w:rsidRPr="00840F84" w:rsidRDefault="009C5822" w:rsidP="007C634E">
            <w:pPr>
              <w:widowControl w:val="0"/>
              <w:ind w:firstLine="567"/>
            </w:pPr>
            <w:r w:rsidRPr="008F2D64">
              <w:t>резервні фонди повинні бути в розпорядженні страховика з метою необмеженого і негайного їх використання для покриття збитків.</w:t>
            </w:r>
          </w:p>
        </w:tc>
      </w:tr>
      <w:tr w:rsidR="009C5822" w:rsidRPr="00B73144" w14:paraId="10A4B045" w14:textId="77777777" w:rsidTr="009C5822">
        <w:trPr>
          <w:trHeight w:val="20"/>
        </w:trPr>
        <w:tc>
          <w:tcPr>
            <w:tcW w:w="6875" w:type="dxa"/>
            <w:shd w:val="clear" w:color="auto" w:fill="auto"/>
          </w:tcPr>
          <w:p w14:paraId="090BCCA6" w14:textId="0056C986" w:rsidR="009C5822" w:rsidRPr="008F2D64" w:rsidRDefault="009C5822" w:rsidP="0058011F">
            <w:pPr>
              <w:pStyle w:val="3"/>
              <w:keepNext w:val="0"/>
              <w:keepLines w:val="0"/>
              <w:widowControl w:val="0"/>
              <w:spacing w:before="0"/>
              <w:ind w:left="31" w:firstLine="425"/>
              <w:outlineLvl w:val="2"/>
              <w:rPr>
                <w:rFonts w:ascii="Times New Roman" w:hAnsi="Times New Roman" w:cs="Times New Roman"/>
                <w:color w:val="auto"/>
                <w:sz w:val="28"/>
                <w:szCs w:val="28"/>
              </w:rPr>
            </w:pPr>
            <w:r w:rsidRPr="00DB7293">
              <w:rPr>
                <w:rFonts w:ascii="Times New Roman" w:hAnsi="Times New Roman" w:cs="Times New Roman"/>
                <w:color w:val="auto"/>
                <w:sz w:val="28"/>
                <w:szCs w:val="28"/>
              </w:rPr>
              <w:lastRenderedPageBreak/>
              <w:t>11</w:t>
            </w:r>
            <w:r w:rsidRPr="00DB7293">
              <w:rPr>
                <w:rFonts w:ascii="Times New Roman" w:hAnsi="Times New Roman" w:cs="Times New Roman"/>
                <w:b/>
                <w:bCs/>
                <w:color w:val="auto"/>
                <w:sz w:val="28"/>
                <w:szCs w:val="28"/>
                <w:vertAlign w:val="superscript"/>
              </w:rPr>
              <w:t>2</w:t>
            </w:r>
            <w:r w:rsidRPr="00DB7293">
              <w:rPr>
                <w:rFonts w:ascii="Times New Roman" w:hAnsi="Times New Roman" w:cs="Times New Roman"/>
                <w:color w:val="auto"/>
                <w:sz w:val="28"/>
                <w:szCs w:val="28"/>
              </w:rPr>
              <w:t>. Страховик, якщо суб’єктом (суб’єктами) аудиторської діяльності, що має (мають) право здійснювати обов’язковий аудит фінансової звітності підприємств, що становлять суспільний інтерес, складено інший аудиторський звіт щодо проведення обов’язкового аудиту фінансової звітності страховика, ураховує думку суб’єкта аудиторської діяльності, зазначену в останньому аудиторському звіті суб’єкта аудиторської діяльності щодо проведення обов’язкового аудиту такої фінансової звітності страховика.</w:t>
            </w:r>
          </w:p>
        </w:tc>
        <w:tc>
          <w:tcPr>
            <w:tcW w:w="6875" w:type="dxa"/>
            <w:shd w:val="clear" w:color="auto" w:fill="auto"/>
          </w:tcPr>
          <w:p w14:paraId="24B6B75A" w14:textId="55C68DE8" w:rsidR="007C634E" w:rsidRPr="007C634E" w:rsidRDefault="009C5822" w:rsidP="007C634E">
            <w:pPr>
              <w:pStyle w:val="3"/>
              <w:keepNext w:val="0"/>
              <w:keepLines w:val="0"/>
              <w:widowControl w:val="0"/>
              <w:spacing w:before="0"/>
              <w:ind w:firstLine="241"/>
              <w:outlineLvl w:val="2"/>
              <w:rPr>
                <w:rFonts w:ascii="Times New Roman" w:hAnsi="Times New Roman" w:cs="Times New Roman"/>
                <w:color w:val="auto"/>
                <w:sz w:val="28"/>
                <w:szCs w:val="28"/>
              </w:rPr>
            </w:pPr>
            <w:r w:rsidRPr="00DB7293">
              <w:rPr>
                <w:rFonts w:ascii="Times New Roman" w:hAnsi="Times New Roman" w:cs="Times New Roman"/>
                <w:color w:val="auto"/>
                <w:sz w:val="28"/>
                <w:szCs w:val="28"/>
              </w:rPr>
              <w:t>11</w:t>
            </w:r>
            <w:r w:rsidRPr="00DB7293">
              <w:rPr>
                <w:rFonts w:ascii="Times New Roman" w:hAnsi="Times New Roman" w:cs="Times New Roman"/>
                <w:b/>
                <w:bCs/>
                <w:color w:val="auto"/>
                <w:sz w:val="28"/>
                <w:szCs w:val="28"/>
                <w:vertAlign w:val="superscript"/>
              </w:rPr>
              <w:t>2</w:t>
            </w:r>
            <w:r w:rsidRPr="00DB7293">
              <w:rPr>
                <w:rFonts w:ascii="Times New Roman" w:hAnsi="Times New Roman" w:cs="Times New Roman"/>
                <w:color w:val="auto"/>
                <w:sz w:val="28"/>
                <w:szCs w:val="28"/>
              </w:rPr>
              <w:t>. Страховик, якщо суб’єктом (суб’єктами) аудиторської діяльності, що має (мають) право здійснювати обов’язковий аудит фінансової звітності підприємств, що становлять суспільний інтерес, складено інший аудиторський звіт щодо проведення обов’язкового аудиту фінансової звітності страховика</w:t>
            </w:r>
            <w:r>
              <w:t xml:space="preserve"> </w:t>
            </w:r>
            <w:r>
              <w:rPr>
                <w:rFonts w:ascii="Times New Roman" w:hAnsi="Times New Roman" w:cs="Times New Roman"/>
                <w:b/>
                <w:color w:val="auto"/>
                <w:sz w:val="28"/>
                <w:szCs w:val="28"/>
              </w:rPr>
              <w:t>та/або звіт</w:t>
            </w:r>
            <w:r w:rsidRPr="00DB7293">
              <w:rPr>
                <w:rFonts w:ascii="Times New Roman" w:hAnsi="Times New Roman" w:cs="Times New Roman"/>
                <w:b/>
                <w:color w:val="auto"/>
                <w:sz w:val="28"/>
                <w:szCs w:val="28"/>
              </w:rPr>
              <w:t xml:space="preserve"> щодо огляду проміжної фінансової інформації</w:t>
            </w:r>
            <w:r w:rsidRPr="00DB7293">
              <w:rPr>
                <w:rFonts w:ascii="Times New Roman" w:hAnsi="Times New Roman" w:cs="Times New Roman"/>
                <w:color w:val="auto"/>
                <w:sz w:val="28"/>
                <w:szCs w:val="28"/>
              </w:rPr>
              <w:t>, ураховує думку суб’єкта аудиторської діяльності, зазначену в останньому аудиторському звіті суб’єкта аудиторської діяльності щодо проведення обов’язкового аудиту такої фінансової звітності страховика</w:t>
            </w:r>
            <w:r>
              <w:t xml:space="preserve"> </w:t>
            </w:r>
            <w:r w:rsidRPr="00DB7293">
              <w:rPr>
                <w:rFonts w:ascii="Times New Roman" w:hAnsi="Times New Roman" w:cs="Times New Roman"/>
                <w:b/>
                <w:color w:val="auto"/>
                <w:sz w:val="28"/>
                <w:szCs w:val="28"/>
              </w:rPr>
              <w:t>та/або звіті щодо огляду проміжної фінансової інформації</w:t>
            </w:r>
            <w:r w:rsidRPr="00DB7293">
              <w:rPr>
                <w:rFonts w:ascii="Times New Roman" w:hAnsi="Times New Roman" w:cs="Times New Roman"/>
                <w:color w:val="auto"/>
                <w:sz w:val="28"/>
                <w:szCs w:val="28"/>
              </w:rPr>
              <w:t>.</w:t>
            </w:r>
          </w:p>
        </w:tc>
      </w:tr>
      <w:tr w:rsidR="009C5822" w:rsidRPr="00B73144" w14:paraId="3EE70CA8" w14:textId="77777777" w:rsidTr="009C5822">
        <w:trPr>
          <w:trHeight w:val="20"/>
        </w:trPr>
        <w:tc>
          <w:tcPr>
            <w:tcW w:w="6875" w:type="dxa"/>
            <w:shd w:val="clear" w:color="auto" w:fill="auto"/>
          </w:tcPr>
          <w:p w14:paraId="7D4A163F" w14:textId="5D4B646B" w:rsidR="009C5822" w:rsidRPr="008F2D64" w:rsidRDefault="009C5822" w:rsidP="0058011F">
            <w:pPr>
              <w:pStyle w:val="3"/>
              <w:keepNext w:val="0"/>
              <w:keepLines w:val="0"/>
              <w:widowControl w:val="0"/>
              <w:spacing w:before="0"/>
              <w:ind w:firstLine="602"/>
              <w:outlineLvl w:val="2"/>
              <w:rPr>
                <w:rFonts w:ascii="Times New Roman" w:hAnsi="Times New Roman" w:cs="Times New Roman"/>
                <w:color w:val="auto"/>
                <w:sz w:val="28"/>
                <w:szCs w:val="28"/>
              </w:rPr>
            </w:pPr>
            <w:r>
              <w:rPr>
                <w:rFonts w:ascii="Times New Roman" w:hAnsi="Times New Roman" w:cs="Times New Roman"/>
                <w:color w:val="auto"/>
                <w:sz w:val="28"/>
                <w:szCs w:val="28"/>
              </w:rPr>
              <w:t>13.</w:t>
            </w:r>
            <w:r w:rsidRPr="008F2D64">
              <w:rPr>
                <w:rFonts w:ascii="Times New Roman" w:hAnsi="Times New Roman" w:cs="Times New Roman"/>
                <w:color w:val="auto"/>
                <w:sz w:val="28"/>
                <w:szCs w:val="28"/>
              </w:rPr>
              <w:t xml:space="preserve"> Регулятивний капітал першого рівня, визначений відповідно до вимог пунктів 11, 12 глави 4 розділу ІІ цього Положення, зменшується на:</w:t>
            </w:r>
          </w:p>
          <w:p w14:paraId="1E447B88" w14:textId="77777777" w:rsidR="009C5822" w:rsidRPr="008F2D64" w:rsidRDefault="009C5822" w:rsidP="0058011F">
            <w:pPr>
              <w:pStyle w:val="ae"/>
              <w:widowControl w:val="0"/>
              <w:ind w:left="0" w:firstLine="567"/>
            </w:pPr>
          </w:p>
          <w:p w14:paraId="4443C1A2" w14:textId="77777777" w:rsidR="009C5822" w:rsidRDefault="009C5822" w:rsidP="0058011F">
            <w:pPr>
              <w:pStyle w:val="ae"/>
              <w:widowControl w:val="0"/>
              <w:numPr>
                <w:ilvl w:val="0"/>
                <w:numId w:val="2"/>
              </w:numPr>
              <w:ind w:left="0" w:firstLine="567"/>
            </w:pPr>
            <w:r w:rsidRPr="008F2D64">
              <w:t xml:space="preserve">непокритий </w:t>
            </w:r>
            <w:r w:rsidRPr="00B5749B">
              <w:t>збиток минулих років, розмір якого визначається за даними звіту про фінансовий стан страховика у складі фінансової звітності страховика та зазначений у складі власного капіталу в регуляторній звітності страховика</w:t>
            </w:r>
            <w:r>
              <w:t>.</w:t>
            </w:r>
          </w:p>
          <w:p w14:paraId="44DD3902" w14:textId="77777777" w:rsidR="009C5822" w:rsidRPr="00764C7D" w:rsidRDefault="009C5822" w:rsidP="0058011F">
            <w:pPr>
              <w:pStyle w:val="3"/>
              <w:keepNext w:val="0"/>
              <w:keepLines w:val="0"/>
              <w:widowControl w:val="0"/>
              <w:spacing w:before="0"/>
              <w:ind w:firstLine="596"/>
              <w:outlineLvl w:val="2"/>
              <w:rPr>
                <w:rFonts w:ascii="Times New Roman" w:hAnsi="Times New Roman" w:cs="Times New Roman"/>
                <w:color w:val="auto"/>
                <w:sz w:val="28"/>
                <w:szCs w:val="28"/>
              </w:rPr>
            </w:pPr>
            <w:r w:rsidRPr="00764C7D">
              <w:rPr>
                <w:rFonts w:ascii="Times New Roman" w:hAnsi="Times New Roman" w:cs="Times New Roman"/>
                <w:color w:val="auto"/>
                <w:sz w:val="28"/>
                <w:szCs w:val="28"/>
              </w:rPr>
              <w:t>Непокритий збиток минулих років не містить збитку поточного та звітного років, зазначеного в пункті 16 глави 4 розділу ІІ цього Положення;</w:t>
            </w:r>
          </w:p>
          <w:p w14:paraId="75E0CB01" w14:textId="334ED829" w:rsidR="009C5822" w:rsidRDefault="009C5822" w:rsidP="0058011F">
            <w:pPr>
              <w:pStyle w:val="ae"/>
              <w:widowControl w:val="0"/>
              <w:ind w:left="0" w:firstLine="567"/>
            </w:pPr>
          </w:p>
          <w:p w14:paraId="72C758FC" w14:textId="64ADAF4F" w:rsidR="009C5822" w:rsidRDefault="009C5822" w:rsidP="0058011F">
            <w:pPr>
              <w:pStyle w:val="ae"/>
              <w:widowControl w:val="0"/>
              <w:ind w:left="0" w:firstLine="567"/>
            </w:pPr>
          </w:p>
          <w:p w14:paraId="762B5BF6" w14:textId="086468C3" w:rsidR="009C5822" w:rsidRDefault="009C5822" w:rsidP="0058011F">
            <w:pPr>
              <w:pStyle w:val="ae"/>
              <w:widowControl w:val="0"/>
              <w:ind w:left="0" w:firstLine="567"/>
            </w:pPr>
          </w:p>
          <w:p w14:paraId="0F13BAB0" w14:textId="02EDAE1C" w:rsidR="009C5822" w:rsidRDefault="009C5822" w:rsidP="0058011F">
            <w:pPr>
              <w:pStyle w:val="ae"/>
              <w:widowControl w:val="0"/>
              <w:ind w:left="0" w:firstLine="567"/>
            </w:pPr>
          </w:p>
          <w:p w14:paraId="378190E5" w14:textId="77777777" w:rsidR="007C634E" w:rsidRDefault="007C634E" w:rsidP="0058011F">
            <w:pPr>
              <w:pStyle w:val="ae"/>
              <w:widowControl w:val="0"/>
              <w:ind w:left="0" w:firstLine="567"/>
            </w:pPr>
          </w:p>
          <w:p w14:paraId="4BD8D7EE" w14:textId="77777777" w:rsidR="009C5822" w:rsidRPr="008F2D64" w:rsidRDefault="009C5822" w:rsidP="0058011F">
            <w:pPr>
              <w:pStyle w:val="ae"/>
              <w:widowControl w:val="0"/>
              <w:numPr>
                <w:ilvl w:val="0"/>
                <w:numId w:val="2"/>
              </w:numPr>
              <w:ind w:left="0" w:firstLine="567"/>
            </w:pPr>
            <w:r w:rsidRPr="008F2D64">
              <w:rPr>
                <w:lang w:eastAsia="ru-RU"/>
              </w:rPr>
              <w:t>від’ємне значення</w:t>
            </w:r>
            <w:r w:rsidRPr="008F2D64">
              <w:t xml:space="preserve"> капіталу другого рівня.</w:t>
            </w:r>
          </w:p>
          <w:p w14:paraId="792D0792" w14:textId="6681EA33" w:rsidR="009C5822" w:rsidRPr="00764C7D" w:rsidRDefault="009C5822" w:rsidP="0058011F">
            <w:pPr>
              <w:widowControl w:val="0"/>
              <w:ind w:firstLine="567"/>
            </w:pPr>
            <w:r w:rsidRPr="008F2D64">
              <w:t xml:space="preserve">Регулятивний капітал першого рівня вважається таким, що </w:t>
            </w:r>
            <w:r>
              <w:t>дорівнює</w:t>
            </w:r>
            <w:r w:rsidRPr="008F2D64">
              <w:t xml:space="preserve"> нулю, якщо отримане значення є від’ємним. </w:t>
            </w:r>
          </w:p>
        </w:tc>
        <w:tc>
          <w:tcPr>
            <w:tcW w:w="6875" w:type="dxa"/>
            <w:shd w:val="clear" w:color="auto" w:fill="auto"/>
          </w:tcPr>
          <w:p w14:paraId="1CD32C6E" w14:textId="77777777" w:rsidR="009C5822" w:rsidRPr="008F2D64" w:rsidRDefault="009C5822" w:rsidP="0058011F">
            <w:pPr>
              <w:pStyle w:val="3"/>
              <w:keepNext w:val="0"/>
              <w:keepLines w:val="0"/>
              <w:widowControl w:val="0"/>
              <w:spacing w:before="0"/>
              <w:ind w:firstLine="388"/>
              <w:outlineLvl w:val="2"/>
              <w:rPr>
                <w:rFonts w:ascii="Times New Roman" w:hAnsi="Times New Roman" w:cs="Times New Roman"/>
                <w:color w:val="auto"/>
                <w:sz w:val="28"/>
                <w:szCs w:val="28"/>
              </w:rPr>
            </w:pPr>
            <w:r>
              <w:rPr>
                <w:rFonts w:ascii="Times New Roman" w:hAnsi="Times New Roman" w:cs="Times New Roman"/>
                <w:color w:val="auto"/>
                <w:sz w:val="28"/>
                <w:szCs w:val="28"/>
              </w:rPr>
              <w:lastRenderedPageBreak/>
              <w:t>13.</w:t>
            </w:r>
            <w:r w:rsidRPr="008F2D64">
              <w:rPr>
                <w:rFonts w:ascii="Times New Roman" w:hAnsi="Times New Roman" w:cs="Times New Roman"/>
                <w:color w:val="auto"/>
                <w:sz w:val="28"/>
                <w:szCs w:val="28"/>
              </w:rPr>
              <w:t xml:space="preserve"> Регулятивний капітал першого рівня, визначений відповідно до вимог пунктів 11, 12 глави 4 розділу ІІ цього Положення, </w:t>
            </w:r>
            <w:r w:rsidRPr="00AB3FF0">
              <w:rPr>
                <w:rFonts w:ascii="Times New Roman" w:hAnsi="Times New Roman" w:cs="Times New Roman"/>
                <w:color w:val="auto"/>
                <w:sz w:val="28"/>
                <w:szCs w:val="28"/>
              </w:rPr>
              <w:t>зменшується на:</w:t>
            </w:r>
          </w:p>
          <w:p w14:paraId="6C5C4AD4" w14:textId="77777777" w:rsidR="009C5822" w:rsidRPr="008F2D64" w:rsidRDefault="009C5822" w:rsidP="0058011F">
            <w:pPr>
              <w:pStyle w:val="ae"/>
              <w:widowControl w:val="0"/>
              <w:ind w:left="0" w:firstLine="567"/>
            </w:pPr>
          </w:p>
          <w:p w14:paraId="2BAFA32C" w14:textId="68B9CA97" w:rsidR="009C5822" w:rsidRDefault="009C5822" w:rsidP="0058011F">
            <w:pPr>
              <w:pStyle w:val="ae"/>
              <w:widowControl w:val="0"/>
              <w:numPr>
                <w:ilvl w:val="0"/>
                <w:numId w:val="10"/>
              </w:numPr>
              <w:ind w:left="0" w:firstLine="360"/>
            </w:pPr>
            <w:r w:rsidRPr="008F2D64">
              <w:t xml:space="preserve">непокритий </w:t>
            </w:r>
            <w:r w:rsidRPr="00B5749B">
              <w:t xml:space="preserve">збиток минулих років, розмір якого визначається за даними </w:t>
            </w:r>
            <w:r w:rsidRPr="00576498">
              <w:rPr>
                <w:b/>
              </w:rPr>
              <w:t>останнього</w:t>
            </w:r>
            <w:r>
              <w:t xml:space="preserve"> </w:t>
            </w:r>
            <w:r w:rsidRPr="00B5749B">
              <w:t xml:space="preserve">звіту про фінансовий стан страховика у складі </w:t>
            </w:r>
            <w:r w:rsidRPr="00576498">
              <w:rPr>
                <w:b/>
              </w:rPr>
              <w:t>річної</w:t>
            </w:r>
            <w:r>
              <w:t xml:space="preserve"> </w:t>
            </w:r>
            <w:r w:rsidRPr="00B5749B">
              <w:t>фінансової звітності страховика та зазначений у складі власного капіталу в регуляторній звітності страховика</w:t>
            </w:r>
            <w:r>
              <w:t xml:space="preserve">, </w:t>
            </w:r>
            <w:r w:rsidRPr="00AB3FF0">
              <w:rPr>
                <w:b/>
              </w:rPr>
              <w:t>з урахуванням</w:t>
            </w:r>
            <w:r w:rsidRPr="00764C7D">
              <w:rPr>
                <w:b/>
              </w:rPr>
              <w:t xml:space="preserve"> </w:t>
            </w:r>
            <w:r>
              <w:rPr>
                <w:b/>
              </w:rPr>
              <w:t xml:space="preserve"> здійснених </w:t>
            </w:r>
            <w:r w:rsidRPr="004C37BE">
              <w:rPr>
                <w:b/>
              </w:rPr>
              <w:t>змін</w:t>
            </w:r>
            <w:r>
              <w:rPr>
                <w:b/>
              </w:rPr>
              <w:t xml:space="preserve"> щодо</w:t>
            </w:r>
            <w:r w:rsidRPr="004C37BE">
              <w:rPr>
                <w:b/>
              </w:rPr>
              <w:t xml:space="preserve"> такого не</w:t>
            </w:r>
            <w:r>
              <w:rPr>
                <w:b/>
              </w:rPr>
              <w:t>покритого збитку внаслідок</w:t>
            </w:r>
            <w:r w:rsidRPr="004C37BE">
              <w:rPr>
                <w:b/>
              </w:rPr>
              <w:t xml:space="preserve"> перерозподілу </w:t>
            </w:r>
            <w:r>
              <w:rPr>
                <w:b/>
              </w:rPr>
              <w:t>елементів</w:t>
            </w:r>
            <w:r w:rsidRPr="004C37BE">
              <w:rPr>
                <w:b/>
              </w:rPr>
              <w:t xml:space="preserve"> власного капіталу, зазначеного в пункті 18</w:t>
            </w:r>
            <w:r w:rsidRPr="004C37BE">
              <w:rPr>
                <w:b/>
                <w:vertAlign w:val="superscript"/>
              </w:rPr>
              <w:t>1</w:t>
            </w:r>
            <w:r w:rsidRPr="004C37BE">
              <w:rPr>
                <w:b/>
              </w:rPr>
              <w:t xml:space="preserve"> глави 4 розділу ІІ цього Положення</w:t>
            </w:r>
            <w:r>
              <w:t>.</w:t>
            </w:r>
          </w:p>
          <w:p w14:paraId="0C13A814" w14:textId="77777777" w:rsidR="009C5822" w:rsidRPr="00764C7D" w:rsidRDefault="009C5822" w:rsidP="0058011F">
            <w:pPr>
              <w:pStyle w:val="3"/>
              <w:keepNext w:val="0"/>
              <w:keepLines w:val="0"/>
              <w:widowControl w:val="0"/>
              <w:spacing w:before="0"/>
              <w:ind w:firstLine="360"/>
              <w:outlineLvl w:val="2"/>
              <w:rPr>
                <w:rFonts w:ascii="Times New Roman" w:hAnsi="Times New Roman" w:cs="Times New Roman"/>
                <w:color w:val="auto"/>
                <w:sz w:val="28"/>
                <w:szCs w:val="28"/>
              </w:rPr>
            </w:pPr>
            <w:r w:rsidRPr="00764C7D">
              <w:rPr>
                <w:rFonts w:ascii="Times New Roman" w:hAnsi="Times New Roman" w:cs="Times New Roman"/>
                <w:color w:val="auto"/>
                <w:sz w:val="28"/>
                <w:szCs w:val="28"/>
              </w:rPr>
              <w:lastRenderedPageBreak/>
              <w:t>Непокритий збиток минулих років не містить збитку поточного та звітного років, зазначеного в пункті 16 глави 4 розділу ІІ цього Положення;</w:t>
            </w:r>
          </w:p>
          <w:p w14:paraId="6923B99E" w14:textId="77777777" w:rsidR="009C5822" w:rsidRPr="008F2D64" w:rsidRDefault="009C5822" w:rsidP="0058011F">
            <w:pPr>
              <w:pStyle w:val="ae"/>
              <w:widowControl w:val="0"/>
              <w:ind w:left="0" w:firstLine="360"/>
            </w:pPr>
          </w:p>
          <w:p w14:paraId="1A94BEA3" w14:textId="77777777" w:rsidR="009C5822" w:rsidRPr="008F2D64" w:rsidRDefault="009C5822" w:rsidP="0058011F">
            <w:pPr>
              <w:pStyle w:val="ae"/>
              <w:widowControl w:val="0"/>
              <w:numPr>
                <w:ilvl w:val="0"/>
                <w:numId w:val="10"/>
              </w:numPr>
              <w:ind w:left="0" w:firstLine="360"/>
            </w:pPr>
            <w:r w:rsidRPr="008F2D64">
              <w:rPr>
                <w:lang w:eastAsia="ru-RU"/>
              </w:rPr>
              <w:t>від’ємне значення</w:t>
            </w:r>
            <w:r w:rsidRPr="008F2D64">
              <w:t xml:space="preserve"> капіталу другого рівня.</w:t>
            </w:r>
          </w:p>
          <w:p w14:paraId="4F886712" w14:textId="264D8977" w:rsidR="007C634E" w:rsidRPr="007C634E" w:rsidRDefault="009C5822" w:rsidP="007C634E">
            <w:pPr>
              <w:pStyle w:val="3"/>
              <w:keepNext w:val="0"/>
              <w:keepLines w:val="0"/>
              <w:widowControl w:val="0"/>
              <w:spacing w:before="0"/>
              <w:ind w:firstLine="384"/>
              <w:outlineLvl w:val="2"/>
              <w:rPr>
                <w:rFonts w:ascii="Times New Roman" w:hAnsi="Times New Roman" w:cs="Times New Roman"/>
                <w:color w:val="auto"/>
                <w:sz w:val="28"/>
                <w:szCs w:val="28"/>
              </w:rPr>
            </w:pPr>
            <w:r w:rsidRPr="00764C7D">
              <w:rPr>
                <w:rFonts w:ascii="Times New Roman" w:hAnsi="Times New Roman" w:cs="Times New Roman"/>
                <w:color w:val="auto"/>
                <w:sz w:val="28"/>
                <w:szCs w:val="28"/>
              </w:rPr>
              <w:t>Регулятивний капітал першого рівня вважається таким, що дорівнює нулю, якщо отримане значення є від’ємним.</w:t>
            </w:r>
          </w:p>
        </w:tc>
      </w:tr>
      <w:tr w:rsidR="009C5822" w:rsidRPr="00B73144" w14:paraId="667994F1" w14:textId="77777777" w:rsidTr="009C5822">
        <w:trPr>
          <w:trHeight w:val="20"/>
        </w:trPr>
        <w:tc>
          <w:tcPr>
            <w:tcW w:w="6875" w:type="dxa"/>
            <w:shd w:val="clear" w:color="auto" w:fill="auto"/>
          </w:tcPr>
          <w:p w14:paraId="3681F1D6" w14:textId="77777777" w:rsidR="009C5822" w:rsidRDefault="009C5822" w:rsidP="0058011F">
            <w:pPr>
              <w:pStyle w:val="3"/>
              <w:keepNext w:val="0"/>
              <w:keepLines w:val="0"/>
              <w:widowControl w:val="0"/>
              <w:spacing w:before="0"/>
              <w:ind w:firstLine="602"/>
              <w:outlineLvl w:val="2"/>
              <w:rPr>
                <w:rFonts w:ascii="Times New Roman" w:hAnsi="Times New Roman" w:cs="Times New Roman"/>
                <w:color w:val="auto"/>
                <w:sz w:val="28"/>
                <w:szCs w:val="28"/>
              </w:rPr>
            </w:pPr>
            <w:r w:rsidRPr="00F330AC">
              <w:rPr>
                <w:rFonts w:ascii="Times New Roman" w:hAnsi="Times New Roman" w:cs="Times New Roman"/>
                <w:color w:val="auto"/>
                <w:sz w:val="28"/>
                <w:szCs w:val="28"/>
              </w:rPr>
              <w:lastRenderedPageBreak/>
              <w:t xml:space="preserve">18. Складові регулятивного капіталу третього рівня, зазначені в пункті </w:t>
            </w:r>
            <w:r w:rsidRPr="00F330AC">
              <w:rPr>
                <w:rFonts w:ascii="Times New Roman" w:hAnsi="Times New Roman" w:cs="Times New Roman"/>
                <w:strike/>
                <w:color w:val="auto"/>
                <w:sz w:val="28"/>
                <w:szCs w:val="28"/>
              </w:rPr>
              <w:t>19</w:t>
            </w:r>
            <w:r w:rsidRPr="00F330AC">
              <w:rPr>
                <w:rFonts w:ascii="Times New Roman" w:hAnsi="Times New Roman" w:cs="Times New Roman"/>
                <w:color w:val="auto"/>
                <w:sz w:val="28"/>
                <w:szCs w:val="28"/>
              </w:rPr>
              <w:t xml:space="preserve"> глави 4 розділу II цього Положення, включаються до регулятивного капіталу третього рівня, якщо вони відповідають усім таким вимогам:</w:t>
            </w:r>
          </w:p>
          <w:p w14:paraId="7946A0A9" w14:textId="388D9E69" w:rsidR="009C5822" w:rsidRPr="00F330AC" w:rsidRDefault="009C5822" w:rsidP="0058011F">
            <w:r>
              <w:t>…</w:t>
            </w:r>
          </w:p>
        </w:tc>
        <w:tc>
          <w:tcPr>
            <w:tcW w:w="6875" w:type="dxa"/>
            <w:shd w:val="clear" w:color="auto" w:fill="auto"/>
          </w:tcPr>
          <w:p w14:paraId="013ECEE2" w14:textId="44031A93" w:rsidR="009C5822" w:rsidRDefault="009C5822" w:rsidP="0058011F">
            <w:pPr>
              <w:pStyle w:val="3"/>
              <w:keepNext w:val="0"/>
              <w:keepLines w:val="0"/>
              <w:widowControl w:val="0"/>
              <w:spacing w:before="0"/>
              <w:ind w:firstLine="388"/>
              <w:outlineLvl w:val="2"/>
              <w:rPr>
                <w:rFonts w:ascii="Times New Roman" w:hAnsi="Times New Roman" w:cs="Times New Roman"/>
                <w:color w:val="auto"/>
                <w:sz w:val="28"/>
                <w:szCs w:val="28"/>
              </w:rPr>
            </w:pPr>
            <w:r w:rsidRPr="00F330AC">
              <w:rPr>
                <w:rFonts w:ascii="Times New Roman" w:hAnsi="Times New Roman" w:cs="Times New Roman"/>
                <w:color w:val="auto"/>
                <w:sz w:val="28"/>
                <w:szCs w:val="28"/>
              </w:rPr>
              <w:t xml:space="preserve">18. Складові регулятивного капіталу третього рівня, зазначені в пункті </w:t>
            </w:r>
            <w:r w:rsidRPr="00F330AC">
              <w:rPr>
                <w:rFonts w:ascii="Times New Roman" w:hAnsi="Times New Roman" w:cs="Times New Roman"/>
                <w:b/>
                <w:color w:val="auto"/>
                <w:sz w:val="28"/>
                <w:szCs w:val="28"/>
              </w:rPr>
              <w:t>1</w:t>
            </w:r>
            <w:r>
              <w:rPr>
                <w:rFonts w:ascii="Times New Roman" w:hAnsi="Times New Roman" w:cs="Times New Roman"/>
                <w:b/>
                <w:color w:val="auto"/>
                <w:sz w:val="28"/>
                <w:szCs w:val="28"/>
              </w:rPr>
              <w:t>7</w:t>
            </w:r>
            <w:r w:rsidRPr="00F330AC">
              <w:rPr>
                <w:rFonts w:ascii="Times New Roman" w:hAnsi="Times New Roman" w:cs="Times New Roman"/>
                <w:color w:val="auto"/>
                <w:sz w:val="28"/>
                <w:szCs w:val="28"/>
              </w:rPr>
              <w:t xml:space="preserve"> глави 4 розділу II цього Положення, включаються до регулятивного капіталу третього рівня, якщо вони відповідають усім таким вимогам:</w:t>
            </w:r>
          </w:p>
          <w:p w14:paraId="258E7DB7" w14:textId="61936DB8" w:rsidR="009C5822" w:rsidRDefault="009C5822" w:rsidP="0058011F">
            <w:pPr>
              <w:pStyle w:val="3"/>
              <w:keepNext w:val="0"/>
              <w:keepLines w:val="0"/>
              <w:widowControl w:val="0"/>
              <w:spacing w:before="0"/>
              <w:outlineLvl w:val="2"/>
              <w:rPr>
                <w:rFonts w:ascii="Times New Roman" w:hAnsi="Times New Roman" w:cs="Times New Roman"/>
                <w:color w:val="auto"/>
                <w:sz w:val="28"/>
                <w:szCs w:val="28"/>
              </w:rPr>
            </w:pPr>
            <w:r>
              <w:t>…</w:t>
            </w:r>
          </w:p>
        </w:tc>
      </w:tr>
      <w:tr w:rsidR="009C5822" w:rsidRPr="00B73144" w14:paraId="0C26690B" w14:textId="77777777" w:rsidTr="009C5822">
        <w:trPr>
          <w:trHeight w:val="20"/>
        </w:trPr>
        <w:tc>
          <w:tcPr>
            <w:tcW w:w="6875" w:type="dxa"/>
            <w:shd w:val="clear" w:color="auto" w:fill="auto"/>
          </w:tcPr>
          <w:p w14:paraId="1C4E5EF5" w14:textId="507A5FA9" w:rsidR="009C5822" w:rsidRPr="00920B1D" w:rsidRDefault="009C5822" w:rsidP="00DE11B0">
            <w:pPr>
              <w:pStyle w:val="3"/>
              <w:keepNext w:val="0"/>
              <w:keepLines w:val="0"/>
              <w:widowControl w:val="0"/>
              <w:spacing w:before="0"/>
              <w:ind w:firstLine="601"/>
              <w:outlineLvl w:val="2"/>
              <w:rPr>
                <w:rFonts w:ascii="Times New Roman" w:hAnsi="Times New Roman" w:cs="Times New Roman"/>
                <w:b/>
                <w:color w:val="auto"/>
                <w:sz w:val="28"/>
                <w:szCs w:val="28"/>
              </w:rPr>
            </w:pPr>
            <w:r>
              <w:rPr>
                <w:rFonts w:ascii="Times New Roman" w:hAnsi="Times New Roman" w:cs="Times New Roman"/>
                <w:b/>
                <w:color w:val="auto"/>
                <w:sz w:val="28"/>
                <w:szCs w:val="28"/>
              </w:rPr>
              <w:t>Пункт в</w:t>
            </w:r>
            <w:r w:rsidRPr="00920B1D">
              <w:rPr>
                <w:rFonts w:ascii="Times New Roman" w:hAnsi="Times New Roman" w:cs="Times New Roman"/>
                <w:b/>
                <w:color w:val="auto"/>
                <w:sz w:val="28"/>
                <w:szCs w:val="28"/>
              </w:rPr>
              <w:t>ідсутній</w:t>
            </w:r>
          </w:p>
        </w:tc>
        <w:tc>
          <w:tcPr>
            <w:tcW w:w="6875" w:type="dxa"/>
            <w:shd w:val="clear" w:color="auto" w:fill="auto"/>
          </w:tcPr>
          <w:p w14:paraId="4DC2A1AD" w14:textId="4BF6BFBF" w:rsidR="009C5822" w:rsidRDefault="009C5822" w:rsidP="0058011F">
            <w:pPr>
              <w:pStyle w:val="3"/>
              <w:keepNext w:val="0"/>
              <w:keepLines w:val="0"/>
              <w:widowControl w:val="0"/>
              <w:spacing w:before="0"/>
              <w:ind w:firstLine="383"/>
              <w:outlineLvl w:val="2"/>
              <w:rPr>
                <w:rFonts w:ascii="Times New Roman" w:hAnsi="Times New Roman" w:cs="Times New Roman"/>
                <w:b/>
                <w:color w:val="auto"/>
                <w:sz w:val="28"/>
                <w:szCs w:val="28"/>
              </w:rPr>
            </w:pPr>
            <w:r w:rsidRPr="004E7627">
              <w:rPr>
                <w:rFonts w:ascii="Times New Roman" w:hAnsi="Times New Roman" w:cs="Times New Roman"/>
                <w:b/>
                <w:color w:val="auto"/>
                <w:sz w:val="28"/>
                <w:szCs w:val="28"/>
              </w:rPr>
              <w:t>18</w:t>
            </w:r>
            <w:r w:rsidRPr="004E7627">
              <w:rPr>
                <w:rFonts w:ascii="Times New Roman" w:hAnsi="Times New Roman" w:cs="Times New Roman"/>
                <w:b/>
                <w:color w:val="auto"/>
                <w:sz w:val="28"/>
                <w:szCs w:val="28"/>
                <w:vertAlign w:val="superscript"/>
              </w:rPr>
              <w:t>1</w:t>
            </w:r>
            <w:r w:rsidRPr="004E7627">
              <w:rPr>
                <w:rFonts w:ascii="Times New Roman" w:hAnsi="Times New Roman" w:cs="Times New Roman"/>
                <w:b/>
                <w:color w:val="auto"/>
                <w:sz w:val="28"/>
                <w:szCs w:val="28"/>
              </w:rPr>
              <w:t>. Страховик</w:t>
            </w:r>
            <w:r w:rsidRPr="004E7627">
              <w:rPr>
                <w:b/>
              </w:rPr>
              <w:t xml:space="preserve"> </w:t>
            </w:r>
            <w:r>
              <w:rPr>
                <w:rFonts w:ascii="Times New Roman" w:hAnsi="Times New Roman" w:cs="Times New Roman"/>
                <w:b/>
                <w:color w:val="auto"/>
                <w:sz w:val="28"/>
                <w:szCs w:val="28"/>
              </w:rPr>
              <w:t xml:space="preserve">при </w:t>
            </w:r>
            <w:r w:rsidRPr="004E7627">
              <w:rPr>
                <w:rFonts w:ascii="Times New Roman" w:hAnsi="Times New Roman" w:cs="Times New Roman"/>
                <w:b/>
                <w:color w:val="auto"/>
                <w:sz w:val="28"/>
                <w:szCs w:val="28"/>
              </w:rPr>
              <w:t>здійсненні</w:t>
            </w:r>
            <w:r>
              <w:rPr>
                <w:rFonts w:ascii="Times New Roman" w:hAnsi="Times New Roman" w:cs="Times New Roman"/>
                <w:b/>
                <w:color w:val="auto"/>
                <w:sz w:val="28"/>
                <w:szCs w:val="28"/>
              </w:rPr>
              <w:t xml:space="preserve"> </w:t>
            </w:r>
            <w:r w:rsidRPr="00AB3FF0">
              <w:rPr>
                <w:rFonts w:ascii="Times New Roman" w:hAnsi="Times New Roman" w:cs="Times New Roman"/>
                <w:b/>
                <w:color w:val="auto"/>
                <w:sz w:val="28"/>
                <w:szCs w:val="28"/>
              </w:rPr>
              <w:t xml:space="preserve">перерозподілу </w:t>
            </w:r>
            <w:r>
              <w:rPr>
                <w:rFonts w:ascii="Times New Roman" w:hAnsi="Times New Roman" w:cs="Times New Roman"/>
                <w:b/>
                <w:color w:val="auto"/>
                <w:sz w:val="28"/>
                <w:szCs w:val="28"/>
              </w:rPr>
              <w:t>елементів</w:t>
            </w:r>
            <w:r w:rsidRPr="00AB3FF0">
              <w:rPr>
                <w:rFonts w:ascii="Times New Roman" w:hAnsi="Times New Roman" w:cs="Times New Roman"/>
                <w:b/>
                <w:color w:val="auto"/>
                <w:sz w:val="28"/>
                <w:szCs w:val="28"/>
              </w:rPr>
              <w:t xml:space="preserve"> власного капіталу (їх частин)</w:t>
            </w:r>
            <w:r>
              <w:rPr>
                <w:rFonts w:ascii="Times New Roman" w:hAnsi="Times New Roman" w:cs="Times New Roman"/>
                <w:b/>
                <w:color w:val="auto"/>
                <w:sz w:val="28"/>
                <w:szCs w:val="28"/>
              </w:rPr>
              <w:t xml:space="preserve"> в наступних звітних періодах</w:t>
            </w:r>
            <w:r w:rsidRPr="004E7627">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після звітного періоду, за який складено</w:t>
            </w:r>
            <w:r w:rsidRPr="00AB3FF0">
              <w:rPr>
                <w:rFonts w:ascii="Times New Roman" w:hAnsi="Times New Roman" w:cs="Times New Roman"/>
                <w:b/>
                <w:color w:val="auto"/>
                <w:sz w:val="28"/>
                <w:szCs w:val="28"/>
              </w:rPr>
              <w:t xml:space="preserve"> аудиторський звіт щодо проведення обов’язкового аудиту фінансової звітності страховика</w:t>
            </w:r>
            <w:r>
              <w:rPr>
                <w:rFonts w:ascii="Times New Roman" w:hAnsi="Times New Roman" w:cs="Times New Roman"/>
                <w:b/>
                <w:color w:val="auto"/>
                <w:sz w:val="28"/>
                <w:szCs w:val="28"/>
              </w:rPr>
              <w:t>,</w:t>
            </w:r>
            <w:r w:rsidRPr="004E7627">
              <w:rPr>
                <w:rFonts w:ascii="Times New Roman" w:hAnsi="Times New Roman" w:cs="Times New Roman"/>
                <w:b/>
                <w:color w:val="auto"/>
                <w:sz w:val="28"/>
                <w:szCs w:val="28"/>
              </w:rPr>
              <w:t xml:space="preserve"> відносить </w:t>
            </w:r>
            <w:r>
              <w:rPr>
                <w:rFonts w:ascii="Times New Roman" w:hAnsi="Times New Roman" w:cs="Times New Roman"/>
                <w:b/>
                <w:color w:val="auto"/>
                <w:sz w:val="28"/>
                <w:szCs w:val="28"/>
              </w:rPr>
              <w:t xml:space="preserve">такі </w:t>
            </w:r>
            <w:r w:rsidRPr="004E7627">
              <w:rPr>
                <w:rFonts w:ascii="Times New Roman" w:hAnsi="Times New Roman" w:cs="Times New Roman"/>
                <w:b/>
                <w:color w:val="auto"/>
                <w:sz w:val="28"/>
                <w:szCs w:val="28"/>
              </w:rPr>
              <w:t xml:space="preserve">перерозподілені </w:t>
            </w:r>
            <w:r>
              <w:rPr>
                <w:rFonts w:ascii="Times New Roman" w:hAnsi="Times New Roman" w:cs="Times New Roman"/>
                <w:b/>
                <w:color w:val="auto"/>
                <w:sz w:val="28"/>
                <w:szCs w:val="28"/>
              </w:rPr>
              <w:t>елементи власного капіталу (їх частини) до складових</w:t>
            </w:r>
            <w:r w:rsidRPr="004E7627">
              <w:rPr>
                <w:rFonts w:ascii="Times New Roman" w:hAnsi="Times New Roman" w:cs="Times New Roman"/>
                <w:b/>
                <w:color w:val="auto"/>
                <w:sz w:val="28"/>
                <w:szCs w:val="28"/>
              </w:rPr>
              <w:t>:</w:t>
            </w:r>
          </w:p>
          <w:p w14:paraId="5426D2DC" w14:textId="77777777" w:rsidR="00C515F3" w:rsidRPr="00C515F3" w:rsidRDefault="00C515F3" w:rsidP="00C515F3"/>
          <w:p w14:paraId="58053C74" w14:textId="7337F73B" w:rsidR="009C5822" w:rsidRDefault="009C5822" w:rsidP="0058011F">
            <w:pPr>
              <w:ind w:firstLine="530"/>
              <w:rPr>
                <w:b/>
              </w:rPr>
            </w:pPr>
            <w:r w:rsidRPr="004E7627">
              <w:rPr>
                <w:b/>
              </w:rPr>
              <w:t xml:space="preserve">1) </w:t>
            </w:r>
            <w:r>
              <w:rPr>
                <w:b/>
              </w:rPr>
              <w:t>того ж рівня регулятивного капіталу,</w:t>
            </w:r>
            <w:r w:rsidRPr="00854E53">
              <w:rPr>
                <w:b/>
              </w:rPr>
              <w:t xml:space="preserve"> </w:t>
            </w:r>
            <w:r>
              <w:rPr>
                <w:b/>
              </w:rPr>
              <w:t>що був визначений</w:t>
            </w:r>
            <w:r w:rsidRPr="00854E53">
              <w:rPr>
                <w:b/>
              </w:rPr>
              <w:t xml:space="preserve"> страховиком</w:t>
            </w:r>
            <w:r>
              <w:rPr>
                <w:b/>
              </w:rPr>
              <w:t xml:space="preserve"> згідно з вимогами пунктів </w:t>
            </w:r>
            <w:r>
              <w:rPr>
                <w:b/>
              </w:rPr>
              <w:lastRenderedPageBreak/>
              <w:t>11 –</w:t>
            </w:r>
            <w:r>
              <w:rPr>
                <w:b/>
                <w:lang w:val="en-US"/>
              </w:rPr>
              <w:t> </w:t>
            </w:r>
            <w:r w:rsidRPr="00854E53">
              <w:rPr>
                <w:b/>
              </w:rPr>
              <w:t xml:space="preserve">18 глави 4 розділу ІІ цього Положення до проведення </w:t>
            </w:r>
            <w:r>
              <w:rPr>
                <w:b/>
              </w:rPr>
              <w:t xml:space="preserve">такого </w:t>
            </w:r>
            <w:r w:rsidRPr="00854E53">
              <w:rPr>
                <w:b/>
              </w:rPr>
              <w:t>перерозподілу</w:t>
            </w:r>
            <w:r w:rsidRPr="004E7627">
              <w:rPr>
                <w:b/>
              </w:rPr>
              <w:t>;</w:t>
            </w:r>
          </w:p>
          <w:p w14:paraId="451495DC" w14:textId="77777777" w:rsidR="009C5822" w:rsidRPr="004E7627" w:rsidRDefault="009C5822" w:rsidP="0058011F">
            <w:pPr>
              <w:ind w:firstLine="530"/>
              <w:rPr>
                <w:b/>
              </w:rPr>
            </w:pPr>
          </w:p>
          <w:p w14:paraId="059DA743" w14:textId="25DFCF95" w:rsidR="009C5822" w:rsidRPr="004E7627" w:rsidRDefault="009C5822" w:rsidP="0058011F">
            <w:pPr>
              <w:ind w:firstLine="530"/>
              <w:rPr>
                <w:b/>
              </w:rPr>
            </w:pPr>
            <w:r w:rsidRPr="004E7627">
              <w:rPr>
                <w:b/>
              </w:rPr>
              <w:t xml:space="preserve">2) </w:t>
            </w:r>
            <w:r>
              <w:rPr>
                <w:b/>
              </w:rPr>
              <w:t xml:space="preserve">іншого рівня </w:t>
            </w:r>
            <w:r w:rsidRPr="00854E53">
              <w:rPr>
                <w:b/>
              </w:rPr>
              <w:t>регулятивного капіталу</w:t>
            </w:r>
            <w:r>
              <w:rPr>
                <w:b/>
              </w:rPr>
              <w:t>, ніж був</w:t>
            </w:r>
            <w:r w:rsidRPr="00854E53">
              <w:rPr>
                <w:b/>
              </w:rPr>
              <w:t xml:space="preserve"> </w:t>
            </w:r>
            <w:r>
              <w:rPr>
                <w:b/>
              </w:rPr>
              <w:t xml:space="preserve">визначений страховиком згідно з </w:t>
            </w:r>
            <w:r w:rsidRPr="00854E53">
              <w:rPr>
                <w:b/>
              </w:rPr>
              <w:t>вимог</w:t>
            </w:r>
            <w:r>
              <w:rPr>
                <w:b/>
              </w:rPr>
              <w:t>ами пунктів 11 </w:t>
            </w:r>
            <w:r w:rsidRPr="00854E53">
              <w:rPr>
                <w:b/>
              </w:rPr>
              <w:t>–</w:t>
            </w:r>
            <w:r>
              <w:rPr>
                <w:b/>
              </w:rPr>
              <w:t> </w:t>
            </w:r>
            <w:r w:rsidRPr="00854E53">
              <w:rPr>
                <w:b/>
              </w:rPr>
              <w:t>18 глави 4 розділу ІІ цього Положення</w:t>
            </w:r>
            <w:r>
              <w:rPr>
                <w:b/>
              </w:rPr>
              <w:t xml:space="preserve"> до такого перерозподілу,</w:t>
            </w:r>
            <w:r w:rsidRPr="00854E53">
              <w:rPr>
                <w:b/>
              </w:rPr>
              <w:t xml:space="preserve"> </w:t>
            </w:r>
            <w:r w:rsidRPr="004E7627">
              <w:rPr>
                <w:b/>
              </w:rPr>
              <w:t>після підтвердження достовірності та повноти фінансової звітності</w:t>
            </w:r>
            <w:r>
              <w:t xml:space="preserve"> </w:t>
            </w:r>
            <w:r w:rsidRPr="004E7627">
              <w:rPr>
                <w:b/>
              </w:rPr>
              <w:t>згідно з аудиторським звітом щодо проведення обов’язкового аудиту фінансової звітності страховика</w:t>
            </w:r>
            <w:r>
              <w:t xml:space="preserve"> </w:t>
            </w:r>
            <w:r w:rsidRPr="004E7627">
              <w:rPr>
                <w:b/>
              </w:rPr>
              <w:t>та/або звітом щодо огляду проміжної фінансової інформації, складеним суб’єктом аудиторської діяльності, що має право здійснювати обов’язковий аудит фінансової звітності підприємств, що становлять суспі</w:t>
            </w:r>
            <w:r>
              <w:rPr>
                <w:b/>
              </w:rPr>
              <w:t>льний інтерес,</w:t>
            </w:r>
            <w:r>
              <w:t xml:space="preserve"> </w:t>
            </w:r>
            <w:r w:rsidRPr="00576498">
              <w:rPr>
                <w:b/>
              </w:rPr>
              <w:t>за звітний період, в якому проведено перерозподіл</w:t>
            </w:r>
            <w:r>
              <w:t xml:space="preserve"> </w:t>
            </w:r>
            <w:r>
              <w:rPr>
                <w:b/>
              </w:rPr>
              <w:t>елементів</w:t>
            </w:r>
            <w:r w:rsidRPr="00576498">
              <w:rPr>
                <w:b/>
              </w:rPr>
              <w:t xml:space="preserve"> власного капіталу</w:t>
            </w:r>
            <w:r>
              <w:rPr>
                <w:b/>
              </w:rPr>
              <w:t xml:space="preserve"> (їх частин).</w:t>
            </w:r>
          </w:p>
        </w:tc>
      </w:tr>
      <w:tr w:rsidR="009C5822" w:rsidRPr="00B73144" w14:paraId="45212737" w14:textId="77777777" w:rsidTr="009C5822">
        <w:trPr>
          <w:trHeight w:val="20"/>
        </w:trPr>
        <w:tc>
          <w:tcPr>
            <w:tcW w:w="6875" w:type="dxa"/>
            <w:shd w:val="clear" w:color="auto" w:fill="auto"/>
          </w:tcPr>
          <w:p w14:paraId="36687ECD" w14:textId="5DDC3189" w:rsidR="009C5822" w:rsidRPr="00D95920" w:rsidRDefault="009C5822" w:rsidP="0058011F">
            <w:pPr>
              <w:pStyle w:val="3"/>
              <w:keepNext w:val="0"/>
              <w:keepLines w:val="0"/>
              <w:widowControl w:val="0"/>
              <w:spacing w:before="0"/>
              <w:outlineLvl w:val="2"/>
              <w:rPr>
                <w:rFonts w:ascii="Times New Roman" w:hAnsi="Times New Roman" w:cs="Times New Roman"/>
                <w:color w:val="auto"/>
                <w:sz w:val="28"/>
                <w:szCs w:val="28"/>
              </w:rPr>
            </w:pPr>
            <w:r w:rsidRPr="00D95920">
              <w:rPr>
                <w:rFonts w:ascii="Times New Roman" w:hAnsi="Times New Roman" w:cs="Times New Roman"/>
                <w:color w:val="auto"/>
                <w:sz w:val="28"/>
                <w:szCs w:val="28"/>
              </w:rPr>
              <w:lastRenderedPageBreak/>
              <w:t>20. Страховик визначає надлишок прийнятних активів для цілей розрахунку регулятивного капіталу над зобов’язаннями страховика</w:t>
            </w:r>
            <w:r w:rsidRPr="00D95920" w:rsidDel="00584DC9">
              <w:rPr>
                <w:rFonts w:ascii="Times New Roman" w:hAnsi="Times New Roman" w:cs="Times New Roman"/>
                <w:color w:val="auto"/>
                <w:sz w:val="28"/>
                <w:szCs w:val="28"/>
              </w:rPr>
              <w:t xml:space="preserve"> </w:t>
            </w:r>
            <w:r w:rsidRPr="00D95920">
              <w:rPr>
                <w:rFonts w:ascii="Times New Roman" w:hAnsi="Times New Roman" w:cs="Times New Roman"/>
                <w:color w:val="auto"/>
                <w:sz w:val="28"/>
                <w:szCs w:val="28"/>
              </w:rPr>
              <w:t>як різницю:</w:t>
            </w:r>
          </w:p>
          <w:p w14:paraId="61D556F6" w14:textId="77777777" w:rsidR="009C5822" w:rsidRPr="00D95920" w:rsidRDefault="009C5822" w:rsidP="0058011F">
            <w:pPr>
              <w:widowControl w:val="0"/>
              <w:ind w:firstLine="567"/>
              <w:contextualSpacing/>
              <w:rPr>
                <w:lang w:eastAsia="en-US"/>
              </w:rPr>
            </w:pPr>
          </w:p>
          <w:p w14:paraId="50760910" w14:textId="77777777" w:rsidR="009C5822" w:rsidRPr="00D95920" w:rsidRDefault="009C5822" w:rsidP="0058011F">
            <w:pPr>
              <w:pStyle w:val="ae"/>
              <w:widowControl w:val="0"/>
              <w:numPr>
                <w:ilvl w:val="1"/>
                <w:numId w:val="6"/>
              </w:numPr>
              <w:ind w:left="0" w:firstLine="567"/>
              <w:rPr>
                <w:lang w:eastAsia="en-US"/>
              </w:rPr>
            </w:pPr>
            <w:r w:rsidRPr="00D95920">
              <w:rPr>
                <w:lang w:eastAsia="en-US"/>
              </w:rPr>
              <w:t xml:space="preserve">суми прийнятних активів страховика, що визначаються відповідно до встановлених у главах 5, 6 розділу ІІ цього Положення вимог, та </w:t>
            </w:r>
          </w:p>
          <w:p w14:paraId="5B4681A7" w14:textId="77777777" w:rsidR="009C5822" w:rsidRPr="00D95920" w:rsidRDefault="009C5822" w:rsidP="0058011F">
            <w:pPr>
              <w:widowControl w:val="0"/>
              <w:ind w:firstLine="567"/>
              <w:contextualSpacing/>
              <w:rPr>
                <w:lang w:eastAsia="en-US"/>
              </w:rPr>
            </w:pPr>
          </w:p>
          <w:p w14:paraId="3AE8D183" w14:textId="77777777" w:rsidR="009C5822" w:rsidRPr="00D95920" w:rsidRDefault="009C5822" w:rsidP="0058011F">
            <w:pPr>
              <w:pStyle w:val="ae"/>
              <w:widowControl w:val="0"/>
              <w:numPr>
                <w:ilvl w:val="1"/>
                <w:numId w:val="6"/>
              </w:numPr>
              <w:ind w:left="0" w:firstLine="567"/>
              <w:rPr>
                <w:lang w:eastAsia="en-US"/>
              </w:rPr>
            </w:pPr>
            <w:r w:rsidRPr="00D95920">
              <w:rPr>
                <w:lang w:eastAsia="en-US"/>
              </w:rPr>
              <w:lastRenderedPageBreak/>
              <w:t>суми зобов’язань страховика</w:t>
            </w:r>
            <w:r w:rsidRPr="00451118">
              <w:rPr>
                <w:lang w:eastAsia="en-US"/>
              </w:rPr>
              <w:t>, що визначаються</w:t>
            </w:r>
            <w:r w:rsidRPr="00EC173C">
              <w:rPr>
                <w:b/>
                <w:strike/>
                <w:lang w:eastAsia="en-US"/>
              </w:rPr>
              <w:t xml:space="preserve"> відповідно до встановлених у главі 5 розділу ІІ цього Положення вимог </w:t>
            </w:r>
            <w:r w:rsidRPr="00463326">
              <w:rPr>
                <w:b/>
                <w:strike/>
                <w:lang w:eastAsia="en-US"/>
              </w:rPr>
              <w:t>за даними регуляторної звітності страховика, складеної відповідно до</w:t>
            </w:r>
            <w:r w:rsidRPr="00463326">
              <w:rPr>
                <w:b/>
                <w:lang w:eastAsia="en-US"/>
              </w:rPr>
              <w:t xml:space="preserve"> вимог </w:t>
            </w:r>
            <w:r w:rsidRPr="00463326">
              <w:rPr>
                <w:b/>
                <w:strike/>
                <w:lang w:eastAsia="en-US"/>
              </w:rPr>
              <w:t xml:space="preserve">нормативно-правового </w:t>
            </w:r>
            <w:proofErr w:type="spellStart"/>
            <w:r w:rsidRPr="00463326">
              <w:rPr>
                <w:b/>
                <w:strike/>
                <w:lang w:eastAsia="en-US"/>
              </w:rPr>
              <w:t>акта</w:t>
            </w:r>
            <w:proofErr w:type="spellEnd"/>
            <w:r w:rsidRPr="00463326">
              <w:rPr>
                <w:b/>
                <w:strike/>
                <w:lang w:eastAsia="en-US"/>
              </w:rPr>
              <w:t xml:space="preserve"> Національного банку з питань подання</w:t>
            </w:r>
            <w:r w:rsidRPr="00463326">
              <w:rPr>
                <w:b/>
                <w:lang w:eastAsia="en-US"/>
              </w:rPr>
              <w:t xml:space="preserve"> </w:t>
            </w:r>
            <w:r w:rsidRPr="00463326">
              <w:rPr>
                <w:b/>
                <w:strike/>
                <w:lang w:eastAsia="en-US"/>
              </w:rPr>
              <w:t>звітності</w:t>
            </w:r>
            <w:r w:rsidRPr="00463326">
              <w:rPr>
                <w:b/>
                <w:lang w:eastAsia="en-US"/>
              </w:rPr>
              <w:t xml:space="preserve"> </w:t>
            </w:r>
            <w:r w:rsidRPr="00463326">
              <w:rPr>
                <w:b/>
                <w:strike/>
                <w:lang w:eastAsia="en-US"/>
              </w:rPr>
              <w:t>небанківськими фінансовими установами до Національного банку</w:t>
            </w:r>
            <w:r w:rsidRPr="00EC173C">
              <w:rPr>
                <w:b/>
                <w:strike/>
                <w:lang w:eastAsia="en-US"/>
              </w:rPr>
              <w:t>,</w:t>
            </w:r>
            <w:r w:rsidRPr="00D95920">
              <w:rPr>
                <w:lang w:eastAsia="en-US"/>
              </w:rPr>
              <w:t xml:space="preserve"> як загальна сума всіх зобов’язань і забезпечень, крім позабалансових (далі – Загальна сума зобов’язань), </w:t>
            </w:r>
            <w:r w:rsidRPr="00EC173C">
              <w:rPr>
                <w:b/>
                <w:strike/>
                <w:lang w:eastAsia="en-US"/>
              </w:rPr>
              <w:t>б</w:t>
            </w:r>
            <w:r w:rsidRPr="00D95920">
              <w:rPr>
                <w:lang w:eastAsia="en-US"/>
              </w:rPr>
              <w:t xml:space="preserve">ез урахування: </w:t>
            </w:r>
          </w:p>
          <w:p w14:paraId="32A5BE41" w14:textId="4E65692A" w:rsidR="007A4A2F" w:rsidRDefault="007A4A2F" w:rsidP="0058011F">
            <w:pPr>
              <w:widowControl w:val="0"/>
              <w:ind w:firstLine="567"/>
              <w:contextualSpacing/>
              <w:rPr>
                <w:lang w:eastAsia="en-US"/>
              </w:rPr>
            </w:pPr>
          </w:p>
          <w:p w14:paraId="2380527E" w14:textId="1E10A7D6" w:rsidR="00DE11B0" w:rsidRDefault="00DE11B0" w:rsidP="0058011F">
            <w:pPr>
              <w:widowControl w:val="0"/>
              <w:ind w:firstLine="567"/>
              <w:contextualSpacing/>
              <w:rPr>
                <w:lang w:eastAsia="en-US"/>
              </w:rPr>
            </w:pPr>
          </w:p>
          <w:p w14:paraId="00038DD2" w14:textId="77777777" w:rsidR="00C515F3" w:rsidRDefault="00C515F3" w:rsidP="0058011F">
            <w:pPr>
              <w:widowControl w:val="0"/>
              <w:ind w:firstLine="567"/>
              <w:contextualSpacing/>
              <w:rPr>
                <w:lang w:eastAsia="en-US"/>
              </w:rPr>
            </w:pPr>
          </w:p>
          <w:p w14:paraId="10BA735F" w14:textId="3E829548" w:rsidR="009C5822" w:rsidRPr="00D95920" w:rsidRDefault="009C5822" w:rsidP="0058011F">
            <w:pPr>
              <w:widowControl w:val="0"/>
              <w:ind w:firstLine="567"/>
              <w:contextualSpacing/>
              <w:rPr>
                <w:lang w:eastAsia="en-US"/>
              </w:rPr>
            </w:pPr>
            <w:proofErr w:type="spellStart"/>
            <w:r w:rsidRPr="00D95920">
              <w:rPr>
                <w:lang w:eastAsia="en-US"/>
              </w:rPr>
              <w:t>субординованого</w:t>
            </w:r>
            <w:proofErr w:type="spellEnd"/>
            <w:r w:rsidRPr="00D95920">
              <w:rPr>
                <w:lang w:eastAsia="en-US"/>
              </w:rPr>
              <w:t xml:space="preserve"> боргу, врахованого у складі регулятивного капіталу відповідно до вимог цього Положення, та</w:t>
            </w:r>
          </w:p>
          <w:p w14:paraId="5BE8C2C0" w14:textId="77777777" w:rsidR="009C5822" w:rsidRPr="00D95920" w:rsidRDefault="009C5822" w:rsidP="0058011F">
            <w:pPr>
              <w:widowControl w:val="0"/>
              <w:ind w:firstLine="567"/>
              <w:contextualSpacing/>
            </w:pPr>
            <w:r w:rsidRPr="00D95920">
              <w:rPr>
                <w:lang w:eastAsia="en-US"/>
              </w:rPr>
              <w:t>суми зобов’язань</w:t>
            </w:r>
            <w:r w:rsidRPr="00D95920">
              <w:rPr>
                <w:lang w:eastAsia="ru-RU"/>
              </w:rPr>
              <w:t xml:space="preserve"> інших, ніж зобов’язання за договорами страхування (перестрахування)</w:t>
            </w:r>
            <w:r w:rsidRPr="00D95920">
              <w:rPr>
                <w:lang w:eastAsia="en-US"/>
              </w:rPr>
              <w:t xml:space="preserve">, що забезпечені активами страховика (такі активи є предметом застави або іншого обтяження </w:t>
            </w:r>
            <w:r w:rsidRPr="00D95920">
              <w:rPr>
                <w:lang w:eastAsia="ru-RU"/>
              </w:rPr>
              <w:t>для забезпечення виконання такого зобов’язання)</w:t>
            </w:r>
            <w:r w:rsidRPr="00D95920">
              <w:rPr>
                <w:lang w:eastAsia="en-US"/>
              </w:rPr>
              <w:t>, у розмірі, що не перевищує суми такого забезпечення.</w:t>
            </w:r>
            <w:r w:rsidRPr="00D95920">
              <w:rPr>
                <w:lang w:eastAsia="ru-RU"/>
              </w:rPr>
              <w:t xml:space="preserve"> </w:t>
            </w:r>
          </w:p>
          <w:p w14:paraId="692D7028" w14:textId="177AC005" w:rsidR="00DE73F9" w:rsidRPr="007C634E" w:rsidRDefault="009C5822" w:rsidP="007C634E">
            <w:pPr>
              <w:pStyle w:val="ae"/>
              <w:widowControl w:val="0"/>
              <w:ind w:left="0" w:firstLine="567"/>
            </w:pPr>
            <w:r w:rsidRPr="00D95920">
              <w:t>Надлишок прийнятних активів для цілей розрахунку регулятивного капіталу над зобов’язаннями страхо</w:t>
            </w:r>
            <w:r w:rsidRPr="00D95920">
              <w:lastRenderedPageBreak/>
              <w:t>вика вважається таким, що дорівнює нулю, якщо отримане значення є від’ємним.</w:t>
            </w:r>
          </w:p>
          <w:p w14:paraId="006FE4F0" w14:textId="1615A321" w:rsidR="00DE73F9" w:rsidRPr="00D95920" w:rsidRDefault="00DE73F9" w:rsidP="0058011F">
            <w:pPr>
              <w:pStyle w:val="ae"/>
              <w:widowControl w:val="0"/>
              <w:ind w:left="0" w:firstLine="567"/>
            </w:pPr>
          </w:p>
        </w:tc>
        <w:tc>
          <w:tcPr>
            <w:tcW w:w="6875" w:type="dxa"/>
            <w:shd w:val="clear" w:color="auto" w:fill="auto"/>
          </w:tcPr>
          <w:p w14:paraId="33B71763" w14:textId="77777777" w:rsidR="009C5822" w:rsidRPr="00D95920" w:rsidRDefault="009C5822" w:rsidP="0058011F">
            <w:pPr>
              <w:pStyle w:val="3"/>
              <w:keepNext w:val="0"/>
              <w:keepLines w:val="0"/>
              <w:widowControl w:val="0"/>
              <w:spacing w:before="0"/>
              <w:outlineLvl w:val="2"/>
              <w:rPr>
                <w:rFonts w:ascii="Times New Roman" w:hAnsi="Times New Roman" w:cs="Times New Roman"/>
                <w:color w:val="auto"/>
                <w:sz w:val="28"/>
                <w:szCs w:val="28"/>
              </w:rPr>
            </w:pPr>
            <w:r w:rsidRPr="00D95920">
              <w:rPr>
                <w:rFonts w:ascii="Times New Roman" w:hAnsi="Times New Roman" w:cs="Times New Roman"/>
                <w:color w:val="auto"/>
                <w:sz w:val="28"/>
                <w:szCs w:val="28"/>
              </w:rPr>
              <w:lastRenderedPageBreak/>
              <w:t>20. Страховик визначає надлишок прийнятних активів для цілей розрахунку регулятивного капіталу над зобов’язаннями страховика</w:t>
            </w:r>
            <w:r w:rsidRPr="00D95920" w:rsidDel="00584DC9">
              <w:rPr>
                <w:rFonts w:ascii="Times New Roman" w:hAnsi="Times New Roman" w:cs="Times New Roman"/>
                <w:color w:val="auto"/>
                <w:sz w:val="28"/>
                <w:szCs w:val="28"/>
              </w:rPr>
              <w:t xml:space="preserve"> </w:t>
            </w:r>
            <w:r w:rsidRPr="00D95920">
              <w:rPr>
                <w:rFonts w:ascii="Times New Roman" w:hAnsi="Times New Roman" w:cs="Times New Roman"/>
                <w:color w:val="auto"/>
                <w:sz w:val="28"/>
                <w:szCs w:val="28"/>
              </w:rPr>
              <w:t>як різницю:</w:t>
            </w:r>
          </w:p>
          <w:p w14:paraId="120904D0" w14:textId="77777777" w:rsidR="009C5822" w:rsidRPr="00D95920" w:rsidRDefault="009C5822" w:rsidP="0058011F">
            <w:pPr>
              <w:widowControl w:val="0"/>
              <w:ind w:firstLine="567"/>
              <w:contextualSpacing/>
              <w:rPr>
                <w:lang w:eastAsia="en-US"/>
              </w:rPr>
            </w:pPr>
          </w:p>
          <w:p w14:paraId="7F0A5CDA" w14:textId="77777777" w:rsidR="009C5822" w:rsidRPr="00D95920" w:rsidRDefault="009C5822" w:rsidP="0058011F">
            <w:pPr>
              <w:pStyle w:val="ae"/>
              <w:widowControl w:val="0"/>
              <w:numPr>
                <w:ilvl w:val="1"/>
                <w:numId w:val="7"/>
              </w:numPr>
              <w:ind w:left="0" w:firstLine="567"/>
              <w:rPr>
                <w:lang w:eastAsia="en-US"/>
              </w:rPr>
            </w:pPr>
            <w:r w:rsidRPr="00D95920">
              <w:rPr>
                <w:lang w:eastAsia="en-US"/>
              </w:rPr>
              <w:t xml:space="preserve">суми прийнятних активів страховика, що визначаються відповідно до встановлених у главах 5, 6 розділу ІІ цього Положення вимог, та </w:t>
            </w:r>
          </w:p>
          <w:p w14:paraId="4B99075D" w14:textId="77777777" w:rsidR="009C5822" w:rsidRPr="00D95920" w:rsidRDefault="009C5822" w:rsidP="0058011F">
            <w:pPr>
              <w:widowControl w:val="0"/>
              <w:ind w:firstLine="567"/>
              <w:contextualSpacing/>
              <w:rPr>
                <w:lang w:eastAsia="en-US"/>
              </w:rPr>
            </w:pPr>
          </w:p>
          <w:p w14:paraId="48BC517A" w14:textId="62F5526E" w:rsidR="009C5822" w:rsidRPr="00D95920" w:rsidRDefault="009C5822" w:rsidP="0058011F">
            <w:pPr>
              <w:pStyle w:val="ae"/>
              <w:widowControl w:val="0"/>
              <w:numPr>
                <w:ilvl w:val="1"/>
                <w:numId w:val="7"/>
              </w:numPr>
              <w:ind w:left="0" w:firstLine="567"/>
              <w:rPr>
                <w:lang w:eastAsia="en-US"/>
              </w:rPr>
            </w:pPr>
            <w:r w:rsidRPr="00D95920">
              <w:rPr>
                <w:lang w:eastAsia="en-US"/>
              </w:rPr>
              <w:lastRenderedPageBreak/>
              <w:t>суми зобов’язань страховика, що визначаються як загальна сума всіх зобов’язань і забезпечень, крім позабалансових (дал</w:t>
            </w:r>
            <w:r>
              <w:rPr>
                <w:lang w:eastAsia="en-US"/>
              </w:rPr>
              <w:t>і – Загальна сума зобов’язань)</w:t>
            </w:r>
            <w:r w:rsidRPr="00D95920">
              <w:rPr>
                <w:lang w:eastAsia="en-US"/>
              </w:rPr>
              <w:t xml:space="preserve">, </w:t>
            </w:r>
            <w:r w:rsidR="00451118" w:rsidRPr="00D95920">
              <w:rPr>
                <w:lang w:eastAsia="en-US"/>
              </w:rPr>
              <w:t xml:space="preserve">відповідно до встановлених у главі 5 розділу ІІ цього Положення вимог </w:t>
            </w:r>
            <w:r w:rsidR="00451118">
              <w:rPr>
                <w:lang w:eastAsia="en-US"/>
              </w:rPr>
              <w:t xml:space="preserve">та </w:t>
            </w:r>
            <w:r w:rsidR="00451118">
              <w:rPr>
                <w:b/>
                <w:lang w:eastAsia="en-US"/>
              </w:rPr>
              <w:t>відповідно до порядку формування</w:t>
            </w:r>
            <w:r w:rsidR="00CB2006">
              <w:rPr>
                <w:b/>
                <w:lang w:eastAsia="en-US"/>
              </w:rPr>
              <w:t xml:space="preserve"> (крім періодичності та строк</w:t>
            </w:r>
            <w:r w:rsidR="003E7B8F">
              <w:rPr>
                <w:b/>
                <w:lang w:eastAsia="en-US"/>
              </w:rPr>
              <w:t>у</w:t>
            </w:r>
            <w:r w:rsidR="00CB2006">
              <w:rPr>
                <w:b/>
                <w:lang w:eastAsia="en-US"/>
              </w:rPr>
              <w:t xml:space="preserve"> подання)</w:t>
            </w:r>
            <w:r w:rsidR="00451118">
              <w:rPr>
                <w:b/>
                <w:lang w:eastAsia="en-US"/>
              </w:rPr>
              <w:t xml:space="preserve"> показників</w:t>
            </w:r>
            <w:r w:rsidR="00451118" w:rsidRPr="00D95920">
              <w:rPr>
                <w:lang w:eastAsia="en-US"/>
              </w:rPr>
              <w:t xml:space="preserve"> </w:t>
            </w:r>
            <w:r w:rsidR="00451118" w:rsidRPr="00D95920">
              <w:rPr>
                <w:b/>
                <w:lang w:eastAsia="en-US"/>
              </w:rPr>
              <w:t>регуляторної</w:t>
            </w:r>
            <w:r w:rsidR="00451118" w:rsidRPr="00D95920">
              <w:rPr>
                <w:lang w:eastAsia="en-US"/>
              </w:rPr>
              <w:t xml:space="preserve"> </w:t>
            </w:r>
            <w:r w:rsidR="00451118" w:rsidRPr="00463326">
              <w:rPr>
                <w:b/>
                <w:lang w:eastAsia="en-US"/>
              </w:rPr>
              <w:t>звітності</w:t>
            </w:r>
            <w:r w:rsidR="00451118" w:rsidRPr="00D95920">
              <w:rPr>
                <w:lang w:eastAsia="en-US"/>
              </w:rPr>
              <w:t xml:space="preserve"> </w:t>
            </w:r>
            <w:r w:rsidR="00451118" w:rsidRPr="00D95920">
              <w:rPr>
                <w:b/>
                <w:lang w:eastAsia="en-US"/>
              </w:rPr>
              <w:t>страховика</w:t>
            </w:r>
            <w:r w:rsidR="00451118">
              <w:rPr>
                <w:b/>
                <w:lang w:eastAsia="en-US"/>
              </w:rPr>
              <w:t xml:space="preserve">, </w:t>
            </w:r>
            <w:r w:rsidR="007A4A2F" w:rsidRPr="007A4A2F">
              <w:rPr>
                <w:b/>
                <w:lang w:eastAsia="en-US"/>
              </w:rPr>
              <w:t xml:space="preserve">що подаються </w:t>
            </w:r>
            <w:r w:rsidR="00EA391C">
              <w:rPr>
                <w:b/>
                <w:lang w:eastAsia="en-US"/>
              </w:rPr>
              <w:t xml:space="preserve">до Національного банку </w:t>
            </w:r>
            <w:r w:rsidR="007A4A2F" w:rsidRPr="007A4A2F">
              <w:rPr>
                <w:b/>
                <w:lang w:eastAsia="en-US"/>
              </w:rPr>
              <w:t xml:space="preserve">у файлах із показниками звітності у форматі XML IRB3 “Дані регуляторного балансу. Зобов’язання та забезпечення” та IRB4 “Дані регуляторного балансу. </w:t>
            </w:r>
            <w:proofErr w:type="spellStart"/>
            <w:r w:rsidR="007A4A2F" w:rsidRPr="007A4A2F">
              <w:rPr>
                <w:b/>
                <w:lang w:eastAsia="en-US"/>
              </w:rPr>
              <w:t>Субординований</w:t>
            </w:r>
            <w:proofErr w:type="spellEnd"/>
            <w:r w:rsidR="007A4A2F" w:rsidRPr="007A4A2F">
              <w:rPr>
                <w:b/>
                <w:lang w:eastAsia="en-US"/>
              </w:rPr>
              <w:t xml:space="preserve"> борг та позабалансові зобов’язання”</w:t>
            </w:r>
            <w:r w:rsidR="00451118">
              <w:rPr>
                <w:b/>
                <w:lang w:eastAsia="en-US"/>
              </w:rPr>
              <w:t>.</w:t>
            </w:r>
            <w:r w:rsidR="005E474A">
              <w:rPr>
                <w:lang w:eastAsia="en-US"/>
              </w:rPr>
              <w:t xml:space="preserve"> </w:t>
            </w:r>
            <w:r w:rsidR="005E474A" w:rsidRPr="00CE4353">
              <w:rPr>
                <w:b/>
                <w:lang w:eastAsia="en-US"/>
              </w:rPr>
              <w:t xml:space="preserve">Загальна </w:t>
            </w:r>
            <w:r w:rsidR="00451118" w:rsidRPr="00CE4353">
              <w:rPr>
                <w:b/>
                <w:lang w:eastAsia="en-US"/>
              </w:rPr>
              <w:t>сума зобов’язань визначається</w:t>
            </w:r>
            <w:r w:rsidR="00451118" w:rsidRPr="00D95920">
              <w:rPr>
                <w:lang w:eastAsia="en-US"/>
              </w:rPr>
              <w:t xml:space="preserve"> </w:t>
            </w:r>
            <w:r w:rsidRPr="00D95920">
              <w:rPr>
                <w:lang w:eastAsia="en-US"/>
              </w:rPr>
              <w:t xml:space="preserve">без урахування: </w:t>
            </w:r>
          </w:p>
          <w:p w14:paraId="7B8E953A" w14:textId="4199F7B6" w:rsidR="009C5822" w:rsidRPr="00D95920" w:rsidRDefault="009C5822" w:rsidP="0058011F">
            <w:pPr>
              <w:widowControl w:val="0"/>
              <w:ind w:firstLine="567"/>
              <w:contextualSpacing/>
              <w:rPr>
                <w:lang w:eastAsia="en-US"/>
              </w:rPr>
            </w:pPr>
            <w:proofErr w:type="spellStart"/>
            <w:r w:rsidRPr="00D95920">
              <w:rPr>
                <w:lang w:eastAsia="en-US"/>
              </w:rPr>
              <w:t>субординованого</w:t>
            </w:r>
            <w:proofErr w:type="spellEnd"/>
            <w:r w:rsidRPr="00D95920">
              <w:rPr>
                <w:lang w:eastAsia="en-US"/>
              </w:rPr>
              <w:t xml:space="preserve"> боргу, врахованого у складі регулятивного капіталу відповідно до вимог цього Положення, та</w:t>
            </w:r>
          </w:p>
          <w:p w14:paraId="27FFBF18" w14:textId="77777777" w:rsidR="009C5822" w:rsidRPr="00D95920" w:rsidRDefault="009C5822" w:rsidP="0058011F">
            <w:pPr>
              <w:widowControl w:val="0"/>
              <w:ind w:firstLine="567"/>
              <w:contextualSpacing/>
            </w:pPr>
            <w:r w:rsidRPr="00D95920">
              <w:rPr>
                <w:lang w:eastAsia="en-US"/>
              </w:rPr>
              <w:t>суми зобов’язань</w:t>
            </w:r>
            <w:r w:rsidRPr="00D95920">
              <w:rPr>
                <w:lang w:eastAsia="ru-RU"/>
              </w:rPr>
              <w:t xml:space="preserve"> інших, ніж зобов’язання за договорами страхування (перестрахування)</w:t>
            </w:r>
            <w:r w:rsidRPr="00D95920">
              <w:rPr>
                <w:lang w:eastAsia="en-US"/>
              </w:rPr>
              <w:t xml:space="preserve">, що забезпечені активами страховика (такі активи є предметом застави або іншого обтяження </w:t>
            </w:r>
            <w:r w:rsidRPr="00D95920">
              <w:rPr>
                <w:lang w:eastAsia="ru-RU"/>
              </w:rPr>
              <w:t>для забезпечення виконання такого зобов’язання)</w:t>
            </w:r>
            <w:r w:rsidRPr="00D95920">
              <w:rPr>
                <w:lang w:eastAsia="en-US"/>
              </w:rPr>
              <w:t>, у розмірі, що не перевищує суми такого забезпечення.</w:t>
            </w:r>
            <w:r w:rsidRPr="00D95920">
              <w:rPr>
                <w:lang w:eastAsia="ru-RU"/>
              </w:rPr>
              <w:t xml:space="preserve"> </w:t>
            </w:r>
          </w:p>
          <w:p w14:paraId="5FAE8495" w14:textId="3EEE3DA5" w:rsidR="00DE73F9" w:rsidRPr="008F2D64" w:rsidRDefault="009C5822" w:rsidP="007C634E">
            <w:pPr>
              <w:pStyle w:val="ae"/>
              <w:widowControl w:val="0"/>
              <w:ind w:left="0" w:firstLine="567"/>
            </w:pPr>
            <w:r w:rsidRPr="00D95920">
              <w:t>Надлишок прийнятних активів для цілей розрахунку регулятивного капіталу над зобов’язаннями страхо</w:t>
            </w:r>
            <w:r w:rsidRPr="00D95920">
              <w:lastRenderedPageBreak/>
              <w:t>вика вважається таким, що дорівнює нулю, якщо отримане значення є від’ємним.</w:t>
            </w:r>
          </w:p>
        </w:tc>
      </w:tr>
      <w:tr w:rsidR="009C5822" w:rsidRPr="00913B2E" w14:paraId="5BD642B9" w14:textId="77777777" w:rsidTr="009C5822">
        <w:trPr>
          <w:trHeight w:val="20"/>
        </w:trPr>
        <w:tc>
          <w:tcPr>
            <w:tcW w:w="6875" w:type="dxa"/>
            <w:shd w:val="clear" w:color="auto" w:fill="auto"/>
          </w:tcPr>
          <w:p w14:paraId="10C50AA7" w14:textId="77777777" w:rsidR="009C5822" w:rsidRPr="00E01991" w:rsidRDefault="009C5822" w:rsidP="0058011F">
            <w:pPr>
              <w:pStyle w:val="3"/>
              <w:keepNext w:val="0"/>
              <w:keepLines w:val="0"/>
              <w:widowControl w:val="0"/>
              <w:tabs>
                <w:tab w:val="left" w:pos="885"/>
              </w:tabs>
              <w:spacing w:before="0"/>
              <w:ind w:firstLine="460"/>
              <w:outlineLvl w:val="2"/>
              <w:rPr>
                <w:rFonts w:ascii="Times New Roman" w:hAnsi="Times New Roman" w:cs="Times New Roman"/>
                <w:color w:val="auto"/>
                <w:sz w:val="28"/>
                <w:szCs w:val="28"/>
              </w:rPr>
            </w:pPr>
            <w:r w:rsidRPr="00E01991">
              <w:rPr>
                <w:rFonts w:ascii="Times New Roman" w:hAnsi="Times New Roman" w:cs="Times New Roman"/>
                <w:color w:val="auto"/>
                <w:sz w:val="28"/>
                <w:szCs w:val="28"/>
              </w:rPr>
              <w:lastRenderedPageBreak/>
              <w:t>33. Акції, корпоративні облігації (крім цільових облігацій), облігації внутрішніх місцевих позик, облігації міжнародних фінансових організацій, цінні папери іноземних держав-емітентів, право власності страховика на які підтверджено документально відповідно до законодавства України, а також дебіторська заборгованість за нарахованими відсотками за такими цінними паперами (у разі наявності умов нарахування відсотків за такими цінними паперами) включаються до суми прийнятних активів з урахуванням таких обмежень:</w:t>
            </w:r>
          </w:p>
          <w:p w14:paraId="723659D1" w14:textId="77777777" w:rsidR="009C5822" w:rsidRPr="00E01991" w:rsidRDefault="009C5822" w:rsidP="0058011F">
            <w:pPr>
              <w:pStyle w:val="ae"/>
              <w:tabs>
                <w:tab w:val="left" w:pos="454"/>
              </w:tabs>
              <w:ind w:left="0" w:right="29" w:firstLine="181"/>
            </w:pPr>
            <w:r w:rsidRPr="00E01991">
              <w:t>…</w:t>
            </w:r>
          </w:p>
          <w:p w14:paraId="2A20AD20" w14:textId="77777777" w:rsidR="009C5822" w:rsidRPr="00E01991" w:rsidRDefault="009C5822" w:rsidP="0058011F">
            <w:pPr>
              <w:widowControl w:val="0"/>
              <w:numPr>
                <w:ilvl w:val="0"/>
                <w:numId w:val="3"/>
              </w:numPr>
              <w:tabs>
                <w:tab w:val="left" w:pos="900"/>
              </w:tabs>
              <w:ind w:left="0" w:firstLine="567"/>
              <w:contextualSpacing/>
              <w:rPr>
                <w:lang w:eastAsia="en-US"/>
              </w:rPr>
            </w:pPr>
            <w:r w:rsidRPr="00E01991">
              <w:rPr>
                <w:lang w:eastAsia="en-US"/>
              </w:rPr>
              <w:t xml:space="preserve">корпоративні облігації українських емітентів, облігації внутрішніх місцевих позик, облігації міжнародних фінансових організацій, що перебувають у біржовому списку та мають інвестиційний рівень кредитного рейтингу за національною </w:t>
            </w:r>
            <w:r w:rsidRPr="00E01991">
              <w:rPr>
                <w:b/>
                <w:strike/>
                <w:lang w:eastAsia="en-US"/>
              </w:rPr>
              <w:t>рейтинговою</w:t>
            </w:r>
            <w:r w:rsidRPr="00E01991">
              <w:rPr>
                <w:lang w:eastAsia="en-US"/>
              </w:rPr>
              <w:t xml:space="preserve"> шкалою; </w:t>
            </w:r>
          </w:p>
          <w:p w14:paraId="429E6464" w14:textId="77777777" w:rsidR="009C5822" w:rsidRPr="00E01991" w:rsidRDefault="009C5822" w:rsidP="0058011F">
            <w:pPr>
              <w:widowControl w:val="0"/>
              <w:ind w:firstLine="567"/>
              <w:rPr>
                <w:lang w:eastAsia="en-US"/>
              </w:rPr>
            </w:pPr>
          </w:p>
          <w:p w14:paraId="517E19E8" w14:textId="77777777" w:rsidR="009C5822" w:rsidRPr="00E01991" w:rsidRDefault="009C5822" w:rsidP="0058011F">
            <w:pPr>
              <w:widowControl w:val="0"/>
              <w:ind w:firstLine="567"/>
              <w:rPr>
                <w:lang w:eastAsia="en-US"/>
              </w:rPr>
            </w:pPr>
          </w:p>
          <w:p w14:paraId="6DB4C15B" w14:textId="77777777" w:rsidR="009C5822" w:rsidRPr="00E01991" w:rsidRDefault="009C5822" w:rsidP="0058011F">
            <w:pPr>
              <w:widowControl w:val="0"/>
              <w:numPr>
                <w:ilvl w:val="0"/>
                <w:numId w:val="3"/>
              </w:numPr>
              <w:tabs>
                <w:tab w:val="left" w:pos="900"/>
              </w:tabs>
              <w:ind w:left="0" w:firstLine="567"/>
              <w:contextualSpacing/>
              <w:rPr>
                <w:lang w:eastAsia="en-US"/>
              </w:rPr>
            </w:pPr>
            <w:bookmarkStart w:id="1" w:name="n67"/>
            <w:bookmarkStart w:id="2" w:name="n68"/>
            <w:bookmarkEnd w:id="1"/>
            <w:bookmarkEnd w:id="2"/>
            <w:r w:rsidRPr="00E01991">
              <w:rPr>
                <w:lang w:eastAsia="en-US"/>
              </w:rPr>
              <w:t>корпоративні облігації іноземних емітентів, які відповідають таким вимогам:</w:t>
            </w:r>
          </w:p>
          <w:p w14:paraId="4A6AA55D" w14:textId="77777777" w:rsidR="009C5822" w:rsidRPr="00E01991" w:rsidRDefault="009C5822" w:rsidP="0058011F">
            <w:pPr>
              <w:widowControl w:val="0"/>
              <w:ind w:firstLine="567"/>
              <w:rPr>
                <w:lang w:eastAsia="en-US"/>
              </w:rPr>
            </w:pPr>
            <w:r w:rsidRPr="00E01991">
              <w:rPr>
                <w:lang w:eastAsia="en-US"/>
              </w:rPr>
              <w:t>пройшли процедуру лістингу та перебувають у бі</w:t>
            </w:r>
            <w:r w:rsidRPr="00E01991">
              <w:rPr>
                <w:lang w:eastAsia="en-US"/>
              </w:rPr>
              <w:lastRenderedPageBreak/>
              <w:t xml:space="preserve">ржовому реєстрі принаймні на одній з </w:t>
            </w:r>
            <w:r w:rsidRPr="00E01991">
              <w:rPr>
                <w:shd w:val="clear" w:color="auto" w:fill="FFFFFF"/>
              </w:rPr>
              <w:t xml:space="preserve">українських фондових бірж та/або </w:t>
            </w:r>
            <w:r w:rsidRPr="00E01991">
              <w:rPr>
                <w:lang w:eastAsia="en-US"/>
              </w:rPr>
              <w:t xml:space="preserve">пройшли процедуру лістингу та перебувають в обігу принаймні на </w:t>
            </w:r>
            <w:r w:rsidRPr="00E01991">
              <w:rPr>
                <w:shd w:val="clear" w:color="auto" w:fill="FFFFFF"/>
              </w:rPr>
              <w:t xml:space="preserve">одній з </w:t>
            </w:r>
            <w:r w:rsidRPr="00E01991">
              <w:rPr>
                <w:lang w:eastAsia="en-US"/>
              </w:rPr>
              <w:t xml:space="preserve">іноземних фондових бірж, що входять до переліку іноземних фондових бірж, на яких мають бути допущені до обігу цінні папери іноземних емітентів, для допуску їх до обігу на території України, затвердженому НКЦПФР; </w:t>
            </w:r>
            <w:bookmarkStart w:id="3" w:name="n69"/>
            <w:bookmarkEnd w:id="3"/>
          </w:p>
          <w:p w14:paraId="7856AA70" w14:textId="77777777" w:rsidR="009C5822" w:rsidRPr="00E01991" w:rsidRDefault="009C5822" w:rsidP="0058011F">
            <w:pPr>
              <w:widowControl w:val="0"/>
              <w:ind w:firstLine="567"/>
              <w:rPr>
                <w:lang w:eastAsia="en-US"/>
              </w:rPr>
            </w:pPr>
            <w:r w:rsidRPr="00E01991">
              <w:rPr>
                <w:lang w:eastAsia="en-US"/>
              </w:rPr>
              <w:t>відповідають вимогам щодо допуску таких цінних паперів до їх обігу на території України;</w:t>
            </w:r>
          </w:p>
          <w:p w14:paraId="2FD579BC" w14:textId="77777777" w:rsidR="009C5822" w:rsidRPr="00E01991" w:rsidRDefault="009C5822" w:rsidP="0058011F">
            <w:pPr>
              <w:widowControl w:val="0"/>
              <w:ind w:firstLine="567"/>
              <w:rPr>
                <w:lang w:eastAsia="en-US"/>
              </w:rPr>
            </w:pPr>
            <w:r w:rsidRPr="00E01991">
              <w:rPr>
                <w:lang w:eastAsia="en-US"/>
              </w:rPr>
              <w:t>кредитний рейтинг іноземного емітента таких корпоративних облігацій не нижчий за:</w:t>
            </w:r>
          </w:p>
          <w:p w14:paraId="2D102767" w14:textId="77777777" w:rsidR="009C5822" w:rsidRPr="00E01991" w:rsidRDefault="009C5822" w:rsidP="0058011F">
            <w:pPr>
              <w:widowControl w:val="0"/>
              <w:ind w:firstLine="567"/>
              <w:rPr>
                <w:lang w:eastAsia="en-US"/>
              </w:rPr>
            </w:pPr>
            <w:bookmarkStart w:id="4" w:name="n70"/>
            <w:bookmarkStart w:id="5" w:name="n66"/>
            <w:bookmarkEnd w:id="4"/>
            <w:bookmarkEnd w:id="5"/>
            <w:r w:rsidRPr="00E01991">
              <w:rPr>
                <w:lang w:eastAsia="en-US"/>
              </w:rPr>
              <w:t>“Baa1” [</w:t>
            </w:r>
            <w:proofErr w:type="spellStart"/>
            <w:r w:rsidRPr="00E01991">
              <w:rPr>
                <w:lang w:eastAsia="en-US"/>
              </w:rPr>
              <w:t>Moody’s</w:t>
            </w:r>
            <w:proofErr w:type="spellEnd"/>
            <w:r w:rsidRPr="00E01991">
              <w:rPr>
                <w:lang w:eastAsia="en-US"/>
              </w:rPr>
              <w:t xml:space="preserve"> </w:t>
            </w:r>
            <w:proofErr w:type="spellStart"/>
            <w:r w:rsidRPr="00E01991">
              <w:rPr>
                <w:lang w:eastAsia="en-US"/>
              </w:rPr>
              <w:t>Investors</w:t>
            </w:r>
            <w:proofErr w:type="spellEnd"/>
            <w:r w:rsidRPr="00E01991">
              <w:rPr>
                <w:lang w:eastAsia="en-US"/>
              </w:rPr>
              <w:t xml:space="preserve"> </w:t>
            </w:r>
            <w:proofErr w:type="spellStart"/>
            <w:r w:rsidRPr="00E01991">
              <w:rPr>
                <w:lang w:eastAsia="en-US"/>
              </w:rPr>
              <w:t>Service</w:t>
            </w:r>
            <w:proofErr w:type="spellEnd"/>
            <w:r w:rsidRPr="00E01991">
              <w:rPr>
                <w:lang w:eastAsia="en-US"/>
              </w:rPr>
              <w:t xml:space="preserve"> (США)];</w:t>
            </w:r>
          </w:p>
          <w:p w14:paraId="5FC467D1" w14:textId="77777777" w:rsidR="009C5822" w:rsidRPr="00E01991" w:rsidRDefault="009C5822" w:rsidP="0058011F">
            <w:pPr>
              <w:widowControl w:val="0"/>
              <w:ind w:firstLine="567"/>
              <w:rPr>
                <w:lang w:eastAsia="en-US"/>
              </w:rPr>
            </w:pPr>
            <w:bookmarkStart w:id="6" w:name="n71"/>
            <w:bookmarkEnd w:id="6"/>
            <w:r w:rsidRPr="00E01991">
              <w:rPr>
                <w:lang w:eastAsia="en-US"/>
              </w:rPr>
              <w:t xml:space="preserve">“BBB+” [Standard &amp; </w:t>
            </w:r>
            <w:proofErr w:type="spellStart"/>
            <w:r w:rsidRPr="00E01991">
              <w:rPr>
                <w:lang w:eastAsia="en-US"/>
              </w:rPr>
              <w:t>Poor’s</w:t>
            </w:r>
            <w:proofErr w:type="spellEnd"/>
            <w:r w:rsidRPr="00E01991">
              <w:rPr>
                <w:lang w:eastAsia="en-US"/>
              </w:rPr>
              <w:t xml:space="preserve"> (США)];</w:t>
            </w:r>
          </w:p>
          <w:p w14:paraId="0CCFAF1F" w14:textId="77777777" w:rsidR="009C5822" w:rsidRPr="00E01991" w:rsidRDefault="009C5822" w:rsidP="0058011F">
            <w:pPr>
              <w:widowControl w:val="0"/>
              <w:ind w:firstLine="567"/>
              <w:rPr>
                <w:lang w:eastAsia="en-US"/>
              </w:rPr>
            </w:pPr>
            <w:bookmarkStart w:id="7" w:name="n72"/>
            <w:bookmarkEnd w:id="7"/>
            <w:r w:rsidRPr="00E01991">
              <w:rPr>
                <w:lang w:eastAsia="en-US"/>
              </w:rPr>
              <w:t>“BBB+” [</w:t>
            </w:r>
            <w:proofErr w:type="spellStart"/>
            <w:r w:rsidRPr="00E01991">
              <w:rPr>
                <w:lang w:eastAsia="en-US"/>
              </w:rPr>
              <w:t>Fitch</w:t>
            </w:r>
            <w:proofErr w:type="spellEnd"/>
            <w:r w:rsidRPr="00E01991">
              <w:rPr>
                <w:lang w:eastAsia="en-US"/>
              </w:rPr>
              <w:t xml:space="preserve"> </w:t>
            </w:r>
            <w:proofErr w:type="spellStart"/>
            <w:r w:rsidRPr="00E01991">
              <w:rPr>
                <w:lang w:eastAsia="en-US"/>
              </w:rPr>
              <w:t>Ratings</w:t>
            </w:r>
            <w:proofErr w:type="spellEnd"/>
            <w:r w:rsidRPr="00E01991">
              <w:rPr>
                <w:lang w:eastAsia="en-US"/>
              </w:rPr>
              <w:t xml:space="preserve"> (Великобританія)];</w:t>
            </w:r>
          </w:p>
          <w:p w14:paraId="167DE4D9" w14:textId="77777777" w:rsidR="009C5822" w:rsidRPr="00E01991" w:rsidRDefault="009C5822" w:rsidP="0058011F">
            <w:pPr>
              <w:widowControl w:val="0"/>
              <w:ind w:firstLine="567"/>
              <w:rPr>
                <w:lang w:eastAsia="en-US"/>
              </w:rPr>
            </w:pPr>
            <w:r w:rsidRPr="00E01991">
              <w:rPr>
                <w:lang w:eastAsia="en-US"/>
              </w:rPr>
              <w:t>“B++” [</w:t>
            </w:r>
            <w:r w:rsidRPr="00E01991">
              <w:rPr>
                <w:bCs/>
              </w:rPr>
              <w:t xml:space="preserve">A.M. </w:t>
            </w:r>
            <w:proofErr w:type="spellStart"/>
            <w:r w:rsidRPr="00E01991">
              <w:rPr>
                <w:bCs/>
              </w:rPr>
              <w:t>Best</w:t>
            </w:r>
            <w:proofErr w:type="spellEnd"/>
            <w:r w:rsidRPr="00E01991">
              <w:rPr>
                <w:bCs/>
              </w:rPr>
              <w:t xml:space="preserve"> (США)]</w:t>
            </w:r>
            <w:r w:rsidRPr="00E01991">
              <w:rPr>
                <w:lang w:eastAsia="en-US"/>
              </w:rPr>
              <w:t>.</w:t>
            </w:r>
          </w:p>
          <w:p w14:paraId="006E99B1" w14:textId="77777777" w:rsidR="00DE11B0" w:rsidRDefault="00DE11B0" w:rsidP="0058011F">
            <w:pPr>
              <w:widowControl w:val="0"/>
              <w:ind w:firstLine="567"/>
            </w:pPr>
          </w:p>
          <w:p w14:paraId="7BD1D2EC" w14:textId="2184FEB9" w:rsidR="00DE11B0" w:rsidRPr="00DE11B0" w:rsidRDefault="00DE11B0" w:rsidP="0058011F">
            <w:pPr>
              <w:widowControl w:val="0"/>
              <w:ind w:firstLine="567"/>
              <w:rPr>
                <w:b/>
              </w:rPr>
            </w:pPr>
            <w:r w:rsidRPr="00DE11B0">
              <w:rPr>
                <w:b/>
              </w:rPr>
              <w:t>Абзац відсутній</w:t>
            </w:r>
          </w:p>
          <w:p w14:paraId="4BDBA959" w14:textId="77777777" w:rsidR="00DE11B0" w:rsidRDefault="00DE11B0" w:rsidP="0058011F">
            <w:pPr>
              <w:widowControl w:val="0"/>
              <w:ind w:firstLine="567"/>
            </w:pPr>
          </w:p>
          <w:p w14:paraId="54714DAF" w14:textId="77777777" w:rsidR="00DE11B0" w:rsidRDefault="00DE11B0" w:rsidP="0058011F">
            <w:pPr>
              <w:widowControl w:val="0"/>
              <w:ind w:firstLine="567"/>
            </w:pPr>
          </w:p>
          <w:p w14:paraId="76C10F3A" w14:textId="5D04B8C9" w:rsidR="009C5822" w:rsidRPr="00E01991" w:rsidRDefault="009C5822" w:rsidP="0058011F">
            <w:pPr>
              <w:widowControl w:val="0"/>
              <w:ind w:firstLine="567"/>
              <w:rPr>
                <w:lang w:eastAsia="en-US"/>
              </w:rPr>
            </w:pPr>
            <w:r w:rsidRPr="00E01991">
              <w:t xml:space="preserve">Усі кредитні рейтинги іноземного емітента, якщо таких рейтингів присвоєно кілька та/або рейтинг (рейтинги) присвоєно більше ніж одним </w:t>
            </w:r>
            <w:r w:rsidR="004C16C7" w:rsidRPr="001919A0">
              <w:rPr>
                <w:b/>
                <w:strike/>
              </w:rPr>
              <w:t>міжнародним</w:t>
            </w:r>
            <w:r w:rsidRPr="00E01991">
              <w:t xml:space="preserve"> рейтинговим агентством, повинні відповідати вимогам, зазначеним у підпункті 4 пункту 33 глави 6 розділу IІ цього Положення</w:t>
            </w:r>
            <w:r w:rsidRPr="00E01991">
              <w:rPr>
                <w:lang w:eastAsia="en-US"/>
              </w:rPr>
              <w:t>;</w:t>
            </w:r>
          </w:p>
          <w:p w14:paraId="67721F53" w14:textId="125A73BC" w:rsidR="009C5822" w:rsidRDefault="009C5822" w:rsidP="0058011F">
            <w:pPr>
              <w:widowControl w:val="0"/>
              <w:ind w:firstLine="567"/>
              <w:rPr>
                <w:lang w:eastAsia="en-US"/>
              </w:rPr>
            </w:pPr>
          </w:p>
          <w:p w14:paraId="3316BEAD" w14:textId="54581E0D" w:rsidR="00135BAE" w:rsidRDefault="00135BAE" w:rsidP="0058011F">
            <w:pPr>
              <w:widowControl w:val="0"/>
              <w:ind w:firstLine="567"/>
              <w:rPr>
                <w:lang w:eastAsia="en-US"/>
              </w:rPr>
            </w:pPr>
          </w:p>
          <w:p w14:paraId="5385BB54" w14:textId="67AD2CC2" w:rsidR="004C16C7" w:rsidRDefault="004C16C7" w:rsidP="0058011F">
            <w:pPr>
              <w:widowControl w:val="0"/>
              <w:ind w:firstLine="567"/>
              <w:rPr>
                <w:lang w:eastAsia="en-US"/>
              </w:rPr>
            </w:pPr>
          </w:p>
          <w:p w14:paraId="2028ABB7" w14:textId="5CF5AD49" w:rsidR="009C5822" w:rsidRDefault="009C5822" w:rsidP="0058011F">
            <w:pPr>
              <w:widowControl w:val="0"/>
              <w:numPr>
                <w:ilvl w:val="0"/>
                <w:numId w:val="3"/>
              </w:numPr>
              <w:tabs>
                <w:tab w:val="left" w:pos="900"/>
              </w:tabs>
              <w:ind w:left="0" w:firstLine="567"/>
              <w:contextualSpacing/>
              <w:rPr>
                <w:lang w:eastAsia="en-US"/>
              </w:rPr>
            </w:pPr>
            <w:bookmarkStart w:id="8" w:name="n73"/>
            <w:bookmarkStart w:id="9" w:name="n74"/>
            <w:bookmarkEnd w:id="8"/>
            <w:bookmarkEnd w:id="9"/>
            <w:r w:rsidRPr="00E01991">
              <w:rPr>
                <w:lang w:eastAsia="en-US"/>
              </w:rPr>
              <w:t xml:space="preserve">цінні папери іноземних держав-емітентів, </w:t>
            </w:r>
            <w:r w:rsidRPr="00E01991">
              <w:t>що відповідають вимогам щодо допуску таких цінних паперів до обігу на території України</w:t>
            </w:r>
            <w:r w:rsidRPr="00E01991">
              <w:rPr>
                <w:lang w:eastAsia="en-US"/>
              </w:rPr>
              <w:t>, а також за умови, що всі суверенні рейтинги за довгостроковими зобов’язаннями країни, в якій державою здійснено випуск цінних паперів, не нижче таких:</w:t>
            </w:r>
          </w:p>
          <w:p w14:paraId="535048EC" w14:textId="7A0A25B8" w:rsidR="009C5822" w:rsidRPr="00E01991" w:rsidRDefault="009C5822" w:rsidP="0058011F">
            <w:pPr>
              <w:widowControl w:val="0"/>
              <w:ind w:firstLine="567"/>
              <w:rPr>
                <w:lang w:eastAsia="en-US"/>
              </w:rPr>
            </w:pPr>
            <w:bookmarkStart w:id="10" w:name="n75"/>
            <w:bookmarkStart w:id="11" w:name="n287"/>
            <w:bookmarkStart w:id="12" w:name="n286"/>
            <w:bookmarkStart w:id="13" w:name="n90"/>
            <w:bookmarkEnd w:id="10"/>
            <w:bookmarkEnd w:id="11"/>
            <w:bookmarkEnd w:id="12"/>
            <w:bookmarkEnd w:id="13"/>
            <w:r w:rsidRPr="00E01991">
              <w:rPr>
                <w:lang w:eastAsia="en-US"/>
              </w:rPr>
              <w:t>“Baa1” [</w:t>
            </w:r>
            <w:proofErr w:type="spellStart"/>
            <w:r w:rsidRPr="00E01991">
              <w:rPr>
                <w:lang w:eastAsia="en-US"/>
              </w:rPr>
              <w:t>Moody’s</w:t>
            </w:r>
            <w:proofErr w:type="spellEnd"/>
            <w:r w:rsidRPr="00E01991">
              <w:rPr>
                <w:lang w:eastAsia="en-US"/>
              </w:rPr>
              <w:t xml:space="preserve"> </w:t>
            </w:r>
            <w:proofErr w:type="spellStart"/>
            <w:r w:rsidRPr="00E01991">
              <w:rPr>
                <w:lang w:eastAsia="en-US"/>
              </w:rPr>
              <w:t>Investors</w:t>
            </w:r>
            <w:proofErr w:type="spellEnd"/>
            <w:r w:rsidRPr="00E01991">
              <w:rPr>
                <w:lang w:eastAsia="en-US"/>
              </w:rPr>
              <w:t xml:space="preserve"> </w:t>
            </w:r>
            <w:proofErr w:type="spellStart"/>
            <w:r w:rsidRPr="00E01991">
              <w:rPr>
                <w:lang w:eastAsia="en-US"/>
              </w:rPr>
              <w:t>Service</w:t>
            </w:r>
            <w:proofErr w:type="spellEnd"/>
            <w:r w:rsidRPr="00E01991">
              <w:rPr>
                <w:lang w:eastAsia="en-US"/>
              </w:rPr>
              <w:t xml:space="preserve"> (США)];</w:t>
            </w:r>
          </w:p>
          <w:p w14:paraId="4A0A5D7A" w14:textId="77777777" w:rsidR="009C5822" w:rsidRPr="00E01991" w:rsidRDefault="009C5822" w:rsidP="0058011F">
            <w:pPr>
              <w:widowControl w:val="0"/>
              <w:ind w:firstLine="567"/>
              <w:rPr>
                <w:lang w:eastAsia="en-US"/>
              </w:rPr>
            </w:pPr>
            <w:r w:rsidRPr="00E01991">
              <w:rPr>
                <w:lang w:eastAsia="en-US"/>
              </w:rPr>
              <w:t xml:space="preserve">“BBB+” [Standard &amp; </w:t>
            </w:r>
            <w:proofErr w:type="spellStart"/>
            <w:r w:rsidRPr="00E01991">
              <w:rPr>
                <w:lang w:eastAsia="en-US"/>
              </w:rPr>
              <w:t>Poor’s</w:t>
            </w:r>
            <w:proofErr w:type="spellEnd"/>
            <w:r w:rsidRPr="00E01991">
              <w:rPr>
                <w:lang w:eastAsia="en-US"/>
              </w:rPr>
              <w:t xml:space="preserve"> (США)];</w:t>
            </w:r>
          </w:p>
          <w:p w14:paraId="0AB0DFB3" w14:textId="77777777" w:rsidR="009C5822" w:rsidRPr="00E01991" w:rsidRDefault="009C5822" w:rsidP="0058011F">
            <w:pPr>
              <w:widowControl w:val="0"/>
              <w:ind w:firstLine="567"/>
              <w:rPr>
                <w:lang w:eastAsia="en-US"/>
              </w:rPr>
            </w:pPr>
            <w:r w:rsidRPr="00E01991">
              <w:rPr>
                <w:lang w:eastAsia="en-US"/>
              </w:rPr>
              <w:t>“BBB+” [</w:t>
            </w:r>
            <w:proofErr w:type="spellStart"/>
            <w:r w:rsidRPr="00E01991">
              <w:rPr>
                <w:lang w:eastAsia="en-US"/>
              </w:rPr>
              <w:t>Fitch</w:t>
            </w:r>
            <w:proofErr w:type="spellEnd"/>
            <w:r w:rsidRPr="00E01991">
              <w:rPr>
                <w:lang w:eastAsia="en-US"/>
              </w:rPr>
              <w:t xml:space="preserve"> </w:t>
            </w:r>
            <w:proofErr w:type="spellStart"/>
            <w:r w:rsidRPr="00E01991">
              <w:rPr>
                <w:lang w:eastAsia="en-US"/>
              </w:rPr>
              <w:t>Ratings</w:t>
            </w:r>
            <w:proofErr w:type="spellEnd"/>
            <w:r w:rsidRPr="00E01991">
              <w:rPr>
                <w:lang w:eastAsia="en-US"/>
              </w:rPr>
              <w:t xml:space="preserve"> (Великобританія)];</w:t>
            </w:r>
          </w:p>
          <w:p w14:paraId="3E82895B" w14:textId="77777777" w:rsidR="009C5822" w:rsidRPr="00E01991" w:rsidRDefault="009C5822" w:rsidP="0058011F">
            <w:pPr>
              <w:widowControl w:val="0"/>
              <w:ind w:firstLine="567"/>
              <w:rPr>
                <w:lang w:eastAsia="en-US"/>
              </w:rPr>
            </w:pPr>
            <w:r w:rsidRPr="00E01991">
              <w:rPr>
                <w:lang w:eastAsia="en-US"/>
              </w:rPr>
              <w:t xml:space="preserve">“B++” [A.M. </w:t>
            </w:r>
            <w:proofErr w:type="spellStart"/>
            <w:r w:rsidRPr="00E01991">
              <w:rPr>
                <w:lang w:eastAsia="en-US"/>
              </w:rPr>
              <w:t>Best</w:t>
            </w:r>
            <w:proofErr w:type="spellEnd"/>
            <w:r w:rsidRPr="00E01991">
              <w:rPr>
                <w:lang w:eastAsia="en-US"/>
              </w:rPr>
              <w:t xml:space="preserve"> (США)].</w:t>
            </w:r>
          </w:p>
          <w:p w14:paraId="22CECCBF" w14:textId="77777777" w:rsidR="00DE11B0" w:rsidRDefault="00DE11B0" w:rsidP="0058011F">
            <w:pPr>
              <w:widowControl w:val="0"/>
              <w:ind w:firstLine="567"/>
            </w:pPr>
          </w:p>
          <w:p w14:paraId="26EFD102" w14:textId="77777777" w:rsidR="00DE11B0" w:rsidRPr="00DE11B0" w:rsidRDefault="00DE11B0" w:rsidP="00DE11B0">
            <w:pPr>
              <w:widowControl w:val="0"/>
              <w:ind w:firstLine="567"/>
              <w:rPr>
                <w:b/>
              </w:rPr>
            </w:pPr>
            <w:r w:rsidRPr="00DE11B0">
              <w:rPr>
                <w:b/>
              </w:rPr>
              <w:t>Абзац відсутній</w:t>
            </w:r>
          </w:p>
          <w:p w14:paraId="21819A39" w14:textId="77777777" w:rsidR="00DE11B0" w:rsidRDefault="00DE11B0" w:rsidP="0058011F">
            <w:pPr>
              <w:widowControl w:val="0"/>
              <w:ind w:firstLine="567"/>
            </w:pPr>
          </w:p>
          <w:p w14:paraId="2FEDC10F" w14:textId="77777777" w:rsidR="00DE11B0" w:rsidRDefault="00DE11B0" w:rsidP="0058011F">
            <w:pPr>
              <w:widowControl w:val="0"/>
              <w:ind w:firstLine="567"/>
            </w:pPr>
          </w:p>
          <w:p w14:paraId="479D5865" w14:textId="77777777" w:rsidR="00DE11B0" w:rsidRDefault="00DE11B0" w:rsidP="0058011F">
            <w:pPr>
              <w:widowControl w:val="0"/>
              <w:ind w:firstLine="567"/>
            </w:pPr>
          </w:p>
          <w:p w14:paraId="30DC2BCC" w14:textId="418FE051" w:rsidR="009C5822" w:rsidRPr="00E01991" w:rsidRDefault="009C5822" w:rsidP="0058011F">
            <w:pPr>
              <w:widowControl w:val="0"/>
              <w:ind w:firstLine="567"/>
            </w:pPr>
            <w:r w:rsidRPr="00E01991">
              <w:t xml:space="preserve">Усі суверенні рейтинги країни, </w:t>
            </w:r>
            <w:r w:rsidRPr="00E01991">
              <w:rPr>
                <w:lang w:eastAsia="en-US"/>
              </w:rPr>
              <w:t>в якій державою здійснено випуск цінних паперів,</w:t>
            </w:r>
            <w:r w:rsidRPr="00E01991">
              <w:t xml:space="preserve"> якщо таких рейтингів присвоєно кілька та/або рейтинг (рейтинги) присвоєно більше ніж одним </w:t>
            </w:r>
            <w:r w:rsidR="00052E35" w:rsidRPr="001919A0">
              <w:rPr>
                <w:b/>
                <w:strike/>
              </w:rPr>
              <w:t>міжнародним</w:t>
            </w:r>
            <w:r w:rsidRPr="00E01991">
              <w:t xml:space="preserve"> рейтинговим агентством, повинні відповідати вимогам, зазначеним у підпункті 5 пункту 33 глави 6 розділу IІ цього Положення.</w:t>
            </w:r>
          </w:p>
        </w:tc>
        <w:tc>
          <w:tcPr>
            <w:tcW w:w="6875" w:type="dxa"/>
            <w:shd w:val="clear" w:color="auto" w:fill="auto"/>
          </w:tcPr>
          <w:p w14:paraId="0988EC62" w14:textId="77777777" w:rsidR="009C5822" w:rsidRPr="00E01991" w:rsidRDefault="009C5822" w:rsidP="0058011F">
            <w:pPr>
              <w:pStyle w:val="3"/>
              <w:keepNext w:val="0"/>
              <w:keepLines w:val="0"/>
              <w:widowControl w:val="0"/>
              <w:tabs>
                <w:tab w:val="left" w:pos="885"/>
              </w:tabs>
              <w:spacing w:before="0"/>
              <w:ind w:firstLine="460"/>
              <w:outlineLvl w:val="2"/>
              <w:rPr>
                <w:rFonts w:ascii="Times New Roman" w:hAnsi="Times New Roman" w:cs="Times New Roman"/>
                <w:color w:val="auto"/>
                <w:sz w:val="28"/>
                <w:szCs w:val="28"/>
              </w:rPr>
            </w:pPr>
            <w:r w:rsidRPr="00E01991">
              <w:rPr>
                <w:rFonts w:ascii="Times New Roman" w:hAnsi="Times New Roman" w:cs="Times New Roman"/>
                <w:color w:val="auto"/>
                <w:sz w:val="28"/>
                <w:szCs w:val="28"/>
              </w:rPr>
              <w:lastRenderedPageBreak/>
              <w:t>33. Акції, корпоративні облігації (крім цільових облігацій), облігації внутрішніх місцевих позик, облігації міжнародних фінансових організацій, цінні папери іноземних держав-емітентів, право власності страховика на які підтверджено документально відповідно до законодавства України, а також дебіторська заборгованість за нарахованими відсотками за такими цінними паперами (у разі наявності умов нарахування відсотків за такими цінними паперами) включаються до суми прийнятних активів з урахуванням таких обмежень:</w:t>
            </w:r>
          </w:p>
          <w:p w14:paraId="64E112B6" w14:textId="77777777" w:rsidR="009C5822" w:rsidRPr="00E01991" w:rsidRDefault="009C5822" w:rsidP="0058011F">
            <w:pPr>
              <w:pStyle w:val="ae"/>
              <w:tabs>
                <w:tab w:val="left" w:pos="454"/>
              </w:tabs>
              <w:ind w:left="0" w:right="29" w:firstLine="181"/>
            </w:pPr>
            <w:r w:rsidRPr="00E01991">
              <w:t>…</w:t>
            </w:r>
          </w:p>
          <w:p w14:paraId="2997C947" w14:textId="77777777" w:rsidR="009C5822" w:rsidRPr="00CE4353" w:rsidRDefault="009C5822" w:rsidP="0058011F">
            <w:pPr>
              <w:widowControl w:val="0"/>
              <w:numPr>
                <w:ilvl w:val="0"/>
                <w:numId w:val="4"/>
              </w:numPr>
              <w:tabs>
                <w:tab w:val="left" w:pos="900"/>
              </w:tabs>
              <w:ind w:left="0" w:firstLine="567"/>
              <w:contextualSpacing/>
              <w:rPr>
                <w:lang w:eastAsia="en-US"/>
              </w:rPr>
            </w:pPr>
            <w:r w:rsidRPr="00E01991">
              <w:rPr>
                <w:lang w:eastAsia="en-US"/>
              </w:rPr>
              <w:t xml:space="preserve">корпоративні облігації українських емітентів, облігації внутрішніх місцевих позик, облігації міжнародних фінансових організацій, що перебувають у біржовому списку та мають інвестиційний рівень кредитного рейтингу </w:t>
            </w:r>
            <w:r w:rsidRPr="00CE4353">
              <w:rPr>
                <w:lang w:eastAsia="en-US"/>
              </w:rPr>
              <w:t xml:space="preserve">за національною шкалою </w:t>
            </w:r>
            <w:r w:rsidRPr="00CE4353">
              <w:rPr>
                <w:b/>
                <w:lang w:eastAsia="en-US"/>
              </w:rPr>
              <w:t>кредитних рейтингів</w:t>
            </w:r>
            <w:r w:rsidRPr="00CE4353">
              <w:rPr>
                <w:lang w:eastAsia="en-US"/>
              </w:rPr>
              <w:t xml:space="preserve">; </w:t>
            </w:r>
          </w:p>
          <w:p w14:paraId="3F11779E" w14:textId="77777777" w:rsidR="009C5822" w:rsidRPr="00E01991" w:rsidRDefault="009C5822" w:rsidP="0058011F">
            <w:pPr>
              <w:widowControl w:val="0"/>
              <w:tabs>
                <w:tab w:val="left" w:pos="900"/>
              </w:tabs>
              <w:ind w:left="567"/>
              <w:contextualSpacing/>
              <w:rPr>
                <w:lang w:eastAsia="en-US"/>
              </w:rPr>
            </w:pPr>
          </w:p>
          <w:p w14:paraId="1C26C589" w14:textId="77777777" w:rsidR="009C5822" w:rsidRPr="00E01991" w:rsidRDefault="009C5822" w:rsidP="0058011F">
            <w:pPr>
              <w:widowControl w:val="0"/>
              <w:numPr>
                <w:ilvl w:val="0"/>
                <w:numId w:val="4"/>
              </w:numPr>
              <w:tabs>
                <w:tab w:val="left" w:pos="900"/>
              </w:tabs>
              <w:ind w:left="0" w:firstLine="567"/>
              <w:contextualSpacing/>
              <w:rPr>
                <w:lang w:eastAsia="en-US"/>
              </w:rPr>
            </w:pPr>
            <w:r w:rsidRPr="00E01991">
              <w:rPr>
                <w:lang w:eastAsia="en-US"/>
              </w:rPr>
              <w:t>корпоративні облігації іноземних емітентів, які відповідають таким вимогам:</w:t>
            </w:r>
          </w:p>
          <w:p w14:paraId="1674EA25" w14:textId="77777777" w:rsidR="009C5822" w:rsidRPr="00E01991" w:rsidRDefault="009C5822" w:rsidP="0058011F">
            <w:pPr>
              <w:widowControl w:val="0"/>
              <w:ind w:firstLine="567"/>
              <w:rPr>
                <w:lang w:eastAsia="en-US"/>
              </w:rPr>
            </w:pPr>
            <w:r w:rsidRPr="00E01991">
              <w:rPr>
                <w:lang w:eastAsia="en-US"/>
              </w:rPr>
              <w:t>пройшли процедуру лістингу та перебувають у бі</w:t>
            </w:r>
            <w:r w:rsidRPr="00E01991">
              <w:rPr>
                <w:lang w:eastAsia="en-US"/>
              </w:rPr>
              <w:lastRenderedPageBreak/>
              <w:t xml:space="preserve">ржовому реєстрі принаймні на одній з </w:t>
            </w:r>
            <w:r w:rsidRPr="00E01991">
              <w:rPr>
                <w:shd w:val="clear" w:color="auto" w:fill="FFFFFF"/>
              </w:rPr>
              <w:t xml:space="preserve">українських фондових бірж та/або </w:t>
            </w:r>
            <w:r w:rsidRPr="00E01991">
              <w:rPr>
                <w:lang w:eastAsia="en-US"/>
              </w:rPr>
              <w:t xml:space="preserve">пройшли процедуру лістингу та перебувають в обігу принаймні на </w:t>
            </w:r>
            <w:r w:rsidRPr="00E01991">
              <w:rPr>
                <w:shd w:val="clear" w:color="auto" w:fill="FFFFFF"/>
              </w:rPr>
              <w:t xml:space="preserve">одній з </w:t>
            </w:r>
            <w:r w:rsidRPr="00E01991">
              <w:rPr>
                <w:lang w:eastAsia="en-US"/>
              </w:rPr>
              <w:t xml:space="preserve">іноземних фондових бірж, що входять до переліку іноземних фондових бірж, на яких мають бути допущені до обігу цінні папери іноземних емітентів, для допуску їх до обігу на території України, затвердженому НКЦПФР; </w:t>
            </w:r>
          </w:p>
          <w:p w14:paraId="301377B7" w14:textId="77777777" w:rsidR="009C5822" w:rsidRPr="00E01991" w:rsidRDefault="009C5822" w:rsidP="0058011F">
            <w:pPr>
              <w:widowControl w:val="0"/>
              <w:ind w:firstLine="567"/>
              <w:rPr>
                <w:lang w:eastAsia="en-US"/>
              </w:rPr>
            </w:pPr>
            <w:r w:rsidRPr="00E01991">
              <w:rPr>
                <w:lang w:eastAsia="en-US"/>
              </w:rPr>
              <w:t>відповідають вимогам щодо допуску таких цінних паперів до їх обігу на території України;</w:t>
            </w:r>
          </w:p>
          <w:p w14:paraId="75E471BB" w14:textId="73A60057" w:rsidR="009C5822" w:rsidRPr="00E01991" w:rsidRDefault="009C5822" w:rsidP="0058011F">
            <w:pPr>
              <w:widowControl w:val="0"/>
              <w:ind w:firstLine="567"/>
              <w:rPr>
                <w:lang w:eastAsia="en-US"/>
              </w:rPr>
            </w:pPr>
            <w:r w:rsidRPr="00E01991">
              <w:rPr>
                <w:lang w:eastAsia="en-US"/>
              </w:rPr>
              <w:t>кредитний рейтинг</w:t>
            </w:r>
            <w:r w:rsidRPr="00EA1DBB">
              <w:rPr>
                <w:lang w:eastAsia="en-US"/>
              </w:rPr>
              <w:t xml:space="preserve"> </w:t>
            </w:r>
            <w:r w:rsidRPr="00E01991">
              <w:rPr>
                <w:lang w:eastAsia="en-US"/>
              </w:rPr>
              <w:t xml:space="preserve">іноземного емітента таких корпоративних облігацій </w:t>
            </w:r>
            <w:r w:rsidR="005E33B6">
              <w:rPr>
                <w:lang w:eastAsia="en-US"/>
              </w:rPr>
              <w:t>не нижчий за</w:t>
            </w:r>
            <w:r w:rsidRPr="00E01991">
              <w:rPr>
                <w:lang w:eastAsia="en-US"/>
              </w:rPr>
              <w:t>:</w:t>
            </w:r>
          </w:p>
          <w:p w14:paraId="57EC135C" w14:textId="77777777" w:rsidR="009C5822" w:rsidRPr="00E01991" w:rsidRDefault="009C5822" w:rsidP="0058011F">
            <w:pPr>
              <w:widowControl w:val="0"/>
              <w:ind w:firstLine="567"/>
              <w:rPr>
                <w:lang w:eastAsia="en-US"/>
              </w:rPr>
            </w:pPr>
            <w:r w:rsidRPr="00E01991">
              <w:rPr>
                <w:lang w:eastAsia="en-US"/>
              </w:rPr>
              <w:t>“Baa1” [</w:t>
            </w:r>
            <w:proofErr w:type="spellStart"/>
            <w:r w:rsidRPr="00E01991">
              <w:rPr>
                <w:lang w:eastAsia="en-US"/>
              </w:rPr>
              <w:t>Moody’s</w:t>
            </w:r>
            <w:proofErr w:type="spellEnd"/>
            <w:r w:rsidRPr="00E01991">
              <w:rPr>
                <w:lang w:eastAsia="en-US"/>
              </w:rPr>
              <w:t xml:space="preserve"> </w:t>
            </w:r>
            <w:proofErr w:type="spellStart"/>
            <w:r w:rsidRPr="00E01991">
              <w:rPr>
                <w:lang w:eastAsia="en-US"/>
              </w:rPr>
              <w:t>Investors</w:t>
            </w:r>
            <w:proofErr w:type="spellEnd"/>
            <w:r w:rsidRPr="00E01991">
              <w:rPr>
                <w:lang w:eastAsia="en-US"/>
              </w:rPr>
              <w:t xml:space="preserve"> </w:t>
            </w:r>
            <w:proofErr w:type="spellStart"/>
            <w:r w:rsidRPr="00E01991">
              <w:rPr>
                <w:lang w:eastAsia="en-US"/>
              </w:rPr>
              <w:t>Service</w:t>
            </w:r>
            <w:proofErr w:type="spellEnd"/>
            <w:r w:rsidRPr="00E01991">
              <w:rPr>
                <w:lang w:eastAsia="en-US"/>
              </w:rPr>
              <w:t xml:space="preserve"> (США)];</w:t>
            </w:r>
          </w:p>
          <w:p w14:paraId="16AF9727" w14:textId="77777777" w:rsidR="009C5822" w:rsidRPr="00E01991" w:rsidRDefault="009C5822" w:rsidP="0058011F">
            <w:pPr>
              <w:widowControl w:val="0"/>
              <w:ind w:firstLine="567"/>
              <w:rPr>
                <w:lang w:eastAsia="en-US"/>
              </w:rPr>
            </w:pPr>
            <w:r w:rsidRPr="00E01991">
              <w:rPr>
                <w:lang w:eastAsia="en-US"/>
              </w:rPr>
              <w:t xml:space="preserve">“BBB+” [Standard &amp; </w:t>
            </w:r>
            <w:proofErr w:type="spellStart"/>
            <w:r w:rsidRPr="00E01991">
              <w:rPr>
                <w:lang w:eastAsia="en-US"/>
              </w:rPr>
              <w:t>Poor’s</w:t>
            </w:r>
            <w:proofErr w:type="spellEnd"/>
            <w:r w:rsidRPr="00E01991">
              <w:rPr>
                <w:lang w:eastAsia="en-US"/>
              </w:rPr>
              <w:t xml:space="preserve"> (США)];</w:t>
            </w:r>
          </w:p>
          <w:p w14:paraId="694667C4" w14:textId="77777777" w:rsidR="009C5822" w:rsidRPr="00E01991" w:rsidRDefault="009C5822" w:rsidP="0058011F">
            <w:pPr>
              <w:widowControl w:val="0"/>
              <w:ind w:firstLine="567"/>
              <w:rPr>
                <w:lang w:eastAsia="en-US"/>
              </w:rPr>
            </w:pPr>
            <w:r w:rsidRPr="00E01991">
              <w:rPr>
                <w:lang w:eastAsia="en-US"/>
              </w:rPr>
              <w:t>“BBB+” [</w:t>
            </w:r>
            <w:proofErr w:type="spellStart"/>
            <w:r w:rsidRPr="00E01991">
              <w:rPr>
                <w:lang w:eastAsia="en-US"/>
              </w:rPr>
              <w:t>Fitch</w:t>
            </w:r>
            <w:proofErr w:type="spellEnd"/>
            <w:r w:rsidRPr="00E01991">
              <w:rPr>
                <w:lang w:eastAsia="en-US"/>
              </w:rPr>
              <w:t xml:space="preserve"> </w:t>
            </w:r>
            <w:proofErr w:type="spellStart"/>
            <w:r w:rsidRPr="00E01991">
              <w:rPr>
                <w:lang w:eastAsia="en-US"/>
              </w:rPr>
              <w:t>Ratings</w:t>
            </w:r>
            <w:proofErr w:type="spellEnd"/>
            <w:r w:rsidRPr="00E01991">
              <w:rPr>
                <w:lang w:eastAsia="en-US"/>
              </w:rPr>
              <w:t xml:space="preserve"> (Великобританія)];</w:t>
            </w:r>
          </w:p>
          <w:p w14:paraId="4D07B7AC" w14:textId="77777777" w:rsidR="009C5822" w:rsidRPr="00E01991" w:rsidRDefault="009C5822" w:rsidP="0058011F">
            <w:pPr>
              <w:widowControl w:val="0"/>
              <w:ind w:firstLine="567"/>
              <w:rPr>
                <w:lang w:eastAsia="en-US"/>
              </w:rPr>
            </w:pPr>
            <w:r w:rsidRPr="00E01991">
              <w:rPr>
                <w:lang w:eastAsia="en-US"/>
              </w:rPr>
              <w:t>“B++” [</w:t>
            </w:r>
            <w:r w:rsidRPr="00E01991">
              <w:rPr>
                <w:bCs/>
              </w:rPr>
              <w:t xml:space="preserve">A.M. </w:t>
            </w:r>
            <w:proofErr w:type="spellStart"/>
            <w:r w:rsidRPr="00E01991">
              <w:rPr>
                <w:bCs/>
              </w:rPr>
              <w:t>Best</w:t>
            </w:r>
            <w:proofErr w:type="spellEnd"/>
            <w:r w:rsidRPr="00E01991">
              <w:rPr>
                <w:bCs/>
              </w:rPr>
              <w:t xml:space="preserve"> (США)]</w:t>
            </w:r>
            <w:r w:rsidRPr="00E01991">
              <w:rPr>
                <w:lang w:eastAsia="en-US"/>
              </w:rPr>
              <w:t>.</w:t>
            </w:r>
          </w:p>
          <w:p w14:paraId="44A9ADD5" w14:textId="30AF0E19" w:rsidR="00200433" w:rsidRPr="004C16C7" w:rsidRDefault="00200433" w:rsidP="0058011F">
            <w:pPr>
              <w:widowControl w:val="0"/>
              <w:ind w:firstLine="567"/>
              <w:rPr>
                <w:b/>
              </w:rPr>
            </w:pPr>
            <w:r w:rsidRPr="004C16C7">
              <w:rPr>
                <w:b/>
              </w:rPr>
              <w:t xml:space="preserve">Кредитний рейтинг іноземного емітента корпоративних облігацій повинен бути дозволений до використання в Україні відповідно до Закону України “Про </w:t>
            </w:r>
            <w:proofErr w:type="spellStart"/>
            <w:r w:rsidRPr="004C16C7">
              <w:rPr>
                <w:b/>
              </w:rPr>
              <w:t>рейтингування</w:t>
            </w:r>
            <w:proofErr w:type="spellEnd"/>
            <w:r w:rsidRPr="004C16C7">
              <w:rPr>
                <w:b/>
              </w:rPr>
              <w:t>”.</w:t>
            </w:r>
          </w:p>
          <w:p w14:paraId="3C1E29C9" w14:textId="7B02010D" w:rsidR="009C5822" w:rsidRPr="00E01991" w:rsidRDefault="009C5822" w:rsidP="0058011F">
            <w:pPr>
              <w:widowControl w:val="0"/>
              <w:ind w:firstLine="567"/>
              <w:rPr>
                <w:lang w:eastAsia="en-US"/>
              </w:rPr>
            </w:pPr>
            <w:r w:rsidRPr="00E01991">
              <w:t xml:space="preserve">Усі </w:t>
            </w:r>
            <w:r w:rsidR="009E3EF9" w:rsidRPr="00CE4353">
              <w:rPr>
                <w:b/>
              </w:rPr>
              <w:t xml:space="preserve">дозволені до використання в Україні </w:t>
            </w:r>
            <w:proofErr w:type="spellStart"/>
            <w:r w:rsidR="009E3EF9" w:rsidRPr="00CE4353">
              <w:rPr>
                <w:b/>
              </w:rPr>
              <w:t>відпо-відно</w:t>
            </w:r>
            <w:proofErr w:type="spellEnd"/>
            <w:r w:rsidR="009E3EF9" w:rsidRPr="00CE4353">
              <w:rPr>
                <w:b/>
              </w:rPr>
              <w:t xml:space="preserve"> до Закону України “Про </w:t>
            </w:r>
            <w:proofErr w:type="spellStart"/>
            <w:r w:rsidR="009E3EF9" w:rsidRPr="00CE4353">
              <w:rPr>
                <w:b/>
              </w:rPr>
              <w:t>рейтингування</w:t>
            </w:r>
            <w:proofErr w:type="spellEnd"/>
            <w:r w:rsidR="009E3EF9" w:rsidRPr="00CE4353">
              <w:rPr>
                <w:b/>
              </w:rPr>
              <w:t>”</w:t>
            </w:r>
            <w:r w:rsidR="009E3EF9">
              <w:t xml:space="preserve"> </w:t>
            </w:r>
            <w:r w:rsidRPr="00E01991">
              <w:t xml:space="preserve">кредитні рейтинги іноземного емітента, якщо таких рейтингів присвоєно кілька та/або рейтинг (рейтинги) присвоєно більше ніж одним </w:t>
            </w:r>
            <w:r w:rsidR="004C2EB6" w:rsidRPr="001919A0">
              <w:rPr>
                <w:b/>
              </w:rPr>
              <w:t>іноземним</w:t>
            </w:r>
            <w:r w:rsidR="004C2EB6">
              <w:t xml:space="preserve"> </w:t>
            </w:r>
            <w:r w:rsidRPr="00E01991">
              <w:t>рейтинговим агент</w:t>
            </w:r>
            <w:r w:rsidRPr="00E01991">
              <w:lastRenderedPageBreak/>
              <w:t>ством,</w:t>
            </w:r>
            <w:r w:rsidRPr="00E01991">
              <w:rPr>
                <w:b/>
                <w:lang w:eastAsia="en-US"/>
              </w:rPr>
              <w:t xml:space="preserve"> </w:t>
            </w:r>
            <w:r w:rsidRPr="00E01991">
              <w:t>повинні відповідати вимогам, зазначеним у підпункті 4 пункту 33 глави 6 розділу IІ цього Положення</w:t>
            </w:r>
            <w:r w:rsidRPr="00E01991">
              <w:rPr>
                <w:lang w:eastAsia="en-US"/>
              </w:rPr>
              <w:t>;</w:t>
            </w:r>
          </w:p>
          <w:p w14:paraId="6C35D7DD" w14:textId="654067CB" w:rsidR="009C5822" w:rsidRDefault="009C5822" w:rsidP="0058011F">
            <w:pPr>
              <w:widowControl w:val="0"/>
              <w:ind w:firstLine="567"/>
              <w:rPr>
                <w:lang w:eastAsia="en-US"/>
              </w:rPr>
            </w:pPr>
          </w:p>
          <w:p w14:paraId="56F70132" w14:textId="1CF805B7" w:rsidR="009C5822" w:rsidRPr="00E01991" w:rsidRDefault="009C5822" w:rsidP="0058011F">
            <w:pPr>
              <w:widowControl w:val="0"/>
              <w:numPr>
                <w:ilvl w:val="0"/>
                <w:numId w:val="4"/>
              </w:numPr>
              <w:tabs>
                <w:tab w:val="left" w:pos="900"/>
              </w:tabs>
              <w:ind w:left="0" w:firstLine="567"/>
              <w:contextualSpacing/>
              <w:rPr>
                <w:lang w:eastAsia="en-US"/>
              </w:rPr>
            </w:pPr>
            <w:r w:rsidRPr="00E01991">
              <w:rPr>
                <w:lang w:eastAsia="en-US"/>
              </w:rPr>
              <w:t xml:space="preserve">цінні папери іноземних держав-емітентів, </w:t>
            </w:r>
            <w:r w:rsidRPr="00E01991">
              <w:t>що відповідають вимогам щодо допуску таких цінних паперів до обігу на території України</w:t>
            </w:r>
            <w:r w:rsidRPr="00E01991">
              <w:rPr>
                <w:lang w:eastAsia="en-US"/>
              </w:rPr>
              <w:t>, а також за умови, що всі суверенні рейтинги за довгостроковими зобов’язаннями країни, в якій державою здійснено випуск цінних паперів</w:t>
            </w:r>
            <w:r w:rsidRPr="00EC173C">
              <w:rPr>
                <w:color w:val="000000" w:themeColor="text1"/>
                <w:lang w:eastAsia="en-US"/>
              </w:rPr>
              <w:t xml:space="preserve">, </w:t>
            </w:r>
            <w:r w:rsidR="00640FFC" w:rsidRPr="00EC173C">
              <w:rPr>
                <w:color w:val="000000" w:themeColor="text1"/>
                <w:lang w:eastAsia="en-US"/>
              </w:rPr>
              <w:t>не нижче таких</w:t>
            </w:r>
            <w:r w:rsidRPr="00E01991">
              <w:rPr>
                <w:lang w:eastAsia="en-US"/>
              </w:rPr>
              <w:t>:</w:t>
            </w:r>
          </w:p>
          <w:p w14:paraId="2D0F206B" w14:textId="77777777" w:rsidR="009C5822" w:rsidRPr="00E01991" w:rsidRDefault="009C5822" w:rsidP="0058011F">
            <w:pPr>
              <w:widowControl w:val="0"/>
              <w:ind w:firstLine="567"/>
              <w:rPr>
                <w:lang w:eastAsia="en-US"/>
              </w:rPr>
            </w:pPr>
            <w:r w:rsidRPr="00E01991">
              <w:rPr>
                <w:lang w:eastAsia="en-US"/>
              </w:rPr>
              <w:t>“Baa1” [</w:t>
            </w:r>
            <w:proofErr w:type="spellStart"/>
            <w:r w:rsidRPr="00E01991">
              <w:rPr>
                <w:lang w:eastAsia="en-US"/>
              </w:rPr>
              <w:t>Moody’s</w:t>
            </w:r>
            <w:proofErr w:type="spellEnd"/>
            <w:r w:rsidRPr="00E01991">
              <w:rPr>
                <w:lang w:eastAsia="en-US"/>
              </w:rPr>
              <w:t xml:space="preserve"> </w:t>
            </w:r>
            <w:proofErr w:type="spellStart"/>
            <w:r w:rsidRPr="00E01991">
              <w:rPr>
                <w:lang w:eastAsia="en-US"/>
              </w:rPr>
              <w:t>Investors</w:t>
            </w:r>
            <w:proofErr w:type="spellEnd"/>
            <w:r w:rsidRPr="00E01991">
              <w:rPr>
                <w:lang w:eastAsia="en-US"/>
              </w:rPr>
              <w:t xml:space="preserve"> </w:t>
            </w:r>
            <w:proofErr w:type="spellStart"/>
            <w:r w:rsidRPr="00E01991">
              <w:rPr>
                <w:lang w:eastAsia="en-US"/>
              </w:rPr>
              <w:t>Service</w:t>
            </w:r>
            <w:proofErr w:type="spellEnd"/>
            <w:r w:rsidRPr="00E01991">
              <w:rPr>
                <w:lang w:eastAsia="en-US"/>
              </w:rPr>
              <w:t xml:space="preserve"> (США)];</w:t>
            </w:r>
          </w:p>
          <w:p w14:paraId="385B79B8" w14:textId="77777777" w:rsidR="009C5822" w:rsidRPr="00E01991" w:rsidRDefault="009C5822" w:rsidP="0058011F">
            <w:pPr>
              <w:widowControl w:val="0"/>
              <w:ind w:firstLine="567"/>
              <w:rPr>
                <w:lang w:eastAsia="en-US"/>
              </w:rPr>
            </w:pPr>
            <w:r w:rsidRPr="00E01991">
              <w:rPr>
                <w:lang w:eastAsia="en-US"/>
              </w:rPr>
              <w:t xml:space="preserve">“BBB+” [Standard &amp; </w:t>
            </w:r>
            <w:proofErr w:type="spellStart"/>
            <w:r w:rsidRPr="00E01991">
              <w:rPr>
                <w:lang w:eastAsia="en-US"/>
              </w:rPr>
              <w:t>Poor’s</w:t>
            </w:r>
            <w:proofErr w:type="spellEnd"/>
            <w:r w:rsidRPr="00E01991">
              <w:rPr>
                <w:lang w:eastAsia="en-US"/>
              </w:rPr>
              <w:t xml:space="preserve"> (США)];</w:t>
            </w:r>
          </w:p>
          <w:p w14:paraId="2859614F" w14:textId="77777777" w:rsidR="009C5822" w:rsidRPr="00E01991" w:rsidRDefault="009C5822" w:rsidP="0058011F">
            <w:pPr>
              <w:widowControl w:val="0"/>
              <w:ind w:firstLine="567"/>
              <w:rPr>
                <w:lang w:eastAsia="en-US"/>
              </w:rPr>
            </w:pPr>
            <w:r w:rsidRPr="00E01991">
              <w:rPr>
                <w:lang w:eastAsia="en-US"/>
              </w:rPr>
              <w:t>“BBB+” [</w:t>
            </w:r>
            <w:proofErr w:type="spellStart"/>
            <w:r w:rsidRPr="00E01991">
              <w:rPr>
                <w:lang w:eastAsia="en-US"/>
              </w:rPr>
              <w:t>Fitch</w:t>
            </w:r>
            <w:proofErr w:type="spellEnd"/>
            <w:r w:rsidRPr="00E01991">
              <w:rPr>
                <w:lang w:eastAsia="en-US"/>
              </w:rPr>
              <w:t xml:space="preserve"> </w:t>
            </w:r>
            <w:proofErr w:type="spellStart"/>
            <w:r w:rsidRPr="00E01991">
              <w:rPr>
                <w:lang w:eastAsia="en-US"/>
              </w:rPr>
              <w:t>Ratings</w:t>
            </w:r>
            <w:proofErr w:type="spellEnd"/>
            <w:r w:rsidRPr="00E01991">
              <w:rPr>
                <w:lang w:eastAsia="en-US"/>
              </w:rPr>
              <w:t xml:space="preserve"> (Великобританія)];</w:t>
            </w:r>
          </w:p>
          <w:p w14:paraId="07F6E8E5" w14:textId="7A5E1C2C" w:rsidR="009C5822" w:rsidRDefault="009C5822" w:rsidP="0058011F">
            <w:pPr>
              <w:widowControl w:val="0"/>
              <w:ind w:firstLine="567"/>
              <w:rPr>
                <w:lang w:eastAsia="en-US"/>
              </w:rPr>
            </w:pPr>
            <w:r w:rsidRPr="00E01991">
              <w:rPr>
                <w:lang w:eastAsia="en-US"/>
              </w:rPr>
              <w:t xml:space="preserve">“B++” [A.M. </w:t>
            </w:r>
            <w:proofErr w:type="spellStart"/>
            <w:r w:rsidRPr="00E01991">
              <w:rPr>
                <w:lang w:eastAsia="en-US"/>
              </w:rPr>
              <w:t>Best</w:t>
            </w:r>
            <w:proofErr w:type="spellEnd"/>
            <w:r w:rsidRPr="00E01991">
              <w:rPr>
                <w:lang w:eastAsia="en-US"/>
              </w:rPr>
              <w:t xml:space="preserve"> (США)].</w:t>
            </w:r>
          </w:p>
          <w:p w14:paraId="076BB6B4" w14:textId="25A9063F" w:rsidR="00200433" w:rsidRPr="00200433" w:rsidRDefault="00200433" w:rsidP="0058011F">
            <w:pPr>
              <w:widowControl w:val="0"/>
              <w:ind w:firstLine="567"/>
              <w:rPr>
                <w:b/>
                <w:lang w:eastAsia="en-US"/>
              </w:rPr>
            </w:pPr>
            <w:r w:rsidRPr="00200433">
              <w:rPr>
                <w:b/>
                <w:lang w:eastAsia="en-US"/>
              </w:rPr>
              <w:t xml:space="preserve">Суверенні рейтинги за довгостроковими зобов’язаннями країни, в якій державою здійснено випуск цінних паперів, повинні бути дозволені до використання в Україні відповідно до Закону України “Про </w:t>
            </w:r>
            <w:proofErr w:type="spellStart"/>
            <w:r w:rsidRPr="00200433">
              <w:rPr>
                <w:b/>
                <w:lang w:eastAsia="en-US"/>
              </w:rPr>
              <w:t>рейтингування</w:t>
            </w:r>
            <w:proofErr w:type="spellEnd"/>
            <w:r w:rsidRPr="00200433">
              <w:rPr>
                <w:b/>
                <w:lang w:eastAsia="en-US"/>
              </w:rPr>
              <w:t>”.</w:t>
            </w:r>
          </w:p>
          <w:p w14:paraId="4DA10C93" w14:textId="77777777" w:rsidR="009C5822" w:rsidRDefault="009C5822" w:rsidP="0058011F">
            <w:pPr>
              <w:ind w:firstLine="320"/>
            </w:pPr>
            <w:r w:rsidRPr="00E01991">
              <w:t xml:space="preserve">Усі </w:t>
            </w:r>
            <w:r w:rsidR="009E3EF9" w:rsidRPr="00CE4353">
              <w:rPr>
                <w:b/>
              </w:rPr>
              <w:t xml:space="preserve">дозволені до використання в Україні відповідно до Закону України “Про </w:t>
            </w:r>
            <w:proofErr w:type="spellStart"/>
            <w:r w:rsidR="009E3EF9" w:rsidRPr="00CE4353">
              <w:rPr>
                <w:b/>
              </w:rPr>
              <w:t>рейтингування</w:t>
            </w:r>
            <w:proofErr w:type="spellEnd"/>
            <w:r w:rsidR="009E3EF9" w:rsidRPr="00CE4353">
              <w:rPr>
                <w:b/>
              </w:rPr>
              <w:t>”</w:t>
            </w:r>
            <w:r w:rsidR="009E3EF9">
              <w:t xml:space="preserve"> </w:t>
            </w:r>
            <w:r w:rsidRPr="00E01991">
              <w:t xml:space="preserve">суверенні рейтинги країни, </w:t>
            </w:r>
            <w:r w:rsidRPr="00E01991">
              <w:rPr>
                <w:lang w:eastAsia="en-US"/>
              </w:rPr>
              <w:t>в якій державою здійснено випуск цінних паперів,</w:t>
            </w:r>
            <w:r w:rsidRPr="00E01991">
              <w:t xml:space="preserve"> якщо таких рейтингів присвоєно кілька та/або рейтинг (рейтинги) присвоєно більше ніж одним </w:t>
            </w:r>
            <w:r w:rsidR="004C2EB6" w:rsidRPr="001919A0">
              <w:rPr>
                <w:b/>
              </w:rPr>
              <w:t>іноземним</w:t>
            </w:r>
            <w:r w:rsidR="004C2EB6">
              <w:t xml:space="preserve"> </w:t>
            </w:r>
            <w:r w:rsidRPr="00E01991">
              <w:t xml:space="preserve">рейтинговим агентством, повинні </w:t>
            </w:r>
            <w:r w:rsidRPr="00E01991">
              <w:lastRenderedPageBreak/>
              <w:t>відповідати вимогам, зазначеним у підпункті 5 пункту 33 глави 6 розділу IІ цього Положення.</w:t>
            </w:r>
          </w:p>
          <w:p w14:paraId="1AFC4B02" w14:textId="35D87F86" w:rsidR="007C634E" w:rsidRPr="00530CFB" w:rsidRDefault="007C634E" w:rsidP="0058011F">
            <w:pPr>
              <w:ind w:firstLine="320"/>
            </w:pPr>
          </w:p>
        </w:tc>
      </w:tr>
      <w:tr w:rsidR="009C5822" w:rsidRPr="00B73144" w14:paraId="78F11B14" w14:textId="77777777" w:rsidTr="009C5822">
        <w:trPr>
          <w:trHeight w:val="20"/>
        </w:trPr>
        <w:tc>
          <w:tcPr>
            <w:tcW w:w="6875" w:type="dxa"/>
            <w:shd w:val="clear" w:color="auto" w:fill="auto"/>
          </w:tcPr>
          <w:p w14:paraId="3B0826AF" w14:textId="77777777" w:rsidR="009C5822" w:rsidRDefault="009C5822" w:rsidP="0058011F">
            <w:pPr>
              <w:pStyle w:val="3"/>
              <w:keepNext w:val="0"/>
              <w:keepLines w:val="0"/>
              <w:widowControl w:val="0"/>
              <w:spacing w:before="0"/>
              <w:outlineLvl w:val="2"/>
              <w:rPr>
                <w:rFonts w:ascii="Times New Roman" w:eastAsia="Times New Roman" w:hAnsi="Times New Roman" w:cs="Times New Roman"/>
                <w:color w:val="auto"/>
                <w:sz w:val="28"/>
                <w:szCs w:val="28"/>
              </w:rPr>
            </w:pPr>
            <w:r w:rsidRPr="00482F41">
              <w:rPr>
                <w:rFonts w:ascii="Times New Roman" w:eastAsia="Times New Roman" w:hAnsi="Times New Roman" w:cs="Times New Roman"/>
                <w:color w:val="auto"/>
                <w:sz w:val="28"/>
                <w:szCs w:val="28"/>
              </w:rPr>
              <w:lastRenderedPageBreak/>
              <w:t>37.</w:t>
            </w:r>
            <w:r w:rsidRPr="00482F41">
              <w:rPr>
                <w:rFonts w:ascii="Times New Roman" w:eastAsia="Times New Roman" w:hAnsi="Times New Roman" w:cs="Times New Roman"/>
                <w:color w:val="auto"/>
                <w:sz w:val="28"/>
                <w:szCs w:val="28"/>
              </w:rPr>
              <w:tab/>
              <w:t>Кредити страхувальникам ‒ фізичним особам, які уклали договори страхування життя з накопичувальною складовою, що відповідають вимогам законодавства України, яке встановлює порядок та умови видачі страховиком таких кредитів, та видані в межах викупної суми на момент видачі кредиту та під заставу викупної суми, включаються до суми прийнятних активів у розмірі, не більшому, ніж резерв премій, сформований за відповідним договором страхування життя</w:t>
            </w:r>
            <w:r>
              <w:rPr>
                <w:rFonts w:ascii="Times New Roman" w:eastAsia="Times New Roman" w:hAnsi="Times New Roman" w:cs="Times New Roman"/>
                <w:color w:val="auto"/>
                <w:sz w:val="28"/>
                <w:szCs w:val="28"/>
              </w:rPr>
              <w:t>.</w:t>
            </w:r>
          </w:p>
        </w:tc>
        <w:tc>
          <w:tcPr>
            <w:tcW w:w="6875" w:type="dxa"/>
            <w:shd w:val="clear" w:color="auto" w:fill="auto"/>
          </w:tcPr>
          <w:p w14:paraId="42C0C923" w14:textId="77777777" w:rsidR="009C5822" w:rsidRDefault="009C5822" w:rsidP="0058011F">
            <w:pPr>
              <w:pStyle w:val="3"/>
              <w:keepNext w:val="0"/>
              <w:keepLines w:val="0"/>
              <w:widowControl w:val="0"/>
              <w:spacing w:before="0"/>
              <w:outlineLvl w:val="2"/>
              <w:rPr>
                <w:rFonts w:ascii="Times New Roman" w:eastAsia="Times New Roman" w:hAnsi="Times New Roman" w:cs="Times New Roman"/>
                <w:color w:val="auto"/>
                <w:sz w:val="28"/>
                <w:szCs w:val="28"/>
              </w:rPr>
            </w:pPr>
            <w:r w:rsidRPr="00482F41">
              <w:rPr>
                <w:rFonts w:ascii="Times New Roman" w:eastAsia="Times New Roman" w:hAnsi="Times New Roman" w:cs="Times New Roman"/>
                <w:color w:val="auto"/>
                <w:sz w:val="28"/>
                <w:szCs w:val="28"/>
              </w:rPr>
              <w:t>37.</w:t>
            </w:r>
            <w:r w:rsidRPr="00482F41">
              <w:rPr>
                <w:rFonts w:ascii="Times New Roman" w:eastAsia="Times New Roman" w:hAnsi="Times New Roman" w:cs="Times New Roman"/>
                <w:color w:val="auto"/>
                <w:sz w:val="28"/>
                <w:szCs w:val="28"/>
              </w:rPr>
              <w:tab/>
              <w:t>Кредити страхувальникам ‒ фізичним особам, які уклали договори страхування життя з накопичувальною складовою, що відповідають вимогам законодавства України, яке встановлює порядок та умови видачі страховиком таких кредитів, та видані в межах викупної суми на момент видачі кредиту та під заставу викупної суми</w:t>
            </w:r>
            <w:r w:rsidRPr="00482F41">
              <w:rPr>
                <w:rFonts w:ascii="Times New Roman" w:eastAsia="Times New Roman" w:hAnsi="Times New Roman" w:cs="Times New Roman"/>
                <w:b/>
                <w:color w:val="auto"/>
                <w:sz w:val="28"/>
                <w:szCs w:val="28"/>
              </w:rPr>
              <w:t>, а також дебіторська заборгованість за такими кредитами</w:t>
            </w:r>
            <w:r w:rsidRPr="00482F41">
              <w:rPr>
                <w:rFonts w:ascii="Times New Roman" w:eastAsia="Times New Roman" w:hAnsi="Times New Roman" w:cs="Times New Roman"/>
                <w:color w:val="auto"/>
                <w:sz w:val="28"/>
                <w:szCs w:val="28"/>
              </w:rPr>
              <w:t xml:space="preserve"> включаються до суми прийнятних активів у розмірі, не більшому, ніж резерв премій, сформований за відповідним договором страхування життя</w:t>
            </w:r>
            <w:r>
              <w:rPr>
                <w:rFonts w:ascii="Times New Roman" w:eastAsia="Times New Roman" w:hAnsi="Times New Roman" w:cs="Times New Roman"/>
                <w:color w:val="auto"/>
                <w:sz w:val="28"/>
                <w:szCs w:val="28"/>
              </w:rPr>
              <w:t>.</w:t>
            </w:r>
          </w:p>
        </w:tc>
      </w:tr>
      <w:tr w:rsidR="009C5822" w:rsidRPr="00B73144" w14:paraId="12F59885" w14:textId="77777777" w:rsidTr="009C5822">
        <w:trPr>
          <w:trHeight w:val="20"/>
        </w:trPr>
        <w:tc>
          <w:tcPr>
            <w:tcW w:w="6875" w:type="dxa"/>
            <w:shd w:val="clear" w:color="auto" w:fill="auto"/>
          </w:tcPr>
          <w:p w14:paraId="0343A5FF" w14:textId="77777777" w:rsidR="009C5822" w:rsidRPr="008418D2" w:rsidRDefault="009C5822" w:rsidP="0058011F">
            <w:pPr>
              <w:pStyle w:val="3"/>
              <w:keepNext w:val="0"/>
              <w:keepLines w:val="0"/>
              <w:widowControl w:val="0"/>
              <w:spacing w:before="0"/>
              <w:outlineLvl w:val="2"/>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73. </w:t>
            </w:r>
            <w:r w:rsidRPr="00C912CB">
              <w:rPr>
                <w:rFonts w:ascii="Times New Roman" w:eastAsia="Times New Roman" w:hAnsi="Times New Roman" w:cs="Times New Roman"/>
                <w:color w:val="auto"/>
                <w:sz w:val="28"/>
                <w:szCs w:val="28"/>
              </w:rPr>
              <w:t>Сума</w:t>
            </w:r>
            <w:r w:rsidRPr="008418D2">
              <w:rPr>
                <w:rFonts w:ascii="Times New Roman" w:eastAsia="Times New Roman" w:hAnsi="Times New Roman" w:cs="Times New Roman"/>
                <w:color w:val="auto"/>
                <w:sz w:val="28"/>
                <w:szCs w:val="28"/>
              </w:rPr>
              <w:t xml:space="preserve"> прийнятних активів, яка відповідає належному обсягу прийнятних активів для покриття сформованих страховиком технічних резервів за договорами прямого страхування та договорами вхідного перестрахування, не включає так</w:t>
            </w:r>
            <w:r>
              <w:rPr>
                <w:rFonts w:ascii="Times New Roman" w:eastAsia="Times New Roman" w:hAnsi="Times New Roman" w:cs="Times New Roman"/>
                <w:color w:val="auto"/>
                <w:sz w:val="28"/>
                <w:szCs w:val="28"/>
              </w:rPr>
              <w:t>их</w:t>
            </w:r>
            <w:r w:rsidRPr="008418D2">
              <w:rPr>
                <w:rFonts w:ascii="Times New Roman" w:eastAsia="Times New Roman" w:hAnsi="Times New Roman" w:cs="Times New Roman"/>
                <w:color w:val="auto"/>
                <w:sz w:val="28"/>
                <w:szCs w:val="28"/>
              </w:rPr>
              <w:t xml:space="preserve"> актив</w:t>
            </w:r>
            <w:r>
              <w:rPr>
                <w:rFonts w:ascii="Times New Roman" w:eastAsia="Times New Roman" w:hAnsi="Times New Roman" w:cs="Times New Roman"/>
                <w:color w:val="auto"/>
                <w:sz w:val="28"/>
                <w:szCs w:val="28"/>
              </w:rPr>
              <w:t>ів</w:t>
            </w:r>
            <w:r w:rsidRPr="008418D2">
              <w:rPr>
                <w:rFonts w:ascii="Times New Roman" w:eastAsia="Times New Roman" w:hAnsi="Times New Roman" w:cs="Times New Roman"/>
                <w:color w:val="auto"/>
                <w:sz w:val="28"/>
                <w:szCs w:val="28"/>
              </w:rPr>
              <w:t>:</w:t>
            </w:r>
          </w:p>
          <w:p w14:paraId="5543E587" w14:textId="77777777" w:rsidR="009C5822" w:rsidRPr="009A00D7" w:rsidRDefault="009C5822" w:rsidP="0058011F">
            <w:pPr>
              <w:pStyle w:val="3"/>
              <w:keepNext w:val="0"/>
              <w:keepLines w:val="0"/>
              <w:widowControl w:val="0"/>
              <w:spacing w:before="0"/>
              <w:outlineLvl w:val="2"/>
              <w:rPr>
                <w:rFonts w:ascii="Times New Roman" w:eastAsia="Times New Roman" w:hAnsi="Times New Roman" w:cs="Times New Roman"/>
                <w:color w:val="auto"/>
                <w:sz w:val="28"/>
                <w:szCs w:val="28"/>
              </w:rPr>
            </w:pPr>
            <w:r w:rsidRPr="009A00D7">
              <w:rPr>
                <w:rFonts w:ascii="Times New Roman" w:eastAsia="Times New Roman" w:hAnsi="Times New Roman" w:cs="Times New Roman"/>
                <w:color w:val="auto"/>
                <w:sz w:val="28"/>
                <w:szCs w:val="28"/>
              </w:rPr>
              <w:t>…</w:t>
            </w:r>
          </w:p>
          <w:p w14:paraId="6DAF879C" w14:textId="2E8364F9" w:rsidR="009C5822" w:rsidRDefault="009C5822" w:rsidP="0058011F">
            <w:pPr>
              <w:pStyle w:val="3"/>
              <w:keepNext w:val="0"/>
              <w:keepLines w:val="0"/>
              <w:widowControl w:val="0"/>
              <w:spacing w:before="0"/>
              <w:outlineLvl w:val="2"/>
              <w:rPr>
                <w:rFonts w:ascii="Times New Roman" w:eastAsia="Times New Roman" w:hAnsi="Times New Roman" w:cs="Times New Roman"/>
                <w:color w:val="auto"/>
                <w:sz w:val="28"/>
                <w:szCs w:val="28"/>
              </w:rPr>
            </w:pPr>
            <w:r w:rsidRPr="009A00D7">
              <w:rPr>
                <w:rFonts w:ascii="Times New Roman" w:eastAsia="Times New Roman" w:hAnsi="Times New Roman" w:cs="Times New Roman"/>
                <w:color w:val="auto"/>
                <w:sz w:val="28"/>
                <w:szCs w:val="28"/>
              </w:rPr>
              <w:t>6) помилково перерахованих коштів на рахунок страховика;</w:t>
            </w:r>
          </w:p>
          <w:p w14:paraId="01C568A5" w14:textId="77777777" w:rsidR="009C5822" w:rsidRPr="009A00D7" w:rsidRDefault="009C5822" w:rsidP="0058011F"/>
          <w:p w14:paraId="46782FA6" w14:textId="77777777" w:rsidR="009C5822" w:rsidRPr="007708D4" w:rsidRDefault="009C5822" w:rsidP="0058011F">
            <w:pPr>
              <w:pStyle w:val="3"/>
              <w:keepNext w:val="0"/>
              <w:keepLines w:val="0"/>
              <w:widowControl w:val="0"/>
              <w:spacing w:before="0"/>
              <w:outlineLvl w:val="2"/>
            </w:pPr>
            <w:r w:rsidRPr="009A00D7">
              <w:rPr>
                <w:rFonts w:ascii="Times New Roman" w:eastAsia="Times New Roman" w:hAnsi="Times New Roman" w:cs="Times New Roman"/>
                <w:color w:val="auto"/>
                <w:sz w:val="28"/>
                <w:szCs w:val="28"/>
              </w:rPr>
              <w:t>…</w:t>
            </w:r>
          </w:p>
        </w:tc>
        <w:tc>
          <w:tcPr>
            <w:tcW w:w="6875" w:type="dxa"/>
            <w:shd w:val="clear" w:color="auto" w:fill="auto"/>
          </w:tcPr>
          <w:p w14:paraId="0BC8C91A" w14:textId="70DFC304" w:rsidR="009C5822" w:rsidRPr="008418D2" w:rsidRDefault="009C5822" w:rsidP="0058011F">
            <w:pPr>
              <w:pStyle w:val="3"/>
              <w:keepNext w:val="0"/>
              <w:keepLines w:val="0"/>
              <w:widowControl w:val="0"/>
              <w:spacing w:before="0"/>
              <w:outlineLvl w:val="2"/>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73. </w:t>
            </w:r>
            <w:r w:rsidRPr="00840F84">
              <w:rPr>
                <w:rFonts w:ascii="Times New Roman" w:eastAsia="Times New Roman" w:hAnsi="Times New Roman" w:cs="Times New Roman"/>
                <w:color w:val="auto"/>
                <w:sz w:val="28"/>
                <w:szCs w:val="28"/>
              </w:rPr>
              <w:t>Сума</w:t>
            </w:r>
            <w:r w:rsidRPr="008418D2">
              <w:rPr>
                <w:rFonts w:ascii="Times New Roman" w:eastAsia="Times New Roman" w:hAnsi="Times New Roman" w:cs="Times New Roman"/>
                <w:color w:val="auto"/>
                <w:sz w:val="28"/>
                <w:szCs w:val="28"/>
              </w:rPr>
              <w:t xml:space="preserve"> прийнятних активів, яка відповідає належному обсягу прийнятних активів для покриття сформованих страховиком технічних резервів за договорами прямого страхування та договорами вхідного перестрахування, </w:t>
            </w:r>
            <w:r>
              <w:rPr>
                <w:rFonts w:ascii="Times New Roman" w:eastAsia="Times New Roman" w:hAnsi="Times New Roman" w:cs="Times New Roman"/>
                <w:color w:val="auto"/>
                <w:sz w:val="28"/>
                <w:szCs w:val="28"/>
              </w:rPr>
              <w:t xml:space="preserve">не включає </w:t>
            </w:r>
            <w:r w:rsidRPr="008418D2">
              <w:rPr>
                <w:rFonts w:ascii="Times New Roman" w:eastAsia="Times New Roman" w:hAnsi="Times New Roman" w:cs="Times New Roman"/>
                <w:color w:val="auto"/>
                <w:sz w:val="28"/>
                <w:szCs w:val="28"/>
              </w:rPr>
              <w:t>так</w:t>
            </w:r>
            <w:r>
              <w:rPr>
                <w:rFonts w:ascii="Times New Roman" w:eastAsia="Times New Roman" w:hAnsi="Times New Roman" w:cs="Times New Roman"/>
                <w:color w:val="auto"/>
                <w:sz w:val="28"/>
                <w:szCs w:val="28"/>
              </w:rPr>
              <w:t>их</w:t>
            </w:r>
            <w:r w:rsidRPr="008418D2">
              <w:rPr>
                <w:rFonts w:ascii="Times New Roman" w:eastAsia="Times New Roman" w:hAnsi="Times New Roman" w:cs="Times New Roman"/>
                <w:color w:val="auto"/>
                <w:sz w:val="28"/>
                <w:szCs w:val="28"/>
              </w:rPr>
              <w:t xml:space="preserve"> актив</w:t>
            </w:r>
            <w:r>
              <w:rPr>
                <w:rFonts w:ascii="Times New Roman" w:eastAsia="Times New Roman" w:hAnsi="Times New Roman" w:cs="Times New Roman"/>
                <w:color w:val="auto"/>
                <w:sz w:val="28"/>
                <w:szCs w:val="28"/>
              </w:rPr>
              <w:t>ів</w:t>
            </w:r>
            <w:r w:rsidRPr="008418D2">
              <w:rPr>
                <w:rFonts w:ascii="Times New Roman" w:eastAsia="Times New Roman" w:hAnsi="Times New Roman" w:cs="Times New Roman"/>
                <w:color w:val="auto"/>
                <w:sz w:val="28"/>
                <w:szCs w:val="28"/>
              </w:rPr>
              <w:t>:</w:t>
            </w:r>
          </w:p>
          <w:p w14:paraId="30D79D19" w14:textId="77777777" w:rsidR="009C5822" w:rsidRPr="008418D2" w:rsidRDefault="009C5822" w:rsidP="0058011F">
            <w:pPr>
              <w:pStyle w:val="ae"/>
              <w:widowControl w:val="0"/>
              <w:ind w:left="0" w:firstLine="567"/>
            </w:pPr>
            <w:r>
              <w:t>…</w:t>
            </w:r>
          </w:p>
          <w:p w14:paraId="00067A5A" w14:textId="05BE4320" w:rsidR="009C5822" w:rsidRPr="00840F84" w:rsidRDefault="009C5822" w:rsidP="0058011F">
            <w:pPr>
              <w:pStyle w:val="3"/>
              <w:keepNext w:val="0"/>
              <w:keepLines w:val="0"/>
              <w:widowControl w:val="0"/>
              <w:spacing w:before="0"/>
              <w:outlineLvl w:val="2"/>
              <w:rPr>
                <w:rFonts w:ascii="Times New Roman" w:eastAsia="Times New Roman" w:hAnsi="Times New Roman" w:cs="Times New Roman"/>
                <w:color w:val="auto"/>
                <w:sz w:val="28"/>
                <w:szCs w:val="28"/>
              </w:rPr>
            </w:pPr>
            <w:r w:rsidRPr="00840F84">
              <w:rPr>
                <w:rFonts w:ascii="Times New Roman" w:eastAsia="Times New Roman" w:hAnsi="Times New Roman" w:cs="Times New Roman"/>
                <w:color w:val="auto"/>
                <w:sz w:val="28"/>
                <w:szCs w:val="28"/>
              </w:rPr>
              <w:t xml:space="preserve">6) </w:t>
            </w:r>
            <w:r>
              <w:rPr>
                <w:rFonts w:ascii="Times New Roman" w:eastAsia="Times New Roman" w:hAnsi="Times New Roman" w:cs="Times New Roman"/>
                <w:b/>
                <w:color w:val="auto"/>
                <w:sz w:val="28"/>
                <w:szCs w:val="28"/>
              </w:rPr>
              <w:t>грошових коштів</w:t>
            </w:r>
            <w:r w:rsidRPr="00840F84">
              <w:rPr>
                <w:rFonts w:ascii="Times New Roman" w:eastAsia="Times New Roman" w:hAnsi="Times New Roman" w:cs="Times New Roman"/>
                <w:b/>
                <w:color w:val="auto"/>
                <w:sz w:val="28"/>
                <w:szCs w:val="28"/>
              </w:rPr>
              <w:t xml:space="preserve"> на поточному рахунку, що відповідають сумі</w:t>
            </w:r>
            <w:r w:rsidRPr="00840F84">
              <w:rPr>
                <w:rFonts w:ascii="Times New Roman" w:eastAsia="Times New Roman" w:hAnsi="Times New Roman" w:cs="Times New Roman"/>
                <w:color w:val="auto"/>
                <w:sz w:val="28"/>
                <w:szCs w:val="28"/>
              </w:rPr>
              <w:t xml:space="preserve"> помилково перерахованих коштів на рахунок страховика;</w:t>
            </w:r>
            <w:r>
              <w:rPr>
                <w:color w:val="333333"/>
                <w:shd w:val="clear" w:color="auto" w:fill="FFFFFF"/>
              </w:rPr>
              <w:t xml:space="preserve"> </w:t>
            </w:r>
          </w:p>
          <w:p w14:paraId="4B7CEF4F" w14:textId="3FF3534A" w:rsidR="009C5822" w:rsidRPr="00CD0EDE" w:rsidRDefault="009C5822" w:rsidP="0058011F">
            <w:pPr>
              <w:pStyle w:val="3"/>
              <w:keepNext w:val="0"/>
              <w:keepLines w:val="0"/>
              <w:widowControl w:val="0"/>
              <w:spacing w:before="0"/>
              <w:outlineLvl w:val="2"/>
            </w:pPr>
            <w:r w:rsidRPr="00840F84">
              <w:rPr>
                <w:rFonts w:ascii="Times New Roman" w:eastAsia="Times New Roman" w:hAnsi="Times New Roman" w:cs="Times New Roman"/>
                <w:color w:val="auto"/>
                <w:sz w:val="28"/>
                <w:szCs w:val="28"/>
              </w:rPr>
              <w:t>…</w:t>
            </w:r>
          </w:p>
        </w:tc>
      </w:tr>
      <w:tr w:rsidR="009C5822" w:rsidRPr="00B73144" w14:paraId="281635FC" w14:textId="77777777" w:rsidTr="009C5822">
        <w:trPr>
          <w:trHeight w:val="20"/>
        </w:trPr>
        <w:tc>
          <w:tcPr>
            <w:tcW w:w="13750" w:type="dxa"/>
            <w:gridSpan w:val="2"/>
            <w:shd w:val="clear" w:color="auto" w:fill="auto"/>
          </w:tcPr>
          <w:p w14:paraId="58D96C22" w14:textId="7ED96430" w:rsidR="009C5822" w:rsidRPr="009C5822" w:rsidRDefault="009C5822" w:rsidP="0058011F">
            <w:pPr>
              <w:pStyle w:val="3"/>
              <w:keepNext w:val="0"/>
              <w:keepLines w:val="0"/>
              <w:widowControl w:val="0"/>
              <w:jc w:val="center"/>
              <w:outlineLvl w:val="2"/>
              <w:rPr>
                <w:rFonts w:ascii="Times New Roman" w:eastAsia="Times New Roman" w:hAnsi="Times New Roman" w:cs="Times New Roman"/>
                <w:color w:val="auto"/>
                <w:sz w:val="28"/>
                <w:szCs w:val="28"/>
              </w:rPr>
            </w:pPr>
            <w:r w:rsidRPr="009C5822">
              <w:rPr>
                <w:rFonts w:ascii="Times New Roman" w:eastAsia="Times New Roman" w:hAnsi="Times New Roman" w:cs="Times New Roman"/>
                <w:color w:val="auto"/>
                <w:sz w:val="28"/>
                <w:szCs w:val="28"/>
              </w:rPr>
              <w:t>Додаток 3 до Положення про встановлення вимог щодо забезпечення платоспроможності та інвестиційної діяльності страховика, затвердженого постановою Правління Національного банку України від 29 грудня 2023</w:t>
            </w:r>
            <w:r w:rsidR="00E77F09">
              <w:rPr>
                <w:rFonts w:ascii="Times New Roman" w:eastAsia="Times New Roman" w:hAnsi="Times New Roman" w:cs="Times New Roman"/>
                <w:color w:val="auto"/>
                <w:sz w:val="28"/>
                <w:szCs w:val="28"/>
              </w:rPr>
              <w:t xml:space="preserve"> </w:t>
            </w:r>
            <w:r w:rsidR="00E77F09">
              <w:rPr>
                <w:rFonts w:ascii="Times New Roman" w:eastAsia="Times New Roman" w:hAnsi="Times New Roman" w:cs="Times New Roman"/>
                <w:color w:val="auto"/>
                <w:sz w:val="28"/>
                <w:szCs w:val="28"/>
              </w:rPr>
              <w:lastRenderedPageBreak/>
              <w:t>року</w:t>
            </w:r>
            <w:r w:rsidRPr="009C5822">
              <w:rPr>
                <w:rFonts w:ascii="Times New Roman" w:eastAsia="Times New Roman" w:hAnsi="Times New Roman" w:cs="Times New Roman"/>
                <w:color w:val="auto"/>
                <w:sz w:val="28"/>
                <w:szCs w:val="28"/>
              </w:rPr>
              <w:t xml:space="preserve"> №</w:t>
            </w:r>
            <w:r w:rsidR="00E77F09">
              <w:rPr>
                <w:rFonts w:ascii="Times New Roman" w:eastAsia="Times New Roman" w:hAnsi="Times New Roman" w:cs="Times New Roman"/>
                <w:color w:val="auto"/>
                <w:sz w:val="28"/>
                <w:szCs w:val="28"/>
              </w:rPr>
              <w:t> </w:t>
            </w:r>
            <w:r w:rsidRPr="009C5822">
              <w:rPr>
                <w:rFonts w:ascii="Times New Roman" w:eastAsia="Times New Roman" w:hAnsi="Times New Roman" w:cs="Times New Roman"/>
                <w:color w:val="auto"/>
                <w:sz w:val="28"/>
                <w:szCs w:val="28"/>
              </w:rPr>
              <w:t>201 (зі змінами)</w:t>
            </w:r>
          </w:p>
        </w:tc>
      </w:tr>
      <w:tr w:rsidR="009C5822" w:rsidRPr="00530CFB" w14:paraId="1376BD5A" w14:textId="77777777" w:rsidTr="009C5822">
        <w:trPr>
          <w:trHeight w:val="20"/>
        </w:trPr>
        <w:tc>
          <w:tcPr>
            <w:tcW w:w="6875" w:type="dxa"/>
            <w:shd w:val="clear" w:color="auto" w:fill="auto"/>
          </w:tcPr>
          <w:p w14:paraId="0B8798B8" w14:textId="79C26E8C" w:rsidR="009C5822" w:rsidRPr="00083CF1" w:rsidRDefault="009C5822" w:rsidP="0058011F">
            <w:pPr>
              <w:widowControl w:val="0"/>
              <w:tabs>
                <w:tab w:val="left" w:pos="993"/>
              </w:tabs>
              <w:spacing w:before="40"/>
              <w:outlineLvl w:val="1"/>
              <w:rPr>
                <w:rFonts w:eastAsiaTheme="majorEastAsia"/>
                <w:lang w:eastAsia="en-US"/>
              </w:rPr>
            </w:pPr>
            <w:r w:rsidRPr="00083CF1">
              <w:rPr>
                <w:rFonts w:eastAsiaTheme="majorEastAsia"/>
                <w:lang w:eastAsia="en-US"/>
              </w:rPr>
              <w:lastRenderedPageBreak/>
              <w:t>1. Капітал платоспроможності</w:t>
            </w:r>
            <w:r w:rsidRPr="00083CF1" w:rsidDel="00B05C4F">
              <w:rPr>
                <w:rFonts w:eastAsiaTheme="majorEastAsia"/>
                <w:lang w:eastAsia="en-US"/>
              </w:rPr>
              <w:t xml:space="preserve"> </w:t>
            </w:r>
            <w:r w:rsidRPr="00083CF1">
              <w:rPr>
                <w:rFonts w:eastAsiaTheme="majorEastAsia"/>
                <w:lang w:eastAsia="en-US"/>
              </w:rPr>
              <w:t>(</w:t>
            </w:r>
            <m:oMath>
              <m:sSup>
                <m:sSupPr>
                  <m:ctrlPr>
                    <w:rPr>
                      <w:rFonts w:ascii="Cambria Math" w:eastAsiaTheme="majorEastAsia" w:hAnsi="Cambria Math"/>
                      <w:lang w:eastAsia="en-US"/>
                    </w:rPr>
                  </m:ctrlPr>
                </m:sSupPr>
                <m:e>
                  <m:r>
                    <m:rPr>
                      <m:sty m:val="p"/>
                    </m:rPr>
                    <w:rPr>
                      <w:rFonts w:ascii="Cambria Math" w:eastAsiaTheme="majorEastAsia" w:hAnsi="Cambria Math"/>
                      <w:lang w:eastAsia="en-US"/>
                    </w:rPr>
                    <m:t>КП</m:t>
                  </m:r>
                </m:e>
                <m:sup>
                  <m:r>
                    <w:rPr>
                      <w:rFonts w:ascii="Cambria Math" w:eastAsiaTheme="majorEastAsia" w:hAnsi="Cambria Math"/>
                      <w:lang w:eastAsia="en-US"/>
                    </w:rPr>
                    <m:t>non-life</m:t>
                  </m:r>
                </m:sup>
              </m:sSup>
            </m:oMath>
            <w:r w:rsidRPr="00083CF1">
              <w:rPr>
                <w:rFonts w:eastAsiaTheme="majorEastAsia"/>
                <w:lang w:eastAsia="en-US"/>
              </w:rPr>
              <w:t>) визначається як більша з таких величин:</w:t>
            </w:r>
          </w:p>
          <w:p w14:paraId="7B8B3016" w14:textId="3917F0A2" w:rsidR="009C5822" w:rsidRPr="00083CF1" w:rsidRDefault="009C5822" w:rsidP="0058011F">
            <w:pPr>
              <w:widowControl w:val="0"/>
              <w:tabs>
                <w:tab w:val="left" w:pos="1134"/>
              </w:tabs>
              <w:ind w:left="35"/>
              <w:contextualSpacing/>
              <w:rPr>
                <w:lang w:eastAsia="en-US"/>
              </w:rPr>
            </w:pPr>
            <w:r w:rsidRPr="00083CF1">
              <w:rPr>
                <w:rFonts w:eastAsiaTheme="majorEastAsia"/>
                <w:lang w:eastAsia="en-US"/>
              </w:rPr>
              <w:t xml:space="preserve">1) </w:t>
            </w:r>
            <m:oMath>
              <m:sSup>
                <m:sSupPr>
                  <m:ctrlPr>
                    <w:rPr>
                      <w:rFonts w:ascii="Cambria Math" w:eastAsia="Calibri" w:hAnsi="Cambria Math"/>
                      <w:lang w:eastAsia="en-US"/>
                    </w:rPr>
                  </m:ctrlPr>
                </m:sSupPr>
                <m:e>
                  <m:r>
                    <m:rPr>
                      <m:sty m:val="p"/>
                    </m:rPr>
                    <w:rPr>
                      <w:rFonts w:ascii="Cambria Math" w:eastAsia="Calibri" w:hAnsi="Cambria Math"/>
                      <w:lang w:eastAsia="en-US"/>
                    </w:rPr>
                    <m:t>КП</m:t>
                  </m:r>
                </m:e>
                <m:sup>
                  <m:r>
                    <w:rPr>
                      <w:rFonts w:ascii="Cambria Math" w:eastAsia="Calibri" w:hAnsi="Cambria Math"/>
                      <w:lang w:eastAsia="en-US"/>
                    </w:rPr>
                    <m:t>СП</m:t>
                  </m:r>
                </m:sup>
              </m:sSup>
            </m:oMath>
            <w:r w:rsidRPr="00083CF1">
              <w:rPr>
                <w:lang w:eastAsia="en-US"/>
              </w:rPr>
              <w:t xml:space="preserve"> – розрахункова величина, яка визначається </w:t>
            </w:r>
            <w:r w:rsidRPr="00083CF1">
              <w:rPr>
                <w:rFonts w:eastAsiaTheme="majorEastAsia"/>
                <w:lang w:eastAsia="en-US"/>
              </w:rPr>
              <w:t>за такою формулою</w:t>
            </w:r>
            <w:r w:rsidRPr="00083CF1">
              <w:rPr>
                <w:lang w:eastAsia="en-US"/>
              </w:rPr>
              <w:t>:</w:t>
            </w:r>
          </w:p>
          <w:p w14:paraId="16907BB8" w14:textId="77777777" w:rsidR="009C5822" w:rsidRPr="00083CF1" w:rsidRDefault="009C5822" w:rsidP="0058011F">
            <w:pPr>
              <w:pStyle w:val="3"/>
              <w:keepNext w:val="0"/>
              <w:keepLines w:val="0"/>
              <w:widowControl w:val="0"/>
              <w:tabs>
                <w:tab w:val="left" w:pos="885"/>
              </w:tabs>
              <w:outlineLvl w:val="2"/>
              <w:rPr>
                <w:rFonts w:ascii="Times New Roman" w:hAnsi="Times New Roman" w:cs="Times New Roman"/>
                <w:color w:val="auto"/>
                <w:sz w:val="28"/>
                <w:szCs w:val="28"/>
              </w:rPr>
            </w:pPr>
            <w:r w:rsidRPr="00083CF1">
              <w:rPr>
                <w:rFonts w:ascii="Times New Roman" w:hAnsi="Times New Roman" w:cs="Times New Roman"/>
                <w:color w:val="auto"/>
                <w:sz w:val="28"/>
                <w:szCs w:val="28"/>
              </w:rPr>
              <w:t>…</w:t>
            </w:r>
          </w:p>
          <w:p w14:paraId="0E0C5599" w14:textId="77777777" w:rsidR="009C5822" w:rsidRPr="00083CF1" w:rsidRDefault="00EE66C1" w:rsidP="0058011F">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п</m:t>
                  </m:r>
                </m:sub>
              </m:sSub>
            </m:oMath>
            <w:r w:rsidR="009C5822" w:rsidRPr="00083CF1">
              <w:rPr>
                <w:lang w:eastAsia="en-US"/>
              </w:rPr>
              <w:t xml:space="preserve"> – розмір резерву заявлених, але не виплачених збитків (без урахування </w:t>
            </w:r>
            <w:r w:rsidR="009C5822" w:rsidRPr="00083CF1">
              <w:rPr>
                <w:b/>
                <w:strike/>
                <w:color w:val="000000" w:themeColor="text1"/>
              </w:rPr>
              <w:t>очікуваних</w:t>
            </w:r>
            <w:r w:rsidR="009C5822" w:rsidRPr="00083CF1">
              <w:rPr>
                <w:color w:val="000000" w:themeColor="text1"/>
              </w:rPr>
              <w:t xml:space="preserve"> </w:t>
            </w:r>
            <w:r w:rsidR="009C5822" w:rsidRPr="00083CF1">
              <w:rPr>
                <w:b/>
                <w:strike/>
                <w:color w:val="000000" w:themeColor="text1"/>
              </w:rPr>
              <w:t>регресів</w:t>
            </w:r>
            <w:r w:rsidR="009C5822" w:rsidRPr="00083CF1">
              <w:rPr>
                <w:color w:val="000000" w:themeColor="text1"/>
              </w:rPr>
              <w:t xml:space="preserve">, </w:t>
            </w:r>
            <w:r w:rsidR="009C5822" w:rsidRPr="00083CF1">
              <w:rPr>
                <w:lang w:eastAsia="en-US"/>
              </w:rPr>
              <w:t xml:space="preserve">ефекту дисконтування, </w:t>
            </w:r>
            <w:r w:rsidR="009C5822" w:rsidRPr="00083CF1">
              <w:rPr>
                <w:color w:val="000000" w:themeColor="text1"/>
                <w:lang w:eastAsia="en-US"/>
              </w:rPr>
              <w:t xml:space="preserve">врегульованих заявлених вимог, за якими прийнято рішення про </w:t>
            </w:r>
            <w:r w:rsidR="009C5822" w:rsidRPr="00083CF1">
              <w:rPr>
                <w:color w:val="0D0D0D" w:themeColor="text1" w:themeTint="F2"/>
              </w:rPr>
              <w:t xml:space="preserve">визнання випадку страховим та розмір страхової виплати / страховик зобов’язаний здійснити повернення суми страхової премії або її частини, але оплата ще не здійснена в повному обсязі, </w:t>
            </w:r>
            <w:r w:rsidR="009C5822" w:rsidRPr="00083CF1">
              <w:rPr>
                <w:b/>
                <w:strike/>
                <w:color w:val="0D0D0D" w:themeColor="text1" w:themeTint="F2"/>
              </w:rPr>
              <w:t>та маржі ризику за таким резервом,</w:t>
            </w:r>
            <w:r w:rsidR="009C5822" w:rsidRPr="00083CF1">
              <w:rPr>
                <w:color w:val="0D0D0D" w:themeColor="text1" w:themeTint="F2"/>
              </w:rPr>
              <w:t xml:space="preserve"> але з урахуванням </w:t>
            </w:r>
            <w:r w:rsidR="009C5822" w:rsidRPr="00083CF1">
              <w:rPr>
                <w:b/>
                <w:strike/>
                <w:color w:val="0D0D0D" w:themeColor="text1" w:themeTint="F2"/>
              </w:rPr>
              <w:t>резерву</w:t>
            </w:r>
            <w:r w:rsidR="009C5822" w:rsidRPr="00083CF1">
              <w:rPr>
                <w:color w:val="0D0D0D" w:themeColor="text1" w:themeTint="F2"/>
              </w:rPr>
              <w:t xml:space="preserve"> витрат на врегулювання збитків у такому резерві) на кінець та початок розрахункового періоду 2 відповідно за дого</w:t>
            </w:r>
            <w:r w:rsidR="009C5822" w:rsidRPr="00083CF1">
              <w:rPr>
                <w:lang w:eastAsia="en-US"/>
              </w:rPr>
              <w:t xml:space="preserve">ворами прямого </w:t>
            </w:r>
            <w:r w:rsidR="009C5822" w:rsidRPr="00083CF1">
              <w:t>страхування та договорами вхідного перестрахування</w:t>
            </w:r>
            <w:r w:rsidR="009C5822" w:rsidRPr="00083CF1">
              <w:rPr>
                <w:lang w:eastAsia="en-US"/>
              </w:rPr>
              <w:t>;</w:t>
            </w:r>
          </w:p>
          <w:p w14:paraId="69730C0C" w14:textId="371178AF" w:rsidR="009C5822" w:rsidRPr="00083CF1" w:rsidRDefault="00EE66C1" w:rsidP="0058011F">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п</m:t>
                  </m:r>
                </m:sub>
              </m:sSub>
            </m:oMath>
            <w:r w:rsidR="009C5822" w:rsidRPr="00083CF1">
              <w:rPr>
                <w:lang w:eastAsia="en-US"/>
              </w:rPr>
              <w:t xml:space="preserve"> – розмір резерву збитків, які виникли, але не заявлені (без урахування </w:t>
            </w:r>
            <w:r w:rsidR="009C5822" w:rsidRPr="00083CF1">
              <w:rPr>
                <w:b/>
                <w:strike/>
                <w:color w:val="000000" w:themeColor="text1"/>
              </w:rPr>
              <w:t>очікуваних регресів</w:t>
            </w:r>
            <w:r w:rsidR="009C5822" w:rsidRPr="00083CF1">
              <w:rPr>
                <w:color w:val="000000" w:themeColor="text1"/>
              </w:rPr>
              <w:t xml:space="preserve">, </w:t>
            </w:r>
            <w:r w:rsidR="009C5822" w:rsidRPr="00083CF1">
              <w:rPr>
                <w:lang w:eastAsia="en-US"/>
              </w:rPr>
              <w:t xml:space="preserve">ефекту дисконтування </w:t>
            </w:r>
            <w:r w:rsidR="009C5822" w:rsidRPr="00083CF1">
              <w:rPr>
                <w:b/>
                <w:strike/>
                <w:lang w:eastAsia="en-US"/>
              </w:rPr>
              <w:t>та маржі ризику за таким резервом,</w:t>
            </w:r>
            <w:r w:rsidR="009C5822" w:rsidRPr="00083CF1">
              <w:rPr>
                <w:lang w:eastAsia="en-US"/>
              </w:rPr>
              <w:t xml:space="preserve"> але з урахуванням </w:t>
            </w:r>
            <w:r w:rsidR="009C5822" w:rsidRPr="00083CF1">
              <w:rPr>
                <w:b/>
                <w:strike/>
                <w:lang w:eastAsia="en-US"/>
              </w:rPr>
              <w:t>резерву</w:t>
            </w:r>
            <w:r w:rsidR="009C5822" w:rsidRPr="00083CF1">
              <w:rPr>
                <w:lang w:eastAsia="en-US"/>
              </w:rPr>
              <w:t xml:space="preserve"> витрат на врегулювання збитків у такому резерві), на кінець та початок розрахункового періоду 2 відповідно за договорами </w:t>
            </w:r>
            <w:r w:rsidR="009C5822" w:rsidRPr="00083CF1">
              <w:rPr>
                <w:lang w:eastAsia="en-US"/>
              </w:rPr>
              <w:lastRenderedPageBreak/>
              <w:t xml:space="preserve">прямого </w:t>
            </w:r>
            <w:r w:rsidR="009C5822" w:rsidRPr="00083CF1">
              <w:t>страхування та договорами вхідного перестрахування</w:t>
            </w:r>
            <w:r w:rsidR="009C5822" w:rsidRPr="00083CF1">
              <w:rPr>
                <w:lang w:eastAsia="en-US"/>
              </w:rPr>
              <w:t>;</w:t>
            </w:r>
          </w:p>
          <w:p w14:paraId="344FB155" w14:textId="109A23C0" w:rsidR="009C5822" w:rsidRPr="00083CF1" w:rsidRDefault="009C5822" w:rsidP="0058011F">
            <w:pPr>
              <w:widowControl w:val="0"/>
              <w:ind w:firstLine="709"/>
              <w:rPr>
                <w:lang w:eastAsia="en-US"/>
              </w:rPr>
            </w:pPr>
            <w:r w:rsidRPr="00083CF1">
              <w:rPr>
                <w:lang w:eastAsia="en-US"/>
              </w:rPr>
              <w:t>…</w:t>
            </w:r>
          </w:p>
          <w:p w14:paraId="086753AC" w14:textId="43414F3E" w:rsidR="009C5822"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re</m:t>
                  </m:r>
                </m:sup>
              </m:sSubSup>
            </m:oMath>
            <w:r w:rsidR="009C5822" w:rsidRPr="00083CF1">
              <w:rPr>
                <w:lang w:eastAsia="en-US"/>
              </w:rPr>
              <w:t xml:space="preserve"> – резерв заявлених, але не виплачених збитків (без урахування </w:t>
            </w:r>
            <w:r w:rsidR="009C5822" w:rsidRPr="00083CF1">
              <w:rPr>
                <w:b/>
                <w:strike/>
                <w:color w:val="000000" w:themeColor="text1"/>
              </w:rPr>
              <w:t>очікуваних регресів</w:t>
            </w:r>
            <w:r w:rsidR="009C5822" w:rsidRPr="00083CF1">
              <w:rPr>
                <w:color w:val="000000" w:themeColor="text1"/>
              </w:rPr>
              <w:t xml:space="preserve">, </w:t>
            </w:r>
            <w:r w:rsidR="009C5822" w:rsidRPr="00083CF1">
              <w:rPr>
                <w:lang w:eastAsia="en-US"/>
              </w:rPr>
              <w:t xml:space="preserve">ефекту дисконтування, </w:t>
            </w:r>
            <w:r w:rsidR="009C5822" w:rsidRPr="00083CF1">
              <w:rPr>
                <w:color w:val="000000" w:themeColor="text1"/>
                <w:lang w:eastAsia="en-US"/>
              </w:rPr>
              <w:t xml:space="preserve">врегульованих заявлених вимог, за якими прийнято рішення про </w:t>
            </w:r>
            <w:r w:rsidR="009C5822" w:rsidRPr="00083CF1">
              <w:rPr>
                <w:color w:val="0D0D0D" w:themeColor="text1" w:themeTint="F2"/>
              </w:rPr>
              <w:t xml:space="preserve">визнання випадку страховим та </w:t>
            </w:r>
            <w:r w:rsidR="009C5822" w:rsidRPr="00083CF1">
              <w:rPr>
                <w:lang w:eastAsia="en-US"/>
              </w:rPr>
              <w:t>розмір страхової виплати / страховик зобов’язаний здійснити повернення суми страхової премії або її частини, але оплата ще не здійснена в повному обсязі,</w:t>
            </w:r>
            <w:r w:rsidR="009C5822" w:rsidRPr="00083CF1" w:rsidDel="00180FFF">
              <w:rPr>
                <w:lang w:eastAsia="en-US"/>
              </w:rPr>
              <w:t xml:space="preserve"> </w:t>
            </w:r>
            <w:r w:rsidR="009C5822" w:rsidRPr="00083CF1">
              <w:rPr>
                <w:b/>
                <w:strike/>
                <w:lang w:eastAsia="en-US"/>
              </w:rPr>
              <w:t>та маржі ризику за таким резервом,</w:t>
            </w:r>
            <w:r w:rsidR="009C5822" w:rsidRPr="00083CF1">
              <w:rPr>
                <w:lang w:eastAsia="en-US"/>
              </w:rPr>
              <w:t xml:space="preserve"> але з урахуванням </w:t>
            </w:r>
            <w:r w:rsidR="009C5822" w:rsidRPr="00083CF1">
              <w:rPr>
                <w:b/>
                <w:strike/>
                <w:lang w:eastAsia="en-US"/>
              </w:rPr>
              <w:t>резерву</w:t>
            </w:r>
            <w:r w:rsidR="009C5822" w:rsidRPr="00083CF1">
              <w:rPr>
                <w:lang w:eastAsia="en-US"/>
              </w:rPr>
              <w:t xml:space="preserve"> витрат на врегулювання збитків у такому резерві) за договорами вихідного перестрахування на кінець та початок розрахункового періоду 2 відповідно;</w:t>
            </w:r>
          </w:p>
          <w:p w14:paraId="33231E9F" w14:textId="77777777"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re</m:t>
                  </m:r>
                </m:sup>
              </m:sSubSup>
            </m:oMath>
            <w:r w:rsidR="009C5822" w:rsidRPr="00083CF1">
              <w:rPr>
                <w:lang w:eastAsia="en-US"/>
              </w:rPr>
              <w:t xml:space="preserve"> – резерв збитків, які виникли, але не заявлені (без урахування </w:t>
            </w:r>
            <w:r w:rsidR="009C5822" w:rsidRPr="00083CF1">
              <w:rPr>
                <w:b/>
                <w:strike/>
                <w:color w:val="000000" w:themeColor="text1"/>
              </w:rPr>
              <w:t>очікуваних регресів</w:t>
            </w:r>
            <w:r w:rsidR="009C5822" w:rsidRPr="00083CF1">
              <w:rPr>
                <w:color w:val="000000" w:themeColor="text1"/>
              </w:rPr>
              <w:t xml:space="preserve">, </w:t>
            </w:r>
            <w:r w:rsidR="009C5822" w:rsidRPr="00083CF1">
              <w:rPr>
                <w:lang w:eastAsia="en-US"/>
              </w:rPr>
              <w:t>ефекту дисконтування</w:t>
            </w:r>
            <w:r w:rsidR="009C5822" w:rsidRPr="00083CF1" w:rsidDel="00180FFF">
              <w:rPr>
                <w:lang w:eastAsia="en-US"/>
              </w:rPr>
              <w:t xml:space="preserve"> </w:t>
            </w:r>
            <w:r w:rsidR="009C5822" w:rsidRPr="00083CF1">
              <w:rPr>
                <w:b/>
                <w:strike/>
                <w:lang w:eastAsia="en-US"/>
              </w:rPr>
              <w:t>та маржі ризику за таким резервом</w:t>
            </w:r>
            <w:r w:rsidR="009C5822" w:rsidRPr="00083CF1">
              <w:rPr>
                <w:lang w:eastAsia="en-US"/>
              </w:rPr>
              <w:t xml:space="preserve">, але з урахуванням </w:t>
            </w:r>
            <w:r w:rsidR="009C5822" w:rsidRPr="00083CF1">
              <w:rPr>
                <w:b/>
                <w:strike/>
                <w:lang w:eastAsia="en-US"/>
              </w:rPr>
              <w:t>резерву</w:t>
            </w:r>
            <w:r w:rsidR="009C5822" w:rsidRPr="00083CF1">
              <w:rPr>
                <w:lang w:eastAsia="en-US"/>
              </w:rPr>
              <w:t xml:space="preserve"> витрат на врегулювання збитків у такому резерві), за договорами вихідного перестрахування на кінець та початок розрахункового періоду 2 відповідно;</w:t>
            </w:r>
          </w:p>
          <w:p w14:paraId="29B0FB71" w14:textId="77777777" w:rsidR="009C5822" w:rsidRPr="00083CF1" w:rsidRDefault="009C5822" w:rsidP="0058011F">
            <w:r w:rsidRPr="00083CF1">
              <w:t>…</w:t>
            </w:r>
          </w:p>
          <w:p w14:paraId="68E71CC8" w14:textId="77777777" w:rsidR="009C5822" w:rsidRPr="00083CF1" w:rsidRDefault="009C5822" w:rsidP="0058011F">
            <w:pPr>
              <w:widowControl w:val="0"/>
              <w:tabs>
                <w:tab w:val="left" w:pos="1134"/>
              </w:tabs>
              <w:contextualSpacing/>
              <w:rPr>
                <w:lang w:eastAsia="en-US"/>
              </w:rPr>
            </w:pPr>
            <w:r w:rsidRPr="00083CF1">
              <w:t xml:space="preserve">2) </w:t>
            </w:r>
            <m:oMath>
              <m:sSup>
                <m:sSupPr>
                  <m:ctrlPr>
                    <w:rPr>
                      <w:rFonts w:ascii="Cambria Math" w:eastAsia="Calibri" w:hAnsi="Cambria Math"/>
                      <w:lang w:eastAsia="en-US"/>
                    </w:rPr>
                  </m:ctrlPr>
                </m:sSupPr>
                <m:e>
                  <m:r>
                    <m:rPr>
                      <m:sty m:val="p"/>
                    </m:rPr>
                    <w:rPr>
                      <w:rFonts w:ascii="Cambria Math" w:eastAsia="Calibri" w:hAnsi="Cambria Math"/>
                      <w:lang w:eastAsia="en-US"/>
                    </w:rPr>
                    <m:t>КП</m:t>
                  </m:r>
                </m:e>
                <m:sup>
                  <m:r>
                    <w:rPr>
                      <w:rFonts w:ascii="Cambria Math" w:eastAsia="Calibri" w:hAnsi="Cambria Math"/>
                      <w:lang w:eastAsia="en-US"/>
                    </w:rPr>
                    <m:t>СВ</m:t>
                  </m:r>
                </m:sup>
              </m:sSup>
            </m:oMath>
            <w:r w:rsidRPr="00083CF1">
              <w:rPr>
                <w:lang w:eastAsia="en-US"/>
              </w:rPr>
              <w:t xml:space="preserve"> – розрахункова величина, яка визначається </w:t>
            </w:r>
            <w:r w:rsidRPr="00083CF1">
              <w:rPr>
                <w:rFonts w:eastAsiaTheme="majorEastAsia"/>
                <w:lang w:eastAsia="en-US"/>
              </w:rPr>
              <w:t>за такою формулою</w:t>
            </w:r>
            <w:r w:rsidRPr="00083CF1">
              <w:rPr>
                <w:lang w:eastAsia="en-US"/>
              </w:rPr>
              <w:t>:</w:t>
            </w:r>
          </w:p>
          <w:p w14:paraId="65E7088D" w14:textId="77777777" w:rsidR="009C5822" w:rsidRPr="00083CF1" w:rsidRDefault="009C5822" w:rsidP="0058011F">
            <w:r w:rsidRPr="00083CF1">
              <w:lastRenderedPageBreak/>
              <w:t>…</w:t>
            </w:r>
          </w:p>
          <w:p w14:paraId="566F3BBE" w14:textId="77777777"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ін</m:t>
                  </m:r>
                </m:sup>
              </m:sSubSup>
            </m:oMath>
            <w:r w:rsidR="009C5822" w:rsidRPr="00083CF1">
              <w:rPr>
                <w:lang w:eastAsia="en-US"/>
              </w:rPr>
              <w:t xml:space="preserve"> – розмір резерву заявлених, але не виплачених збитків (без урахування </w:t>
            </w:r>
            <w:r w:rsidR="009C5822" w:rsidRPr="00083CF1">
              <w:rPr>
                <w:b/>
                <w:strike/>
                <w:color w:val="000000" w:themeColor="text1"/>
              </w:rPr>
              <w:t>очікуваних регресів</w:t>
            </w:r>
            <w:r w:rsidR="009C5822" w:rsidRPr="00083CF1">
              <w:rPr>
                <w:color w:val="000000" w:themeColor="text1"/>
              </w:rPr>
              <w:t xml:space="preserve">, </w:t>
            </w:r>
            <w:r w:rsidR="009C5822" w:rsidRPr="00083CF1">
              <w:rPr>
                <w:lang w:eastAsia="en-US"/>
              </w:rPr>
              <w:t xml:space="preserve">ефекту дисконтування, </w:t>
            </w:r>
            <w:r w:rsidR="009C5822" w:rsidRPr="00083CF1">
              <w:rPr>
                <w:color w:val="000000" w:themeColor="text1"/>
                <w:lang w:eastAsia="en-US"/>
              </w:rPr>
              <w:t xml:space="preserve">врегульованих заявлених вимог, за якими прийнято </w:t>
            </w:r>
            <w:r w:rsidR="009C5822" w:rsidRPr="00083CF1">
              <w:rPr>
                <w:color w:val="0D0D0D" w:themeColor="text1" w:themeTint="F2"/>
              </w:rPr>
              <w:t>рішення про визнання випадку страховим та розмір страхової виплати / страховик зобов’язаний здійснити повернення суми страхової премії або її частини, але оплата</w:t>
            </w:r>
            <w:r w:rsidR="009C5822" w:rsidRPr="00083CF1">
              <w:rPr>
                <w:color w:val="000000" w:themeColor="text1"/>
                <w:lang w:eastAsia="en-US"/>
              </w:rPr>
              <w:t xml:space="preserve"> ще не здійснена в повному обсязі,</w:t>
            </w:r>
            <w:r w:rsidR="009C5822" w:rsidRPr="00083CF1" w:rsidDel="00180FFF">
              <w:rPr>
                <w:lang w:eastAsia="en-US"/>
              </w:rPr>
              <w:t xml:space="preserve"> </w:t>
            </w:r>
            <w:r w:rsidR="009C5822" w:rsidRPr="00083CF1">
              <w:rPr>
                <w:b/>
                <w:strike/>
                <w:lang w:eastAsia="en-US"/>
              </w:rPr>
              <w:t>та маржі ризику за таким резервом,</w:t>
            </w:r>
            <w:r w:rsidR="009C5822" w:rsidRPr="00083CF1">
              <w:rPr>
                <w:lang w:eastAsia="en-US"/>
              </w:rPr>
              <w:t xml:space="preserve"> але з урахуванням </w:t>
            </w:r>
            <w:r w:rsidR="009C5822" w:rsidRPr="00083CF1">
              <w:rPr>
                <w:b/>
                <w:strike/>
                <w:lang w:eastAsia="en-US"/>
              </w:rPr>
              <w:t>резерву</w:t>
            </w:r>
            <w:r w:rsidR="009C5822" w:rsidRPr="00083CF1">
              <w:rPr>
                <w:lang w:eastAsia="en-US"/>
              </w:rPr>
              <w:t xml:space="preserve"> витрат на врегулювання збитків у такому резерві) </w:t>
            </w:r>
            <w:r w:rsidR="009C5822" w:rsidRPr="00083CF1">
              <w:rPr>
                <w:rFonts w:eastAsia="Calibri"/>
                <w:lang w:eastAsia="en-US"/>
              </w:rPr>
              <w:t xml:space="preserve">за </w:t>
            </w:r>
            <w:r w:rsidR="009C5822" w:rsidRPr="00083CF1">
              <w:rPr>
                <w:lang w:eastAsia="en-US"/>
              </w:rPr>
              <w:t xml:space="preserve">лініями бізнесу страхування відповідальності та лініями бізнесу іншими, ніж лінії бізнесу страхування відповідальності, відповідно на кінець розрахункового періоду 2 за договорами прямого </w:t>
            </w:r>
            <w:r w:rsidR="009C5822" w:rsidRPr="00083CF1">
              <w:t>страхування та договорами вхідного перестрахування</w:t>
            </w:r>
            <w:r w:rsidR="009C5822" w:rsidRPr="00083CF1">
              <w:rPr>
                <w:lang w:eastAsia="en-US"/>
              </w:rPr>
              <w:t>;</w:t>
            </w:r>
          </w:p>
          <w:p w14:paraId="235221A6" w14:textId="5637E4D0"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ін</m:t>
                  </m:r>
                </m:sup>
              </m:sSubSup>
            </m:oMath>
            <w:r w:rsidR="009C5822" w:rsidRPr="00083CF1">
              <w:rPr>
                <w:lang w:eastAsia="en-US"/>
              </w:rPr>
              <w:t xml:space="preserve"> – розмір резерву заявлених, але не виплачених збитків (без урахування </w:t>
            </w:r>
            <w:r w:rsidR="009C5822" w:rsidRPr="00083CF1">
              <w:rPr>
                <w:b/>
                <w:strike/>
                <w:color w:val="000000" w:themeColor="text1"/>
              </w:rPr>
              <w:t>очікуваних регресів</w:t>
            </w:r>
            <w:r w:rsidR="009C5822" w:rsidRPr="00083CF1">
              <w:rPr>
                <w:color w:val="000000" w:themeColor="text1"/>
              </w:rPr>
              <w:t xml:space="preserve">, </w:t>
            </w:r>
            <w:r w:rsidR="009C5822" w:rsidRPr="00083CF1">
              <w:rPr>
                <w:lang w:eastAsia="en-US"/>
              </w:rPr>
              <w:t xml:space="preserve">ефекту дисконтування, </w:t>
            </w:r>
            <w:r w:rsidR="009C5822" w:rsidRPr="00083CF1">
              <w:rPr>
                <w:color w:val="000000" w:themeColor="text1"/>
                <w:lang w:eastAsia="en-US"/>
              </w:rPr>
              <w:t xml:space="preserve">врегульованих заявлених вимог, за якими прийнято </w:t>
            </w:r>
            <w:r w:rsidR="009C5822" w:rsidRPr="00083CF1">
              <w:rPr>
                <w:lang w:eastAsia="en-US"/>
              </w:rPr>
              <w:t>рішення про визнання випадку страховим та розмір страхової виплати / страховик зобов’язаний здійснити повернення суми страхової премії або її частини, але оплата ще не здійснена в повному обсязі,</w:t>
            </w:r>
            <w:r w:rsidR="009C5822" w:rsidRPr="00083CF1" w:rsidDel="00180FFF">
              <w:rPr>
                <w:lang w:eastAsia="en-US"/>
              </w:rPr>
              <w:t xml:space="preserve"> </w:t>
            </w:r>
            <w:r w:rsidR="009C5822" w:rsidRPr="00083CF1">
              <w:rPr>
                <w:b/>
                <w:strike/>
                <w:lang w:eastAsia="en-US"/>
              </w:rPr>
              <w:t>та маржі ризику за таким резервом,</w:t>
            </w:r>
            <w:r w:rsidR="009C5822" w:rsidRPr="00083CF1">
              <w:rPr>
                <w:lang w:eastAsia="en-US"/>
              </w:rPr>
              <w:t xml:space="preserve"> але з урахуванням </w:t>
            </w:r>
            <w:r w:rsidR="009C5822" w:rsidRPr="00083CF1">
              <w:rPr>
                <w:b/>
                <w:strike/>
                <w:lang w:eastAsia="en-US"/>
              </w:rPr>
              <w:t>резерву</w:t>
            </w:r>
            <w:r w:rsidR="009C5822" w:rsidRPr="00083CF1">
              <w:rPr>
                <w:lang w:eastAsia="en-US"/>
              </w:rPr>
              <w:t xml:space="preserve"> витрат на врегулювання збитків у та</w:t>
            </w:r>
            <w:r w:rsidR="009C5822" w:rsidRPr="00083CF1">
              <w:rPr>
                <w:lang w:eastAsia="en-US"/>
              </w:rPr>
              <w:lastRenderedPageBreak/>
              <w:t xml:space="preserve">кому резерві) </w:t>
            </w:r>
            <w:r w:rsidR="009C5822" w:rsidRPr="00083CF1">
              <w:rPr>
                <w:rFonts w:eastAsia="Calibri"/>
                <w:lang w:eastAsia="en-US"/>
              </w:rPr>
              <w:t xml:space="preserve">за </w:t>
            </w:r>
            <w:r w:rsidR="009C5822" w:rsidRPr="00083CF1">
              <w:rPr>
                <w:lang w:eastAsia="en-US"/>
              </w:rPr>
              <w:t xml:space="preserve">лініями бізнесу страхування відповідальності та лініями бізнесу іншими, ніж лінії бізнесу страхування відповідальності, відповідно на початок розрахункового періоду 2 за договорами прямого </w:t>
            </w:r>
            <w:r w:rsidR="009C5822" w:rsidRPr="00083CF1">
              <w:t>страхування та договорами вхідного перестрахування</w:t>
            </w:r>
            <w:r w:rsidR="009C5822" w:rsidRPr="00083CF1">
              <w:rPr>
                <w:lang w:eastAsia="en-US"/>
              </w:rPr>
              <w:t>;</w:t>
            </w:r>
          </w:p>
          <w:p w14:paraId="20E1AF0E" w14:textId="77777777"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ін</m:t>
                  </m:r>
                </m:sup>
              </m:sSubSup>
            </m:oMath>
            <w:r w:rsidR="009C5822" w:rsidRPr="00083CF1">
              <w:rPr>
                <w:lang w:eastAsia="en-US"/>
              </w:rPr>
              <w:t xml:space="preserve"> – розмір резерву збитків, які виникли, але не заявлені (без урахування </w:t>
            </w:r>
            <w:r w:rsidR="009C5822" w:rsidRPr="00083CF1">
              <w:rPr>
                <w:b/>
                <w:strike/>
                <w:color w:val="000000" w:themeColor="text1"/>
              </w:rPr>
              <w:t>очікуваних регресів</w:t>
            </w:r>
            <w:r w:rsidR="009C5822" w:rsidRPr="00083CF1">
              <w:rPr>
                <w:color w:val="000000" w:themeColor="text1"/>
              </w:rPr>
              <w:t xml:space="preserve">, </w:t>
            </w:r>
            <w:r w:rsidR="009C5822" w:rsidRPr="00083CF1">
              <w:rPr>
                <w:lang w:eastAsia="en-US"/>
              </w:rPr>
              <w:t>ефекту дисконтування</w:t>
            </w:r>
            <w:r w:rsidR="009C5822" w:rsidRPr="00083CF1" w:rsidDel="00180FFF">
              <w:rPr>
                <w:lang w:eastAsia="en-US"/>
              </w:rPr>
              <w:t xml:space="preserve"> </w:t>
            </w:r>
            <w:r w:rsidR="009C5822" w:rsidRPr="00083CF1">
              <w:rPr>
                <w:b/>
                <w:strike/>
                <w:lang w:eastAsia="en-US"/>
              </w:rPr>
              <w:t>та маржі ризику за таким резервом</w:t>
            </w:r>
            <w:r w:rsidR="009C5822" w:rsidRPr="00083CF1">
              <w:rPr>
                <w:lang w:eastAsia="en-US"/>
              </w:rPr>
              <w:t xml:space="preserve">, але з урахуванням </w:t>
            </w:r>
            <w:r w:rsidR="009C5822" w:rsidRPr="00083CF1">
              <w:rPr>
                <w:b/>
                <w:strike/>
                <w:lang w:eastAsia="en-US"/>
              </w:rPr>
              <w:t>резерву</w:t>
            </w:r>
            <w:r w:rsidR="009C5822" w:rsidRPr="00083CF1">
              <w:rPr>
                <w:lang w:eastAsia="en-US"/>
              </w:rPr>
              <w:t xml:space="preserve"> витрат на врегулювання збитків у такому резерві) </w:t>
            </w:r>
            <w:r w:rsidR="009C5822" w:rsidRPr="00083CF1">
              <w:rPr>
                <w:rFonts w:eastAsia="Calibri"/>
                <w:lang w:eastAsia="en-US"/>
              </w:rPr>
              <w:t xml:space="preserve">за </w:t>
            </w:r>
            <w:r w:rsidR="009C5822" w:rsidRPr="00083CF1">
              <w:rPr>
                <w:lang w:eastAsia="en-US"/>
              </w:rPr>
              <w:t xml:space="preserve">лініями бізнесу страхування відповідальності та лініями бізнесу іншими, ніж лінії бізнесу страхування відповідальності, відповідно на кінець розрахункового періоду 2 за договорами прямого </w:t>
            </w:r>
            <w:r w:rsidR="009C5822" w:rsidRPr="00083CF1">
              <w:t>страхування та договорами вхідного перестрахування</w:t>
            </w:r>
            <w:r w:rsidR="009C5822" w:rsidRPr="00083CF1">
              <w:rPr>
                <w:lang w:eastAsia="en-US"/>
              </w:rPr>
              <w:t>;</w:t>
            </w:r>
          </w:p>
          <w:p w14:paraId="0D056615" w14:textId="77777777"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ін</m:t>
                  </m:r>
                </m:sup>
              </m:sSubSup>
            </m:oMath>
            <w:r w:rsidR="009C5822" w:rsidRPr="00083CF1">
              <w:rPr>
                <w:lang w:eastAsia="en-US"/>
              </w:rPr>
              <w:t xml:space="preserve"> – розмір резерву збитків, які виникли, але не заявлені (без урахування </w:t>
            </w:r>
            <w:r w:rsidR="009C5822" w:rsidRPr="00083CF1">
              <w:rPr>
                <w:b/>
                <w:strike/>
                <w:color w:val="000000" w:themeColor="text1"/>
              </w:rPr>
              <w:t>очікуваних регресів</w:t>
            </w:r>
            <w:r w:rsidR="009C5822" w:rsidRPr="00083CF1">
              <w:rPr>
                <w:color w:val="000000" w:themeColor="text1"/>
              </w:rPr>
              <w:t xml:space="preserve">, </w:t>
            </w:r>
            <w:r w:rsidR="009C5822" w:rsidRPr="00083CF1">
              <w:rPr>
                <w:lang w:eastAsia="en-US"/>
              </w:rPr>
              <w:t>ефекту дисконтування</w:t>
            </w:r>
            <w:r w:rsidR="009C5822" w:rsidRPr="00083CF1" w:rsidDel="00180FFF">
              <w:rPr>
                <w:lang w:eastAsia="en-US"/>
              </w:rPr>
              <w:t xml:space="preserve"> </w:t>
            </w:r>
            <w:r w:rsidR="009C5822" w:rsidRPr="00083CF1">
              <w:rPr>
                <w:b/>
                <w:strike/>
                <w:lang w:eastAsia="en-US"/>
              </w:rPr>
              <w:t>та маржі ризику за таким резервом</w:t>
            </w:r>
            <w:r w:rsidR="009C5822" w:rsidRPr="00083CF1">
              <w:rPr>
                <w:lang w:eastAsia="en-US"/>
              </w:rPr>
              <w:t xml:space="preserve">, але з урахуванням </w:t>
            </w:r>
            <w:r w:rsidR="009C5822" w:rsidRPr="00083CF1">
              <w:rPr>
                <w:b/>
                <w:strike/>
                <w:lang w:eastAsia="en-US"/>
              </w:rPr>
              <w:t>резерву</w:t>
            </w:r>
            <w:r w:rsidR="009C5822" w:rsidRPr="00083CF1">
              <w:rPr>
                <w:lang w:eastAsia="en-US"/>
              </w:rPr>
              <w:t xml:space="preserve"> витрат на врегулювання збитків у такому резерві) </w:t>
            </w:r>
            <w:r w:rsidR="009C5822" w:rsidRPr="00083CF1">
              <w:rPr>
                <w:rFonts w:eastAsia="Calibri"/>
                <w:lang w:eastAsia="en-US"/>
              </w:rPr>
              <w:t xml:space="preserve">за </w:t>
            </w:r>
            <w:r w:rsidR="009C5822" w:rsidRPr="00083CF1">
              <w:rPr>
                <w:lang w:eastAsia="en-US"/>
              </w:rPr>
              <w:t xml:space="preserve">лініями бізнесу страхування відповідальності та лініями бізнесу іншими, ніж лінії бізнесу страхування відповідальності, відповідно на початок розрахункового періоду 2 за договорами прямого </w:t>
            </w:r>
            <w:r w:rsidR="009C5822" w:rsidRPr="00083CF1">
              <w:t>страхування та договорами вхідного перестрахування</w:t>
            </w:r>
            <w:r w:rsidR="009C5822" w:rsidRPr="00083CF1">
              <w:rPr>
                <w:lang w:eastAsia="en-US"/>
              </w:rPr>
              <w:t>;</w:t>
            </w:r>
          </w:p>
          <w:p w14:paraId="30A19846" w14:textId="77777777" w:rsidR="009C5822" w:rsidRPr="00083CF1" w:rsidRDefault="009C5822" w:rsidP="0058011F">
            <w:r w:rsidRPr="00083CF1">
              <w:lastRenderedPageBreak/>
              <w:t>…</w:t>
            </w:r>
          </w:p>
          <w:p w14:paraId="425B8441" w14:textId="3A074A3B" w:rsidR="009C5822" w:rsidRPr="00083CF1" w:rsidRDefault="009C5822" w:rsidP="0058011F">
            <w:pPr>
              <w:widowControl w:val="0"/>
              <w:tabs>
                <w:tab w:val="left" w:pos="993"/>
              </w:tabs>
              <w:contextualSpacing/>
              <w:rPr>
                <w:rFonts w:eastAsia="Calibri"/>
                <w:lang w:eastAsia="en-US"/>
              </w:rPr>
            </w:pPr>
            <w:r w:rsidRPr="00083CF1">
              <w:rPr>
                <w:lang w:eastAsia="en-US"/>
              </w:rPr>
              <w:t xml:space="preserve">3) </w:t>
            </w:r>
            <m:oMath>
              <m:sSub>
                <m:sSubPr>
                  <m:ctrlPr>
                    <w:rPr>
                      <w:rFonts w:ascii="Cambria Math" w:eastAsia="Calibri" w:hAnsi="Cambria Math"/>
                      <w:lang w:eastAsia="en-US"/>
                    </w:rPr>
                  </m:ctrlPr>
                </m:sSubPr>
                <m:e>
                  <m:r>
                    <w:rPr>
                      <w:rFonts w:ascii="Cambria Math" w:eastAsia="Calibri" w:hAnsi="Cambria Math"/>
                      <w:lang w:eastAsia="en-US"/>
                    </w:rPr>
                    <m:t>КП</m:t>
                  </m:r>
                </m:e>
                <m:sub>
                  <m:r>
                    <w:rPr>
                      <w:rFonts w:ascii="Cambria Math" w:eastAsia="Calibri" w:hAnsi="Cambria Math"/>
                      <w:lang w:eastAsia="en-US"/>
                    </w:rPr>
                    <m:t>п</m:t>
                  </m:r>
                </m:sub>
              </m:sSub>
            </m:oMath>
            <w:r w:rsidRPr="00083CF1">
              <w:rPr>
                <w:lang w:eastAsia="en-US"/>
              </w:rPr>
              <w:t xml:space="preserve"> – капітал платоспроможності, який визначається </w:t>
            </w:r>
            <w:r w:rsidRPr="00083CF1">
              <w:rPr>
                <w:rFonts w:eastAsia="Calibri"/>
                <w:lang w:eastAsia="en-US"/>
              </w:rPr>
              <w:t xml:space="preserve">станом на 31 грудня попереднього календарного року на підставі додатка 3 до Положення </w:t>
            </w:r>
            <w:r w:rsidRPr="00083CF1">
              <w:rPr>
                <w:rFonts w:eastAsia="SimSun"/>
              </w:rPr>
              <w:t>про встановлення вимог щодо забезпечення платоспроможності та інвестиційної діяльності страховика</w:t>
            </w:r>
            <w:r w:rsidRPr="00083CF1">
              <w:rPr>
                <w:rFonts w:eastAsia="Calibri"/>
                <w:lang w:eastAsia="en-US"/>
              </w:rPr>
              <w:t xml:space="preserve">, помножений на коефіцієнт зміни резервів збитків </w:t>
            </w:r>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рез</m:t>
                  </m:r>
                </m:sub>
              </m:sSub>
            </m:oMath>
            <w:r w:rsidRPr="00083CF1">
              <w:rPr>
                <w:rFonts w:eastAsia="Calibri"/>
                <w:lang w:eastAsia="en-US"/>
              </w:rPr>
              <w:t>, який рівний меншій з таких величин:</w:t>
            </w:r>
          </w:p>
          <w:p w14:paraId="25753D93" w14:textId="77777777" w:rsidR="009C5822" w:rsidRPr="00083CF1" w:rsidRDefault="009C5822" w:rsidP="0058011F">
            <w:r w:rsidRPr="00083CF1">
              <w:t>…</w:t>
            </w:r>
          </w:p>
          <w:p w14:paraId="18C59E4B" w14:textId="77777777" w:rsidR="009C5822" w:rsidRPr="00083CF1" w:rsidRDefault="009C5822" w:rsidP="0058011F">
            <w:pPr>
              <w:widowControl w:val="0"/>
              <w:rPr>
                <w:lang w:eastAsia="en-US"/>
              </w:rPr>
            </w:pPr>
            <w:r w:rsidRPr="00083CF1">
              <w:rPr>
                <w:lang w:eastAsia="en-US"/>
              </w:rPr>
              <w:t xml:space="preserve">де </w:t>
            </w:r>
            <m:oMath>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п.р.</m:t>
                  </m:r>
                </m:sub>
              </m:sSub>
            </m:oMath>
            <w:r w:rsidRPr="00083CF1">
              <w:rPr>
                <w:lang w:eastAsia="en-US"/>
              </w:rPr>
              <w:t xml:space="preserve"> – розмір резерву заявлених, але не виплачених збитків (без урахування </w:t>
            </w:r>
            <w:r w:rsidRPr="00083CF1">
              <w:rPr>
                <w:b/>
                <w:strike/>
                <w:color w:val="000000" w:themeColor="text1"/>
              </w:rPr>
              <w:t>очікуваних регресів</w:t>
            </w:r>
            <w:r w:rsidRPr="00083CF1">
              <w:rPr>
                <w:color w:val="000000" w:themeColor="text1"/>
              </w:rPr>
              <w:t xml:space="preserve">, </w:t>
            </w:r>
            <w:r w:rsidRPr="00083CF1">
              <w:rPr>
                <w:lang w:eastAsia="en-US"/>
              </w:rPr>
              <w:t xml:space="preserve">ефекту дисконтування, </w:t>
            </w:r>
            <w:r w:rsidRPr="00083CF1">
              <w:rPr>
                <w:color w:val="000000" w:themeColor="text1"/>
                <w:lang w:eastAsia="en-US"/>
              </w:rPr>
              <w:t>врегульованих заявлених вимог, за якими прийнято рішення про визнання випадку страховим та розмір страхової виплати / страховик зобов’язаний здійснити повернення суми страхової премії або її частини, але оплата ще не здійснена в повному обсязі,</w:t>
            </w:r>
            <w:r w:rsidRPr="00083CF1" w:rsidDel="00180FFF">
              <w:rPr>
                <w:lang w:eastAsia="en-US"/>
              </w:rPr>
              <w:t xml:space="preserve"> </w:t>
            </w:r>
            <w:r w:rsidRPr="00083CF1">
              <w:rPr>
                <w:b/>
                <w:strike/>
                <w:lang w:eastAsia="en-US"/>
              </w:rPr>
              <w:t>та маржі ризику за таким резервом,</w:t>
            </w:r>
            <w:r w:rsidRPr="00083CF1">
              <w:rPr>
                <w:lang w:eastAsia="en-US"/>
              </w:rPr>
              <w:t xml:space="preserve"> але з урахуванням </w:t>
            </w:r>
            <w:r w:rsidRPr="00083CF1">
              <w:rPr>
                <w:b/>
                <w:strike/>
                <w:lang w:eastAsia="en-US"/>
              </w:rPr>
              <w:t>резерву</w:t>
            </w:r>
            <w:r w:rsidRPr="00083CF1">
              <w:rPr>
                <w:lang w:eastAsia="en-US"/>
              </w:rPr>
              <w:t xml:space="preserve"> витрат на врегулювання збитків у такому резерві) на кінець розрахункового періоду 1 та 31 грудня </w:t>
            </w:r>
            <w:r w:rsidRPr="00083CF1">
              <w:rPr>
                <w:rFonts w:eastAsia="Calibri"/>
                <w:lang w:eastAsia="en-US"/>
              </w:rPr>
              <w:t xml:space="preserve">попереднього календарного року </w:t>
            </w:r>
            <w:r w:rsidRPr="00083CF1">
              <w:rPr>
                <w:lang w:eastAsia="en-US"/>
              </w:rPr>
              <w:t xml:space="preserve">відповідно за договорами прямого </w:t>
            </w:r>
            <w:r w:rsidRPr="00083CF1">
              <w:t>страхування та договорами вхідного перестрахування</w:t>
            </w:r>
            <w:r w:rsidRPr="00083CF1">
              <w:rPr>
                <w:lang w:eastAsia="en-US"/>
              </w:rPr>
              <w:t>;</w:t>
            </w:r>
          </w:p>
          <w:p w14:paraId="788A609B" w14:textId="77777777" w:rsidR="009C5822" w:rsidRPr="00083CF1" w:rsidRDefault="00EE66C1" w:rsidP="0058011F">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п.р.</m:t>
                  </m:r>
                </m:sub>
              </m:sSub>
            </m:oMath>
            <w:r w:rsidR="009C5822" w:rsidRPr="00083CF1">
              <w:rPr>
                <w:lang w:eastAsia="en-US"/>
              </w:rPr>
              <w:t xml:space="preserve"> – розмір резерву збитків, які вини</w:t>
            </w:r>
            <w:r w:rsidR="009C5822" w:rsidRPr="00083CF1">
              <w:rPr>
                <w:lang w:eastAsia="en-US"/>
              </w:rPr>
              <w:lastRenderedPageBreak/>
              <w:t xml:space="preserve">кли, але не заявлені (без урахування </w:t>
            </w:r>
            <w:r w:rsidR="009C5822" w:rsidRPr="00083CF1">
              <w:rPr>
                <w:b/>
                <w:strike/>
                <w:color w:val="000000" w:themeColor="text1"/>
              </w:rPr>
              <w:t>очікуваних регресів</w:t>
            </w:r>
            <w:r w:rsidR="009C5822" w:rsidRPr="00083CF1">
              <w:rPr>
                <w:color w:val="000000" w:themeColor="text1"/>
              </w:rPr>
              <w:t xml:space="preserve">, </w:t>
            </w:r>
            <w:r w:rsidR="009C5822" w:rsidRPr="00083CF1">
              <w:rPr>
                <w:lang w:eastAsia="en-US"/>
              </w:rPr>
              <w:t>ефекту дисконтування</w:t>
            </w:r>
            <w:r w:rsidR="009C5822" w:rsidRPr="00083CF1" w:rsidDel="00180FFF">
              <w:rPr>
                <w:lang w:eastAsia="en-US"/>
              </w:rPr>
              <w:t xml:space="preserve"> </w:t>
            </w:r>
            <w:r w:rsidR="009C5822" w:rsidRPr="00083CF1">
              <w:rPr>
                <w:b/>
                <w:strike/>
                <w:lang w:eastAsia="en-US"/>
              </w:rPr>
              <w:t>та маржі ризику за таким резервом</w:t>
            </w:r>
            <w:r w:rsidR="009C5822" w:rsidRPr="00083CF1">
              <w:rPr>
                <w:lang w:eastAsia="en-US"/>
              </w:rPr>
              <w:t xml:space="preserve">, але з урахуванням </w:t>
            </w:r>
            <w:r w:rsidR="009C5822" w:rsidRPr="00083CF1">
              <w:rPr>
                <w:b/>
                <w:strike/>
                <w:lang w:eastAsia="en-US"/>
              </w:rPr>
              <w:t>резерву</w:t>
            </w:r>
            <w:r w:rsidR="009C5822" w:rsidRPr="00083CF1">
              <w:rPr>
                <w:lang w:eastAsia="en-US"/>
              </w:rPr>
              <w:t xml:space="preserve"> витрат на врегулювання збитків у такому резерві), на кінець розрахункового періоду 1 та 31 грудня </w:t>
            </w:r>
            <w:r w:rsidR="009C5822" w:rsidRPr="00083CF1">
              <w:rPr>
                <w:rFonts w:eastAsia="Calibri"/>
                <w:lang w:eastAsia="en-US"/>
              </w:rPr>
              <w:t>попереднього календарного року</w:t>
            </w:r>
            <w:r w:rsidR="009C5822" w:rsidRPr="00083CF1">
              <w:rPr>
                <w:lang w:eastAsia="en-US"/>
              </w:rPr>
              <w:t xml:space="preserve"> відповідно за договорами прямого </w:t>
            </w:r>
            <w:r w:rsidR="009C5822" w:rsidRPr="00083CF1">
              <w:t>страхування та договорами вхідного перестрахування</w:t>
            </w:r>
            <w:r w:rsidR="009C5822" w:rsidRPr="00083CF1">
              <w:rPr>
                <w:lang w:eastAsia="en-US"/>
              </w:rPr>
              <w:t>;</w:t>
            </w:r>
          </w:p>
          <w:p w14:paraId="255C827F" w14:textId="77777777"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п.р.</m:t>
                  </m:r>
                </m:sub>
                <m:sup>
                  <m:r>
                    <w:rPr>
                      <w:rFonts w:ascii="Cambria Math" w:hAnsi="Cambria Math"/>
                      <w:lang w:eastAsia="en-US"/>
                    </w:rPr>
                    <m:t>re</m:t>
                  </m:r>
                </m:sup>
              </m:sSubSup>
            </m:oMath>
            <w:r w:rsidR="009C5822" w:rsidRPr="00083CF1">
              <w:rPr>
                <w:lang w:eastAsia="en-US"/>
              </w:rPr>
              <w:t xml:space="preserve"> – резерв заявлених, але не виплачених збитків (без урахування </w:t>
            </w:r>
            <w:r w:rsidR="009C5822" w:rsidRPr="00083CF1">
              <w:rPr>
                <w:b/>
                <w:strike/>
                <w:color w:val="000000" w:themeColor="text1"/>
              </w:rPr>
              <w:t>очікуваних регресів</w:t>
            </w:r>
            <w:r w:rsidR="009C5822" w:rsidRPr="00083CF1">
              <w:rPr>
                <w:color w:val="000000" w:themeColor="text1"/>
              </w:rPr>
              <w:t xml:space="preserve">, </w:t>
            </w:r>
            <w:r w:rsidR="009C5822" w:rsidRPr="00083CF1">
              <w:rPr>
                <w:lang w:eastAsia="en-US"/>
              </w:rPr>
              <w:t xml:space="preserve">ефекту дисконтування, </w:t>
            </w:r>
            <w:r w:rsidR="009C5822" w:rsidRPr="00083CF1">
              <w:rPr>
                <w:color w:val="000000" w:themeColor="text1"/>
                <w:lang w:eastAsia="en-US"/>
              </w:rPr>
              <w:t>врегульованих заявлених вимог, за якими прийнято рішення про визнання випадку страховим та розмір страхової виплати / страховик зобов’язаний здійснити повернення суми страхової премії або її частини, але оплата ще не здійснена в повному обсязі,</w:t>
            </w:r>
            <w:r w:rsidR="009C5822" w:rsidRPr="00083CF1" w:rsidDel="00180FFF">
              <w:rPr>
                <w:color w:val="000000" w:themeColor="text1"/>
                <w:lang w:eastAsia="en-US"/>
              </w:rPr>
              <w:t xml:space="preserve"> </w:t>
            </w:r>
            <w:r w:rsidR="009C5822" w:rsidRPr="00083CF1">
              <w:rPr>
                <w:b/>
                <w:strike/>
                <w:color w:val="000000" w:themeColor="text1"/>
                <w:lang w:eastAsia="en-US"/>
              </w:rPr>
              <w:t>та маржі ризику за таким резервом,</w:t>
            </w:r>
            <w:r w:rsidR="009C5822" w:rsidRPr="00083CF1">
              <w:rPr>
                <w:color w:val="000000" w:themeColor="text1"/>
                <w:lang w:eastAsia="en-US"/>
              </w:rPr>
              <w:t xml:space="preserve"> але з урахуванням </w:t>
            </w:r>
            <w:r w:rsidR="009C5822" w:rsidRPr="00083CF1">
              <w:rPr>
                <w:b/>
                <w:strike/>
                <w:color w:val="000000" w:themeColor="text1"/>
                <w:lang w:eastAsia="en-US"/>
              </w:rPr>
              <w:t>резерву</w:t>
            </w:r>
            <w:r w:rsidR="009C5822" w:rsidRPr="00083CF1">
              <w:rPr>
                <w:color w:val="000000" w:themeColor="text1"/>
                <w:lang w:eastAsia="en-US"/>
              </w:rPr>
              <w:t xml:space="preserve"> витрат</w:t>
            </w:r>
            <w:r w:rsidR="009C5822" w:rsidRPr="00083CF1">
              <w:rPr>
                <w:lang w:eastAsia="en-US"/>
              </w:rPr>
              <w:t xml:space="preserve"> на врегулювання збитків у такому резерві), на кінець розрахункового періоду 1 та 31 грудня </w:t>
            </w:r>
            <w:r w:rsidR="009C5822" w:rsidRPr="00083CF1">
              <w:rPr>
                <w:rFonts w:eastAsia="Calibri"/>
                <w:lang w:eastAsia="en-US"/>
              </w:rPr>
              <w:t>попереднього календарного року</w:t>
            </w:r>
            <w:r w:rsidR="009C5822" w:rsidRPr="00083CF1">
              <w:rPr>
                <w:lang w:eastAsia="en-US"/>
              </w:rPr>
              <w:t xml:space="preserve"> відповідно за договорами </w:t>
            </w:r>
            <w:r w:rsidR="009C5822" w:rsidRPr="00083CF1">
              <w:t>вихідного перестрахування</w:t>
            </w:r>
            <w:r w:rsidR="009C5822" w:rsidRPr="00083CF1">
              <w:rPr>
                <w:lang w:eastAsia="en-US"/>
              </w:rPr>
              <w:t>;</w:t>
            </w:r>
          </w:p>
          <w:p w14:paraId="06D9F66C" w14:textId="03DF3763" w:rsidR="009C5822" w:rsidRPr="00083CF1" w:rsidRDefault="00EE66C1" w:rsidP="0058011F">
            <w:pPr>
              <w:widowControl w:val="0"/>
              <w:ind w:firstLine="709"/>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п.р.</m:t>
                  </m:r>
                </m:sub>
                <m:sup>
                  <m:r>
                    <w:rPr>
                      <w:rFonts w:ascii="Cambria Math" w:hAnsi="Cambria Math"/>
                      <w:lang w:eastAsia="en-US"/>
                    </w:rPr>
                    <m:t>re</m:t>
                  </m:r>
                </m:sup>
              </m:sSubSup>
            </m:oMath>
            <w:r w:rsidR="009C5822" w:rsidRPr="00083CF1">
              <w:rPr>
                <w:lang w:eastAsia="en-US"/>
              </w:rPr>
              <w:t xml:space="preserve"> – резерв збитків, які виникли, але не заявлені (без урахування </w:t>
            </w:r>
            <w:r w:rsidR="009C5822" w:rsidRPr="00083CF1">
              <w:rPr>
                <w:b/>
                <w:strike/>
                <w:color w:val="000000" w:themeColor="text1"/>
              </w:rPr>
              <w:t>очікуваних регресів</w:t>
            </w:r>
            <w:r w:rsidR="009C5822" w:rsidRPr="00083CF1">
              <w:rPr>
                <w:color w:val="000000" w:themeColor="text1"/>
              </w:rPr>
              <w:t xml:space="preserve">, </w:t>
            </w:r>
            <w:r w:rsidR="009C5822" w:rsidRPr="00083CF1">
              <w:rPr>
                <w:lang w:eastAsia="en-US"/>
              </w:rPr>
              <w:t>ефекту дисконтування</w:t>
            </w:r>
            <w:r w:rsidR="009C5822" w:rsidRPr="00083CF1" w:rsidDel="00180FFF">
              <w:rPr>
                <w:lang w:eastAsia="en-US"/>
              </w:rPr>
              <w:t xml:space="preserve"> </w:t>
            </w:r>
            <w:r w:rsidR="009C5822" w:rsidRPr="00083CF1">
              <w:rPr>
                <w:b/>
                <w:strike/>
                <w:lang w:eastAsia="en-US"/>
              </w:rPr>
              <w:t>та маржі ризику за таким резервом</w:t>
            </w:r>
            <w:r w:rsidR="009C5822" w:rsidRPr="00083CF1">
              <w:rPr>
                <w:lang w:eastAsia="en-US"/>
              </w:rPr>
              <w:t xml:space="preserve">, але з урахуванням </w:t>
            </w:r>
            <w:r w:rsidR="009C5822" w:rsidRPr="00083CF1">
              <w:rPr>
                <w:b/>
                <w:strike/>
                <w:lang w:eastAsia="en-US"/>
              </w:rPr>
              <w:t>резерву</w:t>
            </w:r>
            <w:r w:rsidR="009C5822" w:rsidRPr="00083CF1">
              <w:rPr>
                <w:lang w:eastAsia="en-US"/>
              </w:rPr>
              <w:t xml:space="preserve"> витрат на врегулювання збитків у такому резерві), на кінець розрахункового періоду 1 та 31 грудня </w:t>
            </w:r>
            <w:r w:rsidR="009C5822" w:rsidRPr="00083CF1">
              <w:rPr>
                <w:rFonts w:eastAsia="Calibri"/>
                <w:lang w:eastAsia="en-US"/>
              </w:rPr>
              <w:t xml:space="preserve">попереднього календарного </w:t>
            </w:r>
            <w:r w:rsidR="009C5822" w:rsidRPr="00083CF1">
              <w:rPr>
                <w:rFonts w:eastAsia="Calibri"/>
                <w:lang w:eastAsia="en-US"/>
              </w:rPr>
              <w:lastRenderedPageBreak/>
              <w:t>року</w:t>
            </w:r>
            <w:r w:rsidR="009C5822" w:rsidRPr="00083CF1">
              <w:rPr>
                <w:lang w:eastAsia="en-US"/>
              </w:rPr>
              <w:t xml:space="preserve"> відповідно за договорами </w:t>
            </w:r>
            <w:r w:rsidR="009C5822" w:rsidRPr="00083CF1">
              <w:t>вихідного перестрахування</w:t>
            </w:r>
            <w:r w:rsidR="009C5822" w:rsidRPr="00083CF1">
              <w:rPr>
                <w:lang w:eastAsia="en-US"/>
              </w:rPr>
              <w:t>.</w:t>
            </w:r>
          </w:p>
        </w:tc>
        <w:tc>
          <w:tcPr>
            <w:tcW w:w="6875" w:type="dxa"/>
            <w:shd w:val="clear" w:color="auto" w:fill="auto"/>
          </w:tcPr>
          <w:p w14:paraId="4AA489C1" w14:textId="77777777" w:rsidR="009C5822" w:rsidRPr="00083CF1" w:rsidRDefault="009C5822" w:rsidP="0058011F">
            <w:pPr>
              <w:widowControl w:val="0"/>
              <w:tabs>
                <w:tab w:val="left" w:pos="993"/>
              </w:tabs>
              <w:spacing w:before="40"/>
              <w:outlineLvl w:val="1"/>
              <w:rPr>
                <w:rFonts w:eastAsiaTheme="majorEastAsia"/>
                <w:lang w:eastAsia="en-US"/>
              </w:rPr>
            </w:pPr>
            <w:r w:rsidRPr="00083CF1">
              <w:rPr>
                <w:rFonts w:eastAsiaTheme="majorEastAsia"/>
                <w:lang w:eastAsia="en-US"/>
              </w:rPr>
              <w:lastRenderedPageBreak/>
              <w:t>1. Капітал платоспроможності</w:t>
            </w:r>
            <w:r w:rsidRPr="00083CF1" w:rsidDel="00B05C4F">
              <w:rPr>
                <w:rFonts w:eastAsiaTheme="majorEastAsia"/>
                <w:lang w:eastAsia="en-US"/>
              </w:rPr>
              <w:t xml:space="preserve"> </w:t>
            </w:r>
            <w:r w:rsidRPr="00083CF1">
              <w:rPr>
                <w:rFonts w:eastAsiaTheme="majorEastAsia"/>
                <w:lang w:eastAsia="en-US"/>
              </w:rPr>
              <w:t>(</w:t>
            </w:r>
            <m:oMath>
              <m:sSup>
                <m:sSupPr>
                  <m:ctrlPr>
                    <w:rPr>
                      <w:rFonts w:ascii="Cambria Math" w:eastAsiaTheme="majorEastAsia" w:hAnsi="Cambria Math"/>
                      <w:lang w:eastAsia="en-US"/>
                    </w:rPr>
                  </m:ctrlPr>
                </m:sSupPr>
                <m:e>
                  <m:r>
                    <m:rPr>
                      <m:sty m:val="p"/>
                    </m:rPr>
                    <w:rPr>
                      <w:rFonts w:ascii="Cambria Math" w:eastAsiaTheme="majorEastAsia" w:hAnsi="Cambria Math"/>
                      <w:lang w:eastAsia="en-US"/>
                    </w:rPr>
                    <m:t>КП</m:t>
                  </m:r>
                </m:e>
                <m:sup>
                  <m:r>
                    <w:rPr>
                      <w:rFonts w:ascii="Cambria Math" w:eastAsiaTheme="majorEastAsia" w:hAnsi="Cambria Math"/>
                      <w:lang w:eastAsia="en-US"/>
                    </w:rPr>
                    <m:t>non-life</m:t>
                  </m:r>
                </m:sup>
              </m:sSup>
            </m:oMath>
            <w:r w:rsidRPr="00083CF1">
              <w:rPr>
                <w:rFonts w:eastAsiaTheme="majorEastAsia"/>
                <w:lang w:eastAsia="en-US"/>
              </w:rPr>
              <w:t>) визначається як більша з таких величин:</w:t>
            </w:r>
          </w:p>
          <w:p w14:paraId="25458D34" w14:textId="77777777" w:rsidR="009C5822" w:rsidRPr="00083CF1" w:rsidRDefault="009C5822" w:rsidP="0058011F">
            <w:pPr>
              <w:widowControl w:val="0"/>
              <w:tabs>
                <w:tab w:val="left" w:pos="1134"/>
              </w:tabs>
              <w:ind w:left="35"/>
              <w:contextualSpacing/>
              <w:rPr>
                <w:lang w:eastAsia="en-US"/>
              </w:rPr>
            </w:pPr>
            <w:r w:rsidRPr="00083CF1">
              <w:rPr>
                <w:rFonts w:eastAsiaTheme="majorEastAsia"/>
                <w:lang w:eastAsia="en-US"/>
              </w:rPr>
              <w:t xml:space="preserve">1) </w:t>
            </w:r>
            <m:oMath>
              <m:sSup>
                <m:sSupPr>
                  <m:ctrlPr>
                    <w:rPr>
                      <w:rFonts w:ascii="Cambria Math" w:eastAsia="Calibri" w:hAnsi="Cambria Math"/>
                      <w:lang w:eastAsia="en-US"/>
                    </w:rPr>
                  </m:ctrlPr>
                </m:sSupPr>
                <m:e>
                  <m:r>
                    <m:rPr>
                      <m:sty m:val="p"/>
                    </m:rPr>
                    <w:rPr>
                      <w:rFonts w:ascii="Cambria Math" w:eastAsia="Calibri" w:hAnsi="Cambria Math"/>
                      <w:lang w:eastAsia="en-US"/>
                    </w:rPr>
                    <m:t>КП</m:t>
                  </m:r>
                </m:e>
                <m:sup>
                  <m:r>
                    <w:rPr>
                      <w:rFonts w:ascii="Cambria Math" w:eastAsia="Calibri" w:hAnsi="Cambria Math"/>
                      <w:lang w:eastAsia="en-US"/>
                    </w:rPr>
                    <m:t>СП</m:t>
                  </m:r>
                </m:sup>
              </m:sSup>
            </m:oMath>
            <w:r w:rsidRPr="00083CF1">
              <w:rPr>
                <w:lang w:eastAsia="en-US"/>
              </w:rPr>
              <w:t xml:space="preserve"> – розрахункова величина, яка визначається </w:t>
            </w:r>
            <w:r w:rsidRPr="00083CF1">
              <w:rPr>
                <w:rFonts w:eastAsiaTheme="majorEastAsia"/>
                <w:lang w:eastAsia="en-US"/>
              </w:rPr>
              <w:t>за такою формулою</w:t>
            </w:r>
            <w:r w:rsidRPr="00083CF1">
              <w:rPr>
                <w:lang w:eastAsia="en-US"/>
              </w:rPr>
              <w:t>:</w:t>
            </w:r>
          </w:p>
          <w:p w14:paraId="7846C06E" w14:textId="77777777" w:rsidR="009C5822" w:rsidRPr="00083CF1" w:rsidRDefault="009C5822" w:rsidP="0058011F">
            <w:pPr>
              <w:pStyle w:val="3"/>
              <w:keepNext w:val="0"/>
              <w:keepLines w:val="0"/>
              <w:widowControl w:val="0"/>
              <w:tabs>
                <w:tab w:val="left" w:pos="885"/>
              </w:tabs>
              <w:outlineLvl w:val="2"/>
              <w:rPr>
                <w:rFonts w:ascii="Times New Roman" w:hAnsi="Times New Roman" w:cs="Times New Roman"/>
                <w:color w:val="auto"/>
                <w:sz w:val="28"/>
                <w:szCs w:val="28"/>
              </w:rPr>
            </w:pPr>
            <w:r w:rsidRPr="00083CF1">
              <w:rPr>
                <w:rFonts w:ascii="Times New Roman" w:hAnsi="Times New Roman" w:cs="Times New Roman"/>
                <w:color w:val="auto"/>
                <w:sz w:val="28"/>
                <w:szCs w:val="28"/>
              </w:rPr>
              <w:t>…</w:t>
            </w:r>
          </w:p>
          <w:p w14:paraId="4D51332C" w14:textId="4890F2BD" w:rsidR="009C5822" w:rsidRPr="00083CF1" w:rsidRDefault="00EE66C1" w:rsidP="0058011F">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п</m:t>
                  </m:r>
                </m:sub>
              </m:sSub>
            </m:oMath>
            <w:r w:rsidR="009C5822" w:rsidRPr="00083CF1">
              <w:rPr>
                <w:lang w:eastAsia="en-US"/>
              </w:rPr>
              <w:t xml:space="preserve"> – розмір резерву заявлених, але не виплачених збитків (без урахування </w:t>
            </w:r>
            <w:proofErr w:type="spellStart"/>
            <w:r w:rsidR="009C5822" w:rsidRPr="00083CF1">
              <w:rPr>
                <w:b/>
                <w:color w:val="000000" w:themeColor="text1"/>
              </w:rPr>
              <w:t>регресних</w:t>
            </w:r>
            <w:proofErr w:type="spellEnd"/>
            <w:r w:rsidR="009C5822" w:rsidRPr="00083CF1">
              <w:rPr>
                <w:b/>
                <w:color w:val="000000" w:themeColor="text1"/>
              </w:rPr>
              <w:t xml:space="preserve"> вимог та </w:t>
            </w:r>
            <w:proofErr w:type="spellStart"/>
            <w:r w:rsidR="009C5822" w:rsidRPr="00083CF1">
              <w:rPr>
                <w:b/>
                <w:color w:val="000000" w:themeColor="text1"/>
              </w:rPr>
              <w:t>суброгацій</w:t>
            </w:r>
            <w:proofErr w:type="spellEnd"/>
            <w:r w:rsidR="009C5822" w:rsidRPr="00083CF1">
              <w:rPr>
                <w:b/>
                <w:color w:val="000000" w:themeColor="text1"/>
              </w:rPr>
              <w:t xml:space="preserve"> та доходів від очікуваної їх реалізації</w:t>
            </w:r>
            <w:r w:rsidR="009C5822" w:rsidRPr="00083CF1">
              <w:rPr>
                <w:color w:val="000000" w:themeColor="text1"/>
              </w:rPr>
              <w:t xml:space="preserve">, </w:t>
            </w:r>
            <w:r w:rsidR="009C5822" w:rsidRPr="00083CF1">
              <w:rPr>
                <w:lang w:eastAsia="en-US"/>
              </w:rPr>
              <w:t xml:space="preserve">ефекту дисконтування, </w:t>
            </w:r>
            <w:r w:rsidR="009C5822" w:rsidRPr="00083CF1">
              <w:rPr>
                <w:color w:val="000000" w:themeColor="text1"/>
                <w:lang w:eastAsia="en-US"/>
              </w:rPr>
              <w:t xml:space="preserve">врегульованих заявлених вимог, за якими прийнято рішення про </w:t>
            </w:r>
            <w:r w:rsidR="009C5822" w:rsidRPr="00083CF1">
              <w:rPr>
                <w:color w:val="0D0D0D" w:themeColor="text1" w:themeTint="F2"/>
              </w:rPr>
              <w:t>визнання випадку страховим та розмір страхової виплати / страховик зобов’язаний здійснити повернення суми страхової премії або її частини, але оплата ще не здійснена в повному обсязі, але з урахуванням витрат на врегулювання збитків у такому резерві) на кінець та початок розрахункового періоду 2 відповідно за дого</w:t>
            </w:r>
            <w:r w:rsidR="009C5822" w:rsidRPr="00083CF1">
              <w:rPr>
                <w:lang w:eastAsia="en-US"/>
              </w:rPr>
              <w:t xml:space="preserve">ворами прямого </w:t>
            </w:r>
            <w:r w:rsidR="009C5822" w:rsidRPr="00083CF1">
              <w:t>страхування та договорами вхідного перестрахування</w:t>
            </w:r>
            <w:r w:rsidR="009C5822" w:rsidRPr="00083CF1">
              <w:rPr>
                <w:lang w:eastAsia="en-US"/>
              </w:rPr>
              <w:t>;</w:t>
            </w:r>
          </w:p>
          <w:p w14:paraId="3F24F886" w14:textId="5EE2B547" w:rsidR="009C5822" w:rsidRPr="00083CF1" w:rsidRDefault="00EE66C1" w:rsidP="0058011F">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п</m:t>
                  </m:r>
                </m:sub>
              </m:sSub>
            </m:oMath>
            <w:r w:rsidR="009C5822" w:rsidRPr="00083CF1">
              <w:rPr>
                <w:lang w:eastAsia="en-US"/>
              </w:rPr>
              <w:t xml:space="preserve"> – розмір резерву збитків, які виникли, але не заявлені (без урахування </w:t>
            </w:r>
            <w:proofErr w:type="spellStart"/>
            <w:r w:rsidR="009C5822" w:rsidRPr="00083CF1">
              <w:rPr>
                <w:b/>
                <w:color w:val="000000" w:themeColor="text1"/>
              </w:rPr>
              <w:t>регресних</w:t>
            </w:r>
            <w:proofErr w:type="spellEnd"/>
            <w:r w:rsidR="009C5822" w:rsidRPr="00083CF1">
              <w:rPr>
                <w:b/>
                <w:color w:val="000000" w:themeColor="text1"/>
              </w:rPr>
              <w:t xml:space="preserve"> вимог та </w:t>
            </w:r>
            <w:proofErr w:type="spellStart"/>
            <w:r w:rsidR="009C5822" w:rsidRPr="00083CF1">
              <w:rPr>
                <w:b/>
                <w:color w:val="000000" w:themeColor="text1"/>
              </w:rPr>
              <w:t>суброгацій</w:t>
            </w:r>
            <w:proofErr w:type="spellEnd"/>
            <w:r w:rsidR="009C5822" w:rsidRPr="00083CF1">
              <w:rPr>
                <w:b/>
                <w:color w:val="000000" w:themeColor="text1"/>
              </w:rPr>
              <w:t xml:space="preserve"> та доходів від очікуваної їх реалізації</w:t>
            </w:r>
            <w:r w:rsidR="009C5822" w:rsidRPr="00083CF1">
              <w:rPr>
                <w:color w:val="000000" w:themeColor="text1"/>
              </w:rPr>
              <w:t xml:space="preserve">, </w:t>
            </w:r>
            <w:r w:rsidR="009C5822" w:rsidRPr="00083CF1">
              <w:rPr>
                <w:lang w:eastAsia="en-US"/>
              </w:rPr>
              <w:t xml:space="preserve">ефекту дисконтування, але з урахуванням витрат на врегулювання збитків у такому резерві), на кінець та початок розрахункового періоду 2 відповідно за договорами </w:t>
            </w:r>
            <w:r w:rsidR="009C5822" w:rsidRPr="00083CF1">
              <w:rPr>
                <w:lang w:eastAsia="en-US"/>
              </w:rPr>
              <w:lastRenderedPageBreak/>
              <w:t xml:space="preserve">прямого </w:t>
            </w:r>
            <w:r w:rsidR="009C5822" w:rsidRPr="00083CF1">
              <w:t>страхування та договорами вхідного перестрахування</w:t>
            </w:r>
            <w:r w:rsidR="009C5822" w:rsidRPr="00083CF1">
              <w:rPr>
                <w:lang w:eastAsia="en-US"/>
              </w:rPr>
              <w:t>;</w:t>
            </w:r>
          </w:p>
          <w:p w14:paraId="085F08D8" w14:textId="77777777" w:rsidR="009C5822" w:rsidRPr="00083CF1" w:rsidRDefault="009C5822" w:rsidP="0058011F">
            <w:pPr>
              <w:widowControl w:val="0"/>
              <w:ind w:firstLine="709"/>
              <w:rPr>
                <w:lang w:eastAsia="en-US"/>
              </w:rPr>
            </w:pPr>
            <w:r w:rsidRPr="00083CF1">
              <w:rPr>
                <w:lang w:eastAsia="en-US"/>
              </w:rPr>
              <w:t>…</w:t>
            </w:r>
          </w:p>
          <w:p w14:paraId="40E309FB" w14:textId="7C210017"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re</m:t>
                  </m:r>
                </m:sup>
              </m:sSubSup>
            </m:oMath>
            <w:r w:rsidR="009C5822" w:rsidRPr="00083CF1">
              <w:rPr>
                <w:lang w:eastAsia="en-US"/>
              </w:rPr>
              <w:t xml:space="preserve"> – резерв заявлених, але не виплачених збитків (без урахування </w:t>
            </w:r>
            <w:proofErr w:type="spellStart"/>
            <w:r w:rsidR="009C5822" w:rsidRPr="00083CF1">
              <w:rPr>
                <w:b/>
                <w:color w:val="000000" w:themeColor="text1"/>
              </w:rPr>
              <w:t>регресних</w:t>
            </w:r>
            <w:proofErr w:type="spellEnd"/>
            <w:r w:rsidR="009C5822" w:rsidRPr="00083CF1">
              <w:rPr>
                <w:b/>
                <w:color w:val="000000" w:themeColor="text1"/>
              </w:rPr>
              <w:t xml:space="preserve"> вимог та </w:t>
            </w:r>
            <w:proofErr w:type="spellStart"/>
            <w:r w:rsidR="009C5822" w:rsidRPr="00083CF1">
              <w:rPr>
                <w:b/>
                <w:color w:val="000000" w:themeColor="text1"/>
              </w:rPr>
              <w:t>суброгацій</w:t>
            </w:r>
            <w:proofErr w:type="spellEnd"/>
            <w:r w:rsidR="009C5822" w:rsidRPr="00083CF1">
              <w:rPr>
                <w:b/>
                <w:color w:val="000000" w:themeColor="text1"/>
              </w:rPr>
              <w:t xml:space="preserve"> та доходів від очікуваної їх реалізації</w:t>
            </w:r>
            <w:r w:rsidR="009C5822" w:rsidRPr="00083CF1">
              <w:rPr>
                <w:color w:val="000000" w:themeColor="text1"/>
              </w:rPr>
              <w:t xml:space="preserve">, </w:t>
            </w:r>
            <w:r w:rsidR="009C5822" w:rsidRPr="00083CF1">
              <w:rPr>
                <w:lang w:eastAsia="en-US"/>
              </w:rPr>
              <w:t xml:space="preserve">ефекту дисконтування, </w:t>
            </w:r>
            <w:r w:rsidR="009C5822" w:rsidRPr="00083CF1">
              <w:rPr>
                <w:color w:val="000000" w:themeColor="text1"/>
                <w:lang w:eastAsia="en-US"/>
              </w:rPr>
              <w:t xml:space="preserve">врегульованих заявлених вимог, за якими прийнято рішення про </w:t>
            </w:r>
            <w:r w:rsidR="009C5822" w:rsidRPr="00083CF1">
              <w:rPr>
                <w:color w:val="0D0D0D" w:themeColor="text1" w:themeTint="F2"/>
              </w:rPr>
              <w:t xml:space="preserve">визнання випадку страховим та </w:t>
            </w:r>
            <w:r w:rsidR="009C5822" w:rsidRPr="00083CF1">
              <w:rPr>
                <w:lang w:eastAsia="en-US"/>
              </w:rPr>
              <w:t>розмір страхової виплати / страховик зобов’язаний здійснити повернення суми страхової премії або її частини, але оплата ще не здійснена в повному обсязі,</w:t>
            </w:r>
            <w:r w:rsidR="009C5822" w:rsidRPr="00083CF1" w:rsidDel="00180FFF">
              <w:rPr>
                <w:lang w:eastAsia="en-US"/>
              </w:rPr>
              <w:t xml:space="preserve"> </w:t>
            </w:r>
            <w:r w:rsidR="009C5822" w:rsidRPr="00083CF1">
              <w:rPr>
                <w:lang w:eastAsia="en-US"/>
              </w:rPr>
              <w:t>але з урахуванням витрат на врегулювання збитків у такому резерві) за договорами вихідного перестрахування на кінець та початок розрахункового періоду 2 відповідно;</w:t>
            </w:r>
          </w:p>
          <w:p w14:paraId="6102AEE9" w14:textId="7D761BE7"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re</m:t>
                  </m:r>
                </m:sup>
              </m:sSubSup>
            </m:oMath>
            <w:r w:rsidR="009C5822" w:rsidRPr="00083CF1">
              <w:rPr>
                <w:lang w:eastAsia="en-US"/>
              </w:rPr>
              <w:t xml:space="preserve"> – резерв збитків, які виникли, але не заявлені (без урахування </w:t>
            </w:r>
            <w:proofErr w:type="spellStart"/>
            <w:r w:rsidR="009C5822" w:rsidRPr="00083CF1">
              <w:rPr>
                <w:b/>
                <w:color w:val="000000" w:themeColor="text1"/>
              </w:rPr>
              <w:t>регресних</w:t>
            </w:r>
            <w:proofErr w:type="spellEnd"/>
            <w:r w:rsidR="009C5822" w:rsidRPr="00083CF1">
              <w:rPr>
                <w:b/>
                <w:color w:val="000000" w:themeColor="text1"/>
              </w:rPr>
              <w:t xml:space="preserve"> вимог та </w:t>
            </w:r>
            <w:proofErr w:type="spellStart"/>
            <w:r w:rsidR="009C5822" w:rsidRPr="00083CF1">
              <w:rPr>
                <w:b/>
                <w:color w:val="000000" w:themeColor="text1"/>
              </w:rPr>
              <w:t>суброгацій</w:t>
            </w:r>
            <w:proofErr w:type="spellEnd"/>
            <w:r w:rsidR="009C5822" w:rsidRPr="00083CF1">
              <w:rPr>
                <w:b/>
                <w:color w:val="000000" w:themeColor="text1"/>
              </w:rPr>
              <w:t xml:space="preserve"> та доходів від очікуваної їх реалізації</w:t>
            </w:r>
            <w:r w:rsidR="009C5822" w:rsidRPr="00083CF1">
              <w:rPr>
                <w:color w:val="000000" w:themeColor="text1"/>
              </w:rPr>
              <w:t xml:space="preserve">, </w:t>
            </w:r>
            <w:r w:rsidR="009C5822" w:rsidRPr="00083CF1">
              <w:rPr>
                <w:lang w:eastAsia="en-US"/>
              </w:rPr>
              <w:t>ефекту дисконтування, але з урахуванням витрат на врегулювання збитків у такому резерві), за договорами вихідного перестрахування на кінець та початок розрахункового періоду 2 відповідно;</w:t>
            </w:r>
          </w:p>
          <w:p w14:paraId="3EFCFA7C" w14:textId="77777777" w:rsidR="009C5822" w:rsidRPr="00083CF1" w:rsidRDefault="009C5822" w:rsidP="0058011F">
            <w:r w:rsidRPr="00083CF1">
              <w:t>…</w:t>
            </w:r>
          </w:p>
          <w:p w14:paraId="0A2238B9" w14:textId="77777777" w:rsidR="009C5822" w:rsidRPr="00083CF1" w:rsidRDefault="009C5822" w:rsidP="0058011F">
            <w:pPr>
              <w:widowControl w:val="0"/>
              <w:tabs>
                <w:tab w:val="left" w:pos="1134"/>
              </w:tabs>
              <w:contextualSpacing/>
              <w:rPr>
                <w:lang w:eastAsia="en-US"/>
              </w:rPr>
            </w:pPr>
            <w:r w:rsidRPr="00083CF1">
              <w:t xml:space="preserve">2) </w:t>
            </w:r>
            <m:oMath>
              <m:sSup>
                <m:sSupPr>
                  <m:ctrlPr>
                    <w:rPr>
                      <w:rFonts w:ascii="Cambria Math" w:eastAsia="Calibri" w:hAnsi="Cambria Math"/>
                      <w:lang w:eastAsia="en-US"/>
                    </w:rPr>
                  </m:ctrlPr>
                </m:sSupPr>
                <m:e>
                  <m:r>
                    <m:rPr>
                      <m:sty m:val="p"/>
                    </m:rPr>
                    <w:rPr>
                      <w:rFonts w:ascii="Cambria Math" w:eastAsia="Calibri" w:hAnsi="Cambria Math"/>
                      <w:lang w:eastAsia="en-US"/>
                    </w:rPr>
                    <m:t>КП</m:t>
                  </m:r>
                </m:e>
                <m:sup>
                  <m:r>
                    <w:rPr>
                      <w:rFonts w:ascii="Cambria Math" w:eastAsia="Calibri" w:hAnsi="Cambria Math"/>
                      <w:lang w:eastAsia="en-US"/>
                    </w:rPr>
                    <m:t>СВ</m:t>
                  </m:r>
                </m:sup>
              </m:sSup>
            </m:oMath>
            <w:r w:rsidRPr="00083CF1">
              <w:rPr>
                <w:lang w:eastAsia="en-US"/>
              </w:rPr>
              <w:t xml:space="preserve"> – розрахункова величина, яка визначається </w:t>
            </w:r>
            <w:r w:rsidRPr="00083CF1">
              <w:rPr>
                <w:rFonts w:eastAsiaTheme="majorEastAsia"/>
                <w:lang w:eastAsia="en-US"/>
              </w:rPr>
              <w:t>за такою формулою</w:t>
            </w:r>
            <w:r w:rsidRPr="00083CF1">
              <w:rPr>
                <w:lang w:eastAsia="en-US"/>
              </w:rPr>
              <w:t>:</w:t>
            </w:r>
          </w:p>
          <w:p w14:paraId="5DE6C43B" w14:textId="77777777" w:rsidR="009C5822" w:rsidRPr="00083CF1" w:rsidRDefault="009C5822" w:rsidP="0058011F">
            <w:r w:rsidRPr="00083CF1">
              <w:lastRenderedPageBreak/>
              <w:t>…</w:t>
            </w:r>
          </w:p>
          <w:p w14:paraId="79030005" w14:textId="1076DBAE"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ін</m:t>
                  </m:r>
                </m:sup>
              </m:sSubSup>
            </m:oMath>
            <w:r w:rsidR="009C5822" w:rsidRPr="00083CF1">
              <w:rPr>
                <w:lang w:eastAsia="en-US"/>
              </w:rPr>
              <w:t xml:space="preserve"> – розмір резерву заявлених, але не виплачених збитків (без урахування </w:t>
            </w:r>
            <w:proofErr w:type="spellStart"/>
            <w:r w:rsidR="009C5822" w:rsidRPr="00083CF1">
              <w:rPr>
                <w:b/>
                <w:color w:val="000000" w:themeColor="text1"/>
              </w:rPr>
              <w:t>регресних</w:t>
            </w:r>
            <w:proofErr w:type="spellEnd"/>
            <w:r w:rsidR="009C5822" w:rsidRPr="00083CF1">
              <w:rPr>
                <w:b/>
                <w:color w:val="000000" w:themeColor="text1"/>
              </w:rPr>
              <w:t xml:space="preserve"> вимог та </w:t>
            </w:r>
            <w:proofErr w:type="spellStart"/>
            <w:r w:rsidR="009C5822" w:rsidRPr="00083CF1">
              <w:rPr>
                <w:b/>
                <w:color w:val="000000" w:themeColor="text1"/>
              </w:rPr>
              <w:t>суброгацій</w:t>
            </w:r>
            <w:proofErr w:type="spellEnd"/>
            <w:r w:rsidR="009C5822" w:rsidRPr="00083CF1">
              <w:rPr>
                <w:b/>
                <w:color w:val="000000" w:themeColor="text1"/>
              </w:rPr>
              <w:t xml:space="preserve"> та доходів від очікуваної їх реалізації</w:t>
            </w:r>
            <w:r w:rsidR="009C5822" w:rsidRPr="00083CF1">
              <w:rPr>
                <w:color w:val="000000" w:themeColor="text1"/>
              </w:rPr>
              <w:t xml:space="preserve">, </w:t>
            </w:r>
            <w:r w:rsidR="009C5822" w:rsidRPr="00083CF1">
              <w:rPr>
                <w:lang w:eastAsia="en-US"/>
              </w:rPr>
              <w:t xml:space="preserve">ефекту дисконтування, </w:t>
            </w:r>
            <w:r w:rsidR="009C5822" w:rsidRPr="00083CF1">
              <w:rPr>
                <w:color w:val="000000" w:themeColor="text1"/>
                <w:lang w:eastAsia="en-US"/>
              </w:rPr>
              <w:t xml:space="preserve">врегульованих заявлених вимог, за якими прийнято </w:t>
            </w:r>
            <w:r w:rsidR="009C5822" w:rsidRPr="00083CF1">
              <w:rPr>
                <w:color w:val="0D0D0D" w:themeColor="text1" w:themeTint="F2"/>
              </w:rPr>
              <w:t>рішення про визнання випадку страховим та розмір страхової виплати / страховик зобов’язаний здійснити повернення суми страхової премії або її частини, але оплата</w:t>
            </w:r>
            <w:r w:rsidR="009C5822" w:rsidRPr="00083CF1">
              <w:rPr>
                <w:color w:val="000000" w:themeColor="text1"/>
                <w:lang w:eastAsia="en-US"/>
              </w:rPr>
              <w:t xml:space="preserve"> ще не здійснена в повному обсязі,</w:t>
            </w:r>
            <w:r w:rsidR="009C5822" w:rsidRPr="00083CF1" w:rsidDel="00180FFF">
              <w:rPr>
                <w:lang w:eastAsia="en-US"/>
              </w:rPr>
              <w:t xml:space="preserve"> </w:t>
            </w:r>
            <w:r w:rsidR="009C5822" w:rsidRPr="00083CF1">
              <w:rPr>
                <w:lang w:eastAsia="en-US"/>
              </w:rPr>
              <w:t xml:space="preserve">але з урахуванням витрат на врегулювання збитків у такому резерві) </w:t>
            </w:r>
            <w:r w:rsidR="009C5822" w:rsidRPr="00083CF1">
              <w:rPr>
                <w:rFonts w:eastAsia="Calibri"/>
                <w:lang w:eastAsia="en-US"/>
              </w:rPr>
              <w:t xml:space="preserve">за </w:t>
            </w:r>
            <w:r w:rsidR="009C5822" w:rsidRPr="00083CF1">
              <w:rPr>
                <w:lang w:eastAsia="en-US"/>
              </w:rPr>
              <w:t xml:space="preserve">лініями бізнесу страхування відповідальності та лініями бізнесу іншими, ніж лінії бізнесу страхування відповідальності, відповідно на кінець розрахункового періоду 2 за договорами прямого </w:t>
            </w:r>
            <w:r w:rsidR="009C5822" w:rsidRPr="00083CF1">
              <w:t>страхування та договорами вхідного перестрахування</w:t>
            </w:r>
            <w:r w:rsidR="009C5822" w:rsidRPr="00083CF1">
              <w:rPr>
                <w:lang w:eastAsia="en-US"/>
              </w:rPr>
              <w:t>;</w:t>
            </w:r>
          </w:p>
          <w:p w14:paraId="0324B1F0" w14:textId="7651F28F"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ін</m:t>
                  </m:r>
                </m:sup>
              </m:sSubSup>
            </m:oMath>
            <w:r w:rsidR="009C5822" w:rsidRPr="00083CF1">
              <w:rPr>
                <w:lang w:eastAsia="en-US"/>
              </w:rPr>
              <w:t xml:space="preserve"> – розмір резерву заявлених, але не виплачених збитків (без урахування </w:t>
            </w:r>
            <w:proofErr w:type="spellStart"/>
            <w:r w:rsidR="009C5822" w:rsidRPr="00083CF1">
              <w:rPr>
                <w:b/>
                <w:color w:val="000000" w:themeColor="text1"/>
              </w:rPr>
              <w:t>регресних</w:t>
            </w:r>
            <w:proofErr w:type="spellEnd"/>
            <w:r w:rsidR="009C5822" w:rsidRPr="00083CF1">
              <w:rPr>
                <w:b/>
                <w:color w:val="000000" w:themeColor="text1"/>
              </w:rPr>
              <w:t xml:space="preserve"> вимог та </w:t>
            </w:r>
            <w:proofErr w:type="spellStart"/>
            <w:r w:rsidR="009C5822" w:rsidRPr="00083CF1">
              <w:rPr>
                <w:b/>
                <w:color w:val="000000" w:themeColor="text1"/>
              </w:rPr>
              <w:t>суброгацій</w:t>
            </w:r>
            <w:proofErr w:type="spellEnd"/>
            <w:r w:rsidR="009C5822" w:rsidRPr="00083CF1">
              <w:rPr>
                <w:b/>
                <w:color w:val="000000" w:themeColor="text1"/>
              </w:rPr>
              <w:t xml:space="preserve"> та доходів від очікуваної їх реалізації</w:t>
            </w:r>
            <w:r w:rsidR="009C5822" w:rsidRPr="00083CF1">
              <w:rPr>
                <w:color w:val="000000" w:themeColor="text1"/>
              </w:rPr>
              <w:t xml:space="preserve">, </w:t>
            </w:r>
            <w:r w:rsidR="009C5822" w:rsidRPr="00083CF1">
              <w:rPr>
                <w:lang w:eastAsia="en-US"/>
              </w:rPr>
              <w:t xml:space="preserve">ефекту дисконтування, </w:t>
            </w:r>
            <w:r w:rsidR="009C5822" w:rsidRPr="00083CF1">
              <w:rPr>
                <w:color w:val="000000" w:themeColor="text1"/>
                <w:lang w:eastAsia="en-US"/>
              </w:rPr>
              <w:t xml:space="preserve">врегульованих заявлених вимог, за якими прийнято </w:t>
            </w:r>
            <w:r w:rsidR="009C5822" w:rsidRPr="00083CF1">
              <w:rPr>
                <w:lang w:eastAsia="en-US"/>
              </w:rPr>
              <w:t>рішення про визнання випадку страховим та розмір страхової виплати / страховик зобов’язаний здійснити повернення суми страхової премії або її частини, але оплата ще не здійснена в повному обсязі,</w:t>
            </w:r>
            <w:r w:rsidR="009C5822" w:rsidRPr="00083CF1" w:rsidDel="00180FFF">
              <w:rPr>
                <w:lang w:eastAsia="en-US"/>
              </w:rPr>
              <w:t xml:space="preserve"> </w:t>
            </w:r>
            <w:r w:rsidR="009C5822" w:rsidRPr="00083CF1">
              <w:rPr>
                <w:lang w:eastAsia="en-US"/>
              </w:rPr>
              <w:t>але з урахуванням витрат на врегулювання збит</w:t>
            </w:r>
            <w:r w:rsidR="009C5822" w:rsidRPr="00083CF1">
              <w:rPr>
                <w:lang w:eastAsia="en-US"/>
              </w:rPr>
              <w:lastRenderedPageBreak/>
              <w:t xml:space="preserve">ків у такому резерві) </w:t>
            </w:r>
            <w:r w:rsidR="009C5822" w:rsidRPr="00083CF1">
              <w:rPr>
                <w:rFonts w:eastAsia="Calibri"/>
                <w:lang w:eastAsia="en-US"/>
              </w:rPr>
              <w:t xml:space="preserve">за </w:t>
            </w:r>
            <w:r w:rsidR="009C5822" w:rsidRPr="00083CF1">
              <w:rPr>
                <w:lang w:eastAsia="en-US"/>
              </w:rPr>
              <w:t xml:space="preserve">лініями бізнесу страхування відповідальності та лініями бізнесу іншими, ніж лінії бізнесу страхування відповідальності, відповідно на початок розрахункового періоду 2 за договорами прямого </w:t>
            </w:r>
            <w:r w:rsidR="009C5822" w:rsidRPr="00083CF1">
              <w:t>страхування та договорами вхідного перестрахування</w:t>
            </w:r>
            <w:r w:rsidR="009C5822" w:rsidRPr="00083CF1">
              <w:rPr>
                <w:lang w:eastAsia="en-US"/>
              </w:rPr>
              <w:t>;</w:t>
            </w:r>
          </w:p>
          <w:p w14:paraId="31CAE9E1" w14:textId="1F76137D"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ін</m:t>
                  </m:r>
                </m:sup>
              </m:sSubSup>
            </m:oMath>
            <w:r w:rsidR="009C5822" w:rsidRPr="00083CF1">
              <w:rPr>
                <w:lang w:eastAsia="en-US"/>
              </w:rPr>
              <w:t xml:space="preserve"> – розмір резерву збитків, які виникли, але не заявлені (без урахування </w:t>
            </w:r>
            <w:proofErr w:type="spellStart"/>
            <w:r w:rsidR="009C5822" w:rsidRPr="00083CF1">
              <w:rPr>
                <w:b/>
                <w:color w:val="000000" w:themeColor="text1"/>
              </w:rPr>
              <w:t>регресних</w:t>
            </w:r>
            <w:proofErr w:type="spellEnd"/>
            <w:r w:rsidR="009C5822" w:rsidRPr="00083CF1">
              <w:rPr>
                <w:b/>
                <w:color w:val="000000" w:themeColor="text1"/>
              </w:rPr>
              <w:t xml:space="preserve"> вимог та </w:t>
            </w:r>
            <w:proofErr w:type="spellStart"/>
            <w:r w:rsidR="009C5822" w:rsidRPr="00083CF1">
              <w:rPr>
                <w:b/>
                <w:color w:val="000000" w:themeColor="text1"/>
              </w:rPr>
              <w:t>суброгацій</w:t>
            </w:r>
            <w:proofErr w:type="spellEnd"/>
            <w:r w:rsidR="009C5822" w:rsidRPr="00083CF1">
              <w:rPr>
                <w:b/>
                <w:color w:val="000000" w:themeColor="text1"/>
              </w:rPr>
              <w:t xml:space="preserve"> та доходів від очікуваної їх реалізації</w:t>
            </w:r>
            <w:r w:rsidR="009C5822" w:rsidRPr="00083CF1">
              <w:rPr>
                <w:color w:val="000000" w:themeColor="text1"/>
              </w:rPr>
              <w:t xml:space="preserve">, </w:t>
            </w:r>
            <w:r w:rsidR="009C5822" w:rsidRPr="00083CF1">
              <w:rPr>
                <w:lang w:eastAsia="en-US"/>
              </w:rPr>
              <w:t xml:space="preserve">ефекту дисконтування, але з урахуванням витрат на врегулювання збитків у такому резерві) </w:t>
            </w:r>
            <w:r w:rsidR="009C5822" w:rsidRPr="00083CF1">
              <w:rPr>
                <w:rFonts w:eastAsia="Calibri"/>
                <w:lang w:eastAsia="en-US"/>
              </w:rPr>
              <w:t xml:space="preserve">за </w:t>
            </w:r>
            <w:r w:rsidR="009C5822" w:rsidRPr="00083CF1">
              <w:rPr>
                <w:lang w:eastAsia="en-US"/>
              </w:rPr>
              <w:t xml:space="preserve">лініями бізнесу страхування відповідальності та лініями бізнесу іншими, ніж лінії бізнесу страхування відповідальності, відповідно на кінець розрахункового періоду 2 за договорами прямого </w:t>
            </w:r>
            <w:r w:rsidR="009C5822" w:rsidRPr="00083CF1">
              <w:t>страхування та договорами вхідного перестрахування</w:t>
            </w:r>
            <w:r w:rsidR="009C5822" w:rsidRPr="00083CF1">
              <w:rPr>
                <w:lang w:eastAsia="en-US"/>
              </w:rPr>
              <w:t>;</w:t>
            </w:r>
          </w:p>
          <w:p w14:paraId="507B1E3A" w14:textId="416AB0B0"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ін</m:t>
                  </m:r>
                </m:sup>
              </m:sSubSup>
            </m:oMath>
            <w:r w:rsidR="009C5822" w:rsidRPr="00083CF1">
              <w:rPr>
                <w:lang w:eastAsia="en-US"/>
              </w:rPr>
              <w:t xml:space="preserve"> – розмір резерву збитків, які виникли, але не заявлені (без урахування </w:t>
            </w:r>
            <w:proofErr w:type="spellStart"/>
            <w:r w:rsidR="009C5822" w:rsidRPr="00083CF1">
              <w:rPr>
                <w:b/>
                <w:color w:val="000000" w:themeColor="text1"/>
              </w:rPr>
              <w:t>регресних</w:t>
            </w:r>
            <w:proofErr w:type="spellEnd"/>
            <w:r w:rsidR="009C5822" w:rsidRPr="00083CF1">
              <w:rPr>
                <w:b/>
                <w:color w:val="000000" w:themeColor="text1"/>
              </w:rPr>
              <w:t xml:space="preserve"> вимог та </w:t>
            </w:r>
            <w:proofErr w:type="spellStart"/>
            <w:r w:rsidR="009C5822" w:rsidRPr="00083CF1">
              <w:rPr>
                <w:b/>
                <w:color w:val="000000" w:themeColor="text1"/>
              </w:rPr>
              <w:t>суброгацій</w:t>
            </w:r>
            <w:proofErr w:type="spellEnd"/>
            <w:r w:rsidR="009C5822" w:rsidRPr="00083CF1">
              <w:rPr>
                <w:b/>
                <w:color w:val="000000" w:themeColor="text1"/>
              </w:rPr>
              <w:t xml:space="preserve"> та доходів від очікуваної їх реалізації</w:t>
            </w:r>
            <w:r w:rsidR="009C5822" w:rsidRPr="00083CF1">
              <w:rPr>
                <w:color w:val="000000" w:themeColor="text1"/>
              </w:rPr>
              <w:t xml:space="preserve">, </w:t>
            </w:r>
            <w:r w:rsidR="009C5822" w:rsidRPr="00083CF1">
              <w:rPr>
                <w:lang w:eastAsia="en-US"/>
              </w:rPr>
              <w:t xml:space="preserve">ефекту дисконтування, але з урахуванням витрат на врегулювання збитків у такому резерві) </w:t>
            </w:r>
            <w:r w:rsidR="009C5822" w:rsidRPr="00083CF1">
              <w:rPr>
                <w:rFonts w:eastAsia="Calibri"/>
                <w:lang w:eastAsia="en-US"/>
              </w:rPr>
              <w:t xml:space="preserve">за </w:t>
            </w:r>
            <w:r w:rsidR="009C5822" w:rsidRPr="00083CF1">
              <w:rPr>
                <w:lang w:eastAsia="en-US"/>
              </w:rPr>
              <w:t xml:space="preserve">лініями бізнесу страхування відповідальності та лініями бізнесу іншими, ніж лінії бізнесу страхування відповідальності, відповідно на початок розрахункового періоду 2 за договорами прямого </w:t>
            </w:r>
            <w:r w:rsidR="009C5822" w:rsidRPr="00083CF1">
              <w:t>страхування та договорами вхідного перестрахування</w:t>
            </w:r>
            <w:r w:rsidR="009C5822" w:rsidRPr="00083CF1">
              <w:rPr>
                <w:lang w:eastAsia="en-US"/>
              </w:rPr>
              <w:t>;</w:t>
            </w:r>
          </w:p>
          <w:p w14:paraId="1E437E79" w14:textId="77777777" w:rsidR="009C5822" w:rsidRPr="00083CF1" w:rsidRDefault="009C5822" w:rsidP="0058011F">
            <w:r w:rsidRPr="00083CF1">
              <w:lastRenderedPageBreak/>
              <w:t>…</w:t>
            </w:r>
          </w:p>
          <w:p w14:paraId="1E57B4E9" w14:textId="59D70CAD" w:rsidR="009C5822" w:rsidRPr="00083CF1" w:rsidRDefault="009C5822" w:rsidP="0058011F">
            <w:pPr>
              <w:widowControl w:val="0"/>
              <w:tabs>
                <w:tab w:val="left" w:pos="993"/>
              </w:tabs>
              <w:contextualSpacing/>
              <w:rPr>
                <w:rFonts w:eastAsia="Calibri"/>
                <w:lang w:eastAsia="en-US"/>
              </w:rPr>
            </w:pPr>
            <w:r w:rsidRPr="00083CF1">
              <w:rPr>
                <w:lang w:eastAsia="en-US"/>
              </w:rPr>
              <w:t xml:space="preserve">3) </w:t>
            </w:r>
            <m:oMath>
              <m:sSub>
                <m:sSubPr>
                  <m:ctrlPr>
                    <w:rPr>
                      <w:rFonts w:ascii="Cambria Math" w:eastAsia="Calibri" w:hAnsi="Cambria Math"/>
                      <w:lang w:eastAsia="en-US"/>
                    </w:rPr>
                  </m:ctrlPr>
                </m:sSubPr>
                <m:e>
                  <m:r>
                    <w:rPr>
                      <w:rFonts w:ascii="Cambria Math" w:eastAsia="Calibri" w:hAnsi="Cambria Math"/>
                      <w:lang w:eastAsia="en-US"/>
                    </w:rPr>
                    <m:t>КП</m:t>
                  </m:r>
                </m:e>
                <m:sub>
                  <m:r>
                    <w:rPr>
                      <w:rFonts w:ascii="Cambria Math" w:eastAsia="Calibri" w:hAnsi="Cambria Math"/>
                      <w:lang w:eastAsia="en-US"/>
                    </w:rPr>
                    <m:t>п</m:t>
                  </m:r>
                </m:sub>
              </m:sSub>
            </m:oMath>
            <w:r w:rsidRPr="00083CF1">
              <w:rPr>
                <w:lang w:eastAsia="en-US"/>
              </w:rPr>
              <w:t xml:space="preserve"> – капітал платоспроможності, який визначається </w:t>
            </w:r>
            <w:r w:rsidRPr="00083CF1">
              <w:rPr>
                <w:rFonts w:eastAsia="Calibri"/>
                <w:lang w:eastAsia="en-US"/>
              </w:rPr>
              <w:t xml:space="preserve">станом на 31 грудня попереднього календарного року на підставі додатка 3 до Положення </w:t>
            </w:r>
            <w:r w:rsidRPr="00083CF1">
              <w:rPr>
                <w:rFonts w:eastAsia="SimSun"/>
              </w:rPr>
              <w:t>про встановлення вимог щодо забезпечення платоспроможності та інвестиційної діяльності страховика</w:t>
            </w:r>
            <w:r w:rsidRPr="00083CF1">
              <w:rPr>
                <w:rFonts w:eastAsia="Calibri"/>
                <w:lang w:eastAsia="en-US"/>
              </w:rPr>
              <w:t xml:space="preserve">, помножений на коефіцієнт зміни резервів збитків </w:t>
            </w:r>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рез</m:t>
                  </m:r>
                </m:sub>
              </m:sSub>
            </m:oMath>
            <w:r w:rsidRPr="00083CF1">
              <w:rPr>
                <w:rFonts w:eastAsia="Calibri"/>
                <w:lang w:eastAsia="en-US"/>
              </w:rPr>
              <w:t>, який рівний меншій з таких величин:</w:t>
            </w:r>
          </w:p>
          <w:p w14:paraId="25C41707" w14:textId="77777777" w:rsidR="009C5822" w:rsidRPr="00083CF1" w:rsidRDefault="009C5822" w:rsidP="0058011F">
            <w:r w:rsidRPr="00083CF1">
              <w:t>…</w:t>
            </w:r>
          </w:p>
          <w:p w14:paraId="6EB42CD9" w14:textId="7DA0F30C" w:rsidR="009C5822" w:rsidRPr="00083CF1" w:rsidRDefault="009C5822" w:rsidP="0058011F">
            <w:pPr>
              <w:widowControl w:val="0"/>
              <w:rPr>
                <w:lang w:eastAsia="en-US"/>
              </w:rPr>
            </w:pPr>
            <w:r w:rsidRPr="00083CF1">
              <w:rPr>
                <w:lang w:eastAsia="en-US"/>
              </w:rPr>
              <w:t xml:space="preserve">де </w:t>
            </w:r>
            <m:oMath>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п.р.</m:t>
                  </m:r>
                </m:sub>
              </m:sSub>
            </m:oMath>
            <w:r w:rsidRPr="00083CF1">
              <w:rPr>
                <w:lang w:eastAsia="en-US"/>
              </w:rPr>
              <w:t xml:space="preserve"> – розмір резерву заявлених, але не виплачених збитків (без урахування </w:t>
            </w:r>
            <w:proofErr w:type="spellStart"/>
            <w:r w:rsidRPr="00083CF1">
              <w:rPr>
                <w:b/>
                <w:color w:val="000000" w:themeColor="text1"/>
              </w:rPr>
              <w:t>регресних</w:t>
            </w:r>
            <w:proofErr w:type="spellEnd"/>
            <w:r w:rsidRPr="00083CF1">
              <w:rPr>
                <w:b/>
                <w:color w:val="000000" w:themeColor="text1"/>
              </w:rPr>
              <w:t xml:space="preserve"> вимог та </w:t>
            </w:r>
            <w:proofErr w:type="spellStart"/>
            <w:r w:rsidRPr="00083CF1">
              <w:rPr>
                <w:b/>
                <w:color w:val="000000" w:themeColor="text1"/>
              </w:rPr>
              <w:t>суброгацій</w:t>
            </w:r>
            <w:proofErr w:type="spellEnd"/>
            <w:r w:rsidRPr="00083CF1">
              <w:rPr>
                <w:b/>
                <w:color w:val="000000" w:themeColor="text1"/>
              </w:rPr>
              <w:t xml:space="preserve"> та доходів від очікуваної їх реалізації</w:t>
            </w:r>
            <w:r w:rsidRPr="00083CF1">
              <w:rPr>
                <w:color w:val="000000" w:themeColor="text1"/>
              </w:rPr>
              <w:t xml:space="preserve">, </w:t>
            </w:r>
            <w:r w:rsidRPr="00083CF1">
              <w:rPr>
                <w:lang w:eastAsia="en-US"/>
              </w:rPr>
              <w:t xml:space="preserve">ефекту дисконтування, </w:t>
            </w:r>
            <w:r w:rsidRPr="00083CF1">
              <w:rPr>
                <w:color w:val="000000" w:themeColor="text1"/>
                <w:lang w:eastAsia="en-US"/>
              </w:rPr>
              <w:t>врегульованих заявлених вимог, за якими прийнято рішення про визнання випадку страховим та розмір страхової виплати / страховик зобов’язаний здійснити повернення суми страхової премії або її частини, але оплата ще не здійснена в повному обсязі,</w:t>
            </w:r>
            <w:r w:rsidRPr="00083CF1" w:rsidDel="00180FFF">
              <w:rPr>
                <w:lang w:eastAsia="en-US"/>
              </w:rPr>
              <w:t xml:space="preserve"> </w:t>
            </w:r>
            <w:r w:rsidRPr="00083CF1">
              <w:rPr>
                <w:lang w:eastAsia="en-US"/>
              </w:rPr>
              <w:t xml:space="preserve">але з урахуванням витрат на врегулювання збитків у такому резерві) на кінець розрахункового періоду 1 та 31 грудня </w:t>
            </w:r>
            <w:r w:rsidRPr="00083CF1">
              <w:rPr>
                <w:rFonts w:eastAsia="Calibri"/>
                <w:lang w:eastAsia="en-US"/>
              </w:rPr>
              <w:t xml:space="preserve">попереднього календарного року </w:t>
            </w:r>
            <w:r w:rsidRPr="00083CF1">
              <w:rPr>
                <w:lang w:eastAsia="en-US"/>
              </w:rPr>
              <w:t xml:space="preserve">відповідно за договорами прямого </w:t>
            </w:r>
            <w:r w:rsidRPr="00083CF1">
              <w:t>страхування та договорами вхідного перестрахування</w:t>
            </w:r>
            <w:r w:rsidRPr="00083CF1">
              <w:rPr>
                <w:lang w:eastAsia="en-US"/>
              </w:rPr>
              <w:t>;</w:t>
            </w:r>
          </w:p>
          <w:p w14:paraId="112981B6" w14:textId="2A4E128C" w:rsidR="009C5822" w:rsidRPr="00083CF1" w:rsidRDefault="00EE66C1" w:rsidP="0058011F">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п.р.</m:t>
                  </m:r>
                </m:sub>
              </m:sSub>
            </m:oMath>
            <w:r w:rsidR="009C5822" w:rsidRPr="00083CF1">
              <w:rPr>
                <w:lang w:eastAsia="en-US"/>
              </w:rPr>
              <w:t xml:space="preserve"> – розмір резерву збитків, які виникли, але не заявлені (без урахування </w:t>
            </w:r>
            <w:proofErr w:type="spellStart"/>
            <w:r w:rsidR="009C5822" w:rsidRPr="00083CF1">
              <w:rPr>
                <w:b/>
                <w:color w:val="000000" w:themeColor="text1"/>
              </w:rPr>
              <w:t>регресних</w:t>
            </w:r>
            <w:proofErr w:type="spellEnd"/>
            <w:r w:rsidR="009C5822" w:rsidRPr="00083CF1">
              <w:rPr>
                <w:b/>
                <w:color w:val="000000" w:themeColor="text1"/>
              </w:rPr>
              <w:t xml:space="preserve"> вимог </w:t>
            </w:r>
            <w:r w:rsidR="009C5822" w:rsidRPr="00083CF1">
              <w:rPr>
                <w:b/>
                <w:color w:val="000000" w:themeColor="text1"/>
              </w:rPr>
              <w:lastRenderedPageBreak/>
              <w:t xml:space="preserve">та </w:t>
            </w:r>
            <w:proofErr w:type="spellStart"/>
            <w:r w:rsidR="009C5822" w:rsidRPr="00083CF1">
              <w:rPr>
                <w:b/>
                <w:color w:val="000000" w:themeColor="text1"/>
              </w:rPr>
              <w:t>суброгацій</w:t>
            </w:r>
            <w:proofErr w:type="spellEnd"/>
            <w:r w:rsidR="009C5822" w:rsidRPr="00083CF1">
              <w:rPr>
                <w:b/>
                <w:color w:val="000000" w:themeColor="text1"/>
              </w:rPr>
              <w:t xml:space="preserve"> та доходів від очікуваної їх реалізації</w:t>
            </w:r>
            <w:r w:rsidR="009C5822" w:rsidRPr="00083CF1">
              <w:rPr>
                <w:color w:val="000000" w:themeColor="text1"/>
              </w:rPr>
              <w:t xml:space="preserve">, </w:t>
            </w:r>
            <w:r w:rsidR="009C5822" w:rsidRPr="00083CF1">
              <w:rPr>
                <w:lang w:eastAsia="en-US"/>
              </w:rPr>
              <w:t xml:space="preserve">ефекту дисконтування, але з урахуванням витрат на врегулювання збитків у такому резерві), на кінець розрахункового періоду 1 та 31 грудня </w:t>
            </w:r>
            <w:r w:rsidR="009C5822" w:rsidRPr="00083CF1">
              <w:rPr>
                <w:rFonts w:eastAsia="Calibri"/>
                <w:lang w:eastAsia="en-US"/>
              </w:rPr>
              <w:t>попереднього календарного року</w:t>
            </w:r>
            <w:r w:rsidR="009C5822" w:rsidRPr="00083CF1">
              <w:rPr>
                <w:lang w:eastAsia="en-US"/>
              </w:rPr>
              <w:t xml:space="preserve"> відповідно за договорами прямого </w:t>
            </w:r>
            <w:r w:rsidR="009C5822" w:rsidRPr="00083CF1">
              <w:t>страхування та договорами вхідного перестрахування</w:t>
            </w:r>
            <w:r w:rsidR="009C5822" w:rsidRPr="00083CF1">
              <w:rPr>
                <w:lang w:eastAsia="en-US"/>
              </w:rPr>
              <w:t>;</w:t>
            </w:r>
          </w:p>
          <w:p w14:paraId="0061E6C8" w14:textId="718334AF" w:rsidR="009C5822" w:rsidRPr="00083CF1" w:rsidRDefault="00EE66C1" w:rsidP="0058011F">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п.р.</m:t>
                  </m:r>
                </m:sub>
                <m:sup>
                  <m:r>
                    <w:rPr>
                      <w:rFonts w:ascii="Cambria Math" w:hAnsi="Cambria Math"/>
                      <w:lang w:eastAsia="en-US"/>
                    </w:rPr>
                    <m:t>re</m:t>
                  </m:r>
                </m:sup>
              </m:sSubSup>
            </m:oMath>
            <w:r w:rsidR="009C5822" w:rsidRPr="00083CF1">
              <w:rPr>
                <w:lang w:eastAsia="en-US"/>
              </w:rPr>
              <w:t xml:space="preserve"> – резерв заявлених, але не виплачених збитків (без урахування </w:t>
            </w:r>
            <w:proofErr w:type="spellStart"/>
            <w:r w:rsidR="009C5822" w:rsidRPr="00083CF1">
              <w:rPr>
                <w:b/>
                <w:color w:val="000000" w:themeColor="text1"/>
              </w:rPr>
              <w:t>регресних</w:t>
            </w:r>
            <w:proofErr w:type="spellEnd"/>
            <w:r w:rsidR="009C5822" w:rsidRPr="00083CF1">
              <w:rPr>
                <w:b/>
                <w:color w:val="000000" w:themeColor="text1"/>
              </w:rPr>
              <w:t xml:space="preserve"> вимог та </w:t>
            </w:r>
            <w:proofErr w:type="spellStart"/>
            <w:r w:rsidR="009C5822" w:rsidRPr="00083CF1">
              <w:rPr>
                <w:b/>
                <w:color w:val="000000" w:themeColor="text1"/>
              </w:rPr>
              <w:t>суброгацій</w:t>
            </w:r>
            <w:proofErr w:type="spellEnd"/>
            <w:r w:rsidR="009C5822" w:rsidRPr="00083CF1">
              <w:rPr>
                <w:b/>
                <w:color w:val="000000" w:themeColor="text1"/>
              </w:rPr>
              <w:t xml:space="preserve"> та доходів від очікуваної їх реалізації</w:t>
            </w:r>
            <w:r w:rsidR="009C5822" w:rsidRPr="00083CF1">
              <w:rPr>
                <w:color w:val="000000" w:themeColor="text1"/>
              </w:rPr>
              <w:t xml:space="preserve">, </w:t>
            </w:r>
            <w:r w:rsidR="009C5822" w:rsidRPr="00083CF1">
              <w:rPr>
                <w:lang w:eastAsia="en-US"/>
              </w:rPr>
              <w:t xml:space="preserve">ефекту дисконтування, </w:t>
            </w:r>
            <w:r w:rsidR="009C5822" w:rsidRPr="00083CF1">
              <w:rPr>
                <w:color w:val="000000" w:themeColor="text1"/>
                <w:lang w:eastAsia="en-US"/>
              </w:rPr>
              <w:t>врегульованих заявлених вимог, за якими прийнято рішення про визнання випадку страховим та розмір страхової виплати / страховик зобов’язаний здійснити повернення суми страхової премії або її частини, але оплата ще не здійснена в повному обсязі,</w:t>
            </w:r>
            <w:r w:rsidR="009C5822" w:rsidRPr="00083CF1" w:rsidDel="00180FFF">
              <w:rPr>
                <w:color w:val="000000" w:themeColor="text1"/>
                <w:lang w:eastAsia="en-US"/>
              </w:rPr>
              <w:t xml:space="preserve"> </w:t>
            </w:r>
            <w:r w:rsidR="009C5822" w:rsidRPr="00083CF1">
              <w:rPr>
                <w:color w:val="000000" w:themeColor="text1"/>
                <w:lang w:eastAsia="en-US"/>
              </w:rPr>
              <w:t>але з урахуванням витрат</w:t>
            </w:r>
            <w:r w:rsidR="009C5822" w:rsidRPr="00083CF1">
              <w:rPr>
                <w:lang w:eastAsia="en-US"/>
              </w:rPr>
              <w:t xml:space="preserve"> на врегулювання збитків у такому резерві), на кінець розрахункового періоду 1 та 31 грудня </w:t>
            </w:r>
            <w:r w:rsidR="009C5822" w:rsidRPr="00083CF1">
              <w:rPr>
                <w:rFonts w:eastAsia="Calibri"/>
                <w:lang w:eastAsia="en-US"/>
              </w:rPr>
              <w:t>попереднього календарного року</w:t>
            </w:r>
            <w:r w:rsidR="009C5822" w:rsidRPr="00083CF1">
              <w:rPr>
                <w:lang w:eastAsia="en-US"/>
              </w:rPr>
              <w:t xml:space="preserve"> відповідно за договорами </w:t>
            </w:r>
            <w:r w:rsidR="009C5822" w:rsidRPr="00083CF1">
              <w:t>вихідного перестрахування</w:t>
            </w:r>
            <w:r w:rsidR="009C5822" w:rsidRPr="00083CF1">
              <w:rPr>
                <w:lang w:eastAsia="en-US"/>
              </w:rPr>
              <w:t>;</w:t>
            </w:r>
          </w:p>
          <w:p w14:paraId="72CF3D7C" w14:textId="0C70065C" w:rsidR="009C5822" w:rsidRPr="003024EA" w:rsidRDefault="00EE66C1" w:rsidP="0058011F">
            <w:pPr>
              <w:widowControl w:val="0"/>
              <w:ind w:firstLine="709"/>
            </w:pPr>
            <m:oMath>
              <m:sSubSup>
                <m:sSubSupPr>
                  <m:ctrlPr>
                    <w:rPr>
                      <w:rFonts w:ascii="Cambria Math" w:hAnsi="Cambria Math"/>
                      <w:color w:val="000000" w:themeColor="text1"/>
                      <w:lang w:eastAsia="en-US"/>
                    </w:rPr>
                  </m:ctrlPr>
                </m:sSubSupPr>
                <m:e>
                  <m:r>
                    <m:rPr>
                      <m:sty m:val="p"/>
                    </m:rPr>
                    <w:rPr>
                      <w:rFonts w:ascii="Cambria Math" w:hAnsi="Cambria Math"/>
                      <w:color w:val="000000" w:themeColor="text1"/>
                      <w:lang w:eastAsia="en-US"/>
                    </w:rPr>
                    <m:t>IBNR</m:t>
                  </m:r>
                </m:e>
                <m:sub>
                  <m:r>
                    <m:rPr>
                      <m:sty m:val="p"/>
                    </m:rPr>
                    <w:rPr>
                      <w:rFonts w:ascii="Cambria Math" w:hAnsi="Cambria Math"/>
                      <w:color w:val="000000" w:themeColor="text1"/>
                      <w:lang w:eastAsia="en-US"/>
                    </w:rPr>
                    <m:t>к</m:t>
                  </m:r>
                </m:sub>
                <m:sup>
                  <m:r>
                    <w:rPr>
                      <w:rFonts w:ascii="Cambria Math" w:hAnsi="Cambria Math"/>
                      <w:color w:val="000000" w:themeColor="text1"/>
                      <w:lang w:eastAsia="en-US"/>
                    </w:rPr>
                    <m:t>re</m:t>
                  </m:r>
                </m:sup>
              </m:sSubSup>
              <m:r>
                <m:rPr>
                  <m:sty m:val="p"/>
                </m:rPr>
                <w:rPr>
                  <w:rFonts w:ascii="Cambria Math" w:hAnsi="Cambria Math"/>
                  <w:color w:val="000000" w:themeColor="text1"/>
                  <w:lang w:eastAsia="en-US"/>
                </w:rPr>
                <m:t>,</m:t>
              </m:r>
              <m:sSubSup>
                <m:sSubSupPr>
                  <m:ctrlPr>
                    <w:rPr>
                      <w:rFonts w:ascii="Cambria Math" w:hAnsi="Cambria Math"/>
                      <w:color w:val="000000" w:themeColor="text1"/>
                      <w:lang w:eastAsia="en-US"/>
                    </w:rPr>
                  </m:ctrlPr>
                </m:sSubSupPr>
                <m:e>
                  <m:r>
                    <m:rPr>
                      <m:sty m:val="p"/>
                    </m:rPr>
                    <w:rPr>
                      <w:rFonts w:ascii="Cambria Math" w:hAnsi="Cambria Math"/>
                      <w:color w:val="000000" w:themeColor="text1"/>
                      <w:lang w:eastAsia="en-US"/>
                    </w:rPr>
                    <m:t>IBNR</m:t>
                  </m:r>
                </m:e>
                <m:sub>
                  <m:r>
                    <m:rPr>
                      <m:sty m:val="p"/>
                    </m:rPr>
                    <w:rPr>
                      <w:rFonts w:ascii="Cambria Math" w:hAnsi="Cambria Math"/>
                      <w:color w:val="000000" w:themeColor="text1"/>
                      <w:lang w:eastAsia="en-US"/>
                    </w:rPr>
                    <m:t>п.р.</m:t>
                  </m:r>
                </m:sub>
                <m:sup>
                  <m:r>
                    <w:rPr>
                      <w:rFonts w:ascii="Cambria Math" w:hAnsi="Cambria Math"/>
                      <w:color w:val="000000" w:themeColor="text1"/>
                      <w:lang w:eastAsia="en-US"/>
                    </w:rPr>
                    <m:t>re</m:t>
                  </m:r>
                </m:sup>
              </m:sSubSup>
            </m:oMath>
            <w:r w:rsidR="009C5822" w:rsidRPr="00083CF1">
              <w:rPr>
                <w:color w:val="000000" w:themeColor="text1"/>
                <w:lang w:eastAsia="en-US"/>
              </w:rPr>
              <w:t xml:space="preserve"> – резерв збитків, які виникли, але не заявлені (без урахування </w:t>
            </w:r>
            <w:proofErr w:type="spellStart"/>
            <w:r w:rsidR="009C5822" w:rsidRPr="00083CF1">
              <w:rPr>
                <w:b/>
                <w:color w:val="000000" w:themeColor="text1"/>
              </w:rPr>
              <w:t>регресних</w:t>
            </w:r>
            <w:proofErr w:type="spellEnd"/>
            <w:r w:rsidR="009C5822" w:rsidRPr="00083CF1">
              <w:rPr>
                <w:b/>
                <w:color w:val="000000" w:themeColor="text1"/>
              </w:rPr>
              <w:t xml:space="preserve"> вимог та </w:t>
            </w:r>
            <w:proofErr w:type="spellStart"/>
            <w:r w:rsidR="009C5822" w:rsidRPr="00083CF1">
              <w:rPr>
                <w:b/>
                <w:color w:val="000000" w:themeColor="text1"/>
              </w:rPr>
              <w:t>суброгацій</w:t>
            </w:r>
            <w:proofErr w:type="spellEnd"/>
            <w:r w:rsidR="009C5822" w:rsidRPr="00083CF1">
              <w:rPr>
                <w:b/>
                <w:color w:val="000000" w:themeColor="text1"/>
              </w:rPr>
              <w:t xml:space="preserve"> та доходів від очікуваної їх реалізації</w:t>
            </w:r>
            <w:r w:rsidR="009C5822" w:rsidRPr="00083CF1">
              <w:rPr>
                <w:color w:val="000000" w:themeColor="text1"/>
                <w:lang w:eastAsia="en-US"/>
              </w:rPr>
              <w:t xml:space="preserve">, ефекту дисконтування, але з урахуванням витрат на врегулювання збитків у такому резерві), на кінець розрахункового періоду 1 та 31 грудня попереднього календарного </w:t>
            </w:r>
            <w:r w:rsidR="009C5822" w:rsidRPr="00083CF1">
              <w:rPr>
                <w:color w:val="000000" w:themeColor="text1"/>
                <w:lang w:eastAsia="en-US"/>
              </w:rPr>
              <w:lastRenderedPageBreak/>
              <w:t>року відповідно за договорами вихідного перестрахування.</w:t>
            </w:r>
          </w:p>
        </w:tc>
      </w:tr>
    </w:tbl>
    <w:p w14:paraId="6C0AE209" w14:textId="77777777" w:rsidR="0008118F" w:rsidRPr="00530CFB" w:rsidRDefault="0008118F" w:rsidP="00B5282C">
      <w:pPr>
        <w:pStyle w:val="a4"/>
        <w:spacing w:before="0" w:beforeAutospacing="0" w:after="0" w:afterAutospacing="0"/>
        <w:ind w:firstLine="709"/>
        <w:jc w:val="center"/>
        <w:rPr>
          <w:sz w:val="28"/>
          <w:szCs w:val="28"/>
        </w:rPr>
      </w:pPr>
    </w:p>
    <w:tbl>
      <w:tblPr>
        <w:tblStyle w:val="a3"/>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7796"/>
      </w:tblGrid>
      <w:tr w:rsidR="00E443CF" w:rsidRPr="00530CFB" w14:paraId="70B66C79" w14:textId="77777777" w:rsidTr="00F32A4D">
        <w:tc>
          <w:tcPr>
            <w:tcW w:w="6521" w:type="dxa"/>
            <w:vAlign w:val="bottom"/>
          </w:tcPr>
          <w:p w14:paraId="7A25ED26" w14:textId="77777777" w:rsidR="00E443CF" w:rsidRPr="00530CFB" w:rsidRDefault="00E443CF" w:rsidP="00B5282C">
            <w:pPr>
              <w:autoSpaceDE w:val="0"/>
              <w:autoSpaceDN w:val="0"/>
            </w:pPr>
            <w:r w:rsidRPr="00530CFB">
              <w:t xml:space="preserve">Директор Департаменту методології </w:t>
            </w:r>
            <w:r w:rsidRPr="00530CFB">
              <w:rPr>
                <w:bCs/>
              </w:rPr>
              <w:t>регулювання діяльності небанківських фінансових установ</w:t>
            </w:r>
          </w:p>
        </w:tc>
        <w:tc>
          <w:tcPr>
            <w:tcW w:w="7796" w:type="dxa"/>
            <w:vAlign w:val="bottom"/>
          </w:tcPr>
          <w:p w14:paraId="1C07C251" w14:textId="77777777" w:rsidR="00E443CF" w:rsidRPr="00530CFB" w:rsidRDefault="00E443CF" w:rsidP="00B5282C">
            <w:pPr>
              <w:tabs>
                <w:tab w:val="left" w:pos="7020"/>
                <w:tab w:val="left" w:pos="7200"/>
              </w:tabs>
              <w:autoSpaceDE w:val="0"/>
              <w:autoSpaceDN w:val="0"/>
              <w:jc w:val="right"/>
            </w:pPr>
            <w:r w:rsidRPr="00530CFB">
              <w:t>Сергій САВЧУК</w:t>
            </w:r>
          </w:p>
        </w:tc>
      </w:tr>
    </w:tbl>
    <w:p w14:paraId="33472672" w14:textId="77777777" w:rsidR="00530CFB" w:rsidRPr="00530CFB" w:rsidRDefault="00530CFB" w:rsidP="00B5282C">
      <w:pPr>
        <w:pStyle w:val="a4"/>
        <w:spacing w:before="0" w:beforeAutospacing="0" w:after="0" w:afterAutospacing="0"/>
        <w:ind w:firstLine="709"/>
        <w:jc w:val="both"/>
        <w:rPr>
          <w:sz w:val="28"/>
          <w:szCs w:val="28"/>
        </w:rPr>
      </w:pPr>
    </w:p>
    <w:p w14:paraId="5345D528" w14:textId="17B974DB" w:rsidR="00CA2C53" w:rsidRDefault="00413FCB" w:rsidP="00B5282C">
      <w:pPr>
        <w:pStyle w:val="a4"/>
        <w:spacing w:before="0" w:beforeAutospacing="0" w:after="0" w:afterAutospacing="0"/>
        <w:ind w:firstLine="709"/>
        <w:jc w:val="both"/>
        <w:rPr>
          <w:sz w:val="28"/>
          <w:szCs w:val="28"/>
        </w:rPr>
      </w:pPr>
      <w:r w:rsidRPr="00530CFB">
        <w:rPr>
          <w:sz w:val="28"/>
          <w:szCs w:val="28"/>
        </w:rPr>
        <w:t>“____” ______________ 20___ року</w:t>
      </w:r>
    </w:p>
    <w:sectPr w:rsidR="00CA2C53" w:rsidSect="006853FA">
      <w:headerReference w:type="default" r:id="rId8"/>
      <w:pgSz w:w="16838" w:h="11906" w:orient="landscape"/>
      <w:pgMar w:top="1418" w:right="851" w:bottom="1985"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F9A4B" w14:textId="77777777" w:rsidR="00EE66C1" w:rsidRDefault="00EE66C1" w:rsidP="00C702D2">
      <w:r>
        <w:separator/>
      </w:r>
    </w:p>
  </w:endnote>
  <w:endnote w:type="continuationSeparator" w:id="0">
    <w:p w14:paraId="55EBA5F8" w14:textId="77777777" w:rsidR="00EE66C1" w:rsidRDefault="00EE66C1" w:rsidP="00C7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FFE24" w14:textId="77777777" w:rsidR="00EE66C1" w:rsidRDefault="00EE66C1" w:rsidP="00C702D2">
      <w:r>
        <w:separator/>
      </w:r>
    </w:p>
  </w:footnote>
  <w:footnote w:type="continuationSeparator" w:id="0">
    <w:p w14:paraId="1512C714" w14:textId="77777777" w:rsidR="00EE66C1" w:rsidRDefault="00EE66C1" w:rsidP="00C70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533248"/>
      <w:docPartObj>
        <w:docPartGallery w:val="Page Numbers (Top of Page)"/>
        <w:docPartUnique/>
      </w:docPartObj>
    </w:sdtPr>
    <w:sdtEndPr/>
    <w:sdtContent>
      <w:p w14:paraId="42D7CD0F" w14:textId="7DBAB8E3" w:rsidR="00D542F7" w:rsidRDefault="00D542F7">
        <w:pPr>
          <w:pStyle w:val="af7"/>
          <w:jc w:val="center"/>
        </w:pPr>
        <w:r>
          <w:fldChar w:fldCharType="begin"/>
        </w:r>
        <w:r>
          <w:instrText>PAGE   \* MERGEFORMAT</w:instrText>
        </w:r>
        <w:r>
          <w:fldChar w:fldCharType="separate"/>
        </w:r>
        <w:r w:rsidR="00D97898">
          <w:rPr>
            <w:noProof/>
          </w:rPr>
          <w:t>21</w:t>
        </w:r>
        <w:r>
          <w:fldChar w:fldCharType="end"/>
        </w:r>
      </w:p>
    </w:sdtContent>
  </w:sdt>
  <w:p w14:paraId="7C2263E5" w14:textId="77777777" w:rsidR="00D542F7" w:rsidRDefault="00D542F7">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E2EB8"/>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146F98"/>
    <w:multiLevelType w:val="multilevel"/>
    <w:tmpl w:val="33CA4664"/>
    <w:lvl w:ilvl="0">
      <w:start w:val="11"/>
      <w:numFmt w:val="decimal"/>
      <w:lvlText w:val="%1."/>
      <w:lvlJc w:val="left"/>
      <w:pPr>
        <w:ind w:left="1495" w:hanging="360"/>
      </w:pPr>
      <w:rPr>
        <w:rFonts w:ascii="Times New Roman" w:hAnsi="Times New Roman" w:cs="Times New Roman" w:hint="default"/>
        <w:color w:val="auto"/>
        <w:sz w:val="28"/>
        <w:szCs w:val="28"/>
        <w:lang w:val="ru-RU"/>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 w15:restartNumberingAfterBreak="0">
    <w:nsid w:val="15C1341A"/>
    <w:multiLevelType w:val="multilevel"/>
    <w:tmpl w:val="33CA4664"/>
    <w:lvl w:ilvl="0">
      <w:start w:val="11"/>
      <w:numFmt w:val="decimal"/>
      <w:lvlText w:val="%1."/>
      <w:lvlJc w:val="left"/>
      <w:pPr>
        <w:ind w:left="1495" w:hanging="360"/>
      </w:pPr>
      <w:rPr>
        <w:rFonts w:ascii="Times New Roman" w:hAnsi="Times New Roman" w:cs="Times New Roman" w:hint="default"/>
        <w:color w:val="auto"/>
        <w:sz w:val="28"/>
        <w:szCs w:val="28"/>
        <w:lang w:val="ru-RU"/>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3" w15:restartNumberingAfterBreak="0">
    <w:nsid w:val="2A7C050F"/>
    <w:multiLevelType w:val="hybridMultilevel"/>
    <w:tmpl w:val="8B1A0A84"/>
    <w:lvl w:ilvl="0" w:tplc="1960EB2A">
      <w:start w:val="3"/>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1818C4"/>
    <w:multiLevelType w:val="multilevel"/>
    <w:tmpl w:val="F776140C"/>
    <w:lvl w:ilvl="0">
      <w:start w:val="11"/>
      <w:numFmt w:val="decimal"/>
      <w:lvlText w:val="%1."/>
      <w:lvlJc w:val="left"/>
      <w:pPr>
        <w:ind w:left="1495" w:hanging="360"/>
      </w:pPr>
      <w:rPr>
        <w:rFonts w:ascii="Times New Roman" w:hAnsi="Times New Roman" w:cs="Times New Roman" w:hint="default"/>
        <w:color w:val="auto"/>
        <w:sz w:val="28"/>
        <w:szCs w:val="28"/>
      </w:rPr>
    </w:lvl>
    <w:lvl w:ilvl="1">
      <w:start w:val="3"/>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5" w15:restartNumberingAfterBreak="0">
    <w:nsid w:val="3E32398F"/>
    <w:multiLevelType w:val="multilevel"/>
    <w:tmpl w:val="F776140C"/>
    <w:lvl w:ilvl="0">
      <w:start w:val="11"/>
      <w:numFmt w:val="decimal"/>
      <w:lvlText w:val="%1."/>
      <w:lvlJc w:val="left"/>
      <w:pPr>
        <w:ind w:left="1495" w:hanging="360"/>
      </w:pPr>
      <w:rPr>
        <w:rFonts w:ascii="Times New Roman" w:hAnsi="Times New Roman" w:cs="Times New Roman" w:hint="default"/>
        <w:color w:val="auto"/>
        <w:sz w:val="28"/>
        <w:szCs w:val="28"/>
      </w:rPr>
    </w:lvl>
    <w:lvl w:ilvl="1">
      <w:start w:val="3"/>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6" w15:restartNumberingAfterBreak="0">
    <w:nsid w:val="4D3E1311"/>
    <w:multiLevelType w:val="multilevel"/>
    <w:tmpl w:val="8BF2418A"/>
    <w:lvl w:ilvl="0">
      <w:start w:val="11"/>
      <w:numFmt w:val="decimal"/>
      <w:lvlText w:val="%1."/>
      <w:lvlJc w:val="left"/>
      <w:pPr>
        <w:ind w:left="1495" w:hanging="360"/>
      </w:pPr>
      <w:rPr>
        <w:rFonts w:ascii="Times New Roman" w:hAnsi="Times New Roman" w:cs="Times New Roman" w:hint="default"/>
        <w:color w:val="auto"/>
        <w:sz w:val="28"/>
        <w:szCs w:val="28"/>
        <w:lang w:val="ru-RU"/>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7" w15:restartNumberingAfterBreak="0">
    <w:nsid w:val="604F70F9"/>
    <w:multiLevelType w:val="multilevel"/>
    <w:tmpl w:val="33CA4664"/>
    <w:lvl w:ilvl="0">
      <w:start w:val="11"/>
      <w:numFmt w:val="decimal"/>
      <w:lvlText w:val="%1."/>
      <w:lvlJc w:val="left"/>
      <w:pPr>
        <w:ind w:left="1495" w:hanging="360"/>
      </w:pPr>
      <w:rPr>
        <w:rFonts w:ascii="Times New Roman" w:hAnsi="Times New Roman" w:cs="Times New Roman" w:hint="default"/>
        <w:color w:val="auto"/>
        <w:sz w:val="28"/>
        <w:szCs w:val="28"/>
        <w:lang w:val="ru-RU"/>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8" w15:restartNumberingAfterBreak="0">
    <w:nsid w:val="6EE479F4"/>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F473369"/>
    <w:multiLevelType w:val="hybridMultilevel"/>
    <w:tmpl w:val="3CA4B1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65C0475"/>
    <w:multiLevelType w:val="hybridMultilevel"/>
    <w:tmpl w:val="8B1A0A84"/>
    <w:lvl w:ilvl="0" w:tplc="1960EB2A">
      <w:start w:val="3"/>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DF86ACD"/>
    <w:multiLevelType w:val="multilevel"/>
    <w:tmpl w:val="1CAAFC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0"/>
  </w:num>
  <w:num w:numId="3">
    <w:abstractNumId w:val="3"/>
  </w:num>
  <w:num w:numId="4">
    <w:abstractNumId w:val="10"/>
  </w:num>
  <w:num w:numId="5">
    <w:abstractNumId w:val="6"/>
  </w:num>
  <w:num w:numId="6">
    <w:abstractNumId w:val="1"/>
  </w:num>
  <w:num w:numId="7">
    <w:abstractNumId w:val="2"/>
  </w:num>
  <w:num w:numId="8">
    <w:abstractNumId w:val="5"/>
  </w:num>
  <w:num w:numId="9">
    <w:abstractNumId w:val="4"/>
  </w:num>
  <w:num w:numId="10">
    <w:abstractNumId w:val="8"/>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CF"/>
    <w:rsid w:val="000015CD"/>
    <w:rsid w:val="00001A54"/>
    <w:rsid w:val="00001DDC"/>
    <w:rsid w:val="00007A79"/>
    <w:rsid w:val="000104DC"/>
    <w:rsid w:val="00010A82"/>
    <w:rsid w:val="00010C69"/>
    <w:rsid w:val="00016AA2"/>
    <w:rsid w:val="00020014"/>
    <w:rsid w:val="00020425"/>
    <w:rsid w:val="000219F0"/>
    <w:rsid w:val="00022843"/>
    <w:rsid w:val="00023F41"/>
    <w:rsid w:val="0002456F"/>
    <w:rsid w:val="000256B6"/>
    <w:rsid w:val="000267DE"/>
    <w:rsid w:val="00032E56"/>
    <w:rsid w:val="00034064"/>
    <w:rsid w:val="00036C72"/>
    <w:rsid w:val="0003721A"/>
    <w:rsid w:val="00040352"/>
    <w:rsid w:val="00040660"/>
    <w:rsid w:val="00043128"/>
    <w:rsid w:val="00045706"/>
    <w:rsid w:val="00052E35"/>
    <w:rsid w:val="00060426"/>
    <w:rsid w:val="00060519"/>
    <w:rsid w:val="00064756"/>
    <w:rsid w:val="000658DE"/>
    <w:rsid w:val="00065A7F"/>
    <w:rsid w:val="00066C49"/>
    <w:rsid w:val="0006727F"/>
    <w:rsid w:val="0007024E"/>
    <w:rsid w:val="00071164"/>
    <w:rsid w:val="00072EEA"/>
    <w:rsid w:val="00076DDE"/>
    <w:rsid w:val="00077445"/>
    <w:rsid w:val="000775F5"/>
    <w:rsid w:val="00080F88"/>
    <w:rsid w:val="0008118F"/>
    <w:rsid w:val="00082A68"/>
    <w:rsid w:val="0008358E"/>
    <w:rsid w:val="00083CF1"/>
    <w:rsid w:val="0008655B"/>
    <w:rsid w:val="00090919"/>
    <w:rsid w:val="00090BD4"/>
    <w:rsid w:val="000926A3"/>
    <w:rsid w:val="00092774"/>
    <w:rsid w:val="00093E99"/>
    <w:rsid w:val="00094CC7"/>
    <w:rsid w:val="000A3A5F"/>
    <w:rsid w:val="000A52EE"/>
    <w:rsid w:val="000A54ED"/>
    <w:rsid w:val="000A5931"/>
    <w:rsid w:val="000A687C"/>
    <w:rsid w:val="000A7164"/>
    <w:rsid w:val="000B0A56"/>
    <w:rsid w:val="000B14E2"/>
    <w:rsid w:val="000B2A81"/>
    <w:rsid w:val="000B7424"/>
    <w:rsid w:val="000C0477"/>
    <w:rsid w:val="000C1BB6"/>
    <w:rsid w:val="000C3272"/>
    <w:rsid w:val="000C360E"/>
    <w:rsid w:val="000C3E4A"/>
    <w:rsid w:val="000C4386"/>
    <w:rsid w:val="000C575A"/>
    <w:rsid w:val="000C6C31"/>
    <w:rsid w:val="000D085E"/>
    <w:rsid w:val="000D0BC7"/>
    <w:rsid w:val="000D0E62"/>
    <w:rsid w:val="000D2BCB"/>
    <w:rsid w:val="000D3BE5"/>
    <w:rsid w:val="000D5081"/>
    <w:rsid w:val="000D5146"/>
    <w:rsid w:val="000D6272"/>
    <w:rsid w:val="000E15EA"/>
    <w:rsid w:val="000E422C"/>
    <w:rsid w:val="000E4589"/>
    <w:rsid w:val="000E602B"/>
    <w:rsid w:val="000F003E"/>
    <w:rsid w:val="000F277F"/>
    <w:rsid w:val="000F389F"/>
    <w:rsid w:val="000F3B06"/>
    <w:rsid w:val="000F4E4B"/>
    <w:rsid w:val="000F4F43"/>
    <w:rsid w:val="000F55C1"/>
    <w:rsid w:val="000F6DA9"/>
    <w:rsid w:val="000F7DEB"/>
    <w:rsid w:val="00102078"/>
    <w:rsid w:val="00103761"/>
    <w:rsid w:val="001047D5"/>
    <w:rsid w:val="00110C84"/>
    <w:rsid w:val="00110E21"/>
    <w:rsid w:val="00112955"/>
    <w:rsid w:val="00112EC0"/>
    <w:rsid w:val="00121C1B"/>
    <w:rsid w:val="00122618"/>
    <w:rsid w:val="001227C3"/>
    <w:rsid w:val="00127624"/>
    <w:rsid w:val="00130B9B"/>
    <w:rsid w:val="00132A12"/>
    <w:rsid w:val="00133A6C"/>
    <w:rsid w:val="00134169"/>
    <w:rsid w:val="00135BAE"/>
    <w:rsid w:val="00140181"/>
    <w:rsid w:val="001409F0"/>
    <w:rsid w:val="00140CF9"/>
    <w:rsid w:val="0014178C"/>
    <w:rsid w:val="001438FB"/>
    <w:rsid w:val="00144644"/>
    <w:rsid w:val="00144BBC"/>
    <w:rsid w:val="001464FF"/>
    <w:rsid w:val="001471CC"/>
    <w:rsid w:val="001478A5"/>
    <w:rsid w:val="00147B91"/>
    <w:rsid w:val="001521B9"/>
    <w:rsid w:val="00154B84"/>
    <w:rsid w:val="00155BB4"/>
    <w:rsid w:val="00155D45"/>
    <w:rsid w:val="00155DDB"/>
    <w:rsid w:val="00157AEC"/>
    <w:rsid w:val="00162058"/>
    <w:rsid w:val="00162991"/>
    <w:rsid w:val="001632D3"/>
    <w:rsid w:val="001638E3"/>
    <w:rsid w:val="0016497A"/>
    <w:rsid w:val="00164BC9"/>
    <w:rsid w:val="0016580A"/>
    <w:rsid w:val="001676A1"/>
    <w:rsid w:val="001703F7"/>
    <w:rsid w:val="00170F20"/>
    <w:rsid w:val="00171FE1"/>
    <w:rsid w:val="001720FA"/>
    <w:rsid w:val="00172466"/>
    <w:rsid w:val="001745F4"/>
    <w:rsid w:val="00176C26"/>
    <w:rsid w:val="00177388"/>
    <w:rsid w:val="00180958"/>
    <w:rsid w:val="001809E8"/>
    <w:rsid w:val="0018125B"/>
    <w:rsid w:val="0018125E"/>
    <w:rsid w:val="00181CF1"/>
    <w:rsid w:val="001825D7"/>
    <w:rsid w:val="001843AD"/>
    <w:rsid w:val="00184A9B"/>
    <w:rsid w:val="00190CF9"/>
    <w:rsid w:val="00190DDB"/>
    <w:rsid w:val="001919A0"/>
    <w:rsid w:val="001927F5"/>
    <w:rsid w:val="001935DE"/>
    <w:rsid w:val="00193616"/>
    <w:rsid w:val="0019489B"/>
    <w:rsid w:val="0019746D"/>
    <w:rsid w:val="001A032C"/>
    <w:rsid w:val="001A1385"/>
    <w:rsid w:val="001A195E"/>
    <w:rsid w:val="001A2B3B"/>
    <w:rsid w:val="001A4665"/>
    <w:rsid w:val="001A49A8"/>
    <w:rsid w:val="001A5872"/>
    <w:rsid w:val="001A6C59"/>
    <w:rsid w:val="001A7357"/>
    <w:rsid w:val="001B2E62"/>
    <w:rsid w:val="001B3936"/>
    <w:rsid w:val="001B6030"/>
    <w:rsid w:val="001C1C61"/>
    <w:rsid w:val="001C244D"/>
    <w:rsid w:val="001C4019"/>
    <w:rsid w:val="001C426C"/>
    <w:rsid w:val="001C50A4"/>
    <w:rsid w:val="001C6429"/>
    <w:rsid w:val="001D2BC1"/>
    <w:rsid w:val="001D33FF"/>
    <w:rsid w:val="001D37B1"/>
    <w:rsid w:val="001D3A77"/>
    <w:rsid w:val="001D527E"/>
    <w:rsid w:val="001D5BD2"/>
    <w:rsid w:val="001E12A7"/>
    <w:rsid w:val="001E2C8C"/>
    <w:rsid w:val="001E367E"/>
    <w:rsid w:val="001E5C9D"/>
    <w:rsid w:val="001E6BD6"/>
    <w:rsid w:val="001E75FC"/>
    <w:rsid w:val="001E7E8F"/>
    <w:rsid w:val="001F05FF"/>
    <w:rsid w:val="001F213D"/>
    <w:rsid w:val="001F3CC8"/>
    <w:rsid w:val="001F52A8"/>
    <w:rsid w:val="0020038B"/>
    <w:rsid w:val="00200433"/>
    <w:rsid w:val="00202D39"/>
    <w:rsid w:val="00203EA4"/>
    <w:rsid w:val="00205B51"/>
    <w:rsid w:val="00210DC7"/>
    <w:rsid w:val="00211DC8"/>
    <w:rsid w:val="002126D3"/>
    <w:rsid w:val="002138C3"/>
    <w:rsid w:val="00214525"/>
    <w:rsid w:val="0021530C"/>
    <w:rsid w:val="00215C4A"/>
    <w:rsid w:val="00215F82"/>
    <w:rsid w:val="0022046F"/>
    <w:rsid w:val="00221BE6"/>
    <w:rsid w:val="0022229E"/>
    <w:rsid w:val="002225E1"/>
    <w:rsid w:val="00224508"/>
    <w:rsid w:val="0022648D"/>
    <w:rsid w:val="00226DE3"/>
    <w:rsid w:val="00232095"/>
    <w:rsid w:val="00232F4E"/>
    <w:rsid w:val="00232FBC"/>
    <w:rsid w:val="002333C8"/>
    <w:rsid w:val="00233DFC"/>
    <w:rsid w:val="00234AAB"/>
    <w:rsid w:val="00234FBF"/>
    <w:rsid w:val="0023681D"/>
    <w:rsid w:val="00240641"/>
    <w:rsid w:val="00240A0E"/>
    <w:rsid w:val="00241FFC"/>
    <w:rsid w:val="00243FD7"/>
    <w:rsid w:val="00244190"/>
    <w:rsid w:val="002465A2"/>
    <w:rsid w:val="00247ABE"/>
    <w:rsid w:val="002553C7"/>
    <w:rsid w:val="00257F3B"/>
    <w:rsid w:val="00260E70"/>
    <w:rsid w:val="00263964"/>
    <w:rsid w:val="002640D1"/>
    <w:rsid w:val="00264617"/>
    <w:rsid w:val="00267BE3"/>
    <w:rsid w:val="0027071B"/>
    <w:rsid w:val="002711F5"/>
    <w:rsid w:val="00272F26"/>
    <w:rsid w:val="00273B16"/>
    <w:rsid w:val="002769FC"/>
    <w:rsid w:val="002823DB"/>
    <w:rsid w:val="00284D43"/>
    <w:rsid w:val="00286ACC"/>
    <w:rsid w:val="00291E66"/>
    <w:rsid w:val="0029747C"/>
    <w:rsid w:val="002A03D1"/>
    <w:rsid w:val="002A0991"/>
    <w:rsid w:val="002A18A6"/>
    <w:rsid w:val="002A1DE5"/>
    <w:rsid w:val="002A2CAB"/>
    <w:rsid w:val="002A7D97"/>
    <w:rsid w:val="002B0C9D"/>
    <w:rsid w:val="002B7D9F"/>
    <w:rsid w:val="002C2572"/>
    <w:rsid w:val="002C4000"/>
    <w:rsid w:val="002C488C"/>
    <w:rsid w:val="002C4B55"/>
    <w:rsid w:val="002C4FD9"/>
    <w:rsid w:val="002C6C83"/>
    <w:rsid w:val="002C70E4"/>
    <w:rsid w:val="002D2638"/>
    <w:rsid w:val="002D36A8"/>
    <w:rsid w:val="002D4E60"/>
    <w:rsid w:val="002D5F59"/>
    <w:rsid w:val="002D7100"/>
    <w:rsid w:val="002E1C0F"/>
    <w:rsid w:val="002E2580"/>
    <w:rsid w:val="002E2D37"/>
    <w:rsid w:val="002E3360"/>
    <w:rsid w:val="002E62E8"/>
    <w:rsid w:val="002E6DF3"/>
    <w:rsid w:val="002F2203"/>
    <w:rsid w:val="002F2F57"/>
    <w:rsid w:val="002F6095"/>
    <w:rsid w:val="003024EA"/>
    <w:rsid w:val="00306760"/>
    <w:rsid w:val="003077D0"/>
    <w:rsid w:val="00307A99"/>
    <w:rsid w:val="00315041"/>
    <w:rsid w:val="00320D0A"/>
    <w:rsid w:val="00323C5A"/>
    <w:rsid w:val="00324969"/>
    <w:rsid w:val="00324BD4"/>
    <w:rsid w:val="00324BE8"/>
    <w:rsid w:val="0032559A"/>
    <w:rsid w:val="00327D0F"/>
    <w:rsid w:val="003316B9"/>
    <w:rsid w:val="00333A2F"/>
    <w:rsid w:val="0034031E"/>
    <w:rsid w:val="00346D38"/>
    <w:rsid w:val="00347187"/>
    <w:rsid w:val="00350AE8"/>
    <w:rsid w:val="00352A7C"/>
    <w:rsid w:val="00355012"/>
    <w:rsid w:val="00355DE5"/>
    <w:rsid w:val="00356643"/>
    <w:rsid w:val="00357210"/>
    <w:rsid w:val="00362892"/>
    <w:rsid w:val="003666C9"/>
    <w:rsid w:val="00372C5E"/>
    <w:rsid w:val="00373FCA"/>
    <w:rsid w:val="00374EA6"/>
    <w:rsid w:val="0037520C"/>
    <w:rsid w:val="003759E4"/>
    <w:rsid w:val="003778E5"/>
    <w:rsid w:val="0038024A"/>
    <w:rsid w:val="00380BD6"/>
    <w:rsid w:val="00385667"/>
    <w:rsid w:val="00385A3C"/>
    <w:rsid w:val="003906C9"/>
    <w:rsid w:val="00391A41"/>
    <w:rsid w:val="0039250E"/>
    <w:rsid w:val="00393AC9"/>
    <w:rsid w:val="00394949"/>
    <w:rsid w:val="0039526B"/>
    <w:rsid w:val="00395418"/>
    <w:rsid w:val="003A1BD6"/>
    <w:rsid w:val="003A2149"/>
    <w:rsid w:val="003A24EC"/>
    <w:rsid w:val="003A2EDB"/>
    <w:rsid w:val="003A2FCD"/>
    <w:rsid w:val="003A5D84"/>
    <w:rsid w:val="003A64AD"/>
    <w:rsid w:val="003B319F"/>
    <w:rsid w:val="003B66CA"/>
    <w:rsid w:val="003B66D7"/>
    <w:rsid w:val="003B7814"/>
    <w:rsid w:val="003C0804"/>
    <w:rsid w:val="003C5EDE"/>
    <w:rsid w:val="003D0BD5"/>
    <w:rsid w:val="003D2082"/>
    <w:rsid w:val="003D513C"/>
    <w:rsid w:val="003D5E7E"/>
    <w:rsid w:val="003E0516"/>
    <w:rsid w:val="003E1FCC"/>
    <w:rsid w:val="003E21A7"/>
    <w:rsid w:val="003E2D7C"/>
    <w:rsid w:val="003E4C13"/>
    <w:rsid w:val="003E4F19"/>
    <w:rsid w:val="003E6269"/>
    <w:rsid w:val="003E6659"/>
    <w:rsid w:val="003E779A"/>
    <w:rsid w:val="003E7B8F"/>
    <w:rsid w:val="003F0564"/>
    <w:rsid w:val="003F2809"/>
    <w:rsid w:val="003F5B35"/>
    <w:rsid w:val="003F6E41"/>
    <w:rsid w:val="003F72CD"/>
    <w:rsid w:val="004009F4"/>
    <w:rsid w:val="0040170E"/>
    <w:rsid w:val="00401FF0"/>
    <w:rsid w:val="00402018"/>
    <w:rsid w:val="00404F1C"/>
    <w:rsid w:val="004054FD"/>
    <w:rsid w:val="00406858"/>
    <w:rsid w:val="00406CA6"/>
    <w:rsid w:val="0041025A"/>
    <w:rsid w:val="00410615"/>
    <w:rsid w:val="004132FF"/>
    <w:rsid w:val="00413535"/>
    <w:rsid w:val="00413A93"/>
    <w:rsid w:val="00413FCB"/>
    <w:rsid w:val="004175DE"/>
    <w:rsid w:val="004217DD"/>
    <w:rsid w:val="00422052"/>
    <w:rsid w:val="00422392"/>
    <w:rsid w:val="00422D47"/>
    <w:rsid w:val="004237D3"/>
    <w:rsid w:val="00424812"/>
    <w:rsid w:val="004252DB"/>
    <w:rsid w:val="0043520E"/>
    <w:rsid w:val="004360B4"/>
    <w:rsid w:val="00436C19"/>
    <w:rsid w:val="004379AF"/>
    <w:rsid w:val="00437E51"/>
    <w:rsid w:val="004409F5"/>
    <w:rsid w:val="00441BB7"/>
    <w:rsid w:val="0044335F"/>
    <w:rsid w:val="00444B51"/>
    <w:rsid w:val="00445547"/>
    <w:rsid w:val="00445BF6"/>
    <w:rsid w:val="004468DD"/>
    <w:rsid w:val="00451118"/>
    <w:rsid w:val="004520E8"/>
    <w:rsid w:val="00452465"/>
    <w:rsid w:val="00457405"/>
    <w:rsid w:val="0046014F"/>
    <w:rsid w:val="00460E64"/>
    <w:rsid w:val="00463326"/>
    <w:rsid w:val="00463FED"/>
    <w:rsid w:val="00464189"/>
    <w:rsid w:val="00465C39"/>
    <w:rsid w:val="00465F4A"/>
    <w:rsid w:val="0046710B"/>
    <w:rsid w:val="004714C9"/>
    <w:rsid w:val="00472EFB"/>
    <w:rsid w:val="004736FD"/>
    <w:rsid w:val="00473BA0"/>
    <w:rsid w:val="004743A7"/>
    <w:rsid w:val="00474B68"/>
    <w:rsid w:val="004754F7"/>
    <w:rsid w:val="00475994"/>
    <w:rsid w:val="00475C0E"/>
    <w:rsid w:val="004769B6"/>
    <w:rsid w:val="00477DC6"/>
    <w:rsid w:val="00481BB1"/>
    <w:rsid w:val="00481D75"/>
    <w:rsid w:val="004829F7"/>
    <w:rsid w:val="00482F41"/>
    <w:rsid w:val="00483DC6"/>
    <w:rsid w:val="00486CA7"/>
    <w:rsid w:val="0048784D"/>
    <w:rsid w:val="0049078E"/>
    <w:rsid w:val="00490A3B"/>
    <w:rsid w:val="00492966"/>
    <w:rsid w:val="00493CE5"/>
    <w:rsid w:val="004951EE"/>
    <w:rsid w:val="004966E7"/>
    <w:rsid w:val="00497443"/>
    <w:rsid w:val="0049748E"/>
    <w:rsid w:val="00497BDD"/>
    <w:rsid w:val="004A22AD"/>
    <w:rsid w:val="004A4D1E"/>
    <w:rsid w:val="004A5AC2"/>
    <w:rsid w:val="004A679D"/>
    <w:rsid w:val="004A6A2C"/>
    <w:rsid w:val="004B1947"/>
    <w:rsid w:val="004B3B25"/>
    <w:rsid w:val="004B512A"/>
    <w:rsid w:val="004B59D9"/>
    <w:rsid w:val="004B697E"/>
    <w:rsid w:val="004C0880"/>
    <w:rsid w:val="004C16C7"/>
    <w:rsid w:val="004C2EB6"/>
    <w:rsid w:val="004C37BE"/>
    <w:rsid w:val="004D0783"/>
    <w:rsid w:val="004D1451"/>
    <w:rsid w:val="004D1AF5"/>
    <w:rsid w:val="004D1DAD"/>
    <w:rsid w:val="004D2F4C"/>
    <w:rsid w:val="004D4F9F"/>
    <w:rsid w:val="004D5465"/>
    <w:rsid w:val="004D7E69"/>
    <w:rsid w:val="004E4026"/>
    <w:rsid w:val="004E713D"/>
    <w:rsid w:val="004E7627"/>
    <w:rsid w:val="004F2B03"/>
    <w:rsid w:val="004F514C"/>
    <w:rsid w:val="004F5431"/>
    <w:rsid w:val="004F6926"/>
    <w:rsid w:val="00500CDD"/>
    <w:rsid w:val="00501DB1"/>
    <w:rsid w:val="00502723"/>
    <w:rsid w:val="005036ED"/>
    <w:rsid w:val="00506E8A"/>
    <w:rsid w:val="00511059"/>
    <w:rsid w:val="005115E2"/>
    <w:rsid w:val="005170DA"/>
    <w:rsid w:val="0051787F"/>
    <w:rsid w:val="005178C2"/>
    <w:rsid w:val="00520213"/>
    <w:rsid w:val="00520624"/>
    <w:rsid w:val="0052251C"/>
    <w:rsid w:val="00522F69"/>
    <w:rsid w:val="005230B0"/>
    <w:rsid w:val="0052478E"/>
    <w:rsid w:val="005255B1"/>
    <w:rsid w:val="00530CFB"/>
    <w:rsid w:val="00533428"/>
    <w:rsid w:val="00540BF7"/>
    <w:rsid w:val="00542C2E"/>
    <w:rsid w:val="00543AFF"/>
    <w:rsid w:val="00545990"/>
    <w:rsid w:val="00546484"/>
    <w:rsid w:val="00552CE6"/>
    <w:rsid w:val="00552F86"/>
    <w:rsid w:val="00553278"/>
    <w:rsid w:val="00554819"/>
    <w:rsid w:val="00556074"/>
    <w:rsid w:val="00556CC9"/>
    <w:rsid w:val="00560BC1"/>
    <w:rsid w:val="00563D58"/>
    <w:rsid w:val="00563E8C"/>
    <w:rsid w:val="00564427"/>
    <w:rsid w:val="00566D84"/>
    <w:rsid w:val="0056705E"/>
    <w:rsid w:val="00570268"/>
    <w:rsid w:val="00570A27"/>
    <w:rsid w:val="00570D77"/>
    <w:rsid w:val="00570FE0"/>
    <w:rsid w:val="00573E68"/>
    <w:rsid w:val="00576498"/>
    <w:rsid w:val="0058011F"/>
    <w:rsid w:val="00580A3B"/>
    <w:rsid w:val="005827A5"/>
    <w:rsid w:val="00585699"/>
    <w:rsid w:val="005860EB"/>
    <w:rsid w:val="00586804"/>
    <w:rsid w:val="00586D3E"/>
    <w:rsid w:val="0059000B"/>
    <w:rsid w:val="0059036F"/>
    <w:rsid w:val="005904C6"/>
    <w:rsid w:val="0059130D"/>
    <w:rsid w:val="00591613"/>
    <w:rsid w:val="00591F70"/>
    <w:rsid w:val="00592183"/>
    <w:rsid w:val="00592F73"/>
    <w:rsid w:val="005946E7"/>
    <w:rsid w:val="005A0118"/>
    <w:rsid w:val="005A0C91"/>
    <w:rsid w:val="005A1AAA"/>
    <w:rsid w:val="005A1E27"/>
    <w:rsid w:val="005A3762"/>
    <w:rsid w:val="005A46EF"/>
    <w:rsid w:val="005A4971"/>
    <w:rsid w:val="005A5868"/>
    <w:rsid w:val="005A66B4"/>
    <w:rsid w:val="005A75A6"/>
    <w:rsid w:val="005B02B4"/>
    <w:rsid w:val="005B0CA0"/>
    <w:rsid w:val="005B158D"/>
    <w:rsid w:val="005B15AB"/>
    <w:rsid w:val="005B2488"/>
    <w:rsid w:val="005B27C4"/>
    <w:rsid w:val="005B32E0"/>
    <w:rsid w:val="005B337C"/>
    <w:rsid w:val="005B39B1"/>
    <w:rsid w:val="005B7CEA"/>
    <w:rsid w:val="005C0907"/>
    <w:rsid w:val="005C0C80"/>
    <w:rsid w:val="005C1409"/>
    <w:rsid w:val="005C146B"/>
    <w:rsid w:val="005C2E7D"/>
    <w:rsid w:val="005C40FE"/>
    <w:rsid w:val="005C7D1F"/>
    <w:rsid w:val="005D00C1"/>
    <w:rsid w:val="005D20FF"/>
    <w:rsid w:val="005D289B"/>
    <w:rsid w:val="005D3284"/>
    <w:rsid w:val="005D3656"/>
    <w:rsid w:val="005D694C"/>
    <w:rsid w:val="005E2803"/>
    <w:rsid w:val="005E2ACC"/>
    <w:rsid w:val="005E327A"/>
    <w:rsid w:val="005E33B6"/>
    <w:rsid w:val="005E34B1"/>
    <w:rsid w:val="005E3DA8"/>
    <w:rsid w:val="005E474A"/>
    <w:rsid w:val="005E72AD"/>
    <w:rsid w:val="005F3EE1"/>
    <w:rsid w:val="005F6AEB"/>
    <w:rsid w:val="00601B25"/>
    <w:rsid w:val="00601FF9"/>
    <w:rsid w:val="00604E26"/>
    <w:rsid w:val="00605B8E"/>
    <w:rsid w:val="00606785"/>
    <w:rsid w:val="00606ADE"/>
    <w:rsid w:val="00607068"/>
    <w:rsid w:val="006100F7"/>
    <w:rsid w:val="006125E8"/>
    <w:rsid w:val="0062043F"/>
    <w:rsid w:val="00620DAC"/>
    <w:rsid w:val="0062101A"/>
    <w:rsid w:val="00622986"/>
    <w:rsid w:val="00622B5D"/>
    <w:rsid w:val="00622DFF"/>
    <w:rsid w:val="0062422D"/>
    <w:rsid w:val="0062607C"/>
    <w:rsid w:val="006279A5"/>
    <w:rsid w:val="006302E3"/>
    <w:rsid w:val="00637878"/>
    <w:rsid w:val="00640FFC"/>
    <w:rsid w:val="006423A2"/>
    <w:rsid w:val="00643217"/>
    <w:rsid w:val="00643221"/>
    <w:rsid w:val="006432FE"/>
    <w:rsid w:val="006447A4"/>
    <w:rsid w:val="006473FA"/>
    <w:rsid w:val="0065019E"/>
    <w:rsid w:val="006515C9"/>
    <w:rsid w:val="00652421"/>
    <w:rsid w:val="00657608"/>
    <w:rsid w:val="00660E6C"/>
    <w:rsid w:val="0066189D"/>
    <w:rsid w:val="00661CE0"/>
    <w:rsid w:val="0066537F"/>
    <w:rsid w:val="00665550"/>
    <w:rsid w:val="0066698A"/>
    <w:rsid w:val="00672C67"/>
    <w:rsid w:val="00673AD4"/>
    <w:rsid w:val="0067406C"/>
    <w:rsid w:val="00677932"/>
    <w:rsid w:val="00680E27"/>
    <w:rsid w:val="006812A7"/>
    <w:rsid w:val="006828D5"/>
    <w:rsid w:val="00682B14"/>
    <w:rsid w:val="00682E37"/>
    <w:rsid w:val="006853FA"/>
    <w:rsid w:val="006858B7"/>
    <w:rsid w:val="0068691B"/>
    <w:rsid w:val="00687261"/>
    <w:rsid w:val="0068764A"/>
    <w:rsid w:val="006902C6"/>
    <w:rsid w:val="00694C02"/>
    <w:rsid w:val="006952B6"/>
    <w:rsid w:val="006A0D83"/>
    <w:rsid w:val="006A1C5C"/>
    <w:rsid w:val="006A1FF5"/>
    <w:rsid w:val="006A2441"/>
    <w:rsid w:val="006A2A97"/>
    <w:rsid w:val="006A34E0"/>
    <w:rsid w:val="006A7E6E"/>
    <w:rsid w:val="006B1DB1"/>
    <w:rsid w:val="006B3F79"/>
    <w:rsid w:val="006B4689"/>
    <w:rsid w:val="006B4D5F"/>
    <w:rsid w:val="006C1069"/>
    <w:rsid w:val="006C1D91"/>
    <w:rsid w:val="006C2045"/>
    <w:rsid w:val="006C274B"/>
    <w:rsid w:val="006C51E7"/>
    <w:rsid w:val="006C76FC"/>
    <w:rsid w:val="006D17E8"/>
    <w:rsid w:val="006D1D2B"/>
    <w:rsid w:val="006D2F6B"/>
    <w:rsid w:val="006E40F2"/>
    <w:rsid w:val="006E4BEE"/>
    <w:rsid w:val="006F0944"/>
    <w:rsid w:val="006F1678"/>
    <w:rsid w:val="006F1EEC"/>
    <w:rsid w:val="006F2300"/>
    <w:rsid w:val="006F2BB1"/>
    <w:rsid w:val="00701F0A"/>
    <w:rsid w:val="00702581"/>
    <w:rsid w:val="00704D9C"/>
    <w:rsid w:val="00710D9E"/>
    <w:rsid w:val="00713203"/>
    <w:rsid w:val="007140D4"/>
    <w:rsid w:val="007204D5"/>
    <w:rsid w:val="00722206"/>
    <w:rsid w:val="00724951"/>
    <w:rsid w:val="00725578"/>
    <w:rsid w:val="007273D9"/>
    <w:rsid w:val="0072789D"/>
    <w:rsid w:val="00731197"/>
    <w:rsid w:val="00736DB2"/>
    <w:rsid w:val="0074003F"/>
    <w:rsid w:val="007417E8"/>
    <w:rsid w:val="00742965"/>
    <w:rsid w:val="00742BAD"/>
    <w:rsid w:val="00745330"/>
    <w:rsid w:val="007501E7"/>
    <w:rsid w:val="00755C23"/>
    <w:rsid w:val="0075623A"/>
    <w:rsid w:val="00756CDC"/>
    <w:rsid w:val="00757FF5"/>
    <w:rsid w:val="0076208F"/>
    <w:rsid w:val="00762724"/>
    <w:rsid w:val="0076287B"/>
    <w:rsid w:val="00764C7D"/>
    <w:rsid w:val="00765257"/>
    <w:rsid w:val="00765EE7"/>
    <w:rsid w:val="00766D85"/>
    <w:rsid w:val="0076715F"/>
    <w:rsid w:val="0076799C"/>
    <w:rsid w:val="00771BB7"/>
    <w:rsid w:val="007722BE"/>
    <w:rsid w:val="0077403B"/>
    <w:rsid w:val="00783539"/>
    <w:rsid w:val="00785244"/>
    <w:rsid w:val="007877C4"/>
    <w:rsid w:val="00787DA6"/>
    <w:rsid w:val="00791CA2"/>
    <w:rsid w:val="007964D6"/>
    <w:rsid w:val="007975A8"/>
    <w:rsid w:val="007977F2"/>
    <w:rsid w:val="007A217D"/>
    <w:rsid w:val="007A2B7B"/>
    <w:rsid w:val="007A3FBC"/>
    <w:rsid w:val="007A48B5"/>
    <w:rsid w:val="007A4A2F"/>
    <w:rsid w:val="007A4BA1"/>
    <w:rsid w:val="007A4C92"/>
    <w:rsid w:val="007A756C"/>
    <w:rsid w:val="007B1610"/>
    <w:rsid w:val="007B1677"/>
    <w:rsid w:val="007B1BA1"/>
    <w:rsid w:val="007B2380"/>
    <w:rsid w:val="007B2E0B"/>
    <w:rsid w:val="007B2FFB"/>
    <w:rsid w:val="007B37AB"/>
    <w:rsid w:val="007B6BCA"/>
    <w:rsid w:val="007B7DEB"/>
    <w:rsid w:val="007B7EEB"/>
    <w:rsid w:val="007C156A"/>
    <w:rsid w:val="007C34D7"/>
    <w:rsid w:val="007C5FB8"/>
    <w:rsid w:val="007C634E"/>
    <w:rsid w:val="007C675C"/>
    <w:rsid w:val="007C7DAF"/>
    <w:rsid w:val="007D1F68"/>
    <w:rsid w:val="007D6775"/>
    <w:rsid w:val="007D78C0"/>
    <w:rsid w:val="007D7E4A"/>
    <w:rsid w:val="007E74D0"/>
    <w:rsid w:val="007F116B"/>
    <w:rsid w:val="007F2AC9"/>
    <w:rsid w:val="007F3B54"/>
    <w:rsid w:val="007F45C5"/>
    <w:rsid w:val="00800A23"/>
    <w:rsid w:val="00804A70"/>
    <w:rsid w:val="00805D3F"/>
    <w:rsid w:val="008110B9"/>
    <w:rsid w:val="00812D85"/>
    <w:rsid w:val="008133F6"/>
    <w:rsid w:val="00815D94"/>
    <w:rsid w:val="00816B80"/>
    <w:rsid w:val="00816EAE"/>
    <w:rsid w:val="00823270"/>
    <w:rsid w:val="00825226"/>
    <w:rsid w:val="00825E5F"/>
    <w:rsid w:val="00827AD1"/>
    <w:rsid w:val="00827BA0"/>
    <w:rsid w:val="008301B3"/>
    <w:rsid w:val="00831CBA"/>
    <w:rsid w:val="00833D1C"/>
    <w:rsid w:val="00836163"/>
    <w:rsid w:val="0083622B"/>
    <w:rsid w:val="00836E62"/>
    <w:rsid w:val="00837544"/>
    <w:rsid w:val="00840F84"/>
    <w:rsid w:val="008413E1"/>
    <w:rsid w:val="00842032"/>
    <w:rsid w:val="00845249"/>
    <w:rsid w:val="00845517"/>
    <w:rsid w:val="00845565"/>
    <w:rsid w:val="0084568C"/>
    <w:rsid w:val="0084625E"/>
    <w:rsid w:val="008465FA"/>
    <w:rsid w:val="00846901"/>
    <w:rsid w:val="00847941"/>
    <w:rsid w:val="008515A5"/>
    <w:rsid w:val="00851DE9"/>
    <w:rsid w:val="00854E53"/>
    <w:rsid w:val="00856290"/>
    <w:rsid w:val="00861809"/>
    <w:rsid w:val="00862380"/>
    <w:rsid w:val="00862414"/>
    <w:rsid w:val="0086285E"/>
    <w:rsid w:val="008630D9"/>
    <w:rsid w:val="00863F0C"/>
    <w:rsid w:val="00870FFA"/>
    <w:rsid w:val="008719F9"/>
    <w:rsid w:val="00871B4C"/>
    <w:rsid w:val="0087499A"/>
    <w:rsid w:val="00876545"/>
    <w:rsid w:val="00877D42"/>
    <w:rsid w:val="008802E5"/>
    <w:rsid w:val="00884DBD"/>
    <w:rsid w:val="00885E36"/>
    <w:rsid w:val="00886973"/>
    <w:rsid w:val="0089302F"/>
    <w:rsid w:val="008976A1"/>
    <w:rsid w:val="008A2BFD"/>
    <w:rsid w:val="008A3179"/>
    <w:rsid w:val="008A4AFF"/>
    <w:rsid w:val="008A7FCE"/>
    <w:rsid w:val="008B3173"/>
    <w:rsid w:val="008B38A9"/>
    <w:rsid w:val="008B6330"/>
    <w:rsid w:val="008B63C3"/>
    <w:rsid w:val="008B66A4"/>
    <w:rsid w:val="008B7A89"/>
    <w:rsid w:val="008C096D"/>
    <w:rsid w:val="008C4D5D"/>
    <w:rsid w:val="008C6D43"/>
    <w:rsid w:val="008C7EA0"/>
    <w:rsid w:val="008D42EF"/>
    <w:rsid w:val="008D6919"/>
    <w:rsid w:val="008E7A1C"/>
    <w:rsid w:val="008F1D1F"/>
    <w:rsid w:val="008F2027"/>
    <w:rsid w:val="008F4846"/>
    <w:rsid w:val="008F6388"/>
    <w:rsid w:val="008F6C2B"/>
    <w:rsid w:val="0090375E"/>
    <w:rsid w:val="00906646"/>
    <w:rsid w:val="00910446"/>
    <w:rsid w:val="009108FC"/>
    <w:rsid w:val="00911123"/>
    <w:rsid w:val="00913B2E"/>
    <w:rsid w:val="0091688E"/>
    <w:rsid w:val="00920650"/>
    <w:rsid w:val="00920B1D"/>
    <w:rsid w:val="00923801"/>
    <w:rsid w:val="00923D7C"/>
    <w:rsid w:val="00926146"/>
    <w:rsid w:val="0092672E"/>
    <w:rsid w:val="00927159"/>
    <w:rsid w:val="0092792C"/>
    <w:rsid w:val="00930380"/>
    <w:rsid w:val="00930FD4"/>
    <w:rsid w:val="0093248C"/>
    <w:rsid w:val="00935191"/>
    <w:rsid w:val="0093652A"/>
    <w:rsid w:val="00936FAE"/>
    <w:rsid w:val="009409F8"/>
    <w:rsid w:val="00943704"/>
    <w:rsid w:val="0094636F"/>
    <w:rsid w:val="0094660D"/>
    <w:rsid w:val="00953A7C"/>
    <w:rsid w:val="00963076"/>
    <w:rsid w:val="00964310"/>
    <w:rsid w:val="00966EEB"/>
    <w:rsid w:val="00967DC2"/>
    <w:rsid w:val="00970CC8"/>
    <w:rsid w:val="00973BC4"/>
    <w:rsid w:val="00977017"/>
    <w:rsid w:val="009775F5"/>
    <w:rsid w:val="009920FA"/>
    <w:rsid w:val="00992427"/>
    <w:rsid w:val="009926F7"/>
    <w:rsid w:val="00993345"/>
    <w:rsid w:val="00994C6D"/>
    <w:rsid w:val="0099739D"/>
    <w:rsid w:val="009A00D7"/>
    <w:rsid w:val="009A0481"/>
    <w:rsid w:val="009A0CF9"/>
    <w:rsid w:val="009A31B8"/>
    <w:rsid w:val="009A3843"/>
    <w:rsid w:val="009A4B38"/>
    <w:rsid w:val="009A4F22"/>
    <w:rsid w:val="009A5E28"/>
    <w:rsid w:val="009A78B1"/>
    <w:rsid w:val="009A7E61"/>
    <w:rsid w:val="009B1BD3"/>
    <w:rsid w:val="009B2D0E"/>
    <w:rsid w:val="009B4320"/>
    <w:rsid w:val="009B5661"/>
    <w:rsid w:val="009B5E23"/>
    <w:rsid w:val="009C0E75"/>
    <w:rsid w:val="009C0EBC"/>
    <w:rsid w:val="009C13A4"/>
    <w:rsid w:val="009C145D"/>
    <w:rsid w:val="009C2409"/>
    <w:rsid w:val="009C389B"/>
    <w:rsid w:val="009C3C47"/>
    <w:rsid w:val="009C5822"/>
    <w:rsid w:val="009D12EF"/>
    <w:rsid w:val="009D3123"/>
    <w:rsid w:val="009D4592"/>
    <w:rsid w:val="009D4667"/>
    <w:rsid w:val="009D6871"/>
    <w:rsid w:val="009D6A41"/>
    <w:rsid w:val="009E023A"/>
    <w:rsid w:val="009E037F"/>
    <w:rsid w:val="009E0B6D"/>
    <w:rsid w:val="009E10D6"/>
    <w:rsid w:val="009E2B43"/>
    <w:rsid w:val="009E3EF9"/>
    <w:rsid w:val="009E7BAE"/>
    <w:rsid w:val="009F0D6F"/>
    <w:rsid w:val="009F25CE"/>
    <w:rsid w:val="009F7693"/>
    <w:rsid w:val="009F79E4"/>
    <w:rsid w:val="00A00384"/>
    <w:rsid w:val="00A00D9A"/>
    <w:rsid w:val="00A0157C"/>
    <w:rsid w:val="00A04F8F"/>
    <w:rsid w:val="00A066E6"/>
    <w:rsid w:val="00A12DC9"/>
    <w:rsid w:val="00A13948"/>
    <w:rsid w:val="00A148F0"/>
    <w:rsid w:val="00A1518E"/>
    <w:rsid w:val="00A16812"/>
    <w:rsid w:val="00A16B58"/>
    <w:rsid w:val="00A16C7B"/>
    <w:rsid w:val="00A21DA9"/>
    <w:rsid w:val="00A26C8E"/>
    <w:rsid w:val="00A3063D"/>
    <w:rsid w:val="00A30C57"/>
    <w:rsid w:val="00A34F8F"/>
    <w:rsid w:val="00A3702B"/>
    <w:rsid w:val="00A40979"/>
    <w:rsid w:val="00A4338D"/>
    <w:rsid w:val="00A467CB"/>
    <w:rsid w:val="00A47D16"/>
    <w:rsid w:val="00A51C7D"/>
    <w:rsid w:val="00A5204E"/>
    <w:rsid w:val="00A54C37"/>
    <w:rsid w:val="00A551D9"/>
    <w:rsid w:val="00A5526C"/>
    <w:rsid w:val="00A5677E"/>
    <w:rsid w:val="00A62E6E"/>
    <w:rsid w:val="00A67A41"/>
    <w:rsid w:val="00A67C94"/>
    <w:rsid w:val="00A7123D"/>
    <w:rsid w:val="00A7395E"/>
    <w:rsid w:val="00A75328"/>
    <w:rsid w:val="00A75DAD"/>
    <w:rsid w:val="00A802CC"/>
    <w:rsid w:val="00A80DD9"/>
    <w:rsid w:val="00A812ED"/>
    <w:rsid w:val="00A81632"/>
    <w:rsid w:val="00A85364"/>
    <w:rsid w:val="00A86A07"/>
    <w:rsid w:val="00A86E39"/>
    <w:rsid w:val="00A9037A"/>
    <w:rsid w:val="00A94519"/>
    <w:rsid w:val="00A94EBF"/>
    <w:rsid w:val="00A96663"/>
    <w:rsid w:val="00A969B5"/>
    <w:rsid w:val="00AA11CC"/>
    <w:rsid w:val="00AA1FB4"/>
    <w:rsid w:val="00AA2BA8"/>
    <w:rsid w:val="00AA4633"/>
    <w:rsid w:val="00AA4895"/>
    <w:rsid w:val="00AA5866"/>
    <w:rsid w:val="00AA6B37"/>
    <w:rsid w:val="00AA7926"/>
    <w:rsid w:val="00AB12C8"/>
    <w:rsid w:val="00AB1A38"/>
    <w:rsid w:val="00AB1A7D"/>
    <w:rsid w:val="00AB3FF0"/>
    <w:rsid w:val="00AB5A5C"/>
    <w:rsid w:val="00AB5D89"/>
    <w:rsid w:val="00AB6186"/>
    <w:rsid w:val="00AB646F"/>
    <w:rsid w:val="00AB6A2F"/>
    <w:rsid w:val="00AC182F"/>
    <w:rsid w:val="00AC18B4"/>
    <w:rsid w:val="00AC21C3"/>
    <w:rsid w:val="00AC376C"/>
    <w:rsid w:val="00AC45AD"/>
    <w:rsid w:val="00AC727F"/>
    <w:rsid w:val="00AD452C"/>
    <w:rsid w:val="00AD506E"/>
    <w:rsid w:val="00AD5736"/>
    <w:rsid w:val="00AD6C29"/>
    <w:rsid w:val="00AE1161"/>
    <w:rsid w:val="00AE1AE0"/>
    <w:rsid w:val="00AE361F"/>
    <w:rsid w:val="00AE3A86"/>
    <w:rsid w:val="00AE3E0F"/>
    <w:rsid w:val="00AE58CC"/>
    <w:rsid w:val="00AE5A68"/>
    <w:rsid w:val="00AE6AFB"/>
    <w:rsid w:val="00AF0B2E"/>
    <w:rsid w:val="00AF0E08"/>
    <w:rsid w:val="00AF11ED"/>
    <w:rsid w:val="00AF15D4"/>
    <w:rsid w:val="00AF3ABC"/>
    <w:rsid w:val="00AF3E76"/>
    <w:rsid w:val="00AF45B5"/>
    <w:rsid w:val="00B02642"/>
    <w:rsid w:val="00B06C3C"/>
    <w:rsid w:val="00B071D2"/>
    <w:rsid w:val="00B07478"/>
    <w:rsid w:val="00B07DF3"/>
    <w:rsid w:val="00B106A8"/>
    <w:rsid w:val="00B12D02"/>
    <w:rsid w:val="00B132C0"/>
    <w:rsid w:val="00B13826"/>
    <w:rsid w:val="00B14EEA"/>
    <w:rsid w:val="00B1787A"/>
    <w:rsid w:val="00B20C37"/>
    <w:rsid w:val="00B20FC8"/>
    <w:rsid w:val="00B22F2C"/>
    <w:rsid w:val="00B24E32"/>
    <w:rsid w:val="00B3181A"/>
    <w:rsid w:val="00B32691"/>
    <w:rsid w:val="00B3342A"/>
    <w:rsid w:val="00B34D39"/>
    <w:rsid w:val="00B360F3"/>
    <w:rsid w:val="00B426AA"/>
    <w:rsid w:val="00B44129"/>
    <w:rsid w:val="00B46875"/>
    <w:rsid w:val="00B50297"/>
    <w:rsid w:val="00B5282C"/>
    <w:rsid w:val="00B545A5"/>
    <w:rsid w:val="00B55A53"/>
    <w:rsid w:val="00B6127A"/>
    <w:rsid w:val="00B61805"/>
    <w:rsid w:val="00B61B0D"/>
    <w:rsid w:val="00B638FD"/>
    <w:rsid w:val="00B64452"/>
    <w:rsid w:val="00B6486D"/>
    <w:rsid w:val="00B651A8"/>
    <w:rsid w:val="00B66632"/>
    <w:rsid w:val="00B66E08"/>
    <w:rsid w:val="00B70AD2"/>
    <w:rsid w:val="00B74520"/>
    <w:rsid w:val="00B75637"/>
    <w:rsid w:val="00B80A2A"/>
    <w:rsid w:val="00B81E3B"/>
    <w:rsid w:val="00B82521"/>
    <w:rsid w:val="00B828AD"/>
    <w:rsid w:val="00B834FB"/>
    <w:rsid w:val="00B845BE"/>
    <w:rsid w:val="00B84EBD"/>
    <w:rsid w:val="00B85176"/>
    <w:rsid w:val="00B86681"/>
    <w:rsid w:val="00B8786E"/>
    <w:rsid w:val="00B87BF3"/>
    <w:rsid w:val="00B96A53"/>
    <w:rsid w:val="00B96C40"/>
    <w:rsid w:val="00BA10A6"/>
    <w:rsid w:val="00BA13C4"/>
    <w:rsid w:val="00BA400E"/>
    <w:rsid w:val="00BA47B5"/>
    <w:rsid w:val="00BA5270"/>
    <w:rsid w:val="00BA6AA0"/>
    <w:rsid w:val="00BA7750"/>
    <w:rsid w:val="00BB1255"/>
    <w:rsid w:val="00BB14CF"/>
    <w:rsid w:val="00BB29DB"/>
    <w:rsid w:val="00BB2E85"/>
    <w:rsid w:val="00BB3353"/>
    <w:rsid w:val="00BB37E5"/>
    <w:rsid w:val="00BB3B83"/>
    <w:rsid w:val="00BB44F8"/>
    <w:rsid w:val="00BB5871"/>
    <w:rsid w:val="00BB7129"/>
    <w:rsid w:val="00BB7CC9"/>
    <w:rsid w:val="00BC2297"/>
    <w:rsid w:val="00BC2D92"/>
    <w:rsid w:val="00BC42E7"/>
    <w:rsid w:val="00BC44EF"/>
    <w:rsid w:val="00BC45BD"/>
    <w:rsid w:val="00BC7FA2"/>
    <w:rsid w:val="00BD0910"/>
    <w:rsid w:val="00BD12C5"/>
    <w:rsid w:val="00BD24F8"/>
    <w:rsid w:val="00BD366F"/>
    <w:rsid w:val="00BD36A1"/>
    <w:rsid w:val="00BD3E2D"/>
    <w:rsid w:val="00BD7A76"/>
    <w:rsid w:val="00BE0F73"/>
    <w:rsid w:val="00BE3963"/>
    <w:rsid w:val="00BE3D57"/>
    <w:rsid w:val="00BE4633"/>
    <w:rsid w:val="00BE5167"/>
    <w:rsid w:val="00BE643F"/>
    <w:rsid w:val="00BF034A"/>
    <w:rsid w:val="00BF4877"/>
    <w:rsid w:val="00C02786"/>
    <w:rsid w:val="00C0306B"/>
    <w:rsid w:val="00C05097"/>
    <w:rsid w:val="00C07D69"/>
    <w:rsid w:val="00C123A2"/>
    <w:rsid w:val="00C124B4"/>
    <w:rsid w:val="00C1311C"/>
    <w:rsid w:val="00C13325"/>
    <w:rsid w:val="00C15786"/>
    <w:rsid w:val="00C1677D"/>
    <w:rsid w:val="00C17DA8"/>
    <w:rsid w:val="00C20F7E"/>
    <w:rsid w:val="00C2369E"/>
    <w:rsid w:val="00C23C8E"/>
    <w:rsid w:val="00C23DD9"/>
    <w:rsid w:val="00C24623"/>
    <w:rsid w:val="00C30427"/>
    <w:rsid w:val="00C310B4"/>
    <w:rsid w:val="00C3157D"/>
    <w:rsid w:val="00C31A5A"/>
    <w:rsid w:val="00C31DD4"/>
    <w:rsid w:val="00C32D84"/>
    <w:rsid w:val="00C34280"/>
    <w:rsid w:val="00C37180"/>
    <w:rsid w:val="00C3748D"/>
    <w:rsid w:val="00C417EE"/>
    <w:rsid w:val="00C43444"/>
    <w:rsid w:val="00C47546"/>
    <w:rsid w:val="00C4763E"/>
    <w:rsid w:val="00C47C26"/>
    <w:rsid w:val="00C47F03"/>
    <w:rsid w:val="00C515F3"/>
    <w:rsid w:val="00C54291"/>
    <w:rsid w:val="00C57C68"/>
    <w:rsid w:val="00C607E3"/>
    <w:rsid w:val="00C615DF"/>
    <w:rsid w:val="00C702D2"/>
    <w:rsid w:val="00C7033A"/>
    <w:rsid w:val="00C70A90"/>
    <w:rsid w:val="00C7128A"/>
    <w:rsid w:val="00C73BB4"/>
    <w:rsid w:val="00C73E80"/>
    <w:rsid w:val="00C747DE"/>
    <w:rsid w:val="00C75CE5"/>
    <w:rsid w:val="00C80921"/>
    <w:rsid w:val="00C80CF0"/>
    <w:rsid w:val="00C81F68"/>
    <w:rsid w:val="00C8305E"/>
    <w:rsid w:val="00C834C8"/>
    <w:rsid w:val="00C84327"/>
    <w:rsid w:val="00C84826"/>
    <w:rsid w:val="00C91208"/>
    <w:rsid w:val="00C912CB"/>
    <w:rsid w:val="00C92A9D"/>
    <w:rsid w:val="00C9788E"/>
    <w:rsid w:val="00CA2C53"/>
    <w:rsid w:val="00CA5E69"/>
    <w:rsid w:val="00CB0512"/>
    <w:rsid w:val="00CB16B3"/>
    <w:rsid w:val="00CB2006"/>
    <w:rsid w:val="00CB2DBA"/>
    <w:rsid w:val="00CB4328"/>
    <w:rsid w:val="00CB4871"/>
    <w:rsid w:val="00CB6BFF"/>
    <w:rsid w:val="00CC191E"/>
    <w:rsid w:val="00CC287D"/>
    <w:rsid w:val="00CC3DFD"/>
    <w:rsid w:val="00CC4FEC"/>
    <w:rsid w:val="00CC4FED"/>
    <w:rsid w:val="00CC63A5"/>
    <w:rsid w:val="00CC6C6E"/>
    <w:rsid w:val="00CC7AF3"/>
    <w:rsid w:val="00CD06D7"/>
    <w:rsid w:val="00CD0AF8"/>
    <w:rsid w:val="00CD0EDE"/>
    <w:rsid w:val="00CD2E22"/>
    <w:rsid w:val="00CD3096"/>
    <w:rsid w:val="00CD3F0B"/>
    <w:rsid w:val="00CD40D2"/>
    <w:rsid w:val="00CD41E8"/>
    <w:rsid w:val="00CD76F1"/>
    <w:rsid w:val="00CE003F"/>
    <w:rsid w:val="00CE10C7"/>
    <w:rsid w:val="00CE21B3"/>
    <w:rsid w:val="00CE297C"/>
    <w:rsid w:val="00CE4353"/>
    <w:rsid w:val="00CF0ACC"/>
    <w:rsid w:val="00CF0D07"/>
    <w:rsid w:val="00CF119E"/>
    <w:rsid w:val="00CF199D"/>
    <w:rsid w:val="00CF211A"/>
    <w:rsid w:val="00CF6DE3"/>
    <w:rsid w:val="00D00227"/>
    <w:rsid w:val="00D01832"/>
    <w:rsid w:val="00D018AF"/>
    <w:rsid w:val="00D06379"/>
    <w:rsid w:val="00D06A90"/>
    <w:rsid w:val="00D12393"/>
    <w:rsid w:val="00D126FC"/>
    <w:rsid w:val="00D158F0"/>
    <w:rsid w:val="00D15F51"/>
    <w:rsid w:val="00D17915"/>
    <w:rsid w:val="00D2396C"/>
    <w:rsid w:val="00D23A7E"/>
    <w:rsid w:val="00D249EA"/>
    <w:rsid w:val="00D3143D"/>
    <w:rsid w:val="00D32517"/>
    <w:rsid w:val="00D33036"/>
    <w:rsid w:val="00D3529D"/>
    <w:rsid w:val="00D436A8"/>
    <w:rsid w:val="00D43E8A"/>
    <w:rsid w:val="00D45CFB"/>
    <w:rsid w:val="00D52FD2"/>
    <w:rsid w:val="00D532D3"/>
    <w:rsid w:val="00D542F7"/>
    <w:rsid w:val="00D54CA9"/>
    <w:rsid w:val="00D552EA"/>
    <w:rsid w:val="00D601CA"/>
    <w:rsid w:val="00D62250"/>
    <w:rsid w:val="00D631E7"/>
    <w:rsid w:val="00D63416"/>
    <w:rsid w:val="00D6663C"/>
    <w:rsid w:val="00D70767"/>
    <w:rsid w:val="00D725CC"/>
    <w:rsid w:val="00D741E3"/>
    <w:rsid w:val="00D80401"/>
    <w:rsid w:val="00D83F02"/>
    <w:rsid w:val="00D843F8"/>
    <w:rsid w:val="00D85F0A"/>
    <w:rsid w:val="00D86B48"/>
    <w:rsid w:val="00D86E6E"/>
    <w:rsid w:val="00D87446"/>
    <w:rsid w:val="00D927F6"/>
    <w:rsid w:val="00D95920"/>
    <w:rsid w:val="00D960CC"/>
    <w:rsid w:val="00D96F38"/>
    <w:rsid w:val="00D97898"/>
    <w:rsid w:val="00DA1329"/>
    <w:rsid w:val="00DA226D"/>
    <w:rsid w:val="00DA2984"/>
    <w:rsid w:val="00DA2B75"/>
    <w:rsid w:val="00DA3EDD"/>
    <w:rsid w:val="00DA5651"/>
    <w:rsid w:val="00DA6314"/>
    <w:rsid w:val="00DB18D7"/>
    <w:rsid w:val="00DB3A78"/>
    <w:rsid w:val="00DB3AD8"/>
    <w:rsid w:val="00DB4EA1"/>
    <w:rsid w:val="00DB690D"/>
    <w:rsid w:val="00DB7293"/>
    <w:rsid w:val="00DC02EB"/>
    <w:rsid w:val="00DC0E6A"/>
    <w:rsid w:val="00DC0F5E"/>
    <w:rsid w:val="00DC681B"/>
    <w:rsid w:val="00DC7A1D"/>
    <w:rsid w:val="00DD29C0"/>
    <w:rsid w:val="00DD2BD1"/>
    <w:rsid w:val="00DD3452"/>
    <w:rsid w:val="00DD4CD7"/>
    <w:rsid w:val="00DD504C"/>
    <w:rsid w:val="00DD5F9A"/>
    <w:rsid w:val="00DD6440"/>
    <w:rsid w:val="00DD69D4"/>
    <w:rsid w:val="00DD6E10"/>
    <w:rsid w:val="00DD791F"/>
    <w:rsid w:val="00DE11B0"/>
    <w:rsid w:val="00DE225D"/>
    <w:rsid w:val="00DE3A37"/>
    <w:rsid w:val="00DE73F9"/>
    <w:rsid w:val="00DF08AF"/>
    <w:rsid w:val="00DF12EA"/>
    <w:rsid w:val="00DF19DD"/>
    <w:rsid w:val="00DF4710"/>
    <w:rsid w:val="00DF48CC"/>
    <w:rsid w:val="00DF6C52"/>
    <w:rsid w:val="00E01991"/>
    <w:rsid w:val="00E0254D"/>
    <w:rsid w:val="00E0256D"/>
    <w:rsid w:val="00E0339F"/>
    <w:rsid w:val="00E057E3"/>
    <w:rsid w:val="00E1028C"/>
    <w:rsid w:val="00E11D51"/>
    <w:rsid w:val="00E15AE8"/>
    <w:rsid w:val="00E230A1"/>
    <w:rsid w:val="00E2455D"/>
    <w:rsid w:val="00E27320"/>
    <w:rsid w:val="00E301FA"/>
    <w:rsid w:val="00E328BB"/>
    <w:rsid w:val="00E32EB2"/>
    <w:rsid w:val="00E40AAD"/>
    <w:rsid w:val="00E40D96"/>
    <w:rsid w:val="00E44017"/>
    <w:rsid w:val="00E443CF"/>
    <w:rsid w:val="00E50110"/>
    <w:rsid w:val="00E6002F"/>
    <w:rsid w:val="00E61815"/>
    <w:rsid w:val="00E65265"/>
    <w:rsid w:val="00E706B1"/>
    <w:rsid w:val="00E719FC"/>
    <w:rsid w:val="00E7274A"/>
    <w:rsid w:val="00E7489A"/>
    <w:rsid w:val="00E75427"/>
    <w:rsid w:val="00E76E1E"/>
    <w:rsid w:val="00E77F09"/>
    <w:rsid w:val="00E814CF"/>
    <w:rsid w:val="00E83908"/>
    <w:rsid w:val="00E85125"/>
    <w:rsid w:val="00E85FB8"/>
    <w:rsid w:val="00E87E1C"/>
    <w:rsid w:val="00E9195C"/>
    <w:rsid w:val="00E94C02"/>
    <w:rsid w:val="00E94E25"/>
    <w:rsid w:val="00E95737"/>
    <w:rsid w:val="00E96E0D"/>
    <w:rsid w:val="00EA0FD5"/>
    <w:rsid w:val="00EA18CA"/>
    <w:rsid w:val="00EA1DBB"/>
    <w:rsid w:val="00EA2FC2"/>
    <w:rsid w:val="00EA383B"/>
    <w:rsid w:val="00EA391C"/>
    <w:rsid w:val="00EA3E5D"/>
    <w:rsid w:val="00EA47EA"/>
    <w:rsid w:val="00EA5D9B"/>
    <w:rsid w:val="00EA6CB1"/>
    <w:rsid w:val="00EB1BC2"/>
    <w:rsid w:val="00EB7B61"/>
    <w:rsid w:val="00EC173C"/>
    <w:rsid w:val="00EC19F4"/>
    <w:rsid w:val="00EC1CD7"/>
    <w:rsid w:val="00EC262D"/>
    <w:rsid w:val="00EC3566"/>
    <w:rsid w:val="00EC5D4F"/>
    <w:rsid w:val="00ED2562"/>
    <w:rsid w:val="00ED57BE"/>
    <w:rsid w:val="00ED60BA"/>
    <w:rsid w:val="00ED6CE0"/>
    <w:rsid w:val="00ED725A"/>
    <w:rsid w:val="00EE26B8"/>
    <w:rsid w:val="00EE26FE"/>
    <w:rsid w:val="00EE3494"/>
    <w:rsid w:val="00EE42CB"/>
    <w:rsid w:val="00EE5936"/>
    <w:rsid w:val="00EE66C1"/>
    <w:rsid w:val="00EE7EBA"/>
    <w:rsid w:val="00EF07BC"/>
    <w:rsid w:val="00EF0F21"/>
    <w:rsid w:val="00EF2BB1"/>
    <w:rsid w:val="00EF2DA7"/>
    <w:rsid w:val="00EF4B6E"/>
    <w:rsid w:val="00F00A29"/>
    <w:rsid w:val="00F034B8"/>
    <w:rsid w:val="00F0367A"/>
    <w:rsid w:val="00F04880"/>
    <w:rsid w:val="00F10746"/>
    <w:rsid w:val="00F121D2"/>
    <w:rsid w:val="00F12423"/>
    <w:rsid w:val="00F14D5A"/>
    <w:rsid w:val="00F15090"/>
    <w:rsid w:val="00F20A16"/>
    <w:rsid w:val="00F2122C"/>
    <w:rsid w:val="00F23223"/>
    <w:rsid w:val="00F23532"/>
    <w:rsid w:val="00F271E8"/>
    <w:rsid w:val="00F323C7"/>
    <w:rsid w:val="00F32A4D"/>
    <w:rsid w:val="00F32BDE"/>
    <w:rsid w:val="00F330AC"/>
    <w:rsid w:val="00F37AF6"/>
    <w:rsid w:val="00F404E0"/>
    <w:rsid w:val="00F44097"/>
    <w:rsid w:val="00F44A70"/>
    <w:rsid w:val="00F45AD6"/>
    <w:rsid w:val="00F50108"/>
    <w:rsid w:val="00F502F6"/>
    <w:rsid w:val="00F5177F"/>
    <w:rsid w:val="00F5359A"/>
    <w:rsid w:val="00F55F69"/>
    <w:rsid w:val="00F57863"/>
    <w:rsid w:val="00F57DBD"/>
    <w:rsid w:val="00F6328D"/>
    <w:rsid w:val="00F700E1"/>
    <w:rsid w:val="00F706C9"/>
    <w:rsid w:val="00F70D14"/>
    <w:rsid w:val="00F72F84"/>
    <w:rsid w:val="00F74AC5"/>
    <w:rsid w:val="00F80639"/>
    <w:rsid w:val="00F83592"/>
    <w:rsid w:val="00F84150"/>
    <w:rsid w:val="00F86B72"/>
    <w:rsid w:val="00F8762F"/>
    <w:rsid w:val="00F90702"/>
    <w:rsid w:val="00F92F25"/>
    <w:rsid w:val="00F930FA"/>
    <w:rsid w:val="00F93B0E"/>
    <w:rsid w:val="00F95F08"/>
    <w:rsid w:val="00FA1B55"/>
    <w:rsid w:val="00FA3B03"/>
    <w:rsid w:val="00FA4E54"/>
    <w:rsid w:val="00FA53C3"/>
    <w:rsid w:val="00FA5775"/>
    <w:rsid w:val="00FB00C3"/>
    <w:rsid w:val="00FB23C4"/>
    <w:rsid w:val="00FB4C2F"/>
    <w:rsid w:val="00FB5FDB"/>
    <w:rsid w:val="00FB6661"/>
    <w:rsid w:val="00FC1004"/>
    <w:rsid w:val="00FC2DAC"/>
    <w:rsid w:val="00FC493C"/>
    <w:rsid w:val="00FC4BF1"/>
    <w:rsid w:val="00FC535F"/>
    <w:rsid w:val="00FC5E92"/>
    <w:rsid w:val="00FC6730"/>
    <w:rsid w:val="00FD33FF"/>
    <w:rsid w:val="00FD4372"/>
    <w:rsid w:val="00FE23B0"/>
    <w:rsid w:val="00FE2B71"/>
    <w:rsid w:val="00FE4D0C"/>
    <w:rsid w:val="00FE5D6E"/>
    <w:rsid w:val="00FE6091"/>
    <w:rsid w:val="00FE6772"/>
    <w:rsid w:val="00FF08A5"/>
    <w:rsid w:val="00FF1758"/>
    <w:rsid w:val="00FF17FD"/>
    <w:rsid w:val="00FF2CAD"/>
    <w:rsid w:val="00FF682B"/>
    <w:rsid w:val="00FF79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21891"/>
  <w15:chartTrackingRefBased/>
  <w15:docId w15:val="{DEA84F76-E181-4901-A6A4-985CB159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3CF"/>
    <w:pPr>
      <w:spacing w:after="0" w:line="240" w:lineRule="auto"/>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352A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CC287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43C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rsid w:val="00E443CF"/>
    <w:pPr>
      <w:spacing w:before="100" w:beforeAutospacing="1" w:after="100" w:afterAutospacing="1"/>
      <w:jc w:val="left"/>
    </w:pPr>
    <w:rPr>
      <w:rFonts w:eastAsiaTheme="minorEastAsia"/>
      <w:sz w:val="24"/>
      <w:szCs w:val="24"/>
    </w:rPr>
  </w:style>
  <w:style w:type="character" w:customStyle="1" w:styleId="a5">
    <w:name w:val="Звичайний (веб) Знак"/>
    <w:link w:val="a4"/>
    <w:uiPriority w:val="99"/>
    <w:locked/>
    <w:rsid w:val="00E443CF"/>
    <w:rPr>
      <w:rFonts w:ascii="Times New Roman" w:eastAsiaTheme="minorEastAsia" w:hAnsi="Times New Roman" w:cs="Times New Roman"/>
      <w:sz w:val="24"/>
      <w:szCs w:val="24"/>
      <w:lang w:eastAsia="uk-UA"/>
    </w:rPr>
  </w:style>
  <w:style w:type="character" w:styleId="a6">
    <w:name w:val="Hyperlink"/>
    <w:basedOn w:val="a0"/>
    <w:uiPriority w:val="99"/>
    <w:unhideWhenUsed/>
    <w:rsid w:val="00E443CF"/>
    <w:rPr>
      <w:color w:val="0000FF"/>
      <w:u w:val="single"/>
    </w:rPr>
  </w:style>
  <w:style w:type="paragraph" w:customStyle="1" w:styleId="rvps2">
    <w:name w:val="rvps2"/>
    <w:basedOn w:val="a"/>
    <w:qFormat/>
    <w:rsid w:val="00BD24F8"/>
    <w:pPr>
      <w:spacing w:before="100" w:beforeAutospacing="1" w:after="100" w:afterAutospacing="1"/>
      <w:jc w:val="left"/>
    </w:pPr>
    <w:rPr>
      <w:sz w:val="24"/>
      <w:szCs w:val="24"/>
    </w:rPr>
  </w:style>
  <w:style w:type="paragraph" w:styleId="a7">
    <w:name w:val="Balloon Text"/>
    <w:basedOn w:val="a"/>
    <w:link w:val="a8"/>
    <w:uiPriority w:val="99"/>
    <w:semiHidden/>
    <w:unhideWhenUsed/>
    <w:rsid w:val="00BD24F8"/>
    <w:rPr>
      <w:rFonts w:ascii="Segoe UI" w:hAnsi="Segoe UI" w:cs="Segoe UI"/>
      <w:sz w:val="18"/>
      <w:szCs w:val="18"/>
    </w:rPr>
  </w:style>
  <w:style w:type="character" w:customStyle="1" w:styleId="a8">
    <w:name w:val="Текст у виносці Знак"/>
    <w:basedOn w:val="a0"/>
    <w:link w:val="a7"/>
    <w:uiPriority w:val="99"/>
    <w:semiHidden/>
    <w:rsid w:val="00BD24F8"/>
    <w:rPr>
      <w:rFonts w:ascii="Segoe UI" w:eastAsia="Times New Roman" w:hAnsi="Segoe UI" w:cs="Segoe UI"/>
      <w:sz w:val="18"/>
      <w:szCs w:val="18"/>
      <w:lang w:eastAsia="uk-UA"/>
    </w:rPr>
  </w:style>
  <w:style w:type="character" w:styleId="a9">
    <w:name w:val="annotation reference"/>
    <w:basedOn w:val="a0"/>
    <w:uiPriority w:val="99"/>
    <w:semiHidden/>
    <w:unhideWhenUsed/>
    <w:rsid w:val="001521B9"/>
    <w:rPr>
      <w:sz w:val="16"/>
      <w:szCs w:val="16"/>
    </w:rPr>
  </w:style>
  <w:style w:type="paragraph" w:styleId="aa">
    <w:name w:val="annotation text"/>
    <w:basedOn w:val="a"/>
    <w:link w:val="ab"/>
    <w:uiPriority w:val="99"/>
    <w:unhideWhenUsed/>
    <w:rsid w:val="001521B9"/>
    <w:rPr>
      <w:sz w:val="20"/>
      <w:szCs w:val="20"/>
    </w:rPr>
  </w:style>
  <w:style w:type="character" w:customStyle="1" w:styleId="ab">
    <w:name w:val="Текст примітки Знак"/>
    <w:basedOn w:val="a0"/>
    <w:link w:val="aa"/>
    <w:uiPriority w:val="99"/>
    <w:rsid w:val="001521B9"/>
    <w:rPr>
      <w:rFonts w:ascii="Times New Roman" w:eastAsia="Times New Roman" w:hAnsi="Times New Roman" w:cs="Times New Roman"/>
      <w:sz w:val="20"/>
      <w:szCs w:val="20"/>
      <w:lang w:eastAsia="uk-UA"/>
    </w:rPr>
  </w:style>
  <w:style w:type="paragraph" w:styleId="ac">
    <w:name w:val="annotation subject"/>
    <w:basedOn w:val="aa"/>
    <w:next w:val="aa"/>
    <w:link w:val="ad"/>
    <w:uiPriority w:val="99"/>
    <w:semiHidden/>
    <w:unhideWhenUsed/>
    <w:rsid w:val="001521B9"/>
    <w:rPr>
      <w:b/>
      <w:bCs/>
    </w:rPr>
  </w:style>
  <w:style w:type="character" w:customStyle="1" w:styleId="ad">
    <w:name w:val="Тема примітки Знак"/>
    <w:basedOn w:val="ab"/>
    <w:link w:val="ac"/>
    <w:uiPriority w:val="99"/>
    <w:semiHidden/>
    <w:rsid w:val="001521B9"/>
    <w:rPr>
      <w:rFonts w:ascii="Times New Roman" w:eastAsia="Times New Roman" w:hAnsi="Times New Roman" w:cs="Times New Roman"/>
      <w:b/>
      <w:bCs/>
      <w:sz w:val="20"/>
      <w:szCs w:val="20"/>
      <w:lang w:eastAsia="uk-UA"/>
    </w:rPr>
  </w:style>
  <w:style w:type="character" w:customStyle="1" w:styleId="rvts9">
    <w:name w:val="rvts9"/>
    <w:basedOn w:val="a0"/>
    <w:rsid w:val="00080F88"/>
  </w:style>
  <w:style w:type="character" w:customStyle="1" w:styleId="30">
    <w:name w:val="Заголовок 3 Знак"/>
    <w:basedOn w:val="a0"/>
    <w:link w:val="3"/>
    <w:uiPriority w:val="9"/>
    <w:rsid w:val="00CC287D"/>
    <w:rPr>
      <w:rFonts w:asciiTheme="majorHAnsi" w:eastAsiaTheme="majorEastAsia" w:hAnsiTheme="majorHAnsi" w:cstheme="majorBidi"/>
      <w:color w:val="1F4D78" w:themeColor="accent1" w:themeShade="7F"/>
      <w:sz w:val="24"/>
      <w:szCs w:val="24"/>
      <w:lang w:eastAsia="uk-UA"/>
    </w:rPr>
  </w:style>
  <w:style w:type="paragraph" w:styleId="ae">
    <w:name w:val="List Paragraph"/>
    <w:aliases w:val="Bullets,Normal bullet 2,Heading Bullet,Number normal,Number Normal,text bullet,List Numbers,Elenco Normale,List Paragraph - sub title,Абзац списку1"/>
    <w:basedOn w:val="a"/>
    <w:link w:val="af"/>
    <w:uiPriority w:val="34"/>
    <w:qFormat/>
    <w:rsid w:val="00CC287D"/>
    <w:pPr>
      <w:ind w:left="720"/>
      <w:contextualSpacing/>
    </w:pPr>
  </w:style>
  <w:style w:type="character" w:customStyle="1" w:styleId="af">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e"/>
    <w:uiPriority w:val="34"/>
    <w:qFormat/>
    <w:locked/>
    <w:rsid w:val="00CC287D"/>
    <w:rPr>
      <w:rFonts w:ascii="Times New Roman" w:eastAsia="Times New Roman" w:hAnsi="Times New Roman" w:cs="Times New Roman"/>
      <w:sz w:val="28"/>
      <w:szCs w:val="28"/>
      <w:lang w:eastAsia="uk-UA"/>
    </w:rPr>
  </w:style>
  <w:style w:type="paragraph" w:styleId="af0">
    <w:name w:val="No Spacing"/>
    <w:link w:val="af1"/>
    <w:uiPriority w:val="1"/>
    <w:qFormat/>
    <w:rsid w:val="0076208F"/>
    <w:pPr>
      <w:spacing w:after="0" w:line="240" w:lineRule="auto"/>
      <w:jc w:val="both"/>
    </w:pPr>
    <w:rPr>
      <w:rFonts w:ascii="Times New Roman" w:eastAsia="Times New Roman" w:hAnsi="Times New Roman" w:cs="Times New Roman"/>
      <w:sz w:val="28"/>
      <w:szCs w:val="28"/>
      <w:lang w:eastAsia="uk-UA"/>
    </w:rPr>
  </w:style>
  <w:style w:type="character" w:customStyle="1" w:styleId="af1">
    <w:name w:val="Без інтервалів Знак"/>
    <w:basedOn w:val="a0"/>
    <w:link w:val="af0"/>
    <w:uiPriority w:val="1"/>
    <w:rsid w:val="0076208F"/>
    <w:rPr>
      <w:rFonts w:ascii="Times New Roman" w:eastAsia="Times New Roman" w:hAnsi="Times New Roman" w:cs="Times New Roman"/>
      <w:sz w:val="28"/>
      <w:szCs w:val="28"/>
      <w:lang w:eastAsia="uk-UA"/>
    </w:rPr>
  </w:style>
  <w:style w:type="paragraph" w:styleId="af2">
    <w:name w:val="Revision"/>
    <w:hidden/>
    <w:uiPriority w:val="99"/>
    <w:semiHidden/>
    <w:rsid w:val="007A756C"/>
    <w:pPr>
      <w:spacing w:after="0" w:line="240" w:lineRule="auto"/>
    </w:pPr>
    <w:rPr>
      <w:rFonts w:ascii="Times New Roman" w:eastAsia="Times New Roman" w:hAnsi="Times New Roman" w:cs="Times New Roman"/>
      <w:sz w:val="28"/>
      <w:szCs w:val="28"/>
      <w:lang w:eastAsia="uk-UA"/>
    </w:rPr>
  </w:style>
  <w:style w:type="paragraph" w:customStyle="1" w:styleId="Default">
    <w:name w:val="Default"/>
    <w:qFormat/>
    <w:rsid w:val="00E814CF"/>
    <w:pPr>
      <w:suppressAutoHyphens/>
      <w:spacing w:after="0" w:line="240" w:lineRule="auto"/>
    </w:pPr>
    <w:rPr>
      <w:rFonts w:ascii="Times New Roman" w:eastAsia="Calibri" w:hAnsi="Times New Roman" w:cs="Times New Roman"/>
      <w:color w:val="000000"/>
      <w:sz w:val="24"/>
      <w:szCs w:val="24"/>
      <w:lang w:eastAsia="zh-CN"/>
    </w:rPr>
  </w:style>
  <w:style w:type="table" w:customStyle="1" w:styleId="11">
    <w:name w:val="Сітка таблиці1"/>
    <w:basedOn w:val="a1"/>
    <w:next w:val="a3"/>
    <w:uiPriority w:val="59"/>
    <w:rsid w:val="00F502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C17DA8"/>
  </w:style>
  <w:style w:type="character" w:customStyle="1" w:styleId="rvts40">
    <w:name w:val="rvts40"/>
    <w:basedOn w:val="a0"/>
    <w:rsid w:val="00C17DA8"/>
  </w:style>
  <w:style w:type="character" w:customStyle="1" w:styleId="st82">
    <w:name w:val="st82"/>
    <w:uiPriority w:val="99"/>
    <w:rsid w:val="00267BE3"/>
    <w:rPr>
      <w:color w:val="000000"/>
      <w:sz w:val="20"/>
      <w:szCs w:val="20"/>
    </w:rPr>
  </w:style>
  <w:style w:type="paragraph" w:customStyle="1" w:styleId="rvps7">
    <w:name w:val="rvps7"/>
    <w:basedOn w:val="a"/>
    <w:rsid w:val="00C2369E"/>
    <w:pPr>
      <w:spacing w:before="100" w:beforeAutospacing="1" w:after="100" w:afterAutospacing="1"/>
      <w:jc w:val="left"/>
    </w:pPr>
    <w:rPr>
      <w:sz w:val="24"/>
      <w:szCs w:val="24"/>
    </w:rPr>
  </w:style>
  <w:style w:type="paragraph" w:customStyle="1" w:styleId="rvps14">
    <w:name w:val="rvps14"/>
    <w:basedOn w:val="a"/>
    <w:rsid w:val="003B66CA"/>
    <w:pPr>
      <w:spacing w:before="100" w:beforeAutospacing="1" w:after="100" w:afterAutospacing="1"/>
      <w:jc w:val="left"/>
    </w:pPr>
    <w:rPr>
      <w:sz w:val="24"/>
      <w:szCs w:val="24"/>
    </w:rPr>
  </w:style>
  <w:style w:type="character" w:customStyle="1" w:styleId="rvts23">
    <w:name w:val="rvts23"/>
    <w:basedOn w:val="a0"/>
    <w:rsid w:val="00F80639"/>
  </w:style>
  <w:style w:type="character" w:styleId="af3">
    <w:name w:val="FollowedHyperlink"/>
    <w:basedOn w:val="a0"/>
    <w:uiPriority w:val="99"/>
    <w:semiHidden/>
    <w:unhideWhenUsed/>
    <w:rsid w:val="00F706C9"/>
    <w:rPr>
      <w:color w:val="954F72" w:themeColor="followedHyperlink"/>
      <w:u w:val="single"/>
    </w:rPr>
  </w:style>
  <w:style w:type="paragraph" w:customStyle="1" w:styleId="af4">
    <w:name w:val="Обратный адрес"/>
    <w:basedOn w:val="af0"/>
    <w:uiPriority w:val="3"/>
    <w:qFormat/>
    <w:rsid w:val="00B44129"/>
    <w:pPr>
      <w:spacing w:after="360"/>
      <w:contextualSpacing/>
      <w:jc w:val="left"/>
    </w:pPr>
    <w:rPr>
      <w:rFonts w:asciiTheme="minorHAnsi" w:eastAsiaTheme="minorEastAsia" w:hAnsiTheme="minorHAnsi" w:cstheme="minorBidi"/>
      <w:color w:val="000000" w:themeColor="text1"/>
      <w:sz w:val="22"/>
      <w:szCs w:val="22"/>
      <w:lang w:val="ru-RU" w:eastAsia="en-US"/>
    </w:rPr>
  </w:style>
  <w:style w:type="character" w:customStyle="1" w:styleId="rvts15">
    <w:name w:val="rvts15"/>
    <w:basedOn w:val="a0"/>
    <w:rsid w:val="00710D9E"/>
  </w:style>
  <w:style w:type="character" w:customStyle="1" w:styleId="10">
    <w:name w:val="Заголовок 1 Знак"/>
    <w:basedOn w:val="a0"/>
    <w:link w:val="1"/>
    <w:uiPriority w:val="9"/>
    <w:rsid w:val="00352A7C"/>
    <w:rPr>
      <w:rFonts w:asciiTheme="majorHAnsi" w:eastAsiaTheme="majorEastAsia" w:hAnsiTheme="majorHAnsi" w:cstheme="majorBidi"/>
      <w:color w:val="2E74B5" w:themeColor="accent1" w:themeShade="BF"/>
      <w:sz w:val="32"/>
      <w:szCs w:val="32"/>
      <w:lang w:eastAsia="uk-UA"/>
    </w:rPr>
  </w:style>
  <w:style w:type="paragraph" w:styleId="af5">
    <w:name w:val="Salutation"/>
    <w:basedOn w:val="af0"/>
    <w:next w:val="a"/>
    <w:link w:val="af6"/>
    <w:uiPriority w:val="6"/>
    <w:unhideWhenUsed/>
    <w:qFormat/>
    <w:rsid w:val="007F116B"/>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6">
    <w:name w:val="Привітання Знак"/>
    <w:basedOn w:val="a0"/>
    <w:link w:val="af5"/>
    <w:uiPriority w:val="6"/>
    <w:rsid w:val="007F116B"/>
    <w:rPr>
      <w:rFonts w:eastAsiaTheme="minorEastAsia"/>
      <w:b/>
      <w:bCs/>
      <w:color w:val="000000" w:themeColor="text1"/>
      <w:lang w:val="ru-RU"/>
    </w:rPr>
  </w:style>
  <w:style w:type="table" w:customStyle="1" w:styleId="2">
    <w:name w:val="Сітка таблиці2"/>
    <w:basedOn w:val="a1"/>
    <w:next w:val="a3"/>
    <w:uiPriority w:val="59"/>
    <w:rsid w:val="000811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rvts0">
    <w:name w:val="span_rvts0"/>
    <w:basedOn w:val="a0"/>
    <w:rsid w:val="000D0BC7"/>
    <w:rPr>
      <w:rFonts w:ascii="Times New Roman" w:hAnsi="Times New Roman" w:cs="Times New Roman" w:hint="default"/>
      <w:b w:val="0"/>
      <w:bCs w:val="0"/>
      <w:i w:val="0"/>
      <w:iCs w:val="0"/>
    </w:rPr>
  </w:style>
  <w:style w:type="character" w:customStyle="1" w:styleId="spanrvts37">
    <w:name w:val="span_rvts37"/>
    <w:basedOn w:val="a0"/>
    <w:rsid w:val="00722206"/>
    <w:rPr>
      <w:rFonts w:ascii="Times New Roman" w:eastAsia="Times New Roman" w:hAnsi="Times New Roman" w:cs="Times New Roman"/>
      <w:b/>
      <w:bCs/>
      <w:i w:val="0"/>
      <w:iCs w:val="0"/>
      <w:sz w:val="24"/>
      <w:szCs w:val="24"/>
      <w:vertAlign w:val="superscript"/>
    </w:rPr>
  </w:style>
  <w:style w:type="character" w:customStyle="1" w:styleId="arvts99">
    <w:name w:val="a_rvts99"/>
    <w:basedOn w:val="a0"/>
    <w:rsid w:val="009B1BD3"/>
    <w:rPr>
      <w:rFonts w:ascii="Times New Roman" w:eastAsia="Times New Roman" w:hAnsi="Times New Roman" w:cs="Times New Roman"/>
      <w:b w:val="0"/>
      <w:bCs w:val="0"/>
      <w:i w:val="0"/>
      <w:iCs w:val="0"/>
      <w:color w:val="006600"/>
      <w:sz w:val="24"/>
      <w:szCs w:val="24"/>
    </w:rPr>
  </w:style>
  <w:style w:type="paragraph" w:styleId="af7">
    <w:name w:val="header"/>
    <w:basedOn w:val="a"/>
    <w:link w:val="af8"/>
    <w:uiPriority w:val="99"/>
    <w:unhideWhenUsed/>
    <w:rsid w:val="00C702D2"/>
    <w:pPr>
      <w:tabs>
        <w:tab w:val="center" w:pos="4819"/>
        <w:tab w:val="right" w:pos="9639"/>
      </w:tabs>
    </w:pPr>
  </w:style>
  <w:style w:type="character" w:customStyle="1" w:styleId="af8">
    <w:name w:val="Верхній колонтитул Знак"/>
    <w:basedOn w:val="a0"/>
    <w:link w:val="af7"/>
    <w:uiPriority w:val="99"/>
    <w:rsid w:val="00C702D2"/>
    <w:rPr>
      <w:rFonts w:ascii="Times New Roman" w:eastAsia="Times New Roman" w:hAnsi="Times New Roman" w:cs="Times New Roman"/>
      <w:sz w:val="28"/>
      <w:szCs w:val="28"/>
      <w:lang w:eastAsia="uk-UA"/>
    </w:rPr>
  </w:style>
  <w:style w:type="paragraph" w:styleId="af9">
    <w:name w:val="footer"/>
    <w:basedOn w:val="a"/>
    <w:link w:val="afa"/>
    <w:uiPriority w:val="99"/>
    <w:unhideWhenUsed/>
    <w:rsid w:val="00C702D2"/>
    <w:pPr>
      <w:tabs>
        <w:tab w:val="center" w:pos="4819"/>
        <w:tab w:val="right" w:pos="9639"/>
      </w:tabs>
    </w:pPr>
  </w:style>
  <w:style w:type="character" w:customStyle="1" w:styleId="afa">
    <w:name w:val="Нижній колонтитул Знак"/>
    <w:basedOn w:val="a0"/>
    <w:link w:val="af9"/>
    <w:uiPriority w:val="99"/>
    <w:rsid w:val="00C702D2"/>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1692">
      <w:bodyDiv w:val="1"/>
      <w:marLeft w:val="0"/>
      <w:marRight w:val="0"/>
      <w:marTop w:val="0"/>
      <w:marBottom w:val="0"/>
      <w:divBdr>
        <w:top w:val="none" w:sz="0" w:space="0" w:color="auto"/>
        <w:left w:val="none" w:sz="0" w:space="0" w:color="auto"/>
        <w:bottom w:val="none" w:sz="0" w:space="0" w:color="auto"/>
        <w:right w:val="none" w:sz="0" w:space="0" w:color="auto"/>
      </w:divBdr>
    </w:div>
    <w:div w:id="49572836">
      <w:bodyDiv w:val="1"/>
      <w:marLeft w:val="0"/>
      <w:marRight w:val="0"/>
      <w:marTop w:val="0"/>
      <w:marBottom w:val="0"/>
      <w:divBdr>
        <w:top w:val="none" w:sz="0" w:space="0" w:color="auto"/>
        <w:left w:val="none" w:sz="0" w:space="0" w:color="auto"/>
        <w:bottom w:val="none" w:sz="0" w:space="0" w:color="auto"/>
        <w:right w:val="none" w:sz="0" w:space="0" w:color="auto"/>
      </w:divBdr>
    </w:div>
    <w:div w:id="69238243">
      <w:bodyDiv w:val="1"/>
      <w:marLeft w:val="0"/>
      <w:marRight w:val="0"/>
      <w:marTop w:val="0"/>
      <w:marBottom w:val="0"/>
      <w:divBdr>
        <w:top w:val="none" w:sz="0" w:space="0" w:color="auto"/>
        <w:left w:val="none" w:sz="0" w:space="0" w:color="auto"/>
        <w:bottom w:val="none" w:sz="0" w:space="0" w:color="auto"/>
        <w:right w:val="none" w:sz="0" w:space="0" w:color="auto"/>
      </w:divBdr>
    </w:div>
    <w:div w:id="76244456">
      <w:bodyDiv w:val="1"/>
      <w:marLeft w:val="0"/>
      <w:marRight w:val="0"/>
      <w:marTop w:val="0"/>
      <w:marBottom w:val="0"/>
      <w:divBdr>
        <w:top w:val="none" w:sz="0" w:space="0" w:color="auto"/>
        <w:left w:val="none" w:sz="0" w:space="0" w:color="auto"/>
        <w:bottom w:val="none" w:sz="0" w:space="0" w:color="auto"/>
        <w:right w:val="none" w:sz="0" w:space="0" w:color="auto"/>
      </w:divBdr>
    </w:div>
    <w:div w:id="86771272">
      <w:bodyDiv w:val="1"/>
      <w:marLeft w:val="0"/>
      <w:marRight w:val="0"/>
      <w:marTop w:val="0"/>
      <w:marBottom w:val="0"/>
      <w:divBdr>
        <w:top w:val="none" w:sz="0" w:space="0" w:color="auto"/>
        <w:left w:val="none" w:sz="0" w:space="0" w:color="auto"/>
        <w:bottom w:val="none" w:sz="0" w:space="0" w:color="auto"/>
        <w:right w:val="none" w:sz="0" w:space="0" w:color="auto"/>
      </w:divBdr>
    </w:div>
    <w:div w:id="122046160">
      <w:bodyDiv w:val="1"/>
      <w:marLeft w:val="0"/>
      <w:marRight w:val="0"/>
      <w:marTop w:val="0"/>
      <w:marBottom w:val="0"/>
      <w:divBdr>
        <w:top w:val="none" w:sz="0" w:space="0" w:color="auto"/>
        <w:left w:val="none" w:sz="0" w:space="0" w:color="auto"/>
        <w:bottom w:val="none" w:sz="0" w:space="0" w:color="auto"/>
        <w:right w:val="none" w:sz="0" w:space="0" w:color="auto"/>
      </w:divBdr>
    </w:div>
    <w:div w:id="166213104">
      <w:bodyDiv w:val="1"/>
      <w:marLeft w:val="0"/>
      <w:marRight w:val="0"/>
      <w:marTop w:val="0"/>
      <w:marBottom w:val="0"/>
      <w:divBdr>
        <w:top w:val="none" w:sz="0" w:space="0" w:color="auto"/>
        <w:left w:val="none" w:sz="0" w:space="0" w:color="auto"/>
        <w:bottom w:val="none" w:sz="0" w:space="0" w:color="auto"/>
        <w:right w:val="none" w:sz="0" w:space="0" w:color="auto"/>
      </w:divBdr>
    </w:div>
    <w:div w:id="169755361">
      <w:bodyDiv w:val="1"/>
      <w:marLeft w:val="0"/>
      <w:marRight w:val="0"/>
      <w:marTop w:val="0"/>
      <w:marBottom w:val="0"/>
      <w:divBdr>
        <w:top w:val="none" w:sz="0" w:space="0" w:color="auto"/>
        <w:left w:val="none" w:sz="0" w:space="0" w:color="auto"/>
        <w:bottom w:val="none" w:sz="0" w:space="0" w:color="auto"/>
        <w:right w:val="none" w:sz="0" w:space="0" w:color="auto"/>
      </w:divBdr>
    </w:div>
    <w:div w:id="178811537">
      <w:bodyDiv w:val="1"/>
      <w:marLeft w:val="0"/>
      <w:marRight w:val="0"/>
      <w:marTop w:val="0"/>
      <w:marBottom w:val="0"/>
      <w:divBdr>
        <w:top w:val="none" w:sz="0" w:space="0" w:color="auto"/>
        <w:left w:val="none" w:sz="0" w:space="0" w:color="auto"/>
        <w:bottom w:val="none" w:sz="0" w:space="0" w:color="auto"/>
        <w:right w:val="none" w:sz="0" w:space="0" w:color="auto"/>
      </w:divBdr>
    </w:div>
    <w:div w:id="213322390">
      <w:bodyDiv w:val="1"/>
      <w:marLeft w:val="0"/>
      <w:marRight w:val="0"/>
      <w:marTop w:val="0"/>
      <w:marBottom w:val="0"/>
      <w:divBdr>
        <w:top w:val="none" w:sz="0" w:space="0" w:color="auto"/>
        <w:left w:val="none" w:sz="0" w:space="0" w:color="auto"/>
        <w:bottom w:val="none" w:sz="0" w:space="0" w:color="auto"/>
        <w:right w:val="none" w:sz="0" w:space="0" w:color="auto"/>
      </w:divBdr>
    </w:div>
    <w:div w:id="236207671">
      <w:bodyDiv w:val="1"/>
      <w:marLeft w:val="0"/>
      <w:marRight w:val="0"/>
      <w:marTop w:val="0"/>
      <w:marBottom w:val="0"/>
      <w:divBdr>
        <w:top w:val="none" w:sz="0" w:space="0" w:color="auto"/>
        <w:left w:val="none" w:sz="0" w:space="0" w:color="auto"/>
        <w:bottom w:val="none" w:sz="0" w:space="0" w:color="auto"/>
        <w:right w:val="none" w:sz="0" w:space="0" w:color="auto"/>
      </w:divBdr>
    </w:div>
    <w:div w:id="257953580">
      <w:bodyDiv w:val="1"/>
      <w:marLeft w:val="0"/>
      <w:marRight w:val="0"/>
      <w:marTop w:val="0"/>
      <w:marBottom w:val="0"/>
      <w:divBdr>
        <w:top w:val="none" w:sz="0" w:space="0" w:color="auto"/>
        <w:left w:val="none" w:sz="0" w:space="0" w:color="auto"/>
        <w:bottom w:val="none" w:sz="0" w:space="0" w:color="auto"/>
        <w:right w:val="none" w:sz="0" w:space="0" w:color="auto"/>
      </w:divBdr>
    </w:div>
    <w:div w:id="305864313">
      <w:bodyDiv w:val="1"/>
      <w:marLeft w:val="0"/>
      <w:marRight w:val="0"/>
      <w:marTop w:val="0"/>
      <w:marBottom w:val="0"/>
      <w:divBdr>
        <w:top w:val="none" w:sz="0" w:space="0" w:color="auto"/>
        <w:left w:val="none" w:sz="0" w:space="0" w:color="auto"/>
        <w:bottom w:val="none" w:sz="0" w:space="0" w:color="auto"/>
        <w:right w:val="none" w:sz="0" w:space="0" w:color="auto"/>
      </w:divBdr>
    </w:div>
    <w:div w:id="357783635">
      <w:bodyDiv w:val="1"/>
      <w:marLeft w:val="0"/>
      <w:marRight w:val="0"/>
      <w:marTop w:val="0"/>
      <w:marBottom w:val="0"/>
      <w:divBdr>
        <w:top w:val="none" w:sz="0" w:space="0" w:color="auto"/>
        <w:left w:val="none" w:sz="0" w:space="0" w:color="auto"/>
        <w:bottom w:val="none" w:sz="0" w:space="0" w:color="auto"/>
        <w:right w:val="none" w:sz="0" w:space="0" w:color="auto"/>
      </w:divBdr>
    </w:div>
    <w:div w:id="412823252">
      <w:bodyDiv w:val="1"/>
      <w:marLeft w:val="0"/>
      <w:marRight w:val="0"/>
      <w:marTop w:val="0"/>
      <w:marBottom w:val="0"/>
      <w:divBdr>
        <w:top w:val="none" w:sz="0" w:space="0" w:color="auto"/>
        <w:left w:val="none" w:sz="0" w:space="0" w:color="auto"/>
        <w:bottom w:val="none" w:sz="0" w:space="0" w:color="auto"/>
        <w:right w:val="none" w:sz="0" w:space="0" w:color="auto"/>
      </w:divBdr>
    </w:div>
    <w:div w:id="438599155">
      <w:bodyDiv w:val="1"/>
      <w:marLeft w:val="0"/>
      <w:marRight w:val="0"/>
      <w:marTop w:val="0"/>
      <w:marBottom w:val="0"/>
      <w:divBdr>
        <w:top w:val="none" w:sz="0" w:space="0" w:color="auto"/>
        <w:left w:val="none" w:sz="0" w:space="0" w:color="auto"/>
        <w:bottom w:val="none" w:sz="0" w:space="0" w:color="auto"/>
        <w:right w:val="none" w:sz="0" w:space="0" w:color="auto"/>
      </w:divBdr>
    </w:div>
    <w:div w:id="467550089">
      <w:bodyDiv w:val="1"/>
      <w:marLeft w:val="0"/>
      <w:marRight w:val="0"/>
      <w:marTop w:val="0"/>
      <w:marBottom w:val="0"/>
      <w:divBdr>
        <w:top w:val="none" w:sz="0" w:space="0" w:color="auto"/>
        <w:left w:val="none" w:sz="0" w:space="0" w:color="auto"/>
        <w:bottom w:val="none" w:sz="0" w:space="0" w:color="auto"/>
        <w:right w:val="none" w:sz="0" w:space="0" w:color="auto"/>
      </w:divBdr>
    </w:div>
    <w:div w:id="490022425">
      <w:bodyDiv w:val="1"/>
      <w:marLeft w:val="0"/>
      <w:marRight w:val="0"/>
      <w:marTop w:val="0"/>
      <w:marBottom w:val="0"/>
      <w:divBdr>
        <w:top w:val="none" w:sz="0" w:space="0" w:color="auto"/>
        <w:left w:val="none" w:sz="0" w:space="0" w:color="auto"/>
        <w:bottom w:val="none" w:sz="0" w:space="0" w:color="auto"/>
        <w:right w:val="none" w:sz="0" w:space="0" w:color="auto"/>
      </w:divBdr>
    </w:div>
    <w:div w:id="555160968">
      <w:bodyDiv w:val="1"/>
      <w:marLeft w:val="0"/>
      <w:marRight w:val="0"/>
      <w:marTop w:val="0"/>
      <w:marBottom w:val="0"/>
      <w:divBdr>
        <w:top w:val="none" w:sz="0" w:space="0" w:color="auto"/>
        <w:left w:val="none" w:sz="0" w:space="0" w:color="auto"/>
        <w:bottom w:val="none" w:sz="0" w:space="0" w:color="auto"/>
        <w:right w:val="none" w:sz="0" w:space="0" w:color="auto"/>
      </w:divBdr>
    </w:div>
    <w:div w:id="604194048">
      <w:bodyDiv w:val="1"/>
      <w:marLeft w:val="0"/>
      <w:marRight w:val="0"/>
      <w:marTop w:val="0"/>
      <w:marBottom w:val="0"/>
      <w:divBdr>
        <w:top w:val="none" w:sz="0" w:space="0" w:color="auto"/>
        <w:left w:val="none" w:sz="0" w:space="0" w:color="auto"/>
        <w:bottom w:val="none" w:sz="0" w:space="0" w:color="auto"/>
        <w:right w:val="none" w:sz="0" w:space="0" w:color="auto"/>
      </w:divBdr>
    </w:div>
    <w:div w:id="616252806">
      <w:bodyDiv w:val="1"/>
      <w:marLeft w:val="0"/>
      <w:marRight w:val="0"/>
      <w:marTop w:val="0"/>
      <w:marBottom w:val="0"/>
      <w:divBdr>
        <w:top w:val="none" w:sz="0" w:space="0" w:color="auto"/>
        <w:left w:val="none" w:sz="0" w:space="0" w:color="auto"/>
        <w:bottom w:val="none" w:sz="0" w:space="0" w:color="auto"/>
        <w:right w:val="none" w:sz="0" w:space="0" w:color="auto"/>
      </w:divBdr>
    </w:div>
    <w:div w:id="627511328">
      <w:bodyDiv w:val="1"/>
      <w:marLeft w:val="0"/>
      <w:marRight w:val="0"/>
      <w:marTop w:val="0"/>
      <w:marBottom w:val="0"/>
      <w:divBdr>
        <w:top w:val="none" w:sz="0" w:space="0" w:color="auto"/>
        <w:left w:val="none" w:sz="0" w:space="0" w:color="auto"/>
        <w:bottom w:val="none" w:sz="0" w:space="0" w:color="auto"/>
        <w:right w:val="none" w:sz="0" w:space="0" w:color="auto"/>
      </w:divBdr>
    </w:div>
    <w:div w:id="650448681">
      <w:bodyDiv w:val="1"/>
      <w:marLeft w:val="0"/>
      <w:marRight w:val="0"/>
      <w:marTop w:val="0"/>
      <w:marBottom w:val="0"/>
      <w:divBdr>
        <w:top w:val="none" w:sz="0" w:space="0" w:color="auto"/>
        <w:left w:val="none" w:sz="0" w:space="0" w:color="auto"/>
        <w:bottom w:val="none" w:sz="0" w:space="0" w:color="auto"/>
        <w:right w:val="none" w:sz="0" w:space="0" w:color="auto"/>
      </w:divBdr>
    </w:div>
    <w:div w:id="666860843">
      <w:bodyDiv w:val="1"/>
      <w:marLeft w:val="0"/>
      <w:marRight w:val="0"/>
      <w:marTop w:val="0"/>
      <w:marBottom w:val="0"/>
      <w:divBdr>
        <w:top w:val="none" w:sz="0" w:space="0" w:color="auto"/>
        <w:left w:val="none" w:sz="0" w:space="0" w:color="auto"/>
        <w:bottom w:val="none" w:sz="0" w:space="0" w:color="auto"/>
        <w:right w:val="none" w:sz="0" w:space="0" w:color="auto"/>
      </w:divBdr>
    </w:div>
    <w:div w:id="705985875">
      <w:bodyDiv w:val="1"/>
      <w:marLeft w:val="0"/>
      <w:marRight w:val="0"/>
      <w:marTop w:val="0"/>
      <w:marBottom w:val="0"/>
      <w:divBdr>
        <w:top w:val="none" w:sz="0" w:space="0" w:color="auto"/>
        <w:left w:val="none" w:sz="0" w:space="0" w:color="auto"/>
        <w:bottom w:val="none" w:sz="0" w:space="0" w:color="auto"/>
        <w:right w:val="none" w:sz="0" w:space="0" w:color="auto"/>
      </w:divBdr>
    </w:div>
    <w:div w:id="712967834">
      <w:bodyDiv w:val="1"/>
      <w:marLeft w:val="0"/>
      <w:marRight w:val="0"/>
      <w:marTop w:val="0"/>
      <w:marBottom w:val="0"/>
      <w:divBdr>
        <w:top w:val="none" w:sz="0" w:space="0" w:color="auto"/>
        <w:left w:val="none" w:sz="0" w:space="0" w:color="auto"/>
        <w:bottom w:val="none" w:sz="0" w:space="0" w:color="auto"/>
        <w:right w:val="none" w:sz="0" w:space="0" w:color="auto"/>
      </w:divBdr>
    </w:div>
    <w:div w:id="725376826">
      <w:bodyDiv w:val="1"/>
      <w:marLeft w:val="0"/>
      <w:marRight w:val="0"/>
      <w:marTop w:val="0"/>
      <w:marBottom w:val="0"/>
      <w:divBdr>
        <w:top w:val="none" w:sz="0" w:space="0" w:color="auto"/>
        <w:left w:val="none" w:sz="0" w:space="0" w:color="auto"/>
        <w:bottom w:val="none" w:sz="0" w:space="0" w:color="auto"/>
        <w:right w:val="none" w:sz="0" w:space="0" w:color="auto"/>
      </w:divBdr>
    </w:div>
    <w:div w:id="756176758">
      <w:bodyDiv w:val="1"/>
      <w:marLeft w:val="0"/>
      <w:marRight w:val="0"/>
      <w:marTop w:val="0"/>
      <w:marBottom w:val="0"/>
      <w:divBdr>
        <w:top w:val="none" w:sz="0" w:space="0" w:color="auto"/>
        <w:left w:val="none" w:sz="0" w:space="0" w:color="auto"/>
        <w:bottom w:val="none" w:sz="0" w:space="0" w:color="auto"/>
        <w:right w:val="none" w:sz="0" w:space="0" w:color="auto"/>
      </w:divBdr>
    </w:div>
    <w:div w:id="764883655">
      <w:bodyDiv w:val="1"/>
      <w:marLeft w:val="0"/>
      <w:marRight w:val="0"/>
      <w:marTop w:val="0"/>
      <w:marBottom w:val="0"/>
      <w:divBdr>
        <w:top w:val="none" w:sz="0" w:space="0" w:color="auto"/>
        <w:left w:val="none" w:sz="0" w:space="0" w:color="auto"/>
        <w:bottom w:val="none" w:sz="0" w:space="0" w:color="auto"/>
        <w:right w:val="none" w:sz="0" w:space="0" w:color="auto"/>
      </w:divBdr>
    </w:div>
    <w:div w:id="765539199">
      <w:bodyDiv w:val="1"/>
      <w:marLeft w:val="0"/>
      <w:marRight w:val="0"/>
      <w:marTop w:val="0"/>
      <w:marBottom w:val="0"/>
      <w:divBdr>
        <w:top w:val="none" w:sz="0" w:space="0" w:color="auto"/>
        <w:left w:val="none" w:sz="0" w:space="0" w:color="auto"/>
        <w:bottom w:val="none" w:sz="0" w:space="0" w:color="auto"/>
        <w:right w:val="none" w:sz="0" w:space="0" w:color="auto"/>
      </w:divBdr>
    </w:div>
    <w:div w:id="804859845">
      <w:bodyDiv w:val="1"/>
      <w:marLeft w:val="0"/>
      <w:marRight w:val="0"/>
      <w:marTop w:val="0"/>
      <w:marBottom w:val="0"/>
      <w:divBdr>
        <w:top w:val="none" w:sz="0" w:space="0" w:color="auto"/>
        <w:left w:val="none" w:sz="0" w:space="0" w:color="auto"/>
        <w:bottom w:val="none" w:sz="0" w:space="0" w:color="auto"/>
        <w:right w:val="none" w:sz="0" w:space="0" w:color="auto"/>
      </w:divBdr>
    </w:div>
    <w:div w:id="827208856">
      <w:bodyDiv w:val="1"/>
      <w:marLeft w:val="0"/>
      <w:marRight w:val="0"/>
      <w:marTop w:val="0"/>
      <w:marBottom w:val="0"/>
      <w:divBdr>
        <w:top w:val="none" w:sz="0" w:space="0" w:color="auto"/>
        <w:left w:val="none" w:sz="0" w:space="0" w:color="auto"/>
        <w:bottom w:val="none" w:sz="0" w:space="0" w:color="auto"/>
        <w:right w:val="none" w:sz="0" w:space="0" w:color="auto"/>
      </w:divBdr>
    </w:div>
    <w:div w:id="978343484">
      <w:bodyDiv w:val="1"/>
      <w:marLeft w:val="0"/>
      <w:marRight w:val="0"/>
      <w:marTop w:val="0"/>
      <w:marBottom w:val="0"/>
      <w:divBdr>
        <w:top w:val="none" w:sz="0" w:space="0" w:color="auto"/>
        <w:left w:val="none" w:sz="0" w:space="0" w:color="auto"/>
        <w:bottom w:val="none" w:sz="0" w:space="0" w:color="auto"/>
        <w:right w:val="none" w:sz="0" w:space="0" w:color="auto"/>
      </w:divBdr>
    </w:div>
    <w:div w:id="991565952">
      <w:bodyDiv w:val="1"/>
      <w:marLeft w:val="0"/>
      <w:marRight w:val="0"/>
      <w:marTop w:val="0"/>
      <w:marBottom w:val="0"/>
      <w:divBdr>
        <w:top w:val="none" w:sz="0" w:space="0" w:color="auto"/>
        <w:left w:val="none" w:sz="0" w:space="0" w:color="auto"/>
        <w:bottom w:val="none" w:sz="0" w:space="0" w:color="auto"/>
        <w:right w:val="none" w:sz="0" w:space="0" w:color="auto"/>
      </w:divBdr>
    </w:div>
    <w:div w:id="1006637863">
      <w:bodyDiv w:val="1"/>
      <w:marLeft w:val="0"/>
      <w:marRight w:val="0"/>
      <w:marTop w:val="0"/>
      <w:marBottom w:val="0"/>
      <w:divBdr>
        <w:top w:val="none" w:sz="0" w:space="0" w:color="auto"/>
        <w:left w:val="none" w:sz="0" w:space="0" w:color="auto"/>
        <w:bottom w:val="none" w:sz="0" w:space="0" w:color="auto"/>
        <w:right w:val="none" w:sz="0" w:space="0" w:color="auto"/>
      </w:divBdr>
    </w:div>
    <w:div w:id="1015380571">
      <w:bodyDiv w:val="1"/>
      <w:marLeft w:val="0"/>
      <w:marRight w:val="0"/>
      <w:marTop w:val="0"/>
      <w:marBottom w:val="0"/>
      <w:divBdr>
        <w:top w:val="none" w:sz="0" w:space="0" w:color="auto"/>
        <w:left w:val="none" w:sz="0" w:space="0" w:color="auto"/>
        <w:bottom w:val="none" w:sz="0" w:space="0" w:color="auto"/>
        <w:right w:val="none" w:sz="0" w:space="0" w:color="auto"/>
      </w:divBdr>
    </w:div>
    <w:div w:id="1024752200">
      <w:bodyDiv w:val="1"/>
      <w:marLeft w:val="0"/>
      <w:marRight w:val="0"/>
      <w:marTop w:val="0"/>
      <w:marBottom w:val="0"/>
      <w:divBdr>
        <w:top w:val="none" w:sz="0" w:space="0" w:color="auto"/>
        <w:left w:val="none" w:sz="0" w:space="0" w:color="auto"/>
        <w:bottom w:val="none" w:sz="0" w:space="0" w:color="auto"/>
        <w:right w:val="none" w:sz="0" w:space="0" w:color="auto"/>
      </w:divBdr>
    </w:div>
    <w:div w:id="1061712081">
      <w:bodyDiv w:val="1"/>
      <w:marLeft w:val="0"/>
      <w:marRight w:val="0"/>
      <w:marTop w:val="0"/>
      <w:marBottom w:val="0"/>
      <w:divBdr>
        <w:top w:val="none" w:sz="0" w:space="0" w:color="auto"/>
        <w:left w:val="none" w:sz="0" w:space="0" w:color="auto"/>
        <w:bottom w:val="none" w:sz="0" w:space="0" w:color="auto"/>
        <w:right w:val="none" w:sz="0" w:space="0" w:color="auto"/>
      </w:divBdr>
    </w:div>
    <w:div w:id="1069956803">
      <w:bodyDiv w:val="1"/>
      <w:marLeft w:val="0"/>
      <w:marRight w:val="0"/>
      <w:marTop w:val="0"/>
      <w:marBottom w:val="0"/>
      <w:divBdr>
        <w:top w:val="none" w:sz="0" w:space="0" w:color="auto"/>
        <w:left w:val="none" w:sz="0" w:space="0" w:color="auto"/>
        <w:bottom w:val="none" w:sz="0" w:space="0" w:color="auto"/>
        <w:right w:val="none" w:sz="0" w:space="0" w:color="auto"/>
      </w:divBdr>
    </w:div>
    <w:div w:id="1193375498">
      <w:bodyDiv w:val="1"/>
      <w:marLeft w:val="0"/>
      <w:marRight w:val="0"/>
      <w:marTop w:val="0"/>
      <w:marBottom w:val="0"/>
      <w:divBdr>
        <w:top w:val="none" w:sz="0" w:space="0" w:color="auto"/>
        <w:left w:val="none" w:sz="0" w:space="0" w:color="auto"/>
        <w:bottom w:val="none" w:sz="0" w:space="0" w:color="auto"/>
        <w:right w:val="none" w:sz="0" w:space="0" w:color="auto"/>
      </w:divBdr>
    </w:div>
    <w:div w:id="1268276513">
      <w:bodyDiv w:val="1"/>
      <w:marLeft w:val="0"/>
      <w:marRight w:val="0"/>
      <w:marTop w:val="0"/>
      <w:marBottom w:val="0"/>
      <w:divBdr>
        <w:top w:val="none" w:sz="0" w:space="0" w:color="auto"/>
        <w:left w:val="none" w:sz="0" w:space="0" w:color="auto"/>
        <w:bottom w:val="none" w:sz="0" w:space="0" w:color="auto"/>
        <w:right w:val="none" w:sz="0" w:space="0" w:color="auto"/>
      </w:divBdr>
    </w:div>
    <w:div w:id="1298610393">
      <w:bodyDiv w:val="1"/>
      <w:marLeft w:val="0"/>
      <w:marRight w:val="0"/>
      <w:marTop w:val="0"/>
      <w:marBottom w:val="0"/>
      <w:divBdr>
        <w:top w:val="none" w:sz="0" w:space="0" w:color="auto"/>
        <w:left w:val="none" w:sz="0" w:space="0" w:color="auto"/>
        <w:bottom w:val="none" w:sz="0" w:space="0" w:color="auto"/>
        <w:right w:val="none" w:sz="0" w:space="0" w:color="auto"/>
      </w:divBdr>
    </w:div>
    <w:div w:id="1383942159">
      <w:bodyDiv w:val="1"/>
      <w:marLeft w:val="0"/>
      <w:marRight w:val="0"/>
      <w:marTop w:val="0"/>
      <w:marBottom w:val="0"/>
      <w:divBdr>
        <w:top w:val="none" w:sz="0" w:space="0" w:color="auto"/>
        <w:left w:val="none" w:sz="0" w:space="0" w:color="auto"/>
        <w:bottom w:val="none" w:sz="0" w:space="0" w:color="auto"/>
        <w:right w:val="none" w:sz="0" w:space="0" w:color="auto"/>
      </w:divBdr>
    </w:div>
    <w:div w:id="1395549016">
      <w:bodyDiv w:val="1"/>
      <w:marLeft w:val="0"/>
      <w:marRight w:val="0"/>
      <w:marTop w:val="0"/>
      <w:marBottom w:val="0"/>
      <w:divBdr>
        <w:top w:val="none" w:sz="0" w:space="0" w:color="auto"/>
        <w:left w:val="none" w:sz="0" w:space="0" w:color="auto"/>
        <w:bottom w:val="none" w:sz="0" w:space="0" w:color="auto"/>
        <w:right w:val="none" w:sz="0" w:space="0" w:color="auto"/>
      </w:divBdr>
    </w:div>
    <w:div w:id="1447194306">
      <w:bodyDiv w:val="1"/>
      <w:marLeft w:val="0"/>
      <w:marRight w:val="0"/>
      <w:marTop w:val="0"/>
      <w:marBottom w:val="0"/>
      <w:divBdr>
        <w:top w:val="none" w:sz="0" w:space="0" w:color="auto"/>
        <w:left w:val="none" w:sz="0" w:space="0" w:color="auto"/>
        <w:bottom w:val="none" w:sz="0" w:space="0" w:color="auto"/>
        <w:right w:val="none" w:sz="0" w:space="0" w:color="auto"/>
      </w:divBdr>
    </w:div>
    <w:div w:id="1465267855">
      <w:bodyDiv w:val="1"/>
      <w:marLeft w:val="0"/>
      <w:marRight w:val="0"/>
      <w:marTop w:val="0"/>
      <w:marBottom w:val="0"/>
      <w:divBdr>
        <w:top w:val="none" w:sz="0" w:space="0" w:color="auto"/>
        <w:left w:val="none" w:sz="0" w:space="0" w:color="auto"/>
        <w:bottom w:val="none" w:sz="0" w:space="0" w:color="auto"/>
        <w:right w:val="none" w:sz="0" w:space="0" w:color="auto"/>
      </w:divBdr>
    </w:div>
    <w:div w:id="1506479454">
      <w:bodyDiv w:val="1"/>
      <w:marLeft w:val="0"/>
      <w:marRight w:val="0"/>
      <w:marTop w:val="0"/>
      <w:marBottom w:val="0"/>
      <w:divBdr>
        <w:top w:val="none" w:sz="0" w:space="0" w:color="auto"/>
        <w:left w:val="none" w:sz="0" w:space="0" w:color="auto"/>
        <w:bottom w:val="none" w:sz="0" w:space="0" w:color="auto"/>
        <w:right w:val="none" w:sz="0" w:space="0" w:color="auto"/>
      </w:divBdr>
    </w:div>
    <w:div w:id="1547374548">
      <w:bodyDiv w:val="1"/>
      <w:marLeft w:val="0"/>
      <w:marRight w:val="0"/>
      <w:marTop w:val="0"/>
      <w:marBottom w:val="0"/>
      <w:divBdr>
        <w:top w:val="none" w:sz="0" w:space="0" w:color="auto"/>
        <w:left w:val="none" w:sz="0" w:space="0" w:color="auto"/>
        <w:bottom w:val="none" w:sz="0" w:space="0" w:color="auto"/>
        <w:right w:val="none" w:sz="0" w:space="0" w:color="auto"/>
      </w:divBdr>
    </w:div>
    <w:div w:id="1620839480">
      <w:bodyDiv w:val="1"/>
      <w:marLeft w:val="0"/>
      <w:marRight w:val="0"/>
      <w:marTop w:val="0"/>
      <w:marBottom w:val="0"/>
      <w:divBdr>
        <w:top w:val="none" w:sz="0" w:space="0" w:color="auto"/>
        <w:left w:val="none" w:sz="0" w:space="0" w:color="auto"/>
        <w:bottom w:val="none" w:sz="0" w:space="0" w:color="auto"/>
        <w:right w:val="none" w:sz="0" w:space="0" w:color="auto"/>
      </w:divBdr>
    </w:div>
    <w:div w:id="1654210896">
      <w:bodyDiv w:val="1"/>
      <w:marLeft w:val="0"/>
      <w:marRight w:val="0"/>
      <w:marTop w:val="0"/>
      <w:marBottom w:val="0"/>
      <w:divBdr>
        <w:top w:val="none" w:sz="0" w:space="0" w:color="auto"/>
        <w:left w:val="none" w:sz="0" w:space="0" w:color="auto"/>
        <w:bottom w:val="none" w:sz="0" w:space="0" w:color="auto"/>
        <w:right w:val="none" w:sz="0" w:space="0" w:color="auto"/>
      </w:divBdr>
    </w:div>
    <w:div w:id="1659310390">
      <w:bodyDiv w:val="1"/>
      <w:marLeft w:val="0"/>
      <w:marRight w:val="0"/>
      <w:marTop w:val="0"/>
      <w:marBottom w:val="0"/>
      <w:divBdr>
        <w:top w:val="none" w:sz="0" w:space="0" w:color="auto"/>
        <w:left w:val="none" w:sz="0" w:space="0" w:color="auto"/>
        <w:bottom w:val="none" w:sz="0" w:space="0" w:color="auto"/>
        <w:right w:val="none" w:sz="0" w:space="0" w:color="auto"/>
      </w:divBdr>
    </w:div>
    <w:div w:id="1705129317">
      <w:bodyDiv w:val="1"/>
      <w:marLeft w:val="0"/>
      <w:marRight w:val="0"/>
      <w:marTop w:val="0"/>
      <w:marBottom w:val="0"/>
      <w:divBdr>
        <w:top w:val="none" w:sz="0" w:space="0" w:color="auto"/>
        <w:left w:val="none" w:sz="0" w:space="0" w:color="auto"/>
        <w:bottom w:val="none" w:sz="0" w:space="0" w:color="auto"/>
        <w:right w:val="none" w:sz="0" w:space="0" w:color="auto"/>
      </w:divBdr>
    </w:div>
    <w:div w:id="1748569761">
      <w:bodyDiv w:val="1"/>
      <w:marLeft w:val="0"/>
      <w:marRight w:val="0"/>
      <w:marTop w:val="0"/>
      <w:marBottom w:val="0"/>
      <w:divBdr>
        <w:top w:val="none" w:sz="0" w:space="0" w:color="auto"/>
        <w:left w:val="none" w:sz="0" w:space="0" w:color="auto"/>
        <w:bottom w:val="none" w:sz="0" w:space="0" w:color="auto"/>
        <w:right w:val="none" w:sz="0" w:space="0" w:color="auto"/>
      </w:divBdr>
    </w:div>
    <w:div w:id="1795826138">
      <w:bodyDiv w:val="1"/>
      <w:marLeft w:val="0"/>
      <w:marRight w:val="0"/>
      <w:marTop w:val="0"/>
      <w:marBottom w:val="0"/>
      <w:divBdr>
        <w:top w:val="none" w:sz="0" w:space="0" w:color="auto"/>
        <w:left w:val="none" w:sz="0" w:space="0" w:color="auto"/>
        <w:bottom w:val="none" w:sz="0" w:space="0" w:color="auto"/>
        <w:right w:val="none" w:sz="0" w:space="0" w:color="auto"/>
      </w:divBdr>
    </w:div>
    <w:div w:id="1952131921">
      <w:bodyDiv w:val="1"/>
      <w:marLeft w:val="0"/>
      <w:marRight w:val="0"/>
      <w:marTop w:val="0"/>
      <w:marBottom w:val="0"/>
      <w:divBdr>
        <w:top w:val="none" w:sz="0" w:space="0" w:color="auto"/>
        <w:left w:val="none" w:sz="0" w:space="0" w:color="auto"/>
        <w:bottom w:val="none" w:sz="0" w:space="0" w:color="auto"/>
        <w:right w:val="none" w:sz="0" w:space="0" w:color="auto"/>
      </w:divBdr>
    </w:div>
    <w:div w:id="1967544022">
      <w:bodyDiv w:val="1"/>
      <w:marLeft w:val="0"/>
      <w:marRight w:val="0"/>
      <w:marTop w:val="0"/>
      <w:marBottom w:val="0"/>
      <w:divBdr>
        <w:top w:val="none" w:sz="0" w:space="0" w:color="auto"/>
        <w:left w:val="none" w:sz="0" w:space="0" w:color="auto"/>
        <w:bottom w:val="none" w:sz="0" w:space="0" w:color="auto"/>
        <w:right w:val="none" w:sz="0" w:space="0" w:color="auto"/>
      </w:divBdr>
    </w:div>
    <w:div w:id="1972903941">
      <w:bodyDiv w:val="1"/>
      <w:marLeft w:val="0"/>
      <w:marRight w:val="0"/>
      <w:marTop w:val="0"/>
      <w:marBottom w:val="0"/>
      <w:divBdr>
        <w:top w:val="none" w:sz="0" w:space="0" w:color="auto"/>
        <w:left w:val="none" w:sz="0" w:space="0" w:color="auto"/>
        <w:bottom w:val="none" w:sz="0" w:space="0" w:color="auto"/>
        <w:right w:val="none" w:sz="0" w:space="0" w:color="auto"/>
      </w:divBdr>
    </w:div>
    <w:div w:id="1979262596">
      <w:bodyDiv w:val="1"/>
      <w:marLeft w:val="0"/>
      <w:marRight w:val="0"/>
      <w:marTop w:val="0"/>
      <w:marBottom w:val="0"/>
      <w:divBdr>
        <w:top w:val="none" w:sz="0" w:space="0" w:color="auto"/>
        <w:left w:val="none" w:sz="0" w:space="0" w:color="auto"/>
        <w:bottom w:val="none" w:sz="0" w:space="0" w:color="auto"/>
        <w:right w:val="none" w:sz="0" w:space="0" w:color="auto"/>
      </w:divBdr>
    </w:div>
    <w:div w:id="2060128195">
      <w:bodyDiv w:val="1"/>
      <w:marLeft w:val="0"/>
      <w:marRight w:val="0"/>
      <w:marTop w:val="0"/>
      <w:marBottom w:val="0"/>
      <w:divBdr>
        <w:top w:val="none" w:sz="0" w:space="0" w:color="auto"/>
        <w:left w:val="none" w:sz="0" w:space="0" w:color="auto"/>
        <w:bottom w:val="none" w:sz="0" w:space="0" w:color="auto"/>
        <w:right w:val="none" w:sz="0" w:space="0" w:color="auto"/>
      </w:divBdr>
    </w:div>
    <w:div w:id="2064593296">
      <w:bodyDiv w:val="1"/>
      <w:marLeft w:val="0"/>
      <w:marRight w:val="0"/>
      <w:marTop w:val="0"/>
      <w:marBottom w:val="0"/>
      <w:divBdr>
        <w:top w:val="none" w:sz="0" w:space="0" w:color="auto"/>
        <w:left w:val="none" w:sz="0" w:space="0" w:color="auto"/>
        <w:bottom w:val="none" w:sz="0" w:space="0" w:color="auto"/>
        <w:right w:val="none" w:sz="0" w:space="0" w:color="auto"/>
      </w:divBdr>
    </w:div>
    <w:div w:id="213733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5B983-9314-4491-9064-B65C3665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25619</Words>
  <Characters>14604</Characters>
  <Application>Microsoft Office Word</Application>
  <DocSecurity>0</DocSecurity>
  <Lines>121</Lines>
  <Paragraphs>80</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40143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Зима Марина Анатоліївна</dc:creator>
  <cp:keywords/>
  <dc:description/>
  <cp:lastModifiedBy>Зима Марина Анатоліївна</cp:lastModifiedBy>
  <cp:revision>5</cp:revision>
  <dcterms:created xsi:type="dcterms:W3CDTF">2025-11-24T15:06:00Z</dcterms:created>
  <dcterms:modified xsi:type="dcterms:W3CDTF">2025-11-24T15:53:00Z</dcterms:modified>
</cp:coreProperties>
</file>