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DDB3" w14:textId="77777777" w:rsidR="00FA7846" w:rsidRPr="00CB02C9" w:rsidRDefault="00FA7846" w:rsidP="00FA7846">
      <w:pPr>
        <w:rPr>
          <w:sz w:val="2"/>
          <w:szCs w:val="2"/>
          <w:lang w:val="en-US"/>
        </w:rPr>
      </w:pPr>
    </w:p>
    <w:p w14:paraId="0B35DD5E" w14:textId="77777777" w:rsidR="00657593" w:rsidRPr="00E75E32" w:rsidRDefault="00657593" w:rsidP="0065759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547EE" w:rsidRPr="0056091A" w14:paraId="009B4148" w14:textId="77777777" w:rsidTr="00E054A9">
        <w:trPr>
          <w:trHeight w:val="851"/>
        </w:trPr>
        <w:tc>
          <w:tcPr>
            <w:tcW w:w="3284" w:type="dxa"/>
          </w:tcPr>
          <w:p w14:paraId="2C7A219D" w14:textId="77777777" w:rsidR="00657593" w:rsidRPr="00E75E32" w:rsidRDefault="00657593" w:rsidP="00E054A9"/>
        </w:tc>
        <w:tc>
          <w:tcPr>
            <w:tcW w:w="3285" w:type="dxa"/>
            <w:vMerge w:val="restart"/>
          </w:tcPr>
          <w:p w14:paraId="64683BEE" w14:textId="77777777" w:rsidR="00657593" w:rsidRPr="0056091A" w:rsidRDefault="00E832A1" w:rsidP="00E054A9">
            <w:pPr>
              <w:jc w:val="center"/>
            </w:pPr>
            <w:r w:rsidRPr="0056091A">
              <w:object w:dxaOrig="689" w:dyaOrig="950" w14:anchorId="063450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05pt;height:48.45pt" o:ole="">
                  <v:imagedata r:id="rId12" o:title=""/>
                </v:shape>
                <o:OLEObject Type="Embed" ProgID="CorelDraw.Graphic.16" ShapeID="_x0000_i1025" DrawAspect="Content" ObjectID="_1739194712" r:id="rId13"/>
              </w:object>
            </w:r>
          </w:p>
        </w:tc>
        <w:tc>
          <w:tcPr>
            <w:tcW w:w="3285" w:type="dxa"/>
          </w:tcPr>
          <w:p w14:paraId="0DD006A3" w14:textId="77777777" w:rsidR="00657593" w:rsidRPr="0056091A" w:rsidRDefault="00657593" w:rsidP="00E054A9"/>
        </w:tc>
      </w:tr>
      <w:tr w:rsidR="009547EE" w:rsidRPr="0056091A" w14:paraId="41A9F95D" w14:textId="77777777" w:rsidTr="00E054A9">
        <w:tc>
          <w:tcPr>
            <w:tcW w:w="3284" w:type="dxa"/>
          </w:tcPr>
          <w:p w14:paraId="5F24251F" w14:textId="77777777" w:rsidR="00657593" w:rsidRPr="0056091A" w:rsidRDefault="00657593" w:rsidP="00E054A9"/>
        </w:tc>
        <w:tc>
          <w:tcPr>
            <w:tcW w:w="3285" w:type="dxa"/>
            <w:vMerge/>
          </w:tcPr>
          <w:p w14:paraId="08B0F86C" w14:textId="77777777" w:rsidR="00657593" w:rsidRPr="0056091A" w:rsidRDefault="00657593" w:rsidP="00E054A9"/>
        </w:tc>
        <w:tc>
          <w:tcPr>
            <w:tcW w:w="3285" w:type="dxa"/>
          </w:tcPr>
          <w:p w14:paraId="0837043B" w14:textId="77777777" w:rsidR="00657593" w:rsidRPr="0056091A" w:rsidRDefault="00657593" w:rsidP="00E054A9"/>
        </w:tc>
      </w:tr>
      <w:tr w:rsidR="009547EE" w:rsidRPr="0056091A" w14:paraId="7FA10F25" w14:textId="77777777" w:rsidTr="00E054A9">
        <w:tc>
          <w:tcPr>
            <w:tcW w:w="9854" w:type="dxa"/>
            <w:gridSpan w:val="3"/>
          </w:tcPr>
          <w:p w14:paraId="30D04BE3" w14:textId="77777777" w:rsidR="00657593" w:rsidRPr="0056091A" w:rsidRDefault="00E832A1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56091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1FC1AE8" w14:textId="77777777" w:rsidR="00657593" w:rsidRPr="0056091A" w:rsidRDefault="00E832A1" w:rsidP="00E054A9">
            <w:pPr>
              <w:jc w:val="center"/>
            </w:pPr>
            <w:r w:rsidRPr="0056091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0CEE89D" w14:textId="77777777" w:rsidR="00657593" w:rsidRPr="0056091A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36"/>
        <w:gridCol w:w="1677"/>
        <w:gridCol w:w="1886"/>
      </w:tblGrid>
      <w:tr w:rsidR="009547EE" w:rsidRPr="0056091A" w14:paraId="5A54E0A2" w14:textId="77777777" w:rsidTr="00AB062E">
        <w:tc>
          <w:tcPr>
            <w:tcW w:w="3510" w:type="dxa"/>
            <w:vAlign w:val="bottom"/>
          </w:tcPr>
          <w:p w14:paraId="7CBEB7B5" w14:textId="362C9632" w:rsidR="00657593" w:rsidRPr="0056091A" w:rsidRDefault="00AC2F1B" w:rsidP="00E054A9">
            <w:r>
              <w:t>01 березня</w:t>
            </w:r>
            <w:r w:rsidR="00D86EC3">
              <w:t xml:space="preserve"> 2023 року</w:t>
            </w:r>
          </w:p>
        </w:tc>
        <w:tc>
          <w:tcPr>
            <w:tcW w:w="2694" w:type="dxa"/>
          </w:tcPr>
          <w:p w14:paraId="3B9A9171" w14:textId="77777777" w:rsidR="00657593" w:rsidRPr="0056091A" w:rsidRDefault="00E832A1" w:rsidP="00E62607">
            <w:pPr>
              <w:spacing w:before="240"/>
              <w:jc w:val="center"/>
            </w:pPr>
            <w:r w:rsidRPr="0056091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3CA6B1A" w14:textId="35B2CDD2" w:rsidR="00657593" w:rsidRPr="0056091A" w:rsidRDefault="00AC2F1B" w:rsidP="00E62607">
            <w:pPr>
              <w:jc w:val="right"/>
            </w:pPr>
            <w:r>
              <w:t>№ 11</w:t>
            </w:r>
          </w:p>
        </w:tc>
        <w:tc>
          <w:tcPr>
            <w:tcW w:w="1937" w:type="dxa"/>
            <w:vAlign w:val="bottom"/>
          </w:tcPr>
          <w:p w14:paraId="777B901F" w14:textId="77777777" w:rsidR="00657593" w:rsidRPr="0056091A" w:rsidRDefault="00657593" w:rsidP="00290169">
            <w:pPr>
              <w:jc w:val="left"/>
            </w:pPr>
          </w:p>
        </w:tc>
      </w:tr>
    </w:tbl>
    <w:p w14:paraId="053A8BEF" w14:textId="77777777" w:rsidR="00657593" w:rsidRPr="0056091A" w:rsidRDefault="00657593" w:rsidP="00657593">
      <w:pPr>
        <w:rPr>
          <w:sz w:val="2"/>
          <w:szCs w:val="2"/>
        </w:rPr>
      </w:pPr>
    </w:p>
    <w:p w14:paraId="32170493" w14:textId="77777777" w:rsidR="00E42621" w:rsidRPr="0056091A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6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893684" w:rsidRPr="00F809AD" w14:paraId="71760578" w14:textId="77777777" w:rsidTr="001D394D">
        <w:trPr>
          <w:jc w:val="center"/>
        </w:trPr>
        <w:tc>
          <w:tcPr>
            <w:tcW w:w="5000" w:type="pct"/>
          </w:tcPr>
          <w:p w14:paraId="38175072" w14:textId="77777777" w:rsidR="002B3F71" w:rsidRPr="00F809AD" w:rsidRDefault="00174CD0" w:rsidP="00AD616D">
            <w:pPr>
              <w:ind w:firstLine="318"/>
              <w:jc w:val="center"/>
              <w:rPr>
                <w:rFonts w:eastAsiaTheme="minorEastAsia"/>
                <w:lang w:eastAsia="en-US"/>
              </w:rPr>
            </w:pPr>
            <w:r w:rsidRPr="00F809AD">
              <w:rPr>
                <w:bCs/>
                <w:shd w:val="clear" w:color="auto" w:fill="FFFFFF"/>
              </w:rPr>
              <w:t>Про на</w:t>
            </w:r>
            <w:r w:rsidR="00FA45BC" w:rsidRPr="00F809AD">
              <w:rPr>
                <w:bCs/>
                <w:shd w:val="clear" w:color="auto" w:fill="FFFFFF"/>
              </w:rPr>
              <w:t>дання</w:t>
            </w:r>
            <w:r w:rsidR="005A40A3" w:rsidRPr="00F809AD">
              <w:rPr>
                <w:bCs/>
                <w:shd w:val="clear" w:color="auto" w:fill="FFFFFF"/>
              </w:rPr>
              <w:t xml:space="preserve"> банками</w:t>
            </w:r>
            <w:r w:rsidR="00FA45BC" w:rsidRPr="00F809AD">
              <w:rPr>
                <w:bCs/>
                <w:shd w:val="clear" w:color="auto" w:fill="FFFFFF"/>
              </w:rPr>
              <w:t xml:space="preserve"> інформації щодо показника </w:t>
            </w:r>
            <w:r w:rsidR="00FA45BC" w:rsidRPr="00F809AD">
              <w:rPr>
                <w:shd w:val="clear" w:color="auto" w:fill="FFFFFF"/>
              </w:rPr>
              <w:t>“</w:t>
            </w:r>
            <w:proofErr w:type="spellStart"/>
            <w:r w:rsidR="00FA45BC" w:rsidRPr="00F809AD">
              <w:rPr>
                <w:shd w:val="clear" w:color="auto" w:fill="FFFFFF"/>
              </w:rPr>
              <w:t>ΣВалВирˮ</w:t>
            </w:r>
            <w:proofErr w:type="spellEnd"/>
          </w:p>
        </w:tc>
      </w:tr>
    </w:tbl>
    <w:p w14:paraId="57BCC78D" w14:textId="77777777" w:rsidR="00551EFD" w:rsidRPr="00F809AD" w:rsidRDefault="00551EFD" w:rsidP="001F3B2A">
      <w:pPr>
        <w:spacing w:before="240" w:after="240"/>
        <w:ind w:firstLine="567"/>
      </w:pPr>
    </w:p>
    <w:p w14:paraId="004048EA" w14:textId="67116F39" w:rsidR="00E53CCD" w:rsidRPr="00F809AD" w:rsidRDefault="00696A14" w:rsidP="001F3B2A">
      <w:pPr>
        <w:spacing w:before="240" w:after="240"/>
        <w:ind w:firstLine="567"/>
        <w:rPr>
          <w:b/>
        </w:rPr>
      </w:pPr>
      <w:r w:rsidRPr="00F809AD">
        <w:t>Відповідно до статей 7, 15, 56 Закону України “Про</w:t>
      </w:r>
      <w:r w:rsidR="00077077" w:rsidRPr="00F809AD">
        <w:t xml:space="preserve"> </w:t>
      </w:r>
      <w:r w:rsidRPr="00F809AD">
        <w:t xml:space="preserve">Національний банк України”, пункту 14 </w:t>
      </w:r>
      <w:hyperlink r:id="rId14" w:anchor="n1360" w:tgtFrame="_blank" w:history="1">
        <w:r w:rsidRPr="00F809AD">
          <w:rPr>
            <w:rStyle w:val="afa"/>
            <w:color w:val="auto"/>
            <w:u w:val="none"/>
            <w:shd w:val="clear" w:color="auto" w:fill="FFFFFF"/>
          </w:rPr>
          <w:t>розділу VII</w:t>
        </w:r>
      </w:hyperlink>
      <w:r w:rsidR="00077077" w:rsidRPr="00F809AD">
        <w:rPr>
          <w:rStyle w:val="afa"/>
          <w:color w:val="auto"/>
          <w:u w:val="none"/>
          <w:shd w:val="clear" w:color="auto" w:fill="FFFFFF"/>
        </w:rPr>
        <w:t xml:space="preserve"> </w:t>
      </w:r>
      <w:r w:rsidRPr="00F809AD">
        <w:rPr>
          <w:shd w:val="clear" w:color="auto" w:fill="FFFFFF"/>
        </w:rPr>
        <w:t>“Прикінцеві положення” Закону України “Про банки і банківську діяльність”,</w:t>
      </w:r>
      <w:r w:rsidRPr="00F809AD">
        <w:t xml:space="preserve"> </w:t>
      </w:r>
      <w:r w:rsidR="00501616" w:rsidRPr="00F809AD">
        <w:t>с</w:t>
      </w:r>
      <w:r w:rsidR="00501616" w:rsidRPr="00F809AD">
        <w:rPr>
          <w:rStyle w:val="rvts9"/>
          <w:bCs/>
          <w:shd w:val="clear" w:color="auto" w:fill="FFFFFF"/>
        </w:rPr>
        <w:t>татті</w:t>
      </w:r>
      <w:r w:rsidRPr="00F809AD">
        <w:rPr>
          <w:rStyle w:val="rvts9"/>
          <w:bCs/>
          <w:shd w:val="clear" w:color="auto" w:fill="FFFFFF"/>
        </w:rPr>
        <w:t xml:space="preserve"> 19</w:t>
      </w:r>
      <w:r w:rsidRPr="00F809AD">
        <w:rPr>
          <w:rStyle w:val="rvts37"/>
          <w:bCs/>
          <w:shd w:val="clear" w:color="auto" w:fill="FFFFFF"/>
          <w:vertAlign w:val="superscript"/>
        </w:rPr>
        <w:t>1</w:t>
      </w:r>
      <w:r w:rsidRPr="00F809AD">
        <w:t xml:space="preserve"> </w:t>
      </w:r>
      <w:r w:rsidR="004D412D" w:rsidRPr="00F809AD">
        <w:rPr>
          <w:shd w:val="clear" w:color="auto" w:fill="FFFFFF"/>
        </w:rPr>
        <w:t>Закону України</w:t>
      </w:r>
      <w:r w:rsidR="00077077" w:rsidRPr="00F809AD">
        <w:rPr>
          <w:rStyle w:val="afa"/>
          <w:color w:val="auto"/>
          <w:u w:val="none"/>
          <w:shd w:val="clear" w:color="auto" w:fill="FFFFFF"/>
        </w:rPr>
        <w:t xml:space="preserve"> </w:t>
      </w:r>
      <w:r w:rsidRPr="00F809AD">
        <w:rPr>
          <w:shd w:val="clear" w:color="auto" w:fill="FFFFFF"/>
        </w:rPr>
        <w:t xml:space="preserve">“Про зовнішньоекономічну діяльність”, </w:t>
      </w:r>
      <w:r w:rsidRPr="00F809AD">
        <w:t xml:space="preserve">Закону України </w:t>
      </w:r>
      <w:r w:rsidR="00077077" w:rsidRPr="00F809AD">
        <w:rPr>
          <w:bCs/>
          <w:shd w:val="clear" w:color="auto" w:fill="FFFFFF"/>
        </w:rPr>
        <w:t>від 12</w:t>
      </w:r>
      <w:r w:rsidR="0015658D" w:rsidRPr="00F809AD">
        <w:rPr>
          <w:bCs/>
          <w:shd w:val="clear" w:color="auto" w:fill="FFFFFF"/>
        </w:rPr>
        <w:t xml:space="preserve"> січня </w:t>
      </w:r>
      <w:r w:rsidR="00077077" w:rsidRPr="00F809AD">
        <w:rPr>
          <w:bCs/>
          <w:shd w:val="clear" w:color="auto" w:fill="FFFFFF"/>
        </w:rPr>
        <w:t xml:space="preserve">2023 </w:t>
      </w:r>
      <w:r w:rsidR="0015658D" w:rsidRPr="00F809AD">
        <w:rPr>
          <w:bCs/>
          <w:shd w:val="clear" w:color="auto" w:fill="FFFFFF"/>
        </w:rPr>
        <w:t xml:space="preserve">року </w:t>
      </w:r>
      <w:r w:rsidR="00077077" w:rsidRPr="00F809AD">
        <w:rPr>
          <w:bCs/>
          <w:shd w:val="clear" w:color="auto" w:fill="FFFFFF"/>
        </w:rPr>
        <w:t>№</w:t>
      </w:r>
      <w:r w:rsidR="0015658D" w:rsidRPr="00F809AD">
        <w:rPr>
          <w:bCs/>
          <w:shd w:val="clear" w:color="auto" w:fill="FFFFFF"/>
        </w:rPr>
        <w:t> </w:t>
      </w:r>
      <w:r w:rsidR="00077077" w:rsidRPr="00F809AD">
        <w:rPr>
          <w:bCs/>
          <w:shd w:val="clear" w:color="auto" w:fill="FFFFFF"/>
        </w:rPr>
        <w:t>2881-ІХ</w:t>
      </w:r>
      <w:r w:rsidR="00077077" w:rsidRPr="00F809AD">
        <w:t xml:space="preserve"> </w:t>
      </w:r>
      <w:r w:rsidRPr="00F809AD">
        <w:t>“</w:t>
      </w:r>
      <w:r w:rsidRPr="00F809AD">
        <w:rPr>
          <w:bCs/>
          <w:shd w:val="clear" w:color="auto" w:fill="FFFFFF"/>
        </w:rPr>
        <w:t>Про внесення змін до Податкового кодексу України та деяких законодавчих актів України щодо застосування режиму експортного забезпечення на період дії воєнного, надзвичайного стану</w:t>
      </w:r>
      <w:r w:rsidRPr="00F809AD">
        <w:t xml:space="preserve">”, Указу Президента України від 24 лютого 2022 року № 64/2022 “Про введення воєнного стану в Україні”, затвердженого Законом України від 24 лютого 2022 року № 2102-IX </w:t>
      </w:r>
      <w:r w:rsidR="00CB02C9">
        <w:t>«</w:t>
      </w:r>
      <w:r w:rsidRPr="00F809AD">
        <w:t>Про затвердження Указу Президента України “Про введення воєнного стану в Україні”</w:t>
      </w:r>
      <w:r w:rsidR="00CB02C9">
        <w:t>»</w:t>
      </w:r>
      <w:r w:rsidRPr="00F809AD">
        <w:t>, з метою забезпечення</w:t>
      </w:r>
      <w:r w:rsidRPr="00F809AD">
        <w:rPr>
          <w:shd w:val="clear" w:color="auto" w:fill="FFFFFF"/>
        </w:rPr>
        <w:t xml:space="preserve"> збирання </w:t>
      </w:r>
      <w:r w:rsidR="00701BDF" w:rsidRPr="00F809AD">
        <w:rPr>
          <w:shd w:val="clear" w:color="auto" w:fill="FFFFFF"/>
        </w:rPr>
        <w:t xml:space="preserve">Національним банком України </w:t>
      </w:r>
      <w:r w:rsidRPr="00F809AD">
        <w:rPr>
          <w:shd w:val="clear" w:color="auto" w:fill="FFFFFF"/>
        </w:rPr>
        <w:t>інформації про показник “</w:t>
      </w:r>
      <w:proofErr w:type="spellStart"/>
      <w:r w:rsidRPr="00F809AD">
        <w:rPr>
          <w:shd w:val="clear" w:color="auto" w:fill="FFFFFF"/>
        </w:rPr>
        <w:t>ΣВалВирˮ</w:t>
      </w:r>
      <w:proofErr w:type="spellEnd"/>
      <w:r w:rsidRPr="00F809AD">
        <w:rPr>
          <w:shd w:val="clear" w:color="auto" w:fill="FFFFFF"/>
        </w:rPr>
        <w:t xml:space="preserve"> для подальшого надсилання до центрального органу виконавчої влади, що реалізує державну митну політику,</w:t>
      </w:r>
      <w:r w:rsidRPr="00F809AD">
        <w:t xml:space="preserve"> Правління Національного банку України</w:t>
      </w:r>
      <w:r w:rsidRPr="00F809AD">
        <w:rPr>
          <w:b/>
        </w:rPr>
        <w:t xml:space="preserve"> постановляє:</w:t>
      </w:r>
    </w:p>
    <w:p w14:paraId="3D39E092" w14:textId="77777777" w:rsidR="00DA39E4" w:rsidRPr="00F809AD" w:rsidRDefault="002B6213" w:rsidP="00DA39E4">
      <w:pPr>
        <w:pStyle w:val="afb"/>
        <w:numPr>
          <w:ilvl w:val="0"/>
          <w:numId w:val="10"/>
        </w:numPr>
        <w:jc w:val="both"/>
        <w:rPr>
          <w:shd w:val="clear" w:color="auto" w:fill="FFFFFF"/>
        </w:rPr>
      </w:pPr>
      <w:r w:rsidRPr="00F809AD">
        <w:t>Б</w:t>
      </w:r>
      <w:r w:rsidR="00DA39E4" w:rsidRPr="00F809AD">
        <w:rPr>
          <w:shd w:val="clear" w:color="auto" w:fill="FFFFFF"/>
        </w:rPr>
        <w:t>анк:</w:t>
      </w:r>
    </w:p>
    <w:p w14:paraId="70691748" w14:textId="77777777" w:rsidR="0051053E" w:rsidRPr="00F809AD" w:rsidRDefault="0051053E" w:rsidP="0051053E">
      <w:pPr>
        <w:pStyle w:val="afb"/>
        <w:ind w:left="927" w:firstLine="0"/>
        <w:jc w:val="both"/>
        <w:rPr>
          <w:shd w:val="clear" w:color="auto" w:fill="FFFFFF"/>
        </w:rPr>
      </w:pPr>
    </w:p>
    <w:p w14:paraId="0AAF1002" w14:textId="3D05F4A6" w:rsidR="00ED20B6" w:rsidRPr="00F809AD" w:rsidRDefault="00174CD0" w:rsidP="007A30E9">
      <w:pPr>
        <w:pStyle w:val="afb"/>
        <w:numPr>
          <w:ilvl w:val="1"/>
          <w:numId w:val="10"/>
        </w:numPr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F809AD">
        <w:rPr>
          <w:shd w:val="clear" w:color="auto" w:fill="FFFFFF"/>
        </w:rPr>
        <w:t>на</w:t>
      </w:r>
      <w:r w:rsidR="00FA45BC" w:rsidRPr="00F809AD">
        <w:rPr>
          <w:shd w:val="clear" w:color="auto" w:fill="FFFFFF"/>
        </w:rPr>
        <w:t xml:space="preserve">дає </w:t>
      </w:r>
      <w:r w:rsidR="002B6213" w:rsidRPr="00F809AD">
        <w:rPr>
          <w:shd w:val="clear" w:color="auto" w:fill="FFFFFF"/>
        </w:rPr>
        <w:t xml:space="preserve">до </w:t>
      </w:r>
      <w:r w:rsidR="002B6213" w:rsidRPr="00F809AD">
        <w:t>Національного</w:t>
      </w:r>
      <w:r w:rsidR="002B6213" w:rsidRPr="00F809AD">
        <w:rPr>
          <w:shd w:val="clear" w:color="auto" w:fill="FFFFFF"/>
        </w:rPr>
        <w:t xml:space="preserve"> банку Укра</w:t>
      </w:r>
      <w:r w:rsidR="00524133" w:rsidRPr="00F809AD">
        <w:rPr>
          <w:shd w:val="clear" w:color="auto" w:fill="FFFFFF"/>
        </w:rPr>
        <w:t>їни</w:t>
      </w:r>
      <w:r w:rsidR="005F4D87" w:rsidRPr="00F809AD">
        <w:rPr>
          <w:shd w:val="clear" w:color="auto" w:fill="FFFFFF"/>
        </w:rPr>
        <w:t xml:space="preserve"> </w:t>
      </w:r>
      <w:r w:rsidR="0098003B" w:rsidRPr="00F809AD">
        <w:rPr>
          <w:shd w:val="clear" w:color="auto" w:fill="FFFFFF"/>
        </w:rPr>
        <w:t>(далі – Національний банк)</w:t>
      </w:r>
      <w:r w:rsidR="005F4D87" w:rsidRPr="00F809AD">
        <w:rPr>
          <w:shd w:val="clear" w:color="auto" w:fill="FFFFFF"/>
        </w:rPr>
        <w:t xml:space="preserve"> інформацію про показник </w:t>
      </w:r>
      <w:r w:rsidR="005F4D87" w:rsidRPr="00F809AD">
        <w:rPr>
          <w:bCs/>
          <w:shd w:val="clear" w:color="auto" w:fill="FFFFFF"/>
        </w:rPr>
        <w:t>“</w:t>
      </w:r>
      <w:proofErr w:type="spellStart"/>
      <w:r w:rsidR="005F4D87" w:rsidRPr="00F809AD">
        <w:rPr>
          <w:rStyle w:val="rvts80"/>
          <w:bCs/>
          <w:shd w:val="clear" w:color="auto" w:fill="FFFFFF"/>
        </w:rPr>
        <w:t>Σ</w:t>
      </w:r>
      <w:r w:rsidR="005F4D87" w:rsidRPr="00F809AD">
        <w:rPr>
          <w:shd w:val="clear" w:color="auto" w:fill="FFFFFF"/>
        </w:rPr>
        <w:t>ВалВир</w:t>
      </w:r>
      <w:proofErr w:type="spellEnd"/>
      <w:r w:rsidR="005F4D87" w:rsidRPr="00F809AD">
        <w:rPr>
          <w:shd w:val="clear" w:color="auto" w:fill="FFFFFF"/>
        </w:rPr>
        <w:t>”</w:t>
      </w:r>
      <w:r w:rsidR="00834523" w:rsidRPr="00F809AD">
        <w:rPr>
          <w:shd w:val="clear" w:color="auto" w:fill="FFFFFF"/>
        </w:rPr>
        <w:t xml:space="preserve"> </w:t>
      </w:r>
      <w:r w:rsidR="006C541E" w:rsidRPr="00F809AD">
        <w:rPr>
          <w:shd w:val="clear" w:color="auto" w:fill="FFFFFF"/>
        </w:rPr>
        <w:t xml:space="preserve"> за період, визначений </w:t>
      </w:r>
      <w:r w:rsidR="00CB02C9">
        <w:rPr>
          <w:shd w:val="clear" w:color="auto" w:fill="FFFFFF"/>
        </w:rPr>
        <w:t xml:space="preserve">у </w:t>
      </w:r>
      <w:r w:rsidR="006C541E" w:rsidRPr="00F809AD">
        <w:t>с</w:t>
      </w:r>
      <w:r w:rsidR="006C541E" w:rsidRPr="00F809AD">
        <w:rPr>
          <w:rStyle w:val="rvts9"/>
        </w:rPr>
        <w:t>татт</w:t>
      </w:r>
      <w:r w:rsidR="00CB02C9">
        <w:rPr>
          <w:rStyle w:val="rvts9"/>
        </w:rPr>
        <w:t>і</w:t>
      </w:r>
      <w:r w:rsidR="006C541E" w:rsidRPr="00F809AD">
        <w:rPr>
          <w:rStyle w:val="rvts9"/>
        </w:rPr>
        <w:t xml:space="preserve"> 19</w:t>
      </w:r>
      <w:r w:rsidR="006C541E" w:rsidRPr="00F809AD">
        <w:rPr>
          <w:rStyle w:val="rvts37"/>
          <w:vertAlign w:val="superscript"/>
        </w:rPr>
        <w:t>1</w:t>
      </w:r>
      <w:r w:rsidR="005A6AAF" w:rsidRPr="00F809AD">
        <w:t xml:space="preserve"> </w:t>
      </w:r>
      <w:r w:rsidR="004D412D" w:rsidRPr="00F809AD">
        <w:t>Закону України</w:t>
      </w:r>
      <w:r w:rsidR="005A6AAF" w:rsidRPr="00F809AD">
        <w:t xml:space="preserve"> </w:t>
      </w:r>
      <w:r w:rsidR="006C541E" w:rsidRPr="00F809AD">
        <w:t>“Про зовнішньоекономічну діяльність”</w:t>
      </w:r>
      <w:r w:rsidR="004D412D" w:rsidRPr="00F809AD">
        <w:t xml:space="preserve"> (далі </w:t>
      </w:r>
      <w:r w:rsidR="004D412D" w:rsidRPr="00F809AD">
        <w:rPr>
          <w:shd w:val="clear" w:color="auto" w:fill="FFFFFF"/>
        </w:rPr>
        <w:t>– Закон)</w:t>
      </w:r>
      <w:r w:rsidR="006C541E" w:rsidRPr="00F809AD">
        <w:t xml:space="preserve">, </w:t>
      </w:r>
      <w:r w:rsidR="005F4D87" w:rsidRPr="00F809AD">
        <w:rPr>
          <w:shd w:val="clear" w:color="auto" w:fill="FFFFFF"/>
        </w:rPr>
        <w:t xml:space="preserve">у розрізі суб’єктів зовнішньоекономічної діяльності </w:t>
      </w:r>
      <w:r w:rsidR="00BF6115" w:rsidRPr="00F809AD">
        <w:rPr>
          <w:shd w:val="clear" w:color="auto" w:fill="FFFFFF"/>
        </w:rPr>
        <w:t xml:space="preserve">(далі – Інформація) </w:t>
      </w:r>
      <w:r w:rsidR="00A461A4" w:rsidRPr="00F809AD">
        <w:t xml:space="preserve">за заявами суб’єктів зовнішньоекономічної діяльності </w:t>
      </w:r>
      <w:r w:rsidR="00DA39E4" w:rsidRPr="00F809AD">
        <w:rPr>
          <w:shd w:val="clear" w:color="auto" w:fill="FFFFFF"/>
        </w:rPr>
        <w:t xml:space="preserve">відповідно до додатка 1 </w:t>
      </w:r>
      <w:r w:rsidR="00E75E32" w:rsidRPr="00F809AD">
        <w:rPr>
          <w:shd w:val="clear" w:color="auto" w:fill="FFFFFF"/>
        </w:rPr>
        <w:t xml:space="preserve">до </w:t>
      </w:r>
      <w:r w:rsidR="00DA39E4" w:rsidRPr="00F809AD">
        <w:rPr>
          <w:shd w:val="clear" w:color="auto" w:fill="FFFFFF"/>
        </w:rPr>
        <w:t xml:space="preserve">цієї </w:t>
      </w:r>
      <w:r w:rsidR="00CB02C9">
        <w:rPr>
          <w:shd w:val="clear" w:color="auto" w:fill="FFFFFF"/>
        </w:rPr>
        <w:t>п</w:t>
      </w:r>
      <w:r w:rsidR="00DA39E4" w:rsidRPr="00F809AD">
        <w:rPr>
          <w:shd w:val="clear" w:color="auto" w:fill="FFFFFF"/>
        </w:rPr>
        <w:t>останови</w:t>
      </w:r>
      <w:r w:rsidR="00066927" w:rsidRPr="00F809AD">
        <w:rPr>
          <w:shd w:val="clear" w:color="auto" w:fill="FFFFFF"/>
        </w:rPr>
        <w:t>;</w:t>
      </w:r>
    </w:p>
    <w:p w14:paraId="7905D119" w14:textId="77777777" w:rsidR="007A30E9" w:rsidRPr="00F809AD" w:rsidRDefault="007A30E9" w:rsidP="007A30E9">
      <w:pPr>
        <w:pStyle w:val="afb"/>
        <w:tabs>
          <w:tab w:val="left" w:pos="851"/>
        </w:tabs>
        <w:jc w:val="both"/>
        <w:rPr>
          <w:shd w:val="clear" w:color="auto" w:fill="FFFFFF"/>
        </w:rPr>
      </w:pPr>
    </w:p>
    <w:p w14:paraId="2C34608B" w14:textId="395EDA08" w:rsidR="00FD4F7C" w:rsidRPr="00F809AD" w:rsidRDefault="00066927" w:rsidP="007A30E9">
      <w:pPr>
        <w:pStyle w:val="afb"/>
        <w:tabs>
          <w:tab w:val="left" w:pos="851"/>
        </w:tabs>
        <w:jc w:val="both"/>
        <w:rPr>
          <w:shd w:val="clear" w:color="auto" w:fill="FFFFFF"/>
        </w:rPr>
        <w:sectPr w:rsidR="00FD4F7C" w:rsidRPr="00F809AD" w:rsidSect="008566E5">
          <w:headerReference w:type="default" r:id="rId15"/>
          <w:head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F809AD">
        <w:rPr>
          <w:shd w:val="clear" w:color="auto" w:fill="FFFFFF"/>
        </w:rPr>
        <w:t xml:space="preserve">2) </w:t>
      </w:r>
      <w:r w:rsidR="00FA45BC" w:rsidRPr="00F809AD">
        <w:rPr>
          <w:shd w:val="clear" w:color="auto" w:fill="FFFFFF"/>
        </w:rPr>
        <w:t xml:space="preserve">формує </w:t>
      </w:r>
      <w:r w:rsidR="00A55BA5" w:rsidRPr="00F809AD">
        <w:rPr>
          <w:shd w:val="clear" w:color="auto" w:fill="FFFFFF"/>
        </w:rPr>
        <w:t xml:space="preserve">Інформацію згідно з додатком </w:t>
      </w:r>
      <w:r w:rsidR="005A40A3" w:rsidRPr="00F809AD">
        <w:rPr>
          <w:shd w:val="clear" w:color="auto" w:fill="FFFFFF"/>
        </w:rPr>
        <w:t>1</w:t>
      </w:r>
      <w:r w:rsidR="00A55BA5" w:rsidRPr="00F809AD">
        <w:rPr>
          <w:shd w:val="clear" w:color="auto" w:fill="FFFFFF"/>
        </w:rPr>
        <w:t xml:space="preserve"> до цієї </w:t>
      </w:r>
      <w:r w:rsidR="00CB02C9">
        <w:rPr>
          <w:shd w:val="clear" w:color="auto" w:fill="FFFFFF"/>
        </w:rPr>
        <w:t>п</w:t>
      </w:r>
      <w:r w:rsidR="00A55BA5" w:rsidRPr="00F809AD">
        <w:rPr>
          <w:shd w:val="clear" w:color="auto" w:fill="FFFFFF"/>
        </w:rPr>
        <w:t xml:space="preserve">останови та з урахуванням вимог, розміщених на сторінці </w:t>
      </w:r>
      <w:r w:rsidR="0047037E" w:rsidRPr="00F809AD">
        <w:rPr>
          <w:shd w:val="clear" w:color="auto" w:fill="FFFFFF"/>
        </w:rPr>
        <w:t xml:space="preserve">офіційного Інтернет-представництва Національного банку України </w:t>
      </w:r>
      <w:r w:rsidR="00CB02C9">
        <w:rPr>
          <w:shd w:val="clear" w:color="auto" w:fill="FFFFFF"/>
        </w:rPr>
        <w:t>в</w:t>
      </w:r>
      <w:r w:rsidR="0047037E" w:rsidRPr="00F809AD">
        <w:rPr>
          <w:shd w:val="clear" w:color="auto" w:fill="FFFFFF"/>
        </w:rPr>
        <w:t xml:space="preserve"> розділі “Статистика/Організація статистичної звітності/Реєстр показників статистичної звітності”</w:t>
      </w:r>
      <w:r w:rsidR="001F3BBA" w:rsidRPr="00F809AD">
        <w:rPr>
          <w:shd w:val="clear" w:color="auto" w:fill="FFFFFF"/>
        </w:rPr>
        <w:t>;</w:t>
      </w:r>
    </w:p>
    <w:p w14:paraId="70686EDD" w14:textId="77777777" w:rsidR="0051053E" w:rsidRPr="00F809AD" w:rsidRDefault="0051053E" w:rsidP="008566E5">
      <w:pPr>
        <w:pStyle w:val="afb"/>
        <w:tabs>
          <w:tab w:val="left" w:pos="851"/>
        </w:tabs>
        <w:jc w:val="both"/>
        <w:rPr>
          <w:shd w:val="clear" w:color="auto" w:fill="FFFFFF"/>
        </w:rPr>
      </w:pPr>
    </w:p>
    <w:p w14:paraId="7172013A" w14:textId="06DF2B58" w:rsidR="003A2523" w:rsidRPr="00F809AD" w:rsidRDefault="001F3BBA" w:rsidP="00170E86">
      <w:pPr>
        <w:pStyle w:val="af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hd w:val="clear" w:color="auto" w:fill="FFFFFF"/>
        </w:rPr>
      </w:pPr>
      <w:r w:rsidRPr="00F809AD">
        <w:rPr>
          <w:shd w:val="clear" w:color="auto" w:fill="FFFFFF"/>
        </w:rPr>
        <w:t xml:space="preserve">під час складання, підписання та </w:t>
      </w:r>
      <w:r w:rsidR="008E27FC">
        <w:rPr>
          <w:shd w:val="clear" w:color="auto" w:fill="FFFFFF"/>
        </w:rPr>
        <w:t>на</w:t>
      </w:r>
      <w:r w:rsidRPr="00F809AD">
        <w:rPr>
          <w:shd w:val="clear" w:color="auto" w:fill="FFFFFF"/>
        </w:rPr>
        <w:t xml:space="preserve">дання Інформації </w:t>
      </w:r>
      <w:r w:rsidR="00FA45BC" w:rsidRPr="00F809AD">
        <w:rPr>
          <w:shd w:val="clear" w:color="auto" w:fill="FFFFFF"/>
        </w:rPr>
        <w:t xml:space="preserve">керується </w:t>
      </w:r>
      <w:r w:rsidRPr="00F809AD">
        <w:rPr>
          <w:shd w:val="clear" w:color="auto" w:fill="FFFFFF"/>
        </w:rPr>
        <w:t xml:space="preserve">вимогами </w:t>
      </w:r>
      <w:r w:rsidR="00BC108A" w:rsidRPr="00F809AD">
        <w:rPr>
          <w:shd w:val="clear" w:color="auto" w:fill="FFFFFF"/>
        </w:rPr>
        <w:t>розділів</w:t>
      </w:r>
      <w:r w:rsidR="00CD67A5" w:rsidRPr="00F809AD">
        <w:rPr>
          <w:shd w:val="clear" w:color="auto" w:fill="FFFFFF"/>
        </w:rPr>
        <w:t xml:space="preserve"> </w:t>
      </w:r>
      <w:r w:rsidR="005A40A3" w:rsidRPr="00F809AD">
        <w:rPr>
          <w:shd w:val="clear" w:color="auto" w:fill="FFFFFF"/>
          <w:lang w:val="en-US"/>
        </w:rPr>
        <w:t>II</w:t>
      </w:r>
      <w:r w:rsidR="00CD67A5" w:rsidRPr="00F809AD">
        <w:rPr>
          <w:shd w:val="clear" w:color="auto" w:fill="FFFFFF"/>
        </w:rPr>
        <w:t>–</w:t>
      </w:r>
      <w:r w:rsidR="00CD67A5" w:rsidRPr="00F809AD">
        <w:rPr>
          <w:shd w:val="clear" w:color="auto" w:fill="FFFFFF"/>
          <w:lang w:val="en-US"/>
        </w:rPr>
        <w:t>IV</w:t>
      </w:r>
      <w:r w:rsidR="00BC108A" w:rsidRPr="00F809AD">
        <w:rPr>
          <w:shd w:val="clear" w:color="auto" w:fill="FFFFFF"/>
        </w:rPr>
        <w:t xml:space="preserve"> </w:t>
      </w:r>
      <w:r w:rsidRPr="00F809AD">
        <w:rPr>
          <w:shd w:val="clear" w:color="auto" w:fill="FFFFFF"/>
        </w:rPr>
        <w:t>Правил організації статистичної звітності, що подається до Національного банку України, затверджених постановою Правління Національного банку України</w:t>
      </w:r>
      <w:r w:rsidR="00A3475B" w:rsidRPr="00F809AD">
        <w:rPr>
          <w:shd w:val="clear" w:color="auto" w:fill="FFFFFF"/>
        </w:rPr>
        <w:t xml:space="preserve"> від 13</w:t>
      </w:r>
      <w:r w:rsidRPr="00F809AD">
        <w:rPr>
          <w:shd w:val="clear" w:color="auto" w:fill="FFFFFF"/>
        </w:rPr>
        <w:t xml:space="preserve"> листопада 2018 року № 120 (зі змінами)</w:t>
      </w:r>
      <w:r w:rsidR="00697A27" w:rsidRPr="00F809AD">
        <w:rPr>
          <w:shd w:val="clear" w:color="auto" w:fill="FFFFFF"/>
        </w:rPr>
        <w:t xml:space="preserve"> (далі – Правила № 120)</w:t>
      </w:r>
      <w:r w:rsidR="001719A9" w:rsidRPr="00F809AD">
        <w:rPr>
          <w:shd w:val="clear" w:color="auto" w:fill="FFFFFF"/>
        </w:rPr>
        <w:t>;</w:t>
      </w:r>
    </w:p>
    <w:p w14:paraId="3DA61278" w14:textId="77777777" w:rsidR="007A30E9" w:rsidRPr="00F809AD" w:rsidRDefault="007A30E9" w:rsidP="007A30E9">
      <w:pPr>
        <w:pStyle w:val="afb"/>
        <w:tabs>
          <w:tab w:val="left" w:pos="993"/>
        </w:tabs>
        <w:jc w:val="both"/>
        <w:rPr>
          <w:shd w:val="clear" w:color="auto" w:fill="FFFFFF"/>
        </w:rPr>
      </w:pPr>
    </w:p>
    <w:p w14:paraId="271F5DF0" w14:textId="11799F10" w:rsidR="001719A9" w:rsidRPr="00F809AD" w:rsidRDefault="00ED20B6" w:rsidP="007A30E9">
      <w:pPr>
        <w:pStyle w:val="afd"/>
        <w:jc w:val="both"/>
        <w:rPr>
          <w:shd w:val="clear" w:color="auto" w:fill="FFFFFF"/>
        </w:rPr>
      </w:pPr>
      <w:r w:rsidRPr="00F809AD">
        <w:rPr>
          <w:shd w:val="clear" w:color="auto" w:fill="FFFFFF"/>
        </w:rPr>
        <w:t xml:space="preserve">4) </w:t>
      </w:r>
      <w:r w:rsidR="00FA45BC" w:rsidRPr="00F809AD">
        <w:rPr>
          <w:shd w:val="clear" w:color="auto" w:fill="FFFFFF"/>
        </w:rPr>
        <w:t xml:space="preserve">використовує </w:t>
      </w:r>
      <w:r w:rsidR="001719A9" w:rsidRPr="00F809AD">
        <w:rPr>
          <w:shd w:val="clear" w:color="auto" w:fill="FFFFFF"/>
        </w:rPr>
        <w:t>метрик</w:t>
      </w:r>
      <w:r w:rsidR="00697A27" w:rsidRPr="00F809AD">
        <w:rPr>
          <w:shd w:val="clear" w:color="auto" w:fill="FFFFFF"/>
        </w:rPr>
        <w:t>и</w:t>
      </w:r>
      <w:r w:rsidR="001719A9" w:rsidRPr="00F809AD">
        <w:rPr>
          <w:shd w:val="clear" w:color="auto" w:fill="FFFFFF"/>
        </w:rPr>
        <w:t>, параметр</w:t>
      </w:r>
      <w:r w:rsidR="00697A27" w:rsidRPr="00F809AD">
        <w:rPr>
          <w:shd w:val="clear" w:color="auto" w:fill="FFFFFF"/>
        </w:rPr>
        <w:t>и</w:t>
      </w:r>
      <w:r w:rsidR="001719A9" w:rsidRPr="00F809AD">
        <w:rPr>
          <w:shd w:val="clear" w:color="auto" w:fill="FFFFFF"/>
        </w:rPr>
        <w:t>, некласифікован</w:t>
      </w:r>
      <w:r w:rsidR="00697A27" w:rsidRPr="00F809AD">
        <w:rPr>
          <w:shd w:val="clear" w:color="auto" w:fill="FFFFFF"/>
        </w:rPr>
        <w:t>і</w:t>
      </w:r>
      <w:r w:rsidR="001719A9" w:rsidRPr="00F809AD">
        <w:rPr>
          <w:shd w:val="clear" w:color="auto" w:fill="FFFFFF"/>
        </w:rPr>
        <w:t xml:space="preserve"> реквізит</w:t>
      </w:r>
      <w:r w:rsidR="00697A27" w:rsidRPr="00F809AD">
        <w:rPr>
          <w:shd w:val="clear" w:color="auto" w:fill="FFFFFF"/>
        </w:rPr>
        <w:t>и</w:t>
      </w:r>
      <w:r w:rsidR="001719A9" w:rsidRPr="00F809AD">
        <w:rPr>
          <w:shd w:val="clear" w:color="auto" w:fill="FFFFFF"/>
        </w:rPr>
        <w:t xml:space="preserve"> показник</w:t>
      </w:r>
      <w:r w:rsidR="00697A27" w:rsidRPr="00F809AD">
        <w:rPr>
          <w:shd w:val="clear" w:color="auto" w:fill="FFFFFF"/>
        </w:rPr>
        <w:t xml:space="preserve">ів, </w:t>
      </w:r>
      <w:r w:rsidR="00CB02C9">
        <w:rPr>
          <w:shd w:val="clear" w:color="auto" w:fill="FFFFFF"/>
        </w:rPr>
        <w:t>що</w:t>
      </w:r>
      <w:r w:rsidR="003629CD" w:rsidRPr="00F809AD">
        <w:rPr>
          <w:shd w:val="clear" w:color="auto" w:fill="FFFFFF"/>
        </w:rPr>
        <w:t xml:space="preserve"> </w:t>
      </w:r>
      <w:r w:rsidR="00697A27" w:rsidRPr="00F809AD">
        <w:rPr>
          <w:shd w:val="clear" w:color="auto" w:fill="FFFFFF"/>
        </w:rPr>
        <w:t>зазначен</w:t>
      </w:r>
      <w:r w:rsidR="003629CD" w:rsidRPr="00F809AD">
        <w:rPr>
          <w:shd w:val="clear" w:color="auto" w:fill="FFFFFF"/>
        </w:rPr>
        <w:t>і</w:t>
      </w:r>
      <w:r w:rsidR="00697A27" w:rsidRPr="00F809AD">
        <w:rPr>
          <w:shd w:val="clear" w:color="auto" w:fill="FFFFFF"/>
        </w:rPr>
        <w:t xml:space="preserve"> </w:t>
      </w:r>
      <w:r w:rsidR="00CB02C9">
        <w:rPr>
          <w:shd w:val="clear" w:color="auto" w:fill="FFFFFF"/>
        </w:rPr>
        <w:t>в</w:t>
      </w:r>
      <w:r w:rsidR="00697A27" w:rsidRPr="00F809AD">
        <w:rPr>
          <w:shd w:val="clear" w:color="auto" w:fill="FFFFFF"/>
        </w:rPr>
        <w:t xml:space="preserve"> додатку 2 до цієї </w:t>
      </w:r>
      <w:r w:rsidR="00CB02C9">
        <w:rPr>
          <w:shd w:val="clear" w:color="auto" w:fill="FFFFFF"/>
        </w:rPr>
        <w:t>п</w:t>
      </w:r>
      <w:r w:rsidR="00697A27" w:rsidRPr="00F809AD">
        <w:rPr>
          <w:shd w:val="clear" w:color="auto" w:fill="FFFFFF"/>
        </w:rPr>
        <w:t xml:space="preserve">останови, у значеннях, визначених у додатках 3–5 до Правил № 120. </w:t>
      </w:r>
    </w:p>
    <w:p w14:paraId="79637994" w14:textId="77777777" w:rsidR="009B2900" w:rsidRPr="00F809AD" w:rsidRDefault="009B2900" w:rsidP="00561A7A">
      <w:pPr>
        <w:pStyle w:val="afd"/>
        <w:jc w:val="both"/>
        <w:rPr>
          <w:shd w:val="clear" w:color="auto" w:fill="FFFFFF"/>
        </w:rPr>
      </w:pPr>
    </w:p>
    <w:p w14:paraId="783C2836" w14:textId="01D7F0F9" w:rsidR="00E2509C" w:rsidRPr="00F809AD" w:rsidRDefault="001C4FC9" w:rsidP="002A792B">
      <w:pPr>
        <w:pStyle w:val="afb"/>
        <w:jc w:val="both"/>
        <w:rPr>
          <w:shd w:val="clear" w:color="auto" w:fill="FFFFFF"/>
        </w:rPr>
      </w:pPr>
      <w:r w:rsidRPr="00F809AD">
        <w:rPr>
          <w:shd w:val="clear" w:color="auto" w:fill="FFFFFF"/>
        </w:rPr>
        <w:t>2</w:t>
      </w:r>
      <w:r w:rsidR="00C52230" w:rsidRPr="00F809AD">
        <w:rPr>
          <w:shd w:val="clear" w:color="auto" w:fill="FFFFFF"/>
        </w:rPr>
        <w:t xml:space="preserve">. Датою початку </w:t>
      </w:r>
      <w:r w:rsidR="008E27FC">
        <w:rPr>
          <w:shd w:val="clear" w:color="auto" w:fill="FFFFFF"/>
        </w:rPr>
        <w:t>на</w:t>
      </w:r>
      <w:r w:rsidR="00C52230" w:rsidRPr="00F809AD">
        <w:rPr>
          <w:shd w:val="clear" w:color="auto" w:fill="FFFFFF"/>
        </w:rPr>
        <w:t>дання Інформації до Національного банку є дата, яку Національний банк повідомить банкам України засобами електронної пошти Національного банку.</w:t>
      </w:r>
    </w:p>
    <w:p w14:paraId="36DF8CCA" w14:textId="77777777" w:rsidR="00ED20B6" w:rsidRPr="00F809AD" w:rsidRDefault="00ED20B6" w:rsidP="002B6213">
      <w:pPr>
        <w:pStyle w:val="afb"/>
        <w:jc w:val="both"/>
      </w:pPr>
    </w:p>
    <w:p w14:paraId="3928EDE3" w14:textId="57134ECD" w:rsidR="002B6213" w:rsidRPr="00F809AD" w:rsidRDefault="001C4FC9" w:rsidP="002B6213">
      <w:pPr>
        <w:pStyle w:val="afb"/>
        <w:jc w:val="both"/>
        <w:rPr>
          <w:shd w:val="clear" w:color="auto" w:fill="FFFFFF"/>
        </w:rPr>
      </w:pPr>
      <w:r w:rsidRPr="00F809AD">
        <w:t>3</w:t>
      </w:r>
      <w:r w:rsidR="002B6213" w:rsidRPr="00F809AD">
        <w:t>.</w:t>
      </w:r>
      <w:r w:rsidR="00077077" w:rsidRPr="00F809AD">
        <w:rPr>
          <w:rFonts w:eastAsiaTheme="minorEastAsia"/>
        </w:rPr>
        <w:t xml:space="preserve"> </w:t>
      </w:r>
      <w:r w:rsidR="002B6213" w:rsidRPr="00F809AD">
        <w:rPr>
          <w:shd w:val="clear" w:color="auto" w:fill="FFFFFF"/>
        </w:rPr>
        <w:t>Для цілей цієї постанови показник “</w:t>
      </w:r>
      <w:proofErr w:type="spellStart"/>
      <w:r w:rsidR="002B6213" w:rsidRPr="00F809AD">
        <w:rPr>
          <w:rStyle w:val="rvts80"/>
          <w:bCs/>
          <w:shd w:val="clear" w:color="auto" w:fill="FFFFFF"/>
        </w:rPr>
        <w:t>Σ</w:t>
      </w:r>
      <w:r w:rsidR="002B6213" w:rsidRPr="00F809AD">
        <w:rPr>
          <w:shd w:val="clear" w:color="auto" w:fill="FFFFFF"/>
        </w:rPr>
        <w:t>ВалВир</w:t>
      </w:r>
      <w:proofErr w:type="spellEnd"/>
      <w:r w:rsidR="002B6213" w:rsidRPr="00F809AD">
        <w:rPr>
          <w:shd w:val="clear" w:color="auto" w:fill="FFFFFF"/>
        </w:rPr>
        <w:t>”</w:t>
      </w:r>
      <w:r w:rsidR="002B6213" w:rsidRPr="00F809AD">
        <w:rPr>
          <w:bCs/>
          <w:shd w:val="clear" w:color="auto" w:fill="FFFFFF"/>
        </w:rPr>
        <w:t xml:space="preserve"> </w:t>
      </w:r>
      <w:r w:rsidR="00CB02C9">
        <w:rPr>
          <w:shd w:val="clear" w:color="auto" w:fill="FFFFFF"/>
        </w:rPr>
        <w:t>у</w:t>
      </w:r>
      <w:r w:rsidR="002B6213" w:rsidRPr="00F809AD">
        <w:rPr>
          <w:shd w:val="clear" w:color="auto" w:fill="FFFFFF"/>
        </w:rPr>
        <w:t>жив</w:t>
      </w:r>
      <w:r w:rsidR="00077077" w:rsidRPr="00F809AD">
        <w:rPr>
          <w:shd w:val="clear" w:color="auto" w:fill="FFFFFF"/>
        </w:rPr>
        <w:t xml:space="preserve">ається </w:t>
      </w:r>
      <w:r w:rsidR="00CB02C9">
        <w:rPr>
          <w:shd w:val="clear" w:color="auto" w:fill="FFFFFF"/>
        </w:rPr>
        <w:t>в</w:t>
      </w:r>
      <w:r w:rsidR="00077077" w:rsidRPr="00F809AD">
        <w:rPr>
          <w:shd w:val="clear" w:color="auto" w:fill="FFFFFF"/>
        </w:rPr>
        <w:t xml:space="preserve"> значенні, наведеному в </w:t>
      </w:r>
      <w:r w:rsidR="002B6213" w:rsidRPr="00F809AD">
        <w:rPr>
          <w:shd w:val="clear" w:color="auto" w:fill="FFFFFF"/>
        </w:rPr>
        <w:t>Законі.</w:t>
      </w:r>
    </w:p>
    <w:p w14:paraId="723AE265" w14:textId="77777777" w:rsidR="002B6213" w:rsidRPr="00F809AD" w:rsidRDefault="001C4FC9" w:rsidP="002B6213">
      <w:pPr>
        <w:spacing w:before="240" w:after="240" w:line="264" w:lineRule="auto"/>
        <w:ind w:firstLine="567"/>
        <w:rPr>
          <w:rFonts w:eastAsiaTheme="minorEastAsia"/>
        </w:rPr>
      </w:pPr>
      <w:r w:rsidRPr="00F809AD">
        <w:rPr>
          <w:rFonts w:eastAsiaTheme="minorEastAsia"/>
        </w:rPr>
        <w:t>4</w:t>
      </w:r>
      <w:r w:rsidR="002B6213" w:rsidRPr="00F809AD">
        <w:rPr>
          <w:rFonts w:eastAsiaTheme="minorEastAsia"/>
        </w:rPr>
        <w:t>.</w:t>
      </w:r>
      <w:r w:rsidR="00077077" w:rsidRPr="00F809AD">
        <w:rPr>
          <w:rFonts w:eastAsiaTheme="minorEastAsia"/>
        </w:rPr>
        <w:t xml:space="preserve"> </w:t>
      </w:r>
      <w:r w:rsidR="002B6213" w:rsidRPr="00F809AD">
        <w:rPr>
          <w:rFonts w:eastAsiaTheme="minorEastAsia"/>
        </w:rPr>
        <w:t>Департаменту статистики та звітності (Юрій Половньов) після офіційного опублікування довести до відома банків України інформацію про прийняття цієї постанови</w:t>
      </w:r>
      <w:r w:rsidR="00D76222" w:rsidRPr="00F809AD">
        <w:rPr>
          <w:rFonts w:eastAsiaTheme="minorEastAsia"/>
        </w:rPr>
        <w:t>.</w:t>
      </w:r>
    </w:p>
    <w:p w14:paraId="580C4117" w14:textId="1AC2E804" w:rsidR="002B6213" w:rsidRPr="00F809AD" w:rsidRDefault="001C4FC9" w:rsidP="002B6213">
      <w:pPr>
        <w:pStyle w:val="afb"/>
        <w:jc w:val="both"/>
        <w:rPr>
          <w:rFonts w:eastAsiaTheme="minorEastAsia"/>
        </w:rPr>
      </w:pPr>
      <w:r w:rsidRPr="00F809AD">
        <w:rPr>
          <w:shd w:val="clear" w:color="auto" w:fill="FFFFFF"/>
        </w:rPr>
        <w:t>5</w:t>
      </w:r>
      <w:r w:rsidR="002B6213" w:rsidRPr="00F809AD">
        <w:rPr>
          <w:shd w:val="clear" w:color="auto" w:fill="FFFFFF"/>
        </w:rPr>
        <w:t>.</w:t>
      </w:r>
      <w:r w:rsidR="00077077" w:rsidRPr="00F809AD">
        <w:rPr>
          <w:rFonts w:eastAsiaTheme="minorEastAsia"/>
        </w:rPr>
        <w:t xml:space="preserve"> </w:t>
      </w:r>
      <w:r w:rsidR="002B6213" w:rsidRPr="00F809AD">
        <w:t xml:space="preserve">Контроль за виконанням цієї постанови покласти на заступника Голови Національного банку Сергія </w:t>
      </w:r>
      <w:proofErr w:type="spellStart"/>
      <w:r w:rsidR="002B6213" w:rsidRPr="00F809AD">
        <w:t>Ніколайчука</w:t>
      </w:r>
      <w:proofErr w:type="spellEnd"/>
      <w:r w:rsidR="002B6213" w:rsidRPr="00F809AD">
        <w:rPr>
          <w:rFonts w:eastAsiaTheme="minorEastAsia"/>
        </w:rPr>
        <w:t>.</w:t>
      </w:r>
    </w:p>
    <w:p w14:paraId="6929E7B2" w14:textId="77777777" w:rsidR="002B6213" w:rsidRPr="00F809AD" w:rsidRDefault="002B6213" w:rsidP="002B6213">
      <w:pPr>
        <w:pStyle w:val="afb"/>
        <w:jc w:val="both"/>
        <w:rPr>
          <w:rFonts w:eastAsiaTheme="minorEastAsia"/>
        </w:rPr>
      </w:pPr>
    </w:p>
    <w:p w14:paraId="07AA776D" w14:textId="424B9740" w:rsidR="002B6213" w:rsidRPr="00F809AD" w:rsidRDefault="001C4FC9" w:rsidP="002B6213">
      <w:pPr>
        <w:pStyle w:val="afb"/>
        <w:jc w:val="both"/>
      </w:pPr>
      <w:r w:rsidRPr="00F809AD">
        <w:rPr>
          <w:rFonts w:eastAsiaTheme="minorEastAsia"/>
        </w:rPr>
        <w:t>6</w:t>
      </w:r>
      <w:r w:rsidR="00077077" w:rsidRPr="00F809AD">
        <w:rPr>
          <w:rFonts w:eastAsiaTheme="minorEastAsia"/>
        </w:rPr>
        <w:t xml:space="preserve">. </w:t>
      </w:r>
      <w:r w:rsidR="002B6213" w:rsidRPr="00F809AD">
        <w:t xml:space="preserve">Постанова набирає чинності з </w:t>
      </w:r>
      <w:r w:rsidR="0004055F" w:rsidRPr="00F809AD">
        <w:t>04 березня 2023 року</w:t>
      </w:r>
      <w:r w:rsidR="007E0421" w:rsidRPr="00F809AD">
        <w:t>,</w:t>
      </w:r>
      <w:r w:rsidR="00D76222" w:rsidRPr="00F809AD">
        <w:t xml:space="preserve"> </w:t>
      </w:r>
      <w:r w:rsidR="007E0421" w:rsidRPr="00F809AD">
        <w:t xml:space="preserve">крім пункту </w:t>
      </w:r>
      <w:r w:rsidRPr="00F809AD">
        <w:t>1</w:t>
      </w:r>
      <w:r w:rsidR="007E0421" w:rsidRPr="00F809AD">
        <w:t xml:space="preserve">, </w:t>
      </w:r>
      <w:r w:rsidR="00CB02C9">
        <w:t>що</w:t>
      </w:r>
      <w:r w:rsidR="007E0421" w:rsidRPr="00F809AD">
        <w:t xml:space="preserve"> набирає чинності з дня </w:t>
      </w:r>
      <w:r w:rsidR="007E0421" w:rsidRPr="00F809AD">
        <w:rPr>
          <w:rFonts w:eastAsia="Times New Roman"/>
          <w:shd w:val="clear" w:color="auto" w:fill="FFFFFF"/>
          <w:lang w:eastAsia="uk-UA"/>
        </w:rPr>
        <w:t xml:space="preserve">запровадження </w:t>
      </w:r>
      <w:r w:rsidR="007E0421" w:rsidRPr="00F809AD">
        <w:rPr>
          <w:shd w:val="clear" w:color="auto" w:fill="FFFFFF"/>
        </w:rPr>
        <w:t xml:space="preserve">Кабінетом Міністрів України </w:t>
      </w:r>
      <w:r w:rsidR="007E0421" w:rsidRPr="00F809AD">
        <w:rPr>
          <w:rFonts w:eastAsia="Times New Roman"/>
          <w:shd w:val="clear" w:color="auto" w:fill="FFFFFF"/>
          <w:lang w:eastAsia="uk-UA"/>
        </w:rPr>
        <w:t xml:space="preserve">режиму експортного забезпечення відповідно до </w:t>
      </w:r>
      <w:r w:rsidR="005C5199" w:rsidRPr="00F809AD">
        <w:t>с</w:t>
      </w:r>
      <w:r w:rsidR="005C5199" w:rsidRPr="00F809AD">
        <w:rPr>
          <w:rStyle w:val="rvts9"/>
          <w:bCs/>
          <w:shd w:val="clear" w:color="auto" w:fill="FFFFFF"/>
        </w:rPr>
        <w:t>татті</w:t>
      </w:r>
      <w:r w:rsidR="007E0421" w:rsidRPr="00F809AD">
        <w:rPr>
          <w:rStyle w:val="rvts9"/>
          <w:bCs/>
          <w:shd w:val="clear" w:color="auto" w:fill="FFFFFF"/>
        </w:rPr>
        <w:t xml:space="preserve"> 19</w:t>
      </w:r>
      <w:r w:rsidR="007E0421" w:rsidRPr="00F809AD">
        <w:rPr>
          <w:rStyle w:val="rvts37"/>
          <w:bCs/>
          <w:shd w:val="clear" w:color="auto" w:fill="FFFFFF"/>
          <w:vertAlign w:val="superscript"/>
        </w:rPr>
        <w:t>1</w:t>
      </w:r>
      <w:r w:rsidR="007E0421" w:rsidRPr="00F809AD">
        <w:t xml:space="preserve"> </w:t>
      </w:r>
      <w:r w:rsidR="004D412D" w:rsidRPr="00F809AD">
        <w:rPr>
          <w:shd w:val="clear" w:color="auto" w:fill="FFFFFF"/>
        </w:rPr>
        <w:t>Закону</w:t>
      </w:r>
      <w:r w:rsidR="007E0421" w:rsidRPr="00F809AD">
        <w:rPr>
          <w:shd w:val="clear" w:color="auto" w:fill="FFFFFF"/>
        </w:rPr>
        <w:t>.</w:t>
      </w:r>
    </w:p>
    <w:p w14:paraId="31B44952" w14:textId="77777777" w:rsidR="0095741D" w:rsidRPr="00F809AD" w:rsidRDefault="0095741D" w:rsidP="00E42621">
      <w:pPr>
        <w:tabs>
          <w:tab w:val="left" w:pos="993"/>
        </w:tabs>
        <w:spacing w:after="120"/>
      </w:pPr>
    </w:p>
    <w:p w14:paraId="6C6D9585" w14:textId="77777777" w:rsidR="00BC108A" w:rsidRDefault="00BC108A" w:rsidP="00E42621">
      <w:pPr>
        <w:tabs>
          <w:tab w:val="left" w:pos="993"/>
        </w:tabs>
        <w:spacing w:after="120"/>
      </w:pPr>
    </w:p>
    <w:p w14:paraId="430DFB23" w14:textId="77777777" w:rsidR="00FD4F7C" w:rsidRDefault="00FD4F7C" w:rsidP="00E42621">
      <w:pPr>
        <w:tabs>
          <w:tab w:val="left" w:pos="993"/>
        </w:tabs>
        <w:spacing w:after="120"/>
      </w:pPr>
    </w:p>
    <w:p w14:paraId="0A68563E" w14:textId="77777777" w:rsidR="00FD4F7C" w:rsidRPr="00F809AD" w:rsidRDefault="00FD4F7C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547EE" w:rsidRPr="00F809AD" w14:paraId="2A94F91E" w14:textId="77777777" w:rsidTr="00BD6D34">
        <w:tc>
          <w:tcPr>
            <w:tcW w:w="5495" w:type="dxa"/>
            <w:vAlign w:val="bottom"/>
          </w:tcPr>
          <w:p w14:paraId="5FC14AE9" w14:textId="77777777" w:rsidR="00DD60CC" w:rsidRPr="00F809AD" w:rsidRDefault="00226BE1" w:rsidP="00226BE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F809AD">
              <w:t>Голова</w:t>
            </w:r>
          </w:p>
        </w:tc>
        <w:tc>
          <w:tcPr>
            <w:tcW w:w="4252" w:type="dxa"/>
            <w:vAlign w:val="bottom"/>
          </w:tcPr>
          <w:p w14:paraId="1563A3F0" w14:textId="77777777" w:rsidR="00DD60CC" w:rsidRPr="00F809AD" w:rsidRDefault="00226BE1" w:rsidP="004B10D7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F809AD">
              <w:t xml:space="preserve">Андрій </w:t>
            </w:r>
            <w:r w:rsidR="004B10D7" w:rsidRPr="00F809AD">
              <w:t>ПИШНИЙ</w:t>
            </w:r>
          </w:p>
        </w:tc>
      </w:tr>
    </w:tbl>
    <w:p w14:paraId="3025BFF4" w14:textId="77777777" w:rsidR="008D10FD" w:rsidRPr="00F809AD" w:rsidRDefault="008D10FD" w:rsidP="00E53CCD"/>
    <w:p w14:paraId="3341B521" w14:textId="77777777" w:rsidR="00FA508E" w:rsidRPr="00F809AD" w:rsidRDefault="00FA508E" w:rsidP="00E53CCD"/>
    <w:p w14:paraId="7ACE8362" w14:textId="77777777" w:rsidR="0011377C" w:rsidRPr="00F809AD" w:rsidRDefault="00E832A1" w:rsidP="00E212B3">
      <w:pPr>
        <w:jc w:val="left"/>
      </w:pPr>
      <w:r w:rsidRPr="00F809AD">
        <w:t>Інд.</w:t>
      </w:r>
      <w:r w:rsidRPr="00F809AD">
        <w:rPr>
          <w:sz w:val="22"/>
          <w:szCs w:val="22"/>
        </w:rPr>
        <w:t xml:space="preserve"> </w:t>
      </w:r>
      <w:r w:rsidR="00226BE1" w:rsidRPr="00F809AD">
        <w:t>31</w:t>
      </w:r>
    </w:p>
    <w:p w14:paraId="5F9342FB" w14:textId="77777777" w:rsidR="0011377C" w:rsidRPr="00F809AD" w:rsidRDefault="0011377C">
      <w:pPr>
        <w:spacing w:after="200" w:line="276" w:lineRule="auto"/>
        <w:jc w:val="left"/>
      </w:pPr>
    </w:p>
    <w:p w14:paraId="2F7D851B" w14:textId="77777777" w:rsidR="0011377C" w:rsidRPr="00F809AD" w:rsidRDefault="0011377C" w:rsidP="00936816">
      <w:pPr>
        <w:spacing w:before="150" w:after="150"/>
        <w:rPr>
          <w:rFonts w:ascii="Calibri" w:hAnsi="Calibri"/>
        </w:rPr>
        <w:sectPr w:rsidR="0011377C" w:rsidRPr="00F809AD" w:rsidSect="00A3475B">
          <w:headerReference w:type="first" r:id="rId17"/>
          <w:pgSz w:w="11906" w:h="16838" w:code="9"/>
          <w:pgMar w:top="1135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55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  <w:gridCol w:w="6857"/>
      </w:tblGrid>
      <w:tr w:rsidR="00F809AD" w:rsidRPr="00F809AD" w14:paraId="04E67461" w14:textId="77777777" w:rsidTr="00936816">
        <w:tc>
          <w:tcPr>
            <w:tcW w:w="2893" w:type="pct"/>
            <w:shd w:val="clear" w:color="auto" w:fill="auto"/>
            <w:hideMark/>
          </w:tcPr>
          <w:p w14:paraId="1EF49349" w14:textId="77777777" w:rsidR="0011377C" w:rsidRPr="00F809AD" w:rsidRDefault="0011377C" w:rsidP="00936816">
            <w:pPr>
              <w:spacing w:before="150" w:after="150"/>
              <w:rPr>
                <w:rFonts w:ascii="Calibri" w:hAnsi="Calibri"/>
              </w:rPr>
            </w:pPr>
          </w:p>
        </w:tc>
        <w:tc>
          <w:tcPr>
            <w:tcW w:w="2107" w:type="pct"/>
            <w:shd w:val="clear" w:color="auto" w:fill="auto"/>
            <w:hideMark/>
          </w:tcPr>
          <w:p w14:paraId="27C31723" w14:textId="77777777" w:rsidR="0011377C" w:rsidRPr="00F809AD" w:rsidRDefault="0011377C" w:rsidP="00936816">
            <w:pPr>
              <w:pStyle w:val="afb"/>
              <w:ind w:firstLine="0"/>
              <w:jc w:val="left"/>
            </w:pPr>
            <w:r w:rsidRPr="00F809AD">
              <w:t>Додаток 1</w:t>
            </w:r>
            <w:r w:rsidRPr="00F809AD">
              <w:br/>
              <w:t xml:space="preserve">до постанови Правління </w:t>
            </w:r>
          </w:p>
          <w:p w14:paraId="0FD2B780" w14:textId="77777777" w:rsidR="0011377C" w:rsidRDefault="0011377C" w:rsidP="00936816">
            <w:pPr>
              <w:pStyle w:val="afb"/>
              <w:ind w:firstLine="0"/>
              <w:jc w:val="left"/>
            </w:pPr>
            <w:r w:rsidRPr="00F809AD">
              <w:t>Національного банку України</w:t>
            </w:r>
          </w:p>
          <w:p w14:paraId="025B555D" w14:textId="65272B70" w:rsidR="00CC0491" w:rsidRPr="00F809AD" w:rsidRDefault="00CC0491" w:rsidP="00936816">
            <w:pPr>
              <w:pStyle w:val="afb"/>
              <w:ind w:firstLine="0"/>
              <w:jc w:val="left"/>
            </w:pPr>
            <w:r>
              <w:t>від 01 березня 2023 року № 11</w:t>
            </w:r>
          </w:p>
        </w:tc>
      </w:tr>
    </w:tbl>
    <w:p w14:paraId="180B6B6F" w14:textId="77777777" w:rsidR="00FD4F7C" w:rsidRDefault="00FD4F7C" w:rsidP="0011377C">
      <w:pPr>
        <w:pStyle w:val="rvps6"/>
        <w:spacing w:before="300" w:beforeAutospacing="0" w:after="450" w:afterAutospacing="0"/>
        <w:ind w:left="450" w:right="450"/>
        <w:jc w:val="center"/>
        <w:rPr>
          <w:rStyle w:val="rvts23"/>
          <w:bCs/>
          <w:sz w:val="28"/>
          <w:szCs w:val="28"/>
        </w:rPr>
      </w:pPr>
    </w:p>
    <w:p w14:paraId="092542A8" w14:textId="13DB88F7" w:rsidR="0011377C" w:rsidRPr="00F809AD" w:rsidRDefault="0011377C" w:rsidP="0011377C">
      <w:pPr>
        <w:pStyle w:val="rvps6"/>
        <w:spacing w:before="300" w:beforeAutospacing="0" w:after="450" w:afterAutospacing="0"/>
        <w:ind w:left="450" w:right="450"/>
        <w:jc w:val="center"/>
        <w:rPr>
          <w:rStyle w:val="rvts23"/>
          <w:bCs/>
          <w:sz w:val="28"/>
          <w:szCs w:val="28"/>
        </w:rPr>
      </w:pPr>
      <w:r w:rsidRPr="00F809AD">
        <w:rPr>
          <w:rStyle w:val="rvts23"/>
          <w:bCs/>
          <w:sz w:val="28"/>
          <w:szCs w:val="28"/>
        </w:rPr>
        <w:t xml:space="preserve">Інформація, що </w:t>
      </w:r>
      <w:r w:rsidR="008E27FC">
        <w:rPr>
          <w:rStyle w:val="rvts23"/>
          <w:bCs/>
          <w:sz w:val="28"/>
          <w:szCs w:val="28"/>
        </w:rPr>
        <w:t>на</w:t>
      </w:r>
      <w:r w:rsidRPr="00F809AD">
        <w:rPr>
          <w:rStyle w:val="rvts23"/>
          <w:bCs/>
          <w:sz w:val="28"/>
          <w:szCs w:val="28"/>
        </w:rPr>
        <w:t xml:space="preserve">дається </w:t>
      </w:r>
      <w:r w:rsidR="00B60D59" w:rsidRPr="00F809AD">
        <w:rPr>
          <w:rStyle w:val="rvts23"/>
          <w:bCs/>
          <w:sz w:val="28"/>
          <w:szCs w:val="28"/>
        </w:rPr>
        <w:t xml:space="preserve">банками </w:t>
      </w:r>
      <w:r w:rsidRPr="00F809AD">
        <w:rPr>
          <w:rStyle w:val="rvts23"/>
          <w:bCs/>
          <w:sz w:val="28"/>
          <w:szCs w:val="28"/>
        </w:rPr>
        <w:t>до Національного банку України</w:t>
      </w:r>
    </w:p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608"/>
        <w:gridCol w:w="934"/>
        <w:gridCol w:w="4056"/>
        <w:gridCol w:w="2123"/>
        <w:gridCol w:w="2048"/>
        <w:gridCol w:w="3841"/>
      </w:tblGrid>
      <w:tr w:rsidR="00F809AD" w:rsidRPr="00F809AD" w14:paraId="6F0EB874" w14:textId="77777777" w:rsidTr="00B60D59">
        <w:trPr>
          <w:trHeight w:val="877"/>
        </w:trPr>
        <w:tc>
          <w:tcPr>
            <w:tcW w:w="608" w:type="dxa"/>
            <w:shd w:val="clear" w:color="auto" w:fill="auto"/>
          </w:tcPr>
          <w:p w14:paraId="757ADA3E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№ з/п</w:t>
            </w:r>
          </w:p>
        </w:tc>
        <w:tc>
          <w:tcPr>
            <w:tcW w:w="934" w:type="dxa"/>
            <w:shd w:val="clear" w:color="auto" w:fill="auto"/>
          </w:tcPr>
          <w:p w14:paraId="05136F5B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Файл</w:t>
            </w:r>
          </w:p>
        </w:tc>
        <w:tc>
          <w:tcPr>
            <w:tcW w:w="4056" w:type="dxa"/>
            <w:shd w:val="clear" w:color="auto" w:fill="auto"/>
          </w:tcPr>
          <w:p w14:paraId="55A3A470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 xml:space="preserve">Назва </w:t>
            </w:r>
            <w:proofErr w:type="spellStart"/>
            <w:r w:rsidRPr="00F809AD">
              <w:t>файла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01E8473D" w14:textId="68223130" w:rsidR="00B60D59" w:rsidRPr="00F809AD" w:rsidRDefault="00B60D59" w:rsidP="00936816">
            <w:pPr>
              <w:pStyle w:val="afd"/>
              <w:ind w:firstLine="0"/>
            </w:pPr>
            <w:r w:rsidRPr="00F809AD">
              <w:t>Періодичність</w:t>
            </w:r>
            <w:r w:rsidRPr="00F809AD">
              <w:rPr>
                <w:shd w:val="clear" w:color="auto" w:fill="F0F0F0"/>
              </w:rPr>
              <w:t xml:space="preserve"> </w:t>
            </w:r>
            <w:r w:rsidR="008E27FC">
              <w:t>на</w:t>
            </w:r>
            <w:r w:rsidRPr="00F809AD">
              <w:t>дання</w:t>
            </w:r>
          </w:p>
        </w:tc>
        <w:tc>
          <w:tcPr>
            <w:tcW w:w="2048" w:type="dxa"/>
            <w:shd w:val="clear" w:color="auto" w:fill="auto"/>
          </w:tcPr>
          <w:p w14:paraId="4701ADE0" w14:textId="02C5E6E4" w:rsidR="00B60D59" w:rsidRPr="00F809AD" w:rsidRDefault="00B60D59" w:rsidP="00B60D59">
            <w:pPr>
              <w:pStyle w:val="afd"/>
              <w:ind w:firstLine="0"/>
            </w:pPr>
            <w:r w:rsidRPr="00F809AD">
              <w:t>Строк</w:t>
            </w:r>
            <w:r w:rsidRPr="00F809AD">
              <w:rPr>
                <w:shd w:val="clear" w:color="auto" w:fill="F0F0F0"/>
              </w:rPr>
              <w:t xml:space="preserve"> </w:t>
            </w:r>
            <w:r w:rsidR="008E27FC">
              <w:t>на</w:t>
            </w:r>
            <w:r w:rsidRPr="00F809AD">
              <w:t>дання</w:t>
            </w:r>
          </w:p>
        </w:tc>
        <w:tc>
          <w:tcPr>
            <w:tcW w:w="3841" w:type="dxa"/>
            <w:shd w:val="clear" w:color="auto" w:fill="auto"/>
          </w:tcPr>
          <w:p w14:paraId="2678457E" w14:textId="77777777" w:rsidR="00B60D59" w:rsidRPr="00F809AD" w:rsidRDefault="00B60D59" w:rsidP="003A2523">
            <w:pPr>
              <w:pStyle w:val="afd"/>
              <w:ind w:firstLine="0"/>
            </w:pPr>
            <w:r w:rsidRPr="00F809AD">
              <w:t>Особа, яка накладає кваліфікований електронний підпис на файл</w:t>
            </w:r>
          </w:p>
        </w:tc>
      </w:tr>
      <w:tr w:rsidR="00F809AD" w:rsidRPr="00F809AD" w14:paraId="63B8F7F3" w14:textId="77777777" w:rsidTr="00B60D59">
        <w:trPr>
          <w:trHeight w:val="282"/>
        </w:trPr>
        <w:tc>
          <w:tcPr>
            <w:tcW w:w="608" w:type="dxa"/>
            <w:shd w:val="clear" w:color="auto" w:fill="auto"/>
          </w:tcPr>
          <w:p w14:paraId="22C7377F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1</w:t>
            </w:r>
          </w:p>
        </w:tc>
        <w:tc>
          <w:tcPr>
            <w:tcW w:w="934" w:type="dxa"/>
            <w:shd w:val="clear" w:color="auto" w:fill="auto"/>
          </w:tcPr>
          <w:p w14:paraId="4FA8D8A1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2</w:t>
            </w:r>
          </w:p>
        </w:tc>
        <w:tc>
          <w:tcPr>
            <w:tcW w:w="4056" w:type="dxa"/>
            <w:shd w:val="clear" w:color="auto" w:fill="auto"/>
          </w:tcPr>
          <w:p w14:paraId="1B8B7BFF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3</w:t>
            </w:r>
          </w:p>
        </w:tc>
        <w:tc>
          <w:tcPr>
            <w:tcW w:w="2123" w:type="dxa"/>
            <w:shd w:val="clear" w:color="auto" w:fill="auto"/>
          </w:tcPr>
          <w:p w14:paraId="5120A181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4</w:t>
            </w:r>
          </w:p>
        </w:tc>
        <w:tc>
          <w:tcPr>
            <w:tcW w:w="2048" w:type="dxa"/>
            <w:shd w:val="clear" w:color="auto" w:fill="auto"/>
          </w:tcPr>
          <w:p w14:paraId="6BE0B0B8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5</w:t>
            </w:r>
          </w:p>
        </w:tc>
        <w:tc>
          <w:tcPr>
            <w:tcW w:w="3841" w:type="dxa"/>
            <w:shd w:val="clear" w:color="auto" w:fill="auto"/>
          </w:tcPr>
          <w:p w14:paraId="25E88166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6</w:t>
            </w:r>
          </w:p>
        </w:tc>
      </w:tr>
      <w:tr w:rsidR="00B60D59" w:rsidRPr="00F809AD" w14:paraId="65B4739C" w14:textId="77777777" w:rsidTr="00B60D59">
        <w:trPr>
          <w:trHeight w:val="2553"/>
        </w:trPr>
        <w:tc>
          <w:tcPr>
            <w:tcW w:w="608" w:type="dxa"/>
            <w:shd w:val="clear" w:color="auto" w:fill="auto"/>
          </w:tcPr>
          <w:p w14:paraId="4A0D1392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t>1</w:t>
            </w:r>
          </w:p>
        </w:tc>
        <w:tc>
          <w:tcPr>
            <w:tcW w:w="934" w:type="dxa"/>
            <w:shd w:val="clear" w:color="auto" w:fill="auto"/>
          </w:tcPr>
          <w:p w14:paraId="72B4B043" w14:textId="77777777" w:rsidR="00B60D59" w:rsidRPr="00F809AD" w:rsidRDefault="00B60D59" w:rsidP="00936816">
            <w:pPr>
              <w:pStyle w:val="afd"/>
              <w:ind w:firstLine="0"/>
            </w:pPr>
            <w:r w:rsidRPr="00F809AD">
              <w:rPr>
                <w:rFonts w:eastAsia="Times New Roman"/>
                <w:lang w:eastAsia="uk-UA"/>
              </w:rPr>
              <w:t>37X</w:t>
            </w:r>
          </w:p>
        </w:tc>
        <w:tc>
          <w:tcPr>
            <w:tcW w:w="4056" w:type="dxa"/>
            <w:shd w:val="clear" w:color="auto" w:fill="auto"/>
          </w:tcPr>
          <w:p w14:paraId="18DAED95" w14:textId="7D37743E" w:rsidR="00B60D59" w:rsidRPr="00F809AD" w:rsidRDefault="00B60D59" w:rsidP="00B60D59">
            <w:pPr>
              <w:pStyle w:val="afd"/>
              <w:ind w:firstLine="0"/>
              <w:jc w:val="both"/>
            </w:pPr>
            <w:r w:rsidRPr="00F809AD">
              <w:t>Дані про суму</w:t>
            </w:r>
            <w:r w:rsidRPr="00F809AD">
              <w:rPr>
                <w:shd w:val="clear" w:color="auto" w:fill="FFFFFF"/>
              </w:rPr>
              <w:t xml:space="preserve">  експортних операцій резидента-суб’єкта зовнішньоекономічної діяльності відповідно до вимог Закону України “Про зовнішньоекономічну діяльність”</w:t>
            </w:r>
            <w:r w:rsidRPr="00F809AD">
              <w:t xml:space="preserve"> (</w:t>
            </w:r>
            <w:r w:rsidR="008E27FC">
              <w:t>с</w:t>
            </w:r>
            <w:r w:rsidRPr="00F809AD">
              <w:t xml:space="preserve">ума </w:t>
            </w:r>
            <w:proofErr w:type="spellStart"/>
            <w:r w:rsidRPr="00F809AD">
              <w:rPr>
                <w:shd w:val="clear" w:color="auto" w:fill="FFFFFF"/>
              </w:rPr>
              <w:t>ВалВир</w:t>
            </w:r>
            <w:proofErr w:type="spellEnd"/>
            <w:r w:rsidRPr="00F809AD">
              <w:rPr>
                <w:shd w:val="clear" w:color="auto" w:fill="FFFFFF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21D92EB1" w14:textId="77777777" w:rsidR="00B60D59" w:rsidRPr="00F809AD" w:rsidRDefault="00B60D59" w:rsidP="00F809AD">
            <w:pPr>
              <w:pStyle w:val="afd"/>
              <w:ind w:firstLine="0"/>
              <w:jc w:val="left"/>
              <w:rPr>
                <w:lang w:val="ru-RU"/>
              </w:rPr>
            </w:pPr>
            <w:r w:rsidRPr="00F809AD">
              <w:t>Місячна</w:t>
            </w:r>
            <w:r w:rsidR="006C17AD" w:rsidRPr="00F809AD">
              <w:rPr>
                <w:lang w:val="ru-RU"/>
              </w:rPr>
              <w:t>,</w:t>
            </w:r>
          </w:p>
          <w:p w14:paraId="23E113AB" w14:textId="77777777" w:rsidR="006C17AD" w:rsidRPr="00F809AD" w:rsidRDefault="006C17AD" w:rsidP="00F809AD">
            <w:pPr>
              <w:pStyle w:val="afd"/>
              <w:ind w:firstLine="0"/>
              <w:jc w:val="left"/>
            </w:pPr>
            <w:r w:rsidRPr="00F809AD">
              <w:t>станом на 01 число кожного місяця</w:t>
            </w:r>
          </w:p>
        </w:tc>
        <w:tc>
          <w:tcPr>
            <w:tcW w:w="2048" w:type="dxa"/>
            <w:shd w:val="clear" w:color="auto" w:fill="auto"/>
          </w:tcPr>
          <w:p w14:paraId="0CBC5905" w14:textId="77777777" w:rsidR="00B60D59" w:rsidRPr="00F809AD" w:rsidRDefault="00B60D59" w:rsidP="00B60D59">
            <w:pPr>
              <w:pStyle w:val="afd"/>
              <w:ind w:firstLine="0"/>
              <w:jc w:val="both"/>
            </w:pPr>
            <w:r w:rsidRPr="00F809AD">
              <w:t xml:space="preserve">Не пізніше 10 числа кожного місяця </w:t>
            </w:r>
          </w:p>
        </w:tc>
        <w:tc>
          <w:tcPr>
            <w:tcW w:w="3841" w:type="dxa"/>
            <w:shd w:val="clear" w:color="auto" w:fill="auto"/>
          </w:tcPr>
          <w:p w14:paraId="30AFDCC0" w14:textId="5373704D" w:rsidR="00B60D59" w:rsidRPr="00F809AD" w:rsidRDefault="00B60D59" w:rsidP="00B60D59">
            <w:pPr>
              <w:pStyle w:val="afd"/>
              <w:ind w:firstLine="0"/>
              <w:jc w:val="both"/>
            </w:pPr>
            <w:r w:rsidRPr="00F809AD">
              <w:rPr>
                <w:shd w:val="clear" w:color="auto" w:fill="FFFFFF"/>
              </w:rPr>
              <w:t>Керівник структурного підрозділу, що відповідальний за формування/</w:t>
            </w:r>
            <w:r w:rsidR="008E27FC">
              <w:rPr>
                <w:shd w:val="clear" w:color="auto" w:fill="FFFFFF"/>
              </w:rPr>
              <w:t>на</w:t>
            </w:r>
            <w:r w:rsidRPr="00F809AD">
              <w:rPr>
                <w:shd w:val="clear" w:color="auto" w:fill="FFFFFF"/>
              </w:rPr>
              <w:t>дання Інформації</w:t>
            </w:r>
          </w:p>
        </w:tc>
      </w:tr>
    </w:tbl>
    <w:p w14:paraId="3C49446C" w14:textId="77777777" w:rsidR="0011377C" w:rsidRPr="00F809AD" w:rsidRDefault="0011377C" w:rsidP="0011377C">
      <w:pPr>
        <w:jc w:val="center"/>
        <w:rPr>
          <w:rFonts w:eastAsia="Calibri"/>
          <w:sz w:val="24"/>
          <w:szCs w:val="24"/>
        </w:rPr>
      </w:pPr>
    </w:p>
    <w:p w14:paraId="61D2ACAA" w14:textId="77777777" w:rsidR="0011377C" w:rsidRPr="00F809AD" w:rsidRDefault="0011377C" w:rsidP="0011377C">
      <w:pPr>
        <w:jc w:val="center"/>
        <w:rPr>
          <w:rFonts w:eastAsia="Calibri"/>
          <w:sz w:val="24"/>
          <w:szCs w:val="24"/>
        </w:rPr>
      </w:pPr>
    </w:p>
    <w:p w14:paraId="6A36CFE5" w14:textId="77777777" w:rsidR="0011377C" w:rsidRPr="00F809AD" w:rsidRDefault="0011377C" w:rsidP="0011377C">
      <w:pPr>
        <w:jc w:val="center"/>
        <w:rPr>
          <w:rFonts w:eastAsia="Calibri"/>
          <w:sz w:val="24"/>
          <w:szCs w:val="24"/>
        </w:rPr>
      </w:pPr>
    </w:p>
    <w:p w14:paraId="53D271BC" w14:textId="77777777" w:rsidR="0011377C" w:rsidRPr="00F809AD" w:rsidRDefault="0011377C" w:rsidP="0011377C">
      <w:pPr>
        <w:jc w:val="center"/>
        <w:rPr>
          <w:rFonts w:eastAsia="Calibri"/>
          <w:sz w:val="24"/>
          <w:szCs w:val="24"/>
        </w:rPr>
      </w:pPr>
    </w:p>
    <w:p w14:paraId="4B622891" w14:textId="77777777" w:rsidR="00141ECC" w:rsidRPr="00F809AD" w:rsidRDefault="00141ECC">
      <w:pPr>
        <w:spacing w:after="200" w:line="276" w:lineRule="auto"/>
        <w:jc w:val="left"/>
        <w:sectPr w:rsidR="00141ECC" w:rsidRPr="00F809AD" w:rsidSect="001E1788">
          <w:headerReference w:type="default" r:id="rId18"/>
          <w:headerReference w:type="first" r:id="rId19"/>
          <w:pgSz w:w="16838" w:h="11906" w:orient="landscape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16BDB716" w14:textId="77777777" w:rsidR="0011377C" w:rsidRPr="00F809AD" w:rsidRDefault="0011377C" w:rsidP="0011377C">
      <w:pPr>
        <w:pStyle w:val="afb"/>
        <w:ind w:left="9781" w:firstLine="0"/>
        <w:jc w:val="left"/>
      </w:pPr>
      <w:r w:rsidRPr="00F809AD">
        <w:lastRenderedPageBreak/>
        <w:t>Додаток 2</w:t>
      </w:r>
      <w:r w:rsidRPr="00F809AD">
        <w:br/>
        <w:t xml:space="preserve">до постанови Правління </w:t>
      </w:r>
    </w:p>
    <w:p w14:paraId="07258D47" w14:textId="77777777" w:rsidR="0011377C" w:rsidRPr="00F809AD" w:rsidRDefault="0011377C" w:rsidP="0011377C">
      <w:pPr>
        <w:pStyle w:val="afd"/>
        <w:ind w:firstLine="9781"/>
        <w:jc w:val="left"/>
      </w:pPr>
      <w:r w:rsidRPr="00F809AD">
        <w:t xml:space="preserve">Національного банку України </w:t>
      </w:r>
    </w:p>
    <w:p w14:paraId="46A99ECE" w14:textId="470622FD" w:rsidR="0011377C" w:rsidRPr="00F809AD" w:rsidRDefault="00CC0491" w:rsidP="0011377C">
      <w:pPr>
        <w:pStyle w:val="afd"/>
        <w:ind w:firstLine="9781"/>
        <w:jc w:val="left"/>
      </w:pPr>
      <w:r>
        <w:t>від 01 березня 2023 року № 11</w:t>
      </w:r>
      <w:bookmarkStart w:id="0" w:name="_GoBack"/>
      <w:bookmarkEnd w:id="0"/>
    </w:p>
    <w:p w14:paraId="743E1FA5" w14:textId="77777777" w:rsidR="0011377C" w:rsidRPr="00F809AD" w:rsidRDefault="0011377C" w:rsidP="0011377C">
      <w:pPr>
        <w:pStyle w:val="afd"/>
        <w:ind w:firstLine="3544"/>
        <w:jc w:val="left"/>
      </w:pPr>
    </w:p>
    <w:p w14:paraId="0E5102D7" w14:textId="77777777" w:rsidR="0011377C" w:rsidRPr="00F809AD" w:rsidRDefault="0011377C" w:rsidP="0011377C">
      <w:pPr>
        <w:pStyle w:val="afd"/>
        <w:ind w:firstLine="3544"/>
        <w:jc w:val="left"/>
      </w:pPr>
    </w:p>
    <w:p w14:paraId="54E6BC5C" w14:textId="0EA81B9C" w:rsidR="0011377C" w:rsidRPr="00F809AD" w:rsidRDefault="00687C63" w:rsidP="0011377C">
      <w:pPr>
        <w:pStyle w:val="afd"/>
        <w:ind w:firstLine="0"/>
      </w:pPr>
      <w:r w:rsidRPr="00F809AD">
        <w:t xml:space="preserve">Складові для формування </w:t>
      </w:r>
      <w:r w:rsidR="00624890">
        <w:t>і</w:t>
      </w:r>
      <w:r w:rsidR="00550580" w:rsidRPr="00F809AD">
        <w:t>нформаці</w:t>
      </w:r>
      <w:r w:rsidRPr="00F809AD">
        <w:t>ї</w:t>
      </w:r>
      <w:r w:rsidR="00624890">
        <w:t xml:space="preserve">, </w:t>
      </w:r>
      <w:r w:rsidR="008E27FC">
        <w:rPr>
          <w:bCs/>
        </w:rPr>
        <w:t>що на</w:t>
      </w:r>
      <w:r w:rsidR="00624890" w:rsidRPr="00624890">
        <w:rPr>
          <w:bCs/>
        </w:rPr>
        <w:t>дається банками до Національного банку України</w:t>
      </w:r>
    </w:p>
    <w:p w14:paraId="32D4EF7D" w14:textId="77777777" w:rsidR="0011377C" w:rsidRPr="00F809AD" w:rsidRDefault="0011377C" w:rsidP="0011377C">
      <w:pPr>
        <w:pStyle w:val="afd"/>
        <w:ind w:firstLine="3544"/>
        <w:jc w:val="left"/>
        <w:rPr>
          <w:rStyle w:val="rvts23"/>
          <w:b/>
          <w:bCs/>
          <w:shd w:val="clear" w:color="auto" w:fill="F0F0F0"/>
        </w:rPr>
      </w:pPr>
      <w:r w:rsidRPr="00F809AD">
        <w:br/>
      </w:r>
      <w:r w:rsidRPr="00F809AD">
        <w:rPr>
          <w:rStyle w:val="rvts23"/>
          <w:b/>
          <w:bCs/>
          <w:shd w:val="clear" w:color="auto" w:fill="F0F0F0"/>
        </w:rPr>
        <w:t xml:space="preserve"> </w:t>
      </w:r>
    </w:p>
    <w:tbl>
      <w:tblPr>
        <w:tblStyle w:val="a9"/>
        <w:tblW w:w="0" w:type="auto"/>
        <w:tblInd w:w="450" w:type="dxa"/>
        <w:tblLook w:val="04A0" w:firstRow="1" w:lastRow="0" w:firstColumn="1" w:lastColumn="0" w:noHBand="0" w:noVBand="1"/>
      </w:tblPr>
      <w:tblGrid>
        <w:gridCol w:w="791"/>
        <w:gridCol w:w="2057"/>
        <w:gridCol w:w="5341"/>
        <w:gridCol w:w="1352"/>
        <w:gridCol w:w="1468"/>
        <w:gridCol w:w="2831"/>
      </w:tblGrid>
      <w:tr w:rsidR="00F809AD" w:rsidRPr="00F809AD" w14:paraId="78EC81AB" w14:textId="77777777" w:rsidTr="00687C63">
        <w:trPr>
          <w:trHeight w:val="309"/>
        </w:trPr>
        <w:tc>
          <w:tcPr>
            <w:tcW w:w="791" w:type="dxa"/>
            <w:shd w:val="clear" w:color="auto" w:fill="auto"/>
          </w:tcPr>
          <w:p w14:paraId="2DF44EA0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№ з/п</w:t>
            </w:r>
          </w:p>
        </w:tc>
        <w:tc>
          <w:tcPr>
            <w:tcW w:w="2057" w:type="dxa"/>
            <w:shd w:val="clear" w:color="auto" w:fill="auto"/>
          </w:tcPr>
          <w:p w14:paraId="10791D28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Ідентифікатор</w:t>
            </w:r>
          </w:p>
        </w:tc>
        <w:tc>
          <w:tcPr>
            <w:tcW w:w="5341" w:type="dxa"/>
            <w:shd w:val="clear" w:color="auto" w:fill="auto"/>
          </w:tcPr>
          <w:p w14:paraId="11603085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Назва показника</w:t>
            </w:r>
          </w:p>
        </w:tc>
        <w:tc>
          <w:tcPr>
            <w:tcW w:w="1352" w:type="dxa"/>
            <w:shd w:val="clear" w:color="auto" w:fill="auto"/>
          </w:tcPr>
          <w:p w14:paraId="32321F81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Метрика</w:t>
            </w:r>
          </w:p>
        </w:tc>
        <w:tc>
          <w:tcPr>
            <w:tcW w:w="1468" w:type="dxa"/>
            <w:shd w:val="clear" w:color="auto" w:fill="auto"/>
          </w:tcPr>
          <w:p w14:paraId="47EF72C0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Параметр</w:t>
            </w:r>
          </w:p>
        </w:tc>
        <w:tc>
          <w:tcPr>
            <w:tcW w:w="2831" w:type="dxa"/>
            <w:shd w:val="clear" w:color="auto" w:fill="auto"/>
          </w:tcPr>
          <w:p w14:paraId="48121640" w14:textId="77777777" w:rsidR="00687C63" w:rsidRPr="00F809AD" w:rsidRDefault="00687C63" w:rsidP="00F870E3">
            <w:pPr>
              <w:pStyle w:val="afd"/>
              <w:ind w:firstLine="0"/>
            </w:pPr>
            <w:r w:rsidRPr="00F809AD">
              <w:t>Некласифікований реквізит</w:t>
            </w:r>
          </w:p>
        </w:tc>
      </w:tr>
      <w:tr w:rsidR="00F809AD" w:rsidRPr="00F809AD" w14:paraId="44B20E84" w14:textId="77777777" w:rsidTr="00687C63">
        <w:trPr>
          <w:trHeight w:val="297"/>
        </w:trPr>
        <w:tc>
          <w:tcPr>
            <w:tcW w:w="791" w:type="dxa"/>
            <w:shd w:val="clear" w:color="auto" w:fill="auto"/>
          </w:tcPr>
          <w:p w14:paraId="243776F5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1</w:t>
            </w:r>
          </w:p>
        </w:tc>
        <w:tc>
          <w:tcPr>
            <w:tcW w:w="2057" w:type="dxa"/>
            <w:shd w:val="clear" w:color="auto" w:fill="auto"/>
          </w:tcPr>
          <w:p w14:paraId="7EDB55F7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2</w:t>
            </w:r>
          </w:p>
        </w:tc>
        <w:tc>
          <w:tcPr>
            <w:tcW w:w="5341" w:type="dxa"/>
            <w:shd w:val="clear" w:color="auto" w:fill="auto"/>
          </w:tcPr>
          <w:p w14:paraId="3F7DD114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3</w:t>
            </w:r>
          </w:p>
        </w:tc>
        <w:tc>
          <w:tcPr>
            <w:tcW w:w="1352" w:type="dxa"/>
            <w:shd w:val="clear" w:color="auto" w:fill="auto"/>
          </w:tcPr>
          <w:p w14:paraId="58CAB8EB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4</w:t>
            </w:r>
          </w:p>
        </w:tc>
        <w:tc>
          <w:tcPr>
            <w:tcW w:w="1468" w:type="dxa"/>
            <w:shd w:val="clear" w:color="auto" w:fill="auto"/>
          </w:tcPr>
          <w:p w14:paraId="7424E23D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5</w:t>
            </w:r>
          </w:p>
        </w:tc>
        <w:tc>
          <w:tcPr>
            <w:tcW w:w="2831" w:type="dxa"/>
            <w:shd w:val="clear" w:color="auto" w:fill="auto"/>
          </w:tcPr>
          <w:p w14:paraId="46083A51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6</w:t>
            </w:r>
          </w:p>
        </w:tc>
      </w:tr>
      <w:tr w:rsidR="00687C63" w:rsidRPr="00F809AD" w14:paraId="485EFFB1" w14:textId="77777777" w:rsidTr="00687C63">
        <w:trPr>
          <w:trHeight w:val="915"/>
        </w:trPr>
        <w:tc>
          <w:tcPr>
            <w:tcW w:w="791" w:type="dxa"/>
            <w:shd w:val="clear" w:color="auto" w:fill="auto"/>
          </w:tcPr>
          <w:p w14:paraId="7DE3B6AA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1</w:t>
            </w:r>
          </w:p>
        </w:tc>
        <w:tc>
          <w:tcPr>
            <w:tcW w:w="2057" w:type="dxa"/>
            <w:shd w:val="clear" w:color="auto" w:fill="auto"/>
          </w:tcPr>
          <w:p w14:paraId="23E39A5C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A37001</w:t>
            </w:r>
          </w:p>
        </w:tc>
        <w:tc>
          <w:tcPr>
            <w:tcW w:w="5341" w:type="dxa"/>
            <w:shd w:val="clear" w:color="auto" w:fill="auto"/>
          </w:tcPr>
          <w:p w14:paraId="6DA585F9" w14:textId="6237D6C8" w:rsidR="00687C63" w:rsidRPr="00F809AD" w:rsidRDefault="00687C63" w:rsidP="00936816">
            <w:r w:rsidRPr="00F809AD">
              <w:t>Інформація про суму експортних операцій (</w:t>
            </w:r>
            <w:r w:rsidR="008E27FC">
              <w:t>с</w:t>
            </w:r>
            <w:r w:rsidRPr="00F809AD">
              <w:t xml:space="preserve">ума </w:t>
            </w:r>
            <w:proofErr w:type="spellStart"/>
            <w:r w:rsidRPr="00F809AD">
              <w:rPr>
                <w:shd w:val="clear" w:color="auto" w:fill="FFFFFF"/>
              </w:rPr>
              <w:t>ВалВир</w:t>
            </w:r>
            <w:proofErr w:type="spellEnd"/>
            <w:r w:rsidRPr="00F809AD">
              <w:rPr>
                <w:shd w:val="clear" w:color="auto" w:fill="FFFFFF"/>
              </w:rPr>
              <w:t>)</w:t>
            </w:r>
            <w:r w:rsidRPr="00F809AD">
              <w:t xml:space="preserve"> </w:t>
            </w:r>
          </w:p>
          <w:p w14:paraId="02119766" w14:textId="77777777" w:rsidR="00687C63" w:rsidRPr="00F809AD" w:rsidRDefault="00687C63" w:rsidP="00936816">
            <w:pPr>
              <w:pStyle w:val="afd"/>
              <w:ind w:firstLine="0"/>
              <w:jc w:val="both"/>
            </w:pPr>
          </w:p>
        </w:tc>
        <w:tc>
          <w:tcPr>
            <w:tcW w:w="1352" w:type="dxa"/>
            <w:shd w:val="clear" w:color="auto" w:fill="auto"/>
          </w:tcPr>
          <w:p w14:paraId="77E9D3EE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T070, T071</w:t>
            </w:r>
          </w:p>
        </w:tc>
        <w:tc>
          <w:tcPr>
            <w:tcW w:w="1468" w:type="dxa"/>
            <w:shd w:val="clear" w:color="auto" w:fill="auto"/>
          </w:tcPr>
          <w:p w14:paraId="60745449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R030</w:t>
            </w:r>
          </w:p>
        </w:tc>
        <w:tc>
          <w:tcPr>
            <w:tcW w:w="2831" w:type="dxa"/>
            <w:shd w:val="clear" w:color="auto" w:fill="auto"/>
          </w:tcPr>
          <w:p w14:paraId="69D26AFB" w14:textId="77777777" w:rsidR="00687C63" w:rsidRPr="00F809AD" w:rsidRDefault="00687C63" w:rsidP="00936816">
            <w:pPr>
              <w:pStyle w:val="afd"/>
              <w:ind w:firstLine="0"/>
            </w:pPr>
            <w:r w:rsidRPr="00F809AD">
              <w:t>Q001, Q003, K020</w:t>
            </w:r>
          </w:p>
        </w:tc>
      </w:tr>
    </w:tbl>
    <w:p w14:paraId="7F840157" w14:textId="77777777" w:rsidR="00A45120" w:rsidRPr="00F809AD" w:rsidRDefault="00A45120" w:rsidP="0011377C">
      <w:pPr>
        <w:pStyle w:val="afd"/>
        <w:ind w:firstLine="0"/>
        <w:jc w:val="left"/>
      </w:pPr>
    </w:p>
    <w:sectPr w:rsidR="00A45120" w:rsidRPr="00F809AD" w:rsidSect="001E1788">
      <w:pgSz w:w="16838" w:h="11906" w:orient="landscape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0B30" w14:textId="77777777" w:rsidR="006F0109" w:rsidRDefault="006F0109">
      <w:r>
        <w:separator/>
      </w:r>
    </w:p>
  </w:endnote>
  <w:endnote w:type="continuationSeparator" w:id="0">
    <w:p w14:paraId="17202200" w14:textId="77777777" w:rsidR="006F0109" w:rsidRDefault="006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E8A9" w14:textId="77777777" w:rsidR="006F0109" w:rsidRDefault="006F0109">
      <w:r>
        <w:separator/>
      </w:r>
    </w:p>
  </w:footnote>
  <w:footnote w:type="continuationSeparator" w:id="0">
    <w:p w14:paraId="3AE6DF9C" w14:textId="77777777" w:rsidR="006F0109" w:rsidRDefault="006F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4444" w14:textId="77777777" w:rsidR="00942F16" w:rsidRDefault="00942F16" w:rsidP="00942F16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ED15" w14:textId="0C29CE4D" w:rsidR="007E7511" w:rsidRDefault="007E7511" w:rsidP="007E7511">
    <w:pPr>
      <w:pStyle w:val="a5"/>
      <w:jc w:val="right"/>
    </w:pPr>
    <w:r>
      <w:t>Офіційно опубліковано  0</w:t>
    </w:r>
    <w:r w:rsidR="00AC2F1B">
      <w:t>2</w:t>
    </w:r>
    <w:r>
      <w:t>.03.2023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A3D6" w14:textId="77777777" w:rsidR="00942F16" w:rsidRDefault="00942F16" w:rsidP="00942F16">
    <w:pPr>
      <w:pStyle w:val="a5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3735" w14:textId="77777777" w:rsidR="00942F16" w:rsidRDefault="00942F16" w:rsidP="00942F16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9BD0" w14:textId="77777777" w:rsidR="001A26C4" w:rsidRDefault="001A26C4" w:rsidP="00942F1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80"/>
    <w:multiLevelType w:val="hybridMultilevel"/>
    <w:tmpl w:val="9386138C"/>
    <w:lvl w:ilvl="0" w:tplc="40FC62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4307F6"/>
    <w:multiLevelType w:val="hybridMultilevel"/>
    <w:tmpl w:val="6450BCC2"/>
    <w:lvl w:ilvl="0" w:tplc="72B4E0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31BC5416">
      <w:start w:val="1"/>
      <w:numFmt w:val="decimal"/>
      <w:lvlText w:val="%1."/>
      <w:lvlJc w:val="left"/>
      <w:pPr>
        <w:ind w:left="3905" w:hanging="360"/>
      </w:pPr>
    </w:lvl>
    <w:lvl w:ilvl="1" w:tplc="26EEE630">
      <w:start w:val="1"/>
      <w:numFmt w:val="lowerLetter"/>
      <w:lvlText w:val="%2."/>
      <w:lvlJc w:val="left"/>
      <w:pPr>
        <w:ind w:left="1789" w:hanging="360"/>
      </w:pPr>
    </w:lvl>
    <w:lvl w:ilvl="2" w:tplc="55AC3C9A">
      <w:start w:val="1"/>
      <w:numFmt w:val="lowerRoman"/>
      <w:lvlText w:val="%3."/>
      <w:lvlJc w:val="right"/>
      <w:pPr>
        <w:ind w:left="2509" w:hanging="180"/>
      </w:pPr>
    </w:lvl>
    <w:lvl w:ilvl="3" w:tplc="6AB04A30">
      <w:start w:val="1"/>
      <w:numFmt w:val="decimal"/>
      <w:lvlText w:val="%4."/>
      <w:lvlJc w:val="left"/>
      <w:pPr>
        <w:ind w:left="3229" w:hanging="360"/>
      </w:pPr>
    </w:lvl>
    <w:lvl w:ilvl="4" w:tplc="A3CAE5C6">
      <w:start w:val="1"/>
      <w:numFmt w:val="lowerLetter"/>
      <w:lvlText w:val="%5."/>
      <w:lvlJc w:val="left"/>
      <w:pPr>
        <w:ind w:left="3949" w:hanging="360"/>
      </w:pPr>
    </w:lvl>
    <w:lvl w:ilvl="5" w:tplc="908CB14A">
      <w:start w:val="1"/>
      <w:numFmt w:val="lowerRoman"/>
      <w:lvlText w:val="%6."/>
      <w:lvlJc w:val="right"/>
      <w:pPr>
        <w:ind w:left="4669" w:hanging="180"/>
      </w:pPr>
    </w:lvl>
    <w:lvl w:ilvl="6" w:tplc="FE8284D2">
      <w:start w:val="1"/>
      <w:numFmt w:val="decimal"/>
      <w:lvlText w:val="%7."/>
      <w:lvlJc w:val="left"/>
      <w:pPr>
        <w:ind w:left="5389" w:hanging="360"/>
      </w:pPr>
    </w:lvl>
    <w:lvl w:ilvl="7" w:tplc="FC62D84E">
      <w:start w:val="1"/>
      <w:numFmt w:val="lowerLetter"/>
      <w:lvlText w:val="%8."/>
      <w:lvlJc w:val="left"/>
      <w:pPr>
        <w:ind w:left="6109" w:hanging="360"/>
      </w:pPr>
    </w:lvl>
    <w:lvl w:ilvl="8" w:tplc="C34A81C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  <w:rPr>
        <w:rFonts w:cs="Times New Roman"/>
      </w:rPr>
    </w:lvl>
  </w:abstractNum>
  <w:abstractNum w:abstractNumId="4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A6659A"/>
    <w:multiLevelType w:val="hybridMultilevel"/>
    <w:tmpl w:val="0ABAC6C8"/>
    <w:lvl w:ilvl="0" w:tplc="70447FE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1">
      <w:start w:val="1"/>
      <w:numFmt w:val="decimal"/>
      <w:lvlText w:val="%2)"/>
      <w:lvlJc w:val="left"/>
      <w:pPr>
        <w:ind w:left="928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A6CCE"/>
    <w:multiLevelType w:val="hybridMultilevel"/>
    <w:tmpl w:val="D42ADE4A"/>
    <w:lvl w:ilvl="0" w:tplc="CCF67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7953C3"/>
    <w:multiLevelType w:val="hybridMultilevel"/>
    <w:tmpl w:val="C612129A"/>
    <w:lvl w:ilvl="0" w:tplc="1A3A871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745796"/>
    <w:multiLevelType w:val="hybridMultilevel"/>
    <w:tmpl w:val="D44AD2DE"/>
    <w:lvl w:ilvl="0" w:tplc="C5781918">
      <w:start w:val="1"/>
      <w:numFmt w:val="decimal"/>
      <w:lvlText w:val="%1."/>
      <w:lvlJc w:val="left"/>
      <w:pPr>
        <w:ind w:left="1429" w:hanging="360"/>
      </w:pPr>
    </w:lvl>
    <w:lvl w:ilvl="1" w:tplc="2D1AA8E0" w:tentative="1">
      <w:start w:val="1"/>
      <w:numFmt w:val="lowerLetter"/>
      <w:lvlText w:val="%2."/>
      <w:lvlJc w:val="left"/>
      <w:pPr>
        <w:ind w:left="2149" w:hanging="360"/>
      </w:pPr>
    </w:lvl>
    <w:lvl w:ilvl="2" w:tplc="07106BA2" w:tentative="1">
      <w:start w:val="1"/>
      <w:numFmt w:val="lowerRoman"/>
      <w:lvlText w:val="%3."/>
      <w:lvlJc w:val="right"/>
      <w:pPr>
        <w:ind w:left="2869" w:hanging="180"/>
      </w:pPr>
    </w:lvl>
    <w:lvl w:ilvl="3" w:tplc="812E3E70" w:tentative="1">
      <w:start w:val="1"/>
      <w:numFmt w:val="decimal"/>
      <w:lvlText w:val="%4."/>
      <w:lvlJc w:val="left"/>
      <w:pPr>
        <w:ind w:left="3589" w:hanging="360"/>
      </w:pPr>
    </w:lvl>
    <w:lvl w:ilvl="4" w:tplc="9A60CE72" w:tentative="1">
      <w:start w:val="1"/>
      <w:numFmt w:val="lowerLetter"/>
      <w:lvlText w:val="%5."/>
      <w:lvlJc w:val="left"/>
      <w:pPr>
        <w:ind w:left="4309" w:hanging="360"/>
      </w:pPr>
    </w:lvl>
    <w:lvl w:ilvl="5" w:tplc="980A275A" w:tentative="1">
      <w:start w:val="1"/>
      <w:numFmt w:val="lowerRoman"/>
      <w:lvlText w:val="%6."/>
      <w:lvlJc w:val="right"/>
      <w:pPr>
        <w:ind w:left="5029" w:hanging="180"/>
      </w:pPr>
    </w:lvl>
    <w:lvl w:ilvl="6" w:tplc="F9EEA362" w:tentative="1">
      <w:start w:val="1"/>
      <w:numFmt w:val="decimal"/>
      <w:lvlText w:val="%7."/>
      <w:lvlJc w:val="left"/>
      <w:pPr>
        <w:ind w:left="5749" w:hanging="360"/>
      </w:pPr>
    </w:lvl>
    <w:lvl w:ilvl="7" w:tplc="8A406326" w:tentative="1">
      <w:start w:val="1"/>
      <w:numFmt w:val="lowerLetter"/>
      <w:lvlText w:val="%8."/>
      <w:lvlJc w:val="left"/>
      <w:pPr>
        <w:ind w:left="6469" w:hanging="360"/>
      </w:pPr>
    </w:lvl>
    <w:lvl w:ilvl="8" w:tplc="0D0E54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1D1DFC"/>
    <w:multiLevelType w:val="hybridMultilevel"/>
    <w:tmpl w:val="DF8EFFEE"/>
    <w:lvl w:ilvl="0" w:tplc="4F3C0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B725C4"/>
    <w:multiLevelType w:val="hybridMultilevel"/>
    <w:tmpl w:val="8CF4EE7C"/>
    <w:lvl w:ilvl="0" w:tplc="EAF8D19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329B"/>
    <w:rsid w:val="000064FA"/>
    <w:rsid w:val="000069AF"/>
    <w:rsid w:val="00006DE7"/>
    <w:rsid w:val="00010BA5"/>
    <w:rsid w:val="000126A2"/>
    <w:rsid w:val="00013F2B"/>
    <w:rsid w:val="000147AA"/>
    <w:rsid w:val="00015CF3"/>
    <w:rsid w:val="00015FDE"/>
    <w:rsid w:val="000271C0"/>
    <w:rsid w:val="000277EE"/>
    <w:rsid w:val="000314DA"/>
    <w:rsid w:val="0003331E"/>
    <w:rsid w:val="000342A5"/>
    <w:rsid w:val="0003616F"/>
    <w:rsid w:val="0003793C"/>
    <w:rsid w:val="0004055F"/>
    <w:rsid w:val="00042EA4"/>
    <w:rsid w:val="00047A92"/>
    <w:rsid w:val="00051C13"/>
    <w:rsid w:val="000543C6"/>
    <w:rsid w:val="000600A8"/>
    <w:rsid w:val="00061C52"/>
    <w:rsid w:val="00063480"/>
    <w:rsid w:val="000638F2"/>
    <w:rsid w:val="0006417E"/>
    <w:rsid w:val="000647AA"/>
    <w:rsid w:val="00066927"/>
    <w:rsid w:val="000705B1"/>
    <w:rsid w:val="000718E8"/>
    <w:rsid w:val="000731C4"/>
    <w:rsid w:val="00073B1B"/>
    <w:rsid w:val="00075C72"/>
    <w:rsid w:val="00077077"/>
    <w:rsid w:val="00086FC7"/>
    <w:rsid w:val="00095B4E"/>
    <w:rsid w:val="00097BA9"/>
    <w:rsid w:val="000A18E2"/>
    <w:rsid w:val="000A2260"/>
    <w:rsid w:val="000A4A96"/>
    <w:rsid w:val="000A7B4B"/>
    <w:rsid w:val="000B199F"/>
    <w:rsid w:val="000B2990"/>
    <w:rsid w:val="000C0484"/>
    <w:rsid w:val="000C26C0"/>
    <w:rsid w:val="000D044A"/>
    <w:rsid w:val="000D1076"/>
    <w:rsid w:val="000D6025"/>
    <w:rsid w:val="000D778F"/>
    <w:rsid w:val="000E0CB3"/>
    <w:rsid w:val="000E5B8C"/>
    <w:rsid w:val="000E7A13"/>
    <w:rsid w:val="000F067C"/>
    <w:rsid w:val="000F0767"/>
    <w:rsid w:val="000F1B73"/>
    <w:rsid w:val="000F3E5B"/>
    <w:rsid w:val="000F74D5"/>
    <w:rsid w:val="0010207C"/>
    <w:rsid w:val="001061F0"/>
    <w:rsid w:val="00106229"/>
    <w:rsid w:val="00110190"/>
    <w:rsid w:val="0011377C"/>
    <w:rsid w:val="00115ECF"/>
    <w:rsid w:val="00116387"/>
    <w:rsid w:val="0013201D"/>
    <w:rsid w:val="001331C9"/>
    <w:rsid w:val="00133ECC"/>
    <w:rsid w:val="0013405A"/>
    <w:rsid w:val="001358C1"/>
    <w:rsid w:val="00135FF2"/>
    <w:rsid w:val="0013781C"/>
    <w:rsid w:val="00141310"/>
    <w:rsid w:val="00141ECC"/>
    <w:rsid w:val="001557F2"/>
    <w:rsid w:val="001564BA"/>
    <w:rsid w:val="0015658D"/>
    <w:rsid w:val="001631E2"/>
    <w:rsid w:val="00164051"/>
    <w:rsid w:val="00166ACD"/>
    <w:rsid w:val="00170E86"/>
    <w:rsid w:val="001716B0"/>
    <w:rsid w:val="001719A9"/>
    <w:rsid w:val="001740C0"/>
    <w:rsid w:val="00174CD0"/>
    <w:rsid w:val="00190E1A"/>
    <w:rsid w:val="00195C48"/>
    <w:rsid w:val="001A0EE5"/>
    <w:rsid w:val="001A16FA"/>
    <w:rsid w:val="001A26C4"/>
    <w:rsid w:val="001A4CB9"/>
    <w:rsid w:val="001A6795"/>
    <w:rsid w:val="001A76BE"/>
    <w:rsid w:val="001B2AD1"/>
    <w:rsid w:val="001B68B5"/>
    <w:rsid w:val="001B6931"/>
    <w:rsid w:val="001C206C"/>
    <w:rsid w:val="001C4FC9"/>
    <w:rsid w:val="001D322C"/>
    <w:rsid w:val="001D394D"/>
    <w:rsid w:val="001D487A"/>
    <w:rsid w:val="001E1788"/>
    <w:rsid w:val="001E57FC"/>
    <w:rsid w:val="001E7EAE"/>
    <w:rsid w:val="001F102C"/>
    <w:rsid w:val="001F1BB5"/>
    <w:rsid w:val="001F3B2A"/>
    <w:rsid w:val="001F3BBA"/>
    <w:rsid w:val="002238D1"/>
    <w:rsid w:val="00226BE1"/>
    <w:rsid w:val="0022799C"/>
    <w:rsid w:val="002329AE"/>
    <w:rsid w:val="00233ACF"/>
    <w:rsid w:val="00233F37"/>
    <w:rsid w:val="00235112"/>
    <w:rsid w:val="002359AC"/>
    <w:rsid w:val="002376ED"/>
    <w:rsid w:val="00241240"/>
    <w:rsid w:val="00241373"/>
    <w:rsid w:val="00242B83"/>
    <w:rsid w:val="00251927"/>
    <w:rsid w:val="00253BF9"/>
    <w:rsid w:val="00264983"/>
    <w:rsid w:val="00266678"/>
    <w:rsid w:val="002732BD"/>
    <w:rsid w:val="002759B6"/>
    <w:rsid w:val="00276988"/>
    <w:rsid w:val="002801F9"/>
    <w:rsid w:val="00280DCC"/>
    <w:rsid w:val="00282220"/>
    <w:rsid w:val="00284389"/>
    <w:rsid w:val="00285DDA"/>
    <w:rsid w:val="00286FD2"/>
    <w:rsid w:val="00290169"/>
    <w:rsid w:val="002926BE"/>
    <w:rsid w:val="00297816"/>
    <w:rsid w:val="002A2391"/>
    <w:rsid w:val="002A25C5"/>
    <w:rsid w:val="002A792B"/>
    <w:rsid w:val="002B202A"/>
    <w:rsid w:val="002B351E"/>
    <w:rsid w:val="002B3F71"/>
    <w:rsid w:val="002B582B"/>
    <w:rsid w:val="002B6213"/>
    <w:rsid w:val="002C1FDB"/>
    <w:rsid w:val="002C255E"/>
    <w:rsid w:val="002C78A0"/>
    <w:rsid w:val="002D1790"/>
    <w:rsid w:val="002D3FE9"/>
    <w:rsid w:val="002E1EF7"/>
    <w:rsid w:val="002F48EF"/>
    <w:rsid w:val="002F7B30"/>
    <w:rsid w:val="00302865"/>
    <w:rsid w:val="00302B5E"/>
    <w:rsid w:val="0030320E"/>
    <w:rsid w:val="003228B8"/>
    <w:rsid w:val="00326445"/>
    <w:rsid w:val="00327639"/>
    <w:rsid w:val="00331332"/>
    <w:rsid w:val="00332701"/>
    <w:rsid w:val="00340D07"/>
    <w:rsid w:val="0034136C"/>
    <w:rsid w:val="00345982"/>
    <w:rsid w:val="00356E34"/>
    <w:rsid w:val="00357676"/>
    <w:rsid w:val="00361B46"/>
    <w:rsid w:val="003629CD"/>
    <w:rsid w:val="00366AE2"/>
    <w:rsid w:val="00374276"/>
    <w:rsid w:val="0038385E"/>
    <w:rsid w:val="00384F65"/>
    <w:rsid w:val="0038697B"/>
    <w:rsid w:val="003908F3"/>
    <w:rsid w:val="00394BCD"/>
    <w:rsid w:val="00395D13"/>
    <w:rsid w:val="0039725C"/>
    <w:rsid w:val="003A16E7"/>
    <w:rsid w:val="003A2523"/>
    <w:rsid w:val="003A751F"/>
    <w:rsid w:val="003B58BA"/>
    <w:rsid w:val="003C10F4"/>
    <w:rsid w:val="003C3282"/>
    <w:rsid w:val="003C3985"/>
    <w:rsid w:val="003D280C"/>
    <w:rsid w:val="003D2D89"/>
    <w:rsid w:val="003D43F5"/>
    <w:rsid w:val="003D6B33"/>
    <w:rsid w:val="003F0441"/>
    <w:rsid w:val="003F28B5"/>
    <w:rsid w:val="003F39C4"/>
    <w:rsid w:val="003F7093"/>
    <w:rsid w:val="00401EDB"/>
    <w:rsid w:val="00404C93"/>
    <w:rsid w:val="00407877"/>
    <w:rsid w:val="004130B9"/>
    <w:rsid w:val="0042047A"/>
    <w:rsid w:val="0042105F"/>
    <w:rsid w:val="0042194E"/>
    <w:rsid w:val="00424BFF"/>
    <w:rsid w:val="00430B55"/>
    <w:rsid w:val="0043496A"/>
    <w:rsid w:val="00445F4A"/>
    <w:rsid w:val="00446704"/>
    <w:rsid w:val="00455B45"/>
    <w:rsid w:val="00460768"/>
    <w:rsid w:val="00460BA2"/>
    <w:rsid w:val="0046115F"/>
    <w:rsid w:val="004666D6"/>
    <w:rsid w:val="0046774A"/>
    <w:rsid w:val="0047037E"/>
    <w:rsid w:val="00470481"/>
    <w:rsid w:val="004877D9"/>
    <w:rsid w:val="00490DBB"/>
    <w:rsid w:val="004A1CFC"/>
    <w:rsid w:val="004A28CF"/>
    <w:rsid w:val="004A7F75"/>
    <w:rsid w:val="004B10D7"/>
    <w:rsid w:val="004B1FE9"/>
    <w:rsid w:val="004B3F95"/>
    <w:rsid w:val="004B5574"/>
    <w:rsid w:val="004D02A8"/>
    <w:rsid w:val="004D2B57"/>
    <w:rsid w:val="004D39B8"/>
    <w:rsid w:val="004D412D"/>
    <w:rsid w:val="004D4B55"/>
    <w:rsid w:val="004D4DDE"/>
    <w:rsid w:val="004E1B8A"/>
    <w:rsid w:val="004E22E2"/>
    <w:rsid w:val="004F214E"/>
    <w:rsid w:val="004F362B"/>
    <w:rsid w:val="004F3FF1"/>
    <w:rsid w:val="004F43C2"/>
    <w:rsid w:val="004F479F"/>
    <w:rsid w:val="004F68EA"/>
    <w:rsid w:val="004F7286"/>
    <w:rsid w:val="00501616"/>
    <w:rsid w:val="00503A92"/>
    <w:rsid w:val="0050563F"/>
    <w:rsid w:val="0050602B"/>
    <w:rsid w:val="0051053E"/>
    <w:rsid w:val="00514CFC"/>
    <w:rsid w:val="00515A3D"/>
    <w:rsid w:val="005212A1"/>
    <w:rsid w:val="005212C5"/>
    <w:rsid w:val="00523C13"/>
    <w:rsid w:val="00524133"/>
    <w:rsid w:val="00524F07"/>
    <w:rsid w:val="005257C2"/>
    <w:rsid w:val="00525812"/>
    <w:rsid w:val="0052796B"/>
    <w:rsid w:val="00527D65"/>
    <w:rsid w:val="00532633"/>
    <w:rsid w:val="00532C9F"/>
    <w:rsid w:val="005403F1"/>
    <w:rsid w:val="00542533"/>
    <w:rsid w:val="00550580"/>
    <w:rsid w:val="00551EFD"/>
    <w:rsid w:val="00556BF2"/>
    <w:rsid w:val="0056091A"/>
    <w:rsid w:val="00561A7A"/>
    <w:rsid w:val="005624B6"/>
    <w:rsid w:val="00562C46"/>
    <w:rsid w:val="00566BA2"/>
    <w:rsid w:val="00567929"/>
    <w:rsid w:val="00567ADA"/>
    <w:rsid w:val="005712DF"/>
    <w:rsid w:val="0057237F"/>
    <w:rsid w:val="00574F52"/>
    <w:rsid w:val="00577402"/>
    <w:rsid w:val="005822CB"/>
    <w:rsid w:val="0059027A"/>
    <w:rsid w:val="00596F86"/>
    <w:rsid w:val="00597AB6"/>
    <w:rsid w:val="005A0F4B"/>
    <w:rsid w:val="005A1729"/>
    <w:rsid w:val="005A1D3C"/>
    <w:rsid w:val="005A3F34"/>
    <w:rsid w:val="005A40A3"/>
    <w:rsid w:val="005A4629"/>
    <w:rsid w:val="005A6AAF"/>
    <w:rsid w:val="005A6D79"/>
    <w:rsid w:val="005B158F"/>
    <w:rsid w:val="005B2D03"/>
    <w:rsid w:val="005C0F09"/>
    <w:rsid w:val="005C5199"/>
    <w:rsid w:val="005C5CBF"/>
    <w:rsid w:val="005D2004"/>
    <w:rsid w:val="005D3B88"/>
    <w:rsid w:val="005D45F5"/>
    <w:rsid w:val="005D7476"/>
    <w:rsid w:val="005E3FA8"/>
    <w:rsid w:val="005E6B89"/>
    <w:rsid w:val="005F4CB4"/>
    <w:rsid w:val="005F4D87"/>
    <w:rsid w:val="005F6B35"/>
    <w:rsid w:val="00607F5A"/>
    <w:rsid w:val="006121C5"/>
    <w:rsid w:val="00612E0D"/>
    <w:rsid w:val="00613920"/>
    <w:rsid w:val="0062301D"/>
    <w:rsid w:val="00624890"/>
    <w:rsid w:val="00627EDD"/>
    <w:rsid w:val="00640612"/>
    <w:rsid w:val="00640AF4"/>
    <w:rsid w:val="0064227D"/>
    <w:rsid w:val="0064502E"/>
    <w:rsid w:val="006478D1"/>
    <w:rsid w:val="0065179F"/>
    <w:rsid w:val="00655EA3"/>
    <w:rsid w:val="00657593"/>
    <w:rsid w:val="00670C95"/>
    <w:rsid w:val="0067171E"/>
    <w:rsid w:val="006835E3"/>
    <w:rsid w:val="00686111"/>
    <w:rsid w:val="00687C63"/>
    <w:rsid w:val="00687DB6"/>
    <w:rsid w:val="006901B3"/>
    <w:rsid w:val="006925CE"/>
    <w:rsid w:val="00692C42"/>
    <w:rsid w:val="00692C8C"/>
    <w:rsid w:val="006935CC"/>
    <w:rsid w:val="00696A14"/>
    <w:rsid w:val="00697171"/>
    <w:rsid w:val="00697A27"/>
    <w:rsid w:val="006A4DBA"/>
    <w:rsid w:val="006B2748"/>
    <w:rsid w:val="006B465F"/>
    <w:rsid w:val="006C06A1"/>
    <w:rsid w:val="006C0F22"/>
    <w:rsid w:val="006C13B1"/>
    <w:rsid w:val="006C17AD"/>
    <w:rsid w:val="006C4176"/>
    <w:rsid w:val="006C541E"/>
    <w:rsid w:val="006C66EF"/>
    <w:rsid w:val="006D2617"/>
    <w:rsid w:val="006D783B"/>
    <w:rsid w:val="006E0C8A"/>
    <w:rsid w:val="006E66B2"/>
    <w:rsid w:val="006F0109"/>
    <w:rsid w:val="006F0D67"/>
    <w:rsid w:val="006F5A9F"/>
    <w:rsid w:val="00700AA3"/>
    <w:rsid w:val="00701BDF"/>
    <w:rsid w:val="00701F35"/>
    <w:rsid w:val="007035BF"/>
    <w:rsid w:val="007142BA"/>
    <w:rsid w:val="00714823"/>
    <w:rsid w:val="00717197"/>
    <w:rsid w:val="0071789F"/>
    <w:rsid w:val="00722E25"/>
    <w:rsid w:val="00730088"/>
    <w:rsid w:val="007424D4"/>
    <w:rsid w:val="00747222"/>
    <w:rsid w:val="00750898"/>
    <w:rsid w:val="00757E59"/>
    <w:rsid w:val="007626C5"/>
    <w:rsid w:val="00766AAE"/>
    <w:rsid w:val="0077225D"/>
    <w:rsid w:val="00773559"/>
    <w:rsid w:val="007743A7"/>
    <w:rsid w:val="0078127A"/>
    <w:rsid w:val="007831A5"/>
    <w:rsid w:val="00783AF2"/>
    <w:rsid w:val="00787E46"/>
    <w:rsid w:val="0079197D"/>
    <w:rsid w:val="00796457"/>
    <w:rsid w:val="007A2A5F"/>
    <w:rsid w:val="007A2BCB"/>
    <w:rsid w:val="007A30E9"/>
    <w:rsid w:val="007A6609"/>
    <w:rsid w:val="007B045B"/>
    <w:rsid w:val="007B3538"/>
    <w:rsid w:val="007B3973"/>
    <w:rsid w:val="007B56F6"/>
    <w:rsid w:val="007B7B73"/>
    <w:rsid w:val="007C2CED"/>
    <w:rsid w:val="007D3F08"/>
    <w:rsid w:val="007E0421"/>
    <w:rsid w:val="007E7511"/>
    <w:rsid w:val="007F1506"/>
    <w:rsid w:val="007F4FD5"/>
    <w:rsid w:val="00802988"/>
    <w:rsid w:val="00804ADD"/>
    <w:rsid w:val="00806C76"/>
    <w:rsid w:val="0081474C"/>
    <w:rsid w:val="00823AD6"/>
    <w:rsid w:val="0082523F"/>
    <w:rsid w:val="00834523"/>
    <w:rsid w:val="0083535C"/>
    <w:rsid w:val="00840FBA"/>
    <w:rsid w:val="00841453"/>
    <w:rsid w:val="008415A0"/>
    <w:rsid w:val="00842B9B"/>
    <w:rsid w:val="0085364B"/>
    <w:rsid w:val="008566E5"/>
    <w:rsid w:val="00865023"/>
    <w:rsid w:val="00866993"/>
    <w:rsid w:val="00874366"/>
    <w:rsid w:val="00875DE2"/>
    <w:rsid w:val="008762D8"/>
    <w:rsid w:val="00880940"/>
    <w:rsid w:val="00890DE4"/>
    <w:rsid w:val="0089202B"/>
    <w:rsid w:val="00893684"/>
    <w:rsid w:val="00897035"/>
    <w:rsid w:val="008A6156"/>
    <w:rsid w:val="008B1589"/>
    <w:rsid w:val="008B2BB7"/>
    <w:rsid w:val="008B74DD"/>
    <w:rsid w:val="008C5912"/>
    <w:rsid w:val="008C72B5"/>
    <w:rsid w:val="008D0AC9"/>
    <w:rsid w:val="008D10FD"/>
    <w:rsid w:val="008D122F"/>
    <w:rsid w:val="008D3286"/>
    <w:rsid w:val="008D5F60"/>
    <w:rsid w:val="008D727F"/>
    <w:rsid w:val="008E14CF"/>
    <w:rsid w:val="008E1B8E"/>
    <w:rsid w:val="008E27FC"/>
    <w:rsid w:val="008E3385"/>
    <w:rsid w:val="008E3FB5"/>
    <w:rsid w:val="008F0210"/>
    <w:rsid w:val="008F2301"/>
    <w:rsid w:val="008F2600"/>
    <w:rsid w:val="008F5D52"/>
    <w:rsid w:val="00904F17"/>
    <w:rsid w:val="00906922"/>
    <w:rsid w:val="009070F5"/>
    <w:rsid w:val="00913E12"/>
    <w:rsid w:val="00915ED1"/>
    <w:rsid w:val="00922966"/>
    <w:rsid w:val="009244FA"/>
    <w:rsid w:val="0092710A"/>
    <w:rsid w:val="00937AE3"/>
    <w:rsid w:val="00937D24"/>
    <w:rsid w:val="00942F16"/>
    <w:rsid w:val="00943175"/>
    <w:rsid w:val="009474BE"/>
    <w:rsid w:val="0095407B"/>
    <w:rsid w:val="00954131"/>
    <w:rsid w:val="009547EE"/>
    <w:rsid w:val="00956D26"/>
    <w:rsid w:val="0095741D"/>
    <w:rsid w:val="009630F0"/>
    <w:rsid w:val="0097288F"/>
    <w:rsid w:val="0098003B"/>
    <w:rsid w:val="0098207E"/>
    <w:rsid w:val="009830F7"/>
    <w:rsid w:val="0098701B"/>
    <w:rsid w:val="00990AAE"/>
    <w:rsid w:val="009A2886"/>
    <w:rsid w:val="009B14A6"/>
    <w:rsid w:val="009B2900"/>
    <w:rsid w:val="009B46D8"/>
    <w:rsid w:val="009B6120"/>
    <w:rsid w:val="009C2F76"/>
    <w:rsid w:val="009C7F1F"/>
    <w:rsid w:val="009E3346"/>
    <w:rsid w:val="009E6863"/>
    <w:rsid w:val="009F5312"/>
    <w:rsid w:val="009F6460"/>
    <w:rsid w:val="00A02AEC"/>
    <w:rsid w:val="00A0594A"/>
    <w:rsid w:val="00A12C47"/>
    <w:rsid w:val="00A2171A"/>
    <w:rsid w:val="00A23E04"/>
    <w:rsid w:val="00A3475B"/>
    <w:rsid w:val="00A42ACB"/>
    <w:rsid w:val="00A45120"/>
    <w:rsid w:val="00A461A4"/>
    <w:rsid w:val="00A46C15"/>
    <w:rsid w:val="00A50986"/>
    <w:rsid w:val="00A50DC0"/>
    <w:rsid w:val="00A55BA5"/>
    <w:rsid w:val="00A63695"/>
    <w:rsid w:val="00A64561"/>
    <w:rsid w:val="00A67C71"/>
    <w:rsid w:val="00A70340"/>
    <w:rsid w:val="00A72F06"/>
    <w:rsid w:val="00A730F2"/>
    <w:rsid w:val="00A77FFD"/>
    <w:rsid w:val="00A81B49"/>
    <w:rsid w:val="00A92AAF"/>
    <w:rsid w:val="00AA09A2"/>
    <w:rsid w:val="00AA2B0E"/>
    <w:rsid w:val="00AA7888"/>
    <w:rsid w:val="00AB062E"/>
    <w:rsid w:val="00AB4554"/>
    <w:rsid w:val="00AC2192"/>
    <w:rsid w:val="00AC2472"/>
    <w:rsid w:val="00AC2F1B"/>
    <w:rsid w:val="00AC47B6"/>
    <w:rsid w:val="00AC6A5A"/>
    <w:rsid w:val="00AD616D"/>
    <w:rsid w:val="00AD6FD3"/>
    <w:rsid w:val="00AD7DF9"/>
    <w:rsid w:val="00AE29BB"/>
    <w:rsid w:val="00AE2CAF"/>
    <w:rsid w:val="00AF24A7"/>
    <w:rsid w:val="00AF24FE"/>
    <w:rsid w:val="00AF33D9"/>
    <w:rsid w:val="00B002E4"/>
    <w:rsid w:val="00B0553E"/>
    <w:rsid w:val="00B06F39"/>
    <w:rsid w:val="00B12046"/>
    <w:rsid w:val="00B1697C"/>
    <w:rsid w:val="00B228F0"/>
    <w:rsid w:val="00B332B2"/>
    <w:rsid w:val="00B34CCC"/>
    <w:rsid w:val="00B36EC7"/>
    <w:rsid w:val="00B36EDD"/>
    <w:rsid w:val="00B37DD6"/>
    <w:rsid w:val="00B40B77"/>
    <w:rsid w:val="00B55651"/>
    <w:rsid w:val="00B57DBE"/>
    <w:rsid w:val="00B60D59"/>
    <w:rsid w:val="00B60DE7"/>
    <w:rsid w:val="00B61C97"/>
    <w:rsid w:val="00B628C5"/>
    <w:rsid w:val="00B63779"/>
    <w:rsid w:val="00B71933"/>
    <w:rsid w:val="00B730EF"/>
    <w:rsid w:val="00B772DB"/>
    <w:rsid w:val="00B8078D"/>
    <w:rsid w:val="00B85301"/>
    <w:rsid w:val="00B87560"/>
    <w:rsid w:val="00B91453"/>
    <w:rsid w:val="00B9700B"/>
    <w:rsid w:val="00B9772B"/>
    <w:rsid w:val="00BB182E"/>
    <w:rsid w:val="00BB6AD6"/>
    <w:rsid w:val="00BB6FB5"/>
    <w:rsid w:val="00BC108A"/>
    <w:rsid w:val="00BC2E63"/>
    <w:rsid w:val="00BC4F01"/>
    <w:rsid w:val="00BD12A3"/>
    <w:rsid w:val="00BD2F37"/>
    <w:rsid w:val="00BD5D20"/>
    <w:rsid w:val="00BD6D34"/>
    <w:rsid w:val="00BD7F6E"/>
    <w:rsid w:val="00BE109E"/>
    <w:rsid w:val="00BF47B0"/>
    <w:rsid w:val="00BF5327"/>
    <w:rsid w:val="00BF6115"/>
    <w:rsid w:val="00BF69FC"/>
    <w:rsid w:val="00C21D33"/>
    <w:rsid w:val="00C23307"/>
    <w:rsid w:val="00C3151C"/>
    <w:rsid w:val="00C3382F"/>
    <w:rsid w:val="00C34039"/>
    <w:rsid w:val="00C34D98"/>
    <w:rsid w:val="00C4377C"/>
    <w:rsid w:val="00C4727F"/>
    <w:rsid w:val="00C47F0F"/>
    <w:rsid w:val="00C47F28"/>
    <w:rsid w:val="00C51D84"/>
    <w:rsid w:val="00C52230"/>
    <w:rsid w:val="00C52506"/>
    <w:rsid w:val="00C525BC"/>
    <w:rsid w:val="00C54E98"/>
    <w:rsid w:val="00C55206"/>
    <w:rsid w:val="00C73852"/>
    <w:rsid w:val="00C743CE"/>
    <w:rsid w:val="00C771CB"/>
    <w:rsid w:val="00C82259"/>
    <w:rsid w:val="00C9297C"/>
    <w:rsid w:val="00C92982"/>
    <w:rsid w:val="00C94014"/>
    <w:rsid w:val="00C944D8"/>
    <w:rsid w:val="00CA1496"/>
    <w:rsid w:val="00CA2ED1"/>
    <w:rsid w:val="00CB02C9"/>
    <w:rsid w:val="00CB0A99"/>
    <w:rsid w:val="00CB5A09"/>
    <w:rsid w:val="00CB69B4"/>
    <w:rsid w:val="00CC0491"/>
    <w:rsid w:val="00CC51F5"/>
    <w:rsid w:val="00CC57BC"/>
    <w:rsid w:val="00CC6F24"/>
    <w:rsid w:val="00CD0CD4"/>
    <w:rsid w:val="00CD67A5"/>
    <w:rsid w:val="00CE09A4"/>
    <w:rsid w:val="00CE3B9F"/>
    <w:rsid w:val="00CF1FB8"/>
    <w:rsid w:val="00CF2C65"/>
    <w:rsid w:val="00D04D12"/>
    <w:rsid w:val="00D078B6"/>
    <w:rsid w:val="00D1022C"/>
    <w:rsid w:val="00D128FA"/>
    <w:rsid w:val="00D15DF1"/>
    <w:rsid w:val="00D211C0"/>
    <w:rsid w:val="00D27115"/>
    <w:rsid w:val="00D30048"/>
    <w:rsid w:val="00D33C12"/>
    <w:rsid w:val="00D34DCC"/>
    <w:rsid w:val="00D35812"/>
    <w:rsid w:val="00D41159"/>
    <w:rsid w:val="00D42B77"/>
    <w:rsid w:val="00D520B7"/>
    <w:rsid w:val="00D541CF"/>
    <w:rsid w:val="00D61D9B"/>
    <w:rsid w:val="00D76222"/>
    <w:rsid w:val="00D86EC3"/>
    <w:rsid w:val="00D959EB"/>
    <w:rsid w:val="00DA2F09"/>
    <w:rsid w:val="00DA3919"/>
    <w:rsid w:val="00DA39E4"/>
    <w:rsid w:val="00DB406E"/>
    <w:rsid w:val="00DB5A13"/>
    <w:rsid w:val="00DC1E60"/>
    <w:rsid w:val="00DD012A"/>
    <w:rsid w:val="00DD0B68"/>
    <w:rsid w:val="00DD1736"/>
    <w:rsid w:val="00DD60CC"/>
    <w:rsid w:val="00DE0381"/>
    <w:rsid w:val="00DE04E7"/>
    <w:rsid w:val="00DF03A4"/>
    <w:rsid w:val="00DF2096"/>
    <w:rsid w:val="00DF4D12"/>
    <w:rsid w:val="00E05021"/>
    <w:rsid w:val="00E0513E"/>
    <w:rsid w:val="00E054A9"/>
    <w:rsid w:val="00E10AE2"/>
    <w:rsid w:val="00E10F0A"/>
    <w:rsid w:val="00E168A8"/>
    <w:rsid w:val="00E212B3"/>
    <w:rsid w:val="00E21875"/>
    <w:rsid w:val="00E23287"/>
    <w:rsid w:val="00E237DD"/>
    <w:rsid w:val="00E2509C"/>
    <w:rsid w:val="00E25407"/>
    <w:rsid w:val="00E2604B"/>
    <w:rsid w:val="00E32599"/>
    <w:rsid w:val="00E33B0E"/>
    <w:rsid w:val="00E34F5B"/>
    <w:rsid w:val="00E4179F"/>
    <w:rsid w:val="00E42621"/>
    <w:rsid w:val="00E43369"/>
    <w:rsid w:val="00E446A6"/>
    <w:rsid w:val="00E50F28"/>
    <w:rsid w:val="00E52F73"/>
    <w:rsid w:val="00E53CB5"/>
    <w:rsid w:val="00E53CCD"/>
    <w:rsid w:val="00E55154"/>
    <w:rsid w:val="00E5595F"/>
    <w:rsid w:val="00E61ED3"/>
    <w:rsid w:val="00E62607"/>
    <w:rsid w:val="00E67760"/>
    <w:rsid w:val="00E71855"/>
    <w:rsid w:val="00E719A9"/>
    <w:rsid w:val="00E75E32"/>
    <w:rsid w:val="00E832A1"/>
    <w:rsid w:val="00E92258"/>
    <w:rsid w:val="00E92AA1"/>
    <w:rsid w:val="00E97EFC"/>
    <w:rsid w:val="00EA1DE4"/>
    <w:rsid w:val="00EA60EA"/>
    <w:rsid w:val="00EB29BF"/>
    <w:rsid w:val="00EB4DBA"/>
    <w:rsid w:val="00EB52E2"/>
    <w:rsid w:val="00EB5411"/>
    <w:rsid w:val="00EC324F"/>
    <w:rsid w:val="00EC7C7F"/>
    <w:rsid w:val="00ED20B6"/>
    <w:rsid w:val="00ED2E43"/>
    <w:rsid w:val="00ED6709"/>
    <w:rsid w:val="00EE5F6D"/>
    <w:rsid w:val="00EF4B42"/>
    <w:rsid w:val="00EF4CCE"/>
    <w:rsid w:val="00EF7465"/>
    <w:rsid w:val="00F003D3"/>
    <w:rsid w:val="00F008AB"/>
    <w:rsid w:val="00F03E32"/>
    <w:rsid w:val="00F1163B"/>
    <w:rsid w:val="00F11D62"/>
    <w:rsid w:val="00F145A6"/>
    <w:rsid w:val="00F166AA"/>
    <w:rsid w:val="00F17FC3"/>
    <w:rsid w:val="00F22A60"/>
    <w:rsid w:val="00F3202D"/>
    <w:rsid w:val="00F42289"/>
    <w:rsid w:val="00F42E75"/>
    <w:rsid w:val="00F443F2"/>
    <w:rsid w:val="00F45D65"/>
    <w:rsid w:val="00F517FA"/>
    <w:rsid w:val="00F52A9D"/>
    <w:rsid w:val="00F52D16"/>
    <w:rsid w:val="00F61C52"/>
    <w:rsid w:val="00F62347"/>
    <w:rsid w:val="00F62D67"/>
    <w:rsid w:val="00F63BD9"/>
    <w:rsid w:val="00F668DA"/>
    <w:rsid w:val="00F6694C"/>
    <w:rsid w:val="00F809AD"/>
    <w:rsid w:val="00F8145F"/>
    <w:rsid w:val="00F8249D"/>
    <w:rsid w:val="00F870E3"/>
    <w:rsid w:val="00F91B60"/>
    <w:rsid w:val="00F9283D"/>
    <w:rsid w:val="00F93C70"/>
    <w:rsid w:val="00F94263"/>
    <w:rsid w:val="00F9564B"/>
    <w:rsid w:val="00F96F18"/>
    <w:rsid w:val="00FA000B"/>
    <w:rsid w:val="00FA45BC"/>
    <w:rsid w:val="00FA508E"/>
    <w:rsid w:val="00FA5320"/>
    <w:rsid w:val="00FA7846"/>
    <w:rsid w:val="00FB594A"/>
    <w:rsid w:val="00FC1673"/>
    <w:rsid w:val="00FC26E5"/>
    <w:rsid w:val="00FC34B0"/>
    <w:rsid w:val="00FC7FD0"/>
    <w:rsid w:val="00FD19F1"/>
    <w:rsid w:val="00FD370F"/>
    <w:rsid w:val="00FD49D4"/>
    <w:rsid w:val="00FD4D47"/>
    <w:rsid w:val="00FD4F7C"/>
    <w:rsid w:val="00FE0B90"/>
    <w:rsid w:val="00FE324C"/>
    <w:rsid w:val="00FE4C36"/>
    <w:rsid w:val="00FE750F"/>
    <w:rsid w:val="00FF0902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F4E10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link w:val="af3"/>
    <w:uiPriority w:val="34"/>
    <w:locked/>
    <w:rsid w:val="00251927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06417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unhideWhenUsed/>
    <w:rsid w:val="00D15DF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15DF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D15DF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15DF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D15DF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xmsocommenttext">
    <w:name w:val="x_msocommenttext"/>
    <w:basedOn w:val="a"/>
    <w:rsid w:val="00527D6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a">
    <w:name w:val="Hyperlink"/>
    <w:basedOn w:val="a0"/>
    <w:uiPriority w:val="99"/>
    <w:unhideWhenUsed/>
    <w:rsid w:val="002B6213"/>
    <w:rPr>
      <w:color w:val="0000FF"/>
      <w:u w:val="single"/>
    </w:rPr>
  </w:style>
  <w:style w:type="character" w:customStyle="1" w:styleId="rvts9">
    <w:name w:val="rvts9"/>
    <w:rsid w:val="002B6213"/>
  </w:style>
  <w:style w:type="character" w:customStyle="1" w:styleId="rvts37">
    <w:name w:val="rvts37"/>
    <w:basedOn w:val="a0"/>
    <w:rsid w:val="002B6213"/>
  </w:style>
  <w:style w:type="paragraph" w:customStyle="1" w:styleId="afb">
    <w:name w:val="розділ"/>
    <w:basedOn w:val="a"/>
    <w:link w:val="afc"/>
    <w:qFormat/>
    <w:rsid w:val="002B6213"/>
    <w:pPr>
      <w:ind w:firstLine="567"/>
      <w:jc w:val="center"/>
    </w:pPr>
    <w:rPr>
      <w:rFonts w:eastAsia="Calibri"/>
      <w:lang w:eastAsia="en-US"/>
    </w:rPr>
  </w:style>
  <w:style w:type="character" w:customStyle="1" w:styleId="afc">
    <w:name w:val="розділ Знак"/>
    <w:link w:val="afb"/>
    <w:rsid w:val="002B6213"/>
    <w:rPr>
      <w:rFonts w:ascii="Times New Roman" w:eastAsia="Calibri" w:hAnsi="Times New Roman" w:cs="Times New Roman"/>
      <w:sz w:val="28"/>
      <w:szCs w:val="28"/>
    </w:rPr>
  </w:style>
  <w:style w:type="character" w:customStyle="1" w:styleId="rvts80">
    <w:name w:val="rvts80"/>
    <w:basedOn w:val="a0"/>
    <w:rsid w:val="002B6213"/>
  </w:style>
  <w:style w:type="character" w:customStyle="1" w:styleId="rvts23">
    <w:name w:val="rvts23"/>
    <w:basedOn w:val="a0"/>
    <w:rsid w:val="0011377C"/>
  </w:style>
  <w:style w:type="paragraph" w:customStyle="1" w:styleId="afd">
    <w:name w:val="глава"/>
    <w:basedOn w:val="afb"/>
    <w:link w:val="afe"/>
    <w:qFormat/>
    <w:rsid w:val="0011377C"/>
  </w:style>
  <w:style w:type="character" w:customStyle="1" w:styleId="afe">
    <w:name w:val="глава Знак"/>
    <w:link w:val="afd"/>
    <w:rsid w:val="0011377C"/>
    <w:rPr>
      <w:rFonts w:ascii="Times New Roman" w:eastAsia="Calibri" w:hAnsi="Times New Roman" w:cs="Times New Roman"/>
      <w:sz w:val="28"/>
      <w:szCs w:val="28"/>
    </w:rPr>
  </w:style>
  <w:style w:type="paragraph" w:customStyle="1" w:styleId="rvps6">
    <w:name w:val="rvps6"/>
    <w:basedOn w:val="a"/>
    <w:rsid w:val="0011377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">
    <w:name w:val="Revision"/>
    <w:hidden/>
    <w:uiPriority w:val="99"/>
    <w:semiHidden/>
    <w:rsid w:val="0062489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212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B1A214-2167-4167-B1CB-6CD31D41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2652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Кашук Юлія Валеріївна</cp:lastModifiedBy>
  <cp:revision>2</cp:revision>
  <cp:lastPrinted>2023-02-24T07:57:00Z</cp:lastPrinted>
  <dcterms:created xsi:type="dcterms:W3CDTF">2023-03-01T14:52:00Z</dcterms:created>
  <dcterms:modified xsi:type="dcterms:W3CDTF">2023-03-01T14:52:00Z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