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75DBC" w14:textId="77777777" w:rsidR="00967711" w:rsidRPr="001A4653" w:rsidRDefault="00967711" w:rsidP="00967711">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967711" w:rsidRPr="00257A3D" w14:paraId="1B5AA01E" w14:textId="77777777" w:rsidTr="00F307EC">
        <w:trPr>
          <w:trHeight w:val="851"/>
        </w:trPr>
        <w:tc>
          <w:tcPr>
            <w:tcW w:w="3284" w:type="dxa"/>
          </w:tcPr>
          <w:p w14:paraId="2BF3D55B" w14:textId="77777777" w:rsidR="00967711" w:rsidRPr="00257A3D" w:rsidRDefault="00967711" w:rsidP="00F307EC"/>
        </w:tc>
        <w:tc>
          <w:tcPr>
            <w:tcW w:w="3285" w:type="dxa"/>
            <w:vMerge w:val="restart"/>
          </w:tcPr>
          <w:p w14:paraId="444CD8A7" w14:textId="77777777" w:rsidR="00967711" w:rsidRPr="00257A3D" w:rsidRDefault="00967711" w:rsidP="00F307EC">
            <w:pPr>
              <w:jc w:val="center"/>
            </w:pPr>
            <w:r w:rsidRPr="00257A3D">
              <w:object w:dxaOrig="1595" w:dyaOrig="2201" w14:anchorId="1E269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5pt;height:48pt" o:ole="">
                  <v:imagedata r:id="rId12" o:title=""/>
                </v:shape>
                <o:OLEObject Type="Embed" ProgID="CorelDraw.Graphic.16" ShapeID="_x0000_i1025" DrawAspect="Content" ObjectID="_1752415615" r:id="rId13"/>
              </w:object>
            </w:r>
          </w:p>
        </w:tc>
        <w:tc>
          <w:tcPr>
            <w:tcW w:w="3285" w:type="dxa"/>
          </w:tcPr>
          <w:p w14:paraId="53205B47" w14:textId="77777777" w:rsidR="00967711" w:rsidRPr="00257A3D" w:rsidRDefault="00967711" w:rsidP="00F307EC"/>
        </w:tc>
      </w:tr>
      <w:tr w:rsidR="00967711" w:rsidRPr="00257A3D" w14:paraId="3473E8C4" w14:textId="77777777" w:rsidTr="00F307EC">
        <w:tc>
          <w:tcPr>
            <w:tcW w:w="3284" w:type="dxa"/>
          </w:tcPr>
          <w:p w14:paraId="7EBD52E5" w14:textId="77777777" w:rsidR="00967711" w:rsidRPr="00257A3D" w:rsidRDefault="00967711" w:rsidP="00F307EC"/>
        </w:tc>
        <w:tc>
          <w:tcPr>
            <w:tcW w:w="3285" w:type="dxa"/>
            <w:vMerge/>
          </w:tcPr>
          <w:p w14:paraId="40221DA4" w14:textId="77777777" w:rsidR="00967711" w:rsidRPr="00257A3D" w:rsidRDefault="00967711" w:rsidP="00F307EC"/>
        </w:tc>
        <w:tc>
          <w:tcPr>
            <w:tcW w:w="3285" w:type="dxa"/>
          </w:tcPr>
          <w:p w14:paraId="77D7FF8E" w14:textId="77777777" w:rsidR="00967711" w:rsidRPr="00257A3D" w:rsidRDefault="00967711" w:rsidP="00F307EC"/>
        </w:tc>
      </w:tr>
      <w:tr w:rsidR="00967711" w:rsidRPr="00257A3D" w14:paraId="0F502C13" w14:textId="77777777" w:rsidTr="00F307EC">
        <w:tc>
          <w:tcPr>
            <w:tcW w:w="9854" w:type="dxa"/>
            <w:gridSpan w:val="3"/>
          </w:tcPr>
          <w:p w14:paraId="5DB57C8C" w14:textId="77777777" w:rsidR="00967711" w:rsidRPr="00257A3D" w:rsidRDefault="00967711" w:rsidP="00F307EC">
            <w:pPr>
              <w:tabs>
                <w:tab w:val="left" w:pos="-3600"/>
              </w:tabs>
              <w:spacing w:before="120" w:after="120"/>
              <w:jc w:val="center"/>
              <w:rPr>
                <w:b/>
                <w:bCs/>
                <w:color w:val="006600"/>
                <w:spacing w:val="10"/>
              </w:rPr>
            </w:pPr>
            <w:r w:rsidRPr="00257A3D">
              <w:rPr>
                <w:b/>
                <w:bCs/>
                <w:color w:val="006600"/>
                <w:spacing w:val="10"/>
              </w:rPr>
              <w:t>Правління Національного банку України</w:t>
            </w:r>
          </w:p>
          <w:p w14:paraId="1677DC6E" w14:textId="77777777" w:rsidR="00967711" w:rsidRPr="00257A3D" w:rsidRDefault="00967711" w:rsidP="00D75789">
            <w:pPr>
              <w:jc w:val="center"/>
            </w:pPr>
            <w:r w:rsidRPr="00257A3D">
              <w:rPr>
                <w:b/>
                <w:noProof/>
                <w:color w:val="006600"/>
                <w:sz w:val="32"/>
                <w:szCs w:val="32"/>
              </w:rPr>
              <w:t>Р І Ш Е Н Н Я</w:t>
            </w:r>
          </w:p>
        </w:tc>
      </w:tr>
    </w:tbl>
    <w:p w14:paraId="11B78CA7" w14:textId="77777777" w:rsidR="00967711" w:rsidRPr="00257A3D" w:rsidRDefault="00967711" w:rsidP="00967711">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2223"/>
        <w:gridCol w:w="1805"/>
        <w:gridCol w:w="1900"/>
      </w:tblGrid>
      <w:tr w:rsidR="00967711" w:rsidRPr="00257A3D" w14:paraId="7E223857" w14:textId="77777777" w:rsidTr="00D37F10">
        <w:tc>
          <w:tcPr>
            <w:tcW w:w="3794" w:type="dxa"/>
            <w:vAlign w:val="bottom"/>
          </w:tcPr>
          <w:p w14:paraId="499B9B8A" w14:textId="1D829597" w:rsidR="00967711" w:rsidRPr="00054DF2" w:rsidRDefault="00C53F1B" w:rsidP="00C53F1B">
            <w:pPr>
              <w:spacing w:before="240"/>
              <w:ind w:firstLine="34"/>
              <w:jc w:val="left"/>
              <w:rPr>
                <w:color w:val="006600"/>
              </w:rPr>
            </w:pPr>
            <w:r>
              <w:rPr>
                <w:color w:val="006600"/>
              </w:rPr>
              <w:t>від 01 серпня 2023 року</w:t>
            </w:r>
          </w:p>
        </w:tc>
        <w:tc>
          <w:tcPr>
            <w:tcW w:w="2268" w:type="dxa"/>
          </w:tcPr>
          <w:p w14:paraId="71AAD1CD" w14:textId="3D32EA96" w:rsidR="00967711" w:rsidRPr="00054DF2" w:rsidRDefault="00967711" w:rsidP="00054DF2">
            <w:pPr>
              <w:spacing w:before="240"/>
              <w:ind w:firstLine="34"/>
              <w:jc w:val="center"/>
              <w:rPr>
                <w:color w:val="006600"/>
              </w:rPr>
            </w:pPr>
            <w:r w:rsidRPr="00257A3D">
              <w:rPr>
                <w:color w:val="006600"/>
              </w:rPr>
              <w:t>Київ</w:t>
            </w:r>
          </w:p>
        </w:tc>
        <w:tc>
          <w:tcPr>
            <w:tcW w:w="1855" w:type="dxa"/>
            <w:vAlign w:val="bottom"/>
          </w:tcPr>
          <w:p w14:paraId="413F890D" w14:textId="37C00612" w:rsidR="00967711" w:rsidRPr="00054DF2" w:rsidRDefault="00967711" w:rsidP="00054DF2">
            <w:pPr>
              <w:spacing w:before="240"/>
              <w:ind w:firstLine="34"/>
              <w:jc w:val="center"/>
              <w:rPr>
                <w:color w:val="006600"/>
              </w:rPr>
            </w:pPr>
          </w:p>
        </w:tc>
        <w:tc>
          <w:tcPr>
            <w:tcW w:w="1937" w:type="dxa"/>
            <w:vAlign w:val="bottom"/>
          </w:tcPr>
          <w:p w14:paraId="3D79A0FF" w14:textId="2EF85632" w:rsidR="00967711" w:rsidRPr="00054DF2" w:rsidRDefault="00C53F1B" w:rsidP="008F1270">
            <w:pPr>
              <w:spacing w:before="240"/>
              <w:rPr>
                <w:color w:val="006600"/>
              </w:rPr>
            </w:pPr>
            <w:r>
              <w:rPr>
                <w:color w:val="006600"/>
              </w:rPr>
              <w:t>№ 265-рш</w:t>
            </w:r>
            <w:bookmarkStart w:id="0" w:name="_GoBack"/>
            <w:bookmarkEnd w:id="0"/>
          </w:p>
        </w:tc>
      </w:tr>
    </w:tbl>
    <w:p w14:paraId="01D85C6B" w14:textId="77777777" w:rsidR="00967711" w:rsidRPr="00257A3D" w:rsidRDefault="00967711" w:rsidP="00967711">
      <w:pPr>
        <w:rPr>
          <w:sz w:val="2"/>
          <w:szCs w:val="2"/>
        </w:rPr>
      </w:pPr>
    </w:p>
    <w:p w14:paraId="09954326" w14:textId="77777777" w:rsidR="00967711" w:rsidRPr="00257A3D" w:rsidRDefault="00967711" w:rsidP="00967711">
      <w:pPr>
        <w:rPr>
          <w:noProof/>
          <w:sz w:val="2"/>
          <w:szCs w:val="2"/>
        </w:rPr>
      </w:pPr>
    </w:p>
    <w:tbl>
      <w:tblPr>
        <w:tblStyle w:val="a9"/>
        <w:tblW w:w="3452" w:type="pct"/>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257A3D" w14:paraId="1156EFD6" w14:textId="77777777" w:rsidTr="0050563F">
        <w:tc>
          <w:tcPr>
            <w:tcW w:w="5000" w:type="pct"/>
          </w:tcPr>
          <w:p w14:paraId="2F5CA2BF" w14:textId="77777777" w:rsidR="004E202D" w:rsidRDefault="004E202D" w:rsidP="003B3353">
            <w:pPr>
              <w:spacing w:before="240" w:after="240"/>
              <w:jc w:val="center"/>
              <w:rPr>
                <w:rFonts w:eastAsiaTheme="minorEastAsia"/>
                <w:noProof/>
                <w:color w:val="000000" w:themeColor="text1"/>
                <w:lang w:eastAsia="en-US"/>
              </w:rPr>
            </w:pPr>
          </w:p>
          <w:p w14:paraId="1156EFD5" w14:textId="7B4F81AE" w:rsidR="002B3F71" w:rsidRPr="00257A3D" w:rsidRDefault="009F385A" w:rsidP="003B3353">
            <w:pPr>
              <w:spacing w:before="240" w:after="240"/>
              <w:jc w:val="center"/>
              <w:rPr>
                <w:rFonts w:eastAsiaTheme="minorEastAsia"/>
                <w:noProof/>
                <w:color w:val="000000" w:themeColor="text1"/>
                <w:lang w:eastAsia="en-US"/>
              </w:rPr>
            </w:pPr>
            <w:r w:rsidRPr="00257A3D">
              <w:rPr>
                <w:rFonts w:eastAsiaTheme="minorEastAsia"/>
                <w:noProof/>
                <w:color w:val="000000" w:themeColor="text1"/>
                <w:lang w:eastAsia="en-US"/>
              </w:rPr>
              <w:t xml:space="preserve">Про відкликання банківської ліцензії та ліквідацію </w:t>
            </w:r>
            <w:r w:rsidR="001F78F5" w:rsidRPr="008F1270">
              <w:t>АКЦІОНЕРН</w:t>
            </w:r>
            <w:r w:rsidR="001F78F5">
              <w:t>ОГО</w:t>
            </w:r>
            <w:r w:rsidR="001F78F5" w:rsidRPr="008F1270">
              <w:t xml:space="preserve"> ТОВАРИСТВ</w:t>
            </w:r>
            <w:r w:rsidR="001F78F5">
              <w:t>А</w:t>
            </w:r>
            <w:r w:rsidR="001F78F5" w:rsidRPr="008F1270">
              <w:t xml:space="preserve"> </w:t>
            </w:r>
            <w:r w:rsidR="003B3353">
              <w:t>“</w:t>
            </w:r>
            <w:r w:rsidR="008F1270" w:rsidRPr="008F1270">
              <w:t xml:space="preserve">АКЦІОНЕРНИЙ КОМЕРЦІЙНИЙ БАНК </w:t>
            </w:r>
            <w:r w:rsidR="003B3353">
              <w:t>“</w:t>
            </w:r>
            <w:r w:rsidR="008F1270" w:rsidRPr="008F1270">
              <w:t>КОНКОРД</w:t>
            </w:r>
            <w:r w:rsidR="003B3353">
              <w:t>”</w:t>
            </w:r>
          </w:p>
        </w:tc>
      </w:tr>
    </w:tbl>
    <w:p w14:paraId="5C132C51" w14:textId="702CA7EE" w:rsidR="000C6EA4" w:rsidRDefault="000C6EA4" w:rsidP="009E6E7F">
      <w:pPr>
        <w:pStyle w:val="af3"/>
        <w:ind w:left="0" w:firstLine="567"/>
        <w:contextualSpacing w:val="0"/>
        <w:rPr>
          <w:color w:val="000000" w:themeColor="text1"/>
          <w:lang w:eastAsia="ru-RU"/>
        </w:rPr>
      </w:pPr>
    </w:p>
    <w:p w14:paraId="7C334972" w14:textId="77777777" w:rsidR="004E202D" w:rsidRDefault="004E202D" w:rsidP="009E6E7F">
      <w:pPr>
        <w:pStyle w:val="af3"/>
        <w:ind w:left="0" w:firstLine="567"/>
        <w:contextualSpacing w:val="0"/>
        <w:rPr>
          <w:color w:val="000000" w:themeColor="text1"/>
          <w:lang w:eastAsia="ru-RU"/>
        </w:rPr>
      </w:pPr>
    </w:p>
    <w:p w14:paraId="28B272EB" w14:textId="664C34EA" w:rsidR="00485E6C" w:rsidRPr="009E6E7F" w:rsidRDefault="00485E6C" w:rsidP="003B3353">
      <w:pPr>
        <w:pStyle w:val="af3"/>
        <w:ind w:left="0" w:firstLine="567"/>
        <w:contextualSpacing w:val="0"/>
        <w:rPr>
          <w:color w:val="000000" w:themeColor="text1"/>
          <w:lang w:eastAsia="ru-RU"/>
        </w:rPr>
      </w:pPr>
      <w:r w:rsidRPr="009E6E7F">
        <w:rPr>
          <w:color w:val="000000" w:themeColor="text1"/>
          <w:lang w:eastAsia="ru-RU"/>
        </w:rPr>
        <w:t xml:space="preserve">Розглянувши інформацію Департаменту фінансового моніторингу про відкликання банківської ліцензії та ліквідацію </w:t>
      </w:r>
      <w:r w:rsidRPr="00982BB5">
        <w:rPr>
          <w:color w:val="000000" w:themeColor="text1"/>
          <w:lang w:eastAsia="ru-RU"/>
        </w:rPr>
        <w:t xml:space="preserve">АКЦІОНЕРНОГО ТОВАРИСТВА </w:t>
      </w:r>
      <w:r w:rsidRPr="00982BB5">
        <w:rPr>
          <w:color w:val="000000" w:themeColor="text1"/>
        </w:rPr>
        <w:t>“</w:t>
      </w:r>
      <w:r w:rsidR="00982BB5" w:rsidRPr="00982BB5">
        <w:rPr>
          <w:color w:val="000000" w:themeColor="text1"/>
        </w:rPr>
        <w:t xml:space="preserve">АКЦІОНЕРНИЙ </w:t>
      </w:r>
      <w:r w:rsidR="002D5C30">
        <w:rPr>
          <w:color w:val="000000" w:themeColor="text1"/>
        </w:rPr>
        <w:t xml:space="preserve">КОМЕРЦІЙНИЙ </w:t>
      </w:r>
      <w:r w:rsidR="00982BB5" w:rsidRPr="00982BB5">
        <w:rPr>
          <w:color w:val="000000" w:themeColor="text1"/>
        </w:rPr>
        <w:t>БАНК “КОНКОРД</w:t>
      </w:r>
      <w:r w:rsidRPr="00982BB5">
        <w:rPr>
          <w:color w:val="000000" w:themeColor="text1"/>
        </w:rPr>
        <w:t>” (далі –</w:t>
      </w:r>
      <w:r w:rsidR="003B3353">
        <w:rPr>
          <w:color w:val="000000" w:themeColor="text1"/>
        </w:rPr>
        <w:t xml:space="preserve"> </w:t>
      </w:r>
      <w:r w:rsidRPr="00982BB5">
        <w:rPr>
          <w:color w:val="000000" w:themeColor="text1"/>
        </w:rPr>
        <w:t>АТ “</w:t>
      </w:r>
      <w:r w:rsidR="00982BB5" w:rsidRPr="00982BB5">
        <w:rPr>
          <w:color w:val="000000" w:themeColor="text1"/>
        </w:rPr>
        <w:t>АКБ “КОНКОРД</w:t>
      </w:r>
      <w:r w:rsidRPr="00982BB5">
        <w:rPr>
          <w:color w:val="000000" w:themeColor="text1"/>
        </w:rPr>
        <w:t>”),</w:t>
      </w:r>
      <w:r w:rsidRPr="009E6E7F">
        <w:rPr>
          <w:color w:val="000000" w:themeColor="text1"/>
        </w:rPr>
        <w:t xml:space="preserve"> викладену в пояснювальній записці Департаменту фінансового моніторингу від </w:t>
      </w:r>
      <w:r w:rsidR="00FE3D53">
        <w:rPr>
          <w:color w:val="000000" w:themeColor="text1"/>
        </w:rPr>
        <w:t>19</w:t>
      </w:r>
      <w:r w:rsidR="00A07FB9">
        <w:rPr>
          <w:color w:val="000000" w:themeColor="text1"/>
        </w:rPr>
        <w:t xml:space="preserve"> л</w:t>
      </w:r>
      <w:r w:rsidR="0063035E" w:rsidRPr="00A07FB9">
        <w:rPr>
          <w:color w:val="000000" w:themeColor="text1"/>
        </w:rPr>
        <w:t>ипня</w:t>
      </w:r>
      <w:r w:rsidRPr="009E6E7F">
        <w:rPr>
          <w:color w:val="000000" w:themeColor="text1"/>
        </w:rPr>
        <w:t xml:space="preserve"> 2023 року, </w:t>
      </w:r>
      <w:r w:rsidR="00A44A11" w:rsidRPr="009E6E7F">
        <w:rPr>
          <w:color w:val="000000" w:themeColor="text1"/>
        </w:rPr>
        <w:t xml:space="preserve">Правління </w:t>
      </w:r>
      <w:r w:rsidRPr="009E6E7F">
        <w:rPr>
          <w:color w:val="000000" w:themeColor="text1"/>
          <w:lang w:eastAsia="ru-RU"/>
        </w:rPr>
        <w:t>Національного банку України</w:t>
      </w:r>
      <w:r w:rsidR="00A44A11" w:rsidRPr="009E6E7F">
        <w:rPr>
          <w:color w:val="000000" w:themeColor="text1"/>
          <w:lang w:eastAsia="ru-RU"/>
        </w:rPr>
        <w:t xml:space="preserve"> </w:t>
      </w:r>
      <w:r w:rsidRPr="009E6E7F">
        <w:rPr>
          <w:color w:val="000000" w:themeColor="text1"/>
          <w:lang w:eastAsia="ru-RU"/>
        </w:rPr>
        <w:t xml:space="preserve">зазначає таке. </w:t>
      </w:r>
    </w:p>
    <w:p w14:paraId="33672674" w14:textId="027AA327" w:rsidR="00485E6C" w:rsidRPr="009E6E7F" w:rsidRDefault="00485E6C" w:rsidP="003B3353">
      <w:pPr>
        <w:ind w:firstLine="567"/>
        <w:rPr>
          <w:color w:val="000000" w:themeColor="text1"/>
        </w:rPr>
      </w:pPr>
      <w:r w:rsidRPr="009E6E7F">
        <w:rPr>
          <w:color w:val="000000" w:themeColor="text1"/>
        </w:rPr>
        <w:t xml:space="preserve">АТ </w:t>
      </w:r>
      <w:r w:rsidR="00982BB5" w:rsidRPr="00982BB5">
        <w:rPr>
          <w:color w:val="000000" w:themeColor="text1"/>
        </w:rPr>
        <w:t>“АКБ “КОНКОРД”</w:t>
      </w:r>
      <w:r w:rsidRPr="009E6E7F">
        <w:rPr>
          <w:color w:val="000000" w:themeColor="text1"/>
        </w:rPr>
        <w:t xml:space="preserve"> допустило </w:t>
      </w:r>
      <w:r w:rsidR="000B1FFE" w:rsidRPr="009E6E7F">
        <w:rPr>
          <w:color w:val="000000" w:themeColor="text1"/>
        </w:rPr>
        <w:t xml:space="preserve">систематичні </w:t>
      </w:r>
      <w:r w:rsidRPr="009E6E7F">
        <w:rPr>
          <w:color w:val="000000" w:themeColor="text1"/>
          <w:shd w:val="clear" w:color="auto" w:fill="FFFFFF"/>
        </w:rPr>
        <w:t xml:space="preserve">порушення </w:t>
      </w:r>
      <w:r w:rsidR="00C2549B" w:rsidRPr="009E6E7F">
        <w:rPr>
          <w:color w:val="000000" w:themeColor="text1"/>
          <w:shd w:val="clear" w:color="auto" w:fill="FFFFFF"/>
        </w:rPr>
        <w:t xml:space="preserve">вимог </w:t>
      </w:r>
      <w:r w:rsidRPr="009E6E7F">
        <w:rPr>
          <w:color w:val="000000" w:themeColor="text1"/>
          <w:shd w:val="clear" w:color="auto" w:fill="FFFFFF"/>
        </w:rPr>
        <w:t>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9E6E7F">
        <w:rPr>
          <w:color w:val="000000" w:themeColor="text1"/>
        </w:rPr>
        <w:t xml:space="preserve"> (далі – </w:t>
      </w:r>
      <w:r w:rsidR="002D5C30">
        <w:rPr>
          <w:color w:val="000000" w:themeColor="text1"/>
        </w:rPr>
        <w:t>законодавство з питань фінансового моніторингу</w:t>
      </w:r>
      <w:r w:rsidRPr="009E6E7F">
        <w:rPr>
          <w:color w:val="000000" w:themeColor="text1"/>
        </w:rPr>
        <w:t>).</w:t>
      </w:r>
    </w:p>
    <w:p w14:paraId="123D9218" w14:textId="03A9CE2A" w:rsidR="00982BB5" w:rsidRDefault="000B1FFE" w:rsidP="003B3353">
      <w:pPr>
        <w:ind w:firstLine="567"/>
        <w:rPr>
          <w:color w:val="000000" w:themeColor="text1"/>
          <w:highlight w:val="yellow"/>
          <w:lang w:eastAsia="ru-RU"/>
        </w:rPr>
      </w:pPr>
      <w:r w:rsidRPr="00982BB5">
        <w:rPr>
          <w:color w:val="000000" w:themeColor="text1"/>
          <w:lang w:eastAsia="ru-RU"/>
        </w:rPr>
        <w:t xml:space="preserve">Вчинені </w:t>
      </w:r>
      <w:r w:rsidR="002D5C30" w:rsidRPr="009E6E7F">
        <w:rPr>
          <w:color w:val="000000" w:themeColor="text1"/>
        </w:rPr>
        <w:t xml:space="preserve">АТ </w:t>
      </w:r>
      <w:r w:rsidR="002D5C30" w:rsidRPr="00982BB5">
        <w:rPr>
          <w:color w:val="000000" w:themeColor="text1"/>
        </w:rPr>
        <w:t>“АКБ “КОНКОРД”</w:t>
      </w:r>
      <w:r w:rsidR="002D5C30">
        <w:rPr>
          <w:color w:val="000000" w:themeColor="text1"/>
        </w:rPr>
        <w:t xml:space="preserve"> </w:t>
      </w:r>
      <w:r w:rsidRPr="00982BB5">
        <w:rPr>
          <w:color w:val="000000" w:themeColor="text1"/>
          <w:lang w:eastAsia="ru-RU"/>
        </w:rPr>
        <w:t xml:space="preserve">систематичні </w:t>
      </w:r>
      <w:r w:rsidR="00485E6C" w:rsidRPr="00982BB5">
        <w:rPr>
          <w:color w:val="000000" w:themeColor="text1"/>
          <w:lang w:eastAsia="ru-RU"/>
        </w:rPr>
        <w:t xml:space="preserve">порушення </w:t>
      </w:r>
      <w:r w:rsidRPr="00982BB5">
        <w:rPr>
          <w:color w:val="000000" w:themeColor="text1"/>
          <w:lang w:eastAsia="ru-RU"/>
        </w:rPr>
        <w:t xml:space="preserve">підтверджуються </w:t>
      </w:r>
      <w:r w:rsidR="00485E6C" w:rsidRPr="00982BB5">
        <w:rPr>
          <w:color w:val="000000" w:themeColor="text1"/>
          <w:lang w:eastAsia="ru-RU"/>
        </w:rPr>
        <w:t xml:space="preserve">результатами </w:t>
      </w:r>
      <w:r w:rsidR="00982BB5" w:rsidRPr="008D6E94">
        <w:t xml:space="preserve">позапланової виїзної перевірки з окремих питань діяльності </w:t>
      </w:r>
      <w:r w:rsidR="00982BB5" w:rsidRPr="00982BB5">
        <w:rPr>
          <w:color w:val="000000" w:themeColor="text1"/>
        </w:rPr>
        <w:t>АТ “АКБ “КОНКОРД”</w:t>
      </w:r>
      <w:r w:rsidR="00982BB5" w:rsidRPr="008D6E94">
        <w:t xml:space="preserve"> </w:t>
      </w:r>
      <w:r w:rsidR="00982BB5" w:rsidRPr="00AF0097">
        <w:t xml:space="preserve">стосовно дотримання вимог законодавства </w:t>
      </w:r>
      <w:r w:rsidR="002D5C30">
        <w:t>з питань фінансового моніторингу</w:t>
      </w:r>
      <w:r w:rsidR="00982BB5">
        <w:t xml:space="preserve"> та достатності </w:t>
      </w:r>
      <w:r w:rsidR="00B232FD">
        <w:t xml:space="preserve">вжитих </w:t>
      </w:r>
      <w:r w:rsidR="00982BB5">
        <w:t xml:space="preserve">АТ </w:t>
      </w:r>
      <w:r w:rsidR="00B232FD">
        <w:t>“</w:t>
      </w:r>
      <w:r w:rsidR="00982BB5">
        <w:t xml:space="preserve">АКБ </w:t>
      </w:r>
      <w:r w:rsidR="00B232FD">
        <w:t>“</w:t>
      </w:r>
      <w:r w:rsidR="00982BB5" w:rsidRPr="00AF0097">
        <w:t>КОНКОР</w:t>
      </w:r>
      <w:r w:rsidR="00982BB5">
        <w:t>Д</w:t>
      </w:r>
      <w:r w:rsidR="00B232FD">
        <w:t>”</w:t>
      </w:r>
      <w:r w:rsidR="00982BB5" w:rsidRPr="00AF0097">
        <w:t xml:space="preserve"> </w:t>
      </w:r>
      <w:r w:rsidR="00B232FD">
        <w:t>заходів</w:t>
      </w:r>
      <w:r w:rsidR="00B232FD" w:rsidRPr="00AF0097">
        <w:t xml:space="preserve"> </w:t>
      </w:r>
      <w:r w:rsidR="00982BB5" w:rsidRPr="00AF0097">
        <w:t xml:space="preserve">для </w:t>
      </w:r>
      <w:r w:rsidR="002D5C30" w:rsidRPr="009E6E7F">
        <w:rPr>
          <w:color w:val="000000" w:themeColor="text1"/>
          <w:shd w:val="clear" w:color="auto" w:fill="FFFFFF"/>
        </w:rPr>
        <w:t>запобігання та протидії легалізації (відмиванню) доходів,</w:t>
      </w:r>
      <w:r w:rsidR="002D5C30">
        <w:rPr>
          <w:color w:val="000000" w:themeColor="text1"/>
          <w:shd w:val="clear" w:color="auto" w:fill="FFFFFF"/>
        </w:rPr>
        <w:t xml:space="preserve"> одержаних злочинним шляхом,</w:t>
      </w:r>
      <w:r w:rsidR="002D5C30" w:rsidRPr="009E6E7F">
        <w:rPr>
          <w:color w:val="000000" w:themeColor="text1"/>
          <w:shd w:val="clear" w:color="auto" w:fill="FFFFFF"/>
        </w:rPr>
        <w:t xml:space="preserve"> фінансуванню тероризму та фінансуванню розповсюдження зброї масового знищення</w:t>
      </w:r>
      <w:r w:rsidR="002D5C30" w:rsidRPr="009E6E7F">
        <w:rPr>
          <w:color w:val="000000" w:themeColor="text1"/>
        </w:rPr>
        <w:t xml:space="preserve"> (далі –</w:t>
      </w:r>
      <w:r w:rsidR="00593B65" w:rsidRPr="00C53F1B">
        <w:rPr>
          <w:color w:val="000000" w:themeColor="text1"/>
        </w:rPr>
        <w:t xml:space="preserve"> </w:t>
      </w:r>
      <w:r w:rsidR="00982BB5" w:rsidRPr="00AF0097">
        <w:t>ПВК/ФТ</w:t>
      </w:r>
      <w:r w:rsidR="002D5C30">
        <w:t>)</w:t>
      </w:r>
      <w:r w:rsidR="00982BB5">
        <w:t xml:space="preserve"> (далі – перевірка)</w:t>
      </w:r>
      <w:r w:rsidR="00982BB5" w:rsidRPr="008D6E94">
        <w:t xml:space="preserve"> [Довідка про перевірку </w:t>
      </w:r>
      <w:r w:rsidR="00982BB5">
        <w:t>від 22 травня 2023 року</w:t>
      </w:r>
      <w:r w:rsidR="00982BB5" w:rsidRPr="008D6E94">
        <w:t xml:space="preserve"> №</w:t>
      </w:r>
      <w:r w:rsidR="00982BB5">
        <w:t xml:space="preserve"> В/25-0009/59556</w:t>
      </w:r>
      <w:r w:rsidR="00982BB5" w:rsidRPr="008D6E94">
        <w:t>/БТ</w:t>
      </w:r>
      <w:r w:rsidR="00982BB5">
        <w:t xml:space="preserve"> (далі – Довідка</w:t>
      </w:r>
      <w:r w:rsidR="00982BB5" w:rsidRPr="008D6E94">
        <w:t>)]</w:t>
      </w:r>
      <w:r w:rsidR="00982BB5">
        <w:t>.</w:t>
      </w:r>
    </w:p>
    <w:p w14:paraId="26493D82" w14:textId="7747FB60" w:rsidR="00D347D6" w:rsidRDefault="00485E6C" w:rsidP="003B3353">
      <w:pPr>
        <w:spacing w:line="240" w:lineRule="atLeast"/>
        <w:ind w:firstLine="567"/>
        <w:rPr>
          <w:color w:val="000000" w:themeColor="text1"/>
          <w:lang w:eastAsia="ru-RU"/>
        </w:rPr>
      </w:pPr>
      <w:r w:rsidRPr="009E6E7F">
        <w:rPr>
          <w:color w:val="000000" w:themeColor="text1"/>
          <w:lang w:eastAsia="ru-RU"/>
        </w:rPr>
        <w:t xml:space="preserve">Так, за результатами </w:t>
      </w:r>
      <w:r w:rsidR="00D347D6">
        <w:rPr>
          <w:color w:val="000000" w:themeColor="text1"/>
          <w:lang w:eastAsia="ru-RU"/>
        </w:rPr>
        <w:t>перевірки виявлено порушення вимог:</w:t>
      </w:r>
    </w:p>
    <w:p w14:paraId="5259ADB2" w14:textId="184FD1A2" w:rsidR="00D347D6" w:rsidRPr="008D6E94" w:rsidRDefault="005C0B8A" w:rsidP="003B3353">
      <w:pPr>
        <w:spacing w:line="240" w:lineRule="atLeast"/>
        <w:ind w:firstLine="567"/>
      </w:pPr>
      <w:r w:rsidRPr="001A4653">
        <w:rPr>
          <w:color w:val="000000" w:themeColor="text1"/>
          <w:lang w:eastAsia="ru-RU"/>
        </w:rPr>
        <w:t>1</w:t>
      </w:r>
      <w:r w:rsidR="005D1CFD">
        <w:rPr>
          <w:color w:val="000000" w:themeColor="text1"/>
          <w:lang w:eastAsia="ru-RU"/>
        </w:rPr>
        <w:t>)</w:t>
      </w:r>
      <w:r w:rsidR="00D347D6">
        <w:rPr>
          <w:color w:val="000000" w:themeColor="text1"/>
          <w:lang w:eastAsia="ru-RU"/>
        </w:rPr>
        <w:t xml:space="preserve"> </w:t>
      </w:r>
      <w:r w:rsidR="005D1CFD">
        <w:rPr>
          <w:bCs/>
        </w:rPr>
        <w:t>п</w:t>
      </w:r>
      <w:r w:rsidR="00D347D6" w:rsidRPr="008D6E94">
        <w:rPr>
          <w:bCs/>
          <w:spacing w:val="-4"/>
        </w:rPr>
        <w:t>ункту 3 частини другої статті 8 Закону</w:t>
      </w:r>
      <w:r w:rsidR="00D347D6" w:rsidRPr="008D6E94">
        <w:rPr>
          <w:lang w:eastAsia="ar-SA"/>
        </w:rPr>
        <w:t xml:space="preserve"> України </w:t>
      </w:r>
      <w:r w:rsidR="005D1CFD">
        <w:rPr>
          <w:lang w:eastAsia="ar-SA"/>
        </w:rPr>
        <w:t>“</w:t>
      </w:r>
      <w:r w:rsidR="00D347D6" w:rsidRPr="008D6E94">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5D1CFD">
        <w:t>”</w:t>
      </w:r>
      <w:r w:rsidR="00D347D6" w:rsidRPr="008D6E94">
        <w:t xml:space="preserve"> від 06</w:t>
      </w:r>
      <w:r w:rsidR="0060615B">
        <w:t xml:space="preserve"> грудня </w:t>
      </w:r>
      <w:r w:rsidR="00D347D6" w:rsidRPr="008D6E94">
        <w:t>2019</w:t>
      </w:r>
      <w:r w:rsidR="0060615B">
        <w:t xml:space="preserve"> року</w:t>
      </w:r>
      <w:r w:rsidR="00D347D6" w:rsidRPr="008D6E94">
        <w:t xml:space="preserve"> № 361-IХ </w:t>
      </w:r>
      <w:r w:rsidR="005D1CFD">
        <w:t>(</w:t>
      </w:r>
      <w:r w:rsidR="00D347D6" w:rsidRPr="008D6E94">
        <w:t>далі – Закон № 361-IХ</w:t>
      </w:r>
      <w:r w:rsidR="005D1CFD">
        <w:t>)</w:t>
      </w:r>
      <w:r w:rsidR="00D347D6" w:rsidRPr="008D6E94">
        <w:rPr>
          <w:bCs/>
          <w:spacing w:val="-4"/>
        </w:rPr>
        <w:t xml:space="preserve"> </w:t>
      </w:r>
      <w:r w:rsidR="005D1CFD">
        <w:rPr>
          <w:bCs/>
          <w:spacing w:val="-4"/>
        </w:rPr>
        <w:t>у</w:t>
      </w:r>
      <w:r w:rsidR="005D1CFD" w:rsidRPr="008D6E94">
        <w:rPr>
          <w:bCs/>
          <w:spacing w:val="-4"/>
        </w:rPr>
        <w:t xml:space="preserve"> </w:t>
      </w:r>
      <w:r w:rsidR="00D347D6" w:rsidRPr="008D6E94">
        <w:rPr>
          <w:bCs/>
          <w:spacing w:val="-4"/>
        </w:rPr>
        <w:t>частині незабезпечення функціонування належної системи управління ризиками.</w:t>
      </w:r>
    </w:p>
    <w:p w14:paraId="556962B9" w14:textId="77777777" w:rsidR="00D347D6" w:rsidRPr="008D6E94" w:rsidRDefault="00D347D6" w:rsidP="003B3353">
      <w:pPr>
        <w:tabs>
          <w:tab w:val="left" w:pos="993"/>
        </w:tabs>
        <w:ind w:firstLine="567"/>
        <w:contextualSpacing/>
        <w:rPr>
          <w:spacing w:val="-2"/>
          <w:kern w:val="24"/>
        </w:rPr>
      </w:pPr>
      <w:r w:rsidRPr="008D6E94">
        <w:rPr>
          <w:spacing w:val="-2"/>
        </w:rPr>
        <w:t xml:space="preserve">Згідно з пунктом 3 частини другої статті 8 Закону № 361-IX суб’єкт первинного фінансового моніторингу зобов’язаний забезпечувати </w:t>
      </w:r>
      <w:r w:rsidRPr="008D6E94">
        <w:rPr>
          <w:spacing w:val="-2"/>
        </w:rPr>
        <w:lastRenderedPageBreak/>
        <w:t>функціонування належної системи управління ризиками, застосування у своїй діяльності ризик-орієнтовного підходу та вжиття належних заходів з метою мінімізації ризиків.</w:t>
      </w:r>
    </w:p>
    <w:p w14:paraId="46FD43F9" w14:textId="5B48FC68" w:rsidR="00D347D6" w:rsidRPr="008D6E94" w:rsidRDefault="00D347D6" w:rsidP="003B3353">
      <w:pPr>
        <w:ind w:firstLine="567"/>
        <w:rPr>
          <w:spacing w:val="-2"/>
        </w:rPr>
      </w:pPr>
      <w:r w:rsidRPr="008D6E94">
        <w:rPr>
          <w:spacing w:val="-2"/>
        </w:rPr>
        <w:t xml:space="preserve">Банк з метою належної організації внутрішньої системи </w:t>
      </w:r>
      <w:r>
        <w:rPr>
          <w:spacing w:val="-2"/>
        </w:rPr>
        <w:t>ПВК/ФТ</w:t>
      </w:r>
      <w:r w:rsidRPr="008D6E94">
        <w:rPr>
          <w:spacing w:val="-2"/>
        </w:rPr>
        <w:t xml:space="preserve"> та проведення первинного фінансового моніторингу, зокрема, забезпечує функціонування системи управління ризиками </w:t>
      </w:r>
      <w:r w:rsidRPr="008D6E94">
        <w:rPr>
          <w:shd w:val="clear" w:color="auto" w:fill="FFFFFF"/>
        </w:rPr>
        <w:t>легалізації (відмивання) доходів, одержаних злочинним шляхом, фінансування тероризму та/або фінансування розповсюдження зброї масового знищення</w:t>
      </w:r>
      <w:r w:rsidRPr="008D6E94">
        <w:rPr>
          <w:spacing w:val="-2"/>
        </w:rPr>
        <w:t xml:space="preserve"> (далі – ВК/ФТ) [підпункт 3 пункту 7 розділу ІІ </w:t>
      </w:r>
      <w:r w:rsidRPr="008D6E94">
        <w:t>Положення п</w:t>
      </w:r>
      <w:r w:rsidRPr="008D6E94">
        <w:rPr>
          <w:bCs/>
        </w:rPr>
        <w:t xml:space="preserve">ро здійснення банками фінансового моніторингу, затвердженого постановою Правління Національного банку України від </w:t>
      </w:r>
      <w:r w:rsidRPr="008D6E94">
        <w:rPr>
          <w:bCs/>
          <w:shd w:val="clear" w:color="auto" w:fill="FFFFFF"/>
        </w:rPr>
        <w:t>19</w:t>
      </w:r>
      <w:r w:rsidR="0060615B">
        <w:rPr>
          <w:bCs/>
          <w:shd w:val="clear" w:color="auto" w:fill="FFFFFF"/>
        </w:rPr>
        <w:t xml:space="preserve"> травня </w:t>
      </w:r>
      <w:r w:rsidRPr="008D6E94">
        <w:rPr>
          <w:bCs/>
          <w:shd w:val="clear" w:color="auto" w:fill="FFFFFF"/>
        </w:rPr>
        <w:t>2020</w:t>
      </w:r>
      <w:r w:rsidR="0060615B">
        <w:rPr>
          <w:bCs/>
          <w:shd w:val="clear" w:color="auto" w:fill="FFFFFF"/>
        </w:rPr>
        <w:t xml:space="preserve"> року</w:t>
      </w:r>
      <w:r w:rsidRPr="008D6E94">
        <w:rPr>
          <w:bCs/>
          <w:shd w:val="clear" w:color="auto" w:fill="FFFFFF"/>
        </w:rPr>
        <w:t xml:space="preserve"> № 65</w:t>
      </w:r>
      <w:r w:rsidR="0060615B">
        <w:rPr>
          <w:bCs/>
          <w:shd w:val="clear" w:color="auto" w:fill="FFFFFF"/>
        </w:rPr>
        <w:t xml:space="preserve"> (зі змінами)</w:t>
      </w:r>
      <w:r w:rsidRPr="008D6E94">
        <w:rPr>
          <w:bCs/>
          <w:shd w:val="clear" w:color="auto" w:fill="FFFFFF"/>
        </w:rPr>
        <w:t xml:space="preserve"> (далі – Положення № 65)</w:t>
      </w:r>
      <w:r w:rsidRPr="008D6E94">
        <w:rPr>
          <w:spacing w:val="-2"/>
        </w:rPr>
        <w:t>].</w:t>
      </w:r>
    </w:p>
    <w:p w14:paraId="7D258F74" w14:textId="50C42929" w:rsidR="00D347D6" w:rsidRPr="008D6E94" w:rsidRDefault="00D347D6" w:rsidP="003B3353">
      <w:pPr>
        <w:ind w:firstLine="567"/>
        <w:rPr>
          <w:spacing w:val="-2"/>
        </w:rPr>
      </w:pPr>
      <w:r w:rsidRPr="008D6E94">
        <w:rPr>
          <w:spacing w:val="-2"/>
        </w:rPr>
        <w:t>Відповідно до абзацу дев’ятого частини другої статті 18 Закону № 361-IX система управління ризиками вважається неналежною, зокрема, у разі встановлення фактів багаторазового, у великих обсягах проведення фінансових операцій, щодо яких є підозри використання суб’єкта первинного фінансового моніторингу для легалізації (відмивання) доходів, одержаних злочинним шляхом, фінансування тероризму, фінансування розповсюдження зброї масового знищення чи вчинення іншого кримінального правопорушення. Факт неналежності системи управління ризиками відповідного суб’єкта первинного фінансового моніторингу встановлюється за наявності визначених відповідним суб’єктом державного фінансового моніторингу ознак у порядку, встановленому цим суб’єктом державного фінансового моніторингу.</w:t>
      </w:r>
    </w:p>
    <w:p w14:paraId="24FD59D7" w14:textId="01B9E5AF" w:rsidR="00D347D6" w:rsidRDefault="00D347D6" w:rsidP="003B3353">
      <w:pPr>
        <w:tabs>
          <w:tab w:val="left" w:pos="1170"/>
        </w:tabs>
        <w:ind w:firstLine="567"/>
        <w:rPr>
          <w:spacing w:val="-2"/>
          <w:shd w:val="clear" w:color="auto" w:fill="FFFFFF"/>
        </w:rPr>
      </w:pPr>
      <w:r w:rsidRPr="008D6E94">
        <w:rPr>
          <w:spacing w:val="-2"/>
          <w:shd w:val="clear" w:color="auto" w:fill="FFFFFF"/>
        </w:rPr>
        <w:t>Система управління ризиками ВК/ФТ банку вважається неналежною в разі встановлення хоча б однієї з ознак, визначених у пункті 74 розділу IV Положення № 65, та фактів багаторазового, у великих обсягах проведення фінансових операцій, щодо яких є підозри</w:t>
      </w:r>
      <w:r w:rsidR="00D463E9">
        <w:rPr>
          <w:rStyle w:val="af8"/>
          <w:spacing w:val="-2"/>
          <w:shd w:val="clear" w:color="auto" w:fill="FFFFFF"/>
        </w:rPr>
        <w:footnoteReference w:id="1"/>
      </w:r>
      <w:r w:rsidRPr="008D6E94">
        <w:rPr>
          <w:spacing w:val="-2"/>
          <w:shd w:val="clear" w:color="auto" w:fill="FFFFFF"/>
        </w:rPr>
        <w:t xml:space="preserve"> у використанні банку для ВК/ФТ чи вчинення іншого злочину, що стали наслідком невиконання заходів ПВК/ФТ </w:t>
      </w:r>
      <w:r w:rsidRPr="008D6E94">
        <w:rPr>
          <w:spacing w:val="-2"/>
        </w:rPr>
        <w:t>(пункт 75 розділу ІV Положення № 65)</w:t>
      </w:r>
      <w:r w:rsidRPr="008D6E94">
        <w:rPr>
          <w:spacing w:val="-2"/>
          <w:shd w:val="clear" w:color="auto" w:fill="FFFFFF"/>
        </w:rPr>
        <w:t>.</w:t>
      </w:r>
    </w:p>
    <w:p w14:paraId="266C5AF5" w14:textId="30989105" w:rsidR="00D347D6" w:rsidRPr="008D6E94" w:rsidRDefault="00D347D6" w:rsidP="003B3353">
      <w:pPr>
        <w:ind w:firstLine="567"/>
        <w:contextualSpacing/>
      </w:pPr>
      <w:r w:rsidRPr="008D6E94">
        <w:t>Відповідно до пункту 74 розділу IV Положення № 65 ознаками неналежної системи управління ризиками, зокрема</w:t>
      </w:r>
      <w:r w:rsidR="00A84995">
        <w:t>,</w:t>
      </w:r>
      <w:r w:rsidRPr="008D6E94">
        <w:t xml:space="preserve"> є:</w:t>
      </w:r>
    </w:p>
    <w:p w14:paraId="25EA3848" w14:textId="3EE3752A" w:rsidR="00D347D6" w:rsidRPr="00473D48" w:rsidRDefault="00D347D6" w:rsidP="003B3353">
      <w:pPr>
        <w:suppressAutoHyphens/>
        <w:ind w:firstLine="567"/>
        <w:rPr>
          <w:rFonts w:eastAsia="Calibri"/>
          <w:lang w:eastAsia="pl-PL"/>
        </w:rPr>
      </w:pPr>
      <w:r w:rsidRPr="00473D48">
        <w:rPr>
          <w:rFonts w:eastAsia="Calibri"/>
          <w:lang w:eastAsia="pl-PL"/>
        </w:rPr>
        <w:t>нездійснення</w:t>
      </w:r>
      <w:r w:rsidR="00BC5808">
        <w:rPr>
          <w:rFonts w:eastAsia="Calibri"/>
          <w:lang w:eastAsia="pl-PL"/>
        </w:rPr>
        <w:t xml:space="preserve"> належної перевірки клієнтів (далі –</w:t>
      </w:r>
      <w:r w:rsidRPr="00473D48">
        <w:rPr>
          <w:rFonts w:eastAsia="Calibri"/>
          <w:lang w:eastAsia="pl-PL"/>
        </w:rPr>
        <w:t xml:space="preserve"> НПК</w:t>
      </w:r>
      <w:r w:rsidR="00BC5808">
        <w:rPr>
          <w:rFonts w:eastAsia="Calibri"/>
          <w:lang w:eastAsia="pl-PL"/>
        </w:rPr>
        <w:t>)</w:t>
      </w:r>
      <w:r w:rsidRPr="00473D48">
        <w:rPr>
          <w:rFonts w:eastAsia="Calibri"/>
          <w:lang w:eastAsia="pl-PL"/>
        </w:rPr>
        <w:t>, неналежне здійснення оцінки/переоцінки ризику ділових відносин (фінансових операцій без установлення ділових відносин) із клієнтами (ризик-профілів клієнтів), документування їх результатів, заходів із моніторингу, контролю ризиків та підтримання ризик-профілів клієнтів банку в актуальному стані для мінімізації використання послуг банку з метою ВК/ФТ;</w:t>
      </w:r>
    </w:p>
    <w:p w14:paraId="257DDC61" w14:textId="17FC7C7B" w:rsidR="00D347D6" w:rsidRDefault="00D347D6" w:rsidP="003B3353">
      <w:pPr>
        <w:suppressAutoHyphens/>
        <w:ind w:firstLine="567"/>
        <w:rPr>
          <w:rFonts w:eastAsia="Calibri"/>
          <w:lang w:eastAsia="pl-PL"/>
        </w:rPr>
      </w:pPr>
      <w:r w:rsidRPr="00473D48">
        <w:rPr>
          <w:rFonts w:eastAsia="Calibri"/>
          <w:lang w:eastAsia="pl-PL"/>
        </w:rPr>
        <w:t>невжиття своєчасних та адекватних заходів щодо мінімізації виявлених ризиків ВК/ФТ до прийнятного рівня ризиків ВК/ФТ.</w:t>
      </w:r>
    </w:p>
    <w:p w14:paraId="687C2DE2" w14:textId="19D49DF0" w:rsidR="00D347D6" w:rsidRPr="008D6E94" w:rsidRDefault="00D347D6" w:rsidP="003B3353">
      <w:pPr>
        <w:ind w:firstLine="567"/>
        <w:rPr>
          <w:bCs/>
          <w:shd w:val="clear" w:color="auto" w:fill="FFFFFF"/>
        </w:rPr>
      </w:pPr>
      <w:r w:rsidRPr="008D6E94">
        <w:rPr>
          <w:spacing w:val="-2"/>
        </w:rPr>
        <w:t xml:space="preserve">Детальні вимоги щодо функціонування належної організації </w:t>
      </w:r>
      <w:r w:rsidRPr="008D6E94">
        <w:t>системи управління ризиками</w:t>
      </w:r>
      <w:r w:rsidRPr="008D6E94">
        <w:rPr>
          <w:spacing w:val="-2"/>
          <w:shd w:val="clear" w:color="auto" w:fill="FFFFFF"/>
        </w:rPr>
        <w:t xml:space="preserve"> ВК/ФТ </w:t>
      </w:r>
      <w:r w:rsidR="001F29E4">
        <w:rPr>
          <w:spacing w:val="-2"/>
          <w:shd w:val="clear" w:color="auto" w:fill="FFFFFF"/>
        </w:rPr>
        <w:t>у</w:t>
      </w:r>
      <w:r w:rsidR="001F29E4" w:rsidRPr="008D6E94">
        <w:rPr>
          <w:spacing w:val="-2"/>
          <w:shd w:val="clear" w:color="auto" w:fill="FFFFFF"/>
        </w:rPr>
        <w:t xml:space="preserve"> </w:t>
      </w:r>
      <w:r w:rsidRPr="008D6E94">
        <w:rPr>
          <w:spacing w:val="-2"/>
          <w:shd w:val="clear" w:color="auto" w:fill="FFFFFF"/>
        </w:rPr>
        <w:t>банку</w:t>
      </w:r>
      <w:r w:rsidRPr="008D6E94">
        <w:rPr>
          <w:spacing w:val="-2"/>
        </w:rPr>
        <w:t xml:space="preserve">, </w:t>
      </w:r>
      <w:r w:rsidRPr="008D6E94">
        <w:rPr>
          <w:bCs/>
          <w:spacing w:val="-4"/>
        </w:rPr>
        <w:t>застосування у своїй діяльності ризик-</w:t>
      </w:r>
      <w:r w:rsidRPr="008D6E94">
        <w:rPr>
          <w:bCs/>
          <w:spacing w:val="-4"/>
        </w:rPr>
        <w:lastRenderedPageBreak/>
        <w:t>орієнтов</w:t>
      </w:r>
      <w:r w:rsidR="00A84995">
        <w:rPr>
          <w:bCs/>
          <w:spacing w:val="-4"/>
        </w:rPr>
        <w:t>а</w:t>
      </w:r>
      <w:r w:rsidRPr="008D6E94">
        <w:rPr>
          <w:bCs/>
          <w:spacing w:val="-4"/>
        </w:rPr>
        <w:t>ного підходу та вжиття належних заходів з метою мінімізації ризиків</w:t>
      </w:r>
      <w:r w:rsidRPr="008D6E94">
        <w:rPr>
          <w:spacing w:val="-2"/>
        </w:rPr>
        <w:t xml:space="preserve"> визначені Законом № 361-IX та </w:t>
      </w:r>
      <w:r w:rsidRPr="008D6E94">
        <w:t xml:space="preserve">Положенням </w:t>
      </w:r>
      <w:r w:rsidRPr="008D6E94">
        <w:rPr>
          <w:bCs/>
          <w:shd w:val="clear" w:color="auto" w:fill="FFFFFF"/>
        </w:rPr>
        <w:t>№ 65, а саме щодо:</w:t>
      </w:r>
    </w:p>
    <w:p w14:paraId="7EF91D3A" w14:textId="0759DA38" w:rsidR="00D347D6" w:rsidRPr="008D6E94" w:rsidRDefault="00D347D6" w:rsidP="003B3353">
      <w:pPr>
        <w:ind w:firstLine="567"/>
      </w:pPr>
      <w:r w:rsidRPr="008D6E94">
        <w:rPr>
          <w:bCs/>
          <w:shd w:val="clear" w:color="auto" w:fill="FFFFFF"/>
        </w:rPr>
        <w:t xml:space="preserve">обов’язку </w:t>
      </w:r>
      <w:r w:rsidRPr="008D6E94">
        <w:t xml:space="preserve">банку у своїй діяльності застосовувати ризик-орієнтований підхід, </w:t>
      </w:r>
      <w:r w:rsidR="00A84995">
        <w:t>у</w:t>
      </w:r>
      <w:r w:rsidRPr="008D6E94">
        <w:t xml:space="preserve">раховуючи відповідні критерії ризику, зокрема, пов’язані з його клієнтами (стаття 7 Закону № 361-IX, пункти 35, 36, 38 розділу ІV Положення </w:t>
      </w:r>
      <w:r w:rsidRPr="008D6E94">
        <w:br/>
        <w:t>№ 65);</w:t>
      </w:r>
    </w:p>
    <w:p w14:paraId="368D9954" w14:textId="0CBBB5B1" w:rsidR="00B260E7" w:rsidRDefault="00B260E7" w:rsidP="003B3353">
      <w:pPr>
        <w:ind w:firstLine="567"/>
      </w:pPr>
      <w:r w:rsidRPr="004A3462">
        <w:t>визначення критеріїв ризиків</w:t>
      </w:r>
      <w:r>
        <w:t xml:space="preserve"> </w:t>
      </w:r>
      <w:r w:rsidR="00D347D6" w:rsidRPr="008D6E94">
        <w:t>(</w:t>
      </w:r>
      <w:r>
        <w:t>частини третя та четверта</w:t>
      </w:r>
      <w:r w:rsidRPr="004A3462">
        <w:t xml:space="preserve"> статті 7 </w:t>
      </w:r>
      <w:r w:rsidR="00A84995">
        <w:br/>
      </w:r>
      <w:r w:rsidRPr="004A3462">
        <w:t xml:space="preserve">Закону </w:t>
      </w:r>
      <w:r w:rsidRPr="008D6E94">
        <w:rPr>
          <w:spacing w:val="-2"/>
        </w:rPr>
        <w:t>№ 361-IX</w:t>
      </w:r>
      <w:r w:rsidR="0041432F">
        <w:rPr>
          <w:spacing w:val="-2"/>
        </w:rPr>
        <w:t>,</w:t>
      </w:r>
      <w:r>
        <w:t xml:space="preserve"> пункти</w:t>
      </w:r>
      <w:r w:rsidRPr="004A3462">
        <w:t xml:space="preserve"> 45, 46 розділу IV Положення № 65</w:t>
      </w:r>
      <w:r w:rsidR="00D347D6" w:rsidRPr="008D6E94">
        <w:t>);</w:t>
      </w:r>
    </w:p>
    <w:p w14:paraId="7BEE4CC1" w14:textId="6ADAE0DA" w:rsidR="00B260E7" w:rsidRDefault="00B260E7" w:rsidP="003B3353">
      <w:pPr>
        <w:ind w:firstLine="567"/>
        <w:rPr>
          <w:shd w:val="clear" w:color="auto" w:fill="FFFFFF"/>
        </w:rPr>
      </w:pPr>
      <w:r>
        <w:t>порядку</w:t>
      </w:r>
      <w:r w:rsidRPr="004A3462">
        <w:t xml:space="preserve"> проведення оцінки ризиків</w:t>
      </w:r>
      <w:r w:rsidRPr="008D6E94">
        <w:rPr>
          <w:shd w:val="clear" w:color="auto" w:fill="FFFFFF"/>
        </w:rPr>
        <w:t xml:space="preserve"> </w:t>
      </w:r>
      <w:r>
        <w:rPr>
          <w:shd w:val="clear" w:color="auto" w:fill="FFFFFF"/>
        </w:rPr>
        <w:t>(</w:t>
      </w:r>
      <w:r>
        <w:t>пункти</w:t>
      </w:r>
      <w:r w:rsidRPr="004A3462">
        <w:t xml:space="preserve"> 54, 56, 58, 62 розділу IV Положення № 65</w:t>
      </w:r>
      <w:r>
        <w:t>);</w:t>
      </w:r>
    </w:p>
    <w:p w14:paraId="45D2F94D" w14:textId="08CCF8FE" w:rsidR="00D347D6" w:rsidRPr="008D6E94" w:rsidRDefault="00A84995" w:rsidP="003B3353">
      <w:pPr>
        <w:ind w:firstLine="567"/>
      </w:pPr>
      <w:r>
        <w:rPr>
          <w:shd w:val="clear" w:color="auto" w:fill="FFFFFF"/>
        </w:rPr>
        <w:t>у</w:t>
      </w:r>
      <w:r w:rsidR="00D347D6" w:rsidRPr="008D6E94">
        <w:rPr>
          <w:shd w:val="clear" w:color="auto" w:fill="FFFFFF"/>
        </w:rPr>
        <w:t xml:space="preserve">життя банком заходів </w:t>
      </w:r>
      <w:r w:rsidR="00D347D6" w:rsidRPr="008D6E94">
        <w:t>для підтримання в актуальному стані (</w:t>
      </w:r>
      <w:proofErr w:type="spellStart"/>
      <w:r w:rsidR="00D347D6" w:rsidRPr="008D6E94">
        <w:t>уключно</w:t>
      </w:r>
      <w:proofErr w:type="spellEnd"/>
      <w:r w:rsidR="00D347D6" w:rsidRPr="008D6E94">
        <w:t xml:space="preserve"> зі здійсненням переоцінки рівня ризику за потреби), зокрема</w:t>
      </w:r>
      <w:r w:rsidR="000508E3">
        <w:t>,</w:t>
      </w:r>
      <w:r w:rsidR="00D347D6" w:rsidRPr="008D6E94">
        <w:t xml:space="preserve"> </w:t>
      </w:r>
      <w:r w:rsidR="000508E3">
        <w:t>ризик-профілю клієнта</w:t>
      </w:r>
      <w:r w:rsidR="00D347D6" w:rsidRPr="008D6E94">
        <w:t xml:space="preserve"> </w:t>
      </w:r>
      <w:r>
        <w:t>в</w:t>
      </w:r>
      <w:r w:rsidRPr="008D6E94">
        <w:t xml:space="preserve"> </w:t>
      </w:r>
      <w:r>
        <w:t>у</w:t>
      </w:r>
      <w:r w:rsidR="00D347D6" w:rsidRPr="008D6E94">
        <w:t xml:space="preserve">становлених випадках і </w:t>
      </w:r>
      <w:r>
        <w:t>в</w:t>
      </w:r>
      <w:r w:rsidRPr="008D6E94">
        <w:t xml:space="preserve"> </w:t>
      </w:r>
      <w:r>
        <w:t>у</w:t>
      </w:r>
      <w:r w:rsidR="00D347D6" w:rsidRPr="008D6E94">
        <w:t>становлені строки (пункт</w:t>
      </w:r>
      <w:r w:rsidR="000508E3">
        <w:t>и</w:t>
      </w:r>
      <w:r w:rsidR="00D347D6" w:rsidRPr="008D6E94">
        <w:t xml:space="preserve"> 63</w:t>
      </w:r>
      <w:r w:rsidR="000508E3">
        <w:t>, 64</w:t>
      </w:r>
      <w:r w:rsidR="00D347D6" w:rsidRPr="008D6E94">
        <w:t xml:space="preserve"> розділу ІV Положення № 65);</w:t>
      </w:r>
    </w:p>
    <w:p w14:paraId="49B2E6C0" w14:textId="2A681052" w:rsidR="00D347D6" w:rsidRPr="008D6E94" w:rsidRDefault="00A84995" w:rsidP="003B3353">
      <w:pPr>
        <w:ind w:firstLine="567"/>
        <w:rPr>
          <w:spacing w:val="-2"/>
        </w:rPr>
      </w:pPr>
      <w:r>
        <w:t>у</w:t>
      </w:r>
      <w:r w:rsidR="00D347D6" w:rsidRPr="008D6E94">
        <w:t>життя банком заходів з управління ризиками ВК/ФТ (пункт 68 розділу ІV Положення № 65).</w:t>
      </w:r>
    </w:p>
    <w:p w14:paraId="6F4B1D2D" w14:textId="1835EEF1" w:rsidR="00D347D6" w:rsidRPr="0049156D" w:rsidRDefault="00D347D6" w:rsidP="003B3353">
      <w:pPr>
        <w:suppressAutoHyphens/>
        <w:ind w:firstLine="567"/>
        <w:rPr>
          <w:rFonts w:eastAsia="Calibri"/>
          <w:lang w:eastAsia="pl-PL"/>
        </w:rPr>
      </w:pPr>
      <w:r w:rsidRPr="008D6E94">
        <w:t xml:space="preserve">За результатами перевірки встановлено </w:t>
      </w:r>
      <w:r w:rsidRPr="00473D48">
        <w:rPr>
          <w:rFonts w:eastAsia="Calibri"/>
          <w:lang w:eastAsia="pl-PL"/>
        </w:rPr>
        <w:t>нездійснення</w:t>
      </w:r>
      <w:r>
        <w:rPr>
          <w:rFonts w:eastAsia="Calibri"/>
          <w:lang w:eastAsia="pl-PL"/>
        </w:rPr>
        <w:t xml:space="preserve"> </w:t>
      </w:r>
      <w:r w:rsidR="00A84995" w:rsidRPr="00982BB5">
        <w:rPr>
          <w:color w:val="000000" w:themeColor="text1"/>
        </w:rPr>
        <w:t>АТ “АКБ “КОНКОРД”</w:t>
      </w:r>
      <w:r w:rsidRPr="00473D48">
        <w:rPr>
          <w:rFonts w:eastAsia="Calibri"/>
          <w:lang w:eastAsia="pl-PL"/>
        </w:rPr>
        <w:t xml:space="preserve"> </w:t>
      </w:r>
      <w:r>
        <w:rPr>
          <w:rFonts w:eastAsia="Calibri"/>
          <w:lang w:eastAsia="pl-PL"/>
        </w:rPr>
        <w:t>належної перевірки клієнтів</w:t>
      </w:r>
      <w:r w:rsidRPr="008D6E94">
        <w:rPr>
          <w:rStyle w:val="af8"/>
        </w:rPr>
        <w:footnoteReference w:id="2"/>
      </w:r>
      <w:r w:rsidRPr="00473D48">
        <w:rPr>
          <w:rFonts w:eastAsia="Calibri"/>
          <w:lang w:eastAsia="pl-PL"/>
        </w:rPr>
        <w:t>, неналежне здійснення оцінки/переоцінки ризику ділових відносин (фінансових операцій без установлення ділових відносин) із клієнтами (ризик-профілів клієнтів)</w:t>
      </w:r>
      <w:r>
        <w:rPr>
          <w:rStyle w:val="af8"/>
          <w:rFonts w:eastAsia="Calibri"/>
          <w:lang w:eastAsia="pl-PL"/>
        </w:rPr>
        <w:footnoteReference w:id="3"/>
      </w:r>
      <w:r w:rsidRPr="00473D48">
        <w:rPr>
          <w:rFonts w:eastAsia="Calibri"/>
          <w:lang w:eastAsia="pl-PL"/>
        </w:rPr>
        <w:t>, заходів із моніторингу, контролю ризиків та підтримання ризик-профілів клієнтів банку в актуальному стані для мінімізації використ</w:t>
      </w:r>
      <w:r>
        <w:rPr>
          <w:rFonts w:eastAsia="Calibri"/>
          <w:lang w:eastAsia="pl-PL"/>
        </w:rPr>
        <w:t>ання послуг банку з метою ВК/ФТ</w:t>
      </w:r>
      <w:r w:rsidR="007735A8">
        <w:rPr>
          <w:rStyle w:val="af8"/>
          <w:rFonts w:eastAsia="Calibri"/>
          <w:lang w:eastAsia="pl-PL"/>
        </w:rPr>
        <w:footnoteReference w:id="4"/>
      </w:r>
      <w:r>
        <w:rPr>
          <w:rFonts w:eastAsia="Calibri"/>
          <w:lang w:eastAsia="pl-PL"/>
        </w:rPr>
        <w:t xml:space="preserve">, а також </w:t>
      </w:r>
      <w:r w:rsidRPr="00473D48">
        <w:rPr>
          <w:rFonts w:eastAsia="Calibri"/>
          <w:lang w:eastAsia="pl-PL"/>
        </w:rPr>
        <w:t xml:space="preserve">невжиття </w:t>
      </w:r>
      <w:r w:rsidR="00A84995" w:rsidRPr="00982BB5">
        <w:rPr>
          <w:color w:val="000000" w:themeColor="text1"/>
        </w:rPr>
        <w:t>АТ “АКБ “КОНКОРД”</w:t>
      </w:r>
      <w:r>
        <w:rPr>
          <w:rFonts w:eastAsia="Calibri"/>
          <w:lang w:eastAsia="pl-PL"/>
        </w:rPr>
        <w:t xml:space="preserve"> </w:t>
      </w:r>
      <w:r w:rsidRPr="00473D48">
        <w:rPr>
          <w:rFonts w:eastAsia="Calibri"/>
          <w:lang w:eastAsia="pl-PL"/>
        </w:rPr>
        <w:t>своєчасних та адекватних заходів щодо мінімізації виявлених ризиків ВК/ФТ до прийнятного рівня ризиків ВК/ФТ</w:t>
      </w:r>
      <w:r w:rsidR="00A84995">
        <w:t>.</w:t>
      </w:r>
    </w:p>
    <w:p w14:paraId="58F03D73" w14:textId="0FC188C2" w:rsidR="00D347D6" w:rsidRPr="008D6E94" w:rsidRDefault="00D347D6" w:rsidP="003B3353">
      <w:pPr>
        <w:ind w:firstLine="567"/>
      </w:pPr>
      <w:r w:rsidRPr="008D6E94">
        <w:t xml:space="preserve">Відповідно до пункту 4 частини другої статті 8 Закону </w:t>
      </w:r>
      <w:r w:rsidRPr="008D6E94">
        <w:rPr>
          <w:spacing w:val="-2"/>
        </w:rPr>
        <w:t>№ 361-IX</w:t>
      </w:r>
      <w:r w:rsidRPr="008D6E94">
        <w:t xml:space="preserve"> суб’єкт первинного фінансового моніторингу </w:t>
      </w:r>
      <w:proofErr w:type="spellStart"/>
      <w:r w:rsidRPr="008D6E94">
        <w:t>зобов</w:t>
      </w:r>
      <w:r w:rsidR="0041432F">
        <w:t>ʼ</w:t>
      </w:r>
      <w:r w:rsidRPr="008D6E94">
        <w:t>язаний</w:t>
      </w:r>
      <w:proofErr w:type="spellEnd"/>
      <w:r w:rsidRPr="008D6E94">
        <w:t xml:space="preserve"> здійснювати належну перевірку нових клієнтів, а також </w:t>
      </w:r>
      <w:r w:rsidR="00A84995">
        <w:t>наявних</w:t>
      </w:r>
      <w:r w:rsidR="00A84995" w:rsidRPr="008D6E94">
        <w:t xml:space="preserve"> </w:t>
      </w:r>
      <w:r w:rsidRPr="008D6E94">
        <w:t>клієнтів.</w:t>
      </w:r>
    </w:p>
    <w:p w14:paraId="13725B04" w14:textId="77777777" w:rsidR="00D347D6" w:rsidRPr="008D6E94" w:rsidRDefault="00D347D6" w:rsidP="003B3353">
      <w:pPr>
        <w:ind w:firstLine="567"/>
        <w:rPr>
          <w:bCs/>
          <w:shd w:val="clear" w:color="auto" w:fill="FFFFFF"/>
        </w:rPr>
      </w:pPr>
      <w:r w:rsidRPr="008D6E94">
        <w:t xml:space="preserve">Детальні вимоги щодо здійснення банками належної перевірки клієнтів визначені </w:t>
      </w:r>
      <w:r w:rsidRPr="008D6E94">
        <w:rPr>
          <w:spacing w:val="-2"/>
        </w:rPr>
        <w:t xml:space="preserve">Законом № 361-IX та </w:t>
      </w:r>
      <w:r w:rsidRPr="008D6E94">
        <w:t xml:space="preserve">Положенням </w:t>
      </w:r>
      <w:r w:rsidRPr="008D6E94">
        <w:rPr>
          <w:bCs/>
          <w:shd w:val="clear" w:color="auto" w:fill="FFFFFF"/>
        </w:rPr>
        <w:t>№ 65, а саме щодо:</w:t>
      </w:r>
    </w:p>
    <w:p w14:paraId="251A740F" w14:textId="111D48F6" w:rsidR="00D347D6" w:rsidRPr="008D6E94" w:rsidRDefault="00D347D6" w:rsidP="003B3353">
      <w:pPr>
        <w:ind w:firstLine="567"/>
      </w:pPr>
      <w:r w:rsidRPr="00D003E9">
        <w:rPr>
          <w:bCs/>
          <w:shd w:val="clear" w:color="auto" w:fill="FFFFFF"/>
        </w:rPr>
        <w:t xml:space="preserve">здійснення заходів належної перевірки, обсягу дій </w:t>
      </w:r>
      <w:r w:rsidR="00A84995" w:rsidRPr="00D003E9">
        <w:rPr>
          <w:color w:val="000000"/>
          <w:lang w:eastAsia="en-US"/>
        </w:rPr>
        <w:t xml:space="preserve">під час </w:t>
      </w:r>
      <w:r w:rsidRPr="00D003E9">
        <w:rPr>
          <w:color w:val="000000"/>
          <w:lang w:eastAsia="en-US"/>
        </w:rPr>
        <w:t>здійсненн</w:t>
      </w:r>
      <w:r w:rsidR="00A84995" w:rsidRPr="00D003E9">
        <w:rPr>
          <w:color w:val="000000"/>
          <w:lang w:eastAsia="en-US"/>
        </w:rPr>
        <w:t>я</w:t>
      </w:r>
      <w:r w:rsidRPr="00D003E9">
        <w:rPr>
          <w:color w:val="000000"/>
          <w:lang w:eastAsia="en-US"/>
        </w:rPr>
        <w:t xml:space="preserve"> банком кожного із заходів належної перевірки</w:t>
      </w:r>
      <w:r w:rsidRPr="00D003E9">
        <w:rPr>
          <w:bCs/>
          <w:shd w:val="clear" w:color="auto" w:fill="FFFFFF"/>
        </w:rPr>
        <w:t xml:space="preserve"> </w:t>
      </w:r>
      <w:r w:rsidRPr="00D003E9">
        <w:t>(пункт 34 статті 1, частина друга</w:t>
      </w:r>
      <w:r w:rsidRPr="008D6E94">
        <w:t xml:space="preserve"> статті 11 Закону № 361-IX), </w:t>
      </w:r>
      <w:r w:rsidRPr="008D6E94">
        <w:rPr>
          <w:color w:val="000000"/>
          <w:lang w:eastAsia="en-US"/>
        </w:rPr>
        <w:t>документування проведення належної перевірки клієнтів (пункт 25 додатк</w:t>
      </w:r>
      <w:r w:rsidR="00A84995">
        <w:rPr>
          <w:color w:val="000000"/>
          <w:lang w:eastAsia="en-US"/>
        </w:rPr>
        <w:t>а</w:t>
      </w:r>
      <w:r w:rsidRPr="008D6E94">
        <w:rPr>
          <w:color w:val="000000"/>
          <w:lang w:eastAsia="en-US"/>
        </w:rPr>
        <w:t xml:space="preserve"> 1 до Положення № 65)</w:t>
      </w:r>
      <w:r w:rsidRPr="008D6E94">
        <w:t>;</w:t>
      </w:r>
    </w:p>
    <w:p w14:paraId="02E3217E" w14:textId="5D49AC76" w:rsidR="00D347D6" w:rsidRPr="008D6E94" w:rsidRDefault="00D347D6" w:rsidP="003B3353">
      <w:pPr>
        <w:ind w:firstLine="567"/>
        <w:rPr>
          <w:color w:val="000000"/>
          <w:lang w:eastAsia="en-US"/>
        </w:rPr>
      </w:pPr>
      <w:r w:rsidRPr="008D6E94">
        <w:rPr>
          <w:color w:val="000000"/>
          <w:lang w:eastAsia="en-US"/>
        </w:rPr>
        <w:t xml:space="preserve">моніторингу ділових відносин/моніторингу фінансових операцій клієнтів банку (підпункт 26 пункту 5 розділу І </w:t>
      </w:r>
      <w:r w:rsidRPr="008D6E94">
        <w:t>Положення № 65</w:t>
      </w:r>
      <w:r w:rsidRPr="008D6E94">
        <w:rPr>
          <w:color w:val="000000"/>
          <w:lang w:eastAsia="en-US"/>
        </w:rPr>
        <w:t>), порядку його проведення банком (пункт 11 додатк</w:t>
      </w:r>
      <w:r w:rsidR="00A84995">
        <w:rPr>
          <w:color w:val="000000"/>
          <w:lang w:eastAsia="en-US"/>
        </w:rPr>
        <w:t>а</w:t>
      </w:r>
      <w:r w:rsidRPr="008D6E94">
        <w:rPr>
          <w:color w:val="000000"/>
          <w:lang w:eastAsia="en-US"/>
        </w:rPr>
        <w:t xml:space="preserve"> 1 до Положення № 65);</w:t>
      </w:r>
    </w:p>
    <w:p w14:paraId="5E88A188" w14:textId="39423C5A" w:rsidR="00D347D6" w:rsidRPr="008D6E94" w:rsidRDefault="00D347D6" w:rsidP="003B3353">
      <w:pPr>
        <w:ind w:firstLine="567"/>
      </w:pPr>
      <w:r w:rsidRPr="008D6E94">
        <w:lastRenderedPageBreak/>
        <w:t xml:space="preserve">проведення аналізу та вивчення підстав і цілей усіх фінансових операцій, що відповідають хоча б одній із зазначених у частині третій статті 12 Закону </w:t>
      </w:r>
      <w:r w:rsidRPr="008D6E94">
        <w:br/>
      </w:r>
      <w:r w:rsidRPr="008D6E94">
        <w:rPr>
          <w:spacing w:val="-2"/>
        </w:rPr>
        <w:t>№ 361-IX</w:t>
      </w:r>
      <w:r w:rsidRPr="008D6E94">
        <w:t xml:space="preserve"> ознак;</w:t>
      </w:r>
    </w:p>
    <w:p w14:paraId="3AA9D88B" w14:textId="22C5D661" w:rsidR="00D347D6" w:rsidRDefault="00D347D6" w:rsidP="003B3353">
      <w:pPr>
        <w:ind w:firstLine="567"/>
      </w:pPr>
      <w:r w:rsidRPr="008D6E94">
        <w:t>виявлення підозрілих фінансових операцій (діяльності) (пункти 3</w:t>
      </w:r>
      <w:r w:rsidR="00A84995">
        <w:t>,</w:t>
      </w:r>
      <w:r w:rsidRPr="008D6E94">
        <w:t xml:space="preserve"> 4 додатк</w:t>
      </w:r>
      <w:r w:rsidR="00A84995">
        <w:t>а</w:t>
      </w:r>
      <w:r w:rsidRPr="008D6E94">
        <w:t xml:space="preserve"> 15 до Положення № 65).</w:t>
      </w:r>
    </w:p>
    <w:p w14:paraId="20E519D3" w14:textId="55270B26" w:rsidR="00D347D6" w:rsidRDefault="00D0282E" w:rsidP="003B3353">
      <w:pPr>
        <w:ind w:firstLine="567"/>
      </w:pPr>
      <w:r>
        <w:t>Заходи з належної перевірки клієнтів</w:t>
      </w:r>
      <w:r w:rsidR="008E273C">
        <w:t xml:space="preserve"> </w:t>
      </w:r>
      <w:r w:rsidR="00A84995" w:rsidRPr="00982BB5">
        <w:rPr>
          <w:color w:val="000000" w:themeColor="text1"/>
        </w:rPr>
        <w:t>АТ “АКБ “КОНКОРД”</w:t>
      </w:r>
      <w:r>
        <w:t xml:space="preserve"> також передбачені внутрішніми документами </w:t>
      </w:r>
      <w:r w:rsidR="00A84995" w:rsidRPr="00982BB5">
        <w:rPr>
          <w:color w:val="000000" w:themeColor="text1"/>
        </w:rPr>
        <w:t>АТ “АКБ “КОНКОРД”</w:t>
      </w:r>
      <w:r>
        <w:t xml:space="preserve">, а саме </w:t>
      </w:r>
      <w:bookmarkStart w:id="1" w:name="n395"/>
      <w:bookmarkStart w:id="2" w:name="n396"/>
      <w:bookmarkStart w:id="3" w:name="n397"/>
      <w:bookmarkStart w:id="4" w:name="n398"/>
      <w:bookmarkStart w:id="5" w:name="n399"/>
      <w:bookmarkStart w:id="6" w:name="n1128"/>
      <w:bookmarkStart w:id="7" w:name="n1129"/>
      <w:bookmarkStart w:id="8" w:name="n1130"/>
      <w:bookmarkStart w:id="9" w:name="n1131"/>
      <w:bookmarkStart w:id="10" w:name="n1132"/>
      <w:bookmarkEnd w:id="1"/>
      <w:bookmarkEnd w:id="2"/>
      <w:bookmarkEnd w:id="3"/>
      <w:bookmarkEnd w:id="4"/>
      <w:bookmarkEnd w:id="5"/>
      <w:bookmarkEnd w:id="6"/>
      <w:bookmarkEnd w:id="7"/>
      <w:bookmarkEnd w:id="8"/>
      <w:bookmarkEnd w:id="9"/>
      <w:bookmarkEnd w:id="10"/>
      <w:r w:rsidR="00D347D6">
        <w:t>ПРОГРАМ</w:t>
      </w:r>
      <w:r>
        <w:t>АМИ</w:t>
      </w:r>
      <w:r w:rsidR="00D347D6" w:rsidRPr="008D6E94">
        <w:t xml:space="preserve"> ІДЕНТИФІКАЦІЇ, ВЕРИФІКАЦІЇ ТА ЗДІЙСНЕННЯ ЗАХОДІВ НАЛЕЖНОЇ ПЕРЕВІРКИ КЛІЄНТІВ АКЦIОНЕРНОГО ТОВАРИСТВА </w:t>
      </w:r>
      <w:r w:rsidR="00A84995">
        <w:t>“</w:t>
      </w:r>
      <w:r w:rsidR="00D347D6" w:rsidRPr="008D6E94">
        <w:t xml:space="preserve">АКЦIОНЕРНИЙ КОМЕРЦIЙНИЙ БАНК </w:t>
      </w:r>
      <w:r w:rsidR="00A84995">
        <w:t>“</w:t>
      </w:r>
      <w:r w:rsidR="00D347D6" w:rsidRPr="008D6E94">
        <w:t>КОНКОРД</w:t>
      </w:r>
      <w:r w:rsidR="00A84995">
        <w:t>”</w:t>
      </w:r>
      <w:r w:rsidR="00D347D6" w:rsidRPr="008D6E94">
        <w:t>,</w:t>
      </w:r>
      <w:r w:rsidR="00D347D6">
        <w:t xml:space="preserve"> що діяли в </w:t>
      </w:r>
      <w:r w:rsidR="00A84995" w:rsidRPr="00982BB5">
        <w:rPr>
          <w:color w:val="000000" w:themeColor="text1"/>
        </w:rPr>
        <w:t>АТ “АКБ “КОНКОРД”</w:t>
      </w:r>
      <w:r w:rsidR="00D347D6">
        <w:t xml:space="preserve"> </w:t>
      </w:r>
      <w:r w:rsidR="00A84995">
        <w:t xml:space="preserve">у </w:t>
      </w:r>
      <w:r w:rsidR="00D347D6">
        <w:t>період перевірки</w:t>
      </w:r>
      <w:r w:rsidR="00D347D6" w:rsidRPr="00CE2F4A">
        <w:rPr>
          <w:vertAlign w:val="superscript"/>
        </w:rPr>
        <w:footnoteReference w:id="5"/>
      </w:r>
      <w:r w:rsidR="000D3B70" w:rsidRPr="001A4653">
        <w:t xml:space="preserve"> </w:t>
      </w:r>
      <w:r w:rsidR="00D347D6" w:rsidRPr="008D6E94">
        <w:t>(далі – Програ</w:t>
      </w:r>
      <w:r w:rsidR="00D347D6">
        <w:t>ми ідентифікації</w:t>
      </w:r>
      <w:r w:rsidR="00D347D6" w:rsidRPr="008D6E94">
        <w:t>)</w:t>
      </w:r>
      <w:r w:rsidR="008E273C">
        <w:t xml:space="preserve">. </w:t>
      </w:r>
    </w:p>
    <w:p w14:paraId="73454FCA" w14:textId="1028C89B" w:rsidR="0084537B" w:rsidRDefault="0084537B" w:rsidP="003B3353">
      <w:pPr>
        <w:tabs>
          <w:tab w:val="left" w:pos="993"/>
        </w:tabs>
        <w:ind w:firstLine="567"/>
        <w:contextualSpacing/>
      </w:pPr>
      <w:r w:rsidRPr="004A3462">
        <w:t xml:space="preserve">Відповідно до вимог частини першої статті 7 Закону </w:t>
      </w:r>
      <w:r w:rsidRPr="008D6E94">
        <w:t>№ 361-IХ</w:t>
      </w:r>
      <w:r w:rsidRPr="004A3462">
        <w:t xml:space="preserve"> суб’єкт первинного фінансового моніторингу зобов’язаний у своїй діяльності застосовувати ризик-орієнтований підхід</w:t>
      </w:r>
      <w:r w:rsidR="008E273C">
        <w:rPr>
          <w:rStyle w:val="af8"/>
        </w:rPr>
        <w:footnoteReference w:id="6"/>
      </w:r>
      <w:r w:rsidRPr="004A3462">
        <w:t xml:space="preserve">, враховуючи відповідні критерії ризику, зокрема, пов’язані з його клієнтами, географічним розташуванням держави реєстрації клієнта або установи, через яку він здійснює передачу (отримання) активів, видом товарів та послуг, що клієнт отримує від суб’єкта первинного фінансового моніторингу, способом надання (отримання) послуг. Ризик-орієнтований підхід має бути пропорційний характеру та масштабу діяльності суб’єкта первинного фінансового моніторингу. </w:t>
      </w:r>
    </w:p>
    <w:p w14:paraId="02A3D202" w14:textId="77777777" w:rsidR="0084537B" w:rsidRDefault="0084537B" w:rsidP="003B3353">
      <w:pPr>
        <w:tabs>
          <w:tab w:val="left" w:pos="993"/>
        </w:tabs>
        <w:ind w:firstLine="567"/>
        <w:contextualSpacing/>
      </w:pPr>
      <w:r w:rsidRPr="004A3462">
        <w:t xml:space="preserve">Відповідно до вимог частини другої статті 7 Закону </w:t>
      </w:r>
      <w:r w:rsidRPr="008D6E94">
        <w:t>№ 361-IХ</w:t>
      </w:r>
      <w:r w:rsidRPr="004A3462">
        <w:t xml:space="preserve"> застосування ризик-орієнтованого підходу здійснюється в порядку, визначеному внутрішніми документами з питань фінансового моніторингу суб’єкта первинного фінансового моніторингу, з урахуванням рекомендацій відповідних суб’єктів державного фінансового моніторингу, які згідно із цим Законом виконують функції державного регулювання і нагляду за такими суб’єктами первинного фінансового моніторингу. </w:t>
      </w:r>
    </w:p>
    <w:p w14:paraId="61BC3658" w14:textId="34A69774" w:rsidR="0084537B" w:rsidRDefault="0084537B" w:rsidP="003B3353">
      <w:pPr>
        <w:tabs>
          <w:tab w:val="left" w:pos="993"/>
        </w:tabs>
        <w:ind w:firstLine="567"/>
        <w:contextualSpacing/>
      </w:pPr>
      <w:r w:rsidRPr="004A3462">
        <w:t xml:space="preserve">Суб’єкт первинного фінансового моніторингу зобов’язаний здійснювати оцінку/переоцінку ризиків, у тому числі притаманних його діяльності, документувати їх результати, а також підтримувати в актуальному стані інформацію щодо оцінки ризиків, притаманних його діяльності (ризик-профіль суб’єкта первинного фінансового моніторингу), та ризику своїх клієнтів таким чином, щоб бути здатним продемонструвати своє розуміння ризиків, що становлять для нього такі клієнти (ризик-профіль клієнтів). </w:t>
      </w:r>
    </w:p>
    <w:p w14:paraId="760D096A" w14:textId="205F0366" w:rsidR="008E273C" w:rsidRDefault="00391F63" w:rsidP="003B3353">
      <w:pPr>
        <w:tabs>
          <w:tab w:val="left" w:pos="993"/>
        </w:tabs>
        <w:ind w:firstLine="567"/>
        <w:contextualSpacing/>
      </w:pPr>
      <w:r>
        <w:rPr>
          <w:rFonts w:eastAsia="Calibri"/>
          <w:lang w:eastAsia="pl-PL"/>
        </w:rPr>
        <w:t xml:space="preserve">Порядок </w:t>
      </w:r>
      <w:r w:rsidR="00F153D6">
        <w:rPr>
          <w:rFonts w:eastAsia="Calibri"/>
          <w:lang w:eastAsia="pl-PL"/>
        </w:rPr>
        <w:t xml:space="preserve">застосування ризик-орієнтованого підходу, </w:t>
      </w:r>
      <w:r w:rsidR="00644D1D">
        <w:rPr>
          <w:rFonts w:eastAsia="Calibri"/>
          <w:lang w:eastAsia="pl-PL"/>
        </w:rPr>
        <w:t xml:space="preserve">у </w:t>
      </w:r>
      <w:r w:rsidR="00F153D6">
        <w:rPr>
          <w:rFonts w:eastAsia="Calibri"/>
          <w:lang w:eastAsia="pl-PL"/>
        </w:rPr>
        <w:t xml:space="preserve">тому числі  </w:t>
      </w:r>
      <w:r>
        <w:rPr>
          <w:rFonts w:eastAsia="Calibri"/>
          <w:lang w:eastAsia="pl-PL"/>
        </w:rPr>
        <w:t xml:space="preserve">здійснення </w:t>
      </w:r>
      <w:r w:rsidR="008E273C" w:rsidRPr="00473D48">
        <w:rPr>
          <w:rFonts w:eastAsia="Calibri"/>
          <w:lang w:eastAsia="pl-PL"/>
        </w:rPr>
        <w:t>оцінки/переоцінки ризику ділових відносин (фінансових операцій без установлення ділових відносин) із клієнтами (ризик-профілів клієнтів)</w:t>
      </w:r>
      <w:r w:rsidR="008E273C">
        <w:rPr>
          <w:rStyle w:val="af8"/>
          <w:rFonts w:eastAsia="Calibri"/>
          <w:lang w:eastAsia="pl-PL"/>
        </w:rPr>
        <w:footnoteReference w:id="7"/>
      </w:r>
      <w:r w:rsidR="008E273C" w:rsidRPr="00473D48">
        <w:rPr>
          <w:rFonts w:eastAsia="Calibri"/>
          <w:lang w:eastAsia="pl-PL"/>
        </w:rPr>
        <w:t xml:space="preserve">,  заходів </w:t>
      </w:r>
      <w:r w:rsidR="008E273C" w:rsidRPr="00473D48">
        <w:rPr>
          <w:rFonts w:eastAsia="Calibri"/>
          <w:lang w:eastAsia="pl-PL"/>
        </w:rPr>
        <w:lastRenderedPageBreak/>
        <w:t>із моніторингу, контролю ризиків та підтримання ризик-профілів клієнтів банку в актуальному стані для мінімізації використ</w:t>
      </w:r>
      <w:r w:rsidR="008E273C">
        <w:rPr>
          <w:rFonts w:eastAsia="Calibri"/>
          <w:lang w:eastAsia="pl-PL"/>
        </w:rPr>
        <w:t>ання послуг банку з метою ВК/ФТ</w:t>
      </w:r>
      <w:r w:rsidR="008E273C">
        <w:rPr>
          <w:rStyle w:val="af8"/>
          <w:rFonts w:eastAsia="Calibri"/>
          <w:lang w:eastAsia="pl-PL"/>
        </w:rPr>
        <w:footnoteReference w:id="8"/>
      </w:r>
      <w:r w:rsidR="008E273C">
        <w:rPr>
          <w:rFonts w:eastAsia="Calibri"/>
          <w:lang w:eastAsia="pl-PL"/>
        </w:rPr>
        <w:t xml:space="preserve">, а також </w:t>
      </w:r>
      <w:r w:rsidR="00681B44">
        <w:rPr>
          <w:rFonts w:eastAsia="Calibri"/>
          <w:lang w:eastAsia="pl-PL"/>
        </w:rPr>
        <w:t>у</w:t>
      </w:r>
      <w:r w:rsidR="008E273C" w:rsidRPr="00473D48">
        <w:rPr>
          <w:rFonts w:eastAsia="Calibri"/>
          <w:lang w:eastAsia="pl-PL"/>
        </w:rPr>
        <w:t xml:space="preserve">життя </w:t>
      </w:r>
      <w:r w:rsidR="00644D1D" w:rsidRPr="00982BB5">
        <w:rPr>
          <w:color w:val="000000" w:themeColor="text1"/>
        </w:rPr>
        <w:t>АТ “АКБ “КОНКОРД”</w:t>
      </w:r>
      <w:r w:rsidR="008E273C">
        <w:rPr>
          <w:rFonts w:eastAsia="Calibri"/>
          <w:lang w:eastAsia="pl-PL"/>
        </w:rPr>
        <w:t xml:space="preserve"> </w:t>
      </w:r>
      <w:r w:rsidR="008E273C" w:rsidRPr="00473D48">
        <w:rPr>
          <w:rFonts w:eastAsia="Calibri"/>
          <w:lang w:eastAsia="pl-PL"/>
        </w:rPr>
        <w:t>своєчасних та адекватних заходів щодо мінімізації виявлених ризиків ВК/ФТ до прийнятного рівня ризиків ВК/ФТ</w:t>
      </w:r>
      <w:r w:rsidR="00F153D6">
        <w:rPr>
          <w:rFonts w:eastAsia="Calibri"/>
          <w:lang w:eastAsia="pl-PL"/>
        </w:rPr>
        <w:t xml:space="preserve"> </w:t>
      </w:r>
      <w:r w:rsidR="00F153D6" w:rsidRPr="00D003E9">
        <w:rPr>
          <w:rFonts w:eastAsia="Calibri"/>
          <w:lang w:eastAsia="pl-PL"/>
        </w:rPr>
        <w:t xml:space="preserve">визначені </w:t>
      </w:r>
      <w:r w:rsidR="00F153D6" w:rsidRPr="00D003E9">
        <w:t>ПРОГРАМАМИ</w:t>
      </w:r>
      <w:r w:rsidR="00F153D6" w:rsidRPr="00B21E85">
        <w:t xml:space="preserve"> УПРАВЛІННЯ РИЗИКАМИ ЛЕГАЛІЗАЦІЇ (ВІДМИВАННЯ) ДОХОДІВ, ОДЕРЖАНИХ ЗЛОЧИННИМ ШЛЯХОМ, ФІНАНСУВАННЯ ТЕРОРИЗМУ ТА/АБО ФІНАНСУВАННЯ РОЗПОВСЮДЖЕННЯ ЗБРОЇ МАСОВОГО ЗНИЩЕННЯ </w:t>
      </w:r>
      <w:r w:rsidR="00F153D6" w:rsidRPr="00B21E85">
        <w:rPr>
          <w:lang w:eastAsia="pl-PL"/>
        </w:rPr>
        <w:t xml:space="preserve">АТ </w:t>
      </w:r>
      <w:r w:rsidR="00644D1D">
        <w:rPr>
          <w:lang w:eastAsia="pl-PL"/>
        </w:rPr>
        <w:t>“</w:t>
      </w:r>
      <w:r w:rsidR="00F153D6" w:rsidRPr="00B21E85">
        <w:rPr>
          <w:lang w:eastAsia="pl-PL"/>
        </w:rPr>
        <w:t xml:space="preserve">АКБ </w:t>
      </w:r>
      <w:r w:rsidR="00644D1D">
        <w:rPr>
          <w:lang w:eastAsia="pl-PL"/>
        </w:rPr>
        <w:t>“</w:t>
      </w:r>
      <w:r w:rsidR="00F153D6" w:rsidRPr="00B21E85">
        <w:rPr>
          <w:lang w:eastAsia="pl-PL"/>
        </w:rPr>
        <w:t>КОНКОРД</w:t>
      </w:r>
      <w:r w:rsidR="00644D1D">
        <w:rPr>
          <w:lang w:eastAsia="pl-PL"/>
        </w:rPr>
        <w:t>”</w:t>
      </w:r>
      <w:r w:rsidR="00F153D6" w:rsidRPr="00B21E85">
        <w:rPr>
          <w:lang w:eastAsia="pl-PL"/>
        </w:rPr>
        <w:t xml:space="preserve">, </w:t>
      </w:r>
      <w:r w:rsidR="00F153D6">
        <w:rPr>
          <w:lang w:eastAsia="pl-PL"/>
        </w:rPr>
        <w:t xml:space="preserve">що діяли в </w:t>
      </w:r>
      <w:r w:rsidR="00644D1D" w:rsidRPr="00982BB5">
        <w:rPr>
          <w:color w:val="000000" w:themeColor="text1"/>
        </w:rPr>
        <w:t>АТ “АКБ “КОНКОРД”</w:t>
      </w:r>
      <w:r w:rsidR="00F153D6">
        <w:rPr>
          <w:lang w:eastAsia="pl-PL"/>
        </w:rPr>
        <w:t xml:space="preserve"> </w:t>
      </w:r>
      <w:r w:rsidR="00644D1D">
        <w:rPr>
          <w:lang w:eastAsia="pl-PL"/>
        </w:rPr>
        <w:t xml:space="preserve">у </w:t>
      </w:r>
      <w:r w:rsidR="00F153D6">
        <w:rPr>
          <w:lang w:eastAsia="pl-PL"/>
        </w:rPr>
        <w:t>період перевірки</w:t>
      </w:r>
      <w:r w:rsidR="00F153D6">
        <w:rPr>
          <w:rStyle w:val="af8"/>
          <w:lang w:eastAsia="pl-PL"/>
        </w:rPr>
        <w:footnoteReference w:id="9"/>
      </w:r>
      <w:r w:rsidR="00F153D6">
        <w:rPr>
          <w:lang w:eastAsia="pl-PL"/>
        </w:rPr>
        <w:t xml:space="preserve"> </w:t>
      </w:r>
      <w:r w:rsidR="00F153D6">
        <w:rPr>
          <w:bCs/>
        </w:rPr>
        <w:t>(далі –</w:t>
      </w:r>
      <w:r w:rsidR="00F153D6" w:rsidRPr="00B21E85">
        <w:rPr>
          <w:bCs/>
        </w:rPr>
        <w:t xml:space="preserve"> Програми управління ризиками)</w:t>
      </w:r>
      <w:r w:rsidR="00F153D6">
        <w:rPr>
          <w:bCs/>
        </w:rPr>
        <w:t>.</w:t>
      </w:r>
    </w:p>
    <w:p w14:paraId="101C7884" w14:textId="36A3F818" w:rsidR="00D347D6" w:rsidRPr="008D6E94" w:rsidRDefault="001D5F50" w:rsidP="003B3353">
      <w:pPr>
        <w:ind w:firstLine="567"/>
      </w:pPr>
      <w:r w:rsidRPr="001A4653">
        <w:t>З</w:t>
      </w:r>
      <w:r w:rsidR="00D347D6" w:rsidRPr="001A4653">
        <w:t xml:space="preserve">а результатами перевірки встановлено неналежне виконання </w:t>
      </w:r>
      <w:r w:rsidR="00644D1D" w:rsidRPr="00982BB5">
        <w:rPr>
          <w:color w:val="000000" w:themeColor="text1"/>
        </w:rPr>
        <w:t>АТ “АКБ “КОНКОРД”</w:t>
      </w:r>
      <w:r w:rsidR="00644D1D">
        <w:rPr>
          <w:color w:val="000000" w:themeColor="text1"/>
        </w:rPr>
        <w:t xml:space="preserve"> </w:t>
      </w:r>
      <w:r w:rsidR="00D347D6" w:rsidRPr="001A4653">
        <w:t xml:space="preserve">обов’язку щодо здійснення належної перевірки </w:t>
      </w:r>
      <w:r w:rsidR="00644D1D">
        <w:t>наявних</w:t>
      </w:r>
      <w:r w:rsidR="00644D1D" w:rsidRPr="001A4653">
        <w:t xml:space="preserve"> </w:t>
      </w:r>
      <w:r w:rsidR="00D347D6" w:rsidRPr="001A4653">
        <w:t xml:space="preserve">клієнтів, зокрема, в частині недостатнього та/або несвоєчасного обсягу дій </w:t>
      </w:r>
      <w:r w:rsidR="00B33415">
        <w:t>під час</w:t>
      </w:r>
      <w:r w:rsidR="00B33415" w:rsidRPr="001A4653">
        <w:t xml:space="preserve"> </w:t>
      </w:r>
      <w:r w:rsidR="00D347D6" w:rsidRPr="001A4653">
        <w:t>здійснен</w:t>
      </w:r>
      <w:r w:rsidR="00B33415">
        <w:t>ня</w:t>
      </w:r>
      <w:r w:rsidR="00D347D6" w:rsidRPr="001A4653">
        <w:t xml:space="preserve"> таких заходів, як встановлення (розуміння) мети та характеру майбутніх ділових відносин або проведення фінансової операції, проведення на постійній основі моніторингу ділових відносин та фінансових операцій клієнта, що здійснюються у процесі таких відносин, щодо відповідності таких фінансових операцій наявній </w:t>
      </w:r>
      <w:r w:rsidR="00C21B89">
        <w:t>в</w:t>
      </w:r>
      <w:r w:rsidR="00C21B89" w:rsidRPr="001A4653">
        <w:t xml:space="preserve"> </w:t>
      </w:r>
      <w:r w:rsidR="00C21B89" w:rsidRPr="00982BB5">
        <w:rPr>
          <w:color w:val="000000" w:themeColor="text1"/>
        </w:rPr>
        <w:t>АТ “АКБ “КОНКОРД”</w:t>
      </w:r>
      <w:r w:rsidR="00D347D6" w:rsidRPr="001A4653">
        <w:t xml:space="preserve"> інформації про клієнта, його діяльність та ризик (у тому числі</w:t>
      </w:r>
      <w:r w:rsidR="00C21B89">
        <w:t xml:space="preserve"> за потреби </w:t>
      </w:r>
      <w:r w:rsidR="00D347D6" w:rsidRPr="001A4653">
        <w:t xml:space="preserve">про джерело коштів, пов’язаних </w:t>
      </w:r>
      <w:r w:rsidR="00C21B89">
        <w:t>і</w:t>
      </w:r>
      <w:r w:rsidR="00D347D6" w:rsidRPr="001A4653">
        <w:t>з фінансовими операціями).</w:t>
      </w:r>
    </w:p>
    <w:p w14:paraId="6EE1B292" w14:textId="5BDAD8C5" w:rsidR="007735A8" w:rsidRPr="00F30062" w:rsidRDefault="00D347D6" w:rsidP="003B3353">
      <w:pPr>
        <w:suppressAutoHyphens/>
        <w:ind w:firstLine="567"/>
        <w:rPr>
          <w:rFonts w:eastAsia="Calibri"/>
          <w:lang w:eastAsia="pl-PL"/>
        </w:rPr>
      </w:pPr>
      <w:r w:rsidRPr="008D6E94">
        <w:t>Так, за результатами перевірки встановлено</w:t>
      </w:r>
      <w:r w:rsidR="007A1A1E">
        <w:t xml:space="preserve">, що </w:t>
      </w:r>
      <w:r w:rsidR="00C21B89" w:rsidRPr="00982BB5">
        <w:rPr>
          <w:color w:val="000000" w:themeColor="text1"/>
        </w:rPr>
        <w:t>АТ “АКБ “КОНКОРД”</w:t>
      </w:r>
      <w:r w:rsidR="007A1A1E">
        <w:t xml:space="preserve"> </w:t>
      </w:r>
      <w:r w:rsidR="00AB73AA">
        <w:t>встанови</w:t>
      </w:r>
      <w:r w:rsidR="00C21B89">
        <w:t>ло</w:t>
      </w:r>
      <w:r w:rsidR="00AB73AA">
        <w:t xml:space="preserve"> </w:t>
      </w:r>
      <w:r w:rsidR="007A1A1E">
        <w:t>ділові відносини із</w:t>
      </w:r>
      <w:r w:rsidR="001D5F50">
        <w:t xml:space="preserve"> </w:t>
      </w:r>
      <w:r w:rsidR="00F77FA0">
        <w:rPr>
          <w:rFonts w:eastAsia="Calibri"/>
          <w:lang w:eastAsia="pl-PL"/>
        </w:rPr>
        <w:t>шістьма</w:t>
      </w:r>
      <w:r w:rsidR="007A1A1E">
        <w:rPr>
          <w:rFonts w:eastAsia="Calibri"/>
          <w:lang w:eastAsia="pl-PL"/>
        </w:rPr>
        <w:t xml:space="preserve"> клієнтами</w:t>
      </w:r>
      <w:r w:rsidR="007735A8" w:rsidRPr="00F30062">
        <w:rPr>
          <w:rFonts w:eastAsia="Calibri"/>
          <w:lang w:eastAsia="pl-PL"/>
        </w:rPr>
        <w:t xml:space="preserve"> </w:t>
      </w:r>
      <w:r w:rsidR="00C21B89" w:rsidRPr="00982BB5">
        <w:rPr>
          <w:color w:val="000000" w:themeColor="text1"/>
        </w:rPr>
        <w:t>АТ “АКБ “КОНКОРД”</w:t>
      </w:r>
      <w:r w:rsidR="007735A8">
        <w:rPr>
          <w:rFonts w:eastAsia="Calibri"/>
          <w:lang w:eastAsia="pl-PL"/>
        </w:rPr>
        <w:t xml:space="preserve"> –</w:t>
      </w:r>
      <w:r w:rsidR="007A1A1E">
        <w:rPr>
          <w:rFonts w:eastAsia="Calibri"/>
          <w:lang w:eastAsia="pl-PL"/>
        </w:rPr>
        <w:t xml:space="preserve"> юридичними</w:t>
      </w:r>
      <w:r w:rsidR="007735A8">
        <w:rPr>
          <w:rFonts w:eastAsia="Calibri"/>
          <w:lang w:eastAsia="pl-PL"/>
        </w:rPr>
        <w:t xml:space="preserve"> </w:t>
      </w:r>
      <w:r w:rsidR="007A1A1E">
        <w:rPr>
          <w:rFonts w:eastAsia="Calibri"/>
          <w:lang w:eastAsia="pl-PL"/>
        </w:rPr>
        <w:t>особами</w:t>
      </w:r>
      <w:r w:rsidR="00F77FA0">
        <w:rPr>
          <w:rFonts w:eastAsia="Calibri"/>
          <w:lang w:eastAsia="pl-PL"/>
        </w:rPr>
        <w:t xml:space="preserve"> на підставі договорів</w:t>
      </w:r>
      <w:r w:rsidR="007735A8" w:rsidRPr="00F30062">
        <w:rPr>
          <w:rFonts w:eastAsia="Calibri"/>
          <w:lang w:eastAsia="pl-PL"/>
        </w:rPr>
        <w:t xml:space="preserve"> </w:t>
      </w:r>
      <w:r w:rsidR="00F77FA0">
        <w:t xml:space="preserve">про надання послуг </w:t>
      </w:r>
      <w:r w:rsidR="00F77FA0" w:rsidRPr="00236BB4">
        <w:rPr>
          <w:bCs/>
        </w:rPr>
        <w:t>Інтернет-еквайрингу</w:t>
      </w:r>
      <w:r w:rsidR="00F77FA0">
        <w:rPr>
          <w:bCs/>
        </w:rPr>
        <w:t xml:space="preserve"> </w:t>
      </w:r>
      <w:r w:rsidR="00F77FA0" w:rsidRPr="007B2D4F">
        <w:rPr>
          <w:bCs/>
        </w:rPr>
        <w:t xml:space="preserve">(далі – Договори ІЕ), договорів </w:t>
      </w:r>
      <w:r w:rsidR="00F77FA0" w:rsidRPr="007B2D4F">
        <w:rPr>
          <w:lang w:eastAsia="pl-PL"/>
        </w:rPr>
        <w:t xml:space="preserve">про організацію взаємодії </w:t>
      </w:r>
      <w:r w:rsidR="00C21B89">
        <w:rPr>
          <w:lang w:eastAsia="pl-PL"/>
        </w:rPr>
        <w:t>під час</w:t>
      </w:r>
      <w:r w:rsidR="00C21B89" w:rsidRPr="007B2D4F">
        <w:rPr>
          <w:lang w:eastAsia="pl-PL"/>
        </w:rPr>
        <w:t xml:space="preserve"> </w:t>
      </w:r>
      <w:r w:rsidR="00F77FA0" w:rsidRPr="007B2D4F">
        <w:rPr>
          <w:lang w:eastAsia="pl-PL"/>
        </w:rPr>
        <w:t>переказ</w:t>
      </w:r>
      <w:r w:rsidR="00C21B89">
        <w:rPr>
          <w:lang w:eastAsia="pl-PL"/>
        </w:rPr>
        <w:t>у</w:t>
      </w:r>
      <w:r w:rsidR="00F77FA0" w:rsidRPr="007B2D4F">
        <w:rPr>
          <w:lang w:eastAsia="pl-PL"/>
        </w:rPr>
        <w:t xml:space="preserve"> коштів фізичним особам (далі – </w:t>
      </w:r>
      <w:r w:rsidR="00F77FA0" w:rsidRPr="007B2D4F">
        <w:t>Договори А2С</w:t>
      </w:r>
      <w:r w:rsidR="001D5F50" w:rsidRPr="007B2D4F">
        <w:t>)</w:t>
      </w:r>
      <w:r w:rsidR="001D5F50">
        <w:t xml:space="preserve">, </w:t>
      </w:r>
      <w:r w:rsidR="00F77FA0" w:rsidRPr="007B2D4F">
        <w:t xml:space="preserve">одним клієнтом </w:t>
      </w:r>
      <w:r w:rsidR="00C21B89" w:rsidRPr="00982BB5">
        <w:rPr>
          <w:color w:val="000000" w:themeColor="text1"/>
        </w:rPr>
        <w:t>АТ “АКБ “КОНКОРД”</w:t>
      </w:r>
      <w:r w:rsidR="00F77FA0" w:rsidRPr="007B2D4F">
        <w:t xml:space="preserve"> – юридичною особою</w:t>
      </w:r>
      <w:r w:rsidR="00AB73AA">
        <w:t xml:space="preserve"> </w:t>
      </w:r>
      <w:r w:rsidR="00F77FA0" w:rsidRPr="007B2D4F">
        <w:t xml:space="preserve">на підставі договору </w:t>
      </w:r>
      <w:r w:rsidR="00F77FA0" w:rsidRPr="007B2D4F">
        <w:rPr>
          <w:lang w:eastAsia="pl-PL"/>
        </w:rPr>
        <w:t xml:space="preserve">про надання </w:t>
      </w:r>
      <w:r w:rsidR="00C21B89" w:rsidRPr="00982BB5">
        <w:rPr>
          <w:color w:val="000000" w:themeColor="text1"/>
        </w:rPr>
        <w:t>АТ “АКБ “КОНКОРД”</w:t>
      </w:r>
      <w:r w:rsidR="00513512" w:rsidRPr="00513512">
        <w:rPr>
          <w:spacing w:val="-4"/>
        </w:rPr>
        <w:t xml:space="preserve"> операційних та інформаційних послуг</w:t>
      </w:r>
      <w:r w:rsidR="00513512" w:rsidRPr="00422B97">
        <w:rPr>
          <w:spacing w:val="-4"/>
        </w:rPr>
        <w:t xml:space="preserve"> з </w:t>
      </w:r>
      <w:r w:rsidR="00513512">
        <w:rPr>
          <w:spacing w:val="-4"/>
        </w:rPr>
        <w:t xml:space="preserve">метою залучення до </w:t>
      </w:r>
      <w:r w:rsidR="00C21B89" w:rsidRPr="00982BB5">
        <w:rPr>
          <w:color w:val="000000" w:themeColor="text1"/>
        </w:rPr>
        <w:t>АТ “АКБ “КОНКОРД”</w:t>
      </w:r>
      <w:r w:rsidR="00513512">
        <w:rPr>
          <w:spacing w:val="-4"/>
        </w:rPr>
        <w:t xml:space="preserve"> к</w:t>
      </w:r>
      <w:r w:rsidR="00513512" w:rsidRPr="00D078EB">
        <w:rPr>
          <w:spacing w:val="-4"/>
        </w:rPr>
        <w:t xml:space="preserve">лієнтів для надання </w:t>
      </w:r>
      <w:r w:rsidR="00513512">
        <w:rPr>
          <w:spacing w:val="-4"/>
        </w:rPr>
        <w:t>б</w:t>
      </w:r>
      <w:r w:rsidR="00513512" w:rsidRPr="00D078EB">
        <w:rPr>
          <w:spacing w:val="-4"/>
        </w:rPr>
        <w:t>анківських послуг</w:t>
      </w:r>
      <w:r w:rsidR="00F77FA0" w:rsidRPr="007B2D4F">
        <w:rPr>
          <w:lang w:eastAsia="pl-PL"/>
        </w:rPr>
        <w:t xml:space="preserve"> </w:t>
      </w:r>
      <w:r w:rsidR="00F77FA0" w:rsidRPr="007B2D4F">
        <w:t>(далі – Договір P2P)</w:t>
      </w:r>
      <w:r w:rsidR="001D5F50">
        <w:rPr>
          <w:rFonts w:eastAsia="Calibri"/>
          <w:lang w:eastAsia="pl-PL"/>
        </w:rPr>
        <w:t xml:space="preserve"> </w:t>
      </w:r>
      <w:r w:rsidR="00F77FA0" w:rsidRPr="00F30062">
        <w:rPr>
          <w:rFonts w:eastAsia="Calibri"/>
          <w:lang w:eastAsia="pl-PL"/>
        </w:rPr>
        <w:t>(далі</w:t>
      </w:r>
      <w:r w:rsidR="00F77FA0">
        <w:rPr>
          <w:rFonts w:eastAsia="Calibri"/>
          <w:lang w:eastAsia="pl-PL"/>
        </w:rPr>
        <w:t xml:space="preserve"> </w:t>
      </w:r>
      <w:r w:rsidR="00F77FA0" w:rsidRPr="00F30062">
        <w:rPr>
          <w:rFonts w:eastAsia="Calibri"/>
          <w:lang w:eastAsia="pl-PL"/>
        </w:rPr>
        <w:t>– Група ЮО)</w:t>
      </w:r>
      <w:r w:rsidR="00F77FA0">
        <w:rPr>
          <w:rFonts w:eastAsia="Calibri"/>
          <w:lang w:eastAsia="pl-PL"/>
        </w:rPr>
        <w:t xml:space="preserve">, щодо яких </w:t>
      </w:r>
      <w:r w:rsidR="007735A8" w:rsidRPr="00F30062">
        <w:rPr>
          <w:rFonts w:eastAsia="Calibri"/>
          <w:lang w:eastAsia="pl-PL"/>
        </w:rPr>
        <w:t>виявлено порушення, зокрема:</w:t>
      </w:r>
    </w:p>
    <w:p w14:paraId="638C86AC" w14:textId="0C915155" w:rsidR="007735A8" w:rsidRPr="00F30062" w:rsidRDefault="007735A8" w:rsidP="003B3353">
      <w:pPr>
        <w:suppressAutoHyphens/>
        <w:ind w:firstLine="567"/>
        <w:rPr>
          <w:rFonts w:eastAsia="Calibri"/>
          <w:lang w:eastAsia="pl-PL"/>
        </w:rPr>
      </w:pPr>
      <w:r w:rsidRPr="00F30062">
        <w:rPr>
          <w:rFonts w:eastAsia="Calibri"/>
          <w:lang w:eastAsia="pl-PL"/>
        </w:rPr>
        <w:t xml:space="preserve">пункту 4 частини другої статті 8 Закону </w:t>
      </w:r>
      <w:r w:rsidR="009424C8" w:rsidRPr="008D6E94">
        <w:t>№ 361-IХ</w:t>
      </w:r>
      <w:r w:rsidRPr="00F30062">
        <w:rPr>
          <w:rFonts w:eastAsia="Calibri"/>
          <w:lang w:eastAsia="pl-PL"/>
        </w:rPr>
        <w:t xml:space="preserve"> </w:t>
      </w:r>
      <w:r w:rsidR="00C21B89">
        <w:rPr>
          <w:rFonts w:eastAsia="Calibri"/>
          <w:lang w:eastAsia="pl-PL"/>
        </w:rPr>
        <w:t>у</w:t>
      </w:r>
      <w:r w:rsidR="00C21B89" w:rsidRPr="00F30062">
        <w:rPr>
          <w:rFonts w:eastAsia="Calibri"/>
          <w:lang w:eastAsia="pl-PL"/>
        </w:rPr>
        <w:t xml:space="preserve"> </w:t>
      </w:r>
      <w:r w:rsidRPr="00F30062">
        <w:rPr>
          <w:rFonts w:eastAsia="Calibri"/>
          <w:lang w:eastAsia="pl-PL"/>
        </w:rPr>
        <w:t xml:space="preserve">частині </w:t>
      </w:r>
      <w:r w:rsidRPr="007735A8">
        <w:rPr>
          <w:rFonts w:eastAsia="Calibri"/>
          <w:lang w:eastAsia="pl-PL"/>
        </w:rPr>
        <w:t xml:space="preserve">неналежного виконання </w:t>
      </w:r>
      <w:r w:rsidR="00C21B89" w:rsidRPr="00982BB5">
        <w:rPr>
          <w:color w:val="000000" w:themeColor="text1"/>
        </w:rPr>
        <w:t>АТ “АКБ “КОНКОРД”</w:t>
      </w:r>
      <w:r w:rsidRPr="007735A8">
        <w:rPr>
          <w:rFonts w:eastAsia="Calibri"/>
          <w:lang w:eastAsia="pl-PL"/>
        </w:rPr>
        <w:t xml:space="preserve"> обов’язку щодо здійснення належної перевірки</w:t>
      </w:r>
      <w:r w:rsidRPr="00F30062">
        <w:rPr>
          <w:rFonts w:eastAsia="Calibri"/>
          <w:lang w:eastAsia="pl-PL"/>
        </w:rPr>
        <w:t xml:space="preserve"> нових клієнтів, а також </w:t>
      </w:r>
      <w:r w:rsidR="00C21B89">
        <w:rPr>
          <w:rFonts w:eastAsia="Calibri"/>
          <w:lang w:eastAsia="pl-PL"/>
        </w:rPr>
        <w:t xml:space="preserve">наявних </w:t>
      </w:r>
      <w:r>
        <w:rPr>
          <w:rFonts w:eastAsia="Calibri"/>
          <w:lang w:eastAsia="pl-PL"/>
        </w:rPr>
        <w:t>клієнтів (щодо всіх учасників Групи ЮО)</w:t>
      </w:r>
      <w:r w:rsidRPr="00F30062">
        <w:rPr>
          <w:rFonts w:eastAsia="Calibri"/>
          <w:lang w:eastAsia="pl-PL"/>
        </w:rPr>
        <w:t>;</w:t>
      </w:r>
    </w:p>
    <w:p w14:paraId="21175A2A" w14:textId="1A3BB2EA" w:rsidR="007735A8" w:rsidRPr="00F30062" w:rsidRDefault="007735A8" w:rsidP="003B3353">
      <w:pPr>
        <w:suppressAutoHyphens/>
        <w:ind w:firstLine="567"/>
        <w:rPr>
          <w:rFonts w:eastAsia="Calibri"/>
          <w:lang w:eastAsia="pl-PL"/>
        </w:rPr>
      </w:pPr>
      <w:r w:rsidRPr="00F30062">
        <w:rPr>
          <w:rFonts w:eastAsia="Calibri"/>
          <w:lang w:eastAsia="pl-PL"/>
        </w:rPr>
        <w:t xml:space="preserve">частин першої та другої статті 7 Закону </w:t>
      </w:r>
      <w:r w:rsidR="009424C8" w:rsidRPr="008D6E94">
        <w:t>№ 361-IХ</w:t>
      </w:r>
      <w:r w:rsidRPr="00F30062">
        <w:rPr>
          <w:rFonts w:eastAsia="Calibri"/>
          <w:lang w:eastAsia="pl-PL"/>
        </w:rPr>
        <w:t xml:space="preserve"> </w:t>
      </w:r>
      <w:r w:rsidR="00C21B89">
        <w:rPr>
          <w:rFonts w:eastAsia="Calibri"/>
          <w:lang w:eastAsia="pl-PL"/>
        </w:rPr>
        <w:t>у</w:t>
      </w:r>
      <w:r w:rsidR="00C21B89" w:rsidRPr="00F30062">
        <w:rPr>
          <w:rFonts w:eastAsia="Calibri"/>
          <w:lang w:eastAsia="pl-PL"/>
        </w:rPr>
        <w:t xml:space="preserve"> </w:t>
      </w:r>
      <w:r w:rsidRPr="00F30062">
        <w:rPr>
          <w:rFonts w:eastAsia="Calibri"/>
          <w:lang w:eastAsia="pl-PL"/>
        </w:rPr>
        <w:t xml:space="preserve">частині </w:t>
      </w:r>
      <w:r w:rsidRPr="007735A8">
        <w:rPr>
          <w:rFonts w:eastAsia="Calibri"/>
          <w:lang w:eastAsia="pl-PL"/>
        </w:rPr>
        <w:t xml:space="preserve">неналежного виконання </w:t>
      </w:r>
      <w:r w:rsidR="00C21B89" w:rsidRPr="00982BB5">
        <w:rPr>
          <w:color w:val="000000" w:themeColor="text1"/>
        </w:rPr>
        <w:t>АТ “АКБ “КОНКОРД”</w:t>
      </w:r>
      <w:r w:rsidRPr="007735A8">
        <w:rPr>
          <w:rFonts w:eastAsia="Calibri"/>
          <w:lang w:eastAsia="pl-PL"/>
        </w:rPr>
        <w:t xml:space="preserve"> обов’язку застосовувати у своїй діяльності ризик-орієнтований підхід</w:t>
      </w:r>
      <w:r>
        <w:rPr>
          <w:rFonts w:eastAsia="Calibri"/>
          <w:lang w:eastAsia="pl-PL"/>
        </w:rPr>
        <w:t xml:space="preserve"> (щодо шістьох клієнтів Групи ЮО)</w:t>
      </w:r>
      <w:r w:rsidRPr="00F30062">
        <w:rPr>
          <w:rFonts w:eastAsia="Calibri"/>
          <w:lang w:eastAsia="pl-PL"/>
        </w:rPr>
        <w:t>;</w:t>
      </w:r>
      <w:r w:rsidR="00C21B89">
        <w:rPr>
          <w:rFonts w:eastAsia="Calibri"/>
          <w:lang w:eastAsia="pl-PL"/>
        </w:rPr>
        <w:t xml:space="preserve"> </w:t>
      </w:r>
    </w:p>
    <w:p w14:paraId="17EAC365" w14:textId="48156A92" w:rsidR="007735A8" w:rsidRDefault="007735A8" w:rsidP="003B3353">
      <w:pPr>
        <w:suppressAutoHyphens/>
        <w:ind w:firstLine="567"/>
        <w:rPr>
          <w:rFonts w:eastAsia="Calibri"/>
          <w:lang w:eastAsia="pl-PL"/>
        </w:rPr>
      </w:pPr>
      <w:r w:rsidRPr="00F30062">
        <w:rPr>
          <w:rFonts w:eastAsia="Calibri"/>
          <w:lang w:eastAsia="pl-PL"/>
        </w:rPr>
        <w:lastRenderedPageBreak/>
        <w:t>пунктів 63</w:t>
      </w:r>
      <w:r w:rsidR="00C21B89">
        <w:rPr>
          <w:rFonts w:eastAsia="Calibri"/>
          <w:lang w:eastAsia="pl-PL"/>
        </w:rPr>
        <w:t>,</w:t>
      </w:r>
      <w:r w:rsidRPr="00F30062">
        <w:rPr>
          <w:rFonts w:eastAsia="Calibri"/>
          <w:lang w:eastAsia="pl-PL"/>
        </w:rPr>
        <w:t xml:space="preserve"> 64 розділу ІV Положення № 65 </w:t>
      </w:r>
      <w:r w:rsidR="00C21B89">
        <w:rPr>
          <w:rFonts w:eastAsia="Calibri"/>
          <w:lang w:eastAsia="pl-PL"/>
        </w:rPr>
        <w:t>у</w:t>
      </w:r>
      <w:r w:rsidR="00C21B89" w:rsidRPr="00F30062">
        <w:rPr>
          <w:rFonts w:eastAsia="Calibri"/>
          <w:lang w:eastAsia="pl-PL"/>
        </w:rPr>
        <w:t xml:space="preserve"> </w:t>
      </w:r>
      <w:r w:rsidRPr="00F30062">
        <w:rPr>
          <w:rFonts w:eastAsia="Calibri"/>
          <w:lang w:eastAsia="pl-PL"/>
        </w:rPr>
        <w:t>частині несвоєчасного здійснення заходів з підтрим</w:t>
      </w:r>
      <w:r w:rsidR="00C21B89">
        <w:rPr>
          <w:rFonts w:eastAsia="Calibri"/>
          <w:lang w:eastAsia="pl-PL"/>
        </w:rPr>
        <w:t>ання</w:t>
      </w:r>
      <w:r w:rsidRPr="00F30062">
        <w:rPr>
          <w:rFonts w:eastAsia="Calibri"/>
          <w:lang w:eastAsia="pl-PL"/>
        </w:rPr>
        <w:t xml:space="preserve"> в актуальному стані ризик-профілю клієнта шляхом врахування відповідних критеріїв ризику ВК/ФТ та здійснення переоцінки його рівня ризику</w:t>
      </w:r>
      <w:r>
        <w:rPr>
          <w:rFonts w:eastAsia="Calibri"/>
          <w:lang w:eastAsia="pl-PL"/>
        </w:rPr>
        <w:t xml:space="preserve"> (</w:t>
      </w:r>
      <w:r w:rsidR="0077527C">
        <w:rPr>
          <w:rFonts w:eastAsia="Calibri"/>
          <w:lang w:eastAsia="pl-PL"/>
        </w:rPr>
        <w:t>щодо одного клієнта</w:t>
      </w:r>
      <w:r>
        <w:rPr>
          <w:rFonts w:eastAsia="Calibri"/>
          <w:lang w:eastAsia="pl-PL"/>
        </w:rPr>
        <w:t xml:space="preserve"> Групи ЮО)</w:t>
      </w:r>
      <w:r w:rsidRPr="00F30062">
        <w:rPr>
          <w:rFonts w:eastAsia="Calibri"/>
          <w:lang w:eastAsia="pl-PL"/>
        </w:rPr>
        <w:t>.</w:t>
      </w:r>
    </w:p>
    <w:p w14:paraId="2A5E3005" w14:textId="06B62D82" w:rsidR="007933EB" w:rsidRPr="00DF06F8" w:rsidRDefault="00C21B89" w:rsidP="003B3353">
      <w:pPr>
        <w:tabs>
          <w:tab w:val="left" w:pos="1134"/>
        </w:tabs>
        <w:suppressAutoHyphens/>
        <w:ind w:firstLine="567"/>
        <w:rPr>
          <w:lang w:eastAsia="pl-PL"/>
        </w:rPr>
      </w:pPr>
      <w:r>
        <w:rPr>
          <w:rFonts w:eastAsia="Calibri"/>
          <w:lang w:eastAsia="pl-PL"/>
        </w:rPr>
        <w:t>Водночас</w:t>
      </w:r>
      <w:r w:rsidR="007933EB">
        <w:rPr>
          <w:rFonts w:eastAsia="Calibri"/>
          <w:lang w:eastAsia="pl-PL"/>
        </w:rPr>
        <w:t xml:space="preserve"> з одним </w:t>
      </w:r>
      <w:r>
        <w:rPr>
          <w:rFonts w:eastAsia="Calibri"/>
          <w:lang w:eastAsia="pl-PL"/>
        </w:rPr>
        <w:t>і</w:t>
      </w:r>
      <w:r w:rsidR="007933EB">
        <w:rPr>
          <w:rFonts w:eastAsia="Calibri"/>
          <w:lang w:eastAsia="pl-PL"/>
        </w:rPr>
        <w:t xml:space="preserve">з клієнтів Групи ЮО </w:t>
      </w:r>
      <w:r w:rsidRPr="00982BB5">
        <w:rPr>
          <w:color w:val="000000" w:themeColor="text1"/>
        </w:rPr>
        <w:t>АТ “АКБ “КОНКОРД”</w:t>
      </w:r>
      <w:r w:rsidR="007933EB">
        <w:rPr>
          <w:rFonts w:eastAsia="Calibri"/>
          <w:lang w:eastAsia="pl-PL"/>
        </w:rPr>
        <w:t xml:space="preserve"> повторно встанов</w:t>
      </w:r>
      <w:r>
        <w:rPr>
          <w:rFonts w:eastAsia="Calibri"/>
          <w:lang w:eastAsia="pl-PL"/>
        </w:rPr>
        <w:t>ило</w:t>
      </w:r>
      <w:r w:rsidR="007933EB">
        <w:rPr>
          <w:rFonts w:eastAsia="Calibri"/>
          <w:lang w:eastAsia="pl-PL"/>
        </w:rPr>
        <w:t xml:space="preserve"> ділові відносини після </w:t>
      </w:r>
      <w:r w:rsidR="007933EB">
        <w:rPr>
          <w:lang w:eastAsia="pl-PL"/>
        </w:rPr>
        <w:t>відмови</w:t>
      </w:r>
      <w:r w:rsidR="007933EB" w:rsidRPr="00D562F9">
        <w:rPr>
          <w:lang w:eastAsia="pl-PL"/>
        </w:rPr>
        <w:t xml:space="preserve"> </w:t>
      </w:r>
      <w:r>
        <w:rPr>
          <w:lang w:eastAsia="pl-PL"/>
        </w:rPr>
        <w:t>в</w:t>
      </w:r>
      <w:r w:rsidRPr="001F3794">
        <w:rPr>
          <w:lang w:eastAsia="pl-PL"/>
        </w:rPr>
        <w:t xml:space="preserve"> </w:t>
      </w:r>
      <w:r w:rsidR="007933EB" w:rsidRPr="00D562F9">
        <w:rPr>
          <w:lang w:eastAsia="pl-PL"/>
        </w:rPr>
        <w:t>підтриманні ділових відносин</w:t>
      </w:r>
      <w:r w:rsidR="007933EB" w:rsidRPr="00DF06F8">
        <w:rPr>
          <w:lang w:eastAsia="pl-PL"/>
        </w:rPr>
        <w:t xml:space="preserve"> через встановлення йому неприйнятно високого рівня ризику (зокрема, </w:t>
      </w:r>
      <w:r w:rsidR="007933EB" w:rsidRPr="00D562F9">
        <w:rPr>
          <w:lang w:eastAsia="pl-PL"/>
        </w:rPr>
        <w:t>внаслідок ненадання документів щодо належного вивчення діяльності)</w:t>
      </w:r>
      <w:r w:rsidR="007933EB">
        <w:rPr>
          <w:lang w:eastAsia="pl-PL"/>
        </w:rPr>
        <w:t xml:space="preserve">. </w:t>
      </w:r>
    </w:p>
    <w:p w14:paraId="604396DB" w14:textId="1CDCA791" w:rsidR="00501207" w:rsidRPr="003C1D3B" w:rsidRDefault="007735A8" w:rsidP="003B3353">
      <w:pPr>
        <w:suppressAutoHyphens/>
        <w:ind w:firstLine="567"/>
        <w:rPr>
          <w:rFonts w:eastAsia="Calibri"/>
          <w:lang w:eastAsia="pl-PL"/>
        </w:rPr>
      </w:pPr>
      <w:r>
        <w:t>З</w:t>
      </w:r>
      <w:r w:rsidR="00501207" w:rsidRPr="00F30062">
        <w:rPr>
          <w:rFonts w:eastAsia="Calibri"/>
          <w:lang w:eastAsia="pl-PL"/>
        </w:rPr>
        <w:t xml:space="preserve">агальний обсяг фінансових операцій за послугами (сервісами) інтернет-еквайрингу, А2С, С2А, Р2Р, проведених </w:t>
      </w:r>
      <w:r w:rsidR="00C21B89">
        <w:rPr>
          <w:rFonts w:eastAsia="Calibri"/>
          <w:lang w:eastAsia="pl-PL"/>
        </w:rPr>
        <w:t>у</w:t>
      </w:r>
      <w:r w:rsidR="00C21B89" w:rsidRPr="00F30062">
        <w:rPr>
          <w:rFonts w:eastAsia="Calibri"/>
          <w:lang w:eastAsia="pl-PL"/>
        </w:rPr>
        <w:t xml:space="preserve"> </w:t>
      </w:r>
      <w:r w:rsidR="00501207" w:rsidRPr="00F30062">
        <w:rPr>
          <w:rFonts w:eastAsia="Calibri"/>
          <w:lang w:eastAsia="pl-PL"/>
        </w:rPr>
        <w:t xml:space="preserve">період перевірки в </w:t>
      </w:r>
      <w:r w:rsidR="00C21B89">
        <w:rPr>
          <w:rFonts w:eastAsia="Calibri"/>
          <w:lang w:eastAsia="pl-PL"/>
        </w:rPr>
        <w:t>межах</w:t>
      </w:r>
      <w:r w:rsidR="00C21B89" w:rsidRPr="00F30062">
        <w:rPr>
          <w:rFonts w:eastAsia="Calibri"/>
          <w:lang w:eastAsia="pl-PL"/>
        </w:rPr>
        <w:t xml:space="preserve"> </w:t>
      </w:r>
      <w:r w:rsidR="00501207" w:rsidRPr="00F30062">
        <w:rPr>
          <w:rFonts w:eastAsia="Calibri"/>
          <w:lang w:eastAsia="pl-PL"/>
        </w:rPr>
        <w:t xml:space="preserve">договорів, укладених </w:t>
      </w:r>
      <w:r w:rsidR="00C21B89" w:rsidRPr="00982BB5">
        <w:rPr>
          <w:color w:val="000000" w:themeColor="text1"/>
        </w:rPr>
        <w:t>АТ “АКБ “КОНКОРД”</w:t>
      </w:r>
      <w:r w:rsidR="00501207" w:rsidRPr="00F30062">
        <w:rPr>
          <w:rFonts w:eastAsia="Calibri"/>
          <w:lang w:eastAsia="pl-PL"/>
        </w:rPr>
        <w:t xml:space="preserve"> із </w:t>
      </w:r>
      <w:r>
        <w:rPr>
          <w:rFonts w:eastAsia="Calibri"/>
          <w:lang w:eastAsia="pl-PL"/>
        </w:rPr>
        <w:t>Групою ЮО</w:t>
      </w:r>
      <w:r w:rsidR="00501207" w:rsidRPr="00F30062">
        <w:rPr>
          <w:rFonts w:eastAsia="Calibri"/>
          <w:lang w:eastAsia="pl-PL"/>
        </w:rPr>
        <w:t xml:space="preserve">, становить </w:t>
      </w:r>
      <w:r w:rsidR="00501207" w:rsidRPr="006E5497">
        <w:rPr>
          <w:rFonts w:eastAsia="Calibri"/>
          <w:lang w:eastAsia="pl-PL"/>
        </w:rPr>
        <w:t>112 956 224 680,13 гр</w:t>
      </w:r>
      <w:r w:rsidR="00C21B89">
        <w:rPr>
          <w:rFonts w:eastAsia="Calibri"/>
          <w:lang w:eastAsia="pl-PL"/>
        </w:rPr>
        <w:t>н</w:t>
      </w:r>
      <w:r w:rsidR="007B2D4F" w:rsidRPr="00C21B89">
        <w:rPr>
          <w:rFonts w:eastAsia="Calibri"/>
          <w:lang w:eastAsia="pl-PL"/>
        </w:rPr>
        <w:t xml:space="preserve">, зокрема </w:t>
      </w:r>
      <w:r w:rsidR="00C21B89">
        <w:rPr>
          <w:rFonts w:eastAsia="Calibri"/>
          <w:lang w:eastAsia="pl-PL"/>
        </w:rPr>
        <w:t>в</w:t>
      </w:r>
      <w:r w:rsidR="00C21B89" w:rsidRPr="00C21B89">
        <w:rPr>
          <w:rFonts w:eastAsia="Calibri"/>
          <w:lang w:eastAsia="pl-PL"/>
        </w:rPr>
        <w:t xml:space="preserve"> </w:t>
      </w:r>
      <w:r w:rsidR="007B2D4F" w:rsidRPr="00C21B89">
        <w:rPr>
          <w:rFonts w:eastAsia="Calibri"/>
          <w:lang w:eastAsia="pl-PL"/>
        </w:rPr>
        <w:t xml:space="preserve">період </w:t>
      </w:r>
      <w:r w:rsidR="00C21B89">
        <w:rPr>
          <w:rFonts w:eastAsia="Calibri"/>
          <w:lang w:eastAsia="pl-PL"/>
        </w:rPr>
        <w:t>і</w:t>
      </w:r>
      <w:r w:rsidR="007B2D4F" w:rsidRPr="00C21B89">
        <w:rPr>
          <w:rFonts w:eastAsia="Calibri"/>
          <w:lang w:eastAsia="pl-PL"/>
        </w:rPr>
        <w:t xml:space="preserve">з </w:t>
      </w:r>
      <w:r w:rsidR="007B2D4F" w:rsidRPr="003C1D3B">
        <w:rPr>
          <w:rFonts w:eastAsia="Calibri"/>
          <w:lang w:eastAsia="pl-PL"/>
        </w:rPr>
        <w:t>01</w:t>
      </w:r>
      <w:r w:rsidR="00C21B89">
        <w:rPr>
          <w:rFonts w:eastAsia="Calibri"/>
          <w:lang w:eastAsia="pl-PL"/>
        </w:rPr>
        <w:t xml:space="preserve"> липня </w:t>
      </w:r>
      <w:r w:rsidR="007B2D4F" w:rsidRPr="003C1D3B">
        <w:rPr>
          <w:rFonts w:eastAsia="Calibri"/>
          <w:lang w:eastAsia="pl-PL"/>
        </w:rPr>
        <w:t>2022</w:t>
      </w:r>
      <w:r w:rsidR="00C21B89">
        <w:rPr>
          <w:rFonts w:eastAsia="Calibri"/>
          <w:lang w:eastAsia="pl-PL"/>
        </w:rPr>
        <w:t xml:space="preserve"> року</w:t>
      </w:r>
      <w:r w:rsidR="007B2D4F" w:rsidRPr="003C1D3B">
        <w:rPr>
          <w:rFonts w:eastAsia="Calibri"/>
          <w:lang w:eastAsia="pl-PL"/>
        </w:rPr>
        <w:t xml:space="preserve"> до 22</w:t>
      </w:r>
      <w:r w:rsidR="00C21B89">
        <w:rPr>
          <w:rFonts w:eastAsia="Calibri"/>
          <w:lang w:eastAsia="pl-PL"/>
        </w:rPr>
        <w:t xml:space="preserve"> січня </w:t>
      </w:r>
      <w:r w:rsidR="007B2D4F" w:rsidRPr="003C1D3B">
        <w:rPr>
          <w:rFonts w:eastAsia="Calibri"/>
          <w:lang w:eastAsia="pl-PL"/>
        </w:rPr>
        <w:t>2023</w:t>
      </w:r>
      <w:r w:rsidR="00C21B89">
        <w:rPr>
          <w:rFonts w:eastAsia="Calibri"/>
          <w:lang w:eastAsia="pl-PL"/>
        </w:rPr>
        <w:t xml:space="preserve"> року</w:t>
      </w:r>
      <w:r w:rsidR="007B2D4F" w:rsidRPr="003C1D3B">
        <w:rPr>
          <w:rFonts w:eastAsia="Calibri"/>
          <w:lang w:eastAsia="pl-PL"/>
        </w:rPr>
        <w:t xml:space="preserve"> –</w:t>
      </w:r>
      <w:r w:rsidR="00A07FB9" w:rsidRPr="003C1D3B">
        <w:rPr>
          <w:rFonts w:eastAsia="Calibri"/>
          <w:lang w:eastAsia="pl-PL"/>
        </w:rPr>
        <w:t xml:space="preserve"> </w:t>
      </w:r>
      <w:r w:rsidR="007F11BF">
        <w:rPr>
          <w:rFonts w:eastAsia="Calibri"/>
          <w:lang w:eastAsia="pl-PL"/>
        </w:rPr>
        <w:br/>
      </w:r>
      <w:r w:rsidR="00811B7F" w:rsidRPr="003C1D3B">
        <w:t xml:space="preserve">46 470 510 691,16 </w:t>
      </w:r>
      <w:r w:rsidR="001A4653" w:rsidRPr="003C1D3B">
        <w:t>гр</w:t>
      </w:r>
      <w:r w:rsidR="007F11BF">
        <w:t>н</w:t>
      </w:r>
      <w:r w:rsidR="001A4653" w:rsidRPr="003C1D3B">
        <w:t>.</w:t>
      </w:r>
      <w:r w:rsidR="001A4653" w:rsidRPr="003C1D3B">
        <w:rPr>
          <w:rFonts w:eastAsia="Calibri"/>
          <w:lang w:eastAsia="pl-PL"/>
        </w:rPr>
        <w:t xml:space="preserve"> </w:t>
      </w:r>
    </w:p>
    <w:p w14:paraId="071A776A" w14:textId="12CBE726" w:rsidR="007B2D4F" w:rsidRPr="007B2D4F" w:rsidRDefault="007F11BF" w:rsidP="003B3353">
      <w:pPr>
        <w:suppressAutoHyphens/>
        <w:ind w:firstLine="567"/>
        <w:rPr>
          <w:rFonts w:eastAsia="Calibri"/>
          <w:b/>
          <w:lang w:eastAsia="pl-PL"/>
        </w:rPr>
      </w:pPr>
      <w:r>
        <w:rPr>
          <w:rFonts w:eastAsia="Calibri"/>
          <w:lang w:eastAsia="pl-PL"/>
        </w:rPr>
        <w:t>Водночас</w:t>
      </w:r>
      <w:r w:rsidR="007B2D4F">
        <w:rPr>
          <w:rFonts w:eastAsia="Calibri"/>
          <w:lang w:eastAsia="pl-PL"/>
        </w:rPr>
        <w:t xml:space="preserve"> на підставі вищезазначених договорів клієнти Групи ЮО</w:t>
      </w:r>
      <w:r w:rsidR="007B2D4F" w:rsidRPr="007B2D4F">
        <w:rPr>
          <w:rFonts w:eastAsia="Calibri"/>
          <w:b/>
          <w:lang w:eastAsia="pl-PL"/>
        </w:rPr>
        <w:t xml:space="preserve"> </w:t>
      </w:r>
      <w:r w:rsidR="007552BC">
        <w:rPr>
          <w:rFonts w:eastAsia="Calibri"/>
          <w:lang w:eastAsia="pl-PL"/>
        </w:rPr>
        <w:t>проводили</w:t>
      </w:r>
      <w:r w:rsidR="007B2D4F">
        <w:rPr>
          <w:rFonts w:eastAsia="Calibri"/>
          <w:lang w:eastAsia="pl-PL"/>
        </w:rPr>
        <w:t xml:space="preserve"> багаторазово, у великих обсягах</w:t>
      </w:r>
      <w:r w:rsidR="007B2D4F" w:rsidRPr="003C1D3B">
        <w:rPr>
          <w:rFonts w:eastAsia="Calibri"/>
          <w:lang w:eastAsia="pl-PL"/>
        </w:rPr>
        <w:t xml:space="preserve"> </w:t>
      </w:r>
      <w:r w:rsidR="007552BC">
        <w:rPr>
          <w:rFonts w:eastAsia="Calibri"/>
          <w:lang w:eastAsia="pl-PL"/>
        </w:rPr>
        <w:t xml:space="preserve">фінансові операції </w:t>
      </w:r>
      <w:r w:rsidR="007552BC" w:rsidRPr="007B2D4F">
        <w:rPr>
          <w:rFonts w:eastAsia="Calibri"/>
          <w:lang w:eastAsia="pl-PL"/>
        </w:rPr>
        <w:t>(</w:t>
      </w:r>
      <w:r w:rsidR="007552BC">
        <w:rPr>
          <w:rFonts w:eastAsia="Calibri"/>
          <w:lang w:eastAsia="pl-PL"/>
        </w:rPr>
        <w:t xml:space="preserve">кожна з яких </w:t>
      </w:r>
      <w:r w:rsidR="007552BC" w:rsidRPr="007B2D4F">
        <w:rPr>
          <w:rFonts w:eastAsia="Calibri"/>
          <w:lang w:eastAsia="pl-PL"/>
        </w:rPr>
        <w:t>перевищує 1,2 млн грн)</w:t>
      </w:r>
      <w:r w:rsidR="001D5F50">
        <w:rPr>
          <w:rFonts w:eastAsia="Calibri"/>
          <w:lang w:eastAsia="pl-PL"/>
        </w:rPr>
        <w:t>,</w:t>
      </w:r>
      <w:r w:rsidR="007552BC">
        <w:rPr>
          <w:rFonts w:eastAsia="Calibri"/>
          <w:lang w:eastAsia="pl-PL"/>
        </w:rPr>
        <w:t xml:space="preserve"> щодо </w:t>
      </w:r>
      <w:r w:rsidR="007552BC" w:rsidRPr="008D6E94">
        <w:rPr>
          <w:spacing w:val="-2"/>
          <w:shd w:val="clear" w:color="auto" w:fill="FFFFFF"/>
        </w:rPr>
        <w:t>яких є підозри у використ</w:t>
      </w:r>
      <w:r w:rsidR="007552BC">
        <w:rPr>
          <w:spacing w:val="-2"/>
          <w:shd w:val="clear" w:color="auto" w:fill="FFFFFF"/>
        </w:rPr>
        <w:t xml:space="preserve">анні </w:t>
      </w:r>
      <w:r w:rsidRPr="00982BB5">
        <w:rPr>
          <w:color w:val="000000" w:themeColor="text1"/>
        </w:rPr>
        <w:t>АТ “АКБ “КОНКОРД”</w:t>
      </w:r>
      <w:r>
        <w:rPr>
          <w:color w:val="000000" w:themeColor="text1"/>
        </w:rPr>
        <w:t xml:space="preserve"> </w:t>
      </w:r>
      <w:r w:rsidR="007552BC" w:rsidRPr="008D6E94">
        <w:rPr>
          <w:spacing w:val="-2"/>
          <w:shd w:val="clear" w:color="auto" w:fill="FFFFFF"/>
        </w:rPr>
        <w:t>для ВК/ФТ чи вчинення іншого злочину, що стали наслідком невиконання заходів ПВК/ФТ</w:t>
      </w:r>
      <w:r w:rsidR="007552BC">
        <w:rPr>
          <w:spacing w:val="-2"/>
          <w:shd w:val="clear" w:color="auto" w:fill="FFFFFF"/>
        </w:rPr>
        <w:t>.</w:t>
      </w:r>
    </w:p>
    <w:p w14:paraId="7C4B576E" w14:textId="3FB478CE" w:rsidR="0014666E" w:rsidRPr="008A3801" w:rsidRDefault="0014666E" w:rsidP="003B3353">
      <w:pPr>
        <w:ind w:firstLine="567"/>
        <w:rPr>
          <w:lang w:eastAsia="pl-PL"/>
        </w:rPr>
      </w:pPr>
      <w:r w:rsidRPr="00926921">
        <w:rPr>
          <w:lang w:eastAsia="pl-PL"/>
        </w:rPr>
        <w:t>З</w:t>
      </w:r>
      <w:r w:rsidR="007F11BF" w:rsidRPr="00926921">
        <w:rPr>
          <w:lang w:eastAsia="pl-PL"/>
        </w:rPr>
        <w:t>гідно з</w:t>
      </w:r>
      <w:r w:rsidRPr="00926921">
        <w:rPr>
          <w:lang w:eastAsia="pl-PL"/>
        </w:rPr>
        <w:t xml:space="preserve"> </w:t>
      </w:r>
      <w:r w:rsidR="006D787A" w:rsidRPr="00926921">
        <w:rPr>
          <w:lang w:eastAsia="pl-PL"/>
        </w:rPr>
        <w:t>інформацією</w:t>
      </w:r>
      <w:r w:rsidRPr="00926921">
        <w:rPr>
          <w:lang w:eastAsia="pl-PL"/>
        </w:rPr>
        <w:t xml:space="preserve"> </w:t>
      </w:r>
      <w:r w:rsidR="007F11BF" w:rsidRPr="00926921">
        <w:rPr>
          <w:color w:val="000000" w:themeColor="text1"/>
        </w:rPr>
        <w:t>АТ “АКБ “КОНКОРД”</w:t>
      </w:r>
      <w:r w:rsidR="006D787A" w:rsidRPr="00926921">
        <w:rPr>
          <w:lang w:eastAsia="pl-PL"/>
        </w:rPr>
        <w:t xml:space="preserve"> </w:t>
      </w:r>
      <w:r w:rsidRPr="00926921">
        <w:rPr>
          <w:lang w:eastAsia="pl-PL"/>
        </w:rPr>
        <w:t xml:space="preserve">суть фінансових операцій, </w:t>
      </w:r>
      <w:r w:rsidR="0077527C" w:rsidRPr="00926921">
        <w:rPr>
          <w:lang w:eastAsia="pl-PL"/>
        </w:rPr>
        <w:t>проведених</w:t>
      </w:r>
      <w:r w:rsidRPr="00926921">
        <w:rPr>
          <w:lang w:eastAsia="pl-PL"/>
        </w:rPr>
        <w:t xml:space="preserve"> </w:t>
      </w:r>
      <w:r w:rsidR="007F11BF" w:rsidRPr="00926921">
        <w:rPr>
          <w:lang w:eastAsia="pl-PL"/>
        </w:rPr>
        <w:t>у межах</w:t>
      </w:r>
      <w:r w:rsidRPr="00926921">
        <w:rPr>
          <w:lang w:eastAsia="pl-PL"/>
        </w:rPr>
        <w:t xml:space="preserve"> Договорів ІЕ та Договорів </w:t>
      </w:r>
      <w:r w:rsidR="0077527C" w:rsidRPr="00926921">
        <w:t>А2С</w:t>
      </w:r>
      <w:r w:rsidRPr="00926921">
        <w:rPr>
          <w:lang w:eastAsia="pl-PL"/>
        </w:rPr>
        <w:t xml:space="preserve"> п’ятьма клієнтами Групи ЮО, полягає у використанні майданчику обміну та </w:t>
      </w:r>
      <w:proofErr w:type="spellStart"/>
      <w:r w:rsidR="008669FE" w:rsidRPr="00926921">
        <w:rPr>
          <w:lang w:eastAsia="pl-PL"/>
        </w:rPr>
        <w:t>браузерної</w:t>
      </w:r>
      <w:proofErr w:type="spellEnd"/>
      <w:r w:rsidR="008669FE" w:rsidRPr="00926921">
        <w:rPr>
          <w:lang w:eastAsia="pl-PL"/>
        </w:rPr>
        <w:t xml:space="preserve"> гри для обміну між користувачами сайтів</w:t>
      </w:r>
      <w:r w:rsidRPr="00926921">
        <w:rPr>
          <w:lang w:eastAsia="pl-PL"/>
        </w:rPr>
        <w:t xml:space="preserve"> </w:t>
      </w:r>
      <w:r w:rsidR="007F11BF" w:rsidRPr="00926921">
        <w:rPr>
          <w:lang w:eastAsia="pl-PL"/>
        </w:rPr>
        <w:t xml:space="preserve">зазначених </w:t>
      </w:r>
      <w:r w:rsidR="008669FE" w:rsidRPr="00926921">
        <w:rPr>
          <w:lang w:eastAsia="pl-PL"/>
        </w:rPr>
        <w:t>клієнтів</w:t>
      </w:r>
      <w:r w:rsidRPr="00926921">
        <w:rPr>
          <w:lang w:eastAsia="pl-PL"/>
        </w:rPr>
        <w:t xml:space="preserve"> внутрішньо ігрових віртуальних предметів (одяг, зброя, ресурси та інше) або своїх внутрішньо ігрових валют за грошову винагороду, а також </w:t>
      </w:r>
      <w:r w:rsidR="00926921" w:rsidRPr="00B11E80">
        <w:rPr>
          <w:lang w:eastAsia="pl-PL"/>
        </w:rPr>
        <w:t xml:space="preserve">для </w:t>
      </w:r>
      <w:r w:rsidRPr="00926921">
        <w:rPr>
          <w:lang w:eastAsia="pl-PL"/>
        </w:rPr>
        <w:t>сервіс</w:t>
      </w:r>
      <w:r w:rsidR="00926921" w:rsidRPr="00B11E80">
        <w:rPr>
          <w:lang w:eastAsia="pl-PL"/>
        </w:rPr>
        <w:t>у</w:t>
      </w:r>
      <w:r w:rsidRPr="00926921">
        <w:rPr>
          <w:lang w:eastAsia="pl-PL"/>
        </w:rPr>
        <w:t xml:space="preserve"> пове</w:t>
      </w:r>
      <w:r w:rsidR="008669FE" w:rsidRPr="00926921">
        <w:rPr>
          <w:lang w:eastAsia="pl-PL"/>
        </w:rPr>
        <w:t>рнення грошових коштів (</w:t>
      </w:r>
      <w:proofErr w:type="spellStart"/>
      <w:r w:rsidR="008669FE" w:rsidRPr="00926921">
        <w:rPr>
          <w:lang w:eastAsia="pl-PL"/>
        </w:rPr>
        <w:t>кешбек</w:t>
      </w:r>
      <w:proofErr w:type="spellEnd"/>
      <w:r w:rsidR="008669FE" w:rsidRPr="00926921">
        <w:rPr>
          <w:lang w:eastAsia="pl-PL"/>
        </w:rPr>
        <w:t xml:space="preserve">), а послуги, що надаються </w:t>
      </w:r>
      <w:r w:rsidR="007F11BF" w:rsidRPr="00926921">
        <w:rPr>
          <w:lang w:eastAsia="pl-PL"/>
        </w:rPr>
        <w:t xml:space="preserve">згідно із зазначеними </w:t>
      </w:r>
      <w:r w:rsidR="008669FE" w:rsidRPr="00926921">
        <w:rPr>
          <w:lang w:eastAsia="pl-PL"/>
        </w:rPr>
        <w:t>договорами</w:t>
      </w:r>
      <w:r w:rsidR="00926921" w:rsidRPr="00B11E80">
        <w:rPr>
          <w:lang w:eastAsia="pl-PL"/>
        </w:rPr>
        <w:t>,</w:t>
      </w:r>
      <w:r w:rsidR="008669FE" w:rsidRPr="00926921">
        <w:rPr>
          <w:lang w:eastAsia="pl-PL"/>
        </w:rPr>
        <w:t xml:space="preserve"> </w:t>
      </w:r>
      <w:r w:rsidRPr="00926921">
        <w:rPr>
          <w:lang w:eastAsia="pl-PL"/>
        </w:rPr>
        <w:t xml:space="preserve">є суміжними, оскільки купівля ігрових ресурсів/артефактів здійснюється в </w:t>
      </w:r>
      <w:r w:rsidR="007F11BF" w:rsidRPr="00926921">
        <w:rPr>
          <w:lang w:eastAsia="pl-PL"/>
        </w:rPr>
        <w:t xml:space="preserve">межах </w:t>
      </w:r>
      <w:r w:rsidRPr="00926921">
        <w:rPr>
          <w:lang w:eastAsia="pl-PL"/>
        </w:rPr>
        <w:t xml:space="preserve">послуг інтернет-еквайрингу, а продаж ігрових ресурсів/артефактів – </w:t>
      </w:r>
      <w:r w:rsidR="007F11BF" w:rsidRPr="00926921">
        <w:rPr>
          <w:lang w:eastAsia="pl-PL"/>
        </w:rPr>
        <w:t>у межах</w:t>
      </w:r>
      <w:r w:rsidRPr="00926921">
        <w:rPr>
          <w:lang w:eastAsia="pl-PL"/>
        </w:rPr>
        <w:t xml:space="preserve"> послуг А2С.</w:t>
      </w:r>
    </w:p>
    <w:p w14:paraId="52C0D523" w14:textId="147F2C7A" w:rsidR="00521592" w:rsidRPr="00F30062" w:rsidRDefault="007F11BF" w:rsidP="003B3353">
      <w:pPr>
        <w:suppressAutoHyphens/>
        <w:ind w:firstLine="567"/>
        <w:rPr>
          <w:rFonts w:eastAsia="Calibri"/>
          <w:lang w:eastAsia="pl-PL"/>
        </w:rPr>
      </w:pPr>
      <w:r>
        <w:rPr>
          <w:rFonts w:eastAsia="Calibri"/>
          <w:lang w:eastAsia="pl-PL"/>
        </w:rPr>
        <w:t>Водночас</w:t>
      </w:r>
      <w:r w:rsidR="00521592">
        <w:rPr>
          <w:rFonts w:eastAsia="Calibri"/>
          <w:lang w:eastAsia="pl-PL"/>
        </w:rPr>
        <w:t xml:space="preserve"> за результатами перевірки встановлено, що</w:t>
      </w:r>
      <w:r w:rsidR="00521592" w:rsidRPr="00F30062">
        <w:rPr>
          <w:rFonts w:eastAsia="Calibri"/>
          <w:lang w:eastAsia="pl-PL"/>
        </w:rPr>
        <w:t xml:space="preserve"> протягом періоду перевірки до </w:t>
      </w:r>
      <w:r w:rsidRPr="00B11E80">
        <w:rPr>
          <w:color w:val="000000" w:themeColor="text1"/>
        </w:rPr>
        <w:t>АТ “АКБ “КОНКОРД”</w:t>
      </w:r>
      <w:r w:rsidR="00521592" w:rsidRPr="007F11BF">
        <w:rPr>
          <w:rFonts w:eastAsia="Calibri"/>
          <w:lang w:eastAsia="pl-PL"/>
        </w:rPr>
        <w:t xml:space="preserve"> неодноразово</w:t>
      </w:r>
      <w:r w:rsidR="00521592" w:rsidRPr="00F30062">
        <w:rPr>
          <w:rFonts w:eastAsia="Calibri"/>
          <w:lang w:eastAsia="pl-PL"/>
        </w:rPr>
        <w:t xml:space="preserve"> надходили повідомлення від </w:t>
      </w:r>
      <w:r w:rsidR="00521592">
        <w:rPr>
          <w:rFonts w:eastAsia="Calibri"/>
          <w:lang w:eastAsia="pl-PL"/>
        </w:rPr>
        <w:t>іншого банку</w:t>
      </w:r>
      <w:r w:rsidR="00521592" w:rsidRPr="00F30062">
        <w:rPr>
          <w:rFonts w:eastAsia="Calibri"/>
          <w:lang w:eastAsia="pl-PL"/>
        </w:rPr>
        <w:t xml:space="preserve"> стосовно фактів виявлення індикаторів підозрілості операцій щодо </w:t>
      </w:r>
      <w:r w:rsidR="00521592" w:rsidRPr="000F0D5F">
        <w:rPr>
          <w:rFonts w:eastAsia="Calibri"/>
          <w:lang w:eastAsia="pl-PL"/>
        </w:rPr>
        <w:t xml:space="preserve">підозри </w:t>
      </w:r>
      <w:r>
        <w:rPr>
          <w:rFonts w:eastAsia="Calibri"/>
          <w:lang w:eastAsia="pl-PL"/>
        </w:rPr>
        <w:t>в</w:t>
      </w:r>
      <w:r w:rsidRPr="000F0D5F">
        <w:rPr>
          <w:rFonts w:eastAsia="Calibri"/>
          <w:lang w:eastAsia="pl-PL"/>
        </w:rPr>
        <w:t xml:space="preserve"> </w:t>
      </w:r>
      <w:proofErr w:type="spellStart"/>
      <w:r w:rsidR="00521592" w:rsidRPr="000F0D5F">
        <w:rPr>
          <w:rFonts w:eastAsia="Calibri"/>
          <w:lang w:eastAsia="pl-PL"/>
        </w:rPr>
        <w:t>міскодінгу</w:t>
      </w:r>
      <w:proofErr w:type="spellEnd"/>
      <w:r w:rsidR="00521592" w:rsidRPr="00F30062">
        <w:rPr>
          <w:rFonts w:eastAsia="Calibri"/>
          <w:lang w:eastAsia="pl-PL"/>
        </w:rPr>
        <w:t xml:space="preserve"> за окремими терміналами, відкритими для </w:t>
      </w:r>
      <w:r w:rsidR="00CA0508">
        <w:rPr>
          <w:rFonts w:eastAsia="Calibri"/>
          <w:lang w:eastAsia="pl-PL"/>
        </w:rPr>
        <w:t>трьох</w:t>
      </w:r>
      <w:r w:rsidR="000F0D5F">
        <w:rPr>
          <w:rFonts w:eastAsia="Calibri"/>
          <w:lang w:eastAsia="pl-PL"/>
        </w:rPr>
        <w:t xml:space="preserve"> клієнтів Групи ЮО</w:t>
      </w:r>
      <w:r w:rsidR="00AB73AA">
        <w:rPr>
          <w:rFonts w:eastAsia="Calibri"/>
          <w:lang w:eastAsia="pl-PL"/>
        </w:rPr>
        <w:t xml:space="preserve"> із п’яти зазначених вище</w:t>
      </w:r>
      <w:r w:rsidR="000F0D5F">
        <w:rPr>
          <w:rFonts w:eastAsia="Calibri"/>
          <w:lang w:eastAsia="pl-PL"/>
        </w:rPr>
        <w:t xml:space="preserve">. </w:t>
      </w:r>
    </w:p>
    <w:p w14:paraId="315BF11F" w14:textId="1C2A7301" w:rsidR="00146C59" w:rsidRDefault="000B2D34" w:rsidP="003B3353">
      <w:pPr>
        <w:suppressAutoHyphens/>
        <w:ind w:firstLine="567"/>
        <w:rPr>
          <w:rFonts w:eastAsia="Calibri"/>
          <w:lang w:eastAsia="pl-PL"/>
        </w:rPr>
      </w:pPr>
      <w:r>
        <w:rPr>
          <w:rFonts w:eastAsia="Calibri"/>
          <w:lang w:eastAsia="pl-PL"/>
        </w:rPr>
        <w:t>Також</w:t>
      </w:r>
      <w:r w:rsidR="00521592" w:rsidRPr="000F0D5F">
        <w:rPr>
          <w:rFonts w:eastAsia="Calibri"/>
          <w:lang w:eastAsia="pl-PL"/>
        </w:rPr>
        <w:t xml:space="preserve"> </w:t>
      </w:r>
      <w:r w:rsidR="004309AD">
        <w:rPr>
          <w:rFonts w:eastAsia="Calibri"/>
          <w:lang w:eastAsia="pl-PL"/>
        </w:rPr>
        <w:t xml:space="preserve">перевіркою </w:t>
      </w:r>
      <w:r w:rsidR="000F0D5F">
        <w:rPr>
          <w:rFonts w:eastAsia="Calibri"/>
          <w:lang w:eastAsia="pl-PL"/>
        </w:rPr>
        <w:t xml:space="preserve">встановлено, що </w:t>
      </w:r>
      <w:r w:rsidR="00521592" w:rsidRPr="000F0D5F">
        <w:rPr>
          <w:rFonts w:eastAsia="Calibri"/>
          <w:lang w:eastAsia="pl-PL"/>
        </w:rPr>
        <w:t>за значною частиною терміналів, відкрит</w:t>
      </w:r>
      <w:r w:rsidR="000F0D5F">
        <w:rPr>
          <w:rFonts w:eastAsia="Calibri"/>
          <w:lang w:eastAsia="pl-PL"/>
        </w:rPr>
        <w:t xml:space="preserve">их </w:t>
      </w:r>
      <w:r w:rsidR="007F11BF">
        <w:rPr>
          <w:rFonts w:eastAsia="Calibri"/>
          <w:lang w:eastAsia="pl-PL"/>
        </w:rPr>
        <w:t>у межах</w:t>
      </w:r>
      <w:r w:rsidR="000F0D5F">
        <w:rPr>
          <w:rFonts w:eastAsia="Calibri"/>
          <w:lang w:eastAsia="pl-PL"/>
        </w:rPr>
        <w:t xml:space="preserve"> ділових відносин </w:t>
      </w:r>
      <w:r w:rsidR="007F11BF">
        <w:rPr>
          <w:rFonts w:eastAsia="Calibri"/>
          <w:lang w:eastAsia="pl-PL"/>
        </w:rPr>
        <w:t>і</w:t>
      </w:r>
      <w:r w:rsidR="000F0D5F">
        <w:rPr>
          <w:rFonts w:eastAsia="Calibri"/>
          <w:lang w:eastAsia="pl-PL"/>
        </w:rPr>
        <w:t xml:space="preserve">з </w:t>
      </w:r>
      <w:r w:rsidR="00CA0508">
        <w:rPr>
          <w:rFonts w:eastAsia="Calibri"/>
          <w:lang w:eastAsia="pl-PL"/>
        </w:rPr>
        <w:t>трьома</w:t>
      </w:r>
      <w:r w:rsidR="000F0D5F">
        <w:rPr>
          <w:rFonts w:eastAsia="Calibri"/>
          <w:lang w:eastAsia="pl-PL"/>
        </w:rPr>
        <w:t xml:space="preserve"> клієнтами Групи ЮО</w:t>
      </w:r>
      <w:r w:rsidR="00521592" w:rsidRPr="000F0D5F">
        <w:rPr>
          <w:rFonts w:eastAsia="Calibri"/>
          <w:lang w:eastAsia="pl-PL"/>
        </w:rPr>
        <w:t xml:space="preserve">, наявні факти проведення фінансових операцій за точками ініціювання платежів, що відрізняються від тих, що були ними </w:t>
      </w:r>
      <w:r w:rsidR="007F11BF">
        <w:rPr>
          <w:rFonts w:eastAsia="Calibri"/>
          <w:lang w:eastAsia="pl-PL"/>
        </w:rPr>
        <w:t>зазначені під час</w:t>
      </w:r>
      <w:r w:rsidR="00521592" w:rsidRPr="000F0D5F">
        <w:rPr>
          <w:rFonts w:eastAsia="Calibri"/>
          <w:lang w:eastAsia="pl-PL"/>
        </w:rPr>
        <w:t xml:space="preserve"> ділових відносин</w:t>
      </w:r>
      <w:r w:rsidR="007F11BF">
        <w:rPr>
          <w:rFonts w:eastAsia="Calibri"/>
          <w:lang w:eastAsia="pl-PL"/>
        </w:rPr>
        <w:t>,</w:t>
      </w:r>
      <w:r w:rsidR="00146C59">
        <w:rPr>
          <w:rFonts w:eastAsia="Calibri"/>
          <w:lang w:eastAsia="pl-PL"/>
        </w:rPr>
        <w:t xml:space="preserve"> зокрема</w:t>
      </w:r>
      <w:r w:rsidR="007F11BF">
        <w:rPr>
          <w:rFonts w:eastAsia="Calibri"/>
          <w:lang w:eastAsia="pl-PL"/>
        </w:rPr>
        <w:t>,</w:t>
      </w:r>
      <w:r w:rsidR="00146C59">
        <w:rPr>
          <w:rFonts w:eastAsia="Calibri"/>
          <w:lang w:eastAsia="pl-PL"/>
        </w:rPr>
        <w:t xml:space="preserve"> на</w:t>
      </w:r>
      <w:r w:rsidR="00146C59" w:rsidRPr="000F0D5F">
        <w:rPr>
          <w:rFonts w:eastAsia="Calibri"/>
          <w:lang w:eastAsia="pl-PL"/>
        </w:rPr>
        <w:t xml:space="preserve"> </w:t>
      </w:r>
      <w:proofErr w:type="spellStart"/>
      <w:r w:rsidR="00146C59" w:rsidRPr="000F0D5F">
        <w:rPr>
          <w:rFonts w:eastAsia="Calibri"/>
          <w:lang w:eastAsia="pl-PL"/>
        </w:rPr>
        <w:t>вебресурсах</w:t>
      </w:r>
      <w:proofErr w:type="spellEnd"/>
      <w:r w:rsidR="00146C59">
        <w:rPr>
          <w:rFonts w:eastAsia="Calibri"/>
          <w:lang w:eastAsia="pl-PL"/>
        </w:rPr>
        <w:t>:</w:t>
      </w:r>
    </w:p>
    <w:p w14:paraId="7982FCC1" w14:textId="198CCE75" w:rsidR="00146C59" w:rsidRDefault="00146C59" w:rsidP="003B3353">
      <w:pPr>
        <w:suppressAutoHyphens/>
        <w:ind w:firstLine="567"/>
        <w:rPr>
          <w:color w:val="000000" w:themeColor="text1"/>
          <w:lang w:eastAsia="pl-PL"/>
        </w:rPr>
      </w:pPr>
      <w:r w:rsidRPr="00146C59">
        <w:rPr>
          <w:iCs/>
          <w:color w:val="000000" w:themeColor="text1"/>
        </w:rPr>
        <w:t>pm.ua, first.ua</w:t>
      </w:r>
      <w:r w:rsidR="000F0D5F" w:rsidRPr="00146C59">
        <w:rPr>
          <w:rFonts w:eastAsia="Calibri"/>
          <w:color w:val="000000" w:themeColor="text1"/>
          <w:lang w:eastAsia="pl-PL"/>
        </w:rPr>
        <w:t xml:space="preserve">, </w:t>
      </w:r>
      <w:r w:rsidR="000F0D5F" w:rsidRPr="00786264">
        <w:rPr>
          <w:rFonts w:eastAsia="Calibri"/>
          <w:color w:val="000000" w:themeColor="text1"/>
          <w:lang w:eastAsia="pl-PL"/>
        </w:rPr>
        <w:t xml:space="preserve">які згідно з даними, </w:t>
      </w:r>
      <w:r w:rsidR="000F0D5F" w:rsidRPr="00786264">
        <w:rPr>
          <w:color w:val="000000" w:themeColor="text1"/>
          <w:lang w:val="pl-PL" w:eastAsia="pl-PL"/>
        </w:rPr>
        <w:t>розміщеними на офіційному сайті Комісії з регулювання азартних ігор та лотерей</w:t>
      </w:r>
      <w:r w:rsidR="000F0D5F" w:rsidRPr="00786264">
        <w:rPr>
          <w:color w:val="000000" w:themeColor="text1"/>
          <w:lang w:eastAsia="pl-PL"/>
        </w:rPr>
        <w:t xml:space="preserve"> (далі – КРАІЛ), належать суб’єктам господарювання, </w:t>
      </w:r>
      <w:r w:rsidR="00993020">
        <w:rPr>
          <w:color w:val="000000" w:themeColor="text1"/>
          <w:lang w:eastAsia="pl-PL"/>
        </w:rPr>
        <w:t>які мають</w:t>
      </w:r>
      <w:r w:rsidR="000F0D5F" w:rsidRPr="00786264">
        <w:rPr>
          <w:color w:val="000000" w:themeColor="text1"/>
          <w:lang w:eastAsia="pl-PL"/>
        </w:rPr>
        <w:t xml:space="preserve"> ліцензії КРАІЛ на провадження діяльності з організації та проведення азартних ігор казино </w:t>
      </w:r>
      <w:r w:rsidR="007F11BF">
        <w:rPr>
          <w:color w:val="000000" w:themeColor="text1"/>
          <w:lang w:eastAsia="pl-PL"/>
        </w:rPr>
        <w:t>в</w:t>
      </w:r>
      <w:r w:rsidR="007F11BF" w:rsidRPr="00786264">
        <w:rPr>
          <w:color w:val="000000" w:themeColor="text1"/>
          <w:lang w:eastAsia="pl-PL"/>
        </w:rPr>
        <w:t xml:space="preserve"> </w:t>
      </w:r>
      <w:r w:rsidR="000F0D5F" w:rsidRPr="00786264">
        <w:rPr>
          <w:color w:val="000000" w:themeColor="text1"/>
          <w:lang w:eastAsia="pl-PL"/>
        </w:rPr>
        <w:t xml:space="preserve">мережі </w:t>
      </w:r>
      <w:r w:rsidR="007F11BF">
        <w:rPr>
          <w:color w:val="000000" w:themeColor="text1"/>
          <w:lang w:eastAsia="pl-PL"/>
        </w:rPr>
        <w:t>І</w:t>
      </w:r>
      <w:r w:rsidR="000F0D5F" w:rsidRPr="00786264">
        <w:rPr>
          <w:color w:val="000000" w:themeColor="text1"/>
          <w:lang w:eastAsia="pl-PL"/>
        </w:rPr>
        <w:t>нтернет</w:t>
      </w:r>
      <w:r>
        <w:rPr>
          <w:color w:val="000000" w:themeColor="text1"/>
          <w:lang w:eastAsia="pl-PL"/>
        </w:rPr>
        <w:t>;</w:t>
      </w:r>
    </w:p>
    <w:p w14:paraId="2397A160" w14:textId="228CC6A0" w:rsidR="00146C59" w:rsidRPr="00146C59" w:rsidRDefault="00146C59" w:rsidP="003B3353">
      <w:pPr>
        <w:ind w:firstLine="567"/>
        <w:rPr>
          <w:iCs/>
          <w:color w:val="000000" w:themeColor="text1"/>
        </w:rPr>
      </w:pPr>
      <w:r w:rsidRPr="00146C59">
        <w:rPr>
          <w:iCs/>
          <w:color w:val="000000" w:themeColor="text1"/>
        </w:rPr>
        <w:lastRenderedPageBreak/>
        <w:t>parimatch.com, parimatch.net, favbet.com, інформаці</w:t>
      </w:r>
      <w:r w:rsidR="007F11BF">
        <w:rPr>
          <w:iCs/>
          <w:color w:val="000000" w:themeColor="text1"/>
        </w:rPr>
        <w:t>ї</w:t>
      </w:r>
      <w:r w:rsidRPr="00146C59">
        <w:rPr>
          <w:iCs/>
          <w:color w:val="000000" w:themeColor="text1"/>
        </w:rPr>
        <w:t xml:space="preserve"> щодо яких </w:t>
      </w:r>
      <w:r w:rsidR="007F11BF">
        <w:rPr>
          <w:iCs/>
          <w:color w:val="000000" w:themeColor="text1"/>
        </w:rPr>
        <w:t>немає</w:t>
      </w:r>
      <w:r w:rsidR="007F11BF" w:rsidRPr="00146C59">
        <w:rPr>
          <w:iCs/>
          <w:color w:val="000000" w:themeColor="text1"/>
        </w:rPr>
        <w:t xml:space="preserve"> </w:t>
      </w:r>
      <w:r w:rsidRPr="00146C59">
        <w:rPr>
          <w:iCs/>
          <w:color w:val="000000" w:themeColor="text1"/>
        </w:rPr>
        <w:t>на офіційному сайті КРАІЛ.</w:t>
      </w:r>
    </w:p>
    <w:p w14:paraId="1E3E257F" w14:textId="4A035578" w:rsidR="00EF3651" w:rsidRPr="00F30062" w:rsidRDefault="00EF3651" w:rsidP="003B3353">
      <w:pPr>
        <w:suppressAutoHyphens/>
        <w:ind w:firstLine="567"/>
        <w:rPr>
          <w:rFonts w:eastAsia="Calibri"/>
          <w:lang w:eastAsia="pl-PL"/>
        </w:rPr>
      </w:pPr>
      <w:r w:rsidRPr="00F30062">
        <w:rPr>
          <w:rFonts w:eastAsia="Calibri"/>
          <w:lang w:eastAsia="pl-PL"/>
        </w:rPr>
        <w:t>Водночас відповідно до даних, що містяться в реєстрах та переліках КРАІЛ</w:t>
      </w:r>
      <w:r w:rsidRPr="00F30062">
        <w:rPr>
          <w:rFonts w:eastAsia="Calibri"/>
          <w:vertAlign w:val="superscript"/>
          <w:lang w:eastAsia="pl-PL"/>
        </w:rPr>
        <w:footnoteReference w:id="10"/>
      </w:r>
      <w:r w:rsidRPr="00F30062">
        <w:rPr>
          <w:rFonts w:eastAsia="Calibri"/>
          <w:lang w:eastAsia="pl-PL"/>
        </w:rPr>
        <w:t xml:space="preserve">, </w:t>
      </w:r>
      <w:r>
        <w:rPr>
          <w:rFonts w:eastAsia="Calibri"/>
          <w:lang w:eastAsia="pl-PL"/>
        </w:rPr>
        <w:t xml:space="preserve">у зазначених вище </w:t>
      </w:r>
      <w:r w:rsidR="00751498">
        <w:rPr>
          <w:rFonts w:eastAsia="Calibri"/>
          <w:lang w:eastAsia="pl-PL"/>
        </w:rPr>
        <w:t xml:space="preserve">п’яти </w:t>
      </w:r>
      <w:r>
        <w:rPr>
          <w:rFonts w:eastAsia="Calibri"/>
          <w:lang w:eastAsia="pl-PL"/>
        </w:rPr>
        <w:t>клієнтів Групи ЮО</w:t>
      </w:r>
      <w:r w:rsidRPr="00F30062">
        <w:rPr>
          <w:rFonts w:eastAsia="Calibri"/>
          <w:lang w:eastAsia="pl-PL"/>
        </w:rPr>
        <w:t xml:space="preserve"> </w:t>
      </w:r>
      <w:r w:rsidR="007F11BF">
        <w:rPr>
          <w:rFonts w:eastAsia="Calibri"/>
          <w:lang w:eastAsia="pl-PL"/>
        </w:rPr>
        <w:t>немає</w:t>
      </w:r>
      <w:r w:rsidR="007F11BF" w:rsidRPr="00F30062">
        <w:rPr>
          <w:rFonts w:eastAsia="Calibri"/>
          <w:lang w:eastAsia="pl-PL"/>
        </w:rPr>
        <w:t xml:space="preserve"> </w:t>
      </w:r>
      <w:r w:rsidRPr="00F30062">
        <w:rPr>
          <w:rFonts w:eastAsia="Calibri"/>
          <w:lang w:eastAsia="pl-PL"/>
        </w:rPr>
        <w:t>ліцензі</w:t>
      </w:r>
      <w:r w:rsidR="007F11BF">
        <w:rPr>
          <w:rFonts w:eastAsia="Calibri"/>
          <w:lang w:eastAsia="pl-PL"/>
        </w:rPr>
        <w:t>й</w:t>
      </w:r>
      <w:r w:rsidRPr="00F30062">
        <w:rPr>
          <w:rFonts w:eastAsia="Calibri"/>
          <w:lang w:eastAsia="pl-PL"/>
        </w:rPr>
        <w:t xml:space="preserve"> на провадження діяльності з організації та проведення азартних ігор на території України.</w:t>
      </w:r>
    </w:p>
    <w:p w14:paraId="2FB72D62" w14:textId="4B884CD0" w:rsidR="007B2D4F" w:rsidRPr="00F30062" w:rsidRDefault="000B2D34" w:rsidP="003B3353">
      <w:pPr>
        <w:suppressAutoHyphens/>
        <w:ind w:firstLine="567"/>
        <w:rPr>
          <w:rFonts w:eastAsia="Calibri"/>
          <w:lang w:eastAsia="pl-PL"/>
        </w:rPr>
      </w:pPr>
      <w:r>
        <w:rPr>
          <w:rFonts w:eastAsia="Calibri"/>
          <w:lang w:eastAsia="pl-PL"/>
        </w:rPr>
        <w:t>Крім того,</w:t>
      </w:r>
      <w:r w:rsidR="006D787A">
        <w:rPr>
          <w:rFonts w:eastAsia="Calibri"/>
          <w:lang w:eastAsia="pl-PL"/>
        </w:rPr>
        <w:t xml:space="preserve"> за результатами перевірки встановлено, що </w:t>
      </w:r>
      <w:r w:rsidR="00751498">
        <w:rPr>
          <w:rFonts w:eastAsia="Calibri"/>
          <w:lang w:eastAsia="pl-PL"/>
        </w:rPr>
        <w:t xml:space="preserve">зазначені вище </w:t>
      </w:r>
      <w:r w:rsidR="006D787A">
        <w:rPr>
          <w:rFonts w:eastAsia="Calibri"/>
          <w:lang w:eastAsia="pl-PL"/>
        </w:rPr>
        <w:t>ю</w:t>
      </w:r>
      <w:r w:rsidR="007B2D4F" w:rsidRPr="007552BC">
        <w:rPr>
          <w:rFonts w:eastAsia="Calibri"/>
          <w:lang w:eastAsia="pl-PL"/>
        </w:rPr>
        <w:t xml:space="preserve">ридичні особи Групи ЮО мають ознаки пов’язаності </w:t>
      </w:r>
      <w:r w:rsidR="007B2D4F" w:rsidRPr="00F30062">
        <w:rPr>
          <w:rFonts w:eastAsia="Calibri"/>
          <w:lang w:eastAsia="pl-PL"/>
        </w:rPr>
        <w:t>між собою, зокрема:</w:t>
      </w:r>
    </w:p>
    <w:p w14:paraId="2154DD33" w14:textId="06EADBDD" w:rsidR="007B2D4F" w:rsidRPr="00F30062" w:rsidRDefault="004309AD" w:rsidP="003B3353">
      <w:pPr>
        <w:suppressAutoHyphens/>
        <w:ind w:firstLine="567"/>
        <w:rPr>
          <w:rFonts w:eastAsia="Calibri"/>
          <w:lang w:eastAsia="pl-PL"/>
        </w:rPr>
      </w:pPr>
      <w:r>
        <w:rPr>
          <w:rFonts w:eastAsia="Calibri"/>
          <w:lang w:eastAsia="pl-PL"/>
        </w:rPr>
        <w:t xml:space="preserve">один </w:t>
      </w:r>
      <w:r w:rsidR="007F11BF">
        <w:rPr>
          <w:rFonts w:eastAsia="Calibri"/>
          <w:lang w:eastAsia="pl-PL"/>
        </w:rPr>
        <w:t>і</w:t>
      </w:r>
      <w:r>
        <w:rPr>
          <w:rFonts w:eastAsia="Calibri"/>
          <w:lang w:eastAsia="pl-PL"/>
        </w:rPr>
        <w:t xml:space="preserve">з </w:t>
      </w:r>
      <w:r w:rsidR="006D787A">
        <w:rPr>
          <w:rFonts w:eastAsia="Calibri"/>
          <w:lang w:eastAsia="pl-PL"/>
        </w:rPr>
        <w:t>клієнт</w:t>
      </w:r>
      <w:r>
        <w:rPr>
          <w:rFonts w:eastAsia="Calibri"/>
          <w:lang w:eastAsia="pl-PL"/>
        </w:rPr>
        <w:t>ів</w:t>
      </w:r>
      <w:r w:rsidR="006D787A">
        <w:rPr>
          <w:rFonts w:eastAsia="Calibri"/>
          <w:lang w:eastAsia="pl-PL"/>
        </w:rPr>
        <w:t xml:space="preserve"> Групи ЮО</w:t>
      </w:r>
      <w:r w:rsidR="007B2D4F" w:rsidRPr="00F30062">
        <w:rPr>
          <w:rFonts w:eastAsia="Calibri"/>
          <w:lang w:eastAsia="pl-PL"/>
        </w:rPr>
        <w:t xml:space="preserve"> </w:t>
      </w:r>
      <w:r w:rsidR="007F11BF">
        <w:rPr>
          <w:rFonts w:eastAsia="Calibri"/>
          <w:lang w:eastAsia="pl-PL"/>
        </w:rPr>
        <w:t>був</w:t>
      </w:r>
      <w:r w:rsidR="007F11BF" w:rsidRPr="00F30062">
        <w:rPr>
          <w:rFonts w:eastAsia="Calibri"/>
          <w:lang w:eastAsia="pl-PL"/>
        </w:rPr>
        <w:t xml:space="preserve"> </w:t>
      </w:r>
      <w:r w:rsidR="007B2D4F" w:rsidRPr="00F30062">
        <w:rPr>
          <w:rFonts w:eastAsia="Calibri"/>
          <w:lang w:eastAsia="pl-PL"/>
        </w:rPr>
        <w:t xml:space="preserve">торговцем </w:t>
      </w:r>
      <w:r w:rsidR="0018153E">
        <w:rPr>
          <w:rFonts w:eastAsia="Calibri"/>
          <w:lang w:eastAsia="pl-PL"/>
        </w:rPr>
        <w:t>відносно</w:t>
      </w:r>
      <w:r w:rsidR="006D787A">
        <w:rPr>
          <w:rFonts w:eastAsia="Calibri"/>
          <w:lang w:eastAsia="pl-PL"/>
        </w:rPr>
        <w:t xml:space="preserve"> іншого клієнта Групи ЮО за Договором ІЕ</w:t>
      </w:r>
      <w:r w:rsidR="007B2D4F" w:rsidRPr="00F30062">
        <w:rPr>
          <w:rFonts w:eastAsia="Calibri"/>
          <w:lang w:eastAsia="pl-PL"/>
        </w:rPr>
        <w:t>;</w:t>
      </w:r>
    </w:p>
    <w:p w14:paraId="4FB6A3C6" w14:textId="2E8E8888" w:rsidR="007B2D4F" w:rsidRPr="00F30062" w:rsidRDefault="00DF202F" w:rsidP="003B3353">
      <w:pPr>
        <w:suppressAutoHyphens/>
        <w:ind w:firstLine="567"/>
        <w:rPr>
          <w:rFonts w:eastAsia="Calibri"/>
          <w:lang w:eastAsia="pl-PL"/>
        </w:rPr>
      </w:pPr>
      <w:r>
        <w:rPr>
          <w:rFonts w:eastAsia="Calibri"/>
          <w:lang w:eastAsia="pl-PL"/>
        </w:rPr>
        <w:t>чотири клієнти Групи ЮО</w:t>
      </w:r>
      <w:r w:rsidR="007B2D4F" w:rsidRPr="00F30062">
        <w:rPr>
          <w:rFonts w:eastAsia="Calibri"/>
          <w:lang w:eastAsia="pl-PL"/>
        </w:rPr>
        <w:t xml:space="preserve"> мають спільного КБВ/керівника, однакову адресу місцезнаходження;</w:t>
      </w:r>
    </w:p>
    <w:p w14:paraId="2CB5D040" w14:textId="7F35886F" w:rsidR="007B2D4F" w:rsidRPr="00F30062" w:rsidRDefault="00DF202F" w:rsidP="003B3353">
      <w:pPr>
        <w:suppressAutoHyphens/>
        <w:ind w:firstLine="567"/>
        <w:rPr>
          <w:rFonts w:eastAsia="Calibri"/>
          <w:lang w:eastAsia="pl-PL"/>
        </w:rPr>
      </w:pPr>
      <w:r>
        <w:rPr>
          <w:rFonts w:eastAsia="Calibri"/>
          <w:lang w:eastAsia="pl-PL"/>
        </w:rPr>
        <w:t>клієнт</w:t>
      </w:r>
      <w:r w:rsidR="00B021BE">
        <w:rPr>
          <w:rFonts w:eastAsia="Calibri"/>
          <w:lang w:eastAsia="pl-PL"/>
        </w:rPr>
        <w:t>и</w:t>
      </w:r>
      <w:r>
        <w:rPr>
          <w:rFonts w:eastAsia="Calibri"/>
          <w:lang w:eastAsia="pl-PL"/>
        </w:rPr>
        <w:t xml:space="preserve"> Групи ЮО</w:t>
      </w:r>
      <w:r w:rsidR="00B021BE">
        <w:rPr>
          <w:rFonts w:eastAsia="Calibri"/>
          <w:lang w:eastAsia="pl-PL"/>
        </w:rPr>
        <w:t xml:space="preserve"> є контрагентами</w:t>
      </w:r>
      <w:r w:rsidR="007B2D4F" w:rsidRPr="00F30062">
        <w:rPr>
          <w:rFonts w:eastAsia="Calibri"/>
          <w:lang w:eastAsia="pl-PL"/>
        </w:rPr>
        <w:t xml:space="preserve"> </w:t>
      </w:r>
      <w:r w:rsidR="00B021BE">
        <w:rPr>
          <w:rFonts w:eastAsia="Calibri"/>
          <w:lang w:eastAsia="pl-PL"/>
        </w:rPr>
        <w:t>інших</w:t>
      </w:r>
      <w:r>
        <w:rPr>
          <w:rFonts w:eastAsia="Calibri"/>
          <w:lang w:eastAsia="pl-PL"/>
        </w:rPr>
        <w:t xml:space="preserve"> кл</w:t>
      </w:r>
      <w:r w:rsidR="00B021BE">
        <w:rPr>
          <w:rFonts w:eastAsia="Calibri"/>
          <w:lang w:eastAsia="pl-PL"/>
        </w:rPr>
        <w:t>ієнтів</w:t>
      </w:r>
      <w:r>
        <w:rPr>
          <w:rFonts w:eastAsia="Calibri"/>
          <w:lang w:eastAsia="pl-PL"/>
        </w:rPr>
        <w:t xml:space="preserve"> Групи ЮО</w:t>
      </w:r>
      <w:r w:rsidR="007B2D4F" w:rsidRPr="00F30062">
        <w:rPr>
          <w:rFonts w:eastAsia="Calibri"/>
          <w:lang w:eastAsia="pl-PL"/>
        </w:rPr>
        <w:t xml:space="preserve"> за фінансовими операціями, проведеними за їх поточними рахунками, відкритими в </w:t>
      </w:r>
      <w:r w:rsidR="007F11BF" w:rsidRPr="00D50485">
        <w:rPr>
          <w:color w:val="000000" w:themeColor="text1"/>
        </w:rPr>
        <w:t>АТ “АКБ “КОНКОРД”</w:t>
      </w:r>
      <w:r w:rsidR="007B2D4F" w:rsidRPr="00F30062">
        <w:rPr>
          <w:rFonts w:eastAsia="Calibri"/>
          <w:lang w:eastAsia="pl-PL"/>
        </w:rPr>
        <w:t>;</w:t>
      </w:r>
    </w:p>
    <w:p w14:paraId="4C61C01F" w14:textId="24071D8E" w:rsidR="007B2D4F" w:rsidRDefault="00B021BE" w:rsidP="003B3353">
      <w:pPr>
        <w:suppressAutoHyphens/>
        <w:ind w:firstLine="567"/>
        <w:rPr>
          <w:rFonts w:eastAsia="Calibri"/>
          <w:lang w:eastAsia="pl-PL"/>
        </w:rPr>
      </w:pPr>
      <w:r>
        <w:rPr>
          <w:rFonts w:eastAsia="Calibri"/>
          <w:lang w:eastAsia="pl-PL"/>
        </w:rPr>
        <w:t>клієнт Групи ЮО</w:t>
      </w:r>
      <w:r w:rsidR="007B2D4F" w:rsidRPr="00F30062">
        <w:rPr>
          <w:rFonts w:eastAsia="Calibri"/>
          <w:lang w:eastAsia="pl-PL"/>
        </w:rPr>
        <w:t xml:space="preserve"> виконував фу</w:t>
      </w:r>
      <w:r w:rsidR="00856738">
        <w:rPr>
          <w:rFonts w:eastAsia="Calibri"/>
          <w:lang w:eastAsia="pl-PL"/>
        </w:rPr>
        <w:t xml:space="preserve">нкції технічного оператора для </w:t>
      </w:r>
      <w:r>
        <w:rPr>
          <w:rFonts w:eastAsia="Calibri"/>
          <w:lang w:eastAsia="pl-PL"/>
        </w:rPr>
        <w:t>шістьох клієнтів Групи ЮО</w:t>
      </w:r>
      <w:r w:rsidR="007B2D4F" w:rsidRPr="00F30062">
        <w:rPr>
          <w:rFonts w:eastAsia="Calibri"/>
          <w:lang w:eastAsia="pl-PL"/>
        </w:rPr>
        <w:t xml:space="preserve"> в </w:t>
      </w:r>
      <w:r>
        <w:rPr>
          <w:rFonts w:eastAsia="Calibri"/>
          <w:lang w:eastAsia="pl-PL"/>
        </w:rPr>
        <w:t>межах укладених з ними договорів</w:t>
      </w:r>
      <w:r w:rsidR="007B2D4F" w:rsidRPr="00F30062">
        <w:rPr>
          <w:rFonts w:eastAsia="Calibri"/>
          <w:lang w:eastAsia="pl-PL"/>
        </w:rPr>
        <w:t>.</w:t>
      </w:r>
    </w:p>
    <w:p w14:paraId="71C57C4F" w14:textId="4955A05A" w:rsidR="000B2D34" w:rsidRPr="00D110F0" w:rsidRDefault="000B2D34" w:rsidP="003B3353">
      <w:pPr>
        <w:tabs>
          <w:tab w:val="left" w:pos="1134"/>
        </w:tabs>
        <w:ind w:firstLine="567"/>
        <w:rPr>
          <w:rFonts w:eastAsia="Calibri"/>
        </w:rPr>
      </w:pPr>
      <w:r>
        <w:t>З</w:t>
      </w:r>
      <w:r w:rsidR="007F11BF">
        <w:t>гідно з</w:t>
      </w:r>
      <w:r>
        <w:t xml:space="preserve"> інформацією </w:t>
      </w:r>
      <w:r w:rsidR="007F11BF" w:rsidRPr="00D50485">
        <w:rPr>
          <w:color w:val="000000" w:themeColor="text1"/>
        </w:rPr>
        <w:t>АТ “АКБ “КОНКОРД”</w:t>
      </w:r>
      <w:r>
        <w:t xml:space="preserve"> </w:t>
      </w:r>
      <w:r w:rsidRPr="00D110F0">
        <w:rPr>
          <w:rFonts w:eastAsia="Calibri"/>
        </w:rPr>
        <w:t>суть ф</w:t>
      </w:r>
      <w:r w:rsidR="00D110F0">
        <w:rPr>
          <w:rFonts w:eastAsia="Calibri"/>
        </w:rPr>
        <w:t>інансових операцій, що проводили</w:t>
      </w:r>
      <w:r w:rsidRPr="00D110F0">
        <w:rPr>
          <w:rFonts w:eastAsia="Calibri"/>
        </w:rPr>
        <w:t>с</w:t>
      </w:r>
      <w:r w:rsidR="007F11BF">
        <w:rPr>
          <w:rFonts w:eastAsia="Calibri"/>
        </w:rPr>
        <w:t xml:space="preserve">я </w:t>
      </w:r>
      <w:r w:rsidRPr="00D110F0">
        <w:rPr>
          <w:rFonts w:eastAsia="Calibri"/>
        </w:rPr>
        <w:t xml:space="preserve"> в</w:t>
      </w:r>
      <w:r w:rsidR="007F11BF">
        <w:rPr>
          <w:rFonts w:eastAsia="Calibri"/>
        </w:rPr>
        <w:t xml:space="preserve"> межах</w:t>
      </w:r>
      <w:r w:rsidRPr="00D110F0">
        <w:rPr>
          <w:rFonts w:eastAsia="Calibri"/>
        </w:rPr>
        <w:t xml:space="preserve"> договірних відносин з </w:t>
      </w:r>
      <w:r w:rsidR="00D110F0">
        <w:rPr>
          <w:rFonts w:eastAsia="Calibri"/>
        </w:rPr>
        <w:t>одним клієнтом Групи ЮО</w:t>
      </w:r>
      <w:r w:rsidR="00A36FC1">
        <w:rPr>
          <w:rFonts w:eastAsia="Calibri"/>
        </w:rPr>
        <w:t>,</w:t>
      </w:r>
      <w:r w:rsidRPr="00D110F0">
        <w:rPr>
          <w:rFonts w:eastAsia="Calibri"/>
        </w:rPr>
        <w:t xml:space="preserve"> є СЕО-просування (ведення сторінок в соціальних мережах, налаштування рекламних компаній в мережі Інтернет, </w:t>
      </w:r>
      <w:proofErr w:type="spellStart"/>
      <w:r w:rsidRPr="00D110F0">
        <w:rPr>
          <w:rFonts w:eastAsia="Calibri"/>
        </w:rPr>
        <w:t>таргетування</w:t>
      </w:r>
      <w:proofErr w:type="spellEnd"/>
      <w:r w:rsidRPr="00D110F0">
        <w:rPr>
          <w:rFonts w:eastAsia="Calibri"/>
        </w:rPr>
        <w:t xml:space="preserve"> та просування реклами в пошукових та соціальних мережах) та повернення раніше сплачених коштів, що не були отримані (</w:t>
      </w:r>
      <w:proofErr w:type="spellStart"/>
      <w:r w:rsidRPr="00D110F0">
        <w:rPr>
          <w:rFonts w:eastAsia="Calibri"/>
        </w:rPr>
        <w:t>кешбек</w:t>
      </w:r>
      <w:proofErr w:type="spellEnd"/>
      <w:r w:rsidRPr="00D110F0">
        <w:rPr>
          <w:rFonts w:eastAsia="Calibri"/>
        </w:rPr>
        <w:t>).</w:t>
      </w:r>
    </w:p>
    <w:p w14:paraId="74F41A85" w14:textId="69017F31" w:rsidR="00B81EC3" w:rsidRDefault="00D110F0" w:rsidP="003B3353">
      <w:pPr>
        <w:ind w:firstLine="567"/>
      </w:pPr>
      <w:r>
        <w:t>Водночас за результатами перевірки встановлено,</w:t>
      </w:r>
      <w:r w:rsidR="00B81EC3">
        <w:t xml:space="preserve"> що</w:t>
      </w:r>
      <w:r w:rsidR="00B81EC3" w:rsidRPr="008638A0">
        <w:t xml:space="preserve"> </w:t>
      </w:r>
      <w:r w:rsidR="00B81EC3" w:rsidRPr="00836248">
        <w:t>88,28</w:t>
      </w:r>
      <w:r w:rsidR="00A36FC1">
        <w:t xml:space="preserve"> відсотк</w:t>
      </w:r>
      <w:r w:rsidR="00C66ABC">
        <w:t>а</w:t>
      </w:r>
      <w:r w:rsidR="00B81EC3" w:rsidRPr="00836248">
        <w:t xml:space="preserve"> від загальної суми надходжень на </w:t>
      </w:r>
      <w:r w:rsidR="00B81EC3" w:rsidRPr="008638A0">
        <w:t xml:space="preserve">поточний рахунок </w:t>
      </w:r>
      <w:r w:rsidR="00C66ABC">
        <w:t xml:space="preserve">зазначеного </w:t>
      </w:r>
      <w:r w:rsidR="00B81EC3">
        <w:t>клієнта Групи ЮО</w:t>
      </w:r>
      <w:r w:rsidR="0063035E">
        <w:rPr>
          <w:rStyle w:val="af8"/>
        </w:rPr>
        <w:footnoteReference w:id="11"/>
      </w:r>
      <w:r w:rsidR="00B81EC3" w:rsidRPr="008638A0">
        <w:t xml:space="preserve"> </w:t>
      </w:r>
      <w:r w:rsidR="00B81EC3">
        <w:t>становлять</w:t>
      </w:r>
      <w:r w:rsidR="00B81EC3" w:rsidRPr="008638A0">
        <w:t xml:space="preserve"> </w:t>
      </w:r>
      <w:r w:rsidR="00B81EC3">
        <w:t xml:space="preserve">грошові </w:t>
      </w:r>
      <w:r w:rsidR="00B81EC3" w:rsidRPr="00AA148D">
        <w:t>кошти</w:t>
      </w:r>
      <w:r w:rsidR="00B81EC3" w:rsidRPr="00AA148D">
        <w:rPr>
          <w:bCs/>
        </w:rPr>
        <w:t xml:space="preserve"> з</w:t>
      </w:r>
      <w:r w:rsidR="00B81EC3" w:rsidRPr="00B165DE">
        <w:rPr>
          <w:bCs/>
        </w:rPr>
        <w:t xml:space="preserve"> </w:t>
      </w:r>
      <w:r w:rsidR="00B81EC3" w:rsidRPr="00AA148D">
        <w:rPr>
          <w:bCs/>
        </w:rPr>
        <w:t>призначеннями платежів як</w:t>
      </w:r>
      <w:r w:rsidR="00B81EC3" w:rsidRPr="00B165DE">
        <w:t xml:space="preserve"> </w:t>
      </w:r>
      <w:r w:rsidR="00B81EC3" w:rsidRPr="008638A0">
        <w:t>сплата згідно</w:t>
      </w:r>
      <w:r w:rsidR="00AA148D">
        <w:t xml:space="preserve"> з</w:t>
      </w:r>
      <w:r w:rsidR="00B81EC3" w:rsidRPr="008638A0">
        <w:t xml:space="preserve"> договор</w:t>
      </w:r>
      <w:r w:rsidR="00AA148D">
        <w:t>ами</w:t>
      </w:r>
      <w:r w:rsidR="00B81EC3" w:rsidRPr="008638A0">
        <w:t xml:space="preserve"> про від</w:t>
      </w:r>
      <w:r w:rsidR="00B81EC3">
        <w:t>ступлення права грошової вимоги</w:t>
      </w:r>
      <w:r w:rsidR="008D7F5A">
        <w:t xml:space="preserve">, а щодо </w:t>
      </w:r>
      <w:r w:rsidR="00B81EC3" w:rsidRPr="00295871">
        <w:t xml:space="preserve">перерахування  коштів </w:t>
      </w:r>
      <w:r w:rsidR="00AA148D">
        <w:t>і</w:t>
      </w:r>
      <w:r w:rsidR="00B81EC3" w:rsidRPr="00295871">
        <w:t>з поточного рахунку встановлено, що</w:t>
      </w:r>
      <w:r w:rsidR="00B81EC3">
        <w:t>:</w:t>
      </w:r>
      <w:r w:rsidR="00AA148D">
        <w:t xml:space="preserve"> </w:t>
      </w:r>
    </w:p>
    <w:p w14:paraId="404DA750" w14:textId="68DBE832" w:rsidR="00B81EC3" w:rsidRPr="00B81EC3" w:rsidRDefault="00B81EC3" w:rsidP="003B3353">
      <w:pPr>
        <w:ind w:firstLine="567"/>
      </w:pPr>
      <w:r w:rsidRPr="00295871">
        <w:t>55,43</w:t>
      </w:r>
      <w:r w:rsidR="00A36FC1">
        <w:t xml:space="preserve"> відсотка</w:t>
      </w:r>
      <w:r w:rsidR="00A36FC1" w:rsidRPr="00295871">
        <w:t xml:space="preserve"> </w:t>
      </w:r>
      <w:r>
        <w:t xml:space="preserve">грошових коштів </w:t>
      </w:r>
      <w:r w:rsidRPr="00295871">
        <w:rPr>
          <w:rFonts w:eastAsia="Calibri"/>
        </w:rPr>
        <w:t>перераховано на</w:t>
      </w:r>
      <w:r w:rsidRPr="00295871">
        <w:t xml:space="preserve"> транзитні рахунки 2924, відкриті для обліку взаєморозрахунків за Договором А2С;</w:t>
      </w:r>
      <w:r w:rsidRPr="00295871">
        <w:rPr>
          <w:rFonts w:eastAsia="Calibri"/>
        </w:rPr>
        <w:t xml:space="preserve"> </w:t>
      </w:r>
    </w:p>
    <w:p w14:paraId="7E188532" w14:textId="1889FC0C" w:rsidR="00B81EC3" w:rsidRPr="00B81EC3" w:rsidRDefault="00B81EC3" w:rsidP="003B3353">
      <w:pPr>
        <w:ind w:firstLine="567"/>
        <w:rPr>
          <w:rFonts w:eastAsia="Calibri"/>
          <w:bCs/>
        </w:rPr>
      </w:pPr>
      <w:r w:rsidRPr="00295871">
        <w:rPr>
          <w:rFonts w:eastAsia="Calibri"/>
        </w:rPr>
        <w:t>41,89</w:t>
      </w:r>
      <w:r w:rsidR="00A36FC1">
        <w:rPr>
          <w:rFonts w:eastAsia="Calibri"/>
        </w:rPr>
        <w:t xml:space="preserve"> відсотк</w:t>
      </w:r>
      <w:r w:rsidR="00AA148D">
        <w:rPr>
          <w:rFonts w:eastAsia="Calibri"/>
        </w:rPr>
        <w:t>а</w:t>
      </w:r>
      <w:r w:rsidRPr="00295871">
        <w:rPr>
          <w:rFonts w:eastAsia="Calibri"/>
        </w:rPr>
        <w:t xml:space="preserve"> </w:t>
      </w:r>
      <w:r>
        <w:t>грошових коштів</w:t>
      </w:r>
      <w:r w:rsidRPr="00295871">
        <w:rPr>
          <w:rFonts w:eastAsia="Calibri"/>
        </w:rPr>
        <w:t xml:space="preserve"> перераховано </w:t>
      </w:r>
      <w:r>
        <w:rPr>
          <w:rFonts w:eastAsia="Calibri"/>
        </w:rPr>
        <w:t>чотирьом клієнтам Групи ЮО</w:t>
      </w:r>
      <w:r w:rsidRPr="00295871">
        <w:rPr>
          <w:rFonts w:eastAsia="Calibri"/>
          <w:bCs/>
        </w:rPr>
        <w:t xml:space="preserve"> </w:t>
      </w:r>
      <w:r w:rsidRPr="00836248">
        <w:rPr>
          <w:rFonts w:eastAsia="Calibri"/>
          <w:bCs/>
        </w:rPr>
        <w:t>як</w:t>
      </w:r>
      <w:r>
        <w:rPr>
          <w:rFonts w:eastAsia="Calibri"/>
          <w:bCs/>
          <w:i/>
        </w:rPr>
        <w:t xml:space="preserve"> </w:t>
      </w:r>
      <w:r>
        <w:rPr>
          <w:rFonts w:eastAsia="Calibri"/>
          <w:bCs/>
        </w:rPr>
        <w:t>оплата за договорами за інформаційні послуги</w:t>
      </w:r>
      <w:r w:rsidRPr="00B81EC3">
        <w:rPr>
          <w:rFonts w:eastAsia="Calibri"/>
          <w:bCs/>
        </w:rPr>
        <w:t xml:space="preserve">. </w:t>
      </w:r>
    </w:p>
    <w:p w14:paraId="3A661A09" w14:textId="095E1D1E" w:rsidR="00B81EC3" w:rsidRPr="005D30CA" w:rsidRDefault="00B81EC3" w:rsidP="003B3353">
      <w:pPr>
        <w:ind w:firstLine="567"/>
      </w:pPr>
      <w:r w:rsidRPr="005D30CA">
        <w:t xml:space="preserve">Отже, </w:t>
      </w:r>
      <w:r>
        <w:t>більшість прибуткових фінансових операцій не пов’язана</w:t>
      </w:r>
      <w:r w:rsidRPr="005D30CA">
        <w:t xml:space="preserve"> з основною діяльністю (звичайною діяльністю) </w:t>
      </w:r>
      <w:r w:rsidR="00AA148D">
        <w:t xml:space="preserve">зазначеного </w:t>
      </w:r>
      <w:r w:rsidR="008D7F5A">
        <w:t>клієнта Групи ЮО</w:t>
      </w:r>
      <w:r w:rsidRPr="005D30CA">
        <w:t xml:space="preserve">, </w:t>
      </w:r>
      <w:r w:rsidR="008E7031">
        <w:t xml:space="preserve">що </w:t>
      </w:r>
      <w:r w:rsidR="00AA148D">
        <w:t>свідчить про</w:t>
      </w:r>
      <w:r w:rsidRPr="005D30CA">
        <w:t xml:space="preserve"> очевидну невідповідність змісту прибуткових та видаткових фінансових операцій за </w:t>
      </w:r>
      <w:r w:rsidR="008D7F5A">
        <w:t>його поточним рахунком</w:t>
      </w:r>
      <w:r>
        <w:t>.</w:t>
      </w:r>
    </w:p>
    <w:p w14:paraId="6350D9B9" w14:textId="32539562" w:rsidR="00B81EC3" w:rsidRDefault="00EC1265" w:rsidP="003B3353">
      <w:pPr>
        <w:ind w:firstLine="567"/>
      </w:pPr>
      <w:r>
        <w:t xml:space="preserve">Згідно з </w:t>
      </w:r>
      <w:r w:rsidR="00FC7C0C">
        <w:t>Догово</w:t>
      </w:r>
      <w:r w:rsidR="00FC7C0C" w:rsidRPr="007B2D4F">
        <w:t>р</w:t>
      </w:r>
      <w:r w:rsidR="008E7031">
        <w:t>ом</w:t>
      </w:r>
      <w:r w:rsidR="00FC7C0C" w:rsidRPr="007B2D4F">
        <w:t xml:space="preserve"> P2P</w:t>
      </w:r>
      <w:r w:rsidR="00FC7C0C">
        <w:t>,</w:t>
      </w:r>
      <w:r w:rsidR="008E7031">
        <w:t xml:space="preserve"> укладеним</w:t>
      </w:r>
      <w:r w:rsidR="00FC7C0C">
        <w:t xml:space="preserve"> </w:t>
      </w:r>
      <w:r w:rsidR="00AA148D" w:rsidRPr="00D50485">
        <w:rPr>
          <w:color w:val="000000" w:themeColor="text1"/>
        </w:rPr>
        <w:t>АТ “АКБ “КОНКОРД”</w:t>
      </w:r>
      <w:r w:rsidR="00FC7C0C">
        <w:t xml:space="preserve"> </w:t>
      </w:r>
      <w:r w:rsidR="00AA148D">
        <w:t>і</w:t>
      </w:r>
      <w:r w:rsidR="00FC7C0C">
        <w:t>з</w:t>
      </w:r>
      <w:r w:rsidR="00FC7C0C" w:rsidRPr="00FC7C0C">
        <w:t xml:space="preserve"> </w:t>
      </w:r>
      <w:r w:rsidR="00FC7C0C">
        <w:t xml:space="preserve">клієнтом Групи ЮО, </w:t>
      </w:r>
      <w:r w:rsidR="00AA148D" w:rsidRPr="00D50485">
        <w:rPr>
          <w:color w:val="000000" w:themeColor="text1"/>
        </w:rPr>
        <w:t>АТ “АКБ “КОНКОРД”</w:t>
      </w:r>
      <w:r w:rsidR="00FC7C0C" w:rsidRPr="00893767">
        <w:rPr>
          <w:spacing w:val="-4"/>
        </w:rPr>
        <w:t xml:space="preserve"> зобов’язується протягом дії </w:t>
      </w:r>
      <w:r w:rsidR="00AA148D">
        <w:rPr>
          <w:spacing w:val="-4"/>
        </w:rPr>
        <w:t>зазначеного</w:t>
      </w:r>
      <w:r w:rsidR="00AA148D" w:rsidRPr="00893767">
        <w:rPr>
          <w:spacing w:val="-4"/>
        </w:rPr>
        <w:t xml:space="preserve"> </w:t>
      </w:r>
      <w:r w:rsidR="00FC7C0C" w:rsidRPr="00893767">
        <w:rPr>
          <w:spacing w:val="-4"/>
        </w:rPr>
        <w:t xml:space="preserve">договору надавати клієнтам, залученим клієнтом </w:t>
      </w:r>
      <w:r>
        <w:rPr>
          <w:spacing w:val="-4"/>
        </w:rPr>
        <w:t>Г</w:t>
      </w:r>
      <w:r w:rsidRPr="00893767">
        <w:rPr>
          <w:spacing w:val="-4"/>
        </w:rPr>
        <w:t xml:space="preserve">рупи </w:t>
      </w:r>
      <w:r w:rsidR="00FC7C0C" w:rsidRPr="00893767">
        <w:rPr>
          <w:spacing w:val="-4"/>
        </w:rPr>
        <w:t xml:space="preserve">ЮО, </w:t>
      </w:r>
      <w:r w:rsidR="00893767" w:rsidRPr="00893767">
        <w:rPr>
          <w:spacing w:val="-4"/>
        </w:rPr>
        <w:t>б</w:t>
      </w:r>
      <w:r w:rsidR="00FC7C0C" w:rsidRPr="00893767">
        <w:rPr>
          <w:spacing w:val="-4"/>
        </w:rPr>
        <w:t>анківські послуги</w:t>
      </w:r>
      <w:r w:rsidR="00893767" w:rsidRPr="00893767">
        <w:rPr>
          <w:spacing w:val="-4"/>
        </w:rPr>
        <w:t xml:space="preserve"> </w:t>
      </w:r>
      <w:r w:rsidR="00893767" w:rsidRPr="00893767">
        <w:rPr>
          <w:spacing w:val="-4"/>
        </w:rPr>
        <w:lastRenderedPageBreak/>
        <w:t>щодо</w:t>
      </w:r>
      <w:r w:rsidR="00893767">
        <w:rPr>
          <w:b/>
          <w:spacing w:val="-4"/>
        </w:rPr>
        <w:t xml:space="preserve"> </w:t>
      </w:r>
      <w:r w:rsidR="00893767" w:rsidRPr="00F30062">
        <w:t xml:space="preserve">переказів </w:t>
      </w:r>
      <w:r w:rsidR="00AA148D">
        <w:t>і</w:t>
      </w:r>
      <w:r w:rsidR="00893767" w:rsidRPr="00F30062">
        <w:t xml:space="preserve">з рахунку на рахунок </w:t>
      </w:r>
      <w:r w:rsidR="00AA148D">
        <w:t>і</w:t>
      </w:r>
      <w:r w:rsidR="00893767" w:rsidRPr="00F30062">
        <w:t>з використанням реквізитів електронних платіжних засобів</w:t>
      </w:r>
      <w:r w:rsidR="00893767">
        <w:t>.</w:t>
      </w:r>
    </w:p>
    <w:p w14:paraId="28B7D9DE" w14:textId="6CEEB8C6" w:rsidR="00893767" w:rsidRPr="00F30062" w:rsidRDefault="00AA148D" w:rsidP="003B3353">
      <w:pPr>
        <w:ind w:firstLine="567"/>
        <w:rPr>
          <w:rFonts w:eastAsia="Arial"/>
          <w:lang w:eastAsia="pl-PL"/>
        </w:rPr>
      </w:pPr>
      <w:r>
        <w:t>Водночас</w:t>
      </w:r>
      <w:r w:rsidR="00893767">
        <w:t xml:space="preserve"> за результатами перевірки встановлено наявність </w:t>
      </w:r>
      <w:r w:rsidR="00893767" w:rsidRPr="00F30062">
        <w:rPr>
          <w:rFonts w:eastAsia="Arial"/>
          <w:lang w:eastAsia="pl-PL"/>
        </w:rPr>
        <w:t xml:space="preserve">різниці між загальною кількістю фінансових операцій зі списання коштів та загальною кількістю фінансових операцій із зарахування коштів, що не відповідає інформації щодо можливих операцій, розміщеній/відображеній на точках </w:t>
      </w:r>
      <w:r w:rsidR="00547945">
        <w:rPr>
          <w:rFonts w:eastAsia="Arial"/>
          <w:lang w:eastAsia="pl-PL"/>
        </w:rPr>
        <w:t>ініціювання Р2Р</w:t>
      </w:r>
      <w:r>
        <w:rPr>
          <w:rFonts w:eastAsia="Arial"/>
          <w:lang w:eastAsia="pl-PL"/>
        </w:rPr>
        <w:t>-</w:t>
      </w:r>
      <w:r w:rsidR="00547945">
        <w:rPr>
          <w:rFonts w:eastAsia="Arial"/>
          <w:lang w:eastAsia="pl-PL"/>
        </w:rPr>
        <w:t xml:space="preserve">переказів </w:t>
      </w:r>
      <w:r w:rsidR="00547945" w:rsidRPr="001A4653">
        <w:rPr>
          <w:rFonts w:eastAsia="Arial"/>
          <w:lang w:eastAsia="pl-PL"/>
        </w:rPr>
        <w:t>[</w:t>
      </w:r>
      <w:r w:rsidR="00893767" w:rsidRPr="00F30062">
        <w:rPr>
          <w:rFonts w:eastAsia="Arial"/>
          <w:lang w:eastAsia="pl-PL"/>
        </w:rPr>
        <w:t>ініціювання Р2Р</w:t>
      </w:r>
      <w:r>
        <w:rPr>
          <w:rFonts w:eastAsia="Arial"/>
          <w:lang w:eastAsia="pl-PL"/>
        </w:rPr>
        <w:t>-</w:t>
      </w:r>
      <w:r w:rsidR="00893767" w:rsidRPr="00F30062">
        <w:rPr>
          <w:rFonts w:eastAsia="Arial"/>
          <w:lang w:eastAsia="pl-PL"/>
        </w:rPr>
        <w:t>переказів можливе виключно з одного</w:t>
      </w:r>
      <w:r w:rsidR="00547945">
        <w:rPr>
          <w:rFonts w:eastAsia="Arial"/>
          <w:lang w:eastAsia="pl-PL"/>
        </w:rPr>
        <w:t xml:space="preserve"> електронного платіжного засобу (далі –</w:t>
      </w:r>
      <w:r w:rsidR="00893767" w:rsidRPr="00F30062">
        <w:rPr>
          <w:rFonts w:eastAsia="Arial"/>
          <w:lang w:eastAsia="pl-PL"/>
        </w:rPr>
        <w:t xml:space="preserve"> ЕПЗ</w:t>
      </w:r>
      <w:r w:rsidR="00547945">
        <w:rPr>
          <w:rFonts w:eastAsia="Arial"/>
          <w:lang w:eastAsia="pl-PL"/>
        </w:rPr>
        <w:t>)</w:t>
      </w:r>
      <w:r w:rsidR="00893767" w:rsidRPr="00F30062">
        <w:rPr>
          <w:rFonts w:eastAsia="Arial"/>
          <w:lang w:eastAsia="pl-PL"/>
        </w:rPr>
        <w:t xml:space="preserve"> на один ЕПЗ з одночасним </w:t>
      </w:r>
      <w:r>
        <w:rPr>
          <w:rFonts w:eastAsia="Arial"/>
          <w:lang w:eastAsia="pl-PL"/>
        </w:rPr>
        <w:t>у</w:t>
      </w:r>
      <w:r w:rsidR="00893767" w:rsidRPr="00F30062">
        <w:rPr>
          <w:rFonts w:eastAsia="Arial"/>
          <w:lang w:eastAsia="pl-PL"/>
        </w:rPr>
        <w:t>ведення</w:t>
      </w:r>
      <w:r w:rsidR="00EC1265">
        <w:rPr>
          <w:rFonts w:eastAsia="Arial"/>
          <w:lang w:eastAsia="pl-PL"/>
        </w:rPr>
        <w:t>м</w:t>
      </w:r>
      <w:r w:rsidR="00893767" w:rsidRPr="00F30062">
        <w:rPr>
          <w:rFonts w:eastAsia="Arial"/>
          <w:lang w:eastAsia="pl-PL"/>
        </w:rPr>
        <w:t xml:space="preserve"> реквізитів ЕПЗ</w:t>
      </w:r>
      <w:r w:rsidR="00547945">
        <w:rPr>
          <w:rFonts w:eastAsia="Arial"/>
          <w:lang w:eastAsia="pl-PL"/>
        </w:rPr>
        <w:t xml:space="preserve"> платника та отримувача коштів]</w:t>
      </w:r>
      <w:r w:rsidR="008E7031">
        <w:rPr>
          <w:rFonts w:eastAsia="Arial"/>
          <w:lang w:eastAsia="pl-PL"/>
        </w:rPr>
        <w:t>,</w:t>
      </w:r>
      <w:r w:rsidR="00893767">
        <w:rPr>
          <w:rFonts w:eastAsia="Arial"/>
          <w:lang w:eastAsia="pl-PL"/>
        </w:rPr>
        <w:t xml:space="preserve"> та проведення фінансових операцій</w:t>
      </w:r>
      <w:r w:rsidR="00893767" w:rsidRPr="00F30062">
        <w:rPr>
          <w:rFonts w:eastAsia="Arial"/>
          <w:lang w:eastAsia="pl-PL"/>
        </w:rPr>
        <w:t xml:space="preserve"> у розмірі, який перевищує максимально можливу суму переказу в </w:t>
      </w:r>
      <w:r>
        <w:rPr>
          <w:rFonts w:eastAsia="Arial"/>
          <w:lang w:eastAsia="pl-PL"/>
        </w:rPr>
        <w:t>“</w:t>
      </w:r>
      <w:r w:rsidR="00893767" w:rsidRPr="00F30062">
        <w:rPr>
          <w:rFonts w:eastAsia="Arial"/>
          <w:lang w:eastAsia="pl-PL"/>
        </w:rPr>
        <w:t>25 000,00 грн</w:t>
      </w:r>
      <w:r>
        <w:rPr>
          <w:rFonts w:eastAsia="Arial"/>
          <w:lang w:eastAsia="pl-PL"/>
        </w:rPr>
        <w:t>”</w:t>
      </w:r>
      <w:r w:rsidR="00893767" w:rsidRPr="00F30062">
        <w:rPr>
          <w:rFonts w:eastAsia="Arial"/>
          <w:lang w:eastAsia="pl-PL"/>
        </w:rPr>
        <w:t>, визначену на точках ініціювання Р2Р</w:t>
      </w:r>
      <w:r>
        <w:rPr>
          <w:rFonts w:eastAsia="Arial"/>
          <w:lang w:eastAsia="pl-PL"/>
        </w:rPr>
        <w:t>-</w:t>
      </w:r>
      <w:r w:rsidR="00893767" w:rsidRPr="00F30062">
        <w:rPr>
          <w:rFonts w:eastAsia="Arial"/>
          <w:lang w:eastAsia="pl-PL"/>
        </w:rPr>
        <w:t>переказів</w:t>
      </w:r>
      <w:r w:rsidR="00893767">
        <w:rPr>
          <w:rFonts w:eastAsia="Arial"/>
          <w:lang w:eastAsia="pl-PL"/>
        </w:rPr>
        <w:t>.</w:t>
      </w:r>
    </w:p>
    <w:p w14:paraId="65160CD5" w14:textId="117163EE" w:rsidR="007933EB" w:rsidRDefault="00893767" w:rsidP="003B3353">
      <w:pPr>
        <w:ind w:firstLine="567"/>
        <w:rPr>
          <w:rFonts w:eastAsia="Calibri"/>
          <w:bCs/>
        </w:rPr>
      </w:pPr>
      <w:r>
        <w:rPr>
          <w:rFonts w:eastAsia="Calibri"/>
          <w:bCs/>
        </w:rPr>
        <w:t>Крім того</w:t>
      </w:r>
      <w:r w:rsidRPr="000928C7">
        <w:rPr>
          <w:rFonts w:eastAsia="Calibri"/>
          <w:bCs/>
        </w:rPr>
        <w:t xml:space="preserve">, </w:t>
      </w:r>
      <w:r w:rsidR="008E7031">
        <w:rPr>
          <w:rFonts w:eastAsia="Calibri"/>
          <w:bCs/>
        </w:rPr>
        <w:t xml:space="preserve">під час проведення фінансових операцій за Договором Р2Р </w:t>
      </w:r>
      <w:r w:rsidR="00AA148D">
        <w:rPr>
          <w:rFonts w:eastAsia="Calibri"/>
          <w:bCs/>
        </w:rPr>
        <w:t xml:space="preserve">у  </w:t>
      </w:r>
      <w:r w:rsidR="008E7031">
        <w:rPr>
          <w:rFonts w:eastAsia="Calibri"/>
          <w:bCs/>
        </w:rPr>
        <w:t>публічних джерелах була інформація</w:t>
      </w:r>
      <w:r w:rsidRPr="000928C7">
        <w:rPr>
          <w:rFonts w:eastAsia="Calibri"/>
          <w:bCs/>
        </w:rPr>
        <w:t xml:space="preserve"> щодо здійснення </w:t>
      </w:r>
      <w:r w:rsidR="00AA148D">
        <w:rPr>
          <w:rFonts w:eastAsia="Calibri"/>
          <w:bCs/>
        </w:rPr>
        <w:t xml:space="preserve">зазначеним </w:t>
      </w:r>
      <w:r>
        <w:rPr>
          <w:rFonts w:eastAsia="Calibri"/>
          <w:bCs/>
        </w:rPr>
        <w:t>клієнтом Групи ЮО</w:t>
      </w:r>
      <w:r w:rsidRPr="000928C7">
        <w:rPr>
          <w:rFonts w:eastAsia="Calibri"/>
          <w:bCs/>
        </w:rPr>
        <w:t xml:space="preserve"> діяльності (надання послуг), пов’язаної (що можуть бути пов’язані) з віртуальними активами/</w:t>
      </w:r>
      <w:proofErr w:type="spellStart"/>
      <w:r w:rsidRPr="000928C7">
        <w:rPr>
          <w:rFonts w:eastAsia="Calibri"/>
          <w:bCs/>
        </w:rPr>
        <w:t>криптовалютами</w:t>
      </w:r>
      <w:proofErr w:type="spellEnd"/>
      <w:r w:rsidRPr="000928C7">
        <w:rPr>
          <w:rFonts w:eastAsia="Calibri"/>
          <w:bCs/>
        </w:rPr>
        <w:t>, які мають високі ризики ВК/ФТ.</w:t>
      </w:r>
    </w:p>
    <w:p w14:paraId="17FD05AE" w14:textId="2E826A1B" w:rsidR="00F25A20" w:rsidRPr="00A97BD4" w:rsidRDefault="008E7031" w:rsidP="003B3353">
      <w:pPr>
        <w:ind w:firstLine="567"/>
        <w:rPr>
          <w:rFonts w:eastAsia="Calibri"/>
          <w:lang w:eastAsia="pl-PL"/>
        </w:rPr>
      </w:pPr>
      <w:r>
        <w:rPr>
          <w:rFonts w:eastAsia="Calibri"/>
        </w:rPr>
        <w:t>Також</w:t>
      </w:r>
      <w:r w:rsidR="00AA148D">
        <w:rPr>
          <w:rFonts w:eastAsia="Calibri"/>
        </w:rPr>
        <w:t xml:space="preserve"> під час </w:t>
      </w:r>
      <w:r w:rsidR="00F25A20" w:rsidRPr="00A97BD4">
        <w:rPr>
          <w:rFonts w:eastAsia="Calibri"/>
        </w:rPr>
        <w:t xml:space="preserve">обслуговування </w:t>
      </w:r>
      <w:r w:rsidR="00FA606D">
        <w:rPr>
          <w:rFonts w:eastAsia="Calibri"/>
        </w:rPr>
        <w:t>клієнтів Групи ЮО</w:t>
      </w:r>
      <w:r w:rsidR="00F25A20" w:rsidRPr="00A97BD4">
        <w:rPr>
          <w:rFonts w:eastAsia="Calibri"/>
        </w:rPr>
        <w:t xml:space="preserve"> </w:t>
      </w:r>
      <w:r w:rsidR="00AA148D" w:rsidRPr="00D50485">
        <w:rPr>
          <w:color w:val="000000" w:themeColor="text1"/>
        </w:rPr>
        <w:t>АТ “АКБ “КОНКОРД”</w:t>
      </w:r>
      <w:r w:rsidR="00F25A20" w:rsidRPr="00A97BD4">
        <w:rPr>
          <w:rFonts w:eastAsia="Calibri"/>
        </w:rPr>
        <w:t xml:space="preserve"> стосовно них неодноразово от</w:t>
      </w:r>
      <w:r w:rsidR="00FA606D">
        <w:rPr>
          <w:rFonts w:eastAsia="Calibri"/>
        </w:rPr>
        <w:t>римувалас</w:t>
      </w:r>
      <w:r w:rsidR="00AA148D">
        <w:rPr>
          <w:rFonts w:eastAsia="Calibri"/>
        </w:rPr>
        <w:t>я</w:t>
      </w:r>
      <w:r w:rsidR="00FA606D">
        <w:rPr>
          <w:rFonts w:eastAsia="Calibri"/>
        </w:rPr>
        <w:t xml:space="preserve"> негативна інформація, зокрема,</w:t>
      </w:r>
      <w:r w:rsidR="00FA606D" w:rsidRPr="00FA606D">
        <w:rPr>
          <w:rFonts w:eastAsia="Calibri"/>
          <w:lang w:eastAsia="pl-PL"/>
        </w:rPr>
        <w:t xml:space="preserve"> </w:t>
      </w:r>
      <w:r w:rsidR="00FA606D" w:rsidRPr="00577FD1">
        <w:rPr>
          <w:rFonts w:eastAsia="Calibri"/>
          <w:lang w:eastAsia="pl-PL"/>
        </w:rPr>
        <w:t>надходження</w:t>
      </w:r>
      <w:r w:rsidR="00FA606D">
        <w:rPr>
          <w:rFonts w:eastAsia="Calibri"/>
          <w:lang w:eastAsia="pl-PL"/>
        </w:rPr>
        <w:t xml:space="preserve"> до </w:t>
      </w:r>
      <w:r w:rsidR="00AA148D" w:rsidRPr="00D50485">
        <w:rPr>
          <w:color w:val="000000" w:themeColor="text1"/>
        </w:rPr>
        <w:t>АТ “АКБ “КОНКОРД”</w:t>
      </w:r>
      <w:r w:rsidR="00FA606D" w:rsidRPr="00577FD1">
        <w:rPr>
          <w:rFonts w:eastAsia="Calibri"/>
          <w:lang w:eastAsia="pl-PL"/>
        </w:rPr>
        <w:t xml:space="preserve"> від правоохоронних </w:t>
      </w:r>
      <w:r w:rsidR="00FA606D">
        <w:rPr>
          <w:rFonts w:eastAsia="Calibri"/>
          <w:lang w:eastAsia="pl-PL"/>
        </w:rPr>
        <w:t>органів/</w:t>
      </w:r>
      <w:r w:rsidR="00FA606D" w:rsidRPr="00577FD1">
        <w:rPr>
          <w:rFonts w:eastAsia="Calibri"/>
          <w:lang w:eastAsia="pl-PL"/>
        </w:rPr>
        <w:t>суд</w:t>
      </w:r>
      <w:r w:rsidR="00FA606D">
        <w:rPr>
          <w:rFonts w:eastAsia="Calibri"/>
          <w:lang w:eastAsia="pl-PL"/>
        </w:rPr>
        <w:t>у</w:t>
      </w:r>
      <w:r w:rsidR="00FA606D" w:rsidRPr="00577FD1">
        <w:rPr>
          <w:rFonts w:eastAsia="Calibri"/>
          <w:lang w:eastAsia="pl-PL"/>
        </w:rPr>
        <w:t xml:space="preserve"> ухвал, постанов</w:t>
      </w:r>
      <w:r w:rsidR="00FA606D">
        <w:rPr>
          <w:rFonts w:eastAsia="Calibri"/>
          <w:lang w:eastAsia="pl-PL"/>
        </w:rPr>
        <w:t>/</w:t>
      </w:r>
      <w:r w:rsidR="00FA606D" w:rsidRPr="00577FD1">
        <w:rPr>
          <w:rFonts w:eastAsia="Calibri"/>
          <w:lang w:eastAsia="pl-PL"/>
        </w:rPr>
        <w:t xml:space="preserve">листів </w:t>
      </w:r>
      <w:r w:rsidR="00FA606D">
        <w:rPr>
          <w:rFonts w:eastAsia="Calibri"/>
          <w:lang w:eastAsia="pl-PL"/>
        </w:rPr>
        <w:t xml:space="preserve">стосовно </w:t>
      </w:r>
      <w:r w:rsidR="00FA606D" w:rsidRPr="00577FD1">
        <w:rPr>
          <w:rFonts w:eastAsia="Calibri"/>
          <w:lang w:eastAsia="pl-PL"/>
        </w:rPr>
        <w:t>фінансов</w:t>
      </w:r>
      <w:r w:rsidR="00FA606D">
        <w:rPr>
          <w:rFonts w:eastAsia="Calibri"/>
          <w:lang w:eastAsia="pl-PL"/>
        </w:rPr>
        <w:t>их</w:t>
      </w:r>
      <w:r w:rsidR="00FA606D" w:rsidRPr="00577FD1">
        <w:rPr>
          <w:rFonts w:eastAsia="Calibri"/>
          <w:lang w:eastAsia="pl-PL"/>
        </w:rPr>
        <w:t xml:space="preserve"> операці</w:t>
      </w:r>
      <w:r w:rsidR="00FA606D">
        <w:rPr>
          <w:rFonts w:eastAsia="Calibri"/>
          <w:lang w:eastAsia="pl-PL"/>
        </w:rPr>
        <w:t>й</w:t>
      </w:r>
      <w:r w:rsidR="007466C6">
        <w:rPr>
          <w:rFonts w:eastAsia="Calibri"/>
          <w:lang w:eastAsia="pl-PL"/>
        </w:rPr>
        <w:t>/</w:t>
      </w:r>
      <w:r w:rsidR="00FA606D" w:rsidRPr="00577FD1">
        <w:rPr>
          <w:rFonts w:eastAsia="Calibri"/>
          <w:lang w:eastAsia="pl-PL"/>
        </w:rPr>
        <w:t>діяльн</w:t>
      </w:r>
      <w:r w:rsidR="00FA606D">
        <w:rPr>
          <w:rFonts w:eastAsia="Calibri"/>
          <w:lang w:eastAsia="pl-PL"/>
        </w:rPr>
        <w:t>о</w:t>
      </w:r>
      <w:r w:rsidR="00FA606D" w:rsidRPr="00577FD1">
        <w:rPr>
          <w:rFonts w:eastAsia="Calibri"/>
          <w:lang w:eastAsia="pl-PL"/>
        </w:rPr>
        <w:t>ст</w:t>
      </w:r>
      <w:r w:rsidR="00FA606D">
        <w:rPr>
          <w:rFonts w:eastAsia="Calibri"/>
          <w:lang w:eastAsia="pl-PL"/>
        </w:rPr>
        <w:t>і</w:t>
      </w:r>
      <w:r w:rsidR="00FA606D" w:rsidRPr="00577FD1">
        <w:rPr>
          <w:rFonts w:eastAsia="Calibri"/>
          <w:lang w:eastAsia="pl-PL"/>
        </w:rPr>
        <w:t xml:space="preserve"> </w:t>
      </w:r>
      <w:r w:rsidR="00FA606D">
        <w:rPr>
          <w:rFonts w:eastAsia="Calibri"/>
          <w:lang w:eastAsia="pl-PL"/>
        </w:rPr>
        <w:t>клієнтів Групи ЮО</w:t>
      </w:r>
      <w:r w:rsidR="007466C6">
        <w:rPr>
          <w:rFonts w:eastAsia="Calibri"/>
          <w:lang w:eastAsia="pl-PL"/>
        </w:rPr>
        <w:t>.</w:t>
      </w:r>
    </w:p>
    <w:p w14:paraId="3BF663D7" w14:textId="2D94174E" w:rsidR="00EF4994" w:rsidRPr="00676D45" w:rsidRDefault="00AA148D" w:rsidP="003B3353">
      <w:pPr>
        <w:ind w:firstLine="567"/>
        <w:rPr>
          <w:rFonts w:eastAsia="Calibri"/>
          <w:lang w:eastAsia="pl-PL"/>
        </w:rPr>
      </w:pPr>
      <w:r>
        <w:rPr>
          <w:rFonts w:eastAsia="Calibri"/>
          <w:lang w:eastAsia="pl-PL"/>
        </w:rPr>
        <w:t>У</w:t>
      </w:r>
      <w:r w:rsidR="008E7031">
        <w:rPr>
          <w:rFonts w:eastAsia="Calibri"/>
          <w:lang w:eastAsia="pl-PL"/>
        </w:rPr>
        <w:t>раховуючи вищезазначене</w:t>
      </w:r>
      <w:r w:rsidR="00EF4994">
        <w:rPr>
          <w:rFonts w:eastAsia="Calibri"/>
          <w:lang w:eastAsia="pl-PL"/>
        </w:rPr>
        <w:t>, за результатами перевірки встановлено н</w:t>
      </w:r>
      <w:r w:rsidR="00EF4994" w:rsidRPr="00676D45">
        <w:rPr>
          <w:rFonts w:eastAsia="Calibri"/>
          <w:lang w:eastAsia="pl-PL"/>
        </w:rPr>
        <w:t xml:space="preserve">еналежне виконання </w:t>
      </w:r>
      <w:r w:rsidRPr="00D50485">
        <w:rPr>
          <w:color w:val="000000" w:themeColor="text1"/>
        </w:rPr>
        <w:t>АТ “АКБ “КОНКОРД”</w:t>
      </w:r>
      <w:r w:rsidR="00EF4994" w:rsidRPr="00676D45">
        <w:rPr>
          <w:rFonts w:eastAsia="Calibri"/>
          <w:lang w:eastAsia="pl-PL"/>
        </w:rPr>
        <w:t xml:space="preserve"> обов’язку щодо</w:t>
      </w:r>
      <w:r w:rsidR="00EF4994">
        <w:rPr>
          <w:rFonts w:eastAsia="Calibri"/>
          <w:lang w:eastAsia="pl-PL"/>
        </w:rPr>
        <w:t xml:space="preserve"> здійснення належної перевірки клієнтів Групи ЮО</w:t>
      </w:r>
      <w:r w:rsidR="00EF4994" w:rsidRPr="00676D45">
        <w:rPr>
          <w:rFonts w:eastAsia="Calibri"/>
          <w:lang w:eastAsia="pl-PL"/>
        </w:rPr>
        <w:t xml:space="preserve"> в частині встановлення (розуміння) мети та характеру майбутніх ділових відносин </w:t>
      </w:r>
      <w:r>
        <w:rPr>
          <w:rFonts w:eastAsia="Calibri"/>
          <w:lang w:eastAsia="pl-PL"/>
        </w:rPr>
        <w:t>і</w:t>
      </w:r>
      <w:r w:rsidR="00EF4994" w:rsidRPr="00676D45">
        <w:rPr>
          <w:rFonts w:eastAsia="Calibri"/>
          <w:lang w:eastAsia="pl-PL"/>
        </w:rPr>
        <w:t xml:space="preserve">з </w:t>
      </w:r>
      <w:r w:rsidR="00272428">
        <w:rPr>
          <w:rFonts w:eastAsia="Calibri"/>
          <w:lang w:eastAsia="pl-PL"/>
        </w:rPr>
        <w:t>клієнтами</w:t>
      </w:r>
      <w:r w:rsidR="00EF4994" w:rsidRPr="00676D45">
        <w:rPr>
          <w:rFonts w:eastAsia="Calibri"/>
          <w:lang w:eastAsia="pl-PL"/>
        </w:rPr>
        <w:t>, проведення на постійній основі моніторингу ділових відносин та фінансових операцій, що здійснювалис</w:t>
      </w:r>
      <w:r>
        <w:rPr>
          <w:rFonts w:eastAsia="Calibri"/>
          <w:lang w:eastAsia="pl-PL"/>
        </w:rPr>
        <w:t>я</w:t>
      </w:r>
      <w:r w:rsidR="00EF4994" w:rsidRPr="00676D45">
        <w:rPr>
          <w:rFonts w:eastAsia="Calibri"/>
          <w:lang w:eastAsia="pl-PL"/>
        </w:rPr>
        <w:t xml:space="preserve"> </w:t>
      </w:r>
      <w:r>
        <w:rPr>
          <w:rFonts w:eastAsia="Calibri"/>
          <w:lang w:eastAsia="pl-PL"/>
        </w:rPr>
        <w:t>під час</w:t>
      </w:r>
      <w:r w:rsidR="00EF4994" w:rsidRPr="00676D45">
        <w:rPr>
          <w:rFonts w:eastAsia="Calibri"/>
          <w:lang w:eastAsia="pl-PL"/>
        </w:rPr>
        <w:t xml:space="preserve"> ділових відносин </w:t>
      </w:r>
      <w:r>
        <w:rPr>
          <w:rFonts w:eastAsia="Calibri"/>
          <w:lang w:eastAsia="pl-PL"/>
        </w:rPr>
        <w:t>і</w:t>
      </w:r>
      <w:r w:rsidR="00EF4994" w:rsidRPr="00676D45">
        <w:rPr>
          <w:rFonts w:eastAsia="Calibri"/>
          <w:lang w:eastAsia="pl-PL"/>
        </w:rPr>
        <w:t xml:space="preserve">з </w:t>
      </w:r>
      <w:r w:rsidR="00EF4994">
        <w:rPr>
          <w:rFonts w:eastAsia="Calibri"/>
          <w:lang w:eastAsia="pl-PL"/>
        </w:rPr>
        <w:t>клієнтами Групи ЮО</w:t>
      </w:r>
      <w:r w:rsidR="00EF4994" w:rsidRPr="00676D45">
        <w:rPr>
          <w:rFonts w:eastAsia="Calibri"/>
          <w:lang w:eastAsia="pl-PL"/>
        </w:rPr>
        <w:t xml:space="preserve">, щодо відповідності таких фінансових операцій наявній </w:t>
      </w:r>
      <w:r>
        <w:rPr>
          <w:rFonts w:eastAsia="Calibri"/>
          <w:lang w:eastAsia="pl-PL"/>
        </w:rPr>
        <w:t>в</w:t>
      </w:r>
      <w:r w:rsidRPr="00676D45">
        <w:rPr>
          <w:rFonts w:eastAsia="Calibri"/>
          <w:lang w:eastAsia="pl-PL"/>
        </w:rPr>
        <w:t xml:space="preserve"> </w:t>
      </w:r>
      <w:r w:rsidRPr="00D50485">
        <w:rPr>
          <w:color w:val="000000" w:themeColor="text1"/>
        </w:rPr>
        <w:t>АТ “АКБ “КОНКОРД”</w:t>
      </w:r>
      <w:r w:rsidR="00EF4994" w:rsidRPr="00676D45">
        <w:rPr>
          <w:rFonts w:eastAsia="Calibri"/>
          <w:lang w:eastAsia="pl-PL"/>
        </w:rPr>
        <w:t xml:space="preserve"> інформації про </w:t>
      </w:r>
      <w:r w:rsidR="00EF4994">
        <w:rPr>
          <w:rFonts w:eastAsia="Calibri"/>
          <w:lang w:eastAsia="pl-PL"/>
        </w:rPr>
        <w:t>них, їх</w:t>
      </w:r>
      <w:r w:rsidR="00EF4994" w:rsidRPr="00676D45">
        <w:rPr>
          <w:rFonts w:eastAsia="Calibri"/>
          <w:lang w:eastAsia="pl-PL"/>
        </w:rPr>
        <w:t xml:space="preserve"> діяльність та ризик з огляду, зокрема, на:</w:t>
      </w:r>
      <w:r>
        <w:rPr>
          <w:rFonts w:eastAsia="Calibri"/>
          <w:lang w:eastAsia="pl-PL"/>
        </w:rPr>
        <w:t xml:space="preserve"> </w:t>
      </w:r>
    </w:p>
    <w:p w14:paraId="05530A10" w14:textId="6457C624" w:rsidR="00EF4994" w:rsidRPr="00676D45" w:rsidRDefault="00EF4994" w:rsidP="003B3353">
      <w:pPr>
        <w:ind w:firstLine="567"/>
        <w:rPr>
          <w:rFonts w:eastAsia="Calibri"/>
          <w:lang w:eastAsia="pl-PL"/>
        </w:rPr>
      </w:pPr>
      <w:r w:rsidRPr="00676D45">
        <w:rPr>
          <w:rFonts w:eastAsia="Calibri"/>
          <w:lang w:eastAsia="pl-PL"/>
        </w:rPr>
        <w:t xml:space="preserve">нездійснення належних заходів </w:t>
      </w:r>
      <w:r w:rsidR="00AA148D">
        <w:rPr>
          <w:rFonts w:eastAsia="Calibri"/>
          <w:lang w:eastAsia="pl-PL"/>
        </w:rPr>
        <w:t>і</w:t>
      </w:r>
      <w:r w:rsidRPr="00676D45">
        <w:rPr>
          <w:rFonts w:eastAsia="Calibri"/>
          <w:lang w:eastAsia="pl-PL"/>
        </w:rPr>
        <w:t xml:space="preserve">з перевірки відповідності фактичних фінансових операцій заявленій (наявній в </w:t>
      </w:r>
      <w:r w:rsidR="00AA148D" w:rsidRPr="00D50485">
        <w:rPr>
          <w:color w:val="000000" w:themeColor="text1"/>
        </w:rPr>
        <w:t>АТ “АКБ “КОНКОРД”</w:t>
      </w:r>
      <w:r w:rsidRPr="00676D45">
        <w:rPr>
          <w:rFonts w:eastAsia="Calibri"/>
          <w:lang w:eastAsia="pl-PL"/>
        </w:rPr>
        <w:t xml:space="preserve">) інформації щодо суті діяльності </w:t>
      </w:r>
      <w:r w:rsidR="00787CDB">
        <w:rPr>
          <w:rFonts w:eastAsia="Calibri"/>
          <w:lang w:eastAsia="pl-PL"/>
        </w:rPr>
        <w:t>клієнтів Групи ЮО</w:t>
      </w:r>
      <w:r w:rsidRPr="00676D45">
        <w:rPr>
          <w:rFonts w:eastAsia="Calibri"/>
          <w:lang w:eastAsia="pl-PL"/>
        </w:rPr>
        <w:t>;</w:t>
      </w:r>
    </w:p>
    <w:p w14:paraId="5DB5B272" w14:textId="1C3891BC" w:rsidR="00EF4994" w:rsidRPr="00676D45" w:rsidRDefault="00944470" w:rsidP="003B3353">
      <w:pPr>
        <w:ind w:firstLine="567"/>
        <w:rPr>
          <w:rFonts w:eastAsia="Calibri"/>
          <w:lang w:eastAsia="pl-PL"/>
        </w:rPr>
      </w:pPr>
      <w:r w:rsidRPr="00676D45">
        <w:rPr>
          <w:rFonts w:eastAsia="Calibri"/>
          <w:lang w:eastAsia="pl-PL"/>
        </w:rPr>
        <w:t>формальн</w:t>
      </w:r>
      <w:r>
        <w:rPr>
          <w:rFonts w:eastAsia="Calibri"/>
          <w:lang w:eastAsia="pl-PL"/>
        </w:rPr>
        <w:t>і</w:t>
      </w:r>
      <w:r w:rsidRPr="00676D45">
        <w:rPr>
          <w:rFonts w:eastAsia="Calibri"/>
          <w:lang w:eastAsia="pl-PL"/>
        </w:rPr>
        <w:t xml:space="preserve"> перевірк</w:t>
      </w:r>
      <w:r>
        <w:rPr>
          <w:rFonts w:eastAsia="Calibri"/>
          <w:lang w:eastAsia="pl-PL"/>
        </w:rPr>
        <w:t xml:space="preserve">и </w:t>
      </w:r>
      <w:r w:rsidR="00B443FC" w:rsidRPr="00D50485">
        <w:rPr>
          <w:color w:val="000000" w:themeColor="text1"/>
        </w:rPr>
        <w:t>АТ “АКБ “КОНКОРД”</w:t>
      </w:r>
      <w:r w:rsidRPr="00676D45">
        <w:rPr>
          <w:rFonts w:eastAsia="Calibri"/>
          <w:lang w:eastAsia="pl-PL"/>
        </w:rPr>
        <w:t xml:space="preserve"> </w:t>
      </w:r>
      <w:r w:rsidR="00EF4994" w:rsidRPr="00676D45">
        <w:rPr>
          <w:rFonts w:eastAsia="Calibri"/>
          <w:lang w:eastAsia="pl-PL"/>
        </w:rPr>
        <w:t xml:space="preserve">точок ініціювання платежів </w:t>
      </w:r>
      <w:r w:rsidR="00787CDB">
        <w:rPr>
          <w:rFonts w:eastAsia="Calibri"/>
          <w:lang w:eastAsia="pl-PL"/>
        </w:rPr>
        <w:t>клієнтів Групи ЮО</w:t>
      </w:r>
      <w:r w:rsidR="00EF4994" w:rsidRPr="00676D45">
        <w:rPr>
          <w:rFonts w:eastAsia="Calibri"/>
          <w:lang w:eastAsia="pl-PL"/>
        </w:rPr>
        <w:t xml:space="preserve">, зокрема, </w:t>
      </w:r>
      <w:r w:rsidR="00B443FC">
        <w:rPr>
          <w:rFonts w:eastAsia="Calibri"/>
          <w:lang w:eastAsia="pl-PL"/>
        </w:rPr>
        <w:t>у</w:t>
      </w:r>
      <w:r w:rsidR="00B443FC" w:rsidRPr="00676D45">
        <w:rPr>
          <w:rFonts w:eastAsia="Calibri"/>
          <w:lang w:eastAsia="pl-PL"/>
        </w:rPr>
        <w:t xml:space="preserve"> </w:t>
      </w:r>
      <w:r w:rsidR="00EF4994" w:rsidRPr="00676D45">
        <w:rPr>
          <w:rFonts w:eastAsia="Calibri"/>
          <w:lang w:eastAsia="pl-PL"/>
        </w:rPr>
        <w:t>частині відповідності фактичних фінансових операцій заявленій суті послуг, за які здійснюється ініціювання платіжних операцій</w:t>
      </w:r>
      <w:r w:rsidR="00B443FC">
        <w:rPr>
          <w:rFonts w:eastAsia="Calibri"/>
          <w:lang w:eastAsia="pl-PL"/>
        </w:rPr>
        <w:t>,</w:t>
      </w:r>
      <w:r w:rsidRPr="00944470">
        <w:t xml:space="preserve"> </w:t>
      </w:r>
      <w:r w:rsidRPr="007216BA">
        <w:t xml:space="preserve">функціонування </w:t>
      </w:r>
      <w:proofErr w:type="spellStart"/>
      <w:r w:rsidRPr="007216BA">
        <w:t>вебсайтів</w:t>
      </w:r>
      <w:proofErr w:type="spellEnd"/>
      <w:r w:rsidRPr="007216BA">
        <w:t xml:space="preserve"> </w:t>
      </w:r>
      <w:r>
        <w:rPr>
          <w:rFonts w:eastAsia="Calibri"/>
        </w:rPr>
        <w:t>окремих клієнтів Групи ЮО,</w:t>
      </w:r>
      <w:r w:rsidRPr="007216BA">
        <w:t xml:space="preserve"> зокрема, в частині відповідності кількості тран</w:t>
      </w:r>
      <w:r w:rsidR="00B443FC">
        <w:t>с</w:t>
      </w:r>
      <w:r w:rsidRPr="007216BA">
        <w:t xml:space="preserve">акцій відвідуваності відповідних </w:t>
      </w:r>
      <w:proofErr w:type="spellStart"/>
      <w:r w:rsidRPr="007216BA">
        <w:t>вебсайтів</w:t>
      </w:r>
      <w:proofErr w:type="spellEnd"/>
      <w:r w:rsidRPr="007216BA">
        <w:t xml:space="preserve">, </w:t>
      </w:r>
      <w:r w:rsidR="00B443FC">
        <w:t>у</w:t>
      </w:r>
      <w:r w:rsidR="00B443FC" w:rsidRPr="007216BA">
        <w:t xml:space="preserve"> </w:t>
      </w:r>
      <w:r w:rsidRPr="007216BA">
        <w:t>тому числі шляхом здійснення контрольних закупок;</w:t>
      </w:r>
    </w:p>
    <w:p w14:paraId="6E8B6CE0" w14:textId="49D9132E" w:rsidR="00EF4994" w:rsidRDefault="00EF4994" w:rsidP="003B3353">
      <w:pPr>
        <w:ind w:firstLine="567"/>
        <w:rPr>
          <w:lang w:eastAsia="pl-PL"/>
        </w:rPr>
      </w:pPr>
      <w:r>
        <w:rPr>
          <w:lang w:eastAsia="pl-PL"/>
        </w:rPr>
        <w:t>не</w:t>
      </w:r>
      <w:r w:rsidRPr="00676D45">
        <w:rPr>
          <w:lang w:eastAsia="pl-PL"/>
        </w:rPr>
        <w:t xml:space="preserve">здійснення належних заходів </w:t>
      </w:r>
      <w:r w:rsidR="00B443FC">
        <w:rPr>
          <w:lang w:eastAsia="pl-PL"/>
        </w:rPr>
        <w:t>і</w:t>
      </w:r>
      <w:r w:rsidRPr="00676D45">
        <w:rPr>
          <w:lang w:eastAsia="pl-PL"/>
        </w:rPr>
        <w:t xml:space="preserve">з перевірки інформації щодо окремих терміналів </w:t>
      </w:r>
      <w:r w:rsidR="0030451B">
        <w:rPr>
          <w:rFonts w:eastAsia="Calibri"/>
          <w:lang w:eastAsia="pl-PL"/>
        </w:rPr>
        <w:t>клієнтів Групи ЮО</w:t>
      </w:r>
      <w:r w:rsidRPr="00676D45">
        <w:rPr>
          <w:lang w:eastAsia="pl-PL"/>
        </w:rPr>
        <w:t xml:space="preserve">, стосовно яких до </w:t>
      </w:r>
      <w:r w:rsidR="00B443FC" w:rsidRPr="00D50485">
        <w:rPr>
          <w:color w:val="000000" w:themeColor="text1"/>
        </w:rPr>
        <w:t>АТ “АКБ “КОНКОРД”</w:t>
      </w:r>
      <w:r w:rsidRPr="00676D45">
        <w:rPr>
          <w:lang w:eastAsia="pl-PL"/>
        </w:rPr>
        <w:t xml:space="preserve"> надходили повідомлення про факти виявлення індикаторів підозрілості операцій щодо підозри </w:t>
      </w:r>
      <w:r w:rsidR="00B443FC">
        <w:rPr>
          <w:lang w:eastAsia="pl-PL"/>
        </w:rPr>
        <w:t>в</w:t>
      </w:r>
      <w:r w:rsidR="00B443FC" w:rsidRPr="00676D45">
        <w:rPr>
          <w:lang w:eastAsia="pl-PL"/>
        </w:rPr>
        <w:t xml:space="preserve"> </w:t>
      </w:r>
      <w:proofErr w:type="spellStart"/>
      <w:r w:rsidRPr="00676D45">
        <w:rPr>
          <w:lang w:eastAsia="pl-PL"/>
        </w:rPr>
        <w:t>міскодінгу</w:t>
      </w:r>
      <w:proofErr w:type="spellEnd"/>
      <w:r w:rsidRPr="00676D45">
        <w:rPr>
          <w:lang w:eastAsia="pl-PL"/>
        </w:rPr>
        <w:t>;</w:t>
      </w:r>
    </w:p>
    <w:p w14:paraId="3029B6B9" w14:textId="4CFE223C" w:rsidR="00EF4994" w:rsidRDefault="00EF4994" w:rsidP="003B3353">
      <w:pPr>
        <w:tabs>
          <w:tab w:val="left" w:pos="540"/>
        </w:tabs>
        <w:suppressAutoHyphens/>
        <w:ind w:firstLine="567"/>
        <w:rPr>
          <w:lang w:eastAsia="pl-PL"/>
        </w:rPr>
      </w:pPr>
      <w:proofErr w:type="spellStart"/>
      <w:r w:rsidRPr="00676D45">
        <w:rPr>
          <w:rFonts w:eastAsia="Calibri"/>
          <w:iCs/>
          <w:lang w:eastAsia="pl-PL"/>
        </w:rPr>
        <w:t>невиявлення</w:t>
      </w:r>
      <w:proofErr w:type="spellEnd"/>
      <w:r w:rsidRPr="00676D45">
        <w:rPr>
          <w:rFonts w:eastAsia="Calibri"/>
          <w:iCs/>
          <w:lang w:eastAsia="pl-PL"/>
        </w:rPr>
        <w:t xml:space="preserve"> </w:t>
      </w:r>
      <w:r w:rsidRPr="00676D45">
        <w:rPr>
          <w:rFonts w:eastAsia="Calibri"/>
          <w:lang w:eastAsia="pl-PL"/>
        </w:rPr>
        <w:t xml:space="preserve">індикаторів підозрілості фінансових операцій </w:t>
      </w:r>
      <w:r w:rsidR="0030451B">
        <w:rPr>
          <w:rFonts w:eastAsia="Calibri"/>
          <w:lang w:eastAsia="pl-PL"/>
        </w:rPr>
        <w:t>клієнтів Групи ЮО;</w:t>
      </w:r>
      <w:r w:rsidRPr="00676D45">
        <w:rPr>
          <w:rFonts w:eastAsia="Calibri"/>
          <w:lang w:eastAsia="pl-PL"/>
        </w:rPr>
        <w:t xml:space="preserve"> </w:t>
      </w:r>
    </w:p>
    <w:p w14:paraId="612F93E6" w14:textId="1A878CC3" w:rsidR="00EF4994" w:rsidRPr="007216BA" w:rsidRDefault="00EF4994" w:rsidP="003B3353">
      <w:pPr>
        <w:tabs>
          <w:tab w:val="left" w:pos="993"/>
        </w:tabs>
        <w:ind w:firstLine="567"/>
        <w:contextualSpacing/>
        <w:rPr>
          <w:rFonts w:eastAsia="Calibri"/>
        </w:rPr>
      </w:pPr>
      <w:r>
        <w:lastRenderedPageBreak/>
        <w:t xml:space="preserve">те, що </w:t>
      </w:r>
      <w:r w:rsidRPr="00526B16">
        <w:t>за наявності незвично великих фінансових операцій</w:t>
      </w:r>
      <w:r w:rsidR="0030451B">
        <w:t xml:space="preserve"> клієнтів Групи ЮО</w:t>
      </w:r>
      <w:r>
        <w:t xml:space="preserve"> </w:t>
      </w:r>
      <w:r w:rsidR="00B443FC" w:rsidRPr="00D50485">
        <w:rPr>
          <w:color w:val="000000" w:themeColor="text1"/>
        </w:rPr>
        <w:t>АТ “АКБ “КОНКОРД”</w:t>
      </w:r>
      <w:r w:rsidRPr="00526B16">
        <w:t xml:space="preserve"> не підвищено ступінь і характер монітори</w:t>
      </w:r>
      <w:r w:rsidR="0030451B">
        <w:t xml:space="preserve">нгу ділових відносин із </w:t>
      </w:r>
      <w:r w:rsidR="00B443FC">
        <w:t xml:space="preserve">зазначеними </w:t>
      </w:r>
      <w:r w:rsidR="0030451B">
        <w:t>клієнтами</w:t>
      </w:r>
      <w:r w:rsidRPr="00526B16">
        <w:t xml:space="preserve"> з метою визначення</w:t>
      </w:r>
      <w:r w:rsidR="00944470">
        <w:t xml:space="preserve"> того</w:t>
      </w:r>
      <w:r w:rsidRPr="00526B16">
        <w:t>, чи є фінансові операції або дії клієнт</w:t>
      </w:r>
      <w:r w:rsidR="0030451B">
        <w:t>ів</w:t>
      </w:r>
      <w:r w:rsidRPr="00526B16">
        <w:t xml:space="preserve"> підозрілими, а також </w:t>
      </w:r>
      <w:proofErr w:type="spellStart"/>
      <w:r w:rsidRPr="00526B16">
        <w:rPr>
          <w:szCs w:val="22"/>
        </w:rPr>
        <w:t>з</w:t>
      </w:r>
      <w:r w:rsidR="00B443FC">
        <w:rPr>
          <w:szCs w:val="22"/>
        </w:rPr>
        <w:t>ʼ</w:t>
      </w:r>
      <w:r w:rsidRPr="00526B16">
        <w:rPr>
          <w:szCs w:val="22"/>
        </w:rPr>
        <w:t>ясування</w:t>
      </w:r>
      <w:proofErr w:type="spellEnd"/>
      <w:r w:rsidRPr="00526B16">
        <w:rPr>
          <w:szCs w:val="22"/>
        </w:rPr>
        <w:t xml:space="preserve"> джерел</w:t>
      </w:r>
      <w:r w:rsidR="0030451B">
        <w:rPr>
          <w:szCs w:val="22"/>
        </w:rPr>
        <w:t xml:space="preserve"> походження</w:t>
      </w:r>
      <w:r w:rsidRPr="00526B16">
        <w:rPr>
          <w:szCs w:val="22"/>
        </w:rPr>
        <w:t xml:space="preserve"> коштів, пов’язаних </w:t>
      </w:r>
      <w:r w:rsidR="00B443FC">
        <w:rPr>
          <w:szCs w:val="22"/>
        </w:rPr>
        <w:t>і</w:t>
      </w:r>
      <w:r w:rsidRPr="00526B16">
        <w:rPr>
          <w:szCs w:val="22"/>
        </w:rPr>
        <w:t>з такими фінансовими операціями, достатніх для визначення</w:t>
      </w:r>
      <w:r>
        <w:rPr>
          <w:szCs w:val="22"/>
        </w:rPr>
        <w:t xml:space="preserve"> наявності/відсутності у клієнтів</w:t>
      </w:r>
      <w:r w:rsidRPr="00526B16">
        <w:rPr>
          <w:szCs w:val="22"/>
        </w:rPr>
        <w:t xml:space="preserve"> раціонально обґрунтованих фінансових можливостей для здійснення таких фінансових операцій</w:t>
      </w:r>
      <w:r w:rsidRPr="00526B16">
        <w:t>;</w:t>
      </w:r>
    </w:p>
    <w:p w14:paraId="64D9D4E4" w14:textId="3292BF03" w:rsidR="00EF4994" w:rsidRDefault="00EF4994" w:rsidP="003B3353">
      <w:pPr>
        <w:tabs>
          <w:tab w:val="left" w:pos="709"/>
          <w:tab w:val="left" w:pos="993"/>
        </w:tabs>
        <w:ind w:firstLine="567"/>
        <w:contextualSpacing/>
      </w:pPr>
      <w:r>
        <w:t>те, що</w:t>
      </w:r>
      <w:r w:rsidR="00944470" w:rsidRPr="00944470">
        <w:t xml:space="preserve"> </w:t>
      </w:r>
      <w:r w:rsidR="00B443FC" w:rsidRPr="00D50485">
        <w:rPr>
          <w:color w:val="000000" w:themeColor="text1"/>
        </w:rPr>
        <w:t>АТ “АКБ “КОНКОРД”</w:t>
      </w:r>
      <w:r w:rsidR="00944470">
        <w:t>,</w:t>
      </w:r>
      <w:r>
        <w:t xml:space="preserve"> </w:t>
      </w:r>
      <w:r w:rsidRPr="00526B16">
        <w:t>маючи негативну інформацію пр</w:t>
      </w:r>
      <w:r>
        <w:t xml:space="preserve">о діяльність </w:t>
      </w:r>
      <w:r w:rsidR="0030451B">
        <w:t>клієнтів Групи ЮО</w:t>
      </w:r>
      <w:r w:rsidR="00944470">
        <w:t>,</w:t>
      </w:r>
      <w:r w:rsidRPr="00526B16">
        <w:t xml:space="preserve"> не вжива</w:t>
      </w:r>
      <w:r w:rsidR="00B443FC">
        <w:t>ло</w:t>
      </w:r>
      <w:r w:rsidRPr="00526B16">
        <w:t xml:space="preserve"> жодних дієвих заходів для ефективного запобігання використанню послуг </w:t>
      </w:r>
      <w:r w:rsidR="00B443FC" w:rsidRPr="00D50485">
        <w:rPr>
          <w:color w:val="000000" w:themeColor="text1"/>
        </w:rPr>
        <w:t>АТ “АКБ “КОНКОРД”</w:t>
      </w:r>
      <w:r w:rsidRPr="00526B16">
        <w:t xml:space="preserve"> з метою ВК/ФТ, зокрема не застосовува</w:t>
      </w:r>
      <w:r w:rsidR="00B443FC">
        <w:t>ло</w:t>
      </w:r>
      <w:r w:rsidRPr="00526B16">
        <w:t xml:space="preserve"> блокування операцій/сайтів </w:t>
      </w:r>
      <w:r w:rsidR="0030451B">
        <w:t>клієнтів Групи ЮО</w:t>
      </w:r>
      <w:r w:rsidRPr="00526B16">
        <w:t>, інших інструментів, які обмежують використання послуг ІЕ та А2С;</w:t>
      </w:r>
    </w:p>
    <w:p w14:paraId="13C916AF" w14:textId="1676576F" w:rsidR="00EF4994" w:rsidRPr="00787A8E" w:rsidRDefault="00EF4994" w:rsidP="003B3353">
      <w:pPr>
        <w:tabs>
          <w:tab w:val="left" w:pos="993"/>
        </w:tabs>
        <w:ind w:firstLine="567"/>
        <w:contextualSpacing/>
        <w:rPr>
          <w:rFonts w:eastAsia="Calibri"/>
        </w:rPr>
      </w:pPr>
      <w:r w:rsidRPr="00787A8E">
        <w:rPr>
          <w:rFonts w:eastAsia="Calibri"/>
        </w:rPr>
        <w:t xml:space="preserve">невжиття дієвих заходів для ефективного запобігання використанню послуг </w:t>
      </w:r>
      <w:r w:rsidR="00B443FC" w:rsidRPr="00D50485">
        <w:rPr>
          <w:color w:val="000000" w:themeColor="text1"/>
        </w:rPr>
        <w:t>АТ “АКБ “КОНКОРД”</w:t>
      </w:r>
      <w:r w:rsidRPr="00787A8E">
        <w:rPr>
          <w:rFonts w:eastAsia="Calibri"/>
        </w:rPr>
        <w:t xml:space="preserve"> з метою ВК/ФТ, зокрема</w:t>
      </w:r>
      <w:r w:rsidR="00A612E2">
        <w:rPr>
          <w:rFonts w:eastAsia="Calibri"/>
        </w:rPr>
        <w:t xml:space="preserve"> шляхом</w:t>
      </w:r>
      <w:r w:rsidRPr="00787A8E">
        <w:rPr>
          <w:rFonts w:eastAsia="Calibri"/>
        </w:rPr>
        <w:t xml:space="preserve"> проведення регулярних контрольних закупок на сайтах</w:t>
      </w:r>
      <w:r w:rsidR="0030451B" w:rsidRPr="0030451B">
        <w:t xml:space="preserve"> </w:t>
      </w:r>
      <w:r w:rsidR="0030451B">
        <w:t>клієнтів Групи ЮО,</w:t>
      </w:r>
      <w:r w:rsidRPr="00787A8E">
        <w:rPr>
          <w:rFonts w:eastAsia="Calibri"/>
        </w:rPr>
        <w:t xml:space="preserve"> відмови від підтримання </w:t>
      </w:r>
      <w:r w:rsidR="0030451B">
        <w:rPr>
          <w:rFonts w:eastAsia="Calibri"/>
        </w:rPr>
        <w:t xml:space="preserve">з ними </w:t>
      </w:r>
      <w:r w:rsidRPr="00787A8E">
        <w:rPr>
          <w:rFonts w:eastAsia="Calibri"/>
        </w:rPr>
        <w:t xml:space="preserve">ділових відносин </w:t>
      </w:r>
      <w:r>
        <w:rPr>
          <w:rFonts w:eastAsia="Calibri"/>
        </w:rPr>
        <w:t xml:space="preserve">у зв’язку з ненаданням </w:t>
      </w:r>
      <w:r w:rsidRPr="00787A8E">
        <w:rPr>
          <w:rFonts w:eastAsia="Calibri"/>
        </w:rPr>
        <w:t xml:space="preserve">необхідних пояснень/документів для здійснення якісного аналізу </w:t>
      </w:r>
      <w:r>
        <w:rPr>
          <w:rFonts w:eastAsia="Calibri"/>
        </w:rPr>
        <w:t>їх господарської діяльності</w:t>
      </w:r>
      <w:r w:rsidRPr="00787A8E">
        <w:rPr>
          <w:rFonts w:eastAsia="Calibri"/>
        </w:rPr>
        <w:t>.</w:t>
      </w:r>
    </w:p>
    <w:p w14:paraId="69FE53CD" w14:textId="487C69A9" w:rsidR="00DE60D2" w:rsidRPr="008F4C94" w:rsidRDefault="00DE60D2" w:rsidP="003B3353">
      <w:pPr>
        <w:tabs>
          <w:tab w:val="left" w:pos="1134"/>
        </w:tabs>
        <w:ind w:firstLine="567"/>
        <w:contextualSpacing/>
      </w:pPr>
      <w:r>
        <w:rPr>
          <w:rFonts w:eastAsia="Calibri"/>
          <w:lang w:eastAsia="pl-PL"/>
        </w:rPr>
        <w:t>Крім того</w:t>
      </w:r>
      <w:r w:rsidRPr="00BC757D">
        <w:rPr>
          <w:rFonts w:eastAsia="Calibri"/>
          <w:lang w:eastAsia="pl-PL"/>
        </w:rPr>
        <w:t xml:space="preserve">, за результатами перевірки встановлено, що </w:t>
      </w:r>
      <w:r w:rsidR="00B443FC">
        <w:rPr>
          <w:rFonts w:eastAsia="Calibri"/>
          <w:lang w:eastAsia="pl-PL"/>
        </w:rPr>
        <w:t>під час</w:t>
      </w:r>
      <w:r>
        <w:rPr>
          <w:rFonts w:eastAsia="Calibri"/>
          <w:lang w:eastAsia="pl-PL"/>
        </w:rPr>
        <w:t xml:space="preserve"> обслуговування щодо </w:t>
      </w:r>
      <w:r w:rsidR="00FF7884">
        <w:rPr>
          <w:rFonts w:eastAsia="Calibri"/>
          <w:lang w:eastAsia="pl-PL"/>
        </w:rPr>
        <w:t xml:space="preserve">п’яти </w:t>
      </w:r>
      <w:r>
        <w:rPr>
          <w:rFonts w:eastAsia="Calibri"/>
          <w:lang w:eastAsia="pl-PL"/>
        </w:rPr>
        <w:t xml:space="preserve">клієнтів </w:t>
      </w:r>
      <w:r w:rsidR="00B443FC" w:rsidRPr="00D50485">
        <w:rPr>
          <w:color w:val="000000" w:themeColor="text1"/>
        </w:rPr>
        <w:t>АТ “АКБ “КОНКОРД”</w:t>
      </w:r>
      <w:r>
        <w:rPr>
          <w:rFonts w:eastAsia="Calibri"/>
          <w:lang w:eastAsia="pl-PL"/>
        </w:rPr>
        <w:t xml:space="preserve"> – юридичних осіб</w:t>
      </w:r>
      <w:r w:rsidRPr="00340E1B">
        <w:rPr>
          <w:rFonts w:eastAsia="Calibri"/>
          <w:lang w:eastAsia="pl-PL"/>
        </w:rPr>
        <w:t xml:space="preserve"> (зокрема, під час здійснення щоквартального аналізу операцій) </w:t>
      </w:r>
      <w:r w:rsidR="00B443FC" w:rsidRPr="00D50485">
        <w:rPr>
          <w:color w:val="000000" w:themeColor="text1"/>
        </w:rPr>
        <w:t>АТ “АКБ “КОНКОРД”</w:t>
      </w:r>
      <w:r w:rsidRPr="00340E1B">
        <w:rPr>
          <w:rFonts w:eastAsia="Calibri"/>
          <w:lang w:eastAsia="pl-PL"/>
        </w:rPr>
        <w:t xml:space="preserve"> не здійснюва</w:t>
      </w:r>
      <w:r w:rsidR="00B443FC">
        <w:rPr>
          <w:rFonts w:eastAsia="Calibri"/>
          <w:lang w:eastAsia="pl-PL"/>
        </w:rPr>
        <w:t>ло</w:t>
      </w:r>
      <w:r w:rsidRPr="00340E1B">
        <w:rPr>
          <w:rFonts w:eastAsia="Calibri"/>
          <w:lang w:eastAsia="pl-PL"/>
        </w:rPr>
        <w:t xml:space="preserve"> належних заходів </w:t>
      </w:r>
      <w:r w:rsidR="00B443FC">
        <w:rPr>
          <w:rFonts w:eastAsia="Calibri"/>
          <w:lang w:eastAsia="pl-PL"/>
        </w:rPr>
        <w:t>і</w:t>
      </w:r>
      <w:r w:rsidRPr="00340E1B">
        <w:rPr>
          <w:rFonts w:eastAsia="Calibri"/>
          <w:lang w:eastAsia="pl-PL"/>
        </w:rPr>
        <w:t>з моніторингу ризику ділових відносин, не вияв</w:t>
      </w:r>
      <w:r w:rsidR="00B443FC">
        <w:rPr>
          <w:rFonts w:eastAsia="Calibri"/>
          <w:lang w:eastAsia="pl-PL"/>
        </w:rPr>
        <w:t>ляло</w:t>
      </w:r>
      <w:r w:rsidRPr="00340E1B">
        <w:rPr>
          <w:rFonts w:eastAsia="Calibri"/>
          <w:lang w:eastAsia="pl-PL"/>
        </w:rPr>
        <w:t xml:space="preserve"> критеріїв ризику ВК/ФТ, неналежно здійснюва</w:t>
      </w:r>
      <w:r w:rsidR="00B443FC">
        <w:rPr>
          <w:rFonts w:eastAsia="Calibri"/>
          <w:lang w:eastAsia="pl-PL"/>
        </w:rPr>
        <w:t>ло</w:t>
      </w:r>
      <w:r>
        <w:rPr>
          <w:rFonts w:eastAsia="Calibri"/>
          <w:lang w:eastAsia="pl-PL"/>
        </w:rPr>
        <w:t>/не здійснюва</w:t>
      </w:r>
      <w:r w:rsidR="00B443FC">
        <w:rPr>
          <w:rFonts w:eastAsia="Calibri"/>
          <w:lang w:eastAsia="pl-PL"/>
        </w:rPr>
        <w:t>ло</w:t>
      </w:r>
      <w:r w:rsidRPr="00340E1B">
        <w:rPr>
          <w:rFonts w:eastAsia="Calibri"/>
          <w:lang w:eastAsia="pl-PL"/>
        </w:rPr>
        <w:t xml:space="preserve"> переоцінку рівня ризику клієнтів </w:t>
      </w:r>
      <w:r w:rsidR="00B443FC">
        <w:rPr>
          <w:rFonts w:eastAsia="Calibri"/>
          <w:lang w:eastAsia="pl-PL"/>
        </w:rPr>
        <w:t>під час</w:t>
      </w:r>
      <w:r w:rsidRPr="00340E1B">
        <w:rPr>
          <w:rFonts w:eastAsia="Calibri"/>
          <w:lang w:eastAsia="pl-PL"/>
        </w:rPr>
        <w:t xml:space="preserve"> ділових відносин за наявності від</w:t>
      </w:r>
      <w:r w:rsidR="00FA5798">
        <w:rPr>
          <w:rFonts w:eastAsia="Calibri"/>
          <w:lang w:eastAsia="pl-PL"/>
        </w:rPr>
        <w:t>повідних критеріїв ризику ВК/ФТ</w:t>
      </w:r>
      <w:r w:rsidRPr="008F4C94">
        <w:t xml:space="preserve">, </w:t>
      </w:r>
      <w:r w:rsidR="00FA5798">
        <w:t>несвоєчасно здійсни</w:t>
      </w:r>
      <w:r w:rsidR="00B443FC">
        <w:t>ло</w:t>
      </w:r>
      <w:r w:rsidRPr="008F4C94">
        <w:t xml:space="preserve"> заходи з підтрим</w:t>
      </w:r>
      <w:r w:rsidR="00B443FC">
        <w:t>ання</w:t>
      </w:r>
      <w:r w:rsidRPr="008F4C94">
        <w:t xml:space="preserve"> в актуальному стані ризик-профілю </w:t>
      </w:r>
      <w:r w:rsidR="00FA5798">
        <w:t>клієнт</w:t>
      </w:r>
      <w:r w:rsidR="00FF7884">
        <w:t>ів</w:t>
      </w:r>
      <w:r w:rsidRPr="008F4C94">
        <w:t>.</w:t>
      </w:r>
    </w:p>
    <w:p w14:paraId="730F9D40" w14:textId="281CB0C0" w:rsidR="00DE60D2" w:rsidRDefault="00DE60D2" w:rsidP="003B3353">
      <w:pPr>
        <w:ind w:firstLine="567"/>
      </w:pPr>
      <w:r w:rsidRPr="008D6E94">
        <w:t xml:space="preserve">Отже, вищезазначене </w:t>
      </w:r>
      <w:r w:rsidR="00B443FC">
        <w:t>свідчить про</w:t>
      </w:r>
      <w:r w:rsidRPr="008D6E94">
        <w:t xml:space="preserve"> нездійснення </w:t>
      </w:r>
      <w:r w:rsidR="00B443FC" w:rsidRPr="00D50485">
        <w:rPr>
          <w:color w:val="000000" w:themeColor="text1"/>
        </w:rPr>
        <w:t>АТ “АКБ “КОНКОРД”</w:t>
      </w:r>
      <w:r w:rsidRPr="008D6E94">
        <w:t xml:space="preserve"> належної перевірки </w:t>
      </w:r>
      <w:r w:rsidR="00B443FC">
        <w:t>наявних</w:t>
      </w:r>
      <w:r w:rsidR="00B443FC" w:rsidRPr="008D6E94">
        <w:t xml:space="preserve"> </w:t>
      </w:r>
      <w:r w:rsidRPr="008D6E94">
        <w:t xml:space="preserve">клієнтів, </w:t>
      </w:r>
      <w:r w:rsidRPr="007433F5">
        <w:t>неналежне здійснення переоцінки ризику ділових відносин із клієнтами (ризик-профілів клієнтів), документування їх результатів, заходів із моніторингу, контролю ризиків та підтримання ризик-профілів клієнтів банку в актуальному стані для мінімізації використання послуг банку з метою ВК/ФТ</w:t>
      </w:r>
      <w:r w:rsidR="00B443FC">
        <w:t>,</w:t>
      </w:r>
      <w:r>
        <w:t xml:space="preserve"> </w:t>
      </w:r>
      <w:r w:rsidRPr="00F36A2D">
        <w:t>невжиття своєчасних та адекватних заходів щодо мінімізації виявлених ризиків ВК/ФТ до прийнятного рівня ризиків ВК/ФТ</w:t>
      </w:r>
      <w:r>
        <w:t>, що є ознаками</w:t>
      </w:r>
      <w:r w:rsidRPr="008D6E94">
        <w:t xml:space="preserve"> неналежної системи управління ризиками, передбачен</w:t>
      </w:r>
      <w:r w:rsidR="004D1574">
        <w:t xml:space="preserve">ими </w:t>
      </w:r>
      <w:r w:rsidR="00B443FC">
        <w:t xml:space="preserve">в </w:t>
      </w:r>
      <w:r>
        <w:t>підпункта</w:t>
      </w:r>
      <w:r w:rsidR="00B443FC">
        <w:t>х</w:t>
      </w:r>
      <w:r w:rsidRPr="008D6E94">
        <w:t xml:space="preserve"> 2</w:t>
      </w:r>
      <w:r>
        <w:t>, 4</w:t>
      </w:r>
      <w:r w:rsidRPr="008D6E94">
        <w:t xml:space="preserve"> пункту 74 розділу IV Положення № 65.</w:t>
      </w:r>
    </w:p>
    <w:p w14:paraId="4E94CC21" w14:textId="0C33CA8C" w:rsidR="00DE60D2" w:rsidRDefault="00B443FC" w:rsidP="003B3353">
      <w:pPr>
        <w:tabs>
          <w:tab w:val="left" w:pos="1134"/>
        </w:tabs>
        <w:autoSpaceDE w:val="0"/>
        <w:autoSpaceDN w:val="0"/>
        <w:adjustRightInd w:val="0"/>
        <w:ind w:firstLine="567"/>
        <w:contextualSpacing/>
        <w:rPr>
          <w:lang w:eastAsia="ar-SA"/>
        </w:rPr>
      </w:pPr>
      <w:r>
        <w:rPr>
          <w:color w:val="000000" w:themeColor="text1"/>
        </w:rPr>
        <w:t>У</w:t>
      </w:r>
      <w:r w:rsidR="00DE60D2" w:rsidRPr="000B5E19">
        <w:rPr>
          <w:color w:val="000000" w:themeColor="text1"/>
        </w:rPr>
        <w:t>раховуючи</w:t>
      </w:r>
      <w:r w:rsidR="00DE60D2">
        <w:rPr>
          <w:color w:val="000000" w:themeColor="text1"/>
        </w:rPr>
        <w:t xml:space="preserve"> вищевикладене, а також</w:t>
      </w:r>
      <w:r w:rsidR="00DE60D2" w:rsidRPr="000B5E19">
        <w:rPr>
          <w:color w:val="000000" w:themeColor="text1"/>
        </w:rPr>
        <w:t xml:space="preserve"> </w:t>
      </w:r>
      <w:r w:rsidR="00DE60D2">
        <w:rPr>
          <w:spacing w:val="-2"/>
        </w:rPr>
        <w:t xml:space="preserve">наявність ознак </w:t>
      </w:r>
      <w:r w:rsidR="00DE60D2" w:rsidRPr="008D6E94">
        <w:t>неналежної системи управління ризиками</w:t>
      </w:r>
      <w:r w:rsidR="00DE60D2">
        <w:t>,</w:t>
      </w:r>
      <w:r w:rsidR="00DE60D2">
        <w:rPr>
          <w:spacing w:val="-2"/>
        </w:rPr>
        <w:t xml:space="preserve"> передбачених </w:t>
      </w:r>
      <w:r>
        <w:rPr>
          <w:spacing w:val="-2"/>
        </w:rPr>
        <w:t xml:space="preserve">у </w:t>
      </w:r>
      <w:r w:rsidR="00DE60D2">
        <w:rPr>
          <w:spacing w:val="-2"/>
        </w:rPr>
        <w:t>підпункта</w:t>
      </w:r>
      <w:r>
        <w:rPr>
          <w:spacing w:val="-2"/>
        </w:rPr>
        <w:t>х</w:t>
      </w:r>
      <w:r w:rsidR="00DE60D2">
        <w:rPr>
          <w:spacing w:val="-2"/>
        </w:rPr>
        <w:t xml:space="preserve"> 2, 4 </w:t>
      </w:r>
      <w:r w:rsidR="00DE60D2" w:rsidRPr="008D6E94">
        <w:t>пун</w:t>
      </w:r>
      <w:r w:rsidR="00DE60D2">
        <w:t xml:space="preserve">кту 74 розділу IV Положення № 65, </w:t>
      </w:r>
      <w:r w:rsidR="00DE60D2" w:rsidRPr="008D6E94">
        <w:rPr>
          <w:spacing w:val="-2"/>
        </w:rPr>
        <w:t xml:space="preserve">встановлення фактів багаторазового, у великих обсягах проведення фінансових операцій, щодо яких є підозри використання </w:t>
      </w:r>
      <w:r w:rsidRPr="00D50485">
        <w:rPr>
          <w:color w:val="000000" w:themeColor="text1"/>
        </w:rPr>
        <w:t>АТ “АКБ “КОНКОРД”</w:t>
      </w:r>
      <w:r w:rsidR="00DE60D2" w:rsidRPr="008D6E94">
        <w:rPr>
          <w:spacing w:val="-2"/>
        </w:rPr>
        <w:t xml:space="preserve"> для легалізації (відмивання) доходів, одержаних злочинним шляхом, фінансування тероризму, фінансування розповсюдження зброї масового знищення</w:t>
      </w:r>
      <w:r w:rsidR="00DE60D2">
        <w:rPr>
          <w:spacing w:val="-2"/>
        </w:rPr>
        <w:t>,</w:t>
      </w:r>
      <w:r w:rsidR="00DE60D2">
        <w:t xml:space="preserve"> система управління ризиками ВК/ФТ </w:t>
      </w:r>
      <w:r w:rsidRPr="00D50485">
        <w:rPr>
          <w:color w:val="000000" w:themeColor="text1"/>
        </w:rPr>
        <w:t>АТ “АКБ “КОНКОРД”</w:t>
      </w:r>
      <w:r w:rsidR="00DE60D2">
        <w:t xml:space="preserve"> є неналежною, що є порушенням </w:t>
      </w:r>
      <w:r w:rsidR="00DE60D2">
        <w:rPr>
          <w:color w:val="000000" w:themeColor="text1"/>
        </w:rPr>
        <w:t>вимог</w:t>
      </w:r>
      <w:r w:rsidR="00DE60D2" w:rsidRPr="00991503">
        <w:rPr>
          <w:color w:val="000000" w:themeColor="text1"/>
        </w:rPr>
        <w:t xml:space="preserve"> </w:t>
      </w:r>
      <w:r w:rsidR="00DE60D2" w:rsidRPr="000B5E19">
        <w:rPr>
          <w:color w:val="000000" w:themeColor="text1"/>
        </w:rPr>
        <w:t>пункт</w:t>
      </w:r>
      <w:r w:rsidR="00DE60D2">
        <w:rPr>
          <w:color w:val="000000" w:themeColor="text1"/>
        </w:rPr>
        <w:t>у</w:t>
      </w:r>
      <w:r w:rsidR="00DE60D2" w:rsidRPr="000B5E19">
        <w:rPr>
          <w:color w:val="000000" w:themeColor="text1"/>
        </w:rPr>
        <w:t xml:space="preserve"> 3 частини другої статті 8 </w:t>
      </w:r>
      <w:r>
        <w:rPr>
          <w:color w:val="000000" w:themeColor="text1"/>
        </w:rPr>
        <w:br/>
      </w:r>
      <w:r w:rsidR="00DE60D2" w:rsidRPr="008D6E94">
        <w:t>Закон</w:t>
      </w:r>
      <w:r>
        <w:t>у</w:t>
      </w:r>
      <w:r w:rsidR="00DE60D2" w:rsidRPr="008D6E94">
        <w:t xml:space="preserve"> № 361-IХ</w:t>
      </w:r>
      <w:r w:rsidR="00DE60D2" w:rsidRPr="000B5E19">
        <w:rPr>
          <w:color w:val="000000" w:themeColor="text1"/>
        </w:rPr>
        <w:t xml:space="preserve"> </w:t>
      </w:r>
      <w:r>
        <w:rPr>
          <w:color w:val="000000" w:themeColor="text1"/>
        </w:rPr>
        <w:t>у</w:t>
      </w:r>
      <w:r w:rsidRPr="000B5E19">
        <w:rPr>
          <w:color w:val="000000" w:themeColor="text1"/>
        </w:rPr>
        <w:t xml:space="preserve"> </w:t>
      </w:r>
      <w:r w:rsidR="00DE60D2" w:rsidRPr="000B5E19">
        <w:rPr>
          <w:color w:val="000000" w:themeColor="text1"/>
        </w:rPr>
        <w:t xml:space="preserve">частині незабезпечення </w:t>
      </w:r>
      <w:r w:rsidRPr="00D50485">
        <w:rPr>
          <w:color w:val="000000" w:themeColor="text1"/>
        </w:rPr>
        <w:t>АТ “АКБ “КОНКОРД”</w:t>
      </w:r>
      <w:r w:rsidR="00DE60D2" w:rsidRPr="000B5E19">
        <w:rPr>
          <w:color w:val="000000" w:themeColor="text1"/>
        </w:rPr>
        <w:t xml:space="preserve"> </w:t>
      </w:r>
      <w:r w:rsidR="00DE60D2" w:rsidRPr="000B5E19">
        <w:rPr>
          <w:color w:val="000000" w:themeColor="text1"/>
        </w:rPr>
        <w:lastRenderedPageBreak/>
        <w:t>функціонування належної системи управління ризиками</w:t>
      </w:r>
      <w:r w:rsidR="00DE60D2" w:rsidRPr="008F4C94">
        <w:rPr>
          <w:color w:val="000000" w:themeColor="text1"/>
        </w:rPr>
        <w:t>,</w:t>
      </w:r>
      <w:r w:rsidR="00DE60D2" w:rsidRPr="008F4C94">
        <w:rPr>
          <w:lang w:eastAsia="ar-SA"/>
        </w:rPr>
        <w:t xml:space="preserve"> незастосування у своїй діяльності ризик-орієнтовного підходу та невжиття належних заходів з метою мінімізації ризиків</w:t>
      </w:r>
      <w:r w:rsidR="00E330CD">
        <w:rPr>
          <w:lang w:eastAsia="ar-SA"/>
        </w:rPr>
        <w:t>;</w:t>
      </w:r>
    </w:p>
    <w:p w14:paraId="4918F69C" w14:textId="666CA622" w:rsidR="00561A51" w:rsidRDefault="00561A51" w:rsidP="003B3353">
      <w:pPr>
        <w:spacing w:line="240" w:lineRule="atLeast"/>
        <w:ind w:firstLine="567"/>
        <w:rPr>
          <w:rFonts w:eastAsia="Calibri"/>
        </w:rPr>
      </w:pPr>
      <w:r w:rsidRPr="00335E04">
        <w:rPr>
          <w:lang w:eastAsia="ar-SA"/>
        </w:rPr>
        <w:t>2</w:t>
      </w:r>
      <w:r w:rsidR="00E330CD">
        <w:rPr>
          <w:lang w:eastAsia="ar-SA"/>
        </w:rPr>
        <w:t>)</w:t>
      </w:r>
      <w:r>
        <w:rPr>
          <w:lang w:eastAsia="ar-SA"/>
        </w:rPr>
        <w:t xml:space="preserve"> </w:t>
      </w:r>
      <w:r w:rsidR="00E330CD">
        <w:rPr>
          <w:rFonts w:eastAsia="Calibri"/>
        </w:rPr>
        <w:t>п</w:t>
      </w:r>
      <w:r w:rsidRPr="00BF34EC">
        <w:rPr>
          <w:rFonts w:eastAsia="Calibri"/>
        </w:rPr>
        <w:t xml:space="preserve">ункту 15 частини другої статті 8 </w:t>
      </w:r>
      <w:r w:rsidRPr="00BF34EC">
        <w:rPr>
          <w:rFonts w:eastAsia="Calibri"/>
          <w:lang w:eastAsia="pl-PL"/>
        </w:rPr>
        <w:t xml:space="preserve">Закону </w:t>
      </w:r>
      <w:r w:rsidRPr="0053576F">
        <w:rPr>
          <w:rFonts w:eastAsia="Calibri"/>
          <w:lang w:eastAsia="pl-PL"/>
        </w:rPr>
        <w:t xml:space="preserve">№ 361-ІХ </w:t>
      </w:r>
      <w:r w:rsidRPr="00BF34EC">
        <w:rPr>
          <w:rFonts w:eastAsia="Calibri"/>
          <w:lang w:eastAsia="pl-PL"/>
        </w:rPr>
        <w:t xml:space="preserve"> </w:t>
      </w:r>
      <w:r w:rsidRPr="00BF34EC">
        <w:rPr>
          <w:rFonts w:eastAsia="Calibri"/>
        </w:rPr>
        <w:t xml:space="preserve">та пункту 26 розділу ІІ </w:t>
      </w:r>
      <w:r>
        <w:rPr>
          <w:rFonts w:eastAsia="Calibri"/>
        </w:rPr>
        <w:t xml:space="preserve">Положення </w:t>
      </w:r>
      <w:r w:rsidRPr="0053576F">
        <w:rPr>
          <w:rFonts w:eastAsia="Calibri"/>
        </w:rPr>
        <w:t>про порядок організації та здійснення нагляду у сфері фінансового моніторингу, валютного нагляду, нагляду з питань реалізації і моніторингу ефективності персональних спеціальних економічних та інших обмежувальних заходів (санкцій), затвердженого постановою Правління Націо</w:t>
      </w:r>
      <w:r w:rsidR="00251A49">
        <w:rPr>
          <w:rFonts w:eastAsia="Calibri"/>
        </w:rPr>
        <w:t xml:space="preserve">нального банку України від 30 червня </w:t>
      </w:r>
      <w:r w:rsidRPr="0053576F">
        <w:rPr>
          <w:rFonts w:eastAsia="Calibri"/>
        </w:rPr>
        <w:t>2020</w:t>
      </w:r>
      <w:r w:rsidR="00251A49">
        <w:rPr>
          <w:rFonts w:eastAsia="Calibri"/>
        </w:rPr>
        <w:t xml:space="preserve"> року</w:t>
      </w:r>
      <w:r w:rsidRPr="0053576F">
        <w:rPr>
          <w:rFonts w:eastAsia="Calibri"/>
        </w:rPr>
        <w:t xml:space="preserve"> № 90</w:t>
      </w:r>
      <w:r w:rsidR="00251A49">
        <w:rPr>
          <w:rFonts w:eastAsia="Calibri"/>
        </w:rPr>
        <w:t xml:space="preserve"> </w:t>
      </w:r>
      <w:r w:rsidRPr="0053576F">
        <w:rPr>
          <w:rFonts w:eastAsia="Calibri"/>
        </w:rPr>
        <w:t>(далі – Положення № 90)</w:t>
      </w:r>
      <w:r>
        <w:rPr>
          <w:rFonts w:eastAsia="Calibri"/>
        </w:rPr>
        <w:t>,</w:t>
      </w:r>
      <w:r w:rsidRPr="00BF34EC">
        <w:rPr>
          <w:rFonts w:eastAsia="Calibri"/>
        </w:rPr>
        <w:t xml:space="preserve"> </w:t>
      </w:r>
      <w:r w:rsidR="00E330CD">
        <w:rPr>
          <w:rFonts w:eastAsia="Calibri"/>
        </w:rPr>
        <w:t>у</w:t>
      </w:r>
      <w:r w:rsidR="00E330CD" w:rsidRPr="00BF34EC">
        <w:rPr>
          <w:rFonts w:eastAsia="Calibri"/>
        </w:rPr>
        <w:t xml:space="preserve"> </w:t>
      </w:r>
      <w:r w:rsidRPr="00BF34EC">
        <w:rPr>
          <w:rFonts w:eastAsia="Calibri"/>
        </w:rPr>
        <w:t xml:space="preserve">частині ненадання на запити інспекційної групи </w:t>
      </w:r>
      <w:r>
        <w:rPr>
          <w:rFonts w:eastAsia="Calibri"/>
        </w:rPr>
        <w:t>Національного банку</w:t>
      </w:r>
      <w:r w:rsidR="00251A49">
        <w:rPr>
          <w:rFonts w:eastAsia="Calibri"/>
        </w:rPr>
        <w:t xml:space="preserve"> України</w:t>
      </w:r>
      <w:r>
        <w:rPr>
          <w:rFonts w:eastAsia="Calibri"/>
        </w:rPr>
        <w:t xml:space="preserve"> </w:t>
      </w:r>
      <w:r w:rsidRPr="00BF34EC">
        <w:rPr>
          <w:rFonts w:eastAsia="Calibri"/>
        </w:rPr>
        <w:t>достовірної інформації</w:t>
      </w:r>
      <w:r>
        <w:rPr>
          <w:rFonts w:eastAsia="Calibri"/>
        </w:rPr>
        <w:t>.</w:t>
      </w:r>
    </w:p>
    <w:p w14:paraId="5DB989D3" w14:textId="58EC4C2B" w:rsidR="00561A51" w:rsidRDefault="00561A51" w:rsidP="003B3353">
      <w:pPr>
        <w:spacing w:line="240" w:lineRule="atLeast"/>
        <w:ind w:firstLine="567"/>
        <w:rPr>
          <w:bCs/>
        </w:rPr>
      </w:pPr>
      <w:r w:rsidRPr="00C50CDA">
        <w:rPr>
          <w:bCs/>
        </w:rPr>
        <w:t xml:space="preserve">Згідно з вимогами пункту 15 частини другої статті 8 Закону № 361-ІХ банк зобов’язаний своєчасно та в повному обсязі подавати (оформлювати, засвідчувати) у порядку, встановленому відповідним суб’єктом державного фінансового моніторингу, що відповідно до Закону № 361-ІХ виконує функції державного регулювання і нагляду за </w:t>
      </w:r>
      <w:r w:rsidR="00E330CD">
        <w:t>суб’єктами</w:t>
      </w:r>
      <w:r w:rsidR="00E330CD" w:rsidRPr="005A160B">
        <w:t xml:space="preserve"> первинного фінансового моніторингу (далі – СПФМ)</w:t>
      </w:r>
      <w:r w:rsidRPr="00C50CDA">
        <w:rPr>
          <w:bCs/>
        </w:rPr>
        <w:t>, на запит цього суб’єкта державного фінансового моніторингу достовірну інформацію та/або документи (висновки, рішення тощо), копії документів або витяги з документів, що стосуються виконання СПФМ вимог законодавства у сфері запобігання та протидії та необхідні суб’єкту державного фінансового моніторингу для здійснення ним нагляду у сфері запобігання та протидії, у тому числі для перевірки фактів порушень вимог законодавства у сфері запобігання та протидії, здійснення контролю за виконанням СПФМ рішень суб’єктів державного фінансового моніторингу про застосування заходів впливу, письмових вимог.</w:t>
      </w:r>
    </w:p>
    <w:p w14:paraId="31E9449C" w14:textId="494C9EEC" w:rsidR="00561A51" w:rsidRDefault="00561A51" w:rsidP="003B3353">
      <w:pPr>
        <w:spacing w:line="240" w:lineRule="atLeast"/>
        <w:ind w:firstLine="567"/>
        <w:rPr>
          <w:bCs/>
        </w:rPr>
      </w:pPr>
      <w:r w:rsidRPr="0053576F">
        <w:rPr>
          <w:bCs/>
        </w:rPr>
        <w:t xml:space="preserve">Відповідно до пункту 26 розділу ІІ Положення № 90 банк </w:t>
      </w:r>
      <w:proofErr w:type="spellStart"/>
      <w:r w:rsidRPr="0053576F">
        <w:rPr>
          <w:bCs/>
        </w:rPr>
        <w:t>зобов</w:t>
      </w:r>
      <w:r w:rsidR="00E330CD">
        <w:rPr>
          <w:bCs/>
        </w:rPr>
        <w:t>ʼ</w:t>
      </w:r>
      <w:r w:rsidRPr="0053576F">
        <w:rPr>
          <w:bCs/>
        </w:rPr>
        <w:t>язаний</w:t>
      </w:r>
      <w:proofErr w:type="spellEnd"/>
      <w:r>
        <w:rPr>
          <w:bCs/>
        </w:rPr>
        <w:t>, зокрема</w:t>
      </w:r>
      <w:r w:rsidR="00E330CD">
        <w:rPr>
          <w:bCs/>
        </w:rPr>
        <w:t>,</w:t>
      </w:r>
      <w:r w:rsidRPr="0053576F">
        <w:rPr>
          <w:bCs/>
        </w:rPr>
        <w:t xml:space="preserve"> своєчасно та в повному обсязі надати у визначених порядку, форматі, структурі, вигляді, збережену на визначених носіях надання такої інформації на запит інспекційної групи/запит в електронній/паперовій формі достовірну інформацію, матеріали, документи (їхні копії та/або витяги з них), усі відомості в яких написані </w:t>
      </w:r>
      <w:proofErr w:type="spellStart"/>
      <w:r w:rsidRPr="0053576F">
        <w:rPr>
          <w:bCs/>
        </w:rPr>
        <w:t>розбірливо</w:t>
      </w:r>
      <w:proofErr w:type="spellEnd"/>
      <w:r w:rsidRPr="0053576F">
        <w:rPr>
          <w:bCs/>
        </w:rPr>
        <w:t xml:space="preserve"> чи надруковані з такою якістю, що їх можливо прочитати, дані </w:t>
      </w:r>
      <w:proofErr w:type="spellStart"/>
      <w:r w:rsidRPr="0053576F">
        <w:rPr>
          <w:bCs/>
        </w:rPr>
        <w:t>відеоархіву</w:t>
      </w:r>
      <w:proofErr w:type="spellEnd"/>
      <w:r w:rsidRPr="0053576F">
        <w:rPr>
          <w:bCs/>
        </w:rPr>
        <w:t>.</w:t>
      </w:r>
    </w:p>
    <w:p w14:paraId="5CF9F028" w14:textId="4D3C2A9F" w:rsidR="00561A51" w:rsidRPr="00C50CDA" w:rsidRDefault="00561A51" w:rsidP="003B3353">
      <w:pPr>
        <w:ind w:firstLine="567"/>
        <w:rPr>
          <w:spacing w:val="-4"/>
        </w:rPr>
      </w:pPr>
      <w:r w:rsidRPr="00C50CDA">
        <w:rPr>
          <w:spacing w:val="-4"/>
        </w:rPr>
        <w:t xml:space="preserve">Відповідно до пункту 7.19 </w:t>
      </w:r>
      <w:r w:rsidR="00E330CD">
        <w:rPr>
          <w:spacing w:val="-4"/>
        </w:rPr>
        <w:t>глави</w:t>
      </w:r>
      <w:r w:rsidR="00E330CD" w:rsidRPr="00C50CDA">
        <w:rPr>
          <w:spacing w:val="-4"/>
        </w:rPr>
        <w:t xml:space="preserve"> 7 </w:t>
      </w:r>
      <w:r w:rsidR="00E330CD">
        <w:rPr>
          <w:spacing w:val="-4"/>
        </w:rPr>
        <w:t xml:space="preserve">розділу </w:t>
      </w:r>
      <w:r w:rsidR="00335E04">
        <w:rPr>
          <w:spacing w:val="-4"/>
        </w:rPr>
        <w:t>ІІ</w:t>
      </w:r>
      <w:r w:rsidR="00E330CD" w:rsidRPr="00C50CDA">
        <w:rPr>
          <w:spacing w:val="-4"/>
        </w:rPr>
        <w:t xml:space="preserve"> </w:t>
      </w:r>
      <w:r w:rsidRPr="00C50CDA">
        <w:rPr>
          <w:spacing w:val="-4"/>
        </w:rPr>
        <w:t xml:space="preserve">Положення про застосування Національним банком України заходів впливу, </w:t>
      </w:r>
      <w:r w:rsidR="0060615B" w:rsidRPr="009E6E7F">
        <w:rPr>
          <w:color w:val="000000" w:themeColor="text1"/>
        </w:rPr>
        <w:t>затвердженого постановою Правління Національного банку України від 17 серпня 2012 року № 346</w:t>
      </w:r>
      <w:r w:rsidR="0060615B">
        <w:rPr>
          <w:color w:val="000000" w:themeColor="text1"/>
        </w:rPr>
        <w:t xml:space="preserve">, зареєстрованого </w:t>
      </w:r>
      <w:r w:rsidR="0060615B" w:rsidRPr="000116F4">
        <w:rPr>
          <w:color w:val="000000" w:themeColor="text1"/>
        </w:rPr>
        <w:t>в Міністерстві юстиції України</w:t>
      </w:r>
      <w:r w:rsidR="0060615B">
        <w:rPr>
          <w:color w:val="000000" w:themeColor="text1"/>
        </w:rPr>
        <w:t xml:space="preserve"> </w:t>
      </w:r>
      <w:r w:rsidR="0060615B" w:rsidRPr="000116F4">
        <w:rPr>
          <w:color w:val="000000" w:themeColor="text1"/>
        </w:rPr>
        <w:t>17 вересня 2012 року за №</w:t>
      </w:r>
      <w:r w:rsidR="0060615B">
        <w:rPr>
          <w:color w:val="000000" w:themeColor="text1"/>
        </w:rPr>
        <w:t> </w:t>
      </w:r>
      <w:r w:rsidR="0060615B" w:rsidRPr="000116F4">
        <w:rPr>
          <w:color w:val="000000" w:themeColor="text1"/>
        </w:rPr>
        <w:t xml:space="preserve"> 1590/21902</w:t>
      </w:r>
      <w:r w:rsidR="0060615B" w:rsidRPr="009E6E7F">
        <w:rPr>
          <w:color w:val="000000" w:themeColor="text1"/>
        </w:rPr>
        <w:t xml:space="preserve"> </w:t>
      </w:r>
      <w:r w:rsidR="0060615B">
        <w:rPr>
          <w:color w:val="000000" w:themeColor="text1"/>
        </w:rPr>
        <w:t xml:space="preserve">(зі змінами) </w:t>
      </w:r>
      <w:r w:rsidR="0060615B" w:rsidRPr="009E6E7F">
        <w:rPr>
          <w:color w:val="000000" w:themeColor="text1"/>
        </w:rPr>
        <w:t>(далі – Положення № 346)</w:t>
      </w:r>
      <w:r w:rsidRPr="00C50CDA">
        <w:rPr>
          <w:spacing w:val="-4"/>
        </w:rPr>
        <w:t xml:space="preserve">, </w:t>
      </w:r>
      <w:r w:rsidRPr="00F665D1">
        <w:rPr>
          <w:spacing w:val="-4"/>
        </w:rPr>
        <w:t>недостовірною(</w:t>
      </w:r>
      <w:proofErr w:type="spellStart"/>
      <w:r w:rsidRPr="00F665D1">
        <w:rPr>
          <w:spacing w:val="-4"/>
        </w:rPr>
        <w:t>ими</w:t>
      </w:r>
      <w:proofErr w:type="spellEnd"/>
      <w:r w:rsidRPr="00F665D1">
        <w:rPr>
          <w:spacing w:val="-4"/>
        </w:rPr>
        <w:t>) інформацією/документами</w:t>
      </w:r>
      <w:r w:rsidRPr="00C50CDA">
        <w:rPr>
          <w:spacing w:val="-4"/>
        </w:rPr>
        <w:t xml:space="preserve"> з питань фінансового моніторингу є </w:t>
      </w:r>
      <w:r w:rsidRPr="00F665D1">
        <w:rPr>
          <w:spacing w:val="-4"/>
        </w:rPr>
        <w:t>надана(і) банком інформація/документи, що не підтверджена(і) чи суперечить(</w:t>
      </w:r>
      <w:proofErr w:type="spellStart"/>
      <w:r w:rsidRPr="00F665D1">
        <w:rPr>
          <w:spacing w:val="-4"/>
        </w:rPr>
        <w:t>ать</w:t>
      </w:r>
      <w:proofErr w:type="spellEnd"/>
      <w:r w:rsidRPr="00F665D1">
        <w:rPr>
          <w:spacing w:val="-4"/>
        </w:rPr>
        <w:t>) даним первинних документів або іншим матеріалам перевірки з питань фінансового моніторингу (виїзної перевірки з питань фінансового моніторингу, безвиїзного нагляду з питань</w:t>
      </w:r>
      <w:r w:rsidRPr="00C50CDA">
        <w:rPr>
          <w:spacing w:val="-4"/>
        </w:rPr>
        <w:t xml:space="preserve"> фінансового моніторингу), офіційним документам/інформації, отриманим(</w:t>
      </w:r>
      <w:proofErr w:type="spellStart"/>
      <w:r w:rsidRPr="00C50CDA">
        <w:rPr>
          <w:spacing w:val="-4"/>
        </w:rPr>
        <w:t>ій</w:t>
      </w:r>
      <w:proofErr w:type="spellEnd"/>
      <w:r w:rsidRPr="00C50CDA">
        <w:rPr>
          <w:spacing w:val="-4"/>
        </w:rPr>
        <w:t>) від органів державної влади, банків, інших юридичних осіб.</w:t>
      </w:r>
    </w:p>
    <w:p w14:paraId="6BED20B1" w14:textId="46DA0C71" w:rsidR="00561A51" w:rsidRPr="00DA480E" w:rsidRDefault="00561A51" w:rsidP="003B3353">
      <w:pPr>
        <w:ind w:firstLine="567"/>
        <w:rPr>
          <w:rFonts w:eastAsia="Arial"/>
          <w:lang w:eastAsia="pl-PL"/>
        </w:rPr>
      </w:pPr>
      <w:r>
        <w:rPr>
          <w:spacing w:val="-4"/>
        </w:rPr>
        <w:lastRenderedPageBreak/>
        <w:t xml:space="preserve">За результатами аналізу інформації/документів, наданих </w:t>
      </w:r>
      <w:r w:rsidR="00E330CD" w:rsidRPr="00D50485">
        <w:rPr>
          <w:color w:val="000000" w:themeColor="text1"/>
        </w:rPr>
        <w:t>АТ “АКБ “КОНКОРД”</w:t>
      </w:r>
      <w:r>
        <w:rPr>
          <w:spacing w:val="-4"/>
        </w:rPr>
        <w:t xml:space="preserve"> на запити Національного банку</w:t>
      </w:r>
      <w:r w:rsidR="00E330CD">
        <w:rPr>
          <w:spacing w:val="-4"/>
        </w:rPr>
        <w:t xml:space="preserve"> України</w:t>
      </w:r>
      <w:r>
        <w:rPr>
          <w:spacing w:val="-4"/>
        </w:rPr>
        <w:t xml:space="preserve">, щодо траси платежів, інформаційних потоків, наявності випадків зміни суті фінансових операцій та результатів аналізу фактичних фінансових операцій, здійснених </w:t>
      </w:r>
      <w:r w:rsidR="00E330CD">
        <w:rPr>
          <w:spacing w:val="-4"/>
        </w:rPr>
        <w:t xml:space="preserve">у </w:t>
      </w:r>
      <w:r>
        <w:rPr>
          <w:spacing w:val="-4"/>
        </w:rPr>
        <w:t xml:space="preserve">межах Договору Р2Р, встановлено недостовірність наданої </w:t>
      </w:r>
      <w:r w:rsidR="00E330CD" w:rsidRPr="00D50485">
        <w:rPr>
          <w:color w:val="000000" w:themeColor="text1"/>
        </w:rPr>
        <w:t>АТ “АКБ “КОНКОРД”</w:t>
      </w:r>
      <w:r>
        <w:rPr>
          <w:spacing w:val="-4"/>
        </w:rPr>
        <w:t xml:space="preserve"> інформації/документів щодо</w:t>
      </w:r>
      <w:r w:rsidRPr="00DA480E">
        <w:rPr>
          <w:rFonts w:eastAsia="Arial"/>
          <w:lang w:eastAsia="pl-PL"/>
        </w:rPr>
        <w:t>:</w:t>
      </w:r>
    </w:p>
    <w:p w14:paraId="030C1EA4" w14:textId="2C45A65C" w:rsidR="00561A51" w:rsidRPr="00DA480E" w:rsidRDefault="00561A51" w:rsidP="003B3353">
      <w:pPr>
        <w:ind w:firstLine="567"/>
        <w:rPr>
          <w:rFonts w:eastAsia="Arial"/>
          <w:lang w:eastAsia="pl-PL"/>
        </w:rPr>
      </w:pPr>
      <w:r w:rsidRPr="00DA480E">
        <w:rPr>
          <w:rFonts w:eastAsia="Arial"/>
          <w:lang w:eastAsia="pl-PL"/>
        </w:rPr>
        <w:t xml:space="preserve">суті (змісту) фінансових операцій, що проводяться в </w:t>
      </w:r>
      <w:r w:rsidR="00E330CD">
        <w:rPr>
          <w:rFonts w:eastAsia="Arial"/>
          <w:lang w:eastAsia="pl-PL"/>
        </w:rPr>
        <w:t>межах</w:t>
      </w:r>
      <w:r w:rsidR="00E330CD" w:rsidRPr="00DA480E">
        <w:rPr>
          <w:rFonts w:eastAsia="Arial"/>
          <w:lang w:eastAsia="pl-PL"/>
        </w:rPr>
        <w:t xml:space="preserve"> </w:t>
      </w:r>
      <w:r w:rsidRPr="00DA480E">
        <w:rPr>
          <w:rFonts w:eastAsia="Arial"/>
          <w:lang w:eastAsia="pl-PL"/>
        </w:rPr>
        <w:t xml:space="preserve">Договору Р2Р, що суперечить іншим матеріалам перевірки, зокрема, поясненням </w:t>
      </w:r>
      <w:r w:rsidR="00E330CD" w:rsidRPr="00D50485">
        <w:rPr>
          <w:color w:val="000000" w:themeColor="text1"/>
        </w:rPr>
        <w:t>АТ “АКБ “КОНКОРД”</w:t>
      </w:r>
      <w:r w:rsidRPr="00DA480E">
        <w:rPr>
          <w:rFonts w:eastAsia="Arial"/>
          <w:lang w:eastAsia="pl-PL"/>
        </w:rPr>
        <w:t xml:space="preserve">, фактичним фінансовим операціям, здійсненим </w:t>
      </w:r>
      <w:r w:rsidR="00E330CD">
        <w:rPr>
          <w:rFonts w:eastAsia="Arial"/>
          <w:lang w:eastAsia="pl-PL"/>
        </w:rPr>
        <w:t>у межах</w:t>
      </w:r>
      <w:r w:rsidRPr="00DA480E">
        <w:rPr>
          <w:rFonts w:eastAsia="Arial"/>
          <w:lang w:eastAsia="pl-PL"/>
        </w:rPr>
        <w:t xml:space="preserve"> Договору Р2Р, зокрема:</w:t>
      </w:r>
    </w:p>
    <w:p w14:paraId="03002245" w14:textId="616D6A9A" w:rsidR="00561A51" w:rsidRPr="00DA480E" w:rsidRDefault="00561A51" w:rsidP="003B3353">
      <w:pPr>
        <w:ind w:firstLine="567"/>
        <w:rPr>
          <w:rFonts w:eastAsia="Arial"/>
          <w:lang w:eastAsia="pl-PL"/>
        </w:rPr>
      </w:pPr>
      <w:r w:rsidRPr="00DA480E">
        <w:rPr>
          <w:rFonts w:eastAsia="Arial"/>
          <w:lang w:eastAsia="pl-PL"/>
        </w:rPr>
        <w:t xml:space="preserve">різниці між загальною кількістю фінансових операцій зі списання коштів (P2P </w:t>
      </w:r>
      <w:proofErr w:type="spellStart"/>
      <w:r w:rsidRPr="00DA480E">
        <w:rPr>
          <w:rFonts w:eastAsia="Arial"/>
          <w:lang w:eastAsia="pl-PL"/>
        </w:rPr>
        <w:t>Debit</w:t>
      </w:r>
      <w:proofErr w:type="spellEnd"/>
      <w:r w:rsidRPr="00DA480E">
        <w:rPr>
          <w:rFonts w:eastAsia="Arial"/>
          <w:lang w:eastAsia="pl-PL"/>
        </w:rPr>
        <w:t xml:space="preserve"> </w:t>
      </w:r>
      <w:r w:rsidR="00E330CD">
        <w:rPr>
          <w:rFonts w:eastAsia="Arial"/>
          <w:lang w:eastAsia="pl-PL"/>
        </w:rPr>
        <w:t>‒</w:t>
      </w:r>
      <w:r w:rsidRPr="00DA480E">
        <w:rPr>
          <w:rFonts w:eastAsia="Arial"/>
          <w:lang w:eastAsia="pl-PL"/>
        </w:rPr>
        <w:t xml:space="preserve"> 1 149 556 операцій) та загальною кількістю фінансових операцій із зарахування коштів (P2P </w:t>
      </w:r>
      <w:proofErr w:type="spellStart"/>
      <w:r w:rsidRPr="00DA480E">
        <w:rPr>
          <w:rFonts w:eastAsia="Arial"/>
          <w:lang w:eastAsia="pl-PL"/>
        </w:rPr>
        <w:t>Credit</w:t>
      </w:r>
      <w:proofErr w:type="spellEnd"/>
      <w:r w:rsidRPr="00DA480E">
        <w:rPr>
          <w:rFonts w:eastAsia="Arial"/>
          <w:lang w:eastAsia="pl-PL"/>
        </w:rPr>
        <w:t xml:space="preserve"> </w:t>
      </w:r>
      <w:r w:rsidR="00E330CD">
        <w:rPr>
          <w:rFonts w:eastAsia="Arial"/>
          <w:lang w:eastAsia="pl-PL"/>
        </w:rPr>
        <w:t>‒</w:t>
      </w:r>
      <w:r w:rsidRPr="00DA480E">
        <w:rPr>
          <w:rFonts w:eastAsia="Arial"/>
          <w:lang w:eastAsia="pl-PL"/>
        </w:rPr>
        <w:t xml:space="preserve"> 984 757 операцій), що не відповідає інформації щодо можливих операцій, розміщеній/відображеній на точках ініціювання Р2Р</w:t>
      </w:r>
      <w:r w:rsidR="00E330CD">
        <w:rPr>
          <w:rFonts w:eastAsia="Arial"/>
          <w:lang w:eastAsia="pl-PL"/>
        </w:rPr>
        <w:t>-</w:t>
      </w:r>
      <w:r w:rsidRPr="00DA480E">
        <w:rPr>
          <w:rFonts w:eastAsia="Arial"/>
          <w:lang w:eastAsia="pl-PL"/>
        </w:rPr>
        <w:t>переказів (ініціювання Р2Р</w:t>
      </w:r>
      <w:r w:rsidR="00E330CD">
        <w:rPr>
          <w:rFonts w:eastAsia="Arial"/>
          <w:lang w:eastAsia="pl-PL"/>
        </w:rPr>
        <w:t>-</w:t>
      </w:r>
      <w:r w:rsidRPr="00DA480E">
        <w:rPr>
          <w:rFonts w:eastAsia="Arial"/>
          <w:lang w:eastAsia="pl-PL"/>
        </w:rPr>
        <w:t>переказів можливе виключно з одного ЕПЗ на один ЕПЗ з одночасним введення</w:t>
      </w:r>
      <w:r w:rsidR="00E330CD">
        <w:rPr>
          <w:rFonts w:eastAsia="Arial"/>
          <w:lang w:eastAsia="pl-PL"/>
        </w:rPr>
        <w:t>м</w:t>
      </w:r>
      <w:r w:rsidRPr="00DA480E">
        <w:rPr>
          <w:rFonts w:eastAsia="Arial"/>
          <w:lang w:eastAsia="pl-PL"/>
        </w:rPr>
        <w:t xml:space="preserve"> реквізитів ЕПЗ платника та отримувача коштів);</w:t>
      </w:r>
    </w:p>
    <w:p w14:paraId="372F5662" w14:textId="2B684B8A" w:rsidR="00561A51" w:rsidRPr="00DA480E" w:rsidRDefault="00561A51" w:rsidP="003B3353">
      <w:pPr>
        <w:ind w:firstLine="567"/>
        <w:rPr>
          <w:rFonts w:eastAsia="Arial"/>
          <w:lang w:eastAsia="pl-PL"/>
        </w:rPr>
      </w:pPr>
      <w:r w:rsidRPr="00DA480E">
        <w:rPr>
          <w:rFonts w:eastAsia="Arial"/>
          <w:lang w:eastAsia="pl-PL"/>
        </w:rPr>
        <w:t xml:space="preserve">поясненням </w:t>
      </w:r>
      <w:r w:rsidR="00E330CD" w:rsidRPr="00D50485">
        <w:rPr>
          <w:color w:val="000000" w:themeColor="text1"/>
        </w:rPr>
        <w:t>АТ “АКБ “КОНКОРД”</w:t>
      </w:r>
      <w:r w:rsidRPr="00DA480E">
        <w:rPr>
          <w:rFonts w:eastAsia="Arial"/>
          <w:lang w:eastAsia="pl-PL"/>
        </w:rPr>
        <w:t xml:space="preserve"> щодо проведення розривних Р2Р</w:t>
      </w:r>
      <w:r w:rsidR="00E330CD">
        <w:rPr>
          <w:rFonts w:eastAsia="Arial"/>
          <w:lang w:eastAsia="pl-PL"/>
        </w:rPr>
        <w:t>-</w:t>
      </w:r>
      <w:r w:rsidRPr="00DA480E">
        <w:rPr>
          <w:rFonts w:eastAsia="Arial"/>
          <w:lang w:eastAsia="pl-PL"/>
        </w:rPr>
        <w:t xml:space="preserve">переказів, на момент створення яких ще немає даних про кінцевого отримувача коштів (Р2Р </w:t>
      </w:r>
      <w:proofErr w:type="spellStart"/>
      <w:r w:rsidRPr="00DA480E">
        <w:rPr>
          <w:rFonts w:eastAsia="Arial"/>
          <w:lang w:eastAsia="pl-PL"/>
        </w:rPr>
        <w:t>Credit</w:t>
      </w:r>
      <w:proofErr w:type="spellEnd"/>
      <w:r w:rsidRPr="00DA480E">
        <w:rPr>
          <w:rFonts w:eastAsia="Arial"/>
          <w:lang w:eastAsia="pl-PL"/>
        </w:rPr>
        <w:t>), що суперечить схемі здійснення операцій P2P</w:t>
      </w:r>
      <w:r w:rsidR="00E330CD">
        <w:rPr>
          <w:rFonts w:eastAsia="Arial"/>
          <w:lang w:eastAsia="pl-PL"/>
        </w:rPr>
        <w:t>-</w:t>
      </w:r>
      <w:r w:rsidRPr="00DA480E">
        <w:rPr>
          <w:rFonts w:eastAsia="Arial"/>
          <w:lang w:eastAsia="pl-PL"/>
        </w:rPr>
        <w:t xml:space="preserve">переказів, наданій </w:t>
      </w:r>
      <w:r w:rsidR="00E330CD" w:rsidRPr="00D50485">
        <w:rPr>
          <w:color w:val="000000" w:themeColor="text1"/>
        </w:rPr>
        <w:t>АТ “АКБ “КОНКОРД”</w:t>
      </w:r>
      <w:r w:rsidRPr="00DA480E">
        <w:rPr>
          <w:rFonts w:eastAsia="Arial"/>
          <w:lang w:eastAsia="pl-PL"/>
        </w:rPr>
        <w:t xml:space="preserve"> </w:t>
      </w:r>
      <w:r w:rsidR="00E330CD">
        <w:rPr>
          <w:rFonts w:eastAsia="Arial"/>
          <w:lang w:eastAsia="pl-PL"/>
        </w:rPr>
        <w:t>[</w:t>
      </w:r>
      <w:r w:rsidRPr="003518D9">
        <w:rPr>
          <w:rFonts w:eastAsia="Arial"/>
          <w:lang w:eastAsia="pl-PL"/>
        </w:rPr>
        <w:t>фізична особа</w:t>
      </w:r>
      <w:r w:rsidR="00E330CD">
        <w:rPr>
          <w:rFonts w:eastAsia="Arial"/>
          <w:lang w:eastAsia="pl-PL"/>
        </w:rPr>
        <w:t>-</w:t>
      </w:r>
      <w:r w:rsidRPr="003518D9">
        <w:rPr>
          <w:rFonts w:eastAsia="Arial"/>
          <w:lang w:eastAsia="pl-PL"/>
        </w:rPr>
        <w:t xml:space="preserve">відправник ініціює операцію зі списання коштів зі своєї картки (P2P </w:t>
      </w:r>
      <w:proofErr w:type="spellStart"/>
      <w:r w:rsidRPr="003518D9">
        <w:rPr>
          <w:rFonts w:eastAsia="Arial"/>
          <w:lang w:eastAsia="pl-PL"/>
        </w:rPr>
        <w:t>Debit</w:t>
      </w:r>
      <w:proofErr w:type="spellEnd"/>
      <w:r w:rsidRPr="003518D9">
        <w:rPr>
          <w:rFonts w:eastAsia="Arial"/>
          <w:lang w:eastAsia="pl-PL"/>
        </w:rPr>
        <w:t xml:space="preserve">) шляхом </w:t>
      </w:r>
      <w:r w:rsidR="00E330CD">
        <w:rPr>
          <w:rFonts w:eastAsia="Arial"/>
          <w:lang w:eastAsia="pl-PL"/>
        </w:rPr>
        <w:t>у</w:t>
      </w:r>
      <w:r w:rsidRPr="003518D9">
        <w:rPr>
          <w:rFonts w:eastAsia="Arial"/>
          <w:lang w:eastAsia="pl-PL"/>
        </w:rPr>
        <w:t>ведення реквізитів отримувача</w:t>
      </w:r>
      <w:r w:rsidR="00E330CD">
        <w:rPr>
          <w:rFonts w:eastAsia="Arial"/>
          <w:lang w:eastAsia="pl-PL"/>
        </w:rPr>
        <w:t>]</w:t>
      </w:r>
      <w:r w:rsidRPr="003518D9">
        <w:rPr>
          <w:rFonts w:eastAsia="Arial"/>
          <w:lang w:eastAsia="pl-PL"/>
        </w:rPr>
        <w:t>,</w:t>
      </w:r>
      <w:r w:rsidRPr="00DA480E">
        <w:rPr>
          <w:rFonts w:eastAsia="Arial"/>
          <w:lang w:eastAsia="pl-PL"/>
        </w:rPr>
        <w:t xml:space="preserve"> а також інформації, розміщеній/відображеній на точках ініціювання Р2Р</w:t>
      </w:r>
      <w:r w:rsidR="00E330CD">
        <w:rPr>
          <w:rFonts w:eastAsia="Arial"/>
          <w:lang w:eastAsia="pl-PL"/>
        </w:rPr>
        <w:t>-</w:t>
      </w:r>
      <w:r w:rsidRPr="00DA480E">
        <w:rPr>
          <w:rFonts w:eastAsia="Arial"/>
          <w:lang w:eastAsia="pl-PL"/>
        </w:rPr>
        <w:t>переказів (ініціювання Р2Р</w:t>
      </w:r>
      <w:r w:rsidR="00E330CD">
        <w:rPr>
          <w:rFonts w:eastAsia="Arial"/>
          <w:lang w:eastAsia="pl-PL"/>
        </w:rPr>
        <w:t>-</w:t>
      </w:r>
      <w:r w:rsidRPr="00DA480E">
        <w:rPr>
          <w:rFonts w:eastAsia="Arial"/>
          <w:lang w:eastAsia="pl-PL"/>
        </w:rPr>
        <w:t>переказів можливе виключно з одного ЕПЗ на один ЕПЗ з одночасним введення</w:t>
      </w:r>
      <w:r w:rsidR="00E330CD">
        <w:rPr>
          <w:rFonts w:eastAsia="Arial"/>
          <w:lang w:eastAsia="pl-PL"/>
        </w:rPr>
        <w:t>м</w:t>
      </w:r>
      <w:r w:rsidRPr="00DA480E">
        <w:rPr>
          <w:rFonts w:eastAsia="Arial"/>
          <w:lang w:eastAsia="pl-PL"/>
        </w:rPr>
        <w:t xml:space="preserve"> реквізитів ЕПЗ платника та отримувача коштів);</w:t>
      </w:r>
    </w:p>
    <w:p w14:paraId="2E11C99C" w14:textId="7FE0D8F8" w:rsidR="00561A51" w:rsidRPr="00DA480E" w:rsidRDefault="00561A51" w:rsidP="003B3353">
      <w:pPr>
        <w:suppressAutoHyphens/>
        <w:ind w:firstLine="567"/>
        <w:rPr>
          <w:rFonts w:eastAsia="Arial"/>
          <w:lang w:eastAsia="pl-PL"/>
        </w:rPr>
      </w:pPr>
      <w:r w:rsidRPr="00DA480E">
        <w:rPr>
          <w:rFonts w:eastAsia="Arial"/>
          <w:lang w:eastAsia="pl-PL"/>
        </w:rPr>
        <w:t xml:space="preserve">фінансовим операціям у розмірі, який перевищує максимально можливу суму переказу в </w:t>
      </w:r>
      <w:r w:rsidR="00E330CD">
        <w:rPr>
          <w:rFonts w:eastAsia="Arial"/>
          <w:lang w:eastAsia="pl-PL"/>
        </w:rPr>
        <w:t>“</w:t>
      </w:r>
      <w:r w:rsidRPr="00DA480E">
        <w:rPr>
          <w:rFonts w:eastAsia="Arial"/>
          <w:lang w:eastAsia="pl-PL"/>
        </w:rPr>
        <w:t>25 000,00 грн</w:t>
      </w:r>
      <w:r w:rsidR="00E330CD">
        <w:rPr>
          <w:rFonts w:eastAsia="Arial"/>
          <w:lang w:eastAsia="pl-PL"/>
        </w:rPr>
        <w:t>”</w:t>
      </w:r>
      <w:r w:rsidRPr="00DA480E">
        <w:rPr>
          <w:rFonts w:eastAsia="Arial"/>
          <w:lang w:eastAsia="pl-PL"/>
        </w:rPr>
        <w:t>, визначену на точках ініціювання Р2Р</w:t>
      </w:r>
      <w:r w:rsidR="00E330CD">
        <w:rPr>
          <w:rFonts w:eastAsia="Arial"/>
          <w:lang w:eastAsia="pl-PL"/>
        </w:rPr>
        <w:t>-</w:t>
      </w:r>
      <w:r w:rsidRPr="00DA480E">
        <w:rPr>
          <w:rFonts w:eastAsia="Arial"/>
          <w:lang w:eastAsia="pl-PL"/>
        </w:rPr>
        <w:t>переказів;</w:t>
      </w:r>
    </w:p>
    <w:p w14:paraId="7B7039F7" w14:textId="4C5030C1" w:rsidR="00561A51" w:rsidRPr="00DA480E" w:rsidRDefault="00561A51" w:rsidP="003B3353">
      <w:pPr>
        <w:suppressAutoHyphens/>
        <w:ind w:firstLine="567"/>
        <w:rPr>
          <w:rFonts w:eastAsia="Arial"/>
          <w:lang w:eastAsia="pl-PL"/>
        </w:rPr>
      </w:pPr>
      <w:r w:rsidRPr="00DA480E">
        <w:rPr>
          <w:rFonts w:eastAsia="Arial"/>
          <w:lang w:eastAsia="pl-PL"/>
        </w:rPr>
        <w:t>розміру комісії за проведення переказу, зазначеному в реєстрах платежів, який не відповідає розміру комісії, визначеному на точках ініціювання Р2Р</w:t>
      </w:r>
      <w:r w:rsidR="00E330CD">
        <w:rPr>
          <w:rFonts w:eastAsia="Arial"/>
          <w:lang w:eastAsia="pl-PL"/>
        </w:rPr>
        <w:t>-</w:t>
      </w:r>
      <w:r w:rsidRPr="00DA480E">
        <w:rPr>
          <w:rFonts w:eastAsia="Arial"/>
          <w:lang w:eastAsia="pl-PL"/>
        </w:rPr>
        <w:t>переказів;</w:t>
      </w:r>
    </w:p>
    <w:p w14:paraId="1B6C9FD6" w14:textId="426C9A09" w:rsidR="00561A51" w:rsidRPr="00DA480E" w:rsidRDefault="00561A51" w:rsidP="003B3353">
      <w:pPr>
        <w:suppressAutoHyphens/>
        <w:ind w:firstLine="567"/>
        <w:rPr>
          <w:rFonts w:eastAsia="Arial"/>
          <w:lang w:eastAsia="pl-PL"/>
        </w:rPr>
      </w:pPr>
      <w:r w:rsidRPr="00DA480E">
        <w:rPr>
          <w:rFonts w:eastAsia="Arial"/>
          <w:lang w:eastAsia="pl-PL"/>
        </w:rPr>
        <w:t>копі</w:t>
      </w:r>
      <w:r>
        <w:rPr>
          <w:rFonts w:eastAsia="Arial"/>
          <w:lang w:eastAsia="pl-PL"/>
        </w:rPr>
        <w:t>ї</w:t>
      </w:r>
      <w:r w:rsidRPr="00DA480E">
        <w:rPr>
          <w:rFonts w:eastAsia="Arial"/>
          <w:lang w:eastAsia="pl-PL"/>
        </w:rPr>
        <w:t xml:space="preserve"> </w:t>
      </w:r>
      <w:r w:rsidR="00313733">
        <w:rPr>
          <w:spacing w:val="-4"/>
        </w:rPr>
        <w:t xml:space="preserve">додаткової угоди до Договору Р2Р </w:t>
      </w:r>
      <w:r w:rsidR="002D3101">
        <w:rPr>
          <w:spacing w:val="-4"/>
        </w:rPr>
        <w:t>[</w:t>
      </w:r>
      <w:r w:rsidRPr="00DA480E">
        <w:rPr>
          <w:spacing w:val="-4"/>
        </w:rPr>
        <w:t xml:space="preserve">із зазначенням </w:t>
      </w:r>
      <w:r w:rsidR="00E330CD">
        <w:rPr>
          <w:spacing w:val="-4"/>
        </w:rPr>
        <w:t>у</w:t>
      </w:r>
      <w:r w:rsidR="00E330CD" w:rsidRPr="00DA480E">
        <w:rPr>
          <w:spacing w:val="-4"/>
        </w:rPr>
        <w:t xml:space="preserve"> </w:t>
      </w:r>
      <w:r w:rsidRPr="00DA480E">
        <w:rPr>
          <w:spacing w:val="-4"/>
        </w:rPr>
        <w:t xml:space="preserve">реквізитах підписанта зі сторони </w:t>
      </w:r>
      <w:r w:rsidR="00E330CD" w:rsidRPr="00D50485">
        <w:rPr>
          <w:color w:val="000000" w:themeColor="text1"/>
        </w:rPr>
        <w:t>АТ “АКБ “КОНКОРД”</w:t>
      </w:r>
      <w:r w:rsidRPr="00DA480E">
        <w:rPr>
          <w:spacing w:val="-4"/>
        </w:rPr>
        <w:t xml:space="preserve"> </w:t>
      </w:r>
      <w:r w:rsidRPr="00313733">
        <w:rPr>
          <w:spacing w:val="-4"/>
        </w:rPr>
        <w:t>даних</w:t>
      </w:r>
      <w:r w:rsidR="00313733" w:rsidRPr="00313733">
        <w:rPr>
          <w:spacing w:val="-4"/>
        </w:rPr>
        <w:t xml:space="preserve"> (зокрема, посада, прізвище, підпис</w:t>
      </w:r>
      <w:r w:rsidR="002D3101">
        <w:rPr>
          <w:spacing w:val="-4"/>
        </w:rPr>
        <w:t>]</w:t>
      </w:r>
      <w:r w:rsidRPr="00313733">
        <w:rPr>
          <w:spacing w:val="-4"/>
        </w:rPr>
        <w:t xml:space="preserve"> </w:t>
      </w:r>
      <w:r w:rsidR="00313733" w:rsidRPr="00313733">
        <w:rPr>
          <w:spacing w:val="-4"/>
        </w:rPr>
        <w:t>щодо однієї фізичної особи</w:t>
      </w:r>
      <w:r w:rsidRPr="00313733">
        <w:rPr>
          <w:spacing w:val="-4"/>
        </w:rPr>
        <w:t xml:space="preserve">, інформація в якій суперечить (не відповідає) іншим матеріалам перевірки, зокрема, інформації, що </w:t>
      </w:r>
      <w:r w:rsidRPr="00313733">
        <w:rPr>
          <w:rFonts w:eastAsia="Arial"/>
          <w:lang w:eastAsia="pl-PL"/>
        </w:rPr>
        <w:t xml:space="preserve">на дату підписання </w:t>
      </w:r>
      <w:r w:rsidR="002D3101">
        <w:rPr>
          <w:rFonts w:eastAsia="Arial"/>
          <w:lang w:eastAsia="pl-PL"/>
        </w:rPr>
        <w:t>зазначеної</w:t>
      </w:r>
      <w:r w:rsidR="002D3101" w:rsidRPr="00313733">
        <w:rPr>
          <w:rFonts w:eastAsia="Arial"/>
          <w:lang w:eastAsia="pl-PL"/>
        </w:rPr>
        <w:t xml:space="preserve"> </w:t>
      </w:r>
      <w:r w:rsidR="00313733" w:rsidRPr="00313733">
        <w:rPr>
          <w:rFonts w:eastAsia="Arial"/>
          <w:lang w:eastAsia="pl-PL"/>
        </w:rPr>
        <w:t>додаткової угоди</w:t>
      </w:r>
      <w:r w:rsidRPr="00313733">
        <w:rPr>
          <w:rFonts w:eastAsia="Arial"/>
          <w:lang w:eastAsia="pl-PL"/>
        </w:rPr>
        <w:t xml:space="preserve"> до Договору Р2Р </w:t>
      </w:r>
      <w:r w:rsidR="00313733" w:rsidRPr="00313733">
        <w:rPr>
          <w:rFonts w:eastAsia="Arial"/>
          <w:lang w:eastAsia="pl-PL"/>
        </w:rPr>
        <w:t xml:space="preserve">зазначена </w:t>
      </w:r>
      <w:r w:rsidRPr="00313733">
        <w:rPr>
          <w:rFonts w:eastAsia="Arial"/>
          <w:lang w:eastAsia="pl-PL"/>
        </w:rPr>
        <w:t>фізична особа не займала зазначену</w:t>
      </w:r>
      <w:r w:rsidR="00313733" w:rsidRPr="00313733">
        <w:rPr>
          <w:rFonts w:eastAsia="Arial"/>
          <w:lang w:eastAsia="pl-PL"/>
        </w:rPr>
        <w:t xml:space="preserve"> в додатковій угоді до Договору Р2Р</w:t>
      </w:r>
      <w:r w:rsidRPr="00313733">
        <w:rPr>
          <w:rFonts w:eastAsia="Arial"/>
          <w:lang w:eastAsia="pl-PL"/>
        </w:rPr>
        <w:t xml:space="preserve"> посаду, а також іншій редакції </w:t>
      </w:r>
      <w:r w:rsidR="00313733" w:rsidRPr="00313733">
        <w:rPr>
          <w:spacing w:val="-4"/>
        </w:rPr>
        <w:t>додаткової угоди</w:t>
      </w:r>
      <w:r w:rsidRPr="00313733">
        <w:rPr>
          <w:spacing w:val="-4"/>
        </w:rPr>
        <w:t xml:space="preserve"> до Договору Р2Р, наданій </w:t>
      </w:r>
      <w:r w:rsidR="002D3101" w:rsidRPr="00D50485">
        <w:rPr>
          <w:color w:val="000000" w:themeColor="text1"/>
        </w:rPr>
        <w:t>АТ “АКБ “КОНКОРД”</w:t>
      </w:r>
      <w:r w:rsidRPr="00313733">
        <w:rPr>
          <w:spacing w:val="-4"/>
        </w:rPr>
        <w:t xml:space="preserve"> </w:t>
      </w:r>
      <w:r w:rsidR="002D3101">
        <w:rPr>
          <w:spacing w:val="-4"/>
        </w:rPr>
        <w:t>[</w:t>
      </w:r>
      <w:r w:rsidRPr="00313733">
        <w:rPr>
          <w:spacing w:val="-4"/>
        </w:rPr>
        <w:t xml:space="preserve">із зазначенням </w:t>
      </w:r>
      <w:r w:rsidR="002D3101">
        <w:rPr>
          <w:spacing w:val="-4"/>
        </w:rPr>
        <w:t>у</w:t>
      </w:r>
      <w:r w:rsidR="002D3101" w:rsidRPr="00313733">
        <w:rPr>
          <w:spacing w:val="-4"/>
        </w:rPr>
        <w:t xml:space="preserve"> </w:t>
      </w:r>
      <w:r w:rsidRPr="00313733">
        <w:rPr>
          <w:spacing w:val="-4"/>
        </w:rPr>
        <w:t xml:space="preserve">реквізитах підписанта зі сторони </w:t>
      </w:r>
      <w:r w:rsidR="002D3101" w:rsidRPr="00D50485">
        <w:rPr>
          <w:color w:val="000000" w:themeColor="text1"/>
        </w:rPr>
        <w:t>АТ “АКБ “КОНКОРД”</w:t>
      </w:r>
      <w:r w:rsidRPr="00313733">
        <w:rPr>
          <w:spacing w:val="-4"/>
        </w:rPr>
        <w:t xml:space="preserve"> даних</w:t>
      </w:r>
      <w:r w:rsidR="00313733" w:rsidRPr="00313733">
        <w:rPr>
          <w:spacing w:val="-4"/>
        </w:rPr>
        <w:t xml:space="preserve"> (зокрема, посада, прізвище, підпис)</w:t>
      </w:r>
      <w:r w:rsidRPr="00DA480E">
        <w:rPr>
          <w:spacing w:val="-4"/>
        </w:rPr>
        <w:t xml:space="preserve"> </w:t>
      </w:r>
      <w:r w:rsidRPr="00796BFD">
        <w:rPr>
          <w:spacing w:val="-4"/>
        </w:rPr>
        <w:t>щодо</w:t>
      </w:r>
      <w:r w:rsidR="00313733">
        <w:rPr>
          <w:spacing w:val="-4"/>
        </w:rPr>
        <w:t xml:space="preserve"> зовсім</w:t>
      </w:r>
      <w:r w:rsidRPr="00796BFD">
        <w:rPr>
          <w:spacing w:val="-4"/>
        </w:rPr>
        <w:t xml:space="preserve"> іншої фізичної особи</w:t>
      </w:r>
      <w:r w:rsidR="002D3101">
        <w:rPr>
          <w:spacing w:val="-4"/>
        </w:rPr>
        <w:t>]</w:t>
      </w:r>
      <w:r w:rsidRPr="00C50CDA">
        <w:rPr>
          <w:spacing w:val="-4"/>
        </w:rPr>
        <w:t>;</w:t>
      </w:r>
    </w:p>
    <w:p w14:paraId="313C85D2" w14:textId="1E2AEEC3" w:rsidR="00561A51" w:rsidRPr="0091636C" w:rsidRDefault="00561A51" w:rsidP="003B3353">
      <w:pPr>
        <w:ind w:firstLine="567"/>
        <w:rPr>
          <w:spacing w:val="-4"/>
        </w:rPr>
      </w:pPr>
      <w:r>
        <w:rPr>
          <w:spacing w:val="-4"/>
        </w:rPr>
        <w:t xml:space="preserve">супроводження </w:t>
      </w:r>
      <w:r w:rsidR="002D3101" w:rsidRPr="00D50485">
        <w:rPr>
          <w:color w:val="000000" w:themeColor="text1"/>
        </w:rPr>
        <w:t>АТ “АКБ “КОНКОРД”</w:t>
      </w:r>
      <w:r>
        <w:rPr>
          <w:spacing w:val="-4"/>
        </w:rPr>
        <w:t xml:space="preserve"> переказів інформацією про платника (ініціатора переказу) </w:t>
      </w:r>
      <w:r w:rsidRPr="00C50CDA">
        <w:rPr>
          <w:lang w:val="pl-PL"/>
        </w:rPr>
        <w:t>[</w:t>
      </w:r>
      <w:r w:rsidRPr="00C50CDA">
        <w:t xml:space="preserve">щодо 15 фінансових операцій, що </w:t>
      </w:r>
      <w:r w:rsidR="002D3101">
        <w:t>зазначені</w:t>
      </w:r>
      <w:r w:rsidR="002D3101" w:rsidRPr="00C50CDA">
        <w:t xml:space="preserve"> </w:t>
      </w:r>
      <w:r w:rsidR="002D3101">
        <w:t>в</w:t>
      </w:r>
      <w:r w:rsidR="002D3101" w:rsidRPr="00C50CDA">
        <w:t xml:space="preserve"> </w:t>
      </w:r>
      <w:r w:rsidR="002D3101">
        <w:t>т</w:t>
      </w:r>
      <w:r w:rsidRPr="00C50CDA">
        <w:t>аблиці № 2 Довідки]</w:t>
      </w:r>
      <w:r w:rsidR="002D3101">
        <w:t xml:space="preserve">; </w:t>
      </w:r>
    </w:p>
    <w:p w14:paraId="480B1363" w14:textId="5B7E3077" w:rsidR="005C0B8A" w:rsidRDefault="00313733" w:rsidP="003B3353">
      <w:pPr>
        <w:ind w:firstLine="567"/>
      </w:pPr>
      <w:r w:rsidRPr="003518D9">
        <w:lastRenderedPageBreak/>
        <w:t>3</w:t>
      </w:r>
      <w:r w:rsidR="002D3101">
        <w:t>)</w:t>
      </w:r>
      <w:r w:rsidR="005C0B8A">
        <w:t xml:space="preserve"> </w:t>
      </w:r>
      <w:r w:rsidR="002D3101">
        <w:t>а</w:t>
      </w:r>
      <w:r w:rsidR="006A3BF2" w:rsidRPr="002A5337">
        <w:t>бзац</w:t>
      </w:r>
      <w:r w:rsidR="006A3BF2">
        <w:t>ів</w:t>
      </w:r>
      <w:r w:rsidR="006A3BF2" w:rsidRPr="002A5337">
        <w:t xml:space="preserve"> </w:t>
      </w:r>
      <w:r w:rsidR="005C0B8A" w:rsidRPr="002A5337">
        <w:t xml:space="preserve">першого та другого частини першої статті 8 Закону № 361-IX </w:t>
      </w:r>
      <w:r w:rsidR="00B01EC3">
        <w:t>у</w:t>
      </w:r>
      <w:r w:rsidR="00B01EC3" w:rsidRPr="002A5337">
        <w:t xml:space="preserve"> </w:t>
      </w:r>
      <w:r w:rsidR="005C0B8A" w:rsidRPr="002A5337">
        <w:t xml:space="preserve">частині неналежного виконання </w:t>
      </w:r>
      <w:r w:rsidR="00B01EC3" w:rsidRPr="00D50485">
        <w:rPr>
          <w:color w:val="000000" w:themeColor="text1"/>
        </w:rPr>
        <w:t>АТ “АКБ “КОНКОРД”</w:t>
      </w:r>
      <w:r w:rsidR="005C0B8A" w:rsidRPr="002A5337">
        <w:t xml:space="preserve"> обов’язку з урахуванням вимог законодавства, результатів </w:t>
      </w:r>
      <w:r w:rsidR="005C0B8A">
        <w:t xml:space="preserve">національної оцінки ризиків (далі – </w:t>
      </w:r>
      <w:r w:rsidR="005C0B8A" w:rsidRPr="002A5337">
        <w:t>НОР</w:t>
      </w:r>
      <w:r w:rsidR="005C0B8A">
        <w:t>)</w:t>
      </w:r>
      <w:r w:rsidR="005C0B8A" w:rsidRPr="002A5337">
        <w:t xml:space="preserve"> та оцінки ризиків, притаманних його діяльності, розробляти, впроваджувати внутрішні документи з питань фінансового моніторингу, а також </w:t>
      </w:r>
      <w:r w:rsidR="00B01EC3">
        <w:t>у</w:t>
      </w:r>
      <w:r w:rsidR="00B01EC3" w:rsidRPr="002A5337">
        <w:t xml:space="preserve"> </w:t>
      </w:r>
      <w:r w:rsidR="005C0B8A" w:rsidRPr="002A5337">
        <w:t xml:space="preserve">частині </w:t>
      </w:r>
      <w:r w:rsidR="00B01EC3">
        <w:t xml:space="preserve">того, що </w:t>
      </w:r>
      <w:r w:rsidR="005C0B8A" w:rsidRPr="002A5337">
        <w:t xml:space="preserve">у внутрішніх документах </w:t>
      </w:r>
      <w:r w:rsidR="00B01EC3">
        <w:t>і</w:t>
      </w:r>
      <w:r w:rsidR="005C0B8A" w:rsidRPr="002A5337">
        <w:t>з питань фінансового моніторингу</w:t>
      </w:r>
      <w:r w:rsidR="00B01EC3">
        <w:t xml:space="preserve"> немає</w:t>
      </w:r>
      <w:r w:rsidR="005C0B8A" w:rsidRPr="002A5337">
        <w:t xml:space="preserve"> процедур, достатніх для забезпечення ефективного управління ризиками, а саме: </w:t>
      </w:r>
      <w:r w:rsidR="00B01EC3">
        <w:t>у</w:t>
      </w:r>
      <w:r w:rsidR="005C0B8A" w:rsidRPr="002A5337">
        <w:t xml:space="preserve">провадження належного порядку оцінки ризик-профілю </w:t>
      </w:r>
      <w:r w:rsidR="00B01EC3" w:rsidRPr="00D50485">
        <w:rPr>
          <w:color w:val="000000" w:themeColor="text1"/>
        </w:rPr>
        <w:t>АТ “АКБ “КОНКОРД”</w:t>
      </w:r>
      <w:r w:rsidR="00B01EC3">
        <w:t>,</w:t>
      </w:r>
      <w:r w:rsidR="005C0B8A" w:rsidRPr="002A5337">
        <w:t xml:space="preserve"> розроблення </w:t>
      </w:r>
      <w:r w:rsidR="00B01EC3" w:rsidRPr="00D50485">
        <w:rPr>
          <w:color w:val="000000" w:themeColor="text1"/>
        </w:rPr>
        <w:t>АТ “АКБ “КОНКОРД”</w:t>
      </w:r>
      <w:r w:rsidR="005C0B8A" w:rsidRPr="002A5337">
        <w:t xml:space="preserve"> порядку оцінки/переоцінки ризик-профілю клієнтів відповідно до вимог пункту 62 розділу IV </w:t>
      </w:r>
      <w:r w:rsidR="00B01EC3">
        <w:br/>
      </w:r>
      <w:r w:rsidR="005C0B8A" w:rsidRPr="002A5337">
        <w:t>Положення № 65.</w:t>
      </w:r>
    </w:p>
    <w:p w14:paraId="447F3317" w14:textId="77777777" w:rsidR="00B85D2D" w:rsidRPr="00FC02EC" w:rsidRDefault="00B85D2D" w:rsidP="003B3353">
      <w:pPr>
        <w:ind w:firstLine="567"/>
      </w:pPr>
      <w:r>
        <w:t>З</w:t>
      </w:r>
      <w:r w:rsidRPr="002A5337">
        <w:t xml:space="preserve">гідно з вимогами абзаців першого та другого частини першої статті 8 Закону </w:t>
      </w:r>
      <w:r w:rsidRPr="00C50CDA">
        <w:t>№ 361-</w:t>
      </w:r>
      <w:r w:rsidRPr="0092561B">
        <w:t>IX</w:t>
      </w:r>
      <w:r w:rsidRPr="00C50CDA">
        <w:t xml:space="preserve"> </w:t>
      </w:r>
      <w:r w:rsidRPr="002A5337">
        <w:t xml:space="preserve"> суб’єкт первинного фінансового моніторингу (крім спеціально визначених суб’єктів первинного фінансового моніторингу, що провадять свою діяльність одноособово, без утворення юридичної особи) з урахуванням вимог законодавства, результатів </w:t>
      </w:r>
      <w:r w:rsidRPr="00C50CDA">
        <w:t xml:space="preserve">національної оцінки ризиків </w:t>
      </w:r>
      <w:r w:rsidRPr="002A5337">
        <w:t xml:space="preserve">та оцінки ризиків, притаманних його діяльності, </w:t>
      </w:r>
      <w:r w:rsidRPr="00FC02EC">
        <w:rPr>
          <w:bCs/>
        </w:rPr>
        <w:t>розробляє, впроваджує та оновлює</w:t>
      </w:r>
      <w:r w:rsidRPr="00FC02EC">
        <w:t xml:space="preserve"> правила фінансового моніторингу, програми проведення первинного фінансового моніторингу та інші внутрішні документи з питань фінансового моніторингу і призначає працівника, відповідального за його проведення.</w:t>
      </w:r>
    </w:p>
    <w:p w14:paraId="5ED7DA63" w14:textId="39F7ED8D" w:rsidR="00B85D2D" w:rsidRDefault="00B85D2D" w:rsidP="003B3353">
      <w:pPr>
        <w:ind w:firstLine="567"/>
      </w:pPr>
      <w:r w:rsidRPr="00FC02EC">
        <w:t xml:space="preserve">Внутрішні документи з питань фінансового моніторингу </w:t>
      </w:r>
      <w:r w:rsidRPr="00FC02EC">
        <w:rPr>
          <w:bCs/>
        </w:rPr>
        <w:t>повинні містити процедури</w:t>
      </w:r>
      <w:r w:rsidRPr="00FC02EC">
        <w:t xml:space="preserve">, достатні для забезпечення ефективного управління ризиками, а також для запобігання використанню послуг та продуктів суб’єкта первинного фінансового моніторингу для </w:t>
      </w:r>
      <w:r>
        <w:t>ВК/ФТ</w:t>
      </w:r>
      <w:r w:rsidRPr="00FC02EC">
        <w:t>.</w:t>
      </w:r>
    </w:p>
    <w:p w14:paraId="19E1EA6C" w14:textId="68E108B3" w:rsidR="00B85D2D" w:rsidRPr="00C50CDA" w:rsidRDefault="00B85D2D" w:rsidP="003B3353">
      <w:pPr>
        <w:widowControl w:val="0"/>
        <w:tabs>
          <w:tab w:val="left" w:pos="0"/>
          <w:tab w:val="left" w:pos="142"/>
          <w:tab w:val="left" w:pos="851"/>
        </w:tabs>
        <w:autoSpaceDE w:val="0"/>
        <w:autoSpaceDN w:val="0"/>
        <w:adjustRightInd w:val="0"/>
        <w:ind w:firstLine="567"/>
        <w:contextualSpacing/>
        <w:rPr>
          <w:bCs/>
        </w:rPr>
      </w:pPr>
      <w:r w:rsidRPr="00C50CDA">
        <w:t>Відповідно до підпункту 4 пункту 26 розділу IІІ Положення</w:t>
      </w:r>
      <w:r>
        <w:rPr>
          <w:rFonts w:eastAsia="Calibri"/>
          <w:bCs/>
          <w:shd w:val="clear" w:color="auto" w:fill="FFFFFF"/>
        </w:rPr>
        <w:t xml:space="preserve"> № 65</w:t>
      </w:r>
      <w:r w:rsidRPr="00C50CDA">
        <w:t xml:space="preserve"> внутрішні документи </w:t>
      </w:r>
      <w:r w:rsidR="00B01EC3" w:rsidRPr="00D50485">
        <w:rPr>
          <w:color w:val="000000" w:themeColor="text1"/>
        </w:rPr>
        <w:t>АТ “АКБ “КОНКОРД”</w:t>
      </w:r>
      <w:r w:rsidRPr="00C50CDA">
        <w:t xml:space="preserve"> з питань </w:t>
      </w:r>
      <w:r>
        <w:t>ПВК/ФТ</w:t>
      </w:r>
      <w:r w:rsidRPr="00C50CDA">
        <w:t xml:space="preserve"> принаймні </w:t>
      </w:r>
      <w:r w:rsidR="00B01EC3">
        <w:t>повинні</w:t>
      </w:r>
      <w:r w:rsidR="00B01EC3" w:rsidRPr="00C50CDA">
        <w:t xml:space="preserve"> </w:t>
      </w:r>
      <w:r w:rsidRPr="00C50CDA">
        <w:t>містити, зокрема, порядок здійснення оцінки/переоцінки ризик-профілю банку та ризик-профілю клієнтів і вжиття заходів з метою мінімізації</w:t>
      </w:r>
      <w:r w:rsidRPr="00DB2F58">
        <w:t xml:space="preserve"> </w:t>
      </w:r>
      <w:r w:rsidRPr="00C50CDA">
        <w:t>ризиків ВК/ФТ.</w:t>
      </w:r>
    </w:p>
    <w:p w14:paraId="0AEAFEA4" w14:textId="792F4580" w:rsidR="00B85D2D" w:rsidRPr="00C50CDA" w:rsidRDefault="00B85D2D" w:rsidP="003B3353">
      <w:pPr>
        <w:tabs>
          <w:tab w:val="left" w:pos="0"/>
          <w:tab w:val="left" w:pos="943"/>
        </w:tabs>
        <w:ind w:firstLine="567"/>
        <w:rPr>
          <w:bCs/>
        </w:rPr>
      </w:pPr>
      <w:bookmarkStart w:id="11" w:name="n228"/>
      <w:bookmarkStart w:id="12" w:name="n229"/>
      <w:bookmarkStart w:id="13" w:name="n230"/>
      <w:bookmarkStart w:id="14" w:name="n231"/>
      <w:bookmarkEnd w:id="11"/>
      <w:bookmarkEnd w:id="12"/>
      <w:bookmarkEnd w:id="13"/>
      <w:bookmarkEnd w:id="14"/>
      <w:r w:rsidRPr="00C50CDA">
        <w:t xml:space="preserve">Відповідно до вимог підпункту 4 пункту 7 розділу I та </w:t>
      </w:r>
      <w:r w:rsidRPr="00C50CDA">
        <w:rPr>
          <w:bCs/>
        </w:rPr>
        <w:t>пункту 23 розділу III</w:t>
      </w:r>
      <w:r w:rsidRPr="00C50CDA">
        <w:t xml:space="preserve"> Положення № 65 банк з метою належної організації внутрішньобанківської системи ПВК/ФТ та проведення первинного фінансового моніторингу, </w:t>
      </w:r>
      <w:r w:rsidRPr="00C50CDA">
        <w:rPr>
          <w:bCs/>
        </w:rPr>
        <w:t xml:space="preserve">функціонування належної системи управління ризиками ВК/ФТ </w:t>
      </w:r>
      <w:r w:rsidRPr="00C50CDA">
        <w:t xml:space="preserve">розробляє та затверджує внутрішні документи банку з питань ПВК/ФТ в обсязі, необхідному для ефективного функціонування внутрішньобанківської системи ПВК/ФТ та розуміння працівниками банку своїх обов’язків та повноважень у сфері ПВК/ФТ, які </w:t>
      </w:r>
      <w:r w:rsidRPr="00C50CDA">
        <w:rPr>
          <w:bCs/>
        </w:rPr>
        <w:t>повинні містити дієві ризик-орієнтовані процедури та порядки</w:t>
      </w:r>
      <w:r w:rsidR="00B5618B">
        <w:rPr>
          <w:rStyle w:val="af8"/>
          <w:bCs/>
        </w:rPr>
        <w:footnoteReference w:id="12"/>
      </w:r>
      <w:r w:rsidRPr="00C50CDA">
        <w:rPr>
          <w:bCs/>
        </w:rPr>
        <w:t>.</w:t>
      </w:r>
    </w:p>
    <w:p w14:paraId="10119BF2" w14:textId="77777777" w:rsidR="00B85D2D" w:rsidRPr="00FC02EC" w:rsidRDefault="00B85D2D" w:rsidP="003B3353">
      <w:pPr>
        <w:widowControl w:val="0"/>
        <w:tabs>
          <w:tab w:val="left" w:pos="0"/>
          <w:tab w:val="left" w:pos="142"/>
          <w:tab w:val="left" w:pos="851"/>
        </w:tabs>
        <w:autoSpaceDE w:val="0"/>
        <w:autoSpaceDN w:val="0"/>
        <w:adjustRightInd w:val="0"/>
        <w:ind w:firstLine="567"/>
      </w:pPr>
      <w:bookmarkStart w:id="15" w:name="n135"/>
      <w:bookmarkStart w:id="16" w:name="n137"/>
      <w:bookmarkStart w:id="17" w:name="n138"/>
      <w:bookmarkEnd w:id="15"/>
      <w:bookmarkEnd w:id="16"/>
      <w:bookmarkEnd w:id="17"/>
      <w:r w:rsidRPr="00FC02EC">
        <w:rPr>
          <w:bCs/>
        </w:rPr>
        <w:t xml:space="preserve">Основними принципами розроблення та реалізації внутрішніх документів банку з питань ПВК/ФТ, зокрема, є: </w:t>
      </w:r>
    </w:p>
    <w:p w14:paraId="0E984964" w14:textId="77777777" w:rsidR="00B85D2D" w:rsidRPr="00FC02EC" w:rsidRDefault="00B85D2D" w:rsidP="00DA20BB">
      <w:pPr>
        <w:tabs>
          <w:tab w:val="left" w:pos="0"/>
          <w:tab w:val="left" w:pos="142"/>
          <w:tab w:val="left" w:pos="993"/>
        </w:tabs>
        <w:ind w:firstLine="567"/>
        <w:contextualSpacing/>
      </w:pPr>
      <w:r w:rsidRPr="00FC02EC">
        <w:t xml:space="preserve">чіткий розподіл обов’язків та повноважень між радою банку, головою правління банку/керівником філії іноземного банку, членами правління банку, відповідальним працівником банку, іншими працівниками та структурними </w:t>
      </w:r>
      <w:r w:rsidRPr="00FC02EC">
        <w:lastRenderedPageBreak/>
        <w:t>підрозділами банку з метою недопущення в роботі банку порушень законодавства України у сфері ПВК/ФТ</w:t>
      </w:r>
      <w:r w:rsidRPr="00C50CDA">
        <w:t xml:space="preserve"> (</w:t>
      </w:r>
      <w:r>
        <w:t>підпункт 6 пункту 25 розділу ІІІ Положення № 65)</w:t>
      </w:r>
      <w:r w:rsidRPr="00FC02EC">
        <w:t xml:space="preserve">; </w:t>
      </w:r>
    </w:p>
    <w:p w14:paraId="034436D5" w14:textId="77777777" w:rsidR="00B85D2D" w:rsidRPr="00FC02EC" w:rsidRDefault="00B85D2D" w:rsidP="00DA20BB">
      <w:pPr>
        <w:widowControl w:val="0"/>
        <w:shd w:val="clear" w:color="auto" w:fill="FFFFFF"/>
        <w:tabs>
          <w:tab w:val="left" w:pos="0"/>
          <w:tab w:val="left" w:pos="142"/>
          <w:tab w:val="left" w:pos="993"/>
        </w:tabs>
        <w:autoSpaceDE w:val="0"/>
        <w:autoSpaceDN w:val="0"/>
        <w:adjustRightInd w:val="0"/>
        <w:ind w:firstLine="567"/>
        <w:contextualSpacing/>
        <w:rPr>
          <w:bCs/>
        </w:rPr>
      </w:pPr>
      <w:r w:rsidRPr="00FC02EC">
        <w:rPr>
          <w:bCs/>
        </w:rPr>
        <w:t xml:space="preserve">встановлення детального та максимально </w:t>
      </w:r>
      <w:r w:rsidRPr="00FC02EC">
        <w:t>зрозумілого працівникам банку порядку дій</w:t>
      </w:r>
      <w:r w:rsidRPr="00FC02EC">
        <w:rPr>
          <w:bCs/>
        </w:rPr>
        <w:t xml:space="preserve"> під час здійснення ними процедур ПВК/ФТ</w:t>
      </w:r>
      <w:r>
        <w:rPr>
          <w:bCs/>
        </w:rPr>
        <w:t xml:space="preserve"> (</w:t>
      </w:r>
      <w:r>
        <w:t xml:space="preserve">підпункт 8 </w:t>
      </w:r>
      <w:r w:rsidRPr="00FC02EC">
        <w:rPr>
          <w:bCs/>
        </w:rPr>
        <w:t>пункту 25</w:t>
      </w:r>
      <w:r w:rsidRPr="00FC02EC">
        <w:t xml:space="preserve"> розділу ІІІ Положення № 65</w:t>
      </w:r>
      <w:r>
        <w:t>)</w:t>
      </w:r>
      <w:r w:rsidRPr="00FC02EC">
        <w:rPr>
          <w:bCs/>
        </w:rPr>
        <w:t>.</w:t>
      </w:r>
    </w:p>
    <w:p w14:paraId="17A0D808" w14:textId="1D3A8D83" w:rsidR="002108D0" w:rsidRPr="00C50CDA" w:rsidRDefault="002108D0" w:rsidP="003B3353">
      <w:pPr>
        <w:tabs>
          <w:tab w:val="left" w:pos="0"/>
          <w:tab w:val="left" w:pos="943"/>
        </w:tabs>
        <w:ind w:firstLine="567"/>
      </w:pPr>
      <w:r w:rsidRPr="00C50CDA">
        <w:rPr>
          <w:rFonts w:eastAsia="Calibri"/>
        </w:rPr>
        <w:t>Відповідно до вимог пункту</w:t>
      </w:r>
      <w:r w:rsidRPr="00C50CDA">
        <w:t xml:space="preserve"> 38 розділу IV Положення № 65 оцінка ризик-профілю має включати три етапи, а саме: виявлення та оцінку ризиків ВК/ФТ, притаманних діяльності банку</w:t>
      </w:r>
      <w:r w:rsidR="00843DDB">
        <w:t>,</w:t>
      </w:r>
      <w:r w:rsidRPr="00C50CDA">
        <w:t xml:space="preserve"> аналіз наявних заходів з управління ризиками ВК/ФТ для їх зниження (мінімізації)</w:t>
      </w:r>
      <w:r w:rsidR="00843DDB">
        <w:t>,</w:t>
      </w:r>
      <w:r w:rsidRPr="00C50CDA">
        <w:t xml:space="preserve"> визначення ризик-апетиту банку у сфері ПВК/ФТ (прийнятного для банку рівня ризику ВК/ФТ). </w:t>
      </w:r>
    </w:p>
    <w:p w14:paraId="1D960E18" w14:textId="51C6FBFC" w:rsidR="002108D0" w:rsidRPr="00C50CDA" w:rsidRDefault="002108D0" w:rsidP="003B3353">
      <w:pPr>
        <w:tabs>
          <w:tab w:val="left" w:pos="0"/>
          <w:tab w:val="left" w:pos="943"/>
        </w:tabs>
        <w:ind w:firstLine="567"/>
        <w:rPr>
          <w:rFonts w:eastAsia="Calibri"/>
        </w:rPr>
      </w:pPr>
      <w:r w:rsidRPr="00C50CDA">
        <w:t xml:space="preserve">Таким чином, внутрішні документи, які визначають порядок оцінки ризик-профілю </w:t>
      </w:r>
      <w:r w:rsidR="0035377F">
        <w:t>б</w:t>
      </w:r>
      <w:r w:rsidR="0035377F" w:rsidRPr="00C50CDA">
        <w:t>анку</w:t>
      </w:r>
      <w:r w:rsidRPr="00C50CDA">
        <w:t xml:space="preserve">, мають містити порядок здійснення кожного з зазначених етапів, а саме: </w:t>
      </w:r>
      <w:r w:rsidRPr="00C50CDA">
        <w:rPr>
          <w:rFonts w:eastAsia="Calibri"/>
        </w:rPr>
        <w:t xml:space="preserve">порядок виявлення ризиків ВК/ФТ, що притаманні діяльності </w:t>
      </w:r>
      <w:r w:rsidR="0035377F">
        <w:rPr>
          <w:rFonts w:eastAsia="Calibri"/>
        </w:rPr>
        <w:t>б</w:t>
      </w:r>
      <w:r w:rsidR="0035377F" w:rsidRPr="00C50CDA">
        <w:rPr>
          <w:rFonts w:eastAsia="Calibri"/>
        </w:rPr>
        <w:t>анку</w:t>
      </w:r>
      <w:r w:rsidRPr="00C50CDA">
        <w:rPr>
          <w:rFonts w:eastAsia="Calibri"/>
        </w:rPr>
        <w:t>, а також порядок здійснення оцінки ризиків ВК/ФТ</w:t>
      </w:r>
      <w:r w:rsidR="00843DDB">
        <w:rPr>
          <w:rFonts w:eastAsia="Calibri"/>
        </w:rPr>
        <w:t>,</w:t>
      </w:r>
      <w:r w:rsidRPr="00C50CDA">
        <w:rPr>
          <w:rFonts w:eastAsia="Calibri"/>
        </w:rPr>
        <w:t xml:space="preserve"> порядок аналізу наявних </w:t>
      </w:r>
      <w:r w:rsidRPr="00C50CDA">
        <w:t>заходів з управління ризиками ВК/ФТ для їх зниження (мінімізації)</w:t>
      </w:r>
      <w:r w:rsidR="00843DDB">
        <w:t>,</w:t>
      </w:r>
      <w:r w:rsidRPr="00C50CDA">
        <w:t xml:space="preserve"> порядок визначення ризик-апетиту банку у сфері ПВК/ФТ (прийнятного для банку рівня ризику ВК/ФТ). </w:t>
      </w:r>
      <w:r w:rsidR="00843DDB">
        <w:t>Водночас</w:t>
      </w:r>
      <w:r w:rsidRPr="00C50CDA">
        <w:t xml:space="preserve"> </w:t>
      </w:r>
      <w:r w:rsidRPr="00C50CDA">
        <w:rPr>
          <w:rFonts w:eastAsia="Calibri"/>
        </w:rPr>
        <w:t xml:space="preserve">порядок виявлення та оцінки ризиків ВК/ФТ, що </w:t>
      </w:r>
      <w:r w:rsidRPr="002108D0">
        <w:rPr>
          <w:rFonts w:eastAsia="Calibri"/>
        </w:rPr>
        <w:t xml:space="preserve">притаманні діяльності </w:t>
      </w:r>
      <w:r w:rsidR="0035377F">
        <w:rPr>
          <w:rFonts w:eastAsia="Calibri"/>
        </w:rPr>
        <w:t>б</w:t>
      </w:r>
      <w:r w:rsidR="0035377F" w:rsidRPr="002108D0">
        <w:rPr>
          <w:rFonts w:eastAsia="Calibri"/>
        </w:rPr>
        <w:t>анку</w:t>
      </w:r>
      <w:r w:rsidRPr="002108D0">
        <w:rPr>
          <w:rFonts w:eastAsia="Calibri"/>
        </w:rPr>
        <w:t>,</w:t>
      </w:r>
      <w:r w:rsidRPr="00C50CDA">
        <w:rPr>
          <w:rFonts w:eastAsia="Calibri"/>
        </w:rPr>
        <w:t xml:space="preserve"> має містити також порядок аналізу ризиків ВК/ФТ продуктів/послуг, які надаються </w:t>
      </w:r>
      <w:r w:rsidR="0035377F">
        <w:rPr>
          <w:rFonts w:eastAsia="Calibri"/>
        </w:rPr>
        <w:t>б</w:t>
      </w:r>
      <w:r w:rsidR="0035377F" w:rsidRPr="00C50CDA">
        <w:rPr>
          <w:rFonts w:eastAsia="Calibri"/>
        </w:rPr>
        <w:t>анком</w:t>
      </w:r>
      <w:r w:rsidRPr="00C50CDA">
        <w:rPr>
          <w:rFonts w:eastAsia="Calibri"/>
        </w:rPr>
        <w:t xml:space="preserve">. Такі порядки повинні </w:t>
      </w:r>
      <w:r w:rsidRPr="00C50CDA">
        <w:t xml:space="preserve">передбачати чітку послідовність дій цих процесів із зазначенням способів, форм, строків (термінів) ужиття працівниками </w:t>
      </w:r>
      <w:r w:rsidR="0035377F">
        <w:t>б</w:t>
      </w:r>
      <w:r w:rsidR="0035377F" w:rsidRPr="00C50CDA">
        <w:t xml:space="preserve">анку </w:t>
      </w:r>
      <w:r w:rsidRPr="00C50CDA">
        <w:t>цих дій</w:t>
      </w:r>
      <w:r w:rsidRPr="00C50CDA">
        <w:rPr>
          <w:rFonts w:eastAsia="Calibri"/>
        </w:rPr>
        <w:t>.</w:t>
      </w:r>
    </w:p>
    <w:p w14:paraId="20A77A40" w14:textId="69AAED29" w:rsidR="002108D0" w:rsidRPr="00C50CDA" w:rsidRDefault="00843DDB" w:rsidP="003B3353">
      <w:pPr>
        <w:tabs>
          <w:tab w:val="left" w:pos="0"/>
          <w:tab w:val="left" w:pos="993"/>
        </w:tabs>
        <w:ind w:firstLine="567"/>
      </w:pPr>
      <w:r>
        <w:t>Водночас</w:t>
      </w:r>
      <w:r w:rsidR="002108D0" w:rsidRPr="00C50CDA">
        <w:t xml:space="preserve"> пункти 4.1, 4.2, 4.4, 4.5, 4.6 розділу 4 </w:t>
      </w:r>
      <w:r w:rsidR="0092067E" w:rsidRPr="002A5337">
        <w:t xml:space="preserve">ПРОГРАМИ УПРАВЛІННЯ РИЗИКАМИ ЛЕГАЛІЗАЦІЇ (ВІДМИВАННЯ) ДОХОДІВ, ОДЕРЖАНИХ ЗЛОЧИННИМ ШЛЯХОМ, ФІНАНСУВАННЯ ТЕРОРИЗМУ ТА/АБО ФІНАНСУВАННЯ РОЗПОВСЮДЖЕННЯ ЗБРОЇ МАСОВОГО ЗНИЩЕННЯ АКЦІОНЕРНОГО ТОВАРИСТВА </w:t>
      </w:r>
      <w:r>
        <w:t>“</w:t>
      </w:r>
      <w:r w:rsidR="0092067E" w:rsidRPr="002A5337">
        <w:t xml:space="preserve">АКЦІОНЕРНИЙ КОМЕРЦІЙНИЙ БАНК </w:t>
      </w:r>
      <w:r>
        <w:t>“</w:t>
      </w:r>
      <w:r w:rsidR="0092067E" w:rsidRPr="002A5337">
        <w:t>КОНКОРД</w:t>
      </w:r>
      <w:r>
        <w:t xml:space="preserve">”, затвердженої </w:t>
      </w:r>
      <w:r w:rsidRPr="00E67C46">
        <w:t xml:space="preserve">рішенням </w:t>
      </w:r>
      <w:r>
        <w:t>правління</w:t>
      </w:r>
      <w:r w:rsidRPr="00E67C46">
        <w:t xml:space="preserve"> </w:t>
      </w:r>
      <w:r w:rsidRPr="00831B31">
        <w:t xml:space="preserve">АТ </w:t>
      </w:r>
      <w:r>
        <w:t>“</w:t>
      </w:r>
      <w:r w:rsidRPr="00831B31">
        <w:t xml:space="preserve">АКБ </w:t>
      </w:r>
      <w:r>
        <w:t>“</w:t>
      </w:r>
      <w:r w:rsidRPr="00831B31">
        <w:t>КОНКОРД</w:t>
      </w:r>
      <w:r>
        <w:t>”</w:t>
      </w:r>
      <w:r w:rsidRPr="00E67C46">
        <w:t xml:space="preserve"> (протокол від </w:t>
      </w:r>
      <w:r>
        <w:t xml:space="preserve">29 грудня </w:t>
      </w:r>
      <w:r w:rsidRPr="00E67C46">
        <w:t>202</w:t>
      </w:r>
      <w:r>
        <w:t>2 року</w:t>
      </w:r>
      <w:r w:rsidRPr="00E67C46">
        <w:t xml:space="preserve"> № </w:t>
      </w:r>
      <w:r>
        <w:t>348</w:t>
      </w:r>
      <w:r w:rsidRPr="00E67C46">
        <w:t>)</w:t>
      </w:r>
      <w:r>
        <w:t xml:space="preserve"> </w:t>
      </w:r>
      <w:r w:rsidR="0092067E" w:rsidRPr="002A5337">
        <w:t>(далі – Програма управління ризиками від 29</w:t>
      </w:r>
      <w:r w:rsidR="00AE47C1">
        <w:t xml:space="preserve"> грудня </w:t>
      </w:r>
      <w:r w:rsidR="0092067E" w:rsidRPr="002A5337">
        <w:t>2022</w:t>
      </w:r>
      <w:r w:rsidR="00AE47C1">
        <w:t xml:space="preserve"> року</w:t>
      </w:r>
      <w:r w:rsidR="0092067E" w:rsidRPr="002A5337">
        <w:t>)</w:t>
      </w:r>
      <w:r w:rsidR="00AE47C1">
        <w:t>,</w:t>
      </w:r>
      <w:r w:rsidR="002108D0" w:rsidRPr="00C50CDA">
        <w:t xml:space="preserve"> дублюють норми пунктів 39</w:t>
      </w:r>
      <w:r w:rsidR="00AE47C1">
        <w:t>‒</w:t>
      </w:r>
      <w:r w:rsidR="002108D0" w:rsidRPr="00C50CDA">
        <w:t xml:space="preserve">42, 44 розділу IV Положення № 65 та визначають лише загальний (формальний) характер оцінки ризиків ВК/ФТ, не визначаючи порядку здійснення оцінки ризик-профілю </w:t>
      </w:r>
      <w:r w:rsidR="00AE47C1" w:rsidRPr="00831B31">
        <w:t xml:space="preserve">АТ </w:t>
      </w:r>
      <w:r w:rsidR="00AE47C1">
        <w:t>“</w:t>
      </w:r>
      <w:r w:rsidR="00AE47C1" w:rsidRPr="00831B31">
        <w:t xml:space="preserve">АКБ </w:t>
      </w:r>
      <w:r w:rsidR="00AE47C1">
        <w:t>“</w:t>
      </w:r>
      <w:r w:rsidR="00AE47C1" w:rsidRPr="00831B31">
        <w:t>КОНКОРД</w:t>
      </w:r>
      <w:r w:rsidR="00AE47C1">
        <w:t>”</w:t>
      </w:r>
      <w:r w:rsidR="002108D0" w:rsidRPr="00C50CDA">
        <w:t xml:space="preserve">. </w:t>
      </w:r>
    </w:p>
    <w:p w14:paraId="5409A052" w14:textId="4219615B" w:rsidR="002108D0" w:rsidRPr="00C50CDA" w:rsidRDefault="0035377F" w:rsidP="003B3353">
      <w:pPr>
        <w:ind w:firstLine="567"/>
        <w:rPr>
          <w:rFonts w:eastAsia="Calibri"/>
          <w:bCs/>
        </w:rPr>
      </w:pPr>
      <w:r>
        <w:rPr>
          <w:rFonts w:eastAsia="Calibri"/>
        </w:rPr>
        <w:t>З</w:t>
      </w:r>
      <w:r w:rsidR="002108D0" w:rsidRPr="00C50CDA">
        <w:rPr>
          <w:rFonts w:eastAsia="Calibri"/>
        </w:rPr>
        <w:t xml:space="preserve">а результатами перевірки встановлено, що внутрішні документи </w:t>
      </w:r>
      <w:r w:rsidR="00AE47C1" w:rsidRPr="00831B31">
        <w:t xml:space="preserve">АТ </w:t>
      </w:r>
      <w:r w:rsidR="00AE47C1">
        <w:t>“</w:t>
      </w:r>
      <w:r w:rsidR="00AE47C1" w:rsidRPr="00831B31">
        <w:t xml:space="preserve">АКБ </w:t>
      </w:r>
      <w:r w:rsidR="00AE47C1">
        <w:t>“</w:t>
      </w:r>
      <w:r w:rsidR="00AE47C1" w:rsidRPr="00831B31">
        <w:t>КОНКОРД</w:t>
      </w:r>
      <w:r w:rsidR="00AE47C1">
        <w:t>”</w:t>
      </w:r>
      <w:r w:rsidR="002108D0" w:rsidRPr="00C50CDA">
        <w:rPr>
          <w:rFonts w:eastAsia="Calibri"/>
        </w:rPr>
        <w:t xml:space="preserve"> з питань ПВК/ФТ </w:t>
      </w:r>
      <w:r w:rsidR="002108D0" w:rsidRPr="00C50CDA">
        <w:rPr>
          <w:rFonts w:eastAsia="Calibri"/>
          <w:bCs/>
        </w:rPr>
        <w:t>не містять:</w:t>
      </w:r>
    </w:p>
    <w:p w14:paraId="1058570A" w14:textId="140D11A5" w:rsidR="002108D0" w:rsidRPr="00C50CDA" w:rsidRDefault="002108D0" w:rsidP="003B3353">
      <w:pPr>
        <w:ind w:firstLine="567"/>
        <w:rPr>
          <w:rFonts w:eastAsia="Calibri"/>
        </w:rPr>
      </w:pPr>
      <w:r w:rsidRPr="00C50CDA">
        <w:rPr>
          <w:rFonts w:eastAsia="Calibri"/>
        </w:rPr>
        <w:t xml:space="preserve">порядку виявлення та оцінки ризиків ВК/ФТ, притаманних саме діяльності </w:t>
      </w:r>
      <w:r w:rsidR="00AE47C1" w:rsidRPr="00831B31">
        <w:t xml:space="preserve">АТ </w:t>
      </w:r>
      <w:r w:rsidR="00AE47C1">
        <w:t>“</w:t>
      </w:r>
      <w:r w:rsidR="00AE47C1" w:rsidRPr="00831B31">
        <w:t xml:space="preserve">АКБ </w:t>
      </w:r>
      <w:r w:rsidR="00AE47C1">
        <w:t>“</w:t>
      </w:r>
      <w:r w:rsidR="00AE47C1" w:rsidRPr="00831B31">
        <w:t>КОНКОРД</w:t>
      </w:r>
      <w:r w:rsidR="00AE47C1">
        <w:t>”</w:t>
      </w:r>
      <w:r w:rsidRPr="00C50CDA">
        <w:rPr>
          <w:rFonts w:eastAsia="Calibri"/>
        </w:rPr>
        <w:t xml:space="preserve"> (у Програмі управління ризиками від 29</w:t>
      </w:r>
      <w:r w:rsidR="00AE47C1">
        <w:rPr>
          <w:rFonts w:eastAsia="Calibri"/>
        </w:rPr>
        <w:t xml:space="preserve"> грудня </w:t>
      </w:r>
      <w:r w:rsidRPr="00C50CDA">
        <w:rPr>
          <w:rFonts w:eastAsia="Calibri"/>
        </w:rPr>
        <w:t>2022</w:t>
      </w:r>
      <w:r w:rsidR="00AE47C1">
        <w:rPr>
          <w:rFonts w:eastAsia="Calibri"/>
        </w:rPr>
        <w:t xml:space="preserve"> року</w:t>
      </w:r>
      <w:r w:rsidRPr="00C50CDA">
        <w:rPr>
          <w:rFonts w:eastAsia="Calibri"/>
        </w:rPr>
        <w:t xml:space="preserve"> зазначені лише загальні вимоги, здебільшого дублюючи норми </w:t>
      </w:r>
      <w:r w:rsidR="00AE47C1">
        <w:rPr>
          <w:rFonts w:eastAsia="Calibri"/>
        </w:rPr>
        <w:br/>
      </w:r>
      <w:r w:rsidRPr="00C50CDA">
        <w:rPr>
          <w:rFonts w:eastAsia="Calibri"/>
        </w:rPr>
        <w:t xml:space="preserve">Положення № 65). </w:t>
      </w:r>
      <w:r w:rsidR="00AE47C1">
        <w:rPr>
          <w:rFonts w:eastAsia="Calibri"/>
        </w:rPr>
        <w:t>Немає</w:t>
      </w:r>
      <w:r w:rsidR="00AE47C1" w:rsidRPr="00C50CDA">
        <w:rPr>
          <w:rFonts w:eastAsia="Calibri"/>
        </w:rPr>
        <w:t xml:space="preserve"> </w:t>
      </w:r>
      <w:r w:rsidRPr="00C50CDA">
        <w:rPr>
          <w:rFonts w:eastAsia="Calibri"/>
        </w:rPr>
        <w:t>визначен</w:t>
      </w:r>
      <w:r w:rsidR="00AE47C1">
        <w:rPr>
          <w:rFonts w:eastAsia="Calibri"/>
        </w:rPr>
        <w:t>их</w:t>
      </w:r>
      <w:r w:rsidRPr="00C50CDA">
        <w:rPr>
          <w:rFonts w:eastAsia="Calibri"/>
        </w:rPr>
        <w:t xml:space="preserve"> </w:t>
      </w:r>
      <w:r w:rsidR="00AE47C1" w:rsidRPr="00831B31">
        <w:t xml:space="preserve">АТ </w:t>
      </w:r>
      <w:r w:rsidR="00AE47C1">
        <w:t>“</w:t>
      </w:r>
      <w:r w:rsidR="00AE47C1" w:rsidRPr="00831B31">
        <w:t xml:space="preserve">АКБ </w:t>
      </w:r>
      <w:r w:rsidR="00AE47C1">
        <w:t>“</w:t>
      </w:r>
      <w:r w:rsidR="00AE47C1" w:rsidRPr="00831B31">
        <w:t>КОНКОРД</w:t>
      </w:r>
      <w:r w:rsidR="00AE47C1">
        <w:t>”</w:t>
      </w:r>
      <w:r w:rsidRPr="00C50CDA">
        <w:rPr>
          <w:rFonts w:eastAsia="Calibri"/>
        </w:rPr>
        <w:t xml:space="preserve"> ризик</w:t>
      </w:r>
      <w:r w:rsidR="00AE47C1">
        <w:rPr>
          <w:rFonts w:eastAsia="Calibri"/>
        </w:rPr>
        <w:t>ів</w:t>
      </w:r>
      <w:r w:rsidRPr="00C50CDA">
        <w:rPr>
          <w:rFonts w:eastAsia="Calibri"/>
        </w:rPr>
        <w:t xml:space="preserve">, які притаманні діяльності </w:t>
      </w:r>
      <w:r w:rsidR="00AE47C1" w:rsidRPr="00831B31">
        <w:t xml:space="preserve">АТ </w:t>
      </w:r>
      <w:r w:rsidR="00AE47C1">
        <w:t>“</w:t>
      </w:r>
      <w:r w:rsidR="00AE47C1" w:rsidRPr="00831B31">
        <w:t xml:space="preserve">АКБ </w:t>
      </w:r>
      <w:r w:rsidR="00AE47C1">
        <w:t>“</w:t>
      </w:r>
      <w:r w:rsidR="00AE47C1" w:rsidRPr="00831B31">
        <w:t>КОНКОРД</w:t>
      </w:r>
      <w:r w:rsidR="00AE47C1">
        <w:t>”</w:t>
      </w:r>
      <w:r w:rsidRPr="00C50CDA">
        <w:rPr>
          <w:rFonts w:eastAsia="Calibri"/>
        </w:rPr>
        <w:t>, зокрема, ризики продуктів та послуг;</w:t>
      </w:r>
    </w:p>
    <w:p w14:paraId="280FC7AB" w14:textId="70E882BF" w:rsidR="002108D0" w:rsidRPr="00C50CDA" w:rsidRDefault="002108D0" w:rsidP="003B3353">
      <w:pPr>
        <w:ind w:firstLine="567"/>
        <w:rPr>
          <w:rFonts w:eastAsia="Calibri"/>
        </w:rPr>
      </w:pPr>
      <w:r w:rsidRPr="00C50CDA">
        <w:rPr>
          <w:rFonts w:eastAsia="Calibri"/>
        </w:rPr>
        <w:t>порядку аналізу наявних заходів з управління ризиками ВК/ФТ для їх зниження;</w:t>
      </w:r>
    </w:p>
    <w:p w14:paraId="006BA4F8" w14:textId="75F83900" w:rsidR="002108D0" w:rsidRPr="00C50CDA" w:rsidRDefault="002108D0" w:rsidP="003B3353">
      <w:pPr>
        <w:ind w:firstLine="567"/>
        <w:rPr>
          <w:rFonts w:eastAsia="Calibri"/>
        </w:rPr>
      </w:pPr>
      <w:r w:rsidRPr="00C50CDA">
        <w:rPr>
          <w:rFonts w:eastAsia="Calibri"/>
        </w:rPr>
        <w:lastRenderedPageBreak/>
        <w:t>методики оцінки окремих ризик</w:t>
      </w:r>
      <w:r w:rsidR="0035377F">
        <w:rPr>
          <w:rFonts w:eastAsia="Calibri"/>
        </w:rPr>
        <w:t>-</w:t>
      </w:r>
      <w:r w:rsidRPr="00C50CDA">
        <w:rPr>
          <w:rFonts w:eastAsia="Calibri"/>
        </w:rPr>
        <w:t>факторів (продукти та послуги, що надаються банком</w:t>
      </w:r>
      <w:r w:rsidR="00AE47C1">
        <w:rPr>
          <w:rFonts w:eastAsia="Calibri"/>
        </w:rPr>
        <w:t>,</w:t>
      </w:r>
      <w:r w:rsidRPr="00C50CDA">
        <w:rPr>
          <w:rFonts w:eastAsia="Calibri"/>
        </w:rPr>
        <w:t xml:space="preserve"> види клієнтів та їх ризик-профіль</w:t>
      </w:r>
      <w:r w:rsidR="00AE47C1">
        <w:rPr>
          <w:rFonts w:eastAsia="Calibri"/>
        </w:rPr>
        <w:t>,</w:t>
      </w:r>
      <w:r w:rsidRPr="00C50CDA">
        <w:rPr>
          <w:rFonts w:eastAsia="Calibri"/>
        </w:rPr>
        <w:t xml:space="preserve"> канали/способи надання/отримання послуг) та оцінки рівня ризику, притаманного </w:t>
      </w:r>
      <w:r w:rsidR="00AE47C1" w:rsidRPr="00831B31">
        <w:t xml:space="preserve">АТ </w:t>
      </w:r>
      <w:r w:rsidR="00AE47C1">
        <w:t>“</w:t>
      </w:r>
      <w:r w:rsidR="00AE47C1" w:rsidRPr="00831B31">
        <w:t xml:space="preserve">АКБ </w:t>
      </w:r>
      <w:r w:rsidR="00AE47C1">
        <w:t>“</w:t>
      </w:r>
      <w:r w:rsidR="00AE47C1" w:rsidRPr="00831B31">
        <w:t>КОНКОРД</w:t>
      </w:r>
      <w:r w:rsidR="00AE47C1">
        <w:t>”</w:t>
      </w:r>
      <w:r w:rsidRPr="00C50CDA">
        <w:rPr>
          <w:rFonts w:eastAsia="Calibri"/>
        </w:rPr>
        <w:t xml:space="preserve"> в цілому. </w:t>
      </w:r>
    </w:p>
    <w:p w14:paraId="271B5E45" w14:textId="281BCB86" w:rsidR="002108D0" w:rsidRDefault="002108D0" w:rsidP="003B3353">
      <w:pPr>
        <w:ind w:firstLine="567"/>
        <w:rPr>
          <w:rFonts w:eastAsia="Calibri"/>
        </w:rPr>
      </w:pPr>
      <w:r w:rsidRPr="00C50CDA">
        <w:rPr>
          <w:rFonts w:eastAsia="Calibri"/>
        </w:rPr>
        <w:t xml:space="preserve">Отже, внутрішні документи </w:t>
      </w:r>
      <w:r w:rsidR="00AE47C1" w:rsidRPr="00831B31">
        <w:t xml:space="preserve">АТ </w:t>
      </w:r>
      <w:r w:rsidR="00AE47C1">
        <w:t>“</w:t>
      </w:r>
      <w:r w:rsidR="00AE47C1" w:rsidRPr="00831B31">
        <w:t xml:space="preserve">АКБ </w:t>
      </w:r>
      <w:r w:rsidR="00AE47C1">
        <w:t>“</w:t>
      </w:r>
      <w:r w:rsidR="00AE47C1" w:rsidRPr="00831B31">
        <w:t>КОНКОРД</w:t>
      </w:r>
      <w:r w:rsidR="00AE47C1">
        <w:t>”</w:t>
      </w:r>
      <w:r w:rsidRPr="00C50CDA">
        <w:rPr>
          <w:rFonts w:eastAsia="Calibri"/>
        </w:rPr>
        <w:t xml:space="preserve"> з питань ПВК/ФТ не містять належного порядку здійснення оцінки ризик-профілю</w:t>
      </w:r>
      <w:r w:rsidR="00AE47C1" w:rsidRPr="00AE47C1">
        <w:t xml:space="preserve"> </w:t>
      </w:r>
      <w:r w:rsidR="00AE47C1" w:rsidRPr="00831B31">
        <w:t xml:space="preserve">АТ </w:t>
      </w:r>
      <w:r w:rsidR="00AE47C1">
        <w:t>“</w:t>
      </w:r>
      <w:r w:rsidR="00AE47C1" w:rsidRPr="00831B31">
        <w:t xml:space="preserve">АКБ </w:t>
      </w:r>
      <w:r w:rsidR="00AE47C1">
        <w:t>“</w:t>
      </w:r>
      <w:r w:rsidR="00AE47C1" w:rsidRPr="00831B31">
        <w:t>КОНКОРД</w:t>
      </w:r>
      <w:r w:rsidR="00AE47C1">
        <w:t>”</w:t>
      </w:r>
      <w:r w:rsidRPr="00C50CDA">
        <w:rPr>
          <w:rFonts w:eastAsia="Calibri"/>
        </w:rPr>
        <w:t>,</w:t>
      </w:r>
      <w:r w:rsidRPr="00C50CDA">
        <w:t xml:space="preserve"> зокрема, не передбачають чітких послідовних дій певних процесів із зазначенням способів, форм, строків (термінів) ужиття працівниками </w:t>
      </w:r>
      <w:r w:rsidR="00AE47C1" w:rsidRPr="00831B31">
        <w:t xml:space="preserve">АТ </w:t>
      </w:r>
      <w:r w:rsidR="00AE47C1">
        <w:t>“</w:t>
      </w:r>
      <w:r w:rsidR="00AE47C1" w:rsidRPr="00831B31">
        <w:t xml:space="preserve">АКБ </w:t>
      </w:r>
      <w:r w:rsidR="00AE47C1">
        <w:t>“</w:t>
      </w:r>
      <w:r w:rsidR="00AE47C1" w:rsidRPr="00831B31">
        <w:t>КОНКОРД</w:t>
      </w:r>
      <w:r w:rsidR="00AE47C1">
        <w:t>”</w:t>
      </w:r>
      <w:r w:rsidRPr="00C50CDA">
        <w:t xml:space="preserve"> цих дій</w:t>
      </w:r>
      <w:r w:rsidRPr="00C50CDA">
        <w:rPr>
          <w:rFonts w:eastAsia="Calibri"/>
        </w:rPr>
        <w:t>,</w:t>
      </w:r>
      <w:r w:rsidRPr="00C50CDA">
        <w:t xml:space="preserve"> носять лише загальний </w:t>
      </w:r>
      <w:r w:rsidR="006A3BF2">
        <w:t>(</w:t>
      </w:r>
      <w:r w:rsidRPr="00C50CDA">
        <w:t>декларативний</w:t>
      </w:r>
      <w:r w:rsidR="006A3BF2">
        <w:t>)</w:t>
      </w:r>
      <w:r w:rsidRPr="00C50CDA">
        <w:t xml:space="preserve"> характер,</w:t>
      </w:r>
      <w:r w:rsidRPr="00C50CDA">
        <w:rPr>
          <w:rFonts w:eastAsia="Calibri"/>
        </w:rPr>
        <w:t xml:space="preserve"> що не відповідає вимогам підпункту 4 пункту 26 розділу ІІІ Положення № 65</w:t>
      </w:r>
      <w:r w:rsidR="006A3BF2">
        <w:rPr>
          <w:rFonts w:eastAsia="Calibri"/>
        </w:rPr>
        <w:t>.</w:t>
      </w:r>
      <w:r w:rsidR="00AE47C1">
        <w:rPr>
          <w:rFonts w:eastAsia="Calibri"/>
        </w:rPr>
        <w:t xml:space="preserve">  </w:t>
      </w:r>
    </w:p>
    <w:p w14:paraId="3A064183" w14:textId="6A852C42" w:rsidR="00FF7884" w:rsidRDefault="005506B7" w:rsidP="003B3353">
      <w:pPr>
        <w:tabs>
          <w:tab w:val="left" w:pos="0"/>
          <w:tab w:val="left" w:pos="943"/>
        </w:tabs>
        <w:ind w:firstLine="567"/>
      </w:pPr>
      <w:r>
        <w:t xml:space="preserve">Крім того, </w:t>
      </w:r>
      <w:r w:rsidR="00FF7884" w:rsidRPr="001A4653">
        <w:t xml:space="preserve">визначена </w:t>
      </w:r>
      <w:r w:rsidR="00AE47C1" w:rsidRPr="00831B31">
        <w:t xml:space="preserve">АТ </w:t>
      </w:r>
      <w:r w:rsidR="00AE47C1">
        <w:t>“</w:t>
      </w:r>
      <w:r w:rsidR="00AE47C1" w:rsidRPr="00831B31">
        <w:t xml:space="preserve">АКБ </w:t>
      </w:r>
      <w:r w:rsidR="00AE47C1">
        <w:t>“</w:t>
      </w:r>
      <w:r w:rsidR="00AE47C1" w:rsidRPr="00831B31">
        <w:t>КОНКОРД</w:t>
      </w:r>
      <w:r w:rsidR="00AE47C1">
        <w:t>”</w:t>
      </w:r>
      <w:r w:rsidR="00FF7884" w:rsidRPr="001A4653">
        <w:t xml:space="preserve"> у Програмі управління ризиками від 29</w:t>
      </w:r>
      <w:r w:rsidR="00AE47C1">
        <w:t xml:space="preserve"> грудня </w:t>
      </w:r>
      <w:r w:rsidR="00FF7884" w:rsidRPr="001A4653">
        <w:t>2022</w:t>
      </w:r>
      <w:r w:rsidR="00AE47C1">
        <w:t xml:space="preserve"> року</w:t>
      </w:r>
      <w:r w:rsidR="00FF7884" w:rsidRPr="001A4653">
        <w:t xml:space="preserve"> </w:t>
      </w:r>
      <w:proofErr w:type="spellStart"/>
      <w:r w:rsidR="00AE47C1">
        <w:t>с</w:t>
      </w:r>
      <w:r w:rsidR="00FF7884" w:rsidRPr="001A4653">
        <w:t>корингова</w:t>
      </w:r>
      <w:proofErr w:type="spellEnd"/>
      <w:r w:rsidR="00FF7884" w:rsidRPr="001A4653">
        <w:t xml:space="preserve"> модель передбачає, зокрема, що клієнт, маючи навіть кілька критеріїв ризику (наприклад, питомою вагою у 10, 25 та 50 балів кожний), потрапляє до зони низького рівня ризику, що суперечить  вимогам пункту 62 розділу ІV Положення № 65, який передбачає встановлення низького рівня ризику за умови</w:t>
      </w:r>
      <w:r w:rsidR="00AE47C1">
        <w:t xml:space="preserve"> того, що немає</w:t>
      </w:r>
      <w:r w:rsidR="00FF7884" w:rsidRPr="001A4653">
        <w:t xml:space="preserve"> будь-яких критеріїв ризику</w:t>
      </w:r>
      <w:r w:rsidR="00AE47C1">
        <w:t>;</w:t>
      </w:r>
    </w:p>
    <w:p w14:paraId="6A4F58B3" w14:textId="2905EB80" w:rsidR="003F3342" w:rsidRPr="00B45C89" w:rsidRDefault="00D55190" w:rsidP="003B3353">
      <w:pPr>
        <w:spacing w:line="240" w:lineRule="atLeast"/>
        <w:ind w:firstLine="567"/>
      </w:pPr>
      <w:r w:rsidRPr="00B25718">
        <w:t>4</w:t>
      </w:r>
      <w:r w:rsidR="00AE47C1" w:rsidRPr="00B25718">
        <w:t>)</w:t>
      </w:r>
      <w:r w:rsidR="00AE47C1">
        <w:rPr>
          <w:b/>
        </w:rPr>
        <w:t xml:space="preserve"> </w:t>
      </w:r>
      <w:r w:rsidR="00AE47C1">
        <w:t>п</w:t>
      </w:r>
      <w:r w:rsidR="003F3342" w:rsidRPr="00B45C89">
        <w:t xml:space="preserve">ункту 40 розділу IV Положення № 65 </w:t>
      </w:r>
      <w:r w:rsidR="00EE5940">
        <w:t>у</w:t>
      </w:r>
      <w:r w:rsidR="00EE5940" w:rsidRPr="00B45C89">
        <w:t xml:space="preserve"> </w:t>
      </w:r>
      <w:r w:rsidR="003F3342" w:rsidRPr="00B45C89">
        <w:t xml:space="preserve">частині неврахування </w:t>
      </w:r>
      <w:r w:rsidR="00EE5940" w:rsidRPr="00831B31">
        <w:t xml:space="preserve">АТ </w:t>
      </w:r>
      <w:r w:rsidR="00EE5940">
        <w:t>“</w:t>
      </w:r>
      <w:r w:rsidR="00EE5940" w:rsidRPr="00831B31">
        <w:t xml:space="preserve">АКБ </w:t>
      </w:r>
      <w:r w:rsidR="00EE5940">
        <w:t>“</w:t>
      </w:r>
      <w:r w:rsidR="00EE5940" w:rsidRPr="00831B31">
        <w:t>КОНКОРД</w:t>
      </w:r>
      <w:r w:rsidR="00EE5940">
        <w:t>”</w:t>
      </w:r>
      <w:r w:rsidR="00DD776E">
        <w:t xml:space="preserve"> </w:t>
      </w:r>
      <w:r w:rsidR="003F3342" w:rsidRPr="00B45C89">
        <w:t xml:space="preserve">під час аналізу ризиків ВК/ФТ своїх продуктів </w:t>
      </w:r>
      <w:r w:rsidR="00EE5940">
        <w:t>і</w:t>
      </w:r>
      <w:r w:rsidR="00EE5940" w:rsidRPr="00B45C89">
        <w:t xml:space="preserve"> </w:t>
      </w:r>
      <w:r w:rsidR="003F3342" w:rsidRPr="00B45C89">
        <w:t>послуг, особливостей та можливостей їх використання</w:t>
      </w:r>
      <w:r w:rsidR="003F3342">
        <w:t>.</w:t>
      </w:r>
    </w:p>
    <w:p w14:paraId="40D7677F" w14:textId="77777777" w:rsidR="003F3342" w:rsidRDefault="003F3342" w:rsidP="003B3353">
      <w:pPr>
        <w:tabs>
          <w:tab w:val="num" w:pos="0"/>
        </w:tabs>
        <w:ind w:firstLine="567"/>
      </w:pPr>
      <w:r w:rsidRPr="0007396F">
        <w:t xml:space="preserve">Відповідно до пункту 40 розділу IV Положення № 65 банк, аналізуючи ризики ВК/ФТ своїх продуктів та послуг, має враховувати особливості та можливості їх використання, зокрема: </w:t>
      </w:r>
    </w:p>
    <w:p w14:paraId="22AA39FC" w14:textId="0D1133DA" w:rsidR="003F3342" w:rsidRPr="0007396F" w:rsidRDefault="003F3342" w:rsidP="003B3353">
      <w:pPr>
        <w:tabs>
          <w:tab w:val="num" w:pos="0"/>
        </w:tabs>
        <w:ind w:firstLine="567"/>
      </w:pPr>
      <w:r w:rsidRPr="0007396F">
        <w:t>цільове використання продукту та/або послуги: чи дають змогу продукти та/або послуги банку маскувати незаконне походження коштів, переказувати кошти для фінансування терористичної діяльності, сприяти анонімності учасників фінансової операції (приховувати реальних кінцевих отримувачів тих чи інших продуктів та/або послуг)</w:t>
      </w:r>
      <w:r w:rsidR="00EE5940">
        <w:t>,</w:t>
      </w:r>
      <w:r w:rsidRPr="0007396F">
        <w:t xml:space="preserve"> чи можуть вони використовуватись клієнтом від імені третіх осіб</w:t>
      </w:r>
      <w:r w:rsidR="00EE5940">
        <w:t>,</w:t>
      </w:r>
      <w:r w:rsidRPr="0007396F">
        <w:t xml:space="preserve"> чи можуть бути цікавими для компаній-оболонок;</w:t>
      </w:r>
    </w:p>
    <w:p w14:paraId="777F353C" w14:textId="3036A2E6" w:rsidR="003F3342" w:rsidRDefault="003F3342" w:rsidP="003B3353">
      <w:pPr>
        <w:tabs>
          <w:tab w:val="num" w:pos="0"/>
        </w:tabs>
        <w:ind w:firstLine="567"/>
      </w:pPr>
      <w:r w:rsidRPr="0007396F">
        <w:t xml:space="preserve">особливі можливості використання продукту та/або послуги: чи дає змогу продукт та/або послуга клієнту банку здійснювати операції з контрагентами/бізнес-сегментом, яким притаманні підвищені ризики у сфері ВК/ФТ; </w:t>
      </w:r>
    </w:p>
    <w:p w14:paraId="662A43F1" w14:textId="1CCB4F5F" w:rsidR="003F3342" w:rsidRDefault="003F3342" w:rsidP="003B3353">
      <w:pPr>
        <w:tabs>
          <w:tab w:val="num" w:pos="0"/>
        </w:tabs>
        <w:ind w:firstLine="567"/>
      </w:pPr>
      <w:r w:rsidRPr="0007396F">
        <w:t>цільовий сегмент для реалізації продукту та/або послуги: види клієнтів, які найбільше/найчастіше використовують той чи інший продукт та/або ту чи іншу послугу.</w:t>
      </w:r>
    </w:p>
    <w:p w14:paraId="19F7AD7D" w14:textId="183BF885" w:rsidR="003F3342" w:rsidRPr="002C3C01" w:rsidRDefault="003F3342" w:rsidP="003B3353">
      <w:pPr>
        <w:ind w:firstLine="567"/>
      </w:pPr>
      <w:r w:rsidRPr="002C3C01">
        <w:t>Оцінка банком власного ризик-профілю здійснюється з урахуванням</w:t>
      </w:r>
      <w:r w:rsidR="00B25718">
        <w:t>, зокрема,</w:t>
      </w:r>
      <w:r w:rsidRPr="002C3C01">
        <w:t xml:space="preserve"> продуктів та послуг, що надаються банком (пункт 39 розділу IV Положення № 65).</w:t>
      </w:r>
    </w:p>
    <w:p w14:paraId="4DC74F01" w14:textId="1BDB263C" w:rsidR="003F3342" w:rsidRPr="002C3C01" w:rsidRDefault="003F3342" w:rsidP="003B3353">
      <w:pPr>
        <w:ind w:firstLine="567"/>
      </w:pPr>
      <w:r w:rsidRPr="002C3C01">
        <w:t xml:space="preserve">Відповідно до </w:t>
      </w:r>
      <w:r>
        <w:t xml:space="preserve">підпункту 1 </w:t>
      </w:r>
      <w:r w:rsidRPr="002C3C01">
        <w:t>пункту 63 розділу IV Положення № 65 банк постійно вживає заходів для підтримання в актуальному стані (</w:t>
      </w:r>
      <w:proofErr w:type="spellStart"/>
      <w:r w:rsidRPr="002C3C01">
        <w:t>уключно</w:t>
      </w:r>
      <w:proofErr w:type="spellEnd"/>
      <w:r w:rsidRPr="002C3C01">
        <w:t xml:space="preserve"> зі здійсненнім переоцінки рівня ризику за потреби), зокрема власного ризик-профілю – у разі зміни бізнес-моделі, впровадження нових продуктів або послуг, </w:t>
      </w:r>
      <w:r w:rsidRPr="002C3C01">
        <w:lastRenderedPageBreak/>
        <w:t xml:space="preserve">що істотно відрізняються від </w:t>
      </w:r>
      <w:r w:rsidR="00EE5940">
        <w:t>наявних</w:t>
      </w:r>
      <w:r w:rsidR="00EE5940" w:rsidRPr="002C3C01">
        <w:t xml:space="preserve"> </w:t>
      </w:r>
      <w:r w:rsidRPr="002C3C01">
        <w:t>з огляду на притаманні їм ризики ВК/ФТ, але не рідше одного разу на рік.</w:t>
      </w:r>
    </w:p>
    <w:p w14:paraId="722EB4D9" w14:textId="3FFE0EDE" w:rsidR="003F3342" w:rsidRDefault="003F3342" w:rsidP="003B3353">
      <w:pPr>
        <w:ind w:firstLine="567"/>
        <w:rPr>
          <w:bCs/>
        </w:rPr>
      </w:pPr>
      <w:r w:rsidRPr="002C3C01">
        <w:t xml:space="preserve">Отже, </w:t>
      </w:r>
      <w:r w:rsidR="00EE5940" w:rsidRPr="00831B31">
        <w:t xml:space="preserve">АТ </w:t>
      </w:r>
      <w:r w:rsidR="00EE5940">
        <w:t>“</w:t>
      </w:r>
      <w:r w:rsidR="00EE5940" w:rsidRPr="00831B31">
        <w:t xml:space="preserve">АКБ </w:t>
      </w:r>
      <w:r w:rsidR="00EE5940">
        <w:t>“</w:t>
      </w:r>
      <w:r w:rsidR="00EE5940" w:rsidRPr="00831B31">
        <w:t>КОНКОРД</w:t>
      </w:r>
      <w:r w:rsidR="00EE5940">
        <w:t>”</w:t>
      </w:r>
      <w:r w:rsidR="00EE5940" w:rsidRPr="001A4653">
        <w:t xml:space="preserve"> </w:t>
      </w:r>
      <w:r w:rsidR="00EE5940">
        <w:t>у межах</w:t>
      </w:r>
      <w:r w:rsidRPr="002C3C01">
        <w:t xml:space="preserve"> щорічних заходів з актуалізації свого ризик-профілю мав актуалізувати також оцінку ризиків своїх продуктів та за потреби (у разі виявлення </w:t>
      </w:r>
      <w:r w:rsidRPr="00E216D7">
        <w:t xml:space="preserve">підстав) </w:t>
      </w:r>
      <w:r w:rsidRPr="00E216D7">
        <w:rPr>
          <w:bCs/>
        </w:rPr>
        <w:t>здійснити переоцінку таких ризиків.</w:t>
      </w:r>
    </w:p>
    <w:p w14:paraId="04DCE0B9" w14:textId="4C4F4E49" w:rsidR="003F3342" w:rsidRDefault="003F3342" w:rsidP="003B3353">
      <w:pPr>
        <w:tabs>
          <w:tab w:val="left" w:pos="943"/>
        </w:tabs>
        <w:ind w:firstLine="567"/>
        <w:rPr>
          <w:bCs/>
        </w:rPr>
      </w:pPr>
      <w:r w:rsidRPr="008D36CE">
        <w:rPr>
          <w:bCs/>
        </w:rPr>
        <w:t xml:space="preserve">За результатами перевірки встановлено, що </w:t>
      </w:r>
      <w:r w:rsidR="00EE5940" w:rsidRPr="00831B31">
        <w:t xml:space="preserve">АТ </w:t>
      </w:r>
      <w:r w:rsidR="00EE5940">
        <w:t>“</w:t>
      </w:r>
      <w:r w:rsidR="00EE5940" w:rsidRPr="00831B31">
        <w:t xml:space="preserve">АКБ </w:t>
      </w:r>
      <w:r w:rsidR="00EE5940">
        <w:t>“</w:t>
      </w:r>
      <w:r w:rsidR="00EE5940" w:rsidRPr="00831B31">
        <w:t>КОНКОРД</w:t>
      </w:r>
      <w:r w:rsidR="00EE5940">
        <w:t>”</w:t>
      </w:r>
      <w:r w:rsidR="00EE5940" w:rsidRPr="001A4653">
        <w:t xml:space="preserve"> </w:t>
      </w:r>
      <w:r w:rsidR="00EE5940">
        <w:t xml:space="preserve">під час </w:t>
      </w:r>
      <w:r w:rsidRPr="00C50CDA">
        <w:t>здійсненн</w:t>
      </w:r>
      <w:r w:rsidR="00EE5940">
        <w:t>я</w:t>
      </w:r>
      <w:r w:rsidRPr="00C50CDA">
        <w:t xml:space="preserve"> аналізу/оці</w:t>
      </w:r>
      <w:r w:rsidRPr="00C50CDA">
        <w:rPr>
          <w:rFonts w:eastAsia="Calibri"/>
        </w:rPr>
        <w:t xml:space="preserve">нки ризиків послуг: інтернет-еквайрингу, переказу на картку, переказу з картки, переказу з картки на картку, – </w:t>
      </w:r>
      <w:r w:rsidRPr="00C50CDA">
        <w:t>не проаналізовано</w:t>
      </w:r>
      <w:r w:rsidR="00EE5940">
        <w:t xml:space="preserve"> </w:t>
      </w:r>
      <w:r w:rsidRPr="00C50CDA">
        <w:t>належним чином ризики таких продуктів,</w:t>
      </w:r>
      <w:r w:rsidRPr="00C50CDA">
        <w:rPr>
          <w:rFonts w:eastAsia="Calibri"/>
        </w:rPr>
        <w:t xml:space="preserve"> </w:t>
      </w:r>
      <w:r w:rsidR="009C6AC4">
        <w:rPr>
          <w:rFonts w:eastAsia="Calibri"/>
        </w:rPr>
        <w:t>не врах</w:t>
      </w:r>
      <w:r w:rsidR="00EE5940">
        <w:rPr>
          <w:rFonts w:eastAsia="Calibri"/>
        </w:rPr>
        <w:t>овано</w:t>
      </w:r>
      <w:r w:rsidR="009C6AC4">
        <w:rPr>
          <w:rFonts w:eastAsia="Calibri"/>
        </w:rPr>
        <w:t xml:space="preserve"> особливост</w:t>
      </w:r>
      <w:r w:rsidR="00DD776E">
        <w:rPr>
          <w:rFonts w:eastAsia="Calibri"/>
        </w:rPr>
        <w:t>ей</w:t>
      </w:r>
      <w:r w:rsidR="009C6AC4">
        <w:rPr>
          <w:rFonts w:eastAsia="Calibri"/>
        </w:rPr>
        <w:t xml:space="preserve"> та можливост</w:t>
      </w:r>
      <w:r w:rsidR="00DD776E">
        <w:rPr>
          <w:rFonts w:eastAsia="Calibri"/>
        </w:rPr>
        <w:t>ей</w:t>
      </w:r>
      <w:r w:rsidR="009C6AC4">
        <w:rPr>
          <w:rFonts w:eastAsia="Calibri"/>
        </w:rPr>
        <w:t xml:space="preserve"> їх використання </w:t>
      </w:r>
      <w:r w:rsidRPr="00C50CDA">
        <w:rPr>
          <w:rFonts w:eastAsia="Calibri"/>
        </w:rPr>
        <w:t xml:space="preserve">та, як </w:t>
      </w:r>
      <w:r w:rsidRPr="00C50CDA">
        <w:t xml:space="preserve">наслідок, не </w:t>
      </w:r>
      <w:r w:rsidR="00DD776E" w:rsidRPr="00C50CDA">
        <w:t>здійсн</w:t>
      </w:r>
      <w:r w:rsidR="00EE5940">
        <w:t>ено</w:t>
      </w:r>
      <w:r w:rsidR="00DD776E" w:rsidRPr="00C50CDA">
        <w:t xml:space="preserve"> оцінк</w:t>
      </w:r>
      <w:r w:rsidR="00DD776E">
        <w:t>у</w:t>
      </w:r>
      <w:r w:rsidR="00DD776E" w:rsidRPr="00C50CDA">
        <w:t xml:space="preserve"> </w:t>
      </w:r>
      <w:r w:rsidRPr="00C50CDA">
        <w:t>таких ризиків</w:t>
      </w:r>
      <w:r w:rsidRPr="008D36CE">
        <w:t>,</w:t>
      </w:r>
      <w:r w:rsidRPr="00C50CDA">
        <w:t xml:space="preserve"> не </w:t>
      </w:r>
      <w:r w:rsidR="00DD776E" w:rsidRPr="00C50CDA">
        <w:t>вжи</w:t>
      </w:r>
      <w:r w:rsidR="00EE5940">
        <w:t>то</w:t>
      </w:r>
      <w:r w:rsidR="00DD776E" w:rsidRPr="00C50CDA">
        <w:t xml:space="preserve"> </w:t>
      </w:r>
      <w:r w:rsidRPr="00C50CDA">
        <w:t xml:space="preserve">заходів </w:t>
      </w:r>
      <w:r w:rsidR="00EE5940">
        <w:t>і</w:t>
      </w:r>
      <w:r w:rsidRPr="00C50CDA">
        <w:t>з мінімізації для належного управління ними</w:t>
      </w:r>
      <w:r w:rsidRPr="00C50CDA">
        <w:rPr>
          <w:bCs/>
          <w:shd w:val="clear" w:color="auto" w:fill="FFFFFF"/>
        </w:rPr>
        <w:t>.</w:t>
      </w:r>
      <w:r w:rsidRPr="00C50CDA">
        <w:rPr>
          <w:bCs/>
        </w:rPr>
        <w:t xml:space="preserve"> </w:t>
      </w:r>
    </w:p>
    <w:p w14:paraId="79824013" w14:textId="7195B681" w:rsidR="003F3342" w:rsidRPr="00E216D7" w:rsidRDefault="00590F8C" w:rsidP="003B3353">
      <w:pPr>
        <w:spacing w:line="240" w:lineRule="atLeast"/>
        <w:ind w:firstLine="567"/>
        <w:rPr>
          <w:bCs/>
        </w:rPr>
      </w:pPr>
      <w:r w:rsidRPr="00831B31">
        <w:t xml:space="preserve">АТ </w:t>
      </w:r>
      <w:r>
        <w:t>“</w:t>
      </w:r>
      <w:r w:rsidRPr="00831B31">
        <w:t xml:space="preserve">АКБ </w:t>
      </w:r>
      <w:r>
        <w:t>“</w:t>
      </w:r>
      <w:r w:rsidRPr="00831B31">
        <w:t>КОНКОРД</w:t>
      </w:r>
      <w:r>
        <w:t xml:space="preserve">” </w:t>
      </w:r>
      <w:r w:rsidR="003F3342" w:rsidRPr="00E216D7">
        <w:rPr>
          <w:rFonts w:eastAsia="Calibri"/>
          <w:bCs/>
        </w:rPr>
        <w:t>не нада</w:t>
      </w:r>
      <w:r>
        <w:rPr>
          <w:rFonts w:eastAsia="Calibri"/>
          <w:bCs/>
        </w:rPr>
        <w:t>ло</w:t>
      </w:r>
      <w:r w:rsidR="003F3342" w:rsidRPr="00E216D7">
        <w:rPr>
          <w:rFonts w:eastAsia="Calibri"/>
          <w:bCs/>
        </w:rPr>
        <w:t xml:space="preserve"> жодних підтверд</w:t>
      </w:r>
      <w:r>
        <w:rPr>
          <w:rFonts w:eastAsia="Calibri"/>
          <w:bCs/>
        </w:rPr>
        <w:t>них</w:t>
      </w:r>
      <w:r w:rsidR="003F3342" w:rsidRPr="00E216D7">
        <w:rPr>
          <w:rFonts w:eastAsia="Calibri"/>
          <w:bCs/>
        </w:rPr>
        <w:t xml:space="preserve"> документів, які стосуються</w:t>
      </w:r>
      <w:r w:rsidR="003F3342" w:rsidRPr="00E216D7">
        <w:rPr>
          <w:rFonts w:eastAsia="Calibri"/>
        </w:rPr>
        <w:t xml:space="preserve"> результатів аналізу ризиків ВК/ФТ </w:t>
      </w:r>
      <w:r w:rsidR="00F44768" w:rsidRPr="002C3C01">
        <w:t>послуг, які надаються суб’єктам господарювання щодо приймання до обслуговування електронних платіжних засобів з метою проведення оплати вартості товарів та/або послуг у мережі Інтернет (сервіс Інтернет-еквайрингу)</w:t>
      </w:r>
      <w:r>
        <w:t>,</w:t>
      </w:r>
      <w:r w:rsidR="00F44768" w:rsidRPr="002C3C01">
        <w:t xml:space="preserve"> послуг щодо переказів </w:t>
      </w:r>
      <w:r>
        <w:t>і</w:t>
      </w:r>
      <w:r w:rsidR="00F44768" w:rsidRPr="002C3C01">
        <w:t xml:space="preserve">з рахунку на рахунок </w:t>
      </w:r>
      <w:r>
        <w:t>і</w:t>
      </w:r>
      <w:r w:rsidR="00F44768" w:rsidRPr="002C3C01">
        <w:t>з використанням реквізитів електронних платіжних засобів (сервіс P2P-переказів)</w:t>
      </w:r>
      <w:r>
        <w:t>,</w:t>
      </w:r>
      <w:r w:rsidR="00F44768" w:rsidRPr="002C3C01">
        <w:t xml:space="preserve"> послуг щодо переказів </w:t>
      </w:r>
      <w:r>
        <w:t>і</w:t>
      </w:r>
      <w:r w:rsidR="00F44768" w:rsidRPr="002C3C01">
        <w:t>з використанням реєстру платежів/</w:t>
      </w:r>
      <w:r w:rsidR="00F44768">
        <w:t xml:space="preserve"> </w:t>
      </w:r>
      <w:r w:rsidR="00F44768" w:rsidRPr="002C3C01">
        <w:t xml:space="preserve">електронних платіжних засобів (сервіси A2C та/або C2A) </w:t>
      </w:r>
      <w:r w:rsidR="00F44768">
        <w:t>(далі – Послуги),</w:t>
      </w:r>
      <w:r w:rsidR="003F3342" w:rsidRPr="00E216D7">
        <w:rPr>
          <w:rFonts w:eastAsia="Calibri"/>
        </w:rPr>
        <w:t xml:space="preserve"> та відповідних заходів.</w:t>
      </w:r>
    </w:p>
    <w:p w14:paraId="14E10A46" w14:textId="4223FFB2" w:rsidR="003F3342" w:rsidRDefault="003F3342" w:rsidP="003B3353">
      <w:pPr>
        <w:tabs>
          <w:tab w:val="left" w:pos="943"/>
        </w:tabs>
        <w:ind w:firstLine="567"/>
        <w:rPr>
          <w:rFonts w:eastAsia="Calibri"/>
          <w:bCs/>
        </w:rPr>
      </w:pPr>
      <w:r>
        <w:rPr>
          <w:rFonts w:eastAsia="Calibri"/>
        </w:rPr>
        <w:t xml:space="preserve">Також за результатами перевірки встановлено, що </w:t>
      </w:r>
      <w:r w:rsidR="00590F8C" w:rsidRPr="00831B31">
        <w:t xml:space="preserve">АТ </w:t>
      </w:r>
      <w:r w:rsidR="00590F8C">
        <w:t>“</w:t>
      </w:r>
      <w:r w:rsidR="00590F8C" w:rsidRPr="00831B31">
        <w:t xml:space="preserve">АКБ </w:t>
      </w:r>
      <w:r w:rsidR="00590F8C">
        <w:t>“</w:t>
      </w:r>
      <w:r w:rsidR="00590F8C" w:rsidRPr="00831B31">
        <w:t>КОНКОРД</w:t>
      </w:r>
      <w:r w:rsidR="00590F8C">
        <w:t>”</w:t>
      </w:r>
      <w:r w:rsidRPr="00632FEC">
        <w:rPr>
          <w:rFonts w:eastAsia="Calibri"/>
        </w:rPr>
        <w:t xml:space="preserve"> за </w:t>
      </w:r>
      <w:r w:rsidR="00F44768">
        <w:rPr>
          <w:rFonts w:eastAsia="Calibri"/>
        </w:rPr>
        <w:t>П</w:t>
      </w:r>
      <w:r w:rsidRPr="00632FEC">
        <w:rPr>
          <w:rFonts w:eastAsia="Calibri"/>
        </w:rPr>
        <w:t>ослугами окремо не розраховує ризик ВК/ФТ</w:t>
      </w:r>
      <w:r>
        <w:rPr>
          <w:rFonts w:eastAsia="Calibri"/>
        </w:rPr>
        <w:t>, що є</w:t>
      </w:r>
      <w:r w:rsidRPr="00406C23">
        <w:rPr>
          <w:rFonts w:eastAsia="Calibri"/>
          <w:bCs/>
        </w:rPr>
        <w:t xml:space="preserve"> складовою оцінки ризик-профілю </w:t>
      </w:r>
      <w:r w:rsidR="00590F8C" w:rsidRPr="00831B31">
        <w:t xml:space="preserve">АТ </w:t>
      </w:r>
      <w:r w:rsidR="00590F8C">
        <w:t>“</w:t>
      </w:r>
      <w:r w:rsidR="00590F8C" w:rsidRPr="00831B31">
        <w:t xml:space="preserve">АКБ </w:t>
      </w:r>
      <w:r w:rsidR="00590F8C">
        <w:t>“</w:t>
      </w:r>
      <w:r w:rsidR="00590F8C" w:rsidRPr="00831B31">
        <w:t>КОНКОРД</w:t>
      </w:r>
      <w:r w:rsidR="00590F8C">
        <w:t>”</w:t>
      </w:r>
      <w:r>
        <w:rPr>
          <w:rFonts w:eastAsia="Calibri"/>
          <w:bCs/>
        </w:rPr>
        <w:t>.</w:t>
      </w:r>
    </w:p>
    <w:p w14:paraId="1853CC2A" w14:textId="41EF5B0D" w:rsidR="003F3342" w:rsidRPr="00685E34" w:rsidRDefault="003F3342" w:rsidP="003B3353">
      <w:pPr>
        <w:tabs>
          <w:tab w:val="left" w:pos="943"/>
        </w:tabs>
        <w:ind w:firstLine="567"/>
      </w:pPr>
      <w:r>
        <w:rPr>
          <w:bCs/>
        </w:rPr>
        <w:t xml:space="preserve">Крім того, </w:t>
      </w:r>
      <w:r w:rsidR="00590F8C" w:rsidRPr="00831B31">
        <w:t xml:space="preserve">АТ </w:t>
      </w:r>
      <w:r w:rsidR="00590F8C">
        <w:t>“</w:t>
      </w:r>
      <w:r w:rsidR="00590F8C" w:rsidRPr="00831B31">
        <w:t xml:space="preserve">АКБ </w:t>
      </w:r>
      <w:r w:rsidR="00590F8C">
        <w:t>“</w:t>
      </w:r>
      <w:r w:rsidR="00590F8C" w:rsidRPr="00831B31">
        <w:t>КОНКОРД</w:t>
      </w:r>
      <w:r w:rsidR="00590F8C">
        <w:t>”</w:t>
      </w:r>
      <w:r w:rsidRPr="009251E5">
        <w:t xml:space="preserve"> не врахува</w:t>
      </w:r>
      <w:r w:rsidR="00590F8C">
        <w:t>ло</w:t>
      </w:r>
      <w:r w:rsidRPr="009251E5">
        <w:t xml:space="preserve"> під час аналізу ризиків ВК/ФТ своїх продуктів та послуг, які є технологічно складними, передбачають здійснення величезної кільк</w:t>
      </w:r>
      <w:r w:rsidR="00590F8C">
        <w:t>о</w:t>
      </w:r>
      <w:r w:rsidRPr="009251E5">
        <w:t>сті фінансових операцій, проводяться миттєво, особливостей та можливостей їх використання</w:t>
      </w:r>
      <w:r w:rsidR="00590F8C">
        <w:t>,</w:t>
      </w:r>
      <w:r w:rsidRPr="009251E5">
        <w:t xml:space="preserve"> у тому числі з метою ВК/ФТ, зокрема </w:t>
      </w:r>
      <w:r w:rsidR="00590F8C" w:rsidRPr="00831B31">
        <w:t xml:space="preserve">АТ </w:t>
      </w:r>
      <w:r w:rsidR="00590F8C">
        <w:t>“</w:t>
      </w:r>
      <w:r w:rsidR="00590F8C" w:rsidRPr="00831B31">
        <w:t xml:space="preserve">АКБ </w:t>
      </w:r>
      <w:r w:rsidR="00590F8C">
        <w:t>“</w:t>
      </w:r>
      <w:r w:rsidR="00590F8C" w:rsidRPr="00831B31">
        <w:t>КОНКОРД</w:t>
      </w:r>
      <w:r w:rsidR="00590F8C">
        <w:t>”</w:t>
      </w:r>
      <w:r w:rsidRPr="009251E5">
        <w:t xml:space="preserve"> не було враховано ризики ВК</w:t>
      </w:r>
      <w:r w:rsidRPr="00685E34">
        <w:t xml:space="preserve">/ФТ, зазначені в НОР, рекомендаціях FATF, </w:t>
      </w:r>
      <w:proofErr w:type="spellStart"/>
      <w:r w:rsidRPr="00685E34">
        <w:t>типо</w:t>
      </w:r>
      <w:r>
        <w:t>логіях</w:t>
      </w:r>
      <w:proofErr w:type="spellEnd"/>
      <w:r>
        <w:t xml:space="preserve"> СУО та рекомендаціях Національного банку</w:t>
      </w:r>
      <w:r w:rsidR="00590F8C">
        <w:t xml:space="preserve"> України</w:t>
      </w:r>
      <w:r>
        <w:t>,</w:t>
      </w:r>
      <w:r w:rsidRPr="00685E34">
        <w:t xml:space="preserve"> які притаманні Послугам:</w:t>
      </w:r>
    </w:p>
    <w:p w14:paraId="61CC2B97" w14:textId="67D1664D" w:rsidR="003F3342" w:rsidRPr="00685E34" w:rsidRDefault="003F3342" w:rsidP="003B3353">
      <w:pPr>
        <w:autoSpaceDE w:val="0"/>
        <w:autoSpaceDN w:val="0"/>
        <w:adjustRightInd w:val="0"/>
        <w:ind w:firstLine="567"/>
      </w:pPr>
      <w:r w:rsidRPr="00685E34">
        <w:t xml:space="preserve">маскування клієнтами, </w:t>
      </w:r>
      <w:r w:rsidR="00590F8C">
        <w:t>які</w:t>
      </w:r>
      <w:r w:rsidR="00590F8C" w:rsidRPr="00685E34">
        <w:t xml:space="preserve"> </w:t>
      </w:r>
      <w:r w:rsidRPr="00685E34">
        <w:t>користуються Послугами, незаконної діяльності з використанням інтернет</w:t>
      </w:r>
      <w:r w:rsidR="00590F8C">
        <w:t>-</w:t>
      </w:r>
      <w:r w:rsidRPr="00685E34">
        <w:t>сайтів/джерел походження коштів, зокрема таких, що є відмінними від тих, які були заявлені клієнтами;</w:t>
      </w:r>
    </w:p>
    <w:p w14:paraId="70B132DE" w14:textId="645B33DE" w:rsidR="003F3342" w:rsidRPr="00685E34" w:rsidRDefault="003F3342" w:rsidP="003B3353">
      <w:pPr>
        <w:autoSpaceDE w:val="0"/>
        <w:autoSpaceDN w:val="0"/>
        <w:adjustRightInd w:val="0"/>
        <w:ind w:firstLine="567"/>
      </w:pPr>
      <w:r w:rsidRPr="00685E34">
        <w:t>анонімності в частині учасників фінансових операцій, зокрема, внаслідок здійснення оплати товарів/послуг на інтернет</w:t>
      </w:r>
      <w:r w:rsidR="00590F8C">
        <w:t>-</w:t>
      </w:r>
      <w:r w:rsidRPr="00685E34">
        <w:t xml:space="preserve">сайтах, відмінних від тих, що були заявлені клієнтами, </w:t>
      </w:r>
      <w:r w:rsidR="00590F8C">
        <w:t>які</w:t>
      </w:r>
      <w:r w:rsidR="00590F8C" w:rsidRPr="00685E34">
        <w:t xml:space="preserve"> </w:t>
      </w:r>
      <w:r w:rsidRPr="00685E34">
        <w:t xml:space="preserve">користуються послугою інтернет-еквайрингу, а також </w:t>
      </w:r>
      <w:r w:rsidR="00590F8C">
        <w:t>у</w:t>
      </w:r>
      <w:r w:rsidRPr="00685E34">
        <w:t xml:space="preserve">раховуючи </w:t>
      </w:r>
      <w:r w:rsidR="00590F8C">
        <w:t>те, що</w:t>
      </w:r>
      <w:r w:rsidR="00590F8C" w:rsidRPr="00685E34">
        <w:t xml:space="preserve"> </w:t>
      </w:r>
      <w:r w:rsidRPr="00685E34">
        <w:t xml:space="preserve">перерахувань зібраних коштів </w:t>
      </w:r>
      <w:r w:rsidR="00590F8C">
        <w:t>на</w:t>
      </w:r>
      <w:r w:rsidR="00590F8C" w:rsidRPr="00685E34">
        <w:t xml:space="preserve"> </w:t>
      </w:r>
      <w:r w:rsidRPr="00685E34">
        <w:t>адресу постачальників</w:t>
      </w:r>
      <w:r w:rsidR="00590F8C">
        <w:t xml:space="preserve"> не було</w:t>
      </w:r>
      <w:r w:rsidRPr="00685E34">
        <w:t>;</w:t>
      </w:r>
    </w:p>
    <w:p w14:paraId="58F967E2" w14:textId="0E3EF784" w:rsidR="003F3342" w:rsidRPr="00685E34" w:rsidRDefault="003F3342" w:rsidP="003B3353">
      <w:pPr>
        <w:autoSpaceDE w:val="0"/>
        <w:autoSpaceDN w:val="0"/>
        <w:adjustRightInd w:val="0"/>
        <w:ind w:firstLine="567"/>
      </w:pPr>
      <w:r w:rsidRPr="00685E34">
        <w:t>невідповідності вхідних та вихідних платежів (</w:t>
      </w:r>
      <w:r w:rsidR="00590F8C">
        <w:t>у</w:t>
      </w:r>
      <w:r w:rsidRPr="00685E34">
        <w:t>раховуюч</w:t>
      </w:r>
      <w:r>
        <w:t>и</w:t>
      </w:r>
      <w:r w:rsidRPr="00685E34">
        <w:t xml:space="preserve"> пояснення клієнтів щодо здійснення купівлі/продажу ігрових ресурсів між фізичними особами), </w:t>
      </w:r>
      <w:r w:rsidR="00590F8C">
        <w:t>у</w:t>
      </w:r>
      <w:r w:rsidR="00590F8C" w:rsidRPr="00685E34">
        <w:t xml:space="preserve"> </w:t>
      </w:r>
      <w:r w:rsidRPr="00685E34">
        <w:t xml:space="preserve">тому числі невідповідність реєстрів платежів ІЕ та А2С </w:t>
      </w:r>
      <w:r w:rsidRPr="00685E34">
        <w:br/>
        <w:t>(</w:t>
      </w:r>
      <w:r w:rsidR="00590F8C">
        <w:t>за</w:t>
      </w:r>
      <w:r w:rsidR="00590F8C" w:rsidRPr="00685E34">
        <w:t xml:space="preserve"> </w:t>
      </w:r>
      <w:r w:rsidRPr="00685E34">
        <w:t>сум</w:t>
      </w:r>
      <w:r w:rsidR="00590F8C">
        <w:t>ою</w:t>
      </w:r>
      <w:r w:rsidRPr="00685E34">
        <w:t xml:space="preserve"> та кільк</w:t>
      </w:r>
      <w:r w:rsidR="00590F8C">
        <w:t>істю</w:t>
      </w:r>
      <w:r w:rsidRPr="00685E34">
        <w:t>);</w:t>
      </w:r>
    </w:p>
    <w:p w14:paraId="73131F0B" w14:textId="2BE0DBDD" w:rsidR="003F3342" w:rsidRPr="00685E34" w:rsidRDefault="00590F8C" w:rsidP="003B3353">
      <w:pPr>
        <w:autoSpaceDE w:val="0"/>
        <w:autoSpaceDN w:val="0"/>
        <w:adjustRightInd w:val="0"/>
        <w:ind w:firstLine="567"/>
      </w:pPr>
      <w:r>
        <w:lastRenderedPageBreak/>
        <w:t>не було</w:t>
      </w:r>
      <w:r w:rsidR="003F3342" w:rsidRPr="00685E34">
        <w:t xml:space="preserve"> підтверд</w:t>
      </w:r>
      <w:r>
        <w:t>них</w:t>
      </w:r>
      <w:r w:rsidR="003F3342" w:rsidRPr="00685E34">
        <w:t xml:space="preserve"> документів у партнерів/торговців щодо права здійснення на сайтах послуг, зокрема від імені власників ігор: купівлі/продажу артефактів, ресурсів, зброї тощо</w:t>
      </w:r>
      <w:r>
        <w:t>,</w:t>
      </w:r>
      <w:r w:rsidR="003F3342" w:rsidRPr="00685E34">
        <w:t xml:space="preserve"> від імені туристичних агентств/авіакомпаній: здійснювати повернення коштів, за невикористані тури/авіаквитки;</w:t>
      </w:r>
    </w:p>
    <w:p w14:paraId="3F9ACFF3" w14:textId="452C1553" w:rsidR="003F3342" w:rsidRDefault="00590F8C" w:rsidP="003B3353">
      <w:pPr>
        <w:autoSpaceDE w:val="0"/>
        <w:autoSpaceDN w:val="0"/>
        <w:adjustRightInd w:val="0"/>
        <w:ind w:firstLine="567"/>
      </w:pPr>
      <w:r>
        <w:t>не було</w:t>
      </w:r>
      <w:r w:rsidR="003F3342" w:rsidRPr="00685E34">
        <w:t xml:space="preserve"> </w:t>
      </w:r>
      <w:r>
        <w:t>в</w:t>
      </w:r>
      <w:r w:rsidRPr="00685E34">
        <w:t xml:space="preserve"> </w:t>
      </w:r>
      <w:r w:rsidR="003F3342" w:rsidRPr="00685E34">
        <w:t xml:space="preserve">партнерів/торговців спроможності </w:t>
      </w:r>
      <w:r>
        <w:t>в</w:t>
      </w:r>
      <w:r w:rsidRPr="00685E34">
        <w:t xml:space="preserve"> </w:t>
      </w:r>
      <w:r w:rsidR="003F3342" w:rsidRPr="00685E34">
        <w:t>проведенні на заявлених точках ініціювання платежів фактичних фінансових операцій у значних обсягах (</w:t>
      </w:r>
      <w:r>
        <w:t>у</w:t>
      </w:r>
      <w:r w:rsidRPr="00685E34">
        <w:t xml:space="preserve"> </w:t>
      </w:r>
      <w:r w:rsidR="003F3342" w:rsidRPr="00685E34">
        <w:t>тому числі з урахуванням кількості відвідувань сайтів та фактичної кількості фінансових операцій</w:t>
      </w:r>
      <w:r w:rsidR="003F3342" w:rsidRPr="00C50CDA">
        <w:t>).</w:t>
      </w:r>
    </w:p>
    <w:p w14:paraId="4C8C5AC8" w14:textId="15F4795E" w:rsidR="005C0B8A" w:rsidRDefault="00714638" w:rsidP="003B3353">
      <w:pPr>
        <w:ind w:firstLine="567"/>
        <w:rPr>
          <w:color w:val="000000" w:themeColor="text1"/>
          <w:lang w:eastAsia="ru-RU"/>
        </w:rPr>
      </w:pPr>
      <w:r w:rsidRPr="009E6E7F">
        <w:rPr>
          <w:color w:val="000000" w:themeColor="text1"/>
        </w:rPr>
        <w:t xml:space="preserve">Детальний опис порушень </w:t>
      </w:r>
      <w:r w:rsidRPr="009E6E7F">
        <w:rPr>
          <w:color w:val="000000" w:themeColor="text1"/>
          <w:shd w:val="clear" w:color="auto" w:fill="FFFFFF"/>
        </w:rPr>
        <w:t xml:space="preserve">вимог </w:t>
      </w:r>
      <w:r w:rsidRPr="00714638">
        <w:t>а</w:t>
      </w:r>
      <w:r w:rsidR="00F307EC">
        <w:t>бзаців</w:t>
      </w:r>
      <w:r w:rsidRPr="00714638">
        <w:t xml:space="preserve"> першого та другого частини першої,</w:t>
      </w:r>
      <w:r w:rsidRPr="00714638">
        <w:rPr>
          <w:bCs/>
        </w:rPr>
        <w:t xml:space="preserve"> </w:t>
      </w:r>
      <w:r w:rsidR="00DD776E" w:rsidRPr="00714638">
        <w:rPr>
          <w:bCs/>
        </w:rPr>
        <w:t>п</w:t>
      </w:r>
      <w:r w:rsidR="00DD776E" w:rsidRPr="00714638">
        <w:rPr>
          <w:bCs/>
          <w:spacing w:val="-4"/>
        </w:rPr>
        <w:t>ункт</w:t>
      </w:r>
      <w:r w:rsidR="00DD776E">
        <w:rPr>
          <w:bCs/>
          <w:spacing w:val="-4"/>
        </w:rPr>
        <w:t>ів</w:t>
      </w:r>
      <w:r w:rsidR="00DD776E" w:rsidRPr="00714638">
        <w:rPr>
          <w:bCs/>
          <w:spacing w:val="-4"/>
        </w:rPr>
        <w:t xml:space="preserve"> </w:t>
      </w:r>
      <w:r w:rsidRPr="00714638">
        <w:rPr>
          <w:bCs/>
          <w:spacing w:val="-4"/>
        </w:rPr>
        <w:t xml:space="preserve">3, </w:t>
      </w:r>
      <w:r w:rsidRPr="00714638">
        <w:rPr>
          <w:rFonts w:eastAsia="Calibri"/>
        </w:rPr>
        <w:t xml:space="preserve">15 частини другої статті 8 </w:t>
      </w:r>
      <w:r w:rsidRPr="00714638">
        <w:rPr>
          <w:rFonts w:eastAsia="Calibri"/>
          <w:lang w:eastAsia="pl-PL"/>
        </w:rPr>
        <w:t>Закону</w:t>
      </w:r>
      <w:r w:rsidR="00DD776E">
        <w:rPr>
          <w:rFonts w:eastAsia="Calibri"/>
          <w:lang w:eastAsia="pl-PL"/>
        </w:rPr>
        <w:t xml:space="preserve"> </w:t>
      </w:r>
      <w:r w:rsidRPr="00714638">
        <w:rPr>
          <w:rFonts w:eastAsia="Calibri"/>
          <w:lang w:eastAsia="pl-PL"/>
        </w:rPr>
        <w:t xml:space="preserve">№ 361-ІХ </w:t>
      </w:r>
      <w:r w:rsidRPr="00714638">
        <w:rPr>
          <w:rFonts w:eastAsia="Calibri"/>
        </w:rPr>
        <w:t>та пункту 26 розділу ІІ Положення № 90</w:t>
      </w:r>
      <w:r>
        <w:rPr>
          <w:rFonts w:eastAsia="Calibri"/>
        </w:rPr>
        <w:t>, п</w:t>
      </w:r>
      <w:r w:rsidRPr="00B45C89">
        <w:t>ункту 40 розділу IV Положення № 65</w:t>
      </w:r>
      <w:r>
        <w:t xml:space="preserve"> зафіксовано в Довідці.</w:t>
      </w:r>
    </w:p>
    <w:p w14:paraId="56B8718C" w14:textId="042E58FA" w:rsidR="00257A3D" w:rsidRPr="009E6E7F" w:rsidRDefault="00590F8C" w:rsidP="003B3353">
      <w:pPr>
        <w:ind w:firstLine="567"/>
        <w:rPr>
          <w:color w:val="000000" w:themeColor="text1"/>
        </w:rPr>
      </w:pPr>
      <w:bookmarkStart w:id="18" w:name="n321"/>
      <w:bookmarkStart w:id="19" w:name="n322"/>
      <w:bookmarkStart w:id="20" w:name="n323"/>
      <w:bookmarkStart w:id="21" w:name="n324"/>
      <w:bookmarkStart w:id="22" w:name="n325"/>
      <w:bookmarkStart w:id="23" w:name="n326"/>
      <w:bookmarkStart w:id="24" w:name="n327"/>
      <w:bookmarkEnd w:id="18"/>
      <w:bookmarkEnd w:id="19"/>
      <w:bookmarkEnd w:id="20"/>
      <w:bookmarkEnd w:id="21"/>
      <w:bookmarkEnd w:id="22"/>
      <w:bookmarkEnd w:id="23"/>
      <w:bookmarkEnd w:id="24"/>
      <w:r>
        <w:rPr>
          <w:color w:val="000000" w:themeColor="text1"/>
        </w:rPr>
        <w:t>У л</w:t>
      </w:r>
      <w:r w:rsidR="00AE515E">
        <w:rPr>
          <w:color w:val="000000" w:themeColor="text1"/>
        </w:rPr>
        <w:t>иста</w:t>
      </w:r>
      <w:r>
        <w:rPr>
          <w:color w:val="000000" w:themeColor="text1"/>
        </w:rPr>
        <w:t>х</w:t>
      </w:r>
      <w:r w:rsidR="005F2C6D">
        <w:rPr>
          <w:color w:val="000000" w:themeColor="text1"/>
        </w:rPr>
        <w:t xml:space="preserve"> </w:t>
      </w:r>
      <w:r w:rsidR="00AE515E">
        <w:rPr>
          <w:rFonts w:eastAsia="Calibri"/>
          <w:color w:val="000000" w:themeColor="text1"/>
        </w:rPr>
        <w:t>від 29 травня</w:t>
      </w:r>
      <w:r w:rsidR="00257A3D" w:rsidRPr="009E6E7F">
        <w:rPr>
          <w:rFonts w:eastAsia="Calibri"/>
          <w:color w:val="000000" w:themeColor="text1"/>
        </w:rPr>
        <w:t xml:space="preserve"> 2023 року № </w:t>
      </w:r>
      <w:r w:rsidR="00AE515E">
        <w:rPr>
          <w:rFonts w:eastAsia="Calibri"/>
          <w:color w:val="000000" w:themeColor="text1"/>
        </w:rPr>
        <w:t xml:space="preserve">1917БТ та від 05 червня 2023 року </w:t>
      </w:r>
      <w:r>
        <w:rPr>
          <w:rFonts w:eastAsia="Calibri"/>
          <w:color w:val="000000" w:themeColor="text1"/>
        </w:rPr>
        <w:br/>
      </w:r>
      <w:r w:rsidR="00AE515E">
        <w:rPr>
          <w:rFonts w:eastAsia="Calibri"/>
          <w:color w:val="000000" w:themeColor="text1"/>
        </w:rPr>
        <w:t>№ 2045БТ</w:t>
      </w:r>
      <w:r w:rsidR="00257A3D" w:rsidRPr="009E6E7F">
        <w:rPr>
          <w:rFonts w:eastAsia="Calibri"/>
          <w:color w:val="000000" w:themeColor="text1"/>
        </w:rPr>
        <w:t xml:space="preserve"> </w:t>
      </w:r>
      <w:r w:rsidR="00AF69BA" w:rsidRPr="009E6E7F">
        <w:rPr>
          <w:color w:val="000000" w:themeColor="text1"/>
        </w:rPr>
        <w:t>АТ “</w:t>
      </w:r>
      <w:r w:rsidR="00AE515E">
        <w:rPr>
          <w:color w:val="000000" w:themeColor="text1"/>
        </w:rPr>
        <w:t xml:space="preserve">АКБ </w:t>
      </w:r>
      <w:r w:rsidR="00AE515E" w:rsidRPr="009E6E7F">
        <w:rPr>
          <w:color w:val="000000" w:themeColor="text1"/>
        </w:rPr>
        <w:t>“</w:t>
      </w:r>
      <w:r w:rsidR="00AE515E">
        <w:rPr>
          <w:color w:val="000000" w:themeColor="text1"/>
        </w:rPr>
        <w:t>КОНКОРД</w:t>
      </w:r>
      <w:r w:rsidR="00AF69BA" w:rsidRPr="009E6E7F">
        <w:rPr>
          <w:color w:val="000000" w:themeColor="text1"/>
        </w:rPr>
        <w:t>”</w:t>
      </w:r>
      <w:r w:rsidR="00257A3D" w:rsidRPr="009E6E7F">
        <w:rPr>
          <w:color w:val="000000" w:themeColor="text1"/>
        </w:rPr>
        <w:t xml:space="preserve"> </w:t>
      </w:r>
      <w:r w:rsidR="00AE515E">
        <w:rPr>
          <w:color w:val="000000" w:themeColor="text1"/>
        </w:rPr>
        <w:t>повідомило Національний банк</w:t>
      </w:r>
      <w:r w:rsidR="002E4B5A">
        <w:rPr>
          <w:color w:val="000000" w:themeColor="text1"/>
        </w:rPr>
        <w:t xml:space="preserve"> України</w:t>
      </w:r>
      <w:r w:rsidR="00AE515E">
        <w:rPr>
          <w:color w:val="000000" w:themeColor="text1"/>
        </w:rPr>
        <w:t xml:space="preserve"> про ознайомлення з Довідкою та не </w:t>
      </w:r>
      <w:r w:rsidR="00257A3D" w:rsidRPr="009E6E7F">
        <w:rPr>
          <w:color w:val="000000" w:themeColor="text1"/>
        </w:rPr>
        <w:t>нада</w:t>
      </w:r>
      <w:r w:rsidR="00961C83" w:rsidRPr="009E6E7F">
        <w:rPr>
          <w:color w:val="000000" w:themeColor="text1"/>
        </w:rPr>
        <w:t>ло</w:t>
      </w:r>
      <w:r w:rsidR="00257A3D" w:rsidRPr="009E6E7F">
        <w:rPr>
          <w:color w:val="000000" w:themeColor="text1"/>
        </w:rPr>
        <w:t xml:space="preserve"> пояснення та заперечення щодо виявлених </w:t>
      </w:r>
      <w:r w:rsidR="006A2F8A" w:rsidRPr="009E6E7F">
        <w:rPr>
          <w:color w:val="000000" w:themeColor="text1"/>
        </w:rPr>
        <w:t xml:space="preserve">під час </w:t>
      </w:r>
      <w:r w:rsidR="00AE515E">
        <w:rPr>
          <w:color w:val="000000" w:themeColor="text1"/>
        </w:rPr>
        <w:t>перевірки</w:t>
      </w:r>
      <w:r w:rsidR="00257A3D" w:rsidRPr="009E6E7F">
        <w:rPr>
          <w:color w:val="000000" w:themeColor="text1"/>
        </w:rPr>
        <w:t xml:space="preserve"> та нав</w:t>
      </w:r>
      <w:r w:rsidR="00AE515E">
        <w:rPr>
          <w:color w:val="000000" w:themeColor="text1"/>
        </w:rPr>
        <w:t>едених у цьому рішенні порушень</w:t>
      </w:r>
      <w:r w:rsidR="00257A3D" w:rsidRPr="009E6E7F">
        <w:rPr>
          <w:color w:val="000000" w:themeColor="text1"/>
        </w:rPr>
        <w:t>.</w:t>
      </w:r>
    </w:p>
    <w:p w14:paraId="7F0F4A83" w14:textId="7F991AEF" w:rsidR="003829D4" w:rsidRPr="009E6E7F" w:rsidRDefault="00AE515E" w:rsidP="003B3353">
      <w:pPr>
        <w:ind w:firstLine="567"/>
        <w:rPr>
          <w:color w:val="000000" w:themeColor="text1"/>
          <w:lang w:eastAsia="zh-CN"/>
        </w:rPr>
      </w:pPr>
      <w:r>
        <w:rPr>
          <w:color w:val="000000" w:themeColor="text1"/>
          <w:lang w:eastAsia="zh-CN"/>
        </w:rPr>
        <w:t>За результатами попередньої</w:t>
      </w:r>
      <w:r w:rsidR="00AF69BA" w:rsidRPr="009E6E7F">
        <w:rPr>
          <w:color w:val="000000" w:themeColor="text1"/>
          <w:lang w:eastAsia="zh-CN"/>
        </w:rPr>
        <w:t xml:space="preserve"> пер</w:t>
      </w:r>
      <w:r>
        <w:rPr>
          <w:color w:val="000000" w:themeColor="text1"/>
          <w:lang w:eastAsia="zh-CN"/>
        </w:rPr>
        <w:t>евірки</w:t>
      </w:r>
      <w:r w:rsidR="009359FF" w:rsidRPr="009E6E7F">
        <w:rPr>
          <w:color w:val="000000" w:themeColor="text1"/>
          <w:lang w:eastAsia="zh-CN"/>
        </w:rPr>
        <w:t xml:space="preserve"> </w:t>
      </w:r>
      <w:r w:rsidRPr="009E6E7F">
        <w:rPr>
          <w:color w:val="000000" w:themeColor="text1"/>
        </w:rPr>
        <w:t>АТ “</w:t>
      </w:r>
      <w:r>
        <w:rPr>
          <w:color w:val="000000" w:themeColor="text1"/>
        </w:rPr>
        <w:t xml:space="preserve">АКБ </w:t>
      </w:r>
      <w:r w:rsidRPr="009E6E7F">
        <w:rPr>
          <w:color w:val="000000" w:themeColor="text1"/>
        </w:rPr>
        <w:t>“</w:t>
      </w:r>
      <w:r>
        <w:rPr>
          <w:color w:val="000000" w:themeColor="text1"/>
        </w:rPr>
        <w:t>КОНКОРД</w:t>
      </w:r>
      <w:r w:rsidRPr="009E6E7F">
        <w:rPr>
          <w:color w:val="000000" w:themeColor="text1"/>
        </w:rPr>
        <w:t>”</w:t>
      </w:r>
      <w:r w:rsidR="00D84ED2" w:rsidRPr="009E6E7F">
        <w:rPr>
          <w:color w:val="000000" w:themeColor="text1"/>
          <w:lang w:eastAsia="zh-CN"/>
        </w:rPr>
        <w:t xml:space="preserve"> протягом </w:t>
      </w:r>
      <w:r w:rsidR="00D84ED2" w:rsidRPr="009E6E7F">
        <w:rPr>
          <w:color w:val="000000" w:themeColor="text1"/>
          <w:lang w:eastAsia="ru-RU"/>
        </w:rPr>
        <w:t xml:space="preserve">двох років </w:t>
      </w:r>
      <w:r w:rsidR="007165D5" w:rsidRPr="009E6E7F">
        <w:rPr>
          <w:color w:val="000000" w:themeColor="text1"/>
          <w:lang w:eastAsia="zh-CN"/>
        </w:rPr>
        <w:t xml:space="preserve">було </w:t>
      </w:r>
      <w:r w:rsidR="00D84ED2" w:rsidRPr="009E6E7F">
        <w:rPr>
          <w:color w:val="000000" w:themeColor="text1"/>
          <w:lang w:eastAsia="zh-CN"/>
        </w:rPr>
        <w:t xml:space="preserve">об’єктом застосування Національним банком України </w:t>
      </w:r>
      <w:r w:rsidR="00D84ED2" w:rsidRPr="009E6E7F">
        <w:rPr>
          <w:color w:val="000000" w:themeColor="text1"/>
          <w:lang w:eastAsia="ru-RU"/>
        </w:rPr>
        <w:t xml:space="preserve">заходів впливу </w:t>
      </w:r>
      <w:r w:rsidR="00AF69BA" w:rsidRPr="009E6E7F">
        <w:rPr>
          <w:color w:val="000000" w:themeColor="text1"/>
          <w:lang w:eastAsia="zh-CN"/>
        </w:rPr>
        <w:t>за порушення законодавства з питань запобігання та протидії</w:t>
      </w:r>
      <w:r w:rsidR="00F022A8" w:rsidRPr="009E6E7F">
        <w:rPr>
          <w:color w:val="000000" w:themeColor="text1"/>
          <w:lang w:eastAsia="zh-CN"/>
        </w:rPr>
        <w:t>.</w:t>
      </w:r>
      <w:r w:rsidR="00F000B5" w:rsidRPr="009E6E7F">
        <w:rPr>
          <w:color w:val="000000" w:themeColor="text1"/>
          <w:lang w:eastAsia="zh-CN"/>
        </w:rPr>
        <w:t xml:space="preserve"> </w:t>
      </w:r>
    </w:p>
    <w:p w14:paraId="37144C70" w14:textId="256997C7" w:rsidR="002E703A" w:rsidRPr="00450BAD" w:rsidRDefault="00AF69BA" w:rsidP="003B3353">
      <w:pPr>
        <w:spacing w:line="240" w:lineRule="atLeast"/>
        <w:ind w:firstLine="567"/>
      </w:pPr>
      <w:r w:rsidRPr="009E6E7F">
        <w:rPr>
          <w:color w:val="000000" w:themeColor="text1"/>
          <w:lang w:eastAsia="zh-CN"/>
        </w:rPr>
        <w:t xml:space="preserve">Так, </w:t>
      </w:r>
      <w:r w:rsidR="009C074D" w:rsidRPr="009E6E7F">
        <w:rPr>
          <w:color w:val="000000" w:themeColor="text1"/>
          <w:lang w:eastAsia="zh-CN"/>
        </w:rPr>
        <w:t xml:space="preserve">до </w:t>
      </w:r>
      <w:r w:rsidR="00AE515E" w:rsidRPr="009E6E7F">
        <w:rPr>
          <w:color w:val="000000" w:themeColor="text1"/>
        </w:rPr>
        <w:t>АТ “</w:t>
      </w:r>
      <w:r w:rsidR="00AE515E">
        <w:rPr>
          <w:color w:val="000000" w:themeColor="text1"/>
        </w:rPr>
        <w:t xml:space="preserve">АКБ </w:t>
      </w:r>
      <w:r w:rsidR="00AE515E" w:rsidRPr="009E6E7F">
        <w:rPr>
          <w:color w:val="000000" w:themeColor="text1"/>
        </w:rPr>
        <w:t>“</w:t>
      </w:r>
      <w:r w:rsidR="00AE515E">
        <w:rPr>
          <w:color w:val="000000" w:themeColor="text1"/>
        </w:rPr>
        <w:t>КОНКОРД</w:t>
      </w:r>
      <w:r w:rsidR="00AE515E" w:rsidRPr="009E6E7F">
        <w:rPr>
          <w:color w:val="000000" w:themeColor="text1"/>
        </w:rPr>
        <w:t>”</w:t>
      </w:r>
      <w:r w:rsidR="009C074D" w:rsidRPr="009E6E7F">
        <w:rPr>
          <w:color w:val="000000" w:themeColor="text1"/>
        </w:rPr>
        <w:t xml:space="preserve"> застосовано заходи впливу </w:t>
      </w:r>
      <w:r w:rsidR="003829D4" w:rsidRPr="009E6E7F">
        <w:rPr>
          <w:color w:val="000000" w:themeColor="text1"/>
        </w:rPr>
        <w:t xml:space="preserve">згідно </w:t>
      </w:r>
      <w:r w:rsidR="00D748EC" w:rsidRPr="009E6E7F">
        <w:rPr>
          <w:color w:val="000000" w:themeColor="text1"/>
        </w:rPr>
        <w:t xml:space="preserve">з </w:t>
      </w:r>
      <w:r w:rsidR="003829D4" w:rsidRPr="009E6E7F">
        <w:rPr>
          <w:color w:val="000000" w:themeColor="text1"/>
        </w:rPr>
        <w:t>рішен</w:t>
      </w:r>
      <w:r w:rsidR="00D748EC" w:rsidRPr="009E6E7F">
        <w:rPr>
          <w:color w:val="000000" w:themeColor="text1"/>
        </w:rPr>
        <w:t xml:space="preserve">нями </w:t>
      </w:r>
      <w:r w:rsidR="003829D4" w:rsidRPr="009E6E7F">
        <w:rPr>
          <w:color w:val="000000" w:themeColor="text1"/>
        </w:rPr>
        <w:t>Комітету з питань нагляду та регулювання діяльності банків, нагляду (</w:t>
      </w:r>
      <w:proofErr w:type="spellStart"/>
      <w:r w:rsidR="003829D4" w:rsidRPr="009E6E7F">
        <w:rPr>
          <w:color w:val="000000" w:themeColor="text1"/>
        </w:rPr>
        <w:t>оверсайту</w:t>
      </w:r>
      <w:proofErr w:type="spellEnd"/>
      <w:r w:rsidR="003829D4" w:rsidRPr="009E6E7F">
        <w:rPr>
          <w:color w:val="000000" w:themeColor="text1"/>
        </w:rPr>
        <w:t>) платіжних систем На</w:t>
      </w:r>
      <w:r w:rsidR="00AE515E">
        <w:rPr>
          <w:color w:val="000000" w:themeColor="text1"/>
        </w:rPr>
        <w:t>ціонального банку України від 30</w:t>
      </w:r>
      <w:r w:rsidR="003829D4" w:rsidRPr="009E6E7F">
        <w:rPr>
          <w:color w:val="000000" w:themeColor="text1"/>
        </w:rPr>
        <w:t xml:space="preserve"> </w:t>
      </w:r>
      <w:r w:rsidR="00AE515E">
        <w:rPr>
          <w:color w:val="000000" w:themeColor="text1"/>
        </w:rPr>
        <w:t>червня 2022</w:t>
      </w:r>
      <w:r w:rsidR="003829D4" w:rsidRPr="009E6E7F">
        <w:rPr>
          <w:color w:val="000000" w:themeColor="text1"/>
        </w:rPr>
        <w:t xml:space="preserve"> року </w:t>
      </w:r>
      <w:r w:rsidR="002E703A">
        <w:rPr>
          <w:color w:val="000000" w:themeColor="text1"/>
        </w:rPr>
        <w:t xml:space="preserve">№ 20/900-рк/БТ, № 20/901-рк/БТ у вигляді накладення штрафу у загальному розмірі 60 400 000,00 грн </w:t>
      </w:r>
      <w:r w:rsidR="00450BAD" w:rsidRPr="001A4653">
        <w:rPr>
          <w:color w:val="000000" w:themeColor="text1"/>
        </w:rPr>
        <w:t>[</w:t>
      </w:r>
      <w:r w:rsidR="002E703A">
        <w:rPr>
          <w:color w:val="000000" w:themeColor="text1"/>
        </w:rPr>
        <w:t xml:space="preserve">за порушення </w:t>
      </w:r>
      <w:r w:rsidR="002E703A">
        <w:rPr>
          <w:bCs/>
        </w:rPr>
        <w:t>п</w:t>
      </w:r>
      <w:r w:rsidR="002E703A" w:rsidRPr="008D6E94">
        <w:rPr>
          <w:bCs/>
          <w:spacing w:val="-4"/>
        </w:rPr>
        <w:t>ункту 3 частини другої статті 8 Закону</w:t>
      </w:r>
      <w:r w:rsidR="002E703A" w:rsidRPr="008D6E94">
        <w:rPr>
          <w:lang w:eastAsia="ar-SA"/>
        </w:rPr>
        <w:t xml:space="preserve"> </w:t>
      </w:r>
      <w:r w:rsidR="002E703A">
        <w:t>№ 361-IХ</w:t>
      </w:r>
      <w:r w:rsidR="002E703A" w:rsidRPr="008D6E94">
        <w:rPr>
          <w:bCs/>
          <w:spacing w:val="-4"/>
        </w:rPr>
        <w:t xml:space="preserve"> </w:t>
      </w:r>
      <w:r w:rsidR="008C1A84">
        <w:rPr>
          <w:bCs/>
          <w:spacing w:val="-4"/>
        </w:rPr>
        <w:t>у</w:t>
      </w:r>
      <w:r w:rsidR="008C1A84" w:rsidRPr="008D6E94">
        <w:rPr>
          <w:bCs/>
          <w:spacing w:val="-4"/>
        </w:rPr>
        <w:t xml:space="preserve"> </w:t>
      </w:r>
      <w:r w:rsidR="002E703A" w:rsidRPr="008D6E94">
        <w:rPr>
          <w:bCs/>
          <w:spacing w:val="-4"/>
        </w:rPr>
        <w:t>частині незабезпечення функціонування належ</w:t>
      </w:r>
      <w:r w:rsidR="002E703A">
        <w:rPr>
          <w:bCs/>
          <w:spacing w:val="-4"/>
        </w:rPr>
        <w:t>ної системи управління ризиками</w:t>
      </w:r>
      <w:r w:rsidR="00450BAD" w:rsidRPr="001A4653">
        <w:rPr>
          <w:bCs/>
          <w:spacing w:val="-4"/>
        </w:rPr>
        <w:t xml:space="preserve"> (</w:t>
      </w:r>
      <w:r w:rsidR="00450BAD">
        <w:rPr>
          <w:bCs/>
          <w:spacing w:val="-4"/>
        </w:rPr>
        <w:t xml:space="preserve">зокрема, </w:t>
      </w:r>
      <w:r w:rsidR="00450BAD" w:rsidRPr="00450BAD">
        <w:rPr>
          <w:bCs/>
          <w:spacing w:val="-4"/>
        </w:rPr>
        <w:t xml:space="preserve">встановлено неналежне виконання </w:t>
      </w:r>
      <w:r w:rsidR="00450BAD" w:rsidRPr="009E6E7F">
        <w:rPr>
          <w:color w:val="000000" w:themeColor="text1"/>
        </w:rPr>
        <w:t>АТ “</w:t>
      </w:r>
      <w:r w:rsidR="00450BAD">
        <w:rPr>
          <w:color w:val="000000" w:themeColor="text1"/>
        </w:rPr>
        <w:t xml:space="preserve">АКБ </w:t>
      </w:r>
      <w:r w:rsidR="00450BAD" w:rsidRPr="009E6E7F">
        <w:rPr>
          <w:color w:val="000000" w:themeColor="text1"/>
        </w:rPr>
        <w:t>“</w:t>
      </w:r>
      <w:r w:rsidR="00450BAD">
        <w:rPr>
          <w:color w:val="000000" w:themeColor="text1"/>
        </w:rPr>
        <w:t>КОНКОРД</w:t>
      </w:r>
      <w:r w:rsidR="00450BAD" w:rsidRPr="009E6E7F">
        <w:rPr>
          <w:color w:val="000000" w:themeColor="text1"/>
        </w:rPr>
        <w:t>”</w:t>
      </w:r>
      <w:r w:rsidR="00450BAD" w:rsidRPr="00450BAD">
        <w:rPr>
          <w:bCs/>
          <w:spacing w:val="-4"/>
        </w:rPr>
        <w:t xml:space="preserve"> обов’язку щодо здійснення належної перевірки </w:t>
      </w:r>
      <w:r w:rsidR="008C1A84">
        <w:rPr>
          <w:bCs/>
          <w:spacing w:val="-4"/>
        </w:rPr>
        <w:t>наявних</w:t>
      </w:r>
      <w:r w:rsidR="008C1A84" w:rsidRPr="00450BAD">
        <w:rPr>
          <w:bCs/>
          <w:spacing w:val="-4"/>
        </w:rPr>
        <w:t xml:space="preserve"> </w:t>
      </w:r>
      <w:r w:rsidR="00450BAD" w:rsidRPr="00450BAD">
        <w:rPr>
          <w:bCs/>
          <w:spacing w:val="-4"/>
        </w:rPr>
        <w:t>клієнтів</w:t>
      </w:r>
      <w:r w:rsidR="00450BAD">
        <w:rPr>
          <w:bCs/>
          <w:spacing w:val="-4"/>
        </w:rPr>
        <w:t>, у тому числі щодо клієнтів, які здійснювали діяльність з надання послуг за сервісами</w:t>
      </w:r>
      <w:r w:rsidR="00450BAD" w:rsidRPr="002C3C01">
        <w:t xml:space="preserve"> Інтернет-еквайрингу</w:t>
      </w:r>
      <w:r w:rsidR="00450BAD">
        <w:t>,</w:t>
      </w:r>
      <w:r w:rsidR="00450BAD" w:rsidRPr="002C3C01">
        <w:t xml:space="preserve"> P2P-переказів</w:t>
      </w:r>
      <w:r w:rsidR="00450BAD">
        <w:t>, A2C та/або C2A</w:t>
      </w:r>
      <w:r w:rsidR="00450BAD">
        <w:rPr>
          <w:bCs/>
          <w:spacing w:val="-4"/>
        </w:rPr>
        <w:t>)</w:t>
      </w:r>
      <w:r w:rsidR="008C1A84">
        <w:rPr>
          <w:bCs/>
          <w:spacing w:val="-4"/>
        </w:rPr>
        <w:t>,</w:t>
      </w:r>
      <w:r w:rsidR="002E703A">
        <w:rPr>
          <w:bCs/>
          <w:spacing w:val="-4"/>
        </w:rPr>
        <w:t xml:space="preserve"> </w:t>
      </w:r>
      <w:r w:rsidR="00450BAD">
        <w:rPr>
          <w:bCs/>
          <w:spacing w:val="-4"/>
        </w:rPr>
        <w:t>т</w:t>
      </w:r>
      <w:r w:rsidR="002E703A">
        <w:rPr>
          <w:bCs/>
          <w:spacing w:val="-4"/>
        </w:rPr>
        <w:t>а п</w:t>
      </w:r>
      <w:r w:rsidR="002E703A" w:rsidRPr="00D60811">
        <w:rPr>
          <w:bCs/>
          <w:spacing w:val="-4"/>
        </w:rPr>
        <w:t xml:space="preserve">ункту 2 частини другої статті 6 </w:t>
      </w:r>
      <w:r w:rsidR="008C1A84">
        <w:rPr>
          <w:bCs/>
          <w:spacing w:val="-4"/>
        </w:rPr>
        <w:t xml:space="preserve"> Закону</w:t>
      </w:r>
      <w:r w:rsidR="008C1A84" w:rsidRPr="002E703A">
        <w:rPr>
          <w:bCs/>
          <w:spacing w:val="-4"/>
        </w:rPr>
        <w:t xml:space="preserve"> України </w:t>
      </w:r>
      <w:r w:rsidR="008C1A84" w:rsidRPr="009E6E7F">
        <w:rPr>
          <w:color w:val="000000" w:themeColor="text1"/>
        </w:rPr>
        <w:t>“</w:t>
      </w:r>
      <w:r w:rsidR="008C1A84" w:rsidRPr="002E703A">
        <w:rPr>
          <w:bCs/>
          <w:spacing w:val="-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w:t>
      </w:r>
      <w:r w:rsidR="008C1A84">
        <w:rPr>
          <w:bCs/>
          <w:spacing w:val="-4"/>
        </w:rPr>
        <w:t>ої масового знищення</w:t>
      </w:r>
      <w:r w:rsidR="008C1A84" w:rsidRPr="009E6E7F">
        <w:rPr>
          <w:color w:val="000000" w:themeColor="text1"/>
        </w:rPr>
        <w:t>”</w:t>
      </w:r>
      <w:r w:rsidR="008C1A84">
        <w:rPr>
          <w:bCs/>
          <w:spacing w:val="-4"/>
        </w:rPr>
        <w:t xml:space="preserve"> від 14 жовтня </w:t>
      </w:r>
      <w:r w:rsidR="008C1A84" w:rsidRPr="002E703A">
        <w:rPr>
          <w:bCs/>
          <w:spacing w:val="-4"/>
        </w:rPr>
        <w:t>2014</w:t>
      </w:r>
      <w:r w:rsidR="008C1A84">
        <w:rPr>
          <w:bCs/>
          <w:spacing w:val="-4"/>
        </w:rPr>
        <w:t xml:space="preserve"> року</w:t>
      </w:r>
      <w:r w:rsidR="008C1A84" w:rsidRPr="002E703A">
        <w:rPr>
          <w:bCs/>
          <w:spacing w:val="-4"/>
        </w:rPr>
        <w:t xml:space="preserve"> № 1702-VII (діяв на час вчинення порушення</w:t>
      </w:r>
      <w:r w:rsidR="008C1A84">
        <w:rPr>
          <w:bCs/>
          <w:spacing w:val="-4"/>
        </w:rPr>
        <w:t>, втратив чинність 28 квітня 2020 року) (</w:t>
      </w:r>
      <w:r w:rsidR="008C1A84" w:rsidRPr="002E703A">
        <w:rPr>
          <w:bCs/>
          <w:spacing w:val="-4"/>
        </w:rPr>
        <w:t>далі – Закон №</w:t>
      </w:r>
      <w:r w:rsidR="008C1A84">
        <w:rPr>
          <w:bCs/>
          <w:spacing w:val="-4"/>
        </w:rPr>
        <w:t xml:space="preserve"> 1702-VII)</w:t>
      </w:r>
      <w:r w:rsidR="002E703A" w:rsidRPr="00D60811">
        <w:rPr>
          <w:bCs/>
          <w:spacing w:val="-4"/>
        </w:rPr>
        <w:t>, що полягає у неналежному виконанні обов’язк</w:t>
      </w:r>
      <w:r w:rsidR="002E703A">
        <w:rPr>
          <w:bCs/>
          <w:spacing w:val="-4"/>
        </w:rPr>
        <w:t>у здійснювати вивчення клієнтів)</w:t>
      </w:r>
      <w:r w:rsidR="00450BAD" w:rsidRPr="001A4653">
        <w:rPr>
          <w:bCs/>
          <w:spacing w:val="-4"/>
        </w:rPr>
        <w:t>]</w:t>
      </w:r>
      <w:r w:rsidR="002E703A">
        <w:rPr>
          <w:bCs/>
          <w:spacing w:val="-4"/>
        </w:rPr>
        <w:t xml:space="preserve"> та у</w:t>
      </w:r>
      <w:r w:rsidR="00A142C5">
        <w:rPr>
          <w:bCs/>
          <w:spacing w:val="-4"/>
        </w:rPr>
        <w:t xml:space="preserve"> вигляді</w:t>
      </w:r>
      <w:r w:rsidR="008C1A84">
        <w:rPr>
          <w:bCs/>
          <w:spacing w:val="-4"/>
        </w:rPr>
        <w:t xml:space="preserve"> </w:t>
      </w:r>
      <w:r w:rsidR="002E703A">
        <w:rPr>
          <w:bCs/>
          <w:spacing w:val="-4"/>
        </w:rPr>
        <w:t xml:space="preserve">письмового застереження </w:t>
      </w:r>
      <w:r w:rsidR="002E703A" w:rsidRPr="009E6E7F">
        <w:rPr>
          <w:color w:val="000000" w:themeColor="text1"/>
        </w:rPr>
        <w:t>(зокрема</w:t>
      </w:r>
      <w:r w:rsidR="002E703A">
        <w:rPr>
          <w:color w:val="000000" w:themeColor="text1"/>
        </w:rPr>
        <w:t>,</w:t>
      </w:r>
      <w:r w:rsidR="002E703A" w:rsidRPr="009E6E7F">
        <w:rPr>
          <w:color w:val="000000" w:themeColor="text1"/>
        </w:rPr>
        <w:t xml:space="preserve"> за порушення абзаців першого та другого частини першої статті 8 Закону</w:t>
      </w:r>
      <w:r w:rsidR="002E703A">
        <w:rPr>
          <w:color w:val="000000" w:themeColor="text1"/>
        </w:rPr>
        <w:t xml:space="preserve"> </w:t>
      </w:r>
      <w:r w:rsidR="002E703A">
        <w:t>№ 361-IХ</w:t>
      </w:r>
      <w:r w:rsidR="002E703A" w:rsidRPr="009E6E7F">
        <w:rPr>
          <w:color w:val="000000" w:themeColor="text1"/>
        </w:rPr>
        <w:t>, що полягало в неналежному виконанні АТ “</w:t>
      </w:r>
      <w:r w:rsidR="002E703A">
        <w:rPr>
          <w:color w:val="000000" w:themeColor="text1"/>
        </w:rPr>
        <w:t xml:space="preserve">АКБ </w:t>
      </w:r>
      <w:r w:rsidR="002E703A" w:rsidRPr="009E6E7F">
        <w:rPr>
          <w:color w:val="000000" w:themeColor="text1"/>
        </w:rPr>
        <w:t>“</w:t>
      </w:r>
      <w:r w:rsidR="002E703A">
        <w:rPr>
          <w:color w:val="000000" w:themeColor="text1"/>
        </w:rPr>
        <w:t>КОНКОРД</w:t>
      </w:r>
      <w:r w:rsidR="002E703A" w:rsidRPr="009E6E7F">
        <w:rPr>
          <w:color w:val="000000" w:themeColor="text1"/>
        </w:rPr>
        <w:t>” обов’язку розробляти, впроваджувати та оновлювати внутрішні документи з питань запобігання та протидії)</w:t>
      </w:r>
      <w:r w:rsidR="00450BAD">
        <w:rPr>
          <w:color w:val="000000" w:themeColor="text1"/>
        </w:rPr>
        <w:t xml:space="preserve"> відповідно.</w:t>
      </w:r>
    </w:p>
    <w:p w14:paraId="4794DCC9" w14:textId="018DCEF5" w:rsidR="00AF69BA" w:rsidRPr="009E6E7F" w:rsidRDefault="00AF69BA" w:rsidP="003B3353">
      <w:pPr>
        <w:ind w:firstLine="567"/>
        <w:rPr>
          <w:color w:val="000000" w:themeColor="text1"/>
        </w:rPr>
      </w:pPr>
      <w:r w:rsidRPr="009E6E7F">
        <w:rPr>
          <w:color w:val="000000" w:themeColor="text1"/>
        </w:rPr>
        <w:t xml:space="preserve">Відповідно до статті 63 Закону України “Про банки і банківську діяльність” (далі – Закон про банки) </w:t>
      </w:r>
      <w:r w:rsidR="00A46E8E" w:rsidRPr="009E6E7F">
        <w:rPr>
          <w:color w:val="000000" w:themeColor="text1"/>
          <w:shd w:val="clear" w:color="auto" w:fill="FFFFFF"/>
        </w:rPr>
        <w:t>Національний банк України під час здійснення нагляду за діяльністю банків проводить перевірку банків з питань дотримання ними вимог законодавства, яке регулює відносини у сфері запобігання та протидії</w:t>
      </w:r>
      <w:r w:rsidR="003E65F0">
        <w:rPr>
          <w:color w:val="000000" w:themeColor="text1"/>
          <w:shd w:val="clear" w:color="auto" w:fill="FFFFFF"/>
        </w:rPr>
        <w:t>,</w:t>
      </w:r>
      <w:r w:rsidR="00A46E8E" w:rsidRPr="009E6E7F">
        <w:rPr>
          <w:color w:val="000000" w:themeColor="text1"/>
          <w:shd w:val="clear" w:color="auto" w:fill="FFFFFF"/>
        </w:rPr>
        <w:t xml:space="preserve"> та </w:t>
      </w:r>
      <w:r w:rsidR="00A46E8E" w:rsidRPr="009E6E7F">
        <w:rPr>
          <w:color w:val="000000" w:themeColor="text1"/>
          <w:shd w:val="clear" w:color="auto" w:fill="FFFFFF"/>
        </w:rPr>
        <w:lastRenderedPageBreak/>
        <w:t>достатності заходів для запобігання та протидії легалізації (відмиванню) доходів, одержаних злочинним шляхом, та фінансуванню тероризму.</w:t>
      </w:r>
    </w:p>
    <w:p w14:paraId="173E1825" w14:textId="6EF94AC5" w:rsidR="00A46E8E" w:rsidRPr="009E6E7F" w:rsidRDefault="00A46E8E" w:rsidP="003B3353">
      <w:pPr>
        <w:autoSpaceDE w:val="0"/>
        <w:autoSpaceDN w:val="0"/>
        <w:adjustRightInd w:val="0"/>
        <w:ind w:firstLine="567"/>
        <w:rPr>
          <w:color w:val="000000" w:themeColor="text1"/>
        </w:rPr>
      </w:pPr>
      <w:r w:rsidRPr="009E6E7F">
        <w:rPr>
          <w:color w:val="000000" w:themeColor="text1"/>
        </w:rPr>
        <w:t>Згідно з абзацом другим частини дев’ятої статті 32 Закону</w:t>
      </w:r>
      <w:r w:rsidR="00450BAD">
        <w:rPr>
          <w:color w:val="000000" w:themeColor="text1"/>
        </w:rPr>
        <w:t xml:space="preserve"> </w:t>
      </w:r>
      <w:r w:rsidR="00450BAD">
        <w:t>№ 361-IХ</w:t>
      </w:r>
      <w:r w:rsidRPr="009E6E7F">
        <w:rPr>
          <w:color w:val="000000" w:themeColor="text1"/>
        </w:rPr>
        <w:t xml:space="preserve"> у разі порушення банками, філіями іноземних банків вимог законодавства у сфері запобігання та протидії Національний банк України </w:t>
      </w:r>
      <w:proofErr w:type="spellStart"/>
      <w:r w:rsidRPr="009E6E7F">
        <w:rPr>
          <w:color w:val="000000" w:themeColor="text1"/>
        </w:rPr>
        <w:t>пропорційно</w:t>
      </w:r>
      <w:proofErr w:type="spellEnd"/>
      <w:r w:rsidRPr="009E6E7F">
        <w:rPr>
          <w:color w:val="000000" w:themeColor="text1"/>
        </w:rPr>
        <w:t xml:space="preserve"> до вчиненого порушення має право застосувати до них заходи впливу відповідно, у порядку та строки, визначені Законом про банки та нормативно-правовими актами Національного банку України.</w:t>
      </w:r>
    </w:p>
    <w:p w14:paraId="06815EA8" w14:textId="04C9C891" w:rsidR="00A46E8E" w:rsidRPr="009E6E7F" w:rsidRDefault="00AF69BA" w:rsidP="003B3353">
      <w:pPr>
        <w:autoSpaceDE w:val="0"/>
        <w:autoSpaceDN w:val="0"/>
        <w:adjustRightInd w:val="0"/>
        <w:ind w:firstLine="567"/>
        <w:rPr>
          <w:color w:val="000000" w:themeColor="text1"/>
        </w:rPr>
      </w:pPr>
      <w:r w:rsidRPr="009E6E7F">
        <w:rPr>
          <w:color w:val="000000" w:themeColor="text1"/>
        </w:rPr>
        <w:t xml:space="preserve">Статтею 73 Закону про банки встановлено, що </w:t>
      </w:r>
      <w:r w:rsidR="002A005E">
        <w:rPr>
          <w:color w:val="000000" w:themeColor="text1"/>
        </w:rPr>
        <w:t>в</w:t>
      </w:r>
      <w:r w:rsidRPr="009E6E7F">
        <w:rPr>
          <w:color w:val="000000" w:themeColor="text1"/>
        </w:rPr>
        <w:t xml:space="preserve"> разі порушення банками законодавства</w:t>
      </w:r>
      <w:r w:rsidR="00A46E8E" w:rsidRPr="009E6E7F">
        <w:rPr>
          <w:color w:val="000000" w:themeColor="text1"/>
        </w:rPr>
        <w:t xml:space="preserve"> у сфері запобігання та протидії</w:t>
      </w:r>
      <w:r w:rsidRPr="009E6E7F">
        <w:rPr>
          <w:color w:val="000000" w:themeColor="text1"/>
        </w:rPr>
        <w:t xml:space="preserve"> Національний банк </w:t>
      </w:r>
      <w:r w:rsidR="00A46E8E" w:rsidRPr="009E6E7F">
        <w:rPr>
          <w:color w:val="000000" w:themeColor="text1"/>
        </w:rPr>
        <w:t xml:space="preserve">України </w:t>
      </w:r>
      <w:r w:rsidRPr="009E6E7F">
        <w:rPr>
          <w:color w:val="000000" w:themeColor="text1"/>
        </w:rPr>
        <w:t>адекватно вчиненому порушенню має право застосувати передбачені цією статтею заходи впливу, зокрема у вигляді відкликання банківської ліцензії та ліквідації банку.</w:t>
      </w:r>
    </w:p>
    <w:p w14:paraId="6E37491C" w14:textId="4C200D4F" w:rsidR="006A20EB" w:rsidRPr="009E6E7F" w:rsidRDefault="006A20EB" w:rsidP="003B3353">
      <w:pPr>
        <w:pStyle w:val="tj"/>
        <w:shd w:val="clear" w:color="auto" w:fill="FFFFFF"/>
        <w:spacing w:before="0" w:beforeAutospacing="0" w:after="0" w:afterAutospacing="0"/>
        <w:ind w:firstLine="567"/>
        <w:jc w:val="both"/>
        <w:rPr>
          <w:color w:val="000000" w:themeColor="text1"/>
          <w:sz w:val="28"/>
          <w:szCs w:val="28"/>
        </w:rPr>
      </w:pPr>
      <w:r w:rsidRPr="009E6E7F">
        <w:rPr>
          <w:color w:val="000000" w:themeColor="text1"/>
          <w:sz w:val="28"/>
          <w:szCs w:val="28"/>
        </w:rPr>
        <w:t xml:space="preserve">Відповідно до пункту 3 частини другої статті 77 Закону про банки Національний банк України має право відкликати банківську ліцензію з власної ініціативи, якщо </w:t>
      </w:r>
      <w:hyperlink r:id="rId14" w:tgtFrame="_blank" w:history="1">
        <w:r w:rsidRPr="009E6E7F">
          <w:rPr>
            <w:color w:val="000000" w:themeColor="text1"/>
            <w:sz w:val="28"/>
            <w:szCs w:val="28"/>
          </w:rPr>
          <w:t>встановлено систематичне</w:t>
        </w:r>
      </w:hyperlink>
      <w:r w:rsidRPr="009E6E7F">
        <w:rPr>
          <w:color w:val="000000" w:themeColor="text1"/>
          <w:sz w:val="28"/>
          <w:szCs w:val="28"/>
        </w:rPr>
        <w:t xml:space="preserve"> порушення банком законодавства у сфері запобігання та протидії.</w:t>
      </w:r>
    </w:p>
    <w:p w14:paraId="428E7B4A" w14:textId="214EF558" w:rsidR="006A20EB" w:rsidRPr="009E6E7F" w:rsidRDefault="003D7AE5" w:rsidP="003B3353">
      <w:pPr>
        <w:autoSpaceDE w:val="0"/>
        <w:autoSpaceDN w:val="0"/>
        <w:adjustRightInd w:val="0"/>
        <w:ind w:firstLine="567"/>
        <w:rPr>
          <w:color w:val="000000" w:themeColor="text1"/>
        </w:rPr>
      </w:pPr>
      <w:r>
        <w:rPr>
          <w:color w:val="000000" w:themeColor="text1"/>
        </w:rPr>
        <w:t>У п</w:t>
      </w:r>
      <w:r w:rsidR="00AF69BA" w:rsidRPr="009E6E7F">
        <w:rPr>
          <w:color w:val="000000" w:themeColor="text1"/>
        </w:rPr>
        <w:t>ункт</w:t>
      </w:r>
      <w:r>
        <w:rPr>
          <w:color w:val="000000" w:themeColor="text1"/>
        </w:rPr>
        <w:t>і</w:t>
      </w:r>
      <w:r w:rsidR="00AF69BA" w:rsidRPr="009E6E7F">
        <w:rPr>
          <w:color w:val="000000" w:themeColor="text1"/>
        </w:rPr>
        <w:t xml:space="preserve"> 1 глави </w:t>
      </w:r>
      <w:r w:rsidR="00A46E8E" w:rsidRPr="009E6E7F">
        <w:rPr>
          <w:color w:val="000000" w:themeColor="text1"/>
        </w:rPr>
        <w:t>1</w:t>
      </w:r>
      <w:r w:rsidR="00F66540">
        <w:rPr>
          <w:color w:val="000000" w:themeColor="text1"/>
        </w:rPr>
        <w:t>3</w:t>
      </w:r>
      <w:r w:rsidR="00AF69BA" w:rsidRPr="009E6E7F">
        <w:rPr>
          <w:color w:val="000000" w:themeColor="text1"/>
        </w:rPr>
        <w:t xml:space="preserve"> розділу ІІ Положення про застосування Національним банком України заходів впливу, затвердженого постановою Правління Національного банку України від 17</w:t>
      </w:r>
      <w:r w:rsidR="00A46E8E" w:rsidRPr="009E6E7F">
        <w:rPr>
          <w:color w:val="000000" w:themeColor="text1"/>
        </w:rPr>
        <w:t xml:space="preserve"> серпня </w:t>
      </w:r>
      <w:r w:rsidR="00AF69BA" w:rsidRPr="009E6E7F">
        <w:rPr>
          <w:color w:val="000000" w:themeColor="text1"/>
        </w:rPr>
        <w:t xml:space="preserve">2012 </w:t>
      </w:r>
      <w:r w:rsidR="00A46E8E" w:rsidRPr="009E6E7F">
        <w:rPr>
          <w:color w:val="000000" w:themeColor="text1"/>
        </w:rPr>
        <w:t xml:space="preserve">року </w:t>
      </w:r>
      <w:r w:rsidR="00AF69BA" w:rsidRPr="009E6E7F">
        <w:rPr>
          <w:color w:val="000000" w:themeColor="text1"/>
        </w:rPr>
        <w:t>№ 346</w:t>
      </w:r>
      <w:r w:rsidR="000116F4">
        <w:rPr>
          <w:color w:val="000000" w:themeColor="text1"/>
        </w:rPr>
        <w:t xml:space="preserve">, зареєстрованого </w:t>
      </w:r>
      <w:r w:rsidR="000116F4" w:rsidRPr="000116F4">
        <w:rPr>
          <w:color w:val="000000" w:themeColor="text1"/>
        </w:rPr>
        <w:t>в Міністерстві юстиції України</w:t>
      </w:r>
      <w:r w:rsidR="000116F4">
        <w:rPr>
          <w:color w:val="000000" w:themeColor="text1"/>
        </w:rPr>
        <w:t xml:space="preserve"> </w:t>
      </w:r>
      <w:r w:rsidR="000116F4" w:rsidRPr="000116F4">
        <w:rPr>
          <w:color w:val="000000" w:themeColor="text1"/>
        </w:rPr>
        <w:t>17 вересня 2012 року за №</w:t>
      </w:r>
      <w:r w:rsidR="000116F4">
        <w:rPr>
          <w:color w:val="000000" w:themeColor="text1"/>
        </w:rPr>
        <w:t> </w:t>
      </w:r>
      <w:r w:rsidR="000116F4" w:rsidRPr="000116F4">
        <w:rPr>
          <w:color w:val="000000" w:themeColor="text1"/>
        </w:rPr>
        <w:t xml:space="preserve"> 1590/21902</w:t>
      </w:r>
      <w:r w:rsidR="00AF69BA" w:rsidRPr="009E6E7F">
        <w:rPr>
          <w:color w:val="000000" w:themeColor="text1"/>
        </w:rPr>
        <w:t xml:space="preserve"> </w:t>
      </w:r>
      <w:r>
        <w:rPr>
          <w:color w:val="000000" w:themeColor="text1"/>
        </w:rPr>
        <w:t xml:space="preserve">(зі змінами) </w:t>
      </w:r>
      <w:r w:rsidR="00AF69BA" w:rsidRPr="009E6E7F">
        <w:rPr>
          <w:color w:val="000000" w:themeColor="text1"/>
        </w:rPr>
        <w:t xml:space="preserve">(далі – Положення № 346), визначено, що </w:t>
      </w:r>
      <w:r w:rsidR="0080493E" w:rsidRPr="00AD2614">
        <w:rPr>
          <w:shd w:val="clear" w:color="auto" w:fill="FFFFFF"/>
        </w:rPr>
        <w:t xml:space="preserve">систематичним порушенням банком законодавства з питань фінансового моніторингу є порушення банком законодавства з питань фінансового моніторингу після застосування Національним банком </w:t>
      </w:r>
      <w:r w:rsidR="00D003E9">
        <w:rPr>
          <w:shd w:val="clear" w:color="auto" w:fill="FFFFFF"/>
        </w:rPr>
        <w:t xml:space="preserve">України </w:t>
      </w:r>
      <w:r w:rsidR="0080493E" w:rsidRPr="00AD2614">
        <w:rPr>
          <w:shd w:val="clear" w:color="auto" w:fill="FFFFFF"/>
        </w:rPr>
        <w:t>до банку не менше двох заходів впливу (санкцій) протягом двох років.</w:t>
      </w:r>
    </w:p>
    <w:p w14:paraId="6E665F1D" w14:textId="07AA2FB4" w:rsidR="0098005E" w:rsidRPr="009E6E7F" w:rsidRDefault="0098005E" w:rsidP="003B3353">
      <w:pPr>
        <w:autoSpaceDE w:val="0"/>
        <w:autoSpaceDN w:val="0"/>
        <w:adjustRightInd w:val="0"/>
        <w:ind w:firstLine="567"/>
        <w:rPr>
          <w:color w:val="000000" w:themeColor="text1"/>
        </w:rPr>
      </w:pPr>
      <w:r w:rsidRPr="009E6E7F">
        <w:rPr>
          <w:color w:val="000000" w:themeColor="text1"/>
        </w:rPr>
        <w:t xml:space="preserve">Згідно з частиною третьою статті 67 Закону про банки </w:t>
      </w:r>
      <w:r w:rsidR="00DC67F1">
        <w:rPr>
          <w:color w:val="000000" w:themeColor="text1"/>
        </w:rPr>
        <w:t>під час</w:t>
      </w:r>
      <w:r w:rsidR="00DC67F1" w:rsidRPr="009E6E7F">
        <w:rPr>
          <w:color w:val="000000" w:themeColor="text1"/>
        </w:rPr>
        <w:t xml:space="preserve"> </w:t>
      </w:r>
      <w:r w:rsidRPr="009E6E7F">
        <w:rPr>
          <w:color w:val="000000" w:themeColor="text1"/>
        </w:rPr>
        <w:t>здійсненн</w:t>
      </w:r>
      <w:r w:rsidR="00DC67F1">
        <w:rPr>
          <w:color w:val="000000" w:themeColor="text1"/>
        </w:rPr>
        <w:t>я</w:t>
      </w:r>
      <w:r w:rsidRPr="009E6E7F">
        <w:rPr>
          <w:color w:val="000000" w:themeColor="text1"/>
        </w:rPr>
        <w:t xml:space="preserve"> нагляду у сфері запобігання та протидії Національний банк України має право застосовувати професійне судження.</w:t>
      </w:r>
    </w:p>
    <w:p w14:paraId="3E5D2BA0" w14:textId="6C77E8A8" w:rsidR="00632DC0" w:rsidRPr="009E6E7F" w:rsidRDefault="00AF69BA" w:rsidP="003B3353">
      <w:pPr>
        <w:autoSpaceDE w:val="0"/>
        <w:autoSpaceDN w:val="0"/>
        <w:adjustRightInd w:val="0"/>
        <w:ind w:firstLine="567"/>
        <w:rPr>
          <w:color w:val="000000" w:themeColor="text1"/>
          <w:lang w:eastAsia="ru-RU"/>
        </w:rPr>
      </w:pPr>
      <w:r w:rsidRPr="009E6E7F">
        <w:rPr>
          <w:color w:val="000000" w:themeColor="text1"/>
        </w:rPr>
        <w:t>Таким чином, в</w:t>
      </w:r>
      <w:r w:rsidR="00685FA3" w:rsidRPr="009E6E7F">
        <w:rPr>
          <w:color w:val="000000" w:themeColor="text1"/>
        </w:rPr>
        <w:t>становлені за результат</w:t>
      </w:r>
      <w:r w:rsidR="00AF1CCD" w:rsidRPr="009E6E7F">
        <w:rPr>
          <w:color w:val="000000" w:themeColor="text1"/>
        </w:rPr>
        <w:t>а</w:t>
      </w:r>
      <w:r w:rsidR="00685FA3" w:rsidRPr="009E6E7F">
        <w:rPr>
          <w:color w:val="000000" w:themeColor="text1"/>
        </w:rPr>
        <w:t>м</w:t>
      </w:r>
      <w:r w:rsidR="00AF1CCD" w:rsidRPr="009E6E7F">
        <w:rPr>
          <w:color w:val="000000" w:themeColor="text1"/>
        </w:rPr>
        <w:t>и</w:t>
      </w:r>
      <w:r w:rsidR="00685FA3" w:rsidRPr="009E6E7F">
        <w:rPr>
          <w:color w:val="000000" w:themeColor="text1"/>
        </w:rPr>
        <w:t xml:space="preserve"> </w:t>
      </w:r>
      <w:r w:rsidR="00BE1F84">
        <w:rPr>
          <w:color w:val="000000" w:themeColor="text1"/>
        </w:rPr>
        <w:t>перевірки</w:t>
      </w:r>
      <w:r w:rsidR="00100B2A" w:rsidRPr="009E6E7F">
        <w:rPr>
          <w:color w:val="000000" w:themeColor="text1"/>
        </w:rPr>
        <w:t xml:space="preserve"> </w:t>
      </w:r>
      <w:r w:rsidR="004B18CA">
        <w:rPr>
          <w:color w:val="000000" w:themeColor="text1"/>
        </w:rPr>
        <w:t xml:space="preserve">та </w:t>
      </w:r>
      <w:r w:rsidR="00DC67F1">
        <w:rPr>
          <w:color w:val="000000" w:themeColor="text1"/>
        </w:rPr>
        <w:t>зазначені</w:t>
      </w:r>
      <w:r w:rsidR="00DC67F1" w:rsidRPr="009E6E7F">
        <w:rPr>
          <w:color w:val="000000" w:themeColor="text1"/>
        </w:rPr>
        <w:t xml:space="preserve"> </w:t>
      </w:r>
      <w:r w:rsidR="00100B2A" w:rsidRPr="009E6E7F">
        <w:rPr>
          <w:color w:val="000000" w:themeColor="text1"/>
        </w:rPr>
        <w:t>в цьому рішенні</w:t>
      </w:r>
      <w:r w:rsidR="006A20EB" w:rsidRPr="009E6E7F">
        <w:rPr>
          <w:color w:val="000000" w:themeColor="text1"/>
        </w:rPr>
        <w:t xml:space="preserve"> </w:t>
      </w:r>
      <w:r w:rsidRPr="009E6E7F">
        <w:rPr>
          <w:color w:val="000000" w:themeColor="text1"/>
        </w:rPr>
        <w:t xml:space="preserve">порушення </w:t>
      </w:r>
      <w:r w:rsidR="00F307EC" w:rsidRPr="009E6E7F">
        <w:rPr>
          <w:color w:val="000000" w:themeColor="text1"/>
        </w:rPr>
        <w:t>АТ “</w:t>
      </w:r>
      <w:r w:rsidR="00F307EC">
        <w:rPr>
          <w:color w:val="000000" w:themeColor="text1"/>
        </w:rPr>
        <w:t xml:space="preserve">АКБ </w:t>
      </w:r>
      <w:r w:rsidR="00F307EC" w:rsidRPr="009E6E7F">
        <w:rPr>
          <w:color w:val="000000" w:themeColor="text1"/>
        </w:rPr>
        <w:t>“</w:t>
      </w:r>
      <w:r w:rsidR="00F307EC">
        <w:rPr>
          <w:color w:val="000000" w:themeColor="text1"/>
        </w:rPr>
        <w:t>КОНКОРД</w:t>
      </w:r>
      <w:r w:rsidR="00F307EC" w:rsidRPr="009E6E7F">
        <w:rPr>
          <w:color w:val="000000" w:themeColor="text1"/>
        </w:rPr>
        <w:t>”</w:t>
      </w:r>
      <w:r w:rsidR="006A20EB" w:rsidRPr="009E6E7F">
        <w:rPr>
          <w:color w:val="000000" w:themeColor="text1"/>
        </w:rPr>
        <w:t xml:space="preserve"> </w:t>
      </w:r>
      <w:r w:rsidRPr="009E6E7F">
        <w:rPr>
          <w:color w:val="000000" w:themeColor="text1"/>
        </w:rPr>
        <w:t xml:space="preserve">вимог </w:t>
      </w:r>
      <w:r w:rsidR="00F307EC" w:rsidRPr="00714638">
        <w:t>а</w:t>
      </w:r>
      <w:r w:rsidR="00F307EC">
        <w:t>бзаців</w:t>
      </w:r>
      <w:r w:rsidR="00F307EC" w:rsidRPr="00714638">
        <w:t xml:space="preserve"> першого та другого частини першої,</w:t>
      </w:r>
      <w:r w:rsidR="00F307EC" w:rsidRPr="00714638">
        <w:rPr>
          <w:bCs/>
        </w:rPr>
        <w:t xml:space="preserve"> </w:t>
      </w:r>
      <w:r w:rsidR="00FB3295" w:rsidRPr="00714638">
        <w:rPr>
          <w:bCs/>
        </w:rPr>
        <w:t>п</w:t>
      </w:r>
      <w:r w:rsidR="00FB3295" w:rsidRPr="00714638">
        <w:rPr>
          <w:bCs/>
          <w:spacing w:val="-4"/>
        </w:rPr>
        <w:t>ункт</w:t>
      </w:r>
      <w:r w:rsidR="00FB3295">
        <w:rPr>
          <w:bCs/>
          <w:spacing w:val="-4"/>
        </w:rPr>
        <w:t>ів</w:t>
      </w:r>
      <w:r w:rsidR="00FB3295" w:rsidRPr="00714638">
        <w:rPr>
          <w:bCs/>
          <w:spacing w:val="-4"/>
        </w:rPr>
        <w:t xml:space="preserve"> </w:t>
      </w:r>
      <w:r w:rsidR="00F307EC" w:rsidRPr="00714638">
        <w:rPr>
          <w:bCs/>
          <w:spacing w:val="-4"/>
        </w:rPr>
        <w:t xml:space="preserve">3, </w:t>
      </w:r>
      <w:r w:rsidR="00F307EC" w:rsidRPr="00714638">
        <w:rPr>
          <w:rFonts w:eastAsia="Calibri"/>
        </w:rPr>
        <w:t xml:space="preserve">15 частини другої статті 8 </w:t>
      </w:r>
      <w:r w:rsidR="00F307EC" w:rsidRPr="00714638">
        <w:rPr>
          <w:rFonts w:eastAsia="Calibri"/>
          <w:lang w:eastAsia="pl-PL"/>
        </w:rPr>
        <w:t xml:space="preserve">Закону № 361-ІХ </w:t>
      </w:r>
      <w:r w:rsidR="00F307EC" w:rsidRPr="00714638">
        <w:rPr>
          <w:rFonts w:eastAsia="Calibri"/>
        </w:rPr>
        <w:t>та пункту 26 розділу ІІ Положення № 90</w:t>
      </w:r>
      <w:r w:rsidR="00F307EC">
        <w:rPr>
          <w:rFonts w:eastAsia="Calibri"/>
        </w:rPr>
        <w:t>, п</w:t>
      </w:r>
      <w:r w:rsidR="00F307EC" w:rsidRPr="00B45C89">
        <w:t>ункту 40 розділу IV Положення № 65</w:t>
      </w:r>
      <w:r w:rsidRPr="009E6E7F">
        <w:rPr>
          <w:color w:val="000000" w:themeColor="text1"/>
          <w:lang w:eastAsia="ru-RU"/>
        </w:rPr>
        <w:t>, вчинені ним після застосування</w:t>
      </w:r>
      <w:r w:rsidR="00AF1CCD" w:rsidRPr="009E6E7F">
        <w:rPr>
          <w:color w:val="000000" w:themeColor="text1"/>
          <w:lang w:eastAsia="ru-RU"/>
        </w:rPr>
        <w:t xml:space="preserve"> Національним банком України</w:t>
      </w:r>
      <w:r w:rsidRPr="009E6E7F">
        <w:rPr>
          <w:color w:val="000000" w:themeColor="text1"/>
          <w:lang w:eastAsia="ru-RU"/>
        </w:rPr>
        <w:t xml:space="preserve"> до </w:t>
      </w:r>
      <w:r w:rsidR="00F307EC" w:rsidRPr="009E6E7F">
        <w:rPr>
          <w:color w:val="000000" w:themeColor="text1"/>
        </w:rPr>
        <w:t>АТ “</w:t>
      </w:r>
      <w:r w:rsidR="00F307EC">
        <w:rPr>
          <w:color w:val="000000" w:themeColor="text1"/>
        </w:rPr>
        <w:t xml:space="preserve">АКБ </w:t>
      </w:r>
      <w:r w:rsidR="00F307EC" w:rsidRPr="009E6E7F">
        <w:rPr>
          <w:color w:val="000000" w:themeColor="text1"/>
        </w:rPr>
        <w:t>“</w:t>
      </w:r>
      <w:r w:rsidR="00F307EC">
        <w:rPr>
          <w:color w:val="000000" w:themeColor="text1"/>
        </w:rPr>
        <w:t>КОНКОРД</w:t>
      </w:r>
      <w:r w:rsidR="00F307EC" w:rsidRPr="009E6E7F">
        <w:rPr>
          <w:color w:val="000000" w:themeColor="text1"/>
        </w:rPr>
        <w:t>”</w:t>
      </w:r>
      <w:r w:rsidR="006A20EB" w:rsidRPr="009E6E7F">
        <w:rPr>
          <w:color w:val="000000" w:themeColor="text1"/>
        </w:rPr>
        <w:t xml:space="preserve"> </w:t>
      </w:r>
      <w:r w:rsidRPr="009E6E7F">
        <w:rPr>
          <w:color w:val="000000" w:themeColor="text1"/>
          <w:lang w:eastAsia="ru-RU"/>
        </w:rPr>
        <w:t xml:space="preserve">двох заходів впливу протягом двох років, є систематичними порушеннями вимог законодавства з питань </w:t>
      </w:r>
      <w:r w:rsidR="006A20EB" w:rsidRPr="009E6E7F">
        <w:rPr>
          <w:color w:val="000000" w:themeColor="text1"/>
          <w:lang w:eastAsia="ru-RU"/>
        </w:rPr>
        <w:t>запобігання та протидії</w:t>
      </w:r>
      <w:r w:rsidRPr="009E6E7F">
        <w:rPr>
          <w:color w:val="000000" w:themeColor="text1"/>
          <w:lang w:eastAsia="ru-RU"/>
        </w:rPr>
        <w:t>.</w:t>
      </w:r>
    </w:p>
    <w:p w14:paraId="01DE9820" w14:textId="3AA169BB" w:rsidR="00632DC0" w:rsidRPr="009E6E7F" w:rsidRDefault="00632DC0" w:rsidP="003B3353">
      <w:pPr>
        <w:autoSpaceDE w:val="0"/>
        <w:autoSpaceDN w:val="0"/>
        <w:adjustRightInd w:val="0"/>
        <w:ind w:firstLine="567"/>
        <w:rPr>
          <w:color w:val="000000" w:themeColor="text1"/>
        </w:rPr>
      </w:pPr>
      <w:r w:rsidRPr="009E6E7F">
        <w:rPr>
          <w:color w:val="000000" w:themeColor="text1"/>
        </w:rPr>
        <w:t xml:space="preserve">Відповідно до частини другої статті 18 Закону </w:t>
      </w:r>
      <w:r w:rsidR="00F307EC">
        <w:t>№ 361-IХ</w:t>
      </w:r>
      <w:r w:rsidR="00F307EC" w:rsidRPr="009E6E7F">
        <w:rPr>
          <w:color w:val="000000" w:themeColor="text1"/>
        </w:rPr>
        <w:t xml:space="preserve"> </w:t>
      </w:r>
      <w:r w:rsidRPr="009E6E7F">
        <w:rPr>
          <w:color w:val="000000" w:themeColor="text1"/>
        </w:rPr>
        <w:t>суб</w:t>
      </w:r>
      <w:r w:rsidR="00DC67F1">
        <w:rPr>
          <w:color w:val="000000" w:themeColor="text1"/>
        </w:rPr>
        <w:t>’</w:t>
      </w:r>
      <w:r w:rsidRPr="009E6E7F">
        <w:rPr>
          <w:color w:val="000000" w:themeColor="text1"/>
        </w:rPr>
        <w:t>єкти державного фінансового моніторингу в межах їх повноважень зобов</w:t>
      </w:r>
      <w:r w:rsidR="00DC67F1">
        <w:rPr>
          <w:color w:val="000000" w:themeColor="text1"/>
        </w:rPr>
        <w:t>’</w:t>
      </w:r>
      <w:r w:rsidRPr="009E6E7F">
        <w:rPr>
          <w:color w:val="000000" w:themeColor="text1"/>
        </w:rPr>
        <w:t xml:space="preserve">язані здійснювати </w:t>
      </w:r>
      <w:r w:rsidRPr="009E6E7F">
        <w:rPr>
          <w:color w:val="000000" w:themeColor="text1"/>
          <w:shd w:val="clear" w:color="auto" w:fill="FFFFFF"/>
        </w:rPr>
        <w:t>з урахуванням ризик-орієнтованого підходу регулювання та нагляд у сфері запобігання та протидії з метою визначення відповідності заходів, що здійснюються суб</w:t>
      </w:r>
      <w:r w:rsidR="00DC67F1">
        <w:rPr>
          <w:color w:val="000000" w:themeColor="text1"/>
          <w:shd w:val="clear" w:color="auto" w:fill="FFFFFF"/>
        </w:rPr>
        <w:t>’</w:t>
      </w:r>
      <w:r w:rsidRPr="009E6E7F">
        <w:rPr>
          <w:color w:val="000000" w:themeColor="text1"/>
          <w:shd w:val="clear" w:color="auto" w:fill="FFFFFF"/>
        </w:rPr>
        <w:t>єктами первинного фінансового моніторингу, для мінімізації ризиків під час їх діяльності</w:t>
      </w:r>
      <w:r w:rsidRPr="009E6E7F">
        <w:rPr>
          <w:color w:val="000000" w:themeColor="text1"/>
        </w:rPr>
        <w:t>.</w:t>
      </w:r>
      <w:r w:rsidR="00D11D0C" w:rsidRPr="009E6E7F">
        <w:rPr>
          <w:color w:val="000000" w:themeColor="text1"/>
        </w:rPr>
        <w:t xml:space="preserve"> </w:t>
      </w:r>
    </w:p>
    <w:p w14:paraId="78A176D5" w14:textId="2DE8CE2D" w:rsidR="00F0544D" w:rsidRPr="003B3F9A" w:rsidRDefault="00EA4EB1" w:rsidP="003B3353">
      <w:pPr>
        <w:suppressAutoHyphens/>
        <w:ind w:firstLine="567"/>
        <w:rPr>
          <w:color w:val="000000" w:themeColor="text1"/>
        </w:rPr>
      </w:pPr>
      <w:r>
        <w:rPr>
          <w:color w:val="000000" w:themeColor="text1"/>
          <w:lang w:eastAsia="en-US"/>
        </w:rPr>
        <w:lastRenderedPageBreak/>
        <w:t>Ураховуючи</w:t>
      </w:r>
      <w:r w:rsidR="006A20EB" w:rsidRPr="009E6E7F">
        <w:rPr>
          <w:color w:val="000000" w:themeColor="text1"/>
          <w:lang w:eastAsia="en-US"/>
        </w:rPr>
        <w:t xml:space="preserve"> </w:t>
      </w:r>
      <w:r w:rsidR="0090559B" w:rsidRPr="009E6E7F">
        <w:rPr>
          <w:color w:val="000000" w:themeColor="text1"/>
          <w:lang w:eastAsia="en-US"/>
        </w:rPr>
        <w:t>встановлен</w:t>
      </w:r>
      <w:r w:rsidR="00AF1952" w:rsidRPr="009E6E7F">
        <w:rPr>
          <w:color w:val="000000" w:themeColor="text1"/>
          <w:lang w:eastAsia="en-US"/>
        </w:rPr>
        <w:t xml:space="preserve">і за результатами </w:t>
      </w:r>
      <w:r w:rsidR="00F307EC">
        <w:rPr>
          <w:color w:val="000000" w:themeColor="text1"/>
          <w:lang w:eastAsia="en-US"/>
        </w:rPr>
        <w:t>перевірки</w:t>
      </w:r>
      <w:r w:rsidR="00AF1952" w:rsidRPr="009E6E7F">
        <w:rPr>
          <w:color w:val="000000" w:themeColor="text1"/>
          <w:lang w:eastAsia="en-US"/>
        </w:rPr>
        <w:t xml:space="preserve"> факти </w:t>
      </w:r>
      <w:r w:rsidR="008F7B96" w:rsidRPr="009E6E7F">
        <w:rPr>
          <w:color w:val="000000" w:themeColor="text1"/>
          <w:lang w:eastAsia="en-US"/>
        </w:rPr>
        <w:t xml:space="preserve">вчинення </w:t>
      </w:r>
      <w:r w:rsidR="00F307EC" w:rsidRPr="009E6E7F">
        <w:rPr>
          <w:color w:val="000000" w:themeColor="text1"/>
        </w:rPr>
        <w:t>АТ “</w:t>
      </w:r>
      <w:r w:rsidR="00F307EC">
        <w:rPr>
          <w:color w:val="000000" w:themeColor="text1"/>
        </w:rPr>
        <w:t xml:space="preserve">АКБ </w:t>
      </w:r>
      <w:r w:rsidR="00F307EC" w:rsidRPr="009E6E7F">
        <w:rPr>
          <w:color w:val="000000" w:themeColor="text1"/>
        </w:rPr>
        <w:t>“</w:t>
      </w:r>
      <w:r w:rsidR="00F307EC">
        <w:rPr>
          <w:color w:val="000000" w:themeColor="text1"/>
        </w:rPr>
        <w:t>КОНКОРД</w:t>
      </w:r>
      <w:r w:rsidR="00F307EC" w:rsidRPr="009E6E7F">
        <w:rPr>
          <w:color w:val="000000" w:themeColor="text1"/>
        </w:rPr>
        <w:t>”</w:t>
      </w:r>
      <w:r w:rsidR="0090559B" w:rsidRPr="009E6E7F">
        <w:rPr>
          <w:color w:val="000000" w:themeColor="text1"/>
        </w:rPr>
        <w:t xml:space="preserve"> систематичних порушень законодавства у сфері запобігання та протидії</w:t>
      </w:r>
      <w:r w:rsidR="0090559B" w:rsidRPr="009E6E7F">
        <w:rPr>
          <w:color w:val="000000" w:themeColor="text1"/>
          <w:lang w:eastAsia="en-US"/>
        </w:rPr>
        <w:t xml:space="preserve"> </w:t>
      </w:r>
      <w:r w:rsidR="00492DA2">
        <w:rPr>
          <w:color w:val="000000" w:themeColor="text1"/>
          <w:lang w:eastAsia="en-US"/>
        </w:rPr>
        <w:t>щодо</w:t>
      </w:r>
      <w:r w:rsidR="0090559B" w:rsidRPr="009E6E7F">
        <w:rPr>
          <w:color w:val="000000" w:themeColor="text1"/>
          <w:lang w:eastAsia="en-US"/>
        </w:rPr>
        <w:t xml:space="preserve"> неналежного </w:t>
      </w:r>
      <w:r w:rsidR="006A20EB" w:rsidRPr="009E6E7F">
        <w:rPr>
          <w:color w:val="000000" w:themeColor="text1"/>
          <w:lang w:eastAsia="en-US"/>
        </w:rPr>
        <w:t xml:space="preserve">виконання </w:t>
      </w:r>
      <w:r w:rsidR="00371021" w:rsidRPr="009E6E7F">
        <w:rPr>
          <w:color w:val="000000" w:themeColor="text1"/>
        </w:rPr>
        <w:t>АТ “</w:t>
      </w:r>
      <w:r w:rsidR="00371021">
        <w:rPr>
          <w:color w:val="000000" w:themeColor="text1"/>
        </w:rPr>
        <w:t xml:space="preserve">АКБ </w:t>
      </w:r>
      <w:r w:rsidR="00371021" w:rsidRPr="009E6E7F">
        <w:rPr>
          <w:color w:val="000000" w:themeColor="text1"/>
        </w:rPr>
        <w:t>“</w:t>
      </w:r>
      <w:r w:rsidR="00371021">
        <w:rPr>
          <w:color w:val="000000" w:themeColor="text1"/>
        </w:rPr>
        <w:t>КОНКОРД</w:t>
      </w:r>
      <w:r w:rsidR="00371021" w:rsidRPr="009E6E7F">
        <w:rPr>
          <w:color w:val="000000" w:themeColor="text1"/>
        </w:rPr>
        <w:t>”</w:t>
      </w:r>
      <w:r w:rsidR="006A20EB" w:rsidRPr="009E6E7F">
        <w:rPr>
          <w:color w:val="000000" w:themeColor="text1"/>
        </w:rPr>
        <w:t xml:space="preserve"> </w:t>
      </w:r>
      <w:r w:rsidR="006A20EB" w:rsidRPr="009E6E7F">
        <w:rPr>
          <w:color w:val="000000" w:themeColor="text1"/>
          <w:lang w:eastAsia="en-US"/>
        </w:rPr>
        <w:t xml:space="preserve">обов’язків, </w:t>
      </w:r>
      <w:r w:rsidR="008C1A84">
        <w:rPr>
          <w:color w:val="000000" w:themeColor="text1"/>
          <w:lang w:eastAsia="en-US"/>
        </w:rPr>
        <w:t>у</w:t>
      </w:r>
      <w:r w:rsidR="006A20EB" w:rsidRPr="009E6E7F">
        <w:rPr>
          <w:color w:val="000000" w:themeColor="text1"/>
          <w:lang w:eastAsia="en-US"/>
        </w:rPr>
        <w:t>становлених законодавством у сфері запобігання та протидії</w:t>
      </w:r>
      <w:r w:rsidR="009359FF" w:rsidRPr="009E6E7F">
        <w:rPr>
          <w:color w:val="000000" w:themeColor="text1"/>
          <w:lang w:eastAsia="en-US"/>
        </w:rPr>
        <w:t xml:space="preserve">, </w:t>
      </w:r>
      <w:r w:rsidR="00F16501">
        <w:rPr>
          <w:color w:val="000000" w:themeColor="text1"/>
          <w:lang w:eastAsia="en-US"/>
        </w:rPr>
        <w:t>зокрема,</w:t>
      </w:r>
      <w:r w:rsidR="0059446E" w:rsidRPr="009E6E7F">
        <w:rPr>
          <w:color w:val="000000" w:themeColor="text1"/>
          <w:lang w:eastAsia="en-US"/>
        </w:rPr>
        <w:t xml:space="preserve"> </w:t>
      </w:r>
      <w:r w:rsidR="00B35254" w:rsidRPr="008D6E94">
        <w:rPr>
          <w:bCs/>
          <w:spacing w:val="-4"/>
        </w:rPr>
        <w:t>незабезпечення функціонування належної системи управління ризиками</w:t>
      </w:r>
      <w:r w:rsidR="00100789">
        <w:rPr>
          <w:bCs/>
          <w:spacing w:val="-4"/>
        </w:rPr>
        <w:t xml:space="preserve"> </w:t>
      </w:r>
      <w:r w:rsidR="00100789" w:rsidRPr="001A4653">
        <w:rPr>
          <w:bCs/>
          <w:spacing w:val="-4"/>
        </w:rPr>
        <w:t>[</w:t>
      </w:r>
      <w:r w:rsidR="00100789" w:rsidRPr="00473D48">
        <w:rPr>
          <w:rFonts w:eastAsia="Calibri"/>
          <w:lang w:eastAsia="pl-PL"/>
        </w:rPr>
        <w:t>не</w:t>
      </w:r>
      <w:r w:rsidR="00100789">
        <w:rPr>
          <w:rFonts w:eastAsia="Calibri"/>
          <w:lang w:eastAsia="pl-PL"/>
        </w:rPr>
        <w:t xml:space="preserve"> здійснення </w:t>
      </w:r>
      <w:r w:rsidR="00100789" w:rsidRPr="00473D48">
        <w:rPr>
          <w:rFonts w:eastAsia="Calibri"/>
          <w:lang w:eastAsia="pl-PL"/>
        </w:rPr>
        <w:t>НПК, неналежне здійснення оцінки/переоцінки ризику ділових відносин (фінансових операцій без установлення ділових відносин) із клієнтами (ризик-профілів клієнтів), заходів із моніторингу, контролю ризиків та підтримання ризик-профілів клієнтів банку в актуальному стані для мінімізації використа</w:t>
      </w:r>
      <w:r w:rsidR="00100789">
        <w:rPr>
          <w:rFonts w:eastAsia="Calibri"/>
          <w:lang w:eastAsia="pl-PL"/>
        </w:rPr>
        <w:t>ння послуг банку з метою ВК/ФТ</w:t>
      </w:r>
      <w:r w:rsidR="008C1A84">
        <w:rPr>
          <w:rFonts w:eastAsia="Calibri"/>
          <w:lang w:eastAsia="pl-PL"/>
        </w:rPr>
        <w:t>,</w:t>
      </w:r>
      <w:r w:rsidR="00100789">
        <w:rPr>
          <w:rFonts w:eastAsia="Calibri"/>
          <w:lang w:eastAsia="pl-PL"/>
        </w:rPr>
        <w:t xml:space="preserve"> </w:t>
      </w:r>
      <w:r w:rsidR="00100789" w:rsidRPr="00473D48">
        <w:rPr>
          <w:rFonts w:eastAsia="Calibri"/>
          <w:lang w:eastAsia="pl-PL"/>
        </w:rPr>
        <w:t>невжиття своєчасних та адекватних заходів щодо мінімізації виявлених ризиків ВК/ФТ до прийнятного рівня ризиків ВК/ФТ</w:t>
      </w:r>
      <w:r w:rsidR="00100789" w:rsidRPr="001A4653">
        <w:rPr>
          <w:rFonts w:eastAsia="Calibri"/>
          <w:lang w:eastAsia="pl-PL"/>
        </w:rPr>
        <w:t>]</w:t>
      </w:r>
      <w:r w:rsidR="00100789">
        <w:rPr>
          <w:rFonts w:eastAsia="Calibri"/>
          <w:lang w:eastAsia="pl-PL"/>
        </w:rPr>
        <w:t xml:space="preserve">, </w:t>
      </w:r>
      <w:r w:rsidR="00F16501" w:rsidRPr="00BF34EC">
        <w:rPr>
          <w:rFonts w:eastAsia="Calibri"/>
        </w:rPr>
        <w:t xml:space="preserve">ненадання на запити інспекційної групи </w:t>
      </w:r>
      <w:r w:rsidR="00F16501">
        <w:rPr>
          <w:rFonts w:eastAsia="Calibri"/>
        </w:rPr>
        <w:t xml:space="preserve">Національного банку України </w:t>
      </w:r>
      <w:r w:rsidR="00F16501" w:rsidRPr="00BF34EC">
        <w:rPr>
          <w:rFonts w:eastAsia="Calibri"/>
        </w:rPr>
        <w:t>достовірної інформації</w:t>
      </w:r>
      <w:r w:rsidR="00F16501">
        <w:rPr>
          <w:rFonts w:eastAsia="Calibri"/>
        </w:rPr>
        <w:t xml:space="preserve">, </w:t>
      </w:r>
      <w:r w:rsidR="00F16501" w:rsidRPr="009E6E7F">
        <w:rPr>
          <w:color w:val="000000" w:themeColor="text1"/>
        </w:rPr>
        <w:t xml:space="preserve">невідповідність внутрішніх документів </w:t>
      </w:r>
      <w:r w:rsidR="00371021" w:rsidRPr="009E6E7F">
        <w:rPr>
          <w:color w:val="000000" w:themeColor="text1"/>
        </w:rPr>
        <w:t>АТ “</w:t>
      </w:r>
      <w:r w:rsidR="00371021">
        <w:rPr>
          <w:color w:val="000000" w:themeColor="text1"/>
        </w:rPr>
        <w:t xml:space="preserve">АКБ </w:t>
      </w:r>
      <w:r w:rsidR="00371021" w:rsidRPr="009E6E7F">
        <w:rPr>
          <w:color w:val="000000" w:themeColor="text1"/>
        </w:rPr>
        <w:t>“</w:t>
      </w:r>
      <w:r w:rsidR="00371021">
        <w:rPr>
          <w:color w:val="000000" w:themeColor="text1"/>
        </w:rPr>
        <w:t>КОНКОРД</w:t>
      </w:r>
      <w:r w:rsidR="00371021" w:rsidRPr="009E6E7F">
        <w:rPr>
          <w:color w:val="000000" w:themeColor="text1"/>
        </w:rPr>
        <w:t>”</w:t>
      </w:r>
      <w:r w:rsidR="00F16501" w:rsidRPr="009E6E7F">
        <w:rPr>
          <w:color w:val="000000" w:themeColor="text1"/>
        </w:rPr>
        <w:t xml:space="preserve"> з питань запобігання та протидії вимогам законодавства</w:t>
      </w:r>
      <w:r w:rsidR="00371021">
        <w:rPr>
          <w:color w:val="000000" w:themeColor="text1"/>
        </w:rPr>
        <w:t xml:space="preserve">, </w:t>
      </w:r>
      <w:r w:rsidR="00371021" w:rsidRPr="00EA4EB1">
        <w:t>неврахування під час аналізу ризиків ВК/ФТ своїх продуктів та послуг, особливостей та можливостей їх використання</w:t>
      </w:r>
      <w:r w:rsidR="002455D9" w:rsidRPr="00180370">
        <w:t xml:space="preserve">, невжиття дієвих заходів у сфері </w:t>
      </w:r>
      <w:r w:rsidR="002455D9" w:rsidRPr="009E6E7F">
        <w:rPr>
          <w:color w:val="000000" w:themeColor="text1"/>
        </w:rPr>
        <w:t>запобігання та протидії</w:t>
      </w:r>
      <w:r w:rsidR="00D748EC" w:rsidRPr="009E6E7F">
        <w:rPr>
          <w:color w:val="000000" w:themeColor="text1"/>
        </w:rPr>
        <w:t>,</w:t>
      </w:r>
      <w:r w:rsidR="002455D9" w:rsidRPr="009E6E7F">
        <w:rPr>
          <w:color w:val="000000" w:themeColor="text1"/>
        </w:rPr>
        <w:t xml:space="preserve"> </w:t>
      </w:r>
      <w:r w:rsidR="00873D82" w:rsidRPr="009E6E7F">
        <w:rPr>
          <w:color w:val="000000" w:themeColor="text1"/>
        </w:rPr>
        <w:t>до здійснення яких Національний банк</w:t>
      </w:r>
      <w:r w:rsidR="008D771F" w:rsidRPr="009E6E7F">
        <w:rPr>
          <w:color w:val="000000" w:themeColor="text1"/>
        </w:rPr>
        <w:t xml:space="preserve"> України</w:t>
      </w:r>
      <w:r w:rsidR="00873D82" w:rsidRPr="009E6E7F">
        <w:rPr>
          <w:color w:val="000000" w:themeColor="text1"/>
        </w:rPr>
        <w:t xml:space="preserve"> </w:t>
      </w:r>
      <w:r w:rsidR="00D748EC" w:rsidRPr="009E6E7F">
        <w:rPr>
          <w:color w:val="000000" w:themeColor="text1"/>
        </w:rPr>
        <w:t xml:space="preserve">неодноразово </w:t>
      </w:r>
      <w:r w:rsidR="00873D82" w:rsidRPr="009E6E7F">
        <w:rPr>
          <w:color w:val="000000" w:themeColor="text1"/>
        </w:rPr>
        <w:t xml:space="preserve">спонукав шляхом застосування інших заходів впливу, </w:t>
      </w:r>
      <w:r w:rsidR="00054DDD">
        <w:rPr>
          <w:color w:val="000000" w:themeColor="text1"/>
        </w:rPr>
        <w:t>у</w:t>
      </w:r>
      <w:r w:rsidR="00873D82" w:rsidRPr="009E6E7F">
        <w:rPr>
          <w:color w:val="000000" w:themeColor="text1"/>
        </w:rPr>
        <w:t xml:space="preserve"> тому числі за </w:t>
      </w:r>
      <w:r w:rsidR="003B3F9A" w:rsidRPr="008D6E94">
        <w:rPr>
          <w:bCs/>
          <w:spacing w:val="-4"/>
        </w:rPr>
        <w:t>незабезпечення функціонування належ</w:t>
      </w:r>
      <w:r w:rsidR="003B3F9A">
        <w:rPr>
          <w:bCs/>
          <w:spacing w:val="-4"/>
        </w:rPr>
        <w:t>ної системи управління ризиками</w:t>
      </w:r>
      <w:r w:rsidR="003B3F9A" w:rsidRPr="001A4653">
        <w:rPr>
          <w:bCs/>
          <w:spacing w:val="-4"/>
        </w:rPr>
        <w:t xml:space="preserve"> (</w:t>
      </w:r>
      <w:r w:rsidR="003B3F9A">
        <w:rPr>
          <w:bCs/>
          <w:spacing w:val="-4"/>
        </w:rPr>
        <w:t>зокрема, неналежного</w:t>
      </w:r>
      <w:r w:rsidR="003B3F9A" w:rsidRPr="00450BAD">
        <w:rPr>
          <w:bCs/>
          <w:spacing w:val="-4"/>
        </w:rPr>
        <w:t xml:space="preserve"> виконання </w:t>
      </w:r>
      <w:r w:rsidR="003B3F9A" w:rsidRPr="009E6E7F">
        <w:rPr>
          <w:color w:val="000000" w:themeColor="text1"/>
        </w:rPr>
        <w:t>АТ “</w:t>
      </w:r>
      <w:r w:rsidR="003B3F9A">
        <w:rPr>
          <w:color w:val="000000" w:themeColor="text1"/>
        </w:rPr>
        <w:t xml:space="preserve">АКБ </w:t>
      </w:r>
      <w:r w:rsidR="003B3F9A" w:rsidRPr="009E6E7F">
        <w:rPr>
          <w:color w:val="000000" w:themeColor="text1"/>
        </w:rPr>
        <w:t>“</w:t>
      </w:r>
      <w:r w:rsidR="003B3F9A">
        <w:rPr>
          <w:color w:val="000000" w:themeColor="text1"/>
        </w:rPr>
        <w:t>КОНКОРД</w:t>
      </w:r>
      <w:r w:rsidR="003B3F9A" w:rsidRPr="009E6E7F">
        <w:rPr>
          <w:color w:val="000000" w:themeColor="text1"/>
        </w:rPr>
        <w:t>”</w:t>
      </w:r>
      <w:r w:rsidR="003B3F9A" w:rsidRPr="00450BAD">
        <w:rPr>
          <w:bCs/>
          <w:spacing w:val="-4"/>
        </w:rPr>
        <w:t xml:space="preserve"> обов’язку щодо здійснення належної перевірки </w:t>
      </w:r>
      <w:r w:rsidR="008C1A84">
        <w:rPr>
          <w:bCs/>
          <w:spacing w:val="-4"/>
        </w:rPr>
        <w:t>наявних</w:t>
      </w:r>
      <w:r w:rsidR="008C1A84" w:rsidRPr="00450BAD">
        <w:rPr>
          <w:bCs/>
          <w:spacing w:val="-4"/>
        </w:rPr>
        <w:t xml:space="preserve"> </w:t>
      </w:r>
      <w:r w:rsidR="003B3F9A" w:rsidRPr="00450BAD">
        <w:rPr>
          <w:bCs/>
          <w:spacing w:val="-4"/>
        </w:rPr>
        <w:t>клієнтів</w:t>
      </w:r>
      <w:r w:rsidR="003B3F9A">
        <w:rPr>
          <w:bCs/>
          <w:spacing w:val="-4"/>
        </w:rPr>
        <w:t>, у тому числі щодо клієнтів, які здійснювали діяльність з надання послуг за сервісами</w:t>
      </w:r>
      <w:r w:rsidR="003B3F9A" w:rsidRPr="002C3C01">
        <w:t xml:space="preserve"> Інтернет-еквайрингу</w:t>
      </w:r>
      <w:r w:rsidR="003B3F9A">
        <w:t>,</w:t>
      </w:r>
      <w:r w:rsidR="003B3F9A" w:rsidRPr="002C3C01">
        <w:t xml:space="preserve"> P2P-переказів</w:t>
      </w:r>
      <w:r w:rsidR="003B3F9A">
        <w:t>, A2C та/або C2A</w:t>
      </w:r>
      <w:r w:rsidR="003B3F9A">
        <w:rPr>
          <w:bCs/>
          <w:spacing w:val="-4"/>
        </w:rPr>
        <w:t>)</w:t>
      </w:r>
      <w:r w:rsidR="002455D9" w:rsidRPr="009E6E7F">
        <w:rPr>
          <w:color w:val="000000" w:themeColor="text1"/>
        </w:rPr>
        <w:t xml:space="preserve">, </w:t>
      </w:r>
      <w:r w:rsidR="00F0544D" w:rsidRPr="009E6E7F">
        <w:rPr>
          <w:color w:val="000000" w:themeColor="text1"/>
        </w:rPr>
        <w:t xml:space="preserve">ураховуючи характер виявлених </w:t>
      </w:r>
      <w:r w:rsidR="003B3F9A">
        <w:rPr>
          <w:color w:val="000000" w:themeColor="text1"/>
        </w:rPr>
        <w:t>перевіркою</w:t>
      </w:r>
      <w:r w:rsidR="00054DDD" w:rsidRPr="009E6E7F">
        <w:rPr>
          <w:color w:val="000000" w:themeColor="text1"/>
        </w:rPr>
        <w:t xml:space="preserve"> </w:t>
      </w:r>
      <w:r w:rsidR="00F0544D" w:rsidRPr="009E6E7F">
        <w:rPr>
          <w:color w:val="000000" w:themeColor="text1"/>
        </w:rPr>
        <w:t>і зазначених у цьому рішенні порушень (зокрема</w:t>
      </w:r>
      <w:r w:rsidR="003B3F9A">
        <w:rPr>
          <w:color w:val="000000" w:themeColor="text1"/>
        </w:rPr>
        <w:t>,</w:t>
      </w:r>
      <w:r w:rsidR="00F0544D" w:rsidRPr="009E6E7F">
        <w:rPr>
          <w:color w:val="000000" w:themeColor="text1"/>
        </w:rPr>
        <w:t xml:space="preserve"> тривалість порушень, </w:t>
      </w:r>
      <w:r w:rsidR="003B3F9A" w:rsidRPr="008D6E94">
        <w:rPr>
          <w:spacing w:val="-2"/>
        </w:rPr>
        <w:t xml:space="preserve">встановлення фактів багаторазового, у великих обсягах проведення фінансових операцій, щодо яких є підозри використання </w:t>
      </w:r>
      <w:r w:rsidR="008C1A84" w:rsidRPr="009E6E7F">
        <w:rPr>
          <w:color w:val="000000" w:themeColor="text1"/>
        </w:rPr>
        <w:t>АТ “</w:t>
      </w:r>
      <w:r w:rsidR="008C1A84">
        <w:rPr>
          <w:color w:val="000000" w:themeColor="text1"/>
        </w:rPr>
        <w:t xml:space="preserve">АКБ </w:t>
      </w:r>
      <w:r w:rsidR="008C1A84" w:rsidRPr="009E6E7F">
        <w:rPr>
          <w:color w:val="000000" w:themeColor="text1"/>
        </w:rPr>
        <w:t>“</w:t>
      </w:r>
      <w:r w:rsidR="008C1A84">
        <w:rPr>
          <w:color w:val="000000" w:themeColor="text1"/>
        </w:rPr>
        <w:t>КОНКОРД</w:t>
      </w:r>
      <w:r w:rsidR="008C1A84" w:rsidRPr="009E6E7F">
        <w:rPr>
          <w:color w:val="000000" w:themeColor="text1"/>
        </w:rPr>
        <w:t>”</w:t>
      </w:r>
      <w:r w:rsidR="003B3F9A">
        <w:rPr>
          <w:spacing w:val="-2"/>
        </w:rPr>
        <w:t xml:space="preserve"> у ВК/ФТ,</w:t>
      </w:r>
      <w:r w:rsidR="003B3F9A" w:rsidRPr="009E6E7F">
        <w:rPr>
          <w:color w:val="000000" w:themeColor="text1"/>
        </w:rPr>
        <w:t xml:space="preserve"> </w:t>
      </w:r>
      <w:r w:rsidR="00F0544D" w:rsidRPr="009E6E7F">
        <w:rPr>
          <w:color w:val="000000" w:themeColor="text1"/>
        </w:rPr>
        <w:t>значний обсяг здійснен</w:t>
      </w:r>
      <w:r w:rsidR="00D748EC" w:rsidRPr="009E6E7F">
        <w:rPr>
          <w:color w:val="000000" w:themeColor="text1"/>
        </w:rPr>
        <w:t>их</w:t>
      </w:r>
      <w:r w:rsidR="00F0544D" w:rsidRPr="009E6E7F">
        <w:rPr>
          <w:color w:val="000000" w:themeColor="text1"/>
        </w:rPr>
        <w:t xml:space="preserve"> </w:t>
      </w:r>
      <w:r w:rsidR="003B3F9A" w:rsidRPr="009E6E7F">
        <w:rPr>
          <w:color w:val="000000" w:themeColor="text1"/>
        </w:rPr>
        <w:t>АТ “</w:t>
      </w:r>
      <w:r w:rsidR="003B3F9A">
        <w:rPr>
          <w:color w:val="000000" w:themeColor="text1"/>
        </w:rPr>
        <w:t xml:space="preserve">АКБ </w:t>
      </w:r>
      <w:r w:rsidR="003B3F9A" w:rsidRPr="009E6E7F">
        <w:rPr>
          <w:color w:val="000000" w:themeColor="text1"/>
        </w:rPr>
        <w:t>“</w:t>
      </w:r>
      <w:r w:rsidR="003B3F9A">
        <w:rPr>
          <w:color w:val="000000" w:themeColor="text1"/>
        </w:rPr>
        <w:t>КОНКОРД</w:t>
      </w:r>
      <w:r w:rsidR="003B3F9A" w:rsidRPr="009E6E7F">
        <w:rPr>
          <w:color w:val="000000" w:themeColor="text1"/>
        </w:rPr>
        <w:t>”</w:t>
      </w:r>
      <w:r w:rsidR="009359FF" w:rsidRPr="009E6E7F">
        <w:rPr>
          <w:color w:val="000000" w:themeColor="text1"/>
        </w:rPr>
        <w:t xml:space="preserve"> </w:t>
      </w:r>
      <w:proofErr w:type="spellStart"/>
      <w:r w:rsidR="00180370" w:rsidRPr="009E6E7F">
        <w:rPr>
          <w:color w:val="000000" w:themeColor="text1"/>
        </w:rPr>
        <w:t>високоризикових</w:t>
      </w:r>
      <w:proofErr w:type="spellEnd"/>
      <w:r w:rsidR="00180370" w:rsidRPr="009E6E7F">
        <w:rPr>
          <w:color w:val="000000" w:themeColor="text1"/>
        </w:rPr>
        <w:t xml:space="preserve"> фінансових операцій</w:t>
      </w:r>
      <w:r w:rsidR="00180370">
        <w:rPr>
          <w:color w:val="000000" w:themeColor="text1"/>
        </w:rPr>
        <w:t xml:space="preserve"> </w:t>
      </w:r>
      <w:r w:rsidR="004B1839">
        <w:rPr>
          <w:color w:val="000000" w:themeColor="text1"/>
        </w:rPr>
        <w:t xml:space="preserve">за </w:t>
      </w:r>
      <w:r w:rsidR="008C1A84">
        <w:rPr>
          <w:color w:val="000000" w:themeColor="text1"/>
        </w:rPr>
        <w:t>не</w:t>
      </w:r>
      <w:r w:rsidR="004B1839" w:rsidRPr="009E6E7F">
        <w:rPr>
          <w:color w:val="000000" w:themeColor="text1"/>
        </w:rPr>
        <w:t>вжиття</w:t>
      </w:r>
      <w:r w:rsidR="004B1839">
        <w:rPr>
          <w:color w:val="000000" w:themeColor="text1"/>
        </w:rPr>
        <w:t xml:space="preserve"> останнім</w:t>
      </w:r>
      <w:r w:rsidR="004B1839" w:rsidRPr="009E6E7F">
        <w:rPr>
          <w:color w:val="000000" w:themeColor="text1"/>
        </w:rPr>
        <w:t xml:space="preserve"> </w:t>
      </w:r>
      <w:r w:rsidR="003B3F9A" w:rsidRPr="009E6E7F">
        <w:rPr>
          <w:color w:val="000000" w:themeColor="text1"/>
        </w:rPr>
        <w:t xml:space="preserve">дієвих заходів у сфері </w:t>
      </w:r>
      <w:r w:rsidR="00B25E01">
        <w:rPr>
          <w:color w:val="000000" w:themeColor="text1"/>
        </w:rPr>
        <w:t>ПВК/ФТ</w:t>
      </w:r>
      <w:r w:rsidR="00F0544D" w:rsidRPr="009E6E7F">
        <w:rPr>
          <w:color w:val="000000" w:themeColor="text1"/>
          <w:shd w:val="clear" w:color="auto" w:fill="FFFFFF"/>
        </w:rPr>
        <w:t xml:space="preserve">), що створює репутаційні ризики для </w:t>
      </w:r>
      <w:r w:rsidR="003B3F9A" w:rsidRPr="009E6E7F">
        <w:rPr>
          <w:color w:val="000000" w:themeColor="text1"/>
        </w:rPr>
        <w:t>АТ “</w:t>
      </w:r>
      <w:r w:rsidR="003B3F9A">
        <w:rPr>
          <w:color w:val="000000" w:themeColor="text1"/>
        </w:rPr>
        <w:t xml:space="preserve">АКБ </w:t>
      </w:r>
      <w:r w:rsidR="003B3F9A" w:rsidRPr="009E6E7F">
        <w:rPr>
          <w:color w:val="000000" w:themeColor="text1"/>
        </w:rPr>
        <w:t>“</w:t>
      </w:r>
      <w:r w:rsidR="003B3F9A">
        <w:rPr>
          <w:color w:val="000000" w:themeColor="text1"/>
        </w:rPr>
        <w:t>КОНКОРД</w:t>
      </w:r>
      <w:r w:rsidR="003B3F9A" w:rsidRPr="009E6E7F">
        <w:rPr>
          <w:color w:val="000000" w:themeColor="text1"/>
        </w:rPr>
        <w:t>”</w:t>
      </w:r>
      <w:r w:rsidR="00F0544D" w:rsidRPr="009E6E7F">
        <w:rPr>
          <w:color w:val="000000" w:themeColor="text1"/>
        </w:rPr>
        <w:t xml:space="preserve">, – застосування заходу впливу у вигляді відкликання банківської ліцензії та ліквідації </w:t>
      </w:r>
      <w:r w:rsidR="003B3F9A" w:rsidRPr="009E6E7F">
        <w:rPr>
          <w:color w:val="000000" w:themeColor="text1"/>
        </w:rPr>
        <w:t>АТ “</w:t>
      </w:r>
      <w:r w:rsidR="003B3F9A">
        <w:rPr>
          <w:color w:val="000000" w:themeColor="text1"/>
        </w:rPr>
        <w:t xml:space="preserve">АКБ </w:t>
      </w:r>
      <w:r w:rsidR="003B3F9A" w:rsidRPr="009E6E7F">
        <w:rPr>
          <w:color w:val="000000" w:themeColor="text1"/>
        </w:rPr>
        <w:t>“</w:t>
      </w:r>
      <w:r w:rsidR="003B3F9A">
        <w:rPr>
          <w:color w:val="000000" w:themeColor="text1"/>
        </w:rPr>
        <w:t>КОНКОРД</w:t>
      </w:r>
      <w:r w:rsidR="003B3F9A" w:rsidRPr="009E6E7F">
        <w:rPr>
          <w:color w:val="000000" w:themeColor="text1"/>
        </w:rPr>
        <w:t>”</w:t>
      </w:r>
      <w:r w:rsidR="003B3F9A" w:rsidRPr="00450BAD">
        <w:rPr>
          <w:bCs/>
          <w:spacing w:val="-4"/>
        </w:rPr>
        <w:t xml:space="preserve"> </w:t>
      </w:r>
      <w:r w:rsidR="00F0544D" w:rsidRPr="009E6E7F">
        <w:rPr>
          <w:color w:val="000000" w:themeColor="text1"/>
        </w:rPr>
        <w:t xml:space="preserve"> є адекватним заходом впливу до </w:t>
      </w:r>
      <w:r w:rsidR="003B3F9A" w:rsidRPr="009E6E7F">
        <w:rPr>
          <w:color w:val="000000" w:themeColor="text1"/>
        </w:rPr>
        <w:t>АТ “</w:t>
      </w:r>
      <w:r w:rsidR="003B3F9A">
        <w:rPr>
          <w:color w:val="000000" w:themeColor="text1"/>
        </w:rPr>
        <w:t xml:space="preserve">АКБ </w:t>
      </w:r>
      <w:r w:rsidR="003B3F9A" w:rsidRPr="009E6E7F">
        <w:rPr>
          <w:color w:val="000000" w:themeColor="text1"/>
        </w:rPr>
        <w:t>“</w:t>
      </w:r>
      <w:r w:rsidR="003B3F9A">
        <w:rPr>
          <w:color w:val="000000" w:themeColor="text1"/>
        </w:rPr>
        <w:t>КОНКОРД</w:t>
      </w:r>
      <w:r w:rsidR="003B3F9A" w:rsidRPr="009E6E7F">
        <w:rPr>
          <w:color w:val="000000" w:themeColor="text1"/>
        </w:rPr>
        <w:t>”</w:t>
      </w:r>
      <w:r w:rsidR="00F0544D" w:rsidRPr="009E6E7F">
        <w:rPr>
          <w:color w:val="000000" w:themeColor="text1"/>
        </w:rPr>
        <w:t>.</w:t>
      </w:r>
    </w:p>
    <w:p w14:paraId="1156EFD7" w14:textId="3627AF6B" w:rsidR="00470271" w:rsidRPr="009E6E7F" w:rsidRDefault="00AF69BA" w:rsidP="003B3353">
      <w:pPr>
        <w:tabs>
          <w:tab w:val="left" w:pos="9923"/>
        </w:tabs>
        <w:suppressAutoHyphens/>
        <w:spacing w:after="120"/>
        <w:ind w:firstLine="567"/>
        <w:rPr>
          <w:b/>
          <w:color w:val="000000" w:themeColor="text1"/>
        </w:rPr>
      </w:pPr>
      <w:r w:rsidRPr="009E6E7F">
        <w:rPr>
          <w:color w:val="000000" w:themeColor="text1"/>
          <w:lang w:eastAsia="ru-RU"/>
        </w:rPr>
        <w:t>Ураховуючи вищезазначене, керуючись статтями 1</w:t>
      </w:r>
      <w:r w:rsidR="00632DC0" w:rsidRPr="009E6E7F">
        <w:rPr>
          <w:color w:val="000000" w:themeColor="text1"/>
          <w:lang w:eastAsia="ru-RU"/>
        </w:rPr>
        <w:t>8, 32</w:t>
      </w:r>
      <w:r w:rsidRPr="009E6E7F">
        <w:rPr>
          <w:color w:val="000000" w:themeColor="text1"/>
          <w:lang w:eastAsia="ru-RU"/>
        </w:rPr>
        <w:t xml:space="preserve"> </w:t>
      </w:r>
      <w:r w:rsidRPr="009E6E7F">
        <w:rPr>
          <w:color w:val="000000" w:themeColor="text1"/>
        </w:rPr>
        <w:t>Закону</w:t>
      </w:r>
      <w:r w:rsidR="002713FF">
        <w:rPr>
          <w:color w:val="000000" w:themeColor="text1"/>
        </w:rPr>
        <w:t xml:space="preserve"> </w:t>
      </w:r>
      <w:r w:rsidR="002713FF">
        <w:t>№ 361-IХ</w:t>
      </w:r>
      <w:r w:rsidRPr="009E6E7F">
        <w:rPr>
          <w:color w:val="000000" w:themeColor="text1"/>
        </w:rPr>
        <w:t xml:space="preserve">, </w:t>
      </w:r>
      <w:r w:rsidRPr="009E6E7F">
        <w:rPr>
          <w:color w:val="000000" w:themeColor="text1"/>
        </w:rPr>
        <w:br/>
        <w:t xml:space="preserve">статтями </w:t>
      </w:r>
      <w:r w:rsidRPr="009E6E7F">
        <w:rPr>
          <w:color w:val="000000" w:themeColor="text1"/>
          <w:lang w:eastAsia="ru-RU"/>
        </w:rPr>
        <w:t>7, 15 Закону України “Про Національний банк України”, статтями 63, 67, 73, 77 Закону про банки, статтею 44 Закону України “Про систему гарантування вкладів фізичних осіб”</w:t>
      </w:r>
      <w:r w:rsidR="00654C69" w:rsidRPr="009E6E7F">
        <w:rPr>
          <w:color w:val="000000" w:themeColor="text1"/>
          <w:lang w:eastAsia="ru-RU"/>
        </w:rPr>
        <w:t xml:space="preserve">, </w:t>
      </w:r>
      <w:r w:rsidRPr="009E6E7F">
        <w:rPr>
          <w:color w:val="000000" w:themeColor="text1"/>
          <w:lang w:eastAsia="ru-RU"/>
        </w:rPr>
        <w:t>главою 3 розділу І та главою 1</w:t>
      </w:r>
      <w:r w:rsidR="006B5C2E">
        <w:rPr>
          <w:color w:val="000000" w:themeColor="text1"/>
          <w:lang w:eastAsia="ru-RU"/>
        </w:rPr>
        <w:t>3</w:t>
      </w:r>
      <w:r w:rsidRPr="009E6E7F">
        <w:rPr>
          <w:color w:val="000000" w:themeColor="text1"/>
          <w:lang w:eastAsia="ru-RU"/>
        </w:rPr>
        <w:t xml:space="preserve"> розділу ІІ Положення № 346, Правління Національного банку України </w:t>
      </w:r>
      <w:r w:rsidR="00470271" w:rsidRPr="009E6E7F">
        <w:rPr>
          <w:b/>
          <w:color w:val="000000" w:themeColor="text1"/>
        </w:rPr>
        <w:t>вирішило:</w:t>
      </w:r>
    </w:p>
    <w:p w14:paraId="6386A28B" w14:textId="4089AC2F" w:rsidR="00654C69" w:rsidRPr="009E6E7F" w:rsidRDefault="00654C69" w:rsidP="003B3353">
      <w:pPr>
        <w:pStyle w:val="af3"/>
        <w:spacing w:before="240" w:after="120"/>
        <w:ind w:left="0" w:firstLine="567"/>
        <w:contextualSpacing w:val="0"/>
        <w:rPr>
          <w:rFonts w:eastAsiaTheme="minorEastAsia"/>
          <w:noProof/>
          <w:color w:val="000000" w:themeColor="text1"/>
          <w:lang w:eastAsia="en-US"/>
        </w:rPr>
      </w:pPr>
      <w:r w:rsidRPr="009E6E7F">
        <w:rPr>
          <w:rFonts w:eastAsiaTheme="minorEastAsia"/>
          <w:noProof/>
          <w:color w:val="000000" w:themeColor="text1"/>
          <w:lang w:eastAsia="en-US"/>
        </w:rPr>
        <w:t>1.</w:t>
      </w:r>
      <w:r w:rsidRPr="009E6E7F">
        <w:rPr>
          <w:rFonts w:eastAsiaTheme="minorEastAsia"/>
          <w:noProof/>
          <w:color w:val="000000" w:themeColor="text1"/>
          <w:lang w:val="en-US" w:eastAsia="en-US"/>
        </w:rPr>
        <w:t> </w:t>
      </w:r>
      <w:r w:rsidRPr="009E6E7F">
        <w:rPr>
          <w:rFonts w:eastAsiaTheme="minorEastAsia"/>
          <w:noProof/>
          <w:color w:val="000000" w:themeColor="text1"/>
          <w:lang w:eastAsia="en-US"/>
        </w:rPr>
        <w:t xml:space="preserve">Відкликати банківську ліцензію та ліквідувати </w:t>
      </w:r>
      <w:r w:rsidR="004E42D0" w:rsidRPr="009E6E7F">
        <w:rPr>
          <w:color w:val="000000" w:themeColor="text1"/>
        </w:rPr>
        <w:t>АТ “</w:t>
      </w:r>
      <w:r w:rsidR="004E42D0">
        <w:rPr>
          <w:color w:val="000000" w:themeColor="text1"/>
        </w:rPr>
        <w:t xml:space="preserve">АКБ </w:t>
      </w:r>
      <w:r w:rsidR="004E42D0" w:rsidRPr="009E6E7F">
        <w:rPr>
          <w:color w:val="000000" w:themeColor="text1"/>
        </w:rPr>
        <w:t>“</w:t>
      </w:r>
      <w:r w:rsidR="004E42D0">
        <w:rPr>
          <w:color w:val="000000" w:themeColor="text1"/>
        </w:rPr>
        <w:t>КОНКОРД</w:t>
      </w:r>
      <w:r w:rsidR="004E42D0" w:rsidRPr="009E6E7F">
        <w:rPr>
          <w:color w:val="000000" w:themeColor="text1"/>
        </w:rPr>
        <w:t>”</w:t>
      </w:r>
      <w:r w:rsidRPr="009E6E7F">
        <w:rPr>
          <w:noProof/>
          <w:color w:val="000000" w:themeColor="text1"/>
        </w:rPr>
        <w:t>.</w:t>
      </w:r>
    </w:p>
    <w:p w14:paraId="3F16A063" w14:textId="6B147F3E" w:rsidR="00654C69" w:rsidRPr="009E6E7F" w:rsidRDefault="00654C69" w:rsidP="003B3353">
      <w:pPr>
        <w:pStyle w:val="af3"/>
        <w:spacing w:before="240" w:after="120"/>
        <w:ind w:left="0" w:firstLine="567"/>
        <w:contextualSpacing w:val="0"/>
        <w:rPr>
          <w:rFonts w:eastAsiaTheme="minorEastAsia"/>
          <w:noProof/>
          <w:color w:val="000000" w:themeColor="text1"/>
          <w:lang w:eastAsia="en-US"/>
        </w:rPr>
      </w:pPr>
      <w:r w:rsidRPr="009E6E7F">
        <w:rPr>
          <w:rFonts w:eastAsiaTheme="minorEastAsia"/>
          <w:noProof/>
          <w:color w:val="000000" w:themeColor="text1"/>
          <w:lang w:eastAsia="en-US"/>
        </w:rPr>
        <w:t>2.</w:t>
      </w:r>
      <w:r w:rsidRPr="009E6E7F">
        <w:rPr>
          <w:rFonts w:eastAsiaTheme="minorEastAsia"/>
          <w:noProof/>
          <w:color w:val="000000" w:themeColor="text1"/>
          <w:lang w:val="en-US" w:eastAsia="en-US"/>
        </w:rPr>
        <w:t> </w:t>
      </w:r>
      <w:r w:rsidRPr="009E6E7F">
        <w:rPr>
          <w:rFonts w:eastAsiaTheme="minorEastAsia"/>
          <w:noProof/>
          <w:color w:val="000000" w:themeColor="text1"/>
          <w:lang w:eastAsia="en-US"/>
        </w:rPr>
        <w:t>Департаменту</w:t>
      </w:r>
      <w:r w:rsidR="004E42D0">
        <w:rPr>
          <w:rFonts w:eastAsiaTheme="minorEastAsia"/>
          <w:noProof/>
          <w:color w:val="000000" w:themeColor="text1"/>
          <w:lang w:eastAsia="en-US"/>
        </w:rPr>
        <w:t xml:space="preserve"> фінансового моніторингу (Анна</w:t>
      </w:r>
      <w:r w:rsidRPr="009E6E7F">
        <w:rPr>
          <w:rFonts w:eastAsiaTheme="minorEastAsia"/>
          <w:noProof/>
          <w:color w:val="000000" w:themeColor="text1"/>
          <w:lang w:eastAsia="en-US"/>
        </w:rPr>
        <w:t xml:space="preserve"> </w:t>
      </w:r>
      <w:r w:rsidR="004E42D0">
        <w:rPr>
          <w:rFonts w:eastAsiaTheme="minorEastAsia"/>
          <w:noProof/>
          <w:color w:val="000000" w:themeColor="text1"/>
          <w:lang w:eastAsia="en-US"/>
        </w:rPr>
        <w:t>Лип</w:t>
      </w:r>
      <w:r w:rsidRPr="009E6E7F">
        <w:rPr>
          <w:rFonts w:eastAsiaTheme="minorEastAsia"/>
          <w:noProof/>
          <w:color w:val="000000" w:themeColor="text1"/>
          <w:lang w:eastAsia="en-US"/>
        </w:rPr>
        <w:t xml:space="preserve">ська) повідомити про </w:t>
      </w:r>
      <w:r w:rsidR="008C1A84">
        <w:rPr>
          <w:rFonts w:eastAsiaTheme="minorEastAsia"/>
          <w:noProof/>
          <w:color w:val="000000" w:themeColor="text1"/>
          <w:lang w:eastAsia="en-US"/>
        </w:rPr>
        <w:t>прийняття цього</w:t>
      </w:r>
      <w:r w:rsidR="008C1A84" w:rsidRPr="009E6E7F">
        <w:rPr>
          <w:rFonts w:eastAsiaTheme="minorEastAsia"/>
          <w:noProof/>
          <w:color w:val="000000" w:themeColor="text1"/>
          <w:lang w:eastAsia="en-US"/>
        </w:rPr>
        <w:t xml:space="preserve"> </w:t>
      </w:r>
      <w:r w:rsidRPr="009E6E7F">
        <w:rPr>
          <w:rFonts w:eastAsiaTheme="minorEastAsia"/>
          <w:noProof/>
          <w:color w:val="000000" w:themeColor="text1"/>
          <w:lang w:eastAsia="en-US"/>
        </w:rPr>
        <w:t xml:space="preserve">рішення </w:t>
      </w:r>
      <w:r w:rsidR="004E42D0" w:rsidRPr="009E6E7F">
        <w:rPr>
          <w:color w:val="000000" w:themeColor="text1"/>
        </w:rPr>
        <w:t>АТ “</w:t>
      </w:r>
      <w:r w:rsidR="004E42D0">
        <w:rPr>
          <w:color w:val="000000" w:themeColor="text1"/>
        </w:rPr>
        <w:t xml:space="preserve">АКБ </w:t>
      </w:r>
      <w:r w:rsidR="004E42D0" w:rsidRPr="009E6E7F">
        <w:rPr>
          <w:color w:val="000000" w:themeColor="text1"/>
        </w:rPr>
        <w:t>“</w:t>
      </w:r>
      <w:r w:rsidR="004E42D0">
        <w:rPr>
          <w:color w:val="000000" w:themeColor="text1"/>
        </w:rPr>
        <w:t>КОНКОРД</w:t>
      </w:r>
      <w:r w:rsidR="004E42D0" w:rsidRPr="009E6E7F">
        <w:rPr>
          <w:color w:val="000000" w:themeColor="text1"/>
        </w:rPr>
        <w:t>”</w:t>
      </w:r>
      <w:r w:rsidR="00462EF7" w:rsidRPr="009E6E7F">
        <w:rPr>
          <w:color w:val="000000" w:themeColor="text1"/>
        </w:rPr>
        <w:t xml:space="preserve"> </w:t>
      </w:r>
      <w:r w:rsidRPr="009E6E7F">
        <w:rPr>
          <w:rFonts w:eastAsiaTheme="minorEastAsia"/>
          <w:noProof/>
          <w:color w:val="000000" w:themeColor="text1"/>
          <w:lang w:eastAsia="en-US"/>
        </w:rPr>
        <w:t xml:space="preserve">та надіслати його Фонду </w:t>
      </w:r>
      <w:r w:rsidRPr="009E6E7F">
        <w:rPr>
          <w:color w:val="000000" w:themeColor="text1"/>
          <w:lang w:eastAsia="ru-RU"/>
        </w:rPr>
        <w:t>гарантування вкладів фізичних осіб</w:t>
      </w:r>
      <w:r w:rsidRPr="009E6E7F">
        <w:rPr>
          <w:noProof/>
          <w:color w:val="000000" w:themeColor="text1"/>
        </w:rPr>
        <w:t>.</w:t>
      </w:r>
    </w:p>
    <w:p w14:paraId="4098E2F4" w14:textId="3DCDA617" w:rsidR="004618F1" w:rsidRPr="009E6E7F" w:rsidRDefault="004618F1" w:rsidP="003B3353">
      <w:pPr>
        <w:pStyle w:val="af3"/>
        <w:spacing w:before="240" w:after="120"/>
        <w:ind w:left="0" w:firstLine="567"/>
        <w:contextualSpacing w:val="0"/>
        <w:rPr>
          <w:rFonts w:eastAsiaTheme="minorEastAsia"/>
          <w:noProof/>
          <w:color w:val="000000" w:themeColor="text1"/>
          <w:lang w:eastAsia="en-US"/>
        </w:rPr>
      </w:pPr>
      <w:r w:rsidRPr="009E6E7F">
        <w:rPr>
          <w:rFonts w:eastAsiaTheme="minorEastAsia"/>
          <w:noProof/>
          <w:color w:val="000000" w:themeColor="text1"/>
          <w:lang w:eastAsia="en-US"/>
        </w:rPr>
        <w:lastRenderedPageBreak/>
        <w:t>3.</w:t>
      </w:r>
      <w:r w:rsidRPr="009E6E7F">
        <w:rPr>
          <w:rFonts w:eastAsiaTheme="minorEastAsia"/>
          <w:noProof/>
          <w:color w:val="000000" w:themeColor="text1"/>
          <w:lang w:val="en-US" w:eastAsia="en-US"/>
        </w:rPr>
        <w:t> </w:t>
      </w:r>
      <w:r w:rsidRPr="009E6E7F">
        <w:rPr>
          <w:rFonts w:eastAsiaTheme="minorEastAsia"/>
          <w:noProof/>
          <w:color w:val="000000" w:themeColor="text1"/>
          <w:lang w:eastAsia="en-US"/>
        </w:rPr>
        <w:t xml:space="preserve">Департаменту ліцензування (Михайло Федоренко) повідомити про </w:t>
      </w:r>
      <w:r w:rsidR="008C1A84">
        <w:rPr>
          <w:rFonts w:eastAsiaTheme="minorEastAsia"/>
          <w:noProof/>
          <w:color w:val="000000" w:themeColor="text1"/>
          <w:lang w:eastAsia="en-US"/>
        </w:rPr>
        <w:t>прийняття цього</w:t>
      </w:r>
      <w:r w:rsidR="008C1A84" w:rsidRPr="009E6E7F">
        <w:rPr>
          <w:rFonts w:eastAsiaTheme="minorEastAsia"/>
          <w:noProof/>
          <w:color w:val="000000" w:themeColor="text1"/>
          <w:lang w:eastAsia="en-US"/>
        </w:rPr>
        <w:t xml:space="preserve"> </w:t>
      </w:r>
      <w:r w:rsidR="008C1A84">
        <w:rPr>
          <w:rFonts w:eastAsiaTheme="minorEastAsia"/>
          <w:noProof/>
          <w:color w:val="000000" w:themeColor="text1"/>
          <w:lang w:eastAsia="en-US"/>
        </w:rPr>
        <w:t>рішення</w:t>
      </w:r>
      <w:r w:rsidRPr="009E6E7F">
        <w:rPr>
          <w:rFonts w:eastAsiaTheme="minorEastAsia"/>
          <w:noProof/>
          <w:color w:val="000000" w:themeColor="text1"/>
          <w:lang w:eastAsia="en-US"/>
        </w:rPr>
        <w:t xml:space="preserve"> учасників </w:t>
      </w:r>
      <w:r w:rsidR="004E42D0" w:rsidRPr="009E6E7F">
        <w:rPr>
          <w:color w:val="000000" w:themeColor="text1"/>
        </w:rPr>
        <w:t>АТ “</w:t>
      </w:r>
      <w:r w:rsidR="004E42D0">
        <w:rPr>
          <w:color w:val="000000" w:themeColor="text1"/>
        </w:rPr>
        <w:t xml:space="preserve">АКБ </w:t>
      </w:r>
      <w:r w:rsidR="004E42D0" w:rsidRPr="009E6E7F">
        <w:rPr>
          <w:color w:val="000000" w:themeColor="text1"/>
        </w:rPr>
        <w:t>“</w:t>
      </w:r>
      <w:r w:rsidR="004E42D0">
        <w:rPr>
          <w:color w:val="000000" w:themeColor="text1"/>
        </w:rPr>
        <w:t>КОНКОРД</w:t>
      </w:r>
      <w:r w:rsidR="004E42D0" w:rsidRPr="009E6E7F">
        <w:rPr>
          <w:color w:val="000000" w:themeColor="text1"/>
        </w:rPr>
        <w:t>”</w:t>
      </w:r>
      <w:r w:rsidRPr="009E6E7F">
        <w:rPr>
          <w:noProof/>
          <w:color w:val="000000" w:themeColor="text1"/>
        </w:rPr>
        <w:t>.</w:t>
      </w:r>
    </w:p>
    <w:p w14:paraId="6213D366" w14:textId="6EA47870" w:rsidR="00654C69" w:rsidRPr="009E6E7F" w:rsidRDefault="004618F1" w:rsidP="003B3353">
      <w:pPr>
        <w:pStyle w:val="af3"/>
        <w:spacing w:before="240" w:after="120"/>
        <w:ind w:left="0" w:firstLine="567"/>
        <w:contextualSpacing w:val="0"/>
        <w:rPr>
          <w:noProof/>
          <w:color w:val="000000" w:themeColor="text1"/>
        </w:rPr>
      </w:pPr>
      <w:r w:rsidRPr="009E6E7F">
        <w:rPr>
          <w:rFonts w:eastAsiaTheme="minorEastAsia"/>
          <w:noProof/>
          <w:color w:val="000000" w:themeColor="text1"/>
          <w:lang w:eastAsia="en-US"/>
        </w:rPr>
        <w:t>4</w:t>
      </w:r>
      <w:r w:rsidR="00654C69" w:rsidRPr="009E6E7F">
        <w:rPr>
          <w:rFonts w:eastAsiaTheme="minorEastAsia"/>
          <w:noProof/>
          <w:color w:val="000000" w:themeColor="text1"/>
          <w:lang w:eastAsia="en-US"/>
        </w:rPr>
        <w:t>. Департаменту комунікацій (Юлія Євтушенко) забезпечити оприлюднення повного тексту цього рішення з обґрунтуванням його прийняття на сторінках офіційного Інтернет-представництва Національного банку України з урахуванням вимог Закону України “Про захист персональних даних” та надати для опублікування в газеті “Голос України” або “Урядовий кур’єр” інформацію про оприлюднення повного тексту цього рішення</w:t>
      </w:r>
      <w:r w:rsidR="00654C69" w:rsidRPr="009E6E7F">
        <w:rPr>
          <w:noProof/>
          <w:color w:val="000000" w:themeColor="text1"/>
        </w:rPr>
        <w:t>.</w:t>
      </w:r>
    </w:p>
    <w:p w14:paraId="3A4E2FFC" w14:textId="1C6BD2EA" w:rsidR="00D37547" w:rsidRPr="00E12916" w:rsidRDefault="00D37547" w:rsidP="003B3353">
      <w:pPr>
        <w:tabs>
          <w:tab w:val="left" w:pos="993"/>
        </w:tabs>
        <w:spacing w:before="240" w:after="120"/>
        <w:ind w:firstLine="567"/>
        <w:rPr>
          <w:rFonts w:eastAsiaTheme="minorEastAsia"/>
          <w:noProof/>
          <w:color w:val="000000" w:themeColor="text1"/>
          <w:lang w:val="ru-RU" w:eastAsia="en-US"/>
        </w:rPr>
      </w:pPr>
      <w:r w:rsidRPr="009E6E7F">
        <w:rPr>
          <w:rFonts w:eastAsiaTheme="minorEastAsia"/>
          <w:noProof/>
          <w:color w:val="000000" w:themeColor="text1"/>
          <w:lang w:eastAsia="en-US"/>
        </w:rPr>
        <w:t>5. Контроль за виконанням цього рішення покласти на заступника Голови Національного банку України Дмитра Олійника, директора Департаменту фінансов</w:t>
      </w:r>
      <w:r w:rsidR="00D11D0C" w:rsidRPr="009E6E7F">
        <w:rPr>
          <w:rFonts w:eastAsiaTheme="minorEastAsia"/>
          <w:noProof/>
          <w:color w:val="000000" w:themeColor="text1"/>
          <w:lang w:eastAsia="en-US"/>
        </w:rPr>
        <w:t>о</w:t>
      </w:r>
      <w:r w:rsidR="004E42D0">
        <w:rPr>
          <w:rFonts w:eastAsiaTheme="minorEastAsia"/>
          <w:noProof/>
          <w:color w:val="000000" w:themeColor="text1"/>
          <w:lang w:eastAsia="en-US"/>
        </w:rPr>
        <w:t>го моніторингу Анну</w:t>
      </w:r>
      <w:r w:rsidRPr="009E6E7F">
        <w:rPr>
          <w:rFonts w:eastAsiaTheme="minorEastAsia"/>
          <w:noProof/>
          <w:color w:val="000000" w:themeColor="text1"/>
          <w:lang w:eastAsia="en-US"/>
        </w:rPr>
        <w:t xml:space="preserve"> </w:t>
      </w:r>
      <w:r w:rsidR="004E42D0">
        <w:rPr>
          <w:rFonts w:eastAsiaTheme="minorEastAsia"/>
          <w:noProof/>
          <w:color w:val="000000" w:themeColor="text1"/>
          <w:lang w:eastAsia="en-US"/>
        </w:rPr>
        <w:t>Липську</w:t>
      </w:r>
      <w:r w:rsidRPr="009E6E7F">
        <w:rPr>
          <w:rFonts w:eastAsiaTheme="minorEastAsia"/>
          <w:noProof/>
          <w:color w:val="000000" w:themeColor="text1"/>
          <w:lang w:eastAsia="en-US"/>
        </w:rPr>
        <w:t xml:space="preserve"> та директора Департаменту ліцензування Михайла Федоренка.</w:t>
      </w:r>
    </w:p>
    <w:p w14:paraId="0A793418" w14:textId="0C51A160" w:rsidR="00D37547" w:rsidRPr="009E6E7F" w:rsidRDefault="00D37547" w:rsidP="003B3353">
      <w:pPr>
        <w:pStyle w:val="af3"/>
        <w:spacing w:before="240" w:after="120"/>
        <w:ind w:left="0" w:firstLine="567"/>
        <w:contextualSpacing w:val="0"/>
        <w:rPr>
          <w:noProof/>
          <w:color w:val="000000" w:themeColor="text1"/>
        </w:rPr>
      </w:pPr>
      <w:r w:rsidRPr="009E6E7F">
        <w:rPr>
          <w:rFonts w:eastAsiaTheme="minorEastAsia"/>
          <w:noProof/>
          <w:color w:val="000000" w:themeColor="text1"/>
          <w:lang w:eastAsia="en-US"/>
        </w:rPr>
        <w:t xml:space="preserve">6. </w:t>
      </w:r>
      <w:r w:rsidRPr="009E6E7F">
        <w:rPr>
          <w:color w:val="000000" w:themeColor="text1"/>
          <w:shd w:val="clear" w:color="auto" w:fill="FFFFFF"/>
        </w:rPr>
        <w:t xml:space="preserve">Рішення набирає чинності з дня </w:t>
      </w:r>
      <w:r w:rsidR="00880009">
        <w:rPr>
          <w:color w:val="000000" w:themeColor="text1"/>
          <w:shd w:val="clear" w:color="auto" w:fill="FFFFFF"/>
        </w:rPr>
        <w:t xml:space="preserve">його </w:t>
      </w:r>
      <w:r w:rsidRPr="009E6E7F">
        <w:rPr>
          <w:color w:val="000000" w:themeColor="text1"/>
          <w:shd w:val="clear" w:color="auto" w:fill="FFFFFF"/>
        </w:rPr>
        <w:t>прийняття.</w:t>
      </w:r>
    </w:p>
    <w:p w14:paraId="1156EFE2" w14:textId="2E1BC26A" w:rsidR="008B1A65" w:rsidRDefault="008B1A65" w:rsidP="009E6E7F">
      <w:pPr>
        <w:tabs>
          <w:tab w:val="left" w:pos="993"/>
        </w:tabs>
        <w:spacing w:after="120"/>
        <w:ind w:firstLine="567"/>
        <w:rPr>
          <w:rFonts w:eastAsiaTheme="minorEastAsia"/>
          <w:noProof/>
          <w:color w:val="000000" w:themeColor="text1"/>
          <w:lang w:eastAsia="en-US"/>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F771C" w:rsidRPr="00257A3D" w14:paraId="1DA29232" w14:textId="77777777" w:rsidTr="00116446">
        <w:tc>
          <w:tcPr>
            <w:tcW w:w="5495" w:type="dxa"/>
            <w:vAlign w:val="bottom"/>
            <w:hideMark/>
          </w:tcPr>
          <w:p w14:paraId="6DF1BEA5" w14:textId="10F57859" w:rsidR="00DF771C" w:rsidRPr="00257A3D" w:rsidRDefault="00485E6C" w:rsidP="00485E6C">
            <w:pPr>
              <w:autoSpaceDE w:val="0"/>
              <w:autoSpaceDN w:val="0"/>
              <w:jc w:val="left"/>
              <w:rPr>
                <w:lang w:eastAsia="en-US"/>
              </w:rPr>
            </w:pPr>
            <w:r w:rsidRPr="00257A3D">
              <w:rPr>
                <w:lang w:eastAsia="en-US"/>
              </w:rPr>
              <w:t>Голова</w:t>
            </w:r>
          </w:p>
        </w:tc>
        <w:tc>
          <w:tcPr>
            <w:tcW w:w="4252" w:type="dxa"/>
            <w:vAlign w:val="bottom"/>
            <w:hideMark/>
          </w:tcPr>
          <w:p w14:paraId="6E2BB3EE" w14:textId="6D817B2D" w:rsidR="00DF771C" w:rsidRPr="00257A3D" w:rsidRDefault="00485E6C" w:rsidP="00485E6C">
            <w:pPr>
              <w:tabs>
                <w:tab w:val="left" w:pos="7020"/>
                <w:tab w:val="left" w:pos="7200"/>
              </w:tabs>
              <w:autoSpaceDE w:val="0"/>
              <w:autoSpaceDN w:val="0"/>
              <w:ind w:left="32"/>
              <w:jc w:val="right"/>
              <w:rPr>
                <w:lang w:eastAsia="en-US"/>
              </w:rPr>
            </w:pPr>
            <w:r w:rsidRPr="00257A3D">
              <w:rPr>
                <w:lang w:eastAsia="en-US"/>
              </w:rPr>
              <w:t>Андрій ПИШНИЙ</w:t>
            </w:r>
          </w:p>
        </w:tc>
      </w:tr>
    </w:tbl>
    <w:p w14:paraId="5BF46CCE" w14:textId="77777777" w:rsidR="00880009" w:rsidRDefault="00880009" w:rsidP="00FA508E">
      <w:pPr>
        <w:jc w:val="left"/>
        <w:rPr>
          <w:noProof/>
        </w:rPr>
      </w:pPr>
    </w:p>
    <w:p w14:paraId="1156EFEA" w14:textId="36685793" w:rsidR="00FA508E" w:rsidRPr="00257A3D" w:rsidRDefault="00FA508E" w:rsidP="00FA508E">
      <w:pPr>
        <w:jc w:val="left"/>
        <w:rPr>
          <w:noProof/>
        </w:rPr>
      </w:pPr>
      <w:r w:rsidRPr="00257A3D">
        <w:rPr>
          <w:noProof/>
        </w:rPr>
        <w:t>Інд.</w:t>
      </w:r>
      <w:r w:rsidRPr="00257A3D">
        <w:rPr>
          <w:noProof/>
          <w:sz w:val="22"/>
          <w:szCs w:val="22"/>
        </w:rPr>
        <w:t xml:space="preserve"> </w:t>
      </w:r>
      <w:r w:rsidR="00485E6C" w:rsidRPr="00257A3D">
        <w:rPr>
          <w:noProof/>
        </w:rPr>
        <w:t>25</w:t>
      </w:r>
    </w:p>
    <w:sectPr w:rsidR="00FA508E" w:rsidRPr="00257A3D" w:rsidSect="002D5C30">
      <w:headerReference w:type="default" r:id="rId15"/>
      <w:footerReference w:type="first" r:id="rId16"/>
      <w:pgSz w:w="11906" w:h="16838" w:code="9"/>
      <w:pgMar w:top="709" w:right="567" w:bottom="1701"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1E529" w14:textId="77777777" w:rsidR="00B63684" w:rsidRDefault="00B63684" w:rsidP="00E53CCD">
      <w:r>
        <w:separator/>
      </w:r>
    </w:p>
  </w:endnote>
  <w:endnote w:type="continuationSeparator" w:id="0">
    <w:p w14:paraId="0276D50A" w14:textId="77777777" w:rsidR="00B63684" w:rsidRDefault="00B63684"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22A1F" w14:textId="0285B1F3" w:rsidR="00933451" w:rsidRPr="00EF3001" w:rsidRDefault="00933451" w:rsidP="00180821">
    <w:pPr>
      <w:pStyle w:val="a7"/>
      <w:tabs>
        <w:tab w:val="clear" w:pos="4819"/>
      </w:tabs>
      <w:jc w:val="right"/>
      <w:rPr>
        <w:color w:val="FFFFFF" w:themeColor="background1"/>
      </w:rPr>
    </w:pPr>
    <w:r w:rsidRPr="00EF3001">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ED3B0" w14:textId="77777777" w:rsidR="00B63684" w:rsidRDefault="00B63684" w:rsidP="00E53CCD">
      <w:r>
        <w:separator/>
      </w:r>
    </w:p>
  </w:footnote>
  <w:footnote w:type="continuationSeparator" w:id="0">
    <w:p w14:paraId="201BF879" w14:textId="77777777" w:rsidR="00B63684" w:rsidRDefault="00B63684" w:rsidP="00E53CCD">
      <w:r>
        <w:continuationSeparator/>
      </w:r>
    </w:p>
  </w:footnote>
  <w:footnote w:id="1">
    <w:p w14:paraId="53AD1F8C" w14:textId="271B34F2" w:rsidR="00933451" w:rsidRDefault="00933451">
      <w:pPr>
        <w:pStyle w:val="af6"/>
      </w:pPr>
      <w:r>
        <w:rPr>
          <w:rStyle w:val="af8"/>
        </w:rPr>
        <w:footnoteRef/>
      </w:r>
      <w:r>
        <w:t xml:space="preserve"> Визначення </w:t>
      </w:r>
      <w:proofErr w:type="spellStart"/>
      <w:r>
        <w:t>термін</w:t>
      </w:r>
      <w:r w:rsidR="001F29E4">
        <w:t>а</w:t>
      </w:r>
      <w:proofErr w:type="spellEnd"/>
      <w:r>
        <w:t xml:space="preserve"> “</w:t>
      </w:r>
      <w:r>
        <w:rPr>
          <w:spacing w:val="-2"/>
          <w:shd w:val="clear" w:color="auto" w:fill="FFFFFF"/>
        </w:rPr>
        <w:t xml:space="preserve">підозра” </w:t>
      </w:r>
      <w:r>
        <w:t xml:space="preserve">установлено в пункті 46 частини першої статті 1 </w:t>
      </w:r>
      <w:r w:rsidRPr="00DB155E">
        <w:rPr>
          <w:rFonts w:eastAsia="Calibri"/>
          <w:lang w:eastAsia="pl-PL"/>
        </w:rPr>
        <w:t xml:space="preserve">Закону </w:t>
      </w:r>
      <w:r w:rsidRPr="008D6E94">
        <w:rPr>
          <w:spacing w:val="-2"/>
        </w:rPr>
        <w:t>№ 361-IX</w:t>
      </w:r>
      <w:r>
        <w:rPr>
          <w:spacing w:val="-2"/>
        </w:rPr>
        <w:t>.</w:t>
      </w:r>
    </w:p>
  </w:footnote>
  <w:footnote w:id="2">
    <w:p w14:paraId="2F4810A8" w14:textId="20884244" w:rsidR="00933451" w:rsidRPr="0049156D" w:rsidRDefault="00933451" w:rsidP="00D347D6">
      <w:pPr>
        <w:pStyle w:val="af6"/>
        <w:jc w:val="both"/>
        <w:rPr>
          <w:color w:val="333333"/>
          <w:shd w:val="clear" w:color="auto" w:fill="FFFFFF"/>
        </w:rPr>
      </w:pPr>
      <w:r w:rsidRPr="008D6E94">
        <w:rPr>
          <w:rStyle w:val="af8"/>
        </w:rPr>
        <w:footnoteRef/>
      </w:r>
      <w:r w:rsidRPr="008D6E94">
        <w:t xml:space="preserve"> </w:t>
      </w:r>
      <w:r>
        <w:t>П</w:t>
      </w:r>
      <w:r w:rsidRPr="008D6E94">
        <w:t xml:space="preserve">ункт 4 частини другої статті 8 Закону № 361-IX </w:t>
      </w:r>
      <w:r>
        <w:t>у</w:t>
      </w:r>
      <w:r w:rsidRPr="008D6E94">
        <w:t xml:space="preserve"> частині нездійснення</w:t>
      </w:r>
      <w:r w:rsidRPr="008D6E94">
        <w:rPr>
          <w:color w:val="333333"/>
          <w:shd w:val="clear" w:color="auto" w:fill="FFFFFF"/>
        </w:rPr>
        <w:t xml:space="preserve"> належної перевірки </w:t>
      </w:r>
      <w:r w:rsidRPr="0049156D">
        <w:rPr>
          <w:color w:val="333333"/>
          <w:shd w:val="clear" w:color="auto" w:fill="FFFFFF"/>
        </w:rPr>
        <w:t xml:space="preserve">нових клієнтів, а також </w:t>
      </w:r>
      <w:r>
        <w:rPr>
          <w:color w:val="333333"/>
          <w:shd w:val="clear" w:color="auto" w:fill="FFFFFF"/>
        </w:rPr>
        <w:t>наявних</w:t>
      </w:r>
      <w:r w:rsidRPr="0049156D">
        <w:rPr>
          <w:color w:val="333333"/>
          <w:shd w:val="clear" w:color="auto" w:fill="FFFFFF"/>
        </w:rPr>
        <w:t xml:space="preserve"> клієнтів</w:t>
      </w:r>
      <w:r>
        <w:rPr>
          <w:color w:val="333333"/>
          <w:shd w:val="clear" w:color="auto" w:fill="FFFFFF"/>
        </w:rPr>
        <w:t>.</w:t>
      </w:r>
    </w:p>
  </w:footnote>
  <w:footnote w:id="3">
    <w:p w14:paraId="7AB3D96A" w14:textId="47696010" w:rsidR="00933451" w:rsidRDefault="00933451" w:rsidP="00D347D6">
      <w:pPr>
        <w:pStyle w:val="af6"/>
        <w:jc w:val="both"/>
      </w:pPr>
      <w:r>
        <w:rPr>
          <w:rStyle w:val="af8"/>
        </w:rPr>
        <w:footnoteRef/>
      </w:r>
      <w:r>
        <w:t xml:space="preserve"> </w:t>
      </w:r>
      <w:r>
        <w:t>Ч</w:t>
      </w:r>
      <w:r w:rsidRPr="004A3462">
        <w:t>астин</w:t>
      </w:r>
      <w:r>
        <w:t>а перша та друга</w:t>
      </w:r>
      <w:r w:rsidRPr="004A3462">
        <w:t xml:space="preserve"> статті 7 Закону </w:t>
      </w:r>
      <w:r w:rsidRPr="008D6E94">
        <w:t>№ 361-IX</w:t>
      </w:r>
      <w:r w:rsidRPr="004A3462">
        <w:t xml:space="preserve"> </w:t>
      </w:r>
      <w:r>
        <w:t>у</w:t>
      </w:r>
      <w:r w:rsidRPr="004A3462">
        <w:t xml:space="preserve"> частині неналежного виконання </w:t>
      </w:r>
      <w:r w:rsidRPr="00982BB5">
        <w:rPr>
          <w:color w:val="000000" w:themeColor="text1"/>
        </w:rPr>
        <w:t>АТ “АКБ “КОНКОРД”</w:t>
      </w:r>
      <w:r w:rsidRPr="004A3462">
        <w:t xml:space="preserve"> обов’язку застосовувати у своїй діяльності ризик-орієнтований підхід</w:t>
      </w:r>
      <w:r>
        <w:t>.</w:t>
      </w:r>
    </w:p>
  </w:footnote>
  <w:footnote w:id="4">
    <w:p w14:paraId="50278E6E" w14:textId="66E08F7F" w:rsidR="00933451" w:rsidRDefault="00933451" w:rsidP="007735A8">
      <w:pPr>
        <w:pStyle w:val="af6"/>
        <w:jc w:val="both"/>
      </w:pPr>
      <w:r w:rsidRPr="007735A8">
        <w:rPr>
          <w:vertAlign w:val="superscript"/>
        </w:rPr>
        <w:footnoteRef/>
      </w:r>
      <w:r w:rsidRPr="007735A8">
        <w:rPr>
          <w:vertAlign w:val="superscript"/>
        </w:rPr>
        <w:t xml:space="preserve"> </w:t>
      </w:r>
      <w:r>
        <w:t>Пункти</w:t>
      </w:r>
      <w:r w:rsidRPr="007735A8">
        <w:t xml:space="preserve"> 63</w:t>
      </w:r>
      <w:r>
        <w:t>,</w:t>
      </w:r>
      <w:r w:rsidRPr="007735A8">
        <w:t xml:space="preserve"> 64 розділу ІV Положення № 65 </w:t>
      </w:r>
      <w:r>
        <w:t>у</w:t>
      </w:r>
      <w:r w:rsidRPr="007735A8">
        <w:t xml:space="preserve"> частині несвоєчасного здійснення заходів </w:t>
      </w:r>
      <w:r>
        <w:t>і</w:t>
      </w:r>
      <w:r w:rsidRPr="007735A8">
        <w:t>з підтрим</w:t>
      </w:r>
      <w:r>
        <w:t>ання</w:t>
      </w:r>
      <w:r w:rsidRPr="007735A8">
        <w:t xml:space="preserve"> в актуальному стані ризик-профілю клієнта шляхом </w:t>
      </w:r>
      <w:r>
        <w:t>у</w:t>
      </w:r>
      <w:r w:rsidRPr="007735A8">
        <w:t>рахування відповідних критеріїв ризику ВК/ФТ та здійснення переоцінки його рівня ризику</w:t>
      </w:r>
      <w:r>
        <w:t>.</w:t>
      </w:r>
    </w:p>
  </w:footnote>
  <w:footnote w:id="5">
    <w:p w14:paraId="60A8B649" w14:textId="22081B00" w:rsidR="00933451" w:rsidRPr="00CE2F4A" w:rsidRDefault="00933451" w:rsidP="00C21B89">
      <w:pPr>
        <w:rPr>
          <w:sz w:val="20"/>
          <w:szCs w:val="20"/>
        </w:rPr>
      </w:pPr>
      <w:r w:rsidRPr="00CE2F4A">
        <w:rPr>
          <w:rStyle w:val="af8"/>
          <w:sz w:val="20"/>
          <w:szCs w:val="20"/>
        </w:rPr>
        <w:footnoteRef/>
      </w:r>
      <w:r w:rsidRPr="00CE2F4A">
        <w:rPr>
          <w:sz w:val="20"/>
          <w:szCs w:val="20"/>
        </w:rPr>
        <w:t xml:space="preserve"> </w:t>
      </w:r>
      <w:r>
        <w:rPr>
          <w:sz w:val="20"/>
          <w:szCs w:val="20"/>
        </w:rPr>
        <w:t>З</w:t>
      </w:r>
      <w:r w:rsidRPr="00CE2F4A">
        <w:rPr>
          <w:sz w:val="20"/>
          <w:szCs w:val="20"/>
        </w:rPr>
        <w:t xml:space="preserve">атверджені рішеннями </w:t>
      </w:r>
      <w:r>
        <w:rPr>
          <w:sz w:val="20"/>
          <w:szCs w:val="20"/>
        </w:rPr>
        <w:t>п</w:t>
      </w:r>
      <w:r w:rsidRPr="00CE2F4A">
        <w:rPr>
          <w:sz w:val="20"/>
          <w:szCs w:val="20"/>
        </w:rPr>
        <w:t xml:space="preserve">равління </w:t>
      </w:r>
      <w:r w:rsidRPr="0017348A">
        <w:rPr>
          <w:color w:val="000000" w:themeColor="text1"/>
          <w:sz w:val="20"/>
          <w:szCs w:val="20"/>
        </w:rPr>
        <w:t>АТ “АКБ “КОНКОРД”</w:t>
      </w:r>
      <w:r w:rsidRPr="00CE2F4A">
        <w:rPr>
          <w:sz w:val="20"/>
          <w:szCs w:val="20"/>
        </w:rPr>
        <w:t xml:space="preserve"> (протокол від 22</w:t>
      </w:r>
      <w:r>
        <w:rPr>
          <w:sz w:val="20"/>
          <w:szCs w:val="20"/>
        </w:rPr>
        <w:t xml:space="preserve"> липня </w:t>
      </w:r>
      <w:r w:rsidRPr="00CE2F4A">
        <w:rPr>
          <w:sz w:val="20"/>
          <w:szCs w:val="20"/>
        </w:rPr>
        <w:t>2020</w:t>
      </w:r>
      <w:r>
        <w:rPr>
          <w:sz w:val="20"/>
          <w:szCs w:val="20"/>
        </w:rPr>
        <w:t xml:space="preserve"> року</w:t>
      </w:r>
      <w:r w:rsidRPr="00CE2F4A">
        <w:rPr>
          <w:sz w:val="20"/>
          <w:szCs w:val="20"/>
        </w:rPr>
        <w:t xml:space="preserve"> № 212, </w:t>
      </w:r>
      <w:r w:rsidRPr="00CE2F4A">
        <w:rPr>
          <w:rFonts w:eastAsia="Calibri"/>
          <w:sz w:val="20"/>
          <w:szCs w:val="20"/>
        </w:rPr>
        <w:t>протокол від 01</w:t>
      </w:r>
      <w:r>
        <w:rPr>
          <w:rFonts w:eastAsia="Calibri"/>
          <w:sz w:val="20"/>
          <w:szCs w:val="20"/>
        </w:rPr>
        <w:t xml:space="preserve"> квітня </w:t>
      </w:r>
      <w:r w:rsidRPr="00CE2F4A">
        <w:rPr>
          <w:rFonts w:eastAsia="Calibri"/>
          <w:sz w:val="20"/>
          <w:szCs w:val="20"/>
        </w:rPr>
        <w:t xml:space="preserve">2022 </w:t>
      </w:r>
      <w:r>
        <w:rPr>
          <w:rFonts w:eastAsia="Calibri"/>
          <w:sz w:val="20"/>
          <w:szCs w:val="20"/>
        </w:rPr>
        <w:t xml:space="preserve">року </w:t>
      </w:r>
      <w:r w:rsidRPr="00CE2F4A">
        <w:rPr>
          <w:rFonts w:eastAsia="Calibri"/>
          <w:sz w:val="20"/>
          <w:szCs w:val="20"/>
        </w:rPr>
        <w:t>№ 102, протокол від 24</w:t>
      </w:r>
      <w:r>
        <w:rPr>
          <w:rFonts w:eastAsia="Calibri"/>
          <w:sz w:val="20"/>
          <w:szCs w:val="20"/>
        </w:rPr>
        <w:t xml:space="preserve"> серпня </w:t>
      </w:r>
      <w:r w:rsidRPr="00CE2F4A">
        <w:rPr>
          <w:rFonts w:eastAsia="Calibri"/>
          <w:sz w:val="20"/>
          <w:szCs w:val="20"/>
        </w:rPr>
        <w:t xml:space="preserve">2022 </w:t>
      </w:r>
      <w:r>
        <w:rPr>
          <w:rFonts w:eastAsia="Calibri"/>
          <w:sz w:val="20"/>
          <w:szCs w:val="20"/>
        </w:rPr>
        <w:t xml:space="preserve">року </w:t>
      </w:r>
      <w:r w:rsidRPr="00CE2F4A">
        <w:rPr>
          <w:rFonts w:eastAsia="Calibri"/>
          <w:sz w:val="20"/>
          <w:szCs w:val="20"/>
        </w:rPr>
        <w:t xml:space="preserve">№ 234, </w:t>
      </w:r>
      <w:r w:rsidRPr="00CE2F4A">
        <w:rPr>
          <w:sz w:val="20"/>
          <w:szCs w:val="20"/>
        </w:rPr>
        <w:t>протокол від 30</w:t>
      </w:r>
      <w:r>
        <w:rPr>
          <w:sz w:val="20"/>
          <w:szCs w:val="20"/>
        </w:rPr>
        <w:t xml:space="preserve"> вересня </w:t>
      </w:r>
      <w:r w:rsidRPr="00CE2F4A">
        <w:rPr>
          <w:sz w:val="20"/>
          <w:szCs w:val="20"/>
        </w:rPr>
        <w:t>2022</w:t>
      </w:r>
      <w:r>
        <w:rPr>
          <w:sz w:val="20"/>
          <w:szCs w:val="20"/>
        </w:rPr>
        <w:t xml:space="preserve"> року</w:t>
      </w:r>
      <w:r w:rsidRPr="00CE2F4A">
        <w:rPr>
          <w:sz w:val="20"/>
          <w:szCs w:val="20"/>
        </w:rPr>
        <w:t xml:space="preserve"> </w:t>
      </w:r>
      <w:r>
        <w:rPr>
          <w:sz w:val="20"/>
          <w:szCs w:val="20"/>
        </w:rPr>
        <w:br/>
      </w:r>
      <w:r w:rsidRPr="00CE2F4A">
        <w:rPr>
          <w:sz w:val="20"/>
          <w:szCs w:val="20"/>
        </w:rPr>
        <w:t>№ 277, протокол від 20</w:t>
      </w:r>
      <w:r>
        <w:rPr>
          <w:sz w:val="20"/>
          <w:szCs w:val="20"/>
        </w:rPr>
        <w:t xml:space="preserve"> жовтня </w:t>
      </w:r>
      <w:r w:rsidRPr="00CE2F4A">
        <w:rPr>
          <w:sz w:val="20"/>
          <w:szCs w:val="20"/>
        </w:rPr>
        <w:t>2022</w:t>
      </w:r>
      <w:r>
        <w:rPr>
          <w:sz w:val="20"/>
          <w:szCs w:val="20"/>
        </w:rPr>
        <w:t xml:space="preserve"> року</w:t>
      </w:r>
      <w:r w:rsidRPr="00CE2F4A">
        <w:rPr>
          <w:sz w:val="20"/>
          <w:szCs w:val="20"/>
        </w:rPr>
        <w:t xml:space="preserve"> № 288, протокол від 29</w:t>
      </w:r>
      <w:r>
        <w:rPr>
          <w:sz w:val="20"/>
          <w:szCs w:val="20"/>
        </w:rPr>
        <w:t xml:space="preserve"> грудня </w:t>
      </w:r>
      <w:r w:rsidRPr="00CE2F4A">
        <w:rPr>
          <w:sz w:val="20"/>
          <w:szCs w:val="20"/>
        </w:rPr>
        <w:t>2022</w:t>
      </w:r>
      <w:r>
        <w:rPr>
          <w:sz w:val="20"/>
          <w:szCs w:val="20"/>
        </w:rPr>
        <w:t xml:space="preserve"> року</w:t>
      </w:r>
      <w:r w:rsidRPr="00CE2F4A">
        <w:rPr>
          <w:sz w:val="20"/>
          <w:szCs w:val="20"/>
        </w:rPr>
        <w:t xml:space="preserve"> № 348)</w:t>
      </w:r>
      <w:r>
        <w:rPr>
          <w:sz w:val="20"/>
          <w:szCs w:val="20"/>
        </w:rPr>
        <w:t>.</w:t>
      </w:r>
    </w:p>
  </w:footnote>
  <w:footnote w:id="6">
    <w:p w14:paraId="07A49171" w14:textId="70FC904C" w:rsidR="00933451" w:rsidRPr="008E273C" w:rsidRDefault="00933451" w:rsidP="00530FA8">
      <w:r w:rsidRPr="0094428E">
        <w:rPr>
          <w:rStyle w:val="af8"/>
          <w:sz w:val="20"/>
          <w:szCs w:val="20"/>
        </w:rPr>
        <w:footnoteRef/>
      </w:r>
      <w:r>
        <w:t xml:space="preserve"> </w:t>
      </w:r>
      <w:r w:rsidRPr="001A4653">
        <w:rPr>
          <w:sz w:val="20"/>
          <w:szCs w:val="20"/>
        </w:rPr>
        <w:t xml:space="preserve">Визначення </w:t>
      </w:r>
      <w:proofErr w:type="spellStart"/>
      <w:r w:rsidRPr="001A4653">
        <w:rPr>
          <w:sz w:val="20"/>
          <w:szCs w:val="20"/>
        </w:rPr>
        <w:t>термін</w:t>
      </w:r>
      <w:r>
        <w:rPr>
          <w:sz w:val="20"/>
          <w:szCs w:val="20"/>
        </w:rPr>
        <w:t>а</w:t>
      </w:r>
      <w:proofErr w:type="spellEnd"/>
      <w:r w:rsidRPr="001A4653">
        <w:rPr>
          <w:sz w:val="20"/>
          <w:szCs w:val="20"/>
        </w:rPr>
        <w:t xml:space="preserve"> </w:t>
      </w:r>
      <w:r>
        <w:rPr>
          <w:sz w:val="20"/>
          <w:szCs w:val="20"/>
        </w:rPr>
        <w:t>“</w:t>
      </w:r>
      <w:r w:rsidRPr="001A4653">
        <w:rPr>
          <w:sz w:val="20"/>
          <w:szCs w:val="20"/>
        </w:rPr>
        <w:t>ризик-орієнтований підхід</w:t>
      </w:r>
      <w:r>
        <w:rPr>
          <w:sz w:val="20"/>
          <w:szCs w:val="20"/>
        </w:rPr>
        <w:t>”</w:t>
      </w:r>
      <w:r w:rsidRPr="001A4653">
        <w:rPr>
          <w:sz w:val="20"/>
          <w:szCs w:val="20"/>
        </w:rPr>
        <w:t xml:space="preserve"> </w:t>
      </w:r>
      <w:r>
        <w:rPr>
          <w:sz w:val="20"/>
          <w:szCs w:val="20"/>
        </w:rPr>
        <w:t>у</w:t>
      </w:r>
      <w:r w:rsidRPr="001A4653">
        <w:rPr>
          <w:sz w:val="20"/>
          <w:szCs w:val="20"/>
        </w:rPr>
        <w:t xml:space="preserve">становлено </w:t>
      </w:r>
      <w:r>
        <w:rPr>
          <w:sz w:val="20"/>
          <w:szCs w:val="20"/>
        </w:rPr>
        <w:t>в</w:t>
      </w:r>
      <w:r w:rsidRPr="001A4653">
        <w:rPr>
          <w:sz w:val="20"/>
          <w:szCs w:val="20"/>
        </w:rPr>
        <w:t xml:space="preserve"> пункті 53 частини першої статті 1 </w:t>
      </w:r>
      <w:r>
        <w:rPr>
          <w:sz w:val="20"/>
          <w:szCs w:val="20"/>
        </w:rPr>
        <w:br/>
      </w:r>
      <w:r w:rsidRPr="001A4653">
        <w:rPr>
          <w:sz w:val="20"/>
          <w:szCs w:val="20"/>
        </w:rPr>
        <w:t xml:space="preserve">Закону № 361-IХ. </w:t>
      </w:r>
    </w:p>
  </w:footnote>
  <w:footnote w:id="7">
    <w:p w14:paraId="1817F303" w14:textId="0220FF59" w:rsidR="00933451" w:rsidRDefault="00933451" w:rsidP="00C21B89">
      <w:pPr>
        <w:pStyle w:val="af6"/>
        <w:jc w:val="both"/>
      </w:pPr>
      <w:r>
        <w:rPr>
          <w:rStyle w:val="af8"/>
        </w:rPr>
        <w:footnoteRef/>
      </w:r>
      <w:r>
        <w:t xml:space="preserve"> </w:t>
      </w:r>
      <w:r>
        <w:t>Ч</w:t>
      </w:r>
      <w:r w:rsidRPr="004A3462">
        <w:t>астин</w:t>
      </w:r>
      <w:r>
        <w:t>а перша та друга</w:t>
      </w:r>
      <w:r w:rsidRPr="004A3462">
        <w:t xml:space="preserve"> статті 7 Закону </w:t>
      </w:r>
      <w:r w:rsidRPr="008D6E94">
        <w:t>№ 361-IX</w:t>
      </w:r>
      <w:r w:rsidRPr="004A3462">
        <w:t xml:space="preserve"> </w:t>
      </w:r>
      <w:r>
        <w:t>у</w:t>
      </w:r>
      <w:r w:rsidRPr="004A3462">
        <w:t xml:space="preserve"> частині неналежного виконання </w:t>
      </w:r>
      <w:r w:rsidRPr="00982BB5">
        <w:rPr>
          <w:color w:val="000000" w:themeColor="text1"/>
        </w:rPr>
        <w:t>АТ “АКБ “КОНКОРД”</w:t>
      </w:r>
      <w:r w:rsidRPr="004A3462">
        <w:t xml:space="preserve"> обов’язку застосовувати у своїй діяльності ризик-орієнтований підхід</w:t>
      </w:r>
      <w:r>
        <w:t>.</w:t>
      </w:r>
    </w:p>
  </w:footnote>
  <w:footnote w:id="8">
    <w:p w14:paraId="69D26745" w14:textId="18D31621" w:rsidR="00933451" w:rsidRDefault="00933451" w:rsidP="008E273C">
      <w:pPr>
        <w:pStyle w:val="af6"/>
        <w:jc w:val="both"/>
      </w:pPr>
      <w:r w:rsidRPr="007735A8">
        <w:rPr>
          <w:vertAlign w:val="superscript"/>
        </w:rPr>
        <w:footnoteRef/>
      </w:r>
      <w:r w:rsidRPr="007735A8">
        <w:rPr>
          <w:vertAlign w:val="superscript"/>
        </w:rPr>
        <w:t xml:space="preserve"> </w:t>
      </w:r>
      <w:r>
        <w:t>Пункти</w:t>
      </w:r>
      <w:r w:rsidRPr="007735A8">
        <w:t xml:space="preserve"> 63</w:t>
      </w:r>
      <w:r>
        <w:t>,</w:t>
      </w:r>
      <w:r w:rsidRPr="007735A8">
        <w:t xml:space="preserve"> 64 розділу ІV Положення № 65 </w:t>
      </w:r>
      <w:r>
        <w:t>у</w:t>
      </w:r>
      <w:r w:rsidRPr="007735A8">
        <w:t xml:space="preserve"> частині несвоєчасного здійснення заходів з підтрим</w:t>
      </w:r>
      <w:r>
        <w:t>ання</w:t>
      </w:r>
      <w:r w:rsidRPr="007735A8">
        <w:t xml:space="preserve"> в актуальному стані ризик-профілю клієнта шляхом </w:t>
      </w:r>
      <w:r>
        <w:t>у</w:t>
      </w:r>
      <w:r w:rsidRPr="007735A8">
        <w:t>рахування відповідних критеріїв ризику ВК/ФТ та здійснення переоцінки його рівня ризику</w:t>
      </w:r>
      <w:r>
        <w:t>.</w:t>
      </w:r>
    </w:p>
  </w:footnote>
  <w:footnote w:id="9">
    <w:p w14:paraId="39F02D51" w14:textId="208AC02A" w:rsidR="00933451" w:rsidRDefault="00933451" w:rsidP="00F153D6">
      <w:pPr>
        <w:pStyle w:val="af6"/>
        <w:jc w:val="both"/>
      </w:pPr>
      <w:r>
        <w:rPr>
          <w:rStyle w:val="af8"/>
        </w:rPr>
        <w:footnoteRef/>
      </w:r>
      <w:r>
        <w:t xml:space="preserve"> </w:t>
      </w:r>
      <w:r>
        <w:rPr>
          <w:lang w:eastAsia="pl-PL"/>
        </w:rPr>
        <w:t>З</w:t>
      </w:r>
      <w:r w:rsidRPr="00B21E85">
        <w:rPr>
          <w:lang w:eastAsia="pl-PL"/>
        </w:rPr>
        <w:t>атв</w:t>
      </w:r>
      <w:r>
        <w:rPr>
          <w:lang w:eastAsia="pl-PL"/>
        </w:rPr>
        <w:t>ерджені</w:t>
      </w:r>
      <w:r w:rsidRPr="00B21E85">
        <w:rPr>
          <w:lang w:eastAsia="pl-PL"/>
        </w:rPr>
        <w:t xml:space="preserve"> рішенням </w:t>
      </w:r>
      <w:r>
        <w:rPr>
          <w:lang w:eastAsia="pl-PL"/>
        </w:rPr>
        <w:t>п</w:t>
      </w:r>
      <w:r w:rsidRPr="00B21E85">
        <w:rPr>
          <w:lang w:eastAsia="pl-PL"/>
        </w:rPr>
        <w:t xml:space="preserve">равління </w:t>
      </w:r>
      <w:r w:rsidRPr="00982BB5">
        <w:rPr>
          <w:color w:val="000000" w:themeColor="text1"/>
        </w:rPr>
        <w:t>АТ “АКБ “КОНКОРД”</w:t>
      </w:r>
      <w:r w:rsidRPr="00B21E85">
        <w:rPr>
          <w:lang w:eastAsia="pl-PL"/>
        </w:rPr>
        <w:t xml:space="preserve"> </w:t>
      </w:r>
      <w:r>
        <w:rPr>
          <w:lang w:eastAsia="pl-PL"/>
        </w:rPr>
        <w:t xml:space="preserve">(протокол </w:t>
      </w:r>
      <w:r w:rsidRPr="00B21E85">
        <w:rPr>
          <w:lang w:eastAsia="pl-PL"/>
        </w:rPr>
        <w:t>від 22</w:t>
      </w:r>
      <w:r>
        <w:rPr>
          <w:lang w:eastAsia="pl-PL"/>
        </w:rPr>
        <w:t xml:space="preserve"> липня </w:t>
      </w:r>
      <w:r w:rsidRPr="00B21E85">
        <w:rPr>
          <w:lang w:eastAsia="pl-PL"/>
        </w:rPr>
        <w:t>2020</w:t>
      </w:r>
      <w:r>
        <w:rPr>
          <w:lang w:eastAsia="pl-PL"/>
        </w:rPr>
        <w:t xml:space="preserve"> року</w:t>
      </w:r>
      <w:r w:rsidRPr="00B21E85">
        <w:rPr>
          <w:lang w:eastAsia="pl-PL"/>
        </w:rPr>
        <w:t xml:space="preserve"> № 212, </w:t>
      </w:r>
      <w:r>
        <w:rPr>
          <w:lang w:eastAsia="pl-PL"/>
        </w:rPr>
        <w:t>протокол</w:t>
      </w:r>
      <w:r w:rsidRPr="00B21E85">
        <w:rPr>
          <w:lang w:eastAsia="pl-PL"/>
        </w:rPr>
        <w:t xml:space="preserve"> від 01</w:t>
      </w:r>
      <w:r>
        <w:rPr>
          <w:lang w:eastAsia="pl-PL"/>
        </w:rPr>
        <w:t xml:space="preserve"> квітня </w:t>
      </w:r>
      <w:r w:rsidRPr="00B21E85">
        <w:rPr>
          <w:lang w:eastAsia="pl-PL"/>
        </w:rPr>
        <w:t xml:space="preserve">2022 </w:t>
      </w:r>
      <w:r>
        <w:rPr>
          <w:lang w:eastAsia="pl-PL"/>
        </w:rPr>
        <w:t xml:space="preserve">року </w:t>
      </w:r>
      <w:r w:rsidRPr="00B21E85">
        <w:rPr>
          <w:lang w:eastAsia="pl-PL"/>
        </w:rPr>
        <w:t xml:space="preserve">№ 102, </w:t>
      </w:r>
      <w:r>
        <w:rPr>
          <w:lang w:eastAsia="pl-PL"/>
        </w:rPr>
        <w:t>протокол</w:t>
      </w:r>
      <w:r w:rsidRPr="00B21E85">
        <w:rPr>
          <w:lang w:eastAsia="pl-PL"/>
        </w:rPr>
        <w:t xml:space="preserve"> від 24</w:t>
      </w:r>
      <w:r>
        <w:rPr>
          <w:lang w:eastAsia="pl-PL"/>
        </w:rPr>
        <w:t xml:space="preserve"> серпня </w:t>
      </w:r>
      <w:r w:rsidRPr="00B21E85">
        <w:rPr>
          <w:lang w:eastAsia="pl-PL"/>
        </w:rPr>
        <w:t xml:space="preserve">2022 </w:t>
      </w:r>
      <w:r>
        <w:rPr>
          <w:lang w:eastAsia="pl-PL"/>
        </w:rPr>
        <w:t xml:space="preserve">року </w:t>
      </w:r>
      <w:r w:rsidRPr="00B21E85">
        <w:rPr>
          <w:lang w:eastAsia="pl-PL"/>
        </w:rPr>
        <w:t xml:space="preserve">№ 234, </w:t>
      </w:r>
      <w:r>
        <w:rPr>
          <w:lang w:eastAsia="pl-PL"/>
        </w:rPr>
        <w:t>протокол</w:t>
      </w:r>
      <w:r w:rsidRPr="00B21E85">
        <w:rPr>
          <w:lang w:eastAsia="pl-PL"/>
        </w:rPr>
        <w:t xml:space="preserve"> від 30</w:t>
      </w:r>
      <w:r>
        <w:rPr>
          <w:lang w:eastAsia="pl-PL"/>
        </w:rPr>
        <w:t xml:space="preserve"> вересня </w:t>
      </w:r>
      <w:r w:rsidRPr="00B21E85">
        <w:rPr>
          <w:lang w:eastAsia="pl-PL"/>
        </w:rPr>
        <w:t>2022</w:t>
      </w:r>
      <w:r>
        <w:rPr>
          <w:lang w:eastAsia="pl-PL"/>
        </w:rPr>
        <w:t xml:space="preserve"> року</w:t>
      </w:r>
      <w:r w:rsidRPr="00B21E85">
        <w:rPr>
          <w:lang w:eastAsia="pl-PL"/>
        </w:rPr>
        <w:t xml:space="preserve"> № 277, </w:t>
      </w:r>
      <w:r>
        <w:rPr>
          <w:lang w:eastAsia="pl-PL"/>
        </w:rPr>
        <w:t>протокол</w:t>
      </w:r>
      <w:r w:rsidRPr="00B21E85">
        <w:rPr>
          <w:lang w:eastAsia="pl-PL"/>
        </w:rPr>
        <w:t xml:space="preserve"> від 29</w:t>
      </w:r>
      <w:r>
        <w:rPr>
          <w:lang w:eastAsia="pl-PL"/>
        </w:rPr>
        <w:t xml:space="preserve"> грудня </w:t>
      </w:r>
      <w:r w:rsidRPr="00B21E85">
        <w:rPr>
          <w:lang w:eastAsia="pl-PL"/>
        </w:rPr>
        <w:t>2022</w:t>
      </w:r>
      <w:r>
        <w:rPr>
          <w:lang w:eastAsia="pl-PL"/>
        </w:rPr>
        <w:t xml:space="preserve"> року</w:t>
      </w:r>
      <w:r w:rsidRPr="00B21E85">
        <w:rPr>
          <w:lang w:eastAsia="pl-PL"/>
        </w:rPr>
        <w:t xml:space="preserve"> № 348</w:t>
      </w:r>
      <w:r>
        <w:rPr>
          <w:lang w:eastAsia="pl-PL"/>
        </w:rPr>
        <w:t>).</w:t>
      </w:r>
    </w:p>
  </w:footnote>
  <w:footnote w:id="10">
    <w:p w14:paraId="513132FB" w14:textId="177954B3" w:rsidR="00933451" w:rsidRPr="00731530" w:rsidRDefault="00933451" w:rsidP="00EF3651">
      <w:pPr>
        <w:pStyle w:val="af6"/>
        <w:rPr>
          <w:sz w:val="18"/>
          <w:szCs w:val="18"/>
        </w:rPr>
      </w:pPr>
      <w:r w:rsidRPr="00731530">
        <w:rPr>
          <w:rStyle w:val="af8"/>
          <w:sz w:val="18"/>
          <w:szCs w:val="18"/>
        </w:rPr>
        <w:footnoteRef/>
      </w:r>
      <w:r w:rsidRPr="00731530">
        <w:rPr>
          <w:sz w:val="18"/>
          <w:szCs w:val="18"/>
        </w:rPr>
        <w:t xml:space="preserve"> </w:t>
      </w:r>
      <w:r>
        <w:rPr>
          <w:sz w:val="18"/>
          <w:szCs w:val="18"/>
        </w:rPr>
        <w:t>Н</w:t>
      </w:r>
      <w:r w:rsidRPr="00731530">
        <w:rPr>
          <w:sz w:val="18"/>
          <w:szCs w:val="18"/>
        </w:rPr>
        <w:t>ttps://www.gc.gov.ua/ua/Reiestry.html</w:t>
      </w:r>
      <w:r>
        <w:rPr>
          <w:sz w:val="18"/>
          <w:szCs w:val="18"/>
        </w:rPr>
        <w:t>.</w:t>
      </w:r>
    </w:p>
  </w:footnote>
  <w:footnote w:id="11">
    <w:p w14:paraId="07DBA717" w14:textId="6DE89BEE" w:rsidR="00933451" w:rsidRPr="0063035E" w:rsidRDefault="00933451">
      <w:pPr>
        <w:pStyle w:val="af6"/>
      </w:pPr>
      <w:r>
        <w:rPr>
          <w:rStyle w:val="af8"/>
        </w:rPr>
        <w:footnoteRef/>
      </w:r>
      <w:r>
        <w:t xml:space="preserve"> </w:t>
      </w:r>
      <w:r>
        <w:t>У</w:t>
      </w:r>
      <w:r w:rsidRPr="00AA148D">
        <w:rPr>
          <w:sz w:val="28"/>
          <w:szCs w:val="28"/>
          <w:lang w:eastAsia="ru-RU"/>
        </w:rPr>
        <w:t xml:space="preserve"> </w:t>
      </w:r>
      <w:r w:rsidRPr="001A4653">
        <w:rPr>
          <w:lang w:eastAsia="ru-RU"/>
        </w:rPr>
        <w:t xml:space="preserve">період </w:t>
      </w:r>
      <w:r>
        <w:rPr>
          <w:lang w:eastAsia="ru-RU"/>
        </w:rPr>
        <w:t>і</w:t>
      </w:r>
      <w:r w:rsidRPr="001A4653">
        <w:rPr>
          <w:lang w:eastAsia="ru-RU"/>
        </w:rPr>
        <w:t>з 12</w:t>
      </w:r>
      <w:r>
        <w:rPr>
          <w:lang w:eastAsia="ru-RU"/>
        </w:rPr>
        <w:t xml:space="preserve"> березня </w:t>
      </w:r>
      <w:r w:rsidRPr="001A4653">
        <w:rPr>
          <w:lang w:eastAsia="ru-RU"/>
        </w:rPr>
        <w:t>2022</w:t>
      </w:r>
      <w:r>
        <w:rPr>
          <w:lang w:eastAsia="ru-RU"/>
        </w:rPr>
        <w:t xml:space="preserve"> року</w:t>
      </w:r>
      <w:r w:rsidRPr="001A4653">
        <w:rPr>
          <w:lang w:eastAsia="ru-RU"/>
        </w:rPr>
        <w:t xml:space="preserve"> </w:t>
      </w:r>
      <w:r>
        <w:rPr>
          <w:lang w:eastAsia="ru-RU"/>
        </w:rPr>
        <w:t>д</w:t>
      </w:r>
      <w:r w:rsidRPr="001A4653">
        <w:rPr>
          <w:lang w:eastAsia="ru-RU"/>
        </w:rPr>
        <w:t>о 20</w:t>
      </w:r>
      <w:r>
        <w:rPr>
          <w:lang w:eastAsia="ru-RU"/>
        </w:rPr>
        <w:t xml:space="preserve"> січня </w:t>
      </w:r>
      <w:r w:rsidRPr="001A4653">
        <w:rPr>
          <w:lang w:eastAsia="ru-RU"/>
        </w:rPr>
        <w:t>2023</w:t>
      </w:r>
      <w:r>
        <w:rPr>
          <w:lang w:eastAsia="ru-RU"/>
        </w:rPr>
        <w:t xml:space="preserve"> року.</w:t>
      </w:r>
    </w:p>
  </w:footnote>
  <w:footnote w:id="12">
    <w:p w14:paraId="258A3703" w14:textId="24734987" w:rsidR="00933451" w:rsidRDefault="00933451" w:rsidP="0094428E">
      <w:pPr>
        <w:pStyle w:val="af6"/>
        <w:jc w:val="both"/>
      </w:pPr>
      <w:r>
        <w:rPr>
          <w:rStyle w:val="af8"/>
        </w:rPr>
        <w:footnoteRef/>
      </w:r>
      <w:r>
        <w:t xml:space="preserve"> </w:t>
      </w:r>
      <w:r>
        <w:t xml:space="preserve">Визначення </w:t>
      </w:r>
      <w:proofErr w:type="spellStart"/>
      <w:r>
        <w:t>терміна</w:t>
      </w:r>
      <w:proofErr w:type="spellEnd"/>
      <w:r>
        <w:t xml:space="preserve"> </w:t>
      </w:r>
      <w:r w:rsidR="00A142C5">
        <w:t>“</w:t>
      </w:r>
      <w:r w:rsidR="00A142C5">
        <w:rPr>
          <w:color w:val="333333"/>
          <w:shd w:val="clear" w:color="auto" w:fill="FFFFFF"/>
        </w:rPr>
        <w:t>порядок”</w:t>
      </w:r>
      <w:r w:rsidR="00A142C5">
        <w:t xml:space="preserve"> </w:t>
      </w:r>
      <w:r>
        <w:t>встановлено в підпункті 41 пункту 5 розділу І Положення № 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1156EFF0" w14:textId="58CDE6D7" w:rsidR="00933451" w:rsidRDefault="00933451">
        <w:pPr>
          <w:pStyle w:val="a5"/>
          <w:jc w:val="center"/>
        </w:pPr>
        <w:r>
          <w:fldChar w:fldCharType="begin"/>
        </w:r>
        <w:r>
          <w:instrText xml:space="preserve"> PAGE   \* MERGEFORMAT </w:instrText>
        </w:r>
        <w:r>
          <w:fldChar w:fldCharType="separate"/>
        </w:r>
        <w:r w:rsidR="00C53F1B">
          <w:rPr>
            <w:noProof/>
          </w:rPr>
          <w:t>18</w:t>
        </w:r>
        <w:r>
          <w:fldChar w:fldCharType="end"/>
        </w:r>
      </w:p>
    </w:sdtContent>
  </w:sdt>
  <w:p w14:paraId="1156EFF1" w14:textId="77777777" w:rsidR="00933451" w:rsidRDefault="009334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2184D71"/>
    <w:multiLevelType w:val="hybridMultilevel"/>
    <w:tmpl w:val="3F109C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1C145041"/>
    <w:multiLevelType w:val="hybridMultilevel"/>
    <w:tmpl w:val="DD4EBA16"/>
    <w:lvl w:ilvl="0" w:tplc="3C282362">
      <w:start w:val="1"/>
      <w:numFmt w:val="bullet"/>
      <w:lvlText w:val="-"/>
      <w:lvlJc w:val="left"/>
      <w:pPr>
        <w:ind w:left="3196" w:hanging="360"/>
      </w:pPr>
      <w:rPr>
        <w:rFonts w:ascii="Times New Roman" w:eastAsia="Times New Roman" w:hAnsi="Times New Roman" w:cs="Times New Roman" w:hint="default"/>
      </w:rPr>
    </w:lvl>
    <w:lvl w:ilvl="1" w:tplc="04220003">
      <w:start w:val="1"/>
      <w:numFmt w:val="bullet"/>
      <w:lvlText w:val="o"/>
      <w:lvlJc w:val="left"/>
      <w:pPr>
        <w:ind w:left="1931" w:hanging="360"/>
      </w:pPr>
      <w:rPr>
        <w:rFonts w:ascii="Courier New" w:hAnsi="Courier New" w:cs="Times New Roman"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Times New Roman"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Times New Roman" w:hint="default"/>
      </w:rPr>
    </w:lvl>
    <w:lvl w:ilvl="8" w:tplc="04220005">
      <w:start w:val="1"/>
      <w:numFmt w:val="bullet"/>
      <w:lvlText w:val=""/>
      <w:lvlJc w:val="left"/>
      <w:pPr>
        <w:ind w:left="6971" w:hanging="360"/>
      </w:pPr>
      <w:rPr>
        <w:rFonts w:ascii="Wingdings" w:hAnsi="Wingdings" w:hint="default"/>
      </w:rPr>
    </w:lvl>
  </w:abstractNum>
  <w:abstractNum w:abstractNumId="3"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5AD436CF"/>
    <w:multiLevelType w:val="hybridMultilevel"/>
    <w:tmpl w:val="E0DC1B66"/>
    <w:lvl w:ilvl="0" w:tplc="AF3E590A">
      <w:start w:val="1"/>
      <w:numFmt w:val="bullet"/>
      <w:lvlText w:val=""/>
      <w:lvlJc w:val="left"/>
      <w:pPr>
        <w:ind w:left="578" w:hanging="360"/>
      </w:pPr>
      <w:rPr>
        <w:rFonts w:ascii="Symbol" w:hAnsi="Symbol"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2C42"/>
    <w:rsid w:val="000064E9"/>
    <w:rsid w:val="000064FA"/>
    <w:rsid w:val="000069AF"/>
    <w:rsid w:val="00007592"/>
    <w:rsid w:val="000116F4"/>
    <w:rsid w:val="00015CF3"/>
    <w:rsid w:val="00015FDE"/>
    <w:rsid w:val="000166D8"/>
    <w:rsid w:val="0003331E"/>
    <w:rsid w:val="00033D25"/>
    <w:rsid w:val="000342A5"/>
    <w:rsid w:val="0003793C"/>
    <w:rsid w:val="000422EA"/>
    <w:rsid w:val="000439AD"/>
    <w:rsid w:val="000508E3"/>
    <w:rsid w:val="000543C6"/>
    <w:rsid w:val="00054DDD"/>
    <w:rsid w:val="00054DF2"/>
    <w:rsid w:val="000574CE"/>
    <w:rsid w:val="00057A5C"/>
    <w:rsid w:val="000600A8"/>
    <w:rsid w:val="00062C3E"/>
    <w:rsid w:val="00063480"/>
    <w:rsid w:val="000679F5"/>
    <w:rsid w:val="00073C85"/>
    <w:rsid w:val="00092116"/>
    <w:rsid w:val="00094ECF"/>
    <w:rsid w:val="000959BA"/>
    <w:rsid w:val="000964F4"/>
    <w:rsid w:val="000A4352"/>
    <w:rsid w:val="000B1FFE"/>
    <w:rsid w:val="000B2990"/>
    <w:rsid w:val="000B2D34"/>
    <w:rsid w:val="000C65C0"/>
    <w:rsid w:val="000C6EA4"/>
    <w:rsid w:val="000D0E10"/>
    <w:rsid w:val="000D3B70"/>
    <w:rsid w:val="000D778F"/>
    <w:rsid w:val="000E0CB3"/>
    <w:rsid w:val="000E5B8C"/>
    <w:rsid w:val="000F01D5"/>
    <w:rsid w:val="000F0D5F"/>
    <w:rsid w:val="00100789"/>
    <w:rsid w:val="00100B2A"/>
    <w:rsid w:val="001039CA"/>
    <w:rsid w:val="00112B11"/>
    <w:rsid w:val="00116446"/>
    <w:rsid w:val="0012002E"/>
    <w:rsid w:val="00127D4E"/>
    <w:rsid w:val="001359C4"/>
    <w:rsid w:val="00144F95"/>
    <w:rsid w:val="0014666E"/>
    <w:rsid w:val="00146C59"/>
    <w:rsid w:val="001544E7"/>
    <w:rsid w:val="001631E2"/>
    <w:rsid w:val="0017149E"/>
    <w:rsid w:val="0017348A"/>
    <w:rsid w:val="00173F37"/>
    <w:rsid w:val="001740C0"/>
    <w:rsid w:val="001742F1"/>
    <w:rsid w:val="00180370"/>
    <w:rsid w:val="00180821"/>
    <w:rsid w:val="0018153E"/>
    <w:rsid w:val="00190E1A"/>
    <w:rsid w:val="001A0EE5"/>
    <w:rsid w:val="001A16FA"/>
    <w:rsid w:val="001A4653"/>
    <w:rsid w:val="001A4CB9"/>
    <w:rsid w:val="001A6795"/>
    <w:rsid w:val="001B303C"/>
    <w:rsid w:val="001C206C"/>
    <w:rsid w:val="001C40C8"/>
    <w:rsid w:val="001C52C9"/>
    <w:rsid w:val="001C5904"/>
    <w:rsid w:val="001D4193"/>
    <w:rsid w:val="001D487A"/>
    <w:rsid w:val="001D5F50"/>
    <w:rsid w:val="001E3113"/>
    <w:rsid w:val="001E6D92"/>
    <w:rsid w:val="001E6FFF"/>
    <w:rsid w:val="001E72CC"/>
    <w:rsid w:val="001E785E"/>
    <w:rsid w:val="001F29E4"/>
    <w:rsid w:val="001F78F5"/>
    <w:rsid w:val="002104A1"/>
    <w:rsid w:val="002108D0"/>
    <w:rsid w:val="0021777A"/>
    <w:rsid w:val="0022003C"/>
    <w:rsid w:val="002238D1"/>
    <w:rsid w:val="00241373"/>
    <w:rsid w:val="00242E33"/>
    <w:rsid w:val="002436CF"/>
    <w:rsid w:val="002455D9"/>
    <w:rsid w:val="00251A49"/>
    <w:rsid w:val="00253BF9"/>
    <w:rsid w:val="00257A3D"/>
    <w:rsid w:val="00260529"/>
    <w:rsid w:val="00264983"/>
    <w:rsid w:val="00265ADE"/>
    <w:rsid w:val="00266678"/>
    <w:rsid w:val="002713FF"/>
    <w:rsid w:val="00272428"/>
    <w:rsid w:val="00275D5D"/>
    <w:rsid w:val="0027668F"/>
    <w:rsid w:val="00276988"/>
    <w:rsid w:val="00280DCC"/>
    <w:rsid w:val="0028247F"/>
    <w:rsid w:val="0028500E"/>
    <w:rsid w:val="00285DDA"/>
    <w:rsid w:val="00290F65"/>
    <w:rsid w:val="002A005E"/>
    <w:rsid w:val="002A2C22"/>
    <w:rsid w:val="002A49A6"/>
    <w:rsid w:val="002B351E"/>
    <w:rsid w:val="002B3F71"/>
    <w:rsid w:val="002B582B"/>
    <w:rsid w:val="002B6571"/>
    <w:rsid w:val="002C1922"/>
    <w:rsid w:val="002C1FDB"/>
    <w:rsid w:val="002C2894"/>
    <w:rsid w:val="002C603E"/>
    <w:rsid w:val="002D16BA"/>
    <w:rsid w:val="002D1790"/>
    <w:rsid w:val="002D3101"/>
    <w:rsid w:val="002D5C30"/>
    <w:rsid w:val="002D7844"/>
    <w:rsid w:val="002E4B5A"/>
    <w:rsid w:val="002E703A"/>
    <w:rsid w:val="002F1696"/>
    <w:rsid w:val="002F48EF"/>
    <w:rsid w:val="0030451B"/>
    <w:rsid w:val="00313733"/>
    <w:rsid w:val="0033251A"/>
    <w:rsid w:val="00335E04"/>
    <w:rsid w:val="00340D07"/>
    <w:rsid w:val="00345982"/>
    <w:rsid w:val="003518D9"/>
    <w:rsid w:val="0035377F"/>
    <w:rsid w:val="00356E34"/>
    <w:rsid w:val="00357676"/>
    <w:rsid w:val="00361370"/>
    <w:rsid w:val="00363171"/>
    <w:rsid w:val="00371021"/>
    <w:rsid w:val="003829D4"/>
    <w:rsid w:val="0038385E"/>
    <w:rsid w:val="00384F65"/>
    <w:rsid w:val="003856A6"/>
    <w:rsid w:val="00386AE7"/>
    <w:rsid w:val="00391F63"/>
    <w:rsid w:val="00395FAA"/>
    <w:rsid w:val="00396933"/>
    <w:rsid w:val="0039725C"/>
    <w:rsid w:val="003A751F"/>
    <w:rsid w:val="003B0C60"/>
    <w:rsid w:val="003B12B2"/>
    <w:rsid w:val="003B3353"/>
    <w:rsid w:val="003B3F9A"/>
    <w:rsid w:val="003C1D3B"/>
    <w:rsid w:val="003C3282"/>
    <w:rsid w:val="003C3985"/>
    <w:rsid w:val="003C6374"/>
    <w:rsid w:val="003D59C3"/>
    <w:rsid w:val="003D5F66"/>
    <w:rsid w:val="003D7AE5"/>
    <w:rsid w:val="003E65F0"/>
    <w:rsid w:val="003F0441"/>
    <w:rsid w:val="003F28B5"/>
    <w:rsid w:val="003F3342"/>
    <w:rsid w:val="003F7093"/>
    <w:rsid w:val="003F7960"/>
    <w:rsid w:val="00401EDB"/>
    <w:rsid w:val="004027ED"/>
    <w:rsid w:val="00404C93"/>
    <w:rsid w:val="00407877"/>
    <w:rsid w:val="004130B9"/>
    <w:rsid w:val="0041432F"/>
    <w:rsid w:val="00420F91"/>
    <w:rsid w:val="004222C8"/>
    <w:rsid w:val="00423068"/>
    <w:rsid w:val="004309AD"/>
    <w:rsid w:val="004378AD"/>
    <w:rsid w:val="00445DA2"/>
    <w:rsid w:val="00450BAD"/>
    <w:rsid w:val="00453E05"/>
    <w:rsid w:val="00455B45"/>
    <w:rsid w:val="00460BA2"/>
    <w:rsid w:val="004618F1"/>
    <w:rsid w:val="00462EF7"/>
    <w:rsid w:val="00470271"/>
    <w:rsid w:val="00474BD4"/>
    <w:rsid w:val="0048082C"/>
    <w:rsid w:val="00485E6C"/>
    <w:rsid w:val="0048784E"/>
    <w:rsid w:val="00487BC2"/>
    <w:rsid w:val="00492DA2"/>
    <w:rsid w:val="00493490"/>
    <w:rsid w:val="004A1CFC"/>
    <w:rsid w:val="004A7F75"/>
    <w:rsid w:val="004B1839"/>
    <w:rsid w:val="004B18CA"/>
    <w:rsid w:val="004B1FE9"/>
    <w:rsid w:val="004B5574"/>
    <w:rsid w:val="004C39BD"/>
    <w:rsid w:val="004D1574"/>
    <w:rsid w:val="004D3D0F"/>
    <w:rsid w:val="004E1838"/>
    <w:rsid w:val="004E202D"/>
    <w:rsid w:val="004E22E2"/>
    <w:rsid w:val="004E3B4A"/>
    <w:rsid w:val="004E42D0"/>
    <w:rsid w:val="004F226E"/>
    <w:rsid w:val="004F2BC6"/>
    <w:rsid w:val="005000AC"/>
    <w:rsid w:val="00501207"/>
    <w:rsid w:val="0050563F"/>
    <w:rsid w:val="00505B10"/>
    <w:rsid w:val="00505E6E"/>
    <w:rsid w:val="00513512"/>
    <w:rsid w:val="00513A40"/>
    <w:rsid w:val="0051774A"/>
    <w:rsid w:val="005202EC"/>
    <w:rsid w:val="00521592"/>
    <w:rsid w:val="00523B56"/>
    <w:rsid w:val="00523C13"/>
    <w:rsid w:val="00523F5C"/>
    <w:rsid w:val="005257C2"/>
    <w:rsid w:val="00530E92"/>
    <w:rsid w:val="00530FA8"/>
    <w:rsid w:val="00532633"/>
    <w:rsid w:val="005403F1"/>
    <w:rsid w:val="00541FF8"/>
    <w:rsid w:val="00542533"/>
    <w:rsid w:val="00547945"/>
    <w:rsid w:val="005506B7"/>
    <w:rsid w:val="005538D2"/>
    <w:rsid w:val="0055607C"/>
    <w:rsid w:val="005602B6"/>
    <w:rsid w:val="00561A51"/>
    <w:rsid w:val="005624B6"/>
    <w:rsid w:val="00564946"/>
    <w:rsid w:val="005663FD"/>
    <w:rsid w:val="0057237F"/>
    <w:rsid w:val="00577402"/>
    <w:rsid w:val="005814F3"/>
    <w:rsid w:val="005869D9"/>
    <w:rsid w:val="00590F8C"/>
    <w:rsid w:val="00591801"/>
    <w:rsid w:val="00593B65"/>
    <w:rsid w:val="0059446E"/>
    <w:rsid w:val="00597AB6"/>
    <w:rsid w:val="005A0F4B"/>
    <w:rsid w:val="005A1D3C"/>
    <w:rsid w:val="005A2D93"/>
    <w:rsid w:val="005A3F34"/>
    <w:rsid w:val="005B026D"/>
    <w:rsid w:val="005B247D"/>
    <w:rsid w:val="005B2D03"/>
    <w:rsid w:val="005C0B8A"/>
    <w:rsid w:val="005C4156"/>
    <w:rsid w:val="005C5CBF"/>
    <w:rsid w:val="005C5DAC"/>
    <w:rsid w:val="005C6F8B"/>
    <w:rsid w:val="005D1CFD"/>
    <w:rsid w:val="005D2C2D"/>
    <w:rsid w:val="005D45F5"/>
    <w:rsid w:val="005E3FA8"/>
    <w:rsid w:val="005E6C19"/>
    <w:rsid w:val="005F2C6D"/>
    <w:rsid w:val="005F4CB4"/>
    <w:rsid w:val="0060615B"/>
    <w:rsid w:val="00615E42"/>
    <w:rsid w:val="006215C8"/>
    <w:rsid w:val="00624863"/>
    <w:rsid w:val="00624D9A"/>
    <w:rsid w:val="0063035E"/>
    <w:rsid w:val="00632DC0"/>
    <w:rsid w:val="00637241"/>
    <w:rsid w:val="00640612"/>
    <w:rsid w:val="0064227D"/>
    <w:rsid w:val="00644D1D"/>
    <w:rsid w:val="0064738A"/>
    <w:rsid w:val="0065179F"/>
    <w:rsid w:val="00654C69"/>
    <w:rsid w:val="00665336"/>
    <w:rsid w:val="006662CF"/>
    <w:rsid w:val="00667E90"/>
    <w:rsid w:val="00670C95"/>
    <w:rsid w:val="006754CA"/>
    <w:rsid w:val="0067647A"/>
    <w:rsid w:val="00681B44"/>
    <w:rsid w:val="00685FA3"/>
    <w:rsid w:val="00686B35"/>
    <w:rsid w:val="006925CE"/>
    <w:rsid w:val="00692C8C"/>
    <w:rsid w:val="00696860"/>
    <w:rsid w:val="006A1A66"/>
    <w:rsid w:val="006A1B37"/>
    <w:rsid w:val="006A20EB"/>
    <w:rsid w:val="006A2F8A"/>
    <w:rsid w:val="006A3BF2"/>
    <w:rsid w:val="006A7C7D"/>
    <w:rsid w:val="006B0729"/>
    <w:rsid w:val="006B1E90"/>
    <w:rsid w:val="006B22E5"/>
    <w:rsid w:val="006B2748"/>
    <w:rsid w:val="006B465F"/>
    <w:rsid w:val="006B5C2E"/>
    <w:rsid w:val="006C0F22"/>
    <w:rsid w:val="006C13B1"/>
    <w:rsid w:val="006C4176"/>
    <w:rsid w:val="006C66EF"/>
    <w:rsid w:val="006D2617"/>
    <w:rsid w:val="006D4908"/>
    <w:rsid w:val="006D787A"/>
    <w:rsid w:val="006E5497"/>
    <w:rsid w:val="006F06FF"/>
    <w:rsid w:val="006F6A9D"/>
    <w:rsid w:val="00700AA3"/>
    <w:rsid w:val="00702640"/>
    <w:rsid w:val="00704A8B"/>
    <w:rsid w:val="00710D49"/>
    <w:rsid w:val="0071242C"/>
    <w:rsid w:val="00713504"/>
    <w:rsid w:val="00714218"/>
    <w:rsid w:val="00714638"/>
    <w:rsid w:val="007165D5"/>
    <w:rsid w:val="0071789F"/>
    <w:rsid w:val="00730088"/>
    <w:rsid w:val="007466C6"/>
    <w:rsid w:val="00751498"/>
    <w:rsid w:val="00751BA7"/>
    <w:rsid w:val="00754CED"/>
    <w:rsid w:val="007552BC"/>
    <w:rsid w:val="007735A8"/>
    <w:rsid w:val="0077527C"/>
    <w:rsid w:val="0078127A"/>
    <w:rsid w:val="00783AF2"/>
    <w:rsid w:val="00785EDF"/>
    <w:rsid w:val="00786264"/>
    <w:rsid w:val="00787CDB"/>
    <w:rsid w:val="007931CB"/>
    <w:rsid w:val="007933EB"/>
    <w:rsid w:val="00795DD2"/>
    <w:rsid w:val="007A1752"/>
    <w:rsid w:val="007A1A1E"/>
    <w:rsid w:val="007A3617"/>
    <w:rsid w:val="007A6609"/>
    <w:rsid w:val="007A7784"/>
    <w:rsid w:val="007A7FDF"/>
    <w:rsid w:val="007B2D4F"/>
    <w:rsid w:val="007C2CED"/>
    <w:rsid w:val="007D1C2C"/>
    <w:rsid w:val="007E49F6"/>
    <w:rsid w:val="007F11BF"/>
    <w:rsid w:val="007F3526"/>
    <w:rsid w:val="008020FB"/>
    <w:rsid w:val="00802988"/>
    <w:rsid w:val="0080493E"/>
    <w:rsid w:val="0080704E"/>
    <w:rsid w:val="00811B7F"/>
    <w:rsid w:val="008244E7"/>
    <w:rsid w:val="00842355"/>
    <w:rsid w:val="00843DDB"/>
    <w:rsid w:val="0084537B"/>
    <w:rsid w:val="00851636"/>
    <w:rsid w:val="00852852"/>
    <w:rsid w:val="0085364B"/>
    <w:rsid w:val="00853BE7"/>
    <w:rsid w:val="00856738"/>
    <w:rsid w:val="00860B08"/>
    <w:rsid w:val="00864994"/>
    <w:rsid w:val="00866993"/>
    <w:rsid w:val="008669FE"/>
    <w:rsid w:val="0087295C"/>
    <w:rsid w:val="00873D82"/>
    <w:rsid w:val="00874366"/>
    <w:rsid w:val="008762D8"/>
    <w:rsid w:val="00880009"/>
    <w:rsid w:val="00880511"/>
    <w:rsid w:val="00885961"/>
    <w:rsid w:val="00886FEF"/>
    <w:rsid w:val="008933EC"/>
    <w:rsid w:val="00893767"/>
    <w:rsid w:val="00894D28"/>
    <w:rsid w:val="00895472"/>
    <w:rsid w:val="00897035"/>
    <w:rsid w:val="0089771F"/>
    <w:rsid w:val="008A24AF"/>
    <w:rsid w:val="008B1962"/>
    <w:rsid w:val="008B1A65"/>
    <w:rsid w:val="008B2E89"/>
    <w:rsid w:val="008C1A84"/>
    <w:rsid w:val="008C1AAA"/>
    <w:rsid w:val="008D030E"/>
    <w:rsid w:val="008D10FD"/>
    <w:rsid w:val="008D122F"/>
    <w:rsid w:val="008D2E4B"/>
    <w:rsid w:val="008D5F60"/>
    <w:rsid w:val="008D727F"/>
    <w:rsid w:val="008D771F"/>
    <w:rsid w:val="008D7F5A"/>
    <w:rsid w:val="008E273C"/>
    <w:rsid w:val="008E7031"/>
    <w:rsid w:val="008F0210"/>
    <w:rsid w:val="008F1270"/>
    <w:rsid w:val="008F2600"/>
    <w:rsid w:val="008F5D52"/>
    <w:rsid w:val="008F5FEC"/>
    <w:rsid w:val="008F68C1"/>
    <w:rsid w:val="008F762C"/>
    <w:rsid w:val="008F7B96"/>
    <w:rsid w:val="00901E57"/>
    <w:rsid w:val="00904F17"/>
    <w:rsid w:val="0090559B"/>
    <w:rsid w:val="009162DE"/>
    <w:rsid w:val="0092067E"/>
    <w:rsid w:val="00921926"/>
    <w:rsid w:val="00922966"/>
    <w:rsid w:val="00926921"/>
    <w:rsid w:val="00933451"/>
    <w:rsid w:val="009359FF"/>
    <w:rsid w:val="00937AE3"/>
    <w:rsid w:val="00937D24"/>
    <w:rsid w:val="0094046D"/>
    <w:rsid w:val="009424C8"/>
    <w:rsid w:val="00943175"/>
    <w:rsid w:val="0094428E"/>
    <w:rsid w:val="00944470"/>
    <w:rsid w:val="0095741D"/>
    <w:rsid w:val="00961C83"/>
    <w:rsid w:val="00967711"/>
    <w:rsid w:val="00971720"/>
    <w:rsid w:val="0097288F"/>
    <w:rsid w:val="009739EE"/>
    <w:rsid w:val="0098005E"/>
    <w:rsid w:val="009812F4"/>
    <w:rsid w:val="0098207E"/>
    <w:rsid w:val="00982BB5"/>
    <w:rsid w:val="00993020"/>
    <w:rsid w:val="00994D39"/>
    <w:rsid w:val="009A1BBA"/>
    <w:rsid w:val="009A74A8"/>
    <w:rsid w:val="009B6120"/>
    <w:rsid w:val="009C074D"/>
    <w:rsid w:val="009C2F76"/>
    <w:rsid w:val="009C6806"/>
    <w:rsid w:val="009C6AC4"/>
    <w:rsid w:val="009D1D7C"/>
    <w:rsid w:val="009D6368"/>
    <w:rsid w:val="009D6A19"/>
    <w:rsid w:val="009D7A39"/>
    <w:rsid w:val="009E5BFD"/>
    <w:rsid w:val="009E62C3"/>
    <w:rsid w:val="009E6E7F"/>
    <w:rsid w:val="009E7642"/>
    <w:rsid w:val="009E7D16"/>
    <w:rsid w:val="009F097D"/>
    <w:rsid w:val="009F385A"/>
    <w:rsid w:val="009F3E5D"/>
    <w:rsid w:val="009F5312"/>
    <w:rsid w:val="00A00268"/>
    <w:rsid w:val="00A01F95"/>
    <w:rsid w:val="00A02D59"/>
    <w:rsid w:val="00A04EF8"/>
    <w:rsid w:val="00A0594A"/>
    <w:rsid w:val="00A07FB9"/>
    <w:rsid w:val="00A10F04"/>
    <w:rsid w:val="00A12C47"/>
    <w:rsid w:val="00A142C5"/>
    <w:rsid w:val="00A2037B"/>
    <w:rsid w:val="00A23E04"/>
    <w:rsid w:val="00A3046A"/>
    <w:rsid w:val="00A30D3A"/>
    <w:rsid w:val="00A36FC1"/>
    <w:rsid w:val="00A44357"/>
    <w:rsid w:val="00A44A11"/>
    <w:rsid w:val="00A46E8E"/>
    <w:rsid w:val="00A471C6"/>
    <w:rsid w:val="00A50C62"/>
    <w:rsid w:val="00A50DC0"/>
    <w:rsid w:val="00A52C4A"/>
    <w:rsid w:val="00A53F4B"/>
    <w:rsid w:val="00A542E0"/>
    <w:rsid w:val="00A56737"/>
    <w:rsid w:val="00A612E2"/>
    <w:rsid w:val="00A62D4F"/>
    <w:rsid w:val="00A64927"/>
    <w:rsid w:val="00A72F06"/>
    <w:rsid w:val="00A730F2"/>
    <w:rsid w:val="00A745A5"/>
    <w:rsid w:val="00A77303"/>
    <w:rsid w:val="00A77FFD"/>
    <w:rsid w:val="00A84995"/>
    <w:rsid w:val="00A932BD"/>
    <w:rsid w:val="00AA148D"/>
    <w:rsid w:val="00AA3740"/>
    <w:rsid w:val="00AB4554"/>
    <w:rsid w:val="00AB55F5"/>
    <w:rsid w:val="00AB73AA"/>
    <w:rsid w:val="00AC47B6"/>
    <w:rsid w:val="00AD0504"/>
    <w:rsid w:val="00AE2CAF"/>
    <w:rsid w:val="00AE47C1"/>
    <w:rsid w:val="00AE515E"/>
    <w:rsid w:val="00AF1952"/>
    <w:rsid w:val="00AF1CCD"/>
    <w:rsid w:val="00AF3126"/>
    <w:rsid w:val="00AF33D9"/>
    <w:rsid w:val="00AF69BA"/>
    <w:rsid w:val="00B01EC3"/>
    <w:rsid w:val="00B021BE"/>
    <w:rsid w:val="00B11701"/>
    <w:rsid w:val="00B11E80"/>
    <w:rsid w:val="00B15347"/>
    <w:rsid w:val="00B165DE"/>
    <w:rsid w:val="00B232FD"/>
    <w:rsid w:val="00B25718"/>
    <w:rsid w:val="00B25A7A"/>
    <w:rsid w:val="00B25E01"/>
    <w:rsid w:val="00B260E7"/>
    <w:rsid w:val="00B30AE8"/>
    <w:rsid w:val="00B332B2"/>
    <w:rsid w:val="00B33415"/>
    <w:rsid w:val="00B34CCC"/>
    <w:rsid w:val="00B34FF5"/>
    <w:rsid w:val="00B35254"/>
    <w:rsid w:val="00B36EC7"/>
    <w:rsid w:val="00B36EDD"/>
    <w:rsid w:val="00B443FC"/>
    <w:rsid w:val="00B5618B"/>
    <w:rsid w:val="00B57576"/>
    <w:rsid w:val="00B60DD8"/>
    <w:rsid w:val="00B628C5"/>
    <w:rsid w:val="00B63684"/>
    <w:rsid w:val="00B66EEA"/>
    <w:rsid w:val="00B71933"/>
    <w:rsid w:val="00B8078D"/>
    <w:rsid w:val="00B81DC9"/>
    <w:rsid w:val="00B81EC3"/>
    <w:rsid w:val="00B836B8"/>
    <w:rsid w:val="00B85D2D"/>
    <w:rsid w:val="00B91847"/>
    <w:rsid w:val="00BC128A"/>
    <w:rsid w:val="00BC21BA"/>
    <w:rsid w:val="00BC3A77"/>
    <w:rsid w:val="00BC41DB"/>
    <w:rsid w:val="00BC5808"/>
    <w:rsid w:val="00BC76F4"/>
    <w:rsid w:val="00BD12A3"/>
    <w:rsid w:val="00BD25A1"/>
    <w:rsid w:val="00BE1F84"/>
    <w:rsid w:val="00BE4A11"/>
    <w:rsid w:val="00BF3717"/>
    <w:rsid w:val="00BF47B0"/>
    <w:rsid w:val="00BF5224"/>
    <w:rsid w:val="00BF5327"/>
    <w:rsid w:val="00BF69A2"/>
    <w:rsid w:val="00C17809"/>
    <w:rsid w:val="00C21B89"/>
    <w:rsid w:val="00C21D33"/>
    <w:rsid w:val="00C22EF6"/>
    <w:rsid w:val="00C2549B"/>
    <w:rsid w:val="00C32E1D"/>
    <w:rsid w:val="00C37498"/>
    <w:rsid w:val="00C42A45"/>
    <w:rsid w:val="00C4377C"/>
    <w:rsid w:val="00C46F29"/>
    <w:rsid w:val="00C47F0F"/>
    <w:rsid w:val="00C5099B"/>
    <w:rsid w:val="00C51D84"/>
    <w:rsid w:val="00C52506"/>
    <w:rsid w:val="00C53F1B"/>
    <w:rsid w:val="00C66ABC"/>
    <w:rsid w:val="00C7167B"/>
    <w:rsid w:val="00C76241"/>
    <w:rsid w:val="00C82259"/>
    <w:rsid w:val="00C94014"/>
    <w:rsid w:val="00CA003A"/>
    <w:rsid w:val="00CA0508"/>
    <w:rsid w:val="00CA103D"/>
    <w:rsid w:val="00CA1049"/>
    <w:rsid w:val="00CA174B"/>
    <w:rsid w:val="00CA57E5"/>
    <w:rsid w:val="00CB0A99"/>
    <w:rsid w:val="00CC3E16"/>
    <w:rsid w:val="00CD4EE0"/>
    <w:rsid w:val="00CE2F4A"/>
    <w:rsid w:val="00CE3B9F"/>
    <w:rsid w:val="00CE4E9A"/>
    <w:rsid w:val="00CF0054"/>
    <w:rsid w:val="00CF2C65"/>
    <w:rsid w:val="00CF55AD"/>
    <w:rsid w:val="00CF5AAE"/>
    <w:rsid w:val="00D003E9"/>
    <w:rsid w:val="00D00D4F"/>
    <w:rsid w:val="00D0243F"/>
    <w:rsid w:val="00D0282E"/>
    <w:rsid w:val="00D110F0"/>
    <w:rsid w:val="00D11D0C"/>
    <w:rsid w:val="00D1605E"/>
    <w:rsid w:val="00D347A4"/>
    <w:rsid w:val="00D347D6"/>
    <w:rsid w:val="00D34DCC"/>
    <w:rsid w:val="00D34DF9"/>
    <w:rsid w:val="00D37547"/>
    <w:rsid w:val="00D37876"/>
    <w:rsid w:val="00D37F10"/>
    <w:rsid w:val="00D40E37"/>
    <w:rsid w:val="00D463E9"/>
    <w:rsid w:val="00D53DA4"/>
    <w:rsid w:val="00D55190"/>
    <w:rsid w:val="00D639B2"/>
    <w:rsid w:val="00D65547"/>
    <w:rsid w:val="00D748EC"/>
    <w:rsid w:val="00D75789"/>
    <w:rsid w:val="00D81AEC"/>
    <w:rsid w:val="00D84439"/>
    <w:rsid w:val="00D84ED2"/>
    <w:rsid w:val="00D865F9"/>
    <w:rsid w:val="00D908ED"/>
    <w:rsid w:val="00D91F2B"/>
    <w:rsid w:val="00D92E65"/>
    <w:rsid w:val="00DA20BB"/>
    <w:rsid w:val="00DB155E"/>
    <w:rsid w:val="00DC1E60"/>
    <w:rsid w:val="00DC51AB"/>
    <w:rsid w:val="00DC5CF2"/>
    <w:rsid w:val="00DC67F1"/>
    <w:rsid w:val="00DD1AC3"/>
    <w:rsid w:val="00DD60CC"/>
    <w:rsid w:val="00DD776E"/>
    <w:rsid w:val="00DD7B43"/>
    <w:rsid w:val="00DE60D2"/>
    <w:rsid w:val="00DF09AD"/>
    <w:rsid w:val="00DF202F"/>
    <w:rsid w:val="00DF3200"/>
    <w:rsid w:val="00DF771C"/>
    <w:rsid w:val="00E101FD"/>
    <w:rsid w:val="00E10AE2"/>
    <w:rsid w:val="00E12916"/>
    <w:rsid w:val="00E13BC3"/>
    <w:rsid w:val="00E200F5"/>
    <w:rsid w:val="00E21875"/>
    <w:rsid w:val="00E22398"/>
    <w:rsid w:val="00E25407"/>
    <w:rsid w:val="00E32599"/>
    <w:rsid w:val="00E330CD"/>
    <w:rsid w:val="00E33B0E"/>
    <w:rsid w:val="00E417AB"/>
    <w:rsid w:val="00E446A6"/>
    <w:rsid w:val="00E459FD"/>
    <w:rsid w:val="00E45F49"/>
    <w:rsid w:val="00E53CB5"/>
    <w:rsid w:val="00E53CCD"/>
    <w:rsid w:val="00E670CF"/>
    <w:rsid w:val="00E71855"/>
    <w:rsid w:val="00E719A9"/>
    <w:rsid w:val="00E8754F"/>
    <w:rsid w:val="00E94E17"/>
    <w:rsid w:val="00EA1CC3"/>
    <w:rsid w:val="00EA1DE4"/>
    <w:rsid w:val="00EA4EB1"/>
    <w:rsid w:val="00EA60EA"/>
    <w:rsid w:val="00EB29BF"/>
    <w:rsid w:val="00EB3662"/>
    <w:rsid w:val="00EC1265"/>
    <w:rsid w:val="00EC358D"/>
    <w:rsid w:val="00EC4CF6"/>
    <w:rsid w:val="00EC7DB3"/>
    <w:rsid w:val="00ED3333"/>
    <w:rsid w:val="00EE4ABD"/>
    <w:rsid w:val="00EE5940"/>
    <w:rsid w:val="00EF0323"/>
    <w:rsid w:val="00EF0E80"/>
    <w:rsid w:val="00EF2367"/>
    <w:rsid w:val="00EF3001"/>
    <w:rsid w:val="00EF3651"/>
    <w:rsid w:val="00EF45BD"/>
    <w:rsid w:val="00EF4994"/>
    <w:rsid w:val="00F000B5"/>
    <w:rsid w:val="00F003D3"/>
    <w:rsid w:val="00F006EF"/>
    <w:rsid w:val="00F008AB"/>
    <w:rsid w:val="00F022A8"/>
    <w:rsid w:val="00F03E32"/>
    <w:rsid w:val="00F0544D"/>
    <w:rsid w:val="00F153D6"/>
    <w:rsid w:val="00F16501"/>
    <w:rsid w:val="00F23938"/>
    <w:rsid w:val="00F25A20"/>
    <w:rsid w:val="00F307EC"/>
    <w:rsid w:val="00F363E1"/>
    <w:rsid w:val="00F42E75"/>
    <w:rsid w:val="00F44768"/>
    <w:rsid w:val="00F50B74"/>
    <w:rsid w:val="00F517FA"/>
    <w:rsid w:val="00F52D16"/>
    <w:rsid w:val="00F5743E"/>
    <w:rsid w:val="00F62D67"/>
    <w:rsid w:val="00F63BD9"/>
    <w:rsid w:val="00F64762"/>
    <w:rsid w:val="00F65A4D"/>
    <w:rsid w:val="00F66540"/>
    <w:rsid w:val="00F665D1"/>
    <w:rsid w:val="00F6694C"/>
    <w:rsid w:val="00F700A0"/>
    <w:rsid w:val="00F73321"/>
    <w:rsid w:val="00F77B65"/>
    <w:rsid w:val="00F77FA0"/>
    <w:rsid w:val="00F8145F"/>
    <w:rsid w:val="00F81D91"/>
    <w:rsid w:val="00F8349A"/>
    <w:rsid w:val="00F84E18"/>
    <w:rsid w:val="00F9283D"/>
    <w:rsid w:val="00F92AB8"/>
    <w:rsid w:val="00F95A0F"/>
    <w:rsid w:val="00F96F18"/>
    <w:rsid w:val="00FA508E"/>
    <w:rsid w:val="00FA5320"/>
    <w:rsid w:val="00FA5798"/>
    <w:rsid w:val="00FA606D"/>
    <w:rsid w:val="00FA7846"/>
    <w:rsid w:val="00FB3295"/>
    <w:rsid w:val="00FB70C0"/>
    <w:rsid w:val="00FC058B"/>
    <w:rsid w:val="00FC26E5"/>
    <w:rsid w:val="00FC7C0C"/>
    <w:rsid w:val="00FD19F1"/>
    <w:rsid w:val="00FD370F"/>
    <w:rsid w:val="00FD72DB"/>
    <w:rsid w:val="00FE0B90"/>
    <w:rsid w:val="00FE3D53"/>
    <w:rsid w:val="00FF1D5C"/>
    <w:rsid w:val="00FF4C41"/>
    <w:rsid w:val="00FF75B2"/>
    <w:rsid w:val="00FF78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56EFBE"/>
  <w15:docId w15:val="{2E968BEB-DBDD-45BD-9244-56F9F947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aliases w:val="Название"/>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aliases w:val="Название Знак"/>
    <w:basedOn w:val="a0"/>
    <w:link w:val="a3"/>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Hyperlink"/>
    <w:basedOn w:val="a0"/>
    <w:uiPriority w:val="99"/>
    <w:semiHidden/>
    <w:unhideWhenUsed/>
    <w:rsid w:val="00485E6C"/>
    <w:rPr>
      <w:color w:val="0000FF"/>
      <w:u w:val="single"/>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ак,Знак Зна"/>
    <w:basedOn w:val="a"/>
    <w:link w:val="af7"/>
    <w:uiPriority w:val="99"/>
    <w:unhideWhenUsed/>
    <w:qFormat/>
    <w:rsid w:val="00C2549B"/>
    <w:pPr>
      <w:jc w:val="left"/>
    </w:pPr>
    <w:rPr>
      <w:sz w:val="20"/>
      <w:szCs w:val="20"/>
    </w:rPr>
  </w:style>
  <w:style w:type="character" w:customStyle="1" w:styleId="af7">
    <w:name w:val="Текст ви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 Знак,Знак Зна Знак"/>
    <w:basedOn w:val="a0"/>
    <w:link w:val="af6"/>
    <w:uiPriority w:val="99"/>
    <w:qFormat/>
    <w:rsid w:val="00C2549B"/>
    <w:rPr>
      <w:rFonts w:ascii="Times New Roman" w:hAnsi="Times New Roman" w:cs="Times New Roman"/>
      <w:sz w:val="20"/>
      <w:szCs w:val="20"/>
      <w:lang w:eastAsia="uk-UA"/>
    </w:rPr>
  </w:style>
  <w:style w:type="character" w:styleId="af8">
    <w:name w:val="footnote reference"/>
    <w:aliases w:val="fr,Знак сноски1,Footnote Reference Number,Знак сноски"/>
    <w:uiPriority w:val="99"/>
    <w:unhideWhenUsed/>
    <w:qFormat/>
    <w:rsid w:val="00C2549B"/>
    <w:rPr>
      <w:rFonts w:cs="Times New Roman"/>
      <w:vertAlign w:val="superscript"/>
    </w:rPr>
  </w:style>
  <w:style w:type="character" w:customStyle="1" w:styleId="af4">
    <w:name w:val="Абзац списку Знак"/>
    <w:link w:val="af3"/>
    <w:uiPriority w:val="34"/>
    <w:locked/>
    <w:rsid w:val="00C2549B"/>
    <w:rPr>
      <w:rFonts w:ascii="Times New Roman" w:hAnsi="Times New Roman" w:cs="Times New Roman"/>
      <w:sz w:val="28"/>
      <w:szCs w:val="28"/>
      <w:lang w:eastAsia="uk-UA"/>
    </w:rPr>
  </w:style>
  <w:style w:type="paragraph" w:customStyle="1" w:styleId="rvps2">
    <w:name w:val="rvps2"/>
    <w:basedOn w:val="a"/>
    <w:qFormat/>
    <w:rsid w:val="00C2549B"/>
    <w:pPr>
      <w:spacing w:before="100" w:beforeAutospacing="1" w:after="100" w:afterAutospacing="1"/>
      <w:jc w:val="left"/>
    </w:pPr>
    <w:rPr>
      <w:sz w:val="24"/>
      <w:szCs w:val="24"/>
    </w:rPr>
  </w:style>
  <w:style w:type="character" w:styleId="af9">
    <w:name w:val="annotation reference"/>
    <w:uiPriority w:val="99"/>
    <w:rsid w:val="00C2549B"/>
    <w:rPr>
      <w:rFonts w:cs="Times New Roman"/>
      <w:sz w:val="16"/>
      <w:szCs w:val="16"/>
    </w:rPr>
  </w:style>
  <w:style w:type="paragraph" w:customStyle="1" w:styleId="tj">
    <w:name w:val="tj"/>
    <w:basedOn w:val="a"/>
    <w:rsid w:val="00C2549B"/>
    <w:pPr>
      <w:spacing w:before="100" w:beforeAutospacing="1" w:after="100" w:afterAutospacing="1"/>
      <w:jc w:val="left"/>
    </w:pPr>
    <w:rPr>
      <w:sz w:val="24"/>
      <w:szCs w:val="24"/>
    </w:rPr>
  </w:style>
  <w:style w:type="paragraph" w:styleId="afa">
    <w:name w:val="annotation text"/>
    <w:basedOn w:val="a"/>
    <w:link w:val="afb"/>
    <w:uiPriority w:val="99"/>
    <w:unhideWhenUsed/>
    <w:rsid w:val="00257A3D"/>
    <w:pPr>
      <w:spacing w:after="160"/>
      <w:jc w:val="left"/>
    </w:pPr>
    <w:rPr>
      <w:rFonts w:ascii="Calibri" w:hAnsi="Calibri"/>
      <w:sz w:val="20"/>
      <w:szCs w:val="20"/>
      <w:lang w:eastAsia="en-US"/>
    </w:rPr>
  </w:style>
  <w:style w:type="character" w:customStyle="1" w:styleId="afb">
    <w:name w:val="Текст примітки Знак"/>
    <w:basedOn w:val="a0"/>
    <w:link w:val="afa"/>
    <w:uiPriority w:val="99"/>
    <w:rsid w:val="00257A3D"/>
    <w:rPr>
      <w:rFonts w:ascii="Calibri" w:hAnsi="Calibri" w:cs="Times New Roman"/>
      <w:sz w:val="20"/>
      <w:szCs w:val="20"/>
    </w:rPr>
  </w:style>
  <w:style w:type="paragraph" w:styleId="afc">
    <w:name w:val="Body Text"/>
    <w:aliases w:val="body text Знак,body text Char Знак,body text Char Char Знак,Body Text Char Знак,body text Char1 Знак,body text Char Char Char Знак,body text Char Char Char Char,body text Char,body text Char Char"/>
    <w:basedOn w:val="a"/>
    <w:link w:val="afd"/>
    <w:uiPriority w:val="99"/>
    <w:rsid w:val="00632DC0"/>
    <w:pPr>
      <w:spacing w:after="120"/>
      <w:jc w:val="left"/>
    </w:pPr>
    <w:rPr>
      <w:rFonts w:ascii="Calibri" w:hAnsi="Calibri"/>
      <w:sz w:val="24"/>
      <w:szCs w:val="20"/>
    </w:rPr>
  </w:style>
  <w:style w:type="character" w:customStyle="1" w:styleId="afd">
    <w:name w:val="Основний текст Знак"/>
    <w:aliases w:val="body text Знак Знак,body text Char Знак Знак,body text Char Char Знак Знак,Body Text Char Знак Знак,body text Char1 Знак Знак,body text Char Char Char Знак Знак,body text Char Char Char Char Знак,body text Char Знак1"/>
    <w:basedOn w:val="a0"/>
    <w:link w:val="afc"/>
    <w:uiPriority w:val="99"/>
    <w:rsid w:val="00632DC0"/>
    <w:rPr>
      <w:rFonts w:ascii="Calibri" w:hAnsi="Calibri" w:cs="Times New Roman"/>
      <w:sz w:val="24"/>
      <w:szCs w:val="20"/>
      <w:lang w:eastAsia="uk-UA"/>
    </w:rPr>
  </w:style>
  <w:style w:type="paragraph" w:styleId="afe">
    <w:name w:val="annotation subject"/>
    <w:basedOn w:val="afa"/>
    <w:next w:val="afa"/>
    <w:link w:val="aff"/>
    <w:uiPriority w:val="99"/>
    <w:semiHidden/>
    <w:unhideWhenUsed/>
    <w:rsid w:val="004F226E"/>
    <w:pPr>
      <w:spacing w:after="0"/>
      <w:jc w:val="both"/>
    </w:pPr>
    <w:rPr>
      <w:rFonts w:ascii="Times New Roman" w:hAnsi="Times New Roman"/>
      <w:b/>
      <w:bCs/>
      <w:lang w:eastAsia="uk-UA"/>
    </w:rPr>
  </w:style>
  <w:style w:type="character" w:customStyle="1" w:styleId="aff">
    <w:name w:val="Тема примітки Знак"/>
    <w:basedOn w:val="afb"/>
    <w:link w:val="afe"/>
    <w:uiPriority w:val="99"/>
    <w:semiHidden/>
    <w:rsid w:val="004F226E"/>
    <w:rPr>
      <w:rFonts w:ascii="Times New Roman" w:hAnsi="Times New Roman" w:cs="Times New Roman"/>
      <w:b/>
      <w:bCs/>
      <w:sz w:val="20"/>
      <w:szCs w:val="20"/>
      <w:lang w:eastAsia="uk-UA"/>
    </w:rPr>
  </w:style>
  <w:style w:type="paragraph" w:customStyle="1" w:styleId="Default">
    <w:name w:val="Default"/>
    <w:rsid w:val="002E703A"/>
    <w:pPr>
      <w:autoSpaceDE w:val="0"/>
      <w:autoSpaceDN w:val="0"/>
      <w:adjustRightInd w:val="0"/>
      <w:spacing w:after="0" w:line="240" w:lineRule="auto"/>
    </w:pPr>
    <w:rPr>
      <w:rFonts w:ascii="Arial" w:eastAsiaTheme="minorHAnsi" w:hAnsi="Arial" w:cs="Arial"/>
      <w:color w:val="000000"/>
      <w:sz w:val="24"/>
      <w:szCs w:val="24"/>
    </w:rPr>
  </w:style>
  <w:style w:type="paragraph" w:styleId="aff0">
    <w:name w:val="Revision"/>
    <w:hidden/>
    <w:uiPriority w:val="99"/>
    <w:semiHidden/>
    <w:rsid w:val="003B3353"/>
    <w:pPr>
      <w:spacing w:after="0" w:line="240" w:lineRule="auto"/>
    </w:pPr>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77217">
      <w:bodyDiv w:val="1"/>
      <w:marLeft w:val="0"/>
      <w:marRight w:val="0"/>
      <w:marTop w:val="0"/>
      <w:marBottom w:val="0"/>
      <w:divBdr>
        <w:top w:val="none" w:sz="0" w:space="0" w:color="auto"/>
        <w:left w:val="none" w:sz="0" w:space="0" w:color="auto"/>
        <w:bottom w:val="none" w:sz="0" w:space="0" w:color="auto"/>
        <w:right w:val="none" w:sz="0" w:space="0" w:color="auto"/>
      </w:divBdr>
      <w:divsChild>
        <w:div w:id="1166936235">
          <w:marLeft w:val="0"/>
          <w:marRight w:val="0"/>
          <w:marTop w:val="0"/>
          <w:marBottom w:val="0"/>
          <w:divBdr>
            <w:top w:val="none" w:sz="0" w:space="0" w:color="auto"/>
            <w:left w:val="none" w:sz="0" w:space="0" w:color="auto"/>
            <w:bottom w:val="none" w:sz="0" w:space="0" w:color="auto"/>
            <w:right w:val="none" w:sz="0" w:space="0" w:color="auto"/>
          </w:divBdr>
        </w:div>
        <w:div w:id="272903474">
          <w:marLeft w:val="0"/>
          <w:marRight w:val="0"/>
          <w:marTop w:val="0"/>
          <w:marBottom w:val="0"/>
          <w:divBdr>
            <w:top w:val="none" w:sz="0" w:space="0" w:color="auto"/>
            <w:left w:val="none" w:sz="0" w:space="0" w:color="auto"/>
            <w:bottom w:val="none" w:sz="0" w:space="0" w:color="auto"/>
            <w:right w:val="none" w:sz="0" w:space="0" w:color="auto"/>
          </w:divBdr>
        </w:div>
        <w:div w:id="1929344398">
          <w:marLeft w:val="0"/>
          <w:marRight w:val="0"/>
          <w:marTop w:val="0"/>
          <w:marBottom w:val="0"/>
          <w:divBdr>
            <w:top w:val="none" w:sz="0" w:space="0" w:color="auto"/>
            <w:left w:val="none" w:sz="0" w:space="0" w:color="auto"/>
            <w:bottom w:val="none" w:sz="0" w:space="0" w:color="auto"/>
            <w:right w:val="none" w:sz="0" w:space="0" w:color="auto"/>
          </w:divBdr>
        </w:div>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 w:id="1008365596">
      <w:bodyDiv w:val="1"/>
      <w:marLeft w:val="0"/>
      <w:marRight w:val="0"/>
      <w:marTop w:val="0"/>
      <w:marBottom w:val="0"/>
      <w:divBdr>
        <w:top w:val="none" w:sz="0" w:space="0" w:color="auto"/>
        <w:left w:val="none" w:sz="0" w:space="0" w:color="auto"/>
        <w:bottom w:val="none" w:sz="0" w:space="0" w:color="auto"/>
        <w:right w:val="none" w:sz="0" w:space="0" w:color="auto"/>
      </w:divBdr>
      <w:divsChild>
        <w:div w:id="1405640138">
          <w:marLeft w:val="0"/>
          <w:marRight w:val="0"/>
          <w:marTop w:val="0"/>
          <w:marBottom w:val="0"/>
          <w:divBdr>
            <w:top w:val="none" w:sz="0" w:space="0" w:color="auto"/>
            <w:left w:val="none" w:sz="0" w:space="0" w:color="auto"/>
            <w:bottom w:val="none" w:sz="0" w:space="0" w:color="auto"/>
            <w:right w:val="none" w:sz="0" w:space="0" w:color="auto"/>
          </w:divBdr>
        </w:div>
        <w:div w:id="525944992">
          <w:marLeft w:val="0"/>
          <w:marRight w:val="0"/>
          <w:marTop w:val="0"/>
          <w:marBottom w:val="0"/>
          <w:divBdr>
            <w:top w:val="none" w:sz="0" w:space="0" w:color="auto"/>
            <w:left w:val="none" w:sz="0" w:space="0" w:color="auto"/>
            <w:bottom w:val="none" w:sz="0" w:space="0" w:color="auto"/>
            <w:right w:val="none" w:sz="0" w:space="0" w:color="auto"/>
          </w:divBdr>
        </w:div>
      </w:divsChild>
    </w:div>
    <w:div w:id="1497762521">
      <w:bodyDiv w:val="1"/>
      <w:marLeft w:val="0"/>
      <w:marRight w:val="0"/>
      <w:marTop w:val="0"/>
      <w:marBottom w:val="0"/>
      <w:divBdr>
        <w:top w:val="none" w:sz="0" w:space="0" w:color="auto"/>
        <w:left w:val="none" w:sz="0" w:space="0" w:color="auto"/>
        <w:bottom w:val="none" w:sz="0" w:space="0" w:color="auto"/>
        <w:right w:val="none" w:sz="0" w:space="0" w:color="auto"/>
      </w:divBdr>
    </w:div>
    <w:div w:id="1649279992">
      <w:bodyDiv w:val="1"/>
      <w:marLeft w:val="0"/>
      <w:marRight w:val="0"/>
      <w:marTop w:val="0"/>
      <w:marBottom w:val="0"/>
      <w:divBdr>
        <w:top w:val="none" w:sz="0" w:space="0" w:color="auto"/>
        <w:left w:val="none" w:sz="0" w:space="0" w:color="auto"/>
        <w:bottom w:val="none" w:sz="0" w:space="0" w:color="auto"/>
        <w:right w:val="none" w:sz="0" w:space="0" w:color="auto"/>
      </w:divBdr>
    </w:div>
    <w:div w:id="16895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ps.ligazakon.net/document/view/t141702?ed=2014_12_28&amp;an=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3CD591-7252-4A4C-A2CF-13AFBF5C0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3482A2-DF2C-4457-BE6A-2B6191A58F81}">
  <ds:schemaRefs>
    <ds:schemaRef ds:uri="http://schemas.microsoft.com/sharepoint/v3/contenttype/forms"/>
  </ds:schemaRefs>
</ds:datastoreItem>
</file>

<file path=customXml/itemProps4.xml><?xml version="1.0" encoding="utf-8"?>
<ds:datastoreItem xmlns:ds="http://schemas.openxmlformats.org/officeDocument/2006/customXml" ds:itemID="{41A207D9-E9B2-4795-85D9-F103AECC912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634827-77AC-4DD5-84EC-C8423FCB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30971</Words>
  <Characters>17655</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48529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Лєдок Дмитро Сергійович</cp:lastModifiedBy>
  <cp:revision>10</cp:revision>
  <cp:lastPrinted>2015-04-06T07:59:00Z</cp:lastPrinted>
  <dcterms:created xsi:type="dcterms:W3CDTF">2023-07-27T06:39:00Z</dcterms:created>
  <dcterms:modified xsi:type="dcterms:W3CDTF">2023-08-01T14:21:00Z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