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9EB00" w14:textId="77777777" w:rsidR="006070A5" w:rsidRPr="00565C3D" w:rsidRDefault="006070A5" w:rsidP="006070A5"/>
    <w:p w14:paraId="2179365E" w14:textId="77777777" w:rsidR="00CB3AC5" w:rsidRPr="00565C3D" w:rsidRDefault="00CB3AC5" w:rsidP="006070A5">
      <w:pPr>
        <w:rPr>
          <w:sz w:val="2"/>
          <w:szCs w:val="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27"/>
        <w:gridCol w:w="3204"/>
      </w:tblGrid>
      <w:tr w:rsidR="006070A5" w:rsidRPr="00565C3D" w14:paraId="0DCE740E" w14:textId="77777777" w:rsidTr="0009252C">
        <w:trPr>
          <w:trHeight w:val="851"/>
        </w:trPr>
        <w:tc>
          <w:tcPr>
            <w:tcW w:w="3284" w:type="dxa"/>
          </w:tcPr>
          <w:p w14:paraId="4227860C" w14:textId="77777777" w:rsidR="006070A5" w:rsidRPr="00565C3D" w:rsidRDefault="006070A5" w:rsidP="0009252C"/>
        </w:tc>
        <w:tc>
          <w:tcPr>
            <w:tcW w:w="3285" w:type="dxa"/>
            <w:vMerge w:val="restart"/>
          </w:tcPr>
          <w:p w14:paraId="014E424B" w14:textId="77777777" w:rsidR="006070A5" w:rsidRPr="00565C3D" w:rsidRDefault="006070A5" w:rsidP="0009252C">
            <w:pPr>
              <w:jc w:val="center"/>
            </w:pPr>
            <w:r w:rsidRPr="00565C3D">
              <w:object w:dxaOrig="1595" w:dyaOrig="2201" w14:anchorId="2530BF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7.25pt" o:ole="">
                  <v:imagedata r:id="rId12" o:title=""/>
                </v:shape>
                <o:OLEObject Type="Embed" ProgID="CorelDraw.Graphic.16" ShapeID="_x0000_i1025" DrawAspect="Content" ObjectID="_1755083356" r:id="rId13"/>
              </w:object>
            </w:r>
          </w:p>
        </w:tc>
        <w:tc>
          <w:tcPr>
            <w:tcW w:w="3285" w:type="dxa"/>
          </w:tcPr>
          <w:p w14:paraId="3251F91C" w14:textId="77777777" w:rsidR="006070A5" w:rsidRPr="00565C3D" w:rsidRDefault="006070A5" w:rsidP="0009252C"/>
        </w:tc>
      </w:tr>
      <w:tr w:rsidR="006070A5" w:rsidRPr="00565C3D" w14:paraId="2542F381" w14:textId="77777777" w:rsidTr="0009252C">
        <w:tc>
          <w:tcPr>
            <w:tcW w:w="3284" w:type="dxa"/>
          </w:tcPr>
          <w:p w14:paraId="4446E3A3" w14:textId="77777777" w:rsidR="006070A5" w:rsidRPr="00565C3D" w:rsidRDefault="006070A5" w:rsidP="0009252C"/>
        </w:tc>
        <w:tc>
          <w:tcPr>
            <w:tcW w:w="3285" w:type="dxa"/>
            <w:vMerge/>
          </w:tcPr>
          <w:p w14:paraId="6E97BC4A" w14:textId="77777777" w:rsidR="006070A5" w:rsidRPr="00565C3D" w:rsidRDefault="006070A5" w:rsidP="0009252C"/>
        </w:tc>
        <w:tc>
          <w:tcPr>
            <w:tcW w:w="3285" w:type="dxa"/>
          </w:tcPr>
          <w:p w14:paraId="4E1F63C2" w14:textId="77777777" w:rsidR="006070A5" w:rsidRPr="00565C3D" w:rsidRDefault="006070A5" w:rsidP="0009252C"/>
        </w:tc>
      </w:tr>
      <w:tr w:rsidR="006070A5" w:rsidRPr="00565C3D" w14:paraId="42399FFB" w14:textId="77777777" w:rsidTr="0009252C">
        <w:tc>
          <w:tcPr>
            <w:tcW w:w="9854" w:type="dxa"/>
            <w:gridSpan w:val="3"/>
          </w:tcPr>
          <w:p w14:paraId="1484502B" w14:textId="77777777" w:rsidR="006070A5" w:rsidRPr="00565C3D" w:rsidRDefault="006070A5" w:rsidP="0009252C">
            <w:pPr>
              <w:tabs>
                <w:tab w:val="left" w:pos="-3600"/>
              </w:tabs>
              <w:spacing w:before="120" w:after="120"/>
              <w:jc w:val="center"/>
              <w:rPr>
                <w:b/>
                <w:bCs/>
                <w:color w:val="006600"/>
                <w:spacing w:val="10"/>
              </w:rPr>
            </w:pPr>
            <w:r w:rsidRPr="00565C3D">
              <w:rPr>
                <w:b/>
                <w:bCs/>
                <w:color w:val="006600"/>
                <w:spacing w:val="10"/>
              </w:rPr>
              <w:t>Правління Національного банку України</w:t>
            </w:r>
          </w:p>
          <w:p w14:paraId="33042CDB" w14:textId="77777777" w:rsidR="006070A5" w:rsidRPr="00565C3D" w:rsidRDefault="00CB3AC5" w:rsidP="0009252C">
            <w:pPr>
              <w:jc w:val="center"/>
            </w:pPr>
            <w:r w:rsidRPr="00565C3D">
              <w:rPr>
                <w:b/>
                <w:bCs/>
                <w:color w:val="006600"/>
                <w:sz w:val="32"/>
                <w:szCs w:val="32"/>
              </w:rPr>
              <w:t>Р І Ш Е Н Н Я</w:t>
            </w:r>
          </w:p>
        </w:tc>
      </w:tr>
    </w:tbl>
    <w:p w14:paraId="37BB3288" w14:textId="77777777" w:rsidR="006070A5" w:rsidRPr="00565C3D" w:rsidRDefault="006070A5" w:rsidP="006070A5">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3"/>
        <w:gridCol w:w="2631"/>
        <w:gridCol w:w="1665"/>
        <w:gridCol w:w="1909"/>
      </w:tblGrid>
      <w:tr w:rsidR="006070A5" w:rsidRPr="00565C3D" w14:paraId="226EF1EB" w14:textId="77777777" w:rsidTr="0009252C">
        <w:tc>
          <w:tcPr>
            <w:tcW w:w="3510" w:type="dxa"/>
            <w:vAlign w:val="bottom"/>
          </w:tcPr>
          <w:p w14:paraId="238E56C9" w14:textId="1F51C83F" w:rsidR="006070A5" w:rsidRPr="00565C3D" w:rsidRDefault="00C87B80" w:rsidP="00BB3F2D">
            <w:r>
              <w:t>0</w:t>
            </w:r>
            <w:bookmarkStart w:id="0" w:name="_GoBack"/>
            <w:bookmarkEnd w:id="0"/>
            <w:r>
              <w:t>1 вересня 2023 року</w:t>
            </w:r>
          </w:p>
        </w:tc>
        <w:tc>
          <w:tcPr>
            <w:tcW w:w="2694" w:type="dxa"/>
          </w:tcPr>
          <w:p w14:paraId="26A42C85" w14:textId="77777777" w:rsidR="006070A5" w:rsidRPr="00565C3D" w:rsidRDefault="006070A5" w:rsidP="0009252C">
            <w:pPr>
              <w:spacing w:before="240"/>
              <w:jc w:val="center"/>
            </w:pPr>
            <w:r w:rsidRPr="00565C3D">
              <w:rPr>
                <w:color w:val="006600"/>
              </w:rPr>
              <w:t>Київ</w:t>
            </w:r>
          </w:p>
        </w:tc>
        <w:tc>
          <w:tcPr>
            <w:tcW w:w="1713" w:type="dxa"/>
            <w:vAlign w:val="bottom"/>
          </w:tcPr>
          <w:p w14:paraId="034CB972" w14:textId="77777777" w:rsidR="006070A5" w:rsidRPr="00565C3D" w:rsidRDefault="006070A5" w:rsidP="0009252C">
            <w:pPr>
              <w:jc w:val="right"/>
            </w:pPr>
          </w:p>
        </w:tc>
        <w:tc>
          <w:tcPr>
            <w:tcW w:w="1937" w:type="dxa"/>
            <w:vAlign w:val="bottom"/>
          </w:tcPr>
          <w:p w14:paraId="3172F6B3" w14:textId="6506478D" w:rsidR="006070A5" w:rsidRPr="00565C3D" w:rsidRDefault="00C87B80" w:rsidP="0009252C">
            <w:pPr>
              <w:jc w:val="left"/>
            </w:pPr>
            <w:r>
              <w:t>№ 305-рш</w:t>
            </w:r>
          </w:p>
        </w:tc>
      </w:tr>
    </w:tbl>
    <w:p w14:paraId="15439A64" w14:textId="77777777" w:rsidR="006070A5" w:rsidRPr="00565C3D" w:rsidRDefault="006070A5" w:rsidP="006070A5">
      <w:pPr>
        <w:rPr>
          <w:sz w:val="2"/>
          <w:szCs w:val="2"/>
        </w:rPr>
      </w:pPr>
    </w:p>
    <w:p w14:paraId="5D86B5E2" w14:textId="77777777" w:rsidR="006070A5" w:rsidRPr="00565C3D" w:rsidRDefault="006070A5" w:rsidP="005073F7">
      <w:pPr>
        <w:jc w:val="center"/>
        <w:rPr>
          <w:rFonts w:eastAsiaTheme="minorEastAsia"/>
          <w:color w:val="000000" w:themeColor="text1"/>
          <w:lang w:eastAsia="en-US"/>
        </w:rPr>
      </w:pPr>
    </w:p>
    <w:p w14:paraId="13FC8ADA" w14:textId="77777777" w:rsidR="00121971" w:rsidRPr="00565C3D" w:rsidRDefault="00121971" w:rsidP="005073F7">
      <w:pPr>
        <w:jc w:val="center"/>
        <w:rPr>
          <w:rFonts w:eastAsiaTheme="minorEastAsia"/>
          <w:color w:val="000000" w:themeColor="text1"/>
          <w:lang w:eastAsia="en-US"/>
        </w:rPr>
      </w:pPr>
    </w:p>
    <w:tbl>
      <w:tblPr>
        <w:tblStyle w:val="a9"/>
        <w:tblW w:w="441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6070A5" w:rsidRPr="00565C3D" w14:paraId="50E54AF7" w14:textId="77777777" w:rsidTr="005073F7">
        <w:trPr>
          <w:jc w:val="center"/>
        </w:trPr>
        <w:tc>
          <w:tcPr>
            <w:tcW w:w="5000" w:type="pct"/>
          </w:tcPr>
          <w:p w14:paraId="5A678850" w14:textId="77777777" w:rsidR="00946C38" w:rsidRPr="00565C3D" w:rsidRDefault="006070A5" w:rsidP="005073F7">
            <w:pPr>
              <w:tabs>
                <w:tab w:val="left" w:pos="840"/>
                <w:tab w:val="center" w:pos="3293"/>
              </w:tabs>
              <w:spacing w:before="240" w:after="240"/>
              <w:jc w:val="center"/>
            </w:pPr>
            <w:r w:rsidRPr="00565C3D">
              <w:t xml:space="preserve">Про </w:t>
            </w:r>
            <w:r w:rsidR="00F90614" w:rsidRPr="00565C3D">
              <w:t>внесення</w:t>
            </w:r>
            <w:r w:rsidRPr="00565C3D">
              <w:t xml:space="preserve"> </w:t>
            </w:r>
            <w:r w:rsidR="00C2784C" w:rsidRPr="00565C3D">
              <w:t>змін до</w:t>
            </w:r>
            <w:r w:rsidR="00EC719B" w:rsidRPr="00565C3D">
              <w:t xml:space="preserve"> Технічного завдання для</w:t>
            </w:r>
            <w:r w:rsidR="00EC719B" w:rsidRPr="00565C3D">
              <w:br/>
            </w:r>
            <w:r w:rsidR="00C2784C" w:rsidRPr="00565C3D">
              <w:t>здійс</w:t>
            </w:r>
            <w:r w:rsidR="00EC719B" w:rsidRPr="00565C3D">
              <w:t>нення оцінки стійкості банків і банківської</w:t>
            </w:r>
            <w:r w:rsidR="00EC719B" w:rsidRPr="00565C3D">
              <w:br/>
            </w:r>
            <w:r w:rsidR="00C2784C" w:rsidRPr="00565C3D">
              <w:t>системи України</w:t>
            </w:r>
            <w:r w:rsidR="00EC719B" w:rsidRPr="00565C3D">
              <w:t xml:space="preserve"> </w:t>
            </w:r>
            <w:r w:rsidR="00C2784C" w:rsidRPr="00565C3D">
              <w:t>в 2023 році</w:t>
            </w:r>
          </w:p>
        </w:tc>
      </w:tr>
    </w:tbl>
    <w:p w14:paraId="0779C0C6" w14:textId="77777777" w:rsidR="00121971" w:rsidRPr="00565C3D" w:rsidRDefault="00121971" w:rsidP="00121971">
      <w:pPr>
        <w:spacing w:before="240" w:after="240"/>
        <w:ind w:firstLine="567"/>
      </w:pPr>
    </w:p>
    <w:p w14:paraId="64E513A4" w14:textId="77777777" w:rsidR="00C24404" w:rsidRPr="00565C3D" w:rsidRDefault="00385801" w:rsidP="007239E8">
      <w:pPr>
        <w:ind w:firstLine="567"/>
        <w:rPr>
          <w:b/>
        </w:rPr>
      </w:pPr>
      <w:r w:rsidRPr="00565C3D">
        <w:t>Відповідно до статей 6, 7, 15, 55, 56 Закону України “Про Національний банк України”, статей 66, 67</w:t>
      </w:r>
      <w:r w:rsidR="00CD7522" w:rsidRPr="00565C3D">
        <w:t>,</w:t>
      </w:r>
      <w:r w:rsidRPr="00565C3D">
        <w:t xml:space="preserve"> 70 Закону України “Про банки і банківську діяльність”, пункту 9 розділу IIІ Правил здійснення оцінки стійкості банків і бан</w:t>
      </w:r>
      <w:r w:rsidR="004977F2" w:rsidRPr="00565C3D">
        <w:t>ківської системи України в 2023 </w:t>
      </w:r>
      <w:r w:rsidRPr="00565C3D">
        <w:t>році, затверджених постановою Правління Національного банку України від 25 квітня 2023 року №</w:t>
      </w:r>
      <w:r w:rsidR="00167EED" w:rsidRPr="00565C3D">
        <w:t> </w:t>
      </w:r>
      <w:r w:rsidRPr="00565C3D">
        <w:t xml:space="preserve">56, </w:t>
      </w:r>
      <w:r w:rsidR="00C24404" w:rsidRPr="00565C3D">
        <w:t>з метою здійснення оцінки стійкості банків і бан</w:t>
      </w:r>
      <w:r w:rsidR="004977F2" w:rsidRPr="00565C3D">
        <w:t>ківської системи України в 2023 </w:t>
      </w:r>
      <w:r w:rsidR="00C24404" w:rsidRPr="00565C3D">
        <w:t xml:space="preserve">році </w:t>
      </w:r>
      <w:r w:rsidRPr="00565C3D">
        <w:t xml:space="preserve">Правління Національного банку України </w:t>
      </w:r>
      <w:r w:rsidRPr="00565C3D">
        <w:rPr>
          <w:b/>
        </w:rPr>
        <w:t>вирішило:</w:t>
      </w:r>
    </w:p>
    <w:p w14:paraId="432F5EC2" w14:textId="77777777" w:rsidR="007239E8" w:rsidRPr="00565C3D" w:rsidRDefault="007239E8" w:rsidP="007239E8">
      <w:pPr>
        <w:ind w:firstLine="567"/>
      </w:pPr>
    </w:p>
    <w:p w14:paraId="0B530CB3" w14:textId="77777777" w:rsidR="007239E8" w:rsidRPr="00565C3D" w:rsidRDefault="000313D5" w:rsidP="007239E8">
      <w:pPr>
        <w:ind w:firstLine="567"/>
      </w:pPr>
      <w:r w:rsidRPr="00565C3D">
        <w:t>1.</w:t>
      </w:r>
      <w:r w:rsidR="007239E8" w:rsidRPr="00565C3D">
        <w:t> </w:t>
      </w:r>
      <w:r w:rsidR="006F3F65" w:rsidRPr="00565C3D">
        <w:t>Унести до Технічного завдання для здійснення оцінки стійкості банків і банківської системи України в 2023 році, затвердженого рішенням Правління Національного б</w:t>
      </w:r>
      <w:r w:rsidR="004977F2" w:rsidRPr="00565C3D">
        <w:t>анку України від 16 травня 2023 </w:t>
      </w:r>
      <w:r w:rsidR="006F3F65" w:rsidRPr="00565C3D">
        <w:t>року № 189-рш (далі – Технічне завдання), такі зміни:</w:t>
      </w:r>
    </w:p>
    <w:p w14:paraId="0C1AE8CD" w14:textId="77777777" w:rsidR="006F3F65" w:rsidRPr="00565C3D" w:rsidRDefault="006F3F65" w:rsidP="007239E8">
      <w:pPr>
        <w:ind w:firstLine="567"/>
      </w:pPr>
    </w:p>
    <w:p w14:paraId="7F61B5AB" w14:textId="77777777" w:rsidR="006F3F65" w:rsidRPr="00565C3D" w:rsidRDefault="006F3F65" w:rsidP="006F3F65">
      <w:pPr>
        <w:pStyle w:val="af3"/>
        <w:numPr>
          <w:ilvl w:val="0"/>
          <w:numId w:val="46"/>
        </w:numPr>
      </w:pPr>
      <w:r w:rsidRPr="00565C3D">
        <w:t>пункт 10 розділу ІІ доповнити новим абзацом такого змісту:</w:t>
      </w:r>
    </w:p>
    <w:p w14:paraId="62835FF9" w14:textId="77777777" w:rsidR="006F3F65" w:rsidRPr="00565C3D" w:rsidRDefault="006F3F65" w:rsidP="006F3F65">
      <w:pPr>
        <w:ind w:firstLine="567"/>
      </w:pPr>
      <w:r w:rsidRPr="00565C3D">
        <w:t>“</w:t>
      </w:r>
      <w:r w:rsidR="00AF45B0" w:rsidRPr="00565C3D">
        <w:t>Опис моделі стрес-тестування банків для базового макроекономічного сценарію, граничні значення нормативу достатності (адекватності) регулятивного капіталу (Н2), нормативу достатності основного капіталу (Н3) наведені в додатку 1 до цього Технічного завдання.</w:t>
      </w:r>
      <w:r w:rsidRPr="00565C3D">
        <w:t>”;</w:t>
      </w:r>
    </w:p>
    <w:p w14:paraId="6505C13A" w14:textId="77777777" w:rsidR="006F3F65" w:rsidRPr="00565C3D" w:rsidRDefault="006F3F65" w:rsidP="006F3F65">
      <w:pPr>
        <w:ind w:firstLine="567"/>
      </w:pPr>
    </w:p>
    <w:p w14:paraId="28D2ABE2" w14:textId="77777777" w:rsidR="007239E8" w:rsidRPr="00565C3D" w:rsidRDefault="006F3F65" w:rsidP="006F3F65">
      <w:pPr>
        <w:pStyle w:val="af3"/>
        <w:numPr>
          <w:ilvl w:val="0"/>
          <w:numId w:val="46"/>
        </w:numPr>
      </w:pPr>
      <w:r w:rsidRPr="00565C3D">
        <w:t>доповнити Технічне завдання новим додатком 1 (додається).</w:t>
      </w:r>
    </w:p>
    <w:p w14:paraId="3518C077" w14:textId="77777777" w:rsidR="006F3F65" w:rsidRPr="00565C3D" w:rsidRDefault="006F3F65" w:rsidP="006F3F65">
      <w:pPr>
        <w:ind w:firstLine="567"/>
      </w:pPr>
      <w:r w:rsidRPr="00565C3D">
        <w:t>У зв’язку</w:t>
      </w:r>
      <w:r w:rsidR="0028572E" w:rsidRPr="00565C3D">
        <w:t xml:space="preserve"> з цим додатки 1</w:t>
      </w:r>
      <w:r w:rsidR="00007B5C">
        <w:t>−</w:t>
      </w:r>
      <w:r w:rsidR="0028572E" w:rsidRPr="00565C3D">
        <w:t>5</w:t>
      </w:r>
      <w:r w:rsidRPr="00565C3D">
        <w:t xml:space="preserve"> </w:t>
      </w:r>
      <w:r w:rsidR="0028572E" w:rsidRPr="00565C3D">
        <w:t>уважати відповідно додатками 2</w:t>
      </w:r>
      <w:r w:rsidR="00007B5C">
        <w:t>−</w:t>
      </w:r>
      <w:r w:rsidR="0028572E" w:rsidRPr="00565C3D">
        <w:t>6</w:t>
      </w:r>
      <w:r w:rsidRPr="00565C3D">
        <w:t>.</w:t>
      </w:r>
    </w:p>
    <w:p w14:paraId="119C5406" w14:textId="77777777" w:rsidR="006F3F65" w:rsidRPr="00565C3D" w:rsidRDefault="006F3F65" w:rsidP="006F3F65">
      <w:pPr>
        <w:ind w:firstLine="567"/>
      </w:pPr>
      <w:r w:rsidRPr="00565C3D">
        <w:t xml:space="preserve">У тексті Технічного завдання </w:t>
      </w:r>
      <w:r w:rsidR="0028572E" w:rsidRPr="00565C3D">
        <w:t>посилання на додатки 1</w:t>
      </w:r>
      <w:r w:rsidR="00007B5C">
        <w:t>−</w:t>
      </w:r>
      <w:r w:rsidR="0028572E" w:rsidRPr="00565C3D">
        <w:t>5</w:t>
      </w:r>
      <w:r w:rsidRPr="00565C3D">
        <w:t xml:space="preserve"> замінити посил</w:t>
      </w:r>
      <w:r w:rsidR="0028572E" w:rsidRPr="00565C3D">
        <w:t>аннями відповідно на додатки 2</w:t>
      </w:r>
      <w:r w:rsidR="00007B5C">
        <w:t>−</w:t>
      </w:r>
      <w:r w:rsidR="0028572E" w:rsidRPr="00565C3D">
        <w:t>6</w:t>
      </w:r>
      <w:r w:rsidRPr="00565C3D">
        <w:t>.</w:t>
      </w:r>
    </w:p>
    <w:p w14:paraId="355025E6" w14:textId="77777777" w:rsidR="006F3F65" w:rsidRPr="00565C3D" w:rsidRDefault="006F3F65" w:rsidP="006F3F65">
      <w:pPr>
        <w:ind w:firstLine="567"/>
      </w:pPr>
    </w:p>
    <w:p w14:paraId="5ECAB97A" w14:textId="77777777" w:rsidR="006070A5" w:rsidRPr="00565C3D" w:rsidRDefault="006F3F65" w:rsidP="007239E8">
      <w:pPr>
        <w:ind w:firstLine="567"/>
      </w:pPr>
      <w:r w:rsidRPr="00565C3D">
        <w:rPr>
          <w:rFonts w:eastAsiaTheme="minorEastAsia"/>
        </w:rPr>
        <w:t>2</w:t>
      </w:r>
      <w:r w:rsidR="006070A5" w:rsidRPr="00565C3D">
        <w:rPr>
          <w:rFonts w:eastAsiaTheme="minorEastAsia"/>
        </w:rPr>
        <w:t>. </w:t>
      </w:r>
      <w:r w:rsidR="006070A5" w:rsidRPr="00565C3D">
        <w:t>Департаменту методології регулювання діяльності банків (</w:t>
      </w:r>
      <w:r w:rsidR="00BB3F2D" w:rsidRPr="00565C3D">
        <w:t>Оксана</w:t>
      </w:r>
      <w:r w:rsidR="007F4CEF" w:rsidRPr="00565C3D">
        <w:t> </w:t>
      </w:r>
      <w:r w:rsidR="00BB3F2D" w:rsidRPr="00565C3D">
        <w:t>Присяженко</w:t>
      </w:r>
      <w:r w:rsidR="006070A5" w:rsidRPr="00565C3D">
        <w:t xml:space="preserve">) </w:t>
      </w:r>
      <w:r w:rsidR="006F69B5" w:rsidRPr="00565C3D">
        <w:t>довести зміст</w:t>
      </w:r>
      <w:r w:rsidR="006070A5" w:rsidRPr="00565C3D">
        <w:t xml:space="preserve"> </w:t>
      </w:r>
      <w:r w:rsidR="0056031C" w:rsidRPr="00565C3D">
        <w:t xml:space="preserve">цього рішення </w:t>
      </w:r>
      <w:r w:rsidR="006070A5" w:rsidRPr="00565C3D">
        <w:t xml:space="preserve">до відома банків, зазначених </w:t>
      </w:r>
      <w:r w:rsidR="006070A5" w:rsidRPr="00565C3D">
        <w:lastRenderedPageBreak/>
        <w:t xml:space="preserve">у додатку до </w:t>
      </w:r>
      <w:r w:rsidR="00404CE9">
        <w:t>р</w:t>
      </w:r>
      <w:r w:rsidR="0056031C" w:rsidRPr="00565C3D">
        <w:t>ішення</w:t>
      </w:r>
      <w:r w:rsidR="00404CE9">
        <w:t xml:space="preserve"> Правління Національного банку України від 16 травня 2023 року</w:t>
      </w:r>
      <w:r w:rsidR="0056031C" w:rsidRPr="00565C3D">
        <w:t> № 189-рш</w:t>
      </w:r>
      <w:r w:rsidR="00404CE9">
        <w:t xml:space="preserve"> </w:t>
      </w:r>
      <w:r w:rsidR="00404CE9" w:rsidRPr="0010723C">
        <w:t>“</w:t>
      </w:r>
      <w:r w:rsidR="00404CE9">
        <w:t>Про затвердження Технічного завдання для здійснення оцінки стійкості банків і банківської системи України в 2023 році</w:t>
      </w:r>
      <w:r w:rsidR="00404CE9" w:rsidRPr="0010723C">
        <w:t>”</w:t>
      </w:r>
      <w:r w:rsidR="0033404B" w:rsidRPr="00565C3D">
        <w:t>.</w:t>
      </w:r>
    </w:p>
    <w:p w14:paraId="223A5DC1" w14:textId="77777777" w:rsidR="0056031C" w:rsidRPr="00565C3D" w:rsidRDefault="0056031C" w:rsidP="007239E8">
      <w:pPr>
        <w:ind w:firstLine="567"/>
        <w:rPr>
          <w:rFonts w:eastAsiaTheme="minorEastAsia"/>
        </w:rPr>
      </w:pPr>
    </w:p>
    <w:p w14:paraId="342B8630" w14:textId="77777777" w:rsidR="009268B3" w:rsidRDefault="00542F74" w:rsidP="007239E8">
      <w:pPr>
        <w:ind w:firstLine="567"/>
      </w:pPr>
      <w:r w:rsidRPr="00565C3D">
        <w:rPr>
          <w:rFonts w:eastAsiaTheme="minorEastAsia"/>
        </w:rPr>
        <w:t>3</w:t>
      </w:r>
      <w:r w:rsidR="006070A5" w:rsidRPr="00565C3D">
        <w:rPr>
          <w:rFonts w:eastAsiaTheme="minorEastAsia"/>
        </w:rPr>
        <w:t>. </w:t>
      </w:r>
      <w:r w:rsidR="00EF44D9" w:rsidRPr="00565C3D">
        <w:t>Рішення</w:t>
      </w:r>
      <w:r w:rsidR="006070A5" w:rsidRPr="00565C3D">
        <w:t xml:space="preserve"> набирає чинності з дня</w:t>
      </w:r>
      <w:r w:rsidR="009268B3">
        <w:t xml:space="preserve"> його прийняття.</w:t>
      </w:r>
    </w:p>
    <w:p w14:paraId="04C7A773" w14:textId="77777777" w:rsidR="009268B3" w:rsidRDefault="009268B3" w:rsidP="009268B3">
      <w:pPr>
        <w:tabs>
          <w:tab w:val="left" w:pos="7626"/>
        </w:tabs>
        <w:ind w:firstLine="567"/>
      </w:pPr>
    </w:p>
    <w:p w14:paraId="7A6F893E" w14:textId="77777777" w:rsidR="006070A5" w:rsidRPr="00565C3D" w:rsidRDefault="009268B3" w:rsidP="007239E8">
      <w:pPr>
        <w:ind w:firstLine="567"/>
        <w:rPr>
          <w:rFonts w:eastAsiaTheme="minorEastAsia"/>
        </w:rPr>
      </w:pPr>
      <w:r>
        <w:t xml:space="preserve">4. Рішення втрачає чинність з </w:t>
      </w:r>
      <w:r w:rsidR="002142BA" w:rsidRPr="002142BA">
        <w:t>01 квітня</w:t>
      </w:r>
      <w:r w:rsidR="00814B0F" w:rsidRPr="002142BA">
        <w:t xml:space="preserve"> 2026 року</w:t>
      </w:r>
      <w:r w:rsidR="006070A5" w:rsidRPr="002142BA">
        <w:rPr>
          <w:rFonts w:eastAsiaTheme="minorEastAsia"/>
        </w:rPr>
        <w:t>.</w:t>
      </w:r>
    </w:p>
    <w:p w14:paraId="23F0FEA5" w14:textId="77777777" w:rsidR="006070A5" w:rsidRPr="00565C3D" w:rsidRDefault="006070A5" w:rsidP="006070A5">
      <w:pPr>
        <w:tabs>
          <w:tab w:val="left" w:pos="993"/>
        </w:tabs>
        <w:spacing w:after="120"/>
      </w:pPr>
    </w:p>
    <w:p w14:paraId="6F65C1CD" w14:textId="77777777" w:rsidR="006070A5" w:rsidRPr="00565C3D" w:rsidRDefault="006070A5" w:rsidP="006070A5">
      <w:pPr>
        <w:spacing w:after="120"/>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4252"/>
      </w:tblGrid>
      <w:tr w:rsidR="006070A5" w:rsidRPr="00565C3D" w14:paraId="55C83B5D" w14:textId="77777777" w:rsidTr="0009252C">
        <w:tc>
          <w:tcPr>
            <w:tcW w:w="5495" w:type="dxa"/>
            <w:vAlign w:val="bottom"/>
          </w:tcPr>
          <w:p w14:paraId="2DC8C8B7" w14:textId="77777777" w:rsidR="006070A5" w:rsidRPr="00565C3D" w:rsidRDefault="006070A5" w:rsidP="001D60B7">
            <w:pPr>
              <w:autoSpaceDE w:val="0"/>
              <w:autoSpaceDN w:val="0"/>
              <w:ind w:left="-57"/>
              <w:jc w:val="left"/>
            </w:pPr>
            <w:r w:rsidRPr="00565C3D">
              <w:t>Голова</w:t>
            </w:r>
          </w:p>
        </w:tc>
        <w:tc>
          <w:tcPr>
            <w:tcW w:w="4252" w:type="dxa"/>
            <w:vAlign w:val="bottom"/>
          </w:tcPr>
          <w:p w14:paraId="0AC8D60C" w14:textId="77777777" w:rsidR="006070A5" w:rsidRPr="00565C3D" w:rsidRDefault="006070A5" w:rsidP="001D60B7">
            <w:pPr>
              <w:tabs>
                <w:tab w:val="left" w:pos="7020"/>
                <w:tab w:val="left" w:pos="7200"/>
              </w:tabs>
              <w:autoSpaceDE w:val="0"/>
              <w:autoSpaceDN w:val="0"/>
              <w:ind w:left="-57"/>
              <w:jc w:val="right"/>
            </w:pPr>
            <w:r w:rsidRPr="00565C3D">
              <w:t>Андрій ПИШНИЙ</w:t>
            </w:r>
          </w:p>
        </w:tc>
      </w:tr>
    </w:tbl>
    <w:p w14:paraId="7D9A30AE" w14:textId="77777777" w:rsidR="006070A5" w:rsidRPr="00565C3D" w:rsidRDefault="006070A5" w:rsidP="006070A5"/>
    <w:p w14:paraId="1F4A7182" w14:textId="77777777" w:rsidR="006070A5" w:rsidRPr="00565C3D" w:rsidRDefault="006070A5" w:rsidP="006070A5"/>
    <w:p w14:paraId="05F14A18" w14:textId="77777777" w:rsidR="00104B37" w:rsidRDefault="006070A5" w:rsidP="006070A5">
      <w:pPr>
        <w:jc w:val="left"/>
        <w:sectPr w:rsidR="00104B37" w:rsidSect="0009219C">
          <w:headerReference w:type="default" r:id="rId14"/>
          <w:pgSz w:w="11906" w:h="16838" w:code="9"/>
          <w:pgMar w:top="567" w:right="567" w:bottom="1701" w:left="1701" w:header="567" w:footer="709" w:gutter="0"/>
          <w:pgNumType w:start="1"/>
          <w:cols w:space="708"/>
          <w:titlePg/>
          <w:docGrid w:linePitch="381"/>
        </w:sectPr>
      </w:pPr>
      <w:r w:rsidRPr="00565C3D">
        <w:t>Інд.</w:t>
      </w:r>
      <w:r w:rsidRPr="00565C3D">
        <w:rPr>
          <w:sz w:val="22"/>
          <w:szCs w:val="22"/>
        </w:rPr>
        <w:t xml:space="preserve"> </w:t>
      </w:r>
      <w:r w:rsidRPr="00565C3D">
        <w:t>22</w:t>
      </w:r>
    </w:p>
    <w:p w14:paraId="09202D0D" w14:textId="77777777" w:rsidR="00565C3D" w:rsidRPr="00565C3D" w:rsidRDefault="00565C3D" w:rsidP="00565C3D">
      <w:pPr>
        <w:rPr>
          <w:sz w:val="2"/>
          <w:szCs w:val="2"/>
        </w:rPr>
      </w:pPr>
    </w:p>
    <w:p w14:paraId="326CFF80" w14:textId="77777777" w:rsidR="00565C3D" w:rsidRPr="00565C3D" w:rsidRDefault="00565C3D" w:rsidP="00565C3D">
      <w:pPr>
        <w:ind w:left="5670"/>
        <w:rPr>
          <w:bCs/>
          <w:lang w:eastAsia="en-US"/>
        </w:rPr>
      </w:pPr>
      <w:r w:rsidRPr="00565C3D">
        <w:rPr>
          <w:bCs/>
          <w:lang w:eastAsia="en-US"/>
        </w:rPr>
        <w:t>Додаток 1</w:t>
      </w:r>
    </w:p>
    <w:p w14:paraId="1A9298AF" w14:textId="77777777" w:rsidR="00565C3D" w:rsidRPr="00565C3D" w:rsidRDefault="00565C3D" w:rsidP="00565C3D">
      <w:pPr>
        <w:ind w:left="5670"/>
        <w:rPr>
          <w:lang w:eastAsia="en-US"/>
        </w:rPr>
      </w:pPr>
      <w:r w:rsidRPr="00565C3D">
        <w:rPr>
          <w:bCs/>
          <w:lang w:eastAsia="en-US"/>
        </w:rPr>
        <w:t>до Технічного завдання для здійснення оцінки стійкості банків і банківської системи України в 2023 році</w:t>
      </w:r>
    </w:p>
    <w:p w14:paraId="04F83A7C" w14:textId="77777777" w:rsidR="00565C3D" w:rsidRPr="00565C3D" w:rsidRDefault="00AC6064" w:rsidP="00565C3D">
      <w:pPr>
        <w:ind w:left="5670"/>
        <w:rPr>
          <w:lang w:eastAsia="en-US"/>
        </w:rPr>
      </w:pPr>
      <w:r>
        <w:rPr>
          <w:lang w:eastAsia="en-US"/>
        </w:rPr>
        <w:t xml:space="preserve">(пункт </w:t>
      </w:r>
      <w:r w:rsidR="00A71D79">
        <w:rPr>
          <w:lang w:eastAsia="en-US"/>
        </w:rPr>
        <w:t>10</w:t>
      </w:r>
      <w:r w:rsidR="00565C3D" w:rsidRPr="00565C3D">
        <w:rPr>
          <w:lang w:eastAsia="en-US"/>
        </w:rPr>
        <w:t xml:space="preserve"> розділу II)</w:t>
      </w:r>
    </w:p>
    <w:p w14:paraId="41E85068" w14:textId="77777777" w:rsidR="00565C3D" w:rsidRDefault="00565C3D" w:rsidP="00565C3D">
      <w:pPr>
        <w:ind w:right="-1"/>
        <w:jc w:val="center"/>
        <w:rPr>
          <w:bCs/>
        </w:rPr>
      </w:pPr>
    </w:p>
    <w:p w14:paraId="086189D0" w14:textId="77777777" w:rsidR="00C61AB2" w:rsidRDefault="00C61AB2" w:rsidP="00565C3D">
      <w:pPr>
        <w:ind w:right="-1"/>
        <w:jc w:val="center"/>
        <w:rPr>
          <w:bCs/>
        </w:rPr>
      </w:pPr>
    </w:p>
    <w:p w14:paraId="20F0B6D9" w14:textId="77777777" w:rsidR="00C61AB2" w:rsidRPr="00565C3D" w:rsidRDefault="00C61AB2" w:rsidP="00565C3D">
      <w:pPr>
        <w:ind w:right="-1"/>
        <w:jc w:val="center"/>
        <w:rPr>
          <w:bCs/>
        </w:rPr>
      </w:pPr>
    </w:p>
    <w:p w14:paraId="4DA364D8" w14:textId="77777777" w:rsidR="00565C3D" w:rsidRPr="00565C3D" w:rsidRDefault="00565C3D" w:rsidP="00565C3D">
      <w:pPr>
        <w:ind w:right="-1"/>
        <w:jc w:val="center"/>
        <w:rPr>
          <w:lang w:eastAsia="ru-RU"/>
        </w:rPr>
      </w:pPr>
      <w:r w:rsidRPr="00565C3D">
        <w:rPr>
          <w:bCs/>
        </w:rPr>
        <w:t>Опис моделі стрес-тестування банків для</w:t>
      </w:r>
      <w:r w:rsidRPr="00565C3D">
        <w:rPr>
          <w:lang w:eastAsia="ru-RU"/>
        </w:rPr>
        <w:t xml:space="preserve"> базового макроекономічного сценарію, </w:t>
      </w:r>
      <w:r w:rsidRPr="00565C3D">
        <w:rPr>
          <w:bCs/>
        </w:rPr>
        <w:t>граничні значення нормативу достатності (адекватності) регулятивного капіталу (Н2), нормативу достатності основного капіталу (Н3)</w:t>
      </w:r>
    </w:p>
    <w:p w14:paraId="10608D49" w14:textId="77777777" w:rsidR="00565C3D" w:rsidRPr="00E63890" w:rsidRDefault="00565C3D" w:rsidP="00E63890">
      <w:pPr>
        <w:pStyle w:val="1"/>
      </w:pPr>
      <w:bookmarkStart w:id="1" w:name="_Toc508032596"/>
      <w:r w:rsidRPr="00E63890">
        <w:t>I. Загальні положення</w:t>
      </w:r>
      <w:bookmarkEnd w:id="1"/>
    </w:p>
    <w:p w14:paraId="6318E2B0" w14:textId="77777777" w:rsidR="00565C3D" w:rsidRPr="00565C3D" w:rsidRDefault="00565C3D" w:rsidP="00192389">
      <w:pPr>
        <w:pStyle w:val="af3"/>
        <w:numPr>
          <w:ilvl w:val="0"/>
          <w:numId w:val="52"/>
        </w:numPr>
        <w:tabs>
          <w:tab w:val="left" w:pos="993"/>
        </w:tabs>
        <w:spacing w:before="240" w:after="240"/>
        <w:ind w:left="0" w:firstLine="567"/>
        <w:contextualSpacing w:val="0"/>
      </w:pPr>
      <w:r w:rsidRPr="00565C3D">
        <w:t>Модель стрес-тестування банків (далі – модель СТ) розробляється Національним банком України (далі – Національний банк).</w:t>
      </w:r>
    </w:p>
    <w:p w14:paraId="4CBD6A7B" w14:textId="77777777" w:rsidR="00565C3D" w:rsidRPr="00565C3D" w:rsidRDefault="00565C3D" w:rsidP="00192389">
      <w:pPr>
        <w:pStyle w:val="af3"/>
        <w:numPr>
          <w:ilvl w:val="0"/>
          <w:numId w:val="52"/>
        </w:numPr>
        <w:tabs>
          <w:tab w:val="left" w:pos="993"/>
        </w:tabs>
        <w:spacing w:before="240" w:after="240"/>
        <w:ind w:left="0" w:firstLine="567"/>
        <w:contextualSpacing w:val="0"/>
      </w:pPr>
      <w:r w:rsidRPr="00565C3D">
        <w:t xml:space="preserve">Процедури стрес-тестування (далі – СТ) передбачають аналіз великих боржників/контрагентів – юридичних осіб (далі – ЮО) банку на індивідуальній основі. Активні операції щодо інших боржників/контрагентів банку аналізуються на портфельній основі. </w:t>
      </w:r>
    </w:p>
    <w:p w14:paraId="19AAC3C8" w14:textId="77777777" w:rsidR="00565C3D" w:rsidRPr="00565C3D" w:rsidRDefault="00565C3D" w:rsidP="00192389">
      <w:pPr>
        <w:pStyle w:val="af3"/>
        <w:numPr>
          <w:ilvl w:val="0"/>
          <w:numId w:val="52"/>
        </w:numPr>
        <w:tabs>
          <w:tab w:val="left" w:pos="993"/>
        </w:tabs>
        <w:spacing w:before="240" w:after="240"/>
        <w:ind w:left="0" w:firstLine="567"/>
        <w:contextualSpacing w:val="0"/>
      </w:pPr>
      <w:r w:rsidRPr="00565C3D">
        <w:t>Результати СТ підтверджуються процедурами внутрішнього контролю, установленими в Національному банку. Банки надають свої коментарі та зауваження до результатів СТ до їх затвердження Національним банком.</w:t>
      </w:r>
    </w:p>
    <w:p w14:paraId="472593FE" w14:textId="77777777" w:rsidR="00565C3D" w:rsidRPr="00565C3D" w:rsidRDefault="00565C3D" w:rsidP="00192389">
      <w:pPr>
        <w:pStyle w:val="af3"/>
        <w:numPr>
          <w:ilvl w:val="0"/>
          <w:numId w:val="52"/>
        </w:numPr>
        <w:tabs>
          <w:tab w:val="left" w:pos="993"/>
        </w:tabs>
        <w:spacing w:before="240" w:after="240"/>
        <w:ind w:left="0" w:firstLine="567"/>
        <w:contextualSpacing w:val="0"/>
      </w:pPr>
      <w:r w:rsidRPr="00565C3D">
        <w:t xml:space="preserve">Цей </w:t>
      </w:r>
      <w:r w:rsidR="007D23CD">
        <w:t>О</w:t>
      </w:r>
      <w:r w:rsidRPr="00565C3D">
        <w:t>пис надає банкам детальну інформацію щодо принципів, сфери застосування, сценаріїв, розрахунків, визначень та припущень моделі СТ.</w:t>
      </w:r>
    </w:p>
    <w:p w14:paraId="07AB43EE" w14:textId="77777777" w:rsidR="00565C3D" w:rsidRPr="00565C3D" w:rsidRDefault="00565C3D" w:rsidP="00192389">
      <w:pPr>
        <w:pStyle w:val="af3"/>
        <w:numPr>
          <w:ilvl w:val="0"/>
          <w:numId w:val="52"/>
        </w:numPr>
        <w:tabs>
          <w:tab w:val="left" w:pos="993"/>
        </w:tabs>
        <w:spacing w:before="240" w:after="240"/>
        <w:ind w:left="0" w:firstLine="567"/>
        <w:contextualSpacing w:val="0"/>
      </w:pPr>
      <w:r w:rsidRPr="00565C3D">
        <w:t>СТ здійснюється з використанням одного макроекономічного сценарію</w:t>
      </w:r>
      <w:r w:rsidR="004A1161">
        <w:rPr>
          <w:lang w:val="en-US"/>
        </w:rPr>
        <w:t> </w:t>
      </w:r>
      <w:r w:rsidRPr="00565C3D">
        <w:t xml:space="preserve"> – базового. Період прогнозування становить три роки. </w:t>
      </w:r>
    </w:p>
    <w:p w14:paraId="5059ADF8" w14:textId="12F71F19" w:rsidR="00565C3D" w:rsidRPr="00565C3D" w:rsidRDefault="00565C3D" w:rsidP="00192389">
      <w:pPr>
        <w:pStyle w:val="af3"/>
        <w:numPr>
          <w:ilvl w:val="0"/>
          <w:numId w:val="52"/>
        </w:numPr>
        <w:tabs>
          <w:tab w:val="left" w:pos="993"/>
        </w:tabs>
        <w:spacing w:before="240" w:after="240"/>
        <w:ind w:left="0" w:firstLine="567"/>
        <w:contextualSpacing w:val="0"/>
      </w:pPr>
      <w:r w:rsidRPr="00565C3D">
        <w:t xml:space="preserve">Результатом СТ для кожного банку є розрахунок розміру основного та регулятивного капіталу, значень нормативу достатності (адекватності) регулятивного капіталу (Н2), нормативу достатності основного капіталу (Н3) у прогнозному періоді в разі реалізації одного макроекономічного сценарію та визначення необхідного рівня цих нормативів з урахуванням двох граничних рівнів – 0% та нормативних значень. </w:t>
      </w:r>
    </w:p>
    <w:p w14:paraId="1B73D8E4" w14:textId="77777777" w:rsidR="00565C3D" w:rsidRPr="00E63890" w:rsidRDefault="00565C3D" w:rsidP="00E63890">
      <w:pPr>
        <w:pStyle w:val="1"/>
      </w:pPr>
      <w:bookmarkStart w:id="2" w:name="_Toc508032597"/>
      <w:bookmarkStart w:id="3" w:name="_Toc506310940"/>
      <w:r w:rsidRPr="00E63890">
        <w:t>ІІ. Базовий макроекономічний сценарій</w:t>
      </w:r>
      <w:bookmarkEnd w:id="2"/>
      <w:bookmarkEnd w:id="3"/>
    </w:p>
    <w:p w14:paraId="4654557B" w14:textId="77777777" w:rsidR="00565C3D" w:rsidRPr="00565C3D" w:rsidRDefault="00565C3D" w:rsidP="00192389">
      <w:pPr>
        <w:pStyle w:val="af3"/>
        <w:numPr>
          <w:ilvl w:val="0"/>
          <w:numId w:val="52"/>
        </w:numPr>
        <w:tabs>
          <w:tab w:val="left" w:pos="993"/>
        </w:tabs>
        <w:ind w:left="0" w:firstLine="567"/>
      </w:pPr>
      <w:r w:rsidRPr="00565C3D">
        <w:t>Базовий макроекономічний сценарій, наведений у таблиці 1</w:t>
      </w:r>
      <w:r w:rsidR="006836E3">
        <w:t xml:space="preserve"> цього додатка</w:t>
      </w:r>
      <w:r w:rsidRPr="00565C3D">
        <w:t>, ґрунтується на макроекономічних прогнозах Національного банку та компанії “Focus Economics”.</w:t>
      </w:r>
    </w:p>
    <w:p w14:paraId="7EEF5951" w14:textId="77777777" w:rsidR="00565C3D" w:rsidRPr="00565C3D" w:rsidRDefault="00565C3D" w:rsidP="00565C3D">
      <w:pPr>
        <w:spacing w:before="240"/>
        <w:jc w:val="right"/>
      </w:pPr>
      <w:r w:rsidRPr="00565C3D">
        <w:lastRenderedPageBreak/>
        <w:t>Таблиця 1</w:t>
      </w:r>
    </w:p>
    <w:p w14:paraId="3F4268E5" w14:textId="77777777" w:rsidR="00565C3D" w:rsidRPr="00565C3D" w:rsidRDefault="00565C3D" w:rsidP="00A71D79">
      <w:pPr>
        <w:spacing w:after="120"/>
        <w:jc w:val="center"/>
      </w:pPr>
      <w:r w:rsidRPr="00565C3D">
        <w:t>Базовий макроекономічний сценарій</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
        <w:gridCol w:w="4955"/>
        <w:gridCol w:w="993"/>
        <w:gridCol w:w="992"/>
        <w:gridCol w:w="992"/>
        <w:gridCol w:w="990"/>
      </w:tblGrid>
      <w:tr w:rsidR="00565C3D" w:rsidRPr="00565C3D" w14:paraId="3FA7D312" w14:textId="77777777" w:rsidTr="00565C3D">
        <w:trPr>
          <w:trHeight w:val="577"/>
        </w:trPr>
        <w:tc>
          <w:tcPr>
            <w:tcW w:w="704" w:type="dxa"/>
            <w:vMerge w:val="restart"/>
            <w:tcBorders>
              <w:top w:val="single" w:sz="4" w:space="0" w:color="auto"/>
              <w:left w:val="single" w:sz="4" w:space="0" w:color="auto"/>
              <w:right w:val="single" w:sz="4" w:space="0" w:color="auto"/>
            </w:tcBorders>
          </w:tcPr>
          <w:p w14:paraId="71BEE564" w14:textId="77777777" w:rsidR="00565C3D" w:rsidRPr="00565C3D" w:rsidRDefault="00565C3D" w:rsidP="00565C3D">
            <w:pPr>
              <w:jc w:val="center"/>
              <w:rPr>
                <w:bCs/>
                <w:lang w:eastAsia="en-US"/>
              </w:rPr>
            </w:pPr>
            <w:r w:rsidRPr="00565C3D">
              <w:rPr>
                <w:bCs/>
                <w:lang w:eastAsia="en-US"/>
              </w:rPr>
              <w:t>№ з/п</w:t>
            </w:r>
          </w:p>
        </w:tc>
        <w:tc>
          <w:tcPr>
            <w:tcW w:w="4961" w:type="dxa"/>
            <w:gridSpan w:val="2"/>
            <w:vMerge w:val="restart"/>
            <w:tcBorders>
              <w:top w:val="single" w:sz="4" w:space="0" w:color="auto"/>
              <w:left w:val="single" w:sz="4" w:space="0" w:color="auto"/>
              <w:right w:val="single" w:sz="4" w:space="0" w:color="auto"/>
            </w:tcBorders>
            <w:shd w:val="clear" w:color="auto" w:fill="auto"/>
            <w:vAlign w:val="center"/>
          </w:tcPr>
          <w:p w14:paraId="4373231E" w14:textId="77777777" w:rsidR="00565C3D" w:rsidRPr="00565C3D" w:rsidRDefault="00565C3D" w:rsidP="00565C3D">
            <w:pPr>
              <w:jc w:val="center"/>
              <w:rPr>
                <w:bCs/>
                <w:lang w:eastAsia="en-US"/>
              </w:rPr>
            </w:pPr>
            <w:r w:rsidRPr="00565C3D">
              <w:rPr>
                <w:bCs/>
                <w:lang w:eastAsia="en-US"/>
              </w:rPr>
              <w:t>Показник</w:t>
            </w:r>
          </w:p>
        </w:tc>
        <w:tc>
          <w:tcPr>
            <w:tcW w:w="993" w:type="dxa"/>
            <w:vMerge w:val="restart"/>
            <w:tcBorders>
              <w:top w:val="single" w:sz="4" w:space="0" w:color="auto"/>
              <w:left w:val="single" w:sz="4" w:space="0" w:color="auto"/>
              <w:right w:val="single" w:sz="4" w:space="0" w:color="auto"/>
            </w:tcBorders>
            <w:shd w:val="clear" w:color="auto" w:fill="auto"/>
            <w:vAlign w:val="center"/>
          </w:tcPr>
          <w:p w14:paraId="3316FE0E" w14:textId="77777777" w:rsidR="00565C3D" w:rsidRPr="00565C3D" w:rsidRDefault="00565C3D" w:rsidP="00565C3D">
            <w:pPr>
              <w:jc w:val="center"/>
              <w:rPr>
                <w:bCs/>
                <w:lang w:eastAsia="en-US"/>
              </w:rPr>
            </w:pPr>
            <w:r w:rsidRPr="00565C3D">
              <w:rPr>
                <w:bCs/>
                <w:lang w:eastAsia="en-US"/>
              </w:rPr>
              <w:t>2022</w:t>
            </w:r>
          </w:p>
        </w:tc>
        <w:tc>
          <w:tcPr>
            <w:tcW w:w="297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41D35DB" w14:textId="77777777" w:rsidR="00565C3D" w:rsidRPr="00565C3D" w:rsidRDefault="00565C3D" w:rsidP="00565C3D">
            <w:pPr>
              <w:jc w:val="center"/>
              <w:rPr>
                <w:bCs/>
                <w:lang w:eastAsia="en-US"/>
              </w:rPr>
            </w:pPr>
            <w:r w:rsidRPr="00565C3D">
              <w:rPr>
                <w:bCs/>
                <w:lang w:eastAsia="en-US"/>
              </w:rPr>
              <w:t>Прогнозні періоди (роки)</w:t>
            </w:r>
          </w:p>
        </w:tc>
      </w:tr>
      <w:tr w:rsidR="00565C3D" w:rsidRPr="00565C3D" w14:paraId="52F7BBC3" w14:textId="77777777" w:rsidTr="00565C3D">
        <w:trPr>
          <w:trHeight w:val="577"/>
        </w:trPr>
        <w:tc>
          <w:tcPr>
            <w:tcW w:w="704" w:type="dxa"/>
            <w:vMerge/>
            <w:tcBorders>
              <w:left w:val="single" w:sz="4" w:space="0" w:color="auto"/>
              <w:bottom w:val="single" w:sz="4" w:space="0" w:color="auto"/>
              <w:right w:val="single" w:sz="4" w:space="0" w:color="auto"/>
            </w:tcBorders>
            <w:hideMark/>
          </w:tcPr>
          <w:p w14:paraId="24594271" w14:textId="77777777" w:rsidR="00565C3D" w:rsidRPr="00565C3D" w:rsidRDefault="00565C3D" w:rsidP="00565C3D">
            <w:pPr>
              <w:jc w:val="center"/>
              <w:rPr>
                <w:bCs/>
                <w:highlight w:val="yellow"/>
                <w:lang w:eastAsia="en-US"/>
              </w:rPr>
            </w:pPr>
          </w:p>
        </w:tc>
        <w:tc>
          <w:tcPr>
            <w:tcW w:w="4961" w:type="dxa"/>
            <w:gridSpan w:val="2"/>
            <w:vMerge/>
            <w:tcBorders>
              <w:left w:val="single" w:sz="4" w:space="0" w:color="auto"/>
              <w:bottom w:val="single" w:sz="4" w:space="0" w:color="auto"/>
              <w:right w:val="single" w:sz="4" w:space="0" w:color="auto"/>
            </w:tcBorders>
            <w:shd w:val="clear" w:color="auto" w:fill="auto"/>
            <w:vAlign w:val="center"/>
            <w:hideMark/>
          </w:tcPr>
          <w:p w14:paraId="0F56A7EB" w14:textId="77777777" w:rsidR="00565C3D" w:rsidRPr="00565C3D" w:rsidRDefault="00565C3D" w:rsidP="00565C3D">
            <w:pPr>
              <w:jc w:val="center"/>
              <w:rPr>
                <w:bCs/>
                <w:lang w:eastAsia="en-US"/>
              </w:rPr>
            </w:pPr>
          </w:p>
        </w:tc>
        <w:tc>
          <w:tcPr>
            <w:tcW w:w="993" w:type="dxa"/>
            <w:vMerge/>
            <w:tcBorders>
              <w:left w:val="single" w:sz="4" w:space="0" w:color="auto"/>
              <w:bottom w:val="single" w:sz="4" w:space="0" w:color="auto"/>
              <w:right w:val="single" w:sz="4" w:space="0" w:color="auto"/>
            </w:tcBorders>
            <w:shd w:val="clear" w:color="auto" w:fill="auto"/>
            <w:vAlign w:val="center"/>
            <w:hideMark/>
          </w:tcPr>
          <w:p w14:paraId="0A74A510" w14:textId="77777777" w:rsidR="00565C3D" w:rsidRPr="00565C3D" w:rsidRDefault="00565C3D" w:rsidP="00565C3D">
            <w:pPr>
              <w:jc w:val="center"/>
              <w:rPr>
                <w:bCs/>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CFD40" w14:textId="77777777" w:rsidR="00565C3D" w:rsidRPr="00565C3D" w:rsidRDefault="00565C3D" w:rsidP="00565C3D">
            <w:pPr>
              <w:jc w:val="center"/>
              <w:rPr>
                <w:bCs/>
                <w:lang w:eastAsia="en-US"/>
              </w:rPr>
            </w:pPr>
            <w:r w:rsidRPr="00565C3D">
              <w:rPr>
                <w:bCs/>
                <w:lang w:eastAsia="en-US"/>
              </w:rPr>
              <w:t>1</w:t>
            </w:r>
            <w:r w:rsidR="00A71D79">
              <w:rPr>
                <w:bCs/>
                <w:lang w:eastAsia="en-US"/>
              </w:rPr>
              <w:t>-</w:t>
            </w:r>
            <w:r w:rsidRPr="00565C3D">
              <w:rPr>
                <w:bCs/>
                <w:lang w:eastAsia="en-US"/>
              </w:rPr>
              <w:t xml:space="preserve">й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C610F" w14:textId="77777777" w:rsidR="00565C3D" w:rsidRPr="00565C3D" w:rsidRDefault="00565C3D" w:rsidP="00565C3D">
            <w:pPr>
              <w:jc w:val="center"/>
              <w:rPr>
                <w:bCs/>
                <w:lang w:eastAsia="en-US"/>
              </w:rPr>
            </w:pPr>
            <w:r w:rsidRPr="00565C3D">
              <w:rPr>
                <w:bCs/>
                <w:lang w:eastAsia="en-US"/>
              </w:rPr>
              <w:t>2</w:t>
            </w:r>
            <w:r w:rsidR="00A71D79">
              <w:rPr>
                <w:bCs/>
                <w:lang w:eastAsia="en-US"/>
              </w:rPr>
              <w:t>-</w:t>
            </w:r>
            <w:r w:rsidRPr="00565C3D">
              <w:rPr>
                <w:bCs/>
                <w:lang w:eastAsia="en-US"/>
              </w:rPr>
              <w:t>й</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449FF" w14:textId="77777777" w:rsidR="00565C3D" w:rsidRPr="00565C3D" w:rsidRDefault="00565C3D" w:rsidP="00565C3D">
            <w:pPr>
              <w:jc w:val="center"/>
              <w:rPr>
                <w:bCs/>
                <w:lang w:eastAsia="en-US"/>
              </w:rPr>
            </w:pPr>
            <w:r w:rsidRPr="00565C3D">
              <w:rPr>
                <w:bCs/>
                <w:lang w:eastAsia="en-US"/>
              </w:rPr>
              <w:t>3</w:t>
            </w:r>
            <w:r w:rsidR="00A71D79">
              <w:rPr>
                <w:bCs/>
                <w:lang w:eastAsia="en-US"/>
              </w:rPr>
              <w:t>-</w:t>
            </w:r>
            <w:r w:rsidRPr="00565C3D">
              <w:rPr>
                <w:bCs/>
                <w:lang w:eastAsia="en-US"/>
              </w:rPr>
              <w:t>й</w:t>
            </w:r>
          </w:p>
        </w:tc>
      </w:tr>
      <w:tr w:rsidR="00565C3D" w:rsidRPr="00565C3D" w14:paraId="20D3C26E" w14:textId="77777777" w:rsidTr="00565C3D">
        <w:trPr>
          <w:trHeight w:val="299"/>
        </w:trPr>
        <w:tc>
          <w:tcPr>
            <w:tcW w:w="704" w:type="dxa"/>
            <w:tcBorders>
              <w:top w:val="single" w:sz="4" w:space="0" w:color="auto"/>
              <w:left w:val="single" w:sz="4" w:space="0" w:color="auto"/>
              <w:bottom w:val="single" w:sz="4" w:space="0" w:color="auto"/>
              <w:right w:val="single" w:sz="4" w:space="0" w:color="auto"/>
            </w:tcBorders>
            <w:hideMark/>
          </w:tcPr>
          <w:p w14:paraId="04EB190F" w14:textId="77777777" w:rsidR="00565C3D" w:rsidRPr="00565C3D" w:rsidRDefault="00565C3D" w:rsidP="00565C3D">
            <w:pPr>
              <w:spacing w:line="276" w:lineRule="auto"/>
              <w:jc w:val="center"/>
              <w:rPr>
                <w:bCs/>
                <w:lang w:eastAsia="en-US"/>
              </w:rPr>
            </w:pPr>
            <w:r w:rsidRPr="00565C3D">
              <w:rPr>
                <w:bCs/>
                <w:lang w:eastAsia="en-US"/>
              </w:rPr>
              <w:t>1</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2D1988" w14:textId="77777777" w:rsidR="00565C3D" w:rsidRPr="00565C3D" w:rsidRDefault="00565C3D" w:rsidP="00565C3D">
            <w:pPr>
              <w:spacing w:line="276" w:lineRule="auto"/>
              <w:jc w:val="center"/>
              <w:rPr>
                <w:bCs/>
                <w:lang w:eastAsia="en-US"/>
              </w:rPr>
            </w:pPr>
            <w:r w:rsidRPr="00565C3D">
              <w:rPr>
                <w:bCs/>
                <w:lang w:eastAsia="en-US"/>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96261" w14:textId="77777777" w:rsidR="00565C3D" w:rsidRPr="00565C3D" w:rsidRDefault="00565C3D" w:rsidP="00565C3D">
            <w:pPr>
              <w:spacing w:line="276" w:lineRule="auto"/>
              <w:jc w:val="center"/>
              <w:rPr>
                <w:bCs/>
                <w:lang w:eastAsia="en-US"/>
              </w:rPr>
            </w:pPr>
            <w:r w:rsidRPr="00565C3D">
              <w:rPr>
                <w:bCs/>
                <w:lang w:eastAsia="en-US"/>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FF344" w14:textId="77777777" w:rsidR="00565C3D" w:rsidRPr="00565C3D" w:rsidRDefault="00565C3D" w:rsidP="00565C3D">
            <w:pPr>
              <w:spacing w:line="276" w:lineRule="auto"/>
              <w:jc w:val="center"/>
              <w:rPr>
                <w:bCs/>
                <w:lang w:eastAsia="en-US"/>
              </w:rPr>
            </w:pPr>
            <w:r w:rsidRPr="00565C3D">
              <w:rPr>
                <w:bCs/>
                <w:lang w:eastAsia="en-US"/>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42AE2" w14:textId="77777777" w:rsidR="00565C3D" w:rsidRPr="00565C3D" w:rsidRDefault="00565C3D" w:rsidP="00565C3D">
            <w:pPr>
              <w:spacing w:line="276" w:lineRule="auto"/>
              <w:jc w:val="center"/>
              <w:rPr>
                <w:bCs/>
                <w:lang w:eastAsia="en-US"/>
              </w:rPr>
            </w:pPr>
            <w:r w:rsidRPr="00565C3D">
              <w:rPr>
                <w:bCs/>
                <w:lang w:eastAsia="en-US"/>
              </w:rPr>
              <w:t>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DD5E7" w14:textId="77777777" w:rsidR="00565C3D" w:rsidRPr="00565C3D" w:rsidRDefault="00565C3D" w:rsidP="00565C3D">
            <w:pPr>
              <w:spacing w:line="276" w:lineRule="auto"/>
              <w:jc w:val="center"/>
              <w:rPr>
                <w:bCs/>
                <w:lang w:eastAsia="en-US"/>
              </w:rPr>
            </w:pPr>
            <w:r w:rsidRPr="00565C3D">
              <w:rPr>
                <w:bCs/>
                <w:lang w:eastAsia="en-US"/>
              </w:rPr>
              <w:t>6</w:t>
            </w:r>
          </w:p>
        </w:tc>
      </w:tr>
      <w:tr w:rsidR="00565C3D" w:rsidRPr="00565C3D" w14:paraId="04965F9C" w14:textId="77777777" w:rsidTr="00565C3D">
        <w:trPr>
          <w:trHeight w:val="299"/>
        </w:trPr>
        <w:tc>
          <w:tcPr>
            <w:tcW w:w="710" w:type="dxa"/>
            <w:gridSpan w:val="2"/>
            <w:tcBorders>
              <w:top w:val="single" w:sz="4" w:space="0" w:color="auto"/>
              <w:left w:val="single" w:sz="4" w:space="0" w:color="auto"/>
              <w:bottom w:val="single" w:sz="4" w:space="0" w:color="auto"/>
              <w:right w:val="single" w:sz="4" w:space="0" w:color="auto"/>
            </w:tcBorders>
            <w:vAlign w:val="center"/>
          </w:tcPr>
          <w:p w14:paraId="76D6C2AF" w14:textId="77777777" w:rsidR="00565C3D" w:rsidRPr="00565C3D" w:rsidRDefault="00565C3D" w:rsidP="00565C3D">
            <w:pPr>
              <w:spacing w:line="276" w:lineRule="auto"/>
              <w:jc w:val="center"/>
              <w:rPr>
                <w:lang w:eastAsia="en-US"/>
              </w:rPr>
            </w:pPr>
            <w:r w:rsidRPr="00565C3D">
              <w:rPr>
                <w:lang w:eastAsia="en-US"/>
              </w:rPr>
              <w:t>1</w:t>
            </w:r>
          </w:p>
        </w:tc>
        <w:tc>
          <w:tcPr>
            <w:tcW w:w="4955" w:type="dxa"/>
            <w:tcBorders>
              <w:top w:val="single" w:sz="4" w:space="0" w:color="auto"/>
              <w:left w:val="single" w:sz="4" w:space="0" w:color="auto"/>
              <w:bottom w:val="single" w:sz="4" w:space="0" w:color="auto"/>
              <w:right w:val="single" w:sz="4" w:space="0" w:color="auto"/>
            </w:tcBorders>
            <w:noWrap/>
            <w:vAlign w:val="center"/>
          </w:tcPr>
          <w:p w14:paraId="27F7B3C7" w14:textId="77777777" w:rsidR="00565C3D" w:rsidRPr="00565C3D" w:rsidRDefault="00565C3D" w:rsidP="00A71D79">
            <w:pPr>
              <w:jc w:val="left"/>
              <w:rPr>
                <w:lang w:eastAsia="en-US"/>
              </w:rPr>
            </w:pPr>
            <w:r w:rsidRPr="00565C3D">
              <w:t>Реальний валовий внутрішній продукт (ВВП) (зміна порівняно з попереднім роком, %)</w:t>
            </w:r>
          </w:p>
        </w:tc>
        <w:tc>
          <w:tcPr>
            <w:tcW w:w="993" w:type="dxa"/>
            <w:tcBorders>
              <w:top w:val="single" w:sz="4" w:space="0" w:color="auto"/>
              <w:left w:val="single" w:sz="4" w:space="0" w:color="auto"/>
              <w:bottom w:val="single" w:sz="4" w:space="0" w:color="auto"/>
              <w:right w:val="single" w:sz="4" w:space="0" w:color="auto"/>
            </w:tcBorders>
            <w:noWrap/>
            <w:vAlign w:val="center"/>
          </w:tcPr>
          <w:p w14:paraId="64B8AB0A" w14:textId="77777777" w:rsidR="00565C3D" w:rsidRPr="00565C3D" w:rsidRDefault="00565C3D" w:rsidP="00565C3D">
            <w:pPr>
              <w:jc w:val="right"/>
            </w:pPr>
            <w:r w:rsidRPr="00565C3D">
              <w:t>-29,1</w:t>
            </w:r>
          </w:p>
        </w:tc>
        <w:tc>
          <w:tcPr>
            <w:tcW w:w="992" w:type="dxa"/>
            <w:tcBorders>
              <w:top w:val="single" w:sz="4" w:space="0" w:color="auto"/>
              <w:left w:val="single" w:sz="4" w:space="0" w:color="auto"/>
              <w:bottom w:val="single" w:sz="4" w:space="0" w:color="auto"/>
              <w:right w:val="single" w:sz="4" w:space="0" w:color="auto"/>
            </w:tcBorders>
            <w:noWrap/>
            <w:vAlign w:val="center"/>
          </w:tcPr>
          <w:p w14:paraId="1B867EFE" w14:textId="77777777" w:rsidR="00565C3D" w:rsidRPr="00565C3D" w:rsidRDefault="00565C3D" w:rsidP="00565C3D">
            <w:pPr>
              <w:jc w:val="right"/>
            </w:pPr>
            <w:r w:rsidRPr="00565C3D">
              <w:t>2,9</w:t>
            </w:r>
          </w:p>
        </w:tc>
        <w:tc>
          <w:tcPr>
            <w:tcW w:w="992" w:type="dxa"/>
            <w:tcBorders>
              <w:top w:val="single" w:sz="4" w:space="0" w:color="auto"/>
              <w:left w:val="single" w:sz="4" w:space="0" w:color="auto"/>
              <w:bottom w:val="single" w:sz="4" w:space="0" w:color="auto"/>
              <w:right w:val="single" w:sz="4" w:space="0" w:color="auto"/>
            </w:tcBorders>
            <w:noWrap/>
            <w:vAlign w:val="center"/>
          </w:tcPr>
          <w:p w14:paraId="11C2A061" w14:textId="77777777" w:rsidR="00565C3D" w:rsidRPr="00565C3D" w:rsidRDefault="00565C3D" w:rsidP="00565C3D">
            <w:pPr>
              <w:jc w:val="right"/>
            </w:pPr>
            <w:r w:rsidRPr="00565C3D">
              <w:t>3,5</w:t>
            </w:r>
          </w:p>
        </w:tc>
        <w:tc>
          <w:tcPr>
            <w:tcW w:w="990" w:type="dxa"/>
            <w:tcBorders>
              <w:top w:val="single" w:sz="4" w:space="0" w:color="auto"/>
              <w:left w:val="single" w:sz="4" w:space="0" w:color="auto"/>
              <w:bottom w:val="single" w:sz="4" w:space="0" w:color="auto"/>
              <w:right w:val="single" w:sz="4" w:space="0" w:color="auto"/>
            </w:tcBorders>
            <w:noWrap/>
            <w:vAlign w:val="center"/>
          </w:tcPr>
          <w:p w14:paraId="728F755D" w14:textId="77777777" w:rsidR="00565C3D" w:rsidRPr="00565C3D" w:rsidRDefault="00565C3D" w:rsidP="00565C3D">
            <w:pPr>
              <w:jc w:val="right"/>
            </w:pPr>
            <w:r w:rsidRPr="00565C3D">
              <w:t>6,8</w:t>
            </w:r>
          </w:p>
        </w:tc>
      </w:tr>
      <w:tr w:rsidR="00565C3D" w:rsidRPr="00565C3D" w14:paraId="1F858F28" w14:textId="77777777" w:rsidTr="00565C3D">
        <w:trPr>
          <w:trHeight w:val="299"/>
        </w:trPr>
        <w:tc>
          <w:tcPr>
            <w:tcW w:w="710" w:type="dxa"/>
            <w:gridSpan w:val="2"/>
            <w:tcBorders>
              <w:top w:val="single" w:sz="4" w:space="0" w:color="auto"/>
              <w:left w:val="single" w:sz="4" w:space="0" w:color="auto"/>
              <w:bottom w:val="single" w:sz="4" w:space="0" w:color="auto"/>
              <w:right w:val="single" w:sz="4" w:space="0" w:color="auto"/>
            </w:tcBorders>
            <w:vAlign w:val="center"/>
          </w:tcPr>
          <w:p w14:paraId="17DE89AA" w14:textId="77777777" w:rsidR="00565C3D" w:rsidRPr="00565C3D" w:rsidRDefault="00565C3D" w:rsidP="00565C3D">
            <w:pPr>
              <w:spacing w:line="276" w:lineRule="auto"/>
              <w:jc w:val="center"/>
              <w:rPr>
                <w:lang w:eastAsia="en-US"/>
              </w:rPr>
            </w:pPr>
            <w:r w:rsidRPr="00565C3D">
              <w:rPr>
                <w:lang w:eastAsia="en-US"/>
              </w:rPr>
              <w:t>2</w:t>
            </w:r>
          </w:p>
        </w:tc>
        <w:tc>
          <w:tcPr>
            <w:tcW w:w="4955" w:type="dxa"/>
            <w:tcBorders>
              <w:top w:val="single" w:sz="4" w:space="0" w:color="auto"/>
              <w:left w:val="single" w:sz="4" w:space="0" w:color="auto"/>
              <w:bottom w:val="single" w:sz="4" w:space="0" w:color="auto"/>
              <w:right w:val="single" w:sz="4" w:space="0" w:color="auto"/>
            </w:tcBorders>
            <w:noWrap/>
            <w:vAlign w:val="center"/>
          </w:tcPr>
          <w:p w14:paraId="4F53F5C1" w14:textId="77777777" w:rsidR="00565C3D" w:rsidRPr="00565C3D" w:rsidRDefault="00565C3D" w:rsidP="00A71D79">
            <w:pPr>
              <w:jc w:val="left"/>
              <w:rPr>
                <w:lang w:eastAsia="en-US"/>
              </w:rPr>
            </w:pPr>
            <w:r w:rsidRPr="00565C3D">
              <w:rPr>
                <w:lang w:eastAsia="en-US"/>
              </w:rPr>
              <w:t>Номінальний ВВП, млрд грн</w:t>
            </w:r>
          </w:p>
        </w:tc>
        <w:tc>
          <w:tcPr>
            <w:tcW w:w="993" w:type="dxa"/>
            <w:tcBorders>
              <w:top w:val="single" w:sz="4" w:space="0" w:color="auto"/>
              <w:left w:val="single" w:sz="4" w:space="0" w:color="auto"/>
              <w:bottom w:val="single" w:sz="4" w:space="0" w:color="auto"/>
              <w:right w:val="single" w:sz="4" w:space="0" w:color="auto"/>
            </w:tcBorders>
            <w:noWrap/>
            <w:vAlign w:val="center"/>
          </w:tcPr>
          <w:p w14:paraId="6307D363" w14:textId="77777777" w:rsidR="00565C3D" w:rsidRPr="00565C3D" w:rsidRDefault="00565C3D" w:rsidP="00565C3D">
            <w:pPr>
              <w:jc w:val="right"/>
            </w:pPr>
            <w:r w:rsidRPr="00565C3D">
              <w:t>5 191</w:t>
            </w:r>
          </w:p>
        </w:tc>
        <w:tc>
          <w:tcPr>
            <w:tcW w:w="992" w:type="dxa"/>
            <w:tcBorders>
              <w:top w:val="single" w:sz="4" w:space="0" w:color="auto"/>
              <w:left w:val="single" w:sz="4" w:space="0" w:color="auto"/>
              <w:bottom w:val="single" w:sz="4" w:space="0" w:color="auto"/>
              <w:right w:val="single" w:sz="4" w:space="0" w:color="auto"/>
            </w:tcBorders>
            <w:noWrap/>
            <w:vAlign w:val="center"/>
          </w:tcPr>
          <w:p w14:paraId="3E457AD8" w14:textId="77777777" w:rsidR="00565C3D" w:rsidRPr="00565C3D" w:rsidRDefault="00565C3D" w:rsidP="00565C3D">
            <w:pPr>
              <w:jc w:val="right"/>
            </w:pPr>
            <w:r w:rsidRPr="00565C3D">
              <w:t>6 525</w:t>
            </w:r>
          </w:p>
        </w:tc>
        <w:tc>
          <w:tcPr>
            <w:tcW w:w="992" w:type="dxa"/>
            <w:tcBorders>
              <w:top w:val="single" w:sz="4" w:space="0" w:color="auto"/>
              <w:left w:val="single" w:sz="4" w:space="0" w:color="auto"/>
              <w:bottom w:val="single" w:sz="4" w:space="0" w:color="auto"/>
              <w:right w:val="single" w:sz="4" w:space="0" w:color="auto"/>
            </w:tcBorders>
            <w:noWrap/>
            <w:vAlign w:val="center"/>
          </w:tcPr>
          <w:p w14:paraId="0A86904E" w14:textId="77777777" w:rsidR="00565C3D" w:rsidRPr="00565C3D" w:rsidRDefault="00565C3D" w:rsidP="00565C3D">
            <w:pPr>
              <w:jc w:val="right"/>
            </w:pPr>
            <w:r w:rsidRPr="00565C3D">
              <w:t>7 620</w:t>
            </w:r>
          </w:p>
        </w:tc>
        <w:tc>
          <w:tcPr>
            <w:tcW w:w="990" w:type="dxa"/>
            <w:tcBorders>
              <w:top w:val="single" w:sz="4" w:space="0" w:color="auto"/>
              <w:left w:val="single" w:sz="4" w:space="0" w:color="auto"/>
              <w:bottom w:val="single" w:sz="4" w:space="0" w:color="auto"/>
              <w:right w:val="single" w:sz="4" w:space="0" w:color="auto"/>
            </w:tcBorders>
            <w:noWrap/>
            <w:vAlign w:val="center"/>
          </w:tcPr>
          <w:p w14:paraId="675AC006" w14:textId="77777777" w:rsidR="00565C3D" w:rsidRPr="00565C3D" w:rsidRDefault="00565C3D" w:rsidP="00565C3D">
            <w:pPr>
              <w:jc w:val="right"/>
            </w:pPr>
            <w:r w:rsidRPr="00565C3D">
              <w:t>8 830</w:t>
            </w:r>
          </w:p>
        </w:tc>
      </w:tr>
      <w:tr w:rsidR="00565C3D" w:rsidRPr="00565C3D" w14:paraId="2C43AB5C" w14:textId="77777777" w:rsidTr="00565C3D">
        <w:trPr>
          <w:trHeight w:val="299"/>
        </w:trPr>
        <w:tc>
          <w:tcPr>
            <w:tcW w:w="710" w:type="dxa"/>
            <w:gridSpan w:val="2"/>
            <w:tcBorders>
              <w:top w:val="single" w:sz="4" w:space="0" w:color="auto"/>
              <w:left w:val="single" w:sz="4" w:space="0" w:color="auto"/>
              <w:bottom w:val="single" w:sz="4" w:space="0" w:color="auto"/>
              <w:right w:val="single" w:sz="4" w:space="0" w:color="auto"/>
            </w:tcBorders>
            <w:vAlign w:val="center"/>
            <w:hideMark/>
          </w:tcPr>
          <w:p w14:paraId="61D1B75D" w14:textId="77777777" w:rsidR="00565C3D" w:rsidRPr="00565C3D" w:rsidRDefault="00565C3D" w:rsidP="00565C3D">
            <w:pPr>
              <w:spacing w:line="276" w:lineRule="auto"/>
              <w:jc w:val="center"/>
              <w:rPr>
                <w:lang w:eastAsia="en-US"/>
              </w:rPr>
            </w:pPr>
            <w:r w:rsidRPr="00565C3D">
              <w:rPr>
                <w:lang w:eastAsia="en-US"/>
              </w:rPr>
              <w:t>3</w:t>
            </w:r>
          </w:p>
        </w:tc>
        <w:tc>
          <w:tcPr>
            <w:tcW w:w="4955" w:type="dxa"/>
            <w:tcBorders>
              <w:top w:val="single" w:sz="4" w:space="0" w:color="auto"/>
              <w:left w:val="single" w:sz="4" w:space="0" w:color="auto"/>
              <w:bottom w:val="single" w:sz="4" w:space="0" w:color="auto"/>
              <w:right w:val="single" w:sz="4" w:space="0" w:color="auto"/>
            </w:tcBorders>
            <w:noWrap/>
            <w:vAlign w:val="center"/>
            <w:hideMark/>
          </w:tcPr>
          <w:p w14:paraId="45744FB7" w14:textId="77777777" w:rsidR="00565C3D" w:rsidRPr="00565C3D" w:rsidRDefault="00565C3D" w:rsidP="00A71D79">
            <w:pPr>
              <w:jc w:val="left"/>
              <w:rPr>
                <w:lang w:eastAsia="en-US"/>
              </w:rPr>
            </w:pPr>
            <w:r w:rsidRPr="00565C3D">
              <w:rPr>
                <w:lang w:eastAsia="en-US"/>
              </w:rPr>
              <w:t>Номінальний ВВП (зміна порівняно з попереднім роком, %)</w:t>
            </w:r>
          </w:p>
        </w:tc>
        <w:tc>
          <w:tcPr>
            <w:tcW w:w="993" w:type="dxa"/>
            <w:tcBorders>
              <w:top w:val="single" w:sz="4" w:space="0" w:color="auto"/>
              <w:left w:val="single" w:sz="4" w:space="0" w:color="auto"/>
              <w:bottom w:val="single" w:sz="4" w:space="0" w:color="auto"/>
              <w:right w:val="single" w:sz="4" w:space="0" w:color="auto"/>
            </w:tcBorders>
            <w:noWrap/>
            <w:vAlign w:val="center"/>
          </w:tcPr>
          <w:p w14:paraId="1A22ECA9" w14:textId="77777777" w:rsidR="00565C3D" w:rsidRPr="00565C3D" w:rsidRDefault="00565C3D" w:rsidP="00565C3D">
            <w:pPr>
              <w:jc w:val="right"/>
              <w:rPr>
                <w:lang w:eastAsia="en-US"/>
              </w:rPr>
            </w:pPr>
            <w:r w:rsidRPr="00565C3D">
              <w:t>-4,8</w:t>
            </w:r>
          </w:p>
        </w:tc>
        <w:tc>
          <w:tcPr>
            <w:tcW w:w="992" w:type="dxa"/>
            <w:tcBorders>
              <w:top w:val="single" w:sz="4" w:space="0" w:color="auto"/>
              <w:left w:val="single" w:sz="4" w:space="0" w:color="auto"/>
              <w:bottom w:val="single" w:sz="4" w:space="0" w:color="auto"/>
              <w:right w:val="single" w:sz="4" w:space="0" w:color="auto"/>
            </w:tcBorders>
            <w:noWrap/>
            <w:vAlign w:val="center"/>
          </w:tcPr>
          <w:p w14:paraId="48DDC651" w14:textId="77777777" w:rsidR="00565C3D" w:rsidRPr="00651941" w:rsidRDefault="00565C3D" w:rsidP="00565C3D">
            <w:pPr>
              <w:jc w:val="right"/>
              <w:rPr>
                <w:lang w:eastAsia="en-US"/>
              </w:rPr>
            </w:pPr>
            <w:r w:rsidRPr="00651941">
              <w:t>25,7</w:t>
            </w:r>
          </w:p>
        </w:tc>
        <w:tc>
          <w:tcPr>
            <w:tcW w:w="992" w:type="dxa"/>
            <w:tcBorders>
              <w:top w:val="single" w:sz="4" w:space="0" w:color="auto"/>
              <w:left w:val="single" w:sz="4" w:space="0" w:color="auto"/>
              <w:bottom w:val="single" w:sz="4" w:space="0" w:color="auto"/>
              <w:right w:val="single" w:sz="4" w:space="0" w:color="auto"/>
            </w:tcBorders>
            <w:noWrap/>
            <w:vAlign w:val="center"/>
          </w:tcPr>
          <w:p w14:paraId="7F0DF0BB" w14:textId="77777777" w:rsidR="00565C3D" w:rsidRPr="00651941" w:rsidRDefault="00565C3D" w:rsidP="00565C3D">
            <w:pPr>
              <w:jc w:val="right"/>
              <w:rPr>
                <w:lang w:eastAsia="en-US"/>
              </w:rPr>
            </w:pPr>
            <w:r w:rsidRPr="00651941">
              <w:t>16,8</w:t>
            </w:r>
          </w:p>
        </w:tc>
        <w:tc>
          <w:tcPr>
            <w:tcW w:w="990" w:type="dxa"/>
            <w:tcBorders>
              <w:top w:val="single" w:sz="4" w:space="0" w:color="auto"/>
              <w:left w:val="single" w:sz="4" w:space="0" w:color="auto"/>
              <w:bottom w:val="single" w:sz="4" w:space="0" w:color="auto"/>
              <w:right w:val="single" w:sz="4" w:space="0" w:color="auto"/>
            </w:tcBorders>
            <w:noWrap/>
            <w:vAlign w:val="center"/>
          </w:tcPr>
          <w:p w14:paraId="54D937EF" w14:textId="77777777" w:rsidR="00565C3D" w:rsidRPr="00651941" w:rsidRDefault="00565C3D" w:rsidP="00565C3D">
            <w:pPr>
              <w:jc w:val="right"/>
              <w:rPr>
                <w:lang w:eastAsia="en-US"/>
              </w:rPr>
            </w:pPr>
            <w:r w:rsidRPr="00651941">
              <w:t>15,9</w:t>
            </w:r>
          </w:p>
        </w:tc>
      </w:tr>
      <w:tr w:rsidR="00565C3D" w:rsidRPr="00565C3D" w14:paraId="33495040" w14:textId="77777777" w:rsidTr="00565C3D">
        <w:trPr>
          <w:trHeight w:val="299"/>
        </w:trPr>
        <w:tc>
          <w:tcPr>
            <w:tcW w:w="710" w:type="dxa"/>
            <w:gridSpan w:val="2"/>
            <w:tcBorders>
              <w:top w:val="single" w:sz="4" w:space="0" w:color="auto"/>
              <w:left w:val="single" w:sz="4" w:space="0" w:color="auto"/>
              <w:bottom w:val="single" w:sz="4" w:space="0" w:color="auto"/>
              <w:right w:val="single" w:sz="4" w:space="0" w:color="auto"/>
            </w:tcBorders>
            <w:vAlign w:val="center"/>
            <w:hideMark/>
          </w:tcPr>
          <w:p w14:paraId="3B11B29A" w14:textId="77777777" w:rsidR="00565C3D" w:rsidRPr="00565C3D" w:rsidRDefault="00565C3D" w:rsidP="00565C3D">
            <w:pPr>
              <w:jc w:val="center"/>
              <w:rPr>
                <w:lang w:eastAsia="en-US"/>
              </w:rPr>
            </w:pPr>
            <w:r w:rsidRPr="00565C3D">
              <w:rPr>
                <w:lang w:eastAsia="en-US"/>
              </w:rPr>
              <w:t>4</w:t>
            </w:r>
          </w:p>
        </w:tc>
        <w:tc>
          <w:tcPr>
            <w:tcW w:w="4955" w:type="dxa"/>
            <w:tcBorders>
              <w:top w:val="single" w:sz="4" w:space="0" w:color="auto"/>
              <w:left w:val="single" w:sz="4" w:space="0" w:color="auto"/>
              <w:bottom w:val="single" w:sz="4" w:space="0" w:color="auto"/>
              <w:right w:val="single" w:sz="4" w:space="0" w:color="auto"/>
            </w:tcBorders>
            <w:noWrap/>
            <w:vAlign w:val="center"/>
            <w:hideMark/>
          </w:tcPr>
          <w:p w14:paraId="30FD910B" w14:textId="6714B1A8" w:rsidR="00565C3D" w:rsidRPr="00565C3D" w:rsidRDefault="00565C3D" w:rsidP="00651941">
            <w:pPr>
              <w:jc w:val="left"/>
              <w:rPr>
                <w:lang w:eastAsia="en-US"/>
              </w:rPr>
            </w:pPr>
            <w:r w:rsidRPr="00565C3D">
              <w:rPr>
                <w:lang w:eastAsia="en-US"/>
              </w:rPr>
              <w:t>Курс, грн/дол. США (середнє значення за період)</w:t>
            </w:r>
          </w:p>
        </w:tc>
        <w:tc>
          <w:tcPr>
            <w:tcW w:w="993" w:type="dxa"/>
            <w:tcBorders>
              <w:top w:val="single" w:sz="4" w:space="0" w:color="auto"/>
              <w:left w:val="single" w:sz="4" w:space="0" w:color="auto"/>
              <w:bottom w:val="single" w:sz="4" w:space="0" w:color="auto"/>
              <w:right w:val="single" w:sz="4" w:space="0" w:color="auto"/>
            </w:tcBorders>
            <w:noWrap/>
            <w:vAlign w:val="center"/>
          </w:tcPr>
          <w:p w14:paraId="0AB21756" w14:textId="77777777" w:rsidR="00565C3D" w:rsidRPr="00565C3D" w:rsidRDefault="00565C3D" w:rsidP="00565C3D">
            <w:pPr>
              <w:jc w:val="right"/>
              <w:rPr>
                <w:lang w:eastAsia="en-US"/>
              </w:rPr>
            </w:pPr>
            <w:r w:rsidRPr="00565C3D">
              <w:t>32,3</w:t>
            </w:r>
          </w:p>
        </w:tc>
        <w:tc>
          <w:tcPr>
            <w:tcW w:w="992" w:type="dxa"/>
            <w:tcBorders>
              <w:top w:val="single" w:sz="4" w:space="0" w:color="auto"/>
              <w:left w:val="single" w:sz="4" w:space="0" w:color="auto"/>
              <w:bottom w:val="single" w:sz="4" w:space="0" w:color="auto"/>
              <w:right w:val="single" w:sz="4" w:space="0" w:color="auto"/>
            </w:tcBorders>
            <w:noWrap/>
            <w:vAlign w:val="center"/>
          </w:tcPr>
          <w:p w14:paraId="6D35E487" w14:textId="188E060E" w:rsidR="00565C3D" w:rsidRPr="00651941" w:rsidRDefault="00565C3D" w:rsidP="001233E3">
            <w:pPr>
              <w:jc w:val="right"/>
              <w:rPr>
                <w:lang w:eastAsia="en-US"/>
              </w:rPr>
            </w:pPr>
            <w:r w:rsidRPr="00651941">
              <w:t>38,</w:t>
            </w:r>
            <w:r w:rsidR="001233E3" w:rsidRPr="00651941">
              <w:t>4</w:t>
            </w:r>
          </w:p>
        </w:tc>
        <w:tc>
          <w:tcPr>
            <w:tcW w:w="992" w:type="dxa"/>
            <w:tcBorders>
              <w:top w:val="single" w:sz="4" w:space="0" w:color="auto"/>
              <w:left w:val="single" w:sz="4" w:space="0" w:color="auto"/>
              <w:bottom w:val="single" w:sz="4" w:space="0" w:color="auto"/>
              <w:right w:val="single" w:sz="4" w:space="0" w:color="auto"/>
            </w:tcBorders>
            <w:noWrap/>
            <w:vAlign w:val="center"/>
          </w:tcPr>
          <w:p w14:paraId="478D0847" w14:textId="3D8884CE" w:rsidR="00565C3D" w:rsidRPr="00651941" w:rsidRDefault="00565C3D" w:rsidP="001233E3">
            <w:pPr>
              <w:jc w:val="right"/>
              <w:rPr>
                <w:lang w:eastAsia="en-US"/>
              </w:rPr>
            </w:pPr>
            <w:r w:rsidRPr="00651941">
              <w:t>42,</w:t>
            </w:r>
            <w:r w:rsidR="001233E3" w:rsidRPr="00651941">
              <w:t>2</w:t>
            </w:r>
          </w:p>
        </w:tc>
        <w:tc>
          <w:tcPr>
            <w:tcW w:w="990" w:type="dxa"/>
            <w:tcBorders>
              <w:top w:val="single" w:sz="4" w:space="0" w:color="auto"/>
              <w:left w:val="single" w:sz="4" w:space="0" w:color="auto"/>
              <w:bottom w:val="single" w:sz="4" w:space="0" w:color="auto"/>
              <w:right w:val="single" w:sz="4" w:space="0" w:color="auto"/>
            </w:tcBorders>
            <w:noWrap/>
            <w:vAlign w:val="center"/>
          </w:tcPr>
          <w:p w14:paraId="088361BD" w14:textId="18981B9E" w:rsidR="00565C3D" w:rsidRPr="00651941" w:rsidRDefault="00565C3D" w:rsidP="001233E3">
            <w:pPr>
              <w:jc w:val="right"/>
              <w:rPr>
                <w:lang w:eastAsia="en-US"/>
              </w:rPr>
            </w:pPr>
            <w:r w:rsidRPr="00651941">
              <w:t>42,</w:t>
            </w:r>
            <w:r w:rsidR="001233E3" w:rsidRPr="00651941">
              <w:t>1</w:t>
            </w:r>
          </w:p>
        </w:tc>
      </w:tr>
      <w:tr w:rsidR="00565C3D" w:rsidRPr="00565C3D" w14:paraId="26E1B1D2" w14:textId="77777777" w:rsidTr="00565C3D">
        <w:trPr>
          <w:trHeight w:val="299"/>
        </w:trPr>
        <w:tc>
          <w:tcPr>
            <w:tcW w:w="710" w:type="dxa"/>
            <w:gridSpan w:val="2"/>
            <w:tcBorders>
              <w:top w:val="single" w:sz="4" w:space="0" w:color="auto"/>
              <w:left w:val="single" w:sz="4" w:space="0" w:color="auto"/>
              <w:bottom w:val="single" w:sz="4" w:space="0" w:color="auto"/>
              <w:right w:val="single" w:sz="4" w:space="0" w:color="auto"/>
            </w:tcBorders>
            <w:vAlign w:val="center"/>
            <w:hideMark/>
          </w:tcPr>
          <w:p w14:paraId="1E9870C2" w14:textId="77777777" w:rsidR="00565C3D" w:rsidRPr="00565C3D" w:rsidRDefault="00565C3D" w:rsidP="00565C3D">
            <w:pPr>
              <w:jc w:val="center"/>
              <w:rPr>
                <w:lang w:eastAsia="en-US"/>
              </w:rPr>
            </w:pPr>
            <w:r w:rsidRPr="00565C3D">
              <w:rPr>
                <w:lang w:eastAsia="en-US"/>
              </w:rPr>
              <w:t>5</w:t>
            </w:r>
          </w:p>
        </w:tc>
        <w:tc>
          <w:tcPr>
            <w:tcW w:w="4955" w:type="dxa"/>
            <w:tcBorders>
              <w:top w:val="single" w:sz="4" w:space="0" w:color="auto"/>
              <w:left w:val="single" w:sz="4" w:space="0" w:color="auto"/>
              <w:bottom w:val="single" w:sz="4" w:space="0" w:color="auto"/>
              <w:right w:val="single" w:sz="4" w:space="0" w:color="auto"/>
            </w:tcBorders>
            <w:noWrap/>
            <w:vAlign w:val="center"/>
            <w:hideMark/>
          </w:tcPr>
          <w:p w14:paraId="592A7D38" w14:textId="77777777" w:rsidR="00565C3D" w:rsidRPr="00565C3D" w:rsidRDefault="00565C3D" w:rsidP="00A71D79">
            <w:pPr>
              <w:jc w:val="left"/>
              <w:rPr>
                <w:lang w:eastAsia="en-US"/>
              </w:rPr>
            </w:pPr>
            <w:r w:rsidRPr="00565C3D">
              <w:rPr>
                <w:lang w:eastAsia="en-US"/>
              </w:rPr>
              <w:t>Курс, грн/дол. США (на кінець періоду)</w:t>
            </w:r>
          </w:p>
        </w:tc>
        <w:tc>
          <w:tcPr>
            <w:tcW w:w="993" w:type="dxa"/>
            <w:tcBorders>
              <w:top w:val="single" w:sz="4" w:space="0" w:color="auto"/>
              <w:left w:val="single" w:sz="4" w:space="0" w:color="auto"/>
              <w:bottom w:val="single" w:sz="4" w:space="0" w:color="auto"/>
              <w:right w:val="single" w:sz="4" w:space="0" w:color="auto"/>
            </w:tcBorders>
            <w:noWrap/>
            <w:vAlign w:val="center"/>
          </w:tcPr>
          <w:p w14:paraId="4E12B6C4" w14:textId="77777777" w:rsidR="00565C3D" w:rsidRPr="00565C3D" w:rsidRDefault="00565C3D" w:rsidP="00565C3D">
            <w:pPr>
              <w:jc w:val="right"/>
              <w:rPr>
                <w:lang w:eastAsia="en-US"/>
              </w:rPr>
            </w:pPr>
            <w:r w:rsidRPr="00565C3D">
              <w:t>36,6</w:t>
            </w:r>
          </w:p>
        </w:tc>
        <w:tc>
          <w:tcPr>
            <w:tcW w:w="992" w:type="dxa"/>
            <w:tcBorders>
              <w:top w:val="single" w:sz="4" w:space="0" w:color="auto"/>
              <w:left w:val="single" w:sz="4" w:space="0" w:color="auto"/>
              <w:bottom w:val="single" w:sz="4" w:space="0" w:color="auto"/>
              <w:right w:val="single" w:sz="4" w:space="0" w:color="auto"/>
            </w:tcBorders>
            <w:noWrap/>
            <w:vAlign w:val="center"/>
          </w:tcPr>
          <w:p w14:paraId="3EFA6CD9" w14:textId="06D7EE47" w:rsidR="00565C3D" w:rsidRPr="00651941" w:rsidRDefault="00565C3D" w:rsidP="001233E3">
            <w:pPr>
              <w:jc w:val="right"/>
              <w:rPr>
                <w:lang w:eastAsia="en-US"/>
              </w:rPr>
            </w:pPr>
            <w:r w:rsidRPr="00651941">
              <w:t>41,</w:t>
            </w:r>
            <w:r w:rsidR="001233E3" w:rsidRPr="00651941">
              <w:t>2</w:t>
            </w:r>
          </w:p>
        </w:tc>
        <w:tc>
          <w:tcPr>
            <w:tcW w:w="992" w:type="dxa"/>
            <w:tcBorders>
              <w:top w:val="single" w:sz="4" w:space="0" w:color="auto"/>
              <w:left w:val="single" w:sz="4" w:space="0" w:color="auto"/>
              <w:bottom w:val="single" w:sz="4" w:space="0" w:color="auto"/>
              <w:right w:val="single" w:sz="4" w:space="0" w:color="auto"/>
            </w:tcBorders>
            <w:noWrap/>
            <w:vAlign w:val="center"/>
          </w:tcPr>
          <w:p w14:paraId="282E8D09" w14:textId="61142F13" w:rsidR="00565C3D" w:rsidRPr="00651941" w:rsidRDefault="00565C3D" w:rsidP="001233E3">
            <w:pPr>
              <w:jc w:val="right"/>
              <w:rPr>
                <w:lang w:eastAsia="en-US"/>
              </w:rPr>
            </w:pPr>
            <w:r w:rsidRPr="00651941">
              <w:t>41,</w:t>
            </w:r>
            <w:r w:rsidR="001233E3" w:rsidRPr="00651941">
              <w:t>9</w:t>
            </w:r>
          </w:p>
        </w:tc>
        <w:tc>
          <w:tcPr>
            <w:tcW w:w="990" w:type="dxa"/>
            <w:tcBorders>
              <w:top w:val="single" w:sz="4" w:space="0" w:color="auto"/>
              <w:left w:val="single" w:sz="4" w:space="0" w:color="auto"/>
              <w:bottom w:val="single" w:sz="4" w:space="0" w:color="auto"/>
              <w:right w:val="single" w:sz="4" w:space="0" w:color="auto"/>
            </w:tcBorders>
            <w:noWrap/>
            <w:vAlign w:val="center"/>
          </w:tcPr>
          <w:p w14:paraId="1CE561B2" w14:textId="77777777" w:rsidR="00565C3D" w:rsidRPr="00651941" w:rsidRDefault="00565C3D" w:rsidP="00565C3D">
            <w:pPr>
              <w:jc w:val="right"/>
              <w:rPr>
                <w:lang w:eastAsia="en-US"/>
              </w:rPr>
            </w:pPr>
            <w:r w:rsidRPr="00651941">
              <w:t>42,3</w:t>
            </w:r>
          </w:p>
        </w:tc>
      </w:tr>
      <w:tr w:rsidR="00565C3D" w:rsidRPr="00565C3D" w14:paraId="6CD69C22" w14:textId="77777777" w:rsidTr="00565C3D">
        <w:trPr>
          <w:trHeight w:val="299"/>
        </w:trPr>
        <w:tc>
          <w:tcPr>
            <w:tcW w:w="710" w:type="dxa"/>
            <w:gridSpan w:val="2"/>
            <w:tcBorders>
              <w:top w:val="single" w:sz="4" w:space="0" w:color="auto"/>
              <w:left w:val="single" w:sz="4" w:space="0" w:color="auto"/>
              <w:bottom w:val="single" w:sz="4" w:space="0" w:color="auto"/>
              <w:right w:val="single" w:sz="4" w:space="0" w:color="auto"/>
            </w:tcBorders>
            <w:vAlign w:val="center"/>
          </w:tcPr>
          <w:p w14:paraId="3B6F9C0E" w14:textId="77777777" w:rsidR="00565C3D" w:rsidRPr="00565C3D" w:rsidRDefault="00565C3D" w:rsidP="00565C3D">
            <w:pPr>
              <w:jc w:val="center"/>
              <w:rPr>
                <w:lang w:eastAsia="en-US"/>
              </w:rPr>
            </w:pPr>
            <w:r w:rsidRPr="00565C3D">
              <w:rPr>
                <w:lang w:eastAsia="en-US"/>
              </w:rPr>
              <w:t>6</w:t>
            </w:r>
          </w:p>
        </w:tc>
        <w:tc>
          <w:tcPr>
            <w:tcW w:w="4955" w:type="dxa"/>
            <w:tcBorders>
              <w:top w:val="single" w:sz="4" w:space="0" w:color="auto"/>
              <w:left w:val="single" w:sz="4" w:space="0" w:color="auto"/>
              <w:bottom w:val="single" w:sz="4" w:space="0" w:color="auto"/>
              <w:right w:val="single" w:sz="4" w:space="0" w:color="auto"/>
            </w:tcBorders>
            <w:noWrap/>
            <w:vAlign w:val="center"/>
            <w:hideMark/>
          </w:tcPr>
          <w:p w14:paraId="43C2ABF6" w14:textId="77777777" w:rsidR="00565C3D" w:rsidRPr="00565C3D" w:rsidRDefault="00565C3D" w:rsidP="00A71D79">
            <w:pPr>
              <w:jc w:val="left"/>
              <w:rPr>
                <w:lang w:eastAsia="en-US"/>
              </w:rPr>
            </w:pPr>
            <w:r w:rsidRPr="00565C3D">
              <w:rPr>
                <w:lang w:eastAsia="en-US"/>
              </w:rPr>
              <w:t>Індекс споживчих цін (ІСЦ) (порівняно з груднем попереднього року, %)</w:t>
            </w:r>
          </w:p>
        </w:tc>
        <w:tc>
          <w:tcPr>
            <w:tcW w:w="993" w:type="dxa"/>
            <w:tcBorders>
              <w:top w:val="single" w:sz="4" w:space="0" w:color="auto"/>
              <w:left w:val="single" w:sz="4" w:space="0" w:color="auto"/>
              <w:bottom w:val="single" w:sz="4" w:space="0" w:color="auto"/>
              <w:right w:val="single" w:sz="4" w:space="0" w:color="auto"/>
            </w:tcBorders>
            <w:noWrap/>
            <w:vAlign w:val="center"/>
          </w:tcPr>
          <w:p w14:paraId="1E4BE545" w14:textId="77777777" w:rsidR="00565C3D" w:rsidRPr="00565C3D" w:rsidRDefault="00565C3D" w:rsidP="00565C3D">
            <w:pPr>
              <w:jc w:val="right"/>
              <w:rPr>
                <w:lang w:eastAsia="en-US"/>
              </w:rPr>
            </w:pPr>
            <w:r w:rsidRPr="00565C3D">
              <w:t>26,6</w:t>
            </w:r>
          </w:p>
        </w:tc>
        <w:tc>
          <w:tcPr>
            <w:tcW w:w="992" w:type="dxa"/>
            <w:tcBorders>
              <w:top w:val="single" w:sz="4" w:space="0" w:color="auto"/>
              <w:left w:val="single" w:sz="4" w:space="0" w:color="auto"/>
              <w:bottom w:val="single" w:sz="4" w:space="0" w:color="auto"/>
              <w:right w:val="single" w:sz="4" w:space="0" w:color="auto"/>
            </w:tcBorders>
            <w:noWrap/>
            <w:vAlign w:val="center"/>
          </w:tcPr>
          <w:p w14:paraId="60A746EE" w14:textId="77777777" w:rsidR="00565C3D" w:rsidRPr="00565C3D" w:rsidRDefault="00565C3D" w:rsidP="00565C3D">
            <w:pPr>
              <w:jc w:val="right"/>
              <w:rPr>
                <w:lang w:eastAsia="en-US"/>
              </w:rPr>
            </w:pPr>
            <w:r w:rsidRPr="00565C3D">
              <w:t>10,6</w:t>
            </w:r>
          </w:p>
        </w:tc>
        <w:tc>
          <w:tcPr>
            <w:tcW w:w="992" w:type="dxa"/>
            <w:tcBorders>
              <w:top w:val="single" w:sz="4" w:space="0" w:color="auto"/>
              <w:left w:val="single" w:sz="4" w:space="0" w:color="auto"/>
              <w:bottom w:val="single" w:sz="4" w:space="0" w:color="auto"/>
              <w:right w:val="single" w:sz="4" w:space="0" w:color="auto"/>
            </w:tcBorders>
            <w:noWrap/>
            <w:vAlign w:val="center"/>
          </w:tcPr>
          <w:p w14:paraId="0C590184" w14:textId="77777777" w:rsidR="00565C3D" w:rsidRPr="00565C3D" w:rsidRDefault="00565C3D" w:rsidP="00565C3D">
            <w:pPr>
              <w:jc w:val="right"/>
              <w:rPr>
                <w:lang w:eastAsia="en-US"/>
              </w:rPr>
            </w:pPr>
            <w:r w:rsidRPr="00565C3D">
              <w:t>8,5</w:t>
            </w:r>
          </w:p>
        </w:tc>
        <w:tc>
          <w:tcPr>
            <w:tcW w:w="990" w:type="dxa"/>
            <w:tcBorders>
              <w:top w:val="single" w:sz="4" w:space="0" w:color="auto"/>
              <w:left w:val="single" w:sz="4" w:space="0" w:color="auto"/>
              <w:bottom w:val="single" w:sz="4" w:space="0" w:color="auto"/>
              <w:right w:val="single" w:sz="4" w:space="0" w:color="auto"/>
            </w:tcBorders>
            <w:noWrap/>
            <w:vAlign w:val="center"/>
          </w:tcPr>
          <w:p w14:paraId="4D9BCB64" w14:textId="77777777" w:rsidR="00565C3D" w:rsidRPr="00565C3D" w:rsidRDefault="00565C3D" w:rsidP="00565C3D">
            <w:pPr>
              <w:jc w:val="right"/>
              <w:rPr>
                <w:lang w:eastAsia="en-US"/>
              </w:rPr>
            </w:pPr>
            <w:r w:rsidRPr="00565C3D">
              <w:t>6,0</w:t>
            </w:r>
          </w:p>
        </w:tc>
      </w:tr>
      <w:tr w:rsidR="00565C3D" w:rsidRPr="00565C3D" w14:paraId="7E66EA9E" w14:textId="77777777" w:rsidTr="00565C3D">
        <w:trPr>
          <w:trHeight w:val="299"/>
        </w:trPr>
        <w:tc>
          <w:tcPr>
            <w:tcW w:w="710" w:type="dxa"/>
            <w:gridSpan w:val="2"/>
            <w:tcBorders>
              <w:top w:val="single" w:sz="4" w:space="0" w:color="auto"/>
              <w:left w:val="single" w:sz="4" w:space="0" w:color="auto"/>
              <w:bottom w:val="single" w:sz="4" w:space="0" w:color="auto"/>
              <w:right w:val="single" w:sz="4" w:space="0" w:color="auto"/>
            </w:tcBorders>
            <w:vAlign w:val="center"/>
          </w:tcPr>
          <w:p w14:paraId="0030B845" w14:textId="77777777" w:rsidR="00565C3D" w:rsidRPr="00565C3D" w:rsidRDefault="00565C3D" w:rsidP="00565C3D">
            <w:pPr>
              <w:jc w:val="center"/>
              <w:rPr>
                <w:lang w:eastAsia="en-US"/>
              </w:rPr>
            </w:pPr>
            <w:r w:rsidRPr="00565C3D">
              <w:rPr>
                <w:lang w:eastAsia="en-US"/>
              </w:rPr>
              <w:t>7</w:t>
            </w:r>
          </w:p>
        </w:tc>
        <w:tc>
          <w:tcPr>
            <w:tcW w:w="4955" w:type="dxa"/>
            <w:tcBorders>
              <w:top w:val="single" w:sz="4" w:space="0" w:color="auto"/>
              <w:left w:val="single" w:sz="4" w:space="0" w:color="auto"/>
              <w:bottom w:val="single" w:sz="4" w:space="0" w:color="auto"/>
              <w:right w:val="single" w:sz="4" w:space="0" w:color="auto"/>
            </w:tcBorders>
            <w:noWrap/>
            <w:vAlign w:val="center"/>
          </w:tcPr>
          <w:p w14:paraId="6819E28A" w14:textId="77777777" w:rsidR="00565C3D" w:rsidRPr="00565C3D" w:rsidRDefault="00565C3D" w:rsidP="00A71D79">
            <w:pPr>
              <w:jc w:val="left"/>
              <w:rPr>
                <w:lang w:eastAsia="en-US"/>
              </w:rPr>
            </w:pPr>
            <w:r w:rsidRPr="00565C3D">
              <w:rPr>
                <w:lang w:eastAsia="en-US"/>
              </w:rPr>
              <w:t>Індекс споживчих цін (ІСЦ) (середнє за період, %)</w:t>
            </w:r>
          </w:p>
        </w:tc>
        <w:tc>
          <w:tcPr>
            <w:tcW w:w="993" w:type="dxa"/>
            <w:tcBorders>
              <w:top w:val="single" w:sz="4" w:space="0" w:color="auto"/>
              <w:left w:val="single" w:sz="4" w:space="0" w:color="auto"/>
              <w:bottom w:val="single" w:sz="4" w:space="0" w:color="auto"/>
              <w:right w:val="single" w:sz="4" w:space="0" w:color="auto"/>
            </w:tcBorders>
            <w:noWrap/>
            <w:vAlign w:val="center"/>
          </w:tcPr>
          <w:p w14:paraId="4414C02B" w14:textId="77777777" w:rsidR="00565C3D" w:rsidRPr="00565C3D" w:rsidRDefault="00565C3D" w:rsidP="00565C3D">
            <w:pPr>
              <w:jc w:val="right"/>
            </w:pPr>
            <w:r w:rsidRPr="00565C3D">
              <w:t>20,2</w:t>
            </w:r>
          </w:p>
        </w:tc>
        <w:tc>
          <w:tcPr>
            <w:tcW w:w="992" w:type="dxa"/>
            <w:tcBorders>
              <w:top w:val="single" w:sz="4" w:space="0" w:color="auto"/>
              <w:left w:val="single" w:sz="4" w:space="0" w:color="auto"/>
              <w:bottom w:val="single" w:sz="4" w:space="0" w:color="auto"/>
              <w:right w:val="single" w:sz="4" w:space="0" w:color="auto"/>
            </w:tcBorders>
            <w:noWrap/>
            <w:vAlign w:val="center"/>
          </w:tcPr>
          <w:p w14:paraId="6B1D1965" w14:textId="77777777" w:rsidR="00565C3D" w:rsidRPr="00565C3D" w:rsidRDefault="00565C3D" w:rsidP="00565C3D">
            <w:pPr>
              <w:jc w:val="right"/>
            </w:pPr>
            <w:r w:rsidRPr="00565C3D">
              <w:t>14,7</w:t>
            </w:r>
          </w:p>
        </w:tc>
        <w:tc>
          <w:tcPr>
            <w:tcW w:w="992" w:type="dxa"/>
            <w:tcBorders>
              <w:top w:val="single" w:sz="4" w:space="0" w:color="auto"/>
              <w:left w:val="single" w:sz="4" w:space="0" w:color="auto"/>
              <w:bottom w:val="single" w:sz="4" w:space="0" w:color="auto"/>
              <w:right w:val="single" w:sz="4" w:space="0" w:color="auto"/>
            </w:tcBorders>
            <w:noWrap/>
            <w:vAlign w:val="center"/>
          </w:tcPr>
          <w:p w14:paraId="5664277C" w14:textId="77777777" w:rsidR="00565C3D" w:rsidRPr="00565C3D" w:rsidRDefault="00565C3D" w:rsidP="00565C3D">
            <w:pPr>
              <w:jc w:val="right"/>
            </w:pPr>
            <w:r w:rsidRPr="00565C3D">
              <w:t>10,4</w:t>
            </w:r>
          </w:p>
        </w:tc>
        <w:tc>
          <w:tcPr>
            <w:tcW w:w="990" w:type="dxa"/>
            <w:tcBorders>
              <w:top w:val="single" w:sz="4" w:space="0" w:color="auto"/>
              <w:left w:val="single" w:sz="4" w:space="0" w:color="auto"/>
              <w:bottom w:val="single" w:sz="4" w:space="0" w:color="auto"/>
              <w:right w:val="single" w:sz="4" w:space="0" w:color="auto"/>
            </w:tcBorders>
            <w:noWrap/>
            <w:vAlign w:val="center"/>
          </w:tcPr>
          <w:p w14:paraId="5B4B9A2F" w14:textId="77777777" w:rsidR="00565C3D" w:rsidRPr="00565C3D" w:rsidRDefault="00565C3D" w:rsidP="00565C3D">
            <w:pPr>
              <w:jc w:val="right"/>
              <w:rPr>
                <w:highlight w:val="yellow"/>
              </w:rPr>
            </w:pPr>
            <w:r w:rsidRPr="00565C3D">
              <w:t>7,1</w:t>
            </w:r>
          </w:p>
        </w:tc>
      </w:tr>
      <w:tr w:rsidR="00565C3D" w:rsidRPr="00565C3D" w14:paraId="4932EE49" w14:textId="77777777" w:rsidTr="00565C3D">
        <w:trPr>
          <w:trHeight w:val="299"/>
        </w:trPr>
        <w:tc>
          <w:tcPr>
            <w:tcW w:w="710" w:type="dxa"/>
            <w:gridSpan w:val="2"/>
            <w:tcBorders>
              <w:top w:val="single" w:sz="4" w:space="0" w:color="auto"/>
              <w:left w:val="single" w:sz="4" w:space="0" w:color="auto"/>
              <w:bottom w:val="single" w:sz="4" w:space="0" w:color="auto"/>
              <w:right w:val="single" w:sz="4" w:space="0" w:color="auto"/>
            </w:tcBorders>
            <w:vAlign w:val="center"/>
          </w:tcPr>
          <w:p w14:paraId="4D439EAB" w14:textId="77777777" w:rsidR="00565C3D" w:rsidRPr="00565C3D" w:rsidRDefault="00565C3D" w:rsidP="00565C3D">
            <w:pPr>
              <w:jc w:val="center"/>
              <w:rPr>
                <w:lang w:eastAsia="en-US"/>
              </w:rPr>
            </w:pPr>
            <w:r w:rsidRPr="00565C3D">
              <w:rPr>
                <w:lang w:eastAsia="en-US"/>
              </w:rPr>
              <w:t>8</w:t>
            </w:r>
          </w:p>
        </w:tc>
        <w:tc>
          <w:tcPr>
            <w:tcW w:w="4955" w:type="dxa"/>
            <w:tcBorders>
              <w:top w:val="single" w:sz="4" w:space="0" w:color="auto"/>
              <w:left w:val="single" w:sz="4" w:space="0" w:color="auto"/>
              <w:bottom w:val="single" w:sz="4" w:space="0" w:color="auto"/>
              <w:right w:val="single" w:sz="4" w:space="0" w:color="auto"/>
            </w:tcBorders>
            <w:noWrap/>
            <w:vAlign w:val="center"/>
          </w:tcPr>
          <w:p w14:paraId="362AD5EC" w14:textId="77777777" w:rsidR="00565C3D" w:rsidRPr="00565C3D" w:rsidRDefault="00565C3D" w:rsidP="00A71D79">
            <w:pPr>
              <w:jc w:val="left"/>
              <w:rPr>
                <w:lang w:eastAsia="en-US"/>
              </w:rPr>
            </w:pPr>
            <w:r w:rsidRPr="00565C3D">
              <w:rPr>
                <w:lang w:eastAsia="en-US"/>
              </w:rPr>
              <w:t xml:space="preserve">Дефлятор ВВП </w:t>
            </w:r>
            <w:r w:rsidRPr="00565C3D">
              <w:t>(зміна порівняно з попереднім роком, %)</w:t>
            </w:r>
          </w:p>
        </w:tc>
        <w:tc>
          <w:tcPr>
            <w:tcW w:w="993" w:type="dxa"/>
            <w:tcBorders>
              <w:top w:val="single" w:sz="4" w:space="0" w:color="auto"/>
              <w:left w:val="single" w:sz="4" w:space="0" w:color="auto"/>
              <w:bottom w:val="single" w:sz="4" w:space="0" w:color="auto"/>
              <w:right w:val="single" w:sz="4" w:space="0" w:color="auto"/>
            </w:tcBorders>
            <w:noWrap/>
            <w:vAlign w:val="center"/>
          </w:tcPr>
          <w:p w14:paraId="245D835F" w14:textId="77777777" w:rsidR="00565C3D" w:rsidRPr="00565C3D" w:rsidRDefault="00565C3D" w:rsidP="00565C3D">
            <w:pPr>
              <w:jc w:val="right"/>
            </w:pPr>
            <w:r w:rsidRPr="00565C3D">
              <w:t>34,3</w:t>
            </w:r>
          </w:p>
        </w:tc>
        <w:tc>
          <w:tcPr>
            <w:tcW w:w="992" w:type="dxa"/>
            <w:tcBorders>
              <w:top w:val="single" w:sz="4" w:space="0" w:color="auto"/>
              <w:left w:val="single" w:sz="4" w:space="0" w:color="auto"/>
              <w:bottom w:val="single" w:sz="4" w:space="0" w:color="auto"/>
              <w:right w:val="single" w:sz="4" w:space="0" w:color="auto"/>
            </w:tcBorders>
            <w:noWrap/>
            <w:vAlign w:val="center"/>
          </w:tcPr>
          <w:p w14:paraId="328595AD" w14:textId="77777777" w:rsidR="00565C3D" w:rsidRPr="00565C3D" w:rsidRDefault="00565C3D" w:rsidP="00565C3D">
            <w:pPr>
              <w:jc w:val="right"/>
            </w:pPr>
            <w:r w:rsidRPr="00565C3D">
              <w:t>22,2</w:t>
            </w:r>
          </w:p>
        </w:tc>
        <w:tc>
          <w:tcPr>
            <w:tcW w:w="992" w:type="dxa"/>
            <w:tcBorders>
              <w:top w:val="single" w:sz="4" w:space="0" w:color="auto"/>
              <w:left w:val="single" w:sz="4" w:space="0" w:color="auto"/>
              <w:bottom w:val="single" w:sz="4" w:space="0" w:color="auto"/>
              <w:right w:val="single" w:sz="4" w:space="0" w:color="auto"/>
            </w:tcBorders>
            <w:noWrap/>
            <w:vAlign w:val="center"/>
          </w:tcPr>
          <w:p w14:paraId="49CBD03C" w14:textId="77777777" w:rsidR="00565C3D" w:rsidRPr="00565C3D" w:rsidRDefault="00565C3D" w:rsidP="00565C3D">
            <w:pPr>
              <w:jc w:val="right"/>
            </w:pPr>
            <w:r w:rsidRPr="00565C3D">
              <w:t>12,8</w:t>
            </w:r>
          </w:p>
        </w:tc>
        <w:tc>
          <w:tcPr>
            <w:tcW w:w="990" w:type="dxa"/>
            <w:tcBorders>
              <w:top w:val="single" w:sz="4" w:space="0" w:color="auto"/>
              <w:left w:val="single" w:sz="4" w:space="0" w:color="auto"/>
              <w:bottom w:val="single" w:sz="4" w:space="0" w:color="auto"/>
              <w:right w:val="single" w:sz="4" w:space="0" w:color="auto"/>
            </w:tcBorders>
            <w:noWrap/>
            <w:vAlign w:val="center"/>
          </w:tcPr>
          <w:p w14:paraId="2B006517" w14:textId="77777777" w:rsidR="00565C3D" w:rsidRPr="00565C3D" w:rsidRDefault="00565C3D" w:rsidP="00565C3D">
            <w:pPr>
              <w:jc w:val="right"/>
              <w:rPr>
                <w:highlight w:val="yellow"/>
              </w:rPr>
            </w:pPr>
            <w:r w:rsidRPr="00565C3D">
              <w:t>8,5</w:t>
            </w:r>
          </w:p>
        </w:tc>
      </w:tr>
      <w:tr w:rsidR="00565C3D" w:rsidRPr="00565C3D" w14:paraId="11DEE53B" w14:textId="77777777" w:rsidTr="00565C3D">
        <w:trPr>
          <w:trHeight w:val="299"/>
        </w:trPr>
        <w:tc>
          <w:tcPr>
            <w:tcW w:w="710" w:type="dxa"/>
            <w:gridSpan w:val="2"/>
            <w:tcBorders>
              <w:top w:val="single" w:sz="4" w:space="0" w:color="auto"/>
              <w:left w:val="single" w:sz="4" w:space="0" w:color="auto"/>
              <w:bottom w:val="single" w:sz="4" w:space="0" w:color="auto"/>
              <w:right w:val="single" w:sz="4" w:space="0" w:color="auto"/>
            </w:tcBorders>
            <w:vAlign w:val="center"/>
          </w:tcPr>
          <w:p w14:paraId="41EC3292" w14:textId="77777777" w:rsidR="00565C3D" w:rsidRPr="00565C3D" w:rsidRDefault="00565C3D" w:rsidP="00565C3D">
            <w:pPr>
              <w:jc w:val="center"/>
              <w:rPr>
                <w:lang w:eastAsia="en-US"/>
              </w:rPr>
            </w:pPr>
            <w:r w:rsidRPr="00565C3D">
              <w:rPr>
                <w:lang w:eastAsia="en-US"/>
              </w:rPr>
              <w:t>9</w:t>
            </w:r>
          </w:p>
        </w:tc>
        <w:tc>
          <w:tcPr>
            <w:tcW w:w="8922" w:type="dxa"/>
            <w:gridSpan w:val="5"/>
            <w:tcBorders>
              <w:top w:val="single" w:sz="4" w:space="0" w:color="auto"/>
              <w:left w:val="single" w:sz="4" w:space="0" w:color="auto"/>
              <w:bottom w:val="single" w:sz="4" w:space="0" w:color="auto"/>
              <w:right w:val="single" w:sz="4" w:space="0" w:color="auto"/>
            </w:tcBorders>
            <w:vAlign w:val="center"/>
            <w:hideMark/>
          </w:tcPr>
          <w:p w14:paraId="1D5CF2E4" w14:textId="77777777" w:rsidR="00565C3D" w:rsidRPr="00565C3D" w:rsidRDefault="00565C3D" w:rsidP="00A71D79">
            <w:pPr>
              <w:jc w:val="left"/>
              <w:rPr>
                <w:lang w:eastAsia="en-US"/>
              </w:rPr>
            </w:pPr>
            <w:r w:rsidRPr="00565C3D">
              <w:rPr>
                <w:lang w:eastAsia="en-US"/>
              </w:rPr>
              <w:t>Відсоткова ставка за новими кредитами банків:</w:t>
            </w:r>
          </w:p>
        </w:tc>
      </w:tr>
      <w:tr w:rsidR="00565C3D" w:rsidRPr="00565C3D" w14:paraId="51EFD403" w14:textId="77777777" w:rsidTr="00565C3D">
        <w:trPr>
          <w:trHeight w:val="299"/>
        </w:trPr>
        <w:tc>
          <w:tcPr>
            <w:tcW w:w="710" w:type="dxa"/>
            <w:gridSpan w:val="2"/>
            <w:tcBorders>
              <w:top w:val="single" w:sz="4" w:space="0" w:color="auto"/>
              <w:left w:val="single" w:sz="4" w:space="0" w:color="auto"/>
              <w:bottom w:val="single" w:sz="4" w:space="0" w:color="auto"/>
              <w:right w:val="single" w:sz="4" w:space="0" w:color="auto"/>
            </w:tcBorders>
            <w:vAlign w:val="center"/>
          </w:tcPr>
          <w:p w14:paraId="2F0CB817" w14:textId="77777777" w:rsidR="00565C3D" w:rsidRPr="00565C3D" w:rsidRDefault="00565C3D" w:rsidP="00565C3D">
            <w:pPr>
              <w:jc w:val="center"/>
              <w:rPr>
                <w:lang w:eastAsia="en-US"/>
              </w:rPr>
            </w:pPr>
            <w:r w:rsidRPr="00565C3D">
              <w:rPr>
                <w:lang w:eastAsia="en-US"/>
              </w:rPr>
              <w:t>10</w:t>
            </w:r>
          </w:p>
        </w:tc>
        <w:tc>
          <w:tcPr>
            <w:tcW w:w="4955" w:type="dxa"/>
            <w:tcBorders>
              <w:top w:val="single" w:sz="4" w:space="0" w:color="auto"/>
              <w:left w:val="single" w:sz="4" w:space="0" w:color="auto"/>
              <w:bottom w:val="single" w:sz="4" w:space="0" w:color="auto"/>
              <w:right w:val="single" w:sz="4" w:space="0" w:color="auto"/>
            </w:tcBorders>
            <w:noWrap/>
            <w:vAlign w:val="center"/>
            <w:hideMark/>
          </w:tcPr>
          <w:p w14:paraId="15FF11EA" w14:textId="77777777" w:rsidR="00565C3D" w:rsidRPr="00565C3D" w:rsidRDefault="00565C3D" w:rsidP="00A71D79">
            <w:pPr>
              <w:ind w:firstLine="315"/>
              <w:jc w:val="left"/>
              <w:rPr>
                <w:lang w:eastAsia="en-US"/>
              </w:rPr>
            </w:pPr>
            <w:r w:rsidRPr="00565C3D">
              <w:rPr>
                <w:lang w:eastAsia="en-US"/>
              </w:rPr>
              <w:t>у національній валюті суб’єктам господарювання (у середньому за період, %)</w:t>
            </w:r>
          </w:p>
        </w:tc>
        <w:tc>
          <w:tcPr>
            <w:tcW w:w="993" w:type="dxa"/>
            <w:tcBorders>
              <w:top w:val="single" w:sz="4" w:space="0" w:color="auto"/>
              <w:left w:val="single" w:sz="4" w:space="0" w:color="auto"/>
              <w:bottom w:val="single" w:sz="4" w:space="0" w:color="auto"/>
              <w:right w:val="single" w:sz="4" w:space="0" w:color="auto"/>
            </w:tcBorders>
            <w:vAlign w:val="center"/>
          </w:tcPr>
          <w:p w14:paraId="755F0363" w14:textId="77777777" w:rsidR="00565C3D" w:rsidRPr="00565C3D" w:rsidRDefault="00565C3D" w:rsidP="00565C3D">
            <w:pPr>
              <w:jc w:val="right"/>
            </w:pPr>
            <w:r w:rsidRPr="00565C3D">
              <w:t>16,5</w:t>
            </w:r>
          </w:p>
        </w:tc>
        <w:tc>
          <w:tcPr>
            <w:tcW w:w="992" w:type="dxa"/>
            <w:tcBorders>
              <w:top w:val="single" w:sz="4" w:space="0" w:color="auto"/>
              <w:left w:val="single" w:sz="4" w:space="0" w:color="auto"/>
              <w:bottom w:val="single" w:sz="4" w:space="0" w:color="auto"/>
              <w:right w:val="single" w:sz="4" w:space="0" w:color="auto"/>
            </w:tcBorders>
            <w:vAlign w:val="center"/>
          </w:tcPr>
          <w:p w14:paraId="5911F4CF" w14:textId="77777777" w:rsidR="00565C3D" w:rsidRPr="00565C3D" w:rsidRDefault="00565C3D" w:rsidP="00565C3D">
            <w:pPr>
              <w:jc w:val="right"/>
            </w:pPr>
            <w:r w:rsidRPr="00565C3D">
              <w:t>16,1</w:t>
            </w:r>
          </w:p>
        </w:tc>
        <w:tc>
          <w:tcPr>
            <w:tcW w:w="992" w:type="dxa"/>
            <w:tcBorders>
              <w:top w:val="single" w:sz="4" w:space="0" w:color="auto"/>
              <w:left w:val="single" w:sz="4" w:space="0" w:color="auto"/>
              <w:bottom w:val="single" w:sz="4" w:space="0" w:color="auto"/>
              <w:right w:val="single" w:sz="4" w:space="0" w:color="auto"/>
            </w:tcBorders>
            <w:vAlign w:val="center"/>
          </w:tcPr>
          <w:p w14:paraId="20E98F2E" w14:textId="77777777" w:rsidR="00565C3D" w:rsidRPr="00565C3D" w:rsidRDefault="00565C3D" w:rsidP="00565C3D">
            <w:pPr>
              <w:jc w:val="right"/>
            </w:pPr>
            <w:r w:rsidRPr="00565C3D">
              <w:t>14,1</w:t>
            </w:r>
          </w:p>
        </w:tc>
        <w:tc>
          <w:tcPr>
            <w:tcW w:w="990" w:type="dxa"/>
            <w:tcBorders>
              <w:top w:val="single" w:sz="4" w:space="0" w:color="auto"/>
              <w:left w:val="single" w:sz="4" w:space="0" w:color="auto"/>
              <w:bottom w:val="single" w:sz="4" w:space="0" w:color="auto"/>
              <w:right w:val="single" w:sz="4" w:space="0" w:color="auto"/>
            </w:tcBorders>
            <w:vAlign w:val="center"/>
          </w:tcPr>
          <w:p w14:paraId="3B26935B" w14:textId="77777777" w:rsidR="00565C3D" w:rsidRPr="00565C3D" w:rsidRDefault="00565C3D" w:rsidP="00565C3D">
            <w:pPr>
              <w:jc w:val="right"/>
            </w:pPr>
            <w:r w:rsidRPr="00565C3D">
              <w:t>12,0</w:t>
            </w:r>
          </w:p>
        </w:tc>
      </w:tr>
      <w:tr w:rsidR="00565C3D" w:rsidRPr="00565C3D" w14:paraId="43E3CD26" w14:textId="77777777" w:rsidTr="00565C3D">
        <w:trPr>
          <w:trHeight w:val="299"/>
        </w:trPr>
        <w:tc>
          <w:tcPr>
            <w:tcW w:w="710" w:type="dxa"/>
            <w:gridSpan w:val="2"/>
            <w:tcBorders>
              <w:top w:val="single" w:sz="4" w:space="0" w:color="auto"/>
              <w:left w:val="single" w:sz="4" w:space="0" w:color="auto"/>
              <w:bottom w:val="single" w:sz="4" w:space="0" w:color="auto"/>
              <w:right w:val="single" w:sz="4" w:space="0" w:color="auto"/>
            </w:tcBorders>
            <w:vAlign w:val="center"/>
          </w:tcPr>
          <w:p w14:paraId="78A55BA4" w14:textId="77777777" w:rsidR="00565C3D" w:rsidRPr="00565C3D" w:rsidRDefault="00565C3D" w:rsidP="00565C3D">
            <w:pPr>
              <w:jc w:val="center"/>
              <w:rPr>
                <w:lang w:eastAsia="en-US"/>
              </w:rPr>
            </w:pPr>
            <w:r w:rsidRPr="00565C3D">
              <w:rPr>
                <w:lang w:eastAsia="en-US"/>
              </w:rPr>
              <w:t>11</w:t>
            </w:r>
          </w:p>
        </w:tc>
        <w:tc>
          <w:tcPr>
            <w:tcW w:w="4955" w:type="dxa"/>
            <w:tcBorders>
              <w:top w:val="single" w:sz="4" w:space="0" w:color="auto"/>
              <w:left w:val="single" w:sz="4" w:space="0" w:color="auto"/>
              <w:bottom w:val="single" w:sz="4" w:space="0" w:color="auto"/>
              <w:right w:val="single" w:sz="4" w:space="0" w:color="auto"/>
            </w:tcBorders>
            <w:noWrap/>
            <w:vAlign w:val="center"/>
            <w:hideMark/>
          </w:tcPr>
          <w:p w14:paraId="7AB999A3" w14:textId="77777777" w:rsidR="00565C3D" w:rsidRPr="00565C3D" w:rsidRDefault="00565C3D" w:rsidP="00A71D79">
            <w:pPr>
              <w:ind w:firstLine="315"/>
              <w:jc w:val="left"/>
              <w:rPr>
                <w:lang w:eastAsia="en-US"/>
              </w:rPr>
            </w:pPr>
            <w:r w:rsidRPr="00565C3D">
              <w:rPr>
                <w:lang w:eastAsia="en-US"/>
              </w:rPr>
              <w:t>в іноземній валюті суб’єктам господарювання (у середньому за період, %)</w:t>
            </w:r>
          </w:p>
        </w:tc>
        <w:tc>
          <w:tcPr>
            <w:tcW w:w="993" w:type="dxa"/>
            <w:tcBorders>
              <w:top w:val="single" w:sz="4" w:space="0" w:color="auto"/>
              <w:left w:val="single" w:sz="4" w:space="0" w:color="auto"/>
              <w:bottom w:val="single" w:sz="4" w:space="0" w:color="auto"/>
              <w:right w:val="single" w:sz="4" w:space="0" w:color="auto"/>
            </w:tcBorders>
            <w:noWrap/>
            <w:vAlign w:val="center"/>
          </w:tcPr>
          <w:p w14:paraId="3D47F42E" w14:textId="77777777" w:rsidR="00565C3D" w:rsidRPr="00565C3D" w:rsidRDefault="00565C3D" w:rsidP="00565C3D">
            <w:pPr>
              <w:jc w:val="right"/>
            </w:pPr>
            <w:r w:rsidRPr="00565C3D">
              <w:t>4,6</w:t>
            </w:r>
          </w:p>
        </w:tc>
        <w:tc>
          <w:tcPr>
            <w:tcW w:w="992" w:type="dxa"/>
            <w:tcBorders>
              <w:top w:val="single" w:sz="4" w:space="0" w:color="auto"/>
              <w:left w:val="single" w:sz="4" w:space="0" w:color="auto"/>
              <w:bottom w:val="single" w:sz="4" w:space="0" w:color="auto"/>
              <w:right w:val="single" w:sz="4" w:space="0" w:color="auto"/>
            </w:tcBorders>
            <w:noWrap/>
            <w:vAlign w:val="center"/>
          </w:tcPr>
          <w:p w14:paraId="0C6F6D31" w14:textId="77777777" w:rsidR="00565C3D" w:rsidRPr="00565C3D" w:rsidRDefault="00565C3D" w:rsidP="00565C3D">
            <w:pPr>
              <w:jc w:val="right"/>
            </w:pPr>
            <w:r w:rsidRPr="00565C3D">
              <w:t>4,5</w:t>
            </w:r>
          </w:p>
        </w:tc>
        <w:tc>
          <w:tcPr>
            <w:tcW w:w="992" w:type="dxa"/>
            <w:tcBorders>
              <w:top w:val="single" w:sz="4" w:space="0" w:color="auto"/>
              <w:left w:val="single" w:sz="4" w:space="0" w:color="auto"/>
              <w:bottom w:val="single" w:sz="4" w:space="0" w:color="auto"/>
              <w:right w:val="single" w:sz="4" w:space="0" w:color="auto"/>
            </w:tcBorders>
            <w:noWrap/>
            <w:vAlign w:val="center"/>
          </w:tcPr>
          <w:p w14:paraId="29BCBA88" w14:textId="77777777" w:rsidR="00565C3D" w:rsidRPr="00565C3D" w:rsidRDefault="00565C3D" w:rsidP="00565C3D">
            <w:pPr>
              <w:jc w:val="right"/>
            </w:pPr>
            <w:r w:rsidRPr="00565C3D">
              <w:t>4,4</w:t>
            </w:r>
          </w:p>
        </w:tc>
        <w:tc>
          <w:tcPr>
            <w:tcW w:w="990" w:type="dxa"/>
            <w:tcBorders>
              <w:top w:val="single" w:sz="4" w:space="0" w:color="auto"/>
              <w:left w:val="single" w:sz="4" w:space="0" w:color="auto"/>
              <w:bottom w:val="single" w:sz="4" w:space="0" w:color="auto"/>
              <w:right w:val="single" w:sz="4" w:space="0" w:color="auto"/>
            </w:tcBorders>
            <w:noWrap/>
            <w:vAlign w:val="center"/>
          </w:tcPr>
          <w:p w14:paraId="484CC30E" w14:textId="77777777" w:rsidR="00565C3D" w:rsidRPr="00565C3D" w:rsidRDefault="00565C3D" w:rsidP="00565C3D">
            <w:pPr>
              <w:jc w:val="right"/>
            </w:pPr>
            <w:r w:rsidRPr="00565C3D">
              <w:t>4,3</w:t>
            </w:r>
          </w:p>
        </w:tc>
      </w:tr>
      <w:tr w:rsidR="00565C3D" w:rsidRPr="00565C3D" w14:paraId="3E11EC8B" w14:textId="77777777" w:rsidTr="00565C3D">
        <w:trPr>
          <w:trHeight w:val="299"/>
        </w:trPr>
        <w:tc>
          <w:tcPr>
            <w:tcW w:w="710" w:type="dxa"/>
            <w:gridSpan w:val="2"/>
            <w:tcBorders>
              <w:top w:val="single" w:sz="4" w:space="0" w:color="auto"/>
              <w:left w:val="single" w:sz="4" w:space="0" w:color="auto"/>
              <w:bottom w:val="single" w:sz="4" w:space="0" w:color="auto"/>
              <w:right w:val="single" w:sz="4" w:space="0" w:color="auto"/>
            </w:tcBorders>
            <w:vAlign w:val="center"/>
          </w:tcPr>
          <w:p w14:paraId="1541F536" w14:textId="77777777" w:rsidR="00565C3D" w:rsidRPr="00565C3D" w:rsidRDefault="00565C3D" w:rsidP="00565C3D">
            <w:pPr>
              <w:jc w:val="center"/>
              <w:rPr>
                <w:lang w:eastAsia="en-US"/>
              </w:rPr>
            </w:pPr>
            <w:r w:rsidRPr="00565C3D">
              <w:rPr>
                <w:lang w:eastAsia="en-US"/>
              </w:rPr>
              <w:t>12</w:t>
            </w:r>
          </w:p>
        </w:tc>
        <w:tc>
          <w:tcPr>
            <w:tcW w:w="4955" w:type="dxa"/>
            <w:tcBorders>
              <w:top w:val="single" w:sz="4" w:space="0" w:color="auto"/>
              <w:left w:val="single" w:sz="4" w:space="0" w:color="auto"/>
              <w:bottom w:val="single" w:sz="4" w:space="0" w:color="auto"/>
              <w:right w:val="single" w:sz="4" w:space="0" w:color="auto"/>
            </w:tcBorders>
            <w:noWrap/>
            <w:vAlign w:val="center"/>
            <w:hideMark/>
          </w:tcPr>
          <w:p w14:paraId="1E68DA42" w14:textId="77777777" w:rsidR="00565C3D" w:rsidRPr="00565C3D" w:rsidRDefault="00565C3D" w:rsidP="00A71D79">
            <w:pPr>
              <w:ind w:firstLine="315"/>
              <w:jc w:val="left"/>
              <w:rPr>
                <w:lang w:eastAsia="en-US"/>
              </w:rPr>
            </w:pPr>
            <w:r w:rsidRPr="00565C3D">
              <w:rPr>
                <w:lang w:eastAsia="en-US"/>
              </w:rPr>
              <w:t>у національній валюті фізичним особам (у середньому за період, %)</w:t>
            </w:r>
          </w:p>
        </w:tc>
        <w:tc>
          <w:tcPr>
            <w:tcW w:w="993" w:type="dxa"/>
            <w:tcBorders>
              <w:top w:val="single" w:sz="4" w:space="0" w:color="auto"/>
              <w:left w:val="single" w:sz="4" w:space="0" w:color="auto"/>
              <w:bottom w:val="single" w:sz="4" w:space="0" w:color="auto"/>
              <w:right w:val="single" w:sz="4" w:space="0" w:color="auto"/>
            </w:tcBorders>
            <w:noWrap/>
            <w:vAlign w:val="center"/>
          </w:tcPr>
          <w:p w14:paraId="3789CDF3" w14:textId="77777777" w:rsidR="00565C3D" w:rsidRPr="00565C3D" w:rsidRDefault="00565C3D" w:rsidP="00565C3D">
            <w:pPr>
              <w:jc w:val="right"/>
            </w:pPr>
            <w:r w:rsidRPr="00565C3D">
              <w:t>26,4</w:t>
            </w:r>
          </w:p>
        </w:tc>
        <w:tc>
          <w:tcPr>
            <w:tcW w:w="992" w:type="dxa"/>
            <w:tcBorders>
              <w:top w:val="single" w:sz="4" w:space="0" w:color="auto"/>
              <w:left w:val="single" w:sz="4" w:space="0" w:color="auto"/>
              <w:bottom w:val="single" w:sz="4" w:space="0" w:color="auto"/>
              <w:right w:val="single" w:sz="4" w:space="0" w:color="auto"/>
            </w:tcBorders>
            <w:noWrap/>
            <w:vAlign w:val="center"/>
          </w:tcPr>
          <w:p w14:paraId="3CAEB10E" w14:textId="77777777" w:rsidR="00565C3D" w:rsidRPr="00565C3D" w:rsidRDefault="00565C3D" w:rsidP="00565C3D">
            <w:pPr>
              <w:jc w:val="right"/>
            </w:pPr>
            <w:r w:rsidRPr="00565C3D">
              <w:t>26,4</w:t>
            </w:r>
          </w:p>
        </w:tc>
        <w:tc>
          <w:tcPr>
            <w:tcW w:w="992" w:type="dxa"/>
            <w:tcBorders>
              <w:top w:val="single" w:sz="4" w:space="0" w:color="auto"/>
              <w:left w:val="single" w:sz="4" w:space="0" w:color="auto"/>
              <w:bottom w:val="single" w:sz="4" w:space="0" w:color="auto"/>
              <w:right w:val="single" w:sz="4" w:space="0" w:color="auto"/>
            </w:tcBorders>
            <w:noWrap/>
            <w:vAlign w:val="center"/>
          </w:tcPr>
          <w:p w14:paraId="14CB2E65" w14:textId="77777777" w:rsidR="00565C3D" w:rsidRPr="00565C3D" w:rsidRDefault="00565C3D" w:rsidP="00565C3D">
            <w:pPr>
              <w:jc w:val="right"/>
            </w:pPr>
            <w:r w:rsidRPr="00565C3D">
              <w:t>26,4</w:t>
            </w:r>
          </w:p>
        </w:tc>
        <w:tc>
          <w:tcPr>
            <w:tcW w:w="990" w:type="dxa"/>
            <w:tcBorders>
              <w:top w:val="single" w:sz="4" w:space="0" w:color="auto"/>
              <w:left w:val="single" w:sz="4" w:space="0" w:color="auto"/>
              <w:bottom w:val="single" w:sz="4" w:space="0" w:color="auto"/>
              <w:right w:val="single" w:sz="4" w:space="0" w:color="auto"/>
            </w:tcBorders>
            <w:noWrap/>
            <w:vAlign w:val="center"/>
          </w:tcPr>
          <w:p w14:paraId="51BF9708" w14:textId="77777777" w:rsidR="00565C3D" w:rsidRPr="00565C3D" w:rsidRDefault="00565C3D" w:rsidP="00565C3D">
            <w:pPr>
              <w:jc w:val="right"/>
            </w:pPr>
            <w:r w:rsidRPr="00565C3D">
              <w:t>26,4</w:t>
            </w:r>
          </w:p>
        </w:tc>
      </w:tr>
      <w:tr w:rsidR="00565C3D" w:rsidRPr="00565C3D" w14:paraId="32575C27" w14:textId="77777777" w:rsidTr="00565C3D">
        <w:trPr>
          <w:trHeight w:val="299"/>
        </w:trPr>
        <w:tc>
          <w:tcPr>
            <w:tcW w:w="710" w:type="dxa"/>
            <w:gridSpan w:val="2"/>
            <w:tcBorders>
              <w:top w:val="single" w:sz="4" w:space="0" w:color="auto"/>
              <w:left w:val="single" w:sz="4" w:space="0" w:color="auto"/>
              <w:bottom w:val="single" w:sz="4" w:space="0" w:color="auto"/>
              <w:right w:val="single" w:sz="4" w:space="0" w:color="auto"/>
            </w:tcBorders>
            <w:vAlign w:val="center"/>
          </w:tcPr>
          <w:p w14:paraId="50AC53C8" w14:textId="77777777" w:rsidR="00565C3D" w:rsidRPr="00565C3D" w:rsidRDefault="00565C3D" w:rsidP="00565C3D">
            <w:pPr>
              <w:jc w:val="center"/>
              <w:rPr>
                <w:lang w:eastAsia="en-US"/>
              </w:rPr>
            </w:pPr>
            <w:r w:rsidRPr="00565C3D">
              <w:rPr>
                <w:lang w:eastAsia="en-US"/>
              </w:rPr>
              <w:t>13</w:t>
            </w:r>
          </w:p>
        </w:tc>
        <w:tc>
          <w:tcPr>
            <w:tcW w:w="4955" w:type="dxa"/>
            <w:tcBorders>
              <w:top w:val="single" w:sz="4" w:space="0" w:color="auto"/>
              <w:left w:val="single" w:sz="4" w:space="0" w:color="auto"/>
              <w:bottom w:val="single" w:sz="4" w:space="0" w:color="auto"/>
              <w:right w:val="single" w:sz="4" w:space="0" w:color="auto"/>
            </w:tcBorders>
            <w:noWrap/>
            <w:vAlign w:val="center"/>
            <w:hideMark/>
          </w:tcPr>
          <w:p w14:paraId="7E16FDD6" w14:textId="77777777" w:rsidR="00565C3D" w:rsidRPr="00565C3D" w:rsidRDefault="00565C3D" w:rsidP="00A71D79">
            <w:pPr>
              <w:ind w:firstLine="315"/>
              <w:jc w:val="left"/>
              <w:rPr>
                <w:lang w:eastAsia="en-US"/>
              </w:rPr>
            </w:pPr>
            <w:r w:rsidRPr="00565C3D">
              <w:rPr>
                <w:lang w:eastAsia="en-US"/>
              </w:rPr>
              <w:t>в іноземній валюті фізичним особам (у середньому за період, %)</w:t>
            </w:r>
          </w:p>
        </w:tc>
        <w:tc>
          <w:tcPr>
            <w:tcW w:w="993" w:type="dxa"/>
            <w:tcBorders>
              <w:top w:val="single" w:sz="4" w:space="0" w:color="auto"/>
              <w:left w:val="single" w:sz="4" w:space="0" w:color="auto"/>
              <w:bottom w:val="single" w:sz="4" w:space="0" w:color="auto"/>
              <w:right w:val="single" w:sz="4" w:space="0" w:color="auto"/>
            </w:tcBorders>
            <w:noWrap/>
            <w:vAlign w:val="center"/>
          </w:tcPr>
          <w:p w14:paraId="5315074F" w14:textId="77777777" w:rsidR="00565C3D" w:rsidRPr="00565C3D" w:rsidRDefault="00565C3D" w:rsidP="00565C3D">
            <w:pPr>
              <w:jc w:val="right"/>
            </w:pPr>
            <w:r w:rsidRPr="00565C3D">
              <w:t>17,9</w:t>
            </w:r>
          </w:p>
        </w:tc>
        <w:tc>
          <w:tcPr>
            <w:tcW w:w="992" w:type="dxa"/>
            <w:tcBorders>
              <w:top w:val="single" w:sz="4" w:space="0" w:color="auto"/>
              <w:left w:val="single" w:sz="4" w:space="0" w:color="auto"/>
              <w:bottom w:val="single" w:sz="4" w:space="0" w:color="auto"/>
              <w:right w:val="single" w:sz="4" w:space="0" w:color="auto"/>
            </w:tcBorders>
            <w:noWrap/>
            <w:vAlign w:val="center"/>
          </w:tcPr>
          <w:p w14:paraId="68C6323F" w14:textId="77777777" w:rsidR="00565C3D" w:rsidRPr="00565C3D" w:rsidRDefault="00565C3D" w:rsidP="00565C3D">
            <w:pPr>
              <w:jc w:val="right"/>
            </w:pPr>
            <w:r w:rsidRPr="00565C3D">
              <w:t>17,9</w:t>
            </w:r>
          </w:p>
        </w:tc>
        <w:tc>
          <w:tcPr>
            <w:tcW w:w="992" w:type="dxa"/>
            <w:tcBorders>
              <w:top w:val="single" w:sz="4" w:space="0" w:color="auto"/>
              <w:left w:val="single" w:sz="4" w:space="0" w:color="auto"/>
              <w:bottom w:val="single" w:sz="4" w:space="0" w:color="auto"/>
              <w:right w:val="single" w:sz="4" w:space="0" w:color="auto"/>
            </w:tcBorders>
            <w:noWrap/>
            <w:vAlign w:val="center"/>
          </w:tcPr>
          <w:p w14:paraId="16827ED8" w14:textId="77777777" w:rsidR="00565C3D" w:rsidRPr="00565C3D" w:rsidRDefault="00565C3D" w:rsidP="00565C3D">
            <w:pPr>
              <w:jc w:val="right"/>
            </w:pPr>
            <w:r w:rsidRPr="00565C3D">
              <w:t>17,9</w:t>
            </w:r>
          </w:p>
        </w:tc>
        <w:tc>
          <w:tcPr>
            <w:tcW w:w="990" w:type="dxa"/>
            <w:tcBorders>
              <w:top w:val="single" w:sz="4" w:space="0" w:color="auto"/>
              <w:left w:val="single" w:sz="4" w:space="0" w:color="auto"/>
              <w:bottom w:val="single" w:sz="4" w:space="0" w:color="auto"/>
              <w:right w:val="single" w:sz="4" w:space="0" w:color="auto"/>
            </w:tcBorders>
            <w:noWrap/>
            <w:vAlign w:val="center"/>
          </w:tcPr>
          <w:p w14:paraId="2748E3C9" w14:textId="77777777" w:rsidR="00565C3D" w:rsidRPr="00565C3D" w:rsidRDefault="00565C3D" w:rsidP="00565C3D">
            <w:pPr>
              <w:jc w:val="right"/>
            </w:pPr>
            <w:r w:rsidRPr="00565C3D">
              <w:t>17,9</w:t>
            </w:r>
          </w:p>
        </w:tc>
      </w:tr>
      <w:tr w:rsidR="00565C3D" w:rsidRPr="00565C3D" w14:paraId="4033E592" w14:textId="77777777" w:rsidTr="00565C3D">
        <w:trPr>
          <w:trHeight w:val="299"/>
        </w:trPr>
        <w:tc>
          <w:tcPr>
            <w:tcW w:w="710" w:type="dxa"/>
            <w:gridSpan w:val="2"/>
            <w:tcBorders>
              <w:top w:val="single" w:sz="4" w:space="0" w:color="auto"/>
              <w:left w:val="single" w:sz="4" w:space="0" w:color="auto"/>
              <w:bottom w:val="single" w:sz="4" w:space="0" w:color="auto"/>
              <w:right w:val="single" w:sz="4" w:space="0" w:color="auto"/>
            </w:tcBorders>
            <w:vAlign w:val="center"/>
          </w:tcPr>
          <w:p w14:paraId="5C771E9B" w14:textId="77777777" w:rsidR="00565C3D" w:rsidRPr="00565C3D" w:rsidRDefault="00565C3D" w:rsidP="00565C3D">
            <w:pPr>
              <w:jc w:val="center"/>
              <w:rPr>
                <w:lang w:eastAsia="en-US"/>
              </w:rPr>
            </w:pPr>
            <w:r w:rsidRPr="00565C3D">
              <w:rPr>
                <w:lang w:eastAsia="en-US"/>
              </w:rPr>
              <w:t>14</w:t>
            </w:r>
          </w:p>
        </w:tc>
        <w:tc>
          <w:tcPr>
            <w:tcW w:w="8922" w:type="dxa"/>
            <w:gridSpan w:val="5"/>
            <w:tcBorders>
              <w:top w:val="single" w:sz="4" w:space="0" w:color="auto"/>
              <w:left w:val="single" w:sz="4" w:space="0" w:color="auto"/>
              <w:bottom w:val="single" w:sz="4" w:space="0" w:color="auto"/>
              <w:right w:val="single" w:sz="4" w:space="0" w:color="auto"/>
            </w:tcBorders>
            <w:vAlign w:val="center"/>
            <w:hideMark/>
          </w:tcPr>
          <w:p w14:paraId="60DE035D" w14:textId="77777777" w:rsidR="00565C3D" w:rsidRPr="00565C3D" w:rsidRDefault="00565C3D" w:rsidP="00A71D79">
            <w:pPr>
              <w:jc w:val="left"/>
              <w:rPr>
                <w:lang w:eastAsia="en-US"/>
              </w:rPr>
            </w:pPr>
            <w:r w:rsidRPr="00565C3D">
              <w:rPr>
                <w:lang w:eastAsia="en-US"/>
              </w:rPr>
              <w:t>Відсоткова ставка за новими депозитами банків:</w:t>
            </w:r>
          </w:p>
        </w:tc>
      </w:tr>
      <w:tr w:rsidR="00565C3D" w:rsidRPr="00565C3D" w14:paraId="6A8D8F74" w14:textId="77777777" w:rsidTr="00565C3D">
        <w:trPr>
          <w:trHeight w:val="299"/>
        </w:trPr>
        <w:tc>
          <w:tcPr>
            <w:tcW w:w="710" w:type="dxa"/>
            <w:gridSpan w:val="2"/>
            <w:tcBorders>
              <w:top w:val="single" w:sz="4" w:space="0" w:color="auto"/>
              <w:left w:val="single" w:sz="4" w:space="0" w:color="auto"/>
              <w:bottom w:val="single" w:sz="4" w:space="0" w:color="auto"/>
              <w:right w:val="single" w:sz="4" w:space="0" w:color="auto"/>
            </w:tcBorders>
            <w:vAlign w:val="center"/>
          </w:tcPr>
          <w:p w14:paraId="21FAE343" w14:textId="77777777" w:rsidR="00565C3D" w:rsidRPr="00565C3D" w:rsidRDefault="00565C3D" w:rsidP="00565C3D">
            <w:pPr>
              <w:jc w:val="center"/>
              <w:rPr>
                <w:lang w:eastAsia="en-US"/>
              </w:rPr>
            </w:pPr>
            <w:r w:rsidRPr="00565C3D">
              <w:rPr>
                <w:lang w:eastAsia="en-US"/>
              </w:rPr>
              <w:t>15</w:t>
            </w:r>
          </w:p>
        </w:tc>
        <w:tc>
          <w:tcPr>
            <w:tcW w:w="4955" w:type="dxa"/>
            <w:tcBorders>
              <w:top w:val="single" w:sz="4" w:space="0" w:color="auto"/>
              <w:left w:val="single" w:sz="4" w:space="0" w:color="auto"/>
              <w:bottom w:val="single" w:sz="4" w:space="0" w:color="auto"/>
              <w:right w:val="single" w:sz="4" w:space="0" w:color="auto"/>
            </w:tcBorders>
            <w:noWrap/>
            <w:vAlign w:val="center"/>
            <w:hideMark/>
          </w:tcPr>
          <w:p w14:paraId="30ED5749" w14:textId="77777777" w:rsidR="00565C3D" w:rsidRPr="00565C3D" w:rsidRDefault="00565C3D" w:rsidP="00A71D79">
            <w:pPr>
              <w:ind w:firstLine="315"/>
              <w:jc w:val="left"/>
              <w:rPr>
                <w:lang w:eastAsia="en-US"/>
              </w:rPr>
            </w:pPr>
            <w:r w:rsidRPr="00565C3D">
              <w:rPr>
                <w:lang w:eastAsia="en-US"/>
              </w:rPr>
              <w:t>у національній валюті суб’єктам господарювання (у середньому за період, %)</w:t>
            </w:r>
          </w:p>
        </w:tc>
        <w:tc>
          <w:tcPr>
            <w:tcW w:w="993" w:type="dxa"/>
            <w:tcBorders>
              <w:top w:val="single" w:sz="4" w:space="0" w:color="auto"/>
              <w:left w:val="single" w:sz="4" w:space="0" w:color="auto"/>
              <w:bottom w:val="single" w:sz="4" w:space="0" w:color="auto"/>
              <w:right w:val="single" w:sz="4" w:space="0" w:color="auto"/>
            </w:tcBorders>
            <w:noWrap/>
            <w:vAlign w:val="center"/>
          </w:tcPr>
          <w:p w14:paraId="1C3A4C1C" w14:textId="77777777" w:rsidR="00565C3D" w:rsidRPr="00565C3D" w:rsidRDefault="00565C3D" w:rsidP="00565C3D">
            <w:pPr>
              <w:jc w:val="right"/>
            </w:pPr>
            <w:r w:rsidRPr="00565C3D">
              <w:t>7,5</w:t>
            </w:r>
          </w:p>
        </w:tc>
        <w:tc>
          <w:tcPr>
            <w:tcW w:w="992" w:type="dxa"/>
            <w:tcBorders>
              <w:top w:val="single" w:sz="4" w:space="0" w:color="auto"/>
              <w:left w:val="single" w:sz="4" w:space="0" w:color="auto"/>
              <w:bottom w:val="single" w:sz="4" w:space="0" w:color="auto"/>
              <w:right w:val="single" w:sz="4" w:space="0" w:color="auto"/>
            </w:tcBorders>
            <w:noWrap/>
            <w:vAlign w:val="center"/>
          </w:tcPr>
          <w:p w14:paraId="038697AE" w14:textId="77777777" w:rsidR="00565C3D" w:rsidRPr="00565C3D" w:rsidRDefault="00565C3D" w:rsidP="00565C3D">
            <w:pPr>
              <w:jc w:val="right"/>
            </w:pPr>
            <w:r w:rsidRPr="00565C3D">
              <w:t>7,3</w:t>
            </w:r>
          </w:p>
        </w:tc>
        <w:tc>
          <w:tcPr>
            <w:tcW w:w="992" w:type="dxa"/>
            <w:tcBorders>
              <w:top w:val="single" w:sz="4" w:space="0" w:color="auto"/>
              <w:left w:val="single" w:sz="4" w:space="0" w:color="auto"/>
              <w:bottom w:val="single" w:sz="4" w:space="0" w:color="auto"/>
              <w:right w:val="single" w:sz="4" w:space="0" w:color="auto"/>
            </w:tcBorders>
            <w:noWrap/>
            <w:vAlign w:val="center"/>
          </w:tcPr>
          <w:p w14:paraId="5D75A8F4" w14:textId="77777777" w:rsidR="00565C3D" w:rsidRPr="00565C3D" w:rsidRDefault="00565C3D" w:rsidP="00565C3D">
            <w:pPr>
              <w:jc w:val="right"/>
            </w:pPr>
            <w:r w:rsidRPr="00565C3D">
              <w:t>6,3</w:t>
            </w:r>
          </w:p>
        </w:tc>
        <w:tc>
          <w:tcPr>
            <w:tcW w:w="990" w:type="dxa"/>
            <w:tcBorders>
              <w:top w:val="single" w:sz="4" w:space="0" w:color="auto"/>
              <w:left w:val="single" w:sz="4" w:space="0" w:color="auto"/>
              <w:bottom w:val="single" w:sz="4" w:space="0" w:color="auto"/>
              <w:right w:val="single" w:sz="4" w:space="0" w:color="auto"/>
            </w:tcBorders>
            <w:noWrap/>
            <w:vAlign w:val="center"/>
          </w:tcPr>
          <w:p w14:paraId="05DF8212" w14:textId="77777777" w:rsidR="00565C3D" w:rsidRPr="00565C3D" w:rsidRDefault="00565C3D" w:rsidP="00565C3D">
            <w:pPr>
              <w:jc w:val="right"/>
            </w:pPr>
            <w:r w:rsidRPr="00565C3D">
              <w:t>5,3</w:t>
            </w:r>
          </w:p>
        </w:tc>
      </w:tr>
      <w:tr w:rsidR="00565C3D" w:rsidRPr="00565C3D" w14:paraId="256741BB" w14:textId="77777777" w:rsidTr="00565C3D">
        <w:trPr>
          <w:trHeight w:val="299"/>
        </w:trPr>
        <w:tc>
          <w:tcPr>
            <w:tcW w:w="710" w:type="dxa"/>
            <w:gridSpan w:val="2"/>
            <w:tcBorders>
              <w:top w:val="single" w:sz="4" w:space="0" w:color="auto"/>
              <w:left w:val="single" w:sz="4" w:space="0" w:color="auto"/>
              <w:bottom w:val="single" w:sz="4" w:space="0" w:color="auto"/>
              <w:right w:val="single" w:sz="4" w:space="0" w:color="auto"/>
            </w:tcBorders>
            <w:vAlign w:val="center"/>
          </w:tcPr>
          <w:p w14:paraId="53C547B5" w14:textId="77777777" w:rsidR="00565C3D" w:rsidRPr="00565C3D" w:rsidRDefault="00565C3D" w:rsidP="00565C3D">
            <w:pPr>
              <w:jc w:val="center"/>
              <w:rPr>
                <w:lang w:eastAsia="en-US"/>
              </w:rPr>
            </w:pPr>
            <w:r w:rsidRPr="00565C3D">
              <w:rPr>
                <w:lang w:eastAsia="en-US"/>
              </w:rPr>
              <w:t>16</w:t>
            </w:r>
          </w:p>
        </w:tc>
        <w:tc>
          <w:tcPr>
            <w:tcW w:w="4955" w:type="dxa"/>
            <w:tcBorders>
              <w:top w:val="single" w:sz="4" w:space="0" w:color="auto"/>
              <w:left w:val="single" w:sz="4" w:space="0" w:color="auto"/>
              <w:bottom w:val="single" w:sz="4" w:space="0" w:color="auto"/>
              <w:right w:val="single" w:sz="4" w:space="0" w:color="auto"/>
            </w:tcBorders>
            <w:noWrap/>
            <w:vAlign w:val="center"/>
            <w:hideMark/>
          </w:tcPr>
          <w:p w14:paraId="525CBA2D" w14:textId="77777777" w:rsidR="00565C3D" w:rsidRPr="00565C3D" w:rsidRDefault="00565C3D" w:rsidP="00A71D79">
            <w:pPr>
              <w:ind w:firstLine="315"/>
              <w:jc w:val="left"/>
              <w:rPr>
                <w:lang w:eastAsia="en-US"/>
              </w:rPr>
            </w:pPr>
            <w:r w:rsidRPr="00565C3D">
              <w:rPr>
                <w:lang w:eastAsia="en-US"/>
              </w:rPr>
              <w:t>в іноземній валюті суб’єктам господарювання (у середньому за період, %)</w:t>
            </w:r>
          </w:p>
        </w:tc>
        <w:tc>
          <w:tcPr>
            <w:tcW w:w="993" w:type="dxa"/>
            <w:tcBorders>
              <w:top w:val="single" w:sz="4" w:space="0" w:color="auto"/>
              <w:left w:val="single" w:sz="4" w:space="0" w:color="auto"/>
              <w:bottom w:val="single" w:sz="4" w:space="0" w:color="auto"/>
              <w:right w:val="single" w:sz="4" w:space="0" w:color="auto"/>
            </w:tcBorders>
            <w:noWrap/>
            <w:vAlign w:val="center"/>
          </w:tcPr>
          <w:p w14:paraId="4A5F3EDE" w14:textId="77777777" w:rsidR="00565C3D" w:rsidRPr="00565C3D" w:rsidRDefault="00565C3D" w:rsidP="00565C3D">
            <w:pPr>
              <w:jc w:val="right"/>
            </w:pPr>
            <w:r w:rsidRPr="00565C3D">
              <w:t>1,4</w:t>
            </w:r>
          </w:p>
        </w:tc>
        <w:tc>
          <w:tcPr>
            <w:tcW w:w="992" w:type="dxa"/>
            <w:tcBorders>
              <w:top w:val="single" w:sz="4" w:space="0" w:color="auto"/>
              <w:left w:val="single" w:sz="4" w:space="0" w:color="auto"/>
              <w:bottom w:val="single" w:sz="4" w:space="0" w:color="auto"/>
              <w:right w:val="single" w:sz="4" w:space="0" w:color="auto"/>
            </w:tcBorders>
            <w:noWrap/>
            <w:vAlign w:val="center"/>
          </w:tcPr>
          <w:p w14:paraId="42FBA16A" w14:textId="77777777" w:rsidR="00565C3D" w:rsidRPr="00565C3D" w:rsidRDefault="00565C3D" w:rsidP="00565C3D">
            <w:pPr>
              <w:jc w:val="right"/>
            </w:pPr>
            <w:r w:rsidRPr="00565C3D">
              <w:t>1,4</w:t>
            </w:r>
          </w:p>
        </w:tc>
        <w:tc>
          <w:tcPr>
            <w:tcW w:w="992" w:type="dxa"/>
            <w:tcBorders>
              <w:top w:val="single" w:sz="4" w:space="0" w:color="auto"/>
              <w:left w:val="single" w:sz="4" w:space="0" w:color="auto"/>
              <w:bottom w:val="single" w:sz="4" w:space="0" w:color="auto"/>
              <w:right w:val="single" w:sz="4" w:space="0" w:color="auto"/>
            </w:tcBorders>
            <w:noWrap/>
            <w:vAlign w:val="center"/>
          </w:tcPr>
          <w:p w14:paraId="4A6C4662" w14:textId="77777777" w:rsidR="00565C3D" w:rsidRPr="00565C3D" w:rsidRDefault="00565C3D" w:rsidP="00565C3D">
            <w:pPr>
              <w:jc w:val="right"/>
            </w:pPr>
            <w:r w:rsidRPr="00565C3D">
              <w:t>1,4</w:t>
            </w:r>
          </w:p>
        </w:tc>
        <w:tc>
          <w:tcPr>
            <w:tcW w:w="990" w:type="dxa"/>
            <w:tcBorders>
              <w:top w:val="single" w:sz="4" w:space="0" w:color="auto"/>
              <w:left w:val="single" w:sz="4" w:space="0" w:color="auto"/>
              <w:bottom w:val="single" w:sz="4" w:space="0" w:color="auto"/>
              <w:right w:val="single" w:sz="4" w:space="0" w:color="auto"/>
            </w:tcBorders>
            <w:noWrap/>
            <w:vAlign w:val="center"/>
          </w:tcPr>
          <w:p w14:paraId="36D50681" w14:textId="77777777" w:rsidR="00565C3D" w:rsidRPr="00565C3D" w:rsidRDefault="00565C3D" w:rsidP="00565C3D">
            <w:pPr>
              <w:jc w:val="right"/>
            </w:pPr>
            <w:r w:rsidRPr="00565C3D">
              <w:t>1,4</w:t>
            </w:r>
          </w:p>
        </w:tc>
      </w:tr>
    </w:tbl>
    <w:p w14:paraId="055165A0" w14:textId="77777777" w:rsidR="00565C3D" w:rsidRPr="00565C3D" w:rsidRDefault="00565C3D" w:rsidP="00565C3D">
      <w:pPr>
        <w:jc w:val="right"/>
      </w:pPr>
    </w:p>
    <w:p w14:paraId="06A9E220" w14:textId="77777777" w:rsidR="00565C3D" w:rsidRPr="00565C3D" w:rsidRDefault="00565C3D" w:rsidP="00565C3D">
      <w:pPr>
        <w:jc w:val="right"/>
      </w:pPr>
      <w:r w:rsidRPr="00565C3D">
        <w:lastRenderedPageBreak/>
        <w:t>Продовження таблиці 1</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
        <w:gridCol w:w="4955"/>
        <w:gridCol w:w="993"/>
        <w:gridCol w:w="992"/>
        <w:gridCol w:w="992"/>
        <w:gridCol w:w="992"/>
      </w:tblGrid>
      <w:tr w:rsidR="00565C3D" w:rsidRPr="00565C3D" w14:paraId="67B4E266" w14:textId="77777777" w:rsidTr="00565C3D">
        <w:trPr>
          <w:trHeight w:val="299"/>
        </w:trPr>
        <w:tc>
          <w:tcPr>
            <w:tcW w:w="710" w:type="dxa"/>
            <w:gridSpan w:val="2"/>
            <w:tcBorders>
              <w:top w:val="single" w:sz="4" w:space="0" w:color="auto"/>
              <w:left w:val="single" w:sz="4" w:space="0" w:color="auto"/>
              <w:bottom w:val="single" w:sz="4" w:space="0" w:color="auto"/>
              <w:right w:val="single" w:sz="4" w:space="0" w:color="auto"/>
            </w:tcBorders>
            <w:vAlign w:val="center"/>
          </w:tcPr>
          <w:p w14:paraId="3E548CD0" w14:textId="77777777" w:rsidR="00565C3D" w:rsidRPr="00565C3D" w:rsidRDefault="00565C3D" w:rsidP="00565C3D">
            <w:pPr>
              <w:jc w:val="center"/>
              <w:rPr>
                <w:lang w:eastAsia="en-US"/>
              </w:rPr>
            </w:pPr>
            <w:r w:rsidRPr="00565C3D">
              <w:rPr>
                <w:lang w:eastAsia="en-US"/>
              </w:rPr>
              <w:t>1</w:t>
            </w:r>
          </w:p>
        </w:tc>
        <w:tc>
          <w:tcPr>
            <w:tcW w:w="4955" w:type="dxa"/>
            <w:tcBorders>
              <w:top w:val="single" w:sz="4" w:space="0" w:color="auto"/>
              <w:left w:val="single" w:sz="4" w:space="0" w:color="auto"/>
              <w:bottom w:val="single" w:sz="4" w:space="0" w:color="auto"/>
              <w:right w:val="single" w:sz="4" w:space="0" w:color="auto"/>
            </w:tcBorders>
            <w:noWrap/>
            <w:vAlign w:val="center"/>
          </w:tcPr>
          <w:p w14:paraId="4CAAE153" w14:textId="77777777" w:rsidR="00565C3D" w:rsidRPr="00565C3D" w:rsidRDefault="00565C3D" w:rsidP="00565C3D">
            <w:pPr>
              <w:jc w:val="center"/>
              <w:rPr>
                <w:lang w:eastAsia="en-US"/>
              </w:rPr>
            </w:pPr>
            <w:r w:rsidRPr="00565C3D">
              <w:rPr>
                <w:lang w:eastAsia="en-US"/>
              </w:rPr>
              <w:t>2</w:t>
            </w:r>
          </w:p>
        </w:tc>
        <w:tc>
          <w:tcPr>
            <w:tcW w:w="993" w:type="dxa"/>
            <w:tcBorders>
              <w:top w:val="single" w:sz="4" w:space="0" w:color="auto"/>
              <w:left w:val="single" w:sz="4" w:space="0" w:color="auto"/>
              <w:bottom w:val="single" w:sz="4" w:space="0" w:color="auto"/>
              <w:right w:val="single" w:sz="4" w:space="0" w:color="auto"/>
            </w:tcBorders>
            <w:noWrap/>
            <w:vAlign w:val="center"/>
          </w:tcPr>
          <w:p w14:paraId="52931E38" w14:textId="77777777" w:rsidR="00565C3D" w:rsidRPr="00565C3D" w:rsidRDefault="00565C3D" w:rsidP="00565C3D">
            <w:pPr>
              <w:jc w:val="center"/>
            </w:pPr>
            <w:r w:rsidRPr="00565C3D">
              <w:rPr>
                <w:lang w:eastAsia="en-US"/>
              </w:rPr>
              <w:t>3</w:t>
            </w:r>
          </w:p>
        </w:tc>
        <w:tc>
          <w:tcPr>
            <w:tcW w:w="992" w:type="dxa"/>
            <w:tcBorders>
              <w:top w:val="single" w:sz="4" w:space="0" w:color="auto"/>
              <w:left w:val="single" w:sz="4" w:space="0" w:color="auto"/>
              <w:bottom w:val="single" w:sz="4" w:space="0" w:color="auto"/>
              <w:right w:val="single" w:sz="4" w:space="0" w:color="auto"/>
            </w:tcBorders>
            <w:noWrap/>
            <w:vAlign w:val="center"/>
          </w:tcPr>
          <w:p w14:paraId="70FB27DA" w14:textId="77777777" w:rsidR="00565C3D" w:rsidRPr="00565C3D" w:rsidRDefault="00565C3D" w:rsidP="00565C3D">
            <w:pPr>
              <w:jc w:val="center"/>
            </w:pPr>
            <w:r w:rsidRPr="00565C3D">
              <w:rPr>
                <w:lang w:eastAsia="en-US"/>
              </w:rPr>
              <w:t>4</w:t>
            </w:r>
          </w:p>
        </w:tc>
        <w:tc>
          <w:tcPr>
            <w:tcW w:w="992" w:type="dxa"/>
            <w:tcBorders>
              <w:top w:val="single" w:sz="4" w:space="0" w:color="auto"/>
              <w:left w:val="single" w:sz="4" w:space="0" w:color="auto"/>
              <w:bottom w:val="single" w:sz="4" w:space="0" w:color="auto"/>
              <w:right w:val="single" w:sz="4" w:space="0" w:color="auto"/>
            </w:tcBorders>
            <w:noWrap/>
            <w:vAlign w:val="center"/>
          </w:tcPr>
          <w:p w14:paraId="6E34CA68" w14:textId="77777777" w:rsidR="00565C3D" w:rsidRPr="00565C3D" w:rsidRDefault="00565C3D" w:rsidP="00565C3D">
            <w:pPr>
              <w:jc w:val="center"/>
            </w:pPr>
            <w:r w:rsidRPr="00565C3D">
              <w:rPr>
                <w:lang w:eastAsia="en-US"/>
              </w:rPr>
              <w:t>5</w:t>
            </w:r>
          </w:p>
        </w:tc>
        <w:tc>
          <w:tcPr>
            <w:tcW w:w="990" w:type="dxa"/>
            <w:tcBorders>
              <w:top w:val="single" w:sz="4" w:space="0" w:color="auto"/>
              <w:left w:val="single" w:sz="4" w:space="0" w:color="auto"/>
              <w:bottom w:val="single" w:sz="4" w:space="0" w:color="auto"/>
              <w:right w:val="single" w:sz="4" w:space="0" w:color="auto"/>
            </w:tcBorders>
            <w:noWrap/>
            <w:vAlign w:val="center"/>
          </w:tcPr>
          <w:p w14:paraId="7A45ED7E" w14:textId="77777777" w:rsidR="00565C3D" w:rsidRPr="00565C3D" w:rsidRDefault="00565C3D" w:rsidP="00565C3D">
            <w:pPr>
              <w:jc w:val="center"/>
            </w:pPr>
            <w:r w:rsidRPr="00565C3D">
              <w:rPr>
                <w:lang w:eastAsia="en-US"/>
              </w:rPr>
              <w:t>6</w:t>
            </w:r>
          </w:p>
        </w:tc>
      </w:tr>
      <w:tr w:rsidR="00565C3D" w:rsidRPr="00565C3D" w14:paraId="0B3DFB2A" w14:textId="77777777" w:rsidTr="00565C3D">
        <w:trPr>
          <w:trHeight w:val="299"/>
        </w:trPr>
        <w:tc>
          <w:tcPr>
            <w:tcW w:w="710" w:type="dxa"/>
            <w:gridSpan w:val="2"/>
            <w:tcBorders>
              <w:top w:val="single" w:sz="4" w:space="0" w:color="auto"/>
              <w:left w:val="single" w:sz="4" w:space="0" w:color="auto"/>
              <w:bottom w:val="single" w:sz="4" w:space="0" w:color="auto"/>
              <w:right w:val="single" w:sz="4" w:space="0" w:color="auto"/>
            </w:tcBorders>
            <w:vAlign w:val="center"/>
          </w:tcPr>
          <w:p w14:paraId="215E44FD" w14:textId="77777777" w:rsidR="00565C3D" w:rsidRPr="00565C3D" w:rsidRDefault="00565C3D" w:rsidP="00565C3D">
            <w:pPr>
              <w:jc w:val="center"/>
              <w:rPr>
                <w:lang w:eastAsia="en-US"/>
              </w:rPr>
            </w:pPr>
            <w:r w:rsidRPr="00565C3D">
              <w:rPr>
                <w:lang w:eastAsia="en-US"/>
              </w:rPr>
              <w:t>17</w:t>
            </w:r>
          </w:p>
        </w:tc>
        <w:tc>
          <w:tcPr>
            <w:tcW w:w="4955" w:type="dxa"/>
            <w:tcBorders>
              <w:top w:val="single" w:sz="4" w:space="0" w:color="auto"/>
              <w:left w:val="single" w:sz="4" w:space="0" w:color="auto"/>
              <w:bottom w:val="single" w:sz="4" w:space="0" w:color="auto"/>
              <w:right w:val="single" w:sz="4" w:space="0" w:color="auto"/>
            </w:tcBorders>
            <w:noWrap/>
            <w:vAlign w:val="center"/>
            <w:hideMark/>
          </w:tcPr>
          <w:p w14:paraId="388960E6" w14:textId="77777777" w:rsidR="00565C3D" w:rsidRPr="00565C3D" w:rsidRDefault="00565C3D" w:rsidP="005006DF">
            <w:pPr>
              <w:ind w:firstLine="315"/>
              <w:rPr>
                <w:lang w:eastAsia="en-US"/>
              </w:rPr>
            </w:pPr>
            <w:r w:rsidRPr="00565C3D">
              <w:rPr>
                <w:lang w:eastAsia="en-US"/>
              </w:rPr>
              <w:t xml:space="preserve">у національній валюті фізичним особам (у середньому за період, %) до 3 місяців </w:t>
            </w:r>
          </w:p>
        </w:tc>
        <w:tc>
          <w:tcPr>
            <w:tcW w:w="993" w:type="dxa"/>
            <w:tcBorders>
              <w:top w:val="single" w:sz="4" w:space="0" w:color="auto"/>
              <w:left w:val="single" w:sz="4" w:space="0" w:color="auto"/>
              <w:bottom w:val="single" w:sz="4" w:space="0" w:color="auto"/>
              <w:right w:val="single" w:sz="4" w:space="0" w:color="auto"/>
            </w:tcBorders>
            <w:noWrap/>
            <w:vAlign w:val="center"/>
          </w:tcPr>
          <w:p w14:paraId="095719DF" w14:textId="77777777" w:rsidR="00565C3D" w:rsidRPr="00565C3D" w:rsidRDefault="00565C3D" w:rsidP="00565C3D">
            <w:pPr>
              <w:jc w:val="right"/>
            </w:pPr>
            <w:r w:rsidRPr="00565C3D">
              <w:t>6,7</w:t>
            </w:r>
          </w:p>
        </w:tc>
        <w:tc>
          <w:tcPr>
            <w:tcW w:w="992" w:type="dxa"/>
            <w:tcBorders>
              <w:top w:val="single" w:sz="4" w:space="0" w:color="auto"/>
              <w:left w:val="single" w:sz="4" w:space="0" w:color="auto"/>
              <w:bottom w:val="single" w:sz="4" w:space="0" w:color="auto"/>
              <w:right w:val="single" w:sz="4" w:space="0" w:color="auto"/>
            </w:tcBorders>
            <w:noWrap/>
            <w:vAlign w:val="center"/>
          </w:tcPr>
          <w:p w14:paraId="6D8829F8" w14:textId="77777777" w:rsidR="00565C3D" w:rsidRPr="00565C3D" w:rsidRDefault="00565C3D" w:rsidP="00565C3D">
            <w:pPr>
              <w:jc w:val="right"/>
            </w:pPr>
            <w:r w:rsidRPr="00565C3D">
              <w:t>6,6</w:t>
            </w:r>
          </w:p>
        </w:tc>
        <w:tc>
          <w:tcPr>
            <w:tcW w:w="992" w:type="dxa"/>
            <w:tcBorders>
              <w:top w:val="single" w:sz="4" w:space="0" w:color="auto"/>
              <w:left w:val="single" w:sz="4" w:space="0" w:color="auto"/>
              <w:bottom w:val="single" w:sz="4" w:space="0" w:color="auto"/>
              <w:right w:val="single" w:sz="4" w:space="0" w:color="auto"/>
            </w:tcBorders>
            <w:noWrap/>
            <w:vAlign w:val="center"/>
          </w:tcPr>
          <w:p w14:paraId="1BBF0482" w14:textId="77777777" w:rsidR="00565C3D" w:rsidRPr="00565C3D" w:rsidRDefault="00565C3D" w:rsidP="00565C3D">
            <w:pPr>
              <w:jc w:val="right"/>
            </w:pPr>
            <w:r w:rsidRPr="00565C3D">
              <w:t>5,9</w:t>
            </w:r>
          </w:p>
        </w:tc>
        <w:tc>
          <w:tcPr>
            <w:tcW w:w="990" w:type="dxa"/>
            <w:tcBorders>
              <w:top w:val="single" w:sz="4" w:space="0" w:color="auto"/>
              <w:left w:val="single" w:sz="4" w:space="0" w:color="auto"/>
              <w:bottom w:val="single" w:sz="4" w:space="0" w:color="auto"/>
              <w:right w:val="single" w:sz="4" w:space="0" w:color="auto"/>
            </w:tcBorders>
            <w:noWrap/>
            <w:vAlign w:val="center"/>
          </w:tcPr>
          <w:p w14:paraId="0A1CBAFC" w14:textId="77777777" w:rsidR="00565C3D" w:rsidRPr="00565C3D" w:rsidRDefault="00565C3D" w:rsidP="00565C3D">
            <w:pPr>
              <w:jc w:val="right"/>
            </w:pPr>
            <w:r w:rsidRPr="00565C3D">
              <w:t>5,1</w:t>
            </w:r>
          </w:p>
        </w:tc>
      </w:tr>
      <w:tr w:rsidR="00565C3D" w:rsidRPr="00565C3D" w14:paraId="257BCE20" w14:textId="77777777" w:rsidTr="00565C3D">
        <w:trPr>
          <w:trHeight w:val="299"/>
        </w:trPr>
        <w:tc>
          <w:tcPr>
            <w:tcW w:w="710" w:type="dxa"/>
            <w:gridSpan w:val="2"/>
            <w:tcBorders>
              <w:top w:val="single" w:sz="4" w:space="0" w:color="auto"/>
              <w:left w:val="single" w:sz="4" w:space="0" w:color="auto"/>
              <w:bottom w:val="single" w:sz="4" w:space="0" w:color="auto"/>
              <w:right w:val="single" w:sz="4" w:space="0" w:color="auto"/>
            </w:tcBorders>
            <w:vAlign w:val="center"/>
          </w:tcPr>
          <w:p w14:paraId="63D934C6" w14:textId="77777777" w:rsidR="00565C3D" w:rsidRPr="00565C3D" w:rsidRDefault="00565C3D" w:rsidP="00565C3D">
            <w:pPr>
              <w:jc w:val="center"/>
              <w:rPr>
                <w:lang w:eastAsia="en-US"/>
              </w:rPr>
            </w:pPr>
            <w:r w:rsidRPr="00565C3D">
              <w:rPr>
                <w:lang w:eastAsia="en-US"/>
              </w:rPr>
              <w:t>18</w:t>
            </w:r>
          </w:p>
        </w:tc>
        <w:tc>
          <w:tcPr>
            <w:tcW w:w="4955" w:type="dxa"/>
            <w:tcBorders>
              <w:top w:val="single" w:sz="4" w:space="0" w:color="auto"/>
              <w:left w:val="single" w:sz="4" w:space="0" w:color="auto"/>
              <w:bottom w:val="single" w:sz="4" w:space="0" w:color="auto"/>
              <w:right w:val="single" w:sz="4" w:space="0" w:color="auto"/>
            </w:tcBorders>
            <w:noWrap/>
            <w:vAlign w:val="center"/>
          </w:tcPr>
          <w:p w14:paraId="1ECA8AD0" w14:textId="77777777" w:rsidR="00565C3D" w:rsidRPr="00565C3D" w:rsidRDefault="00565C3D" w:rsidP="005006DF">
            <w:pPr>
              <w:ind w:firstLine="315"/>
              <w:rPr>
                <w:lang w:eastAsia="en-US"/>
              </w:rPr>
            </w:pPr>
            <w:r w:rsidRPr="00565C3D">
              <w:rPr>
                <w:lang w:eastAsia="en-US"/>
              </w:rPr>
              <w:t>у національній валюті фізичним особам (у середньому за період, %) від 3 до 6 місяців</w:t>
            </w:r>
          </w:p>
        </w:tc>
        <w:tc>
          <w:tcPr>
            <w:tcW w:w="993" w:type="dxa"/>
            <w:tcBorders>
              <w:top w:val="single" w:sz="4" w:space="0" w:color="auto"/>
              <w:left w:val="single" w:sz="4" w:space="0" w:color="auto"/>
              <w:bottom w:val="single" w:sz="4" w:space="0" w:color="auto"/>
              <w:right w:val="single" w:sz="4" w:space="0" w:color="auto"/>
            </w:tcBorders>
            <w:noWrap/>
            <w:vAlign w:val="center"/>
          </w:tcPr>
          <w:p w14:paraId="5B3C2334" w14:textId="77777777" w:rsidR="00565C3D" w:rsidRPr="00565C3D" w:rsidRDefault="00565C3D" w:rsidP="00565C3D">
            <w:pPr>
              <w:jc w:val="right"/>
            </w:pPr>
            <w:r w:rsidRPr="00565C3D">
              <w:t>9,8</w:t>
            </w:r>
          </w:p>
        </w:tc>
        <w:tc>
          <w:tcPr>
            <w:tcW w:w="992" w:type="dxa"/>
            <w:tcBorders>
              <w:top w:val="single" w:sz="4" w:space="0" w:color="auto"/>
              <w:left w:val="single" w:sz="4" w:space="0" w:color="auto"/>
              <w:bottom w:val="single" w:sz="4" w:space="0" w:color="auto"/>
              <w:right w:val="single" w:sz="4" w:space="0" w:color="auto"/>
            </w:tcBorders>
            <w:noWrap/>
            <w:vAlign w:val="center"/>
          </w:tcPr>
          <w:p w14:paraId="2D1F7355" w14:textId="77777777" w:rsidR="00565C3D" w:rsidRPr="00565C3D" w:rsidRDefault="00565C3D" w:rsidP="00565C3D">
            <w:pPr>
              <w:jc w:val="right"/>
            </w:pPr>
            <w:r w:rsidRPr="00565C3D">
              <w:t>9,7</w:t>
            </w:r>
          </w:p>
        </w:tc>
        <w:tc>
          <w:tcPr>
            <w:tcW w:w="992" w:type="dxa"/>
            <w:tcBorders>
              <w:top w:val="single" w:sz="4" w:space="0" w:color="auto"/>
              <w:left w:val="single" w:sz="4" w:space="0" w:color="auto"/>
              <w:bottom w:val="single" w:sz="4" w:space="0" w:color="auto"/>
              <w:right w:val="single" w:sz="4" w:space="0" w:color="auto"/>
            </w:tcBorders>
            <w:noWrap/>
            <w:vAlign w:val="center"/>
          </w:tcPr>
          <w:p w14:paraId="2A985DDF" w14:textId="77777777" w:rsidR="00565C3D" w:rsidRPr="00565C3D" w:rsidRDefault="00565C3D" w:rsidP="00565C3D">
            <w:pPr>
              <w:jc w:val="right"/>
            </w:pPr>
            <w:r w:rsidRPr="00565C3D">
              <w:t>8,8</w:t>
            </w:r>
          </w:p>
        </w:tc>
        <w:tc>
          <w:tcPr>
            <w:tcW w:w="992" w:type="dxa"/>
            <w:tcBorders>
              <w:top w:val="single" w:sz="4" w:space="0" w:color="auto"/>
              <w:left w:val="single" w:sz="4" w:space="0" w:color="auto"/>
              <w:bottom w:val="single" w:sz="4" w:space="0" w:color="auto"/>
              <w:right w:val="single" w:sz="4" w:space="0" w:color="auto"/>
            </w:tcBorders>
            <w:noWrap/>
            <w:vAlign w:val="center"/>
          </w:tcPr>
          <w:p w14:paraId="3255ED42" w14:textId="77777777" w:rsidR="00565C3D" w:rsidRPr="00565C3D" w:rsidRDefault="00565C3D" w:rsidP="00565C3D">
            <w:pPr>
              <w:jc w:val="right"/>
            </w:pPr>
            <w:r w:rsidRPr="00565C3D">
              <w:t>7,7</w:t>
            </w:r>
          </w:p>
        </w:tc>
      </w:tr>
      <w:tr w:rsidR="00565C3D" w:rsidRPr="00565C3D" w14:paraId="02C8F079" w14:textId="77777777" w:rsidTr="00565C3D">
        <w:trPr>
          <w:trHeight w:val="299"/>
        </w:trPr>
        <w:tc>
          <w:tcPr>
            <w:tcW w:w="710" w:type="dxa"/>
            <w:gridSpan w:val="2"/>
            <w:tcBorders>
              <w:top w:val="single" w:sz="4" w:space="0" w:color="auto"/>
              <w:left w:val="single" w:sz="4" w:space="0" w:color="auto"/>
              <w:bottom w:val="single" w:sz="4" w:space="0" w:color="auto"/>
              <w:right w:val="single" w:sz="4" w:space="0" w:color="auto"/>
            </w:tcBorders>
            <w:vAlign w:val="center"/>
          </w:tcPr>
          <w:p w14:paraId="199F709A" w14:textId="77777777" w:rsidR="00565C3D" w:rsidRPr="00565C3D" w:rsidRDefault="00565C3D" w:rsidP="00565C3D">
            <w:pPr>
              <w:jc w:val="center"/>
              <w:rPr>
                <w:lang w:eastAsia="en-US"/>
              </w:rPr>
            </w:pPr>
            <w:r w:rsidRPr="00565C3D">
              <w:rPr>
                <w:lang w:eastAsia="en-US"/>
              </w:rPr>
              <w:t>19</w:t>
            </w:r>
          </w:p>
        </w:tc>
        <w:tc>
          <w:tcPr>
            <w:tcW w:w="4955" w:type="dxa"/>
            <w:tcBorders>
              <w:top w:val="single" w:sz="4" w:space="0" w:color="auto"/>
              <w:left w:val="single" w:sz="4" w:space="0" w:color="auto"/>
              <w:bottom w:val="single" w:sz="4" w:space="0" w:color="auto"/>
              <w:right w:val="single" w:sz="4" w:space="0" w:color="auto"/>
            </w:tcBorders>
            <w:noWrap/>
            <w:vAlign w:val="center"/>
          </w:tcPr>
          <w:p w14:paraId="14AF88A8" w14:textId="77777777" w:rsidR="00565C3D" w:rsidRPr="00565C3D" w:rsidRDefault="00565C3D" w:rsidP="005006DF">
            <w:pPr>
              <w:ind w:firstLine="315"/>
              <w:rPr>
                <w:lang w:eastAsia="en-US"/>
              </w:rPr>
            </w:pPr>
            <w:r w:rsidRPr="00565C3D">
              <w:rPr>
                <w:lang w:eastAsia="en-US"/>
              </w:rPr>
              <w:t>у національній валюті фізичним особам (у середньому за період, %) понад 6 місяців</w:t>
            </w:r>
          </w:p>
        </w:tc>
        <w:tc>
          <w:tcPr>
            <w:tcW w:w="993" w:type="dxa"/>
            <w:tcBorders>
              <w:top w:val="single" w:sz="4" w:space="0" w:color="auto"/>
              <w:left w:val="single" w:sz="4" w:space="0" w:color="auto"/>
              <w:bottom w:val="single" w:sz="4" w:space="0" w:color="auto"/>
              <w:right w:val="single" w:sz="4" w:space="0" w:color="auto"/>
            </w:tcBorders>
            <w:noWrap/>
            <w:vAlign w:val="center"/>
          </w:tcPr>
          <w:p w14:paraId="2D1A5E2A" w14:textId="77777777" w:rsidR="00565C3D" w:rsidRPr="00565C3D" w:rsidRDefault="00565C3D" w:rsidP="00565C3D">
            <w:pPr>
              <w:jc w:val="right"/>
            </w:pPr>
            <w:r w:rsidRPr="00565C3D">
              <w:t>8,6</w:t>
            </w:r>
          </w:p>
        </w:tc>
        <w:tc>
          <w:tcPr>
            <w:tcW w:w="992" w:type="dxa"/>
            <w:tcBorders>
              <w:top w:val="single" w:sz="4" w:space="0" w:color="auto"/>
              <w:left w:val="single" w:sz="4" w:space="0" w:color="auto"/>
              <w:bottom w:val="single" w:sz="4" w:space="0" w:color="auto"/>
              <w:right w:val="single" w:sz="4" w:space="0" w:color="auto"/>
            </w:tcBorders>
            <w:noWrap/>
            <w:vAlign w:val="center"/>
          </w:tcPr>
          <w:p w14:paraId="679B2F85" w14:textId="77777777" w:rsidR="00565C3D" w:rsidRPr="00565C3D" w:rsidRDefault="00565C3D" w:rsidP="00565C3D">
            <w:pPr>
              <w:jc w:val="right"/>
            </w:pPr>
            <w:r w:rsidRPr="00565C3D">
              <w:t>8,5</w:t>
            </w:r>
          </w:p>
        </w:tc>
        <w:tc>
          <w:tcPr>
            <w:tcW w:w="992" w:type="dxa"/>
            <w:tcBorders>
              <w:top w:val="single" w:sz="4" w:space="0" w:color="auto"/>
              <w:left w:val="single" w:sz="4" w:space="0" w:color="auto"/>
              <w:bottom w:val="single" w:sz="4" w:space="0" w:color="auto"/>
              <w:right w:val="single" w:sz="4" w:space="0" w:color="auto"/>
            </w:tcBorders>
            <w:noWrap/>
            <w:vAlign w:val="center"/>
          </w:tcPr>
          <w:p w14:paraId="477AFF58" w14:textId="77777777" w:rsidR="00565C3D" w:rsidRPr="00565C3D" w:rsidRDefault="00565C3D" w:rsidP="00565C3D">
            <w:pPr>
              <w:jc w:val="right"/>
            </w:pPr>
            <w:r w:rsidRPr="00565C3D">
              <w:t>7,8</w:t>
            </w:r>
          </w:p>
        </w:tc>
        <w:tc>
          <w:tcPr>
            <w:tcW w:w="992" w:type="dxa"/>
            <w:tcBorders>
              <w:top w:val="single" w:sz="4" w:space="0" w:color="auto"/>
              <w:left w:val="single" w:sz="4" w:space="0" w:color="auto"/>
              <w:bottom w:val="single" w:sz="4" w:space="0" w:color="auto"/>
              <w:right w:val="single" w:sz="4" w:space="0" w:color="auto"/>
            </w:tcBorders>
            <w:noWrap/>
            <w:vAlign w:val="center"/>
          </w:tcPr>
          <w:p w14:paraId="54A2C0BD" w14:textId="77777777" w:rsidR="00565C3D" w:rsidRPr="00565C3D" w:rsidRDefault="00565C3D" w:rsidP="00565C3D">
            <w:pPr>
              <w:jc w:val="right"/>
            </w:pPr>
            <w:r w:rsidRPr="00565C3D">
              <w:t>6,9</w:t>
            </w:r>
          </w:p>
        </w:tc>
      </w:tr>
      <w:tr w:rsidR="00565C3D" w:rsidRPr="00565C3D" w14:paraId="592BDE5A" w14:textId="77777777" w:rsidTr="00565C3D">
        <w:trPr>
          <w:trHeight w:val="299"/>
        </w:trPr>
        <w:tc>
          <w:tcPr>
            <w:tcW w:w="710" w:type="dxa"/>
            <w:gridSpan w:val="2"/>
            <w:tcBorders>
              <w:top w:val="single" w:sz="4" w:space="0" w:color="auto"/>
              <w:left w:val="single" w:sz="4" w:space="0" w:color="auto"/>
              <w:bottom w:val="single" w:sz="4" w:space="0" w:color="auto"/>
              <w:right w:val="single" w:sz="4" w:space="0" w:color="auto"/>
            </w:tcBorders>
            <w:vAlign w:val="center"/>
          </w:tcPr>
          <w:p w14:paraId="71BE1551" w14:textId="77777777" w:rsidR="00565C3D" w:rsidRPr="00565C3D" w:rsidRDefault="00565C3D" w:rsidP="00565C3D">
            <w:pPr>
              <w:jc w:val="center"/>
              <w:rPr>
                <w:lang w:eastAsia="en-US"/>
              </w:rPr>
            </w:pPr>
            <w:r w:rsidRPr="00565C3D">
              <w:rPr>
                <w:lang w:eastAsia="en-US"/>
              </w:rPr>
              <w:t>20</w:t>
            </w:r>
          </w:p>
        </w:tc>
        <w:tc>
          <w:tcPr>
            <w:tcW w:w="4955" w:type="dxa"/>
            <w:tcBorders>
              <w:top w:val="single" w:sz="4" w:space="0" w:color="auto"/>
              <w:left w:val="single" w:sz="4" w:space="0" w:color="auto"/>
              <w:bottom w:val="single" w:sz="4" w:space="0" w:color="auto"/>
              <w:right w:val="single" w:sz="4" w:space="0" w:color="auto"/>
            </w:tcBorders>
            <w:noWrap/>
            <w:vAlign w:val="center"/>
            <w:hideMark/>
          </w:tcPr>
          <w:p w14:paraId="2444A995" w14:textId="77777777" w:rsidR="00565C3D" w:rsidRPr="00565C3D" w:rsidRDefault="00565C3D" w:rsidP="005006DF">
            <w:pPr>
              <w:ind w:firstLine="315"/>
              <w:rPr>
                <w:lang w:eastAsia="en-US"/>
              </w:rPr>
            </w:pPr>
            <w:r w:rsidRPr="00565C3D">
              <w:rPr>
                <w:lang w:eastAsia="en-US"/>
              </w:rPr>
              <w:t>в іноземній валюті фізичним особам (у середньому за період, %)</w:t>
            </w:r>
          </w:p>
        </w:tc>
        <w:tc>
          <w:tcPr>
            <w:tcW w:w="993" w:type="dxa"/>
            <w:tcBorders>
              <w:top w:val="single" w:sz="4" w:space="0" w:color="auto"/>
              <w:left w:val="single" w:sz="4" w:space="0" w:color="auto"/>
              <w:bottom w:val="single" w:sz="4" w:space="0" w:color="auto"/>
              <w:right w:val="single" w:sz="4" w:space="0" w:color="auto"/>
            </w:tcBorders>
            <w:noWrap/>
            <w:vAlign w:val="center"/>
          </w:tcPr>
          <w:p w14:paraId="792A8BEC" w14:textId="77777777" w:rsidR="00565C3D" w:rsidRPr="00565C3D" w:rsidRDefault="00565C3D" w:rsidP="00565C3D">
            <w:pPr>
              <w:jc w:val="right"/>
            </w:pPr>
            <w:r w:rsidRPr="00565C3D">
              <w:t>0,7</w:t>
            </w:r>
          </w:p>
        </w:tc>
        <w:tc>
          <w:tcPr>
            <w:tcW w:w="992" w:type="dxa"/>
            <w:tcBorders>
              <w:top w:val="single" w:sz="4" w:space="0" w:color="auto"/>
              <w:left w:val="single" w:sz="4" w:space="0" w:color="auto"/>
              <w:bottom w:val="single" w:sz="4" w:space="0" w:color="auto"/>
              <w:right w:val="single" w:sz="4" w:space="0" w:color="auto"/>
            </w:tcBorders>
            <w:noWrap/>
            <w:vAlign w:val="center"/>
          </w:tcPr>
          <w:p w14:paraId="7046D1EB" w14:textId="77777777" w:rsidR="00565C3D" w:rsidRPr="00565C3D" w:rsidRDefault="00565C3D" w:rsidP="00565C3D">
            <w:pPr>
              <w:jc w:val="right"/>
            </w:pPr>
            <w:r w:rsidRPr="00565C3D">
              <w:t>0,7</w:t>
            </w:r>
          </w:p>
        </w:tc>
        <w:tc>
          <w:tcPr>
            <w:tcW w:w="992" w:type="dxa"/>
            <w:tcBorders>
              <w:top w:val="single" w:sz="4" w:space="0" w:color="auto"/>
              <w:left w:val="single" w:sz="4" w:space="0" w:color="auto"/>
              <w:bottom w:val="single" w:sz="4" w:space="0" w:color="auto"/>
              <w:right w:val="single" w:sz="4" w:space="0" w:color="auto"/>
            </w:tcBorders>
            <w:noWrap/>
            <w:vAlign w:val="center"/>
          </w:tcPr>
          <w:p w14:paraId="67F027DE" w14:textId="77777777" w:rsidR="00565C3D" w:rsidRPr="00565C3D" w:rsidRDefault="00565C3D" w:rsidP="00565C3D">
            <w:pPr>
              <w:jc w:val="right"/>
            </w:pPr>
            <w:r w:rsidRPr="00565C3D">
              <w:t>0,7</w:t>
            </w:r>
          </w:p>
        </w:tc>
        <w:tc>
          <w:tcPr>
            <w:tcW w:w="992" w:type="dxa"/>
            <w:tcBorders>
              <w:top w:val="single" w:sz="4" w:space="0" w:color="auto"/>
              <w:left w:val="single" w:sz="4" w:space="0" w:color="auto"/>
              <w:bottom w:val="single" w:sz="4" w:space="0" w:color="auto"/>
              <w:right w:val="single" w:sz="4" w:space="0" w:color="auto"/>
            </w:tcBorders>
            <w:noWrap/>
            <w:vAlign w:val="center"/>
          </w:tcPr>
          <w:p w14:paraId="03366776" w14:textId="77777777" w:rsidR="00565C3D" w:rsidRPr="00565C3D" w:rsidRDefault="00565C3D" w:rsidP="00565C3D">
            <w:pPr>
              <w:jc w:val="right"/>
            </w:pPr>
            <w:r w:rsidRPr="00565C3D">
              <w:t>0,7</w:t>
            </w:r>
          </w:p>
        </w:tc>
      </w:tr>
      <w:tr w:rsidR="00565C3D" w:rsidRPr="00565C3D" w14:paraId="48F2EDB2" w14:textId="77777777" w:rsidTr="00565C3D">
        <w:trPr>
          <w:trHeight w:val="299"/>
        </w:trPr>
        <w:tc>
          <w:tcPr>
            <w:tcW w:w="704" w:type="dxa"/>
            <w:tcBorders>
              <w:top w:val="single" w:sz="4" w:space="0" w:color="auto"/>
              <w:left w:val="single" w:sz="4" w:space="0" w:color="auto"/>
              <w:bottom w:val="single" w:sz="4" w:space="0" w:color="auto"/>
              <w:right w:val="single" w:sz="4" w:space="0" w:color="auto"/>
            </w:tcBorders>
            <w:vAlign w:val="center"/>
          </w:tcPr>
          <w:p w14:paraId="02FDFD4A" w14:textId="77777777" w:rsidR="00565C3D" w:rsidRPr="00565C3D" w:rsidRDefault="00565C3D" w:rsidP="00565C3D">
            <w:pPr>
              <w:jc w:val="center"/>
              <w:rPr>
                <w:lang w:eastAsia="en-US"/>
              </w:rPr>
            </w:pPr>
            <w:r w:rsidRPr="00565C3D">
              <w:rPr>
                <w:lang w:eastAsia="en-US"/>
              </w:rPr>
              <w:t>21</w:t>
            </w:r>
          </w:p>
        </w:tc>
        <w:tc>
          <w:tcPr>
            <w:tcW w:w="4961" w:type="dxa"/>
            <w:gridSpan w:val="2"/>
            <w:tcBorders>
              <w:top w:val="single" w:sz="4" w:space="0" w:color="auto"/>
              <w:left w:val="single" w:sz="4" w:space="0" w:color="auto"/>
              <w:bottom w:val="single" w:sz="4" w:space="0" w:color="auto"/>
              <w:right w:val="single" w:sz="4" w:space="0" w:color="auto"/>
            </w:tcBorders>
            <w:noWrap/>
            <w:vAlign w:val="center"/>
          </w:tcPr>
          <w:p w14:paraId="64EABB26" w14:textId="77777777" w:rsidR="00565C3D" w:rsidRPr="00565C3D" w:rsidRDefault="00565C3D" w:rsidP="00565C3D">
            <w:pPr>
              <w:rPr>
                <w:lang w:eastAsia="en-US"/>
              </w:rPr>
            </w:pPr>
            <w:r w:rsidRPr="00565C3D">
              <w:rPr>
                <w:lang w:eastAsia="en-US"/>
              </w:rPr>
              <w:t>Ставка за безризиковими гривневими інструментами (у середньому за період, %)*</w:t>
            </w:r>
          </w:p>
        </w:tc>
        <w:tc>
          <w:tcPr>
            <w:tcW w:w="993" w:type="dxa"/>
            <w:tcBorders>
              <w:top w:val="single" w:sz="4" w:space="0" w:color="auto"/>
              <w:left w:val="single" w:sz="4" w:space="0" w:color="auto"/>
              <w:bottom w:val="single" w:sz="4" w:space="0" w:color="auto"/>
              <w:right w:val="single" w:sz="4" w:space="0" w:color="auto"/>
            </w:tcBorders>
            <w:noWrap/>
            <w:vAlign w:val="center"/>
          </w:tcPr>
          <w:p w14:paraId="1C1A94A6" w14:textId="77777777" w:rsidR="00565C3D" w:rsidRPr="00565C3D" w:rsidRDefault="00565C3D" w:rsidP="00565C3D">
            <w:pPr>
              <w:jc w:val="right"/>
            </w:pPr>
            <w:r w:rsidRPr="00565C3D">
              <w:t>22,4</w:t>
            </w:r>
          </w:p>
        </w:tc>
        <w:tc>
          <w:tcPr>
            <w:tcW w:w="992" w:type="dxa"/>
            <w:tcBorders>
              <w:top w:val="single" w:sz="4" w:space="0" w:color="auto"/>
              <w:left w:val="single" w:sz="4" w:space="0" w:color="auto"/>
              <w:bottom w:val="single" w:sz="4" w:space="0" w:color="auto"/>
              <w:right w:val="single" w:sz="4" w:space="0" w:color="auto"/>
            </w:tcBorders>
            <w:noWrap/>
            <w:vAlign w:val="center"/>
          </w:tcPr>
          <w:p w14:paraId="42C567BE" w14:textId="77777777" w:rsidR="00565C3D" w:rsidRPr="00565C3D" w:rsidRDefault="00565C3D" w:rsidP="00565C3D">
            <w:pPr>
              <w:jc w:val="right"/>
            </w:pPr>
            <w:r w:rsidRPr="00565C3D">
              <w:t>19,4</w:t>
            </w:r>
          </w:p>
        </w:tc>
        <w:tc>
          <w:tcPr>
            <w:tcW w:w="992" w:type="dxa"/>
            <w:tcBorders>
              <w:top w:val="single" w:sz="4" w:space="0" w:color="auto"/>
              <w:left w:val="single" w:sz="4" w:space="0" w:color="auto"/>
              <w:bottom w:val="single" w:sz="4" w:space="0" w:color="auto"/>
              <w:right w:val="single" w:sz="4" w:space="0" w:color="auto"/>
            </w:tcBorders>
            <w:noWrap/>
            <w:vAlign w:val="center"/>
          </w:tcPr>
          <w:p w14:paraId="2A29A9C9" w14:textId="77777777" w:rsidR="00565C3D" w:rsidRPr="00565C3D" w:rsidRDefault="00565C3D" w:rsidP="00565C3D">
            <w:pPr>
              <w:jc w:val="right"/>
            </w:pPr>
            <w:r w:rsidRPr="00565C3D">
              <w:t>16,6</w:t>
            </w:r>
          </w:p>
        </w:tc>
        <w:tc>
          <w:tcPr>
            <w:tcW w:w="992" w:type="dxa"/>
            <w:tcBorders>
              <w:top w:val="single" w:sz="4" w:space="0" w:color="auto"/>
              <w:left w:val="single" w:sz="4" w:space="0" w:color="auto"/>
              <w:bottom w:val="single" w:sz="4" w:space="0" w:color="auto"/>
              <w:right w:val="single" w:sz="4" w:space="0" w:color="auto"/>
            </w:tcBorders>
            <w:noWrap/>
            <w:vAlign w:val="center"/>
          </w:tcPr>
          <w:p w14:paraId="1B633B9E" w14:textId="77777777" w:rsidR="00565C3D" w:rsidRPr="00565C3D" w:rsidRDefault="00565C3D" w:rsidP="00565C3D">
            <w:pPr>
              <w:jc w:val="right"/>
            </w:pPr>
            <w:r w:rsidRPr="00565C3D">
              <w:t>13,1</w:t>
            </w:r>
          </w:p>
        </w:tc>
      </w:tr>
    </w:tbl>
    <w:p w14:paraId="2A95A294" w14:textId="77777777" w:rsidR="00565C3D" w:rsidRPr="00565C3D" w:rsidRDefault="00565C3D" w:rsidP="00565C3D">
      <w:r w:rsidRPr="00565C3D">
        <w:t xml:space="preserve">*Значення 2022 року скориговане відповідно до підходів до оцінки дохідності активів, відображених у розділі VII цього додатка. </w:t>
      </w:r>
    </w:p>
    <w:p w14:paraId="498AC43C" w14:textId="77777777" w:rsidR="00565C3D" w:rsidRDefault="00565C3D" w:rsidP="00651941">
      <w:pPr>
        <w:tabs>
          <w:tab w:val="left" w:pos="993"/>
        </w:tabs>
        <w:spacing w:before="240" w:after="240"/>
        <w:ind w:firstLine="567"/>
      </w:pPr>
      <w:r w:rsidRPr="00565C3D">
        <w:t>Прогноз за показниками, наведеними в рядках 4</w:t>
      </w:r>
      <w:r w:rsidR="006836E3">
        <w:t>,</w:t>
      </w:r>
      <w:r w:rsidRPr="00565C3D">
        <w:t xml:space="preserve"> 5 таблиці 1</w:t>
      </w:r>
      <w:r w:rsidR="006836E3">
        <w:t xml:space="preserve"> цього додатка</w:t>
      </w:r>
      <w:r w:rsidRPr="00565C3D">
        <w:t>, отримано зі звіту “CIS Plus Countries − May 2023”, підготовленого компанією “Focus Economics”, за іншими показниками</w:t>
      </w:r>
      <w:r w:rsidR="006836E3">
        <w:t xml:space="preserve"> </w:t>
      </w:r>
      <w:r w:rsidRPr="00565C3D">
        <w:t>– прогноз та оцінки Національного банку.</w:t>
      </w:r>
      <w:bookmarkStart w:id="4" w:name="_Toc508032598"/>
    </w:p>
    <w:p w14:paraId="6B96FBAD" w14:textId="77777777" w:rsidR="009F43AF" w:rsidRPr="00651941" w:rsidRDefault="009F43AF" w:rsidP="00651941">
      <w:pPr>
        <w:pStyle w:val="af3"/>
        <w:numPr>
          <w:ilvl w:val="0"/>
          <w:numId w:val="52"/>
        </w:numPr>
        <w:spacing w:before="240" w:after="240"/>
        <w:ind w:left="0" w:firstLine="567"/>
        <w:contextualSpacing w:val="0"/>
      </w:pPr>
      <w:r w:rsidRPr="00651941">
        <w:t>Національний банк для цілей СТ великих боржників/контрагентів – ЮО використовує прогнози інших показників, зокрема фінансового результату від операційної діяльності до вирахування амортизації.</w:t>
      </w:r>
    </w:p>
    <w:p w14:paraId="1A41F970" w14:textId="77777777" w:rsidR="00565C3D" w:rsidRPr="00E63890" w:rsidRDefault="00565C3D" w:rsidP="00E63890">
      <w:pPr>
        <w:pStyle w:val="1"/>
      </w:pPr>
      <w:r w:rsidRPr="00E63890">
        <w:t xml:space="preserve">ІІІ. </w:t>
      </w:r>
      <w:bookmarkEnd w:id="4"/>
      <w:r w:rsidRPr="00E63890">
        <w:t>Принципи побудови моделі СТ</w:t>
      </w:r>
    </w:p>
    <w:p w14:paraId="700AEC37" w14:textId="77777777" w:rsidR="00565C3D" w:rsidRPr="00565C3D" w:rsidRDefault="00565C3D" w:rsidP="00506DF8">
      <w:pPr>
        <w:pStyle w:val="af3"/>
        <w:numPr>
          <w:ilvl w:val="0"/>
          <w:numId w:val="52"/>
        </w:numPr>
        <w:tabs>
          <w:tab w:val="left" w:pos="993"/>
        </w:tabs>
        <w:spacing w:before="240" w:after="240"/>
        <w:ind w:left="0" w:firstLine="567"/>
        <w:contextualSpacing w:val="0"/>
      </w:pPr>
      <w:r w:rsidRPr="00565C3D">
        <w:t>З метою проведення СТ визначаються оціночні показники фінансової звітності банку (балансу та звіту про фінансові результати) на прогнозний період.</w:t>
      </w:r>
    </w:p>
    <w:p w14:paraId="6E14F276" w14:textId="77777777" w:rsidR="00565C3D" w:rsidRPr="00565C3D" w:rsidRDefault="00565C3D" w:rsidP="00506DF8">
      <w:pPr>
        <w:pStyle w:val="af3"/>
        <w:numPr>
          <w:ilvl w:val="0"/>
          <w:numId w:val="52"/>
        </w:numPr>
        <w:tabs>
          <w:tab w:val="left" w:pos="993"/>
        </w:tabs>
        <w:spacing w:before="240" w:after="240"/>
        <w:ind w:left="0" w:firstLine="567"/>
        <w:contextualSpacing w:val="0"/>
      </w:pPr>
      <w:r w:rsidRPr="00565C3D">
        <w:t xml:space="preserve">Процедури СТ ґрунтуються на припущенні про статичний баланс банку. Припускається, що активи та зобов’язання, які погашаються протягом прогнозного періоду, заміщуються подібними активами та зобов’язаннями за критеріями типу, якості та терміном погашення. </w:t>
      </w:r>
    </w:p>
    <w:p w14:paraId="34A69C11" w14:textId="77777777" w:rsidR="00565C3D" w:rsidRPr="00565C3D" w:rsidRDefault="00565C3D" w:rsidP="00C43F64">
      <w:pPr>
        <w:pStyle w:val="af3"/>
        <w:numPr>
          <w:ilvl w:val="0"/>
          <w:numId w:val="52"/>
        </w:numPr>
        <w:tabs>
          <w:tab w:val="left" w:pos="993"/>
        </w:tabs>
        <w:spacing w:before="240" w:after="240"/>
        <w:ind w:left="0" w:firstLine="567"/>
        <w:contextualSpacing w:val="0"/>
      </w:pPr>
      <w:r w:rsidRPr="00565C3D">
        <w:t xml:space="preserve">Звіт про фінансовий результат оцінюється з урахуванням змін якості кредитного портфеля та обсягу генерування процентного доходу окремо за портфелем працюючих кредитів (кредити </w:t>
      </w:r>
      <w:r w:rsidR="00E470FA" w:rsidRPr="00565C3D">
        <w:t xml:space="preserve">класів </w:t>
      </w:r>
      <w:r w:rsidRPr="00565C3D">
        <w:t xml:space="preserve">1–9/1–4) і портфелем непрацюючих кредитів (кредити </w:t>
      </w:r>
      <w:r w:rsidR="00E470FA" w:rsidRPr="00565C3D">
        <w:t xml:space="preserve">класу </w:t>
      </w:r>
      <w:r w:rsidRPr="00565C3D">
        <w:t xml:space="preserve">10/5). </w:t>
      </w:r>
    </w:p>
    <w:p w14:paraId="76BE141C" w14:textId="77777777" w:rsidR="00565C3D" w:rsidRPr="00565C3D" w:rsidRDefault="00565C3D" w:rsidP="00C43F64">
      <w:pPr>
        <w:pStyle w:val="af3"/>
        <w:numPr>
          <w:ilvl w:val="0"/>
          <w:numId w:val="52"/>
        </w:numPr>
        <w:tabs>
          <w:tab w:val="left" w:pos="993"/>
        </w:tabs>
        <w:spacing w:before="240" w:after="240"/>
        <w:ind w:left="0" w:firstLine="567"/>
        <w:contextualSpacing w:val="0"/>
      </w:pPr>
      <w:r w:rsidRPr="00565C3D">
        <w:lastRenderedPageBreak/>
        <w:t xml:space="preserve">Непроцентні доходи та витрати </w:t>
      </w:r>
      <w:r w:rsidR="00441802">
        <w:t xml:space="preserve">прогнозуються </w:t>
      </w:r>
      <w:r w:rsidRPr="00565C3D">
        <w:t>з урахуванням додаткових припущень, зазначених у розділ</w:t>
      </w:r>
      <w:r w:rsidR="00E86B3E">
        <w:t>і</w:t>
      </w:r>
      <w:r w:rsidRPr="00565C3D">
        <w:t xml:space="preserve"> VIII цього додатка.</w:t>
      </w:r>
    </w:p>
    <w:p w14:paraId="75167180" w14:textId="77777777" w:rsidR="00565C3D" w:rsidRPr="00565C3D" w:rsidRDefault="00565C3D" w:rsidP="00C43F64">
      <w:pPr>
        <w:pStyle w:val="af3"/>
        <w:numPr>
          <w:ilvl w:val="0"/>
          <w:numId w:val="52"/>
        </w:numPr>
        <w:tabs>
          <w:tab w:val="left" w:pos="993"/>
        </w:tabs>
        <w:spacing w:before="240" w:after="240"/>
        <w:ind w:left="0" w:firstLine="567"/>
        <w:contextualSpacing w:val="0"/>
      </w:pPr>
      <w:r w:rsidRPr="00565C3D">
        <w:t xml:space="preserve">СТ передбачає аналіз впливу кредитного, процентного і валютного ризиків: </w:t>
      </w:r>
    </w:p>
    <w:p w14:paraId="790D3B1A" w14:textId="77777777" w:rsidR="00565C3D" w:rsidRPr="00565C3D" w:rsidRDefault="00565C3D" w:rsidP="0098642B">
      <w:pPr>
        <w:tabs>
          <w:tab w:val="left" w:pos="993"/>
        </w:tabs>
        <w:spacing w:before="240" w:after="240"/>
        <w:ind w:firstLine="567"/>
      </w:pPr>
      <w:r w:rsidRPr="00565C3D">
        <w:rPr>
          <w:color w:val="000000" w:themeColor="text1"/>
        </w:rPr>
        <w:t>1) кредитний</w:t>
      </w:r>
      <w:r w:rsidRPr="00565C3D">
        <w:t xml:space="preserve"> ризик, що виникає внаслідок погіршення якості кредитів, наданих ЮО та фізичним особам (далі – ФО), а також інших активних операцій (балансових і позабалансових) та відповідної зміни обсягу розміру очікуваних втрат (збитків);</w:t>
      </w:r>
    </w:p>
    <w:p w14:paraId="0BA13B2D" w14:textId="77777777" w:rsidR="00565C3D" w:rsidRPr="00565C3D" w:rsidRDefault="00565C3D" w:rsidP="0098642B">
      <w:pPr>
        <w:tabs>
          <w:tab w:val="left" w:pos="993"/>
        </w:tabs>
        <w:spacing w:before="240" w:after="240"/>
        <w:ind w:firstLine="567"/>
      </w:pPr>
      <w:r w:rsidRPr="00565C3D">
        <w:rPr>
          <w:color w:val="000000" w:themeColor="text1"/>
        </w:rPr>
        <w:t xml:space="preserve">2) процентний ризик, що виникає </w:t>
      </w:r>
      <w:r w:rsidRPr="00565C3D">
        <w:t xml:space="preserve">внаслідок зміни дохідності кредитного портфеля, інших процентних активів і вартості процентних пасивів, що відображає обмежену здатність банку впливати на процентні ставки за активами та пасивами в прогнозному періоді; </w:t>
      </w:r>
    </w:p>
    <w:p w14:paraId="4367E206" w14:textId="0F3E5626" w:rsidR="00565C3D" w:rsidRPr="00565C3D" w:rsidRDefault="00565C3D" w:rsidP="0098642B">
      <w:pPr>
        <w:spacing w:before="240" w:after="240"/>
        <w:ind w:firstLine="567"/>
      </w:pPr>
      <w:r w:rsidRPr="00565C3D">
        <w:rPr>
          <w:color w:val="000000" w:themeColor="text1"/>
        </w:rPr>
        <w:t>3) валютний</w:t>
      </w:r>
      <w:r w:rsidRPr="00565C3D">
        <w:t xml:space="preserve"> ризик відображає ефект зміни курсу грн/дол. США (далі – обмінний курс національної валюти) у прогнозному періоді з урахуванням розміру відкритої валютної позиції банку, розрахованої відповідно до вимог Методики розрахунку </w:t>
      </w:r>
      <w:r w:rsidRPr="009A2F2F">
        <w:t xml:space="preserve">банками лімітів відкритої валютної позиції, затвердженої </w:t>
      </w:r>
      <w:r w:rsidR="001233E3" w:rsidRPr="009A2F2F">
        <w:t xml:space="preserve">рішенням </w:t>
      </w:r>
      <w:r w:rsidRPr="009A2F2F">
        <w:t xml:space="preserve">Правління Національного банку України від </w:t>
      </w:r>
      <w:r w:rsidR="001233E3" w:rsidRPr="009A2F2F">
        <w:t>22</w:t>
      </w:r>
      <w:r w:rsidR="004D0DD9" w:rsidRPr="009A2F2F">
        <w:t> </w:t>
      </w:r>
      <w:r w:rsidR="001233E3" w:rsidRPr="009A2F2F">
        <w:t>серпня</w:t>
      </w:r>
      <w:r w:rsidRPr="009A2F2F">
        <w:t xml:space="preserve"> 20</w:t>
      </w:r>
      <w:r w:rsidR="001233E3" w:rsidRPr="009A2F2F">
        <w:t>22</w:t>
      </w:r>
      <w:r w:rsidR="004D0DD9" w:rsidRPr="009A2F2F">
        <w:t> </w:t>
      </w:r>
      <w:r w:rsidRPr="009A2F2F">
        <w:t>року №</w:t>
      </w:r>
      <w:r w:rsidR="001233E3" w:rsidRPr="009A2F2F">
        <w:t> 419-рш</w:t>
      </w:r>
      <w:r w:rsidRPr="009A2F2F">
        <w:t xml:space="preserve"> (далі – Методика №</w:t>
      </w:r>
      <w:r w:rsidR="004D0DD9" w:rsidRPr="009A2F2F">
        <w:t> 419</w:t>
      </w:r>
      <w:r w:rsidRPr="009A2F2F">
        <w:t xml:space="preserve">), </w:t>
      </w:r>
      <w:bookmarkStart w:id="5" w:name="n3"/>
      <w:bookmarkEnd w:id="5"/>
      <w:r w:rsidRPr="009A2F2F">
        <w:t xml:space="preserve">та </w:t>
      </w:r>
      <w:r w:rsidR="007D23CD" w:rsidRPr="009A2F2F">
        <w:t xml:space="preserve">постанови </w:t>
      </w:r>
      <w:r w:rsidRPr="009A2F2F">
        <w:t>Правління Національного банку України від 24</w:t>
      </w:r>
      <w:r w:rsidR="007D23CD" w:rsidRPr="009A2F2F">
        <w:t xml:space="preserve"> лютого </w:t>
      </w:r>
      <w:r w:rsidRPr="009A2F2F">
        <w:t>202</w:t>
      </w:r>
      <w:r w:rsidR="0046215A" w:rsidRPr="009A2F2F">
        <w:t>2</w:t>
      </w:r>
      <w:r w:rsidRPr="009A2F2F">
        <w:t xml:space="preserve"> року №</w:t>
      </w:r>
      <w:r w:rsidR="000019B7" w:rsidRPr="009A2F2F">
        <w:t> </w:t>
      </w:r>
      <w:r w:rsidRPr="009A2F2F">
        <w:t>18</w:t>
      </w:r>
      <w:r w:rsidR="0046215A" w:rsidRPr="009A2F2F">
        <w:t xml:space="preserve"> “Про роботу банківської системи в період запровадження воєнного стану” </w:t>
      </w:r>
      <w:r w:rsidR="007D23CD" w:rsidRPr="009A2F2F">
        <w:t xml:space="preserve">(зі змінами) </w:t>
      </w:r>
      <w:r w:rsidR="001233E3" w:rsidRPr="009A2F2F">
        <w:t xml:space="preserve">(далі – Постанова № 18) </w:t>
      </w:r>
      <w:r w:rsidRPr="009A2F2F">
        <w:t xml:space="preserve">без обмежень, встановлених згідно </w:t>
      </w:r>
      <w:r w:rsidR="007D23CD" w:rsidRPr="009A2F2F">
        <w:t xml:space="preserve">з </w:t>
      </w:r>
      <w:r w:rsidRPr="009A2F2F">
        <w:t>пункт</w:t>
      </w:r>
      <w:r w:rsidR="007D23CD" w:rsidRPr="009A2F2F">
        <w:t>ом</w:t>
      </w:r>
      <w:r w:rsidRPr="009A2F2F">
        <w:t xml:space="preserve"> 8 Методики №</w:t>
      </w:r>
      <w:r w:rsidR="007D23CD" w:rsidRPr="009A2F2F">
        <w:t> </w:t>
      </w:r>
      <w:r w:rsidRPr="009A2F2F">
        <w:t>419.</w:t>
      </w:r>
    </w:p>
    <w:p w14:paraId="0356CE42" w14:textId="77777777" w:rsidR="00565C3D" w:rsidRPr="00C43F64" w:rsidRDefault="00565C3D" w:rsidP="00C43F64">
      <w:pPr>
        <w:pStyle w:val="1"/>
      </w:pPr>
      <w:bookmarkStart w:id="6" w:name="_Toc508032600"/>
      <w:r w:rsidRPr="00C43F64">
        <w:t xml:space="preserve">ІV. Загальні положення оцінки кредитного ризику </w:t>
      </w:r>
      <w:bookmarkEnd w:id="6"/>
      <w:r w:rsidRPr="00C43F64">
        <w:t>в моделі СТ</w:t>
      </w:r>
    </w:p>
    <w:p w14:paraId="343377CB" w14:textId="77777777" w:rsidR="00565C3D" w:rsidRPr="00565C3D" w:rsidRDefault="00565C3D" w:rsidP="00C43F64">
      <w:pPr>
        <w:pStyle w:val="af3"/>
        <w:numPr>
          <w:ilvl w:val="0"/>
          <w:numId w:val="52"/>
        </w:numPr>
        <w:tabs>
          <w:tab w:val="left" w:pos="993"/>
        </w:tabs>
        <w:spacing w:before="240" w:after="240"/>
        <w:ind w:left="0" w:firstLine="567"/>
        <w:contextualSpacing w:val="0"/>
      </w:pPr>
      <w:r w:rsidRPr="00565C3D">
        <w:t xml:space="preserve">Оцінка кредитного ризику банку в СТ здійснюється щодо: </w:t>
      </w:r>
    </w:p>
    <w:p w14:paraId="35877AF7" w14:textId="77777777" w:rsidR="00565C3D" w:rsidRPr="00565C3D" w:rsidRDefault="00565C3D" w:rsidP="00C43F64">
      <w:pPr>
        <w:tabs>
          <w:tab w:val="left" w:pos="993"/>
        </w:tabs>
        <w:spacing w:before="240" w:after="240"/>
        <w:ind w:firstLine="567"/>
      </w:pPr>
      <w:r w:rsidRPr="00565C3D">
        <w:t xml:space="preserve">1) кредитів, наданих великим боржникам/контрагентам ‒ ЮО, та </w:t>
      </w:r>
      <w:r w:rsidRPr="00565C3D">
        <w:rPr>
          <w:lang w:eastAsia="ru-RU"/>
        </w:rPr>
        <w:t xml:space="preserve">інших активів (балансових та позабалансових) великих </w:t>
      </w:r>
      <w:r w:rsidRPr="00565C3D">
        <w:t>боржників/контрагентів ‒ ЮО на індивідуальній основі;</w:t>
      </w:r>
    </w:p>
    <w:p w14:paraId="298535DD" w14:textId="77777777" w:rsidR="00565C3D" w:rsidRPr="00565C3D" w:rsidRDefault="00565C3D" w:rsidP="00C43F64">
      <w:pPr>
        <w:tabs>
          <w:tab w:val="left" w:pos="993"/>
        </w:tabs>
        <w:spacing w:before="240" w:after="240"/>
        <w:ind w:firstLine="567"/>
      </w:pPr>
      <w:r w:rsidRPr="00565C3D">
        <w:t xml:space="preserve">2) усіх інших кредитів, наданих ФО та ЮО. Такі кредити поділяються на </w:t>
      </w:r>
      <w:r w:rsidRPr="00565C3D">
        <w:rPr>
          <w:lang w:eastAsia="ru-RU"/>
        </w:rPr>
        <w:t>сегменти</w:t>
      </w:r>
      <w:r w:rsidRPr="00565C3D">
        <w:t>, а кредитний ризик за ними прогнозується на портфельній основі.</w:t>
      </w:r>
    </w:p>
    <w:p w14:paraId="76703AD8" w14:textId="77777777" w:rsidR="00565C3D" w:rsidRPr="00565C3D" w:rsidRDefault="00565C3D" w:rsidP="00C43F64">
      <w:pPr>
        <w:pStyle w:val="af3"/>
        <w:numPr>
          <w:ilvl w:val="0"/>
          <w:numId w:val="52"/>
        </w:numPr>
        <w:tabs>
          <w:tab w:val="left" w:pos="993"/>
        </w:tabs>
        <w:spacing w:before="240" w:after="240"/>
        <w:ind w:left="0" w:firstLine="567"/>
        <w:contextualSpacing w:val="0"/>
      </w:pPr>
      <w:r w:rsidRPr="00565C3D">
        <w:t xml:space="preserve">Збільшення кредитного ризику, розраховане за результатами екстраполяції, проведеної на другому етапі оцінки стійкості, відображається через пропорційне збільшення кредитного ризику для працюючих кредитів відповідного </w:t>
      </w:r>
      <w:r w:rsidR="005E7FC7" w:rsidRPr="00565C3D">
        <w:t>сегмент</w:t>
      </w:r>
      <w:r w:rsidR="005E7FC7">
        <w:t>а</w:t>
      </w:r>
      <w:r w:rsidR="005E7FC7" w:rsidRPr="00565C3D">
        <w:t xml:space="preserve"> </w:t>
      </w:r>
      <w:r w:rsidRPr="00565C3D">
        <w:t>– юридичних чи фізичних осіб, шляхом збільшення коефіцієнта ймовірності дефолту PD для відповідних кредитів</w:t>
      </w:r>
      <w:r w:rsidRPr="00A61218">
        <w:t xml:space="preserve">. </w:t>
      </w:r>
      <w:r w:rsidRPr="00136B96">
        <w:t>Вхідні дані про розмір кредитного ризику враховують також результати верифікації вартості заставного майна банку.</w:t>
      </w:r>
      <w:r w:rsidRPr="00565C3D">
        <w:t xml:space="preserve"> </w:t>
      </w:r>
    </w:p>
    <w:p w14:paraId="4A8E6F52" w14:textId="77777777" w:rsidR="00565C3D" w:rsidRPr="00565C3D" w:rsidRDefault="00565C3D" w:rsidP="00C43F64">
      <w:pPr>
        <w:pStyle w:val="af3"/>
        <w:numPr>
          <w:ilvl w:val="0"/>
          <w:numId w:val="52"/>
        </w:numPr>
        <w:tabs>
          <w:tab w:val="left" w:pos="1134"/>
        </w:tabs>
        <w:spacing w:before="240" w:after="240"/>
        <w:ind w:left="0" w:firstLine="567"/>
        <w:contextualSpacing w:val="0"/>
      </w:pPr>
      <w:r w:rsidRPr="00565C3D">
        <w:rPr>
          <w:lang w:eastAsia="ru-RU"/>
        </w:rPr>
        <w:lastRenderedPageBreak/>
        <w:t xml:space="preserve">Сегменти кредитів </w:t>
      </w:r>
      <w:r w:rsidRPr="00565C3D">
        <w:t>для цілей СТ наведено в таблиці 2</w:t>
      </w:r>
      <w:r w:rsidR="006836E3">
        <w:t xml:space="preserve"> цього додатка</w:t>
      </w:r>
      <w:r w:rsidRPr="00565C3D">
        <w:t>.</w:t>
      </w:r>
      <w:bookmarkStart w:id="7" w:name="_Toc423869653"/>
    </w:p>
    <w:p w14:paraId="55518A8F" w14:textId="77777777" w:rsidR="00565C3D" w:rsidRPr="00565C3D" w:rsidRDefault="00565C3D" w:rsidP="00565C3D">
      <w:pPr>
        <w:jc w:val="right"/>
      </w:pPr>
      <w:r w:rsidRPr="00565C3D">
        <w:t>Таблиця 2</w:t>
      </w:r>
    </w:p>
    <w:p w14:paraId="343D6DC3" w14:textId="77777777" w:rsidR="00565C3D" w:rsidRPr="00565C3D" w:rsidRDefault="00565C3D" w:rsidP="00565C3D">
      <w:pPr>
        <w:spacing w:before="120" w:after="240"/>
        <w:jc w:val="center"/>
      </w:pPr>
      <w:r w:rsidRPr="00565C3D">
        <w:t xml:space="preserve">Сегменти кредитів для цілей </w:t>
      </w:r>
      <w:bookmarkEnd w:id="7"/>
      <w:r w:rsidRPr="00565C3D">
        <w:t>СТ</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0" w:type="dxa"/>
        </w:tblCellMar>
        <w:tblLook w:val="04A0" w:firstRow="1" w:lastRow="0" w:firstColumn="1" w:lastColumn="0" w:noHBand="0" w:noVBand="1"/>
      </w:tblPr>
      <w:tblGrid>
        <w:gridCol w:w="517"/>
        <w:gridCol w:w="1605"/>
        <w:gridCol w:w="2586"/>
        <w:gridCol w:w="1634"/>
        <w:gridCol w:w="3292"/>
      </w:tblGrid>
      <w:tr w:rsidR="00565C3D" w:rsidRPr="00565C3D" w14:paraId="626266C0" w14:textId="77777777" w:rsidTr="00565C3D">
        <w:trPr>
          <w:trHeight w:val="221"/>
          <w:jc w:val="center"/>
        </w:trPr>
        <w:tc>
          <w:tcPr>
            <w:tcW w:w="517" w:type="dxa"/>
            <w:tcBorders>
              <w:top w:val="single" w:sz="4" w:space="0" w:color="auto"/>
              <w:left w:val="single" w:sz="4" w:space="0" w:color="auto"/>
              <w:bottom w:val="single" w:sz="4" w:space="0" w:color="auto"/>
              <w:right w:val="single" w:sz="4" w:space="0" w:color="auto"/>
            </w:tcBorders>
            <w:vAlign w:val="center"/>
          </w:tcPr>
          <w:p w14:paraId="33A89534" w14:textId="77777777" w:rsidR="00565C3D" w:rsidRPr="00565C3D" w:rsidRDefault="00565C3D" w:rsidP="00565C3D">
            <w:pPr>
              <w:ind w:right="-1"/>
              <w:jc w:val="center"/>
              <w:rPr>
                <w:bCs/>
                <w:lang w:eastAsia="en-US"/>
              </w:rPr>
            </w:pPr>
            <w:r w:rsidRPr="00565C3D">
              <w:rPr>
                <w:bCs/>
                <w:lang w:eastAsia="en-US"/>
              </w:rPr>
              <w:t>№</w:t>
            </w:r>
          </w:p>
          <w:p w14:paraId="6570AAAE" w14:textId="77777777" w:rsidR="00565C3D" w:rsidRPr="00565C3D" w:rsidRDefault="00565C3D" w:rsidP="00565C3D">
            <w:pPr>
              <w:ind w:right="-1"/>
              <w:jc w:val="center"/>
              <w:rPr>
                <w:lang w:eastAsia="en-US"/>
              </w:rPr>
            </w:pPr>
            <w:r w:rsidRPr="00565C3D">
              <w:rPr>
                <w:bCs/>
                <w:lang w:eastAsia="en-US"/>
              </w:rPr>
              <w:t>з/п</w:t>
            </w:r>
          </w:p>
        </w:tc>
        <w:tc>
          <w:tcPr>
            <w:tcW w:w="1605" w:type="dxa"/>
            <w:tcBorders>
              <w:top w:val="single" w:sz="4" w:space="0" w:color="auto"/>
              <w:left w:val="single" w:sz="4" w:space="0" w:color="auto"/>
              <w:bottom w:val="single" w:sz="4" w:space="0" w:color="auto"/>
              <w:right w:val="single" w:sz="4" w:space="0" w:color="auto"/>
            </w:tcBorders>
            <w:noWrap/>
            <w:vAlign w:val="center"/>
          </w:tcPr>
          <w:p w14:paraId="2E50B74B" w14:textId="77777777" w:rsidR="00565C3D" w:rsidRPr="00565C3D" w:rsidRDefault="00565C3D" w:rsidP="00565C3D">
            <w:pPr>
              <w:ind w:right="-1"/>
              <w:jc w:val="center"/>
              <w:rPr>
                <w:lang w:eastAsia="en-US"/>
              </w:rPr>
            </w:pPr>
            <w:r w:rsidRPr="00565C3D">
              <w:rPr>
                <w:lang w:eastAsia="en-US"/>
              </w:rPr>
              <w:t>Тип</w:t>
            </w:r>
          </w:p>
          <w:p w14:paraId="6994892B" w14:textId="77777777" w:rsidR="00565C3D" w:rsidRPr="00565C3D" w:rsidRDefault="00565C3D" w:rsidP="00565C3D">
            <w:pPr>
              <w:ind w:right="-1"/>
              <w:jc w:val="center"/>
              <w:rPr>
                <w:lang w:eastAsia="en-US"/>
              </w:rPr>
            </w:pPr>
            <w:r w:rsidRPr="00565C3D">
              <w:rPr>
                <w:lang w:eastAsia="en-US"/>
              </w:rPr>
              <w:t>боржника/ контрагента</w:t>
            </w:r>
          </w:p>
        </w:tc>
        <w:tc>
          <w:tcPr>
            <w:tcW w:w="2586" w:type="dxa"/>
            <w:tcBorders>
              <w:top w:val="single" w:sz="4" w:space="0" w:color="auto"/>
              <w:left w:val="single" w:sz="4" w:space="0" w:color="auto"/>
              <w:bottom w:val="single" w:sz="4" w:space="0" w:color="auto"/>
              <w:right w:val="single" w:sz="4" w:space="0" w:color="auto"/>
            </w:tcBorders>
            <w:vAlign w:val="center"/>
          </w:tcPr>
          <w:p w14:paraId="025F170F" w14:textId="77777777" w:rsidR="00565C3D" w:rsidRPr="00565C3D" w:rsidRDefault="00565C3D" w:rsidP="00565C3D">
            <w:pPr>
              <w:ind w:right="-1"/>
              <w:jc w:val="center"/>
              <w:rPr>
                <w:lang w:eastAsia="en-US"/>
              </w:rPr>
            </w:pPr>
            <w:r w:rsidRPr="00565C3D">
              <w:rPr>
                <w:lang w:eastAsia="en-US"/>
              </w:rPr>
              <w:t>Сегмент</w:t>
            </w:r>
          </w:p>
        </w:tc>
        <w:tc>
          <w:tcPr>
            <w:tcW w:w="1634" w:type="dxa"/>
            <w:tcBorders>
              <w:top w:val="single" w:sz="4" w:space="0" w:color="auto"/>
              <w:left w:val="single" w:sz="4" w:space="0" w:color="auto"/>
              <w:bottom w:val="single" w:sz="4" w:space="0" w:color="auto"/>
              <w:right w:val="single" w:sz="4" w:space="0" w:color="auto"/>
            </w:tcBorders>
            <w:vAlign w:val="center"/>
          </w:tcPr>
          <w:p w14:paraId="15044529" w14:textId="77777777" w:rsidR="00565C3D" w:rsidRPr="00565C3D" w:rsidRDefault="00565C3D" w:rsidP="00565C3D">
            <w:pPr>
              <w:ind w:right="-1"/>
              <w:jc w:val="center"/>
              <w:rPr>
                <w:lang w:eastAsia="en-US"/>
              </w:rPr>
            </w:pPr>
            <w:r w:rsidRPr="00565C3D">
              <w:rPr>
                <w:lang w:eastAsia="en-US"/>
              </w:rPr>
              <w:t>Валюта</w:t>
            </w:r>
          </w:p>
        </w:tc>
        <w:tc>
          <w:tcPr>
            <w:tcW w:w="3292" w:type="dxa"/>
            <w:tcBorders>
              <w:top w:val="single" w:sz="4" w:space="0" w:color="auto"/>
              <w:left w:val="single" w:sz="4" w:space="0" w:color="auto"/>
              <w:bottom w:val="single" w:sz="4" w:space="0" w:color="auto"/>
              <w:right w:val="single" w:sz="4" w:space="0" w:color="auto"/>
            </w:tcBorders>
            <w:noWrap/>
            <w:vAlign w:val="center"/>
          </w:tcPr>
          <w:p w14:paraId="5FDDFDE7" w14:textId="77777777" w:rsidR="00565C3D" w:rsidRPr="00565C3D" w:rsidRDefault="00565C3D" w:rsidP="00565C3D">
            <w:pPr>
              <w:ind w:right="-1"/>
              <w:jc w:val="center"/>
              <w:rPr>
                <w:highlight w:val="yellow"/>
                <w:lang w:eastAsia="en-US"/>
              </w:rPr>
            </w:pPr>
            <w:r w:rsidRPr="00565C3D">
              <w:rPr>
                <w:lang w:eastAsia="en-US"/>
              </w:rPr>
              <w:t>Підхід до СТ</w:t>
            </w:r>
          </w:p>
        </w:tc>
      </w:tr>
      <w:tr w:rsidR="00565C3D" w:rsidRPr="00565C3D" w14:paraId="0C9E77C1" w14:textId="77777777" w:rsidTr="00565C3D">
        <w:trPr>
          <w:trHeight w:val="221"/>
          <w:jc w:val="center"/>
        </w:trPr>
        <w:tc>
          <w:tcPr>
            <w:tcW w:w="517" w:type="dxa"/>
            <w:tcBorders>
              <w:top w:val="single" w:sz="4" w:space="0" w:color="auto"/>
              <w:left w:val="single" w:sz="4" w:space="0" w:color="auto"/>
              <w:bottom w:val="single" w:sz="4" w:space="0" w:color="auto"/>
              <w:right w:val="single" w:sz="4" w:space="0" w:color="auto"/>
            </w:tcBorders>
            <w:vAlign w:val="center"/>
          </w:tcPr>
          <w:p w14:paraId="740CB9CD" w14:textId="77777777" w:rsidR="00565C3D" w:rsidRPr="00565C3D" w:rsidRDefault="00565C3D" w:rsidP="00565C3D">
            <w:pPr>
              <w:ind w:right="-1"/>
              <w:jc w:val="center"/>
              <w:rPr>
                <w:lang w:eastAsia="en-US"/>
              </w:rPr>
            </w:pPr>
            <w:r w:rsidRPr="00565C3D">
              <w:rPr>
                <w:lang w:eastAsia="en-US"/>
              </w:rPr>
              <w:t>1</w:t>
            </w:r>
          </w:p>
        </w:tc>
        <w:tc>
          <w:tcPr>
            <w:tcW w:w="1605" w:type="dxa"/>
            <w:tcBorders>
              <w:top w:val="single" w:sz="4" w:space="0" w:color="auto"/>
              <w:left w:val="single" w:sz="4" w:space="0" w:color="auto"/>
              <w:bottom w:val="single" w:sz="4" w:space="0" w:color="auto"/>
              <w:right w:val="single" w:sz="4" w:space="0" w:color="auto"/>
            </w:tcBorders>
            <w:noWrap/>
            <w:vAlign w:val="center"/>
          </w:tcPr>
          <w:p w14:paraId="2740D673" w14:textId="77777777" w:rsidR="00565C3D" w:rsidRPr="00565C3D" w:rsidRDefault="00565C3D" w:rsidP="00565C3D">
            <w:pPr>
              <w:ind w:right="-1"/>
              <w:jc w:val="center"/>
              <w:rPr>
                <w:lang w:eastAsia="en-US"/>
              </w:rPr>
            </w:pPr>
            <w:r w:rsidRPr="00565C3D">
              <w:rPr>
                <w:lang w:eastAsia="en-US"/>
              </w:rPr>
              <w:t>2</w:t>
            </w:r>
          </w:p>
        </w:tc>
        <w:tc>
          <w:tcPr>
            <w:tcW w:w="2586" w:type="dxa"/>
            <w:tcBorders>
              <w:top w:val="single" w:sz="4" w:space="0" w:color="auto"/>
              <w:left w:val="single" w:sz="4" w:space="0" w:color="auto"/>
              <w:bottom w:val="single" w:sz="4" w:space="0" w:color="auto"/>
              <w:right w:val="single" w:sz="4" w:space="0" w:color="auto"/>
            </w:tcBorders>
            <w:vAlign w:val="center"/>
          </w:tcPr>
          <w:p w14:paraId="7D6FBFAF" w14:textId="77777777" w:rsidR="00565C3D" w:rsidRPr="00565C3D" w:rsidRDefault="00565C3D" w:rsidP="00565C3D">
            <w:pPr>
              <w:ind w:right="-1"/>
              <w:jc w:val="center"/>
              <w:rPr>
                <w:lang w:eastAsia="en-US"/>
              </w:rPr>
            </w:pPr>
            <w:r w:rsidRPr="00565C3D">
              <w:rPr>
                <w:lang w:eastAsia="en-US"/>
              </w:rPr>
              <w:t>3</w:t>
            </w:r>
          </w:p>
        </w:tc>
        <w:tc>
          <w:tcPr>
            <w:tcW w:w="1634" w:type="dxa"/>
            <w:tcBorders>
              <w:top w:val="single" w:sz="4" w:space="0" w:color="auto"/>
              <w:left w:val="single" w:sz="4" w:space="0" w:color="auto"/>
              <w:bottom w:val="single" w:sz="4" w:space="0" w:color="auto"/>
              <w:right w:val="single" w:sz="4" w:space="0" w:color="auto"/>
            </w:tcBorders>
            <w:vAlign w:val="center"/>
          </w:tcPr>
          <w:p w14:paraId="43198879" w14:textId="77777777" w:rsidR="00565C3D" w:rsidRPr="00565C3D" w:rsidRDefault="00565C3D" w:rsidP="00565C3D">
            <w:pPr>
              <w:ind w:right="-1"/>
              <w:jc w:val="center"/>
              <w:rPr>
                <w:lang w:eastAsia="en-US"/>
              </w:rPr>
            </w:pPr>
            <w:r w:rsidRPr="00565C3D">
              <w:rPr>
                <w:lang w:eastAsia="en-US"/>
              </w:rPr>
              <w:t>4</w:t>
            </w:r>
          </w:p>
        </w:tc>
        <w:tc>
          <w:tcPr>
            <w:tcW w:w="3292" w:type="dxa"/>
            <w:tcBorders>
              <w:top w:val="single" w:sz="4" w:space="0" w:color="auto"/>
              <w:left w:val="single" w:sz="4" w:space="0" w:color="auto"/>
              <w:bottom w:val="single" w:sz="4" w:space="0" w:color="auto"/>
              <w:right w:val="single" w:sz="4" w:space="0" w:color="auto"/>
            </w:tcBorders>
            <w:noWrap/>
            <w:vAlign w:val="center"/>
          </w:tcPr>
          <w:p w14:paraId="45955303" w14:textId="77777777" w:rsidR="00565C3D" w:rsidRPr="00565C3D" w:rsidRDefault="00565C3D" w:rsidP="00565C3D">
            <w:pPr>
              <w:ind w:right="-1"/>
              <w:jc w:val="center"/>
              <w:rPr>
                <w:highlight w:val="yellow"/>
                <w:lang w:eastAsia="en-US"/>
              </w:rPr>
            </w:pPr>
            <w:r w:rsidRPr="00565C3D">
              <w:rPr>
                <w:lang w:eastAsia="en-US"/>
              </w:rPr>
              <w:t>5</w:t>
            </w:r>
          </w:p>
        </w:tc>
      </w:tr>
      <w:tr w:rsidR="00565C3D" w:rsidRPr="00565C3D" w14:paraId="0D46025E" w14:textId="77777777" w:rsidTr="00222BDD">
        <w:trPr>
          <w:trHeight w:val="405"/>
          <w:jc w:val="center"/>
        </w:trPr>
        <w:tc>
          <w:tcPr>
            <w:tcW w:w="517" w:type="dxa"/>
            <w:tcBorders>
              <w:top w:val="single" w:sz="4" w:space="0" w:color="auto"/>
              <w:left w:val="single" w:sz="4" w:space="0" w:color="auto"/>
              <w:bottom w:val="single" w:sz="4" w:space="0" w:color="auto"/>
              <w:right w:val="single" w:sz="4" w:space="0" w:color="auto"/>
            </w:tcBorders>
            <w:hideMark/>
          </w:tcPr>
          <w:p w14:paraId="3664DC8A" w14:textId="77777777" w:rsidR="00565C3D" w:rsidRPr="00565C3D" w:rsidRDefault="00565C3D" w:rsidP="00565C3D">
            <w:pPr>
              <w:ind w:right="-1"/>
              <w:jc w:val="center"/>
              <w:rPr>
                <w:lang w:eastAsia="en-US"/>
              </w:rPr>
            </w:pPr>
            <w:r w:rsidRPr="00565C3D">
              <w:rPr>
                <w:lang w:eastAsia="en-US"/>
              </w:rPr>
              <w:t>1</w:t>
            </w:r>
          </w:p>
        </w:tc>
        <w:tc>
          <w:tcPr>
            <w:tcW w:w="1605" w:type="dxa"/>
            <w:vMerge w:val="restart"/>
            <w:tcBorders>
              <w:top w:val="single" w:sz="4" w:space="0" w:color="auto"/>
              <w:left w:val="single" w:sz="4" w:space="0" w:color="auto"/>
              <w:bottom w:val="single" w:sz="4" w:space="0" w:color="auto"/>
              <w:right w:val="single" w:sz="4" w:space="0" w:color="auto"/>
            </w:tcBorders>
            <w:noWrap/>
            <w:vAlign w:val="center"/>
            <w:hideMark/>
          </w:tcPr>
          <w:p w14:paraId="566D612A" w14:textId="77777777" w:rsidR="00565C3D" w:rsidRPr="00565C3D" w:rsidRDefault="00565C3D" w:rsidP="00565C3D">
            <w:pPr>
              <w:ind w:right="-1"/>
              <w:rPr>
                <w:lang w:eastAsia="en-US"/>
              </w:rPr>
            </w:pPr>
            <w:r w:rsidRPr="00565C3D">
              <w:rPr>
                <w:lang w:eastAsia="en-US"/>
              </w:rPr>
              <w:t>ЮО</w:t>
            </w:r>
          </w:p>
        </w:tc>
        <w:tc>
          <w:tcPr>
            <w:tcW w:w="2586" w:type="dxa"/>
            <w:vMerge w:val="restart"/>
            <w:tcBorders>
              <w:top w:val="single" w:sz="4" w:space="0" w:color="auto"/>
              <w:left w:val="single" w:sz="4" w:space="0" w:color="auto"/>
              <w:bottom w:val="single" w:sz="4" w:space="0" w:color="auto"/>
              <w:right w:val="single" w:sz="4" w:space="0" w:color="auto"/>
            </w:tcBorders>
            <w:vAlign w:val="center"/>
            <w:hideMark/>
          </w:tcPr>
          <w:p w14:paraId="3D356997" w14:textId="77777777" w:rsidR="00565C3D" w:rsidRPr="00565C3D" w:rsidRDefault="00565C3D" w:rsidP="00106E6F">
            <w:pPr>
              <w:ind w:right="-1"/>
              <w:jc w:val="left"/>
              <w:rPr>
                <w:lang w:eastAsia="en-US"/>
              </w:rPr>
            </w:pPr>
            <w:r w:rsidRPr="00565C3D">
              <w:rPr>
                <w:lang w:eastAsia="en-US"/>
              </w:rPr>
              <w:t>Великі ЮО</w:t>
            </w:r>
          </w:p>
        </w:tc>
        <w:tc>
          <w:tcPr>
            <w:tcW w:w="1634" w:type="dxa"/>
            <w:tcBorders>
              <w:top w:val="single" w:sz="4" w:space="0" w:color="auto"/>
              <w:left w:val="single" w:sz="4" w:space="0" w:color="auto"/>
              <w:bottom w:val="single" w:sz="4" w:space="0" w:color="auto"/>
              <w:right w:val="single" w:sz="4" w:space="0" w:color="auto"/>
            </w:tcBorders>
            <w:vAlign w:val="center"/>
            <w:hideMark/>
          </w:tcPr>
          <w:p w14:paraId="45209DD2" w14:textId="77777777" w:rsidR="00565C3D" w:rsidRPr="00565C3D" w:rsidRDefault="00565C3D" w:rsidP="00565C3D">
            <w:pPr>
              <w:ind w:right="-1"/>
              <w:rPr>
                <w:lang w:eastAsia="en-US"/>
              </w:rPr>
            </w:pPr>
            <w:r w:rsidRPr="00565C3D">
              <w:rPr>
                <w:lang w:eastAsia="en-US"/>
              </w:rPr>
              <w:t>Національна</w:t>
            </w:r>
          </w:p>
        </w:tc>
        <w:tc>
          <w:tcPr>
            <w:tcW w:w="3292" w:type="dxa"/>
            <w:vMerge w:val="restart"/>
            <w:tcBorders>
              <w:top w:val="single" w:sz="4" w:space="0" w:color="auto"/>
              <w:left w:val="single" w:sz="4" w:space="0" w:color="auto"/>
              <w:bottom w:val="single" w:sz="4" w:space="0" w:color="auto"/>
              <w:right w:val="single" w:sz="4" w:space="0" w:color="auto"/>
            </w:tcBorders>
            <w:noWrap/>
            <w:vAlign w:val="center"/>
            <w:hideMark/>
          </w:tcPr>
          <w:p w14:paraId="0F536493" w14:textId="77777777" w:rsidR="00565C3D" w:rsidRPr="00565C3D" w:rsidRDefault="00565C3D" w:rsidP="00565C3D">
            <w:pPr>
              <w:ind w:right="-1"/>
              <w:rPr>
                <w:lang w:eastAsia="en-US"/>
              </w:rPr>
            </w:pPr>
            <w:r w:rsidRPr="00565C3D">
              <w:rPr>
                <w:lang w:eastAsia="en-US"/>
              </w:rPr>
              <w:t>На індивідуальній основі</w:t>
            </w:r>
          </w:p>
        </w:tc>
      </w:tr>
      <w:tr w:rsidR="00565C3D" w:rsidRPr="00565C3D" w14:paraId="201CF26D" w14:textId="77777777" w:rsidTr="00222BDD">
        <w:trPr>
          <w:trHeight w:val="411"/>
          <w:jc w:val="center"/>
        </w:trPr>
        <w:tc>
          <w:tcPr>
            <w:tcW w:w="517" w:type="dxa"/>
            <w:tcBorders>
              <w:top w:val="single" w:sz="4" w:space="0" w:color="auto"/>
              <w:left w:val="single" w:sz="4" w:space="0" w:color="auto"/>
              <w:bottom w:val="single" w:sz="4" w:space="0" w:color="auto"/>
              <w:right w:val="single" w:sz="4" w:space="0" w:color="auto"/>
            </w:tcBorders>
            <w:hideMark/>
          </w:tcPr>
          <w:p w14:paraId="51D59502" w14:textId="77777777" w:rsidR="00565C3D" w:rsidRPr="00565C3D" w:rsidRDefault="00565C3D" w:rsidP="00565C3D">
            <w:pPr>
              <w:ind w:right="-1"/>
              <w:jc w:val="center"/>
              <w:rPr>
                <w:lang w:eastAsia="en-US"/>
              </w:rPr>
            </w:pPr>
            <w:r w:rsidRPr="00565C3D">
              <w:rPr>
                <w:lang w:eastAsia="en-US"/>
              </w:rPr>
              <w:t>2</w:t>
            </w:r>
          </w:p>
        </w:tc>
        <w:tc>
          <w:tcPr>
            <w:tcW w:w="1605" w:type="dxa"/>
            <w:vMerge/>
            <w:tcBorders>
              <w:top w:val="single" w:sz="4" w:space="0" w:color="auto"/>
              <w:left w:val="single" w:sz="4" w:space="0" w:color="auto"/>
              <w:bottom w:val="single" w:sz="4" w:space="0" w:color="auto"/>
              <w:right w:val="single" w:sz="4" w:space="0" w:color="auto"/>
            </w:tcBorders>
            <w:vAlign w:val="center"/>
            <w:hideMark/>
          </w:tcPr>
          <w:p w14:paraId="09C244CC" w14:textId="77777777" w:rsidR="00565C3D" w:rsidRPr="00565C3D" w:rsidRDefault="00565C3D" w:rsidP="00565C3D">
            <w:pPr>
              <w:rPr>
                <w:lang w:eastAsia="en-US"/>
              </w:rPr>
            </w:pPr>
          </w:p>
        </w:tc>
        <w:tc>
          <w:tcPr>
            <w:tcW w:w="2586" w:type="dxa"/>
            <w:vMerge/>
            <w:tcBorders>
              <w:top w:val="single" w:sz="4" w:space="0" w:color="auto"/>
              <w:left w:val="single" w:sz="4" w:space="0" w:color="auto"/>
              <w:bottom w:val="single" w:sz="4" w:space="0" w:color="auto"/>
              <w:right w:val="single" w:sz="4" w:space="0" w:color="auto"/>
            </w:tcBorders>
            <w:vAlign w:val="center"/>
            <w:hideMark/>
          </w:tcPr>
          <w:p w14:paraId="7CD5FC21" w14:textId="77777777" w:rsidR="00565C3D" w:rsidRPr="00565C3D" w:rsidRDefault="00565C3D" w:rsidP="00106E6F">
            <w:pPr>
              <w:jc w:val="left"/>
              <w:rPr>
                <w:lang w:eastAsia="en-US"/>
              </w:rPr>
            </w:pPr>
          </w:p>
        </w:tc>
        <w:tc>
          <w:tcPr>
            <w:tcW w:w="1634" w:type="dxa"/>
            <w:tcBorders>
              <w:top w:val="single" w:sz="4" w:space="0" w:color="auto"/>
              <w:left w:val="single" w:sz="4" w:space="0" w:color="auto"/>
              <w:bottom w:val="single" w:sz="4" w:space="0" w:color="auto"/>
              <w:right w:val="single" w:sz="4" w:space="0" w:color="auto"/>
            </w:tcBorders>
            <w:vAlign w:val="center"/>
            <w:hideMark/>
          </w:tcPr>
          <w:p w14:paraId="38367CC5" w14:textId="77777777" w:rsidR="00565C3D" w:rsidRPr="00565C3D" w:rsidRDefault="00565C3D" w:rsidP="00565C3D">
            <w:pPr>
              <w:ind w:right="-1"/>
              <w:rPr>
                <w:lang w:eastAsia="en-US"/>
              </w:rPr>
            </w:pPr>
            <w:r w:rsidRPr="00565C3D">
              <w:rPr>
                <w:lang w:eastAsia="en-US"/>
              </w:rPr>
              <w:t>Іноземна</w:t>
            </w:r>
          </w:p>
        </w:tc>
        <w:tc>
          <w:tcPr>
            <w:tcW w:w="3292" w:type="dxa"/>
            <w:vMerge/>
            <w:tcBorders>
              <w:top w:val="single" w:sz="4" w:space="0" w:color="auto"/>
              <w:left w:val="single" w:sz="4" w:space="0" w:color="auto"/>
              <w:bottom w:val="single" w:sz="4" w:space="0" w:color="auto"/>
              <w:right w:val="single" w:sz="4" w:space="0" w:color="auto"/>
            </w:tcBorders>
            <w:vAlign w:val="center"/>
            <w:hideMark/>
          </w:tcPr>
          <w:p w14:paraId="1D5D51EF" w14:textId="77777777" w:rsidR="00565C3D" w:rsidRPr="00565C3D" w:rsidRDefault="00565C3D" w:rsidP="00565C3D">
            <w:pPr>
              <w:rPr>
                <w:lang w:eastAsia="en-US"/>
              </w:rPr>
            </w:pPr>
          </w:p>
        </w:tc>
      </w:tr>
      <w:tr w:rsidR="00565C3D" w:rsidRPr="00565C3D" w14:paraId="41ED6B15" w14:textId="77777777" w:rsidTr="00222BDD">
        <w:trPr>
          <w:trHeight w:val="443"/>
          <w:jc w:val="center"/>
        </w:trPr>
        <w:tc>
          <w:tcPr>
            <w:tcW w:w="517" w:type="dxa"/>
            <w:tcBorders>
              <w:top w:val="single" w:sz="4" w:space="0" w:color="auto"/>
              <w:left w:val="single" w:sz="4" w:space="0" w:color="auto"/>
              <w:bottom w:val="single" w:sz="4" w:space="0" w:color="auto"/>
              <w:right w:val="single" w:sz="4" w:space="0" w:color="auto"/>
            </w:tcBorders>
            <w:hideMark/>
          </w:tcPr>
          <w:p w14:paraId="118D06B5" w14:textId="77777777" w:rsidR="00565C3D" w:rsidRPr="00565C3D" w:rsidRDefault="00565C3D" w:rsidP="00565C3D">
            <w:pPr>
              <w:ind w:right="-1"/>
              <w:jc w:val="center"/>
              <w:rPr>
                <w:lang w:eastAsia="en-US"/>
              </w:rPr>
            </w:pPr>
            <w:r w:rsidRPr="00565C3D">
              <w:rPr>
                <w:lang w:eastAsia="en-US"/>
              </w:rPr>
              <w:t>3</w:t>
            </w:r>
          </w:p>
        </w:tc>
        <w:tc>
          <w:tcPr>
            <w:tcW w:w="1605" w:type="dxa"/>
            <w:vMerge/>
            <w:tcBorders>
              <w:top w:val="single" w:sz="4" w:space="0" w:color="auto"/>
              <w:left w:val="single" w:sz="4" w:space="0" w:color="auto"/>
              <w:bottom w:val="single" w:sz="4" w:space="0" w:color="auto"/>
              <w:right w:val="single" w:sz="4" w:space="0" w:color="auto"/>
            </w:tcBorders>
            <w:vAlign w:val="center"/>
            <w:hideMark/>
          </w:tcPr>
          <w:p w14:paraId="6A470FB0" w14:textId="77777777" w:rsidR="00565C3D" w:rsidRPr="00565C3D" w:rsidRDefault="00565C3D" w:rsidP="00565C3D">
            <w:pPr>
              <w:rPr>
                <w:lang w:eastAsia="en-US"/>
              </w:rPr>
            </w:pPr>
          </w:p>
        </w:tc>
        <w:tc>
          <w:tcPr>
            <w:tcW w:w="2586" w:type="dxa"/>
            <w:vMerge w:val="restart"/>
            <w:tcBorders>
              <w:top w:val="single" w:sz="4" w:space="0" w:color="auto"/>
              <w:left w:val="single" w:sz="4" w:space="0" w:color="auto"/>
              <w:bottom w:val="single" w:sz="4" w:space="0" w:color="auto"/>
              <w:right w:val="single" w:sz="4" w:space="0" w:color="auto"/>
            </w:tcBorders>
            <w:vAlign w:val="center"/>
            <w:hideMark/>
          </w:tcPr>
          <w:p w14:paraId="4331CD25" w14:textId="77777777" w:rsidR="00565C3D" w:rsidRPr="00565C3D" w:rsidRDefault="00565C3D" w:rsidP="00106E6F">
            <w:pPr>
              <w:ind w:right="-1"/>
              <w:jc w:val="left"/>
              <w:rPr>
                <w:lang w:eastAsia="en-US"/>
              </w:rPr>
            </w:pPr>
            <w:r w:rsidRPr="00565C3D">
              <w:rPr>
                <w:lang w:eastAsia="en-US"/>
              </w:rPr>
              <w:t xml:space="preserve">Інші кредити </w:t>
            </w:r>
          </w:p>
        </w:tc>
        <w:tc>
          <w:tcPr>
            <w:tcW w:w="1634" w:type="dxa"/>
            <w:tcBorders>
              <w:top w:val="single" w:sz="4" w:space="0" w:color="auto"/>
              <w:left w:val="single" w:sz="4" w:space="0" w:color="auto"/>
              <w:bottom w:val="single" w:sz="4" w:space="0" w:color="auto"/>
              <w:right w:val="single" w:sz="4" w:space="0" w:color="auto"/>
            </w:tcBorders>
            <w:vAlign w:val="center"/>
            <w:hideMark/>
          </w:tcPr>
          <w:p w14:paraId="6897E818" w14:textId="77777777" w:rsidR="00565C3D" w:rsidRPr="00565C3D" w:rsidRDefault="00565C3D" w:rsidP="00565C3D">
            <w:pPr>
              <w:ind w:right="-1"/>
              <w:rPr>
                <w:lang w:eastAsia="en-US"/>
              </w:rPr>
            </w:pPr>
            <w:r w:rsidRPr="00565C3D">
              <w:rPr>
                <w:lang w:eastAsia="en-US"/>
              </w:rPr>
              <w:t>Національна</w:t>
            </w:r>
          </w:p>
        </w:tc>
        <w:tc>
          <w:tcPr>
            <w:tcW w:w="3292" w:type="dxa"/>
            <w:tcBorders>
              <w:top w:val="single" w:sz="4" w:space="0" w:color="auto"/>
              <w:left w:val="single" w:sz="4" w:space="0" w:color="auto"/>
              <w:bottom w:val="single" w:sz="4" w:space="0" w:color="auto"/>
              <w:right w:val="single" w:sz="4" w:space="0" w:color="auto"/>
            </w:tcBorders>
            <w:noWrap/>
            <w:vAlign w:val="center"/>
            <w:hideMark/>
          </w:tcPr>
          <w:p w14:paraId="26AFD0E3" w14:textId="77777777" w:rsidR="00565C3D" w:rsidRPr="00565C3D" w:rsidRDefault="00565C3D" w:rsidP="00565C3D">
            <w:pPr>
              <w:ind w:right="-1"/>
              <w:rPr>
                <w:lang w:eastAsia="en-US"/>
              </w:rPr>
            </w:pPr>
            <w:r w:rsidRPr="00565C3D">
              <w:rPr>
                <w:lang w:eastAsia="en-US"/>
              </w:rPr>
              <w:t xml:space="preserve">На портфельній основі </w:t>
            </w:r>
          </w:p>
        </w:tc>
      </w:tr>
      <w:tr w:rsidR="00565C3D" w:rsidRPr="00565C3D" w14:paraId="4FABE738" w14:textId="77777777" w:rsidTr="00222BDD">
        <w:trPr>
          <w:trHeight w:val="407"/>
          <w:jc w:val="center"/>
        </w:trPr>
        <w:tc>
          <w:tcPr>
            <w:tcW w:w="517" w:type="dxa"/>
            <w:tcBorders>
              <w:top w:val="single" w:sz="4" w:space="0" w:color="auto"/>
              <w:left w:val="single" w:sz="4" w:space="0" w:color="auto"/>
              <w:bottom w:val="single" w:sz="4" w:space="0" w:color="auto"/>
              <w:right w:val="single" w:sz="4" w:space="0" w:color="auto"/>
            </w:tcBorders>
            <w:hideMark/>
          </w:tcPr>
          <w:p w14:paraId="4C31DD92" w14:textId="77777777" w:rsidR="00565C3D" w:rsidRPr="00565C3D" w:rsidRDefault="00565C3D" w:rsidP="00565C3D">
            <w:pPr>
              <w:ind w:right="-1"/>
              <w:jc w:val="center"/>
              <w:rPr>
                <w:lang w:eastAsia="en-US"/>
              </w:rPr>
            </w:pPr>
            <w:r w:rsidRPr="00565C3D">
              <w:rPr>
                <w:lang w:eastAsia="en-US"/>
              </w:rPr>
              <w:t>4</w:t>
            </w:r>
          </w:p>
        </w:tc>
        <w:tc>
          <w:tcPr>
            <w:tcW w:w="1605" w:type="dxa"/>
            <w:vMerge/>
            <w:tcBorders>
              <w:top w:val="single" w:sz="4" w:space="0" w:color="auto"/>
              <w:left w:val="single" w:sz="4" w:space="0" w:color="auto"/>
              <w:bottom w:val="single" w:sz="4" w:space="0" w:color="auto"/>
              <w:right w:val="single" w:sz="4" w:space="0" w:color="auto"/>
            </w:tcBorders>
            <w:vAlign w:val="center"/>
            <w:hideMark/>
          </w:tcPr>
          <w:p w14:paraId="300DF4D2" w14:textId="77777777" w:rsidR="00565C3D" w:rsidRPr="00565C3D" w:rsidRDefault="00565C3D" w:rsidP="00565C3D">
            <w:pPr>
              <w:rPr>
                <w:lang w:eastAsia="en-US"/>
              </w:rPr>
            </w:pPr>
          </w:p>
        </w:tc>
        <w:tc>
          <w:tcPr>
            <w:tcW w:w="2586" w:type="dxa"/>
            <w:vMerge/>
            <w:tcBorders>
              <w:top w:val="single" w:sz="4" w:space="0" w:color="auto"/>
              <w:left w:val="single" w:sz="4" w:space="0" w:color="auto"/>
              <w:bottom w:val="single" w:sz="4" w:space="0" w:color="auto"/>
              <w:right w:val="single" w:sz="4" w:space="0" w:color="auto"/>
            </w:tcBorders>
            <w:vAlign w:val="center"/>
            <w:hideMark/>
          </w:tcPr>
          <w:p w14:paraId="2275DA68" w14:textId="77777777" w:rsidR="00565C3D" w:rsidRPr="00565C3D" w:rsidRDefault="00565C3D" w:rsidP="00106E6F">
            <w:pPr>
              <w:jc w:val="left"/>
              <w:rPr>
                <w:lang w:eastAsia="en-US"/>
              </w:rPr>
            </w:pPr>
          </w:p>
        </w:tc>
        <w:tc>
          <w:tcPr>
            <w:tcW w:w="1634" w:type="dxa"/>
            <w:tcBorders>
              <w:top w:val="single" w:sz="4" w:space="0" w:color="auto"/>
              <w:left w:val="single" w:sz="4" w:space="0" w:color="auto"/>
              <w:bottom w:val="single" w:sz="4" w:space="0" w:color="auto"/>
              <w:right w:val="single" w:sz="4" w:space="0" w:color="auto"/>
            </w:tcBorders>
            <w:vAlign w:val="center"/>
            <w:hideMark/>
          </w:tcPr>
          <w:p w14:paraId="1E489183" w14:textId="77777777" w:rsidR="00565C3D" w:rsidRPr="00565C3D" w:rsidRDefault="00565C3D" w:rsidP="00565C3D">
            <w:pPr>
              <w:ind w:right="-1"/>
              <w:rPr>
                <w:lang w:eastAsia="en-US"/>
              </w:rPr>
            </w:pPr>
            <w:r w:rsidRPr="00565C3D">
              <w:rPr>
                <w:lang w:eastAsia="en-US"/>
              </w:rPr>
              <w:t>Іноземна</w:t>
            </w:r>
          </w:p>
        </w:tc>
        <w:tc>
          <w:tcPr>
            <w:tcW w:w="3292" w:type="dxa"/>
            <w:tcBorders>
              <w:top w:val="single" w:sz="4" w:space="0" w:color="auto"/>
              <w:left w:val="single" w:sz="4" w:space="0" w:color="auto"/>
              <w:bottom w:val="single" w:sz="4" w:space="0" w:color="auto"/>
              <w:right w:val="single" w:sz="4" w:space="0" w:color="auto"/>
            </w:tcBorders>
            <w:noWrap/>
            <w:vAlign w:val="center"/>
            <w:hideMark/>
          </w:tcPr>
          <w:p w14:paraId="61031E3D" w14:textId="77777777" w:rsidR="00565C3D" w:rsidRPr="00565C3D" w:rsidRDefault="00565C3D" w:rsidP="00565C3D">
            <w:pPr>
              <w:ind w:right="-1"/>
              <w:rPr>
                <w:lang w:eastAsia="en-US"/>
              </w:rPr>
            </w:pPr>
            <w:r w:rsidRPr="00565C3D">
              <w:rPr>
                <w:lang w:eastAsia="en-US"/>
              </w:rPr>
              <w:t xml:space="preserve">На портфельній основі </w:t>
            </w:r>
          </w:p>
        </w:tc>
      </w:tr>
      <w:tr w:rsidR="00565C3D" w:rsidRPr="00565C3D" w14:paraId="0D59FD1F" w14:textId="77777777" w:rsidTr="00222BDD">
        <w:trPr>
          <w:trHeight w:val="670"/>
          <w:jc w:val="center"/>
        </w:trPr>
        <w:tc>
          <w:tcPr>
            <w:tcW w:w="517" w:type="dxa"/>
            <w:tcBorders>
              <w:top w:val="single" w:sz="4" w:space="0" w:color="auto"/>
              <w:left w:val="single" w:sz="4" w:space="0" w:color="auto"/>
              <w:bottom w:val="single" w:sz="4" w:space="0" w:color="auto"/>
              <w:right w:val="single" w:sz="4" w:space="0" w:color="auto"/>
            </w:tcBorders>
            <w:hideMark/>
          </w:tcPr>
          <w:p w14:paraId="10D2401D" w14:textId="77777777" w:rsidR="00565C3D" w:rsidRPr="00565C3D" w:rsidRDefault="00565C3D" w:rsidP="00565C3D">
            <w:pPr>
              <w:ind w:right="-1"/>
              <w:jc w:val="center"/>
              <w:rPr>
                <w:lang w:eastAsia="en-US"/>
              </w:rPr>
            </w:pPr>
            <w:r w:rsidRPr="00565C3D">
              <w:rPr>
                <w:lang w:eastAsia="en-US"/>
              </w:rPr>
              <w:t>5</w:t>
            </w:r>
          </w:p>
        </w:tc>
        <w:tc>
          <w:tcPr>
            <w:tcW w:w="1605" w:type="dxa"/>
            <w:vMerge w:val="restart"/>
            <w:tcBorders>
              <w:top w:val="single" w:sz="4" w:space="0" w:color="auto"/>
              <w:left w:val="single" w:sz="4" w:space="0" w:color="auto"/>
              <w:right w:val="single" w:sz="4" w:space="0" w:color="auto"/>
            </w:tcBorders>
            <w:noWrap/>
            <w:vAlign w:val="center"/>
            <w:hideMark/>
          </w:tcPr>
          <w:p w14:paraId="6CF25A2C" w14:textId="77777777" w:rsidR="00565C3D" w:rsidRPr="00565C3D" w:rsidRDefault="00565C3D" w:rsidP="00565C3D">
            <w:pPr>
              <w:ind w:right="-1"/>
              <w:rPr>
                <w:lang w:eastAsia="en-US"/>
              </w:rPr>
            </w:pPr>
            <w:r w:rsidRPr="00565C3D">
              <w:rPr>
                <w:lang w:eastAsia="en-US"/>
              </w:rPr>
              <w:t>ФО</w:t>
            </w:r>
          </w:p>
          <w:p w14:paraId="287A2852" w14:textId="77777777" w:rsidR="00565C3D" w:rsidRPr="00565C3D" w:rsidRDefault="00565C3D" w:rsidP="00565C3D">
            <w:pPr>
              <w:rPr>
                <w:lang w:eastAsia="en-US"/>
              </w:rPr>
            </w:pPr>
          </w:p>
        </w:tc>
        <w:tc>
          <w:tcPr>
            <w:tcW w:w="2586" w:type="dxa"/>
            <w:vMerge w:val="restart"/>
            <w:tcBorders>
              <w:top w:val="single" w:sz="4" w:space="0" w:color="auto"/>
              <w:left w:val="single" w:sz="4" w:space="0" w:color="auto"/>
              <w:right w:val="single" w:sz="4" w:space="0" w:color="auto"/>
            </w:tcBorders>
            <w:vAlign w:val="center"/>
            <w:hideMark/>
          </w:tcPr>
          <w:p w14:paraId="71699FA3" w14:textId="77777777" w:rsidR="00565C3D" w:rsidRPr="00565C3D" w:rsidRDefault="00565C3D" w:rsidP="00106E6F">
            <w:pPr>
              <w:ind w:right="-1"/>
              <w:jc w:val="left"/>
              <w:rPr>
                <w:lang w:eastAsia="en-US"/>
              </w:rPr>
            </w:pPr>
            <w:r w:rsidRPr="00565C3D">
              <w:rPr>
                <w:lang w:eastAsia="en-US"/>
              </w:rPr>
              <w:t>Кредити під заставу нерухомості та транспортних засобів</w:t>
            </w:r>
          </w:p>
        </w:tc>
        <w:tc>
          <w:tcPr>
            <w:tcW w:w="1634" w:type="dxa"/>
            <w:tcBorders>
              <w:top w:val="single" w:sz="4" w:space="0" w:color="auto"/>
              <w:left w:val="single" w:sz="4" w:space="0" w:color="auto"/>
              <w:bottom w:val="single" w:sz="4" w:space="0" w:color="auto"/>
              <w:right w:val="single" w:sz="4" w:space="0" w:color="auto"/>
            </w:tcBorders>
            <w:vAlign w:val="center"/>
            <w:hideMark/>
          </w:tcPr>
          <w:p w14:paraId="7C1E25D9" w14:textId="77777777" w:rsidR="00565C3D" w:rsidRPr="00565C3D" w:rsidRDefault="00565C3D" w:rsidP="00565C3D">
            <w:pPr>
              <w:ind w:right="-1"/>
              <w:rPr>
                <w:lang w:eastAsia="en-US"/>
              </w:rPr>
            </w:pPr>
            <w:r w:rsidRPr="00565C3D">
              <w:rPr>
                <w:lang w:eastAsia="en-US"/>
              </w:rPr>
              <w:t>Національна</w:t>
            </w:r>
          </w:p>
        </w:tc>
        <w:tc>
          <w:tcPr>
            <w:tcW w:w="3292" w:type="dxa"/>
            <w:tcBorders>
              <w:top w:val="single" w:sz="4" w:space="0" w:color="auto"/>
              <w:left w:val="single" w:sz="4" w:space="0" w:color="auto"/>
              <w:bottom w:val="single" w:sz="4" w:space="0" w:color="auto"/>
              <w:right w:val="single" w:sz="4" w:space="0" w:color="auto"/>
            </w:tcBorders>
            <w:noWrap/>
            <w:vAlign w:val="center"/>
            <w:hideMark/>
          </w:tcPr>
          <w:p w14:paraId="2B9EFCEE" w14:textId="77777777" w:rsidR="00565C3D" w:rsidRPr="00565C3D" w:rsidRDefault="00565C3D" w:rsidP="00565C3D">
            <w:pPr>
              <w:ind w:right="-1"/>
              <w:rPr>
                <w:lang w:eastAsia="en-US"/>
              </w:rPr>
            </w:pPr>
            <w:r w:rsidRPr="00565C3D">
              <w:rPr>
                <w:lang w:eastAsia="en-US"/>
              </w:rPr>
              <w:t>На портфельній основі</w:t>
            </w:r>
          </w:p>
        </w:tc>
      </w:tr>
      <w:tr w:rsidR="00565C3D" w:rsidRPr="00565C3D" w14:paraId="661E0839" w14:textId="77777777" w:rsidTr="00222BDD">
        <w:trPr>
          <w:trHeight w:val="565"/>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50504CC0" w14:textId="77777777" w:rsidR="00565C3D" w:rsidRPr="00565C3D" w:rsidRDefault="00565C3D" w:rsidP="00565C3D">
            <w:pPr>
              <w:ind w:right="-1"/>
              <w:jc w:val="center"/>
              <w:rPr>
                <w:lang w:eastAsia="en-US"/>
              </w:rPr>
            </w:pPr>
            <w:r w:rsidRPr="00565C3D">
              <w:rPr>
                <w:lang w:eastAsia="en-US"/>
              </w:rPr>
              <w:t>6</w:t>
            </w:r>
          </w:p>
        </w:tc>
        <w:tc>
          <w:tcPr>
            <w:tcW w:w="1605" w:type="dxa"/>
            <w:vMerge/>
            <w:tcBorders>
              <w:left w:val="single" w:sz="4" w:space="0" w:color="auto"/>
              <w:right w:val="single" w:sz="4" w:space="0" w:color="auto"/>
            </w:tcBorders>
            <w:vAlign w:val="center"/>
          </w:tcPr>
          <w:p w14:paraId="339D4E52" w14:textId="77777777" w:rsidR="00565C3D" w:rsidRPr="00565C3D" w:rsidRDefault="00565C3D" w:rsidP="00565C3D">
            <w:pPr>
              <w:rPr>
                <w:lang w:eastAsia="en-US"/>
              </w:rPr>
            </w:pPr>
          </w:p>
        </w:tc>
        <w:tc>
          <w:tcPr>
            <w:tcW w:w="2586" w:type="dxa"/>
            <w:vMerge/>
            <w:tcBorders>
              <w:left w:val="single" w:sz="4" w:space="0" w:color="auto"/>
              <w:bottom w:val="single" w:sz="4" w:space="0" w:color="auto"/>
              <w:right w:val="single" w:sz="4" w:space="0" w:color="auto"/>
            </w:tcBorders>
            <w:vAlign w:val="center"/>
            <w:hideMark/>
          </w:tcPr>
          <w:p w14:paraId="34D28132" w14:textId="77777777" w:rsidR="00565C3D" w:rsidRPr="00565C3D" w:rsidRDefault="00565C3D" w:rsidP="00106E6F">
            <w:pPr>
              <w:jc w:val="left"/>
              <w:rPr>
                <w:lang w:eastAsia="en-US"/>
              </w:rPr>
            </w:pPr>
          </w:p>
        </w:tc>
        <w:tc>
          <w:tcPr>
            <w:tcW w:w="1634" w:type="dxa"/>
            <w:tcBorders>
              <w:top w:val="single" w:sz="4" w:space="0" w:color="auto"/>
              <w:left w:val="single" w:sz="4" w:space="0" w:color="auto"/>
              <w:bottom w:val="single" w:sz="4" w:space="0" w:color="auto"/>
              <w:right w:val="single" w:sz="4" w:space="0" w:color="auto"/>
            </w:tcBorders>
            <w:vAlign w:val="center"/>
            <w:hideMark/>
          </w:tcPr>
          <w:p w14:paraId="0AB33A1A" w14:textId="77777777" w:rsidR="00565C3D" w:rsidRPr="00565C3D" w:rsidRDefault="00565C3D" w:rsidP="00565C3D">
            <w:pPr>
              <w:ind w:right="-1"/>
              <w:rPr>
                <w:lang w:eastAsia="en-US"/>
              </w:rPr>
            </w:pPr>
            <w:r w:rsidRPr="00565C3D">
              <w:rPr>
                <w:lang w:eastAsia="en-US"/>
              </w:rPr>
              <w:t>Іноземна</w:t>
            </w:r>
          </w:p>
        </w:tc>
        <w:tc>
          <w:tcPr>
            <w:tcW w:w="3292" w:type="dxa"/>
            <w:tcBorders>
              <w:top w:val="single" w:sz="4" w:space="0" w:color="auto"/>
              <w:left w:val="single" w:sz="4" w:space="0" w:color="auto"/>
              <w:bottom w:val="single" w:sz="4" w:space="0" w:color="auto"/>
              <w:right w:val="single" w:sz="4" w:space="0" w:color="auto"/>
            </w:tcBorders>
            <w:noWrap/>
            <w:vAlign w:val="center"/>
            <w:hideMark/>
          </w:tcPr>
          <w:p w14:paraId="18C8B03E" w14:textId="77777777" w:rsidR="00565C3D" w:rsidRPr="00565C3D" w:rsidRDefault="00565C3D" w:rsidP="00565C3D">
            <w:pPr>
              <w:ind w:right="-1"/>
              <w:rPr>
                <w:lang w:eastAsia="en-US"/>
              </w:rPr>
            </w:pPr>
            <w:r w:rsidRPr="00565C3D">
              <w:rPr>
                <w:lang w:eastAsia="en-US"/>
              </w:rPr>
              <w:t>На портфельній основі</w:t>
            </w:r>
          </w:p>
        </w:tc>
      </w:tr>
      <w:tr w:rsidR="00565C3D" w:rsidRPr="00565C3D" w14:paraId="3F0AD016" w14:textId="77777777" w:rsidTr="00565C3D">
        <w:trPr>
          <w:trHeight w:val="407"/>
          <w:jc w:val="center"/>
        </w:trPr>
        <w:tc>
          <w:tcPr>
            <w:tcW w:w="517" w:type="dxa"/>
            <w:tcBorders>
              <w:top w:val="single" w:sz="4" w:space="0" w:color="auto"/>
              <w:left w:val="single" w:sz="4" w:space="0" w:color="auto"/>
              <w:bottom w:val="single" w:sz="4" w:space="0" w:color="auto"/>
              <w:right w:val="single" w:sz="4" w:space="0" w:color="auto"/>
            </w:tcBorders>
            <w:hideMark/>
          </w:tcPr>
          <w:p w14:paraId="292E5A69" w14:textId="77777777" w:rsidR="00565C3D" w:rsidRPr="00565C3D" w:rsidRDefault="00565C3D" w:rsidP="00565C3D">
            <w:pPr>
              <w:ind w:right="-1"/>
              <w:jc w:val="center"/>
              <w:rPr>
                <w:lang w:eastAsia="en-US"/>
              </w:rPr>
            </w:pPr>
            <w:r w:rsidRPr="00565C3D">
              <w:rPr>
                <w:lang w:eastAsia="en-US"/>
              </w:rPr>
              <w:t>7</w:t>
            </w:r>
          </w:p>
        </w:tc>
        <w:tc>
          <w:tcPr>
            <w:tcW w:w="1605" w:type="dxa"/>
            <w:vMerge w:val="restart"/>
            <w:tcBorders>
              <w:left w:val="single" w:sz="4" w:space="0" w:color="auto"/>
              <w:right w:val="single" w:sz="4" w:space="0" w:color="auto"/>
            </w:tcBorders>
            <w:vAlign w:val="center"/>
            <w:hideMark/>
          </w:tcPr>
          <w:p w14:paraId="724F309A" w14:textId="77777777" w:rsidR="00565C3D" w:rsidRPr="00565C3D" w:rsidRDefault="00565C3D" w:rsidP="00565C3D">
            <w:pPr>
              <w:rPr>
                <w:lang w:eastAsia="en-US"/>
              </w:rPr>
            </w:pPr>
            <w:r w:rsidRPr="00565C3D">
              <w:rPr>
                <w:lang w:eastAsia="en-US"/>
              </w:rPr>
              <w:t>ФО</w:t>
            </w:r>
          </w:p>
        </w:tc>
        <w:tc>
          <w:tcPr>
            <w:tcW w:w="2586" w:type="dxa"/>
            <w:vMerge w:val="restart"/>
            <w:tcBorders>
              <w:top w:val="single" w:sz="4" w:space="0" w:color="auto"/>
              <w:left w:val="single" w:sz="4" w:space="0" w:color="auto"/>
              <w:bottom w:val="single" w:sz="4" w:space="0" w:color="auto"/>
              <w:right w:val="single" w:sz="4" w:space="0" w:color="auto"/>
            </w:tcBorders>
            <w:vAlign w:val="center"/>
            <w:hideMark/>
          </w:tcPr>
          <w:p w14:paraId="63088891" w14:textId="77777777" w:rsidR="00565C3D" w:rsidRPr="00565C3D" w:rsidRDefault="00565C3D" w:rsidP="00106E6F">
            <w:pPr>
              <w:ind w:right="-1"/>
              <w:jc w:val="left"/>
              <w:rPr>
                <w:lang w:eastAsia="en-US"/>
              </w:rPr>
            </w:pPr>
            <w:r w:rsidRPr="00565C3D">
              <w:rPr>
                <w:lang w:eastAsia="en-US"/>
              </w:rPr>
              <w:t>Інші кредити</w:t>
            </w:r>
          </w:p>
        </w:tc>
        <w:tc>
          <w:tcPr>
            <w:tcW w:w="1634" w:type="dxa"/>
            <w:tcBorders>
              <w:top w:val="single" w:sz="4" w:space="0" w:color="auto"/>
              <w:left w:val="single" w:sz="4" w:space="0" w:color="auto"/>
              <w:bottom w:val="single" w:sz="4" w:space="0" w:color="auto"/>
              <w:right w:val="single" w:sz="4" w:space="0" w:color="auto"/>
            </w:tcBorders>
            <w:vAlign w:val="center"/>
            <w:hideMark/>
          </w:tcPr>
          <w:p w14:paraId="596C0FFF" w14:textId="77777777" w:rsidR="00565C3D" w:rsidRPr="00565C3D" w:rsidRDefault="00565C3D" w:rsidP="00565C3D">
            <w:pPr>
              <w:ind w:right="-1"/>
              <w:rPr>
                <w:lang w:eastAsia="en-US"/>
              </w:rPr>
            </w:pPr>
            <w:r w:rsidRPr="00565C3D">
              <w:rPr>
                <w:lang w:eastAsia="en-US"/>
              </w:rPr>
              <w:t>Національна</w:t>
            </w:r>
          </w:p>
        </w:tc>
        <w:tc>
          <w:tcPr>
            <w:tcW w:w="3292" w:type="dxa"/>
            <w:tcBorders>
              <w:top w:val="single" w:sz="4" w:space="0" w:color="auto"/>
              <w:left w:val="single" w:sz="4" w:space="0" w:color="auto"/>
              <w:bottom w:val="single" w:sz="4" w:space="0" w:color="auto"/>
              <w:right w:val="single" w:sz="4" w:space="0" w:color="auto"/>
            </w:tcBorders>
            <w:noWrap/>
            <w:vAlign w:val="center"/>
            <w:hideMark/>
          </w:tcPr>
          <w:p w14:paraId="21AE8401" w14:textId="77777777" w:rsidR="00565C3D" w:rsidRPr="00565C3D" w:rsidRDefault="00565C3D" w:rsidP="00565C3D">
            <w:pPr>
              <w:ind w:right="-1"/>
              <w:rPr>
                <w:lang w:eastAsia="en-US"/>
              </w:rPr>
            </w:pPr>
            <w:r w:rsidRPr="00565C3D">
              <w:rPr>
                <w:lang w:eastAsia="en-US"/>
              </w:rPr>
              <w:t xml:space="preserve">На портфельній основі </w:t>
            </w:r>
          </w:p>
        </w:tc>
      </w:tr>
      <w:tr w:rsidR="00565C3D" w:rsidRPr="00565C3D" w14:paraId="4FB3CF2C" w14:textId="77777777" w:rsidTr="00565C3D">
        <w:trPr>
          <w:trHeight w:val="407"/>
          <w:jc w:val="center"/>
        </w:trPr>
        <w:tc>
          <w:tcPr>
            <w:tcW w:w="517" w:type="dxa"/>
            <w:tcBorders>
              <w:top w:val="single" w:sz="4" w:space="0" w:color="auto"/>
              <w:left w:val="single" w:sz="4" w:space="0" w:color="auto"/>
              <w:bottom w:val="single" w:sz="4" w:space="0" w:color="auto"/>
              <w:right w:val="single" w:sz="4" w:space="0" w:color="auto"/>
            </w:tcBorders>
            <w:hideMark/>
          </w:tcPr>
          <w:p w14:paraId="1CDDBEE6" w14:textId="77777777" w:rsidR="00565C3D" w:rsidRPr="00565C3D" w:rsidRDefault="00565C3D" w:rsidP="00565C3D">
            <w:pPr>
              <w:jc w:val="center"/>
              <w:rPr>
                <w:lang w:eastAsia="en-US"/>
              </w:rPr>
            </w:pPr>
            <w:r w:rsidRPr="00565C3D">
              <w:rPr>
                <w:lang w:eastAsia="en-US"/>
              </w:rPr>
              <w:t>8</w:t>
            </w:r>
          </w:p>
        </w:tc>
        <w:tc>
          <w:tcPr>
            <w:tcW w:w="1605" w:type="dxa"/>
            <w:vMerge/>
            <w:tcBorders>
              <w:left w:val="single" w:sz="4" w:space="0" w:color="auto"/>
              <w:right w:val="single" w:sz="4" w:space="0" w:color="auto"/>
            </w:tcBorders>
            <w:vAlign w:val="center"/>
            <w:hideMark/>
          </w:tcPr>
          <w:p w14:paraId="01F14E68" w14:textId="77777777" w:rsidR="00565C3D" w:rsidRPr="00565C3D" w:rsidRDefault="00565C3D" w:rsidP="00565C3D">
            <w:pPr>
              <w:rPr>
                <w:lang w:eastAsia="en-US"/>
              </w:rPr>
            </w:pPr>
          </w:p>
        </w:tc>
        <w:tc>
          <w:tcPr>
            <w:tcW w:w="2586" w:type="dxa"/>
            <w:vMerge/>
            <w:tcBorders>
              <w:top w:val="single" w:sz="4" w:space="0" w:color="auto"/>
              <w:left w:val="single" w:sz="4" w:space="0" w:color="auto"/>
              <w:bottom w:val="single" w:sz="4" w:space="0" w:color="auto"/>
              <w:right w:val="single" w:sz="4" w:space="0" w:color="auto"/>
            </w:tcBorders>
            <w:vAlign w:val="center"/>
            <w:hideMark/>
          </w:tcPr>
          <w:p w14:paraId="21599EE2" w14:textId="77777777" w:rsidR="00565C3D" w:rsidRPr="00565C3D" w:rsidRDefault="00565C3D" w:rsidP="00565C3D">
            <w:pPr>
              <w:rPr>
                <w:lang w:eastAsia="en-US"/>
              </w:rPr>
            </w:pPr>
          </w:p>
        </w:tc>
        <w:tc>
          <w:tcPr>
            <w:tcW w:w="1634" w:type="dxa"/>
            <w:tcBorders>
              <w:top w:val="single" w:sz="4" w:space="0" w:color="auto"/>
              <w:left w:val="single" w:sz="4" w:space="0" w:color="auto"/>
              <w:bottom w:val="single" w:sz="4" w:space="0" w:color="auto"/>
              <w:right w:val="single" w:sz="4" w:space="0" w:color="auto"/>
            </w:tcBorders>
            <w:vAlign w:val="center"/>
            <w:hideMark/>
          </w:tcPr>
          <w:p w14:paraId="0631194D" w14:textId="77777777" w:rsidR="00565C3D" w:rsidRPr="00565C3D" w:rsidRDefault="00565C3D" w:rsidP="00565C3D">
            <w:pPr>
              <w:rPr>
                <w:lang w:eastAsia="en-US"/>
              </w:rPr>
            </w:pPr>
            <w:r w:rsidRPr="00565C3D">
              <w:rPr>
                <w:lang w:eastAsia="en-US"/>
              </w:rPr>
              <w:t>Іноземна</w:t>
            </w:r>
          </w:p>
        </w:tc>
        <w:tc>
          <w:tcPr>
            <w:tcW w:w="3292" w:type="dxa"/>
            <w:tcBorders>
              <w:top w:val="single" w:sz="4" w:space="0" w:color="auto"/>
              <w:left w:val="single" w:sz="4" w:space="0" w:color="auto"/>
              <w:bottom w:val="single" w:sz="4" w:space="0" w:color="auto"/>
              <w:right w:val="single" w:sz="4" w:space="0" w:color="auto"/>
            </w:tcBorders>
            <w:noWrap/>
            <w:vAlign w:val="center"/>
            <w:hideMark/>
          </w:tcPr>
          <w:p w14:paraId="24A4573F" w14:textId="77777777" w:rsidR="00565C3D" w:rsidRPr="00565C3D" w:rsidRDefault="00565C3D" w:rsidP="00565C3D">
            <w:pPr>
              <w:rPr>
                <w:lang w:eastAsia="en-US"/>
              </w:rPr>
            </w:pPr>
            <w:r w:rsidRPr="00565C3D">
              <w:rPr>
                <w:lang w:eastAsia="en-US"/>
              </w:rPr>
              <w:t>На портфельній основі</w:t>
            </w:r>
          </w:p>
        </w:tc>
      </w:tr>
    </w:tbl>
    <w:p w14:paraId="401FA92B" w14:textId="77777777" w:rsidR="00565C3D" w:rsidRPr="00565C3D" w:rsidRDefault="00565C3D" w:rsidP="0098642B">
      <w:pPr>
        <w:pStyle w:val="af3"/>
        <w:numPr>
          <w:ilvl w:val="0"/>
          <w:numId w:val="52"/>
        </w:numPr>
        <w:tabs>
          <w:tab w:val="left" w:pos="993"/>
        </w:tabs>
        <w:spacing w:before="240" w:after="240"/>
        <w:ind w:left="0" w:firstLine="567"/>
        <w:contextualSpacing w:val="0"/>
      </w:pPr>
      <w:r w:rsidRPr="00565C3D">
        <w:t>Національний банк використовує дані опитувань банків про параметри оцінки кредитного ризику за Міжнародними стандартами фінансової звітності (далі – PD-статистика) для прогнозування частки непрацюючих кредитів (клас</w:t>
      </w:r>
      <w:r w:rsidR="005E7FC7">
        <w:t xml:space="preserve"> </w:t>
      </w:r>
      <w:r w:rsidR="005E7FC7" w:rsidRPr="00565C3D">
        <w:t>10</w:t>
      </w:r>
      <w:r w:rsidRPr="00565C3D">
        <w:t xml:space="preserve"> – для ЮО, клас</w:t>
      </w:r>
      <w:r w:rsidR="005E7FC7">
        <w:t xml:space="preserve"> </w:t>
      </w:r>
      <w:r w:rsidR="005E7FC7" w:rsidRPr="00565C3D">
        <w:t>5</w:t>
      </w:r>
      <w:r w:rsidR="005E7FC7">
        <w:t xml:space="preserve"> </w:t>
      </w:r>
      <w:r w:rsidRPr="00565C3D">
        <w:t xml:space="preserve"> – для ФО) (далі – NPL) у сегментах інших кредитів ЮО та </w:t>
      </w:r>
      <w:r w:rsidRPr="00565C3D">
        <w:rPr>
          <w:lang w:eastAsia="en-US"/>
        </w:rPr>
        <w:t xml:space="preserve">кредитів ФО </w:t>
      </w:r>
      <w:r w:rsidRPr="00565C3D">
        <w:t xml:space="preserve">для кожного року прогнозного періоду. </w:t>
      </w:r>
    </w:p>
    <w:p w14:paraId="1FBDBB34" w14:textId="77777777" w:rsidR="00565C3D" w:rsidRPr="00565C3D" w:rsidRDefault="00565C3D" w:rsidP="0098642B">
      <w:pPr>
        <w:pStyle w:val="af3"/>
        <w:numPr>
          <w:ilvl w:val="0"/>
          <w:numId w:val="52"/>
        </w:numPr>
        <w:tabs>
          <w:tab w:val="left" w:pos="993"/>
        </w:tabs>
        <w:spacing w:before="240" w:after="240"/>
        <w:ind w:left="0" w:firstLine="567"/>
        <w:contextualSpacing w:val="0"/>
      </w:pPr>
      <w:r w:rsidRPr="00565C3D">
        <w:t>PD-статистика визначає оцінені коефіцієнти ймовірності дефолту в кредитному портфелі в прогнозному періоді в кожному сегменті. Оцінка коефіцієнта ймовірності дефолту для кожного сегмента застосовуватиметься до фактичної суми EAD кредитів PL банку станом на звітну дату в кожному сегменті. Частка кредитів NPL у прогнозному періоді визначається відповідно до такої формули:</w:t>
      </w:r>
    </w:p>
    <w:p w14:paraId="4CC3777B" w14:textId="3DDA8754" w:rsidR="00565C3D" w:rsidRPr="00565C3D" w:rsidRDefault="0052636F" w:rsidP="00222BDD">
      <w:pPr>
        <w:ind w:right="1133"/>
        <w:jc w:val="right"/>
        <w:rPr>
          <w:rFonts w:eastAsiaTheme="minorEastAsia"/>
          <w:i/>
        </w:rPr>
      </w:pPr>
      <m:oMath>
        <m:sSub>
          <m:sSubPr>
            <m:ctrlPr>
              <w:rPr>
                <w:rFonts w:ascii="Cambria Math" w:hAnsi="Cambria Math"/>
                <w:i/>
              </w:rPr>
            </m:ctrlPr>
          </m:sSubPr>
          <m:e>
            <m:r>
              <w:rPr>
                <w:rFonts w:ascii="Cambria Math" w:hAnsi="Cambria Math"/>
              </w:rPr>
              <m:t>%NPL</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NPL</m:t>
            </m:r>
          </m:e>
          <m:sub>
            <m:r>
              <w:rPr>
                <w:rFonts w:ascii="Cambria Math" w:hAnsi="Cambria Math"/>
              </w:rPr>
              <m:t>i,t-1</m:t>
            </m:r>
          </m:sub>
        </m:sSub>
        <m:r>
          <w:rPr>
            <w:rFonts w:ascii="Cambria Math" w:hAnsi="Cambria Math"/>
          </w:rPr>
          <m:t>+</m:t>
        </m:r>
        <m:sSub>
          <m:sSubPr>
            <m:ctrlPr>
              <w:rPr>
                <w:rFonts w:ascii="Cambria Math" w:hAnsi="Cambria Math"/>
                <w:i/>
              </w:rPr>
            </m:ctrlPr>
          </m:sSubPr>
          <m:e>
            <m:r>
              <w:rPr>
                <w:rFonts w:ascii="Cambria Math" w:hAnsi="Cambria Math"/>
              </w:rPr>
              <m:t>DR</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PL</m:t>
            </m:r>
          </m:e>
          <m:sub>
            <m:r>
              <w:rPr>
                <w:rFonts w:ascii="Cambria Math" w:hAnsi="Cambria Math"/>
              </w:rPr>
              <m:t>i,t-1</m:t>
            </m:r>
          </m:sub>
        </m:sSub>
      </m:oMath>
      <w:r w:rsidR="00565C3D" w:rsidRPr="00565C3D">
        <w:rPr>
          <w:rFonts w:eastAsiaTheme="minorEastAsia"/>
        </w:rPr>
        <w:t>,</w:t>
      </w:r>
      <w:r w:rsidR="00565C3D" w:rsidRPr="00565C3D">
        <w:rPr>
          <w:rFonts w:eastAsiaTheme="minorEastAsia"/>
          <w:i/>
        </w:rPr>
        <w:t xml:space="preserve">  </w:t>
      </w:r>
      <w:r w:rsidR="005E7FC7">
        <w:rPr>
          <w:rFonts w:eastAsiaTheme="minorEastAsia"/>
          <w:i/>
        </w:rPr>
        <w:t xml:space="preserve">         </w:t>
      </w:r>
      <w:r w:rsidR="00222BDD">
        <w:rPr>
          <w:rFonts w:eastAsiaTheme="minorEastAsia"/>
          <w:i/>
        </w:rPr>
        <w:t xml:space="preserve">  </w:t>
      </w:r>
      <w:r w:rsidR="005E7FC7">
        <w:rPr>
          <w:rFonts w:eastAsiaTheme="minorEastAsia"/>
          <w:i/>
        </w:rPr>
        <w:t xml:space="preserve"> </w:t>
      </w:r>
      <w:r w:rsidR="00565C3D" w:rsidRPr="00565C3D">
        <w:rPr>
          <w:rFonts w:eastAsiaTheme="minorEastAsia"/>
          <w:i/>
        </w:rPr>
        <w:t xml:space="preserve"> </w:t>
      </w:r>
      <w:r w:rsidR="00565C3D" w:rsidRPr="00565C3D">
        <w:rPr>
          <w:rFonts w:eastAsiaTheme="minorEastAsia"/>
        </w:rPr>
        <w:t>(1)</w:t>
      </w:r>
    </w:p>
    <w:p w14:paraId="01CB8F5E" w14:textId="77777777" w:rsidR="00565C3D" w:rsidRPr="00565C3D" w:rsidRDefault="0052636F" w:rsidP="00104B37">
      <w:pPr>
        <w:spacing w:before="240"/>
        <w:ind w:right="-1"/>
      </w:pPr>
      <m:oMath>
        <m:sSub>
          <m:sSubPr>
            <m:ctrlPr>
              <w:rPr>
                <w:rFonts w:ascii="Cambria Math" w:hAnsi="Cambria Math"/>
              </w:rPr>
            </m:ctrlPr>
          </m:sSubPr>
          <m:e>
            <m:r>
              <m:rPr>
                <m:sty m:val="p"/>
              </m:rPr>
              <w:rPr>
                <w:rFonts w:ascii="Cambria Math" w:hAnsi="Cambria Math"/>
              </w:rPr>
              <m:t>де    %</m:t>
            </m:r>
            <m:r>
              <w:rPr>
                <w:rFonts w:ascii="Cambria Math" w:hAnsi="Cambria Math"/>
              </w:rPr>
              <m:t>NPL</m:t>
            </m:r>
          </m:e>
          <m:sub>
            <m:r>
              <w:rPr>
                <w:rFonts w:ascii="Cambria Math" w:hAnsi="Cambria Math"/>
              </w:rPr>
              <m:t>i</m:t>
            </m:r>
          </m:sub>
        </m:sSub>
      </m:oMath>
      <w:r w:rsidR="00565C3D" w:rsidRPr="00565C3D">
        <w:t xml:space="preserve"> – частка NPL у кредитному портфелі банку в сегменті </w:t>
      </w:r>
      <w:r w:rsidR="00565C3D" w:rsidRPr="00565C3D">
        <w:rPr>
          <w:i/>
        </w:rPr>
        <w:t>і</w:t>
      </w:r>
      <w:r w:rsidR="00565C3D" w:rsidRPr="00565C3D">
        <w:t xml:space="preserve"> (у періоді </w:t>
      </w:r>
      <w:r w:rsidR="00565C3D" w:rsidRPr="00565C3D">
        <w:rPr>
          <w:i/>
        </w:rPr>
        <w:t>t</w:t>
      </w:r>
      <w:r w:rsidR="00565C3D" w:rsidRPr="00565C3D">
        <w:t xml:space="preserve"> або </w:t>
      </w:r>
      <w:r w:rsidR="00565C3D" w:rsidRPr="00565C3D">
        <w:rPr>
          <w:i/>
        </w:rPr>
        <w:t>t-1</w:t>
      </w:r>
      <w:r w:rsidR="00565C3D" w:rsidRPr="00565C3D">
        <w:t>);</w:t>
      </w:r>
    </w:p>
    <w:p w14:paraId="7947A8EA" w14:textId="77777777" w:rsidR="00565C3D" w:rsidRPr="00565C3D" w:rsidRDefault="0052636F" w:rsidP="00104B37">
      <w:pPr>
        <w:ind w:right="-1" w:firstLine="567"/>
      </w:pPr>
      <m:oMath>
        <m:sSub>
          <m:sSubPr>
            <m:ctrlPr>
              <w:rPr>
                <w:rFonts w:ascii="Cambria Math" w:hAnsi="Cambria Math"/>
              </w:rPr>
            </m:ctrlPr>
          </m:sSubPr>
          <m:e>
            <m:r>
              <m:rPr>
                <m:sty m:val="p"/>
              </m:rPr>
              <w:rPr>
                <w:rFonts w:ascii="Cambria Math" w:hAnsi="Cambria Math"/>
              </w:rPr>
              <m:t>%</m:t>
            </m:r>
            <m:r>
              <w:rPr>
                <w:rFonts w:ascii="Cambria Math" w:hAnsi="Cambria Math"/>
              </w:rPr>
              <m:t>PL</m:t>
            </m:r>
          </m:e>
          <m:sub>
            <m:r>
              <w:rPr>
                <w:rFonts w:ascii="Cambria Math" w:hAnsi="Cambria Math"/>
              </w:rPr>
              <m:t>i</m:t>
            </m:r>
          </m:sub>
        </m:sSub>
      </m:oMath>
      <w:r w:rsidR="00565C3D" w:rsidRPr="00565C3D">
        <w:t xml:space="preserve"> – частка PL у кредитному портфелі банку в сегменті </w:t>
      </w:r>
      <w:r w:rsidR="00565C3D" w:rsidRPr="00565C3D">
        <w:rPr>
          <w:i/>
        </w:rPr>
        <w:t>і</w:t>
      </w:r>
      <w:r w:rsidR="00565C3D" w:rsidRPr="00565C3D">
        <w:t xml:space="preserve"> (у періоді </w:t>
      </w:r>
      <w:r w:rsidR="00565C3D" w:rsidRPr="00565C3D">
        <w:rPr>
          <w:i/>
        </w:rPr>
        <w:t>t</w:t>
      </w:r>
      <w:r w:rsidR="00565C3D" w:rsidRPr="00565C3D">
        <w:t xml:space="preserve"> або </w:t>
      </w:r>
      <w:r w:rsidR="00565C3D" w:rsidRPr="00565C3D">
        <w:rPr>
          <w:i/>
        </w:rPr>
        <w:t>t-1</w:t>
      </w:r>
      <w:r w:rsidR="00565C3D" w:rsidRPr="00565C3D">
        <w:t>);</w:t>
      </w:r>
    </w:p>
    <w:p w14:paraId="4D2819D0" w14:textId="77777777" w:rsidR="00565C3D" w:rsidRPr="00565C3D" w:rsidRDefault="0052636F" w:rsidP="005E7FC7">
      <w:pPr>
        <w:ind w:firstLine="567"/>
      </w:pPr>
      <m:oMath>
        <m:sSub>
          <m:sSubPr>
            <m:ctrlPr>
              <w:rPr>
                <w:rFonts w:ascii="Cambria Math" w:hAnsi="Cambria Math"/>
                <w:i/>
              </w:rPr>
            </m:ctrlPr>
          </m:sSubPr>
          <m:e>
            <m:r>
              <w:rPr>
                <w:rFonts w:ascii="Cambria Math" w:hAnsi="Cambria Math"/>
              </w:rPr>
              <m:t>DR</m:t>
            </m:r>
          </m:e>
          <m:sub>
            <m:r>
              <w:rPr>
                <w:rFonts w:ascii="Cambria Math" w:hAnsi="Cambria Math"/>
              </w:rPr>
              <m:t>i,t</m:t>
            </m:r>
          </m:sub>
        </m:sSub>
      </m:oMath>
      <w:r w:rsidR="00565C3D" w:rsidRPr="00565C3D">
        <w:t xml:space="preserve"> – прогнозний коефіцієнт ймовірності дефолту для сегмента </w:t>
      </w:r>
      <w:r w:rsidR="00565C3D" w:rsidRPr="00565C3D">
        <w:rPr>
          <w:i/>
        </w:rPr>
        <w:t xml:space="preserve">і </w:t>
      </w:r>
      <w:r w:rsidR="00565C3D" w:rsidRPr="00565C3D">
        <w:t xml:space="preserve">між </w:t>
      </w:r>
      <w:r w:rsidR="00565C3D" w:rsidRPr="00565C3D">
        <w:rPr>
          <w:i/>
        </w:rPr>
        <w:t xml:space="preserve">t-1 </w:t>
      </w:r>
      <w:r w:rsidR="00565C3D" w:rsidRPr="00565C3D">
        <w:t>та</w:t>
      </w:r>
      <w:r w:rsidR="00565C3D" w:rsidRPr="00565C3D">
        <w:rPr>
          <w:i/>
        </w:rPr>
        <w:t xml:space="preserve"> t </w:t>
      </w:r>
      <w:r w:rsidR="00565C3D" w:rsidRPr="00565C3D">
        <w:t xml:space="preserve">відповідно до </w:t>
      </w:r>
      <w:r w:rsidR="00665F68">
        <w:t xml:space="preserve">даних </w:t>
      </w:r>
      <w:r w:rsidR="00565C3D" w:rsidRPr="00565C3D">
        <w:t>таблиці 3</w:t>
      </w:r>
      <w:r w:rsidR="006836E3">
        <w:t xml:space="preserve"> цього додатка</w:t>
      </w:r>
      <w:r w:rsidR="00565C3D" w:rsidRPr="00565C3D">
        <w:t>;</w:t>
      </w:r>
    </w:p>
    <w:p w14:paraId="16731443" w14:textId="77777777" w:rsidR="00565C3D" w:rsidRPr="00565C3D" w:rsidRDefault="00565C3D" w:rsidP="0085550F">
      <w:pPr>
        <w:ind w:left="567"/>
      </w:pPr>
      <w:r w:rsidRPr="00565C3D">
        <w:rPr>
          <w:i/>
        </w:rPr>
        <w:t>t</w:t>
      </w:r>
      <w:r w:rsidRPr="00565C3D">
        <w:t xml:space="preserve"> – порядковий номер прогнозного періоду.</w:t>
      </w:r>
    </w:p>
    <w:p w14:paraId="4CC75188" w14:textId="77777777" w:rsidR="00565C3D" w:rsidRPr="00565C3D" w:rsidRDefault="00565C3D" w:rsidP="00565C3D">
      <w:pPr>
        <w:jc w:val="right"/>
      </w:pPr>
      <w:r w:rsidRPr="00565C3D">
        <w:lastRenderedPageBreak/>
        <w:t>Таблиця 3</w:t>
      </w:r>
    </w:p>
    <w:p w14:paraId="158F9C09" w14:textId="77777777" w:rsidR="00565C3D" w:rsidRPr="00565C3D" w:rsidRDefault="00565C3D" w:rsidP="00565C3D">
      <w:pPr>
        <w:jc w:val="center"/>
      </w:pPr>
      <w:r w:rsidRPr="00565C3D">
        <w:t xml:space="preserve">Прогнозні коефіцієнти ймовірності дефолту </w:t>
      </w:r>
    </w:p>
    <w:p w14:paraId="4161BFA4" w14:textId="77777777" w:rsidR="00565C3D" w:rsidRPr="00565C3D" w:rsidRDefault="00565C3D" w:rsidP="00565C3D">
      <w:pPr>
        <w:ind w:right="-1"/>
        <w:jc w:val="right"/>
      </w:pPr>
      <w:r w:rsidRPr="00565C3D">
        <w:t>(відсотки)</w:t>
      </w:r>
    </w:p>
    <w:tbl>
      <w:tblPr>
        <w:tblW w:w="9603" w:type="dxa"/>
        <w:tblInd w:w="-5" w:type="dxa"/>
        <w:tblLayout w:type="fixed"/>
        <w:tblLook w:val="0600" w:firstRow="0" w:lastRow="0" w:firstColumn="0" w:lastColumn="0" w:noHBand="1" w:noVBand="1"/>
      </w:tblPr>
      <w:tblGrid>
        <w:gridCol w:w="708"/>
        <w:gridCol w:w="3826"/>
        <w:gridCol w:w="1985"/>
        <w:gridCol w:w="1028"/>
        <w:gridCol w:w="1028"/>
        <w:gridCol w:w="1028"/>
      </w:tblGrid>
      <w:tr w:rsidR="00565C3D" w:rsidRPr="00565C3D" w14:paraId="3E124D39" w14:textId="77777777" w:rsidTr="00565C3D">
        <w:trPr>
          <w:trHeight w:val="485"/>
        </w:trPr>
        <w:tc>
          <w:tcPr>
            <w:tcW w:w="708" w:type="dxa"/>
            <w:vMerge w:val="restart"/>
            <w:tcBorders>
              <w:top w:val="single" w:sz="4" w:space="0" w:color="auto"/>
              <w:left w:val="single" w:sz="4" w:space="0" w:color="auto"/>
              <w:right w:val="single" w:sz="4" w:space="0" w:color="auto"/>
            </w:tcBorders>
            <w:vAlign w:val="center"/>
          </w:tcPr>
          <w:p w14:paraId="5E01BD29" w14:textId="77777777" w:rsidR="00565C3D" w:rsidRPr="00565C3D" w:rsidRDefault="00565C3D" w:rsidP="00565C3D">
            <w:pPr>
              <w:ind w:right="-1"/>
              <w:jc w:val="center"/>
              <w:rPr>
                <w:bCs/>
                <w:lang w:eastAsia="en-US"/>
              </w:rPr>
            </w:pPr>
            <w:r w:rsidRPr="00565C3D">
              <w:rPr>
                <w:bCs/>
                <w:lang w:eastAsia="en-US"/>
              </w:rPr>
              <w:t>№ з/п</w:t>
            </w:r>
          </w:p>
        </w:tc>
        <w:tc>
          <w:tcPr>
            <w:tcW w:w="3826" w:type="dxa"/>
            <w:vMerge w:val="restart"/>
            <w:tcBorders>
              <w:top w:val="single" w:sz="4" w:space="0" w:color="auto"/>
              <w:left w:val="single" w:sz="4" w:space="0" w:color="auto"/>
              <w:right w:val="single" w:sz="4" w:space="0" w:color="auto"/>
            </w:tcBorders>
            <w:vAlign w:val="center"/>
          </w:tcPr>
          <w:p w14:paraId="03C2ABC9" w14:textId="77777777" w:rsidR="00565C3D" w:rsidRPr="00565C3D" w:rsidRDefault="00565C3D" w:rsidP="00565C3D">
            <w:pPr>
              <w:ind w:right="-1"/>
              <w:jc w:val="center"/>
              <w:rPr>
                <w:lang w:eastAsia="en-US"/>
              </w:rPr>
            </w:pPr>
            <w:r w:rsidRPr="00565C3D">
              <w:rPr>
                <w:lang w:eastAsia="en-US"/>
              </w:rPr>
              <w:t>Сегмент</w:t>
            </w:r>
          </w:p>
        </w:tc>
        <w:tc>
          <w:tcPr>
            <w:tcW w:w="1985" w:type="dxa"/>
            <w:vMerge w:val="restart"/>
            <w:tcBorders>
              <w:top w:val="single" w:sz="4" w:space="0" w:color="auto"/>
              <w:left w:val="single" w:sz="4" w:space="0" w:color="auto"/>
              <w:right w:val="single" w:sz="4" w:space="0" w:color="auto"/>
            </w:tcBorders>
            <w:vAlign w:val="center"/>
          </w:tcPr>
          <w:p w14:paraId="5E44E1FC" w14:textId="77777777" w:rsidR="00565C3D" w:rsidRPr="00565C3D" w:rsidRDefault="00565C3D" w:rsidP="00565C3D">
            <w:pPr>
              <w:ind w:right="-1"/>
              <w:jc w:val="center"/>
              <w:rPr>
                <w:lang w:eastAsia="en-US"/>
              </w:rPr>
            </w:pPr>
            <w:r w:rsidRPr="00565C3D">
              <w:rPr>
                <w:lang w:eastAsia="en-US"/>
              </w:rPr>
              <w:t>Валюта</w:t>
            </w:r>
          </w:p>
        </w:tc>
        <w:tc>
          <w:tcPr>
            <w:tcW w:w="3084" w:type="dxa"/>
            <w:gridSpan w:val="3"/>
            <w:tcBorders>
              <w:top w:val="single" w:sz="4" w:space="0" w:color="auto"/>
              <w:left w:val="single" w:sz="4" w:space="0" w:color="auto"/>
              <w:bottom w:val="single" w:sz="4" w:space="0" w:color="auto"/>
              <w:right w:val="single" w:sz="4" w:space="0" w:color="auto"/>
            </w:tcBorders>
            <w:vAlign w:val="center"/>
          </w:tcPr>
          <w:p w14:paraId="139E6195" w14:textId="77777777" w:rsidR="00565C3D" w:rsidRPr="00565C3D" w:rsidRDefault="00565C3D" w:rsidP="00565C3D">
            <w:pPr>
              <w:jc w:val="center"/>
              <w:rPr>
                <w:bCs/>
                <w:lang w:eastAsia="en-US"/>
              </w:rPr>
            </w:pPr>
            <w:r w:rsidRPr="00565C3D">
              <w:rPr>
                <w:bCs/>
                <w:lang w:eastAsia="en-US"/>
              </w:rPr>
              <w:t>Прогнозні періоди (роки)</w:t>
            </w:r>
          </w:p>
        </w:tc>
      </w:tr>
      <w:tr w:rsidR="00565C3D" w:rsidRPr="00565C3D" w14:paraId="6D265146" w14:textId="77777777" w:rsidTr="00565C3D">
        <w:trPr>
          <w:trHeight w:val="485"/>
        </w:trPr>
        <w:tc>
          <w:tcPr>
            <w:tcW w:w="708" w:type="dxa"/>
            <w:vMerge/>
            <w:tcBorders>
              <w:left w:val="single" w:sz="4" w:space="0" w:color="auto"/>
              <w:bottom w:val="single" w:sz="4" w:space="0" w:color="auto"/>
              <w:right w:val="single" w:sz="4" w:space="0" w:color="auto"/>
            </w:tcBorders>
            <w:vAlign w:val="center"/>
            <w:hideMark/>
          </w:tcPr>
          <w:p w14:paraId="5F29511B" w14:textId="77777777" w:rsidR="00565C3D" w:rsidRPr="00565C3D" w:rsidRDefault="00565C3D" w:rsidP="00565C3D">
            <w:pPr>
              <w:ind w:right="-1"/>
              <w:jc w:val="center"/>
              <w:rPr>
                <w:lang w:eastAsia="en-US"/>
              </w:rPr>
            </w:pPr>
          </w:p>
        </w:tc>
        <w:tc>
          <w:tcPr>
            <w:tcW w:w="3826" w:type="dxa"/>
            <w:vMerge/>
            <w:tcBorders>
              <w:left w:val="single" w:sz="4" w:space="0" w:color="auto"/>
              <w:bottom w:val="single" w:sz="4" w:space="0" w:color="auto"/>
              <w:right w:val="single" w:sz="4" w:space="0" w:color="auto"/>
            </w:tcBorders>
            <w:vAlign w:val="center"/>
            <w:hideMark/>
          </w:tcPr>
          <w:p w14:paraId="4F196B00" w14:textId="77777777" w:rsidR="00565C3D" w:rsidRPr="00565C3D" w:rsidRDefault="00565C3D" w:rsidP="00565C3D">
            <w:pPr>
              <w:ind w:right="-1"/>
              <w:jc w:val="center"/>
              <w:rPr>
                <w:lang w:eastAsia="en-US"/>
              </w:rPr>
            </w:pPr>
          </w:p>
        </w:tc>
        <w:tc>
          <w:tcPr>
            <w:tcW w:w="1985" w:type="dxa"/>
            <w:vMerge/>
            <w:tcBorders>
              <w:left w:val="single" w:sz="4" w:space="0" w:color="auto"/>
              <w:bottom w:val="single" w:sz="4" w:space="0" w:color="auto"/>
              <w:right w:val="single" w:sz="4" w:space="0" w:color="auto"/>
            </w:tcBorders>
            <w:vAlign w:val="center"/>
            <w:hideMark/>
          </w:tcPr>
          <w:p w14:paraId="1D2AB1F3" w14:textId="77777777" w:rsidR="00565C3D" w:rsidRPr="00565C3D" w:rsidRDefault="00565C3D" w:rsidP="00565C3D">
            <w:pPr>
              <w:ind w:right="-1"/>
              <w:jc w:val="center"/>
              <w:rPr>
                <w:lang w:eastAsia="en-US"/>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09F96DAE" w14:textId="77777777" w:rsidR="00565C3D" w:rsidRPr="00565C3D" w:rsidRDefault="00565C3D" w:rsidP="00565C3D">
            <w:pPr>
              <w:jc w:val="center"/>
              <w:rPr>
                <w:bCs/>
                <w:lang w:eastAsia="en-US"/>
              </w:rPr>
            </w:pPr>
            <w:r w:rsidRPr="00565C3D">
              <w:rPr>
                <w:bCs/>
                <w:lang w:eastAsia="en-US"/>
              </w:rPr>
              <w:t>1</w:t>
            </w:r>
            <w:r w:rsidR="00504F3E">
              <w:rPr>
                <w:bCs/>
                <w:lang w:eastAsia="en-US"/>
              </w:rPr>
              <w:t>-</w:t>
            </w:r>
            <w:r w:rsidRPr="00565C3D">
              <w:rPr>
                <w:bCs/>
                <w:lang w:eastAsia="en-US"/>
              </w:rPr>
              <w:t xml:space="preserve">й </w:t>
            </w:r>
          </w:p>
        </w:tc>
        <w:tc>
          <w:tcPr>
            <w:tcW w:w="1028" w:type="dxa"/>
            <w:tcBorders>
              <w:top w:val="single" w:sz="4" w:space="0" w:color="auto"/>
              <w:left w:val="single" w:sz="4" w:space="0" w:color="auto"/>
              <w:bottom w:val="single" w:sz="4" w:space="0" w:color="auto"/>
              <w:right w:val="single" w:sz="4" w:space="0" w:color="auto"/>
            </w:tcBorders>
            <w:vAlign w:val="center"/>
            <w:hideMark/>
          </w:tcPr>
          <w:p w14:paraId="40F15ABE" w14:textId="77777777" w:rsidR="00565C3D" w:rsidRPr="00565C3D" w:rsidRDefault="00565C3D" w:rsidP="00565C3D">
            <w:pPr>
              <w:jc w:val="center"/>
              <w:rPr>
                <w:bCs/>
                <w:lang w:eastAsia="en-US"/>
              </w:rPr>
            </w:pPr>
            <w:r w:rsidRPr="00565C3D">
              <w:rPr>
                <w:bCs/>
                <w:lang w:eastAsia="en-US"/>
              </w:rPr>
              <w:t>2</w:t>
            </w:r>
            <w:r w:rsidR="00504F3E">
              <w:rPr>
                <w:bCs/>
                <w:lang w:eastAsia="en-US"/>
              </w:rPr>
              <w:t>-</w:t>
            </w:r>
            <w:r w:rsidRPr="00565C3D">
              <w:rPr>
                <w:bCs/>
                <w:lang w:eastAsia="en-US"/>
              </w:rPr>
              <w:t xml:space="preserve">й </w:t>
            </w:r>
          </w:p>
        </w:tc>
        <w:tc>
          <w:tcPr>
            <w:tcW w:w="1028" w:type="dxa"/>
            <w:tcBorders>
              <w:top w:val="single" w:sz="4" w:space="0" w:color="auto"/>
              <w:left w:val="single" w:sz="4" w:space="0" w:color="auto"/>
              <w:bottom w:val="single" w:sz="4" w:space="0" w:color="auto"/>
              <w:right w:val="single" w:sz="4" w:space="0" w:color="auto"/>
            </w:tcBorders>
            <w:vAlign w:val="center"/>
            <w:hideMark/>
          </w:tcPr>
          <w:p w14:paraId="0632FD26" w14:textId="77777777" w:rsidR="00565C3D" w:rsidRPr="00565C3D" w:rsidRDefault="00565C3D" w:rsidP="00565C3D">
            <w:pPr>
              <w:jc w:val="center"/>
              <w:rPr>
                <w:bCs/>
                <w:lang w:eastAsia="en-US"/>
              </w:rPr>
            </w:pPr>
            <w:r w:rsidRPr="00565C3D">
              <w:rPr>
                <w:bCs/>
                <w:lang w:eastAsia="en-US"/>
              </w:rPr>
              <w:t>3</w:t>
            </w:r>
            <w:r w:rsidR="00504F3E">
              <w:rPr>
                <w:bCs/>
                <w:lang w:eastAsia="en-US"/>
              </w:rPr>
              <w:t>-</w:t>
            </w:r>
            <w:r w:rsidRPr="00565C3D">
              <w:rPr>
                <w:bCs/>
                <w:lang w:eastAsia="en-US"/>
              </w:rPr>
              <w:t xml:space="preserve">й </w:t>
            </w:r>
          </w:p>
        </w:tc>
      </w:tr>
      <w:tr w:rsidR="00565C3D" w:rsidRPr="00565C3D" w14:paraId="1E1D336C" w14:textId="77777777" w:rsidTr="00565C3D">
        <w:trPr>
          <w:trHeight w:val="360"/>
        </w:trPr>
        <w:tc>
          <w:tcPr>
            <w:tcW w:w="708" w:type="dxa"/>
            <w:tcBorders>
              <w:top w:val="single" w:sz="4" w:space="0" w:color="auto"/>
              <w:left w:val="single" w:sz="4" w:space="0" w:color="auto"/>
              <w:bottom w:val="single" w:sz="4" w:space="0" w:color="auto"/>
              <w:right w:val="single" w:sz="4" w:space="0" w:color="auto"/>
            </w:tcBorders>
            <w:hideMark/>
          </w:tcPr>
          <w:p w14:paraId="7208ECA7" w14:textId="77777777" w:rsidR="00565C3D" w:rsidRPr="00565C3D" w:rsidRDefault="00565C3D" w:rsidP="00565C3D">
            <w:pPr>
              <w:ind w:right="-1"/>
              <w:jc w:val="center"/>
              <w:rPr>
                <w:lang w:eastAsia="en-US"/>
              </w:rPr>
            </w:pPr>
            <w:r w:rsidRPr="00565C3D">
              <w:rPr>
                <w:lang w:eastAsia="en-US"/>
              </w:rPr>
              <w:t>1</w:t>
            </w:r>
          </w:p>
        </w:tc>
        <w:tc>
          <w:tcPr>
            <w:tcW w:w="3826" w:type="dxa"/>
            <w:tcBorders>
              <w:top w:val="single" w:sz="4" w:space="0" w:color="auto"/>
              <w:left w:val="single" w:sz="4" w:space="0" w:color="auto"/>
              <w:bottom w:val="single" w:sz="4" w:space="0" w:color="auto"/>
              <w:right w:val="single" w:sz="4" w:space="0" w:color="auto"/>
            </w:tcBorders>
            <w:hideMark/>
          </w:tcPr>
          <w:p w14:paraId="5B6BB72E" w14:textId="77777777" w:rsidR="00565C3D" w:rsidRPr="00565C3D" w:rsidRDefault="00565C3D" w:rsidP="00565C3D">
            <w:pPr>
              <w:ind w:right="-1"/>
              <w:jc w:val="center"/>
              <w:rPr>
                <w:lang w:eastAsia="en-US"/>
              </w:rPr>
            </w:pPr>
            <w:r w:rsidRPr="00565C3D">
              <w:rPr>
                <w:lang w:eastAsia="en-US"/>
              </w:rPr>
              <w:t>2</w:t>
            </w:r>
          </w:p>
        </w:tc>
        <w:tc>
          <w:tcPr>
            <w:tcW w:w="1985" w:type="dxa"/>
            <w:tcBorders>
              <w:top w:val="single" w:sz="4" w:space="0" w:color="auto"/>
              <w:left w:val="single" w:sz="4" w:space="0" w:color="auto"/>
              <w:bottom w:val="single" w:sz="4" w:space="0" w:color="auto"/>
              <w:right w:val="single" w:sz="4" w:space="0" w:color="auto"/>
            </w:tcBorders>
            <w:hideMark/>
          </w:tcPr>
          <w:p w14:paraId="4E5F4AEF" w14:textId="77777777" w:rsidR="00565C3D" w:rsidRPr="00565C3D" w:rsidRDefault="00565C3D" w:rsidP="00565C3D">
            <w:pPr>
              <w:ind w:right="-1"/>
              <w:jc w:val="center"/>
              <w:rPr>
                <w:lang w:eastAsia="en-US"/>
              </w:rPr>
            </w:pPr>
            <w:r w:rsidRPr="00565C3D">
              <w:rPr>
                <w:lang w:eastAsia="en-US"/>
              </w:rPr>
              <w:t>3</w:t>
            </w:r>
          </w:p>
        </w:tc>
        <w:tc>
          <w:tcPr>
            <w:tcW w:w="1028" w:type="dxa"/>
            <w:tcBorders>
              <w:top w:val="single" w:sz="4" w:space="0" w:color="auto"/>
              <w:left w:val="single" w:sz="4" w:space="0" w:color="auto"/>
              <w:bottom w:val="single" w:sz="4" w:space="0" w:color="auto"/>
              <w:right w:val="single" w:sz="4" w:space="0" w:color="auto"/>
            </w:tcBorders>
            <w:hideMark/>
          </w:tcPr>
          <w:p w14:paraId="38CA89E4" w14:textId="77777777" w:rsidR="00565C3D" w:rsidRPr="00565C3D" w:rsidRDefault="00565C3D" w:rsidP="00565C3D">
            <w:pPr>
              <w:jc w:val="center"/>
              <w:rPr>
                <w:bCs/>
                <w:lang w:eastAsia="en-US"/>
              </w:rPr>
            </w:pPr>
            <w:r w:rsidRPr="00565C3D">
              <w:rPr>
                <w:bCs/>
                <w:lang w:eastAsia="en-US"/>
              </w:rPr>
              <w:t>4</w:t>
            </w:r>
          </w:p>
        </w:tc>
        <w:tc>
          <w:tcPr>
            <w:tcW w:w="1028" w:type="dxa"/>
            <w:tcBorders>
              <w:top w:val="single" w:sz="4" w:space="0" w:color="auto"/>
              <w:left w:val="single" w:sz="4" w:space="0" w:color="auto"/>
              <w:bottom w:val="single" w:sz="4" w:space="0" w:color="auto"/>
              <w:right w:val="single" w:sz="4" w:space="0" w:color="auto"/>
            </w:tcBorders>
            <w:hideMark/>
          </w:tcPr>
          <w:p w14:paraId="4D18CC37" w14:textId="77777777" w:rsidR="00565C3D" w:rsidRPr="00565C3D" w:rsidRDefault="00565C3D" w:rsidP="00565C3D">
            <w:pPr>
              <w:jc w:val="center"/>
              <w:rPr>
                <w:bCs/>
                <w:lang w:eastAsia="en-US"/>
              </w:rPr>
            </w:pPr>
            <w:r w:rsidRPr="00565C3D">
              <w:rPr>
                <w:bCs/>
                <w:lang w:eastAsia="en-US"/>
              </w:rPr>
              <w:t>5</w:t>
            </w:r>
          </w:p>
        </w:tc>
        <w:tc>
          <w:tcPr>
            <w:tcW w:w="1028" w:type="dxa"/>
            <w:tcBorders>
              <w:top w:val="single" w:sz="4" w:space="0" w:color="auto"/>
              <w:left w:val="single" w:sz="4" w:space="0" w:color="auto"/>
              <w:bottom w:val="single" w:sz="4" w:space="0" w:color="auto"/>
              <w:right w:val="single" w:sz="4" w:space="0" w:color="auto"/>
            </w:tcBorders>
            <w:hideMark/>
          </w:tcPr>
          <w:p w14:paraId="4B5F3265" w14:textId="77777777" w:rsidR="00565C3D" w:rsidRPr="00565C3D" w:rsidRDefault="00565C3D" w:rsidP="00565C3D">
            <w:pPr>
              <w:jc w:val="center"/>
              <w:rPr>
                <w:bCs/>
                <w:lang w:eastAsia="en-US"/>
              </w:rPr>
            </w:pPr>
            <w:r w:rsidRPr="00565C3D">
              <w:rPr>
                <w:bCs/>
                <w:lang w:eastAsia="en-US"/>
              </w:rPr>
              <w:t>6</w:t>
            </w:r>
          </w:p>
        </w:tc>
      </w:tr>
      <w:tr w:rsidR="00565C3D" w:rsidRPr="00565C3D" w14:paraId="4BC07D56" w14:textId="77777777" w:rsidTr="00565C3D">
        <w:trPr>
          <w:trHeight w:val="104"/>
        </w:trPr>
        <w:tc>
          <w:tcPr>
            <w:tcW w:w="708" w:type="dxa"/>
            <w:tcBorders>
              <w:top w:val="single" w:sz="4" w:space="0" w:color="auto"/>
              <w:left w:val="single" w:sz="4" w:space="0" w:color="auto"/>
              <w:bottom w:val="single" w:sz="4" w:space="0" w:color="auto"/>
              <w:right w:val="single" w:sz="4" w:space="0" w:color="auto"/>
            </w:tcBorders>
            <w:hideMark/>
          </w:tcPr>
          <w:p w14:paraId="614A6AD5" w14:textId="77777777" w:rsidR="00565C3D" w:rsidRPr="00565C3D" w:rsidRDefault="00504F3E" w:rsidP="00565C3D">
            <w:pPr>
              <w:ind w:right="-1"/>
              <w:jc w:val="center"/>
              <w:rPr>
                <w:lang w:eastAsia="en-US"/>
              </w:rPr>
            </w:pPr>
            <w:r>
              <w:rPr>
                <w:lang w:eastAsia="en-US"/>
              </w:rPr>
              <w:t>1</w:t>
            </w:r>
          </w:p>
        </w:tc>
        <w:tc>
          <w:tcPr>
            <w:tcW w:w="3826" w:type="dxa"/>
            <w:vMerge w:val="restart"/>
            <w:tcBorders>
              <w:top w:val="single" w:sz="4" w:space="0" w:color="auto"/>
              <w:left w:val="single" w:sz="4" w:space="0" w:color="auto"/>
              <w:bottom w:val="single" w:sz="4" w:space="0" w:color="auto"/>
              <w:right w:val="single" w:sz="4" w:space="0" w:color="auto"/>
            </w:tcBorders>
            <w:vAlign w:val="center"/>
            <w:hideMark/>
          </w:tcPr>
          <w:p w14:paraId="7EF15AD8" w14:textId="77777777" w:rsidR="00565C3D" w:rsidRPr="00565C3D" w:rsidRDefault="00565C3D" w:rsidP="00565C3D">
            <w:pPr>
              <w:ind w:right="-1"/>
              <w:jc w:val="left"/>
              <w:rPr>
                <w:lang w:eastAsia="en-US"/>
              </w:rPr>
            </w:pPr>
            <w:r w:rsidRPr="00565C3D">
              <w:rPr>
                <w:lang w:eastAsia="en-US"/>
              </w:rPr>
              <w:t xml:space="preserve">Інші кредити ЮО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C371F23" w14:textId="77777777" w:rsidR="00565C3D" w:rsidRPr="00565C3D" w:rsidRDefault="00565C3D" w:rsidP="00565C3D">
            <w:pPr>
              <w:ind w:right="-1"/>
              <w:jc w:val="left"/>
              <w:rPr>
                <w:lang w:eastAsia="en-US"/>
              </w:rPr>
            </w:pPr>
            <w:r w:rsidRPr="00565C3D">
              <w:rPr>
                <w:lang w:eastAsia="en-US"/>
              </w:rPr>
              <w:t>Національна</w:t>
            </w:r>
          </w:p>
        </w:tc>
        <w:tc>
          <w:tcPr>
            <w:tcW w:w="1028" w:type="dxa"/>
            <w:tcBorders>
              <w:top w:val="single" w:sz="4" w:space="0" w:color="auto"/>
              <w:left w:val="single" w:sz="4" w:space="0" w:color="auto"/>
              <w:bottom w:val="single" w:sz="4" w:space="0" w:color="auto"/>
              <w:right w:val="single" w:sz="4" w:space="0" w:color="auto"/>
            </w:tcBorders>
            <w:vAlign w:val="center"/>
          </w:tcPr>
          <w:p w14:paraId="39B22F32" w14:textId="77777777" w:rsidR="00565C3D" w:rsidRPr="00565C3D" w:rsidRDefault="00565C3D" w:rsidP="00565C3D">
            <w:pPr>
              <w:ind w:right="-1"/>
              <w:jc w:val="right"/>
              <w:rPr>
                <w:lang w:eastAsia="en-US"/>
              </w:rPr>
            </w:pPr>
            <w:r w:rsidRPr="00565C3D">
              <w:t>5,9</w:t>
            </w:r>
          </w:p>
        </w:tc>
        <w:tc>
          <w:tcPr>
            <w:tcW w:w="1028" w:type="dxa"/>
            <w:tcBorders>
              <w:top w:val="single" w:sz="4" w:space="0" w:color="auto"/>
              <w:left w:val="single" w:sz="4" w:space="0" w:color="auto"/>
              <w:bottom w:val="single" w:sz="4" w:space="0" w:color="auto"/>
              <w:right w:val="single" w:sz="4" w:space="0" w:color="auto"/>
            </w:tcBorders>
            <w:vAlign w:val="center"/>
          </w:tcPr>
          <w:p w14:paraId="03C974D3" w14:textId="77777777" w:rsidR="00565C3D" w:rsidRPr="00565C3D" w:rsidRDefault="00565C3D" w:rsidP="00565C3D">
            <w:pPr>
              <w:ind w:right="-1"/>
              <w:jc w:val="right"/>
              <w:rPr>
                <w:lang w:eastAsia="en-US"/>
              </w:rPr>
            </w:pPr>
            <w:r w:rsidRPr="00565C3D">
              <w:t>4,2</w:t>
            </w:r>
          </w:p>
        </w:tc>
        <w:tc>
          <w:tcPr>
            <w:tcW w:w="1028" w:type="dxa"/>
            <w:tcBorders>
              <w:top w:val="single" w:sz="4" w:space="0" w:color="auto"/>
              <w:left w:val="single" w:sz="4" w:space="0" w:color="auto"/>
              <w:bottom w:val="single" w:sz="4" w:space="0" w:color="auto"/>
              <w:right w:val="single" w:sz="4" w:space="0" w:color="auto"/>
            </w:tcBorders>
            <w:vAlign w:val="center"/>
          </w:tcPr>
          <w:p w14:paraId="62936617" w14:textId="77777777" w:rsidR="00565C3D" w:rsidRPr="00565C3D" w:rsidRDefault="00565C3D" w:rsidP="00565C3D">
            <w:pPr>
              <w:ind w:right="-1"/>
              <w:jc w:val="right"/>
              <w:rPr>
                <w:lang w:eastAsia="en-US"/>
              </w:rPr>
            </w:pPr>
            <w:r w:rsidRPr="00565C3D">
              <w:t>4,2</w:t>
            </w:r>
          </w:p>
        </w:tc>
      </w:tr>
      <w:tr w:rsidR="00565C3D" w:rsidRPr="00565C3D" w14:paraId="0B44CE72" w14:textId="77777777" w:rsidTr="00565C3D">
        <w:trPr>
          <w:trHeight w:val="177"/>
        </w:trPr>
        <w:tc>
          <w:tcPr>
            <w:tcW w:w="708" w:type="dxa"/>
            <w:tcBorders>
              <w:top w:val="single" w:sz="4" w:space="0" w:color="auto"/>
              <w:left w:val="single" w:sz="4" w:space="0" w:color="auto"/>
              <w:bottom w:val="single" w:sz="4" w:space="0" w:color="auto"/>
              <w:right w:val="single" w:sz="4" w:space="0" w:color="auto"/>
            </w:tcBorders>
            <w:hideMark/>
          </w:tcPr>
          <w:p w14:paraId="3295252F" w14:textId="77777777" w:rsidR="00565C3D" w:rsidRPr="00565C3D" w:rsidRDefault="00504F3E" w:rsidP="00565C3D">
            <w:pPr>
              <w:ind w:right="-1"/>
              <w:jc w:val="center"/>
              <w:rPr>
                <w:lang w:eastAsia="en-US"/>
              </w:rPr>
            </w:pPr>
            <w:r>
              <w:rPr>
                <w:lang w:eastAsia="en-US"/>
              </w:rPr>
              <w:t>2</w:t>
            </w:r>
          </w:p>
        </w:tc>
        <w:tc>
          <w:tcPr>
            <w:tcW w:w="3826" w:type="dxa"/>
            <w:vMerge/>
            <w:tcBorders>
              <w:top w:val="single" w:sz="4" w:space="0" w:color="auto"/>
              <w:left w:val="single" w:sz="4" w:space="0" w:color="auto"/>
              <w:bottom w:val="single" w:sz="4" w:space="0" w:color="auto"/>
              <w:right w:val="single" w:sz="4" w:space="0" w:color="auto"/>
            </w:tcBorders>
            <w:vAlign w:val="center"/>
            <w:hideMark/>
          </w:tcPr>
          <w:p w14:paraId="1EC046DB" w14:textId="77777777" w:rsidR="00565C3D" w:rsidRPr="00565C3D" w:rsidRDefault="00565C3D" w:rsidP="00565C3D">
            <w:pPr>
              <w:jc w:val="left"/>
              <w:rPr>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516AFDAC" w14:textId="77777777" w:rsidR="00565C3D" w:rsidRPr="00565C3D" w:rsidRDefault="00565C3D" w:rsidP="00565C3D">
            <w:pPr>
              <w:ind w:right="-1"/>
              <w:jc w:val="left"/>
              <w:rPr>
                <w:lang w:eastAsia="en-US"/>
              </w:rPr>
            </w:pPr>
            <w:r w:rsidRPr="00565C3D">
              <w:rPr>
                <w:lang w:eastAsia="en-US"/>
              </w:rPr>
              <w:t>Іноземна</w:t>
            </w:r>
          </w:p>
        </w:tc>
        <w:tc>
          <w:tcPr>
            <w:tcW w:w="1028" w:type="dxa"/>
            <w:tcBorders>
              <w:top w:val="single" w:sz="4" w:space="0" w:color="auto"/>
              <w:left w:val="single" w:sz="4" w:space="0" w:color="auto"/>
              <w:bottom w:val="single" w:sz="4" w:space="0" w:color="auto"/>
              <w:right w:val="single" w:sz="4" w:space="0" w:color="auto"/>
            </w:tcBorders>
            <w:vAlign w:val="center"/>
          </w:tcPr>
          <w:p w14:paraId="10929F95" w14:textId="77777777" w:rsidR="00565C3D" w:rsidRPr="00565C3D" w:rsidRDefault="00565C3D" w:rsidP="00565C3D">
            <w:pPr>
              <w:ind w:right="-1"/>
              <w:jc w:val="right"/>
              <w:rPr>
                <w:lang w:eastAsia="en-US"/>
              </w:rPr>
            </w:pPr>
            <w:r w:rsidRPr="00565C3D">
              <w:t>6,9</w:t>
            </w:r>
          </w:p>
        </w:tc>
        <w:tc>
          <w:tcPr>
            <w:tcW w:w="1028" w:type="dxa"/>
            <w:tcBorders>
              <w:top w:val="single" w:sz="4" w:space="0" w:color="auto"/>
              <w:left w:val="single" w:sz="4" w:space="0" w:color="auto"/>
              <w:bottom w:val="single" w:sz="4" w:space="0" w:color="auto"/>
              <w:right w:val="single" w:sz="4" w:space="0" w:color="auto"/>
            </w:tcBorders>
            <w:vAlign w:val="center"/>
          </w:tcPr>
          <w:p w14:paraId="6400C06A" w14:textId="77777777" w:rsidR="00565C3D" w:rsidRPr="00565C3D" w:rsidRDefault="00565C3D" w:rsidP="00565C3D">
            <w:pPr>
              <w:ind w:right="-1"/>
              <w:jc w:val="right"/>
              <w:rPr>
                <w:lang w:eastAsia="en-US"/>
              </w:rPr>
            </w:pPr>
            <w:r w:rsidRPr="00565C3D">
              <w:t>3,2</w:t>
            </w:r>
          </w:p>
        </w:tc>
        <w:tc>
          <w:tcPr>
            <w:tcW w:w="1028" w:type="dxa"/>
            <w:tcBorders>
              <w:top w:val="single" w:sz="4" w:space="0" w:color="auto"/>
              <w:left w:val="single" w:sz="4" w:space="0" w:color="auto"/>
              <w:bottom w:val="single" w:sz="4" w:space="0" w:color="auto"/>
              <w:right w:val="single" w:sz="4" w:space="0" w:color="auto"/>
            </w:tcBorders>
            <w:vAlign w:val="center"/>
          </w:tcPr>
          <w:p w14:paraId="0BE27F92" w14:textId="77777777" w:rsidR="00565C3D" w:rsidRPr="00565C3D" w:rsidRDefault="00565C3D" w:rsidP="00565C3D">
            <w:pPr>
              <w:ind w:right="-1"/>
              <w:jc w:val="right"/>
              <w:rPr>
                <w:lang w:eastAsia="en-US"/>
              </w:rPr>
            </w:pPr>
            <w:r w:rsidRPr="00565C3D">
              <w:t>3,2</w:t>
            </w:r>
          </w:p>
        </w:tc>
      </w:tr>
      <w:tr w:rsidR="00565C3D" w:rsidRPr="00565C3D" w14:paraId="19F1A9B5" w14:textId="77777777" w:rsidTr="00565C3D">
        <w:trPr>
          <w:trHeight w:val="539"/>
        </w:trPr>
        <w:tc>
          <w:tcPr>
            <w:tcW w:w="708" w:type="dxa"/>
            <w:tcBorders>
              <w:top w:val="single" w:sz="4" w:space="0" w:color="auto"/>
              <w:left w:val="single" w:sz="4" w:space="0" w:color="auto"/>
              <w:bottom w:val="single" w:sz="4" w:space="0" w:color="auto"/>
              <w:right w:val="single" w:sz="4" w:space="0" w:color="auto"/>
            </w:tcBorders>
            <w:hideMark/>
          </w:tcPr>
          <w:p w14:paraId="69B0AD0D" w14:textId="77777777" w:rsidR="00565C3D" w:rsidRPr="00565C3D" w:rsidRDefault="00504F3E" w:rsidP="00565C3D">
            <w:pPr>
              <w:ind w:right="-1"/>
              <w:jc w:val="center"/>
              <w:rPr>
                <w:lang w:eastAsia="en-US"/>
              </w:rPr>
            </w:pPr>
            <w:r>
              <w:rPr>
                <w:lang w:eastAsia="en-US"/>
              </w:rPr>
              <w:t>3</w:t>
            </w:r>
          </w:p>
        </w:tc>
        <w:tc>
          <w:tcPr>
            <w:tcW w:w="3826" w:type="dxa"/>
            <w:vMerge w:val="restart"/>
            <w:tcBorders>
              <w:top w:val="single" w:sz="4" w:space="0" w:color="auto"/>
              <w:left w:val="single" w:sz="4" w:space="0" w:color="auto"/>
              <w:right w:val="single" w:sz="4" w:space="0" w:color="auto"/>
            </w:tcBorders>
            <w:vAlign w:val="center"/>
            <w:hideMark/>
          </w:tcPr>
          <w:p w14:paraId="39EBAA0F" w14:textId="77777777" w:rsidR="00565C3D" w:rsidRPr="00565C3D" w:rsidRDefault="00565C3D" w:rsidP="00565C3D">
            <w:pPr>
              <w:ind w:right="-1"/>
              <w:jc w:val="left"/>
              <w:rPr>
                <w:lang w:eastAsia="en-US"/>
              </w:rPr>
            </w:pPr>
            <w:r w:rsidRPr="00565C3D">
              <w:rPr>
                <w:lang w:eastAsia="en-US"/>
              </w:rPr>
              <w:t>Кредити ФО під заставу нерухомості чи транспортних засобів</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0E7CF3A" w14:textId="77777777" w:rsidR="00565C3D" w:rsidRPr="00565C3D" w:rsidRDefault="00565C3D" w:rsidP="00565C3D">
            <w:pPr>
              <w:ind w:right="-1"/>
              <w:jc w:val="left"/>
              <w:rPr>
                <w:lang w:eastAsia="en-US"/>
              </w:rPr>
            </w:pPr>
            <w:r w:rsidRPr="00565C3D">
              <w:rPr>
                <w:lang w:eastAsia="en-US"/>
              </w:rPr>
              <w:t>Національна</w:t>
            </w:r>
          </w:p>
        </w:tc>
        <w:tc>
          <w:tcPr>
            <w:tcW w:w="1028" w:type="dxa"/>
            <w:tcBorders>
              <w:top w:val="single" w:sz="4" w:space="0" w:color="auto"/>
              <w:left w:val="single" w:sz="4" w:space="0" w:color="auto"/>
              <w:bottom w:val="single" w:sz="4" w:space="0" w:color="auto"/>
              <w:right w:val="single" w:sz="4" w:space="0" w:color="auto"/>
            </w:tcBorders>
            <w:vAlign w:val="center"/>
          </w:tcPr>
          <w:p w14:paraId="7805AC5F" w14:textId="77777777" w:rsidR="00565C3D" w:rsidRPr="00565C3D" w:rsidRDefault="00565C3D" w:rsidP="00565C3D">
            <w:pPr>
              <w:ind w:right="-1"/>
              <w:jc w:val="right"/>
              <w:rPr>
                <w:lang w:eastAsia="en-US"/>
              </w:rPr>
            </w:pPr>
            <w:r w:rsidRPr="00565C3D">
              <w:t>7,3</w:t>
            </w:r>
          </w:p>
        </w:tc>
        <w:tc>
          <w:tcPr>
            <w:tcW w:w="1028" w:type="dxa"/>
            <w:tcBorders>
              <w:top w:val="single" w:sz="4" w:space="0" w:color="auto"/>
              <w:left w:val="single" w:sz="4" w:space="0" w:color="auto"/>
              <w:bottom w:val="single" w:sz="4" w:space="0" w:color="auto"/>
              <w:right w:val="single" w:sz="4" w:space="0" w:color="auto"/>
            </w:tcBorders>
            <w:vAlign w:val="center"/>
          </w:tcPr>
          <w:p w14:paraId="0CB2C395" w14:textId="77777777" w:rsidR="00565C3D" w:rsidRPr="00565C3D" w:rsidRDefault="00565C3D" w:rsidP="00565C3D">
            <w:pPr>
              <w:ind w:right="-1"/>
              <w:jc w:val="right"/>
              <w:rPr>
                <w:lang w:eastAsia="en-US"/>
              </w:rPr>
            </w:pPr>
            <w:r w:rsidRPr="00565C3D">
              <w:t>2,9</w:t>
            </w:r>
          </w:p>
        </w:tc>
        <w:tc>
          <w:tcPr>
            <w:tcW w:w="1028" w:type="dxa"/>
            <w:tcBorders>
              <w:top w:val="single" w:sz="4" w:space="0" w:color="auto"/>
              <w:left w:val="single" w:sz="4" w:space="0" w:color="auto"/>
              <w:bottom w:val="single" w:sz="4" w:space="0" w:color="auto"/>
              <w:right w:val="single" w:sz="4" w:space="0" w:color="auto"/>
            </w:tcBorders>
            <w:vAlign w:val="center"/>
          </w:tcPr>
          <w:p w14:paraId="4105E366" w14:textId="77777777" w:rsidR="00565C3D" w:rsidRPr="00565C3D" w:rsidRDefault="00565C3D" w:rsidP="00565C3D">
            <w:pPr>
              <w:ind w:right="-1"/>
              <w:jc w:val="right"/>
              <w:rPr>
                <w:lang w:eastAsia="en-US"/>
              </w:rPr>
            </w:pPr>
            <w:r w:rsidRPr="00565C3D">
              <w:t>2,9</w:t>
            </w:r>
          </w:p>
        </w:tc>
      </w:tr>
      <w:tr w:rsidR="00565C3D" w:rsidRPr="00565C3D" w14:paraId="06AAFEF8" w14:textId="77777777" w:rsidTr="00565C3D">
        <w:trPr>
          <w:trHeight w:val="547"/>
        </w:trPr>
        <w:tc>
          <w:tcPr>
            <w:tcW w:w="708" w:type="dxa"/>
            <w:tcBorders>
              <w:top w:val="single" w:sz="4" w:space="0" w:color="auto"/>
              <w:left w:val="single" w:sz="4" w:space="0" w:color="auto"/>
              <w:right w:val="single" w:sz="4" w:space="0" w:color="auto"/>
            </w:tcBorders>
            <w:hideMark/>
          </w:tcPr>
          <w:p w14:paraId="67083C93" w14:textId="77777777" w:rsidR="00565C3D" w:rsidRPr="00565C3D" w:rsidRDefault="00504F3E" w:rsidP="00565C3D">
            <w:pPr>
              <w:ind w:right="-1"/>
              <w:jc w:val="center"/>
              <w:rPr>
                <w:lang w:eastAsia="en-US"/>
              </w:rPr>
            </w:pPr>
            <w:r>
              <w:rPr>
                <w:lang w:eastAsia="en-US"/>
              </w:rPr>
              <w:t>4</w:t>
            </w:r>
          </w:p>
        </w:tc>
        <w:tc>
          <w:tcPr>
            <w:tcW w:w="3826" w:type="dxa"/>
            <w:vMerge/>
            <w:tcBorders>
              <w:top w:val="single" w:sz="4" w:space="0" w:color="auto"/>
              <w:left w:val="single" w:sz="4" w:space="0" w:color="auto"/>
              <w:right w:val="single" w:sz="4" w:space="0" w:color="auto"/>
            </w:tcBorders>
            <w:vAlign w:val="center"/>
            <w:hideMark/>
          </w:tcPr>
          <w:p w14:paraId="4208B99B" w14:textId="77777777" w:rsidR="00565C3D" w:rsidRPr="00565C3D" w:rsidRDefault="00565C3D" w:rsidP="00565C3D">
            <w:pPr>
              <w:jc w:val="left"/>
              <w:rPr>
                <w:lang w:eastAsia="en-US"/>
              </w:rPr>
            </w:pPr>
          </w:p>
        </w:tc>
        <w:tc>
          <w:tcPr>
            <w:tcW w:w="1985" w:type="dxa"/>
            <w:tcBorders>
              <w:top w:val="single" w:sz="4" w:space="0" w:color="auto"/>
              <w:left w:val="single" w:sz="4" w:space="0" w:color="auto"/>
              <w:right w:val="single" w:sz="4" w:space="0" w:color="auto"/>
            </w:tcBorders>
            <w:vAlign w:val="center"/>
            <w:hideMark/>
          </w:tcPr>
          <w:p w14:paraId="63C53FDB" w14:textId="77777777" w:rsidR="00565C3D" w:rsidRPr="00565C3D" w:rsidRDefault="00565C3D" w:rsidP="00565C3D">
            <w:pPr>
              <w:ind w:right="-1"/>
              <w:jc w:val="left"/>
              <w:rPr>
                <w:lang w:eastAsia="en-US"/>
              </w:rPr>
            </w:pPr>
            <w:r w:rsidRPr="00565C3D">
              <w:rPr>
                <w:lang w:eastAsia="en-US"/>
              </w:rPr>
              <w:t>Іноземна</w:t>
            </w:r>
          </w:p>
        </w:tc>
        <w:tc>
          <w:tcPr>
            <w:tcW w:w="1028" w:type="dxa"/>
            <w:tcBorders>
              <w:top w:val="single" w:sz="4" w:space="0" w:color="auto"/>
              <w:left w:val="single" w:sz="4" w:space="0" w:color="auto"/>
              <w:right w:val="single" w:sz="4" w:space="0" w:color="auto"/>
            </w:tcBorders>
            <w:vAlign w:val="center"/>
          </w:tcPr>
          <w:p w14:paraId="212F9884" w14:textId="77777777" w:rsidR="00565C3D" w:rsidRPr="00565C3D" w:rsidRDefault="00565C3D" w:rsidP="00565C3D">
            <w:pPr>
              <w:ind w:right="-1"/>
              <w:jc w:val="right"/>
              <w:rPr>
                <w:lang w:eastAsia="en-US"/>
              </w:rPr>
            </w:pPr>
            <w:r w:rsidRPr="00565C3D">
              <w:t>100,0</w:t>
            </w:r>
          </w:p>
        </w:tc>
        <w:tc>
          <w:tcPr>
            <w:tcW w:w="1028" w:type="dxa"/>
            <w:tcBorders>
              <w:top w:val="single" w:sz="4" w:space="0" w:color="auto"/>
              <w:left w:val="single" w:sz="4" w:space="0" w:color="auto"/>
              <w:right w:val="single" w:sz="4" w:space="0" w:color="auto"/>
            </w:tcBorders>
            <w:vAlign w:val="center"/>
          </w:tcPr>
          <w:p w14:paraId="39FABF45" w14:textId="77777777" w:rsidR="00565C3D" w:rsidRPr="00565C3D" w:rsidRDefault="00565C3D" w:rsidP="00565C3D">
            <w:pPr>
              <w:ind w:right="-1"/>
              <w:jc w:val="right"/>
              <w:rPr>
                <w:lang w:eastAsia="en-US"/>
              </w:rPr>
            </w:pPr>
            <w:r w:rsidRPr="00565C3D">
              <w:t>0,0</w:t>
            </w:r>
          </w:p>
        </w:tc>
        <w:tc>
          <w:tcPr>
            <w:tcW w:w="1028" w:type="dxa"/>
            <w:tcBorders>
              <w:top w:val="single" w:sz="4" w:space="0" w:color="auto"/>
              <w:left w:val="single" w:sz="4" w:space="0" w:color="auto"/>
              <w:right w:val="single" w:sz="4" w:space="0" w:color="auto"/>
            </w:tcBorders>
            <w:vAlign w:val="center"/>
          </w:tcPr>
          <w:p w14:paraId="63888033" w14:textId="77777777" w:rsidR="00565C3D" w:rsidRPr="00565C3D" w:rsidRDefault="00565C3D" w:rsidP="00565C3D">
            <w:pPr>
              <w:ind w:right="-1"/>
              <w:jc w:val="right"/>
              <w:rPr>
                <w:lang w:eastAsia="en-US"/>
              </w:rPr>
            </w:pPr>
            <w:r w:rsidRPr="00565C3D">
              <w:t>0,0</w:t>
            </w:r>
          </w:p>
        </w:tc>
      </w:tr>
      <w:tr w:rsidR="00565C3D" w:rsidRPr="00565C3D" w14:paraId="3FF37480" w14:textId="77777777" w:rsidTr="00565C3D">
        <w:trPr>
          <w:trHeight w:val="104"/>
        </w:trPr>
        <w:tc>
          <w:tcPr>
            <w:tcW w:w="708" w:type="dxa"/>
            <w:tcBorders>
              <w:top w:val="single" w:sz="4" w:space="0" w:color="auto"/>
              <w:left w:val="single" w:sz="4" w:space="0" w:color="auto"/>
              <w:bottom w:val="single" w:sz="4" w:space="0" w:color="auto"/>
              <w:right w:val="single" w:sz="4" w:space="0" w:color="auto"/>
            </w:tcBorders>
            <w:hideMark/>
          </w:tcPr>
          <w:p w14:paraId="69042CC9" w14:textId="77777777" w:rsidR="00565C3D" w:rsidRPr="00565C3D" w:rsidRDefault="00565C3D" w:rsidP="00565C3D">
            <w:pPr>
              <w:ind w:right="-1"/>
              <w:jc w:val="center"/>
              <w:rPr>
                <w:lang w:eastAsia="en-US"/>
              </w:rPr>
            </w:pPr>
            <w:r w:rsidRPr="00565C3D">
              <w:rPr>
                <w:lang w:eastAsia="en-US"/>
              </w:rPr>
              <w:t>5</w:t>
            </w:r>
          </w:p>
        </w:tc>
        <w:tc>
          <w:tcPr>
            <w:tcW w:w="3826" w:type="dxa"/>
            <w:vMerge w:val="restart"/>
            <w:tcBorders>
              <w:top w:val="single" w:sz="4" w:space="0" w:color="auto"/>
              <w:left w:val="single" w:sz="4" w:space="0" w:color="auto"/>
              <w:bottom w:val="single" w:sz="4" w:space="0" w:color="auto"/>
              <w:right w:val="single" w:sz="4" w:space="0" w:color="auto"/>
            </w:tcBorders>
            <w:vAlign w:val="center"/>
            <w:hideMark/>
          </w:tcPr>
          <w:p w14:paraId="6036F9CD" w14:textId="77777777" w:rsidR="00565C3D" w:rsidRPr="00565C3D" w:rsidRDefault="00565C3D" w:rsidP="00565C3D">
            <w:pPr>
              <w:ind w:right="-1"/>
              <w:jc w:val="left"/>
              <w:rPr>
                <w:lang w:eastAsia="en-US"/>
              </w:rPr>
            </w:pPr>
            <w:r w:rsidRPr="00565C3D">
              <w:rPr>
                <w:lang w:eastAsia="en-US"/>
              </w:rPr>
              <w:t>Інші кредити ФО</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81A250F" w14:textId="77777777" w:rsidR="00565C3D" w:rsidRPr="00565C3D" w:rsidRDefault="00565C3D" w:rsidP="00565C3D">
            <w:pPr>
              <w:ind w:right="-1"/>
              <w:jc w:val="left"/>
              <w:rPr>
                <w:lang w:eastAsia="en-US"/>
              </w:rPr>
            </w:pPr>
            <w:r w:rsidRPr="00565C3D">
              <w:rPr>
                <w:lang w:eastAsia="en-US"/>
              </w:rPr>
              <w:t>Національна</w:t>
            </w:r>
          </w:p>
        </w:tc>
        <w:tc>
          <w:tcPr>
            <w:tcW w:w="1028" w:type="dxa"/>
            <w:tcBorders>
              <w:top w:val="single" w:sz="4" w:space="0" w:color="auto"/>
              <w:left w:val="single" w:sz="4" w:space="0" w:color="auto"/>
              <w:bottom w:val="single" w:sz="4" w:space="0" w:color="auto"/>
              <w:right w:val="single" w:sz="4" w:space="0" w:color="auto"/>
            </w:tcBorders>
            <w:vAlign w:val="center"/>
          </w:tcPr>
          <w:p w14:paraId="5E0C8664" w14:textId="77777777" w:rsidR="00565C3D" w:rsidRPr="00565C3D" w:rsidRDefault="00565C3D" w:rsidP="00565C3D">
            <w:pPr>
              <w:ind w:right="-1"/>
              <w:jc w:val="right"/>
              <w:rPr>
                <w:lang w:eastAsia="en-US"/>
              </w:rPr>
            </w:pPr>
            <w:r w:rsidRPr="00565C3D">
              <w:t>10,6</w:t>
            </w:r>
          </w:p>
        </w:tc>
        <w:tc>
          <w:tcPr>
            <w:tcW w:w="1028" w:type="dxa"/>
            <w:tcBorders>
              <w:top w:val="single" w:sz="4" w:space="0" w:color="auto"/>
              <w:left w:val="single" w:sz="4" w:space="0" w:color="auto"/>
              <w:bottom w:val="single" w:sz="4" w:space="0" w:color="auto"/>
              <w:right w:val="single" w:sz="4" w:space="0" w:color="auto"/>
            </w:tcBorders>
            <w:vAlign w:val="center"/>
          </w:tcPr>
          <w:p w14:paraId="218C9148" w14:textId="77777777" w:rsidR="00565C3D" w:rsidRPr="00565C3D" w:rsidRDefault="00565C3D" w:rsidP="00565C3D">
            <w:pPr>
              <w:ind w:right="-1"/>
              <w:jc w:val="right"/>
              <w:rPr>
                <w:lang w:eastAsia="en-US"/>
              </w:rPr>
            </w:pPr>
            <w:r w:rsidRPr="00565C3D">
              <w:t>7,3</w:t>
            </w:r>
          </w:p>
        </w:tc>
        <w:tc>
          <w:tcPr>
            <w:tcW w:w="1028" w:type="dxa"/>
            <w:tcBorders>
              <w:top w:val="single" w:sz="4" w:space="0" w:color="auto"/>
              <w:left w:val="single" w:sz="4" w:space="0" w:color="auto"/>
              <w:bottom w:val="single" w:sz="4" w:space="0" w:color="auto"/>
              <w:right w:val="single" w:sz="4" w:space="0" w:color="auto"/>
            </w:tcBorders>
            <w:vAlign w:val="center"/>
          </w:tcPr>
          <w:p w14:paraId="28AE40AA" w14:textId="77777777" w:rsidR="00565C3D" w:rsidRPr="00565C3D" w:rsidRDefault="00565C3D" w:rsidP="00565C3D">
            <w:pPr>
              <w:ind w:right="-1"/>
              <w:jc w:val="right"/>
              <w:rPr>
                <w:lang w:eastAsia="en-US"/>
              </w:rPr>
            </w:pPr>
            <w:r w:rsidRPr="00565C3D">
              <w:t>7,3</w:t>
            </w:r>
          </w:p>
        </w:tc>
      </w:tr>
      <w:tr w:rsidR="00565C3D" w:rsidRPr="00565C3D" w14:paraId="6FCFDB9B" w14:textId="77777777" w:rsidTr="00565C3D">
        <w:trPr>
          <w:trHeight w:val="104"/>
        </w:trPr>
        <w:tc>
          <w:tcPr>
            <w:tcW w:w="708" w:type="dxa"/>
            <w:tcBorders>
              <w:top w:val="single" w:sz="4" w:space="0" w:color="auto"/>
              <w:left w:val="single" w:sz="4" w:space="0" w:color="auto"/>
              <w:bottom w:val="single" w:sz="4" w:space="0" w:color="auto"/>
              <w:right w:val="single" w:sz="4" w:space="0" w:color="auto"/>
            </w:tcBorders>
            <w:hideMark/>
          </w:tcPr>
          <w:p w14:paraId="79C93BEC" w14:textId="77777777" w:rsidR="00565C3D" w:rsidRPr="00565C3D" w:rsidRDefault="00565C3D" w:rsidP="00565C3D">
            <w:pPr>
              <w:ind w:right="-1"/>
              <w:jc w:val="center"/>
              <w:rPr>
                <w:lang w:eastAsia="en-US"/>
              </w:rPr>
            </w:pPr>
            <w:r w:rsidRPr="00565C3D">
              <w:rPr>
                <w:lang w:eastAsia="en-US"/>
              </w:rPr>
              <w:t>6</w:t>
            </w:r>
          </w:p>
        </w:tc>
        <w:tc>
          <w:tcPr>
            <w:tcW w:w="3826" w:type="dxa"/>
            <w:vMerge/>
            <w:tcBorders>
              <w:top w:val="single" w:sz="4" w:space="0" w:color="auto"/>
              <w:left w:val="single" w:sz="4" w:space="0" w:color="auto"/>
              <w:bottom w:val="single" w:sz="4" w:space="0" w:color="auto"/>
              <w:right w:val="single" w:sz="4" w:space="0" w:color="auto"/>
            </w:tcBorders>
            <w:vAlign w:val="center"/>
            <w:hideMark/>
          </w:tcPr>
          <w:p w14:paraId="380CBC61" w14:textId="77777777" w:rsidR="00565C3D" w:rsidRPr="00565C3D" w:rsidRDefault="00565C3D" w:rsidP="00565C3D">
            <w:pPr>
              <w:rPr>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5BA3A197" w14:textId="77777777" w:rsidR="00565C3D" w:rsidRPr="00565C3D" w:rsidRDefault="00565C3D" w:rsidP="00565C3D">
            <w:pPr>
              <w:ind w:right="-1"/>
              <w:jc w:val="left"/>
              <w:rPr>
                <w:lang w:eastAsia="en-US"/>
              </w:rPr>
            </w:pPr>
            <w:r w:rsidRPr="00565C3D">
              <w:rPr>
                <w:lang w:eastAsia="en-US"/>
              </w:rPr>
              <w:t>Іноземна</w:t>
            </w:r>
          </w:p>
        </w:tc>
        <w:tc>
          <w:tcPr>
            <w:tcW w:w="1028" w:type="dxa"/>
            <w:tcBorders>
              <w:top w:val="single" w:sz="4" w:space="0" w:color="auto"/>
              <w:left w:val="single" w:sz="4" w:space="0" w:color="auto"/>
              <w:bottom w:val="single" w:sz="4" w:space="0" w:color="auto"/>
              <w:right w:val="single" w:sz="4" w:space="0" w:color="auto"/>
            </w:tcBorders>
            <w:vAlign w:val="center"/>
          </w:tcPr>
          <w:p w14:paraId="2F7AFB38" w14:textId="77777777" w:rsidR="00565C3D" w:rsidRPr="00565C3D" w:rsidRDefault="00565C3D" w:rsidP="00565C3D">
            <w:pPr>
              <w:ind w:right="-1"/>
              <w:jc w:val="right"/>
              <w:rPr>
                <w:lang w:eastAsia="en-US"/>
              </w:rPr>
            </w:pPr>
            <w:r w:rsidRPr="00565C3D">
              <w:t>100,0</w:t>
            </w:r>
          </w:p>
        </w:tc>
        <w:tc>
          <w:tcPr>
            <w:tcW w:w="1028" w:type="dxa"/>
            <w:tcBorders>
              <w:top w:val="single" w:sz="4" w:space="0" w:color="auto"/>
              <w:left w:val="single" w:sz="4" w:space="0" w:color="auto"/>
              <w:bottom w:val="single" w:sz="4" w:space="0" w:color="auto"/>
              <w:right w:val="single" w:sz="4" w:space="0" w:color="auto"/>
            </w:tcBorders>
            <w:vAlign w:val="center"/>
          </w:tcPr>
          <w:p w14:paraId="1C045343" w14:textId="77777777" w:rsidR="00565C3D" w:rsidRPr="00565C3D" w:rsidRDefault="00565C3D" w:rsidP="00565C3D">
            <w:pPr>
              <w:ind w:right="-1"/>
              <w:jc w:val="right"/>
              <w:rPr>
                <w:lang w:eastAsia="en-US"/>
              </w:rPr>
            </w:pPr>
            <w:r w:rsidRPr="00565C3D">
              <w:t>0,0</w:t>
            </w:r>
          </w:p>
        </w:tc>
        <w:tc>
          <w:tcPr>
            <w:tcW w:w="1028" w:type="dxa"/>
            <w:tcBorders>
              <w:top w:val="single" w:sz="4" w:space="0" w:color="auto"/>
              <w:left w:val="single" w:sz="4" w:space="0" w:color="auto"/>
              <w:bottom w:val="single" w:sz="4" w:space="0" w:color="auto"/>
              <w:right w:val="single" w:sz="4" w:space="0" w:color="auto"/>
            </w:tcBorders>
            <w:vAlign w:val="center"/>
          </w:tcPr>
          <w:p w14:paraId="6CFAE27E" w14:textId="77777777" w:rsidR="00565C3D" w:rsidRPr="00565C3D" w:rsidRDefault="00565C3D" w:rsidP="00565C3D">
            <w:pPr>
              <w:ind w:right="-1"/>
              <w:jc w:val="right"/>
              <w:rPr>
                <w:lang w:eastAsia="en-US"/>
              </w:rPr>
            </w:pPr>
            <w:r w:rsidRPr="00565C3D">
              <w:t>0,0</w:t>
            </w:r>
          </w:p>
        </w:tc>
      </w:tr>
    </w:tbl>
    <w:p w14:paraId="1428AF70" w14:textId="77777777" w:rsidR="00565C3D" w:rsidRPr="00565C3D" w:rsidRDefault="00565C3D" w:rsidP="000C7516">
      <w:pPr>
        <w:pStyle w:val="af3"/>
        <w:numPr>
          <w:ilvl w:val="0"/>
          <w:numId w:val="52"/>
        </w:numPr>
        <w:tabs>
          <w:tab w:val="left" w:pos="993"/>
        </w:tabs>
        <w:spacing w:before="240" w:after="240"/>
        <w:ind w:left="0" w:right="-1" w:firstLine="567"/>
        <w:contextualSpacing w:val="0"/>
      </w:pPr>
      <w:r w:rsidRPr="00565C3D">
        <w:t xml:space="preserve">Зростання частки NPL відображає міграцію кредитів з </w:t>
      </w:r>
      <w:r w:rsidR="005E7FC7" w:rsidRPr="00565C3D">
        <w:t xml:space="preserve">класів </w:t>
      </w:r>
      <w:r w:rsidRPr="00565C3D">
        <w:t>1–9 для ЮО (</w:t>
      </w:r>
      <w:r w:rsidR="005E7FC7" w:rsidRPr="00565C3D">
        <w:t xml:space="preserve">класи </w:t>
      </w:r>
      <w:r w:rsidRPr="00565C3D">
        <w:t xml:space="preserve">1–4 для ФО) до </w:t>
      </w:r>
      <w:r w:rsidR="005E7FC7" w:rsidRPr="00565C3D">
        <w:t xml:space="preserve">класу </w:t>
      </w:r>
      <w:r w:rsidRPr="00565C3D">
        <w:t>10 для ЮО (</w:t>
      </w:r>
      <w:r w:rsidR="005E7FC7" w:rsidRPr="00565C3D">
        <w:t xml:space="preserve">клас </w:t>
      </w:r>
      <w:r w:rsidRPr="00565C3D">
        <w:t xml:space="preserve">5 – для ФО). Частки кредитів </w:t>
      </w:r>
      <w:r w:rsidR="005E7FC7" w:rsidRPr="00565C3D">
        <w:t xml:space="preserve">класів </w:t>
      </w:r>
      <w:r w:rsidRPr="00565C3D">
        <w:t>1–9 для ЮО (</w:t>
      </w:r>
      <w:r w:rsidR="005E7FC7" w:rsidRPr="00565C3D">
        <w:t xml:space="preserve">класи </w:t>
      </w:r>
      <w:r w:rsidRPr="00565C3D">
        <w:t>1–4 для ФО) буде зменшено пропорційно в прогнозному періоді.</w:t>
      </w:r>
    </w:p>
    <w:p w14:paraId="77DF2557" w14:textId="56EB012D" w:rsidR="00565C3D" w:rsidRPr="00565C3D" w:rsidRDefault="00565C3D" w:rsidP="000C7516">
      <w:pPr>
        <w:pStyle w:val="af3"/>
        <w:numPr>
          <w:ilvl w:val="0"/>
          <w:numId w:val="52"/>
        </w:numPr>
        <w:tabs>
          <w:tab w:val="left" w:pos="993"/>
        </w:tabs>
        <w:spacing w:before="240" w:after="240"/>
        <w:ind w:left="0" w:right="-1" w:firstLine="567"/>
        <w:contextualSpacing w:val="0"/>
      </w:pPr>
      <w:r w:rsidRPr="00565C3D">
        <w:t xml:space="preserve">Прогнози міграції інших кредитів ФО в іноземній валюті у NPL побудовані з урахуванням заборони кредитування ФО в іноземній валюті та поточних характеристик портфелів, у яких переважають NPL. </w:t>
      </w:r>
    </w:p>
    <w:p w14:paraId="46A869A6" w14:textId="77777777" w:rsidR="00565C3D" w:rsidRDefault="00565C3D" w:rsidP="000C7516">
      <w:pPr>
        <w:pStyle w:val="af3"/>
        <w:numPr>
          <w:ilvl w:val="0"/>
          <w:numId w:val="52"/>
        </w:numPr>
        <w:tabs>
          <w:tab w:val="left" w:pos="993"/>
        </w:tabs>
        <w:spacing w:before="240" w:after="240"/>
        <w:ind w:left="0" w:right="-1" w:firstLine="567"/>
        <w:contextualSpacing w:val="0"/>
      </w:pPr>
      <w:r w:rsidRPr="00565C3D">
        <w:t>Для інших кредитів</w:t>
      </w:r>
      <w:r w:rsidR="000C7516">
        <w:t>, наданих</w:t>
      </w:r>
      <w:r w:rsidRPr="00565C3D">
        <w:t xml:space="preserve"> ЮО</w:t>
      </w:r>
      <w:r w:rsidR="000C7516">
        <w:t>/ФО</w:t>
      </w:r>
      <w:r w:rsidRPr="00565C3D">
        <w:t xml:space="preserve">, </w:t>
      </w:r>
      <w:r w:rsidR="008F47D6">
        <w:t>які</w:t>
      </w:r>
      <w:r w:rsidR="000C7516" w:rsidRPr="000C7516">
        <w:t xml:space="preserve"> </w:t>
      </w:r>
      <w:r w:rsidR="008F47D6">
        <w:t>розташовані</w:t>
      </w:r>
      <w:r w:rsidR="000C7516" w:rsidRPr="000C7516">
        <w:t>/</w:t>
      </w:r>
      <w:r w:rsidR="008F47D6">
        <w:t>за</w:t>
      </w:r>
      <w:r w:rsidR="000C7516" w:rsidRPr="000C7516">
        <w:t>реєстр</w:t>
      </w:r>
      <w:r w:rsidR="008F47D6">
        <w:t>овані на територіях</w:t>
      </w:r>
      <w:r w:rsidR="009924D6">
        <w:t xml:space="preserve">, </w:t>
      </w:r>
      <w:r w:rsidR="009924D6" w:rsidRPr="008F370C">
        <w:t>на яких ведуться активні бойові дії або тимчасово окупован</w:t>
      </w:r>
      <w:r w:rsidR="009924D6">
        <w:t>их</w:t>
      </w:r>
      <w:r w:rsidR="009924D6" w:rsidRPr="008F370C">
        <w:t xml:space="preserve"> </w:t>
      </w:r>
      <w:r w:rsidR="009924D6">
        <w:t>Р</w:t>
      </w:r>
      <w:r w:rsidR="009924D6" w:rsidRPr="008F370C">
        <w:t xml:space="preserve">осійською </w:t>
      </w:r>
      <w:r w:rsidR="009924D6">
        <w:t>Ф</w:t>
      </w:r>
      <w:r w:rsidR="009924D6" w:rsidRPr="008F370C">
        <w:t>едерацією територі</w:t>
      </w:r>
      <w:r w:rsidR="009924D6">
        <w:t>ях</w:t>
      </w:r>
      <w:r w:rsidR="009924D6" w:rsidRPr="008F370C">
        <w:t xml:space="preserve"> України</w:t>
      </w:r>
      <w:r w:rsidR="009924D6">
        <w:t>, зазначених</w:t>
      </w:r>
      <w:r w:rsidR="000C7516" w:rsidRPr="000C7516">
        <w:t xml:space="preserve"> у Переліку територій, на яких ведуться (велися) бойові дії або тимчасово окупованих Російською Федерацією, затвердженому наказом Міністерства з питань реінтеграції тимчасово окупованих територій України від 22 грудня 2022 року №</w:t>
      </w:r>
      <w:r w:rsidR="005E7FC7">
        <w:t> </w:t>
      </w:r>
      <w:r w:rsidR="000C7516" w:rsidRPr="000C7516">
        <w:t>309, зареєстрованому в Міністерстві юстиції України 23 грудня 2022 року за № 1668/39004 (з</w:t>
      </w:r>
      <w:r w:rsidR="005E7FC7">
        <w:t>і</w:t>
      </w:r>
      <w:r w:rsidR="000C7516" w:rsidRPr="000C7516">
        <w:t xml:space="preserve"> змінами) (далі – Перелік територій)</w:t>
      </w:r>
      <w:r w:rsidR="000C7516">
        <w:t>,</w:t>
      </w:r>
      <w:r w:rsidRPr="00565C3D">
        <w:t xml:space="preserve"> прогнозні коефіцієнти ймовірності дефолту є вдвічі вищими за коефіцієнти</w:t>
      </w:r>
      <w:r w:rsidR="000C7516">
        <w:t>, зазначені</w:t>
      </w:r>
      <w:r w:rsidRPr="00565C3D">
        <w:t xml:space="preserve"> </w:t>
      </w:r>
      <w:r w:rsidR="007E283B">
        <w:t>в</w:t>
      </w:r>
      <w:r w:rsidR="007E283B" w:rsidRPr="00565C3D">
        <w:t xml:space="preserve"> </w:t>
      </w:r>
      <w:r w:rsidRPr="00565C3D">
        <w:t>таблиці 3</w:t>
      </w:r>
      <w:r w:rsidR="006836E3">
        <w:t xml:space="preserve"> цього додатка</w:t>
      </w:r>
      <w:r w:rsidRPr="00565C3D">
        <w:t>, що застосовуються до кредитів на інших територіях</w:t>
      </w:r>
      <w:r w:rsidR="000C7516">
        <w:t>.</w:t>
      </w:r>
    </w:p>
    <w:p w14:paraId="45E9E6A3" w14:textId="77777777" w:rsidR="00565C3D" w:rsidRPr="00565C3D" w:rsidRDefault="00565C3D" w:rsidP="000C7516">
      <w:pPr>
        <w:pStyle w:val="af3"/>
        <w:numPr>
          <w:ilvl w:val="0"/>
          <w:numId w:val="52"/>
        </w:numPr>
        <w:tabs>
          <w:tab w:val="left" w:pos="993"/>
        </w:tabs>
        <w:spacing w:before="240" w:after="240"/>
        <w:ind w:left="0" w:firstLine="567"/>
        <w:contextualSpacing w:val="0"/>
      </w:pPr>
      <w:r w:rsidRPr="00565C3D">
        <w:t xml:space="preserve">Зворотна міграція з NPL до PL не допускається. </w:t>
      </w:r>
    </w:p>
    <w:p w14:paraId="3941D32E" w14:textId="77777777" w:rsidR="00565C3D" w:rsidRPr="00C43F64" w:rsidRDefault="00565C3D" w:rsidP="00C43F64">
      <w:pPr>
        <w:pStyle w:val="1"/>
      </w:pPr>
      <w:bookmarkStart w:id="8" w:name="_Toc508032602"/>
      <w:r w:rsidRPr="00C43F64">
        <w:t>V. Підходи за моделлю СТ до оцінки розміру кредитного ризику</w:t>
      </w:r>
      <w:bookmarkEnd w:id="8"/>
      <w:r w:rsidRPr="00C43F64">
        <w:t xml:space="preserve"> для кредитів, що підлягають СТ на портфельній основі </w:t>
      </w:r>
    </w:p>
    <w:p w14:paraId="2D4F6EFE" w14:textId="77777777" w:rsidR="00565C3D" w:rsidRPr="00565C3D" w:rsidRDefault="00565C3D" w:rsidP="00C43F64">
      <w:pPr>
        <w:pStyle w:val="af3"/>
        <w:numPr>
          <w:ilvl w:val="0"/>
          <w:numId w:val="52"/>
        </w:numPr>
        <w:tabs>
          <w:tab w:val="left" w:pos="993"/>
        </w:tabs>
        <w:spacing w:before="240" w:after="240"/>
        <w:ind w:left="0" w:firstLine="567"/>
        <w:contextualSpacing w:val="0"/>
      </w:pPr>
      <w:r w:rsidRPr="00565C3D">
        <w:t>Кредитний ризик для кредитів, що підлягають СТ на портфельній основі, оцінюється окремо за кожним сегментом через показники PD та LGD.</w:t>
      </w:r>
      <w:bookmarkStart w:id="9" w:name="_Toc508032603"/>
    </w:p>
    <w:p w14:paraId="5B61D399" w14:textId="77777777" w:rsidR="00565C3D" w:rsidRPr="00565C3D" w:rsidRDefault="00565C3D" w:rsidP="00C43F64">
      <w:pPr>
        <w:pStyle w:val="af3"/>
        <w:numPr>
          <w:ilvl w:val="0"/>
          <w:numId w:val="52"/>
        </w:numPr>
        <w:tabs>
          <w:tab w:val="left" w:pos="993"/>
        </w:tabs>
        <w:spacing w:before="240" w:after="240"/>
        <w:ind w:left="0" w:firstLine="567"/>
        <w:contextualSpacing w:val="0"/>
      </w:pPr>
      <w:bookmarkStart w:id="10" w:name="_Toc508032604"/>
      <w:bookmarkEnd w:id="9"/>
      <w:r w:rsidRPr="00565C3D">
        <w:lastRenderedPageBreak/>
        <w:t>Розрахунок розміру кредитного ризику з використанням показників PD та LGD</w:t>
      </w:r>
      <w:bookmarkEnd w:id="10"/>
      <w:r w:rsidRPr="00565C3D">
        <w:t xml:space="preserve"> станом на звітну дату здійснюється для працюючих (PL) та непрацюючих кредитів (NPL). </w:t>
      </w:r>
    </w:p>
    <w:p w14:paraId="52FF7FCE" w14:textId="77777777" w:rsidR="00565C3D" w:rsidRPr="00565C3D" w:rsidRDefault="00565C3D" w:rsidP="00C43F64">
      <w:pPr>
        <w:pStyle w:val="af3"/>
        <w:numPr>
          <w:ilvl w:val="0"/>
          <w:numId w:val="52"/>
        </w:numPr>
        <w:tabs>
          <w:tab w:val="left" w:pos="993"/>
        </w:tabs>
        <w:spacing w:before="240" w:after="240"/>
        <w:ind w:left="0" w:firstLine="567"/>
        <w:contextualSpacing w:val="0"/>
      </w:pPr>
      <w:r w:rsidRPr="00565C3D">
        <w:t>Для цілей моделювання припускається, що коефіцієнт кредитного ризику (</w:t>
      </w:r>
      <m:oMath>
        <m:r>
          <m:rPr>
            <m:nor/>
          </m:rPr>
          <w:rPr>
            <w:rFonts w:eastAsiaTheme="minorEastAsia"/>
            <w:i/>
          </w:rPr>
          <m:t>PD_PL</m:t>
        </m:r>
        <m:r>
          <w:rPr>
            <w:rFonts w:ascii="Cambria Math" w:hAnsi="Cambria Math"/>
          </w:rPr>
          <m:t>∙</m:t>
        </m:r>
        <m:r>
          <m:rPr>
            <m:nor/>
          </m:rPr>
          <w:rPr>
            <w:rFonts w:eastAsiaTheme="minorEastAsia"/>
            <w:i/>
          </w:rPr>
          <m:t xml:space="preserve"> LGD_PL</m:t>
        </m:r>
      </m:oMath>
      <w:r w:rsidRPr="00565C3D">
        <w:t>) кожного сегмента працюючих кредитів (PL)  залишається незмінним після міграції частини кредитів у непрацюючі.</w:t>
      </w:r>
    </w:p>
    <w:p w14:paraId="2ED6D8E7" w14:textId="77777777" w:rsidR="00565C3D" w:rsidRPr="00565C3D" w:rsidRDefault="00565C3D" w:rsidP="00C43F64">
      <w:pPr>
        <w:pStyle w:val="af3"/>
        <w:numPr>
          <w:ilvl w:val="0"/>
          <w:numId w:val="52"/>
        </w:numPr>
        <w:tabs>
          <w:tab w:val="left" w:pos="993"/>
        </w:tabs>
        <w:spacing w:before="240" w:after="240"/>
        <w:ind w:left="0" w:firstLine="567"/>
        <w:contextualSpacing w:val="0"/>
      </w:pPr>
      <w:r w:rsidRPr="00565C3D">
        <w:t>Розрахункові значення LGD залежать від їх стану на звітну дату і визначаються за такими формулами:</w:t>
      </w:r>
    </w:p>
    <w:tbl>
      <w:tblPr>
        <w:tblStyle w:val="a9"/>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7"/>
        <w:gridCol w:w="708"/>
      </w:tblGrid>
      <w:tr w:rsidR="002A6FDF" w14:paraId="4D8E167B" w14:textId="77777777" w:rsidTr="00D72125">
        <w:tc>
          <w:tcPr>
            <w:tcW w:w="8789" w:type="dxa"/>
          </w:tcPr>
          <w:p w14:paraId="034BF24F" w14:textId="135BBAF0" w:rsidR="002A6FDF" w:rsidRDefault="0052636F" w:rsidP="001257DE">
            <w:pPr>
              <w:tabs>
                <w:tab w:val="left" w:pos="1134"/>
              </w:tabs>
              <w:spacing w:before="240" w:after="240"/>
              <w:jc w:val="center"/>
              <w:rPr>
                <w:rFonts w:eastAsiaTheme="minorEastAsia"/>
              </w:rPr>
            </w:pPr>
            <m:oMathPara>
              <m:oMath>
                <m:sSub>
                  <m:sSubPr>
                    <m:ctrlPr>
                      <w:rPr>
                        <w:rFonts w:ascii="Cambria Math" w:eastAsiaTheme="minorEastAsia" w:hAnsi="Cambria Math"/>
                      </w:rPr>
                    </m:ctrlPr>
                  </m:sSubPr>
                  <m:e>
                    <m:r>
                      <m:rPr>
                        <m:nor/>
                      </m:rPr>
                      <w:rPr>
                        <w:rFonts w:eastAsiaTheme="minorEastAsia"/>
                        <w:i/>
                      </w:rPr>
                      <m:t>LGD_</m:t>
                    </m:r>
                    <m:r>
                      <m:rPr>
                        <m:nor/>
                      </m:rPr>
                      <w:rPr>
                        <w:rStyle w:val="aff9"/>
                        <w:rFonts w:eastAsiaTheme="majorEastAsia"/>
                        <w:b w:val="0"/>
                        <w:bCs w:val="0"/>
                        <w:i w:val="0"/>
                        <w:iCs w:val="0"/>
                      </w:rPr>
                      <m:t>NPL</m:t>
                    </m:r>
                  </m:e>
                  <m:sub>
                    <m:r>
                      <m:rPr>
                        <m:nor/>
                      </m:rPr>
                      <w:rPr>
                        <w:rFonts w:eastAsiaTheme="minorEastAsia"/>
                      </w:rPr>
                      <m:t>i,t</m:t>
                    </m:r>
                  </m:sub>
                </m:sSub>
                <m:r>
                  <m:rPr>
                    <m:nor/>
                  </m:rPr>
                  <w:rPr>
                    <w:rFonts w:eastAsiaTheme="minorEastAsia"/>
                  </w:rPr>
                  <m:t>=</m:t>
                </m:r>
                <m:f>
                  <m:fPr>
                    <m:ctrlPr>
                      <w:rPr>
                        <w:rFonts w:ascii="Cambria Math" w:hAnsi="Cambria Math"/>
                      </w:rPr>
                    </m:ctrlPr>
                  </m:fPr>
                  <m:num>
                    <m:d>
                      <m:dPr>
                        <m:begChr m:val="["/>
                        <m:endChr m:val="]"/>
                        <m:ctrlPr>
                          <w:rPr>
                            <w:rFonts w:ascii="Cambria Math" w:eastAsiaTheme="minorEastAsia" w:hAnsi="Cambria Math"/>
                            <w:i/>
                          </w:rPr>
                        </m:ctrlPr>
                      </m:dPr>
                      <m:e>
                        <m:r>
                          <w:rPr>
                            <w:rFonts w:ascii="Cambria Math" w:eastAsiaTheme="minorEastAsia" w:hAnsi="Cambria Math"/>
                          </w:rPr>
                          <m:t>LG</m:t>
                        </m:r>
                        <m:sSub>
                          <m:sSubPr>
                            <m:ctrlPr>
                              <w:rPr>
                                <w:rFonts w:ascii="Cambria Math" w:eastAsiaTheme="minorEastAsia" w:hAnsi="Cambria Math"/>
                                <w:i/>
                              </w:rPr>
                            </m:ctrlPr>
                          </m:sSubPr>
                          <m:e>
                            <m:r>
                              <w:rPr>
                                <w:rFonts w:ascii="Cambria Math" w:eastAsiaTheme="minorEastAsia" w:hAnsi="Cambria Math"/>
                              </w:rPr>
                              <m:t>D_NPL</m:t>
                            </m:r>
                          </m:e>
                          <m:sub>
                            <m:r>
                              <w:rPr>
                                <w:rFonts w:ascii="Cambria Math" w:eastAsiaTheme="minorEastAsia" w:hAnsi="Cambria Math"/>
                              </w:rPr>
                              <m:t>i,t-1</m:t>
                            </m:r>
                          </m:sub>
                        </m:sSub>
                        <m:r>
                          <w:rPr>
                            <w:rFonts w:ascii="Cambria Math" w:eastAsiaTheme="minorEastAsia" w:hAnsi="Cambria Math"/>
                          </w:rPr>
                          <m:t xml:space="preserve"> </m:t>
                        </m:r>
                        <m:r>
                          <w:rPr>
                            <w:rFonts w:ascii="Cambria Math" w:hAnsi="Cambria Math"/>
                          </w:rPr>
                          <m:t>∙</m:t>
                        </m:r>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NPL</m:t>
                            </m:r>
                          </m:e>
                          <m:sub>
                            <m:r>
                              <w:rPr>
                                <w:rFonts w:ascii="Cambria Math" w:eastAsiaTheme="minorEastAsia" w:hAnsi="Cambria Math"/>
                              </w:rPr>
                              <m:t>i,t-1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LGD_PL</m:t>
                            </m:r>
                          </m:e>
                          <m:sub>
                            <m:r>
                              <w:rPr>
                                <w:rFonts w:ascii="Cambria Math" w:eastAsiaTheme="minorEastAsia" w:hAnsi="Cambria Math"/>
                              </w:rPr>
                              <m:t>i, t-1</m:t>
                            </m:r>
                          </m:sub>
                        </m:sSub>
                        <m:r>
                          <w:rPr>
                            <w:rFonts w:ascii="Cambria Math" w:hAnsi="Cambria Math"/>
                          </w:rPr>
                          <m:t>∙</m:t>
                        </m:r>
                        <m:d>
                          <m:dPr>
                            <m:ctrlPr>
                              <w:rPr>
                                <w:rFonts w:ascii="Cambria Math" w:eastAsiaTheme="minorEastAsia" w:hAnsi="Cambria Math"/>
                                <w:i/>
                              </w:rPr>
                            </m:ctrlPr>
                          </m:dPr>
                          <m:e>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PL</m:t>
                                </m:r>
                              </m:e>
                              <m:sub>
                                <m:r>
                                  <w:rPr>
                                    <w:rFonts w:ascii="Cambria Math" w:eastAsiaTheme="minorEastAsia" w:hAnsi="Cambria Math"/>
                                  </w:rPr>
                                  <m:t>i, t-1</m:t>
                                </m:r>
                              </m:sub>
                            </m:sSub>
                            <m:sSub>
                              <m:sSubPr>
                                <m:ctrlPr>
                                  <w:rPr>
                                    <w:rFonts w:ascii="Cambria Math" w:hAnsi="Cambria Math"/>
                                    <w:i/>
                                  </w:rPr>
                                </m:ctrlPr>
                              </m:sSubPr>
                              <m:e>
                                <m:r>
                                  <w:rPr>
                                    <w:rFonts w:ascii="Cambria Math" w:hAnsi="Cambria Math"/>
                                  </w:rPr>
                                  <m:t>∙</m:t>
                                </m:r>
                                <m:r>
                                  <w:rPr>
                                    <w:rFonts w:ascii="Cambria Math" w:eastAsiaTheme="minorEastAsia" w:hAnsi="Cambria Math"/>
                                  </w:rPr>
                                  <m:t xml:space="preserve"> </m:t>
                                </m:r>
                                <m:r>
                                  <w:rPr>
                                    <w:rFonts w:ascii="Cambria Math" w:hAnsi="Cambria Math"/>
                                  </w:rPr>
                                  <m:t>DR</m:t>
                                </m:r>
                              </m:e>
                              <m:sub>
                                <m:r>
                                  <w:rPr>
                                    <w:rFonts w:ascii="Cambria Math" w:hAnsi="Cambria Math"/>
                                  </w:rPr>
                                  <m:t>i,t</m:t>
                                </m:r>
                              </m:sub>
                            </m:sSub>
                          </m:e>
                        </m:d>
                      </m:e>
                    </m:d>
                  </m:num>
                  <m:den>
                    <m:sSub>
                      <m:sSubPr>
                        <m:ctrlPr>
                          <w:rPr>
                            <w:rFonts w:ascii="Cambria Math" w:eastAsiaTheme="minorEastAsia" w:hAnsi="Cambria Math"/>
                            <w:i/>
                          </w:rPr>
                        </m:ctrlPr>
                      </m:sSubPr>
                      <m:e>
                        <m:r>
                          <m:rPr>
                            <m:nor/>
                          </m:rPr>
                          <w:rPr>
                            <w:rFonts w:eastAsiaTheme="minorEastAsia"/>
                            <w:i/>
                          </w:rPr>
                          <m:t>NPL</m:t>
                        </m:r>
                      </m:e>
                      <m:sub>
                        <m:r>
                          <m:rPr>
                            <m:nor/>
                          </m:rPr>
                          <w:rPr>
                            <w:rFonts w:eastAsiaTheme="minorEastAsia"/>
                            <w:i/>
                          </w:rPr>
                          <m:t>i,t</m:t>
                        </m:r>
                      </m:sub>
                    </m:sSub>
                  </m:den>
                </m:f>
              </m:oMath>
            </m:oMathPara>
          </w:p>
        </w:tc>
        <w:tc>
          <w:tcPr>
            <w:tcW w:w="856" w:type="dxa"/>
            <w:vAlign w:val="center"/>
          </w:tcPr>
          <w:p w14:paraId="139B72C1" w14:textId="52E3D0A1" w:rsidR="002A6FDF" w:rsidRDefault="001257DE" w:rsidP="001257DE">
            <w:pPr>
              <w:tabs>
                <w:tab w:val="left" w:pos="1134"/>
              </w:tabs>
              <w:spacing w:before="240" w:after="240"/>
              <w:jc w:val="center"/>
              <w:rPr>
                <w:rFonts w:eastAsiaTheme="minorEastAsia"/>
              </w:rPr>
            </w:pPr>
            <w:r>
              <w:rPr>
                <w:rFonts w:eastAsiaTheme="minorEastAsia"/>
              </w:rPr>
              <w:t xml:space="preserve">, </w:t>
            </w:r>
            <w:r w:rsidR="002A6FDF">
              <w:rPr>
                <w:rFonts w:eastAsiaTheme="minorEastAsia"/>
              </w:rPr>
              <w:t>(2)</w:t>
            </w:r>
          </w:p>
        </w:tc>
      </w:tr>
    </w:tbl>
    <w:p w14:paraId="5F013849" w14:textId="62A75B31" w:rsidR="00565C3D" w:rsidRPr="00565C3D" w:rsidRDefault="0052636F" w:rsidP="00565C3D">
      <w:pPr>
        <w:spacing w:before="240" w:after="240"/>
        <w:jc w:val="center"/>
        <w:rPr>
          <w:rFonts w:eastAsiaTheme="minorEastAsia"/>
        </w:rPr>
      </w:pPr>
      <m:oMath>
        <m:sSub>
          <m:sSubPr>
            <m:ctrlPr>
              <w:rPr>
                <w:rFonts w:ascii="Cambria Math" w:eastAsiaTheme="minorEastAsia" w:hAnsi="Cambria Math"/>
                <w:i/>
              </w:rPr>
            </m:ctrlPr>
          </m:sSubPr>
          <m:e>
            <m:r>
              <m:rPr>
                <m:nor/>
              </m:rPr>
              <w:rPr>
                <w:rFonts w:eastAsiaTheme="minorEastAsia"/>
                <w:i/>
              </w:rPr>
              <m:t>LGD_PL</m:t>
            </m:r>
          </m:e>
          <m:sub>
            <m:r>
              <m:rPr>
                <m:nor/>
              </m:rPr>
              <w:rPr>
                <w:rFonts w:eastAsiaTheme="minorEastAsia"/>
                <w:i/>
              </w:rPr>
              <m:t>i,t</m:t>
            </m:r>
          </m:sub>
        </m:sSub>
        <m:r>
          <m:rPr>
            <m:nor/>
          </m:rPr>
          <w:rPr>
            <w:rFonts w:eastAsiaTheme="minorEastAsia"/>
            <w:i/>
          </w:rPr>
          <m:t>=</m:t>
        </m:r>
        <m:sSub>
          <m:sSubPr>
            <m:ctrlPr>
              <w:rPr>
                <w:rFonts w:ascii="Cambria Math" w:eastAsiaTheme="minorEastAsia" w:hAnsi="Cambria Math"/>
                <w:i/>
              </w:rPr>
            </m:ctrlPr>
          </m:sSubPr>
          <m:e>
            <m:r>
              <m:rPr>
                <m:nor/>
              </m:rPr>
              <w:rPr>
                <w:rFonts w:eastAsiaTheme="minorEastAsia"/>
                <w:i/>
              </w:rPr>
              <m:t xml:space="preserve"> LGD_PL</m:t>
            </m:r>
          </m:e>
          <m:sub>
            <m:r>
              <m:rPr>
                <m:nor/>
              </m:rPr>
              <w:rPr>
                <w:rFonts w:eastAsiaTheme="minorEastAsia"/>
                <w:i/>
              </w:rPr>
              <m:t>i,t-1</m:t>
            </m:r>
          </m:sub>
        </m:sSub>
      </m:oMath>
      <w:r w:rsidR="0085550F">
        <w:rPr>
          <w:rFonts w:eastAsiaTheme="minorEastAsia"/>
        </w:rPr>
        <w:t>,</w:t>
      </w:r>
      <w:r w:rsidR="00565C3D" w:rsidRPr="00565C3D">
        <w:rPr>
          <w:rFonts w:eastAsiaTheme="minorEastAsia"/>
        </w:rPr>
        <w:t xml:space="preserve">  </w:t>
      </w:r>
      <w:r w:rsidR="00D50FC4">
        <w:rPr>
          <w:rFonts w:eastAsiaTheme="minorEastAsia"/>
        </w:rPr>
        <w:t xml:space="preserve"> </w:t>
      </w:r>
      <w:r w:rsidR="00565C3D" w:rsidRPr="00565C3D">
        <w:rPr>
          <w:rFonts w:eastAsiaTheme="minorEastAsia"/>
        </w:rPr>
        <w:t xml:space="preserve"> (3)</w:t>
      </w:r>
    </w:p>
    <w:p w14:paraId="4CD92CEC" w14:textId="77777777" w:rsidR="00565C3D" w:rsidRPr="00565C3D" w:rsidRDefault="00565C3D" w:rsidP="00565C3D">
      <w:pPr>
        <w:spacing w:before="240"/>
        <w:ind w:right="-1"/>
      </w:pPr>
      <w:r w:rsidRPr="00565C3D">
        <w:rPr>
          <w:rFonts w:eastAsiaTheme="minorEastAsia"/>
        </w:rPr>
        <w:t xml:space="preserve">де    </w:t>
      </w:r>
      <m:oMath>
        <m:sSub>
          <m:sSubPr>
            <m:ctrlPr>
              <w:rPr>
                <w:rFonts w:ascii="Cambria Math" w:eastAsiaTheme="minorEastAsia" w:hAnsi="Cambria Math"/>
                <w:i/>
              </w:rPr>
            </m:ctrlPr>
          </m:sSubPr>
          <m:e>
            <m:r>
              <w:rPr>
                <w:rFonts w:ascii="Cambria Math" w:eastAsiaTheme="minorEastAsia" w:hAnsi="Cambria Math"/>
              </w:rPr>
              <m:t>LGD_</m:t>
            </m:r>
            <m:r>
              <m:rPr>
                <m:sty m:val="p"/>
              </m:rPr>
              <w:rPr>
                <w:rStyle w:val="aff9"/>
                <w:rFonts w:ascii="Cambria Math" w:eastAsiaTheme="majorEastAsia" w:hAnsi="Cambria Math"/>
              </w:rPr>
              <m:t>NPL</m:t>
            </m:r>
          </m:e>
          <m:sub>
            <m:r>
              <w:rPr>
                <w:rFonts w:ascii="Cambria Math" w:eastAsiaTheme="minorEastAsia" w:hAnsi="Cambria Math"/>
              </w:rPr>
              <m:t>i</m:t>
            </m:r>
          </m:sub>
        </m:sSub>
      </m:oMath>
      <w:r w:rsidRPr="00565C3D">
        <w:rPr>
          <w:rFonts w:eastAsiaTheme="minorEastAsia"/>
          <w:i/>
        </w:rPr>
        <w:t xml:space="preserve"> – </w:t>
      </w:r>
      <w:r w:rsidRPr="00565C3D">
        <w:rPr>
          <w:rFonts w:eastAsiaTheme="minorEastAsia"/>
        </w:rPr>
        <w:t xml:space="preserve">показник LGD для NPL </w:t>
      </w:r>
      <w:r w:rsidRPr="00565C3D">
        <w:t xml:space="preserve">у сегменті </w:t>
      </w:r>
      <w:r w:rsidRPr="00565C3D">
        <w:rPr>
          <w:i/>
        </w:rPr>
        <w:t>і</w:t>
      </w:r>
      <w:r w:rsidRPr="00565C3D">
        <w:t xml:space="preserve"> (у періоді </w:t>
      </w:r>
      <w:r w:rsidRPr="00565C3D">
        <w:rPr>
          <w:i/>
        </w:rPr>
        <w:t>t</w:t>
      </w:r>
      <w:r w:rsidRPr="00565C3D">
        <w:t xml:space="preserve"> або </w:t>
      </w:r>
      <w:r w:rsidRPr="00565C3D">
        <w:rPr>
          <w:i/>
        </w:rPr>
        <w:t>t-1</w:t>
      </w:r>
      <w:r w:rsidRPr="00565C3D">
        <w:t>);</w:t>
      </w:r>
    </w:p>
    <w:p w14:paraId="429D42DC" w14:textId="77777777" w:rsidR="00565C3D" w:rsidRPr="00565C3D" w:rsidRDefault="0052636F" w:rsidP="00565C3D">
      <w:pPr>
        <w:ind w:firstLine="567"/>
      </w:pPr>
      <m:oMath>
        <m:sSub>
          <m:sSubPr>
            <m:ctrlPr>
              <w:rPr>
                <w:rFonts w:ascii="Cambria Math" w:eastAsiaTheme="minorEastAsia" w:hAnsi="Cambria Math"/>
                <w:i/>
              </w:rPr>
            </m:ctrlPr>
          </m:sSubPr>
          <m:e>
            <m:r>
              <w:rPr>
                <w:rFonts w:ascii="Cambria Math" w:eastAsiaTheme="minorEastAsia" w:hAnsi="Cambria Math"/>
              </w:rPr>
              <m:t>NPL</m:t>
            </m:r>
          </m:e>
          <m:sub>
            <m:r>
              <w:rPr>
                <w:rFonts w:ascii="Cambria Math" w:eastAsiaTheme="minorEastAsia" w:hAnsi="Cambria Math"/>
              </w:rPr>
              <m:t>i</m:t>
            </m:r>
          </m:sub>
        </m:sSub>
      </m:oMath>
      <w:r w:rsidR="00565C3D" w:rsidRPr="00565C3D">
        <w:t xml:space="preserve"> – обсяг NPL у сегменті </w:t>
      </w:r>
      <w:r w:rsidR="00565C3D" w:rsidRPr="00565C3D">
        <w:rPr>
          <w:i/>
        </w:rPr>
        <w:t>і</w:t>
      </w:r>
      <w:r w:rsidR="00565C3D" w:rsidRPr="00565C3D">
        <w:t xml:space="preserve"> (у періоді </w:t>
      </w:r>
      <w:r w:rsidR="00565C3D" w:rsidRPr="00565C3D">
        <w:rPr>
          <w:i/>
        </w:rPr>
        <w:t>t</w:t>
      </w:r>
      <w:r w:rsidR="00565C3D" w:rsidRPr="00565C3D">
        <w:t xml:space="preserve"> або </w:t>
      </w:r>
      <w:r w:rsidR="00565C3D" w:rsidRPr="00565C3D">
        <w:rPr>
          <w:i/>
        </w:rPr>
        <w:t>t-1</w:t>
      </w:r>
      <w:r w:rsidR="00565C3D" w:rsidRPr="00565C3D">
        <w:t>);</w:t>
      </w:r>
    </w:p>
    <w:p w14:paraId="261AC5B2" w14:textId="77777777" w:rsidR="00565C3D" w:rsidRPr="00565C3D" w:rsidRDefault="0052636F" w:rsidP="00565C3D">
      <w:pPr>
        <w:ind w:firstLine="567"/>
      </w:pPr>
      <m:oMath>
        <m:sSub>
          <m:sSubPr>
            <m:ctrlPr>
              <w:rPr>
                <w:rFonts w:ascii="Cambria Math" w:eastAsiaTheme="minorEastAsia" w:hAnsi="Cambria Math"/>
                <w:i/>
              </w:rPr>
            </m:ctrlPr>
          </m:sSubPr>
          <m:e>
            <m:r>
              <w:rPr>
                <w:rFonts w:ascii="Cambria Math" w:eastAsiaTheme="minorEastAsia" w:hAnsi="Cambria Math"/>
              </w:rPr>
              <m:t>LGD_</m:t>
            </m:r>
            <m:r>
              <m:rPr>
                <m:sty m:val="p"/>
              </m:rPr>
              <w:rPr>
                <w:rStyle w:val="aff9"/>
                <w:rFonts w:ascii="Cambria Math" w:eastAsiaTheme="majorEastAsia" w:hAnsi="Cambria Math"/>
              </w:rPr>
              <m:t>PL</m:t>
            </m:r>
          </m:e>
          <m:sub>
            <m:r>
              <w:rPr>
                <w:rFonts w:ascii="Cambria Math" w:eastAsiaTheme="minorEastAsia" w:hAnsi="Cambria Math"/>
              </w:rPr>
              <m:t>i</m:t>
            </m:r>
          </m:sub>
        </m:sSub>
      </m:oMath>
      <w:r w:rsidR="00565C3D" w:rsidRPr="00565C3D">
        <w:rPr>
          <w:rFonts w:eastAsiaTheme="minorEastAsia"/>
          <w:i/>
        </w:rPr>
        <w:t xml:space="preserve"> – </w:t>
      </w:r>
      <w:r w:rsidR="00565C3D" w:rsidRPr="00565C3D">
        <w:rPr>
          <w:rFonts w:eastAsiaTheme="minorEastAsia"/>
        </w:rPr>
        <w:t xml:space="preserve">показник LGD для PL </w:t>
      </w:r>
      <w:r w:rsidR="00565C3D" w:rsidRPr="00565C3D">
        <w:t xml:space="preserve">у сегменті </w:t>
      </w:r>
      <w:r w:rsidR="00565C3D" w:rsidRPr="00565C3D">
        <w:rPr>
          <w:i/>
        </w:rPr>
        <w:t>і</w:t>
      </w:r>
      <w:r w:rsidR="00565C3D" w:rsidRPr="00565C3D">
        <w:t xml:space="preserve"> (у періоді </w:t>
      </w:r>
      <w:r w:rsidR="00565C3D" w:rsidRPr="00565C3D">
        <w:rPr>
          <w:i/>
        </w:rPr>
        <w:t>t</w:t>
      </w:r>
      <w:r w:rsidR="00565C3D" w:rsidRPr="00565C3D">
        <w:t xml:space="preserve"> або </w:t>
      </w:r>
      <w:r w:rsidR="00565C3D" w:rsidRPr="00565C3D">
        <w:rPr>
          <w:i/>
        </w:rPr>
        <w:t>t-1</w:t>
      </w:r>
      <w:r w:rsidR="00565C3D" w:rsidRPr="00565C3D">
        <w:t>);</w:t>
      </w:r>
    </w:p>
    <w:p w14:paraId="6C1EF3FC" w14:textId="77777777" w:rsidR="00565C3D" w:rsidRPr="00565C3D" w:rsidRDefault="0052636F" w:rsidP="00565C3D">
      <w:pPr>
        <w:ind w:firstLine="567"/>
      </w:pPr>
      <m:oMath>
        <m:sSub>
          <m:sSubPr>
            <m:ctrlPr>
              <w:rPr>
                <w:rFonts w:ascii="Cambria Math" w:eastAsiaTheme="minorEastAsia" w:hAnsi="Cambria Math"/>
                <w:i/>
              </w:rPr>
            </m:ctrlPr>
          </m:sSubPr>
          <m:e>
            <m:r>
              <w:rPr>
                <w:rFonts w:ascii="Cambria Math" w:eastAsiaTheme="minorEastAsia" w:hAnsi="Cambria Math"/>
              </w:rPr>
              <m:t>PL</m:t>
            </m:r>
          </m:e>
          <m:sub>
            <m:r>
              <w:rPr>
                <w:rFonts w:ascii="Cambria Math" w:eastAsiaTheme="minorEastAsia" w:hAnsi="Cambria Math"/>
              </w:rPr>
              <m:t>i</m:t>
            </m:r>
          </m:sub>
        </m:sSub>
      </m:oMath>
      <w:r w:rsidR="00565C3D" w:rsidRPr="00565C3D">
        <w:t xml:space="preserve"> – обсяг PL у сегменті </w:t>
      </w:r>
      <w:r w:rsidR="00565C3D" w:rsidRPr="00565C3D">
        <w:rPr>
          <w:i/>
        </w:rPr>
        <w:t>і</w:t>
      </w:r>
      <w:r w:rsidR="00565C3D" w:rsidRPr="00565C3D">
        <w:t>;</w:t>
      </w:r>
    </w:p>
    <w:p w14:paraId="7A82FED5" w14:textId="77777777" w:rsidR="00565C3D" w:rsidRPr="00565C3D" w:rsidRDefault="0052636F" w:rsidP="00565C3D">
      <w:pPr>
        <w:ind w:firstLine="567"/>
      </w:pPr>
      <m:oMath>
        <m:sSub>
          <m:sSubPr>
            <m:ctrlPr>
              <w:rPr>
                <w:rFonts w:ascii="Cambria Math" w:hAnsi="Cambria Math"/>
                <w:i/>
              </w:rPr>
            </m:ctrlPr>
          </m:sSubPr>
          <m:e>
            <m:r>
              <w:rPr>
                <w:rFonts w:ascii="Cambria Math" w:hAnsi="Cambria Math"/>
              </w:rPr>
              <m:t>DR</m:t>
            </m:r>
          </m:e>
          <m:sub>
            <m:r>
              <w:rPr>
                <w:rFonts w:ascii="Cambria Math" w:hAnsi="Cambria Math"/>
              </w:rPr>
              <m:t>i,t</m:t>
            </m:r>
          </m:sub>
        </m:sSub>
      </m:oMath>
      <w:r w:rsidR="00565C3D" w:rsidRPr="00565C3D">
        <w:t xml:space="preserve"> – прогнозний коефіцієнт ймовірності дефолту для сегмента </w:t>
      </w:r>
      <w:r w:rsidR="00565C3D" w:rsidRPr="00565C3D">
        <w:rPr>
          <w:i/>
        </w:rPr>
        <w:t xml:space="preserve">і </w:t>
      </w:r>
      <w:r w:rsidR="00565C3D" w:rsidRPr="00565C3D">
        <w:t xml:space="preserve">між </w:t>
      </w:r>
      <w:r w:rsidR="00565C3D" w:rsidRPr="00565C3D">
        <w:rPr>
          <w:i/>
        </w:rPr>
        <w:t xml:space="preserve">t-1 </w:t>
      </w:r>
      <w:r w:rsidR="00565C3D" w:rsidRPr="00565C3D">
        <w:t>та</w:t>
      </w:r>
      <w:r w:rsidR="00565C3D" w:rsidRPr="00565C3D">
        <w:rPr>
          <w:i/>
        </w:rPr>
        <w:t xml:space="preserve"> t </w:t>
      </w:r>
      <w:r w:rsidR="00565C3D" w:rsidRPr="00565C3D">
        <w:t>відповідно до таблиці 3</w:t>
      </w:r>
      <w:r w:rsidR="006836E3">
        <w:t xml:space="preserve"> цього додатка</w:t>
      </w:r>
      <w:r w:rsidR="00565C3D" w:rsidRPr="00565C3D">
        <w:t>;</w:t>
      </w:r>
    </w:p>
    <w:p w14:paraId="0E772DFD" w14:textId="77777777" w:rsidR="00565C3D" w:rsidRPr="00565C3D" w:rsidRDefault="00565C3D" w:rsidP="00565C3D">
      <w:pPr>
        <w:ind w:firstLine="567"/>
      </w:pPr>
      <w:r w:rsidRPr="00565C3D">
        <w:rPr>
          <w:i/>
        </w:rPr>
        <w:t>t</w:t>
      </w:r>
      <w:r w:rsidRPr="00565C3D">
        <w:t xml:space="preserve"> – порядковий номер прогнозного періоду.</w:t>
      </w:r>
    </w:p>
    <w:p w14:paraId="0D2BF916" w14:textId="77777777" w:rsidR="00565C3D" w:rsidRPr="00565C3D" w:rsidRDefault="00565C3D" w:rsidP="00C43F64">
      <w:pPr>
        <w:pStyle w:val="af3"/>
        <w:numPr>
          <w:ilvl w:val="0"/>
          <w:numId w:val="52"/>
        </w:numPr>
        <w:tabs>
          <w:tab w:val="left" w:pos="1134"/>
        </w:tabs>
        <w:spacing w:before="240" w:after="240"/>
        <w:ind w:left="0" w:firstLine="567"/>
        <w:contextualSpacing w:val="0"/>
        <w:rPr>
          <w:rFonts w:eastAsiaTheme="minorEastAsia"/>
        </w:rPr>
      </w:pPr>
      <w:r w:rsidRPr="00565C3D">
        <w:t>Розмір</w:t>
      </w:r>
      <w:r w:rsidRPr="00565C3D">
        <w:rPr>
          <w:rFonts w:eastAsiaTheme="minorEastAsia"/>
        </w:rPr>
        <w:t xml:space="preserve"> </w:t>
      </w:r>
      <w:r w:rsidRPr="00565C3D">
        <w:t>кредитного ризику</w:t>
      </w:r>
      <w:r w:rsidRPr="00565C3D">
        <w:rPr>
          <w:rFonts w:eastAsiaTheme="minorEastAsia"/>
        </w:rPr>
        <w:t xml:space="preserve"> в прогнозному періоді визначається за такою формулою:</w:t>
      </w:r>
    </w:p>
    <w:p w14:paraId="6AFF80FB" w14:textId="77777777" w:rsidR="00565C3D" w:rsidRPr="00957E16" w:rsidRDefault="0052636F" w:rsidP="00C43F64">
      <w:pPr>
        <w:spacing w:before="240" w:after="240"/>
        <w:jc w:val="center"/>
      </w:pPr>
      <m:oMath>
        <m:sSub>
          <m:sSubPr>
            <m:ctrlPr>
              <w:rPr>
                <w:rFonts w:ascii="Cambria Math" w:eastAsiaTheme="minorEastAsia" w:hAnsi="Cambria Math"/>
                <w:i/>
              </w:rPr>
            </m:ctrlPr>
          </m:sSubPr>
          <m:e>
            <m:r>
              <m:rPr>
                <m:nor/>
              </m:rPr>
              <w:rPr>
                <w:rFonts w:eastAsiaTheme="minorEastAsia"/>
                <w:i/>
              </w:rPr>
              <m:t>CR</m:t>
            </m:r>
          </m:e>
          <m:sub>
            <m:r>
              <m:rPr>
                <m:nor/>
              </m:rPr>
              <w:rPr>
                <w:rFonts w:eastAsiaTheme="minorEastAsia"/>
                <w:i/>
              </w:rPr>
              <m:t>i,t</m:t>
            </m:r>
          </m:sub>
        </m:sSub>
        <m:r>
          <m:rPr>
            <m:nor/>
          </m:rPr>
          <w:rPr>
            <w:rFonts w:eastAsiaTheme="minorEastAsia"/>
            <w:i/>
          </w:rPr>
          <m:t>=</m:t>
        </m:r>
        <m:sSub>
          <m:sSubPr>
            <m:ctrlPr>
              <w:rPr>
                <w:rFonts w:ascii="Cambria Math" w:eastAsiaTheme="minorEastAsia" w:hAnsi="Cambria Math"/>
                <w:i/>
              </w:rPr>
            </m:ctrlPr>
          </m:sSubPr>
          <m:e>
            <m:r>
              <m:rPr>
                <m:nor/>
              </m:rPr>
              <w:rPr>
                <w:rFonts w:eastAsiaTheme="minorEastAsia"/>
                <w:i/>
              </w:rPr>
              <m:t>PL</m:t>
            </m:r>
          </m:e>
          <m:sub>
            <m:r>
              <m:rPr>
                <m:nor/>
              </m:rPr>
              <w:rPr>
                <w:rFonts w:eastAsiaTheme="minorEastAsia"/>
                <w:i/>
              </w:rPr>
              <m:t>i,t</m:t>
            </m:r>
          </m:sub>
        </m:sSub>
        <m:r>
          <m:rPr>
            <m:nor/>
          </m:rPr>
          <w:rPr>
            <w:rFonts w:eastAsiaTheme="minorEastAsia"/>
            <w:i/>
          </w:rPr>
          <m:t xml:space="preserve"> </m:t>
        </m:r>
        <m:r>
          <w:rPr>
            <w:rFonts w:ascii="Cambria Math" w:hAnsi="Cambria Math"/>
          </w:rPr>
          <m:t>∙</m:t>
        </m:r>
        <m:r>
          <m:rPr>
            <m:nor/>
          </m:rPr>
          <w:rPr>
            <w:rFonts w:eastAsiaTheme="minorEastAsia"/>
            <w:i/>
          </w:rPr>
          <m:t xml:space="preserve"> </m:t>
        </m:r>
        <m:sSub>
          <m:sSubPr>
            <m:ctrlPr>
              <w:rPr>
                <w:rFonts w:ascii="Cambria Math" w:eastAsiaTheme="minorEastAsia" w:hAnsi="Cambria Math"/>
                <w:i/>
              </w:rPr>
            </m:ctrlPr>
          </m:sSubPr>
          <m:e>
            <m:r>
              <m:rPr>
                <m:nor/>
              </m:rPr>
              <w:rPr>
                <w:rFonts w:eastAsiaTheme="minorEastAsia"/>
                <w:i/>
              </w:rPr>
              <m:t>PD_PL</m:t>
            </m:r>
          </m:e>
          <m:sub>
            <m:r>
              <m:rPr>
                <m:nor/>
              </m:rPr>
              <w:rPr>
                <w:rFonts w:eastAsiaTheme="minorEastAsia"/>
                <w:i/>
              </w:rPr>
              <m:t>i</m:t>
            </m:r>
          </m:sub>
        </m:sSub>
        <m:r>
          <w:rPr>
            <w:rFonts w:ascii="Cambria Math" w:hAnsi="Cambria Math"/>
          </w:rPr>
          <m:t>∙</m:t>
        </m:r>
        <m:r>
          <m:rPr>
            <m:nor/>
          </m:rPr>
          <w:rPr>
            <w:rFonts w:eastAsiaTheme="minorEastAsia"/>
            <w:i/>
          </w:rPr>
          <m:t xml:space="preserve"> </m:t>
        </m:r>
        <m:sSub>
          <m:sSubPr>
            <m:ctrlPr>
              <w:rPr>
                <w:rFonts w:ascii="Cambria Math" w:eastAsiaTheme="minorEastAsia" w:hAnsi="Cambria Math"/>
                <w:i/>
              </w:rPr>
            </m:ctrlPr>
          </m:sSubPr>
          <m:e>
            <m:r>
              <m:rPr>
                <m:nor/>
              </m:rPr>
              <w:rPr>
                <w:rFonts w:eastAsiaTheme="minorEastAsia"/>
                <w:i/>
              </w:rPr>
              <m:t>LGD_PL</m:t>
            </m:r>
          </m:e>
          <m:sub>
            <m:r>
              <m:rPr>
                <m:nor/>
              </m:rPr>
              <w:rPr>
                <w:rFonts w:eastAsiaTheme="minorEastAsia"/>
                <w:i/>
              </w:rPr>
              <m:t>i,t</m:t>
            </m:r>
          </m:sub>
        </m:sSub>
        <m:r>
          <m:rPr>
            <m:nor/>
          </m:rPr>
          <w:rPr>
            <w:rFonts w:eastAsiaTheme="minorEastAsia"/>
            <w:i/>
          </w:rPr>
          <m:t xml:space="preserve"> + </m:t>
        </m:r>
        <m:sSub>
          <m:sSubPr>
            <m:ctrlPr>
              <w:rPr>
                <w:rFonts w:ascii="Cambria Math" w:eastAsiaTheme="minorEastAsia" w:hAnsi="Cambria Math"/>
                <w:i/>
              </w:rPr>
            </m:ctrlPr>
          </m:sSubPr>
          <m:e>
            <m:r>
              <m:rPr>
                <m:nor/>
              </m:rPr>
              <w:rPr>
                <w:rFonts w:eastAsiaTheme="minorEastAsia"/>
                <w:i/>
              </w:rPr>
              <m:t>NPL</m:t>
            </m:r>
          </m:e>
          <m:sub>
            <m:r>
              <m:rPr>
                <m:nor/>
              </m:rPr>
              <w:rPr>
                <w:rFonts w:eastAsiaTheme="minorEastAsia"/>
                <w:i/>
              </w:rPr>
              <m:t>i,t</m:t>
            </m:r>
          </m:sub>
        </m:sSub>
        <m:r>
          <m:rPr>
            <m:nor/>
          </m:rPr>
          <w:rPr>
            <w:rFonts w:eastAsiaTheme="minorEastAsia"/>
            <w:i/>
          </w:rPr>
          <m:t xml:space="preserve"> </m:t>
        </m:r>
        <m:r>
          <w:rPr>
            <w:rFonts w:ascii="Cambria Math" w:hAnsi="Cambria Math"/>
          </w:rPr>
          <m:t>∙</m:t>
        </m:r>
        <m:r>
          <m:rPr>
            <m:nor/>
          </m:rPr>
          <w:rPr>
            <w:rFonts w:eastAsiaTheme="minorEastAsia"/>
            <w:i/>
          </w:rPr>
          <m:t xml:space="preserve"> </m:t>
        </m:r>
        <m:sSub>
          <m:sSubPr>
            <m:ctrlPr>
              <w:rPr>
                <w:rFonts w:ascii="Cambria Math" w:eastAsiaTheme="minorEastAsia" w:hAnsi="Cambria Math"/>
                <w:i/>
              </w:rPr>
            </m:ctrlPr>
          </m:sSubPr>
          <m:e>
            <m:r>
              <m:rPr>
                <m:nor/>
              </m:rPr>
              <w:rPr>
                <w:rFonts w:eastAsiaTheme="minorEastAsia"/>
                <w:i/>
              </w:rPr>
              <m:t>PD_NPL</m:t>
            </m:r>
          </m:e>
          <m:sub>
            <m:r>
              <m:rPr>
                <m:nor/>
              </m:rPr>
              <w:rPr>
                <w:rFonts w:eastAsiaTheme="minorEastAsia"/>
                <w:i/>
              </w:rPr>
              <m:t>i</m:t>
            </m:r>
          </m:sub>
        </m:sSub>
        <m:r>
          <w:rPr>
            <w:rFonts w:ascii="Cambria Math" w:hAnsi="Cambria Math"/>
          </w:rPr>
          <m:t>∙</m:t>
        </m:r>
        <m:r>
          <m:rPr>
            <m:nor/>
          </m:rPr>
          <w:rPr>
            <w:rFonts w:eastAsiaTheme="minorEastAsia"/>
            <w:i/>
          </w:rPr>
          <m:t xml:space="preserve"> </m:t>
        </m:r>
        <m:sSub>
          <m:sSubPr>
            <m:ctrlPr>
              <w:rPr>
                <w:rFonts w:ascii="Cambria Math" w:eastAsiaTheme="minorEastAsia" w:hAnsi="Cambria Math"/>
                <w:i/>
              </w:rPr>
            </m:ctrlPr>
          </m:sSubPr>
          <m:e>
            <m:r>
              <m:rPr>
                <m:nor/>
              </m:rPr>
              <w:rPr>
                <w:rFonts w:eastAsiaTheme="minorEastAsia"/>
                <w:i/>
              </w:rPr>
              <m:t>LGD_NPL</m:t>
            </m:r>
          </m:e>
          <m:sub>
            <m:r>
              <m:rPr>
                <m:nor/>
              </m:rPr>
              <w:rPr>
                <w:rFonts w:eastAsiaTheme="minorEastAsia"/>
                <w:i/>
              </w:rPr>
              <m:t>i,t</m:t>
            </m:r>
          </m:sub>
        </m:sSub>
      </m:oMath>
      <w:r w:rsidR="00565C3D" w:rsidRPr="00565C3D">
        <w:t xml:space="preserve">,   </w:t>
      </w:r>
      <w:r w:rsidR="00D50FC4">
        <w:t xml:space="preserve"> </w:t>
      </w:r>
      <w:r w:rsidR="00565C3D" w:rsidRPr="00565C3D">
        <w:t>(4)</w:t>
      </w:r>
    </w:p>
    <w:p w14:paraId="6703FBAB" w14:textId="77777777" w:rsidR="00565C3D" w:rsidRPr="00565C3D" w:rsidRDefault="00D50FC4" w:rsidP="00C43F64">
      <w:pPr>
        <w:spacing w:before="240" w:after="240"/>
      </w:pPr>
      <w:r>
        <w:t>д</w:t>
      </w:r>
      <w:r w:rsidR="00565C3D" w:rsidRPr="00565C3D">
        <w:t>е</w:t>
      </w:r>
      <w:r>
        <w:t xml:space="preserve"> </w:t>
      </w:r>
      <w:r w:rsidR="00565C3D" w:rsidRPr="00565C3D">
        <w:rPr>
          <w:i/>
        </w:rPr>
        <w:t xml:space="preserve"> t</w:t>
      </w:r>
      <w:r w:rsidR="00565C3D" w:rsidRPr="00565C3D">
        <w:t xml:space="preserve"> – порядковий номер прогнозного періоду.</w:t>
      </w:r>
    </w:p>
    <w:p w14:paraId="1EDAAAE9" w14:textId="77777777" w:rsidR="00565C3D" w:rsidRPr="00565C3D" w:rsidRDefault="00565C3D" w:rsidP="0098642B">
      <w:pPr>
        <w:pStyle w:val="af3"/>
        <w:numPr>
          <w:ilvl w:val="0"/>
          <w:numId w:val="52"/>
        </w:numPr>
        <w:tabs>
          <w:tab w:val="left" w:pos="993"/>
        </w:tabs>
        <w:spacing w:before="240" w:after="240"/>
        <w:ind w:left="0" w:firstLine="567"/>
        <w:contextualSpacing w:val="0"/>
        <w:rPr>
          <w:rFonts w:eastAsiaTheme="minorEastAsia"/>
        </w:rPr>
      </w:pPr>
      <w:r w:rsidRPr="00565C3D">
        <w:rPr>
          <w:rFonts w:eastAsiaTheme="minorEastAsia"/>
        </w:rPr>
        <w:t>Для цілей СТ за базовим макроекономічним сценарієм установлюються мінімальні значення LGD для кредитів у прогнозному періоді залежно від сегмента та виду валюти відповідно до таблиці 4</w:t>
      </w:r>
      <w:r w:rsidR="006836E3">
        <w:rPr>
          <w:rFonts w:eastAsiaTheme="minorEastAsia"/>
        </w:rPr>
        <w:t xml:space="preserve"> </w:t>
      </w:r>
      <w:r w:rsidR="006836E3">
        <w:t>цього додатка</w:t>
      </w:r>
      <w:r w:rsidRPr="00565C3D">
        <w:rPr>
          <w:rFonts w:eastAsiaTheme="minorEastAsia"/>
        </w:rPr>
        <w:t xml:space="preserve">. Оцінені відповідно до вищезазначених підходів значення LGD для кожного сегмента порівнюються із значеннями в таблиці 4 </w:t>
      </w:r>
      <w:r w:rsidR="006836E3">
        <w:t>цього додатка</w:t>
      </w:r>
      <w:r w:rsidR="006836E3" w:rsidRPr="00565C3D">
        <w:rPr>
          <w:rFonts w:eastAsiaTheme="minorEastAsia"/>
        </w:rPr>
        <w:t xml:space="preserve"> </w:t>
      </w:r>
      <w:r w:rsidRPr="00565C3D">
        <w:rPr>
          <w:rFonts w:eastAsiaTheme="minorEastAsia"/>
        </w:rPr>
        <w:t xml:space="preserve">та для розрахунку кредитного ризику використовується найбільший із них. </w:t>
      </w:r>
    </w:p>
    <w:p w14:paraId="45DB73AD" w14:textId="77777777" w:rsidR="003C39AA" w:rsidRPr="00685C2E" w:rsidRDefault="00565C3D" w:rsidP="0098642B">
      <w:pPr>
        <w:tabs>
          <w:tab w:val="left" w:pos="993"/>
        </w:tabs>
        <w:spacing w:before="240" w:after="240"/>
        <w:ind w:firstLine="567"/>
        <w:rPr>
          <w:rFonts w:eastAsiaTheme="minorEastAsia"/>
        </w:rPr>
      </w:pPr>
      <w:r w:rsidRPr="00685C2E">
        <w:rPr>
          <w:rFonts w:eastAsiaTheme="minorEastAsia"/>
        </w:rPr>
        <w:t>Для інших кредитів ФО через рік після визнання непрацюючими і віднесення до категорії NPL LGD установлюється на рівні 100%</w:t>
      </w:r>
      <w:r w:rsidR="003C39AA" w:rsidRPr="00685C2E">
        <w:rPr>
          <w:rFonts w:eastAsiaTheme="minorEastAsia"/>
        </w:rPr>
        <w:t>.</w:t>
      </w:r>
    </w:p>
    <w:p w14:paraId="0EF1952F" w14:textId="50577ACF" w:rsidR="00565C3D" w:rsidRPr="003C39AA" w:rsidRDefault="00565C3D" w:rsidP="0098642B">
      <w:pPr>
        <w:tabs>
          <w:tab w:val="left" w:pos="993"/>
        </w:tabs>
        <w:spacing w:before="240" w:after="240"/>
        <w:ind w:firstLine="567"/>
        <w:rPr>
          <w:rFonts w:eastAsiaTheme="minorEastAsia"/>
        </w:rPr>
      </w:pPr>
      <w:r w:rsidRPr="00565C3D">
        <w:t xml:space="preserve">Значення LGD для великих боржників розраховується індивідуально </w:t>
      </w:r>
      <w:r w:rsidR="00D261D1">
        <w:t xml:space="preserve">з </w:t>
      </w:r>
      <w:r w:rsidRPr="00565C3D">
        <w:t>урах</w:t>
      </w:r>
      <w:r w:rsidR="00D261D1">
        <w:t>уванням</w:t>
      </w:r>
      <w:r w:rsidRPr="00565C3D">
        <w:t xml:space="preserve"> варт</w:t>
      </w:r>
      <w:r w:rsidR="00D261D1">
        <w:t>ості</w:t>
      </w:r>
      <w:r w:rsidRPr="00565C3D">
        <w:t xml:space="preserve"> забезпечення СV </w:t>
      </w:r>
      <w:r w:rsidR="00A501E1">
        <w:t>згідно з</w:t>
      </w:r>
      <w:r w:rsidR="00D261D1">
        <w:t xml:space="preserve"> </w:t>
      </w:r>
      <w:r w:rsidRPr="00565C3D">
        <w:t>результат</w:t>
      </w:r>
      <w:r w:rsidR="00A501E1">
        <w:t>ами</w:t>
      </w:r>
      <w:r w:rsidRPr="00565C3D">
        <w:t xml:space="preserve"> оцінки вартості </w:t>
      </w:r>
      <w:r w:rsidRPr="00565C3D">
        <w:lastRenderedPageBreak/>
        <w:t>майна</w:t>
      </w:r>
      <w:r w:rsidR="004E7820">
        <w:t>, здійсненої</w:t>
      </w:r>
      <w:r w:rsidRPr="00565C3D">
        <w:t xml:space="preserve"> </w:t>
      </w:r>
      <w:r w:rsidR="00A501E1">
        <w:t>відповідно</w:t>
      </w:r>
      <w:r w:rsidR="00A501E1" w:rsidRPr="00565C3D">
        <w:t xml:space="preserve"> </w:t>
      </w:r>
      <w:r w:rsidRPr="00565C3D">
        <w:t>до пунктів 39</w:t>
      </w:r>
      <w:r w:rsidR="00D261D1">
        <w:t>–</w:t>
      </w:r>
      <w:r w:rsidRPr="00565C3D">
        <w:t xml:space="preserve">49 розділу V Технічного завдання для здійснення оцінки стійкості банків і банківської системи України в 2023 році, затвердженого рішенням Правління Національного банку </w:t>
      </w:r>
      <w:r w:rsidR="00764ED8">
        <w:t xml:space="preserve">України від </w:t>
      </w:r>
      <w:r w:rsidR="00997818">
        <w:t>16 травня 2023 </w:t>
      </w:r>
      <w:r w:rsidRPr="00565C3D">
        <w:t>року №</w:t>
      </w:r>
      <w:r w:rsidR="00997818">
        <w:t> </w:t>
      </w:r>
      <w:r w:rsidRPr="00565C3D">
        <w:t>189-рш</w:t>
      </w:r>
      <w:r w:rsidR="009E07BA">
        <w:t xml:space="preserve"> (далі – Технічне завдання)</w:t>
      </w:r>
      <w:r w:rsidRPr="00565C3D">
        <w:t>.</w:t>
      </w:r>
    </w:p>
    <w:p w14:paraId="64F4DDAD" w14:textId="77777777" w:rsidR="00565C3D" w:rsidRPr="00565C3D" w:rsidRDefault="00565C3D" w:rsidP="00565C3D">
      <w:pPr>
        <w:pStyle w:val="af3"/>
        <w:ind w:left="0"/>
        <w:jc w:val="right"/>
      </w:pPr>
      <w:r w:rsidRPr="00565C3D">
        <w:t>Таблиця 4</w:t>
      </w:r>
    </w:p>
    <w:p w14:paraId="20E91921" w14:textId="77777777" w:rsidR="00565C3D" w:rsidRPr="00565C3D" w:rsidRDefault="00565C3D" w:rsidP="00565C3D">
      <w:pPr>
        <w:pStyle w:val="af3"/>
        <w:spacing w:before="240" w:after="240"/>
        <w:ind w:left="0"/>
        <w:jc w:val="center"/>
      </w:pPr>
      <w:r w:rsidRPr="00565C3D">
        <w:t>Мінімальні значення LGD для сегментів</w:t>
      </w:r>
    </w:p>
    <w:p w14:paraId="2975D451" w14:textId="77777777" w:rsidR="00565C3D" w:rsidRPr="00565C3D" w:rsidRDefault="00565C3D" w:rsidP="00565C3D">
      <w:pPr>
        <w:pStyle w:val="af3"/>
        <w:tabs>
          <w:tab w:val="left" w:pos="7088"/>
          <w:tab w:val="left" w:pos="9356"/>
        </w:tabs>
        <w:ind w:left="454" w:right="49" w:firstLine="454"/>
        <w:jc w:val="right"/>
        <w:rPr>
          <w:rFonts w:eastAsiaTheme="minorEastAsia"/>
        </w:rPr>
      </w:pPr>
      <w:r w:rsidRPr="00565C3D">
        <w:t>(відсотки)</w:t>
      </w:r>
    </w:p>
    <w:tbl>
      <w:tblPr>
        <w:tblW w:w="9619" w:type="dxa"/>
        <w:tblInd w:w="-5" w:type="dxa"/>
        <w:tblLook w:val="04A0" w:firstRow="1" w:lastRow="0" w:firstColumn="1" w:lastColumn="0" w:noHBand="0" w:noVBand="1"/>
      </w:tblPr>
      <w:tblGrid>
        <w:gridCol w:w="606"/>
        <w:gridCol w:w="3789"/>
        <w:gridCol w:w="1255"/>
        <w:gridCol w:w="1222"/>
        <w:gridCol w:w="11"/>
        <w:gridCol w:w="1319"/>
        <w:gridCol w:w="1417"/>
      </w:tblGrid>
      <w:tr w:rsidR="00565C3D" w:rsidRPr="00565C3D" w14:paraId="39FB23E5" w14:textId="77777777" w:rsidTr="00565C3D">
        <w:trPr>
          <w:trHeight w:val="309"/>
          <w:tblHeader/>
        </w:trPr>
        <w:tc>
          <w:tcPr>
            <w:tcW w:w="606" w:type="dxa"/>
            <w:vMerge w:val="restart"/>
            <w:tcBorders>
              <w:top w:val="single" w:sz="4" w:space="0" w:color="auto"/>
              <w:left w:val="single" w:sz="4" w:space="0" w:color="auto"/>
              <w:right w:val="single" w:sz="4" w:space="0" w:color="auto"/>
            </w:tcBorders>
            <w:vAlign w:val="center"/>
            <w:hideMark/>
          </w:tcPr>
          <w:p w14:paraId="285EEC49" w14:textId="77777777" w:rsidR="00565C3D" w:rsidRPr="00565C3D" w:rsidRDefault="00565C3D" w:rsidP="00565C3D">
            <w:pPr>
              <w:pStyle w:val="af3"/>
              <w:ind w:left="0"/>
              <w:jc w:val="center"/>
              <w:rPr>
                <w:rFonts w:eastAsiaTheme="minorEastAsia"/>
                <w:lang w:eastAsia="en-US"/>
              </w:rPr>
            </w:pPr>
            <w:r w:rsidRPr="00565C3D">
              <w:rPr>
                <w:bCs/>
                <w:lang w:eastAsia="en-US"/>
              </w:rPr>
              <w:t>№ з/п</w:t>
            </w:r>
          </w:p>
        </w:tc>
        <w:tc>
          <w:tcPr>
            <w:tcW w:w="3789" w:type="dxa"/>
            <w:vMerge w:val="restart"/>
            <w:tcBorders>
              <w:top w:val="single" w:sz="4" w:space="0" w:color="auto"/>
              <w:left w:val="single" w:sz="4" w:space="0" w:color="auto"/>
              <w:right w:val="single" w:sz="4" w:space="0" w:color="auto"/>
            </w:tcBorders>
            <w:vAlign w:val="center"/>
            <w:hideMark/>
          </w:tcPr>
          <w:p w14:paraId="5C9B8396" w14:textId="77777777" w:rsidR="00565C3D" w:rsidRPr="00565C3D" w:rsidRDefault="00565C3D" w:rsidP="00565C3D">
            <w:pPr>
              <w:pStyle w:val="af3"/>
              <w:ind w:left="0"/>
              <w:jc w:val="center"/>
              <w:rPr>
                <w:rFonts w:eastAsiaTheme="minorEastAsia"/>
                <w:lang w:eastAsia="en-US"/>
              </w:rPr>
            </w:pPr>
            <w:r w:rsidRPr="00565C3D">
              <w:rPr>
                <w:rFonts w:eastAsiaTheme="minorEastAsia"/>
                <w:lang w:eastAsia="en-US"/>
              </w:rPr>
              <w:t>Сегмент</w:t>
            </w:r>
          </w:p>
        </w:tc>
        <w:tc>
          <w:tcPr>
            <w:tcW w:w="2488" w:type="dxa"/>
            <w:gridSpan w:val="3"/>
            <w:tcBorders>
              <w:top w:val="single" w:sz="4" w:space="0" w:color="auto"/>
              <w:left w:val="single" w:sz="4" w:space="0" w:color="auto"/>
              <w:bottom w:val="single" w:sz="4" w:space="0" w:color="auto"/>
              <w:right w:val="single" w:sz="4" w:space="0" w:color="auto"/>
            </w:tcBorders>
            <w:vAlign w:val="center"/>
            <w:hideMark/>
          </w:tcPr>
          <w:p w14:paraId="5513EDE1" w14:textId="77777777" w:rsidR="00565C3D" w:rsidRPr="00565C3D" w:rsidRDefault="00565C3D" w:rsidP="00565C3D">
            <w:pPr>
              <w:pStyle w:val="af3"/>
              <w:ind w:left="0"/>
              <w:jc w:val="center"/>
              <w:rPr>
                <w:rFonts w:eastAsiaTheme="minorEastAsia"/>
                <w:lang w:eastAsia="en-US"/>
              </w:rPr>
            </w:pPr>
            <w:r w:rsidRPr="00565C3D">
              <w:rPr>
                <w:rFonts w:eastAsiaTheme="minorEastAsia"/>
                <w:lang w:eastAsia="en-US"/>
              </w:rPr>
              <w:t>Національна валюта</w:t>
            </w:r>
          </w:p>
        </w:tc>
        <w:tc>
          <w:tcPr>
            <w:tcW w:w="2736" w:type="dxa"/>
            <w:gridSpan w:val="2"/>
            <w:tcBorders>
              <w:top w:val="single" w:sz="4" w:space="0" w:color="auto"/>
              <w:left w:val="single" w:sz="4" w:space="0" w:color="auto"/>
              <w:bottom w:val="single" w:sz="4" w:space="0" w:color="auto"/>
              <w:right w:val="single" w:sz="4" w:space="0" w:color="auto"/>
            </w:tcBorders>
            <w:vAlign w:val="center"/>
            <w:hideMark/>
          </w:tcPr>
          <w:p w14:paraId="7899A927" w14:textId="77777777" w:rsidR="00565C3D" w:rsidRPr="00565C3D" w:rsidRDefault="00565C3D" w:rsidP="00565C3D">
            <w:pPr>
              <w:pStyle w:val="af3"/>
              <w:ind w:left="0"/>
              <w:jc w:val="center"/>
              <w:rPr>
                <w:rFonts w:eastAsiaTheme="minorEastAsia"/>
                <w:lang w:eastAsia="en-US"/>
              </w:rPr>
            </w:pPr>
            <w:r w:rsidRPr="00565C3D">
              <w:rPr>
                <w:rFonts w:eastAsiaTheme="minorEastAsia"/>
                <w:lang w:eastAsia="en-US"/>
              </w:rPr>
              <w:t>Іноземна валюта</w:t>
            </w:r>
          </w:p>
        </w:tc>
      </w:tr>
      <w:tr w:rsidR="00565C3D" w:rsidRPr="00565C3D" w14:paraId="61814C3C" w14:textId="77777777" w:rsidTr="00565C3D">
        <w:trPr>
          <w:trHeight w:val="309"/>
          <w:tblHeader/>
        </w:trPr>
        <w:tc>
          <w:tcPr>
            <w:tcW w:w="606" w:type="dxa"/>
            <w:vMerge/>
            <w:tcBorders>
              <w:left w:val="single" w:sz="4" w:space="0" w:color="auto"/>
              <w:bottom w:val="single" w:sz="4" w:space="0" w:color="auto"/>
              <w:right w:val="single" w:sz="4" w:space="0" w:color="auto"/>
            </w:tcBorders>
            <w:vAlign w:val="center"/>
          </w:tcPr>
          <w:p w14:paraId="729CE33A" w14:textId="77777777" w:rsidR="00565C3D" w:rsidRPr="00565C3D" w:rsidRDefault="00565C3D" w:rsidP="00565C3D">
            <w:pPr>
              <w:pStyle w:val="af3"/>
              <w:ind w:left="0"/>
              <w:jc w:val="center"/>
              <w:rPr>
                <w:bCs/>
                <w:lang w:eastAsia="en-US"/>
              </w:rPr>
            </w:pPr>
          </w:p>
        </w:tc>
        <w:tc>
          <w:tcPr>
            <w:tcW w:w="3789" w:type="dxa"/>
            <w:vMerge/>
            <w:tcBorders>
              <w:left w:val="single" w:sz="4" w:space="0" w:color="auto"/>
              <w:bottom w:val="single" w:sz="4" w:space="0" w:color="auto"/>
              <w:right w:val="single" w:sz="4" w:space="0" w:color="auto"/>
            </w:tcBorders>
            <w:vAlign w:val="center"/>
          </w:tcPr>
          <w:p w14:paraId="07C61C83" w14:textId="77777777" w:rsidR="00565C3D" w:rsidRPr="00565C3D" w:rsidRDefault="00565C3D" w:rsidP="00565C3D">
            <w:pPr>
              <w:pStyle w:val="af3"/>
              <w:ind w:left="0"/>
              <w:jc w:val="center"/>
              <w:rPr>
                <w:rFonts w:eastAsiaTheme="minorEastAsia"/>
                <w:lang w:eastAsia="en-US"/>
              </w:rPr>
            </w:pPr>
          </w:p>
        </w:tc>
        <w:tc>
          <w:tcPr>
            <w:tcW w:w="1255" w:type="dxa"/>
            <w:tcBorders>
              <w:top w:val="single" w:sz="4" w:space="0" w:color="auto"/>
              <w:left w:val="single" w:sz="4" w:space="0" w:color="auto"/>
              <w:bottom w:val="single" w:sz="4" w:space="0" w:color="auto"/>
              <w:right w:val="single" w:sz="4" w:space="0" w:color="auto"/>
            </w:tcBorders>
            <w:vAlign w:val="center"/>
          </w:tcPr>
          <w:p w14:paraId="56408B8E" w14:textId="77777777" w:rsidR="00565C3D" w:rsidRPr="00565C3D" w:rsidRDefault="00565C3D" w:rsidP="00565C3D">
            <w:pPr>
              <w:pStyle w:val="af3"/>
              <w:ind w:left="-39"/>
              <w:jc w:val="center"/>
              <w:rPr>
                <w:rFonts w:eastAsiaTheme="minorEastAsia"/>
                <w:lang w:eastAsia="en-US"/>
              </w:rPr>
            </w:pPr>
            <w:r w:rsidRPr="00565C3D">
              <w:rPr>
                <w:rFonts w:eastAsiaTheme="minorEastAsia"/>
                <w:lang w:eastAsia="en-US"/>
              </w:rPr>
              <w:t>PL</w:t>
            </w:r>
          </w:p>
        </w:tc>
        <w:tc>
          <w:tcPr>
            <w:tcW w:w="1222" w:type="dxa"/>
            <w:tcBorders>
              <w:top w:val="single" w:sz="4" w:space="0" w:color="auto"/>
              <w:left w:val="single" w:sz="4" w:space="0" w:color="auto"/>
              <w:bottom w:val="single" w:sz="4" w:space="0" w:color="auto"/>
              <w:right w:val="single" w:sz="4" w:space="0" w:color="auto"/>
            </w:tcBorders>
          </w:tcPr>
          <w:p w14:paraId="0536A8BF" w14:textId="77777777" w:rsidR="00565C3D" w:rsidRPr="00565C3D" w:rsidRDefault="00565C3D" w:rsidP="00565C3D">
            <w:pPr>
              <w:pStyle w:val="af3"/>
              <w:ind w:left="-39"/>
              <w:jc w:val="center"/>
              <w:rPr>
                <w:rFonts w:eastAsiaTheme="minorEastAsia"/>
                <w:lang w:eastAsia="en-US"/>
              </w:rPr>
            </w:pPr>
            <w:r w:rsidRPr="00565C3D">
              <w:rPr>
                <w:rFonts w:eastAsiaTheme="minorEastAsia"/>
                <w:lang w:eastAsia="en-US"/>
              </w:rPr>
              <w:t>NPL</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CF458EB" w14:textId="77777777" w:rsidR="00565C3D" w:rsidRPr="00565C3D" w:rsidRDefault="00565C3D" w:rsidP="00565C3D">
            <w:pPr>
              <w:pStyle w:val="af3"/>
              <w:ind w:left="-39"/>
              <w:jc w:val="center"/>
              <w:rPr>
                <w:rFonts w:eastAsiaTheme="minorEastAsia"/>
                <w:lang w:eastAsia="en-US"/>
              </w:rPr>
            </w:pPr>
            <w:r w:rsidRPr="00565C3D">
              <w:rPr>
                <w:rFonts w:eastAsiaTheme="minorEastAsia"/>
                <w:lang w:eastAsia="en-US"/>
              </w:rPr>
              <w:t>PL</w:t>
            </w:r>
          </w:p>
        </w:tc>
        <w:tc>
          <w:tcPr>
            <w:tcW w:w="1417" w:type="dxa"/>
            <w:tcBorders>
              <w:top w:val="single" w:sz="4" w:space="0" w:color="auto"/>
              <w:left w:val="single" w:sz="4" w:space="0" w:color="auto"/>
              <w:bottom w:val="single" w:sz="4" w:space="0" w:color="auto"/>
              <w:right w:val="single" w:sz="4" w:space="0" w:color="auto"/>
            </w:tcBorders>
          </w:tcPr>
          <w:p w14:paraId="6503E551" w14:textId="77777777" w:rsidR="00565C3D" w:rsidRPr="00565C3D" w:rsidRDefault="00565C3D" w:rsidP="00565C3D">
            <w:pPr>
              <w:pStyle w:val="af3"/>
              <w:ind w:left="-39"/>
              <w:jc w:val="center"/>
              <w:rPr>
                <w:rFonts w:eastAsiaTheme="minorEastAsia"/>
                <w:lang w:eastAsia="en-US"/>
              </w:rPr>
            </w:pPr>
            <w:r w:rsidRPr="00565C3D">
              <w:rPr>
                <w:rFonts w:eastAsiaTheme="minorEastAsia"/>
                <w:lang w:eastAsia="en-US"/>
              </w:rPr>
              <w:t>NPL</w:t>
            </w:r>
          </w:p>
        </w:tc>
      </w:tr>
      <w:tr w:rsidR="00565C3D" w:rsidRPr="00565C3D" w14:paraId="054E263B" w14:textId="77777777" w:rsidTr="00565C3D">
        <w:trPr>
          <w:trHeight w:val="309"/>
          <w:tblHeader/>
        </w:trPr>
        <w:tc>
          <w:tcPr>
            <w:tcW w:w="606" w:type="dxa"/>
            <w:tcBorders>
              <w:top w:val="single" w:sz="4" w:space="0" w:color="auto"/>
              <w:left w:val="single" w:sz="4" w:space="0" w:color="auto"/>
              <w:bottom w:val="single" w:sz="4" w:space="0" w:color="auto"/>
              <w:right w:val="single" w:sz="4" w:space="0" w:color="auto"/>
            </w:tcBorders>
            <w:hideMark/>
          </w:tcPr>
          <w:p w14:paraId="385684A5" w14:textId="77777777" w:rsidR="00565C3D" w:rsidRPr="00565C3D" w:rsidRDefault="00565C3D" w:rsidP="00565C3D">
            <w:pPr>
              <w:pStyle w:val="af3"/>
              <w:ind w:left="0"/>
              <w:jc w:val="center"/>
              <w:rPr>
                <w:rFonts w:eastAsiaTheme="minorEastAsia"/>
                <w:lang w:eastAsia="en-US"/>
              </w:rPr>
            </w:pPr>
            <w:r w:rsidRPr="00565C3D">
              <w:rPr>
                <w:rFonts w:eastAsiaTheme="minorEastAsia"/>
                <w:lang w:eastAsia="en-US"/>
              </w:rPr>
              <w:t>1</w:t>
            </w:r>
          </w:p>
        </w:tc>
        <w:tc>
          <w:tcPr>
            <w:tcW w:w="3789" w:type="dxa"/>
            <w:tcBorders>
              <w:top w:val="single" w:sz="4" w:space="0" w:color="auto"/>
              <w:left w:val="single" w:sz="4" w:space="0" w:color="auto"/>
              <w:bottom w:val="single" w:sz="4" w:space="0" w:color="auto"/>
              <w:right w:val="single" w:sz="4" w:space="0" w:color="auto"/>
            </w:tcBorders>
            <w:hideMark/>
          </w:tcPr>
          <w:p w14:paraId="6A2B8887" w14:textId="77777777" w:rsidR="00565C3D" w:rsidRPr="00565C3D" w:rsidRDefault="00565C3D" w:rsidP="00565C3D">
            <w:pPr>
              <w:pStyle w:val="af3"/>
              <w:ind w:left="0"/>
              <w:jc w:val="center"/>
              <w:rPr>
                <w:rFonts w:eastAsiaTheme="minorEastAsia"/>
                <w:lang w:eastAsia="en-US"/>
              </w:rPr>
            </w:pPr>
            <w:r w:rsidRPr="00565C3D">
              <w:rPr>
                <w:rFonts w:eastAsiaTheme="minorEastAsia"/>
                <w:lang w:eastAsia="en-US"/>
              </w:rPr>
              <w:t>2</w:t>
            </w:r>
          </w:p>
        </w:tc>
        <w:tc>
          <w:tcPr>
            <w:tcW w:w="1255" w:type="dxa"/>
            <w:tcBorders>
              <w:top w:val="single" w:sz="4" w:space="0" w:color="auto"/>
              <w:left w:val="single" w:sz="4" w:space="0" w:color="auto"/>
              <w:bottom w:val="single" w:sz="4" w:space="0" w:color="auto"/>
              <w:right w:val="single" w:sz="4" w:space="0" w:color="auto"/>
            </w:tcBorders>
            <w:hideMark/>
          </w:tcPr>
          <w:p w14:paraId="23219409" w14:textId="77777777" w:rsidR="00565C3D" w:rsidRPr="00565C3D" w:rsidRDefault="00565C3D" w:rsidP="00565C3D">
            <w:pPr>
              <w:pStyle w:val="af3"/>
              <w:ind w:left="0"/>
              <w:jc w:val="center"/>
              <w:rPr>
                <w:rFonts w:eastAsiaTheme="minorEastAsia"/>
                <w:lang w:eastAsia="en-US"/>
              </w:rPr>
            </w:pPr>
            <w:r w:rsidRPr="00565C3D">
              <w:rPr>
                <w:rFonts w:eastAsiaTheme="minorEastAsia"/>
                <w:lang w:eastAsia="en-US"/>
              </w:rPr>
              <w:t>3</w:t>
            </w:r>
          </w:p>
        </w:tc>
        <w:tc>
          <w:tcPr>
            <w:tcW w:w="1222" w:type="dxa"/>
            <w:tcBorders>
              <w:top w:val="single" w:sz="4" w:space="0" w:color="auto"/>
              <w:left w:val="single" w:sz="4" w:space="0" w:color="auto"/>
              <w:bottom w:val="single" w:sz="4" w:space="0" w:color="auto"/>
              <w:right w:val="single" w:sz="4" w:space="0" w:color="auto"/>
            </w:tcBorders>
          </w:tcPr>
          <w:p w14:paraId="5A38F3CF" w14:textId="77777777" w:rsidR="00565C3D" w:rsidRPr="00565C3D" w:rsidRDefault="00330CFC" w:rsidP="00565C3D">
            <w:pPr>
              <w:pStyle w:val="af3"/>
              <w:ind w:left="0"/>
              <w:jc w:val="center"/>
              <w:rPr>
                <w:rFonts w:eastAsiaTheme="minorEastAsia"/>
                <w:lang w:eastAsia="en-US"/>
              </w:rPr>
            </w:pPr>
            <w:r>
              <w:rPr>
                <w:rFonts w:eastAsiaTheme="minorEastAsia"/>
                <w:lang w:eastAsia="en-US"/>
              </w:rPr>
              <w:t>4</w:t>
            </w:r>
          </w:p>
        </w:tc>
        <w:tc>
          <w:tcPr>
            <w:tcW w:w="1330" w:type="dxa"/>
            <w:gridSpan w:val="2"/>
            <w:tcBorders>
              <w:top w:val="single" w:sz="4" w:space="0" w:color="auto"/>
              <w:left w:val="single" w:sz="4" w:space="0" w:color="auto"/>
              <w:bottom w:val="single" w:sz="4" w:space="0" w:color="auto"/>
              <w:right w:val="single" w:sz="4" w:space="0" w:color="auto"/>
            </w:tcBorders>
            <w:hideMark/>
          </w:tcPr>
          <w:p w14:paraId="55EE4488" w14:textId="77777777" w:rsidR="00565C3D" w:rsidRPr="00565C3D" w:rsidRDefault="00330CFC" w:rsidP="00565C3D">
            <w:pPr>
              <w:pStyle w:val="af3"/>
              <w:ind w:left="0"/>
              <w:jc w:val="center"/>
              <w:rPr>
                <w:rFonts w:eastAsiaTheme="minorEastAsia"/>
                <w:lang w:eastAsia="en-US"/>
              </w:rPr>
            </w:pPr>
            <w:r>
              <w:rPr>
                <w:rFonts w:eastAsiaTheme="minorEastAsia"/>
                <w:lang w:eastAsia="en-US"/>
              </w:rPr>
              <w:t>5</w:t>
            </w:r>
          </w:p>
        </w:tc>
        <w:tc>
          <w:tcPr>
            <w:tcW w:w="1417" w:type="dxa"/>
            <w:tcBorders>
              <w:top w:val="single" w:sz="4" w:space="0" w:color="auto"/>
              <w:left w:val="single" w:sz="4" w:space="0" w:color="auto"/>
              <w:bottom w:val="single" w:sz="4" w:space="0" w:color="auto"/>
              <w:right w:val="single" w:sz="4" w:space="0" w:color="auto"/>
            </w:tcBorders>
          </w:tcPr>
          <w:p w14:paraId="30C80AAC" w14:textId="77777777" w:rsidR="00565C3D" w:rsidRPr="00565C3D" w:rsidRDefault="00330CFC" w:rsidP="00565C3D">
            <w:pPr>
              <w:pStyle w:val="af3"/>
              <w:ind w:left="0"/>
              <w:jc w:val="center"/>
              <w:rPr>
                <w:rFonts w:eastAsiaTheme="minorEastAsia"/>
                <w:lang w:eastAsia="en-US"/>
              </w:rPr>
            </w:pPr>
            <w:r>
              <w:rPr>
                <w:rFonts w:eastAsiaTheme="minorEastAsia"/>
                <w:lang w:eastAsia="en-US"/>
              </w:rPr>
              <w:t>6</w:t>
            </w:r>
          </w:p>
        </w:tc>
      </w:tr>
      <w:tr w:rsidR="00565C3D" w:rsidRPr="00565C3D" w14:paraId="705FCCEB" w14:textId="77777777" w:rsidTr="00565C3D">
        <w:trPr>
          <w:trHeight w:val="321"/>
        </w:trPr>
        <w:tc>
          <w:tcPr>
            <w:tcW w:w="606" w:type="dxa"/>
            <w:tcBorders>
              <w:top w:val="single" w:sz="4" w:space="0" w:color="auto"/>
              <w:left w:val="single" w:sz="4" w:space="0" w:color="auto"/>
              <w:bottom w:val="single" w:sz="4" w:space="0" w:color="auto"/>
              <w:right w:val="single" w:sz="4" w:space="0" w:color="auto"/>
            </w:tcBorders>
            <w:hideMark/>
          </w:tcPr>
          <w:p w14:paraId="221D4C53" w14:textId="77777777" w:rsidR="00565C3D" w:rsidRPr="00565C3D" w:rsidRDefault="00565C3D" w:rsidP="00565C3D">
            <w:pPr>
              <w:pStyle w:val="af3"/>
              <w:ind w:left="0"/>
              <w:jc w:val="center"/>
              <w:rPr>
                <w:rFonts w:eastAsiaTheme="minorEastAsia"/>
                <w:lang w:eastAsia="en-US"/>
              </w:rPr>
            </w:pPr>
            <w:r w:rsidRPr="00565C3D">
              <w:rPr>
                <w:rFonts w:eastAsiaTheme="minorEastAsia"/>
                <w:lang w:eastAsia="en-US"/>
              </w:rPr>
              <w:t>1</w:t>
            </w:r>
          </w:p>
        </w:tc>
        <w:tc>
          <w:tcPr>
            <w:tcW w:w="3789" w:type="dxa"/>
            <w:tcBorders>
              <w:top w:val="single" w:sz="4" w:space="0" w:color="auto"/>
              <w:left w:val="single" w:sz="4" w:space="0" w:color="auto"/>
              <w:bottom w:val="single" w:sz="4" w:space="0" w:color="auto"/>
              <w:right w:val="single" w:sz="4" w:space="0" w:color="auto"/>
            </w:tcBorders>
            <w:hideMark/>
          </w:tcPr>
          <w:p w14:paraId="5905CA0B" w14:textId="77777777" w:rsidR="00565C3D" w:rsidRPr="00565C3D" w:rsidRDefault="00565C3D" w:rsidP="00506DF8">
            <w:pPr>
              <w:pStyle w:val="af3"/>
              <w:ind w:left="0"/>
              <w:jc w:val="left"/>
              <w:rPr>
                <w:rFonts w:eastAsiaTheme="minorEastAsia"/>
                <w:lang w:eastAsia="en-US"/>
              </w:rPr>
            </w:pPr>
            <w:r w:rsidRPr="00565C3D">
              <w:rPr>
                <w:rFonts w:eastAsiaTheme="minorEastAsia"/>
                <w:lang w:eastAsia="en-US"/>
              </w:rPr>
              <w:t>Кредити ФО під заставу нерухомості чи транспортних засобів</w:t>
            </w:r>
          </w:p>
        </w:tc>
        <w:tc>
          <w:tcPr>
            <w:tcW w:w="1255" w:type="dxa"/>
            <w:tcBorders>
              <w:top w:val="single" w:sz="4" w:space="0" w:color="auto"/>
              <w:left w:val="single" w:sz="4" w:space="0" w:color="auto"/>
              <w:bottom w:val="single" w:sz="4" w:space="0" w:color="auto"/>
              <w:right w:val="single" w:sz="4" w:space="0" w:color="auto"/>
            </w:tcBorders>
            <w:vAlign w:val="center"/>
            <w:hideMark/>
          </w:tcPr>
          <w:p w14:paraId="4E24E32F" w14:textId="77777777" w:rsidR="00565C3D" w:rsidRPr="00565C3D" w:rsidRDefault="00565C3D" w:rsidP="00565C3D">
            <w:pPr>
              <w:pStyle w:val="af3"/>
              <w:ind w:left="0"/>
              <w:jc w:val="center"/>
              <w:rPr>
                <w:rFonts w:eastAsiaTheme="minorEastAsia"/>
                <w:lang w:eastAsia="en-US"/>
              </w:rPr>
            </w:pPr>
            <w:r w:rsidRPr="00565C3D">
              <w:rPr>
                <w:rFonts w:eastAsiaTheme="minorEastAsia"/>
                <w:lang w:eastAsia="en-US"/>
              </w:rPr>
              <w:t>-</w:t>
            </w:r>
          </w:p>
        </w:tc>
        <w:tc>
          <w:tcPr>
            <w:tcW w:w="1222" w:type="dxa"/>
            <w:tcBorders>
              <w:top w:val="single" w:sz="4" w:space="0" w:color="auto"/>
              <w:left w:val="single" w:sz="4" w:space="0" w:color="auto"/>
              <w:bottom w:val="single" w:sz="4" w:space="0" w:color="auto"/>
              <w:right w:val="single" w:sz="4" w:space="0" w:color="auto"/>
            </w:tcBorders>
            <w:vAlign w:val="center"/>
          </w:tcPr>
          <w:p w14:paraId="782C5E15" w14:textId="77777777" w:rsidR="00565C3D" w:rsidRPr="00565C3D" w:rsidRDefault="00565C3D" w:rsidP="00565C3D">
            <w:pPr>
              <w:pStyle w:val="af3"/>
              <w:ind w:left="0"/>
              <w:jc w:val="center"/>
              <w:rPr>
                <w:rFonts w:eastAsiaTheme="minorEastAsia"/>
                <w:lang w:eastAsia="en-US"/>
              </w:rPr>
            </w:pPr>
            <w:r w:rsidRPr="00565C3D">
              <w:rPr>
                <w:rFonts w:eastAsiaTheme="minorEastAsia"/>
                <w:lang w:eastAsia="en-US"/>
              </w:rPr>
              <w:t>40</w:t>
            </w:r>
          </w:p>
        </w:tc>
        <w:tc>
          <w:tcPr>
            <w:tcW w:w="1330" w:type="dxa"/>
            <w:gridSpan w:val="2"/>
            <w:tcBorders>
              <w:top w:val="single" w:sz="4" w:space="0" w:color="auto"/>
              <w:left w:val="single" w:sz="4" w:space="0" w:color="auto"/>
              <w:bottom w:val="single" w:sz="4" w:space="0" w:color="auto"/>
              <w:right w:val="single" w:sz="4" w:space="0" w:color="auto"/>
            </w:tcBorders>
            <w:vAlign w:val="center"/>
            <w:hideMark/>
          </w:tcPr>
          <w:p w14:paraId="59224DEE" w14:textId="77777777" w:rsidR="00565C3D" w:rsidRPr="00565C3D" w:rsidRDefault="00565C3D" w:rsidP="00565C3D">
            <w:pPr>
              <w:pStyle w:val="af3"/>
              <w:ind w:left="0"/>
              <w:jc w:val="center"/>
              <w:rPr>
                <w:rFonts w:eastAsiaTheme="minorEastAsia"/>
                <w:lang w:eastAsia="en-US"/>
              </w:rPr>
            </w:pPr>
            <w:r w:rsidRPr="00565C3D">
              <w:rPr>
                <w:rFonts w:eastAsiaTheme="minorEastAsia"/>
                <w:lang w:eastAsia="en-US"/>
              </w:rPr>
              <w:t>85</w:t>
            </w:r>
          </w:p>
        </w:tc>
        <w:tc>
          <w:tcPr>
            <w:tcW w:w="1417" w:type="dxa"/>
            <w:tcBorders>
              <w:top w:val="single" w:sz="4" w:space="0" w:color="auto"/>
              <w:left w:val="single" w:sz="4" w:space="0" w:color="auto"/>
              <w:bottom w:val="single" w:sz="4" w:space="0" w:color="auto"/>
              <w:right w:val="single" w:sz="4" w:space="0" w:color="auto"/>
            </w:tcBorders>
            <w:vAlign w:val="center"/>
          </w:tcPr>
          <w:p w14:paraId="14147882" w14:textId="77777777" w:rsidR="00565C3D" w:rsidRPr="00565C3D" w:rsidRDefault="00565C3D" w:rsidP="00565C3D">
            <w:pPr>
              <w:pStyle w:val="af3"/>
              <w:ind w:left="0"/>
              <w:jc w:val="center"/>
              <w:rPr>
                <w:rFonts w:eastAsiaTheme="minorEastAsia"/>
                <w:lang w:eastAsia="en-US"/>
              </w:rPr>
            </w:pPr>
            <w:r w:rsidRPr="00565C3D">
              <w:rPr>
                <w:rFonts w:eastAsiaTheme="minorEastAsia"/>
                <w:lang w:eastAsia="en-US"/>
              </w:rPr>
              <w:t>85</w:t>
            </w:r>
          </w:p>
        </w:tc>
      </w:tr>
      <w:tr w:rsidR="00565C3D" w:rsidRPr="00565C3D" w14:paraId="6C9859C5" w14:textId="77777777" w:rsidTr="002A6FDF">
        <w:trPr>
          <w:trHeight w:val="619"/>
        </w:trPr>
        <w:tc>
          <w:tcPr>
            <w:tcW w:w="606" w:type="dxa"/>
            <w:tcBorders>
              <w:top w:val="single" w:sz="4" w:space="0" w:color="auto"/>
              <w:left w:val="single" w:sz="4" w:space="0" w:color="auto"/>
              <w:bottom w:val="single" w:sz="4" w:space="0" w:color="auto"/>
              <w:right w:val="single" w:sz="4" w:space="0" w:color="auto"/>
            </w:tcBorders>
            <w:hideMark/>
          </w:tcPr>
          <w:p w14:paraId="26454E55" w14:textId="77777777" w:rsidR="00565C3D" w:rsidRPr="00565C3D" w:rsidRDefault="00565C3D" w:rsidP="00565C3D">
            <w:pPr>
              <w:ind w:right="-1"/>
              <w:jc w:val="center"/>
              <w:rPr>
                <w:lang w:eastAsia="en-US"/>
              </w:rPr>
            </w:pPr>
            <w:r w:rsidRPr="00565C3D">
              <w:rPr>
                <w:lang w:eastAsia="en-US"/>
              </w:rPr>
              <w:t>2</w:t>
            </w:r>
          </w:p>
        </w:tc>
        <w:tc>
          <w:tcPr>
            <w:tcW w:w="3789" w:type="dxa"/>
            <w:tcBorders>
              <w:top w:val="single" w:sz="4" w:space="0" w:color="auto"/>
              <w:left w:val="single" w:sz="4" w:space="0" w:color="auto"/>
              <w:bottom w:val="single" w:sz="4" w:space="0" w:color="auto"/>
              <w:right w:val="single" w:sz="4" w:space="0" w:color="auto"/>
            </w:tcBorders>
            <w:vAlign w:val="center"/>
            <w:hideMark/>
          </w:tcPr>
          <w:p w14:paraId="4BDAC934" w14:textId="77777777" w:rsidR="00565C3D" w:rsidRPr="00565C3D" w:rsidRDefault="00565C3D" w:rsidP="00F50F07">
            <w:pPr>
              <w:ind w:right="-1"/>
              <w:jc w:val="left"/>
              <w:rPr>
                <w:lang w:eastAsia="en-US"/>
              </w:rPr>
            </w:pPr>
            <w:r w:rsidRPr="00565C3D">
              <w:rPr>
                <w:lang w:eastAsia="en-US"/>
              </w:rPr>
              <w:t xml:space="preserve">Кредити ФО </w:t>
            </w:r>
            <w:r w:rsidRPr="00565C3D">
              <w:rPr>
                <w:rFonts w:eastAsiaTheme="minorEastAsia"/>
                <w:lang w:eastAsia="en-US"/>
              </w:rPr>
              <w:t>під заставу нерухомості чи транспортних засобів на територіях активних бойових ді</w:t>
            </w:r>
            <w:r w:rsidR="00330CFC">
              <w:rPr>
                <w:rFonts w:eastAsiaTheme="minorEastAsia"/>
                <w:lang w:eastAsia="en-US"/>
              </w:rPr>
              <w:t>й</w:t>
            </w:r>
            <w:r w:rsidRPr="00565C3D">
              <w:rPr>
                <w:rFonts w:eastAsiaTheme="minorEastAsia"/>
                <w:lang w:eastAsia="en-US"/>
              </w:rPr>
              <w:t xml:space="preserve"> та тимчасово окупованих</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59DD1" w14:textId="77777777" w:rsidR="00565C3D" w:rsidRPr="002A6FDF" w:rsidRDefault="00565C3D" w:rsidP="00565C3D">
            <w:pPr>
              <w:pStyle w:val="af3"/>
              <w:ind w:left="0"/>
              <w:jc w:val="center"/>
              <w:rPr>
                <w:rFonts w:eastAsiaTheme="minorEastAsia"/>
                <w:lang w:eastAsia="en-US"/>
              </w:rPr>
            </w:pPr>
            <w:r w:rsidRPr="002A6FDF">
              <w:rPr>
                <w:rFonts w:eastAsiaTheme="minorEastAsia"/>
                <w:lang w:eastAsia="en-US"/>
              </w:rPr>
              <w:t>85</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14:paraId="0C64312C" w14:textId="77777777" w:rsidR="00565C3D" w:rsidRPr="002A6FDF" w:rsidRDefault="00565C3D" w:rsidP="00565C3D">
            <w:pPr>
              <w:pStyle w:val="af3"/>
              <w:ind w:left="0"/>
              <w:jc w:val="center"/>
              <w:rPr>
                <w:rFonts w:eastAsiaTheme="minorEastAsia"/>
                <w:lang w:eastAsia="en-US"/>
              </w:rPr>
            </w:pPr>
            <w:r w:rsidRPr="002A6FDF">
              <w:rPr>
                <w:rFonts w:eastAsiaTheme="minorEastAsia"/>
                <w:lang w:eastAsia="en-US"/>
              </w:rPr>
              <w:t>85</w:t>
            </w:r>
          </w:p>
        </w:tc>
        <w:tc>
          <w:tcPr>
            <w:tcW w:w="1330" w:type="dxa"/>
            <w:gridSpan w:val="2"/>
            <w:tcBorders>
              <w:top w:val="single" w:sz="4" w:space="0" w:color="auto"/>
              <w:left w:val="single" w:sz="4" w:space="0" w:color="auto"/>
              <w:bottom w:val="single" w:sz="4" w:space="0" w:color="auto"/>
              <w:right w:val="single" w:sz="4" w:space="0" w:color="auto"/>
            </w:tcBorders>
            <w:vAlign w:val="center"/>
            <w:hideMark/>
          </w:tcPr>
          <w:p w14:paraId="7ABF1B14" w14:textId="77777777" w:rsidR="00565C3D" w:rsidRPr="00565C3D" w:rsidRDefault="00565C3D" w:rsidP="00565C3D">
            <w:pPr>
              <w:pStyle w:val="af3"/>
              <w:ind w:left="0"/>
              <w:jc w:val="center"/>
              <w:rPr>
                <w:rFonts w:eastAsiaTheme="minorEastAsia"/>
                <w:lang w:eastAsia="en-US"/>
              </w:rPr>
            </w:pPr>
            <w:r w:rsidRPr="00565C3D">
              <w:rPr>
                <w:rFonts w:eastAsiaTheme="minorEastAsia"/>
                <w:lang w:eastAsia="en-US"/>
              </w:rPr>
              <w:t>100</w:t>
            </w:r>
          </w:p>
        </w:tc>
        <w:tc>
          <w:tcPr>
            <w:tcW w:w="1417" w:type="dxa"/>
            <w:tcBorders>
              <w:top w:val="single" w:sz="4" w:space="0" w:color="auto"/>
              <w:left w:val="single" w:sz="4" w:space="0" w:color="auto"/>
              <w:bottom w:val="single" w:sz="4" w:space="0" w:color="auto"/>
              <w:right w:val="single" w:sz="4" w:space="0" w:color="auto"/>
            </w:tcBorders>
            <w:vAlign w:val="center"/>
          </w:tcPr>
          <w:p w14:paraId="107ED404" w14:textId="77777777" w:rsidR="00565C3D" w:rsidRPr="00565C3D" w:rsidRDefault="00565C3D" w:rsidP="00565C3D">
            <w:pPr>
              <w:pStyle w:val="af3"/>
              <w:ind w:left="0"/>
              <w:jc w:val="center"/>
              <w:rPr>
                <w:rFonts w:eastAsiaTheme="minorEastAsia"/>
                <w:lang w:eastAsia="en-US"/>
              </w:rPr>
            </w:pPr>
            <w:r w:rsidRPr="00565C3D">
              <w:rPr>
                <w:rFonts w:eastAsiaTheme="minorEastAsia"/>
                <w:lang w:eastAsia="en-US"/>
              </w:rPr>
              <w:t>100</w:t>
            </w:r>
          </w:p>
        </w:tc>
      </w:tr>
      <w:tr w:rsidR="00565C3D" w:rsidRPr="00565C3D" w14:paraId="71A1F7DA" w14:textId="77777777" w:rsidTr="00565C3D">
        <w:trPr>
          <w:trHeight w:val="321"/>
        </w:trPr>
        <w:tc>
          <w:tcPr>
            <w:tcW w:w="606" w:type="dxa"/>
            <w:tcBorders>
              <w:top w:val="single" w:sz="4" w:space="0" w:color="auto"/>
              <w:left w:val="single" w:sz="4" w:space="0" w:color="auto"/>
              <w:bottom w:val="single" w:sz="4" w:space="0" w:color="auto"/>
              <w:right w:val="single" w:sz="4" w:space="0" w:color="auto"/>
            </w:tcBorders>
            <w:hideMark/>
          </w:tcPr>
          <w:p w14:paraId="2BB8BCE0" w14:textId="77777777" w:rsidR="00565C3D" w:rsidRPr="00565C3D" w:rsidRDefault="00565C3D" w:rsidP="00565C3D">
            <w:pPr>
              <w:pStyle w:val="af3"/>
              <w:ind w:left="0"/>
              <w:jc w:val="center"/>
              <w:rPr>
                <w:rFonts w:eastAsiaTheme="minorEastAsia"/>
                <w:lang w:eastAsia="en-US"/>
              </w:rPr>
            </w:pPr>
            <w:r w:rsidRPr="00565C3D">
              <w:rPr>
                <w:rFonts w:eastAsiaTheme="minorEastAsia"/>
                <w:lang w:eastAsia="en-US"/>
              </w:rPr>
              <w:t>3</w:t>
            </w:r>
          </w:p>
        </w:tc>
        <w:tc>
          <w:tcPr>
            <w:tcW w:w="3789" w:type="dxa"/>
            <w:tcBorders>
              <w:top w:val="single" w:sz="4" w:space="0" w:color="auto"/>
              <w:left w:val="single" w:sz="4" w:space="0" w:color="auto"/>
              <w:bottom w:val="single" w:sz="4" w:space="0" w:color="auto"/>
              <w:right w:val="single" w:sz="4" w:space="0" w:color="auto"/>
            </w:tcBorders>
            <w:hideMark/>
          </w:tcPr>
          <w:p w14:paraId="69329CD6" w14:textId="77777777" w:rsidR="00565C3D" w:rsidRPr="00565C3D" w:rsidRDefault="00565C3D" w:rsidP="00506DF8">
            <w:pPr>
              <w:pStyle w:val="af3"/>
              <w:ind w:left="0"/>
              <w:jc w:val="left"/>
              <w:rPr>
                <w:rFonts w:eastAsiaTheme="minorEastAsia"/>
                <w:lang w:eastAsia="en-US"/>
              </w:rPr>
            </w:pPr>
            <w:r w:rsidRPr="00565C3D">
              <w:rPr>
                <w:rFonts w:eastAsiaTheme="minorEastAsia"/>
                <w:lang w:eastAsia="en-US"/>
              </w:rPr>
              <w:t>Інші кредити ФО</w:t>
            </w:r>
          </w:p>
        </w:tc>
        <w:tc>
          <w:tcPr>
            <w:tcW w:w="1255" w:type="dxa"/>
            <w:tcBorders>
              <w:top w:val="single" w:sz="4" w:space="0" w:color="auto"/>
              <w:left w:val="single" w:sz="4" w:space="0" w:color="auto"/>
              <w:bottom w:val="single" w:sz="4" w:space="0" w:color="auto"/>
              <w:right w:val="single" w:sz="4" w:space="0" w:color="auto"/>
            </w:tcBorders>
            <w:vAlign w:val="center"/>
            <w:hideMark/>
          </w:tcPr>
          <w:p w14:paraId="55B7B82D" w14:textId="77777777" w:rsidR="00565C3D" w:rsidRPr="00565C3D" w:rsidRDefault="00565C3D" w:rsidP="00565C3D">
            <w:pPr>
              <w:pStyle w:val="af3"/>
              <w:ind w:left="0"/>
              <w:jc w:val="center"/>
              <w:rPr>
                <w:rFonts w:eastAsiaTheme="minorEastAsia"/>
                <w:lang w:eastAsia="en-US"/>
              </w:rPr>
            </w:pPr>
            <w:r w:rsidRPr="00565C3D">
              <w:rPr>
                <w:rFonts w:eastAsiaTheme="minorEastAsia"/>
                <w:lang w:eastAsia="en-US"/>
              </w:rPr>
              <w:t>85</w:t>
            </w:r>
          </w:p>
        </w:tc>
        <w:tc>
          <w:tcPr>
            <w:tcW w:w="1222" w:type="dxa"/>
            <w:tcBorders>
              <w:top w:val="single" w:sz="4" w:space="0" w:color="auto"/>
              <w:left w:val="single" w:sz="4" w:space="0" w:color="auto"/>
              <w:bottom w:val="single" w:sz="4" w:space="0" w:color="auto"/>
              <w:right w:val="single" w:sz="4" w:space="0" w:color="auto"/>
            </w:tcBorders>
            <w:vAlign w:val="center"/>
          </w:tcPr>
          <w:p w14:paraId="0421688C" w14:textId="77777777" w:rsidR="00565C3D" w:rsidRPr="00565C3D" w:rsidDel="00495D05" w:rsidRDefault="00565C3D" w:rsidP="00565C3D">
            <w:pPr>
              <w:pStyle w:val="af3"/>
              <w:ind w:left="0"/>
              <w:jc w:val="center"/>
              <w:rPr>
                <w:rFonts w:eastAsiaTheme="minorEastAsia"/>
                <w:lang w:eastAsia="en-US"/>
              </w:rPr>
            </w:pPr>
            <w:r w:rsidRPr="00565C3D">
              <w:rPr>
                <w:rFonts w:eastAsiaTheme="minorEastAsia"/>
                <w:lang w:eastAsia="en-US"/>
              </w:rPr>
              <w:t>85</w:t>
            </w:r>
          </w:p>
        </w:tc>
        <w:tc>
          <w:tcPr>
            <w:tcW w:w="1330" w:type="dxa"/>
            <w:gridSpan w:val="2"/>
            <w:tcBorders>
              <w:top w:val="single" w:sz="4" w:space="0" w:color="auto"/>
              <w:left w:val="single" w:sz="4" w:space="0" w:color="auto"/>
              <w:bottom w:val="single" w:sz="4" w:space="0" w:color="auto"/>
              <w:right w:val="single" w:sz="4" w:space="0" w:color="auto"/>
            </w:tcBorders>
            <w:vAlign w:val="center"/>
            <w:hideMark/>
          </w:tcPr>
          <w:p w14:paraId="10B4804E" w14:textId="77777777" w:rsidR="00565C3D" w:rsidRPr="00565C3D" w:rsidRDefault="00565C3D" w:rsidP="00565C3D">
            <w:pPr>
              <w:pStyle w:val="af3"/>
              <w:ind w:left="0"/>
              <w:jc w:val="center"/>
              <w:rPr>
                <w:rFonts w:eastAsiaTheme="minorEastAsia"/>
                <w:lang w:eastAsia="en-US"/>
              </w:rPr>
            </w:pPr>
            <w:r w:rsidRPr="00565C3D">
              <w:rPr>
                <w:rFonts w:eastAsiaTheme="minorEastAsia"/>
                <w:lang w:eastAsia="en-US"/>
              </w:rPr>
              <w:t>100</w:t>
            </w:r>
          </w:p>
        </w:tc>
        <w:tc>
          <w:tcPr>
            <w:tcW w:w="1417" w:type="dxa"/>
            <w:tcBorders>
              <w:top w:val="single" w:sz="4" w:space="0" w:color="auto"/>
              <w:left w:val="single" w:sz="4" w:space="0" w:color="auto"/>
              <w:bottom w:val="single" w:sz="4" w:space="0" w:color="auto"/>
              <w:right w:val="single" w:sz="4" w:space="0" w:color="auto"/>
            </w:tcBorders>
            <w:vAlign w:val="center"/>
          </w:tcPr>
          <w:p w14:paraId="77AAE1B6" w14:textId="77777777" w:rsidR="00565C3D" w:rsidRPr="00565C3D" w:rsidDel="00495D05" w:rsidRDefault="00565C3D" w:rsidP="00565C3D">
            <w:pPr>
              <w:pStyle w:val="af3"/>
              <w:ind w:left="0"/>
              <w:jc w:val="center"/>
              <w:rPr>
                <w:rFonts w:eastAsiaTheme="minorEastAsia"/>
                <w:lang w:eastAsia="en-US"/>
              </w:rPr>
            </w:pPr>
            <w:r w:rsidRPr="00565C3D">
              <w:rPr>
                <w:rFonts w:eastAsiaTheme="minorEastAsia"/>
                <w:lang w:eastAsia="en-US"/>
              </w:rPr>
              <w:t>100</w:t>
            </w:r>
          </w:p>
        </w:tc>
      </w:tr>
      <w:tr w:rsidR="00565C3D" w:rsidRPr="00565C3D" w14:paraId="5F13027B" w14:textId="77777777" w:rsidTr="00565C3D">
        <w:trPr>
          <w:trHeight w:val="321"/>
        </w:trPr>
        <w:tc>
          <w:tcPr>
            <w:tcW w:w="606" w:type="dxa"/>
            <w:tcBorders>
              <w:top w:val="single" w:sz="4" w:space="0" w:color="auto"/>
              <w:left w:val="single" w:sz="4" w:space="0" w:color="auto"/>
              <w:bottom w:val="single" w:sz="4" w:space="0" w:color="auto"/>
              <w:right w:val="single" w:sz="4" w:space="0" w:color="auto"/>
            </w:tcBorders>
          </w:tcPr>
          <w:p w14:paraId="6DAE6665" w14:textId="77777777" w:rsidR="00565C3D" w:rsidRPr="00565C3D" w:rsidRDefault="00565C3D" w:rsidP="00565C3D">
            <w:pPr>
              <w:pStyle w:val="af3"/>
              <w:ind w:left="0"/>
              <w:jc w:val="center"/>
              <w:rPr>
                <w:rFonts w:eastAsiaTheme="minorEastAsia"/>
                <w:lang w:eastAsia="en-US"/>
              </w:rPr>
            </w:pPr>
            <w:r w:rsidRPr="00565C3D">
              <w:rPr>
                <w:rFonts w:eastAsiaTheme="minorEastAsia"/>
                <w:lang w:eastAsia="en-US"/>
              </w:rPr>
              <w:t>4</w:t>
            </w:r>
          </w:p>
        </w:tc>
        <w:tc>
          <w:tcPr>
            <w:tcW w:w="3789" w:type="dxa"/>
            <w:tcBorders>
              <w:top w:val="single" w:sz="4" w:space="0" w:color="auto"/>
              <w:left w:val="single" w:sz="4" w:space="0" w:color="auto"/>
              <w:bottom w:val="single" w:sz="4" w:space="0" w:color="auto"/>
              <w:right w:val="single" w:sz="4" w:space="0" w:color="auto"/>
            </w:tcBorders>
          </w:tcPr>
          <w:p w14:paraId="569B28CD" w14:textId="77777777" w:rsidR="00565C3D" w:rsidRPr="00565C3D" w:rsidRDefault="00565C3D" w:rsidP="00F50F07">
            <w:pPr>
              <w:pStyle w:val="af3"/>
              <w:ind w:left="0"/>
              <w:jc w:val="left"/>
              <w:rPr>
                <w:rFonts w:eastAsiaTheme="minorEastAsia"/>
                <w:lang w:eastAsia="en-US"/>
              </w:rPr>
            </w:pPr>
            <w:r w:rsidRPr="00565C3D">
              <w:rPr>
                <w:rFonts w:eastAsiaTheme="minorEastAsia"/>
                <w:lang w:eastAsia="en-US"/>
              </w:rPr>
              <w:t>Інші кредити ФО на територіях активних бойових ді</w:t>
            </w:r>
            <w:r w:rsidR="00330CFC">
              <w:rPr>
                <w:rFonts w:eastAsiaTheme="minorEastAsia"/>
                <w:lang w:eastAsia="en-US"/>
              </w:rPr>
              <w:t>й</w:t>
            </w:r>
            <w:r w:rsidRPr="00565C3D">
              <w:rPr>
                <w:rFonts w:eastAsiaTheme="minorEastAsia"/>
                <w:lang w:eastAsia="en-US"/>
              </w:rPr>
              <w:t xml:space="preserve"> та тимчасово окупованих</w:t>
            </w:r>
          </w:p>
        </w:tc>
        <w:tc>
          <w:tcPr>
            <w:tcW w:w="1255" w:type="dxa"/>
            <w:tcBorders>
              <w:top w:val="single" w:sz="4" w:space="0" w:color="auto"/>
              <w:left w:val="single" w:sz="4" w:space="0" w:color="auto"/>
              <w:bottom w:val="single" w:sz="4" w:space="0" w:color="auto"/>
              <w:right w:val="single" w:sz="4" w:space="0" w:color="auto"/>
            </w:tcBorders>
            <w:vAlign w:val="center"/>
          </w:tcPr>
          <w:p w14:paraId="197920E8" w14:textId="77777777" w:rsidR="00565C3D" w:rsidRPr="00565C3D" w:rsidRDefault="00565C3D" w:rsidP="00565C3D">
            <w:pPr>
              <w:pStyle w:val="af3"/>
              <w:ind w:left="0"/>
              <w:jc w:val="center"/>
              <w:rPr>
                <w:rFonts w:eastAsiaTheme="minorEastAsia"/>
                <w:lang w:eastAsia="en-US"/>
              </w:rPr>
            </w:pPr>
            <w:r w:rsidRPr="00565C3D">
              <w:rPr>
                <w:rFonts w:eastAsiaTheme="minorEastAsia"/>
                <w:lang w:eastAsia="en-US"/>
              </w:rPr>
              <w:t>100</w:t>
            </w:r>
          </w:p>
        </w:tc>
        <w:tc>
          <w:tcPr>
            <w:tcW w:w="1222" w:type="dxa"/>
            <w:tcBorders>
              <w:top w:val="single" w:sz="4" w:space="0" w:color="auto"/>
              <w:left w:val="single" w:sz="4" w:space="0" w:color="auto"/>
              <w:bottom w:val="single" w:sz="4" w:space="0" w:color="auto"/>
              <w:right w:val="single" w:sz="4" w:space="0" w:color="auto"/>
            </w:tcBorders>
            <w:vAlign w:val="center"/>
          </w:tcPr>
          <w:p w14:paraId="56F0355A" w14:textId="77777777" w:rsidR="00565C3D" w:rsidRPr="00565C3D" w:rsidRDefault="00565C3D" w:rsidP="00565C3D">
            <w:pPr>
              <w:pStyle w:val="af3"/>
              <w:ind w:left="0"/>
              <w:jc w:val="center"/>
              <w:rPr>
                <w:rFonts w:eastAsiaTheme="minorEastAsia"/>
                <w:lang w:eastAsia="en-US"/>
              </w:rPr>
            </w:pPr>
            <w:r w:rsidRPr="00565C3D">
              <w:rPr>
                <w:rFonts w:eastAsiaTheme="minorEastAsia"/>
                <w:lang w:eastAsia="en-US"/>
              </w:rPr>
              <w:t>100</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83BAC10" w14:textId="77777777" w:rsidR="00565C3D" w:rsidRPr="00565C3D" w:rsidDel="00495D05" w:rsidRDefault="00565C3D" w:rsidP="00565C3D">
            <w:pPr>
              <w:pStyle w:val="af3"/>
              <w:ind w:left="0"/>
              <w:jc w:val="center"/>
              <w:rPr>
                <w:rFonts w:eastAsiaTheme="minorEastAsia"/>
                <w:lang w:eastAsia="en-US"/>
              </w:rPr>
            </w:pPr>
            <w:r w:rsidRPr="00565C3D">
              <w:rPr>
                <w:rFonts w:eastAsiaTheme="minorEastAsia"/>
                <w:lang w:eastAsia="en-US"/>
              </w:rPr>
              <w:t>100</w:t>
            </w:r>
          </w:p>
        </w:tc>
        <w:tc>
          <w:tcPr>
            <w:tcW w:w="1417" w:type="dxa"/>
            <w:tcBorders>
              <w:top w:val="single" w:sz="4" w:space="0" w:color="auto"/>
              <w:left w:val="single" w:sz="4" w:space="0" w:color="auto"/>
              <w:bottom w:val="single" w:sz="4" w:space="0" w:color="auto"/>
              <w:right w:val="single" w:sz="4" w:space="0" w:color="auto"/>
            </w:tcBorders>
            <w:vAlign w:val="center"/>
          </w:tcPr>
          <w:p w14:paraId="0444D103" w14:textId="77777777" w:rsidR="00565C3D" w:rsidRPr="00565C3D" w:rsidRDefault="00565C3D" w:rsidP="00565C3D">
            <w:pPr>
              <w:pStyle w:val="af3"/>
              <w:ind w:left="0"/>
              <w:jc w:val="center"/>
              <w:rPr>
                <w:rFonts w:eastAsiaTheme="minorEastAsia"/>
                <w:lang w:eastAsia="en-US"/>
              </w:rPr>
            </w:pPr>
            <w:r w:rsidRPr="00565C3D">
              <w:rPr>
                <w:rFonts w:eastAsiaTheme="minorEastAsia"/>
                <w:lang w:eastAsia="en-US"/>
              </w:rPr>
              <w:t>100</w:t>
            </w:r>
          </w:p>
        </w:tc>
      </w:tr>
      <w:tr w:rsidR="00565C3D" w:rsidRPr="00565C3D" w14:paraId="37B55C5A" w14:textId="77777777" w:rsidTr="00565C3D">
        <w:trPr>
          <w:trHeight w:val="309"/>
        </w:trPr>
        <w:tc>
          <w:tcPr>
            <w:tcW w:w="606" w:type="dxa"/>
            <w:tcBorders>
              <w:top w:val="single" w:sz="4" w:space="0" w:color="auto"/>
              <w:left w:val="single" w:sz="4" w:space="0" w:color="auto"/>
              <w:bottom w:val="single" w:sz="4" w:space="0" w:color="auto"/>
              <w:right w:val="single" w:sz="4" w:space="0" w:color="auto"/>
            </w:tcBorders>
            <w:hideMark/>
          </w:tcPr>
          <w:p w14:paraId="775310D5" w14:textId="77777777" w:rsidR="00565C3D" w:rsidRPr="00565C3D" w:rsidRDefault="00565C3D" w:rsidP="00565C3D">
            <w:pPr>
              <w:pStyle w:val="af3"/>
              <w:ind w:left="0"/>
              <w:jc w:val="center"/>
              <w:rPr>
                <w:rFonts w:eastAsiaTheme="minorEastAsia"/>
                <w:lang w:eastAsia="en-US"/>
              </w:rPr>
            </w:pPr>
            <w:r w:rsidRPr="00565C3D">
              <w:rPr>
                <w:rFonts w:eastAsiaTheme="minorEastAsia"/>
                <w:lang w:eastAsia="en-US"/>
              </w:rPr>
              <w:t>5</w:t>
            </w:r>
          </w:p>
        </w:tc>
        <w:tc>
          <w:tcPr>
            <w:tcW w:w="3789" w:type="dxa"/>
            <w:tcBorders>
              <w:top w:val="single" w:sz="4" w:space="0" w:color="auto"/>
              <w:left w:val="single" w:sz="4" w:space="0" w:color="auto"/>
              <w:bottom w:val="single" w:sz="4" w:space="0" w:color="auto"/>
              <w:right w:val="single" w:sz="4" w:space="0" w:color="auto"/>
            </w:tcBorders>
            <w:hideMark/>
          </w:tcPr>
          <w:p w14:paraId="48B9A7A6" w14:textId="77777777" w:rsidR="00565C3D" w:rsidRPr="00565C3D" w:rsidRDefault="00565C3D" w:rsidP="00506DF8">
            <w:pPr>
              <w:pStyle w:val="af3"/>
              <w:ind w:left="0"/>
              <w:jc w:val="left"/>
              <w:rPr>
                <w:rFonts w:eastAsiaTheme="minorEastAsia"/>
                <w:lang w:eastAsia="en-US"/>
              </w:rPr>
            </w:pPr>
            <w:r w:rsidRPr="00565C3D">
              <w:rPr>
                <w:rFonts w:eastAsiaTheme="minorEastAsia"/>
                <w:lang w:eastAsia="en-US"/>
              </w:rPr>
              <w:t>Інші кредити ЮО</w:t>
            </w:r>
          </w:p>
        </w:tc>
        <w:tc>
          <w:tcPr>
            <w:tcW w:w="1255" w:type="dxa"/>
            <w:tcBorders>
              <w:top w:val="single" w:sz="4" w:space="0" w:color="auto"/>
              <w:left w:val="single" w:sz="4" w:space="0" w:color="auto"/>
              <w:bottom w:val="single" w:sz="4" w:space="0" w:color="auto"/>
              <w:right w:val="single" w:sz="4" w:space="0" w:color="auto"/>
            </w:tcBorders>
            <w:hideMark/>
          </w:tcPr>
          <w:p w14:paraId="15617747" w14:textId="77777777" w:rsidR="00565C3D" w:rsidRPr="00565C3D" w:rsidRDefault="00565C3D" w:rsidP="00565C3D">
            <w:pPr>
              <w:pStyle w:val="af3"/>
              <w:ind w:left="0"/>
              <w:jc w:val="center"/>
              <w:rPr>
                <w:rFonts w:eastAsiaTheme="minorEastAsia"/>
                <w:lang w:eastAsia="en-US"/>
              </w:rPr>
            </w:pPr>
            <w:r w:rsidRPr="00565C3D">
              <w:rPr>
                <w:rFonts w:eastAsiaTheme="minorEastAsia"/>
                <w:lang w:eastAsia="en-US"/>
              </w:rPr>
              <w:t>-</w:t>
            </w:r>
          </w:p>
        </w:tc>
        <w:tc>
          <w:tcPr>
            <w:tcW w:w="1222" w:type="dxa"/>
            <w:tcBorders>
              <w:top w:val="single" w:sz="4" w:space="0" w:color="auto"/>
              <w:left w:val="single" w:sz="4" w:space="0" w:color="auto"/>
              <w:bottom w:val="single" w:sz="4" w:space="0" w:color="auto"/>
              <w:right w:val="single" w:sz="4" w:space="0" w:color="auto"/>
            </w:tcBorders>
          </w:tcPr>
          <w:p w14:paraId="5729AED1" w14:textId="77777777" w:rsidR="00565C3D" w:rsidRPr="00565C3D" w:rsidRDefault="00565C3D" w:rsidP="00565C3D">
            <w:pPr>
              <w:pStyle w:val="af3"/>
              <w:ind w:left="0"/>
              <w:jc w:val="center"/>
              <w:rPr>
                <w:rFonts w:eastAsiaTheme="minorEastAsia"/>
                <w:lang w:eastAsia="en-US"/>
              </w:rPr>
            </w:pPr>
            <w:r w:rsidRPr="00565C3D">
              <w:rPr>
                <w:rFonts w:eastAsiaTheme="minorEastAsia"/>
                <w:lang w:eastAsia="en-US"/>
              </w:rPr>
              <w:t>40</w:t>
            </w:r>
          </w:p>
        </w:tc>
        <w:tc>
          <w:tcPr>
            <w:tcW w:w="1330" w:type="dxa"/>
            <w:gridSpan w:val="2"/>
            <w:tcBorders>
              <w:top w:val="single" w:sz="4" w:space="0" w:color="auto"/>
              <w:left w:val="single" w:sz="4" w:space="0" w:color="auto"/>
              <w:bottom w:val="single" w:sz="4" w:space="0" w:color="auto"/>
              <w:right w:val="single" w:sz="4" w:space="0" w:color="auto"/>
            </w:tcBorders>
            <w:hideMark/>
          </w:tcPr>
          <w:p w14:paraId="75246176" w14:textId="77777777" w:rsidR="00565C3D" w:rsidRPr="00565C3D" w:rsidRDefault="00565C3D" w:rsidP="00565C3D">
            <w:pPr>
              <w:pStyle w:val="af3"/>
              <w:ind w:left="0"/>
              <w:jc w:val="center"/>
              <w:rPr>
                <w:rFonts w:eastAsiaTheme="minorEastAsia"/>
                <w:lang w:eastAsia="en-US"/>
              </w:rPr>
            </w:pPr>
            <w:r w:rsidRPr="00565C3D">
              <w:rPr>
                <w:rFonts w:eastAsiaTheme="minorEastAsia"/>
                <w:lang w:eastAsia="en-US"/>
              </w:rPr>
              <w:t>-</w:t>
            </w:r>
          </w:p>
        </w:tc>
        <w:tc>
          <w:tcPr>
            <w:tcW w:w="1417" w:type="dxa"/>
            <w:tcBorders>
              <w:top w:val="single" w:sz="4" w:space="0" w:color="auto"/>
              <w:left w:val="single" w:sz="4" w:space="0" w:color="auto"/>
              <w:bottom w:val="single" w:sz="4" w:space="0" w:color="auto"/>
              <w:right w:val="single" w:sz="4" w:space="0" w:color="auto"/>
            </w:tcBorders>
          </w:tcPr>
          <w:p w14:paraId="0FBBEE65" w14:textId="77777777" w:rsidR="00565C3D" w:rsidRPr="00565C3D" w:rsidRDefault="00565C3D" w:rsidP="00565C3D">
            <w:pPr>
              <w:pStyle w:val="af3"/>
              <w:ind w:left="0"/>
              <w:jc w:val="center"/>
              <w:rPr>
                <w:rFonts w:eastAsiaTheme="minorEastAsia"/>
                <w:lang w:eastAsia="en-US"/>
              </w:rPr>
            </w:pPr>
            <w:r w:rsidRPr="00565C3D">
              <w:rPr>
                <w:rFonts w:eastAsiaTheme="minorEastAsia"/>
                <w:lang w:eastAsia="en-US"/>
              </w:rPr>
              <w:t>45</w:t>
            </w:r>
          </w:p>
        </w:tc>
      </w:tr>
      <w:tr w:rsidR="00565C3D" w:rsidRPr="00565C3D" w14:paraId="2C0A9953" w14:textId="77777777" w:rsidTr="00565C3D">
        <w:trPr>
          <w:trHeight w:val="309"/>
        </w:trPr>
        <w:tc>
          <w:tcPr>
            <w:tcW w:w="606" w:type="dxa"/>
            <w:tcBorders>
              <w:top w:val="single" w:sz="4" w:space="0" w:color="auto"/>
              <w:left w:val="single" w:sz="4" w:space="0" w:color="auto"/>
              <w:bottom w:val="single" w:sz="4" w:space="0" w:color="auto"/>
              <w:right w:val="single" w:sz="4" w:space="0" w:color="auto"/>
            </w:tcBorders>
          </w:tcPr>
          <w:p w14:paraId="43A4C35C" w14:textId="77777777" w:rsidR="00565C3D" w:rsidRPr="00565C3D" w:rsidRDefault="00565C3D" w:rsidP="00565C3D">
            <w:pPr>
              <w:pStyle w:val="af3"/>
              <w:ind w:left="0"/>
              <w:jc w:val="center"/>
              <w:rPr>
                <w:rFonts w:eastAsiaTheme="minorEastAsia"/>
                <w:lang w:eastAsia="en-US"/>
              </w:rPr>
            </w:pPr>
            <w:r w:rsidRPr="00565C3D">
              <w:rPr>
                <w:rFonts w:eastAsiaTheme="minorEastAsia"/>
                <w:lang w:eastAsia="en-US"/>
              </w:rPr>
              <w:t>6</w:t>
            </w:r>
          </w:p>
        </w:tc>
        <w:tc>
          <w:tcPr>
            <w:tcW w:w="3789" w:type="dxa"/>
            <w:tcBorders>
              <w:top w:val="single" w:sz="4" w:space="0" w:color="auto"/>
              <w:left w:val="single" w:sz="4" w:space="0" w:color="auto"/>
              <w:bottom w:val="single" w:sz="4" w:space="0" w:color="auto"/>
              <w:right w:val="single" w:sz="4" w:space="0" w:color="auto"/>
            </w:tcBorders>
          </w:tcPr>
          <w:p w14:paraId="22E77205" w14:textId="77777777" w:rsidR="00565C3D" w:rsidRPr="00565C3D" w:rsidRDefault="00565C3D" w:rsidP="00F50F07">
            <w:pPr>
              <w:pStyle w:val="af3"/>
              <w:ind w:left="0"/>
              <w:jc w:val="left"/>
              <w:rPr>
                <w:rFonts w:eastAsiaTheme="minorEastAsia"/>
                <w:lang w:eastAsia="en-US"/>
              </w:rPr>
            </w:pPr>
            <w:r w:rsidRPr="00565C3D">
              <w:rPr>
                <w:rFonts w:eastAsiaTheme="minorEastAsia"/>
                <w:lang w:eastAsia="en-US"/>
              </w:rPr>
              <w:t xml:space="preserve">Інші кредити ЮО на територіях активних бойових </w:t>
            </w:r>
            <w:r w:rsidR="00330CFC" w:rsidRPr="00565C3D">
              <w:rPr>
                <w:rFonts w:eastAsiaTheme="minorEastAsia"/>
                <w:lang w:eastAsia="en-US"/>
              </w:rPr>
              <w:t>ді</w:t>
            </w:r>
            <w:r w:rsidR="00330CFC">
              <w:rPr>
                <w:rFonts w:eastAsiaTheme="minorEastAsia"/>
                <w:lang w:eastAsia="en-US"/>
              </w:rPr>
              <w:t>й</w:t>
            </w:r>
            <w:r w:rsidR="00330CFC" w:rsidRPr="00565C3D">
              <w:rPr>
                <w:rFonts w:eastAsiaTheme="minorEastAsia"/>
                <w:lang w:eastAsia="en-US"/>
              </w:rPr>
              <w:t xml:space="preserve"> </w:t>
            </w:r>
            <w:r w:rsidRPr="00565C3D">
              <w:rPr>
                <w:rFonts w:eastAsiaTheme="minorEastAsia"/>
                <w:lang w:eastAsia="en-US"/>
              </w:rPr>
              <w:t>та тимчасово окупованих</w:t>
            </w:r>
          </w:p>
        </w:tc>
        <w:tc>
          <w:tcPr>
            <w:tcW w:w="1255" w:type="dxa"/>
            <w:tcBorders>
              <w:top w:val="single" w:sz="4" w:space="0" w:color="auto"/>
              <w:left w:val="single" w:sz="4" w:space="0" w:color="auto"/>
              <w:bottom w:val="single" w:sz="4" w:space="0" w:color="auto"/>
              <w:right w:val="single" w:sz="4" w:space="0" w:color="auto"/>
            </w:tcBorders>
            <w:vAlign w:val="center"/>
          </w:tcPr>
          <w:p w14:paraId="240DFC3D" w14:textId="77777777" w:rsidR="00565C3D" w:rsidRPr="00565C3D" w:rsidRDefault="00565C3D" w:rsidP="00565C3D">
            <w:pPr>
              <w:pStyle w:val="af3"/>
              <w:ind w:left="0"/>
              <w:jc w:val="center"/>
              <w:rPr>
                <w:rFonts w:eastAsiaTheme="minorEastAsia"/>
                <w:lang w:eastAsia="en-US"/>
              </w:rPr>
            </w:pPr>
            <w:r w:rsidRPr="00565C3D">
              <w:rPr>
                <w:rFonts w:eastAsiaTheme="minorEastAsia"/>
                <w:lang w:eastAsia="en-US"/>
              </w:rPr>
              <w:t>60</w:t>
            </w:r>
          </w:p>
        </w:tc>
        <w:tc>
          <w:tcPr>
            <w:tcW w:w="1222" w:type="dxa"/>
            <w:tcBorders>
              <w:top w:val="single" w:sz="4" w:space="0" w:color="auto"/>
              <w:left w:val="single" w:sz="4" w:space="0" w:color="auto"/>
              <w:bottom w:val="single" w:sz="4" w:space="0" w:color="auto"/>
              <w:right w:val="single" w:sz="4" w:space="0" w:color="auto"/>
            </w:tcBorders>
            <w:vAlign w:val="center"/>
          </w:tcPr>
          <w:p w14:paraId="47928282" w14:textId="77777777" w:rsidR="00565C3D" w:rsidRPr="00565C3D" w:rsidRDefault="00565C3D" w:rsidP="00565C3D">
            <w:pPr>
              <w:pStyle w:val="af3"/>
              <w:ind w:left="0"/>
              <w:jc w:val="center"/>
              <w:rPr>
                <w:rFonts w:eastAsiaTheme="minorEastAsia"/>
                <w:lang w:eastAsia="en-US"/>
              </w:rPr>
            </w:pPr>
            <w:r w:rsidRPr="00565C3D">
              <w:rPr>
                <w:rFonts w:eastAsiaTheme="minorEastAsia"/>
                <w:lang w:eastAsia="en-US"/>
              </w:rPr>
              <w:t>80</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AA5809A" w14:textId="77777777" w:rsidR="00565C3D" w:rsidRPr="00565C3D" w:rsidRDefault="00565C3D" w:rsidP="00565C3D">
            <w:pPr>
              <w:pStyle w:val="af3"/>
              <w:ind w:left="0"/>
              <w:jc w:val="center"/>
              <w:rPr>
                <w:rFonts w:eastAsiaTheme="minorEastAsia"/>
                <w:lang w:eastAsia="en-US"/>
              </w:rPr>
            </w:pPr>
            <w:r w:rsidRPr="00565C3D">
              <w:rPr>
                <w:rFonts w:eastAsiaTheme="minorEastAsia"/>
                <w:lang w:eastAsia="en-US"/>
              </w:rPr>
              <w:t>100</w:t>
            </w:r>
          </w:p>
        </w:tc>
        <w:tc>
          <w:tcPr>
            <w:tcW w:w="1417" w:type="dxa"/>
            <w:tcBorders>
              <w:top w:val="single" w:sz="4" w:space="0" w:color="auto"/>
              <w:left w:val="single" w:sz="4" w:space="0" w:color="auto"/>
              <w:bottom w:val="single" w:sz="4" w:space="0" w:color="auto"/>
              <w:right w:val="single" w:sz="4" w:space="0" w:color="auto"/>
            </w:tcBorders>
            <w:vAlign w:val="center"/>
          </w:tcPr>
          <w:p w14:paraId="1A4389CF" w14:textId="77777777" w:rsidR="00565C3D" w:rsidRPr="00565C3D" w:rsidRDefault="00565C3D" w:rsidP="00565C3D">
            <w:pPr>
              <w:pStyle w:val="af3"/>
              <w:ind w:left="0"/>
              <w:jc w:val="center"/>
              <w:rPr>
                <w:rFonts w:eastAsiaTheme="minorEastAsia"/>
                <w:lang w:eastAsia="en-US"/>
              </w:rPr>
            </w:pPr>
            <w:r w:rsidRPr="00565C3D">
              <w:rPr>
                <w:rFonts w:eastAsiaTheme="minorEastAsia"/>
                <w:lang w:eastAsia="en-US"/>
              </w:rPr>
              <w:t>100</w:t>
            </w:r>
          </w:p>
        </w:tc>
      </w:tr>
    </w:tbl>
    <w:p w14:paraId="2DA8D7CD" w14:textId="77777777" w:rsidR="00565C3D" w:rsidRPr="00565C3D" w:rsidRDefault="00565C3D" w:rsidP="00506DF8">
      <w:pPr>
        <w:pStyle w:val="af3"/>
        <w:numPr>
          <w:ilvl w:val="0"/>
          <w:numId w:val="52"/>
        </w:numPr>
        <w:tabs>
          <w:tab w:val="left" w:pos="993"/>
        </w:tabs>
        <w:spacing w:before="240" w:after="240"/>
        <w:ind w:left="0" w:firstLine="567"/>
        <w:rPr>
          <w:rFonts w:eastAsiaTheme="minorEastAsia"/>
        </w:rPr>
      </w:pPr>
      <w:r w:rsidRPr="00565C3D">
        <w:rPr>
          <w:rFonts w:eastAsiaTheme="minorEastAsia"/>
        </w:rPr>
        <w:t>Зміна розміру кредитного ризику розраховується за такою формулою:</w:t>
      </w:r>
    </w:p>
    <w:p w14:paraId="416B945C" w14:textId="77777777" w:rsidR="00565C3D" w:rsidRPr="00565C3D" w:rsidRDefault="00565C3D" w:rsidP="00565C3D">
      <w:pPr>
        <w:pStyle w:val="af3"/>
        <w:tabs>
          <w:tab w:val="left" w:pos="993"/>
        </w:tabs>
        <w:spacing w:before="240" w:after="240"/>
        <w:rPr>
          <w:rFonts w:eastAsiaTheme="minorEastAsia"/>
        </w:rPr>
      </w:pPr>
    </w:p>
    <w:p w14:paraId="572772CC" w14:textId="77777777" w:rsidR="00565C3D" w:rsidRPr="00565C3D" w:rsidRDefault="00565C3D" w:rsidP="00565C3D">
      <w:pPr>
        <w:pStyle w:val="af3"/>
        <w:spacing w:after="240"/>
        <w:ind w:left="0"/>
        <w:contextualSpacing w:val="0"/>
        <w:jc w:val="center"/>
        <w:rPr>
          <w:rFonts w:eastAsiaTheme="minorEastAsia"/>
        </w:rPr>
      </w:pPr>
      <m:oMath>
        <m:r>
          <m:rPr>
            <m:nor/>
          </m:rPr>
          <w:rPr>
            <w:rFonts w:eastAsiaTheme="minorEastAsia"/>
            <w:i/>
          </w:rPr>
          <m:t>∆</m:t>
        </m:r>
        <m:sSub>
          <m:sSubPr>
            <m:ctrlPr>
              <w:rPr>
                <w:rFonts w:ascii="Cambria Math" w:eastAsiaTheme="minorEastAsia" w:hAnsi="Cambria Math"/>
                <w:i/>
              </w:rPr>
            </m:ctrlPr>
          </m:sSubPr>
          <m:e>
            <m:r>
              <m:rPr>
                <m:nor/>
              </m:rPr>
              <w:rPr>
                <w:rFonts w:eastAsiaTheme="minorEastAsia"/>
                <w:i/>
              </w:rPr>
              <m:t>CR</m:t>
            </m:r>
          </m:e>
          <m:sub>
            <m:r>
              <m:rPr>
                <m:nor/>
              </m:rPr>
              <w:rPr>
                <w:rFonts w:eastAsiaTheme="minorEastAsia"/>
                <w:i/>
              </w:rPr>
              <m:t>i,t</m:t>
            </m:r>
          </m:sub>
        </m:sSub>
        <m:r>
          <m:rPr>
            <m:nor/>
          </m:rPr>
          <w:rPr>
            <w:rFonts w:eastAsiaTheme="minorEastAsia"/>
            <w:i/>
          </w:rPr>
          <m:t>=</m:t>
        </m:r>
        <m:sSub>
          <m:sSubPr>
            <m:ctrlPr>
              <w:rPr>
                <w:rFonts w:ascii="Cambria Math" w:eastAsiaTheme="minorEastAsia" w:hAnsi="Cambria Math"/>
                <w:i/>
              </w:rPr>
            </m:ctrlPr>
          </m:sSubPr>
          <m:e>
            <m:r>
              <m:rPr>
                <m:nor/>
              </m:rPr>
              <w:rPr>
                <w:rFonts w:eastAsiaTheme="minorEastAsia"/>
                <w:i/>
              </w:rPr>
              <m:t>CR</m:t>
            </m:r>
          </m:e>
          <m:sub>
            <m:r>
              <m:rPr>
                <m:nor/>
              </m:rPr>
              <w:rPr>
                <w:rFonts w:eastAsiaTheme="minorEastAsia"/>
                <w:i/>
              </w:rPr>
              <m:t>i,t</m:t>
            </m:r>
          </m:sub>
        </m:sSub>
        <m:r>
          <w:rPr>
            <w:rFonts w:ascii="Cambria Math" w:eastAsiaTheme="minorEastAsia" w:hAnsi="Cambria Math"/>
          </w:rPr>
          <m:t xml:space="preserve"> </m:t>
        </m:r>
        <m:r>
          <m:rPr>
            <m:nor/>
          </m:rPr>
          <w:rPr>
            <w:rFonts w:eastAsiaTheme="minorEastAsia"/>
            <w:i/>
          </w:rPr>
          <m:t>-</m:t>
        </m:r>
        <m:sSub>
          <m:sSubPr>
            <m:ctrlPr>
              <w:rPr>
                <w:rFonts w:ascii="Cambria Math" w:eastAsiaTheme="minorEastAsia" w:hAnsi="Cambria Math"/>
                <w:i/>
              </w:rPr>
            </m:ctrlPr>
          </m:sSubPr>
          <m:e>
            <m:r>
              <m:rPr>
                <m:nor/>
              </m:rPr>
              <w:rPr>
                <w:rFonts w:eastAsiaTheme="minorEastAsia"/>
                <w:i/>
              </w:rPr>
              <m:t xml:space="preserve"> CR</m:t>
            </m:r>
          </m:e>
          <m:sub>
            <m:r>
              <m:rPr>
                <m:nor/>
              </m:rPr>
              <w:rPr>
                <w:rFonts w:eastAsiaTheme="minorEastAsia"/>
                <w:i/>
              </w:rPr>
              <m:t>i,t-1</m:t>
            </m:r>
          </m:sub>
        </m:sSub>
      </m:oMath>
      <w:r w:rsidR="00D50FC4">
        <w:rPr>
          <w:rFonts w:eastAsiaTheme="minorEastAsia"/>
          <w:i/>
        </w:rPr>
        <w:t>,</w:t>
      </w:r>
      <w:r w:rsidRPr="00565C3D">
        <w:rPr>
          <w:rFonts w:eastAsiaTheme="minorEastAsia"/>
          <w:i/>
        </w:rPr>
        <w:t xml:space="preserve">   </w:t>
      </w:r>
      <w:r w:rsidRPr="00565C3D">
        <w:rPr>
          <w:rFonts w:eastAsiaTheme="minorEastAsia"/>
        </w:rPr>
        <w:t>(5)</w:t>
      </w:r>
    </w:p>
    <w:p w14:paraId="1F6BF319" w14:textId="77777777" w:rsidR="00565C3D" w:rsidRPr="00565C3D" w:rsidRDefault="00565C3D" w:rsidP="002A6FDF">
      <w:pPr>
        <w:pStyle w:val="af3"/>
        <w:ind w:left="0"/>
      </w:pPr>
      <w:r w:rsidRPr="00565C3D">
        <w:rPr>
          <w:rFonts w:eastAsiaTheme="minorEastAsia"/>
        </w:rPr>
        <w:t xml:space="preserve">де    </w:t>
      </w:r>
      <m:oMath>
        <m:sSub>
          <m:sSubPr>
            <m:ctrlPr>
              <w:rPr>
                <w:rFonts w:ascii="Cambria Math" w:eastAsiaTheme="minorEastAsia" w:hAnsi="Cambria Math"/>
                <w:i/>
              </w:rPr>
            </m:ctrlPr>
          </m:sSubPr>
          <m:e>
            <m:r>
              <m:rPr>
                <m:nor/>
              </m:rPr>
              <w:rPr>
                <w:rFonts w:eastAsiaTheme="minorEastAsia"/>
                <w:i/>
              </w:rPr>
              <m:t>CR</m:t>
            </m:r>
          </m:e>
          <m:sub>
            <m:r>
              <m:rPr>
                <m:nor/>
              </m:rPr>
              <w:rPr>
                <w:rFonts w:eastAsiaTheme="minorEastAsia"/>
                <w:i/>
              </w:rPr>
              <m:t>i</m:t>
            </m:r>
          </m:sub>
        </m:sSub>
      </m:oMath>
      <w:r w:rsidRPr="00565C3D">
        <w:rPr>
          <w:rFonts w:eastAsiaTheme="minorEastAsia"/>
        </w:rPr>
        <w:t xml:space="preserve"> – розмір кредитного ризику </w:t>
      </w:r>
      <w:r w:rsidRPr="00565C3D">
        <w:t xml:space="preserve">в сегменті </w:t>
      </w:r>
      <w:r w:rsidRPr="00565C3D">
        <w:rPr>
          <w:i/>
        </w:rPr>
        <w:t>і</w:t>
      </w:r>
      <w:r w:rsidRPr="00565C3D">
        <w:t xml:space="preserve"> (у періоді </w:t>
      </w:r>
      <w:r w:rsidRPr="00565C3D">
        <w:rPr>
          <w:i/>
        </w:rPr>
        <w:t>t</w:t>
      </w:r>
      <w:r w:rsidRPr="00565C3D">
        <w:t xml:space="preserve"> або </w:t>
      </w:r>
      <w:r w:rsidRPr="00565C3D">
        <w:rPr>
          <w:i/>
        </w:rPr>
        <w:t>t-1</w:t>
      </w:r>
      <w:r w:rsidRPr="00565C3D">
        <w:t>);</w:t>
      </w:r>
    </w:p>
    <w:p w14:paraId="0B59CAA5" w14:textId="77777777" w:rsidR="00565C3D" w:rsidRPr="00565C3D" w:rsidRDefault="00565C3D" w:rsidP="002A6FDF">
      <w:pPr>
        <w:ind w:firstLine="567"/>
      </w:pPr>
      <w:r w:rsidRPr="00565C3D">
        <w:rPr>
          <w:i/>
        </w:rPr>
        <w:t>t</w:t>
      </w:r>
      <w:r w:rsidRPr="00565C3D">
        <w:t xml:space="preserve"> – порядковий номер прогнозного періоду.</w:t>
      </w:r>
    </w:p>
    <w:p w14:paraId="0EBFD723" w14:textId="77777777" w:rsidR="00565C3D" w:rsidRPr="00565C3D" w:rsidRDefault="00565C3D" w:rsidP="00565C3D">
      <w:pPr>
        <w:pStyle w:val="1"/>
        <w:rPr>
          <w:rFonts w:cs="Times New Roman"/>
        </w:rPr>
      </w:pPr>
      <w:bookmarkStart w:id="11" w:name="_Toc508032606"/>
      <w:r w:rsidRPr="00565C3D">
        <w:rPr>
          <w:rFonts w:cs="Times New Roman"/>
        </w:rPr>
        <w:t xml:space="preserve">VI. </w:t>
      </w:r>
      <w:bookmarkEnd w:id="11"/>
      <w:r w:rsidRPr="00565C3D">
        <w:rPr>
          <w:rFonts w:cs="Times New Roman"/>
        </w:rPr>
        <w:t>Загальні положення прогнозування балансу та звіту про фінансовий результат у моделі СТ</w:t>
      </w:r>
    </w:p>
    <w:p w14:paraId="70AD2038" w14:textId="35BE4285" w:rsidR="00565C3D" w:rsidRPr="00565C3D" w:rsidRDefault="00565C3D" w:rsidP="00E12E58">
      <w:pPr>
        <w:pStyle w:val="af3"/>
        <w:numPr>
          <w:ilvl w:val="0"/>
          <w:numId w:val="52"/>
        </w:numPr>
        <w:tabs>
          <w:tab w:val="left" w:pos="993"/>
        </w:tabs>
        <w:spacing w:before="240" w:after="240"/>
        <w:ind w:left="0" w:right="-1" w:firstLine="567"/>
        <w:contextualSpacing w:val="0"/>
        <w:rPr>
          <w:rFonts w:eastAsiaTheme="minorEastAsia"/>
        </w:rPr>
      </w:pPr>
      <w:r w:rsidRPr="00565C3D">
        <w:rPr>
          <w:rFonts w:eastAsiaTheme="minorEastAsia"/>
        </w:rPr>
        <w:t xml:space="preserve">Зміни статей балансу можливі </w:t>
      </w:r>
      <w:r w:rsidR="004A1161">
        <w:rPr>
          <w:rFonts w:eastAsiaTheme="minorEastAsia"/>
        </w:rPr>
        <w:t>лише</w:t>
      </w:r>
      <w:r w:rsidR="0098642B">
        <w:rPr>
          <w:rFonts w:eastAsiaTheme="minorEastAsia"/>
        </w:rPr>
        <w:t>:</w:t>
      </w:r>
    </w:p>
    <w:p w14:paraId="3CBA01A0" w14:textId="77777777" w:rsidR="002A6FDF" w:rsidRDefault="00565C3D" w:rsidP="00E12E58">
      <w:pPr>
        <w:pStyle w:val="af3"/>
        <w:numPr>
          <w:ilvl w:val="0"/>
          <w:numId w:val="53"/>
        </w:numPr>
        <w:tabs>
          <w:tab w:val="left" w:pos="993"/>
        </w:tabs>
        <w:spacing w:before="240" w:after="240"/>
        <w:ind w:left="0" w:firstLine="567"/>
        <w:contextualSpacing w:val="0"/>
        <w:rPr>
          <w:lang w:eastAsia="ru-RU"/>
        </w:rPr>
      </w:pPr>
      <w:r w:rsidRPr="00565C3D">
        <w:rPr>
          <w:lang w:eastAsia="ru-RU"/>
        </w:rPr>
        <w:lastRenderedPageBreak/>
        <w:t>за активами (валовими та чистими) унаслідок зміни обмінного курсу національної валюти, знецінення активів (доформування і розформування резервів, переоцінки справедливої вартості цінних паперів);</w:t>
      </w:r>
    </w:p>
    <w:p w14:paraId="46DD2593" w14:textId="77777777" w:rsidR="002A6FDF" w:rsidRDefault="00565C3D" w:rsidP="00E12E58">
      <w:pPr>
        <w:pStyle w:val="af3"/>
        <w:numPr>
          <w:ilvl w:val="0"/>
          <w:numId w:val="53"/>
        </w:numPr>
        <w:tabs>
          <w:tab w:val="left" w:pos="993"/>
        </w:tabs>
        <w:spacing w:before="240" w:after="240"/>
        <w:ind w:left="0" w:firstLine="567"/>
        <w:contextualSpacing w:val="0"/>
        <w:rPr>
          <w:lang w:eastAsia="ru-RU"/>
        </w:rPr>
      </w:pPr>
      <w:r w:rsidRPr="00565C3D">
        <w:rPr>
          <w:lang w:eastAsia="ru-RU"/>
        </w:rPr>
        <w:t>за зобов’язаннями внаслідок зміни обмін</w:t>
      </w:r>
      <w:r w:rsidR="002A6FDF">
        <w:rPr>
          <w:lang w:eastAsia="ru-RU"/>
        </w:rPr>
        <w:t>ного курсу національної валюти;</w:t>
      </w:r>
    </w:p>
    <w:p w14:paraId="2CF75910" w14:textId="77777777" w:rsidR="00565C3D" w:rsidRPr="00565C3D" w:rsidRDefault="00565C3D" w:rsidP="00E12E58">
      <w:pPr>
        <w:pStyle w:val="af3"/>
        <w:numPr>
          <w:ilvl w:val="0"/>
          <w:numId w:val="53"/>
        </w:numPr>
        <w:tabs>
          <w:tab w:val="left" w:pos="993"/>
        </w:tabs>
        <w:spacing w:before="240" w:after="240"/>
        <w:ind w:left="0" w:firstLine="567"/>
        <w:contextualSpacing w:val="0"/>
        <w:rPr>
          <w:lang w:eastAsia="ru-RU"/>
        </w:rPr>
      </w:pPr>
      <w:r w:rsidRPr="00565C3D">
        <w:rPr>
          <w:lang w:eastAsia="ru-RU"/>
        </w:rPr>
        <w:t>за власним капіталом у результаті отримання чистого прибутку/збитку в прогнозних періодах, що переходить у статті “нерозподілений прибуток (непокритий збиток)”. Припускається, що банки не виплачуватимуть дивіденди в прогнозному періоді, крім випадків, коли виплата дивідендів у поточному році за попередні звітні періоди передбачена рішенням уповноваженого органу банку.</w:t>
      </w:r>
    </w:p>
    <w:p w14:paraId="28207A6E" w14:textId="77777777" w:rsidR="00565C3D" w:rsidRPr="00565C3D" w:rsidRDefault="00565C3D" w:rsidP="00E12E58">
      <w:pPr>
        <w:pStyle w:val="af3"/>
        <w:numPr>
          <w:ilvl w:val="0"/>
          <w:numId w:val="52"/>
        </w:numPr>
        <w:tabs>
          <w:tab w:val="left" w:pos="993"/>
        </w:tabs>
        <w:spacing w:before="240" w:after="240"/>
        <w:ind w:left="0" w:right="-1" w:firstLine="567"/>
        <w:contextualSpacing w:val="0"/>
        <w:rPr>
          <w:rFonts w:eastAsiaTheme="minorEastAsia"/>
        </w:rPr>
      </w:pPr>
      <w:r w:rsidRPr="00565C3D">
        <w:rPr>
          <w:rFonts w:eastAsiaTheme="minorEastAsia"/>
        </w:rPr>
        <w:t>Звіт про фінансовий результат прогнозується відповідно до таких принципів:</w:t>
      </w:r>
    </w:p>
    <w:p w14:paraId="0105899C" w14:textId="77777777" w:rsidR="00565C3D" w:rsidRPr="00565C3D" w:rsidRDefault="00565C3D" w:rsidP="00E12E58">
      <w:pPr>
        <w:pStyle w:val="af3"/>
        <w:numPr>
          <w:ilvl w:val="0"/>
          <w:numId w:val="54"/>
        </w:numPr>
        <w:tabs>
          <w:tab w:val="left" w:pos="993"/>
        </w:tabs>
        <w:spacing w:before="240"/>
        <w:ind w:left="0" w:firstLine="567"/>
        <w:contextualSpacing w:val="0"/>
      </w:pPr>
      <w:r w:rsidRPr="00565C3D">
        <w:t xml:space="preserve">процентні доходи розраховуються шляхом множення ставок дохідності активів на обсяг активів у розрізі сегментів відповідно до групи статей активу/типу боржника/типу валюти/переважного виду застави (тільки для кредитів, наданих ФО) та працюючих і непрацюючих кредитів. </w:t>
      </w:r>
    </w:p>
    <w:p w14:paraId="4C7CC943" w14:textId="77777777" w:rsidR="00565C3D" w:rsidRPr="005848E9" w:rsidRDefault="00565C3D" w:rsidP="00E12E58">
      <w:pPr>
        <w:tabs>
          <w:tab w:val="left" w:pos="993"/>
        </w:tabs>
        <w:spacing w:after="240"/>
        <w:ind w:firstLine="709"/>
      </w:pPr>
      <w:r w:rsidRPr="0080151A">
        <w:t xml:space="preserve">Із урахуванням визнання банками доходів від переоцінки </w:t>
      </w:r>
      <w:r w:rsidR="005848E9" w:rsidRPr="0080151A">
        <w:t xml:space="preserve">операцій </w:t>
      </w:r>
      <w:r w:rsidRPr="0080151A">
        <w:t xml:space="preserve">своп процентної ставки з Національним банком відповідно до очікуваних надходжень у фінансовому результаті, процентні доходи від цього інструменту </w:t>
      </w:r>
      <w:r w:rsidR="000D1416">
        <w:t xml:space="preserve">в </w:t>
      </w:r>
      <w:r w:rsidRPr="0080151A">
        <w:t xml:space="preserve"> прогнозних</w:t>
      </w:r>
      <w:r w:rsidRPr="00BE6BE6">
        <w:t xml:space="preserve"> періодах не враховуються</w:t>
      </w:r>
      <w:r w:rsidR="004A1161">
        <w:t>;</w:t>
      </w:r>
    </w:p>
    <w:p w14:paraId="6A41F3E4" w14:textId="77777777" w:rsidR="00565C3D" w:rsidRPr="00565C3D" w:rsidRDefault="00565C3D" w:rsidP="0005789F">
      <w:pPr>
        <w:pStyle w:val="af3"/>
        <w:numPr>
          <w:ilvl w:val="0"/>
          <w:numId w:val="54"/>
        </w:numPr>
        <w:tabs>
          <w:tab w:val="left" w:pos="993"/>
        </w:tabs>
        <w:spacing w:before="240" w:after="240"/>
        <w:ind w:left="0" w:right="-1" w:firstLine="567"/>
        <w:contextualSpacing w:val="0"/>
      </w:pPr>
      <w:r w:rsidRPr="00565C3D">
        <w:t xml:space="preserve">процентні витрати розраховуються шляхом множення скоригованої відповідно до макроекономічних сценаріїв ставки вартості зобов’язань на обсяг зобов’язань у розрізі сегментів відповідно до групи статей пасиву/типу клієнта/типу валюти та строковості; </w:t>
      </w:r>
    </w:p>
    <w:p w14:paraId="7F36745A" w14:textId="77777777" w:rsidR="00565C3D" w:rsidRPr="00565C3D" w:rsidRDefault="00565C3D" w:rsidP="0005789F">
      <w:pPr>
        <w:pStyle w:val="af3"/>
        <w:numPr>
          <w:ilvl w:val="0"/>
          <w:numId w:val="54"/>
        </w:numPr>
        <w:tabs>
          <w:tab w:val="left" w:pos="993"/>
        </w:tabs>
        <w:spacing w:before="240" w:after="240"/>
        <w:ind w:left="0" w:right="-1" w:firstLine="567"/>
        <w:contextualSpacing w:val="0"/>
      </w:pPr>
      <w:r w:rsidRPr="00565C3D">
        <w:t>комісійні доходи та комісійні витрати розраховуються з урахуванням поточної динаміки та прогнозів основних макроекономічних показників. Неповторювані елементи не враховуються в прогнозних періодах;</w:t>
      </w:r>
    </w:p>
    <w:p w14:paraId="671A8A91" w14:textId="77777777" w:rsidR="00565C3D" w:rsidRPr="00565C3D" w:rsidRDefault="00565C3D" w:rsidP="0005789F">
      <w:pPr>
        <w:pStyle w:val="af3"/>
        <w:numPr>
          <w:ilvl w:val="0"/>
          <w:numId w:val="54"/>
        </w:numPr>
        <w:tabs>
          <w:tab w:val="left" w:pos="993"/>
        </w:tabs>
        <w:spacing w:before="240" w:after="240"/>
        <w:ind w:left="0" w:right="-1" w:firstLine="567"/>
        <w:contextualSpacing w:val="0"/>
      </w:pPr>
      <w:r w:rsidRPr="00565C3D">
        <w:t>адміністративні витрати розраховуються з урахуванням поточної динаміки та прогнозів основних макроекономічних показників. Неповторювані елементи не враховуються в прогнозних періодах;</w:t>
      </w:r>
    </w:p>
    <w:p w14:paraId="0042CFD8" w14:textId="77777777" w:rsidR="00565C3D" w:rsidRPr="00565C3D" w:rsidRDefault="00565C3D" w:rsidP="0005789F">
      <w:pPr>
        <w:pStyle w:val="af3"/>
        <w:numPr>
          <w:ilvl w:val="0"/>
          <w:numId w:val="54"/>
        </w:numPr>
        <w:tabs>
          <w:tab w:val="left" w:pos="993"/>
        </w:tabs>
        <w:spacing w:before="240"/>
        <w:ind w:left="0" w:firstLine="567"/>
        <w:contextualSpacing w:val="0"/>
      </w:pPr>
      <w:r w:rsidRPr="00565C3D">
        <w:t>результат від купівлі/продажу іноземної валюти та банківських металів розрахову</w:t>
      </w:r>
      <w:r w:rsidR="00D50FC4">
        <w:t>є</w:t>
      </w:r>
      <w:r w:rsidRPr="00565C3D">
        <w:t>ться з урахуванням поточної динаміки та прогнозів основних макроекономічних показників.</w:t>
      </w:r>
    </w:p>
    <w:p w14:paraId="1E2C4BEA" w14:textId="77777777" w:rsidR="00565C3D" w:rsidRPr="00565C3D" w:rsidRDefault="00565C3D" w:rsidP="0005789F">
      <w:pPr>
        <w:tabs>
          <w:tab w:val="left" w:pos="993"/>
        </w:tabs>
        <w:spacing w:after="240"/>
        <w:ind w:firstLine="567"/>
      </w:pPr>
      <w:r w:rsidRPr="00565C3D">
        <w:t>Результат від купівлі/продажу іноземної валюти та банківських металів уключає елементи звіту про фінансовий результат за агрегацією, здійсненою відповідно до роз’яснень Національного банку;</w:t>
      </w:r>
    </w:p>
    <w:p w14:paraId="24691D90" w14:textId="77777777" w:rsidR="00565C3D" w:rsidRPr="00565C3D" w:rsidRDefault="00565C3D" w:rsidP="0005789F">
      <w:pPr>
        <w:pStyle w:val="af3"/>
        <w:numPr>
          <w:ilvl w:val="0"/>
          <w:numId w:val="54"/>
        </w:numPr>
        <w:tabs>
          <w:tab w:val="left" w:pos="993"/>
        </w:tabs>
        <w:spacing w:before="240"/>
        <w:ind w:left="0" w:firstLine="567"/>
        <w:contextualSpacing w:val="0"/>
      </w:pPr>
      <w:r w:rsidRPr="00565C3D">
        <w:lastRenderedPageBreak/>
        <w:t>результат від операцій із фінансовими інструментами, які обліковуються за справедливою вартістю через прибуток або збиток, припускається в прогнозних періодах на рівні нуль</w:t>
      </w:r>
      <w:r w:rsidR="000D1416">
        <w:t>;</w:t>
      </w:r>
    </w:p>
    <w:p w14:paraId="6F9FDF19" w14:textId="77777777" w:rsidR="00BE6BE6" w:rsidRPr="00FD2D62" w:rsidRDefault="00565C3D" w:rsidP="00BE6BE6">
      <w:pPr>
        <w:pStyle w:val="af3"/>
        <w:numPr>
          <w:ilvl w:val="0"/>
          <w:numId w:val="54"/>
        </w:numPr>
        <w:tabs>
          <w:tab w:val="left" w:pos="993"/>
        </w:tabs>
        <w:spacing w:before="240" w:after="240"/>
        <w:ind w:left="0" w:right="-1" w:firstLine="567"/>
        <w:contextualSpacing w:val="0"/>
      </w:pPr>
      <w:r w:rsidRPr="00FD2D62">
        <w:t xml:space="preserve">формування резервів здійснюється таким чином, щоб обсяг резервів </w:t>
      </w:r>
      <w:r w:rsidR="00E86B3E">
        <w:t>не був нижч</w:t>
      </w:r>
      <w:r w:rsidR="00E24CE4">
        <w:t>е ніж</w:t>
      </w:r>
      <w:r w:rsidR="00E86B3E" w:rsidRPr="00FD2D62">
        <w:t xml:space="preserve"> </w:t>
      </w:r>
      <w:r w:rsidRPr="00FD2D62">
        <w:t>сум</w:t>
      </w:r>
      <w:r w:rsidR="00E24CE4">
        <w:t>а</w:t>
      </w:r>
      <w:r w:rsidRPr="00FD2D62">
        <w:t xml:space="preserve"> кредитного ризику всіх активів за всіма валютами;</w:t>
      </w:r>
    </w:p>
    <w:p w14:paraId="633EAE5A" w14:textId="77777777" w:rsidR="00565C3D" w:rsidRPr="00565C3D" w:rsidRDefault="00565C3D" w:rsidP="00BE6BE6">
      <w:pPr>
        <w:pStyle w:val="af3"/>
        <w:numPr>
          <w:ilvl w:val="0"/>
          <w:numId w:val="54"/>
        </w:numPr>
        <w:tabs>
          <w:tab w:val="left" w:pos="993"/>
        </w:tabs>
        <w:spacing w:before="240" w:after="240"/>
        <w:ind w:left="0" w:right="-1" w:firstLine="567"/>
        <w:contextualSpacing w:val="0"/>
      </w:pPr>
      <w:r w:rsidRPr="00565C3D">
        <w:t>інші статті доходів та витрат припускаються сталими в прогнозному періоді на рівні значення звітного періоду. Неповторювані елементи не враховуються в прогнозних періодах;</w:t>
      </w:r>
    </w:p>
    <w:p w14:paraId="76B39EAA" w14:textId="77777777" w:rsidR="00565C3D" w:rsidRPr="00565C3D" w:rsidRDefault="00565C3D" w:rsidP="0005789F">
      <w:pPr>
        <w:pStyle w:val="af3"/>
        <w:numPr>
          <w:ilvl w:val="0"/>
          <w:numId w:val="54"/>
        </w:numPr>
        <w:tabs>
          <w:tab w:val="left" w:pos="993"/>
        </w:tabs>
        <w:spacing w:before="240" w:after="240"/>
        <w:ind w:left="0" w:right="-1" w:firstLine="567"/>
        <w:contextualSpacing w:val="0"/>
      </w:pPr>
      <w:r w:rsidRPr="00565C3D">
        <w:t xml:space="preserve">податок на прибуток ‒ застосовується номінальна ставка податку. </w:t>
      </w:r>
    </w:p>
    <w:p w14:paraId="63DAD625" w14:textId="77777777" w:rsidR="00565C3D" w:rsidRPr="00565C3D" w:rsidRDefault="00565C3D" w:rsidP="00565C3D">
      <w:pPr>
        <w:pStyle w:val="1"/>
        <w:rPr>
          <w:rFonts w:cs="Times New Roman"/>
        </w:rPr>
      </w:pPr>
      <w:r w:rsidRPr="00565C3D">
        <w:rPr>
          <w:rFonts w:cs="Times New Roman"/>
        </w:rPr>
        <w:t>VII. Прогнозування процентних доходів і витрат у моделі СТ</w:t>
      </w:r>
    </w:p>
    <w:p w14:paraId="5D5622FB" w14:textId="77777777" w:rsidR="00565C3D" w:rsidRPr="00565C3D" w:rsidRDefault="00565C3D" w:rsidP="0005789F">
      <w:pPr>
        <w:pStyle w:val="af3"/>
        <w:numPr>
          <w:ilvl w:val="0"/>
          <w:numId w:val="52"/>
        </w:numPr>
        <w:tabs>
          <w:tab w:val="left" w:pos="993"/>
        </w:tabs>
        <w:spacing w:before="240" w:after="240"/>
        <w:ind w:left="0" w:right="-1" w:firstLine="567"/>
        <w:contextualSpacing w:val="0"/>
        <w:rPr>
          <w:rFonts w:eastAsiaTheme="minorEastAsia"/>
        </w:rPr>
      </w:pPr>
      <w:r w:rsidRPr="00565C3D">
        <w:rPr>
          <w:rFonts w:eastAsiaTheme="minorEastAsia"/>
        </w:rPr>
        <w:t>Прогнози процентних доходів і витрат ґрунтуються на базовому макроекономічному сценарії зміни процентних ставок для активів і пасивів.</w:t>
      </w:r>
    </w:p>
    <w:p w14:paraId="4C88D358" w14:textId="77777777" w:rsidR="0005789F" w:rsidRPr="0005789F" w:rsidRDefault="00565C3D" w:rsidP="0005789F">
      <w:pPr>
        <w:pStyle w:val="af3"/>
        <w:numPr>
          <w:ilvl w:val="0"/>
          <w:numId w:val="52"/>
        </w:numPr>
        <w:tabs>
          <w:tab w:val="left" w:pos="993"/>
        </w:tabs>
        <w:spacing w:before="240" w:after="240"/>
        <w:ind w:left="0" w:right="-1" w:firstLine="567"/>
        <w:contextualSpacing w:val="0"/>
        <w:rPr>
          <w:rFonts w:eastAsiaTheme="minorEastAsia"/>
        </w:rPr>
      </w:pPr>
      <w:r w:rsidRPr="00565C3D">
        <w:rPr>
          <w:rFonts w:eastAsiaTheme="minorEastAsia"/>
        </w:rPr>
        <w:t>Прогнозований процентний дохід/прогнозовані процентні витрати відображають ефект переоцінки (зміни відсоткової ставки) для нових позицій та зміни в базових ставках для позицій зі змінною (плаваючою) ставкою. Для зобов’язань трансмісійний вплив ринкових процентних ставок відображається через окремий прогноз за вкладами ЮО</w:t>
      </w:r>
      <w:r w:rsidR="00E86B3E">
        <w:rPr>
          <w:rFonts w:eastAsiaTheme="minorEastAsia"/>
        </w:rPr>
        <w:t xml:space="preserve"> всіх строковостей</w:t>
      </w:r>
      <w:r w:rsidRPr="00565C3D">
        <w:rPr>
          <w:rFonts w:eastAsiaTheme="minorEastAsia"/>
        </w:rPr>
        <w:t xml:space="preserve"> та ФО різної строковості (коротко- або довгострокові). </w:t>
      </w:r>
      <w:r w:rsidRPr="0005789F">
        <w:rPr>
          <w:rFonts w:eastAsiaTheme="minorEastAsia"/>
        </w:rPr>
        <w:t xml:space="preserve">Прогнозовані чисті </w:t>
      </w:r>
      <w:r w:rsidRPr="0005789F">
        <w:t xml:space="preserve">процентні доходи не коригуються відповідно до чинних операцій своп процентної ставки з Національним банком через врахування </w:t>
      </w:r>
      <w:r w:rsidR="000D1416">
        <w:t>цього</w:t>
      </w:r>
      <w:r w:rsidR="000D1416" w:rsidRPr="0005789F">
        <w:t xml:space="preserve"> </w:t>
      </w:r>
      <w:r w:rsidRPr="0005789F">
        <w:t>результату у фактичній звітності банку.</w:t>
      </w:r>
    </w:p>
    <w:p w14:paraId="3820C0D8" w14:textId="77777777" w:rsidR="00565C3D" w:rsidRPr="00565C3D" w:rsidRDefault="00565C3D" w:rsidP="0005789F">
      <w:pPr>
        <w:pStyle w:val="af3"/>
        <w:numPr>
          <w:ilvl w:val="0"/>
          <w:numId w:val="52"/>
        </w:numPr>
        <w:tabs>
          <w:tab w:val="left" w:pos="993"/>
        </w:tabs>
        <w:spacing w:before="240" w:after="240"/>
        <w:ind w:left="0" w:right="-1" w:firstLine="567"/>
        <w:contextualSpacing w:val="0"/>
        <w:rPr>
          <w:rFonts w:eastAsiaTheme="minorEastAsia"/>
        </w:rPr>
      </w:pPr>
      <w:r w:rsidRPr="00565C3D">
        <w:rPr>
          <w:rFonts w:eastAsiaTheme="minorEastAsia"/>
        </w:rPr>
        <w:t>Дохідність процентних активів розраховується в розрізі сегментів відповідно до групи статей активу/типу боржника/типу валюти/переважного виду застави (тільки для кредитів, наданих ФО) та працюючих і непрацюючих кредитів. До розрахунку береться менша із сум нарахованих та отриманих процентних доходів, крім доходів за державними цінними паперами, для яких до розрахунку береться сума нарахованих процентних доходів. Для розрахунку дохідності активів використовується інформація банку за останні шість місяців до звітної дати (жовтень 2022 року – березень 2023 року). Дохідність процентних активів у звітному році розраховується за такою формулою:</w:t>
      </w:r>
    </w:p>
    <w:p w14:paraId="5B92EB32" w14:textId="77777777" w:rsidR="00565C3D" w:rsidRPr="00565C3D" w:rsidRDefault="0052636F" w:rsidP="00402FDB">
      <w:pPr>
        <w:jc w:val="center"/>
      </w:pPr>
      <m:oMath>
        <m:sSub>
          <m:sSubPr>
            <m:ctrlPr>
              <w:rPr>
                <w:rFonts w:ascii="Cambria Math" w:hAnsi="Cambria Math"/>
                <w:i/>
              </w:rPr>
            </m:ctrlPr>
          </m:sSubPr>
          <m:e>
            <m:r>
              <w:rPr>
                <w:rFonts w:ascii="Cambria Math" w:hAnsi="Cambria Math"/>
              </w:rPr>
              <m:t>EIR_A</m:t>
            </m:r>
          </m:e>
          <m:sub>
            <m:r>
              <w:rPr>
                <w:rFonts w:ascii="Cambria Math" w:hAnsi="Cambria Math"/>
              </w:rPr>
              <m:t>0</m:t>
            </m:r>
          </m:sub>
        </m:sSub>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6</m:t>
                </m:r>
              </m:sup>
              <m:e>
                <m:sSub>
                  <m:sSubPr>
                    <m:ctrlPr>
                      <w:rPr>
                        <w:rFonts w:ascii="Cambria Math" w:hAnsi="Cambria Math"/>
                        <w:i/>
                      </w:rPr>
                    </m:ctrlPr>
                  </m:sSubPr>
                  <m:e>
                    <m:r>
                      <w:rPr>
                        <w:rFonts w:ascii="Cambria Math" w:hAnsi="Cambria Math"/>
                      </w:rPr>
                      <m:t>II</m:t>
                    </m:r>
                  </m:e>
                  <m:sub>
                    <m:r>
                      <w:rPr>
                        <w:rFonts w:ascii="Cambria Math" w:hAnsi="Cambria Math"/>
                      </w:rPr>
                      <m:t>i</m:t>
                    </m:r>
                  </m:sub>
                </m:sSub>
              </m:e>
            </m:nary>
          </m:num>
          <m:den>
            <m:nary>
              <m:naryPr>
                <m:chr m:val="∑"/>
                <m:limLoc m:val="subSup"/>
                <m:ctrlPr>
                  <w:rPr>
                    <w:rFonts w:ascii="Cambria Math" w:hAnsi="Cambria Math"/>
                    <w:i/>
                  </w:rPr>
                </m:ctrlPr>
              </m:naryPr>
              <m:sub>
                <m:r>
                  <w:rPr>
                    <w:rFonts w:ascii="Cambria Math" w:hAnsi="Cambria Math"/>
                  </w:rPr>
                  <m:t>i=1</m:t>
                </m:r>
              </m:sub>
              <m:sup>
                <m:r>
                  <w:rPr>
                    <w:rFonts w:ascii="Cambria Math" w:hAnsi="Cambria Math"/>
                  </w:rPr>
                  <m:t>6</m:t>
                </m:r>
              </m:sup>
              <m:e>
                <m:sSub>
                  <m:sSubPr>
                    <m:ctrlPr>
                      <w:rPr>
                        <w:rFonts w:ascii="Cambria Math" w:hAnsi="Cambria Math"/>
                        <w:i/>
                      </w:rPr>
                    </m:ctrlPr>
                  </m:sSubPr>
                  <m:e>
                    <m:bar>
                      <m:barPr>
                        <m:pos m:val="top"/>
                        <m:ctrlPr>
                          <w:rPr>
                            <w:rFonts w:ascii="Cambria Math" w:hAnsi="Cambria Math"/>
                            <w:i/>
                          </w:rPr>
                        </m:ctrlPr>
                      </m:barPr>
                      <m:e>
                        <m:r>
                          <w:rPr>
                            <w:rFonts w:ascii="Cambria Math" w:hAnsi="Cambria Math"/>
                          </w:rPr>
                          <m:t>IS_A</m:t>
                        </m:r>
                      </m:e>
                    </m:bar>
                  </m:e>
                  <m:sub>
                    <m:r>
                      <w:rPr>
                        <w:rFonts w:ascii="Cambria Math" w:hAnsi="Cambria Math"/>
                      </w:rPr>
                      <m:t>i</m:t>
                    </m:r>
                  </m:sub>
                </m:sSub>
              </m:e>
            </m:nary>
          </m:den>
        </m:f>
        <m:r>
          <w:rPr>
            <w:rFonts w:ascii="Cambria Math" w:hAnsi="Cambria Math"/>
          </w:rPr>
          <m:t>∙12,</m:t>
        </m:r>
      </m:oMath>
      <w:r w:rsidR="00565C3D" w:rsidRPr="00565C3D">
        <w:t xml:space="preserve">  </w:t>
      </w:r>
      <w:r w:rsidR="00E24CE4">
        <w:t xml:space="preserve">                       </w:t>
      </w:r>
      <w:r w:rsidR="00565C3D" w:rsidRPr="00565C3D">
        <w:t xml:space="preserve"> (6)</w:t>
      </w:r>
    </w:p>
    <w:p w14:paraId="2E55B701" w14:textId="77777777" w:rsidR="00565C3D" w:rsidRPr="00565C3D" w:rsidRDefault="00565C3D" w:rsidP="0005789F">
      <w:pPr>
        <w:tabs>
          <w:tab w:val="left" w:pos="567"/>
        </w:tabs>
        <w:spacing w:before="240"/>
      </w:pPr>
      <w:r w:rsidRPr="00565C3D">
        <w:t xml:space="preserve">де </w:t>
      </w:r>
      <m:oMath>
        <m:r>
          <w:rPr>
            <w:rFonts w:ascii="Cambria Math" w:hAnsi="Cambria Math"/>
          </w:rPr>
          <m:t xml:space="preserve">    i</m:t>
        </m:r>
      </m:oMath>
      <w:r w:rsidRPr="00565C3D">
        <w:t xml:space="preserve"> – порядковий номер місяця;</w:t>
      </w:r>
    </w:p>
    <w:p w14:paraId="295A7309" w14:textId="77777777" w:rsidR="00565C3D" w:rsidRPr="00565C3D" w:rsidRDefault="0052636F" w:rsidP="0005789F">
      <w:pPr>
        <w:tabs>
          <w:tab w:val="left" w:pos="567"/>
        </w:tabs>
        <w:ind w:right="-1" w:firstLine="567"/>
      </w:pPr>
      <m:oMath>
        <m:sSub>
          <m:sSubPr>
            <m:ctrlPr>
              <w:rPr>
                <w:rFonts w:ascii="Cambria Math" w:hAnsi="Cambria Math"/>
                <w:i/>
              </w:rPr>
            </m:ctrlPr>
          </m:sSubPr>
          <m:e>
            <m:r>
              <w:rPr>
                <w:rFonts w:ascii="Cambria Math" w:hAnsi="Cambria Math"/>
              </w:rPr>
              <m:t>II</m:t>
            </m:r>
          </m:e>
          <m:sub>
            <m:r>
              <w:rPr>
                <w:rFonts w:ascii="Cambria Math" w:hAnsi="Cambria Math"/>
              </w:rPr>
              <m:t>i</m:t>
            </m:r>
          </m:sub>
        </m:sSub>
      </m:oMath>
      <w:r w:rsidR="00565C3D" w:rsidRPr="00565C3D">
        <w:t xml:space="preserve"> – процентний дохід за відповідний місяць;</w:t>
      </w:r>
    </w:p>
    <w:p w14:paraId="0DFBF9AA" w14:textId="77777777" w:rsidR="00565C3D" w:rsidRPr="00565C3D" w:rsidRDefault="0052636F" w:rsidP="0005789F">
      <w:pPr>
        <w:tabs>
          <w:tab w:val="left" w:pos="567"/>
        </w:tabs>
        <w:ind w:right="-1" w:firstLine="567"/>
      </w:pPr>
      <m:oMath>
        <m:sSub>
          <m:sSubPr>
            <m:ctrlPr>
              <w:rPr>
                <w:rFonts w:ascii="Cambria Math" w:hAnsi="Cambria Math"/>
                <w:i/>
              </w:rPr>
            </m:ctrlPr>
          </m:sSubPr>
          <m:e>
            <m:bar>
              <m:barPr>
                <m:pos m:val="top"/>
                <m:ctrlPr>
                  <w:rPr>
                    <w:rFonts w:ascii="Cambria Math" w:hAnsi="Cambria Math"/>
                    <w:i/>
                  </w:rPr>
                </m:ctrlPr>
              </m:barPr>
              <m:e>
                <m:r>
                  <w:rPr>
                    <w:rFonts w:ascii="Cambria Math" w:hAnsi="Cambria Math"/>
                  </w:rPr>
                  <m:t>IS_A</m:t>
                </m:r>
              </m:e>
            </m:bar>
          </m:e>
          <m:sub>
            <m:r>
              <w:rPr>
                <w:rFonts w:ascii="Cambria Math" w:hAnsi="Cambria Math"/>
              </w:rPr>
              <m:t>i</m:t>
            </m:r>
          </m:sub>
        </m:sSub>
      </m:oMath>
      <w:r w:rsidR="00565C3D" w:rsidRPr="00565C3D">
        <w:t xml:space="preserve"> – середньоденний залишок за відповідним видом активу (валовий). </w:t>
      </w:r>
    </w:p>
    <w:p w14:paraId="16A5969F" w14:textId="77777777" w:rsidR="00565C3D" w:rsidRPr="00565C3D" w:rsidRDefault="00565C3D" w:rsidP="0005789F">
      <w:pPr>
        <w:tabs>
          <w:tab w:val="left" w:pos="567"/>
        </w:tabs>
        <w:ind w:right="-1" w:firstLine="567"/>
      </w:pPr>
      <w:r w:rsidRPr="00565C3D">
        <w:lastRenderedPageBreak/>
        <w:t>Під час розрахунку дохідності активів за кредитами використовується валова заборгованість (не зменшена на суму резервів за МСФЗ).</w:t>
      </w:r>
    </w:p>
    <w:p w14:paraId="69901D83" w14:textId="77777777" w:rsidR="00565C3D" w:rsidRPr="00565C3D" w:rsidRDefault="00565C3D" w:rsidP="0005789F">
      <w:pPr>
        <w:tabs>
          <w:tab w:val="left" w:pos="567"/>
        </w:tabs>
        <w:ind w:right="-1" w:firstLine="567"/>
      </w:pPr>
      <w:r w:rsidRPr="00565C3D">
        <w:t xml:space="preserve">Дохідність кредитів не може перевищувати більше ніж </w:t>
      </w:r>
      <w:r w:rsidR="003907DA">
        <w:t>у</w:t>
      </w:r>
      <w:r w:rsidRPr="00565C3D">
        <w:t xml:space="preserve">тричі середній рівень дохідності відповідних кредитів згідно з макроекономічними сценаріями (за винятком випадків, коли вищі ставки документально та/або статистично підтверджені </w:t>
      </w:r>
      <w:r w:rsidR="00E86B3E">
        <w:t>банком для цілей оцінки</w:t>
      </w:r>
      <w:r w:rsidRPr="00565C3D">
        <w:t xml:space="preserve">). </w:t>
      </w:r>
    </w:p>
    <w:p w14:paraId="58C91CEE" w14:textId="77777777" w:rsidR="00565C3D" w:rsidRPr="00565C3D" w:rsidRDefault="00565C3D" w:rsidP="0005789F">
      <w:pPr>
        <w:pStyle w:val="af3"/>
        <w:numPr>
          <w:ilvl w:val="0"/>
          <w:numId w:val="52"/>
        </w:numPr>
        <w:tabs>
          <w:tab w:val="left" w:pos="993"/>
        </w:tabs>
        <w:spacing w:before="240"/>
        <w:ind w:left="0" w:firstLine="567"/>
        <w:contextualSpacing w:val="0"/>
        <w:rPr>
          <w:rFonts w:eastAsiaTheme="minorEastAsia"/>
        </w:rPr>
      </w:pPr>
      <w:r w:rsidRPr="00565C3D">
        <w:t xml:space="preserve">Дохідність активів за NPL прогнозується на рівні грошових надходжень протягом звітного періоду, що має бути підтверджено достовірними історичними даними, та не може перевищувати 25% рівня дохідності активів за </w:t>
      </w:r>
      <w:r w:rsidRPr="00565C3D">
        <w:rPr>
          <w:rFonts w:eastAsiaTheme="minorEastAsia"/>
        </w:rPr>
        <w:t xml:space="preserve">кредитами </w:t>
      </w:r>
      <w:r w:rsidR="000D1416" w:rsidRPr="00565C3D">
        <w:rPr>
          <w:rFonts w:eastAsiaTheme="minorEastAsia"/>
        </w:rPr>
        <w:t xml:space="preserve">класів </w:t>
      </w:r>
      <w:r w:rsidRPr="00565C3D">
        <w:rPr>
          <w:rFonts w:eastAsiaTheme="minorEastAsia"/>
        </w:rPr>
        <w:t xml:space="preserve">1–9 для ЮО та </w:t>
      </w:r>
      <w:r w:rsidR="000D1416" w:rsidRPr="00565C3D">
        <w:rPr>
          <w:rFonts w:eastAsiaTheme="minorEastAsia"/>
        </w:rPr>
        <w:t xml:space="preserve">класів </w:t>
      </w:r>
      <w:r w:rsidRPr="00565C3D">
        <w:rPr>
          <w:rFonts w:eastAsiaTheme="minorEastAsia"/>
        </w:rPr>
        <w:t>1–4 для ФО. Якщо в банку немає працюючих активів (кредити</w:t>
      </w:r>
      <w:r w:rsidR="003B4E2A" w:rsidRPr="003B4E2A">
        <w:rPr>
          <w:rFonts w:eastAsiaTheme="minorEastAsia"/>
        </w:rPr>
        <w:t xml:space="preserve"> </w:t>
      </w:r>
      <w:r w:rsidR="003B4E2A" w:rsidRPr="00565C3D">
        <w:rPr>
          <w:rFonts w:eastAsiaTheme="minorEastAsia"/>
        </w:rPr>
        <w:t>класів</w:t>
      </w:r>
      <w:r w:rsidRPr="00565C3D">
        <w:rPr>
          <w:rFonts w:eastAsiaTheme="minorEastAsia"/>
        </w:rPr>
        <w:t xml:space="preserve"> 1–9 для ЮО та </w:t>
      </w:r>
      <w:r w:rsidR="003B4E2A" w:rsidRPr="00565C3D">
        <w:rPr>
          <w:rFonts w:eastAsiaTheme="minorEastAsia"/>
        </w:rPr>
        <w:t xml:space="preserve">класів </w:t>
      </w:r>
      <w:r w:rsidRPr="00565C3D">
        <w:rPr>
          <w:rFonts w:eastAsiaTheme="minorEastAsia"/>
        </w:rPr>
        <w:t xml:space="preserve">1–4 для ФО), то дохідність активів </w:t>
      </w:r>
      <w:r w:rsidRPr="00565C3D">
        <w:t>за NPL не може перевищувати 25% середнього рівня дохідності активів згідно з базовим макроекономічним сценарієм.</w:t>
      </w:r>
    </w:p>
    <w:p w14:paraId="3667B758" w14:textId="77777777" w:rsidR="00565C3D" w:rsidRPr="00565C3D" w:rsidRDefault="00565C3D" w:rsidP="0005789F">
      <w:pPr>
        <w:tabs>
          <w:tab w:val="left" w:pos="993"/>
        </w:tabs>
        <w:ind w:firstLine="567"/>
        <w:rPr>
          <w:rFonts w:eastAsiaTheme="minorEastAsia"/>
        </w:rPr>
      </w:pPr>
      <w:r w:rsidRPr="00565C3D">
        <w:t xml:space="preserve">Дохідність активів за NPL кредитами </w:t>
      </w:r>
      <w:r w:rsidR="003B4E2A">
        <w:t>в</w:t>
      </w:r>
      <w:r w:rsidR="003B4E2A" w:rsidRPr="00565C3D">
        <w:t xml:space="preserve"> </w:t>
      </w:r>
      <w:r w:rsidRPr="00565C3D">
        <w:t xml:space="preserve">іноземній валюті, наданими ФО, припускається рівною 0%. </w:t>
      </w:r>
    </w:p>
    <w:p w14:paraId="43F17F7D" w14:textId="77777777" w:rsidR="00565C3D" w:rsidRPr="00565C3D" w:rsidRDefault="00565C3D" w:rsidP="0005789F">
      <w:pPr>
        <w:pStyle w:val="af3"/>
        <w:numPr>
          <w:ilvl w:val="0"/>
          <w:numId w:val="52"/>
        </w:numPr>
        <w:tabs>
          <w:tab w:val="left" w:pos="993"/>
        </w:tabs>
        <w:spacing w:before="240" w:after="240"/>
        <w:ind w:left="0" w:right="-1" w:firstLine="567"/>
        <w:contextualSpacing w:val="0"/>
        <w:rPr>
          <w:rFonts w:eastAsiaTheme="minorEastAsia"/>
        </w:rPr>
      </w:pPr>
      <w:r w:rsidRPr="00565C3D">
        <w:rPr>
          <w:rFonts w:eastAsiaTheme="minorEastAsia"/>
        </w:rPr>
        <w:t xml:space="preserve">Для цілей СТ дохідність активів коригується на прогнозовану зміну середнього рівня відповідних відсоткових ставок за базовим сценарієм. Коригування здійснюється за такою формулою: </w:t>
      </w:r>
    </w:p>
    <w:p w14:paraId="22B4B40E" w14:textId="77777777" w:rsidR="00565C3D" w:rsidRPr="00565C3D" w:rsidRDefault="0052636F" w:rsidP="00565C3D">
      <w:pPr>
        <w:jc w:val="center"/>
        <w:rPr>
          <w:i/>
        </w:rPr>
      </w:pPr>
      <m:oMath>
        <m:sSub>
          <m:sSubPr>
            <m:ctrlPr>
              <w:rPr>
                <w:rFonts w:ascii="Cambria Math" w:hAnsi="Cambria Math"/>
                <w:i/>
              </w:rPr>
            </m:ctrlPr>
          </m:sSubPr>
          <m:e>
            <m:r>
              <w:rPr>
                <w:rFonts w:ascii="Cambria Math" w:hAnsi="Cambria Math"/>
              </w:rPr>
              <m:t>EIR_A</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EIR_A</m:t>
            </m:r>
          </m:e>
          <m:sub>
            <m:r>
              <w:rPr>
                <w:rFonts w:ascii="Cambria Math" w:hAnsi="Cambria Math"/>
              </w:rPr>
              <m:t>0</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IR_A</m:t>
                </m:r>
              </m:e>
              <m:sub>
                <m:r>
                  <w:rPr>
                    <w:rFonts w:ascii="Cambria Math" w:hAnsi="Cambria Math"/>
                  </w:rPr>
                  <m:t>t</m:t>
                </m:r>
              </m:sub>
            </m:sSub>
          </m:num>
          <m:den>
            <m:sSub>
              <m:sSubPr>
                <m:ctrlPr>
                  <w:rPr>
                    <w:rFonts w:ascii="Cambria Math" w:hAnsi="Cambria Math"/>
                    <w:i/>
                  </w:rPr>
                </m:ctrlPr>
              </m:sSubPr>
              <m:e>
                <m:r>
                  <w:rPr>
                    <w:rFonts w:ascii="Cambria Math" w:hAnsi="Cambria Math"/>
                  </w:rPr>
                  <m:t>IR_A</m:t>
                </m:r>
              </m:e>
              <m:sub>
                <m:r>
                  <w:rPr>
                    <w:rFonts w:ascii="Cambria Math" w:hAnsi="Cambria Math"/>
                  </w:rPr>
                  <m:t>0</m:t>
                </m:r>
              </m:sub>
            </m:sSub>
          </m:den>
        </m:f>
      </m:oMath>
      <w:r w:rsidR="00565C3D" w:rsidRPr="00565C3D">
        <w:t xml:space="preserve"> </w:t>
      </w:r>
      <w:r w:rsidR="003B4E2A">
        <w:t>,</w:t>
      </w:r>
      <w:r w:rsidR="00565C3D" w:rsidRPr="00565C3D">
        <w:t xml:space="preserve"> </w:t>
      </w:r>
      <w:r w:rsidR="003B4E2A">
        <w:t xml:space="preserve">                               </w:t>
      </w:r>
      <w:r w:rsidR="00565C3D" w:rsidRPr="00565C3D">
        <w:t xml:space="preserve"> (7)</w:t>
      </w:r>
    </w:p>
    <w:p w14:paraId="096C482B" w14:textId="77777777" w:rsidR="00565C3D" w:rsidRPr="00565C3D" w:rsidRDefault="00565C3D" w:rsidP="00483885">
      <w:pPr>
        <w:tabs>
          <w:tab w:val="left" w:pos="993"/>
        </w:tabs>
        <w:spacing w:before="240"/>
      </w:pPr>
      <w:r w:rsidRPr="00565C3D">
        <w:t xml:space="preserve">де </w:t>
      </w:r>
      <m:oMath>
        <m:sSub>
          <m:sSubPr>
            <m:ctrlPr>
              <w:rPr>
                <w:rFonts w:ascii="Cambria Math" w:hAnsi="Cambria Math"/>
                <w:i/>
              </w:rPr>
            </m:ctrlPr>
          </m:sSubPr>
          <m:e>
            <m:r>
              <w:rPr>
                <w:rFonts w:ascii="Cambria Math" w:hAnsi="Cambria Math"/>
              </w:rPr>
              <m:t xml:space="preserve">   EIR_A</m:t>
            </m:r>
          </m:e>
          <m:sub>
            <m:r>
              <w:rPr>
                <w:rFonts w:ascii="Cambria Math" w:hAnsi="Cambria Math"/>
              </w:rPr>
              <m:t>0</m:t>
            </m:r>
          </m:sub>
        </m:sSub>
      </m:oMath>
      <w:r w:rsidRPr="00565C3D">
        <w:t xml:space="preserve"> – дохідність відповідного виду активу (у розрізі сегментів та працюючих і непрацюючих кредитів) у звітному періоді; </w:t>
      </w:r>
    </w:p>
    <w:p w14:paraId="1A194D40" w14:textId="77777777" w:rsidR="00565C3D" w:rsidRPr="00565C3D" w:rsidRDefault="00565C3D" w:rsidP="005C5CBA">
      <w:pPr>
        <w:tabs>
          <w:tab w:val="left" w:pos="993"/>
        </w:tabs>
        <w:ind w:right="-1" w:firstLine="567"/>
      </w:pPr>
      <m:oMath>
        <m:r>
          <w:rPr>
            <w:rFonts w:ascii="Cambria Math" w:hAnsi="Cambria Math"/>
          </w:rPr>
          <m:t>t</m:t>
        </m:r>
      </m:oMath>
      <w:r w:rsidRPr="00565C3D">
        <w:t xml:space="preserve"> – порядковий номер прогнозного періоду;</w:t>
      </w:r>
    </w:p>
    <w:p w14:paraId="57B5497E" w14:textId="77777777" w:rsidR="00565C3D" w:rsidRPr="00565C3D" w:rsidRDefault="0052636F" w:rsidP="0098642B">
      <w:pPr>
        <w:tabs>
          <w:tab w:val="left" w:pos="993"/>
        </w:tabs>
        <w:ind w:left="567" w:right="-1"/>
      </w:pPr>
      <m:oMath>
        <m:sSub>
          <m:sSubPr>
            <m:ctrlPr>
              <w:rPr>
                <w:rFonts w:ascii="Cambria Math" w:hAnsi="Cambria Math"/>
                <w:i/>
              </w:rPr>
            </m:ctrlPr>
          </m:sSubPr>
          <m:e>
            <m:r>
              <w:rPr>
                <w:rFonts w:ascii="Cambria Math" w:hAnsi="Cambria Math"/>
              </w:rPr>
              <m:t>IR_A</m:t>
            </m:r>
          </m:e>
          <m:sub>
            <m:r>
              <w:rPr>
                <w:rFonts w:ascii="Cambria Math" w:hAnsi="Cambria Math"/>
              </w:rPr>
              <m:t>t</m:t>
            </m:r>
          </m:sub>
        </m:sSub>
      </m:oMath>
      <w:r w:rsidR="00565C3D" w:rsidRPr="00565C3D">
        <w:t xml:space="preserve"> – дохідність відповідного виду нових кредитів у відповідному прогнозному періоді </w:t>
      </w:r>
      <m:oMath>
        <m:r>
          <w:rPr>
            <w:rFonts w:ascii="Cambria Math" w:hAnsi="Cambria Math"/>
          </w:rPr>
          <m:t>t</m:t>
        </m:r>
      </m:oMath>
      <w:r w:rsidR="00565C3D" w:rsidRPr="00565C3D">
        <w:t>;</w:t>
      </w:r>
    </w:p>
    <w:p w14:paraId="60D15E48" w14:textId="77777777" w:rsidR="00565C3D" w:rsidRPr="00565C3D" w:rsidRDefault="0052636F" w:rsidP="005C5CBA">
      <w:pPr>
        <w:tabs>
          <w:tab w:val="left" w:pos="993"/>
        </w:tabs>
        <w:ind w:firstLine="567"/>
      </w:pPr>
      <m:oMath>
        <m:sSub>
          <m:sSubPr>
            <m:ctrlPr>
              <w:rPr>
                <w:rFonts w:ascii="Cambria Math" w:hAnsi="Cambria Math"/>
                <w:i/>
              </w:rPr>
            </m:ctrlPr>
          </m:sSubPr>
          <m:e>
            <m:r>
              <w:rPr>
                <w:rFonts w:ascii="Cambria Math" w:hAnsi="Cambria Math"/>
              </w:rPr>
              <m:t>IR_A</m:t>
            </m:r>
          </m:e>
          <m:sub>
            <m:r>
              <w:rPr>
                <w:rFonts w:ascii="Cambria Math" w:hAnsi="Cambria Math"/>
              </w:rPr>
              <m:t>0</m:t>
            </m:r>
          </m:sub>
        </m:sSub>
      </m:oMath>
      <w:r w:rsidR="00565C3D" w:rsidRPr="00565C3D">
        <w:t xml:space="preserve"> – дохідність  відповідного виду нових кредитів у звітному періоді.</w:t>
      </w:r>
    </w:p>
    <w:p w14:paraId="5B1AE57E" w14:textId="77777777" w:rsidR="00565C3D" w:rsidRPr="00565C3D" w:rsidRDefault="00565C3D" w:rsidP="005C5CBA">
      <w:pPr>
        <w:tabs>
          <w:tab w:val="left" w:pos="993"/>
        </w:tabs>
        <w:ind w:right="-1" w:firstLine="567"/>
      </w:pPr>
      <w:r w:rsidRPr="00565C3D">
        <w:t xml:space="preserve">Дохідність інших процентних активів (крім кредитів) строком понад горизонт </w:t>
      </w:r>
      <w:r w:rsidR="004B32BF">
        <w:t>СТ</w:t>
      </w:r>
      <w:r w:rsidRPr="00565C3D">
        <w:t xml:space="preserve"> не переоцінюється. Дохідність інших процентних активів переоцінюється відповідно до строковості починаючи з періоду, у якому відбувається погашення. </w:t>
      </w:r>
    </w:p>
    <w:p w14:paraId="31E2FDD9" w14:textId="77777777" w:rsidR="00565C3D" w:rsidRDefault="00565C3D" w:rsidP="005C5CBA">
      <w:pPr>
        <w:pStyle w:val="af3"/>
        <w:numPr>
          <w:ilvl w:val="0"/>
          <w:numId w:val="52"/>
        </w:numPr>
        <w:tabs>
          <w:tab w:val="left" w:pos="993"/>
        </w:tabs>
        <w:spacing w:before="240" w:after="240"/>
        <w:ind w:left="0" w:firstLine="567"/>
        <w:contextualSpacing w:val="0"/>
      </w:pPr>
      <w:r w:rsidRPr="00565C3D">
        <w:t xml:space="preserve">Процентний дохід за період </w:t>
      </w:r>
      <w:r w:rsidRPr="00565C3D">
        <w:rPr>
          <w:i/>
        </w:rPr>
        <w:t>t</w:t>
      </w:r>
      <w:r w:rsidRPr="00565C3D">
        <w:t xml:space="preserve"> розраховується за такою формулою:</w:t>
      </w:r>
    </w:p>
    <w:tbl>
      <w:tblPr>
        <w:tblStyle w:val="a9"/>
        <w:tblW w:w="76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715"/>
      </w:tblGrid>
      <w:tr w:rsidR="005C5CBA" w14:paraId="706D9160" w14:textId="77777777" w:rsidTr="005C5CBA">
        <w:trPr>
          <w:jc w:val="center"/>
        </w:trPr>
        <w:tc>
          <w:tcPr>
            <w:tcW w:w="6946" w:type="dxa"/>
          </w:tcPr>
          <w:p w14:paraId="6C3136F6" w14:textId="77777777" w:rsidR="005C5CBA" w:rsidRDefault="0052636F" w:rsidP="007777E9">
            <w:pPr>
              <w:pStyle w:val="af3"/>
              <w:spacing w:after="120"/>
              <w:ind w:left="786"/>
              <w:contextualSpacing w:val="0"/>
              <w:jc w:val="center"/>
            </w:pPr>
            <m:oMathPara>
              <m:oMath>
                <m:sSub>
                  <m:sSubPr>
                    <m:ctrlPr>
                      <w:rPr>
                        <w:rFonts w:ascii="Cambria Math" w:hAnsi="Cambria Math"/>
                        <w:i/>
                      </w:rPr>
                    </m:ctrlPr>
                  </m:sSubPr>
                  <m:e>
                    <m:r>
                      <w:rPr>
                        <w:rFonts w:ascii="Cambria Math" w:hAnsi="Cambria Math"/>
                      </w:rPr>
                      <m:t>II</m:t>
                    </m:r>
                  </m:e>
                  <m:sub>
                    <m:r>
                      <w:rPr>
                        <w:rFonts w:ascii="Cambria Math" w:hAnsi="Cambria Math"/>
                      </w:rPr>
                      <m:t>t</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n</m:t>
                    </m:r>
                  </m:sub>
                  <m:sup/>
                  <m:e>
                    <m:sSub>
                      <m:sSubPr>
                        <m:ctrlPr>
                          <w:rPr>
                            <w:rFonts w:ascii="Cambria Math" w:hAnsi="Cambria Math"/>
                            <w:i/>
                          </w:rPr>
                        </m:ctrlPr>
                      </m:sSubPr>
                      <m:e>
                        <m:r>
                          <w:rPr>
                            <w:rFonts w:ascii="Cambria Math" w:hAnsi="Cambria Math"/>
                          </w:rPr>
                          <m:t>(EI</m:t>
                        </m:r>
                        <m:sSub>
                          <m:sSubPr>
                            <m:ctrlPr>
                              <w:rPr>
                                <w:rFonts w:ascii="Cambria Math" w:hAnsi="Cambria Math"/>
                                <w:i/>
                              </w:rPr>
                            </m:ctrlPr>
                          </m:sSubPr>
                          <m:e>
                            <m:r>
                              <w:rPr>
                                <w:rFonts w:ascii="Cambria Math" w:hAnsi="Cambria Math"/>
                              </w:rPr>
                              <m:t>R</m:t>
                            </m:r>
                          </m:e>
                          <m:sub>
                            <m:r>
                              <w:rPr>
                                <w:rFonts w:ascii="Cambria Math" w:hAnsi="Cambria Math"/>
                              </w:rPr>
                              <m:t>PL</m:t>
                            </m:r>
                          </m:sub>
                        </m:sSub>
                      </m:e>
                      <m:sub>
                        <m:r>
                          <w:rPr>
                            <w:rFonts w:ascii="Cambria Math" w:hAnsi="Cambria Math"/>
                          </w:rPr>
                          <m:t>n,t</m:t>
                        </m:r>
                      </m:sub>
                    </m:sSub>
                    <m:r>
                      <w:rPr>
                        <w:rFonts w:ascii="Cambria Math" w:hAnsi="Cambria Math"/>
                      </w:rPr>
                      <m:t>∙</m:t>
                    </m:r>
                    <m:sSub>
                      <m:sSubPr>
                        <m:ctrlPr>
                          <w:rPr>
                            <w:rFonts w:ascii="Cambria Math" w:hAnsi="Cambria Math"/>
                            <w:i/>
                          </w:rPr>
                        </m:ctrlPr>
                      </m:sSubPr>
                      <m:e>
                        <m:r>
                          <w:rPr>
                            <w:rFonts w:ascii="Cambria Math" w:hAnsi="Cambria Math"/>
                          </w:rPr>
                          <m:t>PL</m:t>
                        </m:r>
                      </m:e>
                      <m:sub>
                        <m:r>
                          <w:rPr>
                            <w:rFonts w:ascii="Cambria Math" w:hAnsi="Cambria Math"/>
                          </w:rPr>
                          <m:t>n,t</m:t>
                        </m:r>
                      </m:sub>
                    </m:sSub>
                    <m:r>
                      <w:rPr>
                        <w:rFonts w:ascii="Cambria Math" w:hAnsi="Cambria Math"/>
                      </w:rPr>
                      <m:t>+</m:t>
                    </m:r>
                    <m:sSub>
                      <m:sSubPr>
                        <m:ctrlPr>
                          <w:rPr>
                            <w:rFonts w:ascii="Cambria Math" w:hAnsi="Cambria Math"/>
                            <w:i/>
                          </w:rPr>
                        </m:ctrlPr>
                      </m:sSubPr>
                      <m:e>
                        <m:r>
                          <w:rPr>
                            <w:rFonts w:ascii="Cambria Math" w:hAnsi="Cambria Math"/>
                          </w:rPr>
                          <m:t>EI</m:t>
                        </m:r>
                        <m:sSub>
                          <m:sSubPr>
                            <m:ctrlPr>
                              <w:rPr>
                                <w:rFonts w:ascii="Cambria Math" w:hAnsi="Cambria Math"/>
                                <w:i/>
                              </w:rPr>
                            </m:ctrlPr>
                          </m:sSubPr>
                          <m:e>
                            <m:r>
                              <w:rPr>
                                <w:rFonts w:ascii="Cambria Math" w:hAnsi="Cambria Math"/>
                              </w:rPr>
                              <m:t>R</m:t>
                            </m:r>
                          </m:e>
                          <m:sub>
                            <m:r>
                              <w:rPr>
                                <w:rFonts w:ascii="Cambria Math" w:hAnsi="Cambria Math"/>
                              </w:rPr>
                              <m:t>NPL</m:t>
                            </m:r>
                          </m:sub>
                        </m:sSub>
                      </m:e>
                      <m:sub>
                        <m:r>
                          <w:rPr>
                            <w:rFonts w:ascii="Cambria Math" w:hAnsi="Cambria Math"/>
                          </w:rPr>
                          <m:t>n,t</m:t>
                        </m:r>
                      </m:sub>
                    </m:sSub>
                    <m:r>
                      <w:rPr>
                        <w:rFonts w:ascii="Cambria Math" w:hAnsi="Cambria Math"/>
                      </w:rPr>
                      <m:t>∙</m:t>
                    </m:r>
                    <m:sSub>
                      <m:sSubPr>
                        <m:ctrlPr>
                          <w:rPr>
                            <w:rFonts w:ascii="Cambria Math" w:hAnsi="Cambria Math"/>
                            <w:i/>
                          </w:rPr>
                        </m:ctrlPr>
                      </m:sSubPr>
                      <m:e>
                        <m:r>
                          <w:rPr>
                            <w:rFonts w:ascii="Cambria Math" w:hAnsi="Cambria Math"/>
                          </w:rPr>
                          <m:t>NPL</m:t>
                        </m:r>
                      </m:e>
                      <m:sub>
                        <m:r>
                          <w:rPr>
                            <w:rFonts w:ascii="Cambria Math" w:hAnsi="Cambria Math"/>
                          </w:rPr>
                          <m:t>n,t</m:t>
                        </m:r>
                      </m:sub>
                    </m:sSub>
                    <m:r>
                      <w:rPr>
                        <w:rFonts w:ascii="Cambria Math" w:hAnsi="Cambria Math"/>
                      </w:rPr>
                      <m:t xml:space="preserve">)+ </m:t>
                    </m:r>
                  </m:e>
                </m:nary>
              </m:oMath>
            </m:oMathPara>
          </w:p>
        </w:tc>
        <w:tc>
          <w:tcPr>
            <w:tcW w:w="715" w:type="dxa"/>
          </w:tcPr>
          <w:p w14:paraId="37165FFF" w14:textId="77777777" w:rsidR="005C5CBA" w:rsidRDefault="005C5CBA" w:rsidP="007777E9">
            <w:pPr>
              <w:tabs>
                <w:tab w:val="left" w:pos="993"/>
              </w:tabs>
              <w:spacing w:after="120"/>
              <w:ind w:right="-1"/>
            </w:pPr>
          </w:p>
        </w:tc>
      </w:tr>
      <w:tr w:rsidR="005C5CBA" w14:paraId="0CC3670D" w14:textId="77777777" w:rsidTr="005C5CBA">
        <w:trPr>
          <w:jc w:val="center"/>
        </w:trPr>
        <w:tc>
          <w:tcPr>
            <w:tcW w:w="6946" w:type="dxa"/>
          </w:tcPr>
          <w:p w14:paraId="366F049D" w14:textId="77777777" w:rsidR="005C5CBA" w:rsidRDefault="005C5CBA" w:rsidP="007777E9">
            <w:pPr>
              <w:tabs>
                <w:tab w:val="left" w:pos="993"/>
              </w:tabs>
              <w:spacing w:after="120"/>
              <w:ind w:right="-1"/>
            </w:pPr>
            <m:oMathPara>
              <m:oMath>
                <m:r>
                  <w:rPr>
                    <w:rFonts w:ascii="Cambria Math" w:hAnsi="Cambria Math"/>
                  </w:rPr>
                  <m:t xml:space="preserve">+ </m:t>
                </m:r>
                <m:nary>
                  <m:naryPr>
                    <m:chr m:val="∑"/>
                    <m:limLoc m:val="undOvr"/>
                    <m:supHide m:val="1"/>
                    <m:ctrlPr>
                      <w:rPr>
                        <w:rFonts w:ascii="Cambria Math" w:hAnsi="Cambria Math"/>
                        <w:i/>
                      </w:rPr>
                    </m:ctrlPr>
                  </m:naryPr>
                  <m:sub>
                    <m:r>
                      <w:rPr>
                        <w:rFonts w:ascii="Cambria Math" w:hAnsi="Cambria Math"/>
                      </w:rPr>
                      <m:t>m</m:t>
                    </m:r>
                  </m:sub>
                  <m:sup/>
                  <m:e>
                    <m:d>
                      <m:dPr>
                        <m:ctrlPr>
                          <w:rPr>
                            <w:rFonts w:ascii="Cambria Math" w:hAnsi="Cambria Math"/>
                            <w:i/>
                          </w:rPr>
                        </m:ctrlPr>
                      </m:dPr>
                      <m:e>
                        <m:r>
                          <w:rPr>
                            <w:rFonts w:ascii="Cambria Math" w:hAnsi="Cambria Math"/>
                          </w:rPr>
                          <m:t>EI</m:t>
                        </m:r>
                        <m:sSub>
                          <m:sSubPr>
                            <m:ctrlPr>
                              <w:rPr>
                                <w:rFonts w:ascii="Cambria Math" w:hAnsi="Cambria Math"/>
                                <w:i/>
                              </w:rPr>
                            </m:ctrlPr>
                          </m:sSubPr>
                          <m:e>
                            <m:sSub>
                              <m:sSubPr>
                                <m:ctrlPr>
                                  <w:rPr>
                                    <w:rFonts w:ascii="Cambria Math" w:hAnsi="Cambria Math"/>
                                    <w:i/>
                                  </w:rPr>
                                </m:ctrlPr>
                              </m:sSubPr>
                              <m:e>
                                <m:r>
                                  <w:rPr>
                                    <w:rFonts w:ascii="Cambria Math" w:hAnsi="Cambria Math"/>
                                  </w:rPr>
                                  <m:t>R</m:t>
                                </m:r>
                              </m:e>
                              <m:sub>
                                <m:r>
                                  <w:rPr>
                                    <w:rFonts w:ascii="Cambria Math" w:hAnsi="Cambria Math"/>
                                  </w:rPr>
                                  <m:t>othA</m:t>
                                </m:r>
                              </m:sub>
                            </m:sSub>
                          </m:e>
                          <m:sub>
                            <m:r>
                              <w:rPr>
                                <w:rFonts w:ascii="Cambria Math" w:hAnsi="Cambria Math"/>
                              </w:rPr>
                              <m:t>m,0</m:t>
                            </m:r>
                          </m:sub>
                        </m:sSub>
                        <m:r>
                          <w:rPr>
                            <w:rFonts w:ascii="Cambria Math" w:hAnsi="Cambria Math"/>
                          </w:rPr>
                          <m:t>× I</m:t>
                        </m:r>
                        <m:sSub>
                          <m:sSubPr>
                            <m:ctrlPr>
                              <w:rPr>
                                <w:rFonts w:ascii="Cambria Math" w:hAnsi="Cambria Math"/>
                                <w:i/>
                              </w:rPr>
                            </m:ctrlPr>
                          </m:sSubPr>
                          <m:e>
                            <m:sSub>
                              <m:sSubPr>
                                <m:ctrlPr>
                                  <w:rPr>
                                    <w:rFonts w:ascii="Cambria Math" w:hAnsi="Cambria Math"/>
                                    <w:i/>
                                  </w:rPr>
                                </m:ctrlPr>
                              </m:sSubPr>
                              <m:e>
                                <m:r>
                                  <w:rPr>
                                    <w:rFonts w:ascii="Cambria Math" w:hAnsi="Cambria Math"/>
                                  </w:rPr>
                                  <m:t>S</m:t>
                                </m:r>
                              </m:e>
                              <m:sub>
                                <m:r>
                                  <w:rPr>
                                    <w:rFonts w:ascii="Cambria Math" w:hAnsi="Cambria Math"/>
                                  </w:rPr>
                                  <m:t>oth</m:t>
                                </m:r>
                              </m:sub>
                            </m:sSub>
                          </m:e>
                          <m:sub>
                            <m:sSub>
                              <m:sSubPr>
                                <m:ctrlPr>
                                  <w:rPr>
                                    <w:rFonts w:ascii="Cambria Math" w:hAnsi="Cambria Math"/>
                                    <w:i/>
                                  </w:rPr>
                                </m:ctrlPr>
                              </m:sSubPr>
                              <m:e>
                                <m:r>
                                  <w:rPr>
                                    <w:rFonts w:ascii="Cambria Math" w:hAnsi="Cambria Math"/>
                                  </w:rPr>
                                  <m:t>A</m:t>
                                </m:r>
                              </m:e>
                              <m:sub>
                                <m:r>
                                  <w:rPr>
                                    <w:rFonts w:ascii="Cambria Math" w:hAnsi="Cambria Math"/>
                                  </w:rPr>
                                  <m:t>m,t</m:t>
                                </m:r>
                              </m:sub>
                            </m:sSub>
                          </m:sub>
                        </m:sSub>
                      </m:e>
                    </m:d>
                    <m:r>
                      <w:rPr>
                        <w:rFonts w:ascii="Cambria Math" w:hAnsi="Cambria Math"/>
                      </w:rPr>
                      <m:t>,</m:t>
                    </m:r>
                  </m:e>
                </m:nary>
              </m:oMath>
            </m:oMathPara>
          </w:p>
        </w:tc>
        <w:tc>
          <w:tcPr>
            <w:tcW w:w="715" w:type="dxa"/>
            <w:vAlign w:val="center"/>
          </w:tcPr>
          <w:p w14:paraId="5C10D4DF" w14:textId="77777777" w:rsidR="005C5CBA" w:rsidRDefault="005C5CBA" w:rsidP="003B4E2A">
            <w:pPr>
              <w:tabs>
                <w:tab w:val="left" w:pos="993"/>
              </w:tabs>
              <w:spacing w:after="120"/>
              <w:ind w:right="-1"/>
            </w:pPr>
            <w:r w:rsidRPr="00565C3D">
              <w:t>(8)</w:t>
            </w:r>
          </w:p>
        </w:tc>
      </w:tr>
    </w:tbl>
    <w:p w14:paraId="3F5510C0" w14:textId="77777777" w:rsidR="00565C3D" w:rsidRPr="00565C3D" w:rsidRDefault="00565C3D" w:rsidP="00483885">
      <w:pPr>
        <w:spacing w:before="120"/>
      </w:pPr>
      <w:r w:rsidRPr="00565C3D">
        <w:t xml:space="preserve">де </w:t>
      </w:r>
      <m:oMath>
        <m:r>
          <w:rPr>
            <w:rFonts w:ascii="Cambria Math" w:hAnsi="Cambria Math"/>
          </w:rPr>
          <m:t xml:space="preserve">    n</m:t>
        </m:r>
      </m:oMath>
      <w:r w:rsidRPr="00565C3D">
        <w:t xml:space="preserve"> – сегмент активу відповідно до групи статей активу/типу боржника/типу валюти/</w:t>
      </w:r>
      <w:r w:rsidRPr="00565C3D">
        <w:rPr>
          <w:lang w:eastAsia="ru-RU"/>
        </w:rPr>
        <w:t>переважного виду застави (тільки для кредитів, наданих ФО)</w:t>
      </w:r>
      <w:r w:rsidRPr="00565C3D">
        <w:t>;</w:t>
      </w:r>
    </w:p>
    <w:p w14:paraId="3D7063FA" w14:textId="77A511CE" w:rsidR="00565C3D" w:rsidRPr="00565C3D" w:rsidRDefault="00565C3D" w:rsidP="004B32BF">
      <w:pPr>
        <w:ind w:firstLine="567"/>
      </w:pPr>
      <w:r w:rsidRPr="00565C3D">
        <w:rPr>
          <w:i/>
        </w:rPr>
        <w:lastRenderedPageBreak/>
        <w:t>m</w:t>
      </w:r>
      <w:r w:rsidRPr="00565C3D">
        <w:t xml:space="preserve"> – інші види процентних активів;</w:t>
      </w:r>
    </w:p>
    <w:p w14:paraId="1BB83993" w14:textId="6B9B7FD3" w:rsidR="00565C3D" w:rsidRPr="00565C3D" w:rsidRDefault="00565C3D" w:rsidP="004B32BF">
      <w:pPr>
        <w:ind w:right="-1" w:firstLine="567"/>
      </w:pPr>
      <m:oMath>
        <m:r>
          <w:rPr>
            <w:rFonts w:ascii="Cambria Math" w:hAnsi="Cambria Math"/>
          </w:rPr>
          <m:t>t</m:t>
        </m:r>
      </m:oMath>
      <w:r w:rsidRPr="00565C3D">
        <w:t xml:space="preserve"> – порядковий номер прогнозного періоду;</w:t>
      </w:r>
    </w:p>
    <w:p w14:paraId="05858862" w14:textId="3EA8EEA2" w:rsidR="00565C3D" w:rsidRPr="00565C3D" w:rsidRDefault="0052636F" w:rsidP="004B32BF">
      <w:pPr>
        <w:ind w:right="-1" w:firstLine="567"/>
      </w:pPr>
      <m:oMath>
        <m:sSub>
          <m:sSubPr>
            <m:ctrlPr>
              <w:rPr>
                <w:rFonts w:ascii="Cambria Math" w:hAnsi="Cambria Math"/>
                <w:i/>
              </w:rPr>
            </m:ctrlPr>
          </m:sSubPr>
          <m:e>
            <m:r>
              <w:rPr>
                <w:rFonts w:ascii="Cambria Math" w:hAnsi="Cambria Math"/>
              </w:rPr>
              <m:t>EIR_PL</m:t>
            </m:r>
          </m:e>
          <m:sub>
            <m:r>
              <w:rPr>
                <w:rFonts w:ascii="Cambria Math" w:hAnsi="Cambria Math"/>
              </w:rPr>
              <m:t>n</m:t>
            </m:r>
          </m:sub>
        </m:sSub>
      </m:oMath>
      <w:r w:rsidR="00565C3D" w:rsidRPr="00565C3D">
        <w:t>– дохідність працюючих кредитів у розрізі сегментів;</w:t>
      </w:r>
    </w:p>
    <w:p w14:paraId="6ECDD21E" w14:textId="77777777" w:rsidR="00565C3D" w:rsidRPr="00565C3D" w:rsidRDefault="0052636F" w:rsidP="004B32BF">
      <w:pPr>
        <w:ind w:right="-1" w:firstLine="567"/>
      </w:pPr>
      <m:oMath>
        <m:sSub>
          <m:sSubPr>
            <m:ctrlPr>
              <w:rPr>
                <w:rFonts w:ascii="Cambria Math" w:hAnsi="Cambria Math"/>
                <w:i/>
              </w:rPr>
            </m:ctrlPr>
          </m:sSubPr>
          <m:e>
            <m:r>
              <w:rPr>
                <w:rFonts w:ascii="Cambria Math" w:hAnsi="Cambria Math"/>
              </w:rPr>
              <m:t>EIR_NPL</m:t>
            </m:r>
          </m:e>
          <m:sub>
            <m:r>
              <w:rPr>
                <w:rFonts w:ascii="Cambria Math" w:hAnsi="Cambria Math"/>
              </w:rPr>
              <m:t>n</m:t>
            </m:r>
          </m:sub>
        </m:sSub>
      </m:oMath>
      <w:r w:rsidR="00565C3D" w:rsidRPr="00565C3D">
        <w:t>– дохідність непрацюючих кредитів у розрізі сегментів;</w:t>
      </w:r>
    </w:p>
    <w:p w14:paraId="6902C3C7" w14:textId="77777777" w:rsidR="00565C3D" w:rsidRPr="00565C3D" w:rsidRDefault="00565C3D" w:rsidP="004B32BF">
      <w:pPr>
        <w:ind w:right="-1" w:firstLine="567"/>
      </w:pPr>
      <m:oMath>
        <m:r>
          <w:rPr>
            <w:rFonts w:ascii="Cambria Math" w:hAnsi="Cambria Math"/>
          </w:rPr>
          <m:t>EIR_othA</m:t>
        </m:r>
      </m:oMath>
      <w:r w:rsidRPr="00565C3D">
        <w:t xml:space="preserve"> – дохідність інших процентних активів у розрізі сегментів;</w:t>
      </w:r>
    </w:p>
    <w:p w14:paraId="2A1DA54D" w14:textId="77777777" w:rsidR="00565C3D" w:rsidRPr="00565C3D" w:rsidRDefault="0052636F" w:rsidP="0098642B">
      <w:pPr>
        <w:ind w:left="567" w:right="-1"/>
      </w:pPr>
      <m:oMath>
        <m:sSub>
          <m:sSubPr>
            <m:ctrlPr>
              <w:rPr>
                <w:rFonts w:ascii="Cambria Math" w:hAnsi="Cambria Math"/>
                <w:i/>
              </w:rPr>
            </m:ctrlPr>
          </m:sSubPr>
          <m:e>
            <m:r>
              <w:rPr>
                <w:rFonts w:ascii="Cambria Math" w:hAnsi="Cambria Math"/>
              </w:rPr>
              <m:t>PL</m:t>
            </m:r>
          </m:e>
          <m:sub>
            <m:r>
              <w:rPr>
                <w:rFonts w:ascii="Cambria Math" w:hAnsi="Cambria Math"/>
              </w:rPr>
              <m:t>n</m:t>
            </m:r>
          </m:sub>
        </m:sSub>
      </m:oMath>
      <w:r w:rsidR="00565C3D" w:rsidRPr="00565C3D">
        <w:t>– обсяг працюючих кредитів (на кінець прогнозного періоду) у розрізі сегментів;</w:t>
      </w:r>
    </w:p>
    <w:p w14:paraId="4E5B460D" w14:textId="77777777" w:rsidR="00565C3D" w:rsidRPr="00565C3D" w:rsidRDefault="0052636F" w:rsidP="0098642B">
      <w:pPr>
        <w:ind w:left="567" w:right="-1"/>
      </w:pPr>
      <m:oMath>
        <m:sSub>
          <m:sSubPr>
            <m:ctrlPr>
              <w:rPr>
                <w:rFonts w:ascii="Cambria Math" w:hAnsi="Cambria Math"/>
                <w:i/>
              </w:rPr>
            </m:ctrlPr>
          </m:sSubPr>
          <m:e>
            <m:r>
              <w:rPr>
                <w:rFonts w:ascii="Cambria Math" w:hAnsi="Cambria Math"/>
              </w:rPr>
              <m:t>NPL</m:t>
            </m:r>
          </m:e>
          <m:sub>
            <m:r>
              <w:rPr>
                <w:rFonts w:ascii="Cambria Math" w:hAnsi="Cambria Math"/>
              </w:rPr>
              <m:t>n</m:t>
            </m:r>
          </m:sub>
        </m:sSub>
      </m:oMath>
      <w:r w:rsidR="00565C3D" w:rsidRPr="00565C3D">
        <w:t>– обсяг непрацюючих кредитів (на кінець прогнозного періоду) у розрізі сегментів;</w:t>
      </w:r>
    </w:p>
    <w:p w14:paraId="1E9B3AB7" w14:textId="77777777" w:rsidR="00565C3D" w:rsidRPr="00565C3D" w:rsidRDefault="00565C3D" w:rsidP="0098642B">
      <w:pPr>
        <w:ind w:left="567" w:right="-1"/>
      </w:pPr>
      <m:oMath>
        <m:r>
          <w:rPr>
            <w:rFonts w:ascii="Cambria Math" w:hAnsi="Cambria Math"/>
          </w:rPr>
          <m:t xml:space="preserve"> </m:t>
        </m:r>
        <m:sSub>
          <m:sSubPr>
            <m:ctrlPr>
              <w:rPr>
                <w:rFonts w:ascii="Cambria Math" w:hAnsi="Cambria Math"/>
                <w:i/>
              </w:rPr>
            </m:ctrlPr>
          </m:sSubPr>
          <m:e>
            <m:r>
              <w:rPr>
                <w:rFonts w:ascii="Cambria Math" w:hAnsi="Cambria Math"/>
              </w:rPr>
              <m:t>IS_othA</m:t>
            </m:r>
          </m:e>
          <m:sub>
            <m:r>
              <w:rPr>
                <w:rFonts w:ascii="Cambria Math" w:hAnsi="Cambria Math"/>
              </w:rPr>
              <m:t>m</m:t>
            </m:r>
          </m:sub>
        </m:sSub>
      </m:oMath>
      <w:r w:rsidRPr="00565C3D">
        <w:t xml:space="preserve"> – обсяг інших процентних активів (на кінець прогнозного періоду) у розрізі сегментів. </w:t>
      </w:r>
    </w:p>
    <w:p w14:paraId="442837BA" w14:textId="77777777" w:rsidR="00565C3D" w:rsidRPr="00565C3D" w:rsidRDefault="00565C3D" w:rsidP="008F15CB">
      <w:pPr>
        <w:pStyle w:val="af3"/>
        <w:numPr>
          <w:ilvl w:val="0"/>
          <w:numId w:val="52"/>
        </w:numPr>
        <w:tabs>
          <w:tab w:val="left" w:pos="993"/>
        </w:tabs>
        <w:spacing w:before="240" w:after="240"/>
        <w:ind w:left="0" w:right="-1" w:firstLine="567"/>
      </w:pPr>
      <w:r w:rsidRPr="00565C3D">
        <w:t xml:space="preserve">Вартість процентних зобов’язань розраховується в розрізі сегментів відповідно до групи статей пасиву/типу клієнта/типу валюти та строковості. </w:t>
      </w:r>
      <w:r w:rsidRPr="00565C3D">
        <w:rPr>
          <w:rFonts w:eastAsiaTheme="minorEastAsia"/>
        </w:rPr>
        <w:t xml:space="preserve">Для розрахунку дохідності активів використовується інформація банку за останні шість місяців до звітної дати (жовтень 2022 року – березень 2023 року). </w:t>
      </w:r>
      <w:r w:rsidRPr="00565C3D">
        <w:t xml:space="preserve">Вартість зобов’язань розраховується за такою формулою: </w:t>
      </w:r>
    </w:p>
    <w:p w14:paraId="55EEABB7" w14:textId="77777777" w:rsidR="00565C3D" w:rsidRPr="00565C3D" w:rsidRDefault="0052636F" w:rsidP="0098642B">
      <w:pPr>
        <w:spacing w:before="240" w:after="240"/>
        <w:ind w:firstLine="720"/>
        <w:jc w:val="center"/>
      </w:pPr>
      <m:oMath>
        <m:sSub>
          <m:sSubPr>
            <m:ctrlPr>
              <w:rPr>
                <w:rFonts w:ascii="Cambria Math" w:hAnsi="Cambria Math"/>
                <w:i/>
              </w:rPr>
            </m:ctrlPr>
          </m:sSubPr>
          <m:e>
            <m:r>
              <w:rPr>
                <w:rFonts w:ascii="Cambria Math" w:hAnsi="Cambria Math"/>
              </w:rPr>
              <m:t>EIR_L</m:t>
            </m:r>
          </m:e>
          <m:sub>
            <m:r>
              <w:rPr>
                <w:rFonts w:ascii="Cambria Math" w:hAnsi="Cambria Math"/>
              </w:rPr>
              <m:t>0</m:t>
            </m:r>
          </m:sub>
        </m:sSub>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6</m:t>
                </m:r>
              </m:sup>
              <m:e>
                <m:sSub>
                  <m:sSubPr>
                    <m:ctrlPr>
                      <w:rPr>
                        <w:rFonts w:ascii="Cambria Math" w:hAnsi="Cambria Math"/>
                        <w:i/>
                      </w:rPr>
                    </m:ctrlPr>
                  </m:sSubPr>
                  <m:e>
                    <m:r>
                      <w:rPr>
                        <w:rFonts w:ascii="Cambria Math" w:hAnsi="Cambria Math"/>
                      </w:rPr>
                      <m:t>IE</m:t>
                    </m:r>
                  </m:e>
                  <m:sub>
                    <m:r>
                      <w:rPr>
                        <w:rFonts w:ascii="Cambria Math" w:hAnsi="Cambria Math"/>
                      </w:rPr>
                      <m:t>i</m:t>
                    </m:r>
                  </m:sub>
                </m:sSub>
              </m:e>
            </m:nary>
          </m:num>
          <m:den>
            <m:nary>
              <m:naryPr>
                <m:chr m:val="∑"/>
                <m:limLoc m:val="subSup"/>
                <m:ctrlPr>
                  <w:rPr>
                    <w:rFonts w:ascii="Cambria Math" w:hAnsi="Cambria Math"/>
                    <w:i/>
                  </w:rPr>
                </m:ctrlPr>
              </m:naryPr>
              <m:sub>
                <m:r>
                  <w:rPr>
                    <w:rFonts w:ascii="Cambria Math" w:hAnsi="Cambria Math"/>
                  </w:rPr>
                  <m:t>i=1</m:t>
                </m:r>
              </m:sub>
              <m:sup>
                <m:r>
                  <w:rPr>
                    <w:rFonts w:ascii="Cambria Math" w:hAnsi="Cambria Math"/>
                  </w:rPr>
                  <m:t>6</m:t>
                </m:r>
              </m:sup>
              <m:e>
                <m:sSub>
                  <m:sSubPr>
                    <m:ctrlPr>
                      <w:rPr>
                        <w:rFonts w:ascii="Cambria Math" w:hAnsi="Cambria Math"/>
                        <w:i/>
                      </w:rPr>
                    </m:ctrlPr>
                  </m:sSubPr>
                  <m:e>
                    <m:bar>
                      <m:barPr>
                        <m:pos m:val="top"/>
                        <m:ctrlPr>
                          <w:rPr>
                            <w:rFonts w:ascii="Cambria Math" w:hAnsi="Cambria Math"/>
                            <w:i/>
                          </w:rPr>
                        </m:ctrlPr>
                      </m:barPr>
                      <m:e>
                        <m:r>
                          <w:rPr>
                            <w:rFonts w:ascii="Cambria Math" w:hAnsi="Cambria Math"/>
                          </w:rPr>
                          <m:t>IS_L</m:t>
                        </m:r>
                      </m:e>
                    </m:bar>
                  </m:e>
                  <m:sub>
                    <m:r>
                      <w:rPr>
                        <w:rFonts w:ascii="Cambria Math" w:hAnsi="Cambria Math"/>
                      </w:rPr>
                      <m:t>i</m:t>
                    </m:r>
                  </m:sub>
                </m:sSub>
              </m:e>
            </m:nary>
          </m:den>
        </m:f>
        <m:r>
          <w:rPr>
            <w:rFonts w:ascii="Cambria Math" w:hAnsi="Cambria Math"/>
          </w:rPr>
          <m:t>∙12</m:t>
        </m:r>
      </m:oMath>
      <w:r w:rsidR="00565C3D" w:rsidRPr="00565C3D">
        <w:t xml:space="preserve">,   </w:t>
      </w:r>
      <w:r w:rsidR="003B4E2A">
        <w:t xml:space="preserve">                             </w:t>
      </w:r>
      <w:r w:rsidR="00565C3D" w:rsidRPr="00565C3D">
        <w:t>(9)</w:t>
      </w:r>
    </w:p>
    <w:p w14:paraId="403E80D2" w14:textId="77777777" w:rsidR="00565C3D" w:rsidRPr="00565C3D" w:rsidRDefault="00565C3D" w:rsidP="008F15CB">
      <w:pPr>
        <w:tabs>
          <w:tab w:val="left" w:pos="993"/>
        </w:tabs>
      </w:pPr>
      <w:r w:rsidRPr="00565C3D">
        <w:t xml:space="preserve">де </w:t>
      </w:r>
      <m:oMath>
        <m:r>
          <w:rPr>
            <w:rFonts w:ascii="Cambria Math" w:hAnsi="Cambria Math"/>
          </w:rPr>
          <m:t xml:space="preserve">    i</m:t>
        </m:r>
      </m:oMath>
      <w:r w:rsidRPr="00565C3D">
        <w:t xml:space="preserve"> – порядковий номер місяця;</w:t>
      </w:r>
    </w:p>
    <w:p w14:paraId="38E0BD00" w14:textId="77777777" w:rsidR="00565C3D" w:rsidRPr="00565C3D" w:rsidRDefault="0052636F" w:rsidP="008F15CB">
      <w:pPr>
        <w:tabs>
          <w:tab w:val="left" w:pos="993"/>
        </w:tabs>
        <w:ind w:firstLine="567"/>
      </w:pPr>
      <m:oMath>
        <m:sSub>
          <m:sSubPr>
            <m:ctrlPr>
              <w:rPr>
                <w:rFonts w:ascii="Cambria Math" w:hAnsi="Cambria Math"/>
                <w:i/>
              </w:rPr>
            </m:ctrlPr>
          </m:sSubPr>
          <m:e>
            <m:r>
              <w:rPr>
                <w:rFonts w:ascii="Cambria Math" w:hAnsi="Cambria Math"/>
              </w:rPr>
              <m:t>IE</m:t>
            </m:r>
          </m:e>
          <m:sub>
            <m:r>
              <w:rPr>
                <w:rFonts w:ascii="Cambria Math" w:hAnsi="Cambria Math"/>
              </w:rPr>
              <m:t>i</m:t>
            </m:r>
          </m:sub>
        </m:sSub>
      </m:oMath>
      <w:r w:rsidR="00565C3D" w:rsidRPr="00565C3D">
        <w:t xml:space="preserve"> – процентні витрати за відповідний місяць;</w:t>
      </w:r>
    </w:p>
    <w:p w14:paraId="20BF7222" w14:textId="77777777" w:rsidR="00565C3D" w:rsidRPr="00565C3D" w:rsidRDefault="0052636F" w:rsidP="008F15CB">
      <w:pPr>
        <w:tabs>
          <w:tab w:val="left" w:pos="709"/>
          <w:tab w:val="left" w:pos="993"/>
        </w:tabs>
        <w:ind w:firstLine="567"/>
      </w:pPr>
      <m:oMath>
        <m:sSub>
          <m:sSubPr>
            <m:ctrlPr>
              <w:rPr>
                <w:rFonts w:ascii="Cambria Math" w:hAnsi="Cambria Math"/>
                <w:i/>
              </w:rPr>
            </m:ctrlPr>
          </m:sSubPr>
          <m:e>
            <m:bar>
              <m:barPr>
                <m:pos m:val="top"/>
                <m:ctrlPr>
                  <w:rPr>
                    <w:rFonts w:ascii="Cambria Math" w:hAnsi="Cambria Math"/>
                    <w:i/>
                  </w:rPr>
                </m:ctrlPr>
              </m:barPr>
              <m:e>
                <m:r>
                  <w:rPr>
                    <w:rFonts w:ascii="Cambria Math" w:hAnsi="Cambria Math"/>
                  </w:rPr>
                  <m:t>IS_L</m:t>
                </m:r>
              </m:e>
            </m:bar>
          </m:e>
          <m:sub>
            <m:r>
              <w:rPr>
                <w:rFonts w:ascii="Cambria Math" w:hAnsi="Cambria Math"/>
              </w:rPr>
              <m:t>i</m:t>
            </m:r>
          </m:sub>
        </m:sSub>
      </m:oMath>
      <w:r w:rsidR="00565C3D" w:rsidRPr="00565C3D">
        <w:t xml:space="preserve"> – середній залишок за відповідним видом зобов’язання (валовий). </w:t>
      </w:r>
    </w:p>
    <w:p w14:paraId="6B8A409D" w14:textId="77777777" w:rsidR="00565C3D" w:rsidRPr="00565C3D" w:rsidRDefault="00565C3D" w:rsidP="0098642B">
      <w:pPr>
        <w:pStyle w:val="af3"/>
        <w:numPr>
          <w:ilvl w:val="0"/>
          <w:numId w:val="52"/>
        </w:numPr>
        <w:tabs>
          <w:tab w:val="left" w:pos="993"/>
        </w:tabs>
        <w:spacing w:before="240" w:after="240"/>
        <w:ind w:left="0" w:firstLine="567"/>
        <w:contextualSpacing w:val="0"/>
      </w:pPr>
      <w:r w:rsidRPr="00565C3D">
        <w:t xml:space="preserve">Для цілей СТ вартість зобов’язань коригується на прогнозовану зміну середнього рівня відповідних відсоткових ставок за базовим сценарієм за типом клієнта/типом валюти та строковістю. </w:t>
      </w:r>
    </w:p>
    <w:p w14:paraId="31DDC511" w14:textId="77777777" w:rsidR="00565C3D" w:rsidRPr="00565C3D" w:rsidRDefault="00565C3D" w:rsidP="0098642B">
      <w:pPr>
        <w:tabs>
          <w:tab w:val="left" w:pos="993"/>
        </w:tabs>
        <w:spacing w:before="240" w:after="240"/>
        <w:ind w:firstLine="567"/>
      </w:pPr>
      <w:r w:rsidRPr="00565C3D">
        <w:t>Вартість зобов’язань</w:t>
      </w:r>
      <w:r w:rsidR="00E86B3E">
        <w:t xml:space="preserve"> ФО</w:t>
      </w:r>
      <w:r w:rsidRPr="00565C3D">
        <w:t xml:space="preserve"> зі строком погашення до трьох місяців та від трьох до шести місяців коригується на коефіцієнт зміни рівня ставок за довшими зобов’язаннями </w:t>
      </w:r>
      <w:r w:rsidRPr="00565C3D">
        <w:rPr>
          <w:lang w:eastAsia="en-US"/>
        </w:rPr>
        <w:t>в</w:t>
      </w:r>
      <w:r w:rsidRPr="00565C3D">
        <w:t xml:space="preserve">ідповідно до </w:t>
      </w:r>
      <w:r w:rsidR="008F15CB">
        <w:t xml:space="preserve">даних </w:t>
      </w:r>
      <w:r w:rsidRPr="00565C3D">
        <w:t>таблиці 1</w:t>
      </w:r>
      <w:r w:rsidR="006836E3">
        <w:t xml:space="preserve"> цього додатка</w:t>
      </w:r>
      <w:r w:rsidRPr="00565C3D">
        <w:t>.</w:t>
      </w:r>
    </w:p>
    <w:p w14:paraId="23DDE4BC" w14:textId="77777777" w:rsidR="00565C3D" w:rsidRPr="00565C3D" w:rsidRDefault="00565C3D" w:rsidP="0098642B">
      <w:pPr>
        <w:tabs>
          <w:tab w:val="left" w:pos="993"/>
        </w:tabs>
        <w:spacing w:before="240" w:after="240"/>
        <w:ind w:firstLine="567"/>
      </w:pPr>
      <w:r w:rsidRPr="00565C3D">
        <w:t>Вартість інших процентних зобов’язань (крім депозитів) переоцінюється відповідно до строковості починаючи з періоду погашення зобов’язань.</w:t>
      </w:r>
    </w:p>
    <w:p w14:paraId="129CC5AF" w14:textId="77777777" w:rsidR="00565C3D" w:rsidRPr="00565C3D" w:rsidRDefault="00565C3D" w:rsidP="0098642B">
      <w:pPr>
        <w:tabs>
          <w:tab w:val="left" w:pos="993"/>
        </w:tabs>
        <w:spacing w:before="240" w:after="240"/>
        <w:ind w:firstLine="567"/>
      </w:pPr>
      <w:r w:rsidRPr="00565C3D">
        <w:t xml:space="preserve">Вартість інших процентних зобов’язань (крім депозитів) строком понад горизонт </w:t>
      </w:r>
      <w:r w:rsidR="004B32BF">
        <w:t>СТ</w:t>
      </w:r>
      <w:r w:rsidRPr="00565C3D">
        <w:t xml:space="preserve"> не переоцінюється. </w:t>
      </w:r>
    </w:p>
    <w:p w14:paraId="235885B2" w14:textId="77777777" w:rsidR="00565C3D" w:rsidRPr="00565C3D" w:rsidRDefault="00565C3D" w:rsidP="008F15CB">
      <w:pPr>
        <w:pStyle w:val="af3"/>
        <w:numPr>
          <w:ilvl w:val="0"/>
          <w:numId w:val="52"/>
        </w:numPr>
        <w:tabs>
          <w:tab w:val="left" w:pos="993"/>
        </w:tabs>
        <w:spacing w:before="240" w:after="240"/>
        <w:ind w:left="0" w:right="-1" w:firstLine="567"/>
      </w:pPr>
      <w:r w:rsidRPr="00565C3D">
        <w:t xml:space="preserve">Процентні витрати за прогнозний період </w:t>
      </w:r>
      <w:r w:rsidRPr="00565C3D">
        <w:rPr>
          <w:i/>
        </w:rPr>
        <w:t>t</w:t>
      </w:r>
      <w:r w:rsidRPr="00565C3D">
        <w:t xml:space="preserve"> розраховуються за такою формулою:</w:t>
      </w:r>
    </w:p>
    <w:p w14:paraId="160DBD35" w14:textId="77777777" w:rsidR="00565C3D" w:rsidRPr="00565C3D" w:rsidRDefault="0052636F" w:rsidP="00565C3D">
      <w:pPr>
        <w:ind w:firstLine="720"/>
        <w:jc w:val="center"/>
      </w:pPr>
      <m:oMath>
        <m:sSub>
          <m:sSubPr>
            <m:ctrlPr>
              <w:rPr>
                <w:rFonts w:ascii="Cambria Math" w:hAnsi="Cambria Math"/>
                <w:i/>
              </w:rPr>
            </m:ctrlPr>
          </m:sSubPr>
          <m:e>
            <m:r>
              <w:rPr>
                <w:rFonts w:ascii="Cambria Math" w:hAnsi="Cambria Math"/>
              </w:rPr>
              <m:t>IE</m:t>
            </m:r>
          </m:e>
          <m:sub>
            <m:r>
              <w:rPr>
                <w:rFonts w:ascii="Cambria Math" w:hAnsi="Cambria Math"/>
              </w:rPr>
              <m:t>t</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m</m:t>
            </m:r>
          </m:sub>
          <m:sup/>
          <m:e>
            <m:sSub>
              <m:sSubPr>
                <m:ctrlPr>
                  <w:rPr>
                    <w:rFonts w:ascii="Cambria Math" w:hAnsi="Cambria Math"/>
                    <w:i/>
                  </w:rPr>
                </m:ctrlPr>
              </m:sSubPr>
              <m:e>
                <m:r>
                  <w:rPr>
                    <w:rFonts w:ascii="Cambria Math" w:hAnsi="Cambria Math"/>
                  </w:rPr>
                  <m:t>EIR_L</m:t>
                </m:r>
              </m:e>
              <m:sub>
                <m:r>
                  <w:rPr>
                    <w:rFonts w:ascii="Cambria Math" w:hAnsi="Cambria Math"/>
                  </w:rPr>
                  <m:t>m,t</m:t>
                </m:r>
              </m:sub>
            </m:sSub>
            <m:r>
              <w:rPr>
                <w:rFonts w:ascii="Cambria Math" w:hAnsi="Cambria Math"/>
              </w:rPr>
              <m:t>∙</m:t>
            </m:r>
            <m:sSub>
              <m:sSubPr>
                <m:ctrlPr>
                  <w:rPr>
                    <w:rFonts w:ascii="Cambria Math" w:hAnsi="Cambria Math"/>
                    <w:i/>
                  </w:rPr>
                </m:ctrlPr>
              </m:sSubPr>
              <m:e>
                <m:r>
                  <w:rPr>
                    <w:rFonts w:ascii="Cambria Math" w:hAnsi="Cambria Math"/>
                  </w:rPr>
                  <m:t>IS_L</m:t>
                </m:r>
              </m:e>
              <m:sub>
                <m:r>
                  <w:rPr>
                    <w:rFonts w:ascii="Cambria Math" w:hAnsi="Cambria Math"/>
                  </w:rPr>
                  <m:t>m,t</m:t>
                </m:r>
              </m:sub>
            </m:sSub>
          </m:e>
        </m:nary>
      </m:oMath>
      <w:r w:rsidR="00565C3D" w:rsidRPr="00565C3D">
        <w:t xml:space="preserve">,  </w:t>
      </w:r>
      <w:r w:rsidR="00EE7A2A">
        <w:t xml:space="preserve">                       </w:t>
      </w:r>
      <w:r w:rsidR="00565C3D" w:rsidRPr="00565C3D">
        <w:t xml:space="preserve"> (10)</w:t>
      </w:r>
    </w:p>
    <w:p w14:paraId="28204EEE" w14:textId="77777777" w:rsidR="00565C3D" w:rsidRPr="00565C3D" w:rsidRDefault="00565C3D" w:rsidP="0098642B">
      <w:pPr>
        <w:spacing w:before="240"/>
        <w:ind w:left="567" w:hanging="567"/>
      </w:pPr>
      <w:r w:rsidRPr="00565C3D">
        <w:lastRenderedPageBreak/>
        <w:t xml:space="preserve">де </w:t>
      </w:r>
      <m:oMath>
        <m:r>
          <w:rPr>
            <w:rFonts w:ascii="Cambria Math" w:hAnsi="Cambria Math"/>
          </w:rPr>
          <m:t>m</m:t>
        </m:r>
      </m:oMath>
      <w:r w:rsidRPr="00565C3D">
        <w:t xml:space="preserve"> – сегмент зобов’язання відповідно до групи статей пасиву/</w:t>
      </w:r>
      <w:r w:rsidR="003907DA">
        <w:br/>
      </w:r>
      <w:r w:rsidRPr="00565C3D">
        <w:t>строковості/типу клієнта/ типу валюти;</w:t>
      </w:r>
    </w:p>
    <w:p w14:paraId="7A80CE88" w14:textId="77777777" w:rsidR="00565C3D" w:rsidRPr="00565C3D" w:rsidRDefault="00565C3D" w:rsidP="00D60036">
      <w:pPr>
        <w:ind w:right="-1" w:firstLine="567"/>
      </w:pPr>
      <m:oMath>
        <m:r>
          <w:rPr>
            <w:rFonts w:ascii="Cambria Math" w:hAnsi="Cambria Math"/>
          </w:rPr>
          <m:t>t</m:t>
        </m:r>
      </m:oMath>
      <w:r w:rsidRPr="00565C3D">
        <w:t xml:space="preserve"> – порядковий номер прогнозного періоду;</w:t>
      </w:r>
    </w:p>
    <w:p w14:paraId="3A8041F3" w14:textId="77777777" w:rsidR="00565C3D" w:rsidRPr="00565C3D" w:rsidRDefault="0052636F" w:rsidP="00EE7A2A">
      <w:pPr>
        <w:ind w:right="-1" w:firstLine="567"/>
      </w:pPr>
      <m:oMath>
        <m:sSub>
          <m:sSubPr>
            <m:ctrlPr>
              <w:rPr>
                <w:rFonts w:ascii="Cambria Math" w:hAnsi="Cambria Math"/>
                <w:i/>
              </w:rPr>
            </m:ctrlPr>
          </m:sSubPr>
          <m:e>
            <m:r>
              <w:rPr>
                <w:rFonts w:ascii="Cambria Math" w:hAnsi="Cambria Math"/>
              </w:rPr>
              <m:t>EIR_L</m:t>
            </m:r>
          </m:e>
          <m:sub>
            <m:r>
              <w:rPr>
                <w:rFonts w:ascii="Cambria Math" w:hAnsi="Cambria Math"/>
              </w:rPr>
              <m:t>m</m:t>
            </m:r>
          </m:sub>
        </m:sSub>
      </m:oMath>
      <w:r w:rsidR="00565C3D" w:rsidRPr="00565C3D">
        <w:t xml:space="preserve"> – вартість зобов’язань у сегменті </w:t>
      </w:r>
      <w:r w:rsidR="00565C3D" w:rsidRPr="00565C3D">
        <w:rPr>
          <w:i/>
        </w:rPr>
        <w:t>m</w:t>
      </w:r>
      <w:r w:rsidR="00565C3D" w:rsidRPr="00565C3D">
        <w:t>;</w:t>
      </w:r>
    </w:p>
    <w:p w14:paraId="656EDB92" w14:textId="77777777" w:rsidR="00565C3D" w:rsidRPr="00565C3D" w:rsidRDefault="0052636F" w:rsidP="003907DA">
      <w:pPr>
        <w:ind w:left="567" w:right="-1"/>
      </w:pPr>
      <m:oMath>
        <m:sSub>
          <m:sSubPr>
            <m:ctrlPr>
              <w:rPr>
                <w:rFonts w:ascii="Cambria Math" w:hAnsi="Cambria Math"/>
                <w:i/>
              </w:rPr>
            </m:ctrlPr>
          </m:sSubPr>
          <m:e>
            <m:r>
              <w:rPr>
                <w:rFonts w:ascii="Cambria Math" w:hAnsi="Cambria Math"/>
              </w:rPr>
              <m:t>IS_L</m:t>
            </m:r>
          </m:e>
          <m:sub>
            <m:r>
              <w:rPr>
                <w:rFonts w:ascii="Cambria Math" w:hAnsi="Cambria Math"/>
              </w:rPr>
              <m:t>m</m:t>
            </m:r>
          </m:sub>
        </m:sSub>
        <m:r>
          <w:rPr>
            <w:rFonts w:ascii="Cambria Math" w:hAnsi="Cambria Math"/>
          </w:rPr>
          <m:t xml:space="preserve"> </m:t>
        </m:r>
      </m:oMath>
      <w:r w:rsidR="00565C3D" w:rsidRPr="00565C3D">
        <w:t xml:space="preserve">– </w:t>
      </w:r>
      <w:r w:rsidR="00565C3D" w:rsidRPr="00565C3D">
        <w:rPr>
          <w:rFonts w:eastAsiaTheme="minorEastAsia"/>
        </w:rPr>
        <w:t>обсяг зобов’язань у сегменті m (на кінець прогнозного періоду)</w:t>
      </w:r>
      <w:r w:rsidR="0009219C">
        <w:t>.</w:t>
      </w:r>
    </w:p>
    <w:p w14:paraId="68EA5723" w14:textId="77777777" w:rsidR="00565C3D" w:rsidRPr="0009219C" w:rsidRDefault="00565C3D" w:rsidP="0009219C">
      <w:pPr>
        <w:pStyle w:val="1"/>
      </w:pPr>
      <w:r w:rsidRPr="0009219C">
        <w:t xml:space="preserve">VIII. Прогнозування інших елементів звіту про фінансовий результат </w:t>
      </w:r>
      <w:r w:rsidR="0009219C">
        <w:br/>
      </w:r>
      <w:r w:rsidRPr="0009219C">
        <w:t>у моделі СТ</w:t>
      </w:r>
    </w:p>
    <w:p w14:paraId="011DD786" w14:textId="77777777" w:rsidR="00565C3D" w:rsidRPr="00565C3D" w:rsidRDefault="00565C3D" w:rsidP="00483885">
      <w:pPr>
        <w:pStyle w:val="af3"/>
        <w:numPr>
          <w:ilvl w:val="0"/>
          <w:numId w:val="52"/>
        </w:numPr>
        <w:tabs>
          <w:tab w:val="left" w:pos="993"/>
        </w:tabs>
        <w:ind w:left="0" w:right="-1" w:firstLine="567"/>
        <w:contextualSpacing w:val="0"/>
      </w:pPr>
      <w:r w:rsidRPr="00565C3D">
        <w:t>Комісійні доходи і витрати прогнозуються з урахуванням поточної динаміки та прогнозів основних макроекономічних показників:</w:t>
      </w:r>
    </w:p>
    <w:p w14:paraId="70E1E22E" w14:textId="77777777" w:rsidR="00565C3D" w:rsidRPr="00565C3D" w:rsidRDefault="00565C3D" w:rsidP="00483885">
      <w:pPr>
        <w:pStyle w:val="af3"/>
        <w:numPr>
          <w:ilvl w:val="0"/>
          <w:numId w:val="71"/>
        </w:numPr>
        <w:tabs>
          <w:tab w:val="left" w:pos="993"/>
          <w:tab w:val="left" w:pos="1134"/>
        </w:tabs>
        <w:spacing w:before="120" w:after="120"/>
        <w:ind w:left="0" w:firstLine="567"/>
        <w:contextualSpacing w:val="0"/>
      </w:pPr>
      <w:r w:rsidRPr="00565C3D">
        <w:t>комісійні доходи (Com_inc):</w:t>
      </w:r>
    </w:p>
    <w:p w14:paraId="24AEE8E3" w14:textId="77777777" w:rsidR="00565C3D" w:rsidRPr="00565C3D" w:rsidRDefault="0052636F" w:rsidP="00483885">
      <w:pPr>
        <w:pStyle w:val="af3"/>
        <w:spacing w:before="120" w:after="120"/>
        <w:contextualSpacing w:val="0"/>
        <w:jc w:val="center"/>
        <w:rPr>
          <w:rFonts w:eastAsiaTheme="minorEastAsia"/>
        </w:rPr>
      </w:pPr>
      <m:oMath>
        <m:sSub>
          <m:sSubPr>
            <m:ctrlPr>
              <w:rPr>
                <w:rFonts w:ascii="Cambria Math" w:hAnsi="Cambria Math"/>
                <w:i/>
              </w:rPr>
            </m:ctrlPr>
          </m:sSubPr>
          <m:e>
            <m:r>
              <w:rPr>
                <w:rFonts w:ascii="Cambria Math" w:hAnsi="Cambria Math"/>
              </w:rPr>
              <m:t>Com_inc</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Com_inc</m:t>
            </m:r>
          </m:e>
          <m:sub>
            <m:r>
              <w:rPr>
                <w:rFonts w:ascii="Cambria Math" w:hAnsi="Cambria Math"/>
              </w:rPr>
              <m:t>t-1</m:t>
            </m:r>
          </m:sub>
        </m:sSub>
        <m:r>
          <w:rPr>
            <w:rFonts w:ascii="Cambria Math" w:hAnsi="Cambria Math"/>
          </w:rPr>
          <m:t>*(1+</m:t>
        </m:r>
        <m:sSub>
          <m:sSubPr>
            <m:ctrlPr>
              <w:rPr>
                <w:rFonts w:ascii="Cambria Math" w:hAnsi="Cambria Math"/>
                <w:i/>
              </w:rPr>
            </m:ctrlPr>
          </m:sSubPr>
          <m:e>
            <m:r>
              <w:rPr>
                <w:rFonts w:ascii="Cambria Math" w:hAnsi="Cambria Math"/>
              </w:rPr>
              <m:t>Com_inc_gr</m:t>
            </m:r>
          </m:e>
          <m:sub>
            <m:r>
              <w:rPr>
                <w:rFonts w:ascii="Cambria Math" w:hAnsi="Cambria Math"/>
              </w:rPr>
              <m:t>t</m:t>
            </m:r>
          </m:sub>
        </m:sSub>
        <m:r>
          <w:rPr>
            <w:rFonts w:ascii="Cambria Math" w:hAnsi="Cambria Math"/>
          </w:rPr>
          <m:t>)</m:t>
        </m:r>
      </m:oMath>
      <w:r w:rsidR="00565C3D" w:rsidRPr="00565C3D">
        <w:t xml:space="preserve">,   </w:t>
      </w:r>
      <w:r w:rsidR="00565C3D" w:rsidRPr="00565C3D">
        <w:rPr>
          <w:rFonts w:eastAsiaTheme="minorEastAsia"/>
        </w:rPr>
        <w:t xml:space="preserve">(11) </w:t>
      </w:r>
    </w:p>
    <w:p w14:paraId="65291A50" w14:textId="77777777" w:rsidR="00565C3D" w:rsidRPr="00565C3D" w:rsidRDefault="00565C3D" w:rsidP="00483885">
      <w:pPr>
        <w:spacing w:before="120" w:after="120"/>
      </w:pPr>
      <w:r w:rsidRPr="00565C3D">
        <w:t xml:space="preserve">де </w:t>
      </w:r>
      <m:oMath>
        <m:r>
          <w:rPr>
            <w:rFonts w:ascii="Cambria Math" w:hAnsi="Cambria Math"/>
          </w:rPr>
          <m:t>Com_inc_gr</m:t>
        </m:r>
      </m:oMath>
      <w:r w:rsidRPr="00565C3D">
        <w:t xml:space="preserve"> – річна зміна комісійних доходів відображена </w:t>
      </w:r>
      <w:r w:rsidR="00EE7A2A">
        <w:t>в</w:t>
      </w:r>
      <w:r w:rsidR="00EE7A2A" w:rsidRPr="00565C3D">
        <w:t xml:space="preserve"> </w:t>
      </w:r>
      <w:r w:rsidRPr="00565C3D">
        <w:t>таблиці</w:t>
      </w:r>
      <w:r w:rsidR="008F15CB">
        <w:t> </w:t>
      </w:r>
      <w:r w:rsidRPr="00565C3D">
        <w:t>5</w:t>
      </w:r>
      <w:r w:rsidR="006836E3">
        <w:t xml:space="preserve"> цього додатка</w:t>
      </w:r>
      <w:r w:rsidR="00EE7A2A">
        <w:t>;</w:t>
      </w:r>
    </w:p>
    <w:p w14:paraId="74E364B2" w14:textId="77777777" w:rsidR="00565C3D" w:rsidRPr="00565C3D" w:rsidRDefault="00565C3D" w:rsidP="00483885">
      <w:pPr>
        <w:pStyle w:val="af3"/>
        <w:numPr>
          <w:ilvl w:val="0"/>
          <w:numId w:val="71"/>
        </w:numPr>
        <w:tabs>
          <w:tab w:val="left" w:pos="993"/>
        </w:tabs>
        <w:spacing w:before="120" w:after="120"/>
        <w:ind w:left="0" w:firstLine="567"/>
        <w:contextualSpacing w:val="0"/>
      </w:pPr>
      <w:r w:rsidRPr="00565C3D">
        <w:t xml:space="preserve">комісійні витрати (Com_ex): </w:t>
      </w:r>
    </w:p>
    <w:p w14:paraId="529B079C" w14:textId="77777777" w:rsidR="00565C3D" w:rsidRPr="00565C3D" w:rsidRDefault="0052636F" w:rsidP="00483885">
      <w:pPr>
        <w:pStyle w:val="af3"/>
        <w:spacing w:before="120" w:after="120"/>
        <w:contextualSpacing w:val="0"/>
        <w:jc w:val="center"/>
        <w:rPr>
          <w:rFonts w:eastAsiaTheme="minorEastAsia"/>
        </w:rPr>
      </w:pPr>
      <m:oMath>
        <m:sSub>
          <m:sSubPr>
            <m:ctrlPr>
              <w:rPr>
                <w:rFonts w:ascii="Cambria Math" w:hAnsi="Cambria Math"/>
                <w:i/>
              </w:rPr>
            </m:ctrlPr>
          </m:sSubPr>
          <m:e>
            <m:r>
              <w:rPr>
                <w:rFonts w:ascii="Cambria Math" w:hAnsi="Cambria Math"/>
              </w:rPr>
              <m:t>Com_ex</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Com_ex</m:t>
            </m:r>
          </m:e>
          <m:sub>
            <m:r>
              <w:rPr>
                <w:rFonts w:ascii="Cambria Math" w:hAnsi="Cambria Math"/>
              </w:rPr>
              <m:t>t-1</m:t>
            </m:r>
          </m:sub>
        </m:sSub>
        <m:r>
          <w:rPr>
            <w:rFonts w:ascii="Cambria Math" w:hAnsi="Cambria Math"/>
          </w:rPr>
          <m:t>*(1+</m:t>
        </m:r>
        <m:sSub>
          <m:sSubPr>
            <m:ctrlPr>
              <w:rPr>
                <w:rFonts w:ascii="Cambria Math" w:hAnsi="Cambria Math"/>
                <w:i/>
              </w:rPr>
            </m:ctrlPr>
          </m:sSubPr>
          <m:e>
            <m:r>
              <w:rPr>
                <w:rFonts w:ascii="Cambria Math" w:hAnsi="Cambria Math"/>
              </w:rPr>
              <m:t>Com_ex_gr</m:t>
            </m:r>
          </m:e>
          <m:sub>
            <m:r>
              <w:rPr>
                <w:rFonts w:ascii="Cambria Math" w:hAnsi="Cambria Math"/>
              </w:rPr>
              <m:t>t</m:t>
            </m:r>
          </m:sub>
        </m:sSub>
        <m:r>
          <w:rPr>
            <w:rFonts w:ascii="Cambria Math" w:hAnsi="Cambria Math"/>
          </w:rPr>
          <m:t>)</m:t>
        </m:r>
      </m:oMath>
      <w:r w:rsidR="00565C3D" w:rsidRPr="00565C3D">
        <w:t xml:space="preserve">,   </w:t>
      </w:r>
      <w:r w:rsidR="00565C3D" w:rsidRPr="00565C3D">
        <w:rPr>
          <w:rFonts w:eastAsiaTheme="minorEastAsia"/>
        </w:rPr>
        <w:t>(12)</w:t>
      </w:r>
    </w:p>
    <w:p w14:paraId="207FCAC2" w14:textId="77777777" w:rsidR="00565C3D" w:rsidRPr="00565C3D" w:rsidRDefault="00565C3D" w:rsidP="00483885">
      <w:pPr>
        <w:spacing w:before="120" w:after="120"/>
      </w:pPr>
      <w:r w:rsidRPr="00565C3D">
        <w:t xml:space="preserve">де </w:t>
      </w:r>
      <m:oMath>
        <m:r>
          <w:rPr>
            <w:rFonts w:ascii="Cambria Math" w:hAnsi="Cambria Math"/>
          </w:rPr>
          <m:t>Com_ex_gr</m:t>
        </m:r>
      </m:oMath>
      <w:r w:rsidRPr="00565C3D">
        <w:t xml:space="preserve"> – річна зміна комісійних </w:t>
      </w:r>
      <w:r w:rsidR="001C3854">
        <w:t>витрат</w:t>
      </w:r>
      <w:r w:rsidR="001C3854" w:rsidRPr="00565C3D">
        <w:t xml:space="preserve"> </w:t>
      </w:r>
      <w:r w:rsidRPr="00565C3D">
        <w:t xml:space="preserve">відображена </w:t>
      </w:r>
      <w:r w:rsidR="00EE7A2A">
        <w:t>в</w:t>
      </w:r>
      <w:r w:rsidRPr="00565C3D">
        <w:t xml:space="preserve"> таблиці 5</w:t>
      </w:r>
      <w:r w:rsidR="006836E3">
        <w:t xml:space="preserve"> цього додатка</w:t>
      </w:r>
      <w:r w:rsidRPr="00565C3D">
        <w:t>.</w:t>
      </w:r>
    </w:p>
    <w:p w14:paraId="61923B35" w14:textId="77777777" w:rsidR="00565C3D" w:rsidRPr="00565C3D" w:rsidRDefault="00565C3D" w:rsidP="00483885">
      <w:pPr>
        <w:pStyle w:val="ParagraphNumbering"/>
        <w:tabs>
          <w:tab w:val="left" w:pos="993"/>
        </w:tabs>
        <w:spacing w:after="0"/>
        <w:ind w:firstLine="567"/>
        <w:jc w:val="both"/>
        <w:rPr>
          <w:sz w:val="28"/>
          <w:szCs w:val="28"/>
          <w:lang w:val="uk-UA"/>
        </w:rPr>
      </w:pPr>
      <w:r w:rsidRPr="00565C3D">
        <w:rPr>
          <w:rFonts w:eastAsiaTheme="minorEastAsia"/>
          <w:sz w:val="28"/>
          <w:szCs w:val="28"/>
          <w:lang w:val="uk-UA"/>
        </w:rPr>
        <w:t xml:space="preserve">До складу комісійних доходів і витрат включаються </w:t>
      </w:r>
      <w:r w:rsidR="00957E16">
        <w:rPr>
          <w:rFonts w:eastAsiaTheme="minorEastAsia"/>
          <w:sz w:val="28"/>
          <w:szCs w:val="28"/>
          <w:lang w:val="uk-UA"/>
        </w:rPr>
        <w:t>лише</w:t>
      </w:r>
      <w:r w:rsidR="00957E16" w:rsidRPr="00565C3D">
        <w:rPr>
          <w:rFonts w:eastAsiaTheme="minorEastAsia"/>
          <w:sz w:val="28"/>
          <w:szCs w:val="28"/>
          <w:lang w:val="uk-UA"/>
        </w:rPr>
        <w:t xml:space="preserve"> </w:t>
      </w:r>
      <w:r w:rsidRPr="00565C3D">
        <w:rPr>
          <w:rFonts w:eastAsiaTheme="minorEastAsia"/>
          <w:sz w:val="28"/>
          <w:szCs w:val="28"/>
          <w:lang w:val="uk-UA"/>
        </w:rPr>
        <w:t xml:space="preserve">доходи і витрати за </w:t>
      </w:r>
      <w:r w:rsidRPr="00565C3D">
        <w:rPr>
          <w:sz w:val="28"/>
          <w:szCs w:val="28"/>
          <w:lang w:val="uk-UA" w:eastAsia="ru-RU"/>
        </w:rPr>
        <w:t xml:space="preserve">агрегацією, здійсненою відповідно до роз’яснень Національного банку. </w:t>
      </w:r>
      <w:r w:rsidRPr="00565C3D">
        <w:rPr>
          <w:sz w:val="28"/>
          <w:szCs w:val="28"/>
          <w:lang w:val="uk-UA"/>
        </w:rPr>
        <w:t>Неповторювані елементи комісійних доходів та витрат не враховуються в прогнозних періодах.</w:t>
      </w:r>
    </w:p>
    <w:p w14:paraId="41F64C13" w14:textId="77777777" w:rsidR="00565C3D" w:rsidRPr="00565C3D" w:rsidRDefault="00565C3D" w:rsidP="00565C3D">
      <w:pPr>
        <w:tabs>
          <w:tab w:val="left" w:pos="993"/>
        </w:tabs>
        <w:spacing w:after="240"/>
        <w:ind w:firstLine="709"/>
        <w:jc w:val="right"/>
      </w:pPr>
      <w:r w:rsidRPr="00565C3D">
        <w:t>Таблиця 5</w:t>
      </w:r>
    </w:p>
    <w:p w14:paraId="20D15D5B" w14:textId="77777777" w:rsidR="00565C3D" w:rsidRPr="00565C3D" w:rsidRDefault="00565C3D" w:rsidP="00565C3D">
      <w:pPr>
        <w:spacing w:after="240"/>
        <w:jc w:val="center"/>
      </w:pPr>
      <w:r w:rsidRPr="00565C3D">
        <w:t>Річна зміна показників доходів та витрат банків</w:t>
      </w:r>
    </w:p>
    <w:p w14:paraId="1AF7277B" w14:textId="77777777" w:rsidR="00565C3D" w:rsidRPr="00565C3D" w:rsidRDefault="00565C3D" w:rsidP="00565C3D">
      <w:pPr>
        <w:jc w:val="right"/>
      </w:pPr>
      <w:r w:rsidRPr="00565C3D">
        <w:t>(відсоткові пункти)</w:t>
      </w:r>
    </w:p>
    <w:tbl>
      <w:tblPr>
        <w:tblW w:w="9605" w:type="dxa"/>
        <w:tblInd w:w="-5" w:type="dxa"/>
        <w:tblLayout w:type="fixed"/>
        <w:tblLook w:val="0600" w:firstRow="0" w:lastRow="0" w:firstColumn="0" w:lastColumn="0" w:noHBand="1" w:noVBand="1"/>
      </w:tblPr>
      <w:tblGrid>
        <w:gridCol w:w="708"/>
        <w:gridCol w:w="5813"/>
        <w:gridCol w:w="1028"/>
        <w:gridCol w:w="1028"/>
        <w:gridCol w:w="1028"/>
      </w:tblGrid>
      <w:tr w:rsidR="00565C3D" w:rsidRPr="00565C3D" w14:paraId="5DFE59A8" w14:textId="77777777" w:rsidTr="00EB3FEC">
        <w:trPr>
          <w:trHeight w:val="485"/>
        </w:trPr>
        <w:tc>
          <w:tcPr>
            <w:tcW w:w="708" w:type="dxa"/>
            <w:vMerge w:val="restart"/>
            <w:tcBorders>
              <w:top w:val="single" w:sz="4" w:space="0" w:color="auto"/>
              <w:left w:val="single" w:sz="4" w:space="0" w:color="auto"/>
              <w:right w:val="single" w:sz="4" w:space="0" w:color="auto"/>
            </w:tcBorders>
            <w:vAlign w:val="center"/>
          </w:tcPr>
          <w:p w14:paraId="16B24EBC" w14:textId="77777777" w:rsidR="00565C3D" w:rsidRPr="00565C3D" w:rsidRDefault="00565C3D" w:rsidP="00565C3D">
            <w:pPr>
              <w:ind w:right="-1"/>
              <w:jc w:val="center"/>
              <w:rPr>
                <w:bCs/>
                <w:lang w:eastAsia="en-US"/>
              </w:rPr>
            </w:pPr>
            <w:r w:rsidRPr="00565C3D">
              <w:rPr>
                <w:bCs/>
                <w:lang w:eastAsia="en-US"/>
              </w:rPr>
              <w:t>№ з/п</w:t>
            </w:r>
          </w:p>
        </w:tc>
        <w:tc>
          <w:tcPr>
            <w:tcW w:w="5813" w:type="dxa"/>
            <w:vMerge w:val="restart"/>
            <w:tcBorders>
              <w:top w:val="single" w:sz="4" w:space="0" w:color="auto"/>
              <w:left w:val="single" w:sz="4" w:space="0" w:color="auto"/>
              <w:right w:val="single" w:sz="4" w:space="0" w:color="auto"/>
            </w:tcBorders>
            <w:vAlign w:val="center"/>
          </w:tcPr>
          <w:p w14:paraId="51834CDA" w14:textId="77777777" w:rsidR="00565C3D" w:rsidRPr="00565C3D" w:rsidRDefault="00565C3D" w:rsidP="00565C3D">
            <w:pPr>
              <w:ind w:right="-1"/>
              <w:jc w:val="center"/>
              <w:rPr>
                <w:lang w:eastAsia="en-US"/>
              </w:rPr>
            </w:pPr>
            <w:r w:rsidRPr="00565C3D">
              <w:rPr>
                <w:lang w:eastAsia="en-US"/>
              </w:rPr>
              <w:t>Показник</w:t>
            </w:r>
          </w:p>
        </w:tc>
        <w:tc>
          <w:tcPr>
            <w:tcW w:w="30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2816C5" w14:textId="77777777" w:rsidR="00565C3D" w:rsidRPr="00EB3FEC" w:rsidRDefault="00565C3D" w:rsidP="00565C3D">
            <w:pPr>
              <w:jc w:val="center"/>
              <w:rPr>
                <w:bCs/>
                <w:lang w:eastAsia="en-US"/>
              </w:rPr>
            </w:pPr>
            <w:r w:rsidRPr="00EB3FEC">
              <w:rPr>
                <w:bCs/>
                <w:lang w:eastAsia="en-US"/>
              </w:rPr>
              <w:t>Прогнозні періоди (роки)</w:t>
            </w:r>
          </w:p>
        </w:tc>
      </w:tr>
      <w:tr w:rsidR="00565C3D" w:rsidRPr="00565C3D" w14:paraId="20FA1C1D" w14:textId="77777777" w:rsidTr="00EB3FEC">
        <w:trPr>
          <w:trHeight w:val="485"/>
        </w:trPr>
        <w:tc>
          <w:tcPr>
            <w:tcW w:w="708" w:type="dxa"/>
            <w:vMerge/>
            <w:tcBorders>
              <w:left w:val="single" w:sz="4" w:space="0" w:color="auto"/>
              <w:bottom w:val="single" w:sz="4" w:space="0" w:color="auto"/>
              <w:right w:val="single" w:sz="4" w:space="0" w:color="auto"/>
            </w:tcBorders>
            <w:vAlign w:val="center"/>
            <w:hideMark/>
          </w:tcPr>
          <w:p w14:paraId="01C276EC" w14:textId="77777777" w:rsidR="00565C3D" w:rsidRPr="00565C3D" w:rsidRDefault="00565C3D" w:rsidP="00565C3D">
            <w:pPr>
              <w:ind w:right="-1"/>
              <w:jc w:val="center"/>
              <w:rPr>
                <w:lang w:eastAsia="en-US"/>
              </w:rPr>
            </w:pPr>
          </w:p>
        </w:tc>
        <w:tc>
          <w:tcPr>
            <w:tcW w:w="5813" w:type="dxa"/>
            <w:vMerge/>
            <w:tcBorders>
              <w:left w:val="single" w:sz="4" w:space="0" w:color="auto"/>
              <w:bottom w:val="single" w:sz="4" w:space="0" w:color="auto"/>
              <w:right w:val="single" w:sz="4" w:space="0" w:color="auto"/>
            </w:tcBorders>
            <w:vAlign w:val="center"/>
            <w:hideMark/>
          </w:tcPr>
          <w:p w14:paraId="1C58FD00" w14:textId="77777777" w:rsidR="00565C3D" w:rsidRPr="00565C3D" w:rsidRDefault="00565C3D" w:rsidP="00565C3D">
            <w:pPr>
              <w:ind w:right="-1"/>
              <w:jc w:val="center"/>
              <w:rPr>
                <w:lang w:eastAsia="en-US"/>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EA47F" w14:textId="77777777" w:rsidR="00565C3D" w:rsidRPr="00565C3D" w:rsidRDefault="00565C3D" w:rsidP="00565C3D">
            <w:pPr>
              <w:jc w:val="center"/>
              <w:rPr>
                <w:bCs/>
                <w:lang w:eastAsia="en-US"/>
              </w:rPr>
            </w:pPr>
            <w:r w:rsidRPr="00565C3D">
              <w:rPr>
                <w:bCs/>
                <w:lang w:eastAsia="en-US"/>
              </w:rPr>
              <w:t>1</w:t>
            </w:r>
            <w:r w:rsidR="008F15CB">
              <w:rPr>
                <w:bCs/>
                <w:lang w:eastAsia="en-US"/>
              </w:rPr>
              <w:t>-</w:t>
            </w:r>
            <w:r w:rsidRPr="00565C3D">
              <w:rPr>
                <w:bCs/>
                <w:lang w:eastAsia="en-US"/>
              </w:rPr>
              <w:t xml:space="preserve">й </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96F29" w14:textId="77777777" w:rsidR="00565C3D" w:rsidRPr="00EB3FEC" w:rsidRDefault="004D0DD9" w:rsidP="00565C3D">
            <w:pPr>
              <w:jc w:val="center"/>
              <w:rPr>
                <w:bCs/>
                <w:lang w:eastAsia="en-US"/>
              </w:rPr>
            </w:pPr>
            <w:r w:rsidRPr="00EB3FEC">
              <w:rPr>
                <w:bCs/>
                <w:lang w:eastAsia="en-US"/>
              </w:rPr>
              <w:t>2</w:t>
            </w:r>
            <w:r w:rsidR="008F15CB" w:rsidRPr="00EB3FEC">
              <w:rPr>
                <w:bCs/>
                <w:lang w:eastAsia="en-US"/>
              </w:rPr>
              <w:t>-</w:t>
            </w:r>
            <w:r w:rsidR="00565C3D" w:rsidRPr="00EB3FEC">
              <w:rPr>
                <w:bCs/>
                <w:lang w:eastAsia="en-US"/>
              </w:rPr>
              <w:t xml:space="preserve">й </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A3542" w14:textId="77777777" w:rsidR="00565C3D" w:rsidRPr="00EB3FEC" w:rsidRDefault="004D0DD9" w:rsidP="00565C3D">
            <w:pPr>
              <w:jc w:val="center"/>
              <w:rPr>
                <w:bCs/>
                <w:lang w:eastAsia="en-US"/>
              </w:rPr>
            </w:pPr>
            <w:r w:rsidRPr="00EB3FEC">
              <w:rPr>
                <w:bCs/>
                <w:lang w:eastAsia="en-US"/>
              </w:rPr>
              <w:t>3</w:t>
            </w:r>
            <w:r w:rsidR="008F15CB" w:rsidRPr="00EB3FEC">
              <w:rPr>
                <w:bCs/>
                <w:lang w:eastAsia="en-US"/>
              </w:rPr>
              <w:t>-</w:t>
            </w:r>
            <w:r w:rsidR="00565C3D" w:rsidRPr="00EB3FEC">
              <w:rPr>
                <w:bCs/>
                <w:lang w:eastAsia="en-US"/>
              </w:rPr>
              <w:t xml:space="preserve">й </w:t>
            </w:r>
          </w:p>
        </w:tc>
      </w:tr>
      <w:tr w:rsidR="00565C3D" w:rsidRPr="00565C3D" w14:paraId="6DA03DC1" w14:textId="77777777" w:rsidTr="00EB3FEC">
        <w:trPr>
          <w:trHeight w:val="360"/>
        </w:trPr>
        <w:tc>
          <w:tcPr>
            <w:tcW w:w="708" w:type="dxa"/>
            <w:tcBorders>
              <w:top w:val="single" w:sz="4" w:space="0" w:color="auto"/>
              <w:left w:val="single" w:sz="4" w:space="0" w:color="auto"/>
              <w:bottom w:val="single" w:sz="4" w:space="0" w:color="auto"/>
              <w:right w:val="single" w:sz="4" w:space="0" w:color="auto"/>
            </w:tcBorders>
            <w:hideMark/>
          </w:tcPr>
          <w:p w14:paraId="3615572F" w14:textId="77777777" w:rsidR="00565C3D" w:rsidRPr="00565C3D" w:rsidRDefault="00565C3D" w:rsidP="00565C3D">
            <w:pPr>
              <w:ind w:right="-1"/>
              <w:jc w:val="center"/>
              <w:rPr>
                <w:lang w:eastAsia="en-US"/>
              </w:rPr>
            </w:pPr>
            <w:r w:rsidRPr="00565C3D">
              <w:rPr>
                <w:lang w:eastAsia="en-US"/>
              </w:rPr>
              <w:t>1</w:t>
            </w:r>
          </w:p>
        </w:tc>
        <w:tc>
          <w:tcPr>
            <w:tcW w:w="5813" w:type="dxa"/>
            <w:tcBorders>
              <w:top w:val="single" w:sz="4" w:space="0" w:color="auto"/>
              <w:left w:val="single" w:sz="4" w:space="0" w:color="auto"/>
              <w:bottom w:val="single" w:sz="4" w:space="0" w:color="auto"/>
              <w:right w:val="single" w:sz="4" w:space="0" w:color="auto"/>
            </w:tcBorders>
            <w:hideMark/>
          </w:tcPr>
          <w:p w14:paraId="6BBE66F6" w14:textId="77777777" w:rsidR="00565C3D" w:rsidRPr="00565C3D" w:rsidRDefault="00565C3D" w:rsidP="00565C3D">
            <w:pPr>
              <w:ind w:right="-1"/>
              <w:jc w:val="center"/>
              <w:rPr>
                <w:lang w:eastAsia="en-US"/>
              </w:rPr>
            </w:pPr>
            <w:r w:rsidRPr="00565C3D">
              <w:rPr>
                <w:lang w:eastAsia="en-US"/>
              </w:rPr>
              <w:t>2</w:t>
            </w:r>
          </w:p>
        </w:tc>
        <w:tc>
          <w:tcPr>
            <w:tcW w:w="1028" w:type="dxa"/>
            <w:tcBorders>
              <w:top w:val="single" w:sz="4" w:space="0" w:color="auto"/>
              <w:left w:val="single" w:sz="4" w:space="0" w:color="auto"/>
              <w:bottom w:val="single" w:sz="4" w:space="0" w:color="auto"/>
              <w:right w:val="single" w:sz="4" w:space="0" w:color="auto"/>
            </w:tcBorders>
            <w:shd w:val="clear" w:color="auto" w:fill="auto"/>
            <w:hideMark/>
          </w:tcPr>
          <w:p w14:paraId="0280D0C0" w14:textId="77777777" w:rsidR="00565C3D" w:rsidRPr="00565C3D" w:rsidRDefault="00565C3D" w:rsidP="00565C3D">
            <w:pPr>
              <w:jc w:val="center"/>
              <w:rPr>
                <w:bCs/>
                <w:lang w:eastAsia="en-US"/>
              </w:rPr>
            </w:pPr>
            <w:r w:rsidRPr="00565C3D">
              <w:rPr>
                <w:bCs/>
                <w:lang w:eastAsia="en-US"/>
              </w:rPr>
              <w:t>3</w:t>
            </w:r>
          </w:p>
        </w:tc>
        <w:tc>
          <w:tcPr>
            <w:tcW w:w="1028" w:type="dxa"/>
            <w:tcBorders>
              <w:top w:val="single" w:sz="4" w:space="0" w:color="auto"/>
              <w:left w:val="single" w:sz="4" w:space="0" w:color="auto"/>
              <w:bottom w:val="single" w:sz="4" w:space="0" w:color="auto"/>
              <w:right w:val="single" w:sz="4" w:space="0" w:color="auto"/>
            </w:tcBorders>
            <w:shd w:val="clear" w:color="auto" w:fill="auto"/>
            <w:hideMark/>
          </w:tcPr>
          <w:p w14:paraId="22D50016" w14:textId="77777777" w:rsidR="00565C3D" w:rsidRPr="00EB3FEC" w:rsidRDefault="00565C3D" w:rsidP="00565C3D">
            <w:pPr>
              <w:jc w:val="center"/>
              <w:rPr>
                <w:bCs/>
                <w:lang w:eastAsia="en-US"/>
              </w:rPr>
            </w:pPr>
            <w:r w:rsidRPr="00EB3FEC">
              <w:rPr>
                <w:bCs/>
                <w:lang w:eastAsia="en-US"/>
              </w:rPr>
              <w:t>4</w:t>
            </w:r>
          </w:p>
        </w:tc>
        <w:tc>
          <w:tcPr>
            <w:tcW w:w="1028" w:type="dxa"/>
            <w:tcBorders>
              <w:top w:val="single" w:sz="4" w:space="0" w:color="auto"/>
              <w:left w:val="single" w:sz="4" w:space="0" w:color="auto"/>
              <w:bottom w:val="single" w:sz="4" w:space="0" w:color="auto"/>
              <w:right w:val="single" w:sz="4" w:space="0" w:color="auto"/>
            </w:tcBorders>
            <w:shd w:val="clear" w:color="auto" w:fill="auto"/>
            <w:hideMark/>
          </w:tcPr>
          <w:p w14:paraId="60711785" w14:textId="77777777" w:rsidR="00565C3D" w:rsidRPr="00EB3FEC" w:rsidRDefault="00565C3D" w:rsidP="00565C3D">
            <w:pPr>
              <w:jc w:val="center"/>
              <w:rPr>
                <w:bCs/>
                <w:lang w:eastAsia="en-US"/>
              </w:rPr>
            </w:pPr>
            <w:r w:rsidRPr="00EB3FEC">
              <w:rPr>
                <w:bCs/>
                <w:lang w:eastAsia="en-US"/>
              </w:rPr>
              <w:t>5</w:t>
            </w:r>
          </w:p>
        </w:tc>
      </w:tr>
      <w:tr w:rsidR="00565C3D" w:rsidRPr="00565C3D" w14:paraId="55365C5B" w14:textId="77777777" w:rsidTr="00565C3D">
        <w:trPr>
          <w:trHeight w:val="360"/>
        </w:trPr>
        <w:tc>
          <w:tcPr>
            <w:tcW w:w="708" w:type="dxa"/>
            <w:tcBorders>
              <w:top w:val="single" w:sz="4" w:space="0" w:color="auto"/>
              <w:left w:val="single" w:sz="4" w:space="0" w:color="auto"/>
              <w:bottom w:val="single" w:sz="4" w:space="0" w:color="auto"/>
              <w:right w:val="single" w:sz="4" w:space="0" w:color="auto"/>
            </w:tcBorders>
            <w:vAlign w:val="center"/>
          </w:tcPr>
          <w:p w14:paraId="376DF94B" w14:textId="77777777" w:rsidR="00565C3D" w:rsidRPr="00565C3D" w:rsidRDefault="00565C3D" w:rsidP="00565C3D">
            <w:pPr>
              <w:ind w:right="-1"/>
              <w:jc w:val="left"/>
              <w:rPr>
                <w:lang w:eastAsia="en-US"/>
              </w:rPr>
            </w:pPr>
            <w:r w:rsidRPr="00565C3D">
              <w:rPr>
                <w:lang w:eastAsia="en-US"/>
              </w:rPr>
              <w:t>1</w:t>
            </w:r>
          </w:p>
        </w:tc>
        <w:tc>
          <w:tcPr>
            <w:tcW w:w="5813" w:type="dxa"/>
            <w:tcBorders>
              <w:top w:val="single" w:sz="4" w:space="0" w:color="auto"/>
              <w:left w:val="single" w:sz="4" w:space="0" w:color="auto"/>
              <w:bottom w:val="single" w:sz="4" w:space="0" w:color="auto"/>
              <w:right w:val="single" w:sz="4" w:space="0" w:color="auto"/>
            </w:tcBorders>
            <w:vAlign w:val="center"/>
          </w:tcPr>
          <w:p w14:paraId="1101868B" w14:textId="77777777" w:rsidR="00565C3D" w:rsidRPr="00565C3D" w:rsidRDefault="00565C3D" w:rsidP="00565C3D">
            <w:pPr>
              <w:ind w:right="-1"/>
              <w:jc w:val="left"/>
              <w:rPr>
                <w:lang w:eastAsia="en-US"/>
              </w:rPr>
            </w:pPr>
            <w:r w:rsidRPr="00565C3D">
              <w:rPr>
                <w:lang w:eastAsia="en-US"/>
              </w:rPr>
              <w:t>Річна зміна комісійних доходів (Com_inc_gr)</w:t>
            </w:r>
          </w:p>
        </w:tc>
        <w:tc>
          <w:tcPr>
            <w:tcW w:w="1028" w:type="dxa"/>
            <w:tcBorders>
              <w:top w:val="single" w:sz="4" w:space="0" w:color="auto"/>
              <w:left w:val="single" w:sz="4" w:space="0" w:color="auto"/>
              <w:bottom w:val="single" w:sz="4" w:space="0" w:color="auto"/>
              <w:right w:val="single" w:sz="4" w:space="0" w:color="auto"/>
            </w:tcBorders>
            <w:vAlign w:val="center"/>
          </w:tcPr>
          <w:p w14:paraId="0293433D" w14:textId="77777777" w:rsidR="00565C3D" w:rsidRPr="00565C3D" w:rsidRDefault="00565C3D" w:rsidP="00565C3D">
            <w:pPr>
              <w:jc w:val="right"/>
              <w:rPr>
                <w:bCs/>
                <w:lang w:eastAsia="en-US"/>
              </w:rPr>
            </w:pPr>
            <w:r w:rsidRPr="00565C3D">
              <w:rPr>
                <w:bCs/>
                <w:lang w:eastAsia="en-US"/>
              </w:rPr>
              <w:t>-10,0</w:t>
            </w:r>
          </w:p>
        </w:tc>
        <w:tc>
          <w:tcPr>
            <w:tcW w:w="1028" w:type="dxa"/>
            <w:tcBorders>
              <w:top w:val="single" w:sz="4" w:space="0" w:color="auto"/>
              <w:left w:val="single" w:sz="4" w:space="0" w:color="auto"/>
              <w:bottom w:val="single" w:sz="4" w:space="0" w:color="auto"/>
              <w:right w:val="single" w:sz="4" w:space="0" w:color="auto"/>
            </w:tcBorders>
            <w:vAlign w:val="center"/>
          </w:tcPr>
          <w:p w14:paraId="66872C3C" w14:textId="77777777" w:rsidR="00565C3D" w:rsidRPr="00565C3D" w:rsidRDefault="00565C3D" w:rsidP="00565C3D">
            <w:pPr>
              <w:jc w:val="right"/>
              <w:rPr>
                <w:bCs/>
                <w:lang w:eastAsia="en-US"/>
              </w:rPr>
            </w:pPr>
            <w:r w:rsidRPr="00565C3D">
              <w:rPr>
                <w:bCs/>
                <w:lang w:eastAsia="en-US"/>
              </w:rPr>
              <w:t>-5,0</w:t>
            </w:r>
          </w:p>
        </w:tc>
        <w:tc>
          <w:tcPr>
            <w:tcW w:w="1028" w:type="dxa"/>
            <w:tcBorders>
              <w:top w:val="single" w:sz="4" w:space="0" w:color="auto"/>
              <w:left w:val="single" w:sz="4" w:space="0" w:color="auto"/>
              <w:bottom w:val="single" w:sz="4" w:space="0" w:color="auto"/>
              <w:right w:val="single" w:sz="4" w:space="0" w:color="auto"/>
            </w:tcBorders>
            <w:vAlign w:val="center"/>
          </w:tcPr>
          <w:p w14:paraId="6AB8F906" w14:textId="77777777" w:rsidR="00565C3D" w:rsidRPr="00565C3D" w:rsidRDefault="00565C3D" w:rsidP="00565C3D">
            <w:pPr>
              <w:jc w:val="right"/>
              <w:rPr>
                <w:bCs/>
                <w:lang w:eastAsia="en-US"/>
              </w:rPr>
            </w:pPr>
            <w:r w:rsidRPr="00565C3D">
              <w:rPr>
                <w:bCs/>
                <w:lang w:eastAsia="en-US"/>
              </w:rPr>
              <w:t>0,0</w:t>
            </w:r>
          </w:p>
        </w:tc>
      </w:tr>
      <w:tr w:rsidR="00565C3D" w:rsidRPr="00565C3D" w14:paraId="7A5956D2" w14:textId="77777777" w:rsidTr="00565C3D">
        <w:trPr>
          <w:trHeight w:val="360"/>
        </w:trPr>
        <w:tc>
          <w:tcPr>
            <w:tcW w:w="708" w:type="dxa"/>
            <w:tcBorders>
              <w:top w:val="single" w:sz="4" w:space="0" w:color="auto"/>
              <w:left w:val="single" w:sz="4" w:space="0" w:color="auto"/>
              <w:bottom w:val="single" w:sz="4" w:space="0" w:color="auto"/>
              <w:right w:val="single" w:sz="4" w:space="0" w:color="auto"/>
            </w:tcBorders>
            <w:vAlign w:val="center"/>
          </w:tcPr>
          <w:p w14:paraId="2181EE98" w14:textId="77777777" w:rsidR="00565C3D" w:rsidRPr="00565C3D" w:rsidRDefault="00565C3D" w:rsidP="00565C3D">
            <w:pPr>
              <w:ind w:right="-1"/>
              <w:jc w:val="left"/>
              <w:rPr>
                <w:lang w:eastAsia="en-US"/>
              </w:rPr>
            </w:pPr>
            <w:r w:rsidRPr="00565C3D">
              <w:rPr>
                <w:lang w:eastAsia="en-US"/>
              </w:rPr>
              <w:t>2</w:t>
            </w:r>
          </w:p>
        </w:tc>
        <w:tc>
          <w:tcPr>
            <w:tcW w:w="5813" w:type="dxa"/>
            <w:tcBorders>
              <w:top w:val="single" w:sz="4" w:space="0" w:color="auto"/>
              <w:left w:val="single" w:sz="4" w:space="0" w:color="auto"/>
              <w:bottom w:val="single" w:sz="4" w:space="0" w:color="auto"/>
              <w:right w:val="single" w:sz="4" w:space="0" w:color="auto"/>
            </w:tcBorders>
            <w:vAlign w:val="center"/>
          </w:tcPr>
          <w:p w14:paraId="10AB0767" w14:textId="77777777" w:rsidR="00565C3D" w:rsidRPr="00565C3D" w:rsidRDefault="00565C3D" w:rsidP="00565C3D">
            <w:pPr>
              <w:tabs>
                <w:tab w:val="left" w:pos="1167"/>
              </w:tabs>
              <w:ind w:right="-1"/>
              <w:jc w:val="left"/>
              <w:rPr>
                <w:lang w:eastAsia="en-US"/>
              </w:rPr>
            </w:pPr>
            <w:r w:rsidRPr="00565C3D">
              <w:rPr>
                <w:lang w:eastAsia="en-US"/>
              </w:rPr>
              <w:t>Річна зміна комісійних витрат (Com_ex_gr)</w:t>
            </w:r>
          </w:p>
        </w:tc>
        <w:tc>
          <w:tcPr>
            <w:tcW w:w="1028" w:type="dxa"/>
            <w:tcBorders>
              <w:top w:val="single" w:sz="4" w:space="0" w:color="auto"/>
              <w:left w:val="single" w:sz="4" w:space="0" w:color="auto"/>
              <w:bottom w:val="single" w:sz="4" w:space="0" w:color="auto"/>
              <w:right w:val="single" w:sz="4" w:space="0" w:color="auto"/>
            </w:tcBorders>
            <w:vAlign w:val="center"/>
          </w:tcPr>
          <w:p w14:paraId="0C47A727" w14:textId="77777777" w:rsidR="00565C3D" w:rsidRPr="00565C3D" w:rsidRDefault="00565C3D" w:rsidP="00565C3D">
            <w:pPr>
              <w:jc w:val="right"/>
              <w:rPr>
                <w:bCs/>
                <w:lang w:eastAsia="en-US"/>
              </w:rPr>
            </w:pPr>
            <w:r w:rsidRPr="00565C3D">
              <w:rPr>
                <w:bCs/>
                <w:lang w:eastAsia="en-US"/>
              </w:rPr>
              <w:t>-10,0</w:t>
            </w:r>
          </w:p>
        </w:tc>
        <w:tc>
          <w:tcPr>
            <w:tcW w:w="1028" w:type="dxa"/>
            <w:tcBorders>
              <w:top w:val="single" w:sz="4" w:space="0" w:color="auto"/>
              <w:left w:val="single" w:sz="4" w:space="0" w:color="auto"/>
              <w:bottom w:val="single" w:sz="4" w:space="0" w:color="auto"/>
              <w:right w:val="single" w:sz="4" w:space="0" w:color="auto"/>
            </w:tcBorders>
            <w:vAlign w:val="center"/>
          </w:tcPr>
          <w:p w14:paraId="33E44781" w14:textId="77777777" w:rsidR="00565C3D" w:rsidRPr="00565C3D" w:rsidRDefault="00565C3D" w:rsidP="00565C3D">
            <w:pPr>
              <w:jc w:val="right"/>
              <w:rPr>
                <w:bCs/>
                <w:lang w:eastAsia="en-US"/>
              </w:rPr>
            </w:pPr>
            <w:r w:rsidRPr="00565C3D">
              <w:rPr>
                <w:bCs/>
                <w:lang w:eastAsia="en-US"/>
              </w:rPr>
              <w:t>-5,0</w:t>
            </w:r>
          </w:p>
        </w:tc>
        <w:tc>
          <w:tcPr>
            <w:tcW w:w="1028" w:type="dxa"/>
            <w:tcBorders>
              <w:top w:val="single" w:sz="4" w:space="0" w:color="auto"/>
              <w:left w:val="single" w:sz="4" w:space="0" w:color="auto"/>
              <w:bottom w:val="single" w:sz="4" w:space="0" w:color="auto"/>
              <w:right w:val="single" w:sz="4" w:space="0" w:color="auto"/>
            </w:tcBorders>
            <w:vAlign w:val="center"/>
          </w:tcPr>
          <w:p w14:paraId="5797EC84" w14:textId="77777777" w:rsidR="00565C3D" w:rsidRPr="00565C3D" w:rsidRDefault="00565C3D" w:rsidP="00565C3D">
            <w:pPr>
              <w:jc w:val="right"/>
              <w:rPr>
                <w:bCs/>
                <w:lang w:eastAsia="en-US"/>
              </w:rPr>
            </w:pPr>
            <w:r w:rsidRPr="00565C3D">
              <w:rPr>
                <w:bCs/>
                <w:lang w:eastAsia="en-US"/>
              </w:rPr>
              <w:t>0,0</w:t>
            </w:r>
          </w:p>
        </w:tc>
      </w:tr>
      <w:tr w:rsidR="00565C3D" w:rsidRPr="00565C3D" w14:paraId="09502A14" w14:textId="77777777" w:rsidTr="00565C3D">
        <w:trPr>
          <w:trHeight w:val="360"/>
        </w:trPr>
        <w:tc>
          <w:tcPr>
            <w:tcW w:w="708" w:type="dxa"/>
            <w:tcBorders>
              <w:top w:val="single" w:sz="4" w:space="0" w:color="auto"/>
              <w:left w:val="single" w:sz="4" w:space="0" w:color="auto"/>
              <w:bottom w:val="single" w:sz="4" w:space="0" w:color="auto"/>
              <w:right w:val="single" w:sz="4" w:space="0" w:color="auto"/>
            </w:tcBorders>
            <w:vAlign w:val="center"/>
          </w:tcPr>
          <w:p w14:paraId="5064B272" w14:textId="77777777" w:rsidR="00565C3D" w:rsidRPr="00565C3D" w:rsidRDefault="00565C3D" w:rsidP="00565C3D">
            <w:pPr>
              <w:ind w:right="-1"/>
              <w:jc w:val="left"/>
              <w:rPr>
                <w:lang w:eastAsia="en-US"/>
              </w:rPr>
            </w:pPr>
            <w:r w:rsidRPr="00565C3D">
              <w:rPr>
                <w:lang w:eastAsia="en-US"/>
              </w:rPr>
              <w:t>3</w:t>
            </w:r>
          </w:p>
        </w:tc>
        <w:tc>
          <w:tcPr>
            <w:tcW w:w="5813" w:type="dxa"/>
            <w:tcBorders>
              <w:top w:val="single" w:sz="4" w:space="0" w:color="auto"/>
              <w:left w:val="single" w:sz="4" w:space="0" w:color="auto"/>
              <w:bottom w:val="single" w:sz="4" w:space="0" w:color="auto"/>
              <w:right w:val="single" w:sz="4" w:space="0" w:color="auto"/>
            </w:tcBorders>
            <w:vAlign w:val="center"/>
          </w:tcPr>
          <w:p w14:paraId="421E9881" w14:textId="77777777" w:rsidR="00565C3D" w:rsidRPr="00565C3D" w:rsidRDefault="00565C3D" w:rsidP="00565C3D">
            <w:pPr>
              <w:ind w:right="-1"/>
              <w:jc w:val="left"/>
              <w:rPr>
                <w:lang w:eastAsia="en-US"/>
              </w:rPr>
            </w:pPr>
            <w:r w:rsidRPr="00565C3D">
              <w:rPr>
                <w:lang w:eastAsia="en-US"/>
              </w:rPr>
              <w:t>Річна зміна адміністративних витрат (Adm_ex_gr)</w:t>
            </w:r>
          </w:p>
        </w:tc>
        <w:tc>
          <w:tcPr>
            <w:tcW w:w="1028" w:type="dxa"/>
            <w:tcBorders>
              <w:top w:val="single" w:sz="4" w:space="0" w:color="auto"/>
              <w:left w:val="single" w:sz="4" w:space="0" w:color="auto"/>
              <w:bottom w:val="single" w:sz="4" w:space="0" w:color="auto"/>
              <w:right w:val="single" w:sz="4" w:space="0" w:color="auto"/>
            </w:tcBorders>
            <w:vAlign w:val="center"/>
          </w:tcPr>
          <w:p w14:paraId="2ACD6594" w14:textId="77777777" w:rsidR="00565C3D" w:rsidRPr="00565C3D" w:rsidRDefault="00565C3D" w:rsidP="00565C3D">
            <w:pPr>
              <w:jc w:val="right"/>
              <w:rPr>
                <w:bCs/>
                <w:lang w:eastAsia="en-US"/>
              </w:rPr>
            </w:pPr>
            <w:r w:rsidRPr="00565C3D">
              <w:rPr>
                <w:bCs/>
                <w:lang w:eastAsia="en-US"/>
              </w:rPr>
              <w:t>0,0</w:t>
            </w:r>
          </w:p>
        </w:tc>
        <w:tc>
          <w:tcPr>
            <w:tcW w:w="1028" w:type="dxa"/>
            <w:tcBorders>
              <w:top w:val="single" w:sz="4" w:space="0" w:color="auto"/>
              <w:left w:val="single" w:sz="4" w:space="0" w:color="auto"/>
              <w:bottom w:val="single" w:sz="4" w:space="0" w:color="auto"/>
              <w:right w:val="single" w:sz="4" w:space="0" w:color="auto"/>
            </w:tcBorders>
            <w:vAlign w:val="center"/>
          </w:tcPr>
          <w:p w14:paraId="24BEBB01" w14:textId="77777777" w:rsidR="00565C3D" w:rsidRPr="00565C3D" w:rsidRDefault="00565C3D" w:rsidP="00565C3D">
            <w:pPr>
              <w:jc w:val="right"/>
              <w:rPr>
                <w:bCs/>
                <w:lang w:eastAsia="en-US"/>
              </w:rPr>
            </w:pPr>
            <w:r w:rsidRPr="00565C3D">
              <w:t>12,8</w:t>
            </w:r>
          </w:p>
        </w:tc>
        <w:tc>
          <w:tcPr>
            <w:tcW w:w="1028" w:type="dxa"/>
            <w:tcBorders>
              <w:top w:val="single" w:sz="4" w:space="0" w:color="auto"/>
              <w:left w:val="single" w:sz="4" w:space="0" w:color="auto"/>
              <w:bottom w:val="single" w:sz="4" w:space="0" w:color="auto"/>
              <w:right w:val="single" w:sz="4" w:space="0" w:color="auto"/>
            </w:tcBorders>
            <w:vAlign w:val="center"/>
          </w:tcPr>
          <w:p w14:paraId="4418DFD8" w14:textId="77777777" w:rsidR="00565C3D" w:rsidRPr="00565C3D" w:rsidRDefault="00565C3D" w:rsidP="00565C3D">
            <w:pPr>
              <w:jc w:val="right"/>
              <w:rPr>
                <w:bCs/>
                <w:lang w:eastAsia="en-US"/>
              </w:rPr>
            </w:pPr>
            <w:r w:rsidRPr="00565C3D">
              <w:t>8,5</w:t>
            </w:r>
          </w:p>
        </w:tc>
      </w:tr>
      <w:tr w:rsidR="00565C3D" w:rsidRPr="00565C3D" w14:paraId="743F5F6F" w14:textId="77777777" w:rsidTr="00565C3D">
        <w:trPr>
          <w:trHeight w:val="36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36AF51D" w14:textId="77777777" w:rsidR="00565C3D" w:rsidRPr="00565C3D" w:rsidRDefault="00565C3D" w:rsidP="00565C3D">
            <w:pPr>
              <w:ind w:right="-1"/>
              <w:jc w:val="left"/>
              <w:rPr>
                <w:lang w:eastAsia="en-US"/>
              </w:rPr>
            </w:pPr>
            <w:r w:rsidRPr="00565C3D">
              <w:rPr>
                <w:lang w:eastAsia="en-US"/>
              </w:rPr>
              <w:t>4</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center"/>
          </w:tcPr>
          <w:p w14:paraId="194A4E0D" w14:textId="77777777" w:rsidR="00565C3D" w:rsidRPr="00565C3D" w:rsidRDefault="00565C3D" w:rsidP="00565C3D">
            <w:pPr>
              <w:ind w:right="-1"/>
              <w:jc w:val="left"/>
              <w:rPr>
                <w:lang w:eastAsia="en-US"/>
              </w:rPr>
            </w:pPr>
            <w:r w:rsidRPr="00565C3D">
              <w:rPr>
                <w:lang w:eastAsia="en-US"/>
              </w:rPr>
              <w:t>Річна зміна результату від купівлі/продажу іноземної валюти та банківських металів (FX_trade_res_gr)</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52A10D82" w14:textId="77777777" w:rsidR="00565C3D" w:rsidRPr="00565C3D" w:rsidRDefault="00565C3D" w:rsidP="00565C3D">
            <w:pPr>
              <w:jc w:val="right"/>
              <w:rPr>
                <w:bCs/>
                <w:lang w:eastAsia="en-US"/>
              </w:rPr>
            </w:pPr>
            <w:r w:rsidRPr="00565C3D">
              <w:rPr>
                <w:bCs/>
                <w:lang w:eastAsia="en-US"/>
              </w:rPr>
              <w:t>-50,0</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07900454" w14:textId="77777777" w:rsidR="00565C3D" w:rsidRPr="00565C3D" w:rsidRDefault="00565C3D" w:rsidP="00565C3D">
            <w:pPr>
              <w:jc w:val="right"/>
              <w:rPr>
                <w:bCs/>
                <w:lang w:eastAsia="en-US"/>
              </w:rPr>
            </w:pPr>
            <w:r w:rsidRPr="00565C3D">
              <w:rPr>
                <w:bCs/>
                <w:lang w:eastAsia="en-US"/>
              </w:rPr>
              <w:t>-10,0</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3B02C4A9" w14:textId="77777777" w:rsidR="00565C3D" w:rsidRPr="00565C3D" w:rsidRDefault="00565C3D" w:rsidP="00565C3D">
            <w:pPr>
              <w:jc w:val="right"/>
              <w:rPr>
                <w:bCs/>
                <w:lang w:eastAsia="en-US"/>
              </w:rPr>
            </w:pPr>
            <w:r w:rsidRPr="00565C3D">
              <w:rPr>
                <w:bCs/>
                <w:lang w:eastAsia="en-US"/>
              </w:rPr>
              <w:t>0,0</w:t>
            </w:r>
          </w:p>
        </w:tc>
      </w:tr>
    </w:tbl>
    <w:p w14:paraId="3E3D0F93" w14:textId="77777777" w:rsidR="00565C3D" w:rsidRPr="00565C3D" w:rsidRDefault="00565C3D" w:rsidP="00F30BD9">
      <w:pPr>
        <w:pStyle w:val="af3"/>
        <w:numPr>
          <w:ilvl w:val="0"/>
          <w:numId w:val="52"/>
        </w:numPr>
        <w:tabs>
          <w:tab w:val="left" w:pos="993"/>
        </w:tabs>
        <w:spacing w:before="240" w:after="240"/>
        <w:ind w:left="0" w:right="-1" w:firstLine="567"/>
        <w:contextualSpacing w:val="0"/>
      </w:pPr>
      <w:r w:rsidRPr="00565C3D">
        <w:lastRenderedPageBreak/>
        <w:t>Для цілей СТ використовується такий підхід до розрахунку обсягів резервів під кредити та інші активні банківські операції (балансові та позабалансові), що підлягають СТ (Prov</w:t>
      </w:r>
      <w:r w:rsidRPr="00565C3D">
        <w:rPr>
          <w:vertAlign w:val="subscript"/>
        </w:rPr>
        <w:t>t</w:t>
      </w:r>
      <w:r w:rsidRPr="00565C3D">
        <w:t>):</w:t>
      </w:r>
    </w:p>
    <w:p w14:paraId="478B43C2" w14:textId="5BD99E38" w:rsidR="00565C3D" w:rsidRPr="00565C3D" w:rsidRDefault="0052636F" w:rsidP="00EB3FEC">
      <w:pPr>
        <w:pStyle w:val="af3"/>
        <w:spacing w:before="240" w:after="240"/>
        <w:ind w:right="1416"/>
        <w:contextualSpacing w:val="0"/>
        <w:jc w:val="right"/>
        <w:rPr>
          <w:rFonts w:eastAsiaTheme="minorEastAsia"/>
        </w:rPr>
      </w:pPr>
      <m:oMath>
        <m:sSub>
          <m:sSubPr>
            <m:ctrlPr>
              <w:rPr>
                <w:rFonts w:ascii="Cambria Math" w:hAnsi="Cambria Math"/>
                <w:i/>
              </w:rPr>
            </m:ctrlPr>
          </m:sSubPr>
          <m:e>
            <m:r>
              <m:rPr>
                <m:nor/>
              </m:rPr>
              <w:rPr>
                <w:i/>
              </w:rPr>
              <m:t>Prov</m:t>
            </m:r>
          </m:e>
          <m:sub>
            <m:r>
              <m:rPr>
                <m:nor/>
              </m:rPr>
              <w:rPr>
                <w:i/>
              </w:rPr>
              <m:t>t</m:t>
            </m:r>
          </m:sub>
        </m:sSub>
        <m:r>
          <m:rPr>
            <m:nor/>
          </m:rPr>
          <w:rPr>
            <w:i/>
          </w:rPr>
          <m:t xml:space="preserve"> = </m:t>
        </m:r>
        <m:r>
          <m:rPr>
            <m:nor/>
          </m:rPr>
          <m:t>max</m:t>
        </m:r>
        <m:r>
          <m:rPr>
            <m:nor/>
          </m:rPr>
          <w:rPr>
            <w:i/>
          </w:rPr>
          <m:t>(</m:t>
        </m:r>
        <m:sSub>
          <m:sSubPr>
            <m:ctrlPr>
              <w:rPr>
                <w:rFonts w:ascii="Cambria Math" w:hAnsi="Cambria Math"/>
                <w:i/>
              </w:rPr>
            </m:ctrlPr>
          </m:sSubPr>
          <m:e>
            <m:r>
              <m:rPr>
                <m:nor/>
              </m:rPr>
              <w:rPr>
                <w:i/>
              </w:rPr>
              <m:t>CR</m:t>
            </m:r>
          </m:e>
          <m:sub>
            <m:r>
              <m:rPr>
                <m:nor/>
              </m:rPr>
              <w:rPr>
                <w:i/>
              </w:rPr>
              <m:t>t</m:t>
            </m:r>
          </m:sub>
        </m:sSub>
        <m:r>
          <w:rPr>
            <w:rFonts w:ascii="Cambria Math" w:hAnsi="Cambria Math"/>
          </w:rPr>
          <m:t>;</m:t>
        </m:r>
        <m:sSub>
          <m:sSubPr>
            <m:ctrlPr>
              <w:rPr>
                <w:rFonts w:ascii="Cambria Math" w:hAnsi="Cambria Math"/>
                <w:i/>
              </w:rPr>
            </m:ctrlPr>
          </m:sSubPr>
          <m:e>
            <m:r>
              <m:rPr>
                <m:nor/>
              </m:rPr>
              <w:rPr>
                <w:i/>
              </w:rPr>
              <m:t xml:space="preserve"> Prov</m:t>
            </m:r>
          </m:e>
          <m:sub>
            <m:r>
              <w:rPr>
                <w:rFonts w:ascii="Cambria Math" w:hAnsi="Cambria Math"/>
              </w:rPr>
              <m:t>0</m:t>
            </m:r>
          </m:sub>
        </m:sSub>
        <m:r>
          <w:rPr>
            <w:rFonts w:ascii="Cambria Math" w:hAnsi="Cambria Math"/>
          </w:rPr>
          <m:t>)</m:t>
        </m:r>
      </m:oMath>
      <w:r w:rsidR="00565C3D" w:rsidRPr="00565C3D">
        <w:t>,</w:t>
      </w:r>
      <m:oMath>
        <m:r>
          <w:rPr>
            <w:rFonts w:ascii="Cambria Math" w:hAnsi="Cambria Math"/>
          </w:rPr>
          <m:t xml:space="preserve"> </m:t>
        </m:r>
      </m:oMath>
      <w:r w:rsidR="00565C3D" w:rsidRPr="00565C3D">
        <w:t xml:space="preserve">  </w:t>
      </w:r>
      <w:r w:rsidR="00EE7A2A">
        <w:t xml:space="preserve">                   </w:t>
      </w:r>
      <w:r w:rsidR="00565C3D" w:rsidRPr="00565C3D">
        <w:t xml:space="preserve"> </w:t>
      </w:r>
      <w:r w:rsidR="00565C3D" w:rsidRPr="00565C3D">
        <w:rPr>
          <w:rFonts w:eastAsiaTheme="minorEastAsia"/>
        </w:rPr>
        <w:t>(13)</w:t>
      </w:r>
    </w:p>
    <w:p w14:paraId="44B33CA6" w14:textId="77777777" w:rsidR="00565C3D" w:rsidRPr="00565C3D" w:rsidRDefault="00565C3D" w:rsidP="00483885">
      <w:pPr>
        <w:pStyle w:val="af3"/>
        <w:ind w:left="567" w:hanging="567"/>
        <w:contextualSpacing w:val="0"/>
      </w:pPr>
      <w:r w:rsidRPr="00565C3D">
        <w:t xml:space="preserve">де </w:t>
      </w:r>
      <m:oMath>
        <m:sSub>
          <m:sSubPr>
            <m:ctrlPr>
              <w:rPr>
                <w:rFonts w:ascii="Cambria Math" w:hAnsi="Cambria Math"/>
              </w:rPr>
            </m:ctrlPr>
          </m:sSubPr>
          <m:e>
            <m:r>
              <m:rPr>
                <m:nor/>
              </m:rPr>
              <m:t xml:space="preserve"> Prov</m:t>
            </m:r>
          </m:e>
          <m:sub>
            <m:r>
              <m:rPr>
                <m:nor/>
              </m:rPr>
              <m:t>0</m:t>
            </m:r>
          </m:sub>
        </m:sSub>
      </m:oMath>
      <w:r w:rsidRPr="00565C3D">
        <w:t xml:space="preserve"> – обсяг резервів під кредити та інші активні банківські операції</w:t>
      </w:r>
      <w:r w:rsidRPr="00565C3D">
        <w:rPr>
          <w:b/>
        </w:rPr>
        <w:t xml:space="preserve"> </w:t>
      </w:r>
      <w:r w:rsidRPr="00565C3D">
        <w:t>за даними інспекційної перевірки, що підлягають СТ у звітному періоді.</w:t>
      </w:r>
    </w:p>
    <w:p w14:paraId="2B2A779C" w14:textId="77777777" w:rsidR="00565C3D" w:rsidRPr="00565C3D" w:rsidRDefault="00565C3D" w:rsidP="00483885">
      <w:pPr>
        <w:pStyle w:val="af3"/>
        <w:spacing w:before="240" w:after="240"/>
        <w:ind w:left="0" w:firstLine="709"/>
        <w:contextualSpacing w:val="0"/>
      </w:pPr>
      <w:r w:rsidRPr="00565C3D">
        <w:t>Зміна резервів розраховується окремо в національній та іноземній валют</w:t>
      </w:r>
      <w:r w:rsidR="00F50F07">
        <w:t>ах</w:t>
      </w:r>
      <w:r w:rsidRPr="00565C3D">
        <w:t>.</w:t>
      </w:r>
    </w:p>
    <w:p w14:paraId="173B6435" w14:textId="77777777" w:rsidR="00565C3D" w:rsidRDefault="00565C3D" w:rsidP="00F30BD9">
      <w:pPr>
        <w:pStyle w:val="af3"/>
        <w:numPr>
          <w:ilvl w:val="0"/>
          <w:numId w:val="52"/>
        </w:numPr>
        <w:tabs>
          <w:tab w:val="left" w:pos="993"/>
        </w:tabs>
        <w:spacing w:before="240" w:after="240"/>
        <w:ind w:left="0" w:firstLine="567"/>
        <w:contextualSpacing w:val="0"/>
      </w:pPr>
      <w:r w:rsidRPr="00565C3D">
        <w:t xml:space="preserve">Адміністративні витрати </w:t>
      </w:r>
      <w:r w:rsidR="006019E3" w:rsidRPr="00565C3D">
        <w:t>(Adm_ex)</w:t>
      </w:r>
      <w:r w:rsidR="006019E3">
        <w:t xml:space="preserve">, </w:t>
      </w:r>
      <w:r w:rsidR="006019E3" w:rsidRPr="00565C3D">
        <w:t>крім витрат на відрахування до Фонду гарантування вкладів фізичних осіб</w:t>
      </w:r>
      <w:r w:rsidR="006019E3">
        <w:t xml:space="preserve">, прогнозуються </w:t>
      </w:r>
      <w:r w:rsidRPr="00565C3D">
        <w:t>з урахуванням поточної динаміки та прогнозів основних макроекономічних показників, зокрема дефлятора ВВП,</w:t>
      </w:r>
      <w:r w:rsidR="006019E3">
        <w:t xml:space="preserve"> </w:t>
      </w:r>
      <w:r w:rsidRPr="00565C3D">
        <w:t xml:space="preserve">за </w:t>
      </w:r>
      <w:r w:rsidR="00EE7A2A">
        <w:t xml:space="preserve">такою </w:t>
      </w:r>
      <w:r w:rsidRPr="00565C3D">
        <w:t>формулою:</w:t>
      </w:r>
    </w:p>
    <w:p w14:paraId="5C7FF222" w14:textId="09134F86" w:rsidR="00565C3D" w:rsidRPr="00565C3D" w:rsidRDefault="0052636F" w:rsidP="00EB3FEC">
      <w:pPr>
        <w:spacing w:before="240" w:after="240"/>
        <w:ind w:right="1558"/>
        <w:jc w:val="right"/>
        <w:rPr>
          <w:rFonts w:eastAsiaTheme="minorEastAsia"/>
        </w:rPr>
      </w:pPr>
      <m:oMath>
        <m:sSub>
          <m:sSubPr>
            <m:ctrlPr>
              <w:rPr>
                <w:rFonts w:ascii="Cambria Math" w:hAnsi="Cambria Math"/>
                <w:i/>
              </w:rPr>
            </m:ctrlPr>
          </m:sSubPr>
          <m:e>
            <m:r>
              <w:rPr>
                <w:rFonts w:ascii="Cambria Math" w:hAnsi="Cambria Math"/>
              </w:rPr>
              <m:t>Adm_ex</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Adm_ex</m:t>
            </m:r>
          </m:e>
          <m:sub>
            <m:r>
              <w:rPr>
                <w:rFonts w:ascii="Cambria Math" w:hAnsi="Cambria Math"/>
              </w:rPr>
              <m:t>t-1</m:t>
            </m:r>
          </m:sub>
        </m:sSub>
        <m:r>
          <w:rPr>
            <w:rFonts w:ascii="Cambria Math" w:hAnsi="Cambria Math"/>
          </w:rPr>
          <m:t>*(1+</m:t>
        </m:r>
        <m:sSub>
          <m:sSubPr>
            <m:ctrlPr>
              <w:rPr>
                <w:rFonts w:ascii="Cambria Math" w:hAnsi="Cambria Math"/>
                <w:i/>
              </w:rPr>
            </m:ctrlPr>
          </m:sSubPr>
          <m:e>
            <m:r>
              <w:rPr>
                <w:rFonts w:ascii="Cambria Math" w:hAnsi="Cambria Math"/>
              </w:rPr>
              <m:t>Adm_ex_gr</m:t>
            </m:r>
          </m:e>
          <m:sub>
            <m:r>
              <w:rPr>
                <w:rFonts w:ascii="Cambria Math" w:hAnsi="Cambria Math"/>
              </w:rPr>
              <m:t>t</m:t>
            </m:r>
          </m:sub>
        </m:sSub>
        <m:r>
          <w:rPr>
            <w:rFonts w:ascii="Cambria Math" w:hAnsi="Cambria Math"/>
          </w:rPr>
          <m:t>)</m:t>
        </m:r>
      </m:oMath>
      <w:r w:rsidR="00565C3D" w:rsidRPr="00565C3D">
        <w:t xml:space="preserve">,  </w:t>
      </w:r>
      <w:r w:rsidR="00EE7A2A">
        <w:t xml:space="preserve"> </w:t>
      </w:r>
      <w:r w:rsidR="000D7745">
        <w:rPr>
          <w:rFonts w:eastAsiaTheme="minorEastAsia"/>
        </w:rPr>
        <w:t>(14)</w:t>
      </w:r>
    </w:p>
    <w:p w14:paraId="3378FAFD" w14:textId="77777777" w:rsidR="00565C3D" w:rsidRPr="00565C3D" w:rsidRDefault="00565C3D" w:rsidP="00483885">
      <w:pPr>
        <w:spacing w:before="240" w:after="240"/>
      </w:pPr>
      <w:r w:rsidRPr="00565C3D">
        <w:t xml:space="preserve">де </w:t>
      </w:r>
      <m:oMath>
        <m:r>
          <w:rPr>
            <w:rFonts w:ascii="Cambria Math" w:hAnsi="Cambria Math"/>
          </w:rPr>
          <m:t>Adm_ex_gr</m:t>
        </m:r>
      </m:oMath>
      <w:r w:rsidRPr="00565C3D">
        <w:t xml:space="preserve"> – річна зміна адміністративних витрат відображена </w:t>
      </w:r>
      <w:r w:rsidR="00EE7A2A">
        <w:t>в</w:t>
      </w:r>
      <w:r w:rsidR="00EE7A2A" w:rsidRPr="00565C3D">
        <w:t xml:space="preserve"> </w:t>
      </w:r>
      <w:r w:rsidRPr="00565C3D">
        <w:t>таблиці 5</w:t>
      </w:r>
      <w:r w:rsidR="006836E3">
        <w:t xml:space="preserve"> цього додатка</w:t>
      </w:r>
      <w:r w:rsidRPr="00565C3D">
        <w:t>.</w:t>
      </w:r>
    </w:p>
    <w:p w14:paraId="43418052" w14:textId="77777777" w:rsidR="00565C3D" w:rsidRPr="00565C3D" w:rsidRDefault="00565C3D" w:rsidP="00EB3FEC">
      <w:pPr>
        <w:pStyle w:val="ParagraphNumbering"/>
        <w:tabs>
          <w:tab w:val="left" w:pos="993"/>
        </w:tabs>
        <w:spacing w:before="240"/>
        <w:ind w:firstLine="567"/>
        <w:jc w:val="both"/>
        <w:rPr>
          <w:sz w:val="28"/>
          <w:szCs w:val="28"/>
          <w:lang w:val="uk-UA"/>
        </w:rPr>
      </w:pPr>
      <w:r w:rsidRPr="00565C3D">
        <w:rPr>
          <w:rFonts w:eastAsiaTheme="minorEastAsia"/>
          <w:sz w:val="28"/>
          <w:szCs w:val="28"/>
          <w:lang w:val="uk-UA"/>
        </w:rPr>
        <w:t xml:space="preserve">До складу адміністративних витрат включаються </w:t>
      </w:r>
      <w:r w:rsidR="00C5117A">
        <w:rPr>
          <w:rFonts w:eastAsiaTheme="minorEastAsia"/>
          <w:sz w:val="28"/>
          <w:szCs w:val="28"/>
          <w:lang w:val="uk-UA"/>
        </w:rPr>
        <w:t>лише</w:t>
      </w:r>
      <w:r w:rsidR="00C5117A" w:rsidRPr="00565C3D">
        <w:rPr>
          <w:rFonts w:eastAsiaTheme="minorEastAsia"/>
          <w:sz w:val="28"/>
          <w:szCs w:val="28"/>
          <w:lang w:val="uk-UA"/>
        </w:rPr>
        <w:t xml:space="preserve"> </w:t>
      </w:r>
      <w:r w:rsidRPr="00565C3D">
        <w:rPr>
          <w:rFonts w:eastAsiaTheme="minorEastAsia"/>
          <w:sz w:val="28"/>
          <w:szCs w:val="28"/>
          <w:lang w:val="uk-UA"/>
        </w:rPr>
        <w:t xml:space="preserve">витрати за </w:t>
      </w:r>
      <w:r w:rsidRPr="00565C3D">
        <w:rPr>
          <w:sz w:val="28"/>
          <w:szCs w:val="28"/>
          <w:lang w:val="uk-UA" w:eastAsia="ru-RU"/>
        </w:rPr>
        <w:t xml:space="preserve">агрегацією, здійсненою відповідно до роз’яснень Національного банку. </w:t>
      </w:r>
      <w:r w:rsidRPr="00565C3D">
        <w:rPr>
          <w:sz w:val="28"/>
          <w:szCs w:val="28"/>
          <w:lang w:val="uk-UA"/>
        </w:rPr>
        <w:t>Неповторювані елементи адміністративних витрат не враховуються в прогнозних періодах.</w:t>
      </w:r>
    </w:p>
    <w:p w14:paraId="42E49D69" w14:textId="77777777" w:rsidR="00565C3D" w:rsidRPr="00565C3D" w:rsidRDefault="00565C3D" w:rsidP="00EB3FEC">
      <w:pPr>
        <w:tabs>
          <w:tab w:val="left" w:pos="993"/>
        </w:tabs>
        <w:spacing w:before="240" w:after="240"/>
        <w:ind w:firstLine="567"/>
      </w:pPr>
      <w:r w:rsidRPr="00565C3D">
        <w:t xml:space="preserve">Витрати на відрахування до Фонду гарантування вкладів фізичних осіб у прогнозних періодах збільшуються пропорційно частці депозитів фізичних осіб </w:t>
      </w:r>
      <w:r w:rsidR="00EE7A2A">
        <w:t>в</w:t>
      </w:r>
      <w:r w:rsidR="00EE7A2A" w:rsidRPr="00565C3D">
        <w:t xml:space="preserve"> </w:t>
      </w:r>
      <w:r w:rsidRPr="00565C3D">
        <w:t>іноземній валюті та зміні обмінного курсу національної валюти.</w:t>
      </w:r>
    </w:p>
    <w:p w14:paraId="577793E5" w14:textId="77777777" w:rsidR="00565C3D" w:rsidRPr="00565C3D" w:rsidRDefault="00565C3D" w:rsidP="00F30BD9">
      <w:pPr>
        <w:pStyle w:val="af3"/>
        <w:numPr>
          <w:ilvl w:val="0"/>
          <w:numId w:val="52"/>
        </w:numPr>
        <w:tabs>
          <w:tab w:val="left" w:pos="993"/>
        </w:tabs>
        <w:spacing w:before="240" w:after="240"/>
        <w:ind w:left="0" w:firstLine="567"/>
        <w:contextualSpacing w:val="0"/>
      </w:pPr>
      <w:r w:rsidRPr="00565C3D">
        <w:t>Для прогнозування непроцентних доходів і витрат додатково робляться такі припущення:</w:t>
      </w:r>
    </w:p>
    <w:p w14:paraId="21718E5C" w14:textId="77777777" w:rsidR="00565C3D" w:rsidRPr="00565C3D" w:rsidRDefault="00565C3D" w:rsidP="00F30BD9">
      <w:pPr>
        <w:pStyle w:val="af3"/>
        <w:numPr>
          <w:ilvl w:val="0"/>
          <w:numId w:val="55"/>
        </w:numPr>
        <w:tabs>
          <w:tab w:val="left" w:pos="993"/>
        </w:tabs>
        <w:spacing w:before="240" w:after="240"/>
        <w:ind w:left="0" w:firstLine="567"/>
        <w:contextualSpacing w:val="0"/>
      </w:pPr>
      <w:r w:rsidRPr="00565C3D">
        <w:rPr>
          <w:rFonts w:eastAsiaTheme="minorEastAsia"/>
        </w:rPr>
        <w:t>разові неповторювані доходи/витрати не враховуються</w:t>
      </w:r>
      <w:r w:rsidRPr="00565C3D">
        <w:t xml:space="preserve">; </w:t>
      </w:r>
    </w:p>
    <w:p w14:paraId="1C6F34EB" w14:textId="77777777" w:rsidR="00565C3D" w:rsidRPr="00565C3D" w:rsidRDefault="00565C3D" w:rsidP="00F30BD9">
      <w:pPr>
        <w:pStyle w:val="af3"/>
        <w:numPr>
          <w:ilvl w:val="0"/>
          <w:numId w:val="55"/>
        </w:numPr>
        <w:tabs>
          <w:tab w:val="left" w:pos="993"/>
        </w:tabs>
        <w:spacing w:before="240" w:after="240"/>
        <w:ind w:left="0" w:firstLine="567"/>
        <w:contextualSpacing w:val="0"/>
      </w:pPr>
      <w:r w:rsidRPr="00565C3D">
        <w:t xml:space="preserve">можливі ліквідації активів та припинення операцій </w:t>
      </w:r>
      <w:r w:rsidR="00EE7A2A">
        <w:t>в</w:t>
      </w:r>
      <w:r w:rsidR="00EE7A2A" w:rsidRPr="00565C3D">
        <w:t xml:space="preserve"> </w:t>
      </w:r>
      <w:r w:rsidRPr="00565C3D">
        <w:t>прогнозному періоді не враховуються внаслідок припущення про статичний баланс;</w:t>
      </w:r>
    </w:p>
    <w:p w14:paraId="714DD883" w14:textId="77777777" w:rsidR="00565C3D" w:rsidRPr="00565C3D" w:rsidRDefault="00565C3D" w:rsidP="00F30BD9">
      <w:pPr>
        <w:pStyle w:val="af3"/>
        <w:numPr>
          <w:ilvl w:val="0"/>
          <w:numId w:val="55"/>
        </w:numPr>
        <w:tabs>
          <w:tab w:val="left" w:pos="993"/>
        </w:tabs>
        <w:spacing w:before="240" w:after="240"/>
        <w:ind w:left="0" w:firstLine="567"/>
        <w:contextualSpacing w:val="0"/>
      </w:pPr>
      <w:r w:rsidRPr="00565C3D">
        <w:t>вплив зміни обмінного курсу національної валюти (FX_revaluation) розраховується шляхом множення валової відкритої позиції (</w:t>
      </w:r>
      <w:r w:rsidRPr="00565C3D">
        <w:rPr>
          <w:noProof/>
        </w:rPr>
        <w:t>FX_open_position</w:t>
      </w:r>
      <w:r w:rsidRPr="00565C3D">
        <w:t>) на зміну обмінного курсу національної валюти згідно з макроекономічним прогнозом (FX_rate):</w:t>
      </w:r>
    </w:p>
    <w:p w14:paraId="5277FBD2" w14:textId="77777777" w:rsidR="00565C3D" w:rsidRPr="00565C3D" w:rsidRDefault="0052636F" w:rsidP="00F30BD9">
      <w:pPr>
        <w:spacing w:before="240" w:after="240"/>
        <w:jc w:val="center"/>
        <w:rPr>
          <w:rFonts w:eastAsiaTheme="minorEastAsia"/>
        </w:rPr>
      </w:pPr>
      <m:oMath>
        <m:sSub>
          <m:sSubPr>
            <m:ctrlPr>
              <w:rPr>
                <w:rFonts w:ascii="Cambria Math" w:hAnsi="Cambria Math"/>
                <w:i/>
              </w:rPr>
            </m:ctrlPr>
          </m:sSubPr>
          <m:e>
            <m:r>
              <w:rPr>
                <w:rFonts w:ascii="Cambria Math" w:hAnsi="Cambria Math"/>
              </w:rPr>
              <m:t>FX_revaluation</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FX_open_position</m:t>
            </m:r>
          </m:e>
          <m:sub>
            <m:r>
              <w:rPr>
                <w:rFonts w:ascii="Cambria Math" w:hAnsi="Cambria Math"/>
              </w:rPr>
              <m:t>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FX_rate</m:t>
                </m:r>
              </m:e>
              <m:sub>
                <m:r>
                  <w:rPr>
                    <w:rFonts w:ascii="Cambria Math" w:hAnsi="Cambria Math"/>
                  </w:rPr>
                  <m:t>t</m:t>
                </m:r>
              </m:sub>
            </m:sSub>
          </m:num>
          <m:den>
            <m:sSub>
              <m:sSubPr>
                <m:ctrlPr>
                  <w:rPr>
                    <w:rFonts w:ascii="Cambria Math" w:hAnsi="Cambria Math"/>
                    <w:i/>
                  </w:rPr>
                </m:ctrlPr>
              </m:sSubPr>
              <m:e>
                <m:r>
                  <w:rPr>
                    <w:rFonts w:ascii="Cambria Math" w:hAnsi="Cambria Math"/>
                  </w:rPr>
                  <m:t>FX rate</m:t>
                </m:r>
              </m:e>
              <m:sub>
                <m:r>
                  <w:rPr>
                    <w:rFonts w:ascii="Cambria Math" w:hAnsi="Cambria Math"/>
                  </w:rPr>
                  <m:t>t-1</m:t>
                </m:r>
              </m:sub>
            </m:sSub>
          </m:den>
        </m:f>
        <m:r>
          <w:rPr>
            <w:rFonts w:ascii="Cambria Math" w:hAnsi="Cambria Math"/>
          </w:rPr>
          <m:t>-1</m:t>
        </m:r>
      </m:oMath>
      <w:r w:rsidR="00565C3D" w:rsidRPr="00565C3D">
        <w:t>)</w:t>
      </w:r>
      <w:r w:rsidR="00EE7A2A">
        <w:t>,</w:t>
      </w:r>
      <w:r w:rsidR="00565C3D" w:rsidRPr="00565C3D">
        <w:t xml:space="preserve">   </w:t>
      </w:r>
      <w:r w:rsidR="00565C3D" w:rsidRPr="00565C3D">
        <w:rPr>
          <w:rFonts w:eastAsiaTheme="minorEastAsia"/>
        </w:rPr>
        <w:t>(15)</w:t>
      </w:r>
    </w:p>
    <w:p w14:paraId="60048639" w14:textId="2C7A08C0" w:rsidR="00565C3D" w:rsidRPr="00565C3D" w:rsidRDefault="00565C3D" w:rsidP="00F30BD9">
      <w:pPr>
        <w:tabs>
          <w:tab w:val="left" w:pos="993"/>
        </w:tabs>
        <w:spacing w:before="240" w:after="240"/>
        <w:ind w:firstLine="567"/>
      </w:pPr>
      <w:r w:rsidRPr="00EB3FEC">
        <w:rPr>
          <w:rFonts w:eastAsiaTheme="minorEastAsia"/>
        </w:rPr>
        <w:lastRenderedPageBreak/>
        <w:t xml:space="preserve">Розрахунок валової відкритої позиції здійснюється відповідно до </w:t>
      </w:r>
      <w:r w:rsidRPr="00EB3FEC">
        <w:t>вимог Методики №</w:t>
      </w:r>
      <w:r w:rsidR="001157A5" w:rsidRPr="00EB3FEC">
        <w:t> </w:t>
      </w:r>
      <w:r w:rsidR="004D0DD9" w:rsidRPr="00EB3FEC">
        <w:t>419</w:t>
      </w:r>
      <w:r w:rsidRPr="00EB3FEC">
        <w:t xml:space="preserve"> та </w:t>
      </w:r>
      <w:r w:rsidR="004D0DD9" w:rsidRPr="00EB3FEC">
        <w:t>Постанови</w:t>
      </w:r>
      <w:r w:rsidRPr="00EB3FEC">
        <w:t xml:space="preserve"> №</w:t>
      </w:r>
      <w:r w:rsidR="001157A5" w:rsidRPr="00EB3FEC">
        <w:t> </w:t>
      </w:r>
      <w:r w:rsidRPr="00EB3FEC">
        <w:t>18 із додаванням</w:t>
      </w:r>
      <w:r w:rsidRPr="00565C3D">
        <w:t xml:space="preserve"> резервів за активами в іноземній валюті. Водночас до розрахунку валової відкритої валютної позиції здійснюється обмеження відкритої валютної позиції відповідно до встановлених лімітів. У разі від’ємного значення регулятивного капіталу обмеження розраховується стосовно значення регулятивного капіталу, що відповідає встановленому нормативному значенню достатності (адекватності) регулятивного капіталу. </w:t>
      </w:r>
    </w:p>
    <w:p w14:paraId="289E17DE" w14:textId="77777777" w:rsidR="00565C3D" w:rsidRPr="00565C3D" w:rsidRDefault="00565C3D" w:rsidP="00F30BD9">
      <w:pPr>
        <w:pStyle w:val="af3"/>
        <w:numPr>
          <w:ilvl w:val="0"/>
          <w:numId w:val="52"/>
        </w:numPr>
        <w:tabs>
          <w:tab w:val="left" w:pos="993"/>
        </w:tabs>
        <w:spacing w:before="240" w:after="240"/>
        <w:ind w:left="0" w:firstLine="567"/>
        <w:contextualSpacing w:val="0"/>
      </w:pPr>
      <w:r w:rsidRPr="00565C3D">
        <w:t xml:space="preserve">Результат від купівлі/продажу іноземної валюти та банківських металів (FX_trade_res) прогнозується з урахуванням поточної динаміки та прогнозів основних макроекономічних показників за </w:t>
      </w:r>
      <w:r w:rsidR="00EE7A2A">
        <w:t xml:space="preserve">такою </w:t>
      </w:r>
      <w:r w:rsidRPr="00565C3D">
        <w:t>формулою:</w:t>
      </w:r>
    </w:p>
    <w:p w14:paraId="54066D59" w14:textId="77777777" w:rsidR="00565C3D" w:rsidRPr="00565C3D" w:rsidRDefault="0052636F" w:rsidP="00F30BD9">
      <w:pPr>
        <w:pStyle w:val="af3"/>
        <w:spacing w:before="240" w:after="240"/>
        <w:contextualSpacing w:val="0"/>
        <w:jc w:val="center"/>
        <w:rPr>
          <w:rFonts w:eastAsiaTheme="minorEastAsia"/>
        </w:rPr>
      </w:pPr>
      <m:oMath>
        <m:sSub>
          <m:sSubPr>
            <m:ctrlPr>
              <w:rPr>
                <w:rFonts w:ascii="Cambria Math" w:hAnsi="Cambria Math"/>
                <w:i/>
              </w:rPr>
            </m:ctrlPr>
          </m:sSubPr>
          <m:e>
            <m:r>
              <w:rPr>
                <w:rFonts w:ascii="Cambria Math" w:hAnsi="Cambria Math"/>
              </w:rPr>
              <m:t>FX_trade_res</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FX_trade_res</m:t>
            </m:r>
          </m:e>
          <m:sub>
            <m:r>
              <w:rPr>
                <w:rFonts w:ascii="Cambria Math" w:hAnsi="Cambria Math"/>
              </w:rPr>
              <m:t>t-1</m:t>
            </m:r>
          </m:sub>
        </m:sSub>
        <m:r>
          <w:rPr>
            <w:rFonts w:ascii="Cambria Math" w:hAnsi="Cambria Math"/>
          </w:rPr>
          <m:t>*(1+</m:t>
        </m:r>
        <m:sSub>
          <m:sSubPr>
            <m:ctrlPr>
              <w:rPr>
                <w:rFonts w:ascii="Cambria Math" w:hAnsi="Cambria Math"/>
                <w:i/>
              </w:rPr>
            </m:ctrlPr>
          </m:sSubPr>
          <m:e>
            <m:r>
              <w:rPr>
                <w:rFonts w:ascii="Cambria Math" w:hAnsi="Cambria Math"/>
              </w:rPr>
              <m:t>FX_trade_gr</m:t>
            </m:r>
          </m:e>
          <m:sub>
            <m:r>
              <w:rPr>
                <w:rFonts w:ascii="Cambria Math" w:hAnsi="Cambria Math"/>
              </w:rPr>
              <m:t>t</m:t>
            </m:r>
          </m:sub>
        </m:sSub>
        <m:r>
          <w:rPr>
            <w:rFonts w:ascii="Cambria Math" w:hAnsi="Cambria Math"/>
          </w:rPr>
          <m:t>)</m:t>
        </m:r>
      </m:oMath>
      <w:r w:rsidR="00565C3D" w:rsidRPr="00565C3D">
        <w:t xml:space="preserve">,   </w:t>
      </w:r>
      <w:r w:rsidR="00565C3D" w:rsidRPr="00565C3D">
        <w:rPr>
          <w:rFonts w:eastAsiaTheme="minorEastAsia"/>
        </w:rPr>
        <w:t xml:space="preserve">(16) </w:t>
      </w:r>
    </w:p>
    <w:p w14:paraId="159DD709" w14:textId="77777777" w:rsidR="00565C3D" w:rsidRPr="00565C3D" w:rsidRDefault="00565C3D" w:rsidP="00483885">
      <w:pPr>
        <w:tabs>
          <w:tab w:val="left" w:pos="993"/>
        </w:tabs>
        <w:spacing w:before="240" w:after="240"/>
      </w:pPr>
      <w:r w:rsidRPr="00565C3D">
        <w:t xml:space="preserve">де </w:t>
      </w:r>
      <m:oMath>
        <m:r>
          <w:rPr>
            <w:rFonts w:ascii="Cambria Math" w:hAnsi="Cambria Math"/>
          </w:rPr>
          <m:t>FX_trade_res_gr</m:t>
        </m:r>
      </m:oMath>
      <w:r w:rsidRPr="00565C3D">
        <w:t xml:space="preserve"> – річна зміна результату від купівлі/продажу валюти та банківських металів відображена </w:t>
      </w:r>
      <w:r w:rsidR="00EE7A2A">
        <w:t>в</w:t>
      </w:r>
      <w:r w:rsidRPr="00565C3D">
        <w:t xml:space="preserve"> таблиці </w:t>
      </w:r>
      <w:r w:rsidR="007834D1">
        <w:t>5</w:t>
      </w:r>
      <w:r w:rsidR="007E079A">
        <w:t xml:space="preserve"> цього додатка</w:t>
      </w:r>
      <w:r w:rsidRPr="00565C3D">
        <w:t>.</w:t>
      </w:r>
    </w:p>
    <w:p w14:paraId="634F36BB" w14:textId="77777777" w:rsidR="00565C3D" w:rsidRPr="00565C3D" w:rsidRDefault="00565C3D" w:rsidP="00F30BD9">
      <w:pPr>
        <w:pStyle w:val="af3"/>
        <w:numPr>
          <w:ilvl w:val="0"/>
          <w:numId w:val="52"/>
        </w:numPr>
        <w:tabs>
          <w:tab w:val="left" w:pos="993"/>
        </w:tabs>
        <w:spacing w:before="240" w:after="240"/>
        <w:ind w:left="0" w:firstLine="567"/>
        <w:contextualSpacing w:val="0"/>
      </w:pPr>
      <w:r w:rsidRPr="00565C3D">
        <w:t>Інші статті доходів та витрат у прогнозному періоді залишаються сталими. Неповторювальні елементи не враховуються в прогнозних періодах.</w:t>
      </w:r>
    </w:p>
    <w:p w14:paraId="70F38231" w14:textId="77777777" w:rsidR="00565C3D" w:rsidRPr="00565C3D" w:rsidRDefault="00565C3D" w:rsidP="00F30BD9">
      <w:pPr>
        <w:pStyle w:val="af3"/>
        <w:numPr>
          <w:ilvl w:val="0"/>
          <w:numId w:val="52"/>
        </w:numPr>
        <w:tabs>
          <w:tab w:val="left" w:pos="993"/>
        </w:tabs>
        <w:spacing w:before="240" w:after="240"/>
        <w:ind w:left="0" w:right="-1" w:firstLine="567"/>
        <w:contextualSpacing w:val="0"/>
      </w:pPr>
      <w:r w:rsidRPr="00565C3D">
        <w:t xml:space="preserve">Податок на прибуток (Tax_expense) банку розраховується за номінальною ставкою податку відповідно до Податкового кодексу України (tax_rate): </w:t>
      </w:r>
    </w:p>
    <w:p w14:paraId="48D67EF9" w14:textId="77777777" w:rsidR="00565C3D" w:rsidRPr="00565C3D" w:rsidRDefault="0052636F" w:rsidP="00F30BD9">
      <w:pPr>
        <w:spacing w:before="240" w:after="240"/>
        <w:ind w:firstLine="720"/>
        <w:jc w:val="center"/>
      </w:pPr>
      <m:oMath>
        <m:sSub>
          <m:sSubPr>
            <m:ctrlPr>
              <w:rPr>
                <w:rFonts w:ascii="Cambria Math" w:hAnsi="Cambria Math"/>
                <w:i/>
              </w:rPr>
            </m:ctrlPr>
          </m:sSubPr>
          <m:e>
            <m:r>
              <w:rPr>
                <w:rFonts w:ascii="Cambria Math" w:hAnsi="Cambria Math"/>
              </w:rPr>
              <m:t>Tax_expense</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EBT</m:t>
            </m:r>
          </m:e>
          <m:sub>
            <m:r>
              <w:rPr>
                <w:rFonts w:ascii="Cambria Math" w:hAnsi="Cambria Math"/>
              </w:rPr>
              <m:t>t</m:t>
            </m:r>
          </m:sub>
        </m:sSub>
        <m:r>
          <w:rPr>
            <w:rFonts w:ascii="Cambria Math" w:hAnsi="Cambria Math"/>
          </w:rPr>
          <m:t>∙tax_rate</m:t>
        </m:r>
      </m:oMath>
      <w:r w:rsidR="00EE7A2A">
        <w:t>,</w:t>
      </w:r>
      <w:r w:rsidR="00565C3D" w:rsidRPr="00565C3D">
        <w:t xml:space="preserve">   </w:t>
      </w:r>
      <w:r w:rsidR="00565C3D" w:rsidRPr="00565C3D">
        <w:rPr>
          <w:rFonts w:eastAsiaTheme="minorEastAsia"/>
        </w:rPr>
        <w:t>(17)</w:t>
      </w:r>
    </w:p>
    <w:p w14:paraId="67D1E2F5" w14:textId="77777777" w:rsidR="00565C3D" w:rsidRPr="00565C3D" w:rsidRDefault="00565C3D" w:rsidP="00F30BD9">
      <w:pPr>
        <w:tabs>
          <w:tab w:val="left" w:pos="993"/>
        </w:tabs>
        <w:spacing w:before="240" w:after="240"/>
        <w:ind w:firstLine="567"/>
      </w:pPr>
      <w:r w:rsidRPr="00565C3D">
        <w:t xml:space="preserve">Якщо відповідно до моделі СТ у прогнозному періоді очікується від’ємний фінансовий результат до оподаткування, то податковий актив у відповідних роках прогнозного періоду не виникає. Податковий актив, накопичений за попередні періоди, не використовується для визначення податкового зобов’язання з податку на прибуток у прогнозному періоді. </w:t>
      </w:r>
    </w:p>
    <w:p w14:paraId="79FCBC4C" w14:textId="77777777" w:rsidR="00565C3D" w:rsidRPr="00565C3D" w:rsidRDefault="00565C3D" w:rsidP="00F30BD9">
      <w:pPr>
        <w:pStyle w:val="af3"/>
        <w:numPr>
          <w:ilvl w:val="0"/>
          <w:numId w:val="52"/>
        </w:numPr>
        <w:tabs>
          <w:tab w:val="left" w:pos="993"/>
        </w:tabs>
        <w:spacing w:before="240" w:after="240"/>
        <w:ind w:left="0" w:firstLine="567"/>
        <w:contextualSpacing w:val="0"/>
      </w:pPr>
      <w:r w:rsidRPr="00565C3D">
        <w:t xml:space="preserve">Загальний фінансовий результат розраховується як сума відповідних доходів і витрат для кожного прогнозного періоду. </w:t>
      </w:r>
    </w:p>
    <w:p w14:paraId="6FD0B401" w14:textId="77777777" w:rsidR="00565C3D" w:rsidRPr="00F30BD9" w:rsidRDefault="00565C3D" w:rsidP="00F30BD9">
      <w:pPr>
        <w:pStyle w:val="1"/>
      </w:pPr>
      <w:r w:rsidRPr="00F30BD9">
        <w:t>IX. Неповторювані елементи доходів та витрат</w:t>
      </w:r>
    </w:p>
    <w:p w14:paraId="34968911" w14:textId="77777777" w:rsidR="00565C3D" w:rsidRPr="00565C3D" w:rsidRDefault="00565C3D" w:rsidP="000D2966">
      <w:pPr>
        <w:pStyle w:val="af3"/>
        <w:numPr>
          <w:ilvl w:val="0"/>
          <w:numId w:val="52"/>
        </w:numPr>
        <w:tabs>
          <w:tab w:val="left" w:pos="993"/>
        </w:tabs>
        <w:ind w:left="0" w:firstLine="567"/>
        <w:contextualSpacing w:val="0"/>
      </w:pPr>
      <w:r w:rsidRPr="00565C3D">
        <w:t xml:space="preserve">Національний банк проводить коригування доходів та витрат шляхом  неврахування неповторюваних елементів (складових) у прогнозних періодах за </w:t>
      </w:r>
      <w:r w:rsidR="00EE7A2A">
        <w:t>в</w:t>
      </w:r>
      <w:r w:rsidRPr="00565C3D">
        <w:t>сіма елементами звіту про фінансовий результат, крім процентних доходів і витрат.</w:t>
      </w:r>
    </w:p>
    <w:p w14:paraId="0E153103" w14:textId="77777777" w:rsidR="00565C3D" w:rsidRPr="00565C3D" w:rsidRDefault="00565C3D" w:rsidP="000D2966">
      <w:pPr>
        <w:tabs>
          <w:tab w:val="left" w:pos="993"/>
        </w:tabs>
        <w:ind w:firstLine="567"/>
      </w:pPr>
      <w:r w:rsidRPr="00565C3D">
        <w:t xml:space="preserve">Коригування </w:t>
      </w:r>
      <w:r w:rsidR="00EE7A2A">
        <w:t>ґрунтується</w:t>
      </w:r>
      <w:r w:rsidR="00EE7A2A" w:rsidRPr="00565C3D">
        <w:t xml:space="preserve"> </w:t>
      </w:r>
      <w:r w:rsidRPr="00565C3D">
        <w:t xml:space="preserve">на наявних підтвердженнях неповторюваності події, а також на </w:t>
      </w:r>
      <w:r w:rsidR="00032FB9" w:rsidRPr="00032FB9">
        <w:t xml:space="preserve">об’єктивній </w:t>
      </w:r>
      <w:r w:rsidRPr="00032FB9">
        <w:t>оцінці</w:t>
      </w:r>
      <w:r w:rsidRPr="00565C3D">
        <w:t xml:space="preserve"> повторюваної частини доходів та витрат. Оцінка повторюваної частини відбувається на основі історичних даних банку та </w:t>
      </w:r>
      <w:r w:rsidRPr="00565C3D">
        <w:lastRenderedPageBreak/>
        <w:t xml:space="preserve">наявних на момент аналізу даних за частину року проведення оцінки стійкості. Неповторювані елементи доходів та витрат визначаються Національним банком. </w:t>
      </w:r>
    </w:p>
    <w:p w14:paraId="5E05FFC7" w14:textId="77777777" w:rsidR="00565C3D" w:rsidRPr="00565C3D" w:rsidRDefault="00C857F9" w:rsidP="00F30BD9">
      <w:pPr>
        <w:pStyle w:val="af3"/>
        <w:numPr>
          <w:ilvl w:val="0"/>
          <w:numId w:val="52"/>
        </w:numPr>
        <w:tabs>
          <w:tab w:val="left" w:pos="993"/>
        </w:tabs>
        <w:spacing w:before="240" w:after="240"/>
        <w:ind w:left="0" w:firstLine="567"/>
        <w:contextualSpacing w:val="0"/>
      </w:pPr>
      <w:r>
        <w:rPr>
          <w:lang w:val="ru-RU"/>
        </w:rPr>
        <w:t>У</w:t>
      </w:r>
      <w:r w:rsidR="00565C3D" w:rsidRPr="00565C3D">
        <w:t>важаються неповторюваними та не можуть включ</w:t>
      </w:r>
      <w:r w:rsidR="001C7E17">
        <w:t>атися</w:t>
      </w:r>
      <w:r w:rsidR="00565C3D" w:rsidRPr="00565C3D">
        <w:t xml:space="preserve"> </w:t>
      </w:r>
      <w:r w:rsidR="002B31B0">
        <w:t>до</w:t>
      </w:r>
      <w:r w:rsidR="00EE7A2A" w:rsidRPr="00565C3D">
        <w:t xml:space="preserve"> </w:t>
      </w:r>
      <w:r w:rsidR="00565C3D" w:rsidRPr="00565C3D">
        <w:t>прогнозних період</w:t>
      </w:r>
      <w:r w:rsidR="002B31B0">
        <w:t>ів</w:t>
      </w:r>
      <w:r w:rsidR="00565C3D" w:rsidRPr="00565C3D">
        <w:t xml:space="preserve"> такі складові доходів:</w:t>
      </w:r>
    </w:p>
    <w:p w14:paraId="27325E45" w14:textId="77777777" w:rsidR="00565C3D" w:rsidRPr="00565C3D" w:rsidRDefault="00565C3D" w:rsidP="00F30BD9">
      <w:pPr>
        <w:pStyle w:val="af3"/>
        <w:numPr>
          <w:ilvl w:val="0"/>
          <w:numId w:val="56"/>
        </w:numPr>
        <w:tabs>
          <w:tab w:val="left" w:pos="993"/>
          <w:tab w:val="left" w:pos="1134"/>
        </w:tabs>
        <w:spacing w:before="240" w:after="240"/>
        <w:ind w:left="0" w:firstLine="567"/>
        <w:contextualSpacing w:val="0"/>
      </w:pPr>
      <w:r w:rsidRPr="00565C3D">
        <w:t>дохід від модифікації фінансових активів та зобов’язань;</w:t>
      </w:r>
    </w:p>
    <w:p w14:paraId="525742E6" w14:textId="77777777" w:rsidR="00565C3D" w:rsidRPr="00565C3D" w:rsidRDefault="00565C3D" w:rsidP="00F30BD9">
      <w:pPr>
        <w:pStyle w:val="af3"/>
        <w:numPr>
          <w:ilvl w:val="0"/>
          <w:numId w:val="56"/>
        </w:numPr>
        <w:tabs>
          <w:tab w:val="left" w:pos="993"/>
          <w:tab w:val="left" w:pos="1134"/>
        </w:tabs>
        <w:spacing w:before="240" w:after="240"/>
        <w:ind w:left="0" w:firstLine="567"/>
        <w:contextualSpacing w:val="0"/>
      </w:pPr>
      <w:r w:rsidRPr="00565C3D">
        <w:t>дохід від припинення визнання фінансових активів та зобов’язань;</w:t>
      </w:r>
    </w:p>
    <w:p w14:paraId="78AE567B" w14:textId="77777777" w:rsidR="00565C3D" w:rsidRPr="00565C3D" w:rsidRDefault="00565C3D" w:rsidP="00F30BD9">
      <w:pPr>
        <w:pStyle w:val="af3"/>
        <w:numPr>
          <w:ilvl w:val="0"/>
          <w:numId w:val="56"/>
        </w:numPr>
        <w:tabs>
          <w:tab w:val="left" w:pos="993"/>
          <w:tab w:val="left" w:pos="1134"/>
        </w:tabs>
        <w:spacing w:before="240" w:after="240"/>
        <w:ind w:left="0" w:firstLine="567"/>
        <w:contextualSpacing w:val="0"/>
      </w:pPr>
      <w:r w:rsidRPr="00565C3D">
        <w:t>дохід від первісного визнання фінансових активів та зобов’язань за іншою вартістю, ніж справедлива вартість;</w:t>
      </w:r>
    </w:p>
    <w:p w14:paraId="5338A039" w14:textId="77777777" w:rsidR="00565C3D" w:rsidRPr="00565C3D" w:rsidRDefault="00565C3D" w:rsidP="00F30BD9">
      <w:pPr>
        <w:pStyle w:val="af3"/>
        <w:numPr>
          <w:ilvl w:val="0"/>
          <w:numId w:val="56"/>
        </w:numPr>
        <w:tabs>
          <w:tab w:val="left" w:pos="993"/>
          <w:tab w:val="left" w:pos="1134"/>
        </w:tabs>
        <w:spacing w:before="240" w:after="240"/>
        <w:ind w:left="0" w:firstLine="567"/>
        <w:contextualSpacing w:val="0"/>
      </w:pPr>
      <w:r w:rsidRPr="00565C3D">
        <w:t>дохід від переоцінки нерухомого майна та інвестиційної нерухомості;</w:t>
      </w:r>
    </w:p>
    <w:p w14:paraId="3E678825" w14:textId="77777777" w:rsidR="00565C3D" w:rsidRPr="00565C3D" w:rsidRDefault="00565C3D" w:rsidP="00F30BD9">
      <w:pPr>
        <w:pStyle w:val="af3"/>
        <w:numPr>
          <w:ilvl w:val="0"/>
          <w:numId w:val="56"/>
        </w:numPr>
        <w:tabs>
          <w:tab w:val="left" w:pos="993"/>
          <w:tab w:val="left" w:pos="1134"/>
        </w:tabs>
        <w:spacing w:before="240" w:after="240"/>
        <w:ind w:left="0" w:firstLine="567"/>
        <w:contextualSpacing w:val="0"/>
      </w:pPr>
      <w:r w:rsidRPr="00565C3D">
        <w:t>дохід від продажу нематеріальних активів та основних засобів;</w:t>
      </w:r>
    </w:p>
    <w:p w14:paraId="24DEBA53" w14:textId="77777777" w:rsidR="00565C3D" w:rsidRPr="00565C3D" w:rsidRDefault="00565C3D" w:rsidP="00F30BD9">
      <w:pPr>
        <w:pStyle w:val="af3"/>
        <w:numPr>
          <w:ilvl w:val="0"/>
          <w:numId w:val="56"/>
        </w:numPr>
        <w:tabs>
          <w:tab w:val="left" w:pos="993"/>
          <w:tab w:val="left" w:pos="1134"/>
        </w:tabs>
        <w:spacing w:before="240" w:after="240"/>
        <w:ind w:left="0" w:firstLine="567"/>
        <w:contextualSpacing w:val="0"/>
      </w:pPr>
      <w:r w:rsidRPr="00565C3D">
        <w:t>дохід від повернення раніше списаної безнадійної заборгованості;</w:t>
      </w:r>
    </w:p>
    <w:p w14:paraId="0F9ED58D" w14:textId="77777777" w:rsidR="00565C3D" w:rsidRPr="00565C3D" w:rsidRDefault="00565C3D" w:rsidP="00F30BD9">
      <w:pPr>
        <w:pStyle w:val="af3"/>
        <w:numPr>
          <w:ilvl w:val="0"/>
          <w:numId w:val="56"/>
        </w:numPr>
        <w:tabs>
          <w:tab w:val="left" w:pos="993"/>
          <w:tab w:val="left" w:pos="1134"/>
        </w:tabs>
        <w:spacing w:before="240" w:after="240"/>
        <w:ind w:left="0" w:firstLine="567"/>
        <w:contextualSpacing w:val="0"/>
      </w:pPr>
      <w:r w:rsidRPr="00565C3D">
        <w:t>позитивний результат від операцій за наданими кредитами, які обліковуються за справедливою вартістю через прибутки/збитки.</w:t>
      </w:r>
    </w:p>
    <w:p w14:paraId="5B733C11" w14:textId="77777777" w:rsidR="00565C3D" w:rsidRPr="00565C3D" w:rsidRDefault="00565C3D" w:rsidP="00F30BD9">
      <w:pPr>
        <w:pStyle w:val="af3"/>
        <w:numPr>
          <w:ilvl w:val="0"/>
          <w:numId w:val="52"/>
        </w:numPr>
        <w:tabs>
          <w:tab w:val="left" w:pos="993"/>
        </w:tabs>
        <w:spacing w:before="240" w:after="240"/>
        <w:ind w:left="0" w:firstLine="567"/>
        <w:contextualSpacing w:val="0"/>
      </w:pPr>
      <w:r w:rsidRPr="00565C3D">
        <w:t>Уважаються неповторюваними та не можуть включ</w:t>
      </w:r>
      <w:r w:rsidR="005D447E">
        <w:t>атися</w:t>
      </w:r>
      <w:r w:rsidRPr="00565C3D">
        <w:t xml:space="preserve"> </w:t>
      </w:r>
      <w:r w:rsidR="002B31B0">
        <w:t>до</w:t>
      </w:r>
      <w:r w:rsidR="00C356A8" w:rsidRPr="00565C3D">
        <w:t xml:space="preserve"> </w:t>
      </w:r>
      <w:r w:rsidRPr="00565C3D">
        <w:t>прогнозних період</w:t>
      </w:r>
      <w:r w:rsidR="002B31B0">
        <w:t>ів</w:t>
      </w:r>
      <w:r w:rsidRPr="00565C3D">
        <w:t xml:space="preserve"> такі складові витрат:</w:t>
      </w:r>
    </w:p>
    <w:p w14:paraId="6ED43AB4" w14:textId="37378E07" w:rsidR="00565C3D" w:rsidRPr="00565C3D" w:rsidRDefault="00565C3D" w:rsidP="00F30BD9">
      <w:pPr>
        <w:pStyle w:val="af3"/>
        <w:numPr>
          <w:ilvl w:val="0"/>
          <w:numId w:val="62"/>
        </w:numPr>
        <w:tabs>
          <w:tab w:val="left" w:pos="993"/>
          <w:tab w:val="left" w:pos="1134"/>
        </w:tabs>
        <w:spacing w:before="240" w:after="240"/>
        <w:ind w:left="0" w:firstLine="567"/>
        <w:contextualSpacing w:val="0"/>
      </w:pPr>
      <w:r w:rsidRPr="00565C3D">
        <w:t xml:space="preserve">витрати </w:t>
      </w:r>
      <w:r w:rsidR="00806B9B">
        <w:t xml:space="preserve">від </w:t>
      </w:r>
      <w:r w:rsidRPr="00565C3D">
        <w:t>модифікаці</w:t>
      </w:r>
      <w:r w:rsidR="00806B9B">
        <w:t>ї</w:t>
      </w:r>
      <w:r w:rsidRPr="00565C3D">
        <w:t xml:space="preserve"> фінансових активів та зобов’язань;</w:t>
      </w:r>
    </w:p>
    <w:p w14:paraId="5EDD061F" w14:textId="506A25A4" w:rsidR="00565C3D" w:rsidRPr="00565C3D" w:rsidRDefault="00565C3D" w:rsidP="00F30BD9">
      <w:pPr>
        <w:pStyle w:val="af3"/>
        <w:numPr>
          <w:ilvl w:val="0"/>
          <w:numId w:val="62"/>
        </w:numPr>
        <w:tabs>
          <w:tab w:val="left" w:pos="993"/>
          <w:tab w:val="left" w:pos="1134"/>
        </w:tabs>
        <w:spacing w:before="240" w:after="240"/>
        <w:ind w:left="0" w:firstLine="567"/>
        <w:contextualSpacing w:val="0"/>
      </w:pPr>
      <w:r w:rsidRPr="00565C3D">
        <w:t xml:space="preserve">витрати </w:t>
      </w:r>
      <w:r w:rsidR="00B86DF7">
        <w:t>від</w:t>
      </w:r>
      <w:r w:rsidRPr="00565C3D">
        <w:t xml:space="preserve"> припинення визнання фінансових активів та зобов’язань;</w:t>
      </w:r>
    </w:p>
    <w:p w14:paraId="6040C17B" w14:textId="14647F37" w:rsidR="00565C3D" w:rsidRPr="00565C3D" w:rsidRDefault="00565C3D" w:rsidP="00F30BD9">
      <w:pPr>
        <w:pStyle w:val="af3"/>
        <w:numPr>
          <w:ilvl w:val="0"/>
          <w:numId w:val="62"/>
        </w:numPr>
        <w:tabs>
          <w:tab w:val="left" w:pos="993"/>
          <w:tab w:val="left" w:pos="1134"/>
        </w:tabs>
        <w:spacing w:before="240" w:after="240"/>
        <w:ind w:left="0" w:firstLine="567"/>
        <w:contextualSpacing w:val="0"/>
      </w:pPr>
      <w:r w:rsidRPr="00565C3D">
        <w:t xml:space="preserve">витрати </w:t>
      </w:r>
      <w:r w:rsidR="00B86DF7">
        <w:t>під час</w:t>
      </w:r>
      <w:r w:rsidRPr="00565C3D">
        <w:t xml:space="preserve"> первісн</w:t>
      </w:r>
      <w:r w:rsidR="00B86DF7">
        <w:t>ого</w:t>
      </w:r>
      <w:r w:rsidRPr="00565C3D">
        <w:t xml:space="preserve"> визнання фінансових активів та зобов’язань за іншою вартістю, ніж справедлива вартість;</w:t>
      </w:r>
    </w:p>
    <w:p w14:paraId="2F4B6CF1" w14:textId="1EEFB0C8" w:rsidR="00565C3D" w:rsidRPr="00565C3D" w:rsidRDefault="00565C3D" w:rsidP="00F30BD9">
      <w:pPr>
        <w:pStyle w:val="af3"/>
        <w:numPr>
          <w:ilvl w:val="0"/>
          <w:numId w:val="62"/>
        </w:numPr>
        <w:tabs>
          <w:tab w:val="left" w:pos="993"/>
          <w:tab w:val="left" w:pos="1134"/>
        </w:tabs>
        <w:spacing w:before="240" w:after="240"/>
        <w:ind w:left="0" w:firstLine="567"/>
        <w:contextualSpacing w:val="0"/>
      </w:pPr>
      <w:r w:rsidRPr="00565C3D">
        <w:t xml:space="preserve">витрати </w:t>
      </w:r>
      <w:r w:rsidR="00B86DF7">
        <w:t>від визнання</w:t>
      </w:r>
      <w:r w:rsidRPr="00565C3D">
        <w:t xml:space="preserve"> переоцінк</w:t>
      </w:r>
      <w:r w:rsidR="00B86DF7">
        <w:t>и</w:t>
      </w:r>
      <w:r w:rsidRPr="00565C3D">
        <w:t xml:space="preserve"> нерухомого майна та інвестиційної нерухомості;</w:t>
      </w:r>
    </w:p>
    <w:p w14:paraId="7B9F2A8C" w14:textId="0B079CED" w:rsidR="00565C3D" w:rsidRPr="00565C3D" w:rsidRDefault="00565C3D" w:rsidP="00F30BD9">
      <w:pPr>
        <w:pStyle w:val="af3"/>
        <w:numPr>
          <w:ilvl w:val="0"/>
          <w:numId w:val="62"/>
        </w:numPr>
        <w:tabs>
          <w:tab w:val="left" w:pos="993"/>
          <w:tab w:val="left" w:pos="1134"/>
        </w:tabs>
        <w:spacing w:before="240" w:after="240"/>
        <w:ind w:left="0" w:firstLine="567"/>
        <w:contextualSpacing w:val="0"/>
      </w:pPr>
      <w:r w:rsidRPr="00565C3D">
        <w:t xml:space="preserve">витрати </w:t>
      </w:r>
      <w:r w:rsidR="00B86DF7">
        <w:t>від</w:t>
      </w:r>
      <w:r w:rsidRPr="00565C3D">
        <w:t xml:space="preserve"> продаж</w:t>
      </w:r>
      <w:r w:rsidR="00B86DF7">
        <w:t>у</w:t>
      </w:r>
      <w:r w:rsidRPr="00565C3D">
        <w:t xml:space="preserve"> нематеріальних активів та основних засобів;</w:t>
      </w:r>
    </w:p>
    <w:p w14:paraId="24302443" w14:textId="77777777" w:rsidR="00565C3D" w:rsidRPr="00565C3D" w:rsidRDefault="00565C3D" w:rsidP="00483885">
      <w:pPr>
        <w:pStyle w:val="af3"/>
        <w:numPr>
          <w:ilvl w:val="0"/>
          <w:numId w:val="62"/>
        </w:numPr>
        <w:tabs>
          <w:tab w:val="left" w:pos="993"/>
          <w:tab w:val="left" w:pos="1134"/>
        </w:tabs>
        <w:spacing w:before="240" w:after="240"/>
        <w:ind w:left="0" w:firstLine="567"/>
        <w:contextualSpacing w:val="0"/>
      </w:pPr>
      <w:r w:rsidRPr="00565C3D">
        <w:t>негативний результат від операцій за наданими кредитами, які обліковуються за справедливою вартістю через прибутки/збитки.</w:t>
      </w:r>
    </w:p>
    <w:p w14:paraId="65EBEB4A" w14:textId="36193236" w:rsidR="00565C3D" w:rsidRPr="00EB666D" w:rsidRDefault="00565C3D" w:rsidP="00483885">
      <w:pPr>
        <w:pStyle w:val="af3"/>
        <w:numPr>
          <w:ilvl w:val="0"/>
          <w:numId w:val="52"/>
        </w:numPr>
        <w:tabs>
          <w:tab w:val="left" w:pos="993"/>
        </w:tabs>
        <w:spacing w:before="240" w:after="240"/>
        <w:ind w:left="0" w:firstLine="567"/>
        <w:contextualSpacing w:val="0"/>
      </w:pPr>
      <w:r w:rsidRPr="00565C3D">
        <w:t xml:space="preserve">Неповторювані складові витрат, крім зазначених </w:t>
      </w:r>
      <w:r w:rsidRPr="00EB666D">
        <w:t>у пункті</w:t>
      </w:r>
      <w:r w:rsidR="00141DC2" w:rsidRPr="00EB666D">
        <w:t> </w:t>
      </w:r>
      <w:r w:rsidRPr="00EB666D">
        <w:t>5</w:t>
      </w:r>
      <w:r w:rsidR="006328D0" w:rsidRPr="00EB666D">
        <w:t>1</w:t>
      </w:r>
      <w:r w:rsidRPr="00EB666D">
        <w:t xml:space="preserve"> розділу</w:t>
      </w:r>
      <w:r w:rsidR="00141DC2" w:rsidRPr="00EB666D">
        <w:t> </w:t>
      </w:r>
      <w:r w:rsidRPr="00EB666D">
        <w:t xml:space="preserve">IX цього додатка, можуть бути визначені й подані банком для розгляду Національним банком за </w:t>
      </w:r>
      <w:r w:rsidR="00EE7A2A" w:rsidRPr="00EB666D">
        <w:t>в</w:t>
      </w:r>
      <w:r w:rsidRPr="00EB666D">
        <w:t xml:space="preserve">сіма елементами звіту про фінансовий результат, крім процентних витрат і доходів. </w:t>
      </w:r>
    </w:p>
    <w:p w14:paraId="26AE64A1" w14:textId="3C35AC68" w:rsidR="00565C3D" w:rsidRPr="00565C3D" w:rsidRDefault="00565C3D" w:rsidP="00483885">
      <w:pPr>
        <w:tabs>
          <w:tab w:val="left" w:pos="993"/>
        </w:tabs>
        <w:spacing w:before="240" w:after="240"/>
        <w:ind w:firstLine="567"/>
      </w:pPr>
      <w:r w:rsidRPr="00EB666D">
        <w:t xml:space="preserve">Неповторювані складові витрат визначаються й подаються банком не більше ніж за </w:t>
      </w:r>
      <w:r w:rsidR="00EE7A2A" w:rsidRPr="00EB666D">
        <w:t>п’ять</w:t>
      </w:r>
      <w:r w:rsidR="00B86DF7" w:rsidRPr="00EB666D">
        <w:t>ма</w:t>
      </w:r>
      <w:r w:rsidR="00EE7A2A" w:rsidRPr="00EB666D">
        <w:t xml:space="preserve"> </w:t>
      </w:r>
      <w:r w:rsidRPr="00EB666D">
        <w:t>позиці</w:t>
      </w:r>
      <w:r w:rsidR="00B86DF7" w:rsidRPr="00EB666D">
        <w:t>ями</w:t>
      </w:r>
      <w:r w:rsidRPr="00EB666D">
        <w:t xml:space="preserve"> (можливе об</w:t>
      </w:r>
      <w:r w:rsidR="002B31B0" w:rsidRPr="00EB666D">
        <w:t>’</w:t>
      </w:r>
      <w:r w:rsidRPr="00EB666D">
        <w:t xml:space="preserve">єднання пов’язаних складових в </w:t>
      </w:r>
      <w:r w:rsidRPr="00EB666D">
        <w:lastRenderedPageBreak/>
        <w:t>одну позицію). Сума за кожною позицією неповторюваних складових, поданих на розгляд Національному банку, повинна становити щонайменше 0,</w:t>
      </w:r>
      <w:r w:rsidR="00E86B3E" w:rsidRPr="00EB666D">
        <w:t>1</w:t>
      </w:r>
      <w:r w:rsidRPr="00EB666D">
        <w:t>% регулятивного капіталу банку станом на звітну дату.</w:t>
      </w:r>
      <w:r w:rsidRPr="00565C3D">
        <w:t xml:space="preserve"> </w:t>
      </w:r>
    </w:p>
    <w:p w14:paraId="0B5739CD" w14:textId="41134692" w:rsidR="00565C3D" w:rsidRPr="00565C3D" w:rsidRDefault="00565C3D" w:rsidP="00483885">
      <w:pPr>
        <w:tabs>
          <w:tab w:val="left" w:pos="993"/>
        </w:tabs>
        <w:spacing w:before="240" w:after="240"/>
        <w:ind w:firstLine="567"/>
      </w:pPr>
      <w:r w:rsidRPr="00565C3D">
        <w:t xml:space="preserve">Національний банк розглядає та </w:t>
      </w:r>
      <w:r w:rsidR="006328D0">
        <w:t>з урахуванням</w:t>
      </w:r>
      <w:r w:rsidR="00682E77" w:rsidRPr="00565C3D">
        <w:t xml:space="preserve"> </w:t>
      </w:r>
      <w:r w:rsidRPr="00565C3D">
        <w:t>наявного статистичного та/або документального підтвердження від банку приймає рішення про неврахування складових витрат у прогнозних періодах.</w:t>
      </w:r>
    </w:p>
    <w:p w14:paraId="2C5121A0" w14:textId="77777777" w:rsidR="00565C3D" w:rsidRPr="00565C3D" w:rsidRDefault="00565C3D" w:rsidP="00483885">
      <w:pPr>
        <w:pStyle w:val="af3"/>
        <w:numPr>
          <w:ilvl w:val="0"/>
          <w:numId w:val="52"/>
        </w:numPr>
        <w:tabs>
          <w:tab w:val="left" w:pos="993"/>
        </w:tabs>
        <w:spacing w:before="240" w:after="240"/>
        <w:ind w:left="0" w:firstLine="567"/>
        <w:contextualSpacing w:val="0"/>
      </w:pPr>
      <w:r w:rsidRPr="00565C3D">
        <w:t>Не вважаються неповторюваними та включаються до прогнозних періодів такі складові витрат:</w:t>
      </w:r>
    </w:p>
    <w:p w14:paraId="3F83BAC9" w14:textId="77777777" w:rsidR="00565C3D" w:rsidRPr="00565C3D" w:rsidRDefault="00565C3D" w:rsidP="00F30BD9">
      <w:pPr>
        <w:pStyle w:val="af3"/>
        <w:numPr>
          <w:ilvl w:val="0"/>
          <w:numId w:val="63"/>
        </w:numPr>
        <w:tabs>
          <w:tab w:val="left" w:pos="993"/>
          <w:tab w:val="left" w:pos="1134"/>
        </w:tabs>
        <w:spacing w:before="240" w:after="240"/>
        <w:ind w:left="0" w:firstLine="567"/>
        <w:contextualSpacing w:val="0"/>
      </w:pPr>
      <w:r w:rsidRPr="00565C3D">
        <w:t>змінна частина компенсації заробітної плати (премії працівників);</w:t>
      </w:r>
    </w:p>
    <w:p w14:paraId="3BA18BAF" w14:textId="77777777" w:rsidR="00565C3D" w:rsidRPr="00565C3D" w:rsidRDefault="00565C3D" w:rsidP="00F30BD9">
      <w:pPr>
        <w:pStyle w:val="af3"/>
        <w:numPr>
          <w:ilvl w:val="0"/>
          <w:numId w:val="63"/>
        </w:numPr>
        <w:tabs>
          <w:tab w:val="left" w:pos="993"/>
          <w:tab w:val="left" w:pos="1134"/>
        </w:tabs>
        <w:spacing w:before="240" w:after="240"/>
        <w:ind w:left="0" w:firstLine="567"/>
        <w:contextualSpacing w:val="0"/>
      </w:pPr>
      <w:r w:rsidRPr="00565C3D">
        <w:t>витрати на реорганізацію, що не була закінчена до кінця звітного року (об’єднання/поглинання бізнес</w:t>
      </w:r>
      <w:r w:rsidR="006D79B1">
        <w:t>-</w:t>
      </w:r>
      <w:r w:rsidRPr="00565C3D">
        <w:t xml:space="preserve">одиниць); </w:t>
      </w:r>
    </w:p>
    <w:p w14:paraId="3F788A2C" w14:textId="77777777" w:rsidR="00565C3D" w:rsidRPr="00565C3D" w:rsidRDefault="00565C3D" w:rsidP="00F30BD9">
      <w:pPr>
        <w:pStyle w:val="af3"/>
        <w:numPr>
          <w:ilvl w:val="0"/>
          <w:numId w:val="63"/>
        </w:numPr>
        <w:tabs>
          <w:tab w:val="left" w:pos="993"/>
          <w:tab w:val="left" w:pos="1134"/>
        </w:tabs>
        <w:spacing w:before="240" w:after="240"/>
        <w:ind w:left="0" w:firstLine="567"/>
        <w:contextualSpacing w:val="0"/>
      </w:pPr>
      <w:r w:rsidRPr="00565C3D">
        <w:t>витрати, пов’язані з судовими процесами, що тривають;</w:t>
      </w:r>
    </w:p>
    <w:p w14:paraId="0E598C69" w14:textId="6F64207B" w:rsidR="00565C3D" w:rsidRPr="00565C3D" w:rsidRDefault="00565C3D" w:rsidP="00F30BD9">
      <w:pPr>
        <w:pStyle w:val="af3"/>
        <w:numPr>
          <w:ilvl w:val="0"/>
          <w:numId w:val="63"/>
        </w:numPr>
        <w:tabs>
          <w:tab w:val="left" w:pos="993"/>
          <w:tab w:val="left" w:pos="1134"/>
        </w:tabs>
        <w:spacing w:before="240" w:after="240"/>
        <w:ind w:left="0" w:firstLine="567"/>
        <w:contextualSpacing w:val="0"/>
      </w:pPr>
      <w:r w:rsidRPr="00565C3D">
        <w:t>витрати на професійні послуги (консультаційні, юридичні, рекрутингові, кур’єрські), крім послуг, пов’язаних із доходами та витратами, зазначеними в пунктах 5</w:t>
      </w:r>
      <w:r w:rsidR="006328D0">
        <w:t>1</w:t>
      </w:r>
      <w:r w:rsidRPr="00565C3D">
        <w:t>, 5</w:t>
      </w:r>
      <w:r w:rsidR="006328D0">
        <w:t>2</w:t>
      </w:r>
      <w:r w:rsidRPr="00565C3D">
        <w:t xml:space="preserve"> розділу IX цього додатка; </w:t>
      </w:r>
    </w:p>
    <w:p w14:paraId="1C6C4421" w14:textId="77777777" w:rsidR="00565C3D" w:rsidRPr="00565C3D" w:rsidRDefault="00565C3D" w:rsidP="00F30BD9">
      <w:pPr>
        <w:pStyle w:val="af3"/>
        <w:numPr>
          <w:ilvl w:val="0"/>
          <w:numId w:val="63"/>
        </w:numPr>
        <w:tabs>
          <w:tab w:val="left" w:pos="993"/>
          <w:tab w:val="left" w:pos="1134"/>
        </w:tabs>
        <w:spacing w:before="240" w:after="240"/>
        <w:ind w:left="0" w:firstLine="567"/>
        <w:contextualSpacing w:val="0"/>
      </w:pPr>
      <w:r w:rsidRPr="00565C3D">
        <w:t>витрати на дезінфекцію приміщень та санітарні оброблення;</w:t>
      </w:r>
    </w:p>
    <w:p w14:paraId="007E715F" w14:textId="77777777" w:rsidR="00565C3D" w:rsidRPr="00565C3D" w:rsidRDefault="00565C3D" w:rsidP="00F30BD9">
      <w:pPr>
        <w:pStyle w:val="af3"/>
        <w:numPr>
          <w:ilvl w:val="0"/>
          <w:numId w:val="63"/>
        </w:numPr>
        <w:tabs>
          <w:tab w:val="left" w:pos="993"/>
          <w:tab w:val="left" w:pos="1134"/>
        </w:tabs>
        <w:spacing w:before="240" w:after="240"/>
        <w:ind w:left="0" w:firstLine="567"/>
        <w:contextualSpacing w:val="0"/>
      </w:pPr>
      <w:r w:rsidRPr="00565C3D">
        <w:t>витрати на засоби індивідуального захисту;</w:t>
      </w:r>
    </w:p>
    <w:p w14:paraId="0DCFF2A7" w14:textId="77777777" w:rsidR="00565C3D" w:rsidRPr="00565C3D" w:rsidRDefault="00565C3D" w:rsidP="00F30BD9">
      <w:pPr>
        <w:pStyle w:val="af3"/>
        <w:numPr>
          <w:ilvl w:val="0"/>
          <w:numId w:val="63"/>
        </w:numPr>
        <w:tabs>
          <w:tab w:val="left" w:pos="993"/>
          <w:tab w:val="left" w:pos="1134"/>
        </w:tabs>
        <w:spacing w:before="240" w:after="240"/>
        <w:ind w:left="0" w:firstLine="567"/>
        <w:contextualSpacing w:val="0"/>
      </w:pPr>
      <w:r w:rsidRPr="00565C3D">
        <w:t>витрати на охорону здоров’я (</w:t>
      </w:r>
      <w:r w:rsidR="00143F52">
        <w:t>у</w:t>
      </w:r>
      <w:r w:rsidR="00143F52" w:rsidRPr="00565C3D">
        <w:t xml:space="preserve"> </w:t>
      </w:r>
      <w:r w:rsidRPr="00565C3D">
        <w:t>тому числі на медичне страхування працівників);</w:t>
      </w:r>
    </w:p>
    <w:p w14:paraId="7D9C996D" w14:textId="77777777" w:rsidR="00565C3D" w:rsidRPr="00565C3D" w:rsidRDefault="00565C3D" w:rsidP="00F30BD9">
      <w:pPr>
        <w:pStyle w:val="af3"/>
        <w:numPr>
          <w:ilvl w:val="0"/>
          <w:numId w:val="63"/>
        </w:numPr>
        <w:tabs>
          <w:tab w:val="left" w:pos="993"/>
          <w:tab w:val="left" w:pos="1134"/>
        </w:tabs>
        <w:spacing w:before="240" w:after="240"/>
        <w:ind w:left="0" w:firstLine="567"/>
        <w:contextualSpacing w:val="0"/>
      </w:pPr>
      <w:r w:rsidRPr="00565C3D">
        <w:t>витрати на забезпечення та підтримання безперебійної діяльності банку в умовах воєнного стану.</w:t>
      </w:r>
    </w:p>
    <w:p w14:paraId="7BB6EF1B" w14:textId="77777777" w:rsidR="00565C3D" w:rsidRPr="00F30BD9" w:rsidRDefault="00565C3D" w:rsidP="00F30BD9">
      <w:pPr>
        <w:pStyle w:val="1"/>
      </w:pPr>
      <w:bookmarkStart w:id="12" w:name="_Toc508032614"/>
      <w:r w:rsidRPr="00F30BD9">
        <w:t xml:space="preserve">X. Розрахунок необхідного рівня нормативу достатності (адекватності) регулятивного капіталу (Н2) та нормативу достатності основного капіталу </w:t>
      </w:r>
      <w:bookmarkEnd w:id="12"/>
      <w:r w:rsidRPr="00F30BD9">
        <w:t xml:space="preserve">(Н3) </w:t>
      </w:r>
      <w:r w:rsidR="00143F52">
        <w:t>у</w:t>
      </w:r>
      <w:r w:rsidR="00143F52" w:rsidRPr="00F30BD9">
        <w:t xml:space="preserve"> </w:t>
      </w:r>
      <w:r w:rsidRPr="00F30BD9">
        <w:t>моделі СТ</w:t>
      </w:r>
    </w:p>
    <w:p w14:paraId="33FFD4D2" w14:textId="77777777" w:rsidR="00565C3D" w:rsidRPr="00565C3D" w:rsidRDefault="00565C3D" w:rsidP="00143F52">
      <w:pPr>
        <w:pStyle w:val="af3"/>
        <w:numPr>
          <w:ilvl w:val="0"/>
          <w:numId w:val="52"/>
        </w:numPr>
        <w:tabs>
          <w:tab w:val="left" w:pos="1134"/>
        </w:tabs>
        <w:spacing w:before="240" w:after="240"/>
        <w:ind w:left="0" w:firstLine="567"/>
        <w:contextualSpacing w:val="0"/>
        <w:rPr>
          <w:lang w:eastAsia="ru-RU"/>
        </w:rPr>
      </w:pPr>
      <w:r w:rsidRPr="00565C3D">
        <w:rPr>
          <w:lang w:eastAsia="ru-RU"/>
        </w:rPr>
        <w:t xml:space="preserve">Розрахунок прогнозних розмірів основного капіталу (далі – ОК), регулятивного капіталу (далі – РК), нормативу достатності (адекватності) регулятивного капіталу (Н2) (далі – норматив Н2), нормативу достатності основного капіталу (Н3) (далі – норматив Н3) на кінець кожного прогнозного періоду здійснюється відповідно до вимог Інструкції про порядок регулювання діяльності банків в Україні, затвердженої постановою Правління Національного банку України від 28 серпня 2001 року № 368, зареєстрованої в Міністерстві юстиції України 26 вересня 2001 року за № 841/6032 (зі змінами) (далі – Інструкція № 368), інших нормативно-правових і розпорядчих актів </w:t>
      </w:r>
      <w:r w:rsidRPr="00565C3D">
        <w:rPr>
          <w:lang w:eastAsia="ru-RU"/>
        </w:rPr>
        <w:lastRenderedPageBreak/>
        <w:t>Національного банку, що визначають методику розрахунку економічних нормативів регулювання діяльності банків.</w:t>
      </w:r>
    </w:p>
    <w:p w14:paraId="7894596C" w14:textId="77777777" w:rsidR="00565C3D" w:rsidRPr="0050553E" w:rsidRDefault="00565C3D" w:rsidP="00143F52">
      <w:pPr>
        <w:pStyle w:val="af3"/>
        <w:numPr>
          <w:ilvl w:val="0"/>
          <w:numId w:val="52"/>
        </w:numPr>
        <w:tabs>
          <w:tab w:val="left" w:pos="1134"/>
        </w:tabs>
        <w:spacing w:before="240" w:after="240"/>
        <w:ind w:left="0" w:firstLine="567"/>
        <w:contextualSpacing w:val="0"/>
        <w:rPr>
          <w:lang w:eastAsia="ru-RU"/>
        </w:rPr>
      </w:pPr>
      <w:r w:rsidRPr="0050553E">
        <w:rPr>
          <w:lang w:eastAsia="ru-RU"/>
        </w:rPr>
        <w:t>Прогноз показників ОК, РК, нормативів Н2, Н3 здійснюється з використанням даних статистичної звітності на звітну дату з урахуванням усіх коригувань за результатами першого та другого етапів оцінки стійкості банку та включає коригуючі проводки за І квартал 2023 року.</w:t>
      </w:r>
    </w:p>
    <w:p w14:paraId="6E377BF8" w14:textId="4D361615" w:rsidR="00565C3D" w:rsidRPr="00565C3D" w:rsidRDefault="00565C3D" w:rsidP="00F30BD9">
      <w:pPr>
        <w:pStyle w:val="af3"/>
        <w:numPr>
          <w:ilvl w:val="0"/>
          <w:numId w:val="52"/>
        </w:numPr>
        <w:tabs>
          <w:tab w:val="left" w:pos="993"/>
        </w:tabs>
        <w:spacing w:before="240" w:after="240"/>
        <w:ind w:left="0" w:firstLine="567"/>
        <w:contextualSpacing w:val="0"/>
      </w:pPr>
      <w:r w:rsidRPr="00565C3D">
        <w:t xml:space="preserve">Зважені на ризик активи змінюються в результаті дії таких </w:t>
      </w:r>
      <w:r w:rsidR="00B86DF7">
        <w:t>факторів</w:t>
      </w:r>
      <w:r w:rsidR="00EB666D">
        <w:t>:</w:t>
      </w:r>
    </w:p>
    <w:p w14:paraId="619BBD1F" w14:textId="51A05DA8" w:rsidR="00565C3D" w:rsidRPr="00565C3D" w:rsidRDefault="00565C3D" w:rsidP="00F30BD9">
      <w:pPr>
        <w:pStyle w:val="af3"/>
        <w:numPr>
          <w:ilvl w:val="0"/>
          <w:numId w:val="61"/>
        </w:numPr>
        <w:tabs>
          <w:tab w:val="left" w:pos="993"/>
        </w:tabs>
        <w:spacing w:before="240" w:after="240"/>
        <w:ind w:left="0" w:firstLine="567"/>
        <w:contextualSpacing w:val="0"/>
      </w:pPr>
      <w:r w:rsidRPr="00565C3D">
        <w:t>зміни обмінного курсу національної валюти відповідно до базового макроекономічн</w:t>
      </w:r>
      <w:r w:rsidR="006D79B1">
        <w:t>ого</w:t>
      </w:r>
      <w:r w:rsidRPr="00565C3D">
        <w:t xml:space="preserve"> сценарі</w:t>
      </w:r>
      <w:r w:rsidR="006D79B1">
        <w:t>ю</w:t>
      </w:r>
      <w:r w:rsidRPr="00565C3D">
        <w:t xml:space="preserve"> для активів </w:t>
      </w:r>
      <w:r w:rsidR="00143F52">
        <w:t>в</w:t>
      </w:r>
      <w:r w:rsidR="00143F52" w:rsidRPr="00565C3D">
        <w:t xml:space="preserve"> </w:t>
      </w:r>
      <w:r w:rsidRPr="00565C3D">
        <w:t>іноземній валюті;</w:t>
      </w:r>
    </w:p>
    <w:p w14:paraId="2EB33AFC" w14:textId="77777777" w:rsidR="00565C3D" w:rsidRPr="00565C3D" w:rsidRDefault="00565C3D" w:rsidP="009B3DE0">
      <w:pPr>
        <w:pStyle w:val="af3"/>
        <w:numPr>
          <w:ilvl w:val="0"/>
          <w:numId w:val="61"/>
        </w:numPr>
        <w:tabs>
          <w:tab w:val="left" w:pos="567"/>
          <w:tab w:val="left" w:pos="993"/>
        </w:tabs>
        <w:spacing w:before="240" w:after="240"/>
        <w:ind w:left="0" w:firstLine="567"/>
        <w:contextualSpacing w:val="0"/>
      </w:pPr>
      <w:r w:rsidRPr="00565C3D">
        <w:t>змін в обсягах резервів і відповідних змін у сумі чистих активів;</w:t>
      </w:r>
    </w:p>
    <w:p w14:paraId="2CEA9E87" w14:textId="77777777" w:rsidR="00565C3D" w:rsidRPr="00565C3D" w:rsidRDefault="00565C3D" w:rsidP="009B3DE0">
      <w:pPr>
        <w:pStyle w:val="af3"/>
        <w:numPr>
          <w:ilvl w:val="0"/>
          <w:numId w:val="61"/>
        </w:numPr>
        <w:tabs>
          <w:tab w:val="left" w:pos="993"/>
        </w:tabs>
        <w:spacing w:before="240" w:after="240"/>
        <w:ind w:left="0" w:firstLine="567"/>
        <w:contextualSpacing w:val="0"/>
      </w:pPr>
      <w:r w:rsidRPr="00565C3D">
        <w:t xml:space="preserve">зміни </w:t>
      </w:r>
      <w:r w:rsidRPr="00565C3D">
        <w:rPr>
          <w:lang w:eastAsia="ru-RU"/>
        </w:rPr>
        <w:t>балансової вартості активів (необоротних активів, утримуваних для продажу; майна, що перейшло у власність банку як заставодержателя; основних засобів; інвестиційної нерухомості) відповідно до підпункту е пункту</w:t>
      </w:r>
      <w:r w:rsidR="009F43AF">
        <w:rPr>
          <w:lang w:eastAsia="ru-RU"/>
        </w:rPr>
        <w:t> </w:t>
      </w:r>
      <w:r w:rsidRPr="00565C3D">
        <w:rPr>
          <w:lang w:eastAsia="ru-RU"/>
        </w:rPr>
        <w:t xml:space="preserve">1.3 </w:t>
      </w:r>
      <w:r w:rsidR="00104FEF">
        <w:rPr>
          <w:lang w:eastAsia="ru-RU"/>
        </w:rPr>
        <w:t xml:space="preserve">глави 1 розділу ІІ </w:t>
      </w:r>
      <w:r w:rsidRPr="00565C3D">
        <w:rPr>
          <w:lang w:eastAsia="ru-RU"/>
        </w:rPr>
        <w:t xml:space="preserve">Інструкції </w:t>
      </w:r>
      <w:r w:rsidRPr="00565C3D">
        <w:t>№ 368;</w:t>
      </w:r>
    </w:p>
    <w:p w14:paraId="3FD077BC" w14:textId="5AAD986B" w:rsidR="00565C3D" w:rsidRPr="0050553E" w:rsidRDefault="00565C3D" w:rsidP="009B3DE0">
      <w:pPr>
        <w:pStyle w:val="af3"/>
        <w:numPr>
          <w:ilvl w:val="0"/>
          <w:numId w:val="61"/>
        </w:numPr>
        <w:tabs>
          <w:tab w:val="left" w:pos="993"/>
        </w:tabs>
        <w:spacing w:before="240" w:after="240"/>
        <w:ind w:left="0" w:firstLine="567"/>
        <w:contextualSpacing w:val="0"/>
      </w:pPr>
      <w:r w:rsidRPr="0050553E">
        <w:t xml:space="preserve">інших змін до </w:t>
      </w:r>
      <w:r w:rsidRPr="0050553E">
        <w:rPr>
          <w:lang w:eastAsia="ru-RU"/>
        </w:rPr>
        <w:t xml:space="preserve">Інструкції </w:t>
      </w:r>
      <w:r w:rsidRPr="0050553E">
        <w:t>№ 368, що набувають чинності в прогнозному періоді</w:t>
      </w:r>
      <w:r w:rsidR="0050553E" w:rsidRPr="0050553E">
        <w:t>.</w:t>
      </w:r>
      <w:r w:rsidRPr="0050553E">
        <w:t xml:space="preserve"> </w:t>
      </w:r>
    </w:p>
    <w:p w14:paraId="3B8E4735" w14:textId="77777777" w:rsidR="00565C3D" w:rsidRPr="00565C3D" w:rsidRDefault="00565C3D" w:rsidP="00F30BD9">
      <w:pPr>
        <w:pStyle w:val="af3"/>
        <w:numPr>
          <w:ilvl w:val="0"/>
          <w:numId w:val="52"/>
        </w:numPr>
        <w:tabs>
          <w:tab w:val="left" w:pos="993"/>
        </w:tabs>
        <w:spacing w:before="240" w:after="240"/>
        <w:ind w:left="0" w:firstLine="567"/>
        <w:contextualSpacing w:val="0"/>
        <w:rPr>
          <w:lang w:eastAsia="ru-RU"/>
        </w:rPr>
      </w:pPr>
      <w:r w:rsidRPr="00565C3D">
        <w:rPr>
          <w:lang w:eastAsia="ru-RU"/>
        </w:rPr>
        <w:t xml:space="preserve">Прогноз сукупної відкритої валютної позиції здійснюється шляхом переоцінки сукупної валютної позиції на звітну дату відповідно до зміни обмінного курсу національної валюти в прогнозному періоді. Під час розрахунку сукупної відкритої валютної позиції враховується зниження чистої вартості активів </w:t>
      </w:r>
      <w:r w:rsidR="006B19D7">
        <w:rPr>
          <w:lang w:eastAsia="ru-RU"/>
        </w:rPr>
        <w:t>в</w:t>
      </w:r>
      <w:r w:rsidR="006B19D7" w:rsidRPr="00565C3D">
        <w:rPr>
          <w:lang w:eastAsia="ru-RU"/>
        </w:rPr>
        <w:t xml:space="preserve"> </w:t>
      </w:r>
      <w:r w:rsidRPr="00565C3D">
        <w:rPr>
          <w:lang w:eastAsia="ru-RU"/>
        </w:rPr>
        <w:t>іноземній валюті внаслідок погіршення їх якості та формування резервів.</w:t>
      </w:r>
    </w:p>
    <w:p w14:paraId="5C4E82E9" w14:textId="77777777" w:rsidR="00565C3D" w:rsidRPr="00565C3D" w:rsidRDefault="00565C3D" w:rsidP="00F30BD9">
      <w:pPr>
        <w:pStyle w:val="af3"/>
        <w:numPr>
          <w:ilvl w:val="0"/>
          <w:numId w:val="52"/>
        </w:numPr>
        <w:tabs>
          <w:tab w:val="left" w:pos="993"/>
        </w:tabs>
        <w:spacing w:before="240" w:after="240"/>
        <w:ind w:left="0" w:firstLine="567"/>
        <w:contextualSpacing w:val="0"/>
        <w:rPr>
          <w:lang w:eastAsia="ru-RU"/>
        </w:rPr>
      </w:pPr>
      <w:r w:rsidRPr="00565C3D">
        <w:rPr>
          <w:lang w:eastAsia="ru-RU"/>
        </w:rPr>
        <w:t>Для кожного прогнозного періоду розмір ОК розраховується як значення ОК попереднього періоду</w:t>
      </w:r>
      <w:r w:rsidRPr="0050553E">
        <w:rPr>
          <w:lang w:eastAsia="ru-RU"/>
        </w:rPr>
        <w:t>, скоригованого на фінансовий результат за період. До ОК у прогнозному періоді включається фінансовий результат (прибуток або збиток).</w:t>
      </w:r>
      <w:r w:rsidRPr="00565C3D">
        <w:rPr>
          <w:lang w:eastAsia="ru-RU"/>
        </w:rPr>
        <w:t xml:space="preserve"> До ОК не включаються інші складові</w:t>
      </w:r>
      <w:r w:rsidR="00B534A2">
        <w:rPr>
          <w:lang w:eastAsia="ru-RU"/>
        </w:rPr>
        <w:t xml:space="preserve"> </w:t>
      </w:r>
      <w:r w:rsidR="00B534A2" w:rsidRPr="00B534A2">
        <w:rPr>
          <w:lang w:eastAsia="ru-RU"/>
        </w:rPr>
        <w:t>скоригован</w:t>
      </w:r>
      <w:r w:rsidR="00B534A2">
        <w:rPr>
          <w:lang w:eastAsia="ru-RU"/>
        </w:rPr>
        <w:t>ого</w:t>
      </w:r>
      <w:r w:rsidR="00B534A2" w:rsidRPr="00B534A2">
        <w:rPr>
          <w:lang w:eastAsia="ru-RU"/>
        </w:rPr>
        <w:t xml:space="preserve"> результат</w:t>
      </w:r>
      <w:r w:rsidR="00B534A2">
        <w:rPr>
          <w:lang w:eastAsia="ru-RU"/>
        </w:rPr>
        <w:t>у</w:t>
      </w:r>
      <w:r w:rsidR="00B534A2" w:rsidRPr="00B534A2">
        <w:rPr>
          <w:lang w:eastAsia="ru-RU"/>
        </w:rPr>
        <w:t xml:space="preserve"> поточного та звітного року</w:t>
      </w:r>
      <w:r w:rsidRPr="00565C3D">
        <w:rPr>
          <w:lang w:eastAsia="ru-RU"/>
        </w:rPr>
        <w:t xml:space="preserve"> </w:t>
      </w:r>
      <w:r w:rsidR="00B534A2">
        <w:rPr>
          <w:lang w:eastAsia="ru-RU"/>
        </w:rPr>
        <w:t>(</w:t>
      </w:r>
      <w:r w:rsidRPr="00565C3D">
        <w:rPr>
          <w:lang w:eastAsia="ru-RU"/>
        </w:rPr>
        <w:t>Рпр</w:t>
      </w:r>
      <w:r w:rsidR="00B534A2">
        <w:rPr>
          <w:lang w:eastAsia="ru-RU"/>
        </w:rPr>
        <w:t>)</w:t>
      </w:r>
      <w:r w:rsidRPr="00565C3D">
        <w:rPr>
          <w:lang w:eastAsia="ru-RU"/>
        </w:rPr>
        <w:t xml:space="preserve"> [відповідно до </w:t>
      </w:r>
      <w:r w:rsidRPr="00565C3D">
        <w:t>Методики розрахунку економічних нормативів регулювання діяльності банків в Україні, затвердженої рішенням Правління Національного банку України від 15</w:t>
      </w:r>
      <w:r w:rsidR="00142606">
        <w:rPr>
          <w:lang w:val="ru-RU"/>
        </w:rPr>
        <w:t> </w:t>
      </w:r>
      <w:r w:rsidRPr="00565C3D">
        <w:t>грудня 2017</w:t>
      </w:r>
      <w:r w:rsidR="00142606">
        <w:rPr>
          <w:lang w:val="ru-RU"/>
        </w:rPr>
        <w:t> </w:t>
      </w:r>
      <w:r w:rsidRPr="00565C3D">
        <w:t>року №</w:t>
      </w:r>
      <w:r w:rsidR="00142606">
        <w:rPr>
          <w:lang w:val="ru-RU"/>
        </w:rPr>
        <w:t> </w:t>
      </w:r>
      <w:r w:rsidRPr="00565C3D">
        <w:t>803-рш (зі змінами)], якщо за формулою розрахунку Рпр вони дають позитивний результат у разі прибутку в поточному періоді. До ОК не включається збиток поточного періоду, якщо за формулою розрахунку Рпр має додатн</w:t>
      </w:r>
      <w:r w:rsidR="006F0865">
        <w:t>е</w:t>
      </w:r>
      <w:r w:rsidRPr="00565C3D">
        <w:t xml:space="preserve"> значення в разі збитку в поточному періоді. Усі складові Рпр, що не включаються до ОК, включаються до розрахунку РК. </w:t>
      </w:r>
    </w:p>
    <w:p w14:paraId="4B01097F" w14:textId="77777777" w:rsidR="00565C3D" w:rsidRPr="00565C3D" w:rsidRDefault="00565C3D" w:rsidP="00F30BD9">
      <w:pPr>
        <w:pStyle w:val="af3"/>
        <w:numPr>
          <w:ilvl w:val="0"/>
          <w:numId w:val="52"/>
        </w:numPr>
        <w:tabs>
          <w:tab w:val="left" w:pos="993"/>
        </w:tabs>
        <w:spacing w:before="240" w:after="240"/>
        <w:ind w:left="0" w:firstLine="567"/>
        <w:contextualSpacing w:val="0"/>
        <w:rPr>
          <w:lang w:eastAsia="ru-RU"/>
        </w:rPr>
      </w:pPr>
      <w:r w:rsidRPr="00565C3D">
        <w:t xml:space="preserve">Розмір ОК, РК, нормативів Н2, Н3 коригується на суму дивідендів, сплата яких передбачена в поточному періоді за попередні звітні періоди.  </w:t>
      </w:r>
    </w:p>
    <w:p w14:paraId="01D639B6" w14:textId="77777777" w:rsidR="00565C3D" w:rsidRPr="00565C3D" w:rsidRDefault="00565C3D" w:rsidP="00F30BD9">
      <w:pPr>
        <w:pStyle w:val="af3"/>
        <w:numPr>
          <w:ilvl w:val="0"/>
          <w:numId w:val="52"/>
        </w:numPr>
        <w:tabs>
          <w:tab w:val="left" w:pos="993"/>
        </w:tabs>
        <w:spacing w:before="240" w:after="240"/>
        <w:ind w:left="0" w:firstLine="567"/>
        <w:contextualSpacing w:val="0"/>
      </w:pPr>
      <w:r w:rsidRPr="00565C3D">
        <w:lastRenderedPageBreak/>
        <w:t>З ОК виключається частина балансової вартості непрофільних активів (необоротних активів, утримуваних для продажу; майна, що перейшло у власність банку як заставодержателя; основних засобів; інвестиційної нерухомості) відповідно до підпункту е пункту 1.3</w:t>
      </w:r>
      <w:r w:rsidR="006B19D7">
        <w:t xml:space="preserve"> </w:t>
      </w:r>
      <w:r w:rsidR="006B19D7">
        <w:rPr>
          <w:lang w:eastAsia="ru-RU"/>
        </w:rPr>
        <w:t>глави 1 розділу</w:t>
      </w:r>
      <w:r w:rsidR="00892E5F">
        <w:rPr>
          <w:lang w:eastAsia="ru-RU"/>
        </w:rPr>
        <w:t> </w:t>
      </w:r>
      <w:r w:rsidR="006B19D7">
        <w:rPr>
          <w:lang w:eastAsia="ru-RU"/>
        </w:rPr>
        <w:t>ІІ</w:t>
      </w:r>
      <w:r w:rsidRPr="00565C3D">
        <w:t xml:space="preserve"> </w:t>
      </w:r>
      <w:r w:rsidR="006B19D7">
        <w:br/>
      </w:r>
      <w:r w:rsidRPr="00565C3D">
        <w:t>Інструкції</w:t>
      </w:r>
      <w:r w:rsidR="00892E5F">
        <w:t> </w:t>
      </w:r>
      <w:r w:rsidRPr="00565C3D">
        <w:t>№</w:t>
      </w:r>
      <w:r w:rsidR="00892E5F">
        <w:t> </w:t>
      </w:r>
      <w:r w:rsidRPr="00565C3D">
        <w:t>368.</w:t>
      </w:r>
    </w:p>
    <w:p w14:paraId="1270B62A" w14:textId="3F187347" w:rsidR="00565C3D" w:rsidRPr="00565C3D" w:rsidRDefault="00565C3D" w:rsidP="00F30BD9">
      <w:pPr>
        <w:pStyle w:val="af3"/>
        <w:numPr>
          <w:ilvl w:val="0"/>
          <w:numId w:val="52"/>
        </w:numPr>
        <w:tabs>
          <w:tab w:val="left" w:pos="993"/>
        </w:tabs>
        <w:spacing w:before="240" w:after="240"/>
        <w:ind w:left="0" w:firstLine="567"/>
        <w:contextualSpacing w:val="0"/>
      </w:pPr>
      <w:r w:rsidRPr="00565C3D">
        <w:t xml:space="preserve">Розмір субординованого боргу, який ураховується в РК на звітну дату, коригується в прогнозному періоді на такі </w:t>
      </w:r>
      <w:r w:rsidR="00B86DF7">
        <w:t>фактори</w:t>
      </w:r>
      <w:r w:rsidR="00EB666D">
        <w:t>:</w:t>
      </w:r>
    </w:p>
    <w:p w14:paraId="090921D6" w14:textId="77777777" w:rsidR="00565C3D" w:rsidRPr="00565C3D" w:rsidRDefault="00565C3D" w:rsidP="00F30BD9">
      <w:pPr>
        <w:pStyle w:val="af3"/>
        <w:numPr>
          <w:ilvl w:val="0"/>
          <w:numId w:val="57"/>
        </w:numPr>
        <w:tabs>
          <w:tab w:val="left" w:pos="993"/>
        </w:tabs>
        <w:spacing w:before="240" w:after="240"/>
        <w:ind w:left="0" w:firstLine="567"/>
        <w:contextualSpacing w:val="0"/>
      </w:pPr>
      <w:r w:rsidRPr="00565C3D">
        <w:t>прогноз обмінного курсу національної валюти (у разі залучення субординованого боргу в іноземній валюті);</w:t>
      </w:r>
    </w:p>
    <w:p w14:paraId="3E63B82E" w14:textId="77777777" w:rsidR="00565C3D" w:rsidRPr="00565C3D" w:rsidRDefault="00565C3D" w:rsidP="00F30BD9">
      <w:pPr>
        <w:pStyle w:val="af3"/>
        <w:numPr>
          <w:ilvl w:val="0"/>
          <w:numId w:val="57"/>
        </w:numPr>
        <w:tabs>
          <w:tab w:val="left" w:pos="993"/>
        </w:tabs>
        <w:spacing w:before="240" w:after="240"/>
        <w:ind w:left="0" w:firstLine="567"/>
        <w:contextualSpacing w:val="0"/>
      </w:pPr>
      <w:r w:rsidRPr="00565C3D">
        <w:t>нормативні вимоги до амортизації субординованого боргу відповідно до залишкового строку до погашення.</w:t>
      </w:r>
    </w:p>
    <w:p w14:paraId="129D8159" w14:textId="77777777" w:rsidR="00B01EA8" w:rsidRPr="007A6EAC" w:rsidRDefault="00565C3D" w:rsidP="000D2966">
      <w:pPr>
        <w:pStyle w:val="af3"/>
        <w:numPr>
          <w:ilvl w:val="0"/>
          <w:numId w:val="52"/>
        </w:numPr>
        <w:tabs>
          <w:tab w:val="left" w:pos="993"/>
          <w:tab w:val="left" w:pos="1276"/>
        </w:tabs>
        <w:ind w:left="0" w:firstLine="567"/>
        <w:contextualSpacing w:val="0"/>
        <w:rPr>
          <w:color w:val="000000" w:themeColor="text1"/>
        </w:rPr>
      </w:pPr>
      <w:r w:rsidRPr="007A6EAC">
        <w:rPr>
          <w:color w:val="000000" w:themeColor="text1"/>
        </w:rPr>
        <w:t>Необхідн</w:t>
      </w:r>
      <w:r w:rsidR="009A346F">
        <w:rPr>
          <w:color w:val="000000" w:themeColor="text1"/>
        </w:rPr>
        <w:t>ий</w:t>
      </w:r>
      <w:r w:rsidRPr="007A6EAC">
        <w:rPr>
          <w:color w:val="000000" w:themeColor="text1"/>
        </w:rPr>
        <w:t xml:space="preserve"> рів</w:t>
      </w:r>
      <w:r w:rsidR="009A346F">
        <w:rPr>
          <w:color w:val="000000" w:themeColor="text1"/>
        </w:rPr>
        <w:t>ень</w:t>
      </w:r>
      <w:r w:rsidRPr="007A6EAC">
        <w:rPr>
          <w:color w:val="000000" w:themeColor="text1"/>
        </w:rPr>
        <w:t xml:space="preserve"> нормативів достатності капіталу (необхідний рівень нормативу Н2 і необхідний рівень нормативу Н3) у прогнозному періоді визначається за базовим макроекономічним сценарієм з урахуванням </w:t>
      </w:r>
      <w:r w:rsidR="006B19D7">
        <w:rPr>
          <w:color w:val="000000" w:themeColor="text1"/>
        </w:rPr>
        <w:t>у</w:t>
      </w:r>
      <w:r w:rsidR="000D7745">
        <w:rPr>
          <w:color w:val="000000" w:themeColor="text1"/>
        </w:rPr>
        <w:t xml:space="preserve">становлених Національним банком </w:t>
      </w:r>
      <w:r w:rsidRPr="007A6EAC">
        <w:rPr>
          <w:color w:val="000000" w:themeColor="text1"/>
        </w:rPr>
        <w:t>двох граничних рівнів – 0% та нормативних значень</w:t>
      </w:r>
      <w:r w:rsidR="000D7745">
        <w:rPr>
          <w:color w:val="000000" w:themeColor="text1"/>
        </w:rPr>
        <w:t>, визначених у таблиці 6 цього додатка</w:t>
      </w:r>
      <w:r w:rsidRPr="007A6EAC">
        <w:rPr>
          <w:color w:val="000000" w:themeColor="text1"/>
        </w:rPr>
        <w:t>.</w:t>
      </w:r>
    </w:p>
    <w:p w14:paraId="3F77F57E" w14:textId="77777777" w:rsidR="00565C3D" w:rsidRPr="00565C3D" w:rsidRDefault="00216287" w:rsidP="000D2966">
      <w:pPr>
        <w:tabs>
          <w:tab w:val="left" w:pos="993"/>
        </w:tabs>
        <w:ind w:firstLine="567"/>
      </w:pPr>
      <w:r>
        <w:t>Н</w:t>
      </w:r>
      <w:r w:rsidR="00565C3D" w:rsidRPr="00565C3D">
        <w:t xml:space="preserve">айбільший рівень відхилення (зниження) нормативу Н3 стосовно його рівня на звітну дату для </w:t>
      </w:r>
      <w:r w:rsidR="00565C3D" w:rsidRPr="0050553E">
        <w:t xml:space="preserve">кожного прогнозного періоду за базовим макроекономічним сценарієм та для двох граничних рівнів </w:t>
      </w:r>
      <w:r>
        <w:t>д</w:t>
      </w:r>
      <w:r w:rsidRPr="00565C3D">
        <w:t xml:space="preserve">ля банку визначається </w:t>
      </w:r>
      <w:r>
        <w:t>за такою формулою</w:t>
      </w:r>
      <w:r w:rsidR="00565C3D" w:rsidRPr="0050553E">
        <w:t>:</w:t>
      </w:r>
    </w:p>
    <w:p w14:paraId="7811CB85" w14:textId="77777777" w:rsidR="00565C3D" w:rsidRPr="00565C3D" w:rsidRDefault="00565C3D" w:rsidP="00483885">
      <w:pPr>
        <w:spacing w:before="240" w:after="240"/>
        <w:ind w:firstLine="437"/>
        <w:jc w:val="center"/>
      </w:pPr>
      <m:oMath>
        <m:r>
          <m:rPr>
            <m:sty m:val="p"/>
          </m:rPr>
          <w:rPr>
            <w:rFonts w:ascii="Cambria Math" w:hAnsi="Cambria Math"/>
          </w:rPr>
          <m:t xml:space="preserve">∆Н3= </m:t>
        </m:r>
        <m:func>
          <m:funcPr>
            <m:ctrlPr>
              <w:rPr>
                <w:rFonts w:ascii="Cambria Math" w:hAnsi="Cambria Math"/>
              </w:rPr>
            </m:ctrlPr>
          </m:funcPr>
          <m:fName>
            <m:r>
              <m:rPr>
                <m:sty m:val="p"/>
              </m:rPr>
              <w:rPr>
                <w:rFonts w:ascii="Cambria Math" w:hAnsi="Cambria Math"/>
              </w:rPr>
              <m:t>max</m:t>
            </m:r>
          </m:fName>
          <m:e>
            <m:d>
              <m:dPr>
                <m:begChr m:val="["/>
                <m:endChr m:val="]"/>
                <m:ctrlPr>
                  <w:rPr>
                    <w:rFonts w:ascii="Cambria Math" w:hAnsi="Cambria Math"/>
                    <w:i/>
                  </w:rPr>
                </m:ctrlPr>
              </m:dPr>
              <m:e>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max</m:t>
                        </m:r>
                      </m:e>
                      <m:lim>
                        <m:r>
                          <w:rPr>
                            <w:rFonts w:ascii="Cambria Math" w:hAnsi="Cambria Math"/>
                          </w:rPr>
                          <m:t>t</m:t>
                        </m:r>
                      </m:lim>
                    </m:limLow>
                  </m:fName>
                  <m:e>
                    <m:sSub>
                      <m:sSubPr>
                        <m:ctrlPr>
                          <w:rPr>
                            <w:rFonts w:ascii="Cambria Math" w:hAnsi="Cambria Math"/>
                          </w:rPr>
                        </m:ctrlPr>
                      </m:sSubPr>
                      <m:e>
                        <m:r>
                          <m:rPr>
                            <m:sty m:val="p"/>
                          </m:rPr>
                          <w:rPr>
                            <w:rFonts w:ascii="Cambria Math" w:hAnsi="Cambria Math"/>
                          </w:rPr>
                          <m:t>(</m:t>
                        </m:r>
                        <m:r>
                          <w:rPr>
                            <w:rFonts w:ascii="Cambria Math" w:hAnsi="Cambria Math"/>
                          </w:rPr>
                          <m:t>Н3</m:t>
                        </m:r>
                      </m:e>
                      <m:sub>
                        <m:r>
                          <w:rPr>
                            <w:rFonts w:ascii="Cambria Math" w:hAnsi="Cambria Math"/>
                          </w:rPr>
                          <m:t>0</m:t>
                        </m:r>
                      </m:sub>
                    </m:sSub>
                    <m:r>
                      <w:rPr>
                        <w:rFonts w:ascii="Cambria Math" w:hAnsi="Cambria Math"/>
                      </w:rPr>
                      <m:t>+</m:t>
                    </m:r>
                    <m:f>
                      <m:fPr>
                        <m:ctrlPr>
                          <w:rPr>
                            <w:rFonts w:ascii="Cambria Math" w:hAnsi="Cambria Math"/>
                          </w:rPr>
                        </m:ctrlPr>
                      </m:fPr>
                      <m:num>
                        <m:r>
                          <w:rPr>
                            <w:rFonts w:ascii="Cambria Math" w:hAnsi="Cambria Math"/>
                          </w:rPr>
                          <m:t>(</m:t>
                        </m:r>
                        <m:sSub>
                          <m:sSubPr>
                            <m:ctrlPr>
                              <w:rPr>
                                <w:rFonts w:ascii="Cambria Math" w:hAnsi="Cambria Math"/>
                              </w:rPr>
                            </m:ctrlPr>
                          </m:sSubPr>
                          <m:e>
                            <m:r>
                              <m:rPr>
                                <m:sty m:val="p"/>
                              </m:rPr>
                              <w:rPr>
                                <w:rFonts w:ascii="Cambria Math" w:hAnsi="Cambria Math"/>
                              </w:rPr>
                              <m:t>Рпр</m:t>
                            </m:r>
                          </m:e>
                          <m:sub>
                            <m:r>
                              <m:rPr>
                                <m:sty m:val="p"/>
                              </m:rPr>
                              <w:rPr>
                                <w:rFonts w:ascii="Cambria Math" w:hAnsi="Cambria Math"/>
                              </w:rPr>
                              <m:t>2022-23</m:t>
                            </m:r>
                          </m:sub>
                        </m:sSub>
                        <m:r>
                          <m:rPr>
                            <m:sty m:val="p"/>
                          </m:rPr>
                          <w:rPr>
                            <w:rFonts w:ascii="Cambria Math" w:hAnsi="Cambria Math"/>
                          </w:rPr>
                          <m:t>+</m:t>
                        </m:r>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Рпр/з</m:t>
                                </m:r>
                              </m:e>
                              <m:sub>
                                <m:r>
                                  <w:rPr>
                                    <w:rFonts w:ascii="Cambria Math" w:hAnsi="Cambria Math"/>
                                  </w:rPr>
                                  <m:t>0</m:t>
                                </m:r>
                              </m:sub>
                            </m:sSub>
                          </m:e>
                        </m:d>
                        <m:r>
                          <m:rPr>
                            <m:sty m:val="p"/>
                          </m:rPr>
                          <w:rPr>
                            <w:rFonts w:ascii="Cambria Math" w:hAnsi="Cambria Math"/>
                          </w:rPr>
                          <m:t>)</m:t>
                        </m:r>
                      </m:num>
                      <m:den>
                        <m:sSub>
                          <m:sSubPr>
                            <m:ctrlPr>
                              <w:rPr>
                                <w:rFonts w:ascii="Cambria Math" w:hAnsi="Cambria Math"/>
                              </w:rPr>
                            </m:ctrlPr>
                          </m:sSubPr>
                          <m:e>
                            <m:r>
                              <w:rPr>
                                <w:rFonts w:ascii="Cambria Math" w:hAnsi="Cambria Math"/>
                              </w:rPr>
                              <m:t>ОК</m:t>
                            </m:r>
                          </m:e>
                          <m:sub>
                            <m:r>
                              <w:rPr>
                                <w:rFonts w:ascii="Cambria Math" w:hAnsi="Cambria Math"/>
                              </w:rPr>
                              <m:t>0</m:t>
                            </m:r>
                          </m:sub>
                        </m:sSub>
                        <m:r>
                          <w:rPr>
                            <w:rFonts w:ascii="Cambria Math" w:hAnsi="Cambria Math"/>
                          </w:rPr>
                          <m:t>/</m:t>
                        </m:r>
                        <m:sSub>
                          <m:sSubPr>
                            <m:ctrlPr>
                              <w:rPr>
                                <w:rFonts w:ascii="Cambria Math" w:hAnsi="Cambria Math"/>
                              </w:rPr>
                            </m:ctrlPr>
                          </m:sSubPr>
                          <m:e>
                            <m:r>
                              <w:rPr>
                                <w:rFonts w:ascii="Cambria Math" w:hAnsi="Cambria Math"/>
                              </w:rPr>
                              <m:t>Н3</m:t>
                            </m:r>
                          </m:e>
                          <m:sub>
                            <m:r>
                              <w:rPr>
                                <w:rFonts w:ascii="Cambria Math" w:hAnsi="Cambria Math"/>
                              </w:rPr>
                              <m:t>0</m:t>
                            </m:r>
                          </m:sub>
                        </m:sSub>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H3</m:t>
                            </m:r>
                          </m:e>
                          <m:sub>
                            <m:r>
                              <w:rPr>
                                <w:rFonts w:ascii="Cambria Math" w:hAnsi="Cambria Math"/>
                              </w:rPr>
                              <m:t>t</m:t>
                            </m:r>
                          </m:sub>
                        </m:sSub>
                      </m:num>
                      <m:den>
                        <m:r>
                          <m:rPr>
                            <m:sty m:val="p"/>
                          </m:rPr>
                          <w:rPr>
                            <w:rFonts w:ascii="Cambria Math" w:hAnsi="Cambria Math"/>
                          </w:rPr>
                          <m:t>(</m:t>
                        </m:r>
                        <m:sSub>
                          <m:sSubPr>
                            <m:ctrlPr>
                              <w:rPr>
                                <w:rFonts w:ascii="Cambria Math" w:hAnsi="Cambria Math"/>
                              </w:rPr>
                            </m:ctrlPr>
                          </m:sSubPr>
                          <m:e>
                            <m:r>
                              <m:rPr>
                                <m:sty m:val="p"/>
                              </m:rPr>
                              <w:rPr>
                                <w:rFonts w:ascii="Cambria Math" w:hAnsi="Cambria Math"/>
                              </w:rPr>
                              <m:t>ОК</m:t>
                            </m:r>
                          </m:e>
                          <m:sub>
                            <m:r>
                              <w:rPr>
                                <w:rFonts w:ascii="Cambria Math" w:hAnsi="Cambria Math"/>
                              </w:rPr>
                              <m:t>0</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H3</m:t>
                            </m:r>
                          </m:e>
                          <m:sub>
                            <m:r>
                              <w:rPr>
                                <w:rFonts w:ascii="Cambria Math" w:hAnsi="Cambria Math"/>
                              </w:rPr>
                              <m:t>0</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ОК</m:t>
                            </m:r>
                          </m:e>
                          <m:sub>
                            <m:r>
                              <w:rPr>
                                <w:rFonts w:ascii="Cambria Math" w:hAnsi="Cambria Math"/>
                              </w:rPr>
                              <m:t>t</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H3</m:t>
                            </m:r>
                          </m:e>
                          <m:sub>
                            <m:r>
                              <w:rPr>
                                <w:rFonts w:ascii="Cambria Math" w:hAnsi="Cambria Math"/>
                              </w:rPr>
                              <m:t>t</m:t>
                            </m:r>
                          </m:sub>
                        </m:sSub>
                        <m:r>
                          <m:rPr>
                            <m:sty m:val="p"/>
                          </m:rPr>
                          <w:rPr>
                            <w:rFonts w:ascii="Cambria Math" w:hAnsi="Cambria Math"/>
                          </w:rPr>
                          <m:t>)</m:t>
                        </m:r>
                      </m:den>
                    </m:f>
                    <m:r>
                      <w:rPr>
                        <w:rFonts w:ascii="Cambria Math" w:hAnsi="Cambria Math"/>
                      </w:rPr>
                      <m:t>)</m:t>
                    </m:r>
                  </m:e>
                </m:func>
                <m:r>
                  <w:rPr>
                    <w:rFonts w:ascii="Cambria Math" w:hAnsi="Cambria Math"/>
                  </w:rPr>
                  <m:t>;</m:t>
                </m:r>
                <m:r>
                  <m:rPr>
                    <m:sty m:val="p"/>
                  </m:rPr>
                  <w:rPr>
                    <w:rFonts w:ascii="Cambria Math" w:hAnsi="Cambria Math"/>
                  </w:rPr>
                  <m:t>0</m:t>
                </m:r>
              </m:e>
            </m:d>
          </m:e>
        </m:func>
      </m:oMath>
      <w:r w:rsidRPr="0050553E">
        <w:t>,</w:t>
      </w:r>
      <w:r w:rsidRPr="00565C3D">
        <w:t xml:space="preserve">    (18)</w:t>
      </w:r>
    </w:p>
    <w:p w14:paraId="5DB9AAF8" w14:textId="77777777" w:rsidR="00565C3D" w:rsidRPr="00565C3D" w:rsidRDefault="00565C3D" w:rsidP="0098642B">
      <w:r w:rsidRPr="00565C3D">
        <w:t xml:space="preserve">де  </w:t>
      </w:r>
      <m:oMath>
        <m:r>
          <w:rPr>
            <w:rFonts w:ascii="Cambria Math" w:hAnsi="Cambria Math"/>
          </w:rPr>
          <m:t xml:space="preserve"> </m:t>
        </m:r>
        <m:sSub>
          <m:sSubPr>
            <m:ctrlPr>
              <w:rPr>
                <w:rFonts w:ascii="Cambria Math" w:hAnsi="Cambria Math"/>
              </w:rPr>
            </m:ctrlPr>
          </m:sSubPr>
          <m:e>
            <m:r>
              <m:rPr>
                <m:sty m:val="p"/>
              </m:rPr>
              <w:rPr>
                <w:rFonts w:ascii="Cambria Math" w:hAnsi="Cambria Math"/>
              </w:rPr>
              <m:t>H3</m:t>
            </m:r>
          </m:e>
          <m:sub>
            <m:r>
              <w:rPr>
                <w:rFonts w:ascii="Cambria Math" w:hAnsi="Cambria Math"/>
              </w:rPr>
              <m:t>0</m:t>
            </m:r>
          </m:sub>
        </m:sSub>
      </m:oMath>
      <w:r w:rsidRPr="00565C3D">
        <w:t xml:space="preserve"> – рівень нормативу НЗ на звітну дату, розрахований за результатами двох етапів оцінки стійкості;</w:t>
      </w:r>
    </w:p>
    <w:p w14:paraId="36E0DD76" w14:textId="52D25630" w:rsidR="00565C3D" w:rsidRPr="00565C3D" w:rsidRDefault="0052636F" w:rsidP="00EB666D">
      <w:pPr>
        <w:ind w:firstLine="567"/>
      </w:pPr>
      <m:oMath>
        <m:sSub>
          <m:sSubPr>
            <m:ctrlPr>
              <w:rPr>
                <w:rFonts w:ascii="Cambria Math" w:hAnsi="Cambria Math"/>
              </w:rPr>
            </m:ctrlPr>
          </m:sSubPr>
          <m:e>
            <m:r>
              <m:rPr>
                <m:sty m:val="p"/>
              </m:rPr>
              <w:rPr>
                <w:rFonts w:ascii="Cambria Math" w:hAnsi="Cambria Math"/>
              </w:rPr>
              <m:t>ОК</m:t>
            </m:r>
          </m:e>
          <m:sub>
            <m:r>
              <w:rPr>
                <w:rFonts w:ascii="Cambria Math" w:hAnsi="Cambria Math"/>
              </w:rPr>
              <m:t>0</m:t>
            </m:r>
          </m:sub>
        </m:sSub>
      </m:oMath>
      <w:r w:rsidR="00565C3D" w:rsidRPr="00565C3D">
        <w:t xml:space="preserve"> – розмір </w:t>
      </w:r>
      <w:r w:rsidR="00565C3D" w:rsidRPr="0050553E">
        <w:t>основного капіталу банку на звітну дату, розрахований за результатами двох етапів оцінки стійкості, з урахуванням скоригованого результату поточного та звітного року, що враховується в ОК у прогнозному періоді відповідно до пунктів 5</w:t>
      </w:r>
      <w:r w:rsidR="006328D0">
        <w:t>8</w:t>
      </w:r>
      <w:r w:rsidR="00565C3D" w:rsidRPr="0050553E">
        <w:t xml:space="preserve">, </w:t>
      </w:r>
      <w:r w:rsidR="006328D0">
        <w:t>60</w:t>
      </w:r>
      <w:r w:rsidR="00565C3D" w:rsidRPr="0050553E">
        <w:t xml:space="preserve"> розділу</w:t>
      </w:r>
      <w:r w:rsidR="00565C3D" w:rsidRPr="00565C3D">
        <w:t xml:space="preserve"> X цього додатка;</w:t>
      </w:r>
    </w:p>
    <w:p w14:paraId="6B9CCAE3" w14:textId="68AF9B67" w:rsidR="00565C3D" w:rsidRPr="00565C3D" w:rsidRDefault="0052636F" w:rsidP="00BB265A">
      <w:pPr>
        <w:ind w:firstLine="567"/>
      </w:pPr>
      <m:oMath>
        <m:sSub>
          <m:sSubPr>
            <m:ctrlPr>
              <w:rPr>
                <w:rFonts w:ascii="Cambria Math" w:hAnsi="Cambria Math"/>
              </w:rPr>
            </m:ctrlPr>
          </m:sSubPr>
          <m:e>
            <m:r>
              <m:rPr>
                <m:sty m:val="p"/>
              </m:rPr>
              <w:rPr>
                <w:rFonts w:ascii="Cambria Math" w:hAnsi="Cambria Math"/>
              </w:rPr>
              <m:t>Рпр</m:t>
            </m:r>
          </m:e>
          <m:sub>
            <m:r>
              <m:rPr>
                <m:sty m:val="p"/>
              </m:rPr>
              <w:rPr>
                <w:rFonts w:ascii="Cambria Math" w:hAnsi="Cambria Math"/>
              </w:rPr>
              <m:t>2022-23</m:t>
            </m:r>
          </m:sub>
        </m:sSub>
      </m:oMath>
      <w:r w:rsidR="00565C3D" w:rsidRPr="00565C3D">
        <w:t xml:space="preserve"> – скоригований результат поточного та звітного періоду, що враховується в ОК у прогнозному періоді відповідно до пунктів 5</w:t>
      </w:r>
      <w:r w:rsidR="006328D0">
        <w:t>8</w:t>
      </w:r>
      <w:r w:rsidR="00565C3D" w:rsidRPr="00565C3D">
        <w:t xml:space="preserve">, </w:t>
      </w:r>
      <w:r w:rsidR="006328D0">
        <w:t>60</w:t>
      </w:r>
      <w:r w:rsidR="00565C3D" w:rsidRPr="00565C3D">
        <w:t xml:space="preserve"> розділу X цього додатка;</w:t>
      </w:r>
    </w:p>
    <w:p w14:paraId="79204A31" w14:textId="77777777" w:rsidR="00565C3D" w:rsidRPr="00565C3D" w:rsidRDefault="0052636F" w:rsidP="00BB265A">
      <w:pPr>
        <w:ind w:right="-1" w:firstLine="567"/>
      </w:pPr>
      <m:oMath>
        <m:sSub>
          <m:sSubPr>
            <m:ctrlPr>
              <w:rPr>
                <w:rFonts w:ascii="Cambria Math" w:hAnsi="Cambria Math"/>
              </w:rPr>
            </m:ctrlPr>
          </m:sSubPr>
          <m:e>
            <m:r>
              <m:rPr>
                <m:sty m:val="p"/>
              </m:rPr>
              <w:rPr>
                <w:rFonts w:ascii="Cambria Math" w:hAnsi="Cambria Math"/>
              </w:rPr>
              <m:t>Рпр/з</m:t>
            </m:r>
          </m:e>
          <m:sub>
            <m:r>
              <w:rPr>
                <w:rFonts w:ascii="Cambria Math" w:hAnsi="Cambria Math"/>
              </w:rPr>
              <m:t>0</m:t>
            </m:r>
          </m:sub>
        </m:sSub>
      </m:oMath>
      <w:r w:rsidR="00565C3D" w:rsidRPr="00565C3D">
        <w:t xml:space="preserve"> – отриманий у результаті розрахунку Рпр від’ємний результат у звітному періоді;</w:t>
      </w:r>
    </w:p>
    <w:p w14:paraId="66CB3102" w14:textId="77777777" w:rsidR="00565C3D" w:rsidRPr="00565C3D" w:rsidRDefault="0052636F" w:rsidP="00BB265A">
      <w:pPr>
        <w:ind w:right="-1" w:firstLine="567"/>
      </w:pPr>
      <m:oMath>
        <m:sSub>
          <m:sSubPr>
            <m:ctrlPr>
              <w:rPr>
                <w:rFonts w:ascii="Cambria Math" w:hAnsi="Cambria Math"/>
              </w:rPr>
            </m:ctrlPr>
          </m:sSubPr>
          <m:e>
            <m:r>
              <m:rPr>
                <m:sty m:val="p"/>
              </m:rPr>
              <w:rPr>
                <w:rFonts w:ascii="Cambria Math" w:hAnsi="Cambria Math"/>
              </w:rPr>
              <m:t>H3</m:t>
            </m:r>
          </m:e>
          <m:sub>
            <m:r>
              <w:rPr>
                <w:rFonts w:ascii="Cambria Math" w:hAnsi="Cambria Math"/>
              </w:rPr>
              <m:t>t</m:t>
            </m:r>
          </m:sub>
        </m:sSub>
      </m:oMath>
      <w:r w:rsidR="00565C3D" w:rsidRPr="00565C3D">
        <w:t xml:space="preserve"> – розрахований за моделлю СТ рівень нормативу Н3;</w:t>
      </w:r>
    </w:p>
    <w:p w14:paraId="1C2419A2" w14:textId="5DFD248F" w:rsidR="00565C3D" w:rsidRPr="00565C3D" w:rsidRDefault="00565C3D" w:rsidP="00BB265A">
      <w:pPr>
        <w:ind w:firstLine="567"/>
      </w:pPr>
      <w:r w:rsidRPr="00565C3D">
        <w:t>t – порядковий номер прогнозного періоду</w:t>
      </w:r>
      <w:r w:rsidR="006B19D7">
        <w:t>.</w:t>
      </w:r>
    </w:p>
    <w:p w14:paraId="2FF811A7" w14:textId="77777777" w:rsidR="00565C3D" w:rsidRPr="00565C3D" w:rsidRDefault="00565C3D" w:rsidP="00483885">
      <w:pPr>
        <w:spacing w:before="240" w:after="240"/>
        <w:ind w:firstLine="567"/>
      </w:pPr>
      <w:r w:rsidRPr="00565C3D">
        <w:t xml:space="preserve">Необхідний рівень нормативу Н3 для банку, для якого виникає ненульове значення відхилення </w:t>
      </w:r>
      <m:oMath>
        <m:r>
          <m:rPr>
            <m:sty m:val="p"/>
          </m:rPr>
          <w:rPr>
            <w:rFonts w:ascii="Cambria Math" w:hAnsi="Cambria Math"/>
          </w:rPr>
          <m:t>∆Н3</m:t>
        </m:r>
      </m:oMath>
      <w:r w:rsidRPr="00565C3D">
        <w:t xml:space="preserve">, установлюється на рівні розрахункового нормативу </w:t>
      </w:r>
      <m:oMath>
        <m:acc>
          <m:accPr>
            <m:ctrlPr>
              <w:rPr>
                <w:rFonts w:ascii="Cambria Math" w:hAnsi="Cambria Math"/>
              </w:rPr>
            </m:ctrlPr>
          </m:accPr>
          <m:e>
            <m:r>
              <w:rPr>
                <w:rFonts w:ascii="Cambria Math" w:hAnsi="Cambria Math"/>
              </w:rPr>
              <m:t>H</m:t>
            </m:r>
            <m:r>
              <m:rPr>
                <m:sty m:val="p"/>
              </m:rPr>
              <w:rPr>
                <w:rFonts w:ascii="Cambria Math" w:hAnsi="Cambria Math"/>
              </w:rPr>
              <m:t>3</m:t>
            </m:r>
          </m:e>
        </m:acc>
      </m:oMath>
      <w:r w:rsidRPr="00565C3D">
        <w:t xml:space="preserve">, що визначається </w:t>
      </w:r>
      <w:r w:rsidR="00216287">
        <w:t>за такою формулою</w:t>
      </w:r>
      <w:r w:rsidRPr="00565C3D">
        <w:t xml:space="preserve">: </w:t>
      </w:r>
    </w:p>
    <w:p w14:paraId="5AC9F72D" w14:textId="77777777" w:rsidR="00565C3D" w:rsidRPr="00565C3D" w:rsidRDefault="0052636F" w:rsidP="00483885">
      <w:pPr>
        <w:spacing w:before="240" w:after="240"/>
        <w:ind w:firstLine="437"/>
        <w:jc w:val="center"/>
      </w:pPr>
      <m:oMath>
        <m:acc>
          <m:accPr>
            <m:ctrlPr>
              <w:rPr>
                <w:rFonts w:ascii="Cambria Math" w:hAnsi="Cambria Math"/>
              </w:rPr>
            </m:ctrlPr>
          </m:accPr>
          <m:e>
            <m:r>
              <m:rPr>
                <m:sty m:val="p"/>
              </m:rPr>
              <w:rPr>
                <w:rFonts w:ascii="Cambria Math" w:hAnsi="Cambria Math"/>
              </w:rPr>
              <m:t>H3</m:t>
            </m:r>
          </m:e>
        </m:acc>
        <m:r>
          <m:rPr>
            <m:sty m:val="p"/>
          </m:rPr>
          <w:rPr>
            <w:rFonts w:ascii="Cambria Math" w:hAnsi="Cambria Math"/>
          </w:rPr>
          <m:t>=</m:t>
        </m:r>
        <m:func>
          <m:funcPr>
            <m:ctrlPr>
              <w:rPr>
                <w:rFonts w:ascii="Cambria Math" w:hAnsi="Cambria Math"/>
              </w:rPr>
            </m:ctrlPr>
          </m:funcPr>
          <m:fName>
            <m:r>
              <m:rPr>
                <m:sty m:val="p"/>
              </m:rPr>
              <w:rPr>
                <w:rFonts w:ascii="Cambria Math" w:hAnsi="Cambria Math"/>
              </w:rPr>
              <m:t>max</m:t>
            </m:r>
          </m:fName>
          <m:e>
            <m:d>
              <m:dPr>
                <m:ctrlPr>
                  <w:rPr>
                    <w:rFonts w:ascii="Cambria Math" w:hAnsi="Cambria Math"/>
                  </w:rPr>
                </m:ctrlPr>
              </m:dPr>
              <m:e>
                <m:f>
                  <m:fPr>
                    <m:ctrlPr>
                      <w:rPr>
                        <w:rFonts w:ascii="Cambria Math" w:hAnsi="Cambria Math"/>
                        <w:i/>
                      </w:rPr>
                    </m:ctrlPr>
                  </m:fPr>
                  <m:num>
                    <m:sSub>
                      <m:sSubPr>
                        <m:ctrlPr>
                          <w:rPr>
                            <w:rFonts w:ascii="Cambria Math" w:hAnsi="Cambria Math"/>
                          </w:rPr>
                        </m:ctrlPr>
                      </m:sSubPr>
                      <m:e>
                        <m:r>
                          <m:rPr>
                            <m:sty m:val="p"/>
                          </m:rPr>
                          <w:rPr>
                            <w:rFonts w:ascii="Cambria Math" w:hAnsi="Cambria Math"/>
                          </w:rPr>
                          <m:t>H3</m:t>
                        </m:r>
                      </m:e>
                      <m:sub>
                        <m:r>
                          <w:rPr>
                            <w:rFonts w:ascii="Cambria Math" w:hAnsi="Cambria Math"/>
                          </w:rPr>
                          <m:t>гр</m:t>
                        </m:r>
                      </m:sub>
                    </m:sSub>
                  </m:num>
                  <m:den>
                    <m:r>
                      <m:rPr>
                        <m:sty m:val="p"/>
                      </m:rPr>
                      <w:rPr>
                        <w:rFonts w:ascii="Cambria Math" w:hAnsi="Cambria Math"/>
                      </w:rPr>
                      <m:t>(</m:t>
                    </m:r>
                    <m:sSub>
                      <m:sSubPr>
                        <m:ctrlPr>
                          <w:rPr>
                            <w:rFonts w:ascii="Cambria Math" w:hAnsi="Cambria Math"/>
                          </w:rPr>
                        </m:ctrlPr>
                      </m:sSubPr>
                      <m:e>
                        <m:r>
                          <m:rPr>
                            <m:sty m:val="p"/>
                          </m:rPr>
                          <w:rPr>
                            <w:rFonts w:ascii="Cambria Math" w:hAnsi="Cambria Math"/>
                          </w:rPr>
                          <m:t>ОК</m:t>
                        </m:r>
                      </m:e>
                      <m:sub>
                        <m:r>
                          <w:rPr>
                            <w:rFonts w:ascii="Cambria Math" w:hAnsi="Cambria Math"/>
                          </w:rPr>
                          <m:t>0</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H3</m:t>
                        </m:r>
                      </m:e>
                      <m:sub>
                        <m:r>
                          <w:rPr>
                            <w:rFonts w:ascii="Cambria Math" w:hAnsi="Cambria Math"/>
                          </w:rPr>
                          <m:t>0</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ОК</m:t>
                        </m:r>
                      </m:e>
                      <m:sub>
                        <m:r>
                          <w:rPr>
                            <w:rFonts w:ascii="Cambria Math" w:hAnsi="Cambria Math"/>
                          </w:rPr>
                          <m:t>j</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H3</m:t>
                        </m:r>
                      </m:e>
                      <m:sub>
                        <m:r>
                          <w:rPr>
                            <w:rFonts w:ascii="Cambria Math" w:hAnsi="Cambria Math"/>
                          </w:rPr>
                          <m:t>j</m:t>
                        </m:r>
                      </m:sub>
                    </m:sSub>
                    <m:r>
                      <m:rPr>
                        <m:sty m:val="p"/>
                      </m:rPr>
                      <w:rPr>
                        <w:rFonts w:ascii="Cambria Math" w:hAnsi="Cambria Math"/>
                      </w:rPr>
                      <m:t>)</m:t>
                    </m:r>
                  </m:den>
                </m:f>
                <m:r>
                  <m:rPr>
                    <m:sty m:val="p"/>
                  </m:rPr>
                  <w:rPr>
                    <w:rFonts w:ascii="Cambria Math" w:hAnsi="Cambria Math"/>
                  </w:rPr>
                  <m:t xml:space="preserve">+∆Н3; </m:t>
                </m:r>
                <m:sSub>
                  <m:sSubPr>
                    <m:ctrlPr>
                      <w:rPr>
                        <w:rFonts w:ascii="Cambria Math" w:hAnsi="Cambria Math"/>
                      </w:rPr>
                    </m:ctrlPr>
                  </m:sSubPr>
                  <m:e>
                    <m:r>
                      <m:rPr>
                        <m:sty m:val="p"/>
                      </m:rPr>
                      <w:rPr>
                        <w:rFonts w:ascii="Cambria Math" w:hAnsi="Cambria Math"/>
                      </w:rPr>
                      <m:t>H3</m:t>
                    </m:r>
                  </m:e>
                  <m:sub>
                    <m:r>
                      <w:rPr>
                        <w:rFonts w:ascii="Cambria Math" w:hAnsi="Cambria Math"/>
                      </w:rPr>
                      <m:t>min</m:t>
                    </m:r>
                  </m:sub>
                </m:sSub>
              </m:e>
            </m:d>
          </m:e>
        </m:func>
      </m:oMath>
      <w:r w:rsidR="00565C3D" w:rsidRPr="00565C3D">
        <w:t>,    (19)</w:t>
      </w:r>
    </w:p>
    <w:p w14:paraId="0A78DE88" w14:textId="77777777" w:rsidR="00565C3D" w:rsidRPr="00565C3D" w:rsidRDefault="00565C3D" w:rsidP="00565C3D">
      <w:pPr>
        <w:ind w:right="-1"/>
      </w:pPr>
      <w:r w:rsidRPr="00565C3D">
        <w:t xml:space="preserve">де    </w:t>
      </w:r>
      <m:oMath>
        <m:sSub>
          <m:sSubPr>
            <m:ctrlPr>
              <w:rPr>
                <w:rFonts w:ascii="Cambria Math" w:hAnsi="Cambria Math"/>
              </w:rPr>
            </m:ctrlPr>
          </m:sSubPr>
          <m:e>
            <m:r>
              <m:rPr>
                <m:sty m:val="p"/>
              </m:rPr>
              <w:rPr>
                <w:rFonts w:ascii="Cambria Math" w:hAnsi="Cambria Math"/>
              </w:rPr>
              <m:t>H3</m:t>
            </m:r>
          </m:e>
          <m:sub>
            <m:r>
              <w:rPr>
                <w:rFonts w:ascii="Cambria Math" w:hAnsi="Cambria Math"/>
              </w:rPr>
              <m:t>гр</m:t>
            </m:r>
          </m:sub>
        </m:sSub>
      </m:oMath>
      <w:r w:rsidRPr="00565C3D">
        <w:t xml:space="preserve"> – граничний рівень нормативу НЗ; </w:t>
      </w:r>
    </w:p>
    <w:p w14:paraId="59FDB2B7" w14:textId="3D612933" w:rsidR="00565C3D" w:rsidRPr="0050553E" w:rsidRDefault="0052636F" w:rsidP="00565C3D">
      <w:pPr>
        <w:ind w:right="-1" w:firstLine="567"/>
      </w:pPr>
      <m:oMath>
        <m:sSub>
          <m:sSubPr>
            <m:ctrlPr>
              <w:rPr>
                <w:rFonts w:ascii="Cambria Math" w:hAnsi="Cambria Math"/>
              </w:rPr>
            </m:ctrlPr>
          </m:sSubPr>
          <m:e>
            <m:r>
              <m:rPr>
                <m:sty m:val="p"/>
              </m:rPr>
              <w:rPr>
                <w:rFonts w:ascii="Cambria Math" w:hAnsi="Cambria Math"/>
              </w:rPr>
              <m:t>ОК</m:t>
            </m:r>
          </m:e>
          <m:sub>
            <m:r>
              <w:rPr>
                <w:rFonts w:ascii="Cambria Math" w:hAnsi="Cambria Math"/>
              </w:rPr>
              <m:t>0</m:t>
            </m:r>
          </m:sub>
        </m:sSub>
      </m:oMath>
      <w:r w:rsidR="00565C3D" w:rsidRPr="00565C3D">
        <w:t xml:space="preserve"> – </w:t>
      </w:r>
      <w:r w:rsidR="00565C3D" w:rsidRPr="00935C38">
        <w:t xml:space="preserve">розмір </w:t>
      </w:r>
      <w:r w:rsidR="00565C3D" w:rsidRPr="0050553E">
        <w:t>основного капіталу банку на звітну дату, розрахований за результатами двох етапів оцінки стійкості, з урахуванням скоригованого результату поточного та звітного року, що враховується в ОК у прогнозному періоді відповідно до пунктів 5</w:t>
      </w:r>
      <w:r w:rsidR="006328D0">
        <w:t>8</w:t>
      </w:r>
      <w:r w:rsidR="00565C3D" w:rsidRPr="0050553E">
        <w:t xml:space="preserve">, </w:t>
      </w:r>
      <w:r w:rsidR="006328D0">
        <w:t>60</w:t>
      </w:r>
      <w:r w:rsidR="00565C3D" w:rsidRPr="0050553E">
        <w:t xml:space="preserve"> розділу X цього додатка;</w:t>
      </w:r>
    </w:p>
    <w:p w14:paraId="74BDEFDE" w14:textId="77777777" w:rsidR="00565C3D" w:rsidRPr="0050553E" w:rsidRDefault="0052636F" w:rsidP="00565C3D">
      <w:pPr>
        <w:ind w:right="-1" w:firstLine="567"/>
      </w:pPr>
      <m:oMath>
        <m:sSub>
          <m:sSubPr>
            <m:ctrlPr>
              <w:rPr>
                <w:rFonts w:ascii="Cambria Math" w:hAnsi="Cambria Math"/>
              </w:rPr>
            </m:ctrlPr>
          </m:sSubPr>
          <m:e>
            <m:r>
              <m:rPr>
                <m:sty m:val="p"/>
              </m:rPr>
              <w:rPr>
                <w:rFonts w:ascii="Cambria Math" w:hAnsi="Cambria Math"/>
              </w:rPr>
              <m:t>H3</m:t>
            </m:r>
          </m:e>
          <m:sub>
            <m:r>
              <w:rPr>
                <w:rFonts w:ascii="Cambria Math" w:hAnsi="Cambria Math"/>
              </w:rPr>
              <m:t>min</m:t>
            </m:r>
          </m:sub>
        </m:sSub>
      </m:oMath>
      <w:r w:rsidR="00565C3D" w:rsidRPr="0050553E">
        <w:t xml:space="preserve"> – значення нормативу Н3, встановлені Інструкцією № 368;</w:t>
      </w:r>
    </w:p>
    <w:p w14:paraId="35A80C3D" w14:textId="77777777" w:rsidR="00565C3D" w:rsidRPr="0050553E" w:rsidRDefault="0052636F" w:rsidP="00565C3D">
      <w:pPr>
        <w:ind w:right="-1" w:firstLine="567"/>
      </w:pPr>
      <m:oMath>
        <m:sSub>
          <m:sSubPr>
            <m:ctrlPr>
              <w:rPr>
                <w:rFonts w:ascii="Cambria Math" w:hAnsi="Cambria Math"/>
                <w:i/>
              </w:rPr>
            </m:ctrlPr>
          </m:sSubPr>
          <m:e>
            <m:r>
              <w:rPr>
                <w:rFonts w:ascii="Cambria Math" w:hAnsi="Cambria Math"/>
              </w:rPr>
              <m:t>ОК</m:t>
            </m:r>
          </m:e>
          <m:sub>
            <m:r>
              <w:rPr>
                <w:rFonts w:ascii="Cambria Math" w:hAnsi="Cambria Math"/>
              </w:rPr>
              <m:t>j</m:t>
            </m:r>
          </m:sub>
        </m:sSub>
      </m:oMath>
      <w:r w:rsidR="00565C3D" w:rsidRPr="0050553E">
        <w:t xml:space="preserve"> – розрахований за моделлю СТ розмір основного капіталу банку; </w:t>
      </w:r>
    </w:p>
    <w:p w14:paraId="0AEA4BEB" w14:textId="77777777" w:rsidR="00565C3D" w:rsidRPr="00565C3D" w:rsidRDefault="00565C3D" w:rsidP="00565C3D">
      <w:pPr>
        <w:ind w:right="-1" w:firstLine="567"/>
      </w:pPr>
      <m:oMath>
        <m:r>
          <w:rPr>
            <w:rFonts w:ascii="Cambria Math" w:hAnsi="Cambria Math"/>
          </w:rPr>
          <m:t xml:space="preserve"> j </m:t>
        </m:r>
      </m:oMath>
      <w:r w:rsidRPr="0050553E">
        <w:rPr>
          <w:bCs/>
        </w:rPr>
        <w:t xml:space="preserve">– </w:t>
      </w:r>
      <w:r w:rsidRPr="0050553E">
        <w:t>індекс, що відповідає порядковому номеру прогнозного періоду (t), за яким визначено значення ∆Н3.</w:t>
      </w:r>
      <w:r w:rsidRPr="00565C3D">
        <w:t xml:space="preserve"> </w:t>
      </w:r>
    </w:p>
    <w:p w14:paraId="596F1BFC" w14:textId="77777777" w:rsidR="00565C3D" w:rsidRPr="00565C3D" w:rsidRDefault="00565C3D" w:rsidP="00483885">
      <w:pPr>
        <w:spacing w:before="240" w:after="240"/>
        <w:ind w:firstLine="567"/>
      </w:pPr>
      <w:r w:rsidRPr="00565C3D">
        <w:t xml:space="preserve">Необхідний рівень нормативу Н3 для банку, для якого виникає нульове значення відхилення </w:t>
      </w:r>
      <m:oMath>
        <m:r>
          <m:rPr>
            <m:sty m:val="p"/>
          </m:rPr>
          <w:rPr>
            <w:rFonts w:ascii="Cambria Math" w:hAnsi="Cambria Math"/>
          </w:rPr>
          <m:t>∆Н3</m:t>
        </m:r>
      </m:oMath>
      <w:r w:rsidRPr="00565C3D">
        <w:t>, установлюється на рівні мінімального значення нормативу Н3 з урахуванням обов’язкових буферів капіталу.</w:t>
      </w:r>
    </w:p>
    <w:p w14:paraId="1691736F" w14:textId="77777777" w:rsidR="00565C3D" w:rsidRPr="00565C3D" w:rsidRDefault="00565C3D" w:rsidP="00483885">
      <w:pPr>
        <w:spacing w:before="240" w:after="240"/>
        <w:ind w:firstLine="567"/>
      </w:pPr>
      <w:r w:rsidRPr="00565C3D">
        <w:t>Визначення необхідного рівня Н2 здійснюється на підставі припущення про дотримання банком необхідного рівня нормативу Н3 (</w:t>
      </w:r>
      <m:oMath>
        <m:acc>
          <m:accPr>
            <m:ctrlPr>
              <w:rPr>
                <w:rFonts w:ascii="Cambria Math" w:hAnsi="Cambria Math"/>
              </w:rPr>
            </m:ctrlPr>
          </m:accPr>
          <m:e>
            <m:r>
              <w:rPr>
                <w:rFonts w:ascii="Cambria Math" w:hAnsi="Cambria Math"/>
              </w:rPr>
              <m:t>H</m:t>
            </m:r>
            <m:r>
              <m:rPr>
                <m:sty m:val="p"/>
              </m:rPr>
              <w:rPr>
                <w:rFonts w:ascii="Cambria Math" w:hAnsi="Cambria Math"/>
              </w:rPr>
              <m:t>3)</m:t>
            </m:r>
          </m:e>
        </m:acc>
      </m:oMath>
      <w:r w:rsidRPr="00565C3D">
        <w:t>. Для цього в моделі СТ збільшується сума ОК банку для дотримання ним необхідного рівня. Після цього для банку визначається найбільший рівень відхилення (зниження) нормативу Н2 стосовно його граничного рівня для кожного з років прогнозного періоду за базовим макроекономічним сценарієм та двох граничних рівнів:</w:t>
      </w:r>
    </w:p>
    <w:p w14:paraId="6506177A" w14:textId="77777777" w:rsidR="00565C3D" w:rsidRPr="00565C3D" w:rsidRDefault="00565C3D" w:rsidP="00483885">
      <w:pPr>
        <w:spacing w:before="240" w:after="240"/>
        <w:jc w:val="center"/>
        <w:rPr>
          <w:bCs/>
        </w:rPr>
      </w:pPr>
      <m:oMath>
        <m:r>
          <w:rPr>
            <w:rFonts w:ascii="Cambria Math" w:hAnsi="Cambria Math"/>
          </w:rPr>
          <m:t xml:space="preserve">∆Н2= </m:t>
        </m:r>
        <m:func>
          <m:funcPr>
            <m:ctrlPr>
              <w:rPr>
                <w:rFonts w:ascii="Cambria Math" w:hAnsi="Cambria Math"/>
                <w:i/>
              </w:rPr>
            </m:ctrlPr>
          </m:funcPr>
          <m:fName>
            <m:r>
              <m:rPr>
                <m:sty m:val="p"/>
              </m:rPr>
              <w:rPr>
                <w:rFonts w:ascii="Cambria Math" w:hAnsi="Cambria Math"/>
              </w:rPr>
              <m:t xml:space="preserve">max </m:t>
            </m:r>
            <m:r>
              <w:rPr>
                <w:rFonts w:ascii="Cambria Math" w:hAnsi="Cambria Math"/>
              </w:rPr>
              <m:t>[</m:t>
            </m:r>
            <m:limLow>
              <m:limLowPr>
                <m:ctrlPr>
                  <w:rPr>
                    <w:rFonts w:ascii="Cambria Math" w:hAnsi="Cambria Math"/>
                    <w:i/>
                  </w:rPr>
                </m:ctrlPr>
              </m:limLowPr>
              <m:e>
                <m:r>
                  <m:rPr>
                    <m:sty m:val="p"/>
                  </m:rPr>
                  <w:rPr>
                    <w:rFonts w:ascii="Cambria Math" w:hAnsi="Cambria Math"/>
                  </w:rPr>
                  <m:t>max</m:t>
                </m:r>
              </m:e>
              <m:lim>
                <m:r>
                  <w:rPr>
                    <w:rFonts w:ascii="Cambria Math" w:hAnsi="Cambria Math"/>
                  </w:rPr>
                  <m:t>t</m:t>
                </m:r>
              </m:lim>
            </m:limLow>
          </m:fName>
          <m:e>
            <m:r>
              <w:rPr>
                <w:rFonts w:ascii="Cambria Math" w:hAnsi="Cambria Math"/>
              </w:rPr>
              <m:t>(</m:t>
            </m:r>
            <m:sSub>
              <m:sSubPr>
                <m:ctrlPr>
                  <w:rPr>
                    <w:rFonts w:ascii="Cambria Math" w:hAnsi="Cambria Math"/>
                  </w:rPr>
                </m:ctrlPr>
              </m:sSubPr>
              <m:e>
                <m:sSub>
                  <m:sSubPr>
                    <m:ctrlPr>
                      <w:rPr>
                        <w:rFonts w:ascii="Cambria Math" w:hAnsi="Cambria Math"/>
                      </w:rPr>
                    </m:ctrlPr>
                  </m:sSubPr>
                  <m:e>
                    <m:r>
                      <m:rPr>
                        <m:sty m:val="p"/>
                      </m:rPr>
                      <w:rPr>
                        <w:rFonts w:ascii="Cambria Math" w:hAnsi="Cambria Math"/>
                      </w:rPr>
                      <m:t>H2</m:t>
                    </m:r>
                  </m:e>
                  <m:sub>
                    <m:r>
                      <w:rPr>
                        <w:rFonts w:ascii="Cambria Math" w:hAnsi="Cambria Math"/>
                      </w:rPr>
                      <m:t>гр</m:t>
                    </m:r>
                  </m:sub>
                </m:sSub>
              </m:e>
              <m:sub>
                <m:r>
                  <w:rPr>
                    <w:rFonts w:ascii="Cambria Math" w:hAnsi="Cambria Math"/>
                  </w:rPr>
                  <m:t>t</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H2</m:t>
                </m:r>
              </m:e>
              <m:sub>
                <m:r>
                  <w:rPr>
                    <w:rFonts w:ascii="Cambria Math" w:hAnsi="Cambria Math"/>
                  </w:rPr>
                  <m:t>t</m:t>
                </m:r>
              </m:sub>
            </m:sSub>
            <m:r>
              <w:rPr>
                <w:rFonts w:ascii="Cambria Math" w:hAnsi="Cambria Math"/>
              </w:rPr>
              <m:t>);0]</m:t>
            </m:r>
          </m:e>
        </m:func>
      </m:oMath>
      <w:r w:rsidRPr="00565C3D">
        <w:rPr>
          <w:bCs/>
        </w:rPr>
        <w:t>,    (20)</w:t>
      </w:r>
    </w:p>
    <w:p w14:paraId="35BF9F54" w14:textId="77777777" w:rsidR="00565C3D" w:rsidRPr="00565C3D" w:rsidRDefault="00565C3D" w:rsidP="00A97388">
      <w:pPr>
        <w:ind w:left="567" w:right="-1" w:hanging="567"/>
      </w:pPr>
      <w:r w:rsidRPr="00565C3D">
        <w:t xml:space="preserve">де  </w:t>
      </w:r>
      <w:r w:rsidR="0050553E">
        <w:t xml:space="preserve"> </w:t>
      </w:r>
      <w:r w:rsidRPr="00565C3D">
        <w:t xml:space="preserve"> </w:t>
      </w:r>
      <m:oMath>
        <m:sSub>
          <m:sSubPr>
            <m:ctrlPr>
              <w:rPr>
                <w:rFonts w:ascii="Cambria Math" w:hAnsi="Cambria Math"/>
                <w:bCs/>
                <w:i/>
              </w:rPr>
            </m:ctrlPr>
          </m:sSubPr>
          <m:e>
            <m:r>
              <m:rPr>
                <m:sty m:val="p"/>
              </m:rPr>
              <w:rPr>
                <w:rFonts w:ascii="Cambria Math" w:hAnsi="Cambria Math"/>
              </w:rPr>
              <m:t>H2</m:t>
            </m:r>
          </m:e>
          <m:sub>
            <m:r>
              <w:rPr>
                <w:rFonts w:ascii="Cambria Math" w:hAnsi="Cambria Math"/>
              </w:rPr>
              <m:t>гр</m:t>
            </m:r>
          </m:sub>
        </m:sSub>
      </m:oMath>
      <w:r w:rsidRPr="00565C3D">
        <w:t xml:space="preserve"> –</w:t>
      </w:r>
      <w:r w:rsidR="00A97388">
        <w:t xml:space="preserve"> граничний рівень нормативу Н2;</w:t>
      </w:r>
    </w:p>
    <w:p w14:paraId="13502499" w14:textId="77777777" w:rsidR="00565C3D" w:rsidRPr="00565C3D" w:rsidRDefault="0052636F" w:rsidP="00A97388">
      <w:pPr>
        <w:ind w:left="567" w:right="-1"/>
      </w:pPr>
      <m:oMath>
        <m:sSub>
          <m:sSubPr>
            <m:ctrlPr>
              <w:rPr>
                <w:rFonts w:ascii="Cambria Math" w:hAnsi="Cambria Math"/>
                <w:bCs/>
                <w:i/>
              </w:rPr>
            </m:ctrlPr>
          </m:sSubPr>
          <m:e>
            <m:r>
              <m:rPr>
                <m:sty m:val="p"/>
              </m:rPr>
              <w:rPr>
                <w:rFonts w:ascii="Cambria Math" w:hAnsi="Cambria Math"/>
              </w:rPr>
              <m:t>H2</m:t>
            </m:r>
          </m:e>
          <m:sub>
            <m:r>
              <w:rPr>
                <w:rFonts w:ascii="Cambria Math" w:hAnsi="Cambria Math"/>
              </w:rPr>
              <m:t>t</m:t>
            </m:r>
          </m:sub>
        </m:sSub>
      </m:oMath>
      <w:r w:rsidR="00565C3D" w:rsidRPr="00702B68">
        <w:t xml:space="preserve"> </w:t>
      </w:r>
      <w:r w:rsidR="00565C3D" w:rsidRPr="00565C3D">
        <w:t>– розрахований за моделлю СТ рівень нормативу Н2;</w:t>
      </w:r>
    </w:p>
    <w:p w14:paraId="0498B536" w14:textId="77777777" w:rsidR="00565C3D" w:rsidRPr="00565C3D" w:rsidRDefault="00565C3D" w:rsidP="00702B68">
      <w:pPr>
        <w:ind w:left="567" w:right="-1"/>
      </w:pPr>
      <w:r w:rsidRPr="00565C3D">
        <w:t xml:space="preserve">t – порядковий номер прогнозного періоду. </w:t>
      </w:r>
    </w:p>
    <w:p w14:paraId="716C91DC" w14:textId="77777777" w:rsidR="00565C3D" w:rsidRPr="0050553E" w:rsidRDefault="00565C3D" w:rsidP="00483885">
      <w:pPr>
        <w:spacing w:before="240" w:after="240"/>
        <w:ind w:firstLine="567"/>
      </w:pPr>
      <w:r w:rsidRPr="00565C3D">
        <w:t xml:space="preserve">Необхідний рівень Н2 для банку, для якого виникає ненульове значення відхилення </w:t>
      </w:r>
      <m:oMath>
        <m:r>
          <m:rPr>
            <m:sty m:val="p"/>
          </m:rPr>
          <w:rPr>
            <w:rFonts w:ascii="Cambria Math" w:hAnsi="Cambria Math"/>
          </w:rPr>
          <m:t>∆Н3</m:t>
        </m:r>
      </m:oMath>
      <w:r w:rsidRPr="00565C3D">
        <w:t xml:space="preserve"> або </w:t>
      </w:r>
      <m:oMath>
        <m:r>
          <m:rPr>
            <m:sty m:val="p"/>
          </m:rPr>
          <w:rPr>
            <w:rFonts w:ascii="Cambria Math" w:hAnsi="Cambria Math"/>
          </w:rPr>
          <m:t>∆Н2</m:t>
        </m:r>
      </m:oMath>
      <w:r w:rsidRPr="00565C3D">
        <w:t>, ус</w:t>
      </w:r>
      <w:r w:rsidRPr="0050553E">
        <w:t xml:space="preserve">тановлюється на рівні розрахункового нормативу </w:t>
      </w:r>
      <m:oMath>
        <m:acc>
          <m:accPr>
            <m:ctrlPr>
              <w:rPr>
                <w:rFonts w:ascii="Cambria Math" w:hAnsi="Cambria Math"/>
              </w:rPr>
            </m:ctrlPr>
          </m:accPr>
          <m:e>
            <m:r>
              <w:rPr>
                <w:rFonts w:ascii="Cambria Math" w:hAnsi="Cambria Math"/>
              </w:rPr>
              <m:t>H</m:t>
            </m:r>
            <m:r>
              <m:rPr>
                <m:sty m:val="p"/>
              </m:rPr>
              <w:rPr>
                <w:rFonts w:ascii="Cambria Math" w:hAnsi="Cambria Math"/>
              </w:rPr>
              <m:t>2</m:t>
            </m:r>
          </m:e>
        </m:acc>
      </m:oMath>
      <w:r w:rsidRPr="0050553E">
        <w:t xml:space="preserve">, що визначається </w:t>
      </w:r>
      <w:r w:rsidR="00216287">
        <w:t>за такою формулою</w:t>
      </w:r>
      <w:r w:rsidRPr="0050553E">
        <w:t xml:space="preserve">: </w:t>
      </w:r>
    </w:p>
    <w:p w14:paraId="6D249C6E" w14:textId="77777777" w:rsidR="00DD0520" w:rsidRPr="00565C3D" w:rsidRDefault="0052636F" w:rsidP="00483885">
      <w:pPr>
        <w:spacing w:before="240" w:after="240"/>
        <w:ind w:right="-1" w:firstLine="437"/>
        <w:jc w:val="center"/>
      </w:pPr>
      <m:oMath>
        <m:acc>
          <m:accPr>
            <m:ctrlPr>
              <w:rPr>
                <w:rFonts w:ascii="Cambria Math" w:hAnsi="Cambria Math"/>
              </w:rPr>
            </m:ctrlPr>
          </m:accPr>
          <m:e>
            <m:r>
              <m:rPr>
                <m:sty m:val="p"/>
              </m:rPr>
              <w:rPr>
                <w:rFonts w:ascii="Cambria Math" w:hAnsi="Cambria Math"/>
              </w:rPr>
              <m:t>H2</m:t>
            </m:r>
          </m:e>
        </m:acc>
        <m:r>
          <m:rPr>
            <m:sty m:val="p"/>
          </m:rPr>
          <w:rPr>
            <w:rFonts w:ascii="Cambria Math" w:hAnsi="Cambria Math"/>
          </w:rPr>
          <m:t>=</m:t>
        </m:r>
        <m:func>
          <m:funcPr>
            <m:ctrlPr>
              <w:rPr>
                <w:rFonts w:ascii="Cambria Math" w:hAnsi="Cambria Math"/>
              </w:rPr>
            </m:ctrlPr>
          </m:funcPr>
          <m:fName>
            <m:r>
              <m:rPr>
                <m:sty m:val="p"/>
              </m:rPr>
              <w:rPr>
                <w:rFonts w:ascii="Cambria Math" w:hAnsi="Cambria Math"/>
              </w:rPr>
              <m:t>max</m:t>
            </m:r>
          </m:fName>
          <m:e>
            <m:d>
              <m:dPr>
                <m:ctrlPr>
                  <w:rPr>
                    <w:rFonts w:ascii="Cambria Math" w:hAnsi="Cambria Math"/>
                  </w:rPr>
                </m:ctrlPr>
              </m:dPr>
              <m:e>
                <m:acc>
                  <m:accPr>
                    <m:ctrlPr>
                      <w:rPr>
                        <w:rFonts w:ascii="Cambria Math" w:hAnsi="Cambria Math"/>
                      </w:rPr>
                    </m:ctrlPr>
                  </m:accPr>
                  <m:e>
                    <m:r>
                      <m:rPr>
                        <m:sty m:val="p"/>
                      </m:rPr>
                      <w:rPr>
                        <w:rFonts w:ascii="Cambria Math" w:hAnsi="Cambria Math"/>
                      </w:rPr>
                      <m:t>H3</m:t>
                    </m:r>
                  </m:e>
                </m:acc>
                <m:r>
                  <m:rPr>
                    <m:sty m:val="p"/>
                  </m:rPr>
                  <w:rPr>
                    <w:rFonts w:ascii="Cambria Math" w:hAnsi="Cambria Math"/>
                  </w:rPr>
                  <m:t>+</m:t>
                </m:r>
                <m:sSub>
                  <m:sSubPr>
                    <m:ctrlPr>
                      <w:rPr>
                        <w:rFonts w:ascii="Cambria Math" w:hAnsi="Cambria Math"/>
                      </w:rPr>
                    </m:ctrlPr>
                  </m:sSubPr>
                  <m:e>
                    <m:r>
                      <m:rPr>
                        <m:sty m:val="p"/>
                      </m:rPr>
                      <w:rPr>
                        <w:rFonts w:ascii="Cambria Math" w:hAnsi="Cambria Math"/>
                      </w:rPr>
                      <m:t>(H2</m:t>
                    </m:r>
                  </m:e>
                  <m:sub>
                    <m:r>
                      <w:rPr>
                        <w:rFonts w:ascii="Cambria Math" w:hAnsi="Cambria Math"/>
                      </w:rPr>
                      <m:t>min</m:t>
                    </m:r>
                  </m:sub>
                </m:sSub>
                <m:r>
                  <w:rPr>
                    <w:rFonts w:ascii="Cambria Math" w:hAnsi="Cambria Math"/>
                  </w:rPr>
                  <m:t>-</m:t>
                </m:r>
                <m:sSub>
                  <m:sSubPr>
                    <m:ctrlPr>
                      <w:rPr>
                        <w:rFonts w:ascii="Cambria Math" w:hAnsi="Cambria Math"/>
                      </w:rPr>
                    </m:ctrlPr>
                  </m:sSubPr>
                  <m:e>
                    <m:r>
                      <m:rPr>
                        <m:sty m:val="p"/>
                      </m:rPr>
                      <w:rPr>
                        <w:rFonts w:ascii="Cambria Math" w:hAnsi="Cambria Math"/>
                      </w:rPr>
                      <m:t>H3</m:t>
                    </m:r>
                  </m:e>
                  <m:sub>
                    <m:r>
                      <w:rPr>
                        <w:rFonts w:ascii="Cambria Math" w:hAnsi="Cambria Math"/>
                      </w:rPr>
                      <m:t>min</m:t>
                    </m:r>
                  </m:sub>
                </m:sSub>
                <m:r>
                  <w:rPr>
                    <w:rFonts w:ascii="Cambria Math" w:hAnsi="Cambria Math"/>
                  </w:rPr>
                  <m:t>)</m:t>
                </m:r>
                <m:r>
                  <m:rPr>
                    <m:sty m:val="p"/>
                  </m:rPr>
                  <w:rPr>
                    <w:rFonts w:ascii="Cambria Math" w:hAnsi="Cambria Math"/>
                  </w:rPr>
                  <m:t>;</m:t>
                </m:r>
                <m:sSub>
                  <m:sSubPr>
                    <m:ctrlPr>
                      <w:rPr>
                        <w:rFonts w:ascii="Cambria Math" w:hAnsi="Cambria Math"/>
                      </w:rPr>
                    </m:ctrlPr>
                  </m:sSubPr>
                  <m:e>
                    <m:r>
                      <m:rPr>
                        <m:sty m:val="p"/>
                      </m:rPr>
                      <w:rPr>
                        <w:rFonts w:ascii="Cambria Math" w:hAnsi="Cambria Math"/>
                      </w:rPr>
                      <m:t>H2</m:t>
                    </m:r>
                  </m:e>
                  <m:sub>
                    <m:r>
                      <w:rPr>
                        <w:rFonts w:ascii="Cambria Math" w:hAnsi="Cambria Math"/>
                      </w:rPr>
                      <m:t>min</m:t>
                    </m:r>
                  </m:sub>
                </m:sSub>
              </m:e>
            </m:d>
          </m:e>
        </m:func>
      </m:oMath>
      <w:r w:rsidR="00DD0520" w:rsidRPr="0050553E">
        <w:t>,   (21)</w:t>
      </w:r>
    </w:p>
    <w:p w14:paraId="30921D60" w14:textId="77777777" w:rsidR="00565C3D" w:rsidRDefault="00565C3D" w:rsidP="00702B68">
      <w:r w:rsidRPr="00565C3D">
        <w:t xml:space="preserve">де </w:t>
      </w:r>
      <w:r w:rsidR="0050553E">
        <w:t xml:space="preserve"> </w:t>
      </w:r>
      <w:r w:rsidRPr="00565C3D">
        <w:t xml:space="preserve"> </w:t>
      </w:r>
      <m:oMath>
        <m:acc>
          <m:accPr>
            <m:ctrlPr>
              <w:rPr>
                <w:rFonts w:ascii="Cambria Math" w:hAnsi="Cambria Math"/>
              </w:rPr>
            </m:ctrlPr>
          </m:accPr>
          <m:e>
            <m:r>
              <m:rPr>
                <m:sty m:val="p"/>
              </m:rPr>
              <w:rPr>
                <w:rFonts w:ascii="Cambria Math" w:hAnsi="Cambria Math"/>
              </w:rPr>
              <m:t>H3</m:t>
            </m:r>
          </m:e>
        </m:acc>
      </m:oMath>
      <w:r w:rsidRPr="00565C3D">
        <w:t xml:space="preserve"> – необхідний рівень нормативу Н3 для банку, визначений за базовим сценарієм;</w:t>
      </w:r>
    </w:p>
    <w:p w14:paraId="707DB7A0" w14:textId="77777777" w:rsidR="001954D0" w:rsidRDefault="0052636F" w:rsidP="00702B68">
      <w:pPr>
        <w:ind w:firstLine="567"/>
        <w:rPr>
          <w:lang w:val="ru-RU"/>
        </w:rPr>
      </w:pPr>
      <m:oMath>
        <m:sSub>
          <m:sSubPr>
            <m:ctrlPr>
              <w:rPr>
                <w:rFonts w:ascii="Cambria Math" w:hAnsi="Cambria Math"/>
              </w:rPr>
            </m:ctrlPr>
          </m:sSubPr>
          <m:e>
            <m:r>
              <m:rPr>
                <m:sty m:val="p"/>
              </m:rPr>
              <w:rPr>
                <w:rFonts w:ascii="Cambria Math" w:hAnsi="Cambria Math"/>
              </w:rPr>
              <m:t>H2</m:t>
            </m:r>
          </m:e>
          <m:sub>
            <m:r>
              <w:rPr>
                <w:rFonts w:ascii="Cambria Math" w:hAnsi="Cambria Math"/>
              </w:rPr>
              <m:t>min</m:t>
            </m:r>
          </m:sub>
        </m:sSub>
        <m:r>
          <m:rPr>
            <m:sty m:val="p"/>
          </m:rPr>
          <w:rPr>
            <w:rFonts w:ascii="Cambria Math" w:hAnsi="Cambria Math"/>
          </w:rPr>
          <m:t xml:space="preserve"> </m:t>
        </m:r>
      </m:oMath>
      <w:r w:rsidR="001954D0">
        <w:t xml:space="preserve"> </w:t>
      </w:r>
      <w:r w:rsidR="001954D0">
        <w:rPr>
          <w:lang w:val="ru-RU"/>
        </w:rPr>
        <w:t xml:space="preserve">– </w:t>
      </w:r>
      <w:r w:rsidR="001954D0" w:rsidRPr="001954D0">
        <w:t>значення нормативу Н2, встановлені Інструкцією № 368</w:t>
      </w:r>
      <w:r w:rsidR="001954D0" w:rsidRPr="001954D0">
        <w:rPr>
          <w:lang w:val="ru-RU"/>
        </w:rPr>
        <w:t>;</w:t>
      </w:r>
    </w:p>
    <w:p w14:paraId="21FA6778" w14:textId="77777777" w:rsidR="001954D0" w:rsidRPr="001954D0" w:rsidRDefault="0052636F" w:rsidP="001954D0">
      <w:pPr>
        <w:ind w:firstLine="567"/>
      </w:pPr>
      <m:oMath>
        <m:sSub>
          <m:sSubPr>
            <m:ctrlPr>
              <w:rPr>
                <w:rFonts w:ascii="Cambria Math" w:hAnsi="Cambria Math"/>
              </w:rPr>
            </m:ctrlPr>
          </m:sSubPr>
          <m:e>
            <m:r>
              <m:rPr>
                <m:sty m:val="p"/>
              </m:rPr>
              <w:rPr>
                <w:rFonts w:ascii="Cambria Math" w:hAnsi="Cambria Math"/>
              </w:rPr>
              <m:t>H3</m:t>
            </m:r>
          </m:e>
          <m:sub>
            <m:r>
              <w:rPr>
                <w:rFonts w:ascii="Cambria Math" w:hAnsi="Cambria Math"/>
              </w:rPr>
              <m:t>min</m:t>
            </m:r>
          </m:sub>
        </m:sSub>
        <m:r>
          <m:rPr>
            <m:sty m:val="p"/>
          </m:rPr>
          <w:rPr>
            <w:rFonts w:ascii="Cambria Math" w:hAnsi="Cambria Math"/>
          </w:rPr>
          <m:t xml:space="preserve"> </m:t>
        </m:r>
      </m:oMath>
      <w:r w:rsidR="001954D0">
        <w:t xml:space="preserve"> </w:t>
      </w:r>
      <w:r w:rsidR="001954D0" w:rsidRPr="001954D0">
        <w:rPr>
          <w:lang w:val="ru-RU"/>
        </w:rPr>
        <w:t xml:space="preserve">– </w:t>
      </w:r>
      <w:r w:rsidR="001954D0" w:rsidRPr="001954D0">
        <w:t>значення нормативу Н3,</w:t>
      </w:r>
      <w:r w:rsidR="001954D0">
        <w:t xml:space="preserve"> </w:t>
      </w:r>
      <w:r w:rsidR="001954D0" w:rsidRPr="001954D0">
        <w:t>встановлені Інструкцією № 368.</w:t>
      </w:r>
    </w:p>
    <w:p w14:paraId="1E602144" w14:textId="77777777" w:rsidR="00565C3D" w:rsidRPr="00565C3D" w:rsidRDefault="00565C3D" w:rsidP="001954D0">
      <w:pPr>
        <w:spacing w:before="120"/>
        <w:ind w:firstLine="567"/>
      </w:pPr>
      <w:r w:rsidRPr="00565C3D">
        <w:t xml:space="preserve">Необхідний рівень нормативу Н2 для банку, для якого виникає нульове значення відхилення </w:t>
      </w:r>
      <m:oMath>
        <m:r>
          <m:rPr>
            <m:sty m:val="p"/>
          </m:rPr>
          <w:rPr>
            <w:rFonts w:ascii="Cambria Math" w:hAnsi="Cambria Math"/>
          </w:rPr>
          <m:t>∆Н3</m:t>
        </m:r>
      </m:oMath>
      <w:r w:rsidRPr="00565C3D">
        <w:t xml:space="preserve"> та </w:t>
      </w:r>
      <m:oMath>
        <m:r>
          <m:rPr>
            <m:sty m:val="p"/>
          </m:rPr>
          <w:rPr>
            <w:rFonts w:ascii="Cambria Math" w:hAnsi="Cambria Math"/>
          </w:rPr>
          <m:t>∆Н2</m:t>
        </m:r>
      </m:oMath>
      <w:r w:rsidRPr="00565C3D">
        <w:t>, установлюється на рівні значення нормативу Н2.</w:t>
      </w:r>
    </w:p>
    <w:p w14:paraId="68E8E9CB" w14:textId="77777777" w:rsidR="00565C3D" w:rsidRPr="00565C3D" w:rsidRDefault="00565C3D" w:rsidP="00565C3D">
      <w:pPr>
        <w:ind w:firstLine="680"/>
        <w:jc w:val="right"/>
      </w:pPr>
      <w:r w:rsidRPr="00565C3D">
        <w:lastRenderedPageBreak/>
        <w:t>Таблиця 6</w:t>
      </w:r>
    </w:p>
    <w:p w14:paraId="4A5E0483" w14:textId="77777777" w:rsidR="00565C3D" w:rsidRPr="00565C3D" w:rsidRDefault="00565C3D" w:rsidP="00565C3D">
      <w:pPr>
        <w:jc w:val="center"/>
      </w:pPr>
      <w:r w:rsidRPr="00565C3D">
        <w:t>Граничні значення нормативів Н2 і Н3</w:t>
      </w:r>
    </w:p>
    <w:p w14:paraId="13DFE16C" w14:textId="77777777" w:rsidR="00565C3D" w:rsidRPr="00565C3D" w:rsidRDefault="00565C3D" w:rsidP="00565C3D">
      <w:pPr>
        <w:jc w:val="right"/>
      </w:pPr>
      <w:r w:rsidRPr="00565C3D">
        <w:t>(відсотки)</w:t>
      </w:r>
    </w:p>
    <w:tbl>
      <w:tblPr>
        <w:tblW w:w="9497" w:type="dxa"/>
        <w:tblInd w:w="-5" w:type="dxa"/>
        <w:tblLook w:val="04A0" w:firstRow="1" w:lastRow="0" w:firstColumn="1" w:lastColumn="0" w:noHBand="0" w:noVBand="1"/>
      </w:tblPr>
      <w:tblGrid>
        <w:gridCol w:w="567"/>
        <w:gridCol w:w="1843"/>
        <w:gridCol w:w="1177"/>
        <w:gridCol w:w="1107"/>
        <w:gridCol w:w="1118"/>
        <w:gridCol w:w="1334"/>
        <w:gridCol w:w="1234"/>
        <w:gridCol w:w="1117"/>
      </w:tblGrid>
      <w:tr w:rsidR="00565C3D" w:rsidRPr="00565C3D" w14:paraId="7F9293F8" w14:textId="77777777" w:rsidTr="00F04949">
        <w:trPr>
          <w:trHeight w:val="309"/>
        </w:trPr>
        <w:tc>
          <w:tcPr>
            <w:tcW w:w="567" w:type="dxa"/>
            <w:vMerge w:val="restart"/>
            <w:tcBorders>
              <w:top w:val="single" w:sz="4" w:space="0" w:color="auto"/>
              <w:left w:val="single" w:sz="4" w:space="0" w:color="auto"/>
              <w:right w:val="single" w:sz="4" w:space="0" w:color="auto"/>
            </w:tcBorders>
            <w:vAlign w:val="center"/>
          </w:tcPr>
          <w:p w14:paraId="0ED798D2" w14:textId="77777777" w:rsidR="00565C3D" w:rsidRPr="00565C3D" w:rsidRDefault="00565C3D" w:rsidP="00565C3D">
            <w:pPr>
              <w:jc w:val="center"/>
              <w:rPr>
                <w:lang w:eastAsia="ru-RU"/>
              </w:rPr>
            </w:pPr>
            <w:r w:rsidRPr="00565C3D">
              <w:rPr>
                <w:bCs/>
              </w:rPr>
              <w:t>№ з/п</w:t>
            </w:r>
          </w:p>
        </w:tc>
        <w:tc>
          <w:tcPr>
            <w:tcW w:w="1843" w:type="dxa"/>
            <w:vMerge w:val="restart"/>
            <w:tcBorders>
              <w:top w:val="single" w:sz="4" w:space="0" w:color="auto"/>
              <w:left w:val="single" w:sz="4" w:space="0" w:color="auto"/>
              <w:bottom w:val="single" w:sz="4" w:space="0" w:color="auto"/>
              <w:right w:val="single" w:sz="4" w:space="0" w:color="auto"/>
            </w:tcBorders>
            <w:noWrap/>
            <w:vAlign w:val="center"/>
            <w:hideMark/>
          </w:tcPr>
          <w:p w14:paraId="000E66B1" w14:textId="77777777" w:rsidR="00565C3D" w:rsidRPr="00565C3D" w:rsidRDefault="00565C3D" w:rsidP="00565C3D">
            <w:pPr>
              <w:jc w:val="center"/>
              <w:rPr>
                <w:lang w:eastAsia="ru-RU"/>
              </w:rPr>
            </w:pPr>
            <w:r w:rsidRPr="00565C3D">
              <w:rPr>
                <w:lang w:eastAsia="ru-RU"/>
              </w:rPr>
              <w:t>Економічні нормативи</w:t>
            </w:r>
          </w:p>
        </w:tc>
        <w:tc>
          <w:tcPr>
            <w:tcW w:w="3402" w:type="dxa"/>
            <w:gridSpan w:val="3"/>
            <w:tcBorders>
              <w:top w:val="single" w:sz="4" w:space="0" w:color="auto"/>
              <w:left w:val="nil"/>
              <w:bottom w:val="single" w:sz="4" w:space="0" w:color="auto"/>
              <w:right w:val="single" w:sz="4" w:space="0" w:color="auto"/>
            </w:tcBorders>
            <w:noWrap/>
            <w:hideMark/>
          </w:tcPr>
          <w:p w14:paraId="438642D5" w14:textId="77777777" w:rsidR="00565C3D" w:rsidRPr="00565C3D" w:rsidRDefault="00565C3D" w:rsidP="00565C3D">
            <w:pPr>
              <w:jc w:val="center"/>
              <w:rPr>
                <w:lang w:eastAsia="ru-RU"/>
              </w:rPr>
            </w:pPr>
            <w:r w:rsidRPr="00565C3D">
              <w:t>Нульовий рівень</w:t>
            </w:r>
          </w:p>
        </w:tc>
        <w:tc>
          <w:tcPr>
            <w:tcW w:w="3685" w:type="dxa"/>
            <w:gridSpan w:val="3"/>
            <w:tcBorders>
              <w:top w:val="single" w:sz="4" w:space="0" w:color="auto"/>
              <w:left w:val="nil"/>
              <w:bottom w:val="single" w:sz="4" w:space="0" w:color="auto"/>
              <w:right w:val="single" w:sz="4" w:space="0" w:color="auto"/>
            </w:tcBorders>
            <w:noWrap/>
            <w:hideMark/>
          </w:tcPr>
          <w:p w14:paraId="10BEB781" w14:textId="77777777" w:rsidR="00565C3D" w:rsidRPr="00565C3D" w:rsidRDefault="00565C3D" w:rsidP="00565C3D">
            <w:pPr>
              <w:jc w:val="center"/>
              <w:rPr>
                <w:lang w:eastAsia="ru-RU"/>
              </w:rPr>
            </w:pPr>
            <w:r w:rsidRPr="00565C3D">
              <w:t>Нормативні рівні</w:t>
            </w:r>
          </w:p>
        </w:tc>
      </w:tr>
      <w:tr w:rsidR="00565C3D" w:rsidRPr="00565C3D" w14:paraId="35493598" w14:textId="77777777" w:rsidTr="00F04949">
        <w:trPr>
          <w:trHeight w:val="618"/>
        </w:trPr>
        <w:tc>
          <w:tcPr>
            <w:tcW w:w="567" w:type="dxa"/>
            <w:vMerge/>
            <w:tcBorders>
              <w:left w:val="single" w:sz="4" w:space="0" w:color="auto"/>
              <w:bottom w:val="single" w:sz="4" w:space="0" w:color="auto"/>
              <w:right w:val="single" w:sz="4" w:space="0" w:color="auto"/>
            </w:tcBorders>
          </w:tcPr>
          <w:p w14:paraId="35439591" w14:textId="77777777" w:rsidR="00565C3D" w:rsidRPr="00565C3D" w:rsidRDefault="00565C3D" w:rsidP="00565C3D">
            <w:pPr>
              <w:rPr>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7CCDBAE8" w14:textId="77777777" w:rsidR="00565C3D" w:rsidRPr="00565C3D" w:rsidRDefault="00565C3D" w:rsidP="00565C3D">
            <w:pPr>
              <w:rPr>
                <w:lang w:eastAsia="ru-RU"/>
              </w:rPr>
            </w:pPr>
          </w:p>
        </w:tc>
        <w:tc>
          <w:tcPr>
            <w:tcW w:w="3402" w:type="dxa"/>
            <w:gridSpan w:val="3"/>
            <w:tcBorders>
              <w:top w:val="nil"/>
              <w:left w:val="nil"/>
              <w:bottom w:val="single" w:sz="4" w:space="0" w:color="auto"/>
              <w:right w:val="single" w:sz="4" w:space="0" w:color="auto"/>
            </w:tcBorders>
            <w:vAlign w:val="center"/>
          </w:tcPr>
          <w:p w14:paraId="7B88514F" w14:textId="77777777" w:rsidR="00565C3D" w:rsidRPr="00565C3D" w:rsidRDefault="006B19D7" w:rsidP="00565C3D">
            <w:pPr>
              <w:jc w:val="center"/>
            </w:pPr>
            <w:r>
              <w:t>п</w:t>
            </w:r>
            <w:r w:rsidR="00565C3D" w:rsidRPr="00565C3D">
              <w:t>рогнозні періоди (роки)</w:t>
            </w:r>
          </w:p>
        </w:tc>
        <w:tc>
          <w:tcPr>
            <w:tcW w:w="3685" w:type="dxa"/>
            <w:gridSpan w:val="3"/>
            <w:tcBorders>
              <w:top w:val="nil"/>
              <w:left w:val="nil"/>
              <w:bottom w:val="single" w:sz="4" w:space="0" w:color="auto"/>
              <w:right w:val="single" w:sz="4" w:space="0" w:color="auto"/>
            </w:tcBorders>
            <w:vAlign w:val="center"/>
          </w:tcPr>
          <w:p w14:paraId="37A44DCB" w14:textId="77777777" w:rsidR="00565C3D" w:rsidRPr="00565C3D" w:rsidRDefault="006B19D7" w:rsidP="00565C3D">
            <w:pPr>
              <w:jc w:val="center"/>
            </w:pPr>
            <w:r>
              <w:t>п</w:t>
            </w:r>
            <w:r w:rsidR="00565C3D" w:rsidRPr="00565C3D">
              <w:t>рогнозні періоди (роки)</w:t>
            </w:r>
          </w:p>
        </w:tc>
      </w:tr>
      <w:tr w:rsidR="00565C3D" w:rsidRPr="00565C3D" w14:paraId="67F51AF1" w14:textId="77777777" w:rsidTr="00F04949">
        <w:trPr>
          <w:trHeight w:val="618"/>
        </w:trPr>
        <w:tc>
          <w:tcPr>
            <w:tcW w:w="567" w:type="dxa"/>
            <w:vMerge/>
            <w:tcBorders>
              <w:left w:val="single" w:sz="4" w:space="0" w:color="auto"/>
              <w:bottom w:val="single" w:sz="4" w:space="0" w:color="auto"/>
              <w:right w:val="single" w:sz="4" w:space="0" w:color="auto"/>
            </w:tcBorders>
          </w:tcPr>
          <w:p w14:paraId="5499E1AF" w14:textId="77777777" w:rsidR="00565C3D" w:rsidRPr="00565C3D" w:rsidRDefault="00565C3D" w:rsidP="00565C3D">
            <w:pPr>
              <w:rPr>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E73CBC5" w14:textId="77777777" w:rsidR="00565C3D" w:rsidRPr="00565C3D" w:rsidRDefault="00565C3D" w:rsidP="00565C3D">
            <w:pPr>
              <w:rPr>
                <w:lang w:eastAsia="ru-RU"/>
              </w:rPr>
            </w:pPr>
          </w:p>
        </w:tc>
        <w:tc>
          <w:tcPr>
            <w:tcW w:w="1177" w:type="dxa"/>
            <w:tcBorders>
              <w:top w:val="nil"/>
              <w:left w:val="nil"/>
              <w:bottom w:val="single" w:sz="4" w:space="0" w:color="auto"/>
              <w:right w:val="single" w:sz="4" w:space="0" w:color="auto"/>
            </w:tcBorders>
            <w:vAlign w:val="center"/>
            <w:hideMark/>
          </w:tcPr>
          <w:p w14:paraId="2B5D0C33" w14:textId="77777777" w:rsidR="00565C3D" w:rsidRPr="00565C3D" w:rsidRDefault="00565C3D" w:rsidP="00565C3D">
            <w:pPr>
              <w:jc w:val="center"/>
              <w:rPr>
                <w:lang w:eastAsia="ru-RU"/>
              </w:rPr>
            </w:pPr>
            <w:r w:rsidRPr="00565C3D">
              <w:t>1</w:t>
            </w:r>
            <w:r w:rsidR="004407FD">
              <w:rPr>
                <w:lang w:val="ru-RU"/>
              </w:rPr>
              <w:t>-</w:t>
            </w:r>
            <w:r w:rsidRPr="00565C3D">
              <w:t>й</w:t>
            </w:r>
          </w:p>
        </w:tc>
        <w:tc>
          <w:tcPr>
            <w:tcW w:w="1107" w:type="dxa"/>
            <w:tcBorders>
              <w:top w:val="nil"/>
              <w:left w:val="nil"/>
              <w:bottom w:val="single" w:sz="4" w:space="0" w:color="auto"/>
              <w:right w:val="single" w:sz="4" w:space="0" w:color="auto"/>
            </w:tcBorders>
            <w:vAlign w:val="center"/>
            <w:hideMark/>
          </w:tcPr>
          <w:p w14:paraId="2BA9CCE1" w14:textId="77777777" w:rsidR="00565C3D" w:rsidRPr="00565C3D" w:rsidRDefault="00565C3D" w:rsidP="00565C3D">
            <w:pPr>
              <w:jc w:val="center"/>
              <w:rPr>
                <w:lang w:eastAsia="ru-RU"/>
              </w:rPr>
            </w:pPr>
            <w:r w:rsidRPr="00565C3D">
              <w:t>2</w:t>
            </w:r>
            <w:r w:rsidR="004407FD">
              <w:rPr>
                <w:lang w:val="ru-RU"/>
              </w:rPr>
              <w:t>-</w:t>
            </w:r>
            <w:r w:rsidRPr="00565C3D">
              <w:t xml:space="preserve">й </w:t>
            </w:r>
          </w:p>
        </w:tc>
        <w:tc>
          <w:tcPr>
            <w:tcW w:w="1118" w:type="dxa"/>
            <w:tcBorders>
              <w:top w:val="nil"/>
              <w:left w:val="nil"/>
              <w:bottom w:val="single" w:sz="4" w:space="0" w:color="auto"/>
              <w:right w:val="single" w:sz="4" w:space="0" w:color="auto"/>
            </w:tcBorders>
            <w:vAlign w:val="center"/>
            <w:hideMark/>
          </w:tcPr>
          <w:p w14:paraId="2C25B11A" w14:textId="77777777" w:rsidR="00565C3D" w:rsidRPr="00565C3D" w:rsidRDefault="00565C3D" w:rsidP="00565C3D">
            <w:pPr>
              <w:jc w:val="center"/>
              <w:rPr>
                <w:lang w:eastAsia="ru-RU"/>
              </w:rPr>
            </w:pPr>
            <w:r w:rsidRPr="00565C3D">
              <w:t>3</w:t>
            </w:r>
            <w:r w:rsidR="004407FD">
              <w:rPr>
                <w:lang w:val="ru-RU"/>
              </w:rPr>
              <w:t>-</w:t>
            </w:r>
            <w:r w:rsidRPr="00565C3D">
              <w:t xml:space="preserve">й </w:t>
            </w:r>
          </w:p>
        </w:tc>
        <w:tc>
          <w:tcPr>
            <w:tcW w:w="1334" w:type="dxa"/>
            <w:tcBorders>
              <w:top w:val="nil"/>
              <w:left w:val="nil"/>
              <w:bottom w:val="single" w:sz="4" w:space="0" w:color="auto"/>
              <w:right w:val="single" w:sz="4" w:space="0" w:color="auto"/>
            </w:tcBorders>
            <w:vAlign w:val="center"/>
            <w:hideMark/>
          </w:tcPr>
          <w:p w14:paraId="3D07F25C" w14:textId="77777777" w:rsidR="00565C3D" w:rsidRPr="00565C3D" w:rsidRDefault="00565C3D" w:rsidP="00565C3D">
            <w:pPr>
              <w:jc w:val="center"/>
              <w:rPr>
                <w:lang w:eastAsia="ru-RU"/>
              </w:rPr>
            </w:pPr>
            <w:r w:rsidRPr="00565C3D">
              <w:t>1</w:t>
            </w:r>
            <w:r w:rsidR="004407FD">
              <w:rPr>
                <w:lang w:val="ru-RU"/>
              </w:rPr>
              <w:t>-</w:t>
            </w:r>
            <w:r w:rsidRPr="00565C3D">
              <w:t xml:space="preserve">й </w:t>
            </w:r>
          </w:p>
        </w:tc>
        <w:tc>
          <w:tcPr>
            <w:tcW w:w="1234" w:type="dxa"/>
            <w:tcBorders>
              <w:top w:val="nil"/>
              <w:left w:val="nil"/>
              <w:bottom w:val="single" w:sz="4" w:space="0" w:color="auto"/>
              <w:right w:val="single" w:sz="4" w:space="0" w:color="auto"/>
            </w:tcBorders>
            <w:vAlign w:val="center"/>
            <w:hideMark/>
          </w:tcPr>
          <w:p w14:paraId="74E98AEF" w14:textId="77777777" w:rsidR="00565C3D" w:rsidRPr="00565C3D" w:rsidRDefault="00565C3D" w:rsidP="00565C3D">
            <w:pPr>
              <w:jc w:val="center"/>
              <w:rPr>
                <w:lang w:eastAsia="ru-RU"/>
              </w:rPr>
            </w:pPr>
            <w:r w:rsidRPr="00565C3D">
              <w:t>2</w:t>
            </w:r>
            <w:r w:rsidR="004407FD">
              <w:rPr>
                <w:lang w:val="ru-RU"/>
              </w:rPr>
              <w:t>-</w:t>
            </w:r>
            <w:r w:rsidRPr="00565C3D">
              <w:t xml:space="preserve">й </w:t>
            </w:r>
          </w:p>
        </w:tc>
        <w:tc>
          <w:tcPr>
            <w:tcW w:w="1117" w:type="dxa"/>
            <w:tcBorders>
              <w:top w:val="nil"/>
              <w:left w:val="nil"/>
              <w:bottom w:val="single" w:sz="4" w:space="0" w:color="auto"/>
              <w:right w:val="single" w:sz="4" w:space="0" w:color="auto"/>
            </w:tcBorders>
            <w:vAlign w:val="center"/>
            <w:hideMark/>
          </w:tcPr>
          <w:p w14:paraId="3E83F905" w14:textId="77777777" w:rsidR="00565C3D" w:rsidRPr="00565C3D" w:rsidRDefault="00565C3D" w:rsidP="00565C3D">
            <w:pPr>
              <w:jc w:val="center"/>
              <w:rPr>
                <w:lang w:eastAsia="ru-RU"/>
              </w:rPr>
            </w:pPr>
            <w:r w:rsidRPr="00565C3D">
              <w:t>3</w:t>
            </w:r>
            <w:r w:rsidR="00D15E24">
              <w:t>-</w:t>
            </w:r>
            <w:r w:rsidRPr="00565C3D">
              <w:t xml:space="preserve">й </w:t>
            </w:r>
          </w:p>
        </w:tc>
      </w:tr>
      <w:tr w:rsidR="00565C3D" w:rsidRPr="00565C3D" w14:paraId="71813AAC" w14:textId="77777777" w:rsidTr="00F04949">
        <w:trPr>
          <w:trHeight w:val="379"/>
        </w:trPr>
        <w:tc>
          <w:tcPr>
            <w:tcW w:w="567" w:type="dxa"/>
            <w:tcBorders>
              <w:top w:val="single" w:sz="4" w:space="0" w:color="auto"/>
              <w:left w:val="single" w:sz="4" w:space="0" w:color="auto"/>
              <w:bottom w:val="single" w:sz="4" w:space="0" w:color="auto"/>
              <w:right w:val="single" w:sz="4" w:space="0" w:color="auto"/>
            </w:tcBorders>
            <w:vAlign w:val="center"/>
          </w:tcPr>
          <w:p w14:paraId="41177F7E" w14:textId="77777777" w:rsidR="00565C3D" w:rsidRPr="00565C3D" w:rsidRDefault="00565C3D" w:rsidP="00565C3D">
            <w:pPr>
              <w:jc w:val="center"/>
              <w:rPr>
                <w:lang w:eastAsia="ru-RU"/>
              </w:rPr>
            </w:pPr>
            <w:r w:rsidRPr="00565C3D">
              <w:rPr>
                <w:lang w:eastAsia="ru-RU"/>
              </w:rPr>
              <w:t>1</w:t>
            </w:r>
          </w:p>
        </w:tc>
        <w:tc>
          <w:tcPr>
            <w:tcW w:w="1843" w:type="dxa"/>
            <w:tcBorders>
              <w:top w:val="single" w:sz="4" w:space="0" w:color="auto"/>
              <w:left w:val="single" w:sz="4" w:space="0" w:color="auto"/>
              <w:bottom w:val="single" w:sz="4" w:space="0" w:color="auto"/>
              <w:right w:val="single" w:sz="4" w:space="0" w:color="auto"/>
            </w:tcBorders>
            <w:vAlign w:val="center"/>
          </w:tcPr>
          <w:p w14:paraId="3D82ECD9" w14:textId="77777777" w:rsidR="00565C3D" w:rsidRPr="00565C3D" w:rsidRDefault="00565C3D" w:rsidP="00565C3D">
            <w:pPr>
              <w:jc w:val="center"/>
              <w:rPr>
                <w:lang w:eastAsia="ru-RU"/>
              </w:rPr>
            </w:pPr>
            <w:r w:rsidRPr="00565C3D">
              <w:rPr>
                <w:lang w:eastAsia="ru-RU"/>
              </w:rPr>
              <w:t>2</w:t>
            </w:r>
          </w:p>
        </w:tc>
        <w:tc>
          <w:tcPr>
            <w:tcW w:w="1177" w:type="dxa"/>
            <w:tcBorders>
              <w:top w:val="nil"/>
              <w:left w:val="nil"/>
              <w:bottom w:val="single" w:sz="4" w:space="0" w:color="auto"/>
              <w:right w:val="single" w:sz="4" w:space="0" w:color="auto"/>
            </w:tcBorders>
            <w:vAlign w:val="center"/>
          </w:tcPr>
          <w:p w14:paraId="62C52622" w14:textId="77777777" w:rsidR="00565C3D" w:rsidRPr="00565C3D" w:rsidRDefault="00565C3D" w:rsidP="00565C3D">
            <w:pPr>
              <w:jc w:val="center"/>
            </w:pPr>
            <w:r w:rsidRPr="00565C3D">
              <w:t>3</w:t>
            </w:r>
          </w:p>
        </w:tc>
        <w:tc>
          <w:tcPr>
            <w:tcW w:w="1107" w:type="dxa"/>
            <w:tcBorders>
              <w:top w:val="nil"/>
              <w:left w:val="nil"/>
              <w:bottom w:val="single" w:sz="4" w:space="0" w:color="auto"/>
              <w:right w:val="single" w:sz="4" w:space="0" w:color="auto"/>
            </w:tcBorders>
            <w:vAlign w:val="center"/>
          </w:tcPr>
          <w:p w14:paraId="4054D65F" w14:textId="77777777" w:rsidR="00565C3D" w:rsidRPr="00565C3D" w:rsidRDefault="00565C3D" w:rsidP="00565C3D">
            <w:pPr>
              <w:jc w:val="center"/>
            </w:pPr>
            <w:r w:rsidRPr="00565C3D">
              <w:t>4</w:t>
            </w:r>
          </w:p>
        </w:tc>
        <w:tc>
          <w:tcPr>
            <w:tcW w:w="1118" w:type="dxa"/>
            <w:tcBorders>
              <w:top w:val="nil"/>
              <w:left w:val="nil"/>
              <w:bottom w:val="single" w:sz="4" w:space="0" w:color="auto"/>
              <w:right w:val="single" w:sz="4" w:space="0" w:color="auto"/>
            </w:tcBorders>
            <w:vAlign w:val="center"/>
          </w:tcPr>
          <w:p w14:paraId="11B0C332" w14:textId="77777777" w:rsidR="00565C3D" w:rsidRPr="00565C3D" w:rsidRDefault="00565C3D" w:rsidP="00565C3D">
            <w:pPr>
              <w:jc w:val="center"/>
            </w:pPr>
            <w:r w:rsidRPr="00565C3D">
              <w:t>5</w:t>
            </w:r>
          </w:p>
        </w:tc>
        <w:tc>
          <w:tcPr>
            <w:tcW w:w="1334" w:type="dxa"/>
            <w:tcBorders>
              <w:top w:val="nil"/>
              <w:left w:val="nil"/>
              <w:bottom w:val="single" w:sz="4" w:space="0" w:color="auto"/>
              <w:right w:val="single" w:sz="4" w:space="0" w:color="auto"/>
            </w:tcBorders>
            <w:vAlign w:val="center"/>
          </w:tcPr>
          <w:p w14:paraId="453D0FFC" w14:textId="77777777" w:rsidR="00565C3D" w:rsidRPr="00565C3D" w:rsidRDefault="00565C3D" w:rsidP="00565C3D">
            <w:pPr>
              <w:jc w:val="center"/>
            </w:pPr>
            <w:r w:rsidRPr="00565C3D">
              <w:t>6</w:t>
            </w:r>
          </w:p>
        </w:tc>
        <w:tc>
          <w:tcPr>
            <w:tcW w:w="1234" w:type="dxa"/>
            <w:tcBorders>
              <w:top w:val="nil"/>
              <w:left w:val="nil"/>
              <w:bottom w:val="single" w:sz="4" w:space="0" w:color="auto"/>
              <w:right w:val="single" w:sz="4" w:space="0" w:color="auto"/>
            </w:tcBorders>
            <w:vAlign w:val="center"/>
          </w:tcPr>
          <w:p w14:paraId="529B0093" w14:textId="77777777" w:rsidR="00565C3D" w:rsidRPr="00565C3D" w:rsidRDefault="00565C3D" w:rsidP="00565C3D">
            <w:pPr>
              <w:jc w:val="center"/>
            </w:pPr>
            <w:r w:rsidRPr="00565C3D">
              <w:t>7</w:t>
            </w:r>
          </w:p>
        </w:tc>
        <w:tc>
          <w:tcPr>
            <w:tcW w:w="1117" w:type="dxa"/>
            <w:tcBorders>
              <w:top w:val="nil"/>
              <w:left w:val="nil"/>
              <w:bottom w:val="single" w:sz="4" w:space="0" w:color="auto"/>
              <w:right w:val="single" w:sz="4" w:space="0" w:color="auto"/>
            </w:tcBorders>
            <w:vAlign w:val="center"/>
          </w:tcPr>
          <w:p w14:paraId="1F71F2ED" w14:textId="77777777" w:rsidR="00565C3D" w:rsidRPr="00565C3D" w:rsidRDefault="00565C3D" w:rsidP="00565C3D">
            <w:pPr>
              <w:jc w:val="center"/>
            </w:pPr>
            <w:r w:rsidRPr="00565C3D">
              <w:t>8</w:t>
            </w:r>
          </w:p>
        </w:tc>
      </w:tr>
      <w:tr w:rsidR="00565C3D" w:rsidRPr="00565C3D" w14:paraId="585C41A3" w14:textId="77777777" w:rsidTr="00F04949">
        <w:trPr>
          <w:trHeight w:val="379"/>
        </w:trPr>
        <w:tc>
          <w:tcPr>
            <w:tcW w:w="567" w:type="dxa"/>
            <w:tcBorders>
              <w:top w:val="single" w:sz="4" w:space="0" w:color="auto"/>
              <w:left w:val="single" w:sz="4" w:space="0" w:color="auto"/>
              <w:bottom w:val="single" w:sz="4" w:space="0" w:color="auto"/>
              <w:right w:val="single" w:sz="4" w:space="0" w:color="auto"/>
            </w:tcBorders>
          </w:tcPr>
          <w:p w14:paraId="05B4CAC1" w14:textId="77777777" w:rsidR="00565C3D" w:rsidRPr="00565C3D" w:rsidRDefault="00565C3D" w:rsidP="00565C3D">
            <w:pPr>
              <w:jc w:val="center"/>
              <w:rPr>
                <w:lang w:eastAsia="ru-RU"/>
              </w:rPr>
            </w:pPr>
            <w:r w:rsidRPr="00565C3D">
              <w:rPr>
                <w:lang w:eastAsia="ru-RU"/>
              </w:rPr>
              <w:t>1</w:t>
            </w:r>
          </w:p>
        </w:tc>
        <w:tc>
          <w:tcPr>
            <w:tcW w:w="1843" w:type="dxa"/>
            <w:tcBorders>
              <w:top w:val="single" w:sz="4" w:space="0" w:color="auto"/>
              <w:left w:val="single" w:sz="4" w:space="0" w:color="auto"/>
              <w:bottom w:val="single" w:sz="4" w:space="0" w:color="auto"/>
              <w:right w:val="single" w:sz="4" w:space="0" w:color="auto"/>
            </w:tcBorders>
            <w:vAlign w:val="bottom"/>
          </w:tcPr>
          <w:p w14:paraId="03D301BE" w14:textId="77777777" w:rsidR="00565C3D" w:rsidRPr="00565C3D" w:rsidRDefault="00565C3D" w:rsidP="00565C3D">
            <w:pPr>
              <w:rPr>
                <w:lang w:eastAsia="ru-RU"/>
              </w:rPr>
            </w:pPr>
            <w:r w:rsidRPr="00565C3D">
              <w:rPr>
                <w:lang w:eastAsia="ru-RU"/>
              </w:rPr>
              <w:t>Норматив Н2</w:t>
            </w:r>
          </w:p>
        </w:tc>
        <w:tc>
          <w:tcPr>
            <w:tcW w:w="1177" w:type="dxa"/>
            <w:tcBorders>
              <w:top w:val="nil"/>
              <w:left w:val="nil"/>
              <w:bottom w:val="single" w:sz="4" w:space="0" w:color="auto"/>
              <w:right w:val="single" w:sz="4" w:space="0" w:color="auto"/>
            </w:tcBorders>
            <w:vAlign w:val="center"/>
          </w:tcPr>
          <w:p w14:paraId="50F68F45" w14:textId="77777777" w:rsidR="00565C3D" w:rsidRPr="00565C3D" w:rsidRDefault="00565C3D" w:rsidP="00565C3D">
            <w:pPr>
              <w:jc w:val="center"/>
              <w:rPr>
                <w:lang w:eastAsia="ru-RU"/>
              </w:rPr>
            </w:pPr>
            <w:r w:rsidRPr="00565C3D">
              <w:t>0</w:t>
            </w:r>
          </w:p>
        </w:tc>
        <w:tc>
          <w:tcPr>
            <w:tcW w:w="1107" w:type="dxa"/>
            <w:tcBorders>
              <w:top w:val="nil"/>
              <w:left w:val="nil"/>
              <w:bottom w:val="single" w:sz="4" w:space="0" w:color="auto"/>
              <w:right w:val="single" w:sz="4" w:space="0" w:color="auto"/>
            </w:tcBorders>
            <w:vAlign w:val="center"/>
          </w:tcPr>
          <w:p w14:paraId="1DE31B37" w14:textId="77777777" w:rsidR="00565C3D" w:rsidRPr="00565C3D" w:rsidRDefault="00565C3D" w:rsidP="00565C3D">
            <w:pPr>
              <w:jc w:val="center"/>
              <w:rPr>
                <w:lang w:eastAsia="ru-RU"/>
              </w:rPr>
            </w:pPr>
            <w:r w:rsidRPr="00565C3D">
              <w:t>0</w:t>
            </w:r>
          </w:p>
        </w:tc>
        <w:tc>
          <w:tcPr>
            <w:tcW w:w="1118" w:type="dxa"/>
            <w:tcBorders>
              <w:top w:val="nil"/>
              <w:left w:val="nil"/>
              <w:bottom w:val="single" w:sz="4" w:space="0" w:color="auto"/>
              <w:right w:val="single" w:sz="4" w:space="0" w:color="auto"/>
            </w:tcBorders>
            <w:vAlign w:val="center"/>
          </w:tcPr>
          <w:p w14:paraId="2C97DBF5" w14:textId="77777777" w:rsidR="00565C3D" w:rsidRPr="00565C3D" w:rsidRDefault="00565C3D" w:rsidP="00565C3D">
            <w:pPr>
              <w:jc w:val="center"/>
              <w:rPr>
                <w:lang w:eastAsia="ru-RU"/>
              </w:rPr>
            </w:pPr>
            <w:r w:rsidRPr="00565C3D">
              <w:t>0</w:t>
            </w:r>
          </w:p>
        </w:tc>
        <w:tc>
          <w:tcPr>
            <w:tcW w:w="1334" w:type="dxa"/>
            <w:tcBorders>
              <w:top w:val="nil"/>
              <w:left w:val="nil"/>
              <w:bottom w:val="single" w:sz="4" w:space="0" w:color="auto"/>
              <w:right w:val="single" w:sz="4" w:space="0" w:color="auto"/>
            </w:tcBorders>
            <w:vAlign w:val="center"/>
          </w:tcPr>
          <w:p w14:paraId="58DE0AB6" w14:textId="77777777" w:rsidR="00565C3D" w:rsidRPr="00565C3D" w:rsidRDefault="00565C3D" w:rsidP="00565C3D">
            <w:pPr>
              <w:jc w:val="center"/>
              <w:rPr>
                <w:lang w:eastAsia="ru-RU"/>
              </w:rPr>
            </w:pPr>
            <w:r w:rsidRPr="00565C3D">
              <w:t>10,0</w:t>
            </w:r>
          </w:p>
        </w:tc>
        <w:tc>
          <w:tcPr>
            <w:tcW w:w="1234" w:type="dxa"/>
            <w:tcBorders>
              <w:top w:val="nil"/>
              <w:left w:val="nil"/>
              <w:bottom w:val="single" w:sz="4" w:space="0" w:color="auto"/>
              <w:right w:val="single" w:sz="4" w:space="0" w:color="auto"/>
            </w:tcBorders>
            <w:vAlign w:val="center"/>
          </w:tcPr>
          <w:p w14:paraId="594DD79C" w14:textId="77777777" w:rsidR="00565C3D" w:rsidRPr="00565C3D" w:rsidRDefault="00565C3D" w:rsidP="00565C3D">
            <w:pPr>
              <w:jc w:val="center"/>
              <w:rPr>
                <w:lang w:eastAsia="ru-RU"/>
              </w:rPr>
            </w:pPr>
            <w:r w:rsidRPr="00565C3D">
              <w:t>10,0</w:t>
            </w:r>
          </w:p>
        </w:tc>
        <w:tc>
          <w:tcPr>
            <w:tcW w:w="1117" w:type="dxa"/>
            <w:tcBorders>
              <w:top w:val="nil"/>
              <w:left w:val="nil"/>
              <w:bottom w:val="single" w:sz="4" w:space="0" w:color="auto"/>
              <w:right w:val="single" w:sz="4" w:space="0" w:color="auto"/>
            </w:tcBorders>
            <w:vAlign w:val="center"/>
          </w:tcPr>
          <w:p w14:paraId="1A55604E" w14:textId="77777777" w:rsidR="00565C3D" w:rsidRPr="00565C3D" w:rsidRDefault="00565C3D" w:rsidP="00565C3D">
            <w:pPr>
              <w:jc w:val="center"/>
              <w:rPr>
                <w:lang w:eastAsia="ru-RU"/>
              </w:rPr>
            </w:pPr>
            <w:r w:rsidRPr="00565C3D">
              <w:t>10,0</w:t>
            </w:r>
          </w:p>
        </w:tc>
      </w:tr>
      <w:tr w:rsidR="00565C3D" w:rsidRPr="00565C3D" w14:paraId="69DF0A5B" w14:textId="77777777" w:rsidTr="00F04949">
        <w:trPr>
          <w:trHeight w:val="309"/>
        </w:trPr>
        <w:tc>
          <w:tcPr>
            <w:tcW w:w="567" w:type="dxa"/>
            <w:tcBorders>
              <w:top w:val="nil"/>
              <w:left w:val="single" w:sz="4" w:space="0" w:color="auto"/>
              <w:bottom w:val="single" w:sz="4" w:space="0" w:color="auto"/>
              <w:right w:val="single" w:sz="4" w:space="0" w:color="auto"/>
            </w:tcBorders>
          </w:tcPr>
          <w:p w14:paraId="664EF7FC" w14:textId="77777777" w:rsidR="00565C3D" w:rsidRPr="00565C3D" w:rsidRDefault="00565C3D" w:rsidP="00565C3D">
            <w:pPr>
              <w:jc w:val="center"/>
              <w:rPr>
                <w:lang w:eastAsia="ru-RU"/>
              </w:rPr>
            </w:pPr>
            <w:r w:rsidRPr="00565C3D">
              <w:rPr>
                <w:lang w:eastAsia="ru-RU"/>
              </w:rPr>
              <w:t>2</w:t>
            </w:r>
          </w:p>
        </w:tc>
        <w:tc>
          <w:tcPr>
            <w:tcW w:w="1843" w:type="dxa"/>
            <w:tcBorders>
              <w:top w:val="nil"/>
              <w:left w:val="single" w:sz="4" w:space="0" w:color="auto"/>
              <w:bottom w:val="single" w:sz="4" w:space="0" w:color="auto"/>
              <w:right w:val="single" w:sz="4" w:space="0" w:color="auto"/>
            </w:tcBorders>
            <w:noWrap/>
            <w:vAlign w:val="bottom"/>
            <w:hideMark/>
          </w:tcPr>
          <w:p w14:paraId="7E8C5C5B" w14:textId="77777777" w:rsidR="00565C3D" w:rsidRPr="00565C3D" w:rsidRDefault="00565C3D" w:rsidP="00565C3D">
            <w:pPr>
              <w:rPr>
                <w:lang w:eastAsia="ru-RU"/>
              </w:rPr>
            </w:pPr>
            <w:r w:rsidRPr="00565C3D">
              <w:rPr>
                <w:lang w:eastAsia="ru-RU"/>
              </w:rPr>
              <w:t>Норматив Н3</w:t>
            </w:r>
          </w:p>
        </w:tc>
        <w:tc>
          <w:tcPr>
            <w:tcW w:w="1177" w:type="dxa"/>
            <w:tcBorders>
              <w:top w:val="nil"/>
              <w:left w:val="nil"/>
              <w:bottom w:val="single" w:sz="4" w:space="0" w:color="auto"/>
              <w:right w:val="single" w:sz="4" w:space="0" w:color="auto"/>
            </w:tcBorders>
            <w:vAlign w:val="center"/>
            <w:hideMark/>
          </w:tcPr>
          <w:p w14:paraId="69BFF8C8" w14:textId="77777777" w:rsidR="00565C3D" w:rsidRPr="00565C3D" w:rsidRDefault="00565C3D" w:rsidP="00565C3D">
            <w:pPr>
              <w:jc w:val="center"/>
              <w:rPr>
                <w:lang w:eastAsia="ru-RU"/>
              </w:rPr>
            </w:pPr>
            <w:r w:rsidRPr="00565C3D">
              <w:t>0</w:t>
            </w:r>
          </w:p>
        </w:tc>
        <w:tc>
          <w:tcPr>
            <w:tcW w:w="1107" w:type="dxa"/>
            <w:tcBorders>
              <w:top w:val="nil"/>
              <w:left w:val="nil"/>
              <w:bottom w:val="single" w:sz="4" w:space="0" w:color="auto"/>
              <w:right w:val="single" w:sz="4" w:space="0" w:color="auto"/>
            </w:tcBorders>
            <w:vAlign w:val="center"/>
            <w:hideMark/>
          </w:tcPr>
          <w:p w14:paraId="04B7F5E3" w14:textId="77777777" w:rsidR="00565C3D" w:rsidRPr="00565C3D" w:rsidRDefault="00565C3D" w:rsidP="00565C3D">
            <w:pPr>
              <w:jc w:val="center"/>
              <w:rPr>
                <w:lang w:eastAsia="ru-RU"/>
              </w:rPr>
            </w:pPr>
            <w:r w:rsidRPr="00565C3D">
              <w:t>0</w:t>
            </w:r>
          </w:p>
        </w:tc>
        <w:tc>
          <w:tcPr>
            <w:tcW w:w="1118" w:type="dxa"/>
            <w:tcBorders>
              <w:top w:val="nil"/>
              <w:left w:val="nil"/>
              <w:bottom w:val="single" w:sz="4" w:space="0" w:color="auto"/>
              <w:right w:val="single" w:sz="4" w:space="0" w:color="auto"/>
            </w:tcBorders>
            <w:vAlign w:val="center"/>
            <w:hideMark/>
          </w:tcPr>
          <w:p w14:paraId="2060C827" w14:textId="77777777" w:rsidR="00565C3D" w:rsidRPr="00565C3D" w:rsidRDefault="00565C3D" w:rsidP="00565C3D">
            <w:pPr>
              <w:jc w:val="center"/>
              <w:rPr>
                <w:lang w:eastAsia="ru-RU"/>
              </w:rPr>
            </w:pPr>
            <w:r w:rsidRPr="00565C3D">
              <w:t>0</w:t>
            </w:r>
          </w:p>
        </w:tc>
        <w:tc>
          <w:tcPr>
            <w:tcW w:w="1334" w:type="dxa"/>
            <w:tcBorders>
              <w:top w:val="nil"/>
              <w:left w:val="nil"/>
              <w:bottom w:val="single" w:sz="4" w:space="0" w:color="auto"/>
              <w:right w:val="single" w:sz="4" w:space="0" w:color="auto"/>
            </w:tcBorders>
            <w:vAlign w:val="center"/>
            <w:hideMark/>
          </w:tcPr>
          <w:p w14:paraId="3BEB4CF8" w14:textId="77777777" w:rsidR="00565C3D" w:rsidRPr="00565C3D" w:rsidRDefault="00565C3D" w:rsidP="00565C3D">
            <w:pPr>
              <w:jc w:val="center"/>
              <w:rPr>
                <w:lang w:eastAsia="ru-RU"/>
              </w:rPr>
            </w:pPr>
            <w:r w:rsidRPr="00565C3D">
              <w:t>7,0</w:t>
            </w:r>
          </w:p>
        </w:tc>
        <w:tc>
          <w:tcPr>
            <w:tcW w:w="1234" w:type="dxa"/>
            <w:tcBorders>
              <w:top w:val="nil"/>
              <w:left w:val="nil"/>
              <w:bottom w:val="single" w:sz="4" w:space="0" w:color="auto"/>
              <w:right w:val="single" w:sz="4" w:space="0" w:color="auto"/>
            </w:tcBorders>
            <w:vAlign w:val="center"/>
            <w:hideMark/>
          </w:tcPr>
          <w:p w14:paraId="4CF4A6E7" w14:textId="77777777" w:rsidR="00565C3D" w:rsidRPr="00565C3D" w:rsidRDefault="00565C3D" w:rsidP="00565C3D">
            <w:pPr>
              <w:jc w:val="center"/>
              <w:rPr>
                <w:lang w:eastAsia="ru-RU"/>
              </w:rPr>
            </w:pPr>
            <w:r w:rsidRPr="00565C3D">
              <w:t>7,0</w:t>
            </w:r>
          </w:p>
        </w:tc>
        <w:tc>
          <w:tcPr>
            <w:tcW w:w="1117" w:type="dxa"/>
            <w:tcBorders>
              <w:top w:val="nil"/>
              <w:left w:val="nil"/>
              <w:bottom w:val="single" w:sz="4" w:space="0" w:color="auto"/>
              <w:right w:val="single" w:sz="4" w:space="0" w:color="auto"/>
            </w:tcBorders>
            <w:vAlign w:val="center"/>
            <w:hideMark/>
          </w:tcPr>
          <w:p w14:paraId="60B3B978" w14:textId="77777777" w:rsidR="00565C3D" w:rsidRPr="00565C3D" w:rsidRDefault="00565C3D" w:rsidP="00565C3D">
            <w:pPr>
              <w:jc w:val="center"/>
              <w:rPr>
                <w:lang w:eastAsia="ru-RU"/>
              </w:rPr>
            </w:pPr>
            <w:r w:rsidRPr="00565C3D">
              <w:t>7,0</w:t>
            </w:r>
          </w:p>
        </w:tc>
      </w:tr>
    </w:tbl>
    <w:p w14:paraId="2C9D3620" w14:textId="4CB01A1F" w:rsidR="00565C3D" w:rsidRPr="00565C3D" w:rsidRDefault="00565C3D" w:rsidP="00483885">
      <w:pPr>
        <w:pStyle w:val="af3"/>
        <w:numPr>
          <w:ilvl w:val="0"/>
          <w:numId w:val="52"/>
        </w:numPr>
        <w:tabs>
          <w:tab w:val="left" w:pos="993"/>
        </w:tabs>
        <w:spacing w:before="240" w:after="240"/>
        <w:ind w:left="0" w:firstLine="567"/>
        <w:contextualSpacing w:val="0"/>
      </w:pPr>
      <w:r w:rsidRPr="00565C3D">
        <w:t>Під час розрахунку необхідного рівня нормативів Н2 та Н3 для банку ефекти від зміни регуляторних вимог Національного банку оцінюються окремо. Із набуттям чинності змін регуляторних вимог після звітної дати необхідний рівень нормативів Н3 та Н2 для банку коригується з у</w:t>
      </w:r>
      <w:r w:rsidR="00483885">
        <w:t>рахуванням ефекту від цих змін.</w:t>
      </w:r>
    </w:p>
    <w:p w14:paraId="26324723" w14:textId="77777777" w:rsidR="00565C3D" w:rsidRPr="00CB044E" w:rsidRDefault="00565C3D" w:rsidP="00483885">
      <w:pPr>
        <w:pStyle w:val="1"/>
        <w:spacing w:before="240"/>
      </w:pPr>
      <w:r w:rsidRPr="00CB044E">
        <w:t>XI. Загальні принципи СТ великих боржників – ЮО</w:t>
      </w:r>
    </w:p>
    <w:p w14:paraId="71DFD790" w14:textId="77777777" w:rsidR="00565C3D" w:rsidRPr="00565C3D" w:rsidRDefault="00565C3D" w:rsidP="00483885">
      <w:pPr>
        <w:pStyle w:val="af3"/>
        <w:numPr>
          <w:ilvl w:val="0"/>
          <w:numId w:val="52"/>
        </w:numPr>
        <w:tabs>
          <w:tab w:val="left" w:pos="993"/>
        </w:tabs>
        <w:spacing w:before="240" w:after="240"/>
        <w:ind w:left="0" w:firstLine="567"/>
        <w:contextualSpacing w:val="0"/>
      </w:pPr>
      <w:r w:rsidRPr="00565C3D">
        <w:t>СТ великих боржників – ЮО (далі – боржники) проводиться в три етапи:</w:t>
      </w:r>
    </w:p>
    <w:p w14:paraId="335DA4F3" w14:textId="77777777" w:rsidR="00565C3D" w:rsidRPr="00565C3D" w:rsidRDefault="00565C3D" w:rsidP="00483885">
      <w:pPr>
        <w:tabs>
          <w:tab w:val="left" w:pos="993"/>
        </w:tabs>
        <w:spacing w:before="240" w:after="240"/>
        <w:ind w:firstLine="567"/>
      </w:pPr>
      <w:r w:rsidRPr="00565C3D">
        <w:t xml:space="preserve">1) розподіл базової вибірки великих (найбільших) ЮО для цілей СТ на </w:t>
      </w:r>
      <w:r w:rsidR="00A12430">
        <w:t>дві</w:t>
      </w:r>
      <w:r w:rsidR="00A12430" w:rsidRPr="00565C3D">
        <w:t xml:space="preserve"> </w:t>
      </w:r>
      <w:r w:rsidRPr="00565C3D">
        <w:t>групи:</w:t>
      </w:r>
    </w:p>
    <w:p w14:paraId="2A8DDF03" w14:textId="77777777" w:rsidR="00565C3D" w:rsidRPr="00565C3D" w:rsidRDefault="00565C3D" w:rsidP="00483885">
      <w:pPr>
        <w:tabs>
          <w:tab w:val="left" w:pos="993"/>
        </w:tabs>
        <w:spacing w:before="240" w:after="240"/>
        <w:ind w:firstLine="567"/>
      </w:pPr>
      <w:r w:rsidRPr="00565C3D">
        <w:t>перша група – активи, які визнано непрацюючими;</w:t>
      </w:r>
      <w:r w:rsidR="00CB71BC">
        <w:t xml:space="preserve"> </w:t>
      </w:r>
      <w:r w:rsidRPr="00565C3D">
        <w:t>активи боржників із кредитом під інвестиційний проєкт/спеціалізовані кредити; активи боржників/контрагентів – нерезидентів України; активи спеціалізованих іпотечних установ</w:t>
      </w:r>
      <w:r w:rsidR="00DD084D">
        <w:t>;</w:t>
      </w:r>
      <w:r w:rsidRPr="00565C3D">
        <w:t xml:space="preserve"> активи боржників, основний вид діяльності яких класифікується за секцією O відповідно до Класифікації видів економічної діяльності ДК 009:2010, затвердженої наказом Держспоживстандарту України від 11 жовтня 2010 року № 457 (далі </w:t>
      </w:r>
      <w:r w:rsidRPr="007A6EAC">
        <w:t>– КВЕД)</w:t>
      </w:r>
      <w:r w:rsidR="00E252AC">
        <w:t>,</w:t>
      </w:r>
      <w:r w:rsidRPr="007A6EAC">
        <w:t xml:space="preserve"> та активи боржників – державних підприємств;</w:t>
      </w:r>
    </w:p>
    <w:p w14:paraId="1FB13CAD" w14:textId="77777777" w:rsidR="00565C3D" w:rsidRPr="00565C3D" w:rsidRDefault="00A12430" w:rsidP="00EB666D">
      <w:pPr>
        <w:tabs>
          <w:tab w:val="left" w:pos="993"/>
        </w:tabs>
        <w:spacing w:before="240" w:after="240"/>
        <w:ind w:firstLine="567"/>
      </w:pPr>
      <w:r>
        <w:t>друга</w:t>
      </w:r>
      <w:r w:rsidRPr="00565C3D">
        <w:t xml:space="preserve"> </w:t>
      </w:r>
      <w:r w:rsidR="00565C3D" w:rsidRPr="00565C3D">
        <w:t xml:space="preserve">група – активи боржників/контрагентів, що не потрапили до </w:t>
      </w:r>
      <w:r>
        <w:t>першої</w:t>
      </w:r>
      <w:r w:rsidR="001C0D7A">
        <w:t xml:space="preserve"> </w:t>
      </w:r>
      <w:r w:rsidR="00565C3D" w:rsidRPr="00565C3D">
        <w:t>груп</w:t>
      </w:r>
      <w:r>
        <w:t>и</w:t>
      </w:r>
      <w:r w:rsidR="00565C3D" w:rsidRPr="00565C3D">
        <w:t>.</w:t>
      </w:r>
    </w:p>
    <w:p w14:paraId="6D71705E" w14:textId="77777777" w:rsidR="00565C3D" w:rsidRPr="00565C3D" w:rsidRDefault="00565C3D" w:rsidP="00EB666D">
      <w:pPr>
        <w:tabs>
          <w:tab w:val="left" w:pos="993"/>
          <w:tab w:val="left" w:pos="7797"/>
        </w:tabs>
        <w:spacing w:before="240" w:after="240"/>
        <w:ind w:firstLine="567"/>
      </w:pPr>
      <w:r w:rsidRPr="00D15E24">
        <w:t>Інформація про боржників береться зі Звіту про результати першого етапу оцінки стійкості банку та даних банку</w:t>
      </w:r>
      <w:r w:rsidR="001C0D7A">
        <w:t>;</w:t>
      </w:r>
    </w:p>
    <w:p w14:paraId="34A33723" w14:textId="77777777" w:rsidR="00565C3D" w:rsidRPr="00565C3D" w:rsidRDefault="00565C3D" w:rsidP="00EB666D">
      <w:pPr>
        <w:tabs>
          <w:tab w:val="left" w:pos="993"/>
        </w:tabs>
        <w:spacing w:before="240" w:after="240"/>
        <w:ind w:firstLine="567"/>
      </w:pPr>
      <w:r w:rsidRPr="00565C3D">
        <w:t>2) перевірка цілісності та повноти всієї інформації, необхідної для проведення СТ, уключаючи:</w:t>
      </w:r>
    </w:p>
    <w:p w14:paraId="74871C2B" w14:textId="77777777" w:rsidR="00565C3D" w:rsidRPr="00565C3D" w:rsidRDefault="00565C3D" w:rsidP="00EB666D">
      <w:pPr>
        <w:pStyle w:val="aff0"/>
        <w:tabs>
          <w:tab w:val="left" w:pos="993"/>
        </w:tabs>
        <w:spacing w:before="240" w:beforeAutospacing="0" w:after="240" w:afterAutospacing="0"/>
        <w:ind w:firstLine="567"/>
        <w:jc w:val="both"/>
        <w:rPr>
          <w:sz w:val="28"/>
          <w:szCs w:val="28"/>
          <w:lang w:val="uk-UA"/>
        </w:rPr>
      </w:pPr>
      <w:bookmarkStart w:id="13" w:name="_Hlk141913050"/>
      <w:r w:rsidRPr="00565C3D">
        <w:rPr>
          <w:sz w:val="28"/>
          <w:szCs w:val="28"/>
          <w:lang w:val="uk-UA"/>
        </w:rPr>
        <w:t>фінансову звітність боржника;</w:t>
      </w:r>
    </w:p>
    <w:p w14:paraId="7E509162" w14:textId="249D1DC7" w:rsidR="00565C3D" w:rsidRPr="00565C3D" w:rsidRDefault="00565C3D" w:rsidP="00EB666D">
      <w:pPr>
        <w:pStyle w:val="aff0"/>
        <w:tabs>
          <w:tab w:val="left" w:pos="993"/>
        </w:tabs>
        <w:spacing w:before="240" w:beforeAutospacing="0" w:after="240" w:afterAutospacing="0"/>
        <w:ind w:firstLine="567"/>
        <w:jc w:val="both"/>
        <w:rPr>
          <w:sz w:val="28"/>
          <w:szCs w:val="28"/>
          <w:lang w:val="uk-UA"/>
        </w:rPr>
      </w:pPr>
      <w:r w:rsidRPr="00565C3D">
        <w:rPr>
          <w:sz w:val="28"/>
          <w:szCs w:val="28"/>
          <w:lang w:val="uk-UA"/>
        </w:rPr>
        <w:lastRenderedPageBreak/>
        <w:t>консолідовану/комбіновану фінансову звітність групи під спільним контролем/групи пов’язаних контрагентів, до якої належить боржник, у разі оцінки фінансового стану боржника з урахуванням вимог пункту 63 розділу</w:t>
      </w:r>
      <w:r w:rsidR="006708ED">
        <w:rPr>
          <w:sz w:val="28"/>
          <w:szCs w:val="28"/>
          <w:lang w:val="uk-UA"/>
        </w:rPr>
        <w:t> </w:t>
      </w:r>
      <w:r w:rsidRPr="00565C3D">
        <w:rPr>
          <w:sz w:val="28"/>
          <w:szCs w:val="28"/>
          <w:lang w:val="uk-UA"/>
        </w:rPr>
        <w:t xml:space="preserve">IV </w:t>
      </w:r>
      <w:r w:rsidR="006708ED" w:rsidRPr="00EB666D">
        <w:rPr>
          <w:sz w:val="28"/>
          <w:szCs w:val="28"/>
          <w:lang w:val="uk-UA"/>
        </w:rPr>
        <w:t>Положення про визначення банками України розміру кредитного ризику за активними банківськими операціями, затвердженого постановою Правління Національного банку Ук</w:t>
      </w:r>
      <w:r w:rsidR="00673B39" w:rsidRPr="00EB666D">
        <w:rPr>
          <w:sz w:val="28"/>
          <w:szCs w:val="28"/>
          <w:lang w:val="uk-UA"/>
        </w:rPr>
        <w:t>раїни від 30 червня 2016 року № </w:t>
      </w:r>
      <w:r w:rsidR="006708ED" w:rsidRPr="00EB666D">
        <w:rPr>
          <w:sz w:val="28"/>
          <w:szCs w:val="28"/>
          <w:lang w:val="uk-UA"/>
        </w:rPr>
        <w:t xml:space="preserve">351 (далі – </w:t>
      </w:r>
      <w:r w:rsidRPr="00EB666D">
        <w:rPr>
          <w:sz w:val="28"/>
          <w:szCs w:val="28"/>
          <w:lang w:val="uk-UA"/>
        </w:rPr>
        <w:t>Положення №</w:t>
      </w:r>
      <w:r w:rsidR="006708ED" w:rsidRPr="00EB666D">
        <w:rPr>
          <w:sz w:val="28"/>
          <w:szCs w:val="28"/>
          <w:lang w:val="uk-UA"/>
        </w:rPr>
        <w:t> </w:t>
      </w:r>
      <w:r w:rsidRPr="00EB666D">
        <w:rPr>
          <w:sz w:val="28"/>
          <w:szCs w:val="28"/>
          <w:lang w:val="uk-UA"/>
        </w:rPr>
        <w:t>351</w:t>
      </w:r>
      <w:r w:rsidR="006708ED" w:rsidRPr="00EB666D">
        <w:rPr>
          <w:sz w:val="28"/>
          <w:szCs w:val="28"/>
          <w:lang w:val="uk-UA"/>
        </w:rPr>
        <w:t>)</w:t>
      </w:r>
      <w:r w:rsidR="00892E5F" w:rsidRPr="00EB666D">
        <w:rPr>
          <w:sz w:val="28"/>
          <w:szCs w:val="28"/>
          <w:lang w:val="uk-UA"/>
        </w:rPr>
        <w:t>,</w:t>
      </w:r>
      <w:r w:rsidRPr="00867213">
        <w:rPr>
          <w:sz w:val="28"/>
          <w:szCs w:val="28"/>
          <w:lang w:val="uk-UA"/>
        </w:rPr>
        <w:t xml:space="preserve"> або </w:t>
      </w:r>
      <w:r w:rsidRPr="00565C3D">
        <w:rPr>
          <w:sz w:val="28"/>
          <w:szCs w:val="28"/>
          <w:lang w:val="uk-UA"/>
        </w:rPr>
        <w:t>врахування</w:t>
      </w:r>
      <w:r w:rsidR="00561341">
        <w:rPr>
          <w:sz w:val="28"/>
          <w:szCs w:val="28"/>
          <w:lang w:val="uk-UA"/>
        </w:rPr>
        <w:t>м</w:t>
      </w:r>
      <w:r w:rsidRPr="00565C3D">
        <w:rPr>
          <w:sz w:val="28"/>
          <w:szCs w:val="28"/>
          <w:lang w:val="uk-UA"/>
        </w:rPr>
        <w:t xml:space="preserve"> інформації про належність до групи пов’язаних контрагентів під час першого етапу оцінки стійкості банку;</w:t>
      </w:r>
    </w:p>
    <w:bookmarkEnd w:id="13"/>
    <w:p w14:paraId="73E64EDD" w14:textId="77777777" w:rsidR="00565C3D" w:rsidRPr="00565C3D" w:rsidRDefault="00565C3D" w:rsidP="00EB666D">
      <w:pPr>
        <w:pStyle w:val="aff0"/>
        <w:tabs>
          <w:tab w:val="left" w:pos="993"/>
        </w:tabs>
        <w:spacing w:before="240" w:beforeAutospacing="0" w:after="240" w:afterAutospacing="0"/>
        <w:ind w:firstLine="567"/>
        <w:jc w:val="both"/>
        <w:rPr>
          <w:sz w:val="28"/>
          <w:szCs w:val="28"/>
          <w:lang w:val="uk-UA"/>
        </w:rPr>
      </w:pPr>
      <w:r w:rsidRPr="00565C3D">
        <w:rPr>
          <w:sz w:val="28"/>
          <w:szCs w:val="28"/>
          <w:lang w:val="uk-UA"/>
        </w:rPr>
        <w:t>інформацію про події та ознаки дефолту, ознаки, що свідчать про високий кредитний ризик боржника;</w:t>
      </w:r>
    </w:p>
    <w:p w14:paraId="656C74A3" w14:textId="77777777" w:rsidR="00565C3D" w:rsidRPr="00565C3D" w:rsidRDefault="00565C3D" w:rsidP="00EB666D">
      <w:pPr>
        <w:pStyle w:val="aff0"/>
        <w:tabs>
          <w:tab w:val="left" w:pos="993"/>
        </w:tabs>
        <w:spacing w:before="240" w:beforeAutospacing="0" w:after="240" w:afterAutospacing="0"/>
        <w:ind w:firstLine="567"/>
        <w:jc w:val="both"/>
        <w:rPr>
          <w:sz w:val="28"/>
          <w:szCs w:val="28"/>
          <w:lang w:val="uk-UA"/>
        </w:rPr>
      </w:pPr>
      <w:r w:rsidRPr="00565C3D">
        <w:rPr>
          <w:sz w:val="28"/>
          <w:szCs w:val="28"/>
          <w:lang w:val="uk-UA"/>
        </w:rPr>
        <w:t>інформацію про стан обслуговування боргу, у тому числі кількість днів прострочення погашення боргу.</w:t>
      </w:r>
    </w:p>
    <w:p w14:paraId="0CC370E7" w14:textId="77777777" w:rsidR="00565C3D" w:rsidRPr="00565C3D" w:rsidRDefault="00565C3D" w:rsidP="00EB666D">
      <w:pPr>
        <w:pStyle w:val="af3"/>
        <w:tabs>
          <w:tab w:val="left" w:pos="993"/>
        </w:tabs>
        <w:spacing w:before="240" w:after="240"/>
        <w:ind w:left="0" w:firstLine="567"/>
        <w:contextualSpacing w:val="0"/>
      </w:pPr>
      <w:r w:rsidRPr="00565C3D">
        <w:t>Якщо інформація є неповною або містить помилки, то банк надає додаткову інформацію або пояснення. Якщо банк не надав додаткових даних та/або пояснень протягом установленого в запиті строку, то такі дані та/або інформація приймаються до СТ з урахуванням професійного судження працівників Національного банку.</w:t>
      </w:r>
    </w:p>
    <w:p w14:paraId="40CEFFAC" w14:textId="77777777" w:rsidR="00565C3D" w:rsidRPr="00565C3D" w:rsidRDefault="00565C3D" w:rsidP="00EB666D">
      <w:pPr>
        <w:pStyle w:val="af3"/>
        <w:tabs>
          <w:tab w:val="left" w:pos="993"/>
        </w:tabs>
        <w:spacing w:before="240" w:after="240"/>
        <w:ind w:left="0" w:firstLine="567"/>
        <w:contextualSpacing w:val="0"/>
      </w:pPr>
      <w:r w:rsidRPr="00565C3D">
        <w:t xml:space="preserve">Якщо банк не надав інформацію щодо окремих боржників, то для таких боржників установлюється </w:t>
      </w:r>
      <w:r w:rsidR="00ED35D3">
        <w:t xml:space="preserve">клас </w:t>
      </w:r>
      <w:r w:rsidRPr="00565C3D">
        <w:t>10</w:t>
      </w:r>
      <w:r w:rsidR="001C0D7A">
        <w:t>;</w:t>
      </w:r>
    </w:p>
    <w:p w14:paraId="276BB2B1" w14:textId="77777777" w:rsidR="00565C3D" w:rsidRPr="00565C3D" w:rsidRDefault="00565C3D" w:rsidP="00EB666D">
      <w:pPr>
        <w:tabs>
          <w:tab w:val="left" w:pos="993"/>
        </w:tabs>
        <w:spacing w:before="240" w:after="240"/>
        <w:ind w:firstLine="567"/>
      </w:pPr>
      <w:r w:rsidRPr="00565C3D">
        <w:t xml:space="preserve">3) розрахунок впливу базового сценарію на розмір кредитного ризику за активними операціями боржників. </w:t>
      </w:r>
    </w:p>
    <w:p w14:paraId="69B2F5E8" w14:textId="49F24B7C" w:rsidR="00565C3D" w:rsidRPr="00EB666D" w:rsidRDefault="00565C3D" w:rsidP="00EB666D">
      <w:pPr>
        <w:tabs>
          <w:tab w:val="left" w:pos="993"/>
        </w:tabs>
        <w:spacing w:before="240" w:after="240"/>
        <w:ind w:firstLine="567"/>
      </w:pPr>
      <w:r w:rsidRPr="00565C3D">
        <w:t xml:space="preserve">Активні операції боржників, які входять до </w:t>
      </w:r>
      <w:r w:rsidR="00A12430">
        <w:t>другої</w:t>
      </w:r>
      <w:r w:rsidR="00A12430" w:rsidRPr="00565C3D">
        <w:t xml:space="preserve"> </w:t>
      </w:r>
      <w:r w:rsidRPr="00565C3D">
        <w:t xml:space="preserve">групи ЮО відповідно до вимог розділу XI цього додатка, підлягають СТ із прогнозуванням показника співвідношення фінансового результату від операційної діяльності </w:t>
      </w:r>
      <w:r w:rsidR="00B86DF7">
        <w:t>до</w:t>
      </w:r>
      <w:r w:rsidRPr="00565C3D">
        <w:t xml:space="preserve"> відрахування амортизації</w:t>
      </w:r>
      <w:r w:rsidRPr="00565C3D">
        <w:rPr>
          <w:vertAlign w:val="superscript"/>
        </w:rPr>
        <w:footnoteReference w:id="1"/>
      </w:r>
      <w:r w:rsidRPr="00565C3D">
        <w:rPr>
          <w:vertAlign w:val="superscript"/>
        </w:rPr>
        <w:t xml:space="preserve"> </w:t>
      </w:r>
      <w:r w:rsidRPr="00565C3D">
        <w:t xml:space="preserve">(скоригованого </w:t>
      </w:r>
      <w:r w:rsidR="00BD3F83" w:rsidRPr="00721D1D">
        <w:rPr>
          <w:color w:val="0D0D0D" w:themeColor="text1" w:themeTint="F2"/>
        </w:rPr>
        <w:t>на разові</w:t>
      </w:r>
      <w:r w:rsidR="00BD3F83" w:rsidRPr="00721D1D">
        <w:t xml:space="preserve"> </w:t>
      </w:r>
      <w:r w:rsidR="00BD3F83" w:rsidRPr="00721D1D">
        <w:rPr>
          <w:color w:val="0D0D0D" w:themeColor="text1" w:themeTint="F2"/>
        </w:rPr>
        <w:t>неповторювані</w:t>
      </w:r>
      <w:r w:rsidR="00BD3F83">
        <w:rPr>
          <w:color w:val="0D0D0D" w:themeColor="text1" w:themeTint="F2"/>
        </w:rPr>
        <w:t xml:space="preserve"> складові</w:t>
      </w:r>
      <w:r w:rsidR="00BD3F83">
        <w:t xml:space="preserve"> </w:t>
      </w:r>
      <w:r w:rsidR="00BD3F83" w:rsidRPr="001D382F">
        <w:t>інших операційних доходів/</w:t>
      </w:r>
      <w:r w:rsidR="00BD3F83" w:rsidRPr="00EB666D">
        <w:t>витрат</w:t>
      </w:r>
      <w:r w:rsidRPr="00EB666D">
        <w:t xml:space="preserve">) </w:t>
      </w:r>
      <w:r w:rsidR="00561341" w:rsidRPr="00EB666D">
        <w:t>та</w:t>
      </w:r>
      <w:r w:rsidR="00B86DF7" w:rsidRPr="00EB666D">
        <w:t xml:space="preserve"> </w:t>
      </w:r>
      <w:r w:rsidRPr="00EB666D">
        <w:t>розрахункового обсягу річних фінансових витрат за сукупним кредитним портфелем боржника в усіх банках та інших фінансових установах, що підлягають сплаті згідно з умовами договор</w:t>
      </w:r>
      <w:r w:rsidR="006708ED" w:rsidRPr="00EB666D">
        <w:t>ів</w:t>
      </w:r>
      <w:r w:rsidRPr="00EB666D">
        <w:t xml:space="preserve"> протягом наступних 12 місяців (далі – модифікований коефіцієнт покриття процентів, ICR</w:t>
      </w:r>
      <w:r w:rsidRPr="00EB666D">
        <w:rPr>
          <w:vertAlign w:val="subscript"/>
        </w:rPr>
        <w:t>M</w:t>
      </w:r>
      <w:r w:rsidRPr="00EB666D">
        <w:t xml:space="preserve">). Для цілей СТ робиться припущення, що макроекономічні </w:t>
      </w:r>
      <w:r w:rsidR="00B86DF7" w:rsidRPr="00EB666D">
        <w:lastRenderedPageBreak/>
        <w:t>фактори</w:t>
      </w:r>
      <w:r w:rsidR="00D20657" w:rsidRPr="00EB666D">
        <w:t xml:space="preserve"> </w:t>
      </w:r>
      <w:r w:rsidRPr="00EB666D">
        <w:t xml:space="preserve">мають прямий та непрямий вплив на показник фінансового результату від операційної діяльності до вирахування амортизації (скоригованого </w:t>
      </w:r>
      <w:r w:rsidR="00BD3F83" w:rsidRPr="00EB666D">
        <w:rPr>
          <w:color w:val="0D0D0D" w:themeColor="text1" w:themeTint="F2"/>
        </w:rPr>
        <w:t>на разові</w:t>
      </w:r>
      <w:r w:rsidR="00BD3F83" w:rsidRPr="00EB666D">
        <w:t xml:space="preserve"> </w:t>
      </w:r>
      <w:r w:rsidR="00BD3F83" w:rsidRPr="00EB666D">
        <w:rPr>
          <w:color w:val="0D0D0D" w:themeColor="text1" w:themeTint="F2"/>
        </w:rPr>
        <w:t>неповторювані складові</w:t>
      </w:r>
      <w:r w:rsidR="00BD3F83" w:rsidRPr="00EB666D">
        <w:t xml:space="preserve"> інших операційних доходів/витрат</w:t>
      </w:r>
      <w:r w:rsidRPr="00EB666D">
        <w:t>) (далі – EBITDA). Річні фінансові витрати припускаються незмінними, крім переоцінки фінансових витрат за валютними кредитами за курсом</w:t>
      </w:r>
      <w:r w:rsidR="00D83311" w:rsidRPr="00EB666D">
        <w:rPr>
          <w:lang w:val="ru-RU"/>
        </w:rPr>
        <w:t xml:space="preserve"> </w:t>
      </w:r>
      <w:r w:rsidR="007A6EAC" w:rsidRPr="00EB666D">
        <w:t>іноземної валюти</w:t>
      </w:r>
      <w:r w:rsidRPr="00EB666D">
        <w:t>.</w:t>
      </w:r>
    </w:p>
    <w:p w14:paraId="1190BBAC" w14:textId="53684C14" w:rsidR="00565C3D" w:rsidRDefault="00565C3D" w:rsidP="00EB666D">
      <w:pPr>
        <w:tabs>
          <w:tab w:val="left" w:pos="993"/>
        </w:tabs>
        <w:spacing w:before="240" w:after="240"/>
        <w:ind w:firstLine="567"/>
      </w:pPr>
      <w:r w:rsidRPr="00EB666D">
        <w:t>Для боржників, активи яких віднесені до першої групи відповідно до вимог підпункту 1 пункту 6</w:t>
      </w:r>
      <w:r w:rsidR="006328D0" w:rsidRPr="00EB666D">
        <w:t>4</w:t>
      </w:r>
      <w:r w:rsidRPr="00EB666D">
        <w:t xml:space="preserve"> розділу XІ цього додатка, прогнозування ICR</w:t>
      </w:r>
      <w:r w:rsidRPr="00EB666D">
        <w:rPr>
          <w:vertAlign w:val="subscript"/>
        </w:rPr>
        <w:t>M</w:t>
      </w:r>
      <w:r w:rsidRPr="00EB666D">
        <w:t xml:space="preserve"> не здійснюється. Для боржників цих груп враховується переоцінка суми боргу під впливом зміни валютних курсів.</w:t>
      </w:r>
      <w:r w:rsidRPr="00565C3D">
        <w:t xml:space="preserve"> </w:t>
      </w:r>
    </w:p>
    <w:p w14:paraId="57C7F78E" w14:textId="77777777" w:rsidR="00565C3D" w:rsidRPr="004A7F27" w:rsidRDefault="00565C3D" w:rsidP="00EB666D">
      <w:pPr>
        <w:pStyle w:val="af3"/>
        <w:numPr>
          <w:ilvl w:val="0"/>
          <w:numId w:val="52"/>
        </w:numPr>
        <w:tabs>
          <w:tab w:val="left" w:pos="993"/>
        </w:tabs>
        <w:spacing w:before="240" w:after="240"/>
        <w:ind w:left="0" w:firstLine="567"/>
        <w:contextualSpacing w:val="0"/>
        <w:rPr>
          <w:color w:val="000000" w:themeColor="text1"/>
        </w:rPr>
      </w:pPr>
      <w:r w:rsidRPr="004A7F27">
        <w:rPr>
          <w:color w:val="000000" w:themeColor="text1"/>
        </w:rPr>
        <w:t>СТ боржників здійснюється</w:t>
      </w:r>
      <w:r w:rsidR="00572EFE">
        <w:rPr>
          <w:color w:val="000000" w:themeColor="text1"/>
        </w:rPr>
        <w:t xml:space="preserve"> з урахуванням</w:t>
      </w:r>
      <w:r w:rsidRPr="004A7F27">
        <w:rPr>
          <w:color w:val="000000" w:themeColor="text1"/>
        </w:rPr>
        <w:t xml:space="preserve"> вимог Технічного завдання</w:t>
      </w:r>
      <w:r w:rsidR="00572EFE">
        <w:rPr>
          <w:color w:val="000000" w:themeColor="text1"/>
        </w:rPr>
        <w:t xml:space="preserve">, </w:t>
      </w:r>
      <w:r w:rsidR="00E65B5E" w:rsidRPr="00EB666D">
        <w:t>Правил роботи банків у зв’язку з введенням в Україні воєнного стану, затверджен</w:t>
      </w:r>
      <w:r w:rsidR="00E119D8">
        <w:t>их</w:t>
      </w:r>
      <w:r w:rsidR="00E65B5E" w:rsidRPr="00EB666D">
        <w:t xml:space="preserve"> постановою Правління Національного банку України від 25</w:t>
      </w:r>
      <w:r w:rsidR="00B86DF7">
        <w:t> </w:t>
      </w:r>
      <w:r w:rsidR="00E65B5E">
        <w:t xml:space="preserve">лютого </w:t>
      </w:r>
      <w:r w:rsidR="00E65B5E" w:rsidRPr="00F04949">
        <w:t>2022</w:t>
      </w:r>
      <w:r w:rsidR="00B86DF7">
        <w:t> </w:t>
      </w:r>
      <w:r w:rsidR="00E65B5E">
        <w:t xml:space="preserve">року </w:t>
      </w:r>
      <w:r w:rsidR="00E65B5E" w:rsidRPr="00F04949">
        <w:t>№</w:t>
      </w:r>
      <w:r w:rsidR="00E65B5E">
        <w:t> </w:t>
      </w:r>
      <w:r w:rsidR="00E65B5E" w:rsidRPr="00F04949">
        <w:t>23 “Про деякі питання діяльності банків України та банківських груп” (зі змінами)</w:t>
      </w:r>
      <w:r w:rsidR="00E65B5E">
        <w:t xml:space="preserve"> (далі – </w:t>
      </w:r>
      <w:r w:rsidR="00E65B5E" w:rsidRPr="00567986">
        <w:t>Правила</w:t>
      </w:r>
      <w:r w:rsidR="00E65B5E">
        <w:t> № 23)</w:t>
      </w:r>
      <w:r w:rsidR="00E119D8">
        <w:t>,</w:t>
      </w:r>
      <w:r w:rsidRPr="00007B5C">
        <w:rPr>
          <w:color w:val="000000" w:themeColor="text1"/>
        </w:rPr>
        <w:t xml:space="preserve"> та норм Положення № 351</w:t>
      </w:r>
      <w:r w:rsidR="00572EFE" w:rsidRPr="00007B5C">
        <w:rPr>
          <w:color w:val="000000" w:themeColor="text1"/>
        </w:rPr>
        <w:t xml:space="preserve"> із застосуванням так</w:t>
      </w:r>
      <w:r w:rsidR="00F37D2F" w:rsidRPr="00007B5C">
        <w:rPr>
          <w:color w:val="000000" w:themeColor="text1"/>
        </w:rPr>
        <w:t>ого</w:t>
      </w:r>
      <w:r w:rsidR="00572EFE" w:rsidRPr="00007B5C">
        <w:rPr>
          <w:color w:val="000000" w:themeColor="text1"/>
        </w:rPr>
        <w:t xml:space="preserve"> підход</w:t>
      </w:r>
      <w:r w:rsidR="00F37D2F" w:rsidRPr="00007B5C">
        <w:rPr>
          <w:color w:val="000000" w:themeColor="text1"/>
        </w:rPr>
        <w:t>у</w:t>
      </w:r>
      <w:r w:rsidR="00572EFE" w:rsidRPr="00007B5C">
        <w:rPr>
          <w:color w:val="000000" w:themeColor="text1"/>
        </w:rPr>
        <w:t xml:space="preserve"> кредитного аналізу</w:t>
      </w:r>
      <w:r w:rsidRPr="00007B5C">
        <w:rPr>
          <w:color w:val="000000" w:themeColor="text1"/>
        </w:rPr>
        <w:t>:</w:t>
      </w:r>
    </w:p>
    <w:p w14:paraId="2D70EC9C" w14:textId="77777777" w:rsidR="00565C3D" w:rsidRPr="00565C3D" w:rsidRDefault="00565C3D" w:rsidP="00EB666D">
      <w:pPr>
        <w:pStyle w:val="aff0"/>
        <w:tabs>
          <w:tab w:val="left" w:pos="993"/>
        </w:tabs>
        <w:spacing w:before="240" w:beforeAutospacing="0" w:after="240" w:afterAutospacing="0"/>
        <w:ind w:firstLine="567"/>
        <w:jc w:val="both"/>
        <w:rPr>
          <w:sz w:val="28"/>
          <w:szCs w:val="28"/>
          <w:lang w:val="uk-UA"/>
        </w:rPr>
      </w:pPr>
      <w:r w:rsidRPr="00565C3D">
        <w:rPr>
          <w:sz w:val="28"/>
          <w:szCs w:val="28"/>
          <w:lang w:val="uk-UA"/>
        </w:rPr>
        <w:t xml:space="preserve">боржнику присвоюється </w:t>
      </w:r>
      <w:r w:rsidR="00E119D8">
        <w:rPr>
          <w:sz w:val="28"/>
          <w:szCs w:val="28"/>
          <w:lang w:val="uk-UA"/>
        </w:rPr>
        <w:t xml:space="preserve">клас </w:t>
      </w:r>
      <w:r w:rsidRPr="00565C3D">
        <w:rPr>
          <w:sz w:val="28"/>
          <w:szCs w:val="28"/>
          <w:lang w:val="uk-UA"/>
        </w:rPr>
        <w:t>10 (найнижчий), якщо розрахункове значення коефіцієнта ICR</w:t>
      </w:r>
      <w:r w:rsidRPr="00565C3D">
        <w:rPr>
          <w:vertAlign w:val="subscript"/>
          <w:lang w:val="uk-UA"/>
        </w:rPr>
        <w:t>M</w:t>
      </w:r>
      <w:r w:rsidRPr="00565C3D">
        <w:rPr>
          <w:lang w:val="uk-UA"/>
        </w:rPr>
        <w:t xml:space="preserve"> </w:t>
      </w:r>
      <w:r w:rsidRPr="00565C3D">
        <w:rPr>
          <w:sz w:val="28"/>
          <w:szCs w:val="28"/>
          <w:lang w:val="uk-UA"/>
        </w:rPr>
        <w:t xml:space="preserve">у кожному з прогнозних періодів менше </w:t>
      </w:r>
      <w:r w:rsidR="004A7F27">
        <w:rPr>
          <w:sz w:val="28"/>
          <w:szCs w:val="28"/>
          <w:lang w:val="uk-UA"/>
        </w:rPr>
        <w:t>граничного значення</w:t>
      </w:r>
      <w:r w:rsidRPr="00565C3D">
        <w:rPr>
          <w:sz w:val="28"/>
          <w:szCs w:val="28"/>
          <w:lang w:val="uk-UA"/>
        </w:rPr>
        <w:t xml:space="preserve">, визначеного </w:t>
      </w:r>
      <w:r w:rsidR="00E119D8">
        <w:rPr>
          <w:sz w:val="28"/>
          <w:szCs w:val="28"/>
          <w:lang w:val="uk-UA"/>
        </w:rPr>
        <w:t>в</w:t>
      </w:r>
      <w:r w:rsidR="00E119D8" w:rsidRPr="00565C3D">
        <w:rPr>
          <w:sz w:val="28"/>
          <w:szCs w:val="28"/>
          <w:lang w:val="uk-UA"/>
        </w:rPr>
        <w:t xml:space="preserve"> </w:t>
      </w:r>
      <w:r w:rsidR="004A7F27">
        <w:rPr>
          <w:sz w:val="28"/>
          <w:szCs w:val="28"/>
          <w:lang w:val="uk-UA"/>
        </w:rPr>
        <w:t>т</w:t>
      </w:r>
      <w:r w:rsidRPr="00565C3D">
        <w:rPr>
          <w:sz w:val="28"/>
          <w:szCs w:val="28"/>
          <w:lang w:val="uk-UA"/>
        </w:rPr>
        <w:t>аблиці 7</w:t>
      </w:r>
      <w:r w:rsidR="00E119D8">
        <w:rPr>
          <w:sz w:val="28"/>
          <w:szCs w:val="28"/>
          <w:lang w:val="uk-UA"/>
        </w:rPr>
        <w:t xml:space="preserve"> цього додатка</w:t>
      </w:r>
      <w:r w:rsidR="00AC118A">
        <w:rPr>
          <w:sz w:val="28"/>
          <w:szCs w:val="28"/>
          <w:lang w:val="uk-UA"/>
        </w:rPr>
        <w:t>. Це</w:t>
      </w:r>
      <w:r w:rsidRPr="00565C3D">
        <w:rPr>
          <w:sz w:val="28"/>
          <w:szCs w:val="28"/>
          <w:lang w:val="uk-UA"/>
        </w:rPr>
        <w:t xml:space="preserve"> свідчить про недостатність операційних доходів</w:t>
      </w:r>
      <w:r w:rsidR="00EE76FF">
        <w:rPr>
          <w:sz w:val="28"/>
          <w:szCs w:val="28"/>
          <w:lang w:val="uk-UA"/>
        </w:rPr>
        <w:t xml:space="preserve"> боржника</w:t>
      </w:r>
      <w:r w:rsidRPr="00565C3D">
        <w:rPr>
          <w:sz w:val="28"/>
          <w:szCs w:val="28"/>
          <w:lang w:val="uk-UA"/>
        </w:rPr>
        <w:t xml:space="preserve"> для обслуговування боргу.</w:t>
      </w:r>
    </w:p>
    <w:p w14:paraId="6031F755" w14:textId="77777777" w:rsidR="00565C3D" w:rsidRPr="00565C3D" w:rsidRDefault="00565C3D" w:rsidP="00EB666D">
      <w:pPr>
        <w:pStyle w:val="aff0"/>
        <w:tabs>
          <w:tab w:val="left" w:pos="993"/>
        </w:tabs>
        <w:spacing w:before="240" w:beforeAutospacing="0" w:after="240" w:afterAutospacing="0"/>
        <w:ind w:firstLine="567"/>
        <w:jc w:val="both"/>
        <w:rPr>
          <w:sz w:val="28"/>
          <w:szCs w:val="28"/>
          <w:lang w:val="uk-UA"/>
        </w:rPr>
      </w:pPr>
      <w:r w:rsidRPr="00565C3D">
        <w:rPr>
          <w:sz w:val="28"/>
          <w:szCs w:val="28"/>
          <w:lang w:val="uk-UA"/>
        </w:rPr>
        <w:t>Значення ICR</w:t>
      </w:r>
      <w:r w:rsidRPr="00565C3D">
        <w:rPr>
          <w:vertAlign w:val="subscript"/>
          <w:lang w:val="uk-UA"/>
        </w:rPr>
        <w:t>M</w:t>
      </w:r>
      <w:r w:rsidRPr="00565C3D">
        <w:rPr>
          <w:sz w:val="28"/>
          <w:szCs w:val="28"/>
          <w:lang w:val="uk-UA"/>
        </w:rPr>
        <w:t xml:space="preserve"> у кожному з прогнозних періодів розраховується відповідно до розділу XIV</w:t>
      </w:r>
      <w:r w:rsidR="00E119D8">
        <w:rPr>
          <w:sz w:val="28"/>
          <w:szCs w:val="28"/>
          <w:lang w:val="uk-UA"/>
        </w:rPr>
        <w:t xml:space="preserve"> цього додатка</w:t>
      </w:r>
      <w:r w:rsidRPr="00565C3D">
        <w:rPr>
          <w:sz w:val="28"/>
          <w:szCs w:val="28"/>
          <w:lang w:val="uk-UA"/>
        </w:rPr>
        <w:t xml:space="preserve">. </w:t>
      </w:r>
    </w:p>
    <w:p w14:paraId="77D15D86" w14:textId="3BF549D5" w:rsidR="004244C0" w:rsidRPr="00483885" w:rsidRDefault="00565C3D" w:rsidP="00483885">
      <w:pPr>
        <w:pStyle w:val="aff0"/>
        <w:tabs>
          <w:tab w:val="left" w:pos="993"/>
        </w:tabs>
        <w:spacing w:before="240" w:beforeAutospacing="0" w:after="240" w:afterAutospacing="0"/>
        <w:ind w:firstLine="567"/>
        <w:jc w:val="both"/>
        <w:rPr>
          <w:sz w:val="28"/>
          <w:szCs w:val="28"/>
          <w:lang w:val="uk-UA"/>
        </w:rPr>
      </w:pPr>
      <w:r w:rsidRPr="00565C3D">
        <w:rPr>
          <w:sz w:val="28"/>
          <w:szCs w:val="28"/>
          <w:lang w:val="uk-UA"/>
        </w:rPr>
        <w:t>Граничні значення коефіцієнта ICR</w:t>
      </w:r>
      <w:r w:rsidRPr="00565C3D">
        <w:rPr>
          <w:vertAlign w:val="subscript"/>
          <w:lang w:val="uk-UA"/>
        </w:rPr>
        <w:t>M</w:t>
      </w:r>
      <w:r w:rsidRPr="00565C3D">
        <w:rPr>
          <w:sz w:val="28"/>
          <w:szCs w:val="28"/>
          <w:lang w:val="uk-UA"/>
        </w:rPr>
        <w:t xml:space="preserve"> у таблиці 7 </w:t>
      </w:r>
      <w:r w:rsidR="00E119D8">
        <w:rPr>
          <w:sz w:val="28"/>
          <w:szCs w:val="28"/>
          <w:lang w:val="uk-UA"/>
        </w:rPr>
        <w:t xml:space="preserve">цього додатка </w:t>
      </w:r>
      <w:r w:rsidRPr="00565C3D">
        <w:rPr>
          <w:sz w:val="28"/>
          <w:szCs w:val="28"/>
          <w:lang w:val="uk-UA"/>
        </w:rPr>
        <w:t>визнач</w:t>
      </w:r>
      <w:r w:rsidR="004A7F27">
        <w:rPr>
          <w:sz w:val="28"/>
          <w:szCs w:val="28"/>
          <w:lang w:val="uk-UA"/>
        </w:rPr>
        <w:t>ено ґрунтуючись на припущенні щодо</w:t>
      </w:r>
      <w:r w:rsidRPr="00565C3D">
        <w:rPr>
          <w:sz w:val="28"/>
          <w:szCs w:val="28"/>
          <w:lang w:val="uk-UA"/>
        </w:rPr>
        <w:t xml:space="preserve"> поступового відновлення та активізації діяльності підприємств</w:t>
      </w:r>
      <w:r w:rsidR="000D2D2B">
        <w:rPr>
          <w:sz w:val="28"/>
          <w:szCs w:val="28"/>
          <w:lang w:val="uk-UA"/>
        </w:rPr>
        <w:t>-боржників</w:t>
      </w:r>
      <w:r w:rsidR="002855F5">
        <w:rPr>
          <w:sz w:val="28"/>
          <w:szCs w:val="28"/>
          <w:lang w:val="uk-UA"/>
        </w:rPr>
        <w:t xml:space="preserve">. Припускається, що </w:t>
      </w:r>
      <w:r w:rsidR="00D15E24">
        <w:rPr>
          <w:sz w:val="28"/>
          <w:szCs w:val="28"/>
          <w:lang w:val="uk-UA"/>
        </w:rPr>
        <w:t>підприємствам</w:t>
      </w:r>
      <w:r w:rsidR="000D2D2B">
        <w:rPr>
          <w:sz w:val="28"/>
          <w:szCs w:val="28"/>
          <w:lang w:val="uk-UA"/>
        </w:rPr>
        <w:t>-боржникам</w:t>
      </w:r>
      <w:r w:rsidR="00D15E24">
        <w:rPr>
          <w:sz w:val="28"/>
          <w:szCs w:val="28"/>
          <w:lang w:val="uk-UA"/>
        </w:rPr>
        <w:t xml:space="preserve"> </w:t>
      </w:r>
      <w:r w:rsidR="00093D64">
        <w:rPr>
          <w:sz w:val="28"/>
          <w:szCs w:val="28"/>
          <w:lang w:val="uk-UA"/>
        </w:rPr>
        <w:t>необхідн</w:t>
      </w:r>
      <w:r w:rsidR="00B75692">
        <w:rPr>
          <w:sz w:val="28"/>
          <w:szCs w:val="28"/>
          <w:lang w:val="uk-UA"/>
        </w:rPr>
        <w:t>о</w:t>
      </w:r>
      <w:r w:rsidR="00093D64">
        <w:rPr>
          <w:sz w:val="28"/>
          <w:szCs w:val="28"/>
          <w:lang w:val="uk-UA"/>
        </w:rPr>
        <w:t xml:space="preserve"> буде</w:t>
      </w:r>
      <w:r w:rsidR="002C48AB">
        <w:rPr>
          <w:sz w:val="28"/>
          <w:szCs w:val="28"/>
          <w:lang w:val="uk-UA"/>
        </w:rPr>
        <w:t xml:space="preserve"> </w:t>
      </w:r>
      <w:r w:rsidR="00B75692">
        <w:rPr>
          <w:sz w:val="28"/>
          <w:szCs w:val="28"/>
          <w:lang w:val="uk-UA"/>
        </w:rPr>
        <w:t>спрямовувати частину</w:t>
      </w:r>
      <w:r w:rsidR="002C48AB">
        <w:rPr>
          <w:sz w:val="28"/>
          <w:szCs w:val="28"/>
          <w:lang w:val="uk-UA"/>
        </w:rPr>
        <w:t xml:space="preserve"> доход</w:t>
      </w:r>
      <w:r w:rsidR="002855F5">
        <w:rPr>
          <w:sz w:val="28"/>
          <w:szCs w:val="28"/>
          <w:lang w:val="uk-UA"/>
        </w:rPr>
        <w:t>у</w:t>
      </w:r>
      <w:r w:rsidR="002C48AB">
        <w:rPr>
          <w:sz w:val="28"/>
          <w:szCs w:val="28"/>
          <w:lang w:val="uk-UA"/>
        </w:rPr>
        <w:t xml:space="preserve"> на фінансування</w:t>
      </w:r>
      <w:r w:rsidR="002C48AB" w:rsidRPr="00565C3D">
        <w:rPr>
          <w:sz w:val="28"/>
          <w:szCs w:val="28"/>
          <w:lang w:val="uk-UA"/>
        </w:rPr>
        <w:t xml:space="preserve"> </w:t>
      </w:r>
      <w:r w:rsidRPr="00565C3D">
        <w:rPr>
          <w:sz w:val="28"/>
          <w:szCs w:val="28"/>
          <w:lang w:val="uk-UA"/>
        </w:rPr>
        <w:t>операційної діяльності та</w:t>
      </w:r>
      <w:r w:rsidR="002855F5">
        <w:rPr>
          <w:sz w:val="28"/>
          <w:szCs w:val="28"/>
          <w:lang w:val="uk-UA"/>
        </w:rPr>
        <w:t>, відповідно</w:t>
      </w:r>
      <w:r w:rsidR="00B75692">
        <w:rPr>
          <w:sz w:val="28"/>
          <w:szCs w:val="28"/>
          <w:lang w:val="uk-UA"/>
        </w:rPr>
        <w:t>,</w:t>
      </w:r>
      <w:r w:rsidRPr="00565C3D">
        <w:rPr>
          <w:sz w:val="28"/>
          <w:szCs w:val="28"/>
          <w:lang w:val="uk-UA"/>
        </w:rPr>
        <w:t xml:space="preserve"> обслуговува</w:t>
      </w:r>
      <w:r w:rsidR="00B75692">
        <w:rPr>
          <w:sz w:val="28"/>
          <w:szCs w:val="28"/>
          <w:lang w:val="uk-UA"/>
        </w:rPr>
        <w:t>ти</w:t>
      </w:r>
      <w:r w:rsidRPr="00565C3D">
        <w:rPr>
          <w:sz w:val="28"/>
          <w:szCs w:val="28"/>
          <w:lang w:val="uk-UA"/>
        </w:rPr>
        <w:t xml:space="preserve"> основн</w:t>
      </w:r>
      <w:r w:rsidR="00B75692">
        <w:rPr>
          <w:sz w:val="28"/>
          <w:szCs w:val="28"/>
          <w:lang w:val="uk-UA"/>
        </w:rPr>
        <w:t>у</w:t>
      </w:r>
      <w:r w:rsidRPr="00565C3D">
        <w:rPr>
          <w:sz w:val="28"/>
          <w:szCs w:val="28"/>
          <w:lang w:val="uk-UA"/>
        </w:rPr>
        <w:t xml:space="preserve"> сум</w:t>
      </w:r>
      <w:r w:rsidR="00B75692">
        <w:rPr>
          <w:sz w:val="28"/>
          <w:szCs w:val="28"/>
          <w:lang w:val="uk-UA"/>
        </w:rPr>
        <w:t>у</w:t>
      </w:r>
      <w:r w:rsidR="00483885">
        <w:rPr>
          <w:sz w:val="28"/>
          <w:szCs w:val="28"/>
          <w:lang w:val="uk-UA"/>
        </w:rPr>
        <w:t xml:space="preserve"> боргу.</w:t>
      </w:r>
    </w:p>
    <w:p w14:paraId="35FDD664" w14:textId="77777777" w:rsidR="00565C3D" w:rsidRPr="00565C3D" w:rsidRDefault="00565C3D" w:rsidP="00565C3D">
      <w:pPr>
        <w:ind w:left="6096"/>
        <w:jc w:val="right"/>
      </w:pPr>
      <w:r w:rsidRPr="00565C3D">
        <w:t>Таблиця 7</w:t>
      </w:r>
    </w:p>
    <w:p w14:paraId="661685C7" w14:textId="77777777" w:rsidR="00565C3D" w:rsidRPr="00565C3D" w:rsidRDefault="00565C3D" w:rsidP="00565C3D">
      <w:pPr>
        <w:jc w:val="center"/>
      </w:pPr>
      <w:r w:rsidRPr="00565C3D">
        <w:t>Граничні значення коефіцієнта ICR</w:t>
      </w:r>
      <w:r w:rsidRPr="00565C3D">
        <w:rPr>
          <w:vertAlign w:val="subscript"/>
        </w:rPr>
        <w:t>M</w:t>
      </w:r>
      <w:r w:rsidRPr="00565C3D">
        <w:t xml:space="preserve"> </w:t>
      </w:r>
    </w:p>
    <w:p w14:paraId="09172021" w14:textId="77777777" w:rsidR="00565C3D" w:rsidRPr="00565C3D" w:rsidRDefault="00565C3D" w:rsidP="00565C3D">
      <w:pPr>
        <w:ind w:left="6096"/>
        <w:jc w:val="right"/>
      </w:pPr>
      <w:r w:rsidRPr="00565C3D">
        <w:t>(безвимірна)</w:t>
      </w:r>
    </w:p>
    <w:tbl>
      <w:tblPr>
        <w:tblW w:w="9639" w:type="dxa"/>
        <w:tblInd w:w="-5" w:type="dxa"/>
        <w:tblLook w:val="04A0" w:firstRow="1" w:lastRow="0" w:firstColumn="1" w:lastColumn="0" w:noHBand="0" w:noVBand="1"/>
      </w:tblPr>
      <w:tblGrid>
        <w:gridCol w:w="555"/>
        <w:gridCol w:w="5682"/>
        <w:gridCol w:w="1134"/>
        <w:gridCol w:w="1134"/>
        <w:gridCol w:w="1134"/>
      </w:tblGrid>
      <w:tr w:rsidR="00565C3D" w:rsidRPr="00565C3D" w14:paraId="489A86C7" w14:textId="77777777" w:rsidTr="00565C3D">
        <w:trPr>
          <w:trHeight w:val="309"/>
        </w:trPr>
        <w:tc>
          <w:tcPr>
            <w:tcW w:w="555" w:type="dxa"/>
            <w:vMerge w:val="restart"/>
            <w:tcBorders>
              <w:top w:val="single" w:sz="4" w:space="0" w:color="auto"/>
              <w:left w:val="single" w:sz="4" w:space="0" w:color="auto"/>
              <w:right w:val="single" w:sz="4" w:space="0" w:color="auto"/>
            </w:tcBorders>
            <w:vAlign w:val="center"/>
          </w:tcPr>
          <w:p w14:paraId="573836A1" w14:textId="77777777" w:rsidR="00565C3D" w:rsidRPr="00565C3D" w:rsidRDefault="00565C3D" w:rsidP="00565C3D">
            <w:pPr>
              <w:jc w:val="center"/>
              <w:rPr>
                <w:lang w:eastAsia="ru-RU"/>
              </w:rPr>
            </w:pPr>
            <w:r w:rsidRPr="00565C3D">
              <w:rPr>
                <w:bCs/>
              </w:rPr>
              <w:t>№ з/п</w:t>
            </w:r>
          </w:p>
        </w:tc>
        <w:tc>
          <w:tcPr>
            <w:tcW w:w="5682" w:type="dxa"/>
            <w:vMerge w:val="restart"/>
            <w:tcBorders>
              <w:top w:val="single" w:sz="4" w:space="0" w:color="auto"/>
              <w:left w:val="single" w:sz="4" w:space="0" w:color="auto"/>
              <w:bottom w:val="single" w:sz="4" w:space="0" w:color="auto"/>
              <w:right w:val="single" w:sz="4" w:space="0" w:color="auto"/>
            </w:tcBorders>
            <w:noWrap/>
            <w:vAlign w:val="center"/>
            <w:hideMark/>
          </w:tcPr>
          <w:p w14:paraId="22949183" w14:textId="77777777" w:rsidR="00565C3D" w:rsidRPr="00565C3D" w:rsidRDefault="00565C3D" w:rsidP="00565C3D">
            <w:pPr>
              <w:jc w:val="center"/>
              <w:rPr>
                <w:lang w:eastAsia="ru-RU"/>
              </w:rPr>
            </w:pPr>
            <w:r w:rsidRPr="00565C3D">
              <w:rPr>
                <w:lang w:eastAsia="ru-RU"/>
              </w:rPr>
              <w:t>Економічні нормативи</w:t>
            </w:r>
          </w:p>
        </w:tc>
        <w:tc>
          <w:tcPr>
            <w:tcW w:w="3402" w:type="dxa"/>
            <w:gridSpan w:val="3"/>
            <w:tcBorders>
              <w:top w:val="single" w:sz="4" w:space="0" w:color="auto"/>
              <w:left w:val="nil"/>
              <w:bottom w:val="single" w:sz="4" w:space="0" w:color="auto"/>
              <w:right w:val="single" w:sz="4" w:space="0" w:color="auto"/>
            </w:tcBorders>
            <w:noWrap/>
            <w:hideMark/>
          </w:tcPr>
          <w:p w14:paraId="389F0BF5" w14:textId="77777777" w:rsidR="00565C3D" w:rsidRPr="00565C3D" w:rsidRDefault="00565C3D" w:rsidP="00565C3D">
            <w:pPr>
              <w:jc w:val="center"/>
              <w:rPr>
                <w:lang w:eastAsia="ru-RU"/>
              </w:rPr>
            </w:pPr>
            <w:r w:rsidRPr="00565C3D">
              <w:t>Прогнозні періоди (роки)</w:t>
            </w:r>
          </w:p>
        </w:tc>
      </w:tr>
      <w:tr w:rsidR="00565C3D" w:rsidRPr="00565C3D" w14:paraId="0633C1A7" w14:textId="77777777" w:rsidTr="00565C3D">
        <w:trPr>
          <w:trHeight w:val="618"/>
        </w:trPr>
        <w:tc>
          <w:tcPr>
            <w:tcW w:w="555" w:type="dxa"/>
            <w:vMerge/>
            <w:tcBorders>
              <w:left w:val="single" w:sz="4" w:space="0" w:color="auto"/>
              <w:bottom w:val="single" w:sz="4" w:space="0" w:color="auto"/>
              <w:right w:val="single" w:sz="4" w:space="0" w:color="auto"/>
            </w:tcBorders>
          </w:tcPr>
          <w:p w14:paraId="6B3152C9" w14:textId="77777777" w:rsidR="00565C3D" w:rsidRPr="00565C3D" w:rsidRDefault="00565C3D" w:rsidP="00565C3D">
            <w:pPr>
              <w:rPr>
                <w:lang w:eastAsia="ru-RU"/>
              </w:rPr>
            </w:pPr>
          </w:p>
        </w:tc>
        <w:tc>
          <w:tcPr>
            <w:tcW w:w="5682" w:type="dxa"/>
            <w:vMerge/>
            <w:tcBorders>
              <w:top w:val="single" w:sz="4" w:space="0" w:color="auto"/>
              <w:left w:val="single" w:sz="4" w:space="0" w:color="auto"/>
              <w:bottom w:val="single" w:sz="4" w:space="0" w:color="auto"/>
              <w:right w:val="single" w:sz="4" w:space="0" w:color="auto"/>
            </w:tcBorders>
            <w:vAlign w:val="center"/>
            <w:hideMark/>
          </w:tcPr>
          <w:p w14:paraId="5E41E8B2" w14:textId="77777777" w:rsidR="00565C3D" w:rsidRPr="00565C3D" w:rsidRDefault="00565C3D" w:rsidP="00565C3D">
            <w:pPr>
              <w:rPr>
                <w:lang w:eastAsia="ru-RU"/>
              </w:rPr>
            </w:pPr>
          </w:p>
        </w:tc>
        <w:tc>
          <w:tcPr>
            <w:tcW w:w="1134" w:type="dxa"/>
            <w:tcBorders>
              <w:top w:val="nil"/>
              <w:left w:val="nil"/>
              <w:bottom w:val="single" w:sz="4" w:space="0" w:color="auto"/>
              <w:right w:val="single" w:sz="4" w:space="0" w:color="auto"/>
            </w:tcBorders>
            <w:vAlign w:val="center"/>
            <w:hideMark/>
          </w:tcPr>
          <w:p w14:paraId="2188E249" w14:textId="77777777" w:rsidR="00565C3D" w:rsidRPr="00565C3D" w:rsidRDefault="00565C3D" w:rsidP="00565C3D">
            <w:pPr>
              <w:jc w:val="center"/>
              <w:rPr>
                <w:lang w:eastAsia="ru-RU"/>
              </w:rPr>
            </w:pPr>
            <w:r w:rsidRPr="00565C3D">
              <w:t>1</w:t>
            </w:r>
            <w:r w:rsidR="00FB4A2F">
              <w:t>-</w:t>
            </w:r>
            <w:r w:rsidRPr="00565C3D">
              <w:t>й</w:t>
            </w:r>
          </w:p>
        </w:tc>
        <w:tc>
          <w:tcPr>
            <w:tcW w:w="1134" w:type="dxa"/>
            <w:tcBorders>
              <w:top w:val="nil"/>
              <w:left w:val="nil"/>
              <w:bottom w:val="single" w:sz="4" w:space="0" w:color="auto"/>
              <w:right w:val="single" w:sz="4" w:space="0" w:color="auto"/>
            </w:tcBorders>
            <w:vAlign w:val="center"/>
            <w:hideMark/>
          </w:tcPr>
          <w:p w14:paraId="1B5DDA65" w14:textId="77777777" w:rsidR="00565C3D" w:rsidRPr="00565C3D" w:rsidRDefault="00565C3D" w:rsidP="00565C3D">
            <w:pPr>
              <w:jc w:val="center"/>
              <w:rPr>
                <w:lang w:eastAsia="ru-RU"/>
              </w:rPr>
            </w:pPr>
            <w:r w:rsidRPr="00565C3D">
              <w:t>2</w:t>
            </w:r>
            <w:r w:rsidR="00FB4A2F">
              <w:t>-</w:t>
            </w:r>
            <w:r w:rsidRPr="00565C3D">
              <w:t>й</w:t>
            </w:r>
          </w:p>
        </w:tc>
        <w:tc>
          <w:tcPr>
            <w:tcW w:w="1134" w:type="dxa"/>
            <w:tcBorders>
              <w:top w:val="nil"/>
              <w:left w:val="nil"/>
              <w:bottom w:val="single" w:sz="4" w:space="0" w:color="auto"/>
              <w:right w:val="single" w:sz="4" w:space="0" w:color="auto"/>
            </w:tcBorders>
            <w:vAlign w:val="center"/>
            <w:hideMark/>
          </w:tcPr>
          <w:p w14:paraId="7A90204A" w14:textId="77777777" w:rsidR="00565C3D" w:rsidRPr="00565C3D" w:rsidRDefault="00565C3D" w:rsidP="00565C3D">
            <w:pPr>
              <w:jc w:val="center"/>
              <w:rPr>
                <w:lang w:eastAsia="ru-RU"/>
              </w:rPr>
            </w:pPr>
            <w:r w:rsidRPr="00565C3D">
              <w:t>3</w:t>
            </w:r>
            <w:r w:rsidR="00FB4A2F">
              <w:t>-</w:t>
            </w:r>
            <w:r w:rsidRPr="00565C3D">
              <w:t>й</w:t>
            </w:r>
          </w:p>
        </w:tc>
      </w:tr>
      <w:tr w:rsidR="00565C3D" w:rsidRPr="00565C3D" w14:paraId="3C7D9F2C" w14:textId="77777777" w:rsidTr="00565C3D">
        <w:trPr>
          <w:trHeight w:val="379"/>
        </w:trPr>
        <w:tc>
          <w:tcPr>
            <w:tcW w:w="555" w:type="dxa"/>
            <w:tcBorders>
              <w:top w:val="single" w:sz="4" w:space="0" w:color="auto"/>
              <w:left w:val="single" w:sz="4" w:space="0" w:color="auto"/>
              <w:bottom w:val="single" w:sz="4" w:space="0" w:color="auto"/>
              <w:right w:val="single" w:sz="4" w:space="0" w:color="auto"/>
            </w:tcBorders>
            <w:vAlign w:val="center"/>
          </w:tcPr>
          <w:p w14:paraId="0A98E66F" w14:textId="77777777" w:rsidR="00565C3D" w:rsidRPr="00565C3D" w:rsidRDefault="00565C3D" w:rsidP="00565C3D">
            <w:pPr>
              <w:jc w:val="center"/>
              <w:rPr>
                <w:lang w:eastAsia="ru-RU"/>
              </w:rPr>
            </w:pPr>
            <w:r w:rsidRPr="00565C3D">
              <w:rPr>
                <w:lang w:eastAsia="ru-RU"/>
              </w:rPr>
              <w:t>1</w:t>
            </w:r>
          </w:p>
        </w:tc>
        <w:tc>
          <w:tcPr>
            <w:tcW w:w="5682" w:type="dxa"/>
            <w:tcBorders>
              <w:top w:val="single" w:sz="4" w:space="0" w:color="auto"/>
              <w:left w:val="single" w:sz="4" w:space="0" w:color="auto"/>
              <w:bottom w:val="single" w:sz="4" w:space="0" w:color="auto"/>
              <w:right w:val="single" w:sz="4" w:space="0" w:color="auto"/>
            </w:tcBorders>
            <w:vAlign w:val="center"/>
          </w:tcPr>
          <w:p w14:paraId="26CCDDBC" w14:textId="77777777" w:rsidR="00565C3D" w:rsidRPr="00565C3D" w:rsidRDefault="00565C3D" w:rsidP="00565C3D">
            <w:pPr>
              <w:jc w:val="center"/>
              <w:rPr>
                <w:lang w:eastAsia="ru-RU"/>
              </w:rPr>
            </w:pPr>
            <w:r w:rsidRPr="00565C3D">
              <w:rPr>
                <w:lang w:eastAsia="ru-RU"/>
              </w:rPr>
              <w:t>2</w:t>
            </w:r>
          </w:p>
        </w:tc>
        <w:tc>
          <w:tcPr>
            <w:tcW w:w="1134" w:type="dxa"/>
            <w:tcBorders>
              <w:top w:val="nil"/>
              <w:left w:val="nil"/>
              <w:bottom w:val="single" w:sz="4" w:space="0" w:color="auto"/>
              <w:right w:val="single" w:sz="4" w:space="0" w:color="auto"/>
            </w:tcBorders>
            <w:vAlign w:val="center"/>
          </w:tcPr>
          <w:p w14:paraId="1C632B9F" w14:textId="77777777" w:rsidR="00565C3D" w:rsidRPr="00565C3D" w:rsidRDefault="00565C3D" w:rsidP="00565C3D">
            <w:pPr>
              <w:jc w:val="center"/>
            </w:pPr>
            <w:r w:rsidRPr="00565C3D">
              <w:t>3</w:t>
            </w:r>
          </w:p>
        </w:tc>
        <w:tc>
          <w:tcPr>
            <w:tcW w:w="1134" w:type="dxa"/>
            <w:tcBorders>
              <w:top w:val="nil"/>
              <w:left w:val="nil"/>
              <w:bottom w:val="single" w:sz="4" w:space="0" w:color="auto"/>
              <w:right w:val="single" w:sz="4" w:space="0" w:color="auto"/>
            </w:tcBorders>
            <w:vAlign w:val="center"/>
          </w:tcPr>
          <w:p w14:paraId="238D40B0" w14:textId="77777777" w:rsidR="00565C3D" w:rsidRPr="00565C3D" w:rsidRDefault="00565C3D" w:rsidP="00565C3D">
            <w:pPr>
              <w:jc w:val="center"/>
            </w:pPr>
            <w:r w:rsidRPr="00565C3D">
              <w:t>4</w:t>
            </w:r>
          </w:p>
        </w:tc>
        <w:tc>
          <w:tcPr>
            <w:tcW w:w="1134" w:type="dxa"/>
            <w:tcBorders>
              <w:top w:val="nil"/>
              <w:left w:val="nil"/>
              <w:bottom w:val="single" w:sz="4" w:space="0" w:color="auto"/>
              <w:right w:val="single" w:sz="4" w:space="0" w:color="auto"/>
            </w:tcBorders>
            <w:vAlign w:val="center"/>
          </w:tcPr>
          <w:p w14:paraId="7CF7762D" w14:textId="77777777" w:rsidR="00565C3D" w:rsidRPr="00565C3D" w:rsidRDefault="00565C3D" w:rsidP="00565C3D">
            <w:pPr>
              <w:jc w:val="center"/>
            </w:pPr>
            <w:r w:rsidRPr="00565C3D">
              <w:t>5</w:t>
            </w:r>
          </w:p>
        </w:tc>
      </w:tr>
      <w:tr w:rsidR="00565C3D" w:rsidRPr="00565C3D" w14:paraId="392DAD3C" w14:textId="77777777" w:rsidTr="00565C3D">
        <w:trPr>
          <w:trHeight w:val="379"/>
        </w:trPr>
        <w:tc>
          <w:tcPr>
            <w:tcW w:w="555" w:type="dxa"/>
            <w:tcBorders>
              <w:top w:val="single" w:sz="4" w:space="0" w:color="auto"/>
              <w:left w:val="single" w:sz="4" w:space="0" w:color="auto"/>
              <w:bottom w:val="single" w:sz="4" w:space="0" w:color="auto"/>
              <w:right w:val="single" w:sz="4" w:space="0" w:color="auto"/>
            </w:tcBorders>
          </w:tcPr>
          <w:p w14:paraId="3A503A85" w14:textId="77777777" w:rsidR="00565C3D" w:rsidRPr="00565C3D" w:rsidRDefault="00565C3D" w:rsidP="00565C3D">
            <w:pPr>
              <w:jc w:val="center"/>
              <w:rPr>
                <w:lang w:eastAsia="ru-RU"/>
              </w:rPr>
            </w:pPr>
            <w:r w:rsidRPr="00565C3D">
              <w:rPr>
                <w:lang w:eastAsia="ru-RU"/>
              </w:rPr>
              <w:t>1</w:t>
            </w:r>
          </w:p>
        </w:tc>
        <w:tc>
          <w:tcPr>
            <w:tcW w:w="5682" w:type="dxa"/>
            <w:tcBorders>
              <w:top w:val="single" w:sz="4" w:space="0" w:color="auto"/>
              <w:left w:val="single" w:sz="4" w:space="0" w:color="auto"/>
              <w:bottom w:val="single" w:sz="4" w:space="0" w:color="auto"/>
              <w:right w:val="single" w:sz="4" w:space="0" w:color="auto"/>
            </w:tcBorders>
            <w:vAlign w:val="center"/>
          </w:tcPr>
          <w:p w14:paraId="32E1CA7F" w14:textId="77777777" w:rsidR="00565C3D" w:rsidRPr="00565C3D" w:rsidRDefault="00565C3D" w:rsidP="00565C3D">
            <w:pPr>
              <w:jc w:val="left"/>
            </w:pPr>
            <w:r w:rsidRPr="00565C3D">
              <w:t>Граничне значення коефіцієнта ICR</w:t>
            </w:r>
            <w:r w:rsidRPr="00565C3D">
              <w:rPr>
                <w:vertAlign w:val="subscript"/>
              </w:rPr>
              <w:t>M</w:t>
            </w:r>
          </w:p>
        </w:tc>
        <w:tc>
          <w:tcPr>
            <w:tcW w:w="1134" w:type="dxa"/>
            <w:tcBorders>
              <w:top w:val="nil"/>
              <w:left w:val="nil"/>
              <w:bottom w:val="single" w:sz="4" w:space="0" w:color="auto"/>
              <w:right w:val="single" w:sz="4" w:space="0" w:color="auto"/>
            </w:tcBorders>
            <w:vAlign w:val="center"/>
          </w:tcPr>
          <w:p w14:paraId="1B223D3C" w14:textId="77777777" w:rsidR="00565C3D" w:rsidRPr="00565C3D" w:rsidRDefault="00565C3D" w:rsidP="00565C3D">
            <w:pPr>
              <w:jc w:val="center"/>
              <w:rPr>
                <w:lang w:eastAsia="ru-RU"/>
              </w:rPr>
            </w:pPr>
            <w:r w:rsidRPr="00565C3D">
              <w:t>1,0</w:t>
            </w:r>
          </w:p>
        </w:tc>
        <w:tc>
          <w:tcPr>
            <w:tcW w:w="1134" w:type="dxa"/>
            <w:tcBorders>
              <w:top w:val="nil"/>
              <w:left w:val="nil"/>
              <w:bottom w:val="single" w:sz="4" w:space="0" w:color="auto"/>
              <w:right w:val="single" w:sz="4" w:space="0" w:color="auto"/>
            </w:tcBorders>
            <w:vAlign w:val="center"/>
          </w:tcPr>
          <w:p w14:paraId="0B93EB23" w14:textId="77777777" w:rsidR="00565C3D" w:rsidRPr="00565C3D" w:rsidRDefault="00565C3D" w:rsidP="00565C3D">
            <w:pPr>
              <w:jc w:val="center"/>
              <w:rPr>
                <w:lang w:eastAsia="ru-RU"/>
              </w:rPr>
            </w:pPr>
            <w:r w:rsidRPr="00565C3D">
              <w:rPr>
                <w:lang w:eastAsia="ru-RU"/>
              </w:rPr>
              <w:t>1,2</w:t>
            </w:r>
          </w:p>
        </w:tc>
        <w:tc>
          <w:tcPr>
            <w:tcW w:w="1134" w:type="dxa"/>
            <w:tcBorders>
              <w:top w:val="nil"/>
              <w:left w:val="nil"/>
              <w:bottom w:val="single" w:sz="4" w:space="0" w:color="auto"/>
              <w:right w:val="single" w:sz="4" w:space="0" w:color="auto"/>
            </w:tcBorders>
            <w:vAlign w:val="center"/>
          </w:tcPr>
          <w:p w14:paraId="44B04401" w14:textId="77777777" w:rsidR="00565C3D" w:rsidRPr="00565C3D" w:rsidRDefault="00565C3D" w:rsidP="00565C3D">
            <w:pPr>
              <w:jc w:val="center"/>
              <w:rPr>
                <w:lang w:eastAsia="ru-RU"/>
              </w:rPr>
            </w:pPr>
            <w:r w:rsidRPr="00565C3D">
              <w:rPr>
                <w:lang w:eastAsia="ru-RU"/>
              </w:rPr>
              <w:t>1,5</w:t>
            </w:r>
          </w:p>
        </w:tc>
      </w:tr>
    </w:tbl>
    <w:p w14:paraId="49B8433E" w14:textId="77777777" w:rsidR="00483885" w:rsidRPr="00483885" w:rsidRDefault="00483885" w:rsidP="00483885">
      <w:pPr>
        <w:pStyle w:val="aff0"/>
        <w:tabs>
          <w:tab w:val="left" w:pos="993"/>
        </w:tabs>
        <w:spacing w:before="240" w:beforeAutospacing="0" w:after="240" w:afterAutospacing="0"/>
        <w:ind w:firstLine="567"/>
        <w:jc w:val="both"/>
        <w:rPr>
          <w:sz w:val="28"/>
          <w:szCs w:val="28"/>
          <w:lang w:val="uk-UA"/>
        </w:rPr>
      </w:pPr>
      <w:bookmarkStart w:id="14" w:name="_Toc424616607"/>
      <w:bookmarkStart w:id="15" w:name="_Toc427689915"/>
      <w:bookmarkStart w:id="16" w:name="_Toc506538099"/>
      <w:bookmarkStart w:id="17" w:name="_Toc508032620"/>
      <w:bookmarkStart w:id="18" w:name="_Toc424616609"/>
      <w:bookmarkStart w:id="19" w:name="_Toc424616610"/>
    </w:p>
    <w:p w14:paraId="285BAC97" w14:textId="4CBEAB23" w:rsidR="00565C3D" w:rsidRPr="00CB044E" w:rsidRDefault="00565C3D" w:rsidP="000F2428">
      <w:pPr>
        <w:pStyle w:val="1"/>
        <w:spacing w:before="240"/>
      </w:pPr>
      <w:r w:rsidRPr="00CB044E">
        <w:lastRenderedPageBreak/>
        <w:t>XIІ. Вхідні дані моделі</w:t>
      </w:r>
      <w:bookmarkEnd w:id="14"/>
      <w:bookmarkEnd w:id="15"/>
      <w:r w:rsidRPr="00CB044E">
        <w:t xml:space="preserve"> СТ великих боржників</w:t>
      </w:r>
      <w:bookmarkEnd w:id="16"/>
      <w:bookmarkEnd w:id="17"/>
      <w:r w:rsidRPr="00CB044E">
        <w:t xml:space="preserve"> – ЮО</w:t>
      </w:r>
    </w:p>
    <w:p w14:paraId="5FF8F5DE" w14:textId="77777777" w:rsidR="00565C3D" w:rsidRPr="00565C3D" w:rsidRDefault="000B6A9C" w:rsidP="000F2428">
      <w:pPr>
        <w:pStyle w:val="af3"/>
        <w:numPr>
          <w:ilvl w:val="0"/>
          <w:numId w:val="52"/>
        </w:numPr>
        <w:tabs>
          <w:tab w:val="left" w:pos="993"/>
        </w:tabs>
        <w:spacing w:before="240" w:after="240"/>
        <w:ind w:left="0" w:right="-1" w:firstLine="567"/>
        <w:contextualSpacing w:val="0"/>
      </w:pPr>
      <w:bookmarkStart w:id="20" w:name="_Toc418828644"/>
      <w:r>
        <w:t>До в</w:t>
      </w:r>
      <w:r w:rsidR="00565C3D" w:rsidRPr="00565C3D">
        <w:t>хідн</w:t>
      </w:r>
      <w:r>
        <w:t>их даних належать</w:t>
      </w:r>
      <w:r w:rsidR="00565C3D" w:rsidRPr="00565C3D">
        <w:t>:</w:t>
      </w:r>
    </w:p>
    <w:p w14:paraId="6CFD3DC2" w14:textId="77777777" w:rsidR="00565C3D" w:rsidRPr="00565C3D" w:rsidRDefault="00565C3D" w:rsidP="000F2428">
      <w:pPr>
        <w:pStyle w:val="af3"/>
        <w:numPr>
          <w:ilvl w:val="1"/>
          <w:numId w:val="52"/>
        </w:numPr>
        <w:tabs>
          <w:tab w:val="left" w:pos="993"/>
        </w:tabs>
        <w:spacing w:before="240" w:after="240"/>
        <w:ind w:left="0" w:firstLine="567"/>
        <w:contextualSpacing w:val="0"/>
      </w:pPr>
      <w:r w:rsidRPr="00565C3D">
        <w:t>результати першого етапу оцінки стійкості банків станом на звітну дату:</w:t>
      </w:r>
    </w:p>
    <w:p w14:paraId="4A371BD6" w14:textId="77777777" w:rsidR="00565C3D" w:rsidRPr="00565C3D" w:rsidRDefault="00565C3D" w:rsidP="000F2428">
      <w:pPr>
        <w:pStyle w:val="aff0"/>
        <w:spacing w:before="240" w:beforeAutospacing="0" w:after="240" w:afterAutospacing="0"/>
        <w:ind w:firstLine="567"/>
        <w:jc w:val="both"/>
        <w:rPr>
          <w:sz w:val="28"/>
          <w:szCs w:val="28"/>
          <w:lang w:val="uk-UA"/>
        </w:rPr>
      </w:pPr>
      <w:r w:rsidRPr="00565C3D">
        <w:rPr>
          <w:sz w:val="28"/>
          <w:szCs w:val="28"/>
          <w:lang w:val="uk-UA"/>
        </w:rPr>
        <w:t>сума експозиції під ризиком (EAD), дата погашення (строк дії договору), відсоткова ставка, сума нарахованих та сплачених процентних витрат за минулі періоди та дані щодо забезпечення за кожним видом активних операцій, за якими визначається кредитний ризик;</w:t>
      </w:r>
    </w:p>
    <w:p w14:paraId="3F33AAFF" w14:textId="77777777" w:rsidR="00565C3D" w:rsidRPr="00565C3D" w:rsidRDefault="00565C3D" w:rsidP="000F2428">
      <w:pPr>
        <w:pStyle w:val="aff0"/>
        <w:spacing w:before="240" w:beforeAutospacing="0" w:after="240" w:afterAutospacing="0"/>
        <w:ind w:firstLine="567"/>
        <w:jc w:val="both"/>
        <w:rPr>
          <w:sz w:val="28"/>
          <w:szCs w:val="28"/>
          <w:lang w:val="uk-UA"/>
        </w:rPr>
      </w:pPr>
      <w:r w:rsidRPr="00565C3D">
        <w:rPr>
          <w:sz w:val="28"/>
          <w:szCs w:val="28"/>
          <w:lang w:val="uk-UA"/>
        </w:rPr>
        <w:t xml:space="preserve">результати перевірки достовірності оцінки та прийнятності забезпечення; </w:t>
      </w:r>
    </w:p>
    <w:p w14:paraId="3C33D2B3" w14:textId="462AD9E6" w:rsidR="00565C3D" w:rsidRPr="00565C3D" w:rsidRDefault="00565C3D" w:rsidP="000F2428">
      <w:pPr>
        <w:pStyle w:val="aff0"/>
        <w:spacing w:before="240" w:beforeAutospacing="0" w:after="240" w:afterAutospacing="0"/>
        <w:ind w:firstLine="567"/>
        <w:jc w:val="both"/>
        <w:rPr>
          <w:sz w:val="28"/>
          <w:szCs w:val="28"/>
          <w:lang w:val="uk-UA"/>
        </w:rPr>
      </w:pPr>
      <w:r w:rsidRPr="00565C3D">
        <w:rPr>
          <w:sz w:val="28"/>
          <w:szCs w:val="28"/>
          <w:lang w:val="uk-UA"/>
        </w:rPr>
        <w:t xml:space="preserve">характеристики боржників: клас боржника, стан обслуговування боргу, інформація про наявність </w:t>
      </w:r>
      <w:r w:rsidR="00B86DF7">
        <w:rPr>
          <w:sz w:val="28"/>
          <w:szCs w:val="28"/>
          <w:lang w:val="uk-UA"/>
        </w:rPr>
        <w:t>факторів</w:t>
      </w:r>
      <w:r w:rsidRPr="00565C3D">
        <w:rPr>
          <w:sz w:val="28"/>
          <w:szCs w:val="28"/>
          <w:lang w:val="uk-UA"/>
        </w:rPr>
        <w:t xml:space="preserve"> на підставі яких банк зобов’язаний скоригувати клас боржника, розрахований кредитний ризик;</w:t>
      </w:r>
    </w:p>
    <w:p w14:paraId="2B27039B" w14:textId="77777777" w:rsidR="00565C3D" w:rsidRPr="00565C3D" w:rsidRDefault="00565C3D" w:rsidP="000F2428">
      <w:pPr>
        <w:pStyle w:val="aff0"/>
        <w:spacing w:before="240" w:beforeAutospacing="0" w:after="240" w:afterAutospacing="0"/>
        <w:ind w:firstLine="567"/>
        <w:jc w:val="both"/>
        <w:rPr>
          <w:sz w:val="28"/>
          <w:szCs w:val="28"/>
          <w:lang w:val="uk-UA"/>
        </w:rPr>
      </w:pPr>
      <w:r w:rsidRPr="00565C3D">
        <w:rPr>
          <w:sz w:val="28"/>
          <w:szCs w:val="28"/>
          <w:lang w:val="uk-UA"/>
        </w:rPr>
        <w:t xml:space="preserve">дані для оцінки та результати оцінки критеріїв дефолту відповідно до пункту 30 </w:t>
      </w:r>
      <w:r w:rsidR="00D3167D">
        <w:rPr>
          <w:sz w:val="28"/>
          <w:szCs w:val="28"/>
          <w:lang w:val="uk-UA"/>
        </w:rPr>
        <w:t xml:space="preserve">розділу Ⅳ </w:t>
      </w:r>
      <w:r w:rsidRPr="00565C3D">
        <w:rPr>
          <w:sz w:val="28"/>
          <w:szCs w:val="28"/>
          <w:lang w:val="uk-UA"/>
        </w:rPr>
        <w:t xml:space="preserve">Технічного завдання; </w:t>
      </w:r>
    </w:p>
    <w:p w14:paraId="12C21E57" w14:textId="77777777" w:rsidR="00565C3D" w:rsidRDefault="00565C3D" w:rsidP="000F2428">
      <w:pPr>
        <w:pStyle w:val="aff0"/>
        <w:spacing w:before="240" w:beforeAutospacing="0" w:after="240" w:afterAutospacing="0"/>
        <w:ind w:firstLine="567"/>
        <w:jc w:val="both"/>
        <w:rPr>
          <w:sz w:val="28"/>
          <w:szCs w:val="28"/>
          <w:lang w:val="uk-UA"/>
        </w:rPr>
      </w:pPr>
      <w:r w:rsidRPr="00565C3D">
        <w:rPr>
          <w:sz w:val="28"/>
          <w:szCs w:val="28"/>
          <w:lang w:val="uk-UA"/>
        </w:rPr>
        <w:t>інші результати оцінки якості активів банку за боржниками (за потреби)</w:t>
      </w:r>
      <w:r w:rsidR="00E26AA7">
        <w:rPr>
          <w:sz w:val="28"/>
          <w:szCs w:val="28"/>
          <w:lang w:val="uk-UA"/>
        </w:rPr>
        <w:t>;</w:t>
      </w:r>
    </w:p>
    <w:p w14:paraId="3074C068" w14:textId="27EAF855" w:rsidR="00565C3D" w:rsidRPr="00565C3D" w:rsidRDefault="00565C3D" w:rsidP="000F2428">
      <w:pPr>
        <w:pStyle w:val="af3"/>
        <w:numPr>
          <w:ilvl w:val="1"/>
          <w:numId w:val="52"/>
        </w:numPr>
        <w:tabs>
          <w:tab w:val="left" w:pos="993"/>
        </w:tabs>
        <w:spacing w:before="240" w:after="240"/>
        <w:ind w:left="0" w:firstLine="567"/>
        <w:contextualSpacing w:val="0"/>
      </w:pPr>
      <w:r w:rsidRPr="00565C3D">
        <w:t>фінансов</w:t>
      </w:r>
      <w:r w:rsidR="00D3167D">
        <w:t>а</w:t>
      </w:r>
      <w:r w:rsidRPr="00565C3D">
        <w:t xml:space="preserve"> звітність боржників відповідно до П(С)БО/МСФЗ з урахуванням вимог абзацу першого підпункту 1 пункту 48 розділу</w:t>
      </w:r>
      <w:r w:rsidR="00867213">
        <w:t> </w:t>
      </w:r>
      <w:r w:rsidRPr="00565C3D">
        <w:t>IV Положення</w:t>
      </w:r>
      <w:r w:rsidR="00867213">
        <w:t> </w:t>
      </w:r>
      <w:r w:rsidRPr="00565C3D">
        <w:t>№ 351 та деталізації до неї:</w:t>
      </w:r>
    </w:p>
    <w:p w14:paraId="0A0630AC" w14:textId="77777777" w:rsidR="00565C3D" w:rsidRPr="00565C3D" w:rsidRDefault="00565C3D" w:rsidP="000F2428">
      <w:pPr>
        <w:pStyle w:val="af3"/>
        <w:shd w:val="clear" w:color="auto" w:fill="FFFFFF"/>
        <w:tabs>
          <w:tab w:val="left" w:pos="851"/>
          <w:tab w:val="left" w:pos="1134"/>
        </w:tabs>
        <w:spacing w:before="240" w:after="240"/>
        <w:ind w:left="0" w:firstLine="567"/>
        <w:contextualSpacing w:val="0"/>
      </w:pPr>
      <w:r w:rsidRPr="00565C3D">
        <w:t xml:space="preserve">річний баланс та звіт про фінансовий результат: </w:t>
      </w:r>
    </w:p>
    <w:p w14:paraId="2A85F6A0" w14:textId="152A9E9A" w:rsidR="00565C3D" w:rsidRPr="00565C3D" w:rsidRDefault="00565C3D" w:rsidP="000F2428">
      <w:pPr>
        <w:pStyle w:val="af3"/>
        <w:shd w:val="clear" w:color="auto" w:fill="FFFFFF"/>
        <w:tabs>
          <w:tab w:val="left" w:pos="851"/>
          <w:tab w:val="left" w:pos="1134"/>
        </w:tabs>
        <w:spacing w:before="240" w:after="240"/>
        <w:ind w:left="0" w:firstLine="567"/>
        <w:contextualSpacing w:val="0"/>
      </w:pPr>
      <w:r w:rsidRPr="00565C3D">
        <w:t xml:space="preserve">для боржників, </w:t>
      </w:r>
      <w:r w:rsidR="00FB4A2F" w:rsidRPr="00FB4A2F">
        <w:t>фінансовий результат яких зазнає впливу фактору сезонності</w:t>
      </w:r>
      <w:r w:rsidRPr="00565C3D">
        <w:t xml:space="preserve"> </w:t>
      </w:r>
      <w:r w:rsidR="00D3167D">
        <w:t>[</w:t>
      </w:r>
      <w:r w:rsidR="005210A9">
        <w:t>підприємства сільського господарства, оп</w:t>
      </w:r>
      <w:r w:rsidR="00EC7374">
        <w:t>тової торгівлі</w:t>
      </w:r>
      <w:r w:rsidR="00E61789">
        <w:t xml:space="preserve"> </w:t>
      </w:r>
      <w:r w:rsidR="00D3167D">
        <w:t>(</w:t>
      </w:r>
      <w:r w:rsidR="00EC7374">
        <w:t>зокрема</w:t>
      </w:r>
      <w:r w:rsidR="00B86DF7">
        <w:t>, що здійснюють торгівлю</w:t>
      </w:r>
      <w:r w:rsidR="00EC7374">
        <w:t xml:space="preserve"> </w:t>
      </w:r>
      <w:r w:rsidR="005210A9">
        <w:t>сільськогосподарською продукцією та паливно-мастильними матеріалами</w:t>
      </w:r>
      <w:r w:rsidR="00D3167D">
        <w:t>)</w:t>
      </w:r>
      <w:r w:rsidR="00E61789" w:rsidRPr="000F2428">
        <w:t>]</w:t>
      </w:r>
      <w:r w:rsidR="00EF1B9C">
        <w:t>,</w:t>
      </w:r>
      <w:r w:rsidRPr="00565C3D">
        <w:t xml:space="preserve"> </w:t>
      </w:r>
      <w:r w:rsidR="00FB4A2F">
        <w:t xml:space="preserve">– дані </w:t>
      </w:r>
      <w:r w:rsidRPr="00565C3D">
        <w:t>за повний 2022</w:t>
      </w:r>
      <w:r w:rsidR="00FB4A2F">
        <w:t> </w:t>
      </w:r>
      <w:r w:rsidRPr="00565C3D">
        <w:t>календарний рік;</w:t>
      </w:r>
    </w:p>
    <w:p w14:paraId="70531E2E" w14:textId="77777777" w:rsidR="00565C3D" w:rsidRPr="00565C3D" w:rsidRDefault="00565C3D" w:rsidP="000F2428">
      <w:pPr>
        <w:pStyle w:val="af3"/>
        <w:shd w:val="clear" w:color="auto" w:fill="FFFFFF"/>
        <w:tabs>
          <w:tab w:val="left" w:pos="851"/>
          <w:tab w:val="left" w:pos="1134"/>
        </w:tabs>
        <w:spacing w:before="240" w:after="240"/>
        <w:ind w:left="0" w:firstLine="567"/>
        <w:contextualSpacing w:val="0"/>
      </w:pPr>
      <w:r w:rsidRPr="00565C3D">
        <w:t xml:space="preserve">для боржників, </w:t>
      </w:r>
      <w:r w:rsidR="00FB4A2F" w:rsidRPr="00FB4A2F">
        <w:t>фінансовий результат яких не зазнає впливу фактору сезонності</w:t>
      </w:r>
      <w:r w:rsidR="00FB4A2F">
        <w:t>, –</w:t>
      </w:r>
      <w:r w:rsidRPr="00565C3D">
        <w:t xml:space="preserve"> дані звітності за III </w:t>
      </w:r>
      <w:r w:rsidR="00FB4A2F">
        <w:t>і</w:t>
      </w:r>
      <w:r w:rsidR="00FB4A2F" w:rsidRPr="00565C3D">
        <w:t xml:space="preserve"> </w:t>
      </w:r>
      <w:r w:rsidRPr="00565C3D">
        <w:t>IV квартали 2022 року та I кв</w:t>
      </w:r>
      <w:r w:rsidR="00FB4A2F">
        <w:t>артал</w:t>
      </w:r>
      <w:r w:rsidRPr="00565C3D">
        <w:t xml:space="preserve"> 2023 року (за наявності інформації за I кв</w:t>
      </w:r>
      <w:r w:rsidR="00FB4A2F">
        <w:t>артал</w:t>
      </w:r>
      <w:r w:rsidRPr="00565C3D">
        <w:t xml:space="preserve"> 2023 року)</w:t>
      </w:r>
      <w:r w:rsidR="00E26AA7">
        <w:t>;</w:t>
      </w:r>
    </w:p>
    <w:p w14:paraId="3FB9C48B" w14:textId="77777777" w:rsidR="00565C3D" w:rsidRPr="00565C3D" w:rsidRDefault="00565C3D" w:rsidP="000F2428">
      <w:pPr>
        <w:pStyle w:val="af3"/>
        <w:shd w:val="clear" w:color="auto" w:fill="FFFFFF"/>
        <w:tabs>
          <w:tab w:val="left" w:pos="851"/>
          <w:tab w:val="left" w:pos="1134"/>
        </w:tabs>
        <w:spacing w:before="240" w:after="240"/>
        <w:ind w:left="0" w:firstLine="567"/>
        <w:contextualSpacing w:val="0"/>
      </w:pPr>
      <w:r w:rsidRPr="00565C3D">
        <w:t xml:space="preserve">консолідована/комбінована фінансова звітність групи </w:t>
      </w:r>
      <w:r w:rsidR="00B00FD9">
        <w:t xml:space="preserve">ЮО </w:t>
      </w:r>
      <w:r w:rsidR="00113E5A">
        <w:t>під спільним контролем/</w:t>
      </w:r>
      <w:r w:rsidRPr="00565C3D">
        <w:t>групи пов’язаних контрагентів за 2022</w:t>
      </w:r>
      <w:r w:rsidR="00B00FD9">
        <w:t> </w:t>
      </w:r>
      <w:r w:rsidRPr="00565C3D">
        <w:t>рік або за III та IV квартали 2022</w:t>
      </w:r>
      <w:r w:rsidR="00B00FD9">
        <w:t> </w:t>
      </w:r>
      <w:r w:rsidRPr="00565C3D">
        <w:t>року та I кв</w:t>
      </w:r>
      <w:r w:rsidR="00B00FD9">
        <w:t>артал</w:t>
      </w:r>
      <w:r w:rsidRPr="00565C3D">
        <w:t xml:space="preserve"> 2023</w:t>
      </w:r>
      <w:r w:rsidR="00B00FD9">
        <w:t> </w:t>
      </w:r>
      <w:r w:rsidRPr="00565C3D">
        <w:t>року (за наявності інформації за I кв</w:t>
      </w:r>
      <w:r w:rsidR="00B00FD9">
        <w:t>артал</w:t>
      </w:r>
      <w:r w:rsidRPr="00565C3D">
        <w:t xml:space="preserve"> 2023 року), до якої належить боржник</w:t>
      </w:r>
      <w:r w:rsidR="00E26AA7">
        <w:t>;</w:t>
      </w:r>
    </w:p>
    <w:p w14:paraId="54B5EFD2" w14:textId="77777777" w:rsidR="00565C3D" w:rsidRPr="00565C3D" w:rsidRDefault="00565C3D" w:rsidP="000F2428">
      <w:pPr>
        <w:pStyle w:val="af3"/>
        <w:shd w:val="clear" w:color="auto" w:fill="FFFFFF"/>
        <w:tabs>
          <w:tab w:val="left" w:pos="851"/>
          <w:tab w:val="left" w:pos="1134"/>
        </w:tabs>
        <w:spacing w:before="240" w:after="240"/>
        <w:ind w:left="0" w:firstLine="567"/>
        <w:contextualSpacing w:val="0"/>
      </w:pPr>
      <w:r w:rsidRPr="00565C3D">
        <w:t>деталізація за складовими рядків звіту про фінансовий результат 2120, 2180</w:t>
      </w:r>
      <w:r w:rsidR="00677A29" w:rsidRPr="00677A29">
        <w:t xml:space="preserve"> </w:t>
      </w:r>
      <w:r w:rsidRPr="00565C3D">
        <w:t>за відповідні звітні періоди. Деталізація складових рядків 2000 та 2050, 2220, 2240, 2250 для фінансових та лізингових компаній (компанії, основний вид діяльності яких класифікується за розділами 64, 66 КВЕД)</w:t>
      </w:r>
      <w:r w:rsidR="00677A29">
        <w:t>;</w:t>
      </w:r>
    </w:p>
    <w:p w14:paraId="62BE37A2" w14:textId="77777777" w:rsidR="00565C3D" w:rsidRPr="00565C3D" w:rsidRDefault="00565C3D" w:rsidP="000F2428">
      <w:pPr>
        <w:pStyle w:val="aff0"/>
        <w:numPr>
          <w:ilvl w:val="1"/>
          <w:numId w:val="52"/>
        </w:numPr>
        <w:tabs>
          <w:tab w:val="left" w:pos="993"/>
        </w:tabs>
        <w:spacing w:before="240" w:beforeAutospacing="0" w:after="240" w:afterAutospacing="0"/>
        <w:ind w:left="0" w:firstLine="567"/>
        <w:jc w:val="both"/>
        <w:rPr>
          <w:sz w:val="28"/>
          <w:szCs w:val="28"/>
          <w:lang w:val="uk-UA"/>
        </w:rPr>
      </w:pPr>
      <w:r w:rsidRPr="00565C3D">
        <w:rPr>
          <w:sz w:val="28"/>
          <w:szCs w:val="28"/>
          <w:lang w:val="uk-UA"/>
        </w:rPr>
        <w:lastRenderedPageBreak/>
        <w:t>копії документів про надані гарантії/поруки/резервний акредитив, які надані на користь боржника від материнської компанії/контролера та учасника групи юридичних осіб під спільним контролем або операційної компанії групи;</w:t>
      </w:r>
    </w:p>
    <w:p w14:paraId="366934B8" w14:textId="77777777" w:rsidR="00565C3D" w:rsidRPr="00565C3D" w:rsidRDefault="00565C3D" w:rsidP="000F2428">
      <w:pPr>
        <w:pStyle w:val="aff0"/>
        <w:numPr>
          <w:ilvl w:val="1"/>
          <w:numId w:val="52"/>
        </w:numPr>
        <w:tabs>
          <w:tab w:val="left" w:pos="993"/>
        </w:tabs>
        <w:spacing w:before="240" w:beforeAutospacing="0" w:after="240" w:afterAutospacing="0"/>
        <w:ind w:left="0" w:firstLine="567"/>
        <w:jc w:val="both"/>
        <w:rPr>
          <w:sz w:val="28"/>
          <w:szCs w:val="28"/>
          <w:lang w:val="uk-UA"/>
        </w:rPr>
      </w:pPr>
      <w:r w:rsidRPr="00565C3D">
        <w:rPr>
          <w:sz w:val="28"/>
          <w:szCs w:val="28"/>
          <w:lang w:val="uk-UA"/>
        </w:rPr>
        <w:t>інформаці</w:t>
      </w:r>
      <w:r w:rsidR="00D3167D">
        <w:rPr>
          <w:sz w:val="28"/>
          <w:szCs w:val="28"/>
          <w:lang w:val="uk-UA"/>
        </w:rPr>
        <w:t>я</w:t>
      </w:r>
      <w:r w:rsidRPr="00565C3D">
        <w:rPr>
          <w:sz w:val="28"/>
          <w:szCs w:val="28"/>
          <w:lang w:val="uk-UA"/>
        </w:rPr>
        <w:t xml:space="preserve"> про розмір відсоткової ставки за кредитом/облігаціями в інших банках/фінансових установах на рівні боржника;</w:t>
      </w:r>
    </w:p>
    <w:p w14:paraId="7D183BC6" w14:textId="77777777" w:rsidR="00565C3D" w:rsidRPr="00565C3D" w:rsidRDefault="00565C3D" w:rsidP="000F2428">
      <w:pPr>
        <w:pStyle w:val="aff0"/>
        <w:numPr>
          <w:ilvl w:val="1"/>
          <w:numId w:val="52"/>
        </w:numPr>
        <w:tabs>
          <w:tab w:val="left" w:pos="993"/>
        </w:tabs>
        <w:spacing w:before="240" w:beforeAutospacing="0" w:after="240" w:afterAutospacing="0"/>
        <w:ind w:left="0" w:firstLine="567"/>
        <w:jc w:val="both"/>
        <w:rPr>
          <w:sz w:val="28"/>
          <w:szCs w:val="28"/>
          <w:lang w:val="uk-UA"/>
        </w:rPr>
      </w:pPr>
      <w:r w:rsidRPr="00565C3D">
        <w:rPr>
          <w:sz w:val="28"/>
          <w:szCs w:val="28"/>
          <w:lang w:val="uk-UA"/>
        </w:rPr>
        <w:t>копії документів, що підтверджують факт субординації інших зобов’язань позичальника стосовно кредитів банку;</w:t>
      </w:r>
    </w:p>
    <w:p w14:paraId="25BA1F54" w14:textId="77777777" w:rsidR="00565C3D" w:rsidRPr="00565C3D" w:rsidRDefault="00565C3D" w:rsidP="000F2428">
      <w:pPr>
        <w:pStyle w:val="aff0"/>
        <w:numPr>
          <w:ilvl w:val="1"/>
          <w:numId w:val="52"/>
        </w:numPr>
        <w:tabs>
          <w:tab w:val="left" w:pos="993"/>
        </w:tabs>
        <w:spacing w:before="240" w:beforeAutospacing="0" w:after="240" w:afterAutospacing="0"/>
        <w:ind w:left="0" w:firstLine="567"/>
        <w:jc w:val="both"/>
        <w:rPr>
          <w:sz w:val="28"/>
          <w:szCs w:val="28"/>
          <w:lang w:val="uk-UA"/>
        </w:rPr>
      </w:pPr>
      <w:r w:rsidRPr="00565C3D">
        <w:rPr>
          <w:sz w:val="28"/>
          <w:szCs w:val="28"/>
          <w:lang w:val="uk-UA"/>
        </w:rPr>
        <w:t>для компаній сільського господарства, які мають падіння виручки у 2022</w:t>
      </w:r>
      <w:r w:rsidR="007F7CC3">
        <w:rPr>
          <w:sz w:val="28"/>
          <w:szCs w:val="28"/>
          <w:lang w:val="uk-UA"/>
        </w:rPr>
        <w:t> </w:t>
      </w:r>
      <w:r w:rsidRPr="00565C3D">
        <w:rPr>
          <w:sz w:val="28"/>
          <w:szCs w:val="28"/>
          <w:lang w:val="uk-UA"/>
        </w:rPr>
        <w:t>році більше 25% або мають збиток за 2022</w:t>
      </w:r>
      <w:r w:rsidR="00B00FD9">
        <w:rPr>
          <w:sz w:val="28"/>
          <w:szCs w:val="28"/>
          <w:lang w:val="uk-UA"/>
        </w:rPr>
        <w:t> </w:t>
      </w:r>
      <w:r w:rsidRPr="00565C3D">
        <w:rPr>
          <w:sz w:val="28"/>
          <w:szCs w:val="28"/>
          <w:lang w:val="uk-UA"/>
        </w:rPr>
        <w:t>рік, скан</w:t>
      </w:r>
      <w:r w:rsidR="00D3167D">
        <w:rPr>
          <w:sz w:val="28"/>
          <w:szCs w:val="28"/>
          <w:lang w:val="uk-UA"/>
        </w:rPr>
        <w:t xml:space="preserve">овані </w:t>
      </w:r>
      <w:r w:rsidRPr="00565C3D">
        <w:rPr>
          <w:sz w:val="28"/>
          <w:szCs w:val="28"/>
          <w:lang w:val="uk-UA"/>
        </w:rPr>
        <w:t xml:space="preserve">копії розшифровок балансових рахунків 1103-1104 </w:t>
      </w:r>
      <w:r w:rsidR="00D3167D">
        <w:rPr>
          <w:sz w:val="28"/>
          <w:szCs w:val="28"/>
          <w:lang w:val="uk-UA"/>
        </w:rPr>
        <w:t>і</w:t>
      </w:r>
      <w:r w:rsidRPr="00565C3D">
        <w:rPr>
          <w:sz w:val="28"/>
          <w:szCs w:val="28"/>
          <w:lang w:val="uk-UA"/>
        </w:rPr>
        <w:t xml:space="preserve">з розбивкою </w:t>
      </w:r>
      <w:r w:rsidR="007F7CC3">
        <w:rPr>
          <w:sz w:val="28"/>
          <w:szCs w:val="28"/>
          <w:lang w:val="uk-UA"/>
        </w:rPr>
        <w:t>за</w:t>
      </w:r>
      <w:r w:rsidR="007F7CC3" w:rsidRPr="00565C3D">
        <w:rPr>
          <w:sz w:val="28"/>
          <w:szCs w:val="28"/>
          <w:lang w:val="uk-UA"/>
        </w:rPr>
        <w:t xml:space="preserve"> </w:t>
      </w:r>
      <w:r w:rsidRPr="00565C3D">
        <w:rPr>
          <w:sz w:val="28"/>
          <w:szCs w:val="28"/>
          <w:lang w:val="uk-UA"/>
        </w:rPr>
        <w:t>територі</w:t>
      </w:r>
      <w:r w:rsidR="007F7CC3">
        <w:rPr>
          <w:sz w:val="28"/>
          <w:szCs w:val="28"/>
          <w:lang w:val="uk-UA"/>
        </w:rPr>
        <w:t>ями</w:t>
      </w:r>
      <w:r w:rsidRPr="00565C3D">
        <w:rPr>
          <w:sz w:val="28"/>
          <w:szCs w:val="28"/>
          <w:lang w:val="uk-UA"/>
        </w:rPr>
        <w:t xml:space="preserve"> розміщення готової продукції/товарів, акти наявності продукції</w:t>
      </w:r>
      <w:r w:rsidR="007F7CC3">
        <w:rPr>
          <w:sz w:val="28"/>
          <w:szCs w:val="28"/>
          <w:lang w:val="uk-UA"/>
        </w:rPr>
        <w:t xml:space="preserve">, документи щодо </w:t>
      </w:r>
      <w:r w:rsidRPr="00565C3D">
        <w:rPr>
          <w:sz w:val="28"/>
          <w:szCs w:val="28"/>
          <w:lang w:val="uk-UA"/>
        </w:rPr>
        <w:t>строк</w:t>
      </w:r>
      <w:r w:rsidR="007F7CC3">
        <w:rPr>
          <w:sz w:val="28"/>
          <w:szCs w:val="28"/>
          <w:lang w:val="uk-UA"/>
        </w:rPr>
        <w:t>у</w:t>
      </w:r>
      <w:r w:rsidRPr="00565C3D">
        <w:rPr>
          <w:sz w:val="28"/>
          <w:szCs w:val="28"/>
          <w:lang w:val="uk-UA"/>
        </w:rPr>
        <w:t xml:space="preserve"> </w:t>
      </w:r>
      <w:r w:rsidR="007F7CC3">
        <w:rPr>
          <w:sz w:val="28"/>
          <w:szCs w:val="28"/>
          <w:lang w:val="uk-UA"/>
        </w:rPr>
        <w:t>придатності продукції</w:t>
      </w:r>
      <w:r w:rsidRPr="00565C3D">
        <w:rPr>
          <w:sz w:val="28"/>
          <w:szCs w:val="28"/>
          <w:lang w:val="uk-UA"/>
        </w:rPr>
        <w:t xml:space="preserve"> станом на звітну дату або інші документи, </w:t>
      </w:r>
      <w:r w:rsidR="00390303">
        <w:rPr>
          <w:sz w:val="28"/>
          <w:szCs w:val="28"/>
          <w:lang w:val="uk-UA"/>
        </w:rPr>
        <w:t>що</w:t>
      </w:r>
      <w:r w:rsidR="00390303" w:rsidRPr="00565C3D">
        <w:rPr>
          <w:sz w:val="28"/>
          <w:szCs w:val="28"/>
          <w:lang w:val="uk-UA"/>
        </w:rPr>
        <w:t xml:space="preserve"> </w:t>
      </w:r>
      <w:r w:rsidRPr="00565C3D">
        <w:rPr>
          <w:sz w:val="28"/>
          <w:szCs w:val="28"/>
          <w:lang w:val="uk-UA"/>
        </w:rPr>
        <w:t>підтверд</w:t>
      </w:r>
      <w:r w:rsidR="00390303">
        <w:rPr>
          <w:sz w:val="28"/>
          <w:szCs w:val="28"/>
          <w:lang w:val="uk-UA"/>
        </w:rPr>
        <w:t>жують</w:t>
      </w:r>
      <w:r w:rsidRPr="00565C3D">
        <w:rPr>
          <w:sz w:val="28"/>
          <w:szCs w:val="28"/>
          <w:lang w:val="uk-UA"/>
        </w:rPr>
        <w:t xml:space="preserve"> спроможність боржника реалізувати </w:t>
      </w:r>
      <w:r w:rsidR="00E26AA7">
        <w:rPr>
          <w:sz w:val="28"/>
          <w:szCs w:val="28"/>
          <w:lang w:val="uk-UA"/>
        </w:rPr>
        <w:t xml:space="preserve">продукцію </w:t>
      </w:r>
      <w:r w:rsidRPr="00565C3D">
        <w:rPr>
          <w:sz w:val="28"/>
          <w:szCs w:val="28"/>
          <w:lang w:val="uk-UA"/>
        </w:rPr>
        <w:t xml:space="preserve">в майбутньому або факт реалізації продукції. </w:t>
      </w:r>
    </w:p>
    <w:p w14:paraId="7050B1DA" w14:textId="77777777" w:rsidR="00565C3D" w:rsidRPr="00565C3D" w:rsidRDefault="00565C3D" w:rsidP="000F2428">
      <w:pPr>
        <w:pStyle w:val="aff0"/>
        <w:tabs>
          <w:tab w:val="left" w:pos="993"/>
        </w:tabs>
        <w:spacing w:before="240" w:beforeAutospacing="0" w:after="240" w:afterAutospacing="0"/>
        <w:ind w:left="142" w:firstLine="567"/>
        <w:jc w:val="both"/>
        <w:rPr>
          <w:sz w:val="28"/>
          <w:szCs w:val="28"/>
          <w:lang w:val="uk-UA"/>
        </w:rPr>
      </w:pPr>
      <w:r w:rsidRPr="00565C3D">
        <w:rPr>
          <w:sz w:val="28"/>
          <w:szCs w:val="28"/>
          <w:lang w:val="uk-UA"/>
        </w:rPr>
        <w:t>Враховуються залишки готової продукції, як</w:t>
      </w:r>
      <w:r w:rsidR="00E26AA7">
        <w:rPr>
          <w:sz w:val="28"/>
          <w:szCs w:val="28"/>
          <w:lang w:val="uk-UA"/>
        </w:rPr>
        <w:t>а</w:t>
      </w:r>
      <w:r w:rsidRPr="00565C3D">
        <w:rPr>
          <w:sz w:val="28"/>
          <w:szCs w:val="28"/>
          <w:lang w:val="uk-UA"/>
        </w:rPr>
        <w:t xml:space="preserve"> відповіда</w:t>
      </w:r>
      <w:r w:rsidR="00E26AA7">
        <w:rPr>
          <w:sz w:val="28"/>
          <w:szCs w:val="28"/>
          <w:lang w:val="uk-UA"/>
        </w:rPr>
        <w:t>є</w:t>
      </w:r>
      <w:r w:rsidRPr="00565C3D">
        <w:rPr>
          <w:sz w:val="28"/>
          <w:szCs w:val="28"/>
          <w:lang w:val="uk-UA"/>
        </w:rPr>
        <w:t xml:space="preserve"> </w:t>
      </w:r>
      <w:r w:rsidR="00390303">
        <w:rPr>
          <w:sz w:val="28"/>
          <w:szCs w:val="28"/>
          <w:lang w:val="uk-UA"/>
        </w:rPr>
        <w:t>таким</w:t>
      </w:r>
      <w:r w:rsidR="00390303" w:rsidRPr="00565C3D">
        <w:rPr>
          <w:sz w:val="28"/>
          <w:szCs w:val="28"/>
          <w:lang w:val="uk-UA"/>
        </w:rPr>
        <w:t xml:space="preserve"> </w:t>
      </w:r>
      <w:r w:rsidRPr="00565C3D">
        <w:rPr>
          <w:sz w:val="28"/>
          <w:szCs w:val="28"/>
          <w:lang w:val="uk-UA"/>
        </w:rPr>
        <w:t>характеристикам:</w:t>
      </w:r>
    </w:p>
    <w:p w14:paraId="62C3FE51" w14:textId="77777777" w:rsidR="00C43095" w:rsidRPr="00565C3D" w:rsidRDefault="00C43095" w:rsidP="000F2428">
      <w:pPr>
        <w:pStyle w:val="aff0"/>
        <w:tabs>
          <w:tab w:val="left" w:pos="567"/>
        </w:tabs>
        <w:spacing w:before="240" w:beforeAutospacing="0" w:after="240" w:afterAutospacing="0"/>
        <w:ind w:firstLine="567"/>
        <w:jc w:val="both"/>
        <w:rPr>
          <w:sz w:val="28"/>
          <w:szCs w:val="28"/>
          <w:lang w:val="uk-UA"/>
        </w:rPr>
      </w:pPr>
      <w:r>
        <w:rPr>
          <w:sz w:val="28"/>
          <w:szCs w:val="28"/>
          <w:lang w:val="uk-UA"/>
        </w:rPr>
        <w:t xml:space="preserve">продукція </w:t>
      </w:r>
      <w:r w:rsidR="00565C3D" w:rsidRPr="00565C3D">
        <w:rPr>
          <w:sz w:val="28"/>
          <w:szCs w:val="28"/>
          <w:lang w:val="uk-UA"/>
        </w:rPr>
        <w:t>розміщен</w:t>
      </w:r>
      <w:r>
        <w:rPr>
          <w:sz w:val="28"/>
          <w:szCs w:val="28"/>
          <w:lang w:val="uk-UA"/>
        </w:rPr>
        <w:t>а</w:t>
      </w:r>
      <w:r w:rsidR="00565C3D" w:rsidRPr="00565C3D">
        <w:rPr>
          <w:sz w:val="28"/>
          <w:szCs w:val="28"/>
          <w:lang w:val="uk-UA"/>
        </w:rPr>
        <w:t xml:space="preserve"> на </w:t>
      </w:r>
      <w:r>
        <w:rPr>
          <w:sz w:val="28"/>
          <w:szCs w:val="28"/>
          <w:lang w:val="uk-UA"/>
        </w:rPr>
        <w:t>території</w:t>
      </w:r>
      <w:r w:rsidR="00565C3D" w:rsidRPr="00565C3D">
        <w:rPr>
          <w:sz w:val="28"/>
          <w:szCs w:val="28"/>
          <w:lang w:val="uk-UA"/>
        </w:rPr>
        <w:t xml:space="preserve"> Україн</w:t>
      </w:r>
      <w:r>
        <w:rPr>
          <w:sz w:val="28"/>
          <w:szCs w:val="28"/>
          <w:lang w:val="uk-UA"/>
        </w:rPr>
        <w:t>и, яка не належить до територій</w:t>
      </w:r>
      <w:r w:rsidRPr="00C43095">
        <w:rPr>
          <w:sz w:val="28"/>
          <w:szCs w:val="28"/>
          <w:lang w:val="uk-UA"/>
        </w:rPr>
        <w:t>, на яких ведуться активні бойові дії або тимчасово окупованих Російською Федерацією територі</w:t>
      </w:r>
      <w:r>
        <w:rPr>
          <w:sz w:val="28"/>
          <w:szCs w:val="28"/>
          <w:lang w:val="uk-UA"/>
        </w:rPr>
        <w:t>й</w:t>
      </w:r>
      <w:r w:rsidRPr="00C43095">
        <w:rPr>
          <w:sz w:val="28"/>
          <w:szCs w:val="28"/>
          <w:lang w:val="uk-UA"/>
        </w:rPr>
        <w:t xml:space="preserve"> України, зазначених у Переліку територій</w:t>
      </w:r>
      <w:r>
        <w:rPr>
          <w:sz w:val="28"/>
          <w:szCs w:val="28"/>
          <w:lang w:val="uk-UA"/>
        </w:rPr>
        <w:t>;</w:t>
      </w:r>
    </w:p>
    <w:p w14:paraId="140048AA" w14:textId="77777777" w:rsidR="00565C3D" w:rsidRPr="00565C3D" w:rsidRDefault="00565C3D" w:rsidP="000F2428">
      <w:pPr>
        <w:pStyle w:val="aff0"/>
        <w:tabs>
          <w:tab w:val="left" w:pos="567"/>
        </w:tabs>
        <w:spacing w:before="240" w:beforeAutospacing="0" w:after="240" w:afterAutospacing="0"/>
        <w:ind w:firstLine="567"/>
        <w:jc w:val="both"/>
        <w:rPr>
          <w:sz w:val="28"/>
          <w:szCs w:val="28"/>
          <w:lang w:val="uk-UA"/>
        </w:rPr>
      </w:pPr>
      <w:r w:rsidRPr="00565C3D">
        <w:rPr>
          <w:sz w:val="28"/>
          <w:szCs w:val="28"/>
          <w:lang w:val="uk-UA"/>
        </w:rPr>
        <w:t>боржник ма</w:t>
      </w:r>
      <w:r w:rsidR="007F7CC3">
        <w:rPr>
          <w:sz w:val="28"/>
          <w:szCs w:val="28"/>
          <w:lang w:val="uk-UA"/>
        </w:rPr>
        <w:t>є</w:t>
      </w:r>
      <w:r w:rsidRPr="00565C3D">
        <w:rPr>
          <w:sz w:val="28"/>
          <w:szCs w:val="28"/>
          <w:lang w:val="uk-UA"/>
        </w:rPr>
        <w:t xml:space="preserve"> доступ до </w:t>
      </w:r>
      <w:r w:rsidR="007F7CC3">
        <w:rPr>
          <w:sz w:val="28"/>
          <w:szCs w:val="28"/>
          <w:lang w:val="uk-UA"/>
        </w:rPr>
        <w:t>місць зберігання продукції (</w:t>
      </w:r>
      <w:r w:rsidRPr="00565C3D">
        <w:rPr>
          <w:sz w:val="28"/>
          <w:szCs w:val="28"/>
          <w:lang w:val="uk-UA"/>
        </w:rPr>
        <w:t>елеваторів/складів</w:t>
      </w:r>
      <w:r w:rsidR="007F7CC3">
        <w:rPr>
          <w:sz w:val="28"/>
          <w:szCs w:val="28"/>
          <w:lang w:val="uk-UA"/>
        </w:rPr>
        <w:t>)</w:t>
      </w:r>
      <w:r w:rsidRPr="00565C3D">
        <w:rPr>
          <w:sz w:val="28"/>
          <w:szCs w:val="28"/>
          <w:lang w:val="uk-UA"/>
        </w:rPr>
        <w:t>;</w:t>
      </w:r>
    </w:p>
    <w:p w14:paraId="69F05010" w14:textId="77777777" w:rsidR="00565C3D" w:rsidRDefault="00565C3D" w:rsidP="000F2428">
      <w:pPr>
        <w:pStyle w:val="aff0"/>
        <w:tabs>
          <w:tab w:val="left" w:pos="567"/>
        </w:tabs>
        <w:spacing w:before="240" w:beforeAutospacing="0" w:after="240" w:afterAutospacing="0"/>
        <w:ind w:firstLine="567"/>
        <w:jc w:val="both"/>
        <w:rPr>
          <w:sz w:val="28"/>
          <w:szCs w:val="28"/>
          <w:lang w:val="uk-UA"/>
        </w:rPr>
      </w:pPr>
      <w:r w:rsidRPr="00565C3D">
        <w:rPr>
          <w:sz w:val="28"/>
          <w:szCs w:val="28"/>
          <w:lang w:val="uk-UA"/>
        </w:rPr>
        <w:t xml:space="preserve">продукція повинна мати неушкоджений стан та </w:t>
      </w:r>
      <w:r w:rsidR="00677A29">
        <w:rPr>
          <w:sz w:val="28"/>
          <w:szCs w:val="28"/>
          <w:lang w:val="uk-UA"/>
        </w:rPr>
        <w:t xml:space="preserve">прийнятний </w:t>
      </w:r>
      <w:r w:rsidRPr="00565C3D">
        <w:rPr>
          <w:sz w:val="28"/>
          <w:szCs w:val="28"/>
          <w:lang w:val="uk-UA"/>
        </w:rPr>
        <w:t>строк придатності для можливої реалізації</w:t>
      </w:r>
      <w:r w:rsidR="006F0442">
        <w:rPr>
          <w:sz w:val="28"/>
          <w:szCs w:val="28"/>
          <w:lang w:val="uk-UA"/>
        </w:rPr>
        <w:t>;</w:t>
      </w:r>
    </w:p>
    <w:p w14:paraId="433C5964" w14:textId="77777777" w:rsidR="00565C3D" w:rsidRPr="00565C3D" w:rsidRDefault="00565C3D" w:rsidP="000F2428">
      <w:pPr>
        <w:pStyle w:val="aff0"/>
        <w:numPr>
          <w:ilvl w:val="1"/>
          <w:numId w:val="52"/>
        </w:numPr>
        <w:tabs>
          <w:tab w:val="left" w:pos="993"/>
        </w:tabs>
        <w:spacing w:before="240" w:beforeAutospacing="0" w:after="240" w:afterAutospacing="0"/>
        <w:ind w:left="0" w:firstLine="567"/>
        <w:jc w:val="both"/>
        <w:rPr>
          <w:sz w:val="28"/>
          <w:szCs w:val="28"/>
          <w:lang w:val="uk-UA"/>
        </w:rPr>
      </w:pPr>
      <w:r w:rsidRPr="00565C3D">
        <w:rPr>
          <w:sz w:val="28"/>
          <w:szCs w:val="28"/>
          <w:lang w:val="uk-UA"/>
        </w:rPr>
        <w:t>судження банку, на підставі якого банк не визнав подію дефолту боржника відповідно до пункту 166</w:t>
      </w:r>
      <w:r w:rsidR="00B00FD9">
        <w:rPr>
          <w:sz w:val="28"/>
          <w:szCs w:val="28"/>
          <w:lang w:val="uk-UA"/>
        </w:rPr>
        <w:t> </w:t>
      </w:r>
      <w:r w:rsidRPr="00565C3D">
        <w:rPr>
          <w:sz w:val="28"/>
          <w:szCs w:val="28"/>
          <w:lang w:val="uk-UA"/>
        </w:rPr>
        <w:t>розділу XVIII Положення № 351 та/або ухвалив рішення про припинення визнання дефолту боржника/контрагента відповідно до пункту 167 розділу XVIII Положення № 351.</w:t>
      </w:r>
    </w:p>
    <w:p w14:paraId="7D3E3A86" w14:textId="77777777" w:rsidR="00565C3D" w:rsidRPr="00565C3D" w:rsidRDefault="00565C3D" w:rsidP="000F2428">
      <w:pPr>
        <w:pStyle w:val="1"/>
        <w:spacing w:before="240"/>
      </w:pPr>
      <w:bookmarkStart w:id="21" w:name="_Toc508032621"/>
      <w:bookmarkStart w:id="22" w:name="_Toc506538100"/>
      <w:bookmarkStart w:id="23" w:name="_Toc427689916"/>
      <w:bookmarkStart w:id="24" w:name="_Toc424616608"/>
      <w:bookmarkEnd w:id="20"/>
      <w:r w:rsidRPr="00565C3D">
        <w:t>XIІІ. Підходи до оцінки ICR</w:t>
      </w:r>
      <w:r w:rsidRPr="00677A29">
        <w:rPr>
          <w:vertAlign w:val="subscript"/>
        </w:rPr>
        <w:t>M</w:t>
      </w:r>
      <w:r w:rsidRPr="00565C3D">
        <w:t xml:space="preserve"> як вхідних даних для аналізу</w:t>
      </w:r>
    </w:p>
    <w:p w14:paraId="575827C8" w14:textId="77777777" w:rsidR="00565C3D" w:rsidRDefault="00BC4322" w:rsidP="0098642B">
      <w:pPr>
        <w:pStyle w:val="af3"/>
        <w:numPr>
          <w:ilvl w:val="0"/>
          <w:numId w:val="52"/>
        </w:numPr>
        <w:tabs>
          <w:tab w:val="left" w:pos="993"/>
        </w:tabs>
        <w:spacing w:before="240" w:after="240"/>
        <w:ind w:left="0" w:firstLine="567"/>
        <w:contextualSpacing w:val="0"/>
        <w:rPr>
          <w:color w:val="000000" w:themeColor="text1"/>
        </w:rPr>
      </w:pPr>
      <w:r>
        <w:rPr>
          <w:color w:val="000000" w:themeColor="text1"/>
        </w:rPr>
        <w:t>Для цілей</w:t>
      </w:r>
      <w:r w:rsidR="00565C3D" w:rsidRPr="00565C3D">
        <w:rPr>
          <w:color w:val="000000" w:themeColor="text1"/>
        </w:rPr>
        <w:t xml:space="preserve"> СТ </w:t>
      </w:r>
      <w:r>
        <w:rPr>
          <w:color w:val="000000" w:themeColor="text1"/>
        </w:rPr>
        <w:t>визнання</w:t>
      </w:r>
      <w:r w:rsidR="00565C3D" w:rsidRPr="00565C3D">
        <w:rPr>
          <w:color w:val="000000" w:themeColor="text1"/>
        </w:rPr>
        <w:t xml:space="preserve"> дефолту боржник</w:t>
      </w:r>
      <w:r w:rsidR="00642597">
        <w:rPr>
          <w:color w:val="000000" w:themeColor="text1"/>
        </w:rPr>
        <w:t>а</w:t>
      </w:r>
      <w:r>
        <w:rPr>
          <w:color w:val="000000" w:themeColor="text1"/>
        </w:rPr>
        <w:t>/контрагента</w:t>
      </w:r>
      <w:r w:rsidR="00565C3D" w:rsidRPr="00565C3D">
        <w:rPr>
          <w:color w:val="000000" w:themeColor="text1"/>
        </w:rPr>
        <w:t xml:space="preserve"> </w:t>
      </w:r>
      <w:r>
        <w:rPr>
          <w:color w:val="000000" w:themeColor="text1"/>
        </w:rPr>
        <w:t xml:space="preserve">станом </w:t>
      </w:r>
      <w:r w:rsidR="00565C3D" w:rsidRPr="00565C3D">
        <w:rPr>
          <w:color w:val="000000" w:themeColor="text1"/>
        </w:rPr>
        <w:t xml:space="preserve">на звітну дату </w:t>
      </w:r>
      <w:r>
        <w:rPr>
          <w:color w:val="000000" w:themeColor="text1"/>
        </w:rPr>
        <w:t>здійснюється на підставі</w:t>
      </w:r>
      <w:r w:rsidR="00565C3D" w:rsidRPr="00565C3D">
        <w:rPr>
          <w:color w:val="000000" w:themeColor="text1"/>
        </w:rPr>
        <w:t xml:space="preserve"> аналізу критеріїв, </w:t>
      </w:r>
      <w:r>
        <w:rPr>
          <w:color w:val="000000" w:themeColor="text1"/>
        </w:rPr>
        <w:t>визначених</w:t>
      </w:r>
      <w:r w:rsidRPr="00565C3D">
        <w:rPr>
          <w:color w:val="000000" w:themeColor="text1"/>
        </w:rPr>
        <w:t xml:space="preserve"> </w:t>
      </w:r>
      <w:r w:rsidR="006F0442">
        <w:rPr>
          <w:color w:val="000000" w:themeColor="text1"/>
        </w:rPr>
        <w:t xml:space="preserve">у </w:t>
      </w:r>
      <w:r w:rsidR="00565C3D" w:rsidRPr="00565C3D">
        <w:rPr>
          <w:color w:val="000000" w:themeColor="text1"/>
        </w:rPr>
        <w:t>пункт</w:t>
      </w:r>
      <w:r w:rsidR="006F0442">
        <w:rPr>
          <w:color w:val="000000" w:themeColor="text1"/>
        </w:rPr>
        <w:t>і</w:t>
      </w:r>
      <w:r w:rsidR="00565C3D" w:rsidRPr="00565C3D">
        <w:rPr>
          <w:color w:val="000000" w:themeColor="text1"/>
        </w:rPr>
        <w:t xml:space="preserve"> 30</w:t>
      </w:r>
      <w:r w:rsidR="006F0442">
        <w:rPr>
          <w:color w:val="000000" w:themeColor="text1"/>
        </w:rPr>
        <w:t xml:space="preserve"> розділу Ⅳ </w:t>
      </w:r>
      <w:r w:rsidR="00565C3D" w:rsidRPr="00565C3D">
        <w:rPr>
          <w:color w:val="000000" w:themeColor="text1"/>
        </w:rPr>
        <w:t xml:space="preserve">Технічного завдання. </w:t>
      </w:r>
    </w:p>
    <w:p w14:paraId="6BFAFC4B" w14:textId="6685995E" w:rsidR="00565C3D" w:rsidRPr="00565C3D" w:rsidRDefault="00565C3D" w:rsidP="0098642B">
      <w:pPr>
        <w:pStyle w:val="af3"/>
        <w:numPr>
          <w:ilvl w:val="0"/>
          <w:numId w:val="52"/>
        </w:numPr>
        <w:shd w:val="clear" w:color="auto" w:fill="FFFFFF" w:themeFill="background1"/>
        <w:tabs>
          <w:tab w:val="left" w:pos="993"/>
        </w:tabs>
        <w:spacing w:before="240" w:after="240"/>
        <w:ind w:left="0" w:firstLine="567"/>
        <w:contextualSpacing w:val="0"/>
      </w:pPr>
      <w:r w:rsidRPr="00565C3D">
        <w:rPr>
          <w:color w:val="000000" w:themeColor="text1"/>
        </w:rPr>
        <w:lastRenderedPageBreak/>
        <w:t>ICR</w:t>
      </w:r>
      <w:r w:rsidRPr="00565C3D">
        <w:rPr>
          <w:vertAlign w:val="subscript"/>
        </w:rPr>
        <w:t>M</w:t>
      </w:r>
      <w:r w:rsidRPr="00565C3D">
        <w:rPr>
          <w:color w:val="000000" w:themeColor="text1"/>
        </w:rPr>
        <w:t xml:space="preserve"> на звітну дату розраховується </w:t>
      </w:r>
      <w:r w:rsidRPr="00565C3D">
        <w:t xml:space="preserve">як співвідношення фінансового результату від операційної діяльності </w:t>
      </w:r>
      <w:r w:rsidR="00B86DF7">
        <w:t>до</w:t>
      </w:r>
      <w:r w:rsidR="006E6732" w:rsidRPr="00565C3D">
        <w:t xml:space="preserve"> </w:t>
      </w:r>
      <w:r w:rsidRPr="00565C3D">
        <w:t>відрахування амортизації</w:t>
      </w:r>
      <w:r w:rsidRPr="00565C3D">
        <w:rPr>
          <w:vertAlign w:val="superscript"/>
        </w:rPr>
        <w:footnoteReference w:id="2"/>
      </w:r>
      <w:r w:rsidR="006E6732">
        <w:t>,</w:t>
      </w:r>
      <w:r w:rsidRPr="00565C3D">
        <w:rPr>
          <w:vertAlign w:val="superscript"/>
        </w:rPr>
        <w:t xml:space="preserve"> </w:t>
      </w:r>
      <w:r w:rsidRPr="00565C3D">
        <w:t xml:space="preserve">скоригованого на </w:t>
      </w:r>
      <w:r w:rsidR="001D382F" w:rsidRPr="00677A29">
        <w:rPr>
          <w:color w:val="0D0D0D" w:themeColor="text1" w:themeTint="F2"/>
        </w:rPr>
        <w:t>разові неповторювані</w:t>
      </w:r>
      <w:r w:rsidR="001D382F" w:rsidRPr="001432E1">
        <w:rPr>
          <w:b/>
          <w:color w:val="0D0D0D" w:themeColor="text1" w:themeTint="F2"/>
        </w:rPr>
        <w:t xml:space="preserve"> </w:t>
      </w:r>
      <w:r w:rsidRPr="00565C3D">
        <w:t>складові</w:t>
      </w:r>
      <w:r w:rsidR="001D382F">
        <w:t xml:space="preserve"> </w:t>
      </w:r>
      <w:r w:rsidR="001D382F" w:rsidRPr="001D382F">
        <w:t>інших операційних доходів/витрат</w:t>
      </w:r>
      <w:r w:rsidRPr="001D382F">
        <w:t>,</w:t>
      </w:r>
      <w:r w:rsidRPr="00565C3D">
        <w:t xml:space="preserve"> </w:t>
      </w:r>
      <w:r w:rsidR="00561341">
        <w:t>та</w:t>
      </w:r>
      <w:r w:rsidR="00B86DF7">
        <w:t xml:space="preserve"> </w:t>
      </w:r>
      <w:r w:rsidRPr="00565C3D">
        <w:t>розрахункового обсягу річних фінансових витрат за сукупним кредитним портфелем боржника в усіх банках та інших фінансових установах, що підлягають сплаті, згідно з умовами договор</w:t>
      </w:r>
      <w:r w:rsidR="00B86DF7">
        <w:t>ів</w:t>
      </w:r>
      <w:r w:rsidRPr="00565C3D">
        <w:t xml:space="preserve"> протягом наступних 12 місяців. </w:t>
      </w:r>
    </w:p>
    <w:p w14:paraId="16ADC4E1" w14:textId="77777777" w:rsidR="00565C3D" w:rsidRPr="00565C3D" w:rsidRDefault="00565C3D" w:rsidP="0098642B">
      <w:pPr>
        <w:pStyle w:val="af3"/>
        <w:shd w:val="clear" w:color="auto" w:fill="FFFFFF" w:themeFill="background1"/>
        <w:tabs>
          <w:tab w:val="left" w:pos="993"/>
        </w:tabs>
        <w:spacing w:before="240" w:after="240"/>
        <w:ind w:left="0" w:firstLine="567"/>
        <w:contextualSpacing w:val="0"/>
      </w:pPr>
      <w:r w:rsidRPr="00565C3D">
        <w:t xml:space="preserve">Банк використовує для розрахунку дані квартальної фінансової звітності (річної фінансової звітності для боржників </w:t>
      </w:r>
      <w:r w:rsidR="00DD084D">
        <w:t>ЮО</w:t>
      </w:r>
      <w:r w:rsidRPr="00565C3D">
        <w:t xml:space="preserve">, які відповідно до вимог законодавства України складають </w:t>
      </w:r>
      <w:r w:rsidR="00800ADE">
        <w:t>лише</w:t>
      </w:r>
      <w:r w:rsidR="00800ADE" w:rsidRPr="00565C3D">
        <w:t xml:space="preserve"> </w:t>
      </w:r>
      <w:r w:rsidRPr="00565C3D">
        <w:t xml:space="preserve">річну фінансову звітність) боржника </w:t>
      </w:r>
      <w:r w:rsidR="00DD084D">
        <w:t>ЮО</w:t>
      </w:r>
      <w:r w:rsidRPr="00565C3D">
        <w:t xml:space="preserve"> </w:t>
      </w:r>
      <w:r w:rsidR="00800ADE">
        <w:t>[</w:t>
      </w:r>
      <w:r w:rsidRPr="00565C3D">
        <w:t xml:space="preserve">далі </w:t>
      </w:r>
      <w:r w:rsidR="00DD084D">
        <w:t>–</w:t>
      </w:r>
      <w:r w:rsidRPr="00565C3D">
        <w:t xml:space="preserve"> дані квартальної (річної) фінансової звітності</w:t>
      </w:r>
      <w:r w:rsidR="00800ADE">
        <w:t>]</w:t>
      </w:r>
      <w:r w:rsidRPr="00565C3D">
        <w:t>.</w:t>
      </w:r>
    </w:p>
    <w:p w14:paraId="2366BA7D" w14:textId="77777777" w:rsidR="00565C3D" w:rsidRPr="00565C3D" w:rsidRDefault="00565C3D" w:rsidP="0098642B">
      <w:pPr>
        <w:pStyle w:val="af3"/>
        <w:numPr>
          <w:ilvl w:val="0"/>
          <w:numId w:val="52"/>
        </w:numPr>
        <w:tabs>
          <w:tab w:val="left" w:pos="993"/>
        </w:tabs>
        <w:spacing w:before="240" w:after="240"/>
        <w:ind w:left="0" w:firstLine="567"/>
        <w:contextualSpacing w:val="0"/>
      </w:pPr>
      <w:r w:rsidRPr="00565C3D">
        <w:t>Для цілей оцінки ICR</w:t>
      </w:r>
      <w:r w:rsidRPr="00565C3D">
        <w:rPr>
          <w:vertAlign w:val="subscript"/>
        </w:rPr>
        <w:t>M</w:t>
      </w:r>
      <w:r w:rsidRPr="00565C3D">
        <w:t xml:space="preserve"> на звітну дату враховується </w:t>
      </w:r>
      <w:r w:rsidR="00800ADE">
        <w:t>така</w:t>
      </w:r>
      <w:r w:rsidR="00800ADE" w:rsidRPr="00565C3D">
        <w:t xml:space="preserve"> </w:t>
      </w:r>
      <w:r w:rsidRPr="00565C3D">
        <w:t xml:space="preserve">інформація: </w:t>
      </w:r>
    </w:p>
    <w:p w14:paraId="0E1ABA43" w14:textId="77777777" w:rsidR="00565C3D" w:rsidRPr="00565C3D" w:rsidRDefault="00565C3D" w:rsidP="0098642B">
      <w:pPr>
        <w:pStyle w:val="af3"/>
        <w:shd w:val="clear" w:color="auto" w:fill="FFFFFF" w:themeFill="background1"/>
        <w:spacing w:before="240" w:after="240"/>
        <w:ind w:left="0" w:firstLine="567"/>
        <w:contextualSpacing w:val="0"/>
      </w:pPr>
      <w:r w:rsidRPr="00565C3D">
        <w:t>1) якщо ICR</w:t>
      </w:r>
      <w:r w:rsidRPr="00565C3D">
        <w:rPr>
          <w:vertAlign w:val="subscript"/>
        </w:rPr>
        <w:t>M</w:t>
      </w:r>
      <w:r w:rsidRPr="00565C3D">
        <w:t xml:space="preserve"> боржника нижче граничного рівня, визначеного </w:t>
      </w:r>
      <w:r w:rsidR="00800ADE">
        <w:t>в</w:t>
      </w:r>
      <w:r w:rsidR="00800ADE" w:rsidRPr="00565C3D">
        <w:t xml:space="preserve"> </w:t>
      </w:r>
      <w:r w:rsidRPr="00565C3D">
        <w:t>таблиці 7</w:t>
      </w:r>
      <w:r w:rsidR="00800ADE">
        <w:t xml:space="preserve"> цього додатка</w:t>
      </w:r>
      <w:r w:rsidRPr="00565C3D">
        <w:t>, для цілей оцінки визнання події дефолту боржника використовується фінансова звітність групи, у разі належності боржника до групи пов’язаних контрагентів</w:t>
      </w:r>
      <w:r w:rsidR="00B00FD9">
        <w:t>/</w:t>
      </w:r>
      <w:r w:rsidRPr="00565C3D">
        <w:t xml:space="preserve">групи юридичних осіб під спільним контролем та якщо </w:t>
      </w:r>
      <w:r w:rsidRPr="00565C3D">
        <w:rPr>
          <w:shd w:val="clear" w:color="auto" w:fill="FFFFFF"/>
        </w:rPr>
        <w:t>борг боржника</w:t>
      </w:r>
      <w:r w:rsidRPr="00565C3D">
        <w:t>-</w:t>
      </w:r>
      <w:r w:rsidRPr="00565C3D">
        <w:rPr>
          <w:shd w:val="clear" w:color="auto" w:fill="FFFFFF"/>
        </w:rPr>
        <w:t>юридичної особи в повній сумі забезпечено</w:t>
      </w:r>
      <w:r w:rsidRPr="00565C3D">
        <w:t xml:space="preserve">: </w:t>
      </w:r>
    </w:p>
    <w:p w14:paraId="3268597C" w14:textId="77777777" w:rsidR="00D72125" w:rsidRPr="00D72125" w:rsidRDefault="00565C3D" w:rsidP="0098642B">
      <w:pPr>
        <w:pStyle w:val="Default"/>
        <w:shd w:val="clear" w:color="auto" w:fill="FFFFFF"/>
        <w:tabs>
          <w:tab w:val="left" w:pos="993"/>
        </w:tabs>
        <w:spacing w:before="240" w:after="240"/>
        <w:ind w:firstLine="567"/>
        <w:jc w:val="both"/>
        <w:rPr>
          <w:bCs/>
          <w:color w:val="auto"/>
        </w:rPr>
      </w:pPr>
      <w:r w:rsidRPr="00565C3D">
        <w:rPr>
          <w:color w:val="auto"/>
          <w:sz w:val="28"/>
          <w:szCs w:val="28"/>
        </w:rPr>
        <w:t>безумовною та безвідкличною гарантією/фінансовою порукою</w:t>
      </w:r>
      <w:r w:rsidRPr="00565C3D">
        <w:rPr>
          <w:sz w:val="28"/>
          <w:szCs w:val="28"/>
        </w:rPr>
        <w:t xml:space="preserve"> материнської компанії/контролера та учасника групи юридичних осіб під спільним контролем, фінансова звітність якого свідчить, що він генерує грошові потоки групи або володіє/розпоряджається активами групи (якщо він не є материнською компанією/контролером), наданою безпосередньо на користь банку. Борг боржника може бути забезпечений фінансовою порукою </w:t>
      </w:r>
      <w:r w:rsidRPr="00565C3D">
        <w:rPr>
          <w:color w:val="00000A"/>
          <w:sz w:val="28"/>
          <w:szCs w:val="28"/>
        </w:rPr>
        <w:t>від операційної компанії групи пов’язаних контрагентів/</w:t>
      </w:r>
      <w:r w:rsidRPr="00565C3D">
        <w:rPr>
          <w:sz w:val="28"/>
          <w:szCs w:val="28"/>
        </w:rPr>
        <w:t>групи юридичних осіб під спільним контролем, якщо гарантія не може бути надана материнською компанією/контролером/учасником групи юридичних осіб під спільним контролем</w:t>
      </w:r>
      <w:r w:rsidR="00FB3FF3">
        <w:rPr>
          <w:sz w:val="28"/>
          <w:szCs w:val="28"/>
        </w:rPr>
        <w:t xml:space="preserve">, ураховуючи </w:t>
      </w:r>
      <w:r w:rsidRPr="00565C3D">
        <w:rPr>
          <w:sz w:val="28"/>
          <w:szCs w:val="28"/>
        </w:rPr>
        <w:t>вимог</w:t>
      </w:r>
      <w:r w:rsidR="00FB3FF3">
        <w:rPr>
          <w:sz w:val="28"/>
          <w:szCs w:val="28"/>
        </w:rPr>
        <w:t>и</w:t>
      </w:r>
      <w:r w:rsidRPr="00565C3D">
        <w:rPr>
          <w:sz w:val="28"/>
          <w:szCs w:val="28"/>
        </w:rPr>
        <w:t xml:space="preserve"> законодавства країни її/його місцезнаходження, або якщо банком визнана </w:t>
      </w:r>
      <w:r w:rsidR="00FB3FF3">
        <w:rPr>
          <w:sz w:val="28"/>
          <w:szCs w:val="28"/>
        </w:rPr>
        <w:t>лише</w:t>
      </w:r>
      <w:r w:rsidRPr="00565C3D">
        <w:rPr>
          <w:sz w:val="28"/>
          <w:szCs w:val="28"/>
        </w:rPr>
        <w:t xml:space="preserve"> </w:t>
      </w:r>
      <w:r w:rsidRPr="00565C3D">
        <w:rPr>
          <w:color w:val="00000A"/>
          <w:sz w:val="28"/>
          <w:szCs w:val="28"/>
        </w:rPr>
        <w:t xml:space="preserve">група пов’язаних контрагентів. За такої умови </w:t>
      </w:r>
      <w:r w:rsidRPr="00565C3D">
        <w:rPr>
          <w:sz w:val="28"/>
          <w:szCs w:val="28"/>
        </w:rPr>
        <w:t>операційна компанія групи повинна бути прибутковою та мати чистий прибуток після сплати податків (рядок 2350 у формі 2 “Звіт про фінансові результати”) за даними останньої фінансової звітності;</w:t>
      </w:r>
      <w:bookmarkStart w:id="25" w:name="n901"/>
      <w:bookmarkEnd w:id="25"/>
    </w:p>
    <w:p w14:paraId="683DA5EA" w14:textId="07D86FB5" w:rsidR="00565C3D" w:rsidRPr="00D72125" w:rsidRDefault="00565C3D" w:rsidP="0098642B">
      <w:pPr>
        <w:pStyle w:val="Default"/>
        <w:shd w:val="clear" w:color="auto" w:fill="FFFFFF"/>
        <w:tabs>
          <w:tab w:val="left" w:pos="993"/>
        </w:tabs>
        <w:spacing w:before="240" w:after="240"/>
        <w:ind w:firstLine="567"/>
        <w:jc w:val="both"/>
        <w:rPr>
          <w:bCs/>
          <w:color w:val="auto"/>
        </w:rPr>
      </w:pPr>
      <w:r w:rsidRPr="00D72125">
        <w:rPr>
          <w:sz w:val="28"/>
          <w:szCs w:val="28"/>
        </w:rPr>
        <w:t xml:space="preserve">безвідкличним резервним акредитивом, що виконує функцію фінансової гарантії, випущеним банком, що має інвестиційний рівень кредитного рейтингу </w:t>
      </w:r>
      <w:r w:rsidRPr="00D72125">
        <w:rPr>
          <w:sz w:val="28"/>
          <w:szCs w:val="28"/>
        </w:rPr>
        <w:lastRenderedPageBreak/>
        <w:t>за міжнародною шкалою, на замовлення материнської компанії/контролера/</w:t>
      </w:r>
      <w:r w:rsidR="00483885">
        <w:rPr>
          <w:sz w:val="28"/>
          <w:szCs w:val="28"/>
        </w:rPr>
        <w:br/>
      </w:r>
      <w:r w:rsidRPr="00D72125">
        <w:rPr>
          <w:sz w:val="28"/>
          <w:szCs w:val="28"/>
        </w:rPr>
        <w:t>учасника групи юридичних о</w:t>
      </w:r>
      <w:r w:rsidR="00D72125">
        <w:rPr>
          <w:sz w:val="28"/>
          <w:szCs w:val="28"/>
        </w:rPr>
        <w:t>сіб під спільним контролем;</w:t>
      </w:r>
    </w:p>
    <w:p w14:paraId="2012E0DF" w14:textId="140148A2" w:rsidR="00565C3D" w:rsidRPr="00565C3D" w:rsidRDefault="00565C3D" w:rsidP="0098642B">
      <w:pPr>
        <w:pStyle w:val="af3"/>
        <w:shd w:val="clear" w:color="auto" w:fill="FFFFFF" w:themeFill="background1"/>
        <w:spacing w:before="240" w:after="240"/>
        <w:ind w:left="0" w:firstLine="573"/>
        <w:contextualSpacing w:val="0"/>
      </w:pPr>
      <w:r w:rsidRPr="00565C3D">
        <w:t>2) використову</w:t>
      </w:r>
      <w:r w:rsidR="00DD084D">
        <w:t>ю</w:t>
      </w:r>
      <w:r w:rsidRPr="00565C3D">
        <w:t xml:space="preserve">ться </w:t>
      </w:r>
      <w:r w:rsidR="00DD084D">
        <w:t>дані</w:t>
      </w:r>
      <w:r w:rsidRPr="00565C3D">
        <w:t xml:space="preserve"> фінансов</w:t>
      </w:r>
      <w:r w:rsidR="00DD084D">
        <w:t>ої</w:t>
      </w:r>
      <w:r w:rsidRPr="00565C3D">
        <w:t xml:space="preserve"> звітн</w:t>
      </w:r>
      <w:r w:rsidR="00DD084D">
        <w:t>ості</w:t>
      </w:r>
      <w:r w:rsidRPr="00565C3D">
        <w:t xml:space="preserve"> боржника або групи за </w:t>
      </w:r>
      <w:r w:rsidR="00DD084D">
        <w:t xml:space="preserve">той самий </w:t>
      </w:r>
      <w:r w:rsidRPr="00565C3D">
        <w:t xml:space="preserve">період, що </w:t>
      </w:r>
      <w:r w:rsidR="00DD084D">
        <w:t xml:space="preserve">й </w:t>
      </w:r>
      <w:r w:rsidRPr="00565C3D">
        <w:t>під час першого етапу оцінки стійк</w:t>
      </w:r>
      <w:r w:rsidRPr="00F07B7B">
        <w:t>ості.</w:t>
      </w:r>
      <w:r w:rsidR="00FB3FF3">
        <w:t xml:space="preserve"> Я</w:t>
      </w:r>
      <w:r w:rsidRPr="00F07B7B">
        <w:t>кщо ICR</w:t>
      </w:r>
      <w:r w:rsidRPr="00F07B7B">
        <w:rPr>
          <w:vertAlign w:val="subscript"/>
        </w:rPr>
        <w:t>M</w:t>
      </w:r>
      <w:r w:rsidR="003B09A8">
        <w:t xml:space="preserve"> боржника </w:t>
      </w:r>
      <w:r w:rsidR="00FB3FF3">
        <w:t xml:space="preserve">в </w:t>
      </w:r>
      <w:r w:rsidR="003B09A8">
        <w:t>прогнозному періоді</w:t>
      </w:r>
      <w:r w:rsidRPr="00F07B7B">
        <w:t xml:space="preserve"> нижче граничного рівня, </w:t>
      </w:r>
      <w:r w:rsidR="00FB3FF3">
        <w:t xml:space="preserve">то </w:t>
      </w:r>
      <w:r w:rsidRPr="00F07B7B">
        <w:t>показник на звітну дату може бути скоригован</w:t>
      </w:r>
      <w:r w:rsidR="00552F7E" w:rsidRPr="00F07B7B">
        <w:t>ий</w:t>
      </w:r>
      <w:r w:rsidRPr="00F07B7B">
        <w:t xml:space="preserve"> з урахуванням даних за І квартал 2023 року</w:t>
      </w:r>
      <w:r w:rsidR="00FB3FF3">
        <w:t xml:space="preserve"> в</w:t>
      </w:r>
      <w:r w:rsidR="00552F7E" w:rsidRPr="00F07B7B">
        <w:t xml:space="preserve"> разі їх наявності</w:t>
      </w:r>
      <w:r w:rsidRPr="00F07B7B">
        <w:t>. На третьому</w:t>
      </w:r>
      <w:r w:rsidRPr="00565C3D">
        <w:t xml:space="preserve"> етапі оцінки стійкості за наявності враховується інформація про належність боржника до групи та використовується фінансова звітність групи </w:t>
      </w:r>
      <w:r w:rsidRPr="0098642B">
        <w:t>для розрахунку ICR</w:t>
      </w:r>
      <w:r w:rsidRPr="0098642B">
        <w:rPr>
          <w:vertAlign w:val="subscript"/>
        </w:rPr>
        <w:t>M</w:t>
      </w:r>
      <w:r w:rsidRPr="0098642B">
        <w:t>, якщо на першому етапі оцінки стійкості ця інформація не була врахована і є підстави для аналізу групи відповідно до в</w:t>
      </w:r>
      <w:r w:rsidR="00D72125" w:rsidRPr="0098642B">
        <w:t>имог підпункту 1 пункту</w:t>
      </w:r>
      <w:r w:rsidR="00FB3FF3" w:rsidRPr="0098642B">
        <w:t xml:space="preserve"> 6</w:t>
      </w:r>
      <w:r w:rsidR="00F37FAF" w:rsidRPr="0098642B">
        <w:t>9</w:t>
      </w:r>
      <w:r w:rsidR="00FB3FF3" w:rsidRPr="0098642B">
        <w:t xml:space="preserve"> розділу XIІІ цього додатка</w:t>
      </w:r>
      <w:r w:rsidR="00D72125" w:rsidRPr="0098642B">
        <w:t>;</w:t>
      </w:r>
    </w:p>
    <w:p w14:paraId="114715EE" w14:textId="77777777" w:rsidR="00565C3D" w:rsidRPr="00565C3D" w:rsidRDefault="00565C3D" w:rsidP="0098642B">
      <w:pPr>
        <w:shd w:val="clear" w:color="auto" w:fill="FFFFFF" w:themeFill="background1"/>
        <w:spacing w:before="240" w:after="240"/>
        <w:ind w:firstLine="573"/>
      </w:pPr>
      <w:r w:rsidRPr="00565C3D">
        <w:t>3) для розрахунку обсягу фінансових витрат сума основного боргу за кредитним договором</w:t>
      </w:r>
      <w:r w:rsidR="00552F7E">
        <w:t>/договорами</w:t>
      </w:r>
      <w:r w:rsidRPr="00565C3D">
        <w:t xml:space="preserve"> за сукупним кредитним портфелем боржника або групи в усіх банках та інших фінансових установах за даними квартальної (річної) фінансової звітності боржника або консолідованої/комбінованої фінансової звітності групи множиться на річну відсоткову ставку за цим договором</w:t>
      </w:r>
      <w:r w:rsidR="00552F7E">
        <w:t>/договорами</w:t>
      </w:r>
      <w:r w:rsidRPr="00565C3D">
        <w:t>, яка діяла на відповідну дату квартальної (річної) фінансової</w:t>
      </w:r>
      <w:r w:rsidRPr="00565C3D">
        <w:rPr>
          <w:color w:val="212529"/>
        </w:rPr>
        <w:t xml:space="preserve"> звітності боржника або консолідованої/комбінованої фінансової звітності групи</w:t>
      </w:r>
      <w:r w:rsidRPr="00565C3D">
        <w:t xml:space="preserve">. </w:t>
      </w:r>
    </w:p>
    <w:p w14:paraId="6F210C6C" w14:textId="77777777" w:rsidR="00565C3D" w:rsidRPr="00565C3D" w:rsidRDefault="00565C3D" w:rsidP="0098642B">
      <w:pPr>
        <w:shd w:val="clear" w:color="auto" w:fill="FFFFFF" w:themeFill="background1"/>
        <w:spacing w:before="240" w:after="240"/>
        <w:ind w:firstLine="573"/>
      </w:pPr>
      <w:r w:rsidRPr="00565C3D">
        <w:t>Для розрахунку обсягу фінансових витрат боржника або групи</w:t>
      </w:r>
      <w:r w:rsidR="00FB3FF3">
        <w:t>, якщо немає</w:t>
      </w:r>
      <w:r w:rsidRPr="00565C3D">
        <w:t xml:space="preserve"> інформації про відсоткові ставки за цими кредитними договорами</w:t>
      </w:r>
      <w:r w:rsidR="00FB3FF3">
        <w:t>,</w:t>
      </w:r>
      <w:r w:rsidRPr="00565C3D">
        <w:t xml:space="preserve"> використовується інформація про фінансові витрати протягом попередніх 12</w:t>
      </w:r>
      <w:r w:rsidR="00552F7E">
        <w:t> </w:t>
      </w:r>
      <w:r w:rsidRPr="00565C3D">
        <w:t>місяців поспіль за даними квартальної (річної) фінансової звітності боржника або консолідован</w:t>
      </w:r>
      <w:r w:rsidR="00FB3FF3">
        <w:t>ої</w:t>
      </w:r>
      <w:r w:rsidRPr="00565C3D">
        <w:t>/комбінован</w:t>
      </w:r>
      <w:r w:rsidR="00FB3FF3">
        <w:t>ої</w:t>
      </w:r>
      <w:r w:rsidRPr="00565C3D">
        <w:t xml:space="preserve"> звітності групи</w:t>
      </w:r>
      <w:r w:rsidR="00D72125">
        <w:t>;</w:t>
      </w:r>
    </w:p>
    <w:p w14:paraId="61E67794" w14:textId="77777777" w:rsidR="00565C3D" w:rsidRPr="00007B5C" w:rsidRDefault="00565C3D" w:rsidP="0098642B">
      <w:pPr>
        <w:pStyle w:val="af3"/>
        <w:shd w:val="clear" w:color="auto" w:fill="FFFFFF"/>
        <w:tabs>
          <w:tab w:val="left" w:pos="851"/>
        </w:tabs>
        <w:spacing w:before="240" w:after="240"/>
        <w:ind w:left="0" w:firstLine="570"/>
        <w:contextualSpacing w:val="0"/>
        <w:rPr>
          <w:color w:val="0D0D0D" w:themeColor="text1" w:themeTint="F2"/>
        </w:rPr>
      </w:pPr>
      <w:r w:rsidRPr="00565C3D">
        <w:rPr>
          <w:color w:val="0D0D0D" w:themeColor="text1" w:themeTint="F2"/>
        </w:rPr>
        <w:t xml:space="preserve">4) коригування на </w:t>
      </w:r>
      <w:r w:rsidR="00677A29" w:rsidRPr="00677A29">
        <w:rPr>
          <w:color w:val="0D0D0D" w:themeColor="text1" w:themeTint="F2"/>
        </w:rPr>
        <w:t>разові неповторювані</w:t>
      </w:r>
      <w:r w:rsidR="00677A29" w:rsidRPr="001432E1">
        <w:rPr>
          <w:b/>
          <w:color w:val="0D0D0D" w:themeColor="text1" w:themeTint="F2"/>
        </w:rPr>
        <w:t xml:space="preserve"> </w:t>
      </w:r>
      <w:r w:rsidRPr="00565C3D">
        <w:rPr>
          <w:color w:val="0D0D0D" w:themeColor="text1" w:themeTint="F2"/>
        </w:rPr>
        <w:t xml:space="preserve">складові доходів/витрат за рахунками 2120 та 2180, якими є доходи/втрати від операційної курсової різниці; доходи/втрати від купівлі-продажу іноземної валюти; податкові пільги; доходи/втрати від списання інших оборотних активів; доходи/втрати від </w:t>
      </w:r>
      <w:r w:rsidRPr="00565C3D">
        <w:rPr>
          <w:color w:val="0D0D0D" w:themeColor="text1" w:themeTint="F2"/>
          <w:shd w:val="clear" w:color="auto" w:fill="FFFFFF"/>
        </w:rPr>
        <w:t>реалізованих виробничих запасів та основних засобів</w:t>
      </w:r>
      <w:r w:rsidRPr="00565C3D">
        <w:rPr>
          <w:color w:val="0D0D0D" w:themeColor="text1" w:themeTint="F2"/>
        </w:rPr>
        <w:t>; доходи від безоплатно одержаних оборотних активів або фінансова допомога; доходи/втрати від списання кредиторської заборгованості; переоцінка</w:t>
      </w:r>
      <w:r w:rsidR="00677A29">
        <w:rPr>
          <w:color w:val="0D0D0D" w:themeColor="text1" w:themeTint="F2"/>
        </w:rPr>
        <w:t xml:space="preserve"> </w:t>
      </w:r>
      <w:r w:rsidR="00677A29" w:rsidRPr="00677A29">
        <w:rPr>
          <w:color w:val="0D0D0D" w:themeColor="text1" w:themeTint="F2"/>
        </w:rPr>
        <w:t>(крім переоцінки залишків готової продукції, запасів, біологічних активів)</w:t>
      </w:r>
      <w:r w:rsidRPr="00677A29">
        <w:rPr>
          <w:color w:val="0D0D0D" w:themeColor="text1" w:themeTint="F2"/>
        </w:rPr>
        <w:t>;</w:t>
      </w:r>
      <w:r w:rsidRPr="00565C3D">
        <w:rPr>
          <w:color w:val="0D0D0D" w:themeColor="text1" w:themeTint="F2"/>
        </w:rPr>
        <w:t xml:space="preserve"> штрафи, пені, неустойки; сумнівні та безнадійні борги; втрати від знецінення запасів; нестачі і втрати від псування цінностей; </w:t>
      </w:r>
      <w:r w:rsidRPr="00565C3D">
        <w:t xml:space="preserve">собівартість проданих активів; </w:t>
      </w:r>
      <w:r w:rsidRPr="00565C3D">
        <w:rPr>
          <w:color w:val="0D0D0D" w:themeColor="text1" w:themeTint="F2"/>
        </w:rPr>
        <w:t xml:space="preserve">втрати від війни, які </w:t>
      </w:r>
      <w:r w:rsidRPr="00007B5C">
        <w:rPr>
          <w:color w:val="0D0D0D" w:themeColor="text1" w:themeTint="F2"/>
        </w:rPr>
        <w:t>задокументовані відповідно до Методики</w:t>
      </w:r>
      <w:r w:rsidR="00E65B5E" w:rsidRPr="00007B5C">
        <w:rPr>
          <w:color w:val="0D0D0D" w:themeColor="text1" w:themeTint="F2"/>
        </w:rPr>
        <w:t xml:space="preserve"> </w:t>
      </w:r>
      <w:r w:rsidR="00E65B5E" w:rsidRPr="00F04949">
        <w:rPr>
          <w:color w:val="000000" w:themeColor="text1"/>
        </w:rPr>
        <w:t xml:space="preserve">визначення шкоди та обсягу збитків, завданих підприємствам, установам та організаціям усіх форм власності внаслідок знищення та пошкодження їх майна у зв’язку із збройною агресією Російської Федерації, а також упущеної вигоди від неможливості чи перешкод у провадженні господарської діяльності, затвердженої наказом Міністерства </w:t>
      </w:r>
      <w:r w:rsidR="00E65B5E" w:rsidRPr="00F04949">
        <w:rPr>
          <w:color w:val="000000" w:themeColor="text1"/>
        </w:rPr>
        <w:lastRenderedPageBreak/>
        <w:t>економіки України, Фонду державного майна України від 18</w:t>
      </w:r>
      <w:r w:rsidR="00E65B5E">
        <w:rPr>
          <w:color w:val="000000" w:themeColor="text1"/>
        </w:rPr>
        <w:t xml:space="preserve"> жовтня </w:t>
      </w:r>
      <w:r w:rsidR="00E65B5E" w:rsidRPr="00F04949">
        <w:rPr>
          <w:color w:val="000000" w:themeColor="text1"/>
        </w:rPr>
        <w:t>2022</w:t>
      </w:r>
      <w:r w:rsidR="00E65B5E">
        <w:rPr>
          <w:color w:val="000000" w:themeColor="text1"/>
        </w:rPr>
        <w:t xml:space="preserve"> року </w:t>
      </w:r>
      <w:r w:rsidR="00E65B5E" w:rsidRPr="00F04949">
        <w:rPr>
          <w:color w:val="000000" w:themeColor="text1"/>
        </w:rPr>
        <w:t>№</w:t>
      </w:r>
      <w:r w:rsidR="00E65B5E">
        <w:rPr>
          <w:color w:val="000000" w:themeColor="text1"/>
        </w:rPr>
        <w:t> </w:t>
      </w:r>
      <w:r w:rsidR="00E65B5E" w:rsidRPr="00F04949">
        <w:rPr>
          <w:color w:val="000000" w:themeColor="text1"/>
        </w:rPr>
        <w:t>3904/1223.</w:t>
      </w:r>
    </w:p>
    <w:p w14:paraId="61865BC7" w14:textId="77777777" w:rsidR="00721D1D" w:rsidRPr="00721D1D" w:rsidRDefault="00721D1D" w:rsidP="0098642B">
      <w:pPr>
        <w:pStyle w:val="af3"/>
        <w:shd w:val="clear" w:color="auto" w:fill="FFFFFF"/>
        <w:tabs>
          <w:tab w:val="left" w:pos="851"/>
        </w:tabs>
        <w:spacing w:before="240" w:after="240"/>
        <w:ind w:left="0" w:firstLine="570"/>
        <w:contextualSpacing w:val="0"/>
        <w:rPr>
          <w:color w:val="0D0D0D" w:themeColor="text1" w:themeTint="F2"/>
        </w:rPr>
      </w:pPr>
      <w:r w:rsidRPr="00721D1D">
        <w:rPr>
          <w:color w:val="0D0D0D" w:themeColor="text1" w:themeTint="F2"/>
        </w:rPr>
        <w:t>Коригування на разові</w:t>
      </w:r>
      <w:r w:rsidRPr="00721D1D">
        <w:t xml:space="preserve"> </w:t>
      </w:r>
      <w:r w:rsidRPr="00721D1D">
        <w:rPr>
          <w:color w:val="0D0D0D" w:themeColor="text1" w:themeTint="F2"/>
        </w:rPr>
        <w:t>неповторювані</w:t>
      </w:r>
      <w:r>
        <w:rPr>
          <w:color w:val="0D0D0D" w:themeColor="text1" w:themeTint="F2"/>
        </w:rPr>
        <w:t xml:space="preserve"> складові</w:t>
      </w:r>
      <w:r w:rsidRPr="00721D1D">
        <w:rPr>
          <w:color w:val="0D0D0D" w:themeColor="text1" w:themeTint="F2"/>
        </w:rPr>
        <w:t xml:space="preserve"> інших операційних доходів/витрат розраховується як різниця між значеннями доходів та витрат, які мають разовий і неповторюваний характер у складі інших операційних доходів та витрат за відповідний період, за який розраховано фінансовий результат від операційної діяльності. </w:t>
      </w:r>
    </w:p>
    <w:p w14:paraId="7A7BDA86" w14:textId="77777777" w:rsidR="00721D1D" w:rsidRPr="00721D1D" w:rsidRDefault="00721D1D" w:rsidP="0098642B">
      <w:pPr>
        <w:pStyle w:val="af3"/>
        <w:shd w:val="clear" w:color="auto" w:fill="FFFFFF"/>
        <w:tabs>
          <w:tab w:val="left" w:pos="851"/>
        </w:tabs>
        <w:spacing w:before="240" w:after="240"/>
        <w:ind w:left="0" w:firstLine="570"/>
        <w:contextualSpacing w:val="0"/>
        <w:rPr>
          <w:color w:val="0D0D0D" w:themeColor="text1" w:themeTint="F2"/>
        </w:rPr>
      </w:pPr>
      <w:r w:rsidRPr="00721D1D">
        <w:rPr>
          <w:color w:val="0D0D0D" w:themeColor="text1" w:themeTint="F2"/>
        </w:rPr>
        <w:t>Фінансовий результат від операційної діяльності на суму коригувань:</w:t>
      </w:r>
    </w:p>
    <w:p w14:paraId="7C7B42D5" w14:textId="77777777" w:rsidR="00721D1D" w:rsidRPr="00721D1D" w:rsidRDefault="00721D1D" w:rsidP="0098642B">
      <w:pPr>
        <w:pStyle w:val="af3"/>
        <w:shd w:val="clear" w:color="auto" w:fill="FFFFFF"/>
        <w:tabs>
          <w:tab w:val="left" w:pos="851"/>
        </w:tabs>
        <w:spacing w:before="240" w:after="240"/>
        <w:ind w:left="0" w:firstLine="570"/>
        <w:contextualSpacing w:val="0"/>
        <w:rPr>
          <w:color w:val="0D0D0D" w:themeColor="text1" w:themeTint="F2"/>
        </w:rPr>
      </w:pPr>
      <w:r w:rsidRPr="00721D1D">
        <w:rPr>
          <w:color w:val="0D0D0D" w:themeColor="text1" w:themeTint="F2"/>
        </w:rPr>
        <w:t xml:space="preserve">зменшується </w:t>
      </w:r>
      <w:r w:rsidR="00A501E1">
        <w:rPr>
          <w:color w:val="0D0D0D" w:themeColor="text1" w:themeTint="F2"/>
        </w:rPr>
        <w:t>–</w:t>
      </w:r>
      <w:r w:rsidRPr="00721D1D">
        <w:rPr>
          <w:color w:val="0D0D0D" w:themeColor="text1" w:themeTint="F2"/>
        </w:rPr>
        <w:t xml:space="preserve"> якщо результат розрахунку має значення більше </w:t>
      </w:r>
      <w:r w:rsidRPr="00721D1D">
        <w:rPr>
          <w:color w:val="0D0D0D" w:themeColor="text1" w:themeTint="F2"/>
          <w:lang w:val="ru-RU"/>
        </w:rPr>
        <w:t>“0”</w:t>
      </w:r>
      <w:r w:rsidRPr="00721D1D">
        <w:rPr>
          <w:color w:val="0D0D0D" w:themeColor="text1" w:themeTint="F2"/>
        </w:rPr>
        <w:t>;</w:t>
      </w:r>
    </w:p>
    <w:p w14:paraId="1FBFE4D6" w14:textId="77777777" w:rsidR="00721D1D" w:rsidRPr="00721D1D" w:rsidRDefault="00721D1D" w:rsidP="0098642B">
      <w:pPr>
        <w:pStyle w:val="af3"/>
        <w:shd w:val="clear" w:color="auto" w:fill="FFFFFF"/>
        <w:tabs>
          <w:tab w:val="left" w:pos="851"/>
        </w:tabs>
        <w:spacing w:before="240" w:after="240"/>
        <w:ind w:left="0" w:firstLine="570"/>
        <w:contextualSpacing w:val="0"/>
        <w:rPr>
          <w:color w:val="0D0D0D" w:themeColor="text1" w:themeTint="F2"/>
        </w:rPr>
      </w:pPr>
      <w:r w:rsidRPr="00721D1D">
        <w:rPr>
          <w:color w:val="0D0D0D" w:themeColor="text1" w:themeTint="F2"/>
        </w:rPr>
        <w:t xml:space="preserve">збільшується </w:t>
      </w:r>
      <w:r w:rsidR="00A501E1">
        <w:rPr>
          <w:color w:val="0D0D0D" w:themeColor="text1" w:themeTint="F2"/>
        </w:rPr>
        <w:t>–</w:t>
      </w:r>
      <w:r w:rsidRPr="00721D1D">
        <w:rPr>
          <w:color w:val="0D0D0D" w:themeColor="text1" w:themeTint="F2"/>
        </w:rPr>
        <w:t xml:space="preserve"> якщо результат розрахунку має значення</w:t>
      </w:r>
      <w:r w:rsidRPr="00721D1D">
        <w:rPr>
          <w:color w:val="0D0D0D" w:themeColor="text1" w:themeTint="F2"/>
          <w:lang w:val="ru-RU"/>
        </w:rPr>
        <w:t xml:space="preserve"> </w:t>
      </w:r>
      <w:r w:rsidRPr="00721D1D">
        <w:rPr>
          <w:color w:val="0D0D0D" w:themeColor="text1" w:themeTint="F2"/>
        </w:rPr>
        <w:t xml:space="preserve">менше </w:t>
      </w:r>
      <w:r w:rsidRPr="00721D1D">
        <w:rPr>
          <w:color w:val="0D0D0D" w:themeColor="text1" w:themeTint="F2"/>
          <w:lang w:val="ru-RU"/>
        </w:rPr>
        <w:t>“0”</w:t>
      </w:r>
      <w:r w:rsidRPr="00721D1D">
        <w:rPr>
          <w:color w:val="0D0D0D" w:themeColor="text1" w:themeTint="F2"/>
        </w:rPr>
        <w:t>;</w:t>
      </w:r>
    </w:p>
    <w:p w14:paraId="1FBA982C" w14:textId="77777777" w:rsidR="00565C3D" w:rsidRPr="00565C3D" w:rsidRDefault="00565C3D" w:rsidP="0098642B">
      <w:pPr>
        <w:tabs>
          <w:tab w:val="left" w:pos="851"/>
          <w:tab w:val="left" w:pos="993"/>
          <w:tab w:val="left" w:pos="1418"/>
        </w:tabs>
        <w:spacing w:before="240" w:after="240"/>
        <w:ind w:firstLine="570"/>
      </w:pPr>
      <w:r w:rsidRPr="00565C3D">
        <w:t>5) для компаній сільського господарства (виробників та трейдерів/продавців сільськогосподарської продукції)</w:t>
      </w:r>
      <w:r w:rsidR="00721D1D">
        <w:t xml:space="preserve">, </w:t>
      </w:r>
      <w:r w:rsidR="00721D1D" w:rsidRPr="00721D1D">
        <w:t xml:space="preserve">які складають звітність відповідно до принципів </w:t>
      </w:r>
      <w:r w:rsidR="00721D1D" w:rsidRPr="00721D1D">
        <w:rPr>
          <w:color w:val="0D0D0D" w:themeColor="text1" w:themeTint="F2"/>
        </w:rPr>
        <w:t xml:space="preserve">та підходів національних </w:t>
      </w:r>
      <w:r w:rsidR="007736E5">
        <w:rPr>
          <w:color w:val="0D0D0D" w:themeColor="text1" w:themeTint="F2"/>
        </w:rPr>
        <w:t>п</w:t>
      </w:r>
      <w:r w:rsidR="00721D1D" w:rsidRPr="00721D1D">
        <w:rPr>
          <w:color w:val="0D0D0D" w:themeColor="text1" w:themeTint="F2"/>
        </w:rPr>
        <w:t>оложень (стандартів) бухгалтерського обліку,</w:t>
      </w:r>
      <w:r w:rsidRPr="00565C3D">
        <w:t xml:space="preserve"> </w:t>
      </w:r>
      <w:r w:rsidR="00721D1D">
        <w:t xml:space="preserve">результат </w:t>
      </w:r>
      <w:r w:rsidRPr="00565C3D">
        <w:t xml:space="preserve">від операційної діяльності </w:t>
      </w:r>
      <w:r w:rsidR="005D1D3D">
        <w:t>мож</w:t>
      </w:r>
      <w:r w:rsidR="00A501E1">
        <w:t>е</w:t>
      </w:r>
      <w:r w:rsidR="005D1D3D">
        <w:t xml:space="preserve"> </w:t>
      </w:r>
      <w:r w:rsidRPr="00565C3D">
        <w:t>оціню</w:t>
      </w:r>
      <w:r w:rsidR="003B09A8">
        <w:t xml:space="preserve">ватися </w:t>
      </w:r>
      <w:r w:rsidRPr="00565C3D">
        <w:t xml:space="preserve">з урахуванням наявності на звітну дату обсягів урожаю/готової продукції попередніх періодів, що не була реалізована через проблеми з логістикою, та за наявності </w:t>
      </w:r>
      <w:r w:rsidR="008A79AF">
        <w:t>в</w:t>
      </w:r>
      <w:r w:rsidR="008A79AF" w:rsidRPr="00565C3D">
        <w:t xml:space="preserve"> </w:t>
      </w:r>
      <w:r w:rsidRPr="00565C3D">
        <w:t xml:space="preserve">банку інформації про </w:t>
      </w:r>
      <w:r w:rsidR="008A79AF">
        <w:t>те, є</w:t>
      </w:r>
      <w:r w:rsidRPr="00565C3D">
        <w:t>/</w:t>
      </w:r>
      <w:r w:rsidR="008A79AF">
        <w:t>немає</w:t>
      </w:r>
      <w:r w:rsidRPr="00565C3D">
        <w:t xml:space="preserve"> доступу до цього урожаю/готової продукції та про спроможність його/її реалізації </w:t>
      </w:r>
      <w:r w:rsidR="008A79AF">
        <w:t>в</w:t>
      </w:r>
      <w:r w:rsidR="008A79AF" w:rsidRPr="00565C3D">
        <w:t xml:space="preserve"> </w:t>
      </w:r>
      <w:r w:rsidR="008A79AF">
        <w:t>подальшому</w:t>
      </w:r>
      <w:r w:rsidRPr="00565C3D">
        <w:t xml:space="preserve">. За такої умови обсяги продукції </w:t>
      </w:r>
      <w:r w:rsidR="008A79AF">
        <w:t>повинні</w:t>
      </w:r>
      <w:r w:rsidR="008A79AF" w:rsidRPr="00565C3D">
        <w:t xml:space="preserve"> </w:t>
      </w:r>
      <w:r w:rsidRPr="00565C3D">
        <w:t xml:space="preserve">враховуватися не </w:t>
      </w:r>
      <w:r w:rsidR="00552F7E">
        <w:t>за</w:t>
      </w:r>
      <w:r w:rsidR="00552F7E" w:rsidRPr="00565C3D">
        <w:t xml:space="preserve"> </w:t>
      </w:r>
      <w:r w:rsidRPr="00565C3D">
        <w:t>повн</w:t>
      </w:r>
      <w:r w:rsidR="00552F7E">
        <w:t>ою</w:t>
      </w:r>
      <w:r w:rsidRPr="00565C3D">
        <w:t xml:space="preserve"> варт</w:t>
      </w:r>
      <w:r w:rsidR="00552F7E">
        <w:t>істю</w:t>
      </w:r>
      <w:r w:rsidRPr="00565C3D">
        <w:t>, а зважені на “маржу за EBIT”</w:t>
      </w:r>
      <w:r w:rsidRPr="00565C3D">
        <w:rPr>
          <w:vertAlign w:val="superscript"/>
        </w:rPr>
        <w:footnoteReference w:id="3"/>
      </w:r>
      <w:r w:rsidR="00D72125">
        <w:t>;</w:t>
      </w:r>
    </w:p>
    <w:p w14:paraId="546C8CD3" w14:textId="77777777" w:rsidR="00565C3D" w:rsidRPr="00565C3D" w:rsidRDefault="00565C3D" w:rsidP="0098642B">
      <w:pPr>
        <w:pStyle w:val="af3"/>
        <w:shd w:val="clear" w:color="auto" w:fill="FFFFFF"/>
        <w:tabs>
          <w:tab w:val="left" w:pos="851"/>
        </w:tabs>
        <w:spacing w:before="240" w:after="240"/>
        <w:ind w:left="0" w:firstLine="567"/>
        <w:contextualSpacing w:val="0"/>
      </w:pPr>
      <w:r w:rsidRPr="00565C3D">
        <w:t>6) за кредитами державної програми підтримки “Доступні кредити 5-7-9” та інших міжнародних програм підтримки кредитування розрахунок здійснюється за пі</w:t>
      </w:r>
      <w:r w:rsidR="00D72125">
        <w:t xml:space="preserve">льговою </w:t>
      </w:r>
      <w:r w:rsidR="005D5230">
        <w:t xml:space="preserve">відсотковою </w:t>
      </w:r>
      <w:r w:rsidR="00D72125">
        <w:t>ставкою;</w:t>
      </w:r>
    </w:p>
    <w:p w14:paraId="6363675F" w14:textId="77777777" w:rsidR="00565C3D" w:rsidRPr="00565C3D" w:rsidRDefault="00565C3D" w:rsidP="0098642B">
      <w:pPr>
        <w:spacing w:before="240" w:after="240"/>
        <w:ind w:firstLine="567"/>
      </w:pPr>
      <w:r w:rsidRPr="00565C3D">
        <w:rPr>
          <w:color w:val="1A1A1A" w:themeColor="background1" w:themeShade="1A"/>
        </w:rPr>
        <w:t xml:space="preserve">7) </w:t>
      </w:r>
      <w:r w:rsidRPr="00565C3D">
        <w:t xml:space="preserve">фінансовий результат від операційної діяльності до відрахування амортизації </w:t>
      </w:r>
      <w:r w:rsidR="00595D5A" w:rsidRPr="00565C3D">
        <w:t>боржників</w:t>
      </w:r>
      <w:r w:rsidR="008A79AF">
        <w:t xml:space="preserve"> ‒ </w:t>
      </w:r>
      <w:r w:rsidR="00595D5A" w:rsidRPr="00565C3D">
        <w:t xml:space="preserve">фінансових компаній/юридичних осіб-лізингодавців </w:t>
      </w:r>
      <w:r w:rsidR="00595D5A">
        <w:t>не враховує</w:t>
      </w:r>
      <w:r w:rsidRPr="00565C3D">
        <w:t xml:space="preserve"> фінансових витрат на обслуговування боргу</w:t>
      </w:r>
      <w:r w:rsidR="00595D5A">
        <w:t>. Такі витрати</w:t>
      </w:r>
      <w:r w:rsidRPr="00565C3D">
        <w:t xml:space="preserve"> відносяться до фінансових витрат за сукупним кредитним портфелем боржник</w:t>
      </w:r>
      <w:r w:rsidR="00595D5A">
        <w:t>а</w:t>
      </w:r>
      <w:r w:rsidRPr="00565C3D">
        <w:t xml:space="preserve"> </w:t>
      </w:r>
      <w:r w:rsidR="00D72125">
        <w:t>за відповідний період;</w:t>
      </w:r>
    </w:p>
    <w:p w14:paraId="41852640" w14:textId="77777777" w:rsidR="00565C3D" w:rsidRPr="00565C3D" w:rsidRDefault="00565C3D" w:rsidP="0098642B">
      <w:pPr>
        <w:pStyle w:val="af3"/>
        <w:spacing w:before="240" w:after="240"/>
        <w:ind w:left="0" w:firstLine="567"/>
        <w:contextualSpacing w:val="0"/>
      </w:pPr>
      <w:r w:rsidRPr="00EC17A5">
        <w:t>8) для розрахунку ICR</w:t>
      </w:r>
      <w:r w:rsidRPr="00EC17A5">
        <w:rPr>
          <w:vertAlign w:val="subscript"/>
        </w:rPr>
        <w:t>M</w:t>
      </w:r>
      <w:r w:rsidRPr="00EC17A5">
        <w:t xml:space="preserve"> не враховуються </w:t>
      </w:r>
      <w:r w:rsidR="00EC17A5">
        <w:t>проценти</w:t>
      </w:r>
      <w:r w:rsidRPr="00EC17A5">
        <w:t xml:space="preserve"> за зобов’язаннями перед кредиторами, умовами кредитних договорів з якими передбачено відтермінування сплати тіла та </w:t>
      </w:r>
      <w:r w:rsidR="00437747">
        <w:t>процентів</w:t>
      </w:r>
      <w:r w:rsidR="00437747" w:rsidRPr="00EC17A5">
        <w:t xml:space="preserve"> </w:t>
      </w:r>
      <w:r w:rsidRPr="00EC17A5">
        <w:t>за кредитами/іншими зобов’язаннями цих кредиторів до погашення кредиту в банку.</w:t>
      </w:r>
    </w:p>
    <w:p w14:paraId="2C19453C" w14:textId="77777777" w:rsidR="00565C3D" w:rsidRPr="00565C3D" w:rsidRDefault="00565C3D" w:rsidP="004D5516">
      <w:pPr>
        <w:pStyle w:val="1"/>
        <w:rPr>
          <w:rFonts w:cs="Times New Roman"/>
        </w:rPr>
      </w:pPr>
      <w:r w:rsidRPr="00565C3D">
        <w:lastRenderedPageBreak/>
        <w:t xml:space="preserve">XIV. Прогнозування фінансового результату від операційної діяльності </w:t>
      </w:r>
      <w:bookmarkEnd w:id="21"/>
      <w:bookmarkEnd w:id="22"/>
      <w:bookmarkEnd w:id="23"/>
      <w:bookmarkEnd w:id="24"/>
      <w:r w:rsidRPr="00565C3D">
        <w:rPr>
          <w:rFonts w:cs="Times New Roman"/>
        </w:rPr>
        <w:t>великих боржників – ЮО для цілей СТ</w:t>
      </w:r>
    </w:p>
    <w:p w14:paraId="6081DC6C" w14:textId="77777777" w:rsidR="00565C3D" w:rsidRPr="00565C3D" w:rsidRDefault="00565C3D" w:rsidP="00565C3D">
      <w:pPr>
        <w:pStyle w:val="af3"/>
        <w:numPr>
          <w:ilvl w:val="0"/>
          <w:numId w:val="52"/>
        </w:numPr>
        <w:tabs>
          <w:tab w:val="left" w:pos="993"/>
        </w:tabs>
        <w:spacing w:before="240" w:after="240"/>
        <w:ind w:left="0" w:right="-1" w:firstLine="567"/>
        <w:contextualSpacing w:val="0"/>
      </w:pPr>
      <w:r w:rsidRPr="00565C3D">
        <w:t xml:space="preserve">Робиться припущення про безперервність діяльності боржників. </w:t>
      </w:r>
    </w:p>
    <w:p w14:paraId="70F1FBF7" w14:textId="77777777" w:rsidR="00565C3D" w:rsidRPr="008C52EB" w:rsidRDefault="00565C3D" w:rsidP="00565C3D">
      <w:pPr>
        <w:pStyle w:val="af3"/>
        <w:numPr>
          <w:ilvl w:val="0"/>
          <w:numId w:val="52"/>
        </w:numPr>
        <w:tabs>
          <w:tab w:val="left" w:pos="993"/>
        </w:tabs>
        <w:spacing w:before="240" w:after="240"/>
        <w:ind w:left="0" w:firstLine="567"/>
        <w:contextualSpacing w:val="0"/>
        <w:rPr>
          <w:color w:val="000000" w:themeColor="text1"/>
        </w:rPr>
      </w:pPr>
      <w:r w:rsidRPr="00565C3D">
        <w:rPr>
          <w:color w:val="000000" w:themeColor="text1"/>
        </w:rPr>
        <w:t xml:space="preserve">У прогнозному періоді СТ боржників здійснюється на </w:t>
      </w:r>
      <w:r w:rsidR="00D47A26">
        <w:rPr>
          <w:color w:val="000000" w:themeColor="text1"/>
        </w:rPr>
        <w:t xml:space="preserve">основі </w:t>
      </w:r>
      <w:r w:rsidRPr="00565C3D">
        <w:rPr>
          <w:color w:val="000000" w:themeColor="text1"/>
        </w:rPr>
        <w:t>розрахунку прогнозного значення ICR</w:t>
      </w:r>
      <w:r w:rsidRPr="00565C3D">
        <w:rPr>
          <w:vertAlign w:val="subscript"/>
        </w:rPr>
        <w:t>M</w:t>
      </w:r>
      <w:r w:rsidR="008C52EB">
        <w:rPr>
          <w:color w:val="000000" w:themeColor="text1"/>
        </w:rPr>
        <w:t>.</w:t>
      </w:r>
      <w:r w:rsidR="007C204E">
        <w:rPr>
          <w:color w:val="000000" w:themeColor="text1"/>
        </w:rPr>
        <w:t xml:space="preserve"> </w:t>
      </w:r>
      <w:r w:rsidR="008C52EB">
        <w:rPr>
          <w:color w:val="000000" w:themeColor="text1"/>
        </w:rPr>
        <w:t>З</w:t>
      </w:r>
      <w:r w:rsidRPr="00565C3D">
        <w:rPr>
          <w:color w:val="000000" w:themeColor="text1"/>
        </w:rPr>
        <w:t xml:space="preserve">начення </w:t>
      </w:r>
      <w:r w:rsidR="008C52EB" w:rsidRPr="00565C3D">
        <w:rPr>
          <w:color w:val="000000" w:themeColor="text1"/>
        </w:rPr>
        <w:t>ICR</w:t>
      </w:r>
      <w:r w:rsidR="008C52EB" w:rsidRPr="00565C3D">
        <w:rPr>
          <w:vertAlign w:val="subscript"/>
        </w:rPr>
        <w:t>M</w:t>
      </w:r>
      <w:r w:rsidR="003B09A8">
        <w:rPr>
          <w:color w:val="000000" w:themeColor="text1"/>
        </w:rPr>
        <w:t xml:space="preserve">, шо є нижче граничного, </w:t>
      </w:r>
      <w:r w:rsidRPr="00565C3D">
        <w:rPr>
          <w:color w:val="000000" w:themeColor="text1"/>
        </w:rPr>
        <w:t xml:space="preserve">є </w:t>
      </w:r>
      <w:r w:rsidR="007C204E">
        <w:rPr>
          <w:color w:val="000000" w:themeColor="text1"/>
        </w:rPr>
        <w:t>індикатором</w:t>
      </w:r>
      <w:r w:rsidRPr="00565C3D">
        <w:rPr>
          <w:color w:val="000000" w:themeColor="text1"/>
        </w:rPr>
        <w:t xml:space="preserve"> </w:t>
      </w:r>
      <w:r w:rsidRPr="00565C3D">
        <w:t>фінансов</w:t>
      </w:r>
      <w:r w:rsidR="008C52EB">
        <w:t>ого</w:t>
      </w:r>
      <w:r w:rsidRPr="00565C3D">
        <w:t xml:space="preserve"> стан</w:t>
      </w:r>
      <w:r w:rsidR="008C52EB">
        <w:t>у</w:t>
      </w:r>
      <w:r w:rsidRPr="00565C3D">
        <w:t xml:space="preserve"> боржника за звітний період</w:t>
      </w:r>
      <w:r w:rsidR="008C52EB">
        <w:t>, який</w:t>
      </w:r>
      <w:r w:rsidRPr="00565C3D">
        <w:t xml:space="preserve"> свідчить про неспроможність </w:t>
      </w:r>
      <w:r w:rsidR="008C52EB">
        <w:t xml:space="preserve">боржника </w:t>
      </w:r>
      <w:r w:rsidRPr="00565C3D">
        <w:t>обслуговувати борг з урахуванням сукупного обсягу заборгованості за кредитами та умов договор</w:t>
      </w:r>
      <w:r w:rsidR="00E05A7F">
        <w:t>ів</w:t>
      </w:r>
      <w:r w:rsidRPr="00565C3D">
        <w:t xml:space="preserve"> про розмір відсоткової ставки. </w:t>
      </w:r>
    </w:p>
    <w:p w14:paraId="0E5C1FAE" w14:textId="77777777" w:rsidR="00565C3D" w:rsidRPr="00565C3D" w:rsidRDefault="00565C3D" w:rsidP="00565C3D">
      <w:pPr>
        <w:pStyle w:val="af3"/>
        <w:numPr>
          <w:ilvl w:val="0"/>
          <w:numId w:val="52"/>
        </w:numPr>
        <w:tabs>
          <w:tab w:val="left" w:pos="993"/>
        </w:tabs>
        <w:spacing w:before="240" w:after="240"/>
        <w:ind w:left="0" w:right="-1" w:firstLine="567"/>
        <w:contextualSpacing w:val="0"/>
      </w:pPr>
      <w:r w:rsidRPr="00565C3D">
        <w:t>Фінансовий результат від операційної діяльності до вирахування амортизації (скоригований</w:t>
      </w:r>
      <w:r w:rsidR="00BD3F83">
        <w:t xml:space="preserve"> </w:t>
      </w:r>
      <w:r w:rsidR="00BD3F83" w:rsidRPr="00721D1D">
        <w:rPr>
          <w:color w:val="0D0D0D" w:themeColor="text1" w:themeTint="F2"/>
        </w:rPr>
        <w:t>на разові</w:t>
      </w:r>
      <w:r w:rsidR="00BD3F83" w:rsidRPr="00721D1D">
        <w:t xml:space="preserve"> </w:t>
      </w:r>
      <w:r w:rsidR="00BD3F83" w:rsidRPr="00721D1D">
        <w:rPr>
          <w:color w:val="0D0D0D" w:themeColor="text1" w:themeTint="F2"/>
        </w:rPr>
        <w:t>неповторювані</w:t>
      </w:r>
      <w:r w:rsidR="00BD3F83">
        <w:rPr>
          <w:color w:val="0D0D0D" w:themeColor="text1" w:themeTint="F2"/>
        </w:rPr>
        <w:t xml:space="preserve"> складові</w:t>
      </w:r>
      <w:r w:rsidR="00BD3F83">
        <w:t xml:space="preserve"> </w:t>
      </w:r>
      <w:r w:rsidR="00BD3F83" w:rsidRPr="001D382F">
        <w:t>інших операційних доходів/витрат</w:t>
      </w:r>
      <w:r w:rsidRPr="00565C3D">
        <w:t>) прогнозується залежно від виду економічної діяльності боржника. Для цілей СТ сукупність видів економічної діяльності г</w:t>
      </w:r>
      <w:r w:rsidR="00E05A7F">
        <w:t>рупується в однорідні кластери.</w:t>
      </w:r>
    </w:p>
    <w:p w14:paraId="7F380DE1" w14:textId="77777777" w:rsidR="00565C3D" w:rsidRPr="00565C3D" w:rsidRDefault="00565C3D" w:rsidP="00565C3D">
      <w:pPr>
        <w:pStyle w:val="af3"/>
        <w:numPr>
          <w:ilvl w:val="0"/>
          <w:numId w:val="52"/>
        </w:numPr>
        <w:tabs>
          <w:tab w:val="left" w:pos="993"/>
        </w:tabs>
        <w:spacing w:before="240" w:after="240"/>
        <w:ind w:left="0" w:right="-1" w:firstLine="567"/>
        <w:contextualSpacing w:val="0"/>
      </w:pPr>
      <w:r w:rsidRPr="00565C3D">
        <w:t xml:space="preserve">Розподіл </w:t>
      </w:r>
      <w:r w:rsidR="00D47A26">
        <w:t xml:space="preserve">видів економічної діяльності </w:t>
      </w:r>
      <w:r w:rsidRPr="00565C3D">
        <w:t xml:space="preserve">на кластери </w:t>
      </w:r>
      <w:r w:rsidR="00D47A26">
        <w:t>наведено</w:t>
      </w:r>
      <w:r w:rsidRPr="00565C3D">
        <w:t xml:space="preserve"> в таблиці 8</w:t>
      </w:r>
      <w:r w:rsidR="008A79AF">
        <w:t xml:space="preserve"> цього додатка</w:t>
      </w:r>
      <w:r w:rsidRPr="00565C3D">
        <w:t>.</w:t>
      </w:r>
    </w:p>
    <w:p w14:paraId="24796F5E" w14:textId="77777777" w:rsidR="00565C3D" w:rsidRPr="00565C3D" w:rsidRDefault="00565C3D" w:rsidP="00565C3D">
      <w:pPr>
        <w:jc w:val="right"/>
      </w:pPr>
      <w:r w:rsidRPr="00565C3D">
        <w:t>Таблиця 8</w:t>
      </w:r>
    </w:p>
    <w:p w14:paraId="61B24216" w14:textId="77777777" w:rsidR="00565C3D" w:rsidRPr="00565C3D" w:rsidRDefault="00565C3D" w:rsidP="00565C3D">
      <w:pPr>
        <w:spacing w:after="120"/>
        <w:jc w:val="center"/>
      </w:pPr>
      <w:r w:rsidRPr="00565C3D">
        <w:t>Кластери боржників для проведення СТ</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402"/>
        <w:gridCol w:w="1984"/>
        <w:gridCol w:w="3544"/>
      </w:tblGrid>
      <w:tr w:rsidR="00565C3D" w:rsidRPr="00565C3D" w14:paraId="18C0A26D" w14:textId="77777777" w:rsidTr="00565C3D">
        <w:trPr>
          <w:trHeight w:val="3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E3723" w14:textId="77777777" w:rsidR="00565C3D" w:rsidRPr="00565C3D" w:rsidRDefault="00565C3D" w:rsidP="00565C3D">
            <w:pPr>
              <w:spacing w:line="276" w:lineRule="auto"/>
              <w:jc w:val="center"/>
              <w:rPr>
                <w:b/>
                <w:bCs/>
                <w:lang w:eastAsia="en-US"/>
              </w:rPr>
            </w:pPr>
            <w:r w:rsidRPr="00565C3D">
              <w:rPr>
                <w:bCs/>
                <w:lang w:eastAsia="en-US"/>
              </w:rPr>
              <w:t>№ з/п</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5F7D4" w14:textId="77777777" w:rsidR="00565C3D" w:rsidRPr="00565C3D" w:rsidRDefault="00565C3D" w:rsidP="00565C3D">
            <w:pPr>
              <w:spacing w:line="276" w:lineRule="auto"/>
              <w:jc w:val="center"/>
              <w:rPr>
                <w:bCs/>
                <w:lang w:eastAsia="en-US"/>
              </w:rPr>
            </w:pPr>
            <w:r w:rsidRPr="00565C3D">
              <w:rPr>
                <w:bCs/>
                <w:lang w:eastAsia="en-US"/>
              </w:rPr>
              <w:t>Назва кластера</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1701B" w14:textId="77777777" w:rsidR="00565C3D" w:rsidRPr="00565C3D" w:rsidRDefault="00565C3D" w:rsidP="00565C3D">
            <w:pPr>
              <w:spacing w:line="276" w:lineRule="auto"/>
              <w:jc w:val="center"/>
              <w:rPr>
                <w:bCs/>
                <w:lang w:eastAsia="en-US"/>
              </w:rPr>
            </w:pPr>
            <w:r w:rsidRPr="00565C3D">
              <w:rPr>
                <w:bCs/>
                <w:lang w:eastAsia="en-US"/>
              </w:rPr>
              <w:t>Секція КВЕД</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6B1D2" w14:textId="77777777" w:rsidR="00565C3D" w:rsidRPr="00565C3D" w:rsidRDefault="00565C3D" w:rsidP="00565C3D">
            <w:pPr>
              <w:spacing w:line="276" w:lineRule="auto"/>
              <w:jc w:val="center"/>
              <w:rPr>
                <w:bCs/>
                <w:lang w:eastAsia="en-US"/>
              </w:rPr>
            </w:pPr>
            <w:r w:rsidRPr="00565C3D">
              <w:rPr>
                <w:bCs/>
                <w:lang w:eastAsia="en-US"/>
              </w:rPr>
              <w:t>Розділ КВЕД</w:t>
            </w:r>
          </w:p>
        </w:tc>
      </w:tr>
      <w:tr w:rsidR="00565C3D" w:rsidRPr="00565C3D" w14:paraId="378D0271" w14:textId="77777777" w:rsidTr="00565C3D">
        <w:trPr>
          <w:trHeight w:val="302"/>
          <w:tblHeader/>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14:paraId="312400F9" w14:textId="77777777" w:rsidR="00565C3D" w:rsidRPr="00565C3D" w:rsidRDefault="00565C3D" w:rsidP="00565C3D">
            <w:pPr>
              <w:spacing w:line="276" w:lineRule="auto"/>
              <w:jc w:val="center"/>
              <w:rPr>
                <w:lang w:eastAsia="en-US"/>
              </w:rPr>
            </w:pPr>
            <w:r w:rsidRPr="00565C3D">
              <w:rPr>
                <w:lang w:eastAsia="en-US"/>
              </w:rPr>
              <w:t>1</w:t>
            </w:r>
          </w:p>
        </w:tc>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14:paraId="4D460DF9" w14:textId="77777777" w:rsidR="00565C3D" w:rsidRPr="00565C3D" w:rsidRDefault="00565C3D" w:rsidP="00565C3D">
            <w:pPr>
              <w:spacing w:line="276" w:lineRule="auto"/>
              <w:jc w:val="center"/>
              <w:rPr>
                <w:lang w:eastAsia="en-US"/>
              </w:rPr>
            </w:pPr>
            <w:r w:rsidRPr="00565C3D">
              <w:rPr>
                <w:lang w:eastAsia="en-US"/>
              </w:rPr>
              <w:t>2</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1392E82B" w14:textId="77777777" w:rsidR="00565C3D" w:rsidRPr="00565C3D" w:rsidRDefault="00565C3D" w:rsidP="00565C3D">
            <w:pPr>
              <w:spacing w:line="276" w:lineRule="auto"/>
              <w:jc w:val="center"/>
              <w:rPr>
                <w:lang w:eastAsia="en-US"/>
              </w:rPr>
            </w:pPr>
            <w:r w:rsidRPr="00565C3D">
              <w:rPr>
                <w:lang w:eastAsia="en-US"/>
              </w:rPr>
              <w:t>3</w:t>
            </w:r>
          </w:p>
        </w:tc>
        <w:tc>
          <w:tcPr>
            <w:tcW w:w="3544" w:type="dxa"/>
            <w:tcBorders>
              <w:top w:val="single" w:sz="4" w:space="0" w:color="auto"/>
              <w:left w:val="single" w:sz="4" w:space="0" w:color="auto"/>
              <w:bottom w:val="single" w:sz="4" w:space="0" w:color="auto"/>
              <w:right w:val="single" w:sz="4" w:space="0" w:color="auto"/>
            </w:tcBorders>
            <w:shd w:val="clear" w:color="auto" w:fill="auto"/>
            <w:noWrap/>
            <w:hideMark/>
          </w:tcPr>
          <w:p w14:paraId="05E183E1" w14:textId="77777777" w:rsidR="00565C3D" w:rsidRPr="00565C3D" w:rsidRDefault="00565C3D" w:rsidP="00565C3D">
            <w:pPr>
              <w:spacing w:line="276" w:lineRule="auto"/>
              <w:jc w:val="center"/>
              <w:rPr>
                <w:lang w:eastAsia="en-US"/>
              </w:rPr>
            </w:pPr>
            <w:r w:rsidRPr="00565C3D">
              <w:rPr>
                <w:lang w:eastAsia="en-US"/>
              </w:rPr>
              <w:t>4</w:t>
            </w:r>
          </w:p>
        </w:tc>
      </w:tr>
      <w:tr w:rsidR="00565C3D" w:rsidRPr="00565C3D" w14:paraId="2A1C2EA5" w14:textId="77777777" w:rsidTr="00565C3D">
        <w:trPr>
          <w:trHeight w:val="302"/>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36944" w14:textId="77777777" w:rsidR="00565C3D" w:rsidRPr="00565C3D" w:rsidRDefault="00565C3D" w:rsidP="00565C3D">
            <w:pPr>
              <w:spacing w:line="276" w:lineRule="auto"/>
              <w:jc w:val="center"/>
              <w:rPr>
                <w:lang w:eastAsia="en-US"/>
              </w:rPr>
            </w:pPr>
            <w:r w:rsidRPr="00565C3D">
              <w:rPr>
                <w:lang w:eastAsia="en-US"/>
              </w:rPr>
              <w:t>1</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A22BC" w14:textId="77777777" w:rsidR="00565C3D" w:rsidRPr="00565C3D" w:rsidRDefault="00565C3D" w:rsidP="00565C3D">
            <w:pPr>
              <w:spacing w:line="276" w:lineRule="auto"/>
              <w:rPr>
                <w:lang w:eastAsia="en-US"/>
              </w:rPr>
            </w:pPr>
            <w:r w:rsidRPr="00565C3D">
              <w:rPr>
                <w:color w:val="000000"/>
                <w:lang w:eastAsia="en-US"/>
              </w:rPr>
              <w:t>Добувна промисловість</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E32F49" w14:textId="77777777" w:rsidR="00565C3D" w:rsidRPr="00565C3D" w:rsidRDefault="00565C3D" w:rsidP="00565C3D">
            <w:pPr>
              <w:spacing w:line="276" w:lineRule="auto"/>
              <w:jc w:val="center"/>
              <w:rPr>
                <w:lang w:eastAsia="en-US"/>
              </w:rPr>
            </w:pPr>
            <w:r w:rsidRPr="00565C3D">
              <w:rPr>
                <w:color w:val="000000"/>
              </w:rPr>
              <w:t>B</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99C4B5" w14:textId="77777777" w:rsidR="00565C3D" w:rsidRPr="00565C3D" w:rsidRDefault="00565C3D" w:rsidP="00565C3D">
            <w:pPr>
              <w:spacing w:line="276" w:lineRule="auto"/>
              <w:jc w:val="center"/>
              <w:rPr>
                <w:lang w:eastAsia="en-US"/>
              </w:rPr>
            </w:pPr>
            <w:r w:rsidRPr="00565C3D">
              <w:rPr>
                <w:color w:val="000000"/>
              </w:rPr>
              <w:t>05–09</w:t>
            </w:r>
          </w:p>
        </w:tc>
      </w:tr>
      <w:tr w:rsidR="00565C3D" w:rsidRPr="00565C3D" w14:paraId="15D5736B" w14:textId="77777777" w:rsidTr="00565C3D">
        <w:trPr>
          <w:trHeight w:val="302"/>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363015" w14:textId="77777777" w:rsidR="00565C3D" w:rsidRPr="00565C3D" w:rsidRDefault="00565C3D" w:rsidP="00565C3D">
            <w:pPr>
              <w:spacing w:line="276" w:lineRule="auto"/>
              <w:jc w:val="center"/>
              <w:rPr>
                <w:lang w:eastAsia="en-US"/>
              </w:rPr>
            </w:pPr>
            <w:r w:rsidRPr="00565C3D">
              <w:rPr>
                <w:lang w:eastAsia="en-US"/>
              </w:rPr>
              <w:t>2</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DF5BB0" w14:textId="77777777" w:rsidR="00565C3D" w:rsidRPr="00565C3D" w:rsidRDefault="00565C3D" w:rsidP="00565C3D">
            <w:pPr>
              <w:tabs>
                <w:tab w:val="left" w:pos="3140"/>
              </w:tabs>
              <w:spacing w:line="276" w:lineRule="auto"/>
              <w:rPr>
                <w:lang w:eastAsia="en-US"/>
              </w:rPr>
            </w:pPr>
            <w:r w:rsidRPr="00565C3D">
              <w:rPr>
                <w:color w:val="000000"/>
                <w:lang w:eastAsia="en-US"/>
              </w:rPr>
              <w:t>Операції з нерухомістю</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CD4269" w14:textId="77777777" w:rsidR="00565C3D" w:rsidRPr="00565C3D" w:rsidRDefault="00565C3D" w:rsidP="00565C3D">
            <w:pPr>
              <w:spacing w:line="276" w:lineRule="auto"/>
              <w:jc w:val="center"/>
              <w:rPr>
                <w:lang w:eastAsia="en-US"/>
              </w:rPr>
            </w:pPr>
            <w:r w:rsidRPr="00565C3D">
              <w:rPr>
                <w:color w:val="000000"/>
              </w:rPr>
              <w:t>L</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7976F4" w14:textId="77777777" w:rsidR="00565C3D" w:rsidRPr="00565C3D" w:rsidRDefault="00565C3D" w:rsidP="00565C3D">
            <w:pPr>
              <w:spacing w:line="276" w:lineRule="auto"/>
              <w:jc w:val="center"/>
              <w:rPr>
                <w:lang w:eastAsia="en-US"/>
              </w:rPr>
            </w:pPr>
            <w:r w:rsidRPr="00565C3D">
              <w:rPr>
                <w:color w:val="000000"/>
              </w:rPr>
              <w:t>68</w:t>
            </w:r>
          </w:p>
        </w:tc>
      </w:tr>
      <w:tr w:rsidR="00565C3D" w:rsidRPr="00565C3D" w14:paraId="40882444" w14:textId="77777777" w:rsidTr="00565C3D">
        <w:trPr>
          <w:trHeight w:val="302"/>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B97E41" w14:textId="77777777" w:rsidR="00565C3D" w:rsidRPr="00565C3D" w:rsidRDefault="00565C3D" w:rsidP="00565C3D">
            <w:pPr>
              <w:spacing w:line="276" w:lineRule="auto"/>
              <w:jc w:val="center"/>
              <w:rPr>
                <w:lang w:eastAsia="en-US"/>
              </w:rPr>
            </w:pPr>
            <w:r w:rsidRPr="00565C3D">
              <w:rPr>
                <w:lang w:eastAsia="en-US"/>
              </w:rPr>
              <w:t>3</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2D47CC" w14:textId="77777777" w:rsidR="00565C3D" w:rsidRPr="00565C3D" w:rsidRDefault="00565C3D" w:rsidP="00565C3D">
            <w:pPr>
              <w:tabs>
                <w:tab w:val="left" w:pos="3140"/>
              </w:tabs>
              <w:spacing w:line="276" w:lineRule="auto"/>
              <w:rPr>
                <w:lang w:eastAsia="en-US"/>
              </w:rPr>
            </w:pPr>
            <w:r w:rsidRPr="00565C3D">
              <w:rPr>
                <w:color w:val="000000"/>
                <w:lang w:eastAsia="en-US"/>
              </w:rPr>
              <w:t>Оптова торгівля</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284230" w14:textId="77777777" w:rsidR="00565C3D" w:rsidRPr="00565C3D" w:rsidRDefault="00565C3D" w:rsidP="00565C3D">
            <w:pPr>
              <w:spacing w:line="276" w:lineRule="auto"/>
              <w:jc w:val="center"/>
              <w:rPr>
                <w:lang w:eastAsia="en-US"/>
              </w:rPr>
            </w:pPr>
            <w:r w:rsidRPr="00565C3D">
              <w:rPr>
                <w:color w:val="000000"/>
              </w:rPr>
              <w:t>G</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80068C" w14:textId="77777777" w:rsidR="00565C3D" w:rsidRPr="00565C3D" w:rsidRDefault="00565C3D" w:rsidP="00565C3D">
            <w:pPr>
              <w:spacing w:line="276" w:lineRule="auto"/>
              <w:jc w:val="center"/>
              <w:rPr>
                <w:lang w:eastAsia="en-US"/>
              </w:rPr>
            </w:pPr>
            <w:r w:rsidRPr="00565C3D">
              <w:rPr>
                <w:color w:val="000000"/>
              </w:rPr>
              <w:t>46</w:t>
            </w:r>
          </w:p>
        </w:tc>
      </w:tr>
      <w:tr w:rsidR="00565C3D" w:rsidRPr="00565C3D" w14:paraId="7F81D62C" w14:textId="77777777" w:rsidTr="00565C3D">
        <w:trPr>
          <w:trHeight w:val="302"/>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E424D6" w14:textId="77777777" w:rsidR="00565C3D" w:rsidRPr="00565C3D" w:rsidRDefault="00565C3D" w:rsidP="00565C3D">
            <w:pPr>
              <w:spacing w:line="276" w:lineRule="auto"/>
              <w:jc w:val="center"/>
              <w:rPr>
                <w:lang w:eastAsia="en-US"/>
              </w:rPr>
            </w:pPr>
            <w:r w:rsidRPr="00565C3D">
              <w:rPr>
                <w:lang w:eastAsia="en-US"/>
              </w:rPr>
              <w:t>4</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66014D" w14:textId="77777777" w:rsidR="00565C3D" w:rsidRPr="00565C3D" w:rsidRDefault="00565C3D" w:rsidP="00813302">
            <w:pPr>
              <w:tabs>
                <w:tab w:val="left" w:pos="3140"/>
              </w:tabs>
              <w:spacing w:line="276" w:lineRule="auto"/>
              <w:rPr>
                <w:lang w:eastAsia="en-US"/>
              </w:rPr>
            </w:pPr>
            <w:r w:rsidRPr="00565C3D">
              <w:rPr>
                <w:color w:val="000000"/>
                <w:lang w:eastAsia="en-US"/>
              </w:rPr>
              <w:t xml:space="preserve">Постачання </w:t>
            </w:r>
            <w:r w:rsidR="00813302">
              <w:rPr>
                <w:color w:val="000000"/>
                <w:lang w:eastAsia="en-US"/>
              </w:rPr>
              <w:t>електроенергії</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4CE5D4" w14:textId="77777777" w:rsidR="00565C3D" w:rsidRPr="00565C3D" w:rsidRDefault="00565C3D" w:rsidP="00565C3D">
            <w:pPr>
              <w:spacing w:line="276" w:lineRule="auto"/>
              <w:jc w:val="center"/>
              <w:rPr>
                <w:lang w:eastAsia="en-US"/>
              </w:rPr>
            </w:pPr>
            <w:r w:rsidRPr="00565C3D">
              <w:rPr>
                <w:color w:val="000000"/>
              </w:rPr>
              <w:t>D</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19BD5A" w14:textId="77777777" w:rsidR="00565C3D" w:rsidRPr="00565C3D" w:rsidRDefault="00565C3D" w:rsidP="00565C3D">
            <w:pPr>
              <w:spacing w:line="276" w:lineRule="auto"/>
              <w:jc w:val="center"/>
              <w:rPr>
                <w:lang w:eastAsia="en-US"/>
              </w:rPr>
            </w:pPr>
            <w:r w:rsidRPr="00565C3D">
              <w:rPr>
                <w:color w:val="000000"/>
              </w:rPr>
              <w:t>35</w:t>
            </w:r>
          </w:p>
        </w:tc>
      </w:tr>
      <w:tr w:rsidR="00565C3D" w:rsidRPr="00565C3D" w14:paraId="429A3EA1" w14:textId="77777777" w:rsidTr="00565C3D">
        <w:trPr>
          <w:trHeight w:val="302"/>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0243D5" w14:textId="77777777" w:rsidR="00565C3D" w:rsidRPr="00565C3D" w:rsidRDefault="00565C3D" w:rsidP="00565C3D">
            <w:pPr>
              <w:spacing w:line="276" w:lineRule="auto"/>
              <w:jc w:val="center"/>
              <w:rPr>
                <w:lang w:eastAsia="en-US"/>
              </w:rPr>
            </w:pPr>
            <w:r w:rsidRPr="00565C3D">
              <w:rPr>
                <w:lang w:eastAsia="en-US"/>
              </w:rPr>
              <w:t>5</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F100F1" w14:textId="77777777" w:rsidR="00565C3D" w:rsidRPr="00565C3D" w:rsidRDefault="00565C3D" w:rsidP="00565C3D">
            <w:pPr>
              <w:tabs>
                <w:tab w:val="left" w:pos="3140"/>
              </w:tabs>
              <w:spacing w:line="276" w:lineRule="auto"/>
              <w:rPr>
                <w:lang w:eastAsia="en-US"/>
              </w:rPr>
            </w:pPr>
            <w:r w:rsidRPr="00565C3D">
              <w:rPr>
                <w:color w:val="000000"/>
                <w:lang w:eastAsia="en-US"/>
              </w:rPr>
              <w:t>Роздрібна торгівля</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BE1117" w14:textId="77777777" w:rsidR="00565C3D" w:rsidRPr="00565C3D" w:rsidRDefault="00565C3D" w:rsidP="00565C3D">
            <w:pPr>
              <w:spacing w:line="276" w:lineRule="auto"/>
              <w:jc w:val="center"/>
              <w:rPr>
                <w:lang w:eastAsia="en-US"/>
              </w:rPr>
            </w:pPr>
            <w:r w:rsidRPr="00565C3D">
              <w:rPr>
                <w:color w:val="000000"/>
              </w:rPr>
              <w:t>G</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A27CCB" w14:textId="77777777" w:rsidR="00565C3D" w:rsidRPr="00565C3D" w:rsidRDefault="00565C3D" w:rsidP="00565C3D">
            <w:pPr>
              <w:spacing w:line="276" w:lineRule="auto"/>
              <w:jc w:val="center"/>
              <w:rPr>
                <w:lang w:eastAsia="en-US"/>
              </w:rPr>
            </w:pPr>
            <w:r w:rsidRPr="00565C3D">
              <w:rPr>
                <w:color w:val="000000"/>
              </w:rPr>
              <w:t>47</w:t>
            </w:r>
          </w:p>
        </w:tc>
      </w:tr>
      <w:tr w:rsidR="00565C3D" w:rsidRPr="00565C3D" w14:paraId="5707858B" w14:textId="77777777" w:rsidTr="00565C3D">
        <w:trPr>
          <w:trHeight w:val="302"/>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6179E2" w14:textId="77777777" w:rsidR="00565C3D" w:rsidRPr="00565C3D" w:rsidRDefault="00565C3D" w:rsidP="00565C3D">
            <w:pPr>
              <w:spacing w:line="276" w:lineRule="auto"/>
              <w:jc w:val="center"/>
              <w:rPr>
                <w:lang w:eastAsia="en-US"/>
              </w:rPr>
            </w:pPr>
            <w:r w:rsidRPr="00565C3D">
              <w:rPr>
                <w:lang w:eastAsia="en-US"/>
              </w:rPr>
              <w:t>6</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8DB34F" w14:textId="77777777" w:rsidR="00565C3D" w:rsidRPr="00565C3D" w:rsidRDefault="00565C3D" w:rsidP="00565C3D">
            <w:pPr>
              <w:tabs>
                <w:tab w:val="left" w:pos="3140"/>
              </w:tabs>
              <w:spacing w:line="276" w:lineRule="auto"/>
              <w:rPr>
                <w:lang w:eastAsia="en-US"/>
              </w:rPr>
            </w:pPr>
            <w:r w:rsidRPr="00565C3D">
              <w:rPr>
                <w:color w:val="000000"/>
                <w:lang w:eastAsia="en-US"/>
              </w:rPr>
              <w:t>Сільське господарство</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24C03B" w14:textId="77777777" w:rsidR="00565C3D" w:rsidRPr="00565C3D" w:rsidRDefault="00565C3D" w:rsidP="00565C3D">
            <w:pPr>
              <w:spacing w:line="276" w:lineRule="auto"/>
              <w:jc w:val="center"/>
              <w:rPr>
                <w:lang w:eastAsia="en-US"/>
              </w:rPr>
            </w:pPr>
            <w:r w:rsidRPr="00565C3D">
              <w:rPr>
                <w:color w:val="000000"/>
              </w:rPr>
              <w:t>A</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EF6BCE" w14:textId="77777777" w:rsidR="00565C3D" w:rsidRPr="00565C3D" w:rsidRDefault="00565C3D" w:rsidP="00565C3D">
            <w:pPr>
              <w:spacing w:line="276" w:lineRule="auto"/>
              <w:jc w:val="center"/>
              <w:rPr>
                <w:lang w:eastAsia="en-US"/>
              </w:rPr>
            </w:pPr>
            <w:r w:rsidRPr="00565C3D">
              <w:rPr>
                <w:color w:val="000000"/>
              </w:rPr>
              <w:t>01–03</w:t>
            </w:r>
          </w:p>
        </w:tc>
      </w:tr>
      <w:tr w:rsidR="00565C3D" w:rsidRPr="00565C3D" w14:paraId="16B12CE2" w14:textId="77777777" w:rsidTr="00565C3D">
        <w:trPr>
          <w:trHeight w:val="302"/>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9AF8D1" w14:textId="77777777" w:rsidR="00565C3D" w:rsidRPr="00565C3D" w:rsidRDefault="00565C3D" w:rsidP="00565C3D">
            <w:pPr>
              <w:spacing w:line="276" w:lineRule="auto"/>
              <w:jc w:val="center"/>
              <w:rPr>
                <w:lang w:eastAsia="en-US"/>
              </w:rPr>
            </w:pPr>
            <w:r w:rsidRPr="00565C3D">
              <w:rPr>
                <w:lang w:eastAsia="en-US"/>
              </w:rPr>
              <w:t>7</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48432B" w14:textId="77777777" w:rsidR="00565C3D" w:rsidRPr="00565C3D" w:rsidRDefault="00565C3D" w:rsidP="00565C3D">
            <w:pPr>
              <w:tabs>
                <w:tab w:val="left" w:pos="3140"/>
              </w:tabs>
              <w:spacing w:line="276" w:lineRule="auto"/>
              <w:rPr>
                <w:lang w:eastAsia="en-US"/>
              </w:rPr>
            </w:pPr>
            <w:r w:rsidRPr="00565C3D">
              <w:rPr>
                <w:color w:val="000000"/>
                <w:lang w:eastAsia="en-US"/>
              </w:rPr>
              <w:t>Транспорт</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4588E8" w14:textId="77777777" w:rsidR="00565C3D" w:rsidRPr="00565C3D" w:rsidRDefault="00565C3D" w:rsidP="00565C3D">
            <w:pPr>
              <w:spacing w:line="276" w:lineRule="auto"/>
              <w:jc w:val="center"/>
              <w:rPr>
                <w:lang w:eastAsia="en-US"/>
              </w:rPr>
            </w:pPr>
            <w:r w:rsidRPr="00565C3D">
              <w:rPr>
                <w:color w:val="000000"/>
              </w:rPr>
              <w:t>H</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A226A3" w14:textId="77777777" w:rsidR="00565C3D" w:rsidRPr="00565C3D" w:rsidRDefault="00565C3D" w:rsidP="00565C3D">
            <w:pPr>
              <w:spacing w:line="276" w:lineRule="auto"/>
              <w:jc w:val="center"/>
              <w:rPr>
                <w:lang w:eastAsia="en-US"/>
              </w:rPr>
            </w:pPr>
            <w:r w:rsidRPr="00565C3D">
              <w:rPr>
                <w:color w:val="000000"/>
              </w:rPr>
              <w:t>49–53</w:t>
            </w:r>
          </w:p>
        </w:tc>
      </w:tr>
      <w:tr w:rsidR="00565C3D" w:rsidRPr="00565C3D" w14:paraId="3DEEAE95" w14:textId="77777777" w:rsidTr="00565C3D">
        <w:trPr>
          <w:trHeight w:val="302"/>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13A2B6" w14:textId="77777777" w:rsidR="00565C3D" w:rsidRPr="00565C3D" w:rsidRDefault="00565C3D" w:rsidP="00565C3D">
            <w:pPr>
              <w:spacing w:line="276" w:lineRule="auto"/>
              <w:jc w:val="center"/>
              <w:rPr>
                <w:lang w:eastAsia="en-US"/>
              </w:rPr>
            </w:pPr>
            <w:r w:rsidRPr="00565C3D">
              <w:rPr>
                <w:lang w:eastAsia="en-US"/>
              </w:rPr>
              <w:t>8</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55D3F7" w14:textId="77777777" w:rsidR="00565C3D" w:rsidRPr="00565C3D" w:rsidRDefault="00565C3D" w:rsidP="00565C3D">
            <w:pPr>
              <w:tabs>
                <w:tab w:val="left" w:pos="3140"/>
              </w:tabs>
              <w:spacing w:line="276" w:lineRule="auto"/>
              <w:rPr>
                <w:lang w:eastAsia="en-US"/>
              </w:rPr>
            </w:pPr>
            <w:r w:rsidRPr="00565C3D">
              <w:rPr>
                <w:color w:val="000000"/>
                <w:lang w:eastAsia="en-US"/>
              </w:rPr>
              <w:t>Харчова промисловість</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B19F3F" w14:textId="77777777" w:rsidR="00565C3D" w:rsidRPr="00565C3D" w:rsidRDefault="00565C3D" w:rsidP="00565C3D">
            <w:pPr>
              <w:spacing w:line="276" w:lineRule="auto"/>
              <w:jc w:val="center"/>
              <w:rPr>
                <w:lang w:eastAsia="en-US"/>
              </w:rPr>
            </w:pPr>
            <w:r w:rsidRPr="00565C3D">
              <w:rPr>
                <w:color w:val="000000"/>
              </w:rPr>
              <w:t>C</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36F8AC" w14:textId="77777777" w:rsidR="00565C3D" w:rsidRPr="00565C3D" w:rsidRDefault="00565C3D" w:rsidP="00565C3D">
            <w:pPr>
              <w:spacing w:line="276" w:lineRule="auto"/>
              <w:jc w:val="center"/>
              <w:rPr>
                <w:lang w:eastAsia="en-US"/>
              </w:rPr>
            </w:pPr>
            <w:r w:rsidRPr="00565C3D">
              <w:rPr>
                <w:color w:val="000000"/>
              </w:rPr>
              <w:t>10–12</w:t>
            </w:r>
          </w:p>
        </w:tc>
      </w:tr>
      <w:tr w:rsidR="00565C3D" w:rsidRPr="00565C3D" w14:paraId="1A359403" w14:textId="77777777" w:rsidTr="00565C3D">
        <w:trPr>
          <w:trHeight w:val="302"/>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AC6AA4" w14:textId="77777777" w:rsidR="00565C3D" w:rsidRPr="00565C3D" w:rsidRDefault="00565C3D" w:rsidP="00565C3D">
            <w:pPr>
              <w:spacing w:line="276" w:lineRule="auto"/>
              <w:jc w:val="center"/>
              <w:rPr>
                <w:lang w:eastAsia="en-US"/>
              </w:rPr>
            </w:pPr>
            <w:r w:rsidRPr="00565C3D">
              <w:rPr>
                <w:lang w:eastAsia="en-US"/>
              </w:rPr>
              <w:t>9</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3C741" w14:textId="77777777" w:rsidR="00565C3D" w:rsidRPr="00565C3D" w:rsidRDefault="00565C3D" w:rsidP="00565C3D">
            <w:pPr>
              <w:tabs>
                <w:tab w:val="left" w:pos="3140"/>
              </w:tabs>
              <w:spacing w:line="276" w:lineRule="auto"/>
              <w:rPr>
                <w:lang w:eastAsia="en-US"/>
              </w:rPr>
            </w:pPr>
            <w:r w:rsidRPr="00565C3D">
              <w:rPr>
                <w:color w:val="000000"/>
                <w:lang w:eastAsia="en-US"/>
              </w:rPr>
              <w:t>Інші</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7FF2DD" w14:textId="77777777" w:rsidR="00565C3D" w:rsidRPr="00565C3D" w:rsidRDefault="00565C3D" w:rsidP="00565C3D">
            <w:pPr>
              <w:spacing w:line="276" w:lineRule="auto"/>
              <w:jc w:val="center"/>
              <w:rPr>
                <w:lang w:eastAsia="en-US"/>
              </w:rPr>
            </w:pPr>
            <w:r w:rsidRPr="00565C3D">
              <w:rPr>
                <w:color w:val="000000"/>
                <w:lang w:eastAsia="en-US"/>
              </w:rPr>
              <w:t>C; Е; F; G; I; J; K; M; N; P; Q; R; S; T; U</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94D17D" w14:textId="77777777" w:rsidR="00565C3D" w:rsidRPr="00565C3D" w:rsidRDefault="00565C3D" w:rsidP="00565C3D">
            <w:pPr>
              <w:spacing w:line="276" w:lineRule="auto"/>
              <w:jc w:val="center"/>
              <w:rPr>
                <w:lang w:eastAsia="en-US"/>
              </w:rPr>
            </w:pPr>
            <w:r w:rsidRPr="00565C3D">
              <w:rPr>
                <w:color w:val="000000"/>
                <w:lang w:eastAsia="en-US"/>
              </w:rPr>
              <w:t>13–33; 36–39; 41–43; 45; 55–56; 58–63; 64–66; 69–75; 77–82; 85; 86–88; 90–93;</w:t>
            </w:r>
            <w:r w:rsidRPr="00565C3D">
              <w:rPr>
                <w:color w:val="000000"/>
                <w:lang w:eastAsia="en-US"/>
              </w:rPr>
              <w:br/>
              <w:t>94–96;</w:t>
            </w:r>
            <w:r w:rsidRPr="00565C3D">
              <w:rPr>
                <w:color w:val="000000"/>
                <w:lang w:eastAsia="en-US"/>
              </w:rPr>
              <w:br/>
              <w:t>97–98;</w:t>
            </w:r>
            <w:r w:rsidRPr="00565C3D">
              <w:rPr>
                <w:color w:val="000000"/>
                <w:lang w:eastAsia="en-US"/>
              </w:rPr>
              <w:br/>
              <w:t>99</w:t>
            </w:r>
          </w:p>
        </w:tc>
      </w:tr>
    </w:tbl>
    <w:p w14:paraId="147BE446" w14:textId="77777777" w:rsidR="00565C3D" w:rsidRPr="00565C3D" w:rsidRDefault="00565C3D" w:rsidP="00565C3D">
      <w:pPr>
        <w:pStyle w:val="af3"/>
        <w:numPr>
          <w:ilvl w:val="0"/>
          <w:numId w:val="52"/>
        </w:numPr>
        <w:tabs>
          <w:tab w:val="left" w:pos="993"/>
        </w:tabs>
        <w:spacing w:before="240"/>
        <w:ind w:left="0" w:right="-1" w:firstLine="567"/>
      </w:pPr>
      <w:r w:rsidRPr="00565C3D">
        <w:lastRenderedPageBreak/>
        <w:t xml:space="preserve">Для кожного кластера визначаються коефіцієнти зміни фінансового результату від операційної діяльності до вирахування амортизації </w:t>
      </w:r>
      <w:r w:rsidR="00216287">
        <w:t>ґрунтуючись</w:t>
      </w:r>
      <w:r w:rsidR="00216287" w:rsidRPr="00565C3D">
        <w:t xml:space="preserve"> </w:t>
      </w:r>
      <w:r w:rsidRPr="00565C3D">
        <w:t xml:space="preserve">на макроекономічних показниках, що мають вплив на обсяги виробництва, ціну продукції та ціну основних елементів собівартості боржників, </w:t>
      </w:r>
      <w:r w:rsidR="008D656A">
        <w:t>які належать до цього кластера:</w:t>
      </w:r>
    </w:p>
    <w:p w14:paraId="6FF11935" w14:textId="77777777" w:rsidR="00565C3D" w:rsidRPr="00565C3D" w:rsidRDefault="0052636F" w:rsidP="00216287">
      <w:pPr>
        <w:spacing w:before="240" w:after="240"/>
        <w:ind w:firstLine="2694"/>
        <w:rPr>
          <w:lang w:eastAsia="en-US"/>
        </w:rPr>
      </w:pPr>
      <m:oMath>
        <m:sSub>
          <m:sSubPr>
            <m:ctrlPr>
              <w:rPr>
                <w:rFonts w:ascii="Cambria Math" w:hAnsi="Cambria Math"/>
                <w:i/>
                <w:lang w:eastAsia="en-US"/>
              </w:rPr>
            </m:ctrlPr>
          </m:sSubPr>
          <m:e>
            <m:r>
              <w:rPr>
                <w:rFonts w:ascii="Cambria Math" w:hAnsi="Cambria Math"/>
                <w:lang w:eastAsia="en-US"/>
              </w:rPr>
              <m:t>EBITDA</m:t>
            </m:r>
          </m:e>
          <m:sub>
            <m:r>
              <w:rPr>
                <w:rFonts w:ascii="Cambria Math" w:hAnsi="Cambria Math"/>
                <w:lang w:eastAsia="en-US"/>
              </w:rPr>
              <m:t>t</m:t>
            </m:r>
          </m:sub>
        </m:sSub>
        <m:sSub>
          <m:sSubPr>
            <m:ctrlPr>
              <w:rPr>
                <w:rFonts w:ascii="Cambria Math" w:hAnsi="Cambria Math"/>
                <w:i/>
                <w:lang w:eastAsia="en-US"/>
              </w:rPr>
            </m:ctrlPr>
          </m:sSubPr>
          <m:e>
            <m:r>
              <w:rPr>
                <w:rFonts w:ascii="Cambria Math" w:hAnsi="Cambria Math"/>
                <w:lang w:eastAsia="en-US"/>
              </w:rPr>
              <m:t>=EBITDA</m:t>
            </m:r>
          </m:e>
          <m:sub>
            <m:r>
              <w:rPr>
                <w:rFonts w:ascii="Cambria Math" w:hAnsi="Cambria Math"/>
                <w:lang w:eastAsia="en-US"/>
              </w:rPr>
              <m:t>t-1</m:t>
            </m:r>
          </m:sub>
        </m:sSub>
        <m:r>
          <w:rPr>
            <w:rFonts w:ascii="Cambria Math" w:hAnsi="Cambria Math"/>
            <w:lang w:eastAsia="en-US"/>
          </w:rPr>
          <m:t>∙</m:t>
        </m:r>
        <m:d>
          <m:dPr>
            <m:ctrlPr>
              <w:rPr>
                <w:rFonts w:ascii="Cambria Math" w:hAnsi="Cambria Math"/>
                <w:i/>
                <w:lang w:eastAsia="en-US"/>
              </w:rPr>
            </m:ctrlPr>
          </m:dPr>
          <m:e>
            <m:r>
              <w:rPr>
                <w:rFonts w:ascii="Cambria Math" w:hAnsi="Cambria Math"/>
                <w:lang w:eastAsia="en-US"/>
              </w:rPr>
              <m:t>1+</m:t>
            </m:r>
            <m:sSub>
              <m:sSubPr>
                <m:ctrlPr>
                  <w:rPr>
                    <w:rFonts w:ascii="Cambria Math" w:hAnsi="Cambria Math"/>
                    <w:i/>
                    <w:lang w:eastAsia="en-US"/>
                  </w:rPr>
                </m:ctrlPr>
              </m:sSubPr>
              <m:e>
                <m:r>
                  <w:rPr>
                    <w:rFonts w:ascii="Cambria Math" w:hAnsi="Cambria Math"/>
                    <w:lang w:eastAsia="en-US"/>
                  </w:rPr>
                  <m:t>EBITDA_gr</m:t>
                </m:r>
              </m:e>
              <m:sub>
                <m:r>
                  <w:rPr>
                    <w:rFonts w:ascii="Cambria Math" w:hAnsi="Cambria Math"/>
                    <w:lang w:eastAsia="en-US"/>
                  </w:rPr>
                  <m:t>t</m:t>
                </m:r>
              </m:sub>
            </m:sSub>
          </m:e>
        </m:d>
      </m:oMath>
      <w:r w:rsidR="00216287">
        <w:rPr>
          <w:lang w:eastAsia="en-US"/>
        </w:rPr>
        <w:t xml:space="preserve">, </w:t>
      </w:r>
    </w:p>
    <w:p w14:paraId="0F6106E9" w14:textId="77777777" w:rsidR="00565C3D" w:rsidRPr="00565C3D" w:rsidRDefault="00565C3D" w:rsidP="0098642B">
      <w:pPr>
        <w:spacing w:before="240" w:after="240"/>
        <w:ind w:firstLine="567"/>
      </w:pPr>
      <w:r w:rsidRPr="00565C3D">
        <w:t xml:space="preserve">де </w:t>
      </w:r>
      <m:oMath>
        <m:r>
          <w:rPr>
            <w:rFonts w:ascii="Cambria Math" w:hAnsi="Cambria Math"/>
            <w:lang w:eastAsia="en-US"/>
          </w:rPr>
          <m:t>EBITDA</m:t>
        </m:r>
      </m:oMath>
      <w:r w:rsidRPr="00565C3D">
        <w:t xml:space="preserve"> – фінансовий результат від операційної діяльності до вирахування амортизації (скоригований </w:t>
      </w:r>
      <w:r w:rsidR="00BD3F83" w:rsidRPr="00721D1D">
        <w:rPr>
          <w:color w:val="0D0D0D" w:themeColor="text1" w:themeTint="F2"/>
        </w:rPr>
        <w:t>на разові</w:t>
      </w:r>
      <w:r w:rsidR="00BD3F83" w:rsidRPr="00721D1D">
        <w:t xml:space="preserve"> </w:t>
      </w:r>
      <w:r w:rsidR="00BD3F83" w:rsidRPr="00721D1D">
        <w:rPr>
          <w:color w:val="0D0D0D" w:themeColor="text1" w:themeTint="F2"/>
        </w:rPr>
        <w:t>неповторювані</w:t>
      </w:r>
      <w:r w:rsidR="00BD3F83">
        <w:rPr>
          <w:color w:val="0D0D0D" w:themeColor="text1" w:themeTint="F2"/>
        </w:rPr>
        <w:t xml:space="preserve"> складові</w:t>
      </w:r>
      <w:r w:rsidR="00BD3F83">
        <w:t xml:space="preserve"> </w:t>
      </w:r>
      <w:r w:rsidR="00BD3F83" w:rsidRPr="001D382F">
        <w:t>інших операційних доходів/витрат</w:t>
      </w:r>
      <w:r w:rsidR="00813302">
        <w:t>);</w:t>
      </w:r>
    </w:p>
    <w:p w14:paraId="1852C77A" w14:textId="77777777" w:rsidR="00565C3D" w:rsidRPr="00565C3D" w:rsidRDefault="00565C3D" w:rsidP="0098642B">
      <w:pPr>
        <w:spacing w:before="240" w:after="240"/>
        <w:ind w:firstLine="567"/>
      </w:pPr>
      <m:oMath>
        <m:r>
          <w:rPr>
            <w:rFonts w:ascii="Cambria Math" w:hAnsi="Cambria Math"/>
            <w:lang w:eastAsia="en-US"/>
          </w:rPr>
          <m:t>EBITDA_gr</m:t>
        </m:r>
      </m:oMath>
      <w:r w:rsidRPr="00565C3D">
        <w:t xml:space="preserve"> – річна зміна фінансового результату від операційної діяльності до вирахування амортизації (скоригован</w:t>
      </w:r>
      <w:r w:rsidR="00853702">
        <w:t>ого</w:t>
      </w:r>
      <w:r w:rsidRPr="00565C3D">
        <w:t xml:space="preserve"> </w:t>
      </w:r>
      <w:r w:rsidR="00BD3F83" w:rsidRPr="00721D1D">
        <w:rPr>
          <w:color w:val="0D0D0D" w:themeColor="text1" w:themeTint="F2"/>
        </w:rPr>
        <w:t>на разові</w:t>
      </w:r>
      <w:r w:rsidR="00BD3F83" w:rsidRPr="00721D1D">
        <w:t xml:space="preserve"> </w:t>
      </w:r>
      <w:r w:rsidR="00BD3F83" w:rsidRPr="00721D1D">
        <w:rPr>
          <w:color w:val="0D0D0D" w:themeColor="text1" w:themeTint="F2"/>
        </w:rPr>
        <w:t>неповторювані</w:t>
      </w:r>
      <w:r w:rsidR="00BD3F83">
        <w:rPr>
          <w:color w:val="0D0D0D" w:themeColor="text1" w:themeTint="F2"/>
        </w:rPr>
        <w:t xml:space="preserve"> складові</w:t>
      </w:r>
      <w:r w:rsidR="00BD3F83">
        <w:t xml:space="preserve"> </w:t>
      </w:r>
      <w:r w:rsidR="00BD3F83" w:rsidRPr="001D382F">
        <w:t>інших операційних доходів/витрат</w:t>
      </w:r>
      <w:r w:rsidRPr="00565C3D">
        <w:t xml:space="preserve">), відображена </w:t>
      </w:r>
      <w:r w:rsidR="008A79AF">
        <w:t>в</w:t>
      </w:r>
      <w:r w:rsidR="008A79AF" w:rsidRPr="00565C3D">
        <w:t xml:space="preserve"> </w:t>
      </w:r>
      <w:r w:rsidRPr="00565C3D">
        <w:t>таблиці 9</w:t>
      </w:r>
      <w:r w:rsidR="008A79AF">
        <w:t xml:space="preserve"> цього додатка</w:t>
      </w:r>
      <w:r w:rsidRPr="00565C3D">
        <w:t>.</w:t>
      </w:r>
    </w:p>
    <w:p w14:paraId="3ABB5AF4" w14:textId="77777777" w:rsidR="00565C3D" w:rsidRPr="00565C3D" w:rsidRDefault="00565C3D" w:rsidP="008D656A">
      <w:pPr>
        <w:spacing w:before="240" w:after="240"/>
        <w:jc w:val="right"/>
      </w:pPr>
      <w:r w:rsidRPr="00565C3D">
        <w:t>Таблиця 9</w:t>
      </w:r>
    </w:p>
    <w:p w14:paraId="409D0EFE" w14:textId="77777777" w:rsidR="00565C3D" w:rsidRPr="00565C3D" w:rsidRDefault="00565C3D" w:rsidP="00565C3D">
      <w:pPr>
        <w:spacing w:after="120"/>
        <w:jc w:val="center"/>
      </w:pPr>
      <w:r w:rsidRPr="00565C3D">
        <w:t>Коефіцієнти зростання EBITDA у коефіцієнті ICR</w:t>
      </w:r>
      <w:r w:rsidRPr="00565C3D">
        <w:rPr>
          <w:vertAlign w:val="subscript"/>
        </w:rPr>
        <w:t>M</w:t>
      </w:r>
    </w:p>
    <w:p w14:paraId="645503A2" w14:textId="77777777" w:rsidR="00565C3D" w:rsidRPr="00565C3D" w:rsidRDefault="00565C3D" w:rsidP="00565C3D">
      <w:pPr>
        <w:spacing w:after="120"/>
        <w:jc w:val="right"/>
      </w:pPr>
      <w:r w:rsidRPr="00565C3D">
        <w:t>(безвимірна)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111"/>
        <w:gridCol w:w="1442"/>
        <w:gridCol w:w="1701"/>
        <w:gridCol w:w="1535"/>
      </w:tblGrid>
      <w:tr w:rsidR="00565C3D" w:rsidRPr="00565C3D" w14:paraId="3E6C9BB8" w14:textId="77777777" w:rsidTr="008D656A">
        <w:trPr>
          <w:trHeight w:val="317"/>
        </w:trPr>
        <w:tc>
          <w:tcPr>
            <w:tcW w:w="704" w:type="dxa"/>
            <w:vMerge w:val="restart"/>
            <w:tcBorders>
              <w:top w:val="single" w:sz="4" w:space="0" w:color="auto"/>
              <w:left w:val="single" w:sz="4" w:space="0" w:color="auto"/>
              <w:right w:val="single" w:sz="4" w:space="0" w:color="auto"/>
            </w:tcBorders>
            <w:shd w:val="clear" w:color="auto" w:fill="auto"/>
            <w:noWrap/>
          </w:tcPr>
          <w:p w14:paraId="2C794421" w14:textId="77777777" w:rsidR="00565C3D" w:rsidRPr="00565C3D" w:rsidRDefault="00565C3D" w:rsidP="00565C3D">
            <w:pPr>
              <w:spacing w:line="276" w:lineRule="auto"/>
              <w:jc w:val="center"/>
              <w:rPr>
                <w:bCs/>
                <w:lang w:eastAsia="en-US"/>
              </w:rPr>
            </w:pPr>
            <w:r w:rsidRPr="00565C3D">
              <w:rPr>
                <w:bCs/>
                <w:lang w:eastAsia="en-US"/>
              </w:rPr>
              <w:t>№ з/п</w:t>
            </w:r>
          </w:p>
        </w:tc>
        <w:tc>
          <w:tcPr>
            <w:tcW w:w="4111" w:type="dxa"/>
            <w:vMerge w:val="restart"/>
            <w:tcBorders>
              <w:top w:val="single" w:sz="4" w:space="0" w:color="auto"/>
              <w:left w:val="single" w:sz="4" w:space="0" w:color="auto"/>
              <w:right w:val="single" w:sz="4" w:space="0" w:color="auto"/>
            </w:tcBorders>
            <w:shd w:val="clear" w:color="auto" w:fill="auto"/>
            <w:noWrap/>
            <w:vAlign w:val="center"/>
          </w:tcPr>
          <w:p w14:paraId="43377D81" w14:textId="77777777" w:rsidR="00565C3D" w:rsidRPr="00565C3D" w:rsidRDefault="00565C3D" w:rsidP="00565C3D">
            <w:pPr>
              <w:spacing w:line="276" w:lineRule="auto"/>
              <w:jc w:val="center"/>
              <w:rPr>
                <w:bCs/>
                <w:lang w:eastAsia="en-US"/>
              </w:rPr>
            </w:pPr>
            <w:r w:rsidRPr="00565C3D">
              <w:rPr>
                <w:bCs/>
                <w:lang w:eastAsia="en-US"/>
              </w:rPr>
              <w:t>Назва кластера</w:t>
            </w:r>
          </w:p>
        </w:tc>
        <w:tc>
          <w:tcPr>
            <w:tcW w:w="46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2D69DB2" w14:textId="77777777" w:rsidR="00565C3D" w:rsidRPr="00565C3D" w:rsidRDefault="00565C3D" w:rsidP="00565C3D">
            <w:pPr>
              <w:spacing w:line="276" w:lineRule="auto"/>
              <w:jc w:val="center"/>
              <w:rPr>
                <w:bCs/>
                <w:lang w:eastAsia="en-US"/>
              </w:rPr>
            </w:pPr>
            <w:r w:rsidRPr="00565C3D">
              <w:rPr>
                <w:bCs/>
                <w:lang w:eastAsia="en-US"/>
              </w:rPr>
              <w:t>Прогнозні періоди (роки)</w:t>
            </w:r>
          </w:p>
        </w:tc>
      </w:tr>
      <w:tr w:rsidR="00565C3D" w:rsidRPr="00565C3D" w14:paraId="31413505" w14:textId="77777777" w:rsidTr="008D656A">
        <w:trPr>
          <w:trHeight w:val="317"/>
        </w:trPr>
        <w:tc>
          <w:tcPr>
            <w:tcW w:w="704" w:type="dxa"/>
            <w:vMerge/>
            <w:tcBorders>
              <w:left w:val="single" w:sz="4" w:space="0" w:color="auto"/>
              <w:bottom w:val="single" w:sz="4" w:space="0" w:color="auto"/>
              <w:right w:val="single" w:sz="4" w:space="0" w:color="auto"/>
            </w:tcBorders>
            <w:shd w:val="clear" w:color="auto" w:fill="auto"/>
            <w:noWrap/>
            <w:hideMark/>
          </w:tcPr>
          <w:p w14:paraId="679EA474" w14:textId="77777777" w:rsidR="00565C3D" w:rsidRPr="00565C3D" w:rsidRDefault="00565C3D" w:rsidP="00565C3D">
            <w:pPr>
              <w:spacing w:line="276" w:lineRule="auto"/>
              <w:jc w:val="center"/>
              <w:rPr>
                <w:b/>
                <w:bCs/>
                <w:lang w:eastAsia="en-US"/>
              </w:rPr>
            </w:pPr>
          </w:p>
        </w:tc>
        <w:tc>
          <w:tcPr>
            <w:tcW w:w="4111" w:type="dxa"/>
            <w:vMerge/>
            <w:tcBorders>
              <w:left w:val="single" w:sz="4" w:space="0" w:color="auto"/>
              <w:bottom w:val="single" w:sz="4" w:space="0" w:color="auto"/>
              <w:right w:val="single" w:sz="4" w:space="0" w:color="auto"/>
            </w:tcBorders>
            <w:shd w:val="clear" w:color="auto" w:fill="auto"/>
            <w:noWrap/>
            <w:hideMark/>
          </w:tcPr>
          <w:p w14:paraId="4C17E256" w14:textId="77777777" w:rsidR="00565C3D" w:rsidRPr="00565C3D" w:rsidRDefault="00565C3D" w:rsidP="00565C3D">
            <w:pPr>
              <w:spacing w:line="276" w:lineRule="auto"/>
              <w:jc w:val="center"/>
              <w:rPr>
                <w:bCs/>
                <w:lang w:eastAsia="en-US"/>
              </w:rPr>
            </w:pP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52E22C" w14:textId="77777777" w:rsidR="00565C3D" w:rsidRPr="00565C3D" w:rsidRDefault="00565C3D" w:rsidP="00565C3D">
            <w:pPr>
              <w:spacing w:line="276" w:lineRule="auto"/>
              <w:jc w:val="center"/>
              <w:rPr>
                <w:bCs/>
                <w:lang w:eastAsia="en-US"/>
              </w:rPr>
            </w:pPr>
            <w:r w:rsidRPr="00565C3D">
              <w:rPr>
                <w:bCs/>
                <w:lang w:eastAsia="en-US"/>
              </w:rPr>
              <w:t>1</w:t>
            </w:r>
            <w:r w:rsidR="00813302">
              <w:rPr>
                <w:bCs/>
                <w:lang w:eastAsia="en-US"/>
              </w:rPr>
              <w:t>-</w:t>
            </w:r>
            <w:r w:rsidRPr="00565C3D">
              <w:rPr>
                <w:bCs/>
                <w:lang w:eastAsia="en-US"/>
              </w:rPr>
              <w:t xml:space="preserve">й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BB7F29" w14:textId="77777777" w:rsidR="00565C3D" w:rsidRPr="00565C3D" w:rsidRDefault="00565C3D" w:rsidP="00565C3D">
            <w:pPr>
              <w:spacing w:line="276" w:lineRule="auto"/>
              <w:jc w:val="center"/>
              <w:rPr>
                <w:bCs/>
                <w:lang w:eastAsia="en-US"/>
              </w:rPr>
            </w:pPr>
            <w:r w:rsidRPr="00565C3D">
              <w:rPr>
                <w:bCs/>
                <w:lang w:eastAsia="en-US"/>
              </w:rPr>
              <w:t>2</w:t>
            </w:r>
            <w:r w:rsidR="00813302">
              <w:rPr>
                <w:bCs/>
                <w:lang w:eastAsia="en-US"/>
              </w:rPr>
              <w:t>-</w:t>
            </w:r>
            <w:r w:rsidRPr="00565C3D">
              <w:rPr>
                <w:bCs/>
                <w:lang w:eastAsia="en-US"/>
              </w:rPr>
              <w:t xml:space="preserve">й </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0A252E" w14:textId="77777777" w:rsidR="00565C3D" w:rsidRPr="00565C3D" w:rsidRDefault="00565C3D" w:rsidP="00565C3D">
            <w:pPr>
              <w:spacing w:line="276" w:lineRule="auto"/>
              <w:jc w:val="center"/>
              <w:rPr>
                <w:bCs/>
                <w:lang w:eastAsia="en-US"/>
              </w:rPr>
            </w:pPr>
            <w:r w:rsidRPr="00565C3D">
              <w:rPr>
                <w:bCs/>
                <w:lang w:eastAsia="en-US"/>
              </w:rPr>
              <w:t>3</w:t>
            </w:r>
            <w:r w:rsidR="00813302">
              <w:rPr>
                <w:bCs/>
                <w:lang w:eastAsia="en-US"/>
              </w:rPr>
              <w:t>-</w:t>
            </w:r>
            <w:r w:rsidRPr="00565C3D">
              <w:rPr>
                <w:bCs/>
                <w:lang w:eastAsia="en-US"/>
              </w:rPr>
              <w:t xml:space="preserve">й </w:t>
            </w:r>
          </w:p>
        </w:tc>
      </w:tr>
      <w:tr w:rsidR="00565C3D" w:rsidRPr="00565C3D" w14:paraId="1AFF084B" w14:textId="77777777" w:rsidTr="008D656A">
        <w:trPr>
          <w:trHeight w:val="302"/>
          <w:tblHeader/>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14:paraId="2D9BDC75" w14:textId="77777777" w:rsidR="00565C3D" w:rsidRPr="00565C3D" w:rsidRDefault="00565C3D" w:rsidP="00565C3D">
            <w:pPr>
              <w:spacing w:line="276" w:lineRule="auto"/>
              <w:jc w:val="center"/>
              <w:rPr>
                <w:lang w:eastAsia="en-US"/>
              </w:rPr>
            </w:pPr>
            <w:r w:rsidRPr="00565C3D">
              <w:rPr>
                <w:lang w:eastAsia="en-US"/>
              </w:rPr>
              <w:t>1</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14:paraId="4F652D99" w14:textId="77777777" w:rsidR="00565C3D" w:rsidRPr="00565C3D" w:rsidRDefault="00565C3D" w:rsidP="00565C3D">
            <w:pPr>
              <w:spacing w:line="276" w:lineRule="auto"/>
              <w:jc w:val="center"/>
              <w:rPr>
                <w:lang w:eastAsia="en-US"/>
              </w:rPr>
            </w:pPr>
            <w:r w:rsidRPr="00565C3D">
              <w:rPr>
                <w:lang w:eastAsia="en-US"/>
              </w:rPr>
              <w:t>2</w:t>
            </w:r>
          </w:p>
        </w:tc>
        <w:tc>
          <w:tcPr>
            <w:tcW w:w="1442" w:type="dxa"/>
            <w:tcBorders>
              <w:top w:val="single" w:sz="4" w:space="0" w:color="auto"/>
              <w:left w:val="single" w:sz="4" w:space="0" w:color="auto"/>
              <w:bottom w:val="single" w:sz="4" w:space="0" w:color="auto"/>
              <w:right w:val="single" w:sz="4" w:space="0" w:color="auto"/>
            </w:tcBorders>
            <w:shd w:val="clear" w:color="auto" w:fill="auto"/>
            <w:noWrap/>
            <w:hideMark/>
          </w:tcPr>
          <w:p w14:paraId="77933027" w14:textId="77777777" w:rsidR="00565C3D" w:rsidRPr="00565C3D" w:rsidRDefault="00565C3D" w:rsidP="00565C3D">
            <w:pPr>
              <w:spacing w:line="276" w:lineRule="auto"/>
              <w:jc w:val="center"/>
              <w:rPr>
                <w:lang w:eastAsia="en-US"/>
              </w:rPr>
            </w:pPr>
            <w:r w:rsidRPr="00565C3D">
              <w:rPr>
                <w:lang w:eastAsia="en-US"/>
              </w:rPr>
              <w:t>3</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64AB45BF" w14:textId="77777777" w:rsidR="00565C3D" w:rsidRPr="00565C3D" w:rsidRDefault="00565C3D" w:rsidP="00565C3D">
            <w:pPr>
              <w:spacing w:line="276" w:lineRule="auto"/>
              <w:jc w:val="center"/>
              <w:rPr>
                <w:lang w:eastAsia="en-US"/>
              </w:rPr>
            </w:pPr>
            <w:r w:rsidRPr="00565C3D">
              <w:rPr>
                <w:lang w:eastAsia="en-US"/>
              </w:rPr>
              <w:t>4</w:t>
            </w:r>
          </w:p>
        </w:tc>
        <w:tc>
          <w:tcPr>
            <w:tcW w:w="1535" w:type="dxa"/>
            <w:tcBorders>
              <w:top w:val="single" w:sz="4" w:space="0" w:color="auto"/>
              <w:left w:val="single" w:sz="4" w:space="0" w:color="auto"/>
              <w:bottom w:val="single" w:sz="4" w:space="0" w:color="auto"/>
              <w:right w:val="single" w:sz="4" w:space="0" w:color="auto"/>
            </w:tcBorders>
            <w:shd w:val="clear" w:color="auto" w:fill="auto"/>
            <w:hideMark/>
          </w:tcPr>
          <w:p w14:paraId="199F9AB6" w14:textId="77777777" w:rsidR="00565C3D" w:rsidRPr="00565C3D" w:rsidRDefault="00565C3D" w:rsidP="00565C3D">
            <w:pPr>
              <w:spacing w:line="276" w:lineRule="auto"/>
              <w:jc w:val="center"/>
              <w:rPr>
                <w:lang w:eastAsia="en-US"/>
              </w:rPr>
            </w:pPr>
            <w:r w:rsidRPr="00565C3D">
              <w:rPr>
                <w:lang w:eastAsia="en-US"/>
              </w:rPr>
              <w:t>5</w:t>
            </w:r>
          </w:p>
        </w:tc>
      </w:tr>
      <w:tr w:rsidR="00565C3D" w:rsidRPr="00565C3D" w14:paraId="066D6F24" w14:textId="77777777" w:rsidTr="008D656A">
        <w:trPr>
          <w:trHeight w:val="302"/>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14:paraId="44EDE65C" w14:textId="77777777" w:rsidR="00565C3D" w:rsidRPr="00565C3D" w:rsidRDefault="00565C3D" w:rsidP="00565C3D">
            <w:pPr>
              <w:spacing w:line="276" w:lineRule="auto"/>
              <w:jc w:val="center"/>
              <w:rPr>
                <w:lang w:eastAsia="en-US"/>
              </w:rPr>
            </w:pPr>
            <w:r w:rsidRPr="00565C3D">
              <w:rPr>
                <w:lang w:eastAsia="en-US"/>
              </w:rPr>
              <w:t>1</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14:paraId="75AB2B57" w14:textId="77777777" w:rsidR="00565C3D" w:rsidRPr="00565C3D" w:rsidRDefault="00565C3D" w:rsidP="00565C3D">
            <w:pPr>
              <w:spacing w:line="276" w:lineRule="auto"/>
              <w:rPr>
                <w:lang w:eastAsia="en-US"/>
              </w:rPr>
            </w:pPr>
            <w:r w:rsidRPr="00565C3D">
              <w:rPr>
                <w:lang w:eastAsia="en-US"/>
              </w:rPr>
              <w:t>Добувна промисловість</w:t>
            </w:r>
          </w:p>
        </w:tc>
        <w:tc>
          <w:tcPr>
            <w:tcW w:w="1442" w:type="dxa"/>
            <w:tcBorders>
              <w:top w:val="single" w:sz="4" w:space="0" w:color="auto"/>
              <w:left w:val="single" w:sz="4" w:space="0" w:color="auto"/>
              <w:bottom w:val="single" w:sz="4" w:space="0" w:color="auto"/>
              <w:right w:val="single" w:sz="4" w:space="0" w:color="auto"/>
            </w:tcBorders>
            <w:shd w:val="clear" w:color="auto" w:fill="auto"/>
            <w:noWrap/>
          </w:tcPr>
          <w:p w14:paraId="42AA933B" w14:textId="77777777" w:rsidR="00565C3D" w:rsidRPr="00565C3D" w:rsidRDefault="00565C3D" w:rsidP="00565C3D">
            <w:pPr>
              <w:spacing w:line="276" w:lineRule="auto"/>
              <w:jc w:val="center"/>
              <w:rPr>
                <w:lang w:eastAsia="en-US"/>
              </w:rPr>
            </w:pPr>
            <w:r w:rsidRPr="00565C3D">
              <w:rPr>
                <w:lang w:eastAsia="en-US"/>
              </w:rPr>
              <w:t>1,000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DF0432" w14:textId="77777777" w:rsidR="00565C3D" w:rsidRPr="00565C3D" w:rsidRDefault="00565C3D" w:rsidP="00565C3D">
            <w:pPr>
              <w:spacing w:line="276" w:lineRule="auto"/>
              <w:jc w:val="center"/>
              <w:rPr>
                <w:lang w:eastAsia="en-US"/>
              </w:rPr>
            </w:pPr>
            <w:r w:rsidRPr="00565C3D">
              <w:rPr>
                <w:lang w:eastAsia="en-US"/>
              </w:rPr>
              <w:t>1,029</w:t>
            </w:r>
          </w:p>
        </w:tc>
        <w:tc>
          <w:tcPr>
            <w:tcW w:w="1535" w:type="dxa"/>
            <w:tcBorders>
              <w:top w:val="single" w:sz="4" w:space="0" w:color="auto"/>
              <w:left w:val="single" w:sz="4" w:space="0" w:color="auto"/>
              <w:bottom w:val="single" w:sz="4" w:space="0" w:color="auto"/>
              <w:right w:val="single" w:sz="4" w:space="0" w:color="auto"/>
            </w:tcBorders>
            <w:shd w:val="clear" w:color="auto" w:fill="auto"/>
            <w:vAlign w:val="bottom"/>
          </w:tcPr>
          <w:p w14:paraId="1AB0A9C3" w14:textId="77777777" w:rsidR="00565C3D" w:rsidRPr="00565C3D" w:rsidRDefault="00565C3D" w:rsidP="00565C3D">
            <w:pPr>
              <w:spacing w:line="276" w:lineRule="auto"/>
              <w:jc w:val="center"/>
              <w:rPr>
                <w:lang w:eastAsia="en-US"/>
              </w:rPr>
            </w:pPr>
            <w:r w:rsidRPr="00565C3D">
              <w:rPr>
                <w:lang w:eastAsia="en-US"/>
              </w:rPr>
              <w:t>1,035</w:t>
            </w:r>
          </w:p>
        </w:tc>
      </w:tr>
      <w:tr w:rsidR="00565C3D" w:rsidRPr="00565C3D" w14:paraId="43E986A1" w14:textId="77777777" w:rsidTr="008D656A">
        <w:trPr>
          <w:trHeight w:val="302"/>
        </w:trPr>
        <w:tc>
          <w:tcPr>
            <w:tcW w:w="704" w:type="dxa"/>
            <w:tcBorders>
              <w:top w:val="single" w:sz="4" w:space="0" w:color="auto"/>
              <w:left w:val="single" w:sz="4" w:space="0" w:color="auto"/>
              <w:bottom w:val="single" w:sz="4" w:space="0" w:color="auto"/>
              <w:right w:val="single" w:sz="4" w:space="0" w:color="auto"/>
            </w:tcBorders>
            <w:shd w:val="clear" w:color="auto" w:fill="auto"/>
            <w:noWrap/>
          </w:tcPr>
          <w:p w14:paraId="2F4D6EA1" w14:textId="77777777" w:rsidR="00565C3D" w:rsidRPr="00565C3D" w:rsidRDefault="00565C3D" w:rsidP="00565C3D">
            <w:pPr>
              <w:spacing w:line="276" w:lineRule="auto"/>
              <w:jc w:val="center"/>
              <w:rPr>
                <w:lang w:eastAsia="en-US"/>
              </w:rPr>
            </w:pPr>
            <w:r w:rsidRPr="00565C3D">
              <w:rPr>
                <w:lang w:eastAsia="en-US"/>
              </w:rPr>
              <w:t>2</w:t>
            </w:r>
          </w:p>
        </w:tc>
        <w:tc>
          <w:tcPr>
            <w:tcW w:w="4111" w:type="dxa"/>
            <w:tcBorders>
              <w:top w:val="single" w:sz="4" w:space="0" w:color="auto"/>
              <w:left w:val="single" w:sz="4" w:space="0" w:color="auto"/>
              <w:bottom w:val="single" w:sz="4" w:space="0" w:color="auto"/>
              <w:right w:val="single" w:sz="4" w:space="0" w:color="auto"/>
            </w:tcBorders>
            <w:shd w:val="clear" w:color="auto" w:fill="auto"/>
            <w:noWrap/>
          </w:tcPr>
          <w:p w14:paraId="4899D2F5" w14:textId="77777777" w:rsidR="00565C3D" w:rsidRPr="00565C3D" w:rsidRDefault="00565C3D" w:rsidP="00565C3D">
            <w:pPr>
              <w:tabs>
                <w:tab w:val="left" w:pos="3140"/>
              </w:tabs>
              <w:spacing w:line="276" w:lineRule="auto"/>
              <w:rPr>
                <w:lang w:eastAsia="en-US"/>
              </w:rPr>
            </w:pPr>
            <w:r w:rsidRPr="00565C3D">
              <w:rPr>
                <w:lang w:eastAsia="en-US"/>
              </w:rPr>
              <w:t>Операції з нерухомістю</w:t>
            </w:r>
          </w:p>
        </w:tc>
        <w:tc>
          <w:tcPr>
            <w:tcW w:w="1442" w:type="dxa"/>
            <w:tcBorders>
              <w:top w:val="single" w:sz="4" w:space="0" w:color="auto"/>
              <w:left w:val="single" w:sz="4" w:space="0" w:color="auto"/>
              <w:bottom w:val="single" w:sz="4" w:space="0" w:color="auto"/>
              <w:right w:val="single" w:sz="4" w:space="0" w:color="auto"/>
            </w:tcBorders>
            <w:shd w:val="clear" w:color="auto" w:fill="auto"/>
            <w:noWrap/>
          </w:tcPr>
          <w:p w14:paraId="503ECAE2" w14:textId="77777777" w:rsidR="00565C3D" w:rsidRPr="00565C3D" w:rsidRDefault="00565C3D" w:rsidP="00565C3D">
            <w:pPr>
              <w:spacing w:line="276" w:lineRule="auto"/>
              <w:jc w:val="center"/>
              <w:rPr>
                <w:lang w:eastAsia="en-US"/>
              </w:rPr>
            </w:pPr>
            <w:r w:rsidRPr="00565C3D">
              <w:rPr>
                <w:lang w:eastAsia="en-US"/>
              </w:rPr>
              <w:t>1,000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FA1DB1" w14:textId="77777777" w:rsidR="00565C3D" w:rsidRPr="00565C3D" w:rsidRDefault="00565C3D" w:rsidP="00565C3D">
            <w:pPr>
              <w:spacing w:line="276" w:lineRule="auto"/>
              <w:jc w:val="center"/>
              <w:rPr>
                <w:lang w:eastAsia="en-US"/>
              </w:rPr>
            </w:pPr>
            <w:r w:rsidRPr="00565C3D">
              <w:rPr>
                <w:lang w:eastAsia="en-US"/>
              </w:rPr>
              <w:t>1,257</w:t>
            </w:r>
          </w:p>
        </w:tc>
        <w:tc>
          <w:tcPr>
            <w:tcW w:w="1535" w:type="dxa"/>
            <w:tcBorders>
              <w:top w:val="single" w:sz="4" w:space="0" w:color="auto"/>
              <w:left w:val="single" w:sz="4" w:space="0" w:color="auto"/>
              <w:bottom w:val="single" w:sz="4" w:space="0" w:color="auto"/>
              <w:right w:val="single" w:sz="4" w:space="0" w:color="auto"/>
            </w:tcBorders>
            <w:shd w:val="clear" w:color="auto" w:fill="auto"/>
            <w:vAlign w:val="bottom"/>
          </w:tcPr>
          <w:p w14:paraId="7D51BDC1" w14:textId="77777777" w:rsidR="00565C3D" w:rsidRPr="00565C3D" w:rsidRDefault="00565C3D" w:rsidP="00565C3D">
            <w:pPr>
              <w:spacing w:line="276" w:lineRule="auto"/>
              <w:jc w:val="center"/>
              <w:rPr>
                <w:highlight w:val="yellow"/>
                <w:lang w:eastAsia="en-US"/>
              </w:rPr>
            </w:pPr>
            <w:r w:rsidRPr="00565C3D">
              <w:rPr>
                <w:lang w:eastAsia="en-US"/>
              </w:rPr>
              <w:t>1,168</w:t>
            </w:r>
          </w:p>
        </w:tc>
      </w:tr>
      <w:tr w:rsidR="00565C3D" w:rsidRPr="00565C3D" w14:paraId="492AF1EF" w14:textId="77777777" w:rsidTr="008D656A">
        <w:trPr>
          <w:trHeight w:val="302"/>
        </w:trPr>
        <w:tc>
          <w:tcPr>
            <w:tcW w:w="704" w:type="dxa"/>
            <w:tcBorders>
              <w:top w:val="single" w:sz="4" w:space="0" w:color="auto"/>
              <w:left w:val="single" w:sz="4" w:space="0" w:color="auto"/>
              <w:bottom w:val="single" w:sz="4" w:space="0" w:color="auto"/>
              <w:right w:val="single" w:sz="4" w:space="0" w:color="auto"/>
            </w:tcBorders>
            <w:shd w:val="clear" w:color="auto" w:fill="auto"/>
            <w:noWrap/>
          </w:tcPr>
          <w:p w14:paraId="70DEAF85" w14:textId="77777777" w:rsidR="00565C3D" w:rsidRPr="00565C3D" w:rsidRDefault="00565C3D" w:rsidP="00565C3D">
            <w:pPr>
              <w:spacing w:line="276" w:lineRule="auto"/>
              <w:jc w:val="center"/>
              <w:rPr>
                <w:lang w:eastAsia="en-US"/>
              </w:rPr>
            </w:pPr>
            <w:r w:rsidRPr="00565C3D">
              <w:rPr>
                <w:lang w:eastAsia="en-US"/>
              </w:rPr>
              <w:t>3</w:t>
            </w:r>
          </w:p>
        </w:tc>
        <w:tc>
          <w:tcPr>
            <w:tcW w:w="4111" w:type="dxa"/>
            <w:tcBorders>
              <w:top w:val="single" w:sz="4" w:space="0" w:color="auto"/>
              <w:left w:val="single" w:sz="4" w:space="0" w:color="auto"/>
              <w:bottom w:val="single" w:sz="4" w:space="0" w:color="auto"/>
              <w:right w:val="single" w:sz="4" w:space="0" w:color="auto"/>
            </w:tcBorders>
            <w:shd w:val="clear" w:color="auto" w:fill="auto"/>
            <w:noWrap/>
          </w:tcPr>
          <w:p w14:paraId="2A0063C6" w14:textId="77777777" w:rsidR="00565C3D" w:rsidRPr="00565C3D" w:rsidRDefault="00565C3D" w:rsidP="00565C3D">
            <w:pPr>
              <w:tabs>
                <w:tab w:val="left" w:pos="3140"/>
              </w:tabs>
              <w:spacing w:line="276" w:lineRule="auto"/>
              <w:rPr>
                <w:lang w:eastAsia="en-US"/>
              </w:rPr>
            </w:pPr>
            <w:r w:rsidRPr="00565C3D">
              <w:rPr>
                <w:lang w:eastAsia="en-US"/>
              </w:rPr>
              <w:t>Оптова торгівля</w:t>
            </w:r>
          </w:p>
        </w:tc>
        <w:tc>
          <w:tcPr>
            <w:tcW w:w="1442" w:type="dxa"/>
            <w:tcBorders>
              <w:top w:val="single" w:sz="4" w:space="0" w:color="auto"/>
              <w:left w:val="single" w:sz="4" w:space="0" w:color="auto"/>
              <w:bottom w:val="single" w:sz="4" w:space="0" w:color="auto"/>
              <w:right w:val="single" w:sz="4" w:space="0" w:color="auto"/>
            </w:tcBorders>
            <w:shd w:val="clear" w:color="auto" w:fill="auto"/>
            <w:noWrap/>
          </w:tcPr>
          <w:p w14:paraId="6C00707A" w14:textId="77777777" w:rsidR="00565C3D" w:rsidRPr="00565C3D" w:rsidRDefault="00565C3D" w:rsidP="00565C3D">
            <w:pPr>
              <w:spacing w:line="276" w:lineRule="auto"/>
              <w:jc w:val="center"/>
              <w:rPr>
                <w:lang w:eastAsia="en-US"/>
              </w:rPr>
            </w:pPr>
            <w:r w:rsidRPr="00565C3D">
              <w:rPr>
                <w:lang w:eastAsia="en-US"/>
              </w:rPr>
              <w:t>1,000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E7F872" w14:textId="77777777" w:rsidR="00565C3D" w:rsidRPr="00565C3D" w:rsidRDefault="00565C3D" w:rsidP="00565C3D">
            <w:pPr>
              <w:spacing w:line="276" w:lineRule="auto"/>
              <w:jc w:val="center"/>
              <w:rPr>
                <w:lang w:eastAsia="en-US"/>
              </w:rPr>
            </w:pPr>
            <w:r w:rsidRPr="00565C3D">
              <w:rPr>
                <w:lang w:eastAsia="en-US"/>
              </w:rPr>
              <w:t>1,106</w:t>
            </w:r>
          </w:p>
        </w:tc>
        <w:tc>
          <w:tcPr>
            <w:tcW w:w="1535" w:type="dxa"/>
            <w:tcBorders>
              <w:top w:val="single" w:sz="4" w:space="0" w:color="auto"/>
              <w:left w:val="single" w:sz="4" w:space="0" w:color="auto"/>
              <w:bottom w:val="single" w:sz="4" w:space="0" w:color="auto"/>
              <w:right w:val="single" w:sz="4" w:space="0" w:color="auto"/>
            </w:tcBorders>
            <w:shd w:val="clear" w:color="auto" w:fill="auto"/>
            <w:vAlign w:val="bottom"/>
          </w:tcPr>
          <w:p w14:paraId="49331EA1" w14:textId="77777777" w:rsidR="00565C3D" w:rsidRPr="00565C3D" w:rsidRDefault="00565C3D" w:rsidP="00565C3D">
            <w:pPr>
              <w:spacing w:line="276" w:lineRule="auto"/>
              <w:jc w:val="center"/>
              <w:rPr>
                <w:lang w:eastAsia="en-US"/>
              </w:rPr>
            </w:pPr>
            <w:r w:rsidRPr="00565C3D">
              <w:rPr>
                <w:lang w:eastAsia="en-US"/>
              </w:rPr>
              <w:t>1,085</w:t>
            </w:r>
          </w:p>
        </w:tc>
      </w:tr>
      <w:tr w:rsidR="00565C3D" w:rsidRPr="00565C3D" w14:paraId="1EF794C0" w14:textId="77777777" w:rsidTr="008D656A">
        <w:trPr>
          <w:trHeight w:val="302"/>
        </w:trPr>
        <w:tc>
          <w:tcPr>
            <w:tcW w:w="704" w:type="dxa"/>
            <w:tcBorders>
              <w:top w:val="single" w:sz="4" w:space="0" w:color="auto"/>
              <w:left w:val="single" w:sz="4" w:space="0" w:color="auto"/>
              <w:bottom w:val="single" w:sz="4" w:space="0" w:color="auto"/>
              <w:right w:val="single" w:sz="4" w:space="0" w:color="auto"/>
            </w:tcBorders>
            <w:shd w:val="clear" w:color="auto" w:fill="auto"/>
            <w:noWrap/>
          </w:tcPr>
          <w:p w14:paraId="0F9049CD" w14:textId="77777777" w:rsidR="00565C3D" w:rsidRPr="00565C3D" w:rsidRDefault="00565C3D" w:rsidP="00565C3D">
            <w:pPr>
              <w:spacing w:line="276" w:lineRule="auto"/>
              <w:jc w:val="center"/>
              <w:rPr>
                <w:lang w:eastAsia="en-US"/>
              </w:rPr>
            </w:pPr>
            <w:r w:rsidRPr="00565C3D">
              <w:rPr>
                <w:lang w:eastAsia="en-US"/>
              </w:rPr>
              <w:t>4</w:t>
            </w:r>
          </w:p>
        </w:tc>
        <w:tc>
          <w:tcPr>
            <w:tcW w:w="4111" w:type="dxa"/>
            <w:tcBorders>
              <w:top w:val="single" w:sz="4" w:space="0" w:color="auto"/>
              <w:left w:val="single" w:sz="4" w:space="0" w:color="auto"/>
              <w:bottom w:val="single" w:sz="4" w:space="0" w:color="auto"/>
              <w:right w:val="single" w:sz="4" w:space="0" w:color="auto"/>
            </w:tcBorders>
            <w:shd w:val="clear" w:color="auto" w:fill="auto"/>
            <w:noWrap/>
          </w:tcPr>
          <w:p w14:paraId="2D6BE722" w14:textId="77777777" w:rsidR="00565C3D" w:rsidRPr="00565C3D" w:rsidRDefault="00565C3D" w:rsidP="00813302">
            <w:pPr>
              <w:tabs>
                <w:tab w:val="left" w:pos="3140"/>
              </w:tabs>
              <w:spacing w:line="276" w:lineRule="auto"/>
              <w:rPr>
                <w:lang w:eastAsia="en-US"/>
              </w:rPr>
            </w:pPr>
            <w:r w:rsidRPr="00565C3D">
              <w:rPr>
                <w:lang w:eastAsia="en-US"/>
              </w:rPr>
              <w:t xml:space="preserve">Постачання </w:t>
            </w:r>
            <w:r w:rsidR="00813302">
              <w:rPr>
                <w:lang w:eastAsia="en-US"/>
              </w:rPr>
              <w:t>електроенергії</w:t>
            </w:r>
          </w:p>
        </w:tc>
        <w:tc>
          <w:tcPr>
            <w:tcW w:w="1442" w:type="dxa"/>
            <w:tcBorders>
              <w:top w:val="single" w:sz="4" w:space="0" w:color="auto"/>
              <w:left w:val="single" w:sz="4" w:space="0" w:color="auto"/>
              <w:bottom w:val="single" w:sz="4" w:space="0" w:color="auto"/>
              <w:right w:val="single" w:sz="4" w:space="0" w:color="auto"/>
            </w:tcBorders>
            <w:shd w:val="clear" w:color="auto" w:fill="auto"/>
            <w:noWrap/>
          </w:tcPr>
          <w:p w14:paraId="1F8EDCE5" w14:textId="77777777" w:rsidR="00565C3D" w:rsidRPr="00565C3D" w:rsidRDefault="00565C3D" w:rsidP="00565C3D">
            <w:pPr>
              <w:spacing w:line="276" w:lineRule="auto"/>
              <w:jc w:val="center"/>
              <w:rPr>
                <w:lang w:eastAsia="en-US"/>
              </w:rPr>
            </w:pPr>
            <w:r w:rsidRPr="00565C3D">
              <w:rPr>
                <w:lang w:eastAsia="en-US"/>
              </w:rPr>
              <w:t>1,000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BCF2FD" w14:textId="35F0AFE0" w:rsidR="00565C3D" w:rsidRPr="00565C3D" w:rsidRDefault="00565C3D" w:rsidP="00565C3D">
            <w:pPr>
              <w:spacing w:line="276" w:lineRule="auto"/>
              <w:jc w:val="center"/>
              <w:rPr>
                <w:lang w:eastAsia="en-US"/>
              </w:rPr>
            </w:pPr>
            <w:r w:rsidRPr="00565C3D">
              <w:rPr>
                <w:color w:val="000000"/>
              </w:rPr>
              <w:t>1,1</w:t>
            </w:r>
            <w:r w:rsidR="006F5492">
              <w:rPr>
                <w:color w:val="000000"/>
              </w:rPr>
              <w:t>58</w:t>
            </w: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14:paraId="59C2BDC8" w14:textId="77777777" w:rsidR="00565C3D" w:rsidRPr="00565C3D" w:rsidRDefault="00565C3D" w:rsidP="00565C3D">
            <w:pPr>
              <w:spacing w:line="276" w:lineRule="auto"/>
              <w:jc w:val="center"/>
              <w:rPr>
                <w:highlight w:val="yellow"/>
                <w:lang w:eastAsia="en-US"/>
              </w:rPr>
            </w:pPr>
            <w:r w:rsidRPr="00565C3D">
              <w:rPr>
                <w:color w:val="000000"/>
              </w:rPr>
              <w:t>1,090</w:t>
            </w:r>
          </w:p>
        </w:tc>
      </w:tr>
      <w:tr w:rsidR="00565C3D" w:rsidRPr="00565C3D" w14:paraId="29A13BB4" w14:textId="77777777" w:rsidTr="008D656A">
        <w:trPr>
          <w:trHeight w:val="302"/>
        </w:trPr>
        <w:tc>
          <w:tcPr>
            <w:tcW w:w="704" w:type="dxa"/>
            <w:tcBorders>
              <w:top w:val="single" w:sz="4" w:space="0" w:color="auto"/>
              <w:left w:val="single" w:sz="4" w:space="0" w:color="auto"/>
              <w:bottom w:val="single" w:sz="4" w:space="0" w:color="auto"/>
              <w:right w:val="single" w:sz="4" w:space="0" w:color="auto"/>
            </w:tcBorders>
            <w:shd w:val="clear" w:color="auto" w:fill="auto"/>
            <w:noWrap/>
          </w:tcPr>
          <w:p w14:paraId="1B123D3A" w14:textId="77777777" w:rsidR="00565C3D" w:rsidRPr="00565C3D" w:rsidRDefault="00565C3D" w:rsidP="00565C3D">
            <w:pPr>
              <w:spacing w:line="276" w:lineRule="auto"/>
              <w:jc w:val="center"/>
              <w:rPr>
                <w:lang w:eastAsia="en-US"/>
              </w:rPr>
            </w:pPr>
            <w:r w:rsidRPr="00565C3D">
              <w:rPr>
                <w:lang w:eastAsia="en-US"/>
              </w:rPr>
              <w:t>5</w:t>
            </w:r>
          </w:p>
        </w:tc>
        <w:tc>
          <w:tcPr>
            <w:tcW w:w="4111" w:type="dxa"/>
            <w:tcBorders>
              <w:top w:val="single" w:sz="4" w:space="0" w:color="auto"/>
              <w:left w:val="single" w:sz="4" w:space="0" w:color="auto"/>
              <w:bottom w:val="single" w:sz="4" w:space="0" w:color="auto"/>
              <w:right w:val="single" w:sz="4" w:space="0" w:color="auto"/>
            </w:tcBorders>
            <w:shd w:val="clear" w:color="auto" w:fill="auto"/>
            <w:noWrap/>
          </w:tcPr>
          <w:p w14:paraId="25C3ABBE" w14:textId="77777777" w:rsidR="00565C3D" w:rsidRPr="00565C3D" w:rsidRDefault="00565C3D" w:rsidP="00565C3D">
            <w:pPr>
              <w:tabs>
                <w:tab w:val="left" w:pos="3140"/>
              </w:tabs>
              <w:spacing w:line="276" w:lineRule="auto"/>
              <w:rPr>
                <w:lang w:eastAsia="en-US"/>
              </w:rPr>
            </w:pPr>
            <w:r w:rsidRPr="00565C3D">
              <w:rPr>
                <w:lang w:eastAsia="en-US"/>
              </w:rPr>
              <w:t>Роздрібна торгівля</w:t>
            </w:r>
          </w:p>
        </w:tc>
        <w:tc>
          <w:tcPr>
            <w:tcW w:w="1442" w:type="dxa"/>
            <w:tcBorders>
              <w:top w:val="single" w:sz="4" w:space="0" w:color="auto"/>
              <w:left w:val="single" w:sz="4" w:space="0" w:color="auto"/>
              <w:bottom w:val="single" w:sz="4" w:space="0" w:color="auto"/>
              <w:right w:val="single" w:sz="4" w:space="0" w:color="auto"/>
            </w:tcBorders>
            <w:shd w:val="clear" w:color="auto" w:fill="auto"/>
            <w:noWrap/>
          </w:tcPr>
          <w:p w14:paraId="5EA07169" w14:textId="77777777" w:rsidR="00565C3D" w:rsidRPr="00565C3D" w:rsidRDefault="00565C3D" w:rsidP="00565C3D">
            <w:pPr>
              <w:spacing w:line="276" w:lineRule="auto"/>
              <w:jc w:val="center"/>
              <w:rPr>
                <w:lang w:eastAsia="en-US"/>
              </w:rPr>
            </w:pPr>
            <w:r w:rsidRPr="00565C3D">
              <w:rPr>
                <w:lang w:eastAsia="en-US"/>
              </w:rPr>
              <w:t>1,000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2BBDBC" w14:textId="77777777" w:rsidR="00565C3D" w:rsidRPr="00565C3D" w:rsidRDefault="00565C3D" w:rsidP="00565C3D">
            <w:pPr>
              <w:spacing w:line="276" w:lineRule="auto"/>
              <w:jc w:val="center"/>
              <w:rPr>
                <w:lang w:eastAsia="en-US"/>
              </w:rPr>
            </w:pPr>
            <w:r w:rsidRPr="00565C3D">
              <w:rPr>
                <w:lang w:eastAsia="en-US"/>
              </w:rPr>
              <w:t>1,257</w:t>
            </w:r>
          </w:p>
        </w:tc>
        <w:tc>
          <w:tcPr>
            <w:tcW w:w="1535" w:type="dxa"/>
            <w:tcBorders>
              <w:top w:val="single" w:sz="4" w:space="0" w:color="auto"/>
              <w:left w:val="single" w:sz="4" w:space="0" w:color="auto"/>
              <w:bottom w:val="single" w:sz="4" w:space="0" w:color="auto"/>
              <w:right w:val="single" w:sz="4" w:space="0" w:color="auto"/>
            </w:tcBorders>
            <w:shd w:val="clear" w:color="auto" w:fill="auto"/>
            <w:vAlign w:val="bottom"/>
          </w:tcPr>
          <w:p w14:paraId="451AA10D" w14:textId="77777777" w:rsidR="00565C3D" w:rsidRPr="00565C3D" w:rsidRDefault="00565C3D" w:rsidP="00565C3D">
            <w:pPr>
              <w:spacing w:line="276" w:lineRule="auto"/>
              <w:jc w:val="center"/>
              <w:rPr>
                <w:lang w:eastAsia="en-US"/>
              </w:rPr>
            </w:pPr>
            <w:r w:rsidRPr="00565C3D">
              <w:rPr>
                <w:lang w:eastAsia="en-US"/>
              </w:rPr>
              <w:t>1,168</w:t>
            </w:r>
          </w:p>
        </w:tc>
      </w:tr>
      <w:tr w:rsidR="00565C3D" w:rsidRPr="00565C3D" w14:paraId="4E295ABC" w14:textId="77777777" w:rsidTr="008D656A">
        <w:trPr>
          <w:trHeight w:val="302"/>
        </w:trPr>
        <w:tc>
          <w:tcPr>
            <w:tcW w:w="704" w:type="dxa"/>
            <w:tcBorders>
              <w:top w:val="single" w:sz="4" w:space="0" w:color="auto"/>
              <w:left w:val="single" w:sz="4" w:space="0" w:color="auto"/>
              <w:bottom w:val="single" w:sz="4" w:space="0" w:color="auto"/>
              <w:right w:val="single" w:sz="4" w:space="0" w:color="auto"/>
            </w:tcBorders>
            <w:shd w:val="clear" w:color="auto" w:fill="auto"/>
            <w:noWrap/>
          </w:tcPr>
          <w:p w14:paraId="297C22E9" w14:textId="77777777" w:rsidR="00565C3D" w:rsidRPr="00565C3D" w:rsidRDefault="00565C3D" w:rsidP="00565C3D">
            <w:pPr>
              <w:spacing w:line="276" w:lineRule="auto"/>
              <w:jc w:val="center"/>
              <w:rPr>
                <w:lang w:eastAsia="en-US"/>
              </w:rPr>
            </w:pPr>
            <w:r w:rsidRPr="00565C3D">
              <w:rPr>
                <w:lang w:eastAsia="en-US"/>
              </w:rPr>
              <w:t>6</w:t>
            </w:r>
          </w:p>
        </w:tc>
        <w:tc>
          <w:tcPr>
            <w:tcW w:w="4111" w:type="dxa"/>
            <w:tcBorders>
              <w:top w:val="single" w:sz="4" w:space="0" w:color="auto"/>
              <w:left w:val="single" w:sz="4" w:space="0" w:color="auto"/>
              <w:bottom w:val="single" w:sz="4" w:space="0" w:color="auto"/>
              <w:right w:val="single" w:sz="4" w:space="0" w:color="auto"/>
            </w:tcBorders>
            <w:shd w:val="clear" w:color="auto" w:fill="auto"/>
            <w:noWrap/>
          </w:tcPr>
          <w:p w14:paraId="1A54192B" w14:textId="77777777" w:rsidR="00565C3D" w:rsidRPr="00565C3D" w:rsidRDefault="00565C3D" w:rsidP="00565C3D">
            <w:pPr>
              <w:tabs>
                <w:tab w:val="left" w:pos="3140"/>
              </w:tabs>
              <w:spacing w:line="276" w:lineRule="auto"/>
              <w:rPr>
                <w:lang w:eastAsia="en-US"/>
              </w:rPr>
            </w:pPr>
            <w:r w:rsidRPr="00565C3D">
              <w:rPr>
                <w:lang w:eastAsia="en-US"/>
              </w:rPr>
              <w:t>Сільське господарство</w:t>
            </w:r>
          </w:p>
        </w:tc>
        <w:tc>
          <w:tcPr>
            <w:tcW w:w="1442" w:type="dxa"/>
            <w:tcBorders>
              <w:top w:val="single" w:sz="4" w:space="0" w:color="auto"/>
              <w:left w:val="single" w:sz="4" w:space="0" w:color="auto"/>
              <w:bottom w:val="single" w:sz="4" w:space="0" w:color="auto"/>
              <w:right w:val="single" w:sz="4" w:space="0" w:color="auto"/>
            </w:tcBorders>
            <w:shd w:val="clear" w:color="auto" w:fill="auto"/>
            <w:noWrap/>
          </w:tcPr>
          <w:p w14:paraId="275635E7" w14:textId="77777777" w:rsidR="00565C3D" w:rsidRPr="00565C3D" w:rsidRDefault="00565C3D" w:rsidP="00565C3D">
            <w:pPr>
              <w:spacing w:line="276" w:lineRule="auto"/>
              <w:jc w:val="center"/>
              <w:rPr>
                <w:lang w:eastAsia="en-US"/>
              </w:rPr>
            </w:pPr>
            <w:r w:rsidRPr="00565C3D">
              <w:rPr>
                <w:lang w:eastAsia="en-US"/>
              </w:rPr>
              <w:t>1,000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5EA9FF" w14:textId="77777777" w:rsidR="00565C3D" w:rsidRPr="00565C3D" w:rsidRDefault="00565C3D" w:rsidP="00565C3D">
            <w:pPr>
              <w:spacing w:line="276" w:lineRule="auto"/>
              <w:jc w:val="center"/>
              <w:rPr>
                <w:lang w:eastAsia="en-US"/>
              </w:rPr>
            </w:pPr>
            <w:r w:rsidRPr="00565C3D">
              <w:rPr>
                <w:lang w:eastAsia="en-US"/>
              </w:rPr>
              <w:t>1,257</w:t>
            </w:r>
          </w:p>
        </w:tc>
        <w:tc>
          <w:tcPr>
            <w:tcW w:w="1535" w:type="dxa"/>
            <w:tcBorders>
              <w:top w:val="single" w:sz="4" w:space="0" w:color="auto"/>
              <w:left w:val="single" w:sz="4" w:space="0" w:color="auto"/>
              <w:bottom w:val="single" w:sz="4" w:space="0" w:color="auto"/>
              <w:right w:val="single" w:sz="4" w:space="0" w:color="auto"/>
            </w:tcBorders>
            <w:shd w:val="clear" w:color="auto" w:fill="auto"/>
            <w:vAlign w:val="bottom"/>
          </w:tcPr>
          <w:p w14:paraId="17AC75A1" w14:textId="77777777" w:rsidR="00565C3D" w:rsidRPr="00565C3D" w:rsidRDefault="00565C3D" w:rsidP="00565C3D">
            <w:pPr>
              <w:spacing w:line="276" w:lineRule="auto"/>
              <w:jc w:val="center"/>
              <w:rPr>
                <w:lang w:eastAsia="en-US"/>
              </w:rPr>
            </w:pPr>
            <w:r w:rsidRPr="00565C3D">
              <w:rPr>
                <w:lang w:eastAsia="en-US"/>
              </w:rPr>
              <w:t>1,168</w:t>
            </w:r>
          </w:p>
        </w:tc>
      </w:tr>
      <w:tr w:rsidR="00565C3D" w:rsidRPr="00565C3D" w14:paraId="6075D042" w14:textId="77777777" w:rsidTr="008D656A">
        <w:trPr>
          <w:trHeight w:val="302"/>
        </w:trPr>
        <w:tc>
          <w:tcPr>
            <w:tcW w:w="704" w:type="dxa"/>
            <w:tcBorders>
              <w:top w:val="single" w:sz="4" w:space="0" w:color="auto"/>
              <w:left w:val="single" w:sz="4" w:space="0" w:color="auto"/>
              <w:bottom w:val="single" w:sz="4" w:space="0" w:color="auto"/>
              <w:right w:val="single" w:sz="4" w:space="0" w:color="auto"/>
            </w:tcBorders>
            <w:shd w:val="clear" w:color="auto" w:fill="auto"/>
            <w:noWrap/>
          </w:tcPr>
          <w:p w14:paraId="238AAF72" w14:textId="77777777" w:rsidR="00565C3D" w:rsidRPr="00565C3D" w:rsidRDefault="00565C3D" w:rsidP="00565C3D">
            <w:pPr>
              <w:spacing w:line="276" w:lineRule="auto"/>
              <w:jc w:val="center"/>
              <w:rPr>
                <w:lang w:eastAsia="en-US"/>
              </w:rPr>
            </w:pPr>
            <w:r w:rsidRPr="00565C3D">
              <w:rPr>
                <w:lang w:eastAsia="en-US"/>
              </w:rPr>
              <w:t>7</w:t>
            </w:r>
          </w:p>
        </w:tc>
        <w:tc>
          <w:tcPr>
            <w:tcW w:w="4111" w:type="dxa"/>
            <w:tcBorders>
              <w:top w:val="single" w:sz="4" w:space="0" w:color="auto"/>
              <w:left w:val="single" w:sz="4" w:space="0" w:color="auto"/>
              <w:bottom w:val="single" w:sz="4" w:space="0" w:color="auto"/>
              <w:right w:val="single" w:sz="4" w:space="0" w:color="auto"/>
            </w:tcBorders>
            <w:shd w:val="clear" w:color="auto" w:fill="auto"/>
            <w:noWrap/>
          </w:tcPr>
          <w:p w14:paraId="1A797764" w14:textId="77777777" w:rsidR="00565C3D" w:rsidRPr="00565C3D" w:rsidRDefault="00565C3D" w:rsidP="00565C3D">
            <w:pPr>
              <w:tabs>
                <w:tab w:val="left" w:pos="3140"/>
              </w:tabs>
              <w:spacing w:line="276" w:lineRule="auto"/>
              <w:rPr>
                <w:lang w:eastAsia="en-US"/>
              </w:rPr>
            </w:pPr>
            <w:r w:rsidRPr="00565C3D">
              <w:rPr>
                <w:lang w:eastAsia="en-US"/>
              </w:rPr>
              <w:t>Транспорт</w:t>
            </w:r>
          </w:p>
        </w:tc>
        <w:tc>
          <w:tcPr>
            <w:tcW w:w="1442" w:type="dxa"/>
            <w:tcBorders>
              <w:top w:val="single" w:sz="4" w:space="0" w:color="auto"/>
              <w:left w:val="single" w:sz="4" w:space="0" w:color="auto"/>
              <w:bottom w:val="single" w:sz="4" w:space="0" w:color="auto"/>
              <w:right w:val="single" w:sz="4" w:space="0" w:color="auto"/>
            </w:tcBorders>
            <w:shd w:val="clear" w:color="auto" w:fill="auto"/>
            <w:noWrap/>
          </w:tcPr>
          <w:p w14:paraId="40E5FC0A" w14:textId="77777777" w:rsidR="00565C3D" w:rsidRPr="00565C3D" w:rsidRDefault="00565C3D" w:rsidP="00565C3D">
            <w:pPr>
              <w:spacing w:line="276" w:lineRule="auto"/>
              <w:jc w:val="center"/>
              <w:rPr>
                <w:lang w:eastAsia="en-US"/>
              </w:rPr>
            </w:pPr>
            <w:r w:rsidRPr="00565C3D">
              <w:rPr>
                <w:lang w:eastAsia="en-US"/>
              </w:rPr>
              <w:t>1,000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02D4C3" w14:textId="77777777" w:rsidR="00565C3D" w:rsidRPr="00565C3D" w:rsidRDefault="00565C3D" w:rsidP="00565C3D">
            <w:pPr>
              <w:spacing w:line="276" w:lineRule="auto"/>
              <w:jc w:val="center"/>
              <w:rPr>
                <w:lang w:eastAsia="en-US"/>
              </w:rPr>
            </w:pPr>
            <w:r w:rsidRPr="00565C3D">
              <w:rPr>
                <w:lang w:eastAsia="en-US"/>
              </w:rPr>
              <w:t>1,029</w:t>
            </w:r>
          </w:p>
        </w:tc>
        <w:tc>
          <w:tcPr>
            <w:tcW w:w="1535" w:type="dxa"/>
            <w:tcBorders>
              <w:top w:val="single" w:sz="4" w:space="0" w:color="auto"/>
              <w:left w:val="single" w:sz="4" w:space="0" w:color="auto"/>
              <w:bottom w:val="single" w:sz="4" w:space="0" w:color="auto"/>
              <w:right w:val="single" w:sz="4" w:space="0" w:color="auto"/>
            </w:tcBorders>
            <w:shd w:val="clear" w:color="auto" w:fill="auto"/>
            <w:vAlign w:val="bottom"/>
          </w:tcPr>
          <w:p w14:paraId="51A92178" w14:textId="77777777" w:rsidR="00565C3D" w:rsidRPr="00565C3D" w:rsidRDefault="00565C3D" w:rsidP="00565C3D">
            <w:pPr>
              <w:spacing w:line="276" w:lineRule="auto"/>
              <w:jc w:val="center"/>
              <w:rPr>
                <w:lang w:eastAsia="en-US"/>
              </w:rPr>
            </w:pPr>
            <w:r w:rsidRPr="00565C3D">
              <w:rPr>
                <w:lang w:eastAsia="en-US"/>
              </w:rPr>
              <w:t>1,035</w:t>
            </w:r>
          </w:p>
        </w:tc>
      </w:tr>
      <w:tr w:rsidR="00565C3D" w:rsidRPr="00565C3D" w14:paraId="28A000AF" w14:textId="77777777" w:rsidTr="008D656A">
        <w:trPr>
          <w:trHeight w:val="302"/>
        </w:trPr>
        <w:tc>
          <w:tcPr>
            <w:tcW w:w="704" w:type="dxa"/>
            <w:tcBorders>
              <w:top w:val="single" w:sz="4" w:space="0" w:color="auto"/>
              <w:left w:val="single" w:sz="4" w:space="0" w:color="auto"/>
              <w:bottom w:val="single" w:sz="4" w:space="0" w:color="auto"/>
              <w:right w:val="single" w:sz="4" w:space="0" w:color="auto"/>
            </w:tcBorders>
            <w:shd w:val="clear" w:color="auto" w:fill="auto"/>
            <w:noWrap/>
          </w:tcPr>
          <w:p w14:paraId="22C361C0" w14:textId="77777777" w:rsidR="00565C3D" w:rsidRPr="00565C3D" w:rsidRDefault="00565C3D" w:rsidP="00565C3D">
            <w:pPr>
              <w:spacing w:line="276" w:lineRule="auto"/>
              <w:jc w:val="center"/>
              <w:rPr>
                <w:lang w:eastAsia="en-US"/>
              </w:rPr>
            </w:pPr>
            <w:r w:rsidRPr="00565C3D">
              <w:rPr>
                <w:lang w:eastAsia="en-US"/>
              </w:rPr>
              <w:t>8</w:t>
            </w:r>
          </w:p>
        </w:tc>
        <w:tc>
          <w:tcPr>
            <w:tcW w:w="4111" w:type="dxa"/>
            <w:tcBorders>
              <w:top w:val="single" w:sz="4" w:space="0" w:color="auto"/>
              <w:left w:val="single" w:sz="4" w:space="0" w:color="auto"/>
              <w:bottom w:val="single" w:sz="4" w:space="0" w:color="auto"/>
              <w:right w:val="single" w:sz="4" w:space="0" w:color="auto"/>
            </w:tcBorders>
            <w:shd w:val="clear" w:color="auto" w:fill="auto"/>
            <w:noWrap/>
          </w:tcPr>
          <w:p w14:paraId="3C89BA33" w14:textId="77777777" w:rsidR="00565C3D" w:rsidRPr="00565C3D" w:rsidRDefault="00565C3D" w:rsidP="00565C3D">
            <w:pPr>
              <w:tabs>
                <w:tab w:val="left" w:pos="3140"/>
              </w:tabs>
              <w:spacing w:line="276" w:lineRule="auto"/>
              <w:rPr>
                <w:lang w:eastAsia="en-US"/>
              </w:rPr>
            </w:pPr>
            <w:r w:rsidRPr="00565C3D">
              <w:rPr>
                <w:lang w:eastAsia="en-US"/>
              </w:rPr>
              <w:t>Харчова промисловість</w:t>
            </w:r>
          </w:p>
        </w:tc>
        <w:tc>
          <w:tcPr>
            <w:tcW w:w="1442" w:type="dxa"/>
            <w:tcBorders>
              <w:top w:val="single" w:sz="4" w:space="0" w:color="auto"/>
              <w:left w:val="single" w:sz="4" w:space="0" w:color="auto"/>
              <w:bottom w:val="single" w:sz="4" w:space="0" w:color="auto"/>
              <w:right w:val="single" w:sz="4" w:space="0" w:color="auto"/>
            </w:tcBorders>
            <w:shd w:val="clear" w:color="auto" w:fill="auto"/>
            <w:noWrap/>
          </w:tcPr>
          <w:p w14:paraId="0AB8F9E4" w14:textId="77777777" w:rsidR="00565C3D" w:rsidRPr="00565C3D" w:rsidRDefault="00565C3D" w:rsidP="00565C3D">
            <w:pPr>
              <w:spacing w:line="276" w:lineRule="auto"/>
              <w:jc w:val="center"/>
              <w:rPr>
                <w:lang w:eastAsia="en-US"/>
              </w:rPr>
            </w:pPr>
            <w:r w:rsidRPr="00565C3D">
              <w:rPr>
                <w:lang w:eastAsia="en-US"/>
              </w:rPr>
              <w:t>1,000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575E9D" w14:textId="77777777" w:rsidR="00565C3D" w:rsidRPr="00565C3D" w:rsidRDefault="00565C3D" w:rsidP="00565C3D">
            <w:pPr>
              <w:spacing w:line="276" w:lineRule="auto"/>
              <w:jc w:val="center"/>
              <w:rPr>
                <w:lang w:eastAsia="en-US"/>
              </w:rPr>
            </w:pPr>
            <w:r w:rsidRPr="00565C3D">
              <w:rPr>
                <w:lang w:eastAsia="en-US"/>
              </w:rPr>
              <w:t>1,106</w:t>
            </w:r>
          </w:p>
        </w:tc>
        <w:tc>
          <w:tcPr>
            <w:tcW w:w="1535" w:type="dxa"/>
            <w:tcBorders>
              <w:top w:val="single" w:sz="4" w:space="0" w:color="auto"/>
              <w:left w:val="single" w:sz="4" w:space="0" w:color="auto"/>
              <w:bottom w:val="single" w:sz="4" w:space="0" w:color="auto"/>
              <w:right w:val="single" w:sz="4" w:space="0" w:color="auto"/>
            </w:tcBorders>
            <w:shd w:val="clear" w:color="auto" w:fill="auto"/>
            <w:vAlign w:val="bottom"/>
          </w:tcPr>
          <w:p w14:paraId="33D5B57B" w14:textId="77777777" w:rsidR="00565C3D" w:rsidRPr="00565C3D" w:rsidRDefault="00565C3D" w:rsidP="00565C3D">
            <w:pPr>
              <w:spacing w:line="276" w:lineRule="auto"/>
              <w:jc w:val="center"/>
              <w:rPr>
                <w:lang w:eastAsia="en-US"/>
              </w:rPr>
            </w:pPr>
            <w:r w:rsidRPr="00565C3D">
              <w:rPr>
                <w:lang w:eastAsia="en-US"/>
              </w:rPr>
              <w:t>1,085</w:t>
            </w:r>
          </w:p>
        </w:tc>
      </w:tr>
      <w:tr w:rsidR="00565C3D" w:rsidRPr="00565C3D" w14:paraId="2A3E441B" w14:textId="77777777" w:rsidTr="008D656A">
        <w:trPr>
          <w:trHeight w:val="302"/>
        </w:trPr>
        <w:tc>
          <w:tcPr>
            <w:tcW w:w="704" w:type="dxa"/>
            <w:tcBorders>
              <w:top w:val="single" w:sz="4" w:space="0" w:color="auto"/>
              <w:left w:val="single" w:sz="4" w:space="0" w:color="auto"/>
              <w:bottom w:val="single" w:sz="4" w:space="0" w:color="auto"/>
              <w:right w:val="single" w:sz="4" w:space="0" w:color="auto"/>
            </w:tcBorders>
            <w:shd w:val="clear" w:color="auto" w:fill="auto"/>
            <w:noWrap/>
          </w:tcPr>
          <w:p w14:paraId="1D46FA9D" w14:textId="77777777" w:rsidR="00565C3D" w:rsidRPr="00565C3D" w:rsidRDefault="00565C3D" w:rsidP="00565C3D">
            <w:pPr>
              <w:spacing w:line="276" w:lineRule="auto"/>
              <w:jc w:val="center"/>
              <w:rPr>
                <w:lang w:eastAsia="en-US"/>
              </w:rPr>
            </w:pPr>
            <w:r w:rsidRPr="00565C3D">
              <w:rPr>
                <w:lang w:eastAsia="en-US"/>
              </w:rPr>
              <w:t>9</w:t>
            </w:r>
          </w:p>
        </w:tc>
        <w:tc>
          <w:tcPr>
            <w:tcW w:w="4111" w:type="dxa"/>
            <w:tcBorders>
              <w:top w:val="single" w:sz="4" w:space="0" w:color="auto"/>
              <w:left w:val="single" w:sz="4" w:space="0" w:color="auto"/>
              <w:bottom w:val="single" w:sz="4" w:space="0" w:color="auto"/>
              <w:right w:val="single" w:sz="4" w:space="0" w:color="auto"/>
            </w:tcBorders>
            <w:shd w:val="clear" w:color="auto" w:fill="auto"/>
            <w:noWrap/>
          </w:tcPr>
          <w:p w14:paraId="470925FD" w14:textId="77777777" w:rsidR="00565C3D" w:rsidRPr="00565C3D" w:rsidRDefault="00565C3D" w:rsidP="00565C3D">
            <w:pPr>
              <w:tabs>
                <w:tab w:val="left" w:pos="3140"/>
              </w:tabs>
              <w:spacing w:line="276" w:lineRule="auto"/>
              <w:rPr>
                <w:lang w:eastAsia="en-US"/>
              </w:rPr>
            </w:pPr>
            <w:r w:rsidRPr="00565C3D">
              <w:rPr>
                <w:lang w:eastAsia="en-US"/>
              </w:rPr>
              <w:t>Інші</w:t>
            </w:r>
          </w:p>
        </w:tc>
        <w:tc>
          <w:tcPr>
            <w:tcW w:w="1442" w:type="dxa"/>
            <w:tcBorders>
              <w:top w:val="single" w:sz="4" w:space="0" w:color="auto"/>
              <w:left w:val="single" w:sz="4" w:space="0" w:color="auto"/>
              <w:bottom w:val="single" w:sz="4" w:space="0" w:color="auto"/>
              <w:right w:val="single" w:sz="4" w:space="0" w:color="auto"/>
            </w:tcBorders>
            <w:shd w:val="clear" w:color="auto" w:fill="auto"/>
            <w:noWrap/>
          </w:tcPr>
          <w:p w14:paraId="4503234A" w14:textId="77777777" w:rsidR="00565C3D" w:rsidRPr="00565C3D" w:rsidRDefault="00565C3D" w:rsidP="00565C3D">
            <w:pPr>
              <w:spacing w:line="276" w:lineRule="auto"/>
              <w:jc w:val="center"/>
              <w:rPr>
                <w:lang w:eastAsia="en-US"/>
              </w:rPr>
            </w:pPr>
            <w:r w:rsidRPr="00565C3D">
              <w:rPr>
                <w:lang w:eastAsia="en-US"/>
              </w:rPr>
              <w:t>1,000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6DB98F" w14:textId="77777777" w:rsidR="00565C3D" w:rsidRPr="00565C3D" w:rsidRDefault="00565C3D" w:rsidP="00565C3D">
            <w:pPr>
              <w:spacing w:line="276" w:lineRule="auto"/>
              <w:jc w:val="center"/>
              <w:rPr>
                <w:lang w:eastAsia="en-US"/>
              </w:rPr>
            </w:pPr>
            <w:r w:rsidRPr="00565C3D">
              <w:rPr>
                <w:lang w:eastAsia="en-US"/>
              </w:rPr>
              <w:t>1,257</w:t>
            </w:r>
          </w:p>
        </w:tc>
        <w:tc>
          <w:tcPr>
            <w:tcW w:w="1535" w:type="dxa"/>
            <w:tcBorders>
              <w:top w:val="single" w:sz="4" w:space="0" w:color="auto"/>
              <w:left w:val="single" w:sz="4" w:space="0" w:color="auto"/>
              <w:bottom w:val="single" w:sz="4" w:space="0" w:color="auto"/>
              <w:right w:val="single" w:sz="4" w:space="0" w:color="auto"/>
            </w:tcBorders>
            <w:shd w:val="clear" w:color="auto" w:fill="auto"/>
            <w:vAlign w:val="bottom"/>
          </w:tcPr>
          <w:p w14:paraId="2074571A" w14:textId="77777777" w:rsidR="00565C3D" w:rsidRPr="00565C3D" w:rsidRDefault="00565C3D" w:rsidP="00565C3D">
            <w:pPr>
              <w:spacing w:line="276" w:lineRule="auto"/>
              <w:jc w:val="center"/>
              <w:rPr>
                <w:lang w:eastAsia="en-US"/>
              </w:rPr>
            </w:pPr>
            <w:r w:rsidRPr="00565C3D">
              <w:rPr>
                <w:lang w:eastAsia="en-US"/>
              </w:rPr>
              <w:t>1,168</w:t>
            </w:r>
          </w:p>
        </w:tc>
      </w:tr>
      <w:tr w:rsidR="00565C3D" w:rsidRPr="00565C3D" w14:paraId="3933FBA8" w14:textId="77777777" w:rsidTr="008D656A">
        <w:trPr>
          <w:trHeight w:val="302"/>
        </w:trPr>
        <w:tc>
          <w:tcPr>
            <w:tcW w:w="704" w:type="dxa"/>
            <w:tcBorders>
              <w:top w:val="single" w:sz="4" w:space="0" w:color="auto"/>
              <w:left w:val="single" w:sz="4" w:space="0" w:color="auto"/>
              <w:bottom w:val="single" w:sz="4" w:space="0" w:color="auto"/>
              <w:right w:val="single" w:sz="4" w:space="0" w:color="auto"/>
            </w:tcBorders>
            <w:shd w:val="clear" w:color="auto" w:fill="auto"/>
            <w:noWrap/>
          </w:tcPr>
          <w:p w14:paraId="31C79A79" w14:textId="77777777" w:rsidR="00565C3D" w:rsidRPr="00565C3D" w:rsidRDefault="00565C3D" w:rsidP="00565C3D">
            <w:pPr>
              <w:spacing w:line="276" w:lineRule="auto"/>
              <w:jc w:val="center"/>
              <w:rPr>
                <w:lang w:eastAsia="en-US"/>
              </w:rPr>
            </w:pPr>
            <w:r w:rsidRPr="00565C3D">
              <w:rPr>
                <w:lang w:eastAsia="en-US"/>
              </w:rPr>
              <w:t>10</w:t>
            </w:r>
          </w:p>
        </w:tc>
        <w:tc>
          <w:tcPr>
            <w:tcW w:w="4111" w:type="dxa"/>
            <w:tcBorders>
              <w:top w:val="single" w:sz="4" w:space="0" w:color="auto"/>
              <w:left w:val="single" w:sz="4" w:space="0" w:color="auto"/>
              <w:bottom w:val="single" w:sz="4" w:space="0" w:color="auto"/>
              <w:right w:val="single" w:sz="4" w:space="0" w:color="auto"/>
            </w:tcBorders>
            <w:shd w:val="clear" w:color="auto" w:fill="auto"/>
            <w:noWrap/>
          </w:tcPr>
          <w:p w14:paraId="517DE58E" w14:textId="77777777" w:rsidR="00565C3D" w:rsidRPr="00565C3D" w:rsidRDefault="00565C3D" w:rsidP="00565C3D">
            <w:pPr>
              <w:tabs>
                <w:tab w:val="left" w:pos="3140"/>
              </w:tabs>
              <w:spacing w:line="276" w:lineRule="auto"/>
              <w:rPr>
                <w:lang w:eastAsia="en-US"/>
              </w:rPr>
            </w:pPr>
            <w:r w:rsidRPr="00565C3D">
              <w:rPr>
                <w:lang w:eastAsia="en-US"/>
              </w:rPr>
              <w:t>Міжнародні групи</w:t>
            </w:r>
          </w:p>
        </w:tc>
        <w:tc>
          <w:tcPr>
            <w:tcW w:w="1442" w:type="dxa"/>
            <w:tcBorders>
              <w:top w:val="single" w:sz="4" w:space="0" w:color="auto"/>
              <w:left w:val="single" w:sz="4" w:space="0" w:color="auto"/>
              <w:bottom w:val="single" w:sz="4" w:space="0" w:color="auto"/>
              <w:right w:val="single" w:sz="4" w:space="0" w:color="auto"/>
            </w:tcBorders>
            <w:shd w:val="clear" w:color="auto" w:fill="auto"/>
            <w:noWrap/>
          </w:tcPr>
          <w:p w14:paraId="65DC4B01" w14:textId="77777777" w:rsidR="00565C3D" w:rsidRPr="00565C3D" w:rsidRDefault="00565C3D" w:rsidP="00565C3D">
            <w:pPr>
              <w:spacing w:line="276" w:lineRule="auto"/>
              <w:jc w:val="center"/>
              <w:rPr>
                <w:lang w:eastAsia="en-US"/>
              </w:rPr>
            </w:pPr>
            <w:r w:rsidRPr="00565C3D">
              <w:rPr>
                <w:lang w:eastAsia="en-US"/>
              </w:rPr>
              <w:t>1,000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365E12" w14:textId="77777777" w:rsidR="00565C3D" w:rsidRPr="00565C3D" w:rsidRDefault="00565C3D" w:rsidP="00565C3D">
            <w:pPr>
              <w:spacing w:line="276" w:lineRule="auto"/>
              <w:jc w:val="center"/>
              <w:rPr>
                <w:lang w:eastAsia="en-US"/>
              </w:rPr>
            </w:pPr>
            <w:r w:rsidRPr="00565C3D">
              <w:rPr>
                <w:lang w:eastAsia="en-US"/>
              </w:rPr>
              <w:t>1,021</w:t>
            </w:r>
          </w:p>
        </w:tc>
        <w:tc>
          <w:tcPr>
            <w:tcW w:w="1535" w:type="dxa"/>
            <w:tcBorders>
              <w:top w:val="single" w:sz="4" w:space="0" w:color="auto"/>
              <w:left w:val="single" w:sz="4" w:space="0" w:color="auto"/>
              <w:bottom w:val="single" w:sz="4" w:space="0" w:color="auto"/>
              <w:right w:val="single" w:sz="4" w:space="0" w:color="auto"/>
            </w:tcBorders>
            <w:shd w:val="clear" w:color="auto" w:fill="auto"/>
            <w:vAlign w:val="bottom"/>
          </w:tcPr>
          <w:p w14:paraId="73C3CA47" w14:textId="77777777" w:rsidR="00565C3D" w:rsidRPr="00565C3D" w:rsidRDefault="00565C3D" w:rsidP="00565C3D">
            <w:pPr>
              <w:spacing w:line="276" w:lineRule="auto"/>
              <w:jc w:val="center"/>
              <w:rPr>
                <w:lang w:eastAsia="en-US"/>
              </w:rPr>
            </w:pPr>
            <w:r w:rsidRPr="00565C3D">
              <w:rPr>
                <w:lang w:eastAsia="en-US"/>
              </w:rPr>
              <w:t>1,024</w:t>
            </w:r>
          </w:p>
        </w:tc>
      </w:tr>
    </w:tbl>
    <w:bookmarkEnd w:id="18"/>
    <w:bookmarkEnd w:id="19"/>
    <w:p w14:paraId="1A4A2B3C" w14:textId="77777777" w:rsidR="00565C3D" w:rsidRPr="00565C3D" w:rsidRDefault="00565C3D" w:rsidP="00565C3D">
      <w:pPr>
        <w:pStyle w:val="af3"/>
        <w:numPr>
          <w:ilvl w:val="0"/>
          <w:numId w:val="52"/>
        </w:numPr>
        <w:tabs>
          <w:tab w:val="left" w:pos="993"/>
        </w:tabs>
        <w:spacing w:before="240"/>
        <w:ind w:left="0" w:firstLine="567"/>
        <w:contextualSpacing w:val="0"/>
        <w:rPr>
          <w:color w:val="000000" w:themeColor="text1"/>
        </w:rPr>
      </w:pPr>
      <w:r w:rsidRPr="00565C3D">
        <w:t xml:space="preserve">Розмір кредитного ризику розраховується згідно з пунктами 33, 34 розділу ІІ Положення № 351. </w:t>
      </w:r>
    </w:p>
    <w:p w14:paraId="2A69500D" w14:textId="77777777" w:rsidR="00565C3D" w:rsidRPr="00565C3D" w:rsidRDefault="00813302" w:rsidP="00472B94">
      <w:pPr>
        <w:pStyle w:val="af3"/>
        <w:numPr>
          <w:ilvl w:val="0"/>
          <w:numId w:val="52"/>
        </w:numPr>
        <w:tabs>
          <w:tab w:val="left" w:pos="993"/>
        </w:tabs>
        <w:spacing w:before="240"/>
        <w:ind w:left="0" w:firstLine="567"/>
        <w:contextualSpacing w:val="0"/>
      </w:pPr>
      <w:r>
        <w:t>Вартість</w:t>
      </w:r>
      <w:r w:rsidR="00565C3D" w:rsidRPr="00565C3D">
        <w:t xml:space="preserve"> забезпечення (СV) </w:t>
      </w:r>
      <w:r w:rsidRPr="00565C3D">
        <w:t>фіксу</w:t>
      </w:r>
      <w:r>
        <w:t>є</w:t>
      </w:r>
      <w:r w:rsidRPr="00565C3D">
        <w:t xml:space="preserve">ться </w:t>
      </w:r>
      <w:r w:rsidR="00565C3D" w:rsidRPr="00565C3D">
        <w:t>на рівні, визначеному на першому етапі оцінки стійкості банку</w:t>
      </w:r>
      <w:r w:rsidR="00F92C53">
        <w:t>,</w:t>
      </w:r>
      <w:r w:rsidR="00565C3D" w:rsidRPr="00565C3D">
        <w:t xml:space="preserve"> з урахуванням результатів верифікації вартості заставного майна</w:t>
      </w:r>
      <w:r w:rsidR="00565C3D" w:rsidRPr="0098642B">
        <w:rPr>
          <w:color w:val="000000" w:themeColor="text1"/>
          <w:shd w:val="clear" w:color="auto" w:fill="FFFFFF"/>
        </w:rPr>
        <w:t xml:space="preserve">. </w:t>
      </w:r>
      <w:r w:rsidR="00565C3D" w:rsidRPr="006E5443">
        <w:t xml:space="preserve">Для застави у </w:t>
      </w:r>
      <w:r w:rsidR="008A79AF">
        <w:t>формі</w:t>
      </w:r>
      <w:r w:rsidR="008A79AF" w:rsidRPr="006E5443">
        <w:t xml:space="preserve"> </w:t>
      </w:r>
      <w:r w:rsidR="00565C3D" w:rsidRPr="006E5443">
        <w:t xml:space="preserve">іноземної валюти </w:t>
      </w:r>
      <w:r w:rsidRPr="006E5443">
        <w:t xml:space="preserve">здійснюється </w:t>
      </w:r>
      <w:r w:rsidR="00565C3D" w:rsidRPr="006E5443">
        <w:t>переоцінка за курсом валюти відповідно до макроекономічного сценарію.</w:t>
      </w:r>
    </w:p>
    <w:sectPr w:rsidR="00565C3D" w:rsidRPr="00565C3D" w:rsidSect="0009219C">
      <w:headerReference w:type="default" r:id="rId15"/>
      <w:headerReference w:type="first" r:id="rId16"/>
      <w:pgSz w:w="11906" w:h="16838" w:code="9"/>
      <w:pgMar w:top="567" w:right="567" w:bottom="1701" w:left="1701" w:header="567"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AB638" w14:textId="77777777" w:rsidR="0052636F" w:rsidRDefault="0052636F" w:rsidP="00E53CCD">
      <w:r>
        <w:separator/>
      </w:r>
    </w:p>
    <w:p w14:paraId="4E4D54FD" w14:textId="77777777" w:rsidR="0052636F" w:rsidRDefault="0052636F"/>
  </w:endnote>
  <w:endnote w:type="continuationSeparator" w:id="0">
    <w:p w14:paraId="4549EB46" w14:textId="77777777" w:rsidR="0052636F" w:rsidRDefault="0052636F" w:rsidP="00E53CCD">
      <w:r>
        <w:continuationSeparator/>
      </w:r>
    </w:p>
    <w:p w14:paraId="3FD3AD0E" w14:textId="77777777" w:rsidR="0052636F" w:rsidRDefault="005263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AA009" w14:textId="77777777" w:rsidR="0052636F" w:rsidRDefault="0052636F" w:rsidP="00E53CCD">
      <w:r>
        <w:separator/>
      </w:r>
    </w:p>
    <w:p w14:paraId="67DA4ADD" w14:textId="77777777" w:rsidR="0052636F" w:rsidRDefault="0052636F"/>
  </w:footnote>
  <w:footnote w:type="continuationSeparator" w:id="0">
    <w:p w14:paraId="3B3DF9E3" w14:textId="77777777" w:rsidR="0052636F" w:rsidRDefault="0052636F" w:rsidP="00E53CCD">
      <w:r>
        <w:continuationSeparator/>
      </w:r>
    </w:p>
    <w:p w14:paraId="53A844D8" w14:textId="77777777" w:rsidR="0052636F" w:rsidRDefault="0052636F"/>
  </w:footnote>
  <w:footnote w:id="1">
    <w:p w14:paraId="58690321" w14:textId="4AF015FB" w:rsidR="000F2428" w:rsidRPr="00EB666D" w:rsidRDefault="000F2428" w:rsidP="00565C3D">
      <w:pPr>
        <w:shd w:val="clear" w:color="auto" w:fill="FFFFFF"/>
        <w:tabs>
          <w:tab w:val="left" w:pos="284"/>
          <w:tab w:val="left" w:pos="567"/>
          <w:tab w:val="left" w:pos="851"/>
        </w:tabs>
        <w:rPr>
          <w:sz w:val="24"/>
          <w:szCs w:val="24"/>
        </w:rPr>
      </w:pPr>
      <w:r w:rsidRPr="00542ECF">
        <w:rPr>
          <w:rStyle w:val="aff2"/>
          <w:sz w:val="18"/>
          <w:szCs w:val="18"/>
        </w:rPr>
        <w:footnoteRef/>
      </w:r>
      <w:r w:rsidRPr="00542ECF">
        <w:rPr>
          <w:sz w:val="18"/>
          <w:szCs w:val="18"/>
        </w:rPr>
        <w:t xml:space="preserve"> </w:t>
      </w:r>
      <w:r w:rsidRPr="00EB666D">
        <w:rPr>
          <w:sz w:val="24"/>
          <w:szCs w:val="24"/>
        </w:rPr>
        <w:t>Для великих та середніх підприємств – фінансовий результат від операційної діяльності до відрахування амортизації за даними форми 2 “Звіт про фінансові результати” р. 2190 - р. 2195 + р. 2515 гр. 3.</w:t>
      </w:r>
    </w:p>
    <w:p w14:paraId="4FA9E72C" w14:textId="377D7BA6" w:rsidR="000F2428" w:rsidRPr="00EB666D" w:rsidRDefault="000F2428" w:rsidP="00565C3D">
      <w:pPr>
        <w:shd w:val="clear" w:color="auto" w:fill="FFFFFF"/>
        <w:tabs>
          <w:tab w:val="left" w:pos="284"/>
          <w:tab w:val="left" w:pos="567"/>
          <w:tab w:val="left" w:pos="851"/>
        </w:tabs>
        <w:rPr>
          <w:sz w:val="24"/>
          <w:szCs w:val="24"/>
        </w:rPr>
      </w:pPr>
      <w:r w:rsidRPr="00EB666D">
        <w:rPr>
          <w:sz w:val="24"/>
          <w:szCs w:val="24"/>
        </w:rPr>
        <w:t>Для малих підприємств – фінансовий результат від операційної діяльності до відрахування амортизації за даними форм</w:t>
      </w:r>
      <w:r>
        <w:rPr>
          <w:sz w:val="24"/>
          <w:szCs w:val="24"/>
        </w:rPr>
        <w:t>и</w:t>
      </w:r>
      <w:r w:rsidRPr="00EB666D">
        <w:rPr>
          <w:sz w:val="24"/>
          <w:szCs w:val="24"/>
        </w:rPr>
        <w:t xml:space="preserve"> 2 “Звіт про фінансові результати” р. 2000 - р. 2050 + р.</w:t>
      </w:r>
      <w:r>
        <w:rPr>
          <w:sz w:val="24"/>
          <w:szCs w:val="24"/>
        </w:rPr>
        <w:t xml:space="preserve"> 2120 - р. </w:t>
      </w:r>
      <w:r w:rsidRPr="00EB666D">
        <w:rPr>
          <w:sz w:val="24"/>
          <w:szCs w:val="24"/>
        </w:rPr>
        <w:t xml:space="preserve">2180 гр. 3 + амортизація </w:t>
      </w:r>
      <w:r>
        <w:rPr>
          <w:sz w:val="24"/>
          <w:szCs w:val="24"/>
        </w:rPr>
        <w:t>[</w:t>
      </w:r>
      <w:r w:rsidRPr="00EB666D">
        <w:rPr>
          <w:sz w:val="24"/>
          <w:szCs w:val="24"/>
        </w:rPr>
        <w:t xml:space="preserve">за наявності даних у розшифровках, </w:t>
      </w:r>
      <w:r>
        <w:rPr>
          <w:sz w:val="24"/>
          <w:szCs w:val="24"/>
        </w:rPr>
        <w:t>якщо немає</w:t>
      </w:r>
      <w:r w:rsidRPr="00EB666D">
        <w:rPr>
          <w:sz w:val="24"/>
          <w:szCs w:val="24"/>
        </w:rPr>
        <w:t xml:space="preserve"> – за розрахунком: р. 1012 гр. 4 - 1012 гр. 3 </w:t>
      </w:r>
      <w:r>
        <w:rPr>
          <w:sz w:val="24"/>
          <w:szCs w:val="24"/>
        </w:rPr>
        <w:t>(</w:t>
      </w:r>
      <w:r w:rsidRPr="00EB666D">
        <w:rPr>
          <w:sz w:val="24"/>
          <w:szCs w:val="24"/>
        </w:rPr>
        <w:t>не менше “0”</w:t>
      </w:r>
      <w:r>
        <w:rPr>
          <w:sz w:val="24"/>
          <w:szCs w:val="24"/>
        </w:rPr>
        <w:t>)</w:t>
      </w:r>
      <w:r w:rsidRPr="00EB666D">
        <w:rPr>
          <w:sz w:val="24"/>
          <w:szCs w:val="24"/>
        </w:rPr>
        <w:t>].</w:t>
      </w:r>
    </w:p>
  </w:footnote>
  <w:footnote w:id="2">
    <w:p w14:paraId="441674A7" w14:textId="36F044C9" w:rsidR="000F2428" w:rsidRPr="001520DF" w:rsidRDefault="000F2428" w:rsidP="00565C3D">
      <w:pPr>
        <w:shd w:val="clear" w:color="auto" w:fill="FFFFFF"/>
        <w:tabs>
          <w:tab w:val="left" w:pos="284"/>
          <w:tab w:val="left" w:pos="567"/>
          <w:tab w:val="left" w:pos="851"/>
        </w:tabs>
        <w:rPr>
          <w:sz w:val="18"/>
          <w:szCs w:val="18"/>
        </w:rPr>
      </w:pPr>
      <w:r w:rsidRPr="00542ECF">
        <w:rPr>
          <w:rStyle w:val="aff2"/>
          <w:sz w:val="18"/>
          <w:szCs w:val="18"/>
        </w:rPr>
        <w:footnoteRef/>
      </w:r>
      <w:r w:rsidRPr="00542ECF">
        <w:rPr>
          <w:sz w:val="18"/>
          <w:szCs w:val="18"/>
        </w:rPr>
        <w:t xml:space="preserve"> </w:t>
      </w:r>
      <w:r>
        <w:rPr>
          <w:sz w:val="18"/>
          <w:szCs w:val="18"/>
        </w:rPr>
        <w:t>Д</w:t>
      </w:r>
      <w:r w:rsidRPr="001520DF">
        <w:rPr>
          <w:sz w:val="18"/>
          <w:szCs w:val="18"/>
        </w:rPr>
        <w:t>ля великих та середніх підприємств – фінансовий результат від операційної діяльності до відрахування амортизації за даними форми 2 “Звіт про фінансові результати” р. 2190 - р. 2195 + р. 2515 гр. 3</w:t>
      </w:r>
      <w:r>
        <w:rPr>
          <w:sz w:val="18"/>
          <w:szCs w:val="18"/>
        </w:rPr>
        <w:t>.</w:t>
      </w:r>
    </w:p>
    <w:p w14:paraId="2C85F333" w14:textId="6941DE52" w:rsidR="000F2428" w:rsidRPr="001520DF" w:rsidRDefault="000F2428" w:rsidP="00565C3D">
      <w:pPr>
        <w:shd w:val="clear" w:color="auto" w:fill="FFFFFF"/>
        <w:tabs>
          <w:tab w:val="left" w:pos="284"/>
          <w:tab w:val="left" w:pos="567"/>
          <w:tab w:val="left" w:pos="851"/>
        </w:tabs>
        <w:rPr>
          <w:sz w:val="18"/>
          <w:szCs w:val="18"/>
        </w:rPr>
      </w:pPr>
      <w:r>
        <w:rPr>
          <w:sz w:val="18"/>
          <w:szCs w:val="18"/>
        </w:rPr>
        <w:t>Д</w:t>
      </w:r>
      <w:r w:rsidRPr="001520DF">
        <w:rPr>
          <w:sz w:val="18"/>
          <w:szCs w:val="18"/>
        </w:rPr>
        <w:t>ля малих підприємств – фінансовий результат від операційної діяльності до відрахування амортизації за даними форм</w:t>
      </w:r>
      <w:r>
        <w:rPr>
          <w:sz w:val="18"/>
          <w:szCs w:val="18"/>
        </w:rPr>
        <w:t>и</w:t>
      </w:r>
      <w:r w:rsidRPr="001520DF">
        <w:rPr>
          <w:sz w:val="18"/>
          <w:szCs w:val="18"/>
        </w:rPr>
        <w:t xml:space="preserve"> 2 “Звіт про фінансові результати” р. 2000 - р. 2050 + р. 2120 - р. 2180 гр. 3 + амортизація </w:t>
      </w:r>
      <w:r>
        <w:rPr>
          <w:sz w:val="18"/>
          <w:szCs w:val="18"/>
        </w:rPr>
        <w:t>[</w:t>
      </w:r>
      <w:r w:rsidRPr="001520DF">
        <w:rPr>
          <w:sz w:val="18"/>
          <w:szCs w:val="18"/>
        </w:rPr>
        <w:t xml:space="preserve">за наявності даних у розшифровках, </w:t>
      </w:r>
      <w:r>
        <w:rPr>
          <w:sz w:val="18"/>
          <w:szCs w:val="18"/>
        </w:rPr>
        <w:t>якщо немає</w:t>
      </w:r>
      <w:r w:rsidRPr="001520DF">
        <w:rPr>
          <w:sz w:val="18"/>
          <w:szCs w:val="18"/>
        </w:rPr>
        <w:t xml:space="preserve"> – за розрахунком: р. 1012 гр. 4 - 1012 гр. 3 </w:t>
      </w:r>
      <w:r>
        <w:rPr>
          <w:sz w:val="18"/>
          <w:szCs w:val="18"/>
        </w:rPr>
        <w:t>(</w:t>
      </w:r>
      <w:r w:rsidRPr="001520DF">
        <w:rPr>
          <w:sz w:val="18"/>
          <w:szCs w:val="18"/>
        </w:rPr>
        <w:t>не менше “0”</w:t>
      </w:r>
      <w:r>
        <w:rPr>
          <w:sz w:val="18"/>
          <w:szCs w:val="18"/>
        </w:rPr>
        <w:t>)</w:t>
      </w:r>
      <w:r w:rsidRPr="001520DF">
        <w:rPr>
          <w:sz w:val="18"/>
          <w:szCs w:val="18"/>
        </w:rPr>
        <w:t>].</w:t>
      </w:r>
    </w:p>
    <w:p w14:paraId="29CFBEC6" w14:textId="77777777" w:rsidR="000F2428" w:rsidRPr="001520DF" w:rsidRDefault="000F2428" w:rsidP="00565C3D">
      <w:pPr>
        <w:pStyle w:val="af7"/>
        <w:rPr>
          <w:sz w:val="18"/>
          <w:szCs w:val="18"/>
        </w:rPr>
      </w:pPr>
    </w:p>
  </w:footnote>
  <w:footnote w:id="3">
    <w:p w14:paraId="21D68434" w14:textId="77777777" w:rsidR="000F2428" w:rsidRPr="0098642B" w:rsidRDefault="000F2428" w:rsidP="00565C3D">
      <w:pPr>
        <w:shd w:val="clear" w:color="auto" w:fill="FFFFFF"/>
        <w:rPr>
          <w:sz w:val="24"/>
          <w:szCs w:val="24"/>
        </w:rPr>
      </w:pPr>
      <w:r w:rsidRPr="007E0E0A">
        <w:rPr>
          <w:rStyle w:val="aff2"/>
          <w:sz w:val="18"/>
          <w:szCs w:val="18"/>
        </w:rPr>
        <w:footnoteRef/>
      </w:r>
      <w:r w:rsidRPr="0068520B">
        <w:rPr>
          <w:rStyle w:val="aff2"/>
          <w:sz w:val="18"/>
          <w:szCs w:val="18"/>
        </w:rPr>
        <w:t xml:space="preserve"> </w:t>
      </w:r>
      <w:r w:rsidRPr="0098642B">
        <w:rPr>
          <w:color w:val="333333"/>
          <w:sz w:val="24"/>
          <w:szCs w:val="24"/>
        </w:rPr>
        <w:t>Маржа за EBIT розраховується за даними квартальної (річної) фінансової звітності за формулою [(ф. 2 (р. 2190 – р. 2195 гр. 3) / (р. 2000)].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212218"/>
      <w:docPartObj>
        <w:docPartGallery w:val="Page Numbers (Top of Page)"/>
        <w:docPartUnique/>
      </w:docPartObj>
    </w:sdtPr>
    <w:sdtEndPr/>
    <w:sdtContent>
      <w:p w14:paraId="4601AC52" w14:textId="624160FF" w:rsidR="000F2428" w:rsidRDefault="000F2428">
        <w:pPr>
          <w:pStyle w:val="a5"/>
          <w:jc w:val="center"/>
        </w:pPr>
        <w:r w:rsidRPr="007008D6">
          <w:fldChar w:fldCharType="begin"/>
        </w:r>
        <w:r w:rsidRPr="007008D6">
          <w:instrText xml:space="preserve"> PAGE   \* MERGEFORMAT </w:instrText>
        </w:r>
        <w:r w:rsidRPr="007008D6">
          <w:fldChar w:fldCharType="separate"/>
        </w:r>
        <w:r w:rsidR="00C87B80">
          <w:rPr>
            <w:noProof/>
          </w:rPr>
          <w:t>2</w:t>
        </w:r>
        <w:r w:rsidRPr="007008D6">
          <w:fldChar w:fldCharType="end"/>
        </w:r>
      </w:p>
      <w:p w14:paraId="493CB069" w14:textId="77777777" w:rsidR="000F2428" w:rsidRDefault="0052636F">
        <w:pPr>
          <w:pStyle w:val="a5"/>
          <w:jc w:val="cente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0866600"/>
      <w:docPartObj>
        <w:docPartGallery w:val="Page Numbers (Top of Page)"/>
        <w:docPartUnique/>
      </w:docPartObj>
    </w:sdtPr>
    <w:sdtEndPr/>
    <w:sdtContent>
      <w:p w14:paraId="540366CB" w14:textId="3FDCD3FE" w:rsidR="000F2428" w:rsidRDefault="000F2428" w:rsidP="00104B37">
        <w:pPr>
          <w:pStyle w:val="a5"/>
          <w:ind w:firstLine="4253"/>
          <w:jc w:val="center"/>
        </w:pPr>
        <w:r w:rsidRPr="007008D6">
          <w:fldChar w:fldCharType="begin"/>
        </w:r>
        <w:r w:rsidRPr="007008D6">
          <w:instrText xml:space="preserve"> PAGE   \* MERGEFORMAT </w:instrText>
        </w:r>
        <w:r w:rsidRPr="007008D6">
          <w:fldChar w:fldCharType="separate"/>
        </w:r>
        <w:r w:rsidR="00C87B80">
          <w:rPr>
            <w:noProof/>
          </w:rPr>
          <w:t>19</w:t>
        </w:r>
        <w:r w:rsidRPr="007008D6">
          <w:fldChar w:fldCharType="end"/>
        </w:r>
        <w:r>
          <w:t xml:space="preserve">                           Продовження додатка 1</w:t>
        </w:r>
      </w:p>
    </w:sdtContent>
  </w:sdt>
  <w:p w14:paraId="06186385" w14:textId="77777777" w:rsidR="000F2428" w:rsidRDefault="000F242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8DACB" w14:textId="77777777" w:rsidR="000F2428" w:rsidRDefault="000F242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23EF"/>
    <w:multiLevelType w:val="hybridMultilevel"/>
    <w:tmpl w:val="DF988358"/>
    <w:lvl w:ilvl="0" w:tplc="057CCBD2">
      <w:start w:val="1"/>
      <w:numFmt w:val="decimal"/>
      <w:lvlText w:val="%1."/>
      <w:lvlJc w:val="left"/>
      <w:pPr>
        <w:ind w:left="1069" w:hanging="360"/>
      </w:pPr>
      <w:rPr>
        <w:rFonts w:cs="Times New Roman" w:hint="default"/>
        <w:sz w:val="28"/>
        <w:szCs w:val="28"/>
      </w:rPr>
    </w:lvl>
    <w:lvl w:ilvl="1" w:tplc="04220019" w:tentative="1">
      <w:start w:val="1"/>
      <w:numFmt w:val="lowerLetter"/>
      <w:lvlText w:val="%2."/>
      <w:lvlJc w:val="left"/>
      <w:pPr>
        <w:ind w:left="1298" w:hanging="360"/>
      </w:pPr>
      <w:rPr>
        <w:rFonts w:cs="Times New Roman"/>
      </w:rPr>
    </w:lvl>
    <w:lvl w:ilvl="2" w:tplc="0422001B" w:tentative="1">
      <w:start w:val="1"/>
      <w:numFmt w:val="lowerRoman"/>
      <w:lvlText w:val="%3."/>
      <w:lvlJc w:val="right"/>
      <w:pPr>
        <w:ind w:left="2018" w:hanging="180"/>
      </w:pPr>
      <w:rPr>
        <w:rFonts w:cs="Times New Roman"/>
      </w:rPr>
    </w:lvl>
    <w:lvl w:ilvl="3" w:tplc="0422000F" w:tentative="1">
      <w:start w:val="1"/>
      <w:numFmt w:val="decimal"/>
      <w:lvlText w:val="%4."/>
      <w:lvlJc w:val="left"/>
      <w:pPr>
        <w:ind w:left="2738" w:hanging="360"/>
      </w:pPr>
      <w:rPr>
        <w:rFonts w:cs="Times New Roman"/>
      </w:rPr>
    </w:lvl>
    <w:lvl w:ilvl="4" w:tplc="04220019" w:tentative="1">
      <w:start w:val="1"/>
      <w:numFmt w:val="lowerLetter"/>
      <w:lvlText w:val="%5."/>
      <w:lvlJc w:val="left"/>
      <w:pPr>
        <w:ind w:left="3458" w:hanging="360"/>
      </w:pPr>
      <w:rPr>
        <w:rFonts w:cs="Times New Roman"/>
      </w:rPr>
    </w:lvl>
    <w:lvl w:ilvl="5" w:tplc="0422001B" w:tentative="1">
      <w:start w:val="1"/>
      <w:numFmt w:val="lowerRoman"/>
      <w:lvlText w:val="%6."/>
      <w:lvlJc w:val="right"/>
      <w:pPr>
        <w:ind w:left="4178" w:hanging="180"/>
      </w:pPr>
      <w:rPr>
        <w:rFonts w:cs="Times New Roman"/>
      </w:rPr>
    </w:lvl>
    <w:lvl w:ilvl="6" w:tplc="0422000F" w:tentative="1">
      <w:start w:val="1"/>
      <w:numFmt w:val="decimal"/>
      <w:lvlText w:val="%7."/>
      <w:lvlJc w:val="left"/>
      <w:pPr>
        <w:ind w:left="4898" w:hanging="360"/>
      </w:pPr>
      <w:rPr>
        <w:rFonts w:cs="Times New Roman"/>
      </w:rPr>
    </w:lvl>
    <w:lvl w:ilvl="7" w:tplc="04220019" w:tentative="1">
      <w:start w:val="1"/>
      <w:numFmt w:val="lowerLetter"/>
      <w:lvlText w:val="%8."/>
      <w:lvlJc w:val="left"/>
      <w:pPr>
        <w:ind w:left="5618" w:hanging="360"/>
      </w:pPr>
      <w:rPr>
        <w:rFonts w:cs="Times New Roman"/>
      </w:rPr>
    </w:lvl>
    <w:lvl w:ilvl="8" w:tplc="0422001B" w:tentative="1">
      <w:start w:val="1"/>
      <w:numFmt w:val="lowerRoman"/>
      <w:lvlText w:val="%9."/>
      <w:lvlJc w:val="right"/>
      <w:pPr>
        <w:ind w:left="6338" w:hanging="180"/>
      </w:pPr>
      <w:rPr>
        <w:rFonts w:cs="Times New Roman"/>
      </w:rPr>
    </w:lvl>
  </w:abstractNum>
  <w:abstractNum w:abstractNumId="1" w15:restartNumberingAfterBreak="0">
    <w:nsid w:val="04195D8B"/>
    <w:multiLevelType w:val="hybridMultilevel"/>
    <w:tmpl w:val="776AC288"/>
    <w:lvl w:ilvl="0" w:tplc="DC6E011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4BD041D"/>
    <w:multiLevelType w:val="hybridMultilevel"/>
    <w:tmpl w:val="75F25A10"/>
    <w:lvl w:ilvl="0" w:tplc="C6D4340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056804E0"/>
    <w:multiLevelType w:val="hybridMultilevel"/>
    <w:tmpl w:val="AA921D4E"/>
    <w:lvl w:ilvl="0" w:tplc="B6A458A6">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4" w15:restartNumberingAfterBreak="0">
    <w:nsid w:val="0717227C"/>
    <w:multiLevelType w:val="hybridMultilevel"/>
    <w:tmpl w:val="0388C014"/>
    <w:lvl w:ilvl="0" w:tplc="0CB2636C">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81D72ED"/>
    <w:multiLevelType w:val="hybridMultilevel"/>
    <w:tmpl w:val="15C0D398"/>
    <w:lvl w:ilvl="0" w:tplc="DBA4B0EE">
      <w:start w:val="1"/>
      <w:numFmt w:val="decimal"/>
      <w:lvlText w:val="%1)"/>
      <w:lvlJc w:val="left"/>
      <w:pPr>
        <w:ind w:left="999" w:hanging="432"/>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09A81994"/>
    <w:multiLevelType w:val="hybridMultilevel"/>
    <w:tmpl w:val="8242C78E"/>
    <w:lvl w:ilvl="0" w:tplc="04220013">
      <w:start w:val="1"/>
      <w:numFmt w:val="upperRoman"/>
      <w:lvlText w:val="%1."/>
      <w:lvlJc w:val="righ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0F5905DD"/>
    <w:multiLevelType w:val="hybridMultilevel"/>
    <w:tmpl w:val="4008ECA2"/>
    <w:lvl w:ilvl="0" w:tplc="0422000F">
      <w:start w:val="1"/>
      <w:numFmt w:val="decimal"/>
      <w:lvlText w:val="%1."/>
      <w:lvlJc w:val="left"/>
      <w:pPr>
        <w:ind w:left="3905"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8" w15:restartNumberingAfterBreak="0">
    <w:nsid w:val="12184D71"/>
    <w:multiLevelType w:val="hybridMultilevel"/>
    <w:tmpl w:val="3F109C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15:restartNumberingAfterBreak="0">
    <w:nsid w:val="12D94C23"/>
    <w:multiLevelType w:val="hybridMultilevel"/>
    <w:tmpl w:val="B2BA002A"/>
    <w:lvl w:ilvl="0" w:tplc="17FC80E0">
      <w:start w:val="1"/>
      <w:numFmt w:val="decimal"/>
      <w:lvlText w:val="%1)"/>
      <w:lvlJc w:val="left"/>
      <w:pPr>
        <w:ind w:left="1353" w:hanging="360"/>
      </w:pPr>
      <w:rPr>
        <w:rFonts w:cs="Times New Roman"/>
      </w:rPr>
    </w:lvl>
    <w:lvl w:ilvl="1" w:tplc="04220019">
      <w:start w:val="1"/>
      <w:numFmt w:val="lowerLetter"/>
      <w:lvlText w:val="%2."/>
      <w:lvlJc w:val="left"/>
      <w:pPr>
        <w:ind w:left="2781" w:hanging="360"/>
      </w:pPr>
      <w:rPr>
        <w:rFonts w:cs="Times New Roman"/>
      </w:rPr>
    </w:lvl>
    <w:lvl w:ilvl="2" w:tplc="0422001B">
      <w:start w:val="1"/>
      <w:numFmt w:val="lowerRoman"/>
      <w:lvlText w:val="%3."/>
      <w:lvlJc w:val="right"/>
      <w:pPr>
        <w:ind w:left="3501" w:hanging="180"/>
      </w:pPr>
      <w:rPr>
        <w:rFonts w:cs="Times New Roman"/>
      </w:rPr>
    </w:lvl>
    <w:lvl w:ilvl="3" w:tplc="0422000F">
      <w:start w:val="1"/>
      <w:numFmt w:val="decimal"/>
      <w:lvlText w:val="%4."/>
      <w:lvlJc w:val="left"/>
      <w:pPr>
        <w:ind w:left="4221" w:hanging="360"/>
      </w:pPr>
      <w:rPr>
        <w:rFonts w:cs="Times New Roman"/>
      </w:rPr>
    </w:lvl>
    <w:lvl w:ilvl="4" w:tplc="04220019">
      <w:start w:val="1"/>
      <w:numFmt w:val="lowerLetter"/>
      <w:lvlText w:val="%5."/>
      <w:lvlJc w:val="left"/>
      <w:pPr>
        <w:ind w:left="4941" w:hanging="360"/>
      </w:pPr>
      <w:rPr>
        <w:rFonts w:cs="Times New Roman"/>
      </w:rPr>
    </w:lvl>
    <w:lvl w:ilvl="5" w:tplc="0422001B">
      <w:start w:val="1"/>
      <w:numFmt w:val="lowerRoman"/>
      <w:lvlText w:val="%6."/>
      <w:lvlJc w:val="right"/>
      <w:pPr>
        <w:ind w:left="5661" w:hanging="180"/>
      </w:pPr>
      <w:rPr>
        <w:rFonts w:cs="Times New Roman"/>
      </w:rPr>
    </w:lvl>
    <w:lvl w:ilvl="6" w:tplc="0422000F">
      <w:start w:val="1"/>
      <w:numFmt w:val="decimal"/>
      <w:lvlText w:val="%7."/>
      <w:lvlJc w:val="left"/>
      <w:pPr>
        <w:ind w:left="6381" w:hanging="360"/>
      </w:pPr>
      <w:rPr>
        <w:rFonts w:cs="Times New Roman"/>
      </w:rPr>
    </w:lvl>
    <w:lvl w:ilvl="7" w:tplc="04220019">
      <w:start w:val="1"/>
      <w:numFmt w:val="lowerLetter"/>
      <w:lvlText w:val="%8."/>
      <w:lvlJc w:val="left"/>
      <w:pPr>
        <w:ind w:left="7101" w:hanging="360"/>
      </w:pPr>
      <w:rPr>
        <w:rFonts w:cs="Times New Roman"/>
      </w:rPr>
    </w:lvl>
    <w:lvl w:ilvl="8" w:tplc="0422001B">
      <w:start w:val="1"/>
      <w:numFmt w:val="lowerRoman"/>
      <w:lvlText w:val="%9."/>
      <w:lvlJc w:val="right"/>
      <w:pPr>
        <w:ind w:left="7821" w:hanging="180"/>
      </w:pPr>
      <w:rPr>
        <w:rFonts w:cs="Times New Roman"/>
      </w:rPr>
    </w:lvl>
  </w:abstractNum>
  <w:abstractNum w:abstractNumId="10" w15:restartNumberingAfterBreak="0">
    <w:nsid w:val="137A67E6"/>
    <w:multiLevelType w:val="hybridMultilevel"/>
    <w:tmpl w:val="FB78C982"/>
    <w:lvl w:ilvl="0" w:tplc="EB62A66C">
      <w:start w:val="1"/>
      <w:numFmt w:val="decimal"/>
      <w:lvlText w:val="%1)"/>
      <w:lvlJc w:val="left"/>
      <w:pPr>
        <w:ind w:left="927" w:hanging="360"/>
      </w:pPr>
      <w:rPr>
        <w:rFonts w:cs="Times New Roman"/>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11" w15:restartNumberingAfterBreak="0">
    <w:nsid w:val="16AC6953"/>
    <w:multiLevelType w:val="hybridMultilevel"/>
    <w:tmpl w:val="A4501662"/>
    <w:lvl w:ilvl="0" w:tplc="41CA4D2A">
      <w:start w:val="1"/>
      <w:numFmt w:val="decimal"/>
      <w:lvlText w:val="%1."/>
      <w:lvlJc w:val="left"/>
      <w:pPr>
        <w:ind w:left="1069" w:hanging="360"/>
      </w:pPr>
      <w:rPr>
        <w:rFonts w:eastAsiaTheme="minorEastAsia" w:hint="default"/>
        <w:color w:val="000000" w:themeColor="text1"/>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171239C8"/>
    <w:multiLevelType w:val="hybridMultilevel"/>
    <w:tmpl w:val="CA42BD90"/>
    <w:lvl w:ilvl="0" w:tplc="FC329414">
      <w:start w:val="19"/>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7DD1EE0"/>
    <w:multiLevelType w:val="hybridMultilevel"/>
    <w:tmpl w:val="5412BD4E"/>
    <w:lvl w:ilvl="0" w:tplc="0422000F">
      <w:start w:val="1"/>
      <w:numFmt w:val="decimal"/>
      <w:lvlText w:val="%1."/>
      <w:lvlJc w:val="left"/>
      <w:pPr>
        <w:ind w:left="3621" w:hanging="360"/>
      </w:pPr>
    </w:lvl>
    <w:lvl w:ilvl="1" w:tplc="64767EEE">
      <w:start w:val="1"/>
      <w:numFmt w:val="decimal"/>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14" w15:restartNumberingAfterBreak="0">
    <w:nsid w:val="180E0614"/>
    <w:multiLevelType w:val="hybridMultilevel"/>
    <w:tmpl w:val="A52027CE"/>
    <w:lvl w:ilvl="0" w:tplc="04220011">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5" w15:restartNumberingAfterBreak="0">
    <w:nsid w:val="18231D7F"/>
    <w:multiLevelType w:val="hybridMultilevel"/>
    <w:tmpl w:val="5CA802EE"/>
    <w:lvl w:ilvl="0" w:tplc="B6A458A6">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6" w15:restartNumberingAfterBreak="0">
    <w:nsid w:val="18302332"/>
    <w:multiLevelType w:val="hybridMultilevel"/>
    <w:tmpl w:val="2B30271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190162B6"/>
    <w:multiLevelType w:val="hybridMultilevel"/>
    <w:tmpl w:val="16DC79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19934916"/>
    <w:multiLevelType w:val="hybridMultilevel"/>
    <w:tmpl w:val="CCF095C6"/>
    <w:lvl w:ilvl="0" w:tplc="04220011">
      <w:start w:val="1"/>
      <w:numFmt w:val="decimal"/>
      <w:lvlText w:val="%1)"/>
      <w:lvlJc w:val="left"/>
      <w:pPr>
        <w:ind w:left="360" w:hanging="360"/>
      </w:pPr>
      <w:rPr>
        <w:rFonts w:cs="Times New Roman"/>
      </w:rPr>
    </w:lvl>
    <w:lvl w:ilvl="1" w:tplc="04220001">
      <w:start w:val="1"/>
      <w:numFmt w:val="bullet"/>
      <w:lvlText w:val=""/>
      <w:lvlJc w:val="left"/>
      <w:pPr>
        <w:ind w:left="1080" w:hanging="360"/>
      </w:pPr>
      <w:rPr>
        <w:rFonts w:ascii="Symbol" w:hAnsi="Symbol" w:hint="default"/>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9" w15:restartNumberingAfterBreak="0">
    <w:nsid w:val="1AC36867"/>
    <w:multiLevelType w:val="hybridMultilevel"/>
    <w:tmpl w:val="C4EC2990"/>
    <w:lvl w:ilvl="0" w:tplc="A78E9BC8">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1D01604C"/>
    <w:multiLevelType w:val="hybridMultilevel"/>
    <w:tmpl w:val="05643A58"/>
    <w:lvl w:ilvl="0" w:tplc="04220011">
      <w:start w:val="1"/>
      <w:numFmt w:val="decimal"/>
      <w:lvlText w:val="%1)"/>
      <w:lvlJc w:val="left"/>
      <w:pPr>
        <w:ind w:left="1069" w:hanging="360"/>
      </w:pPr>
      <w:rPr>
        <w:rFonts w:cs="Times New Roman"/>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1" w15:restartNumberingAfterBreak="0">
    <w:nsid w:val="1D7D0122"/>
    <w:multiLevelType w:val="hybridMultilevel"/>
    <w:tmpl w:val="2BEEBB9E"/>
    <w:lvl w:ilvl="0" w:tplc="DC6E0118">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2" w15:restartNumberingAfterBreak="0">
    <w:nsid w:val="1E13662F"/>
    <w:multiLevelType w:val="hybridMultilevel"/>
    <w:tmpl w:val="D0D2C982"/>
    <w:lvl w:ilvl="0" w:tplc="C54CAAD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15:restartNumberingAfterBreak="0">
    <w:nsid w:val="20CA2AC8"/>
    <w:multiLevelType w:val="hybridMultilevel"/>
    <w:tmpl w:val="9962B80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24086CF1"/>
    <w:multiLevelType w:val="hybridMultilevel"/>
    <w:tmpl w:val="754C3E32"/>
    <w:lvl w:ilvl="0" w:tplc="39BE8C64">
      <w:start w:val="18"/>
      <w:numFmt w:val="decimal"/>
      <w:lvlText w:val="%1."/>
      <w:lvlJc w:val="left"/>
      <w:pPr>
        <w:ind w:left="1495" w:hanging="360"/>
      </w:pPr>
      <w:rPr>
        <w:rFonts w:cs="Times New Roman" w:hint="default"/>
      </w:rPr>
    </w:lvl>
    <w:lvl w:ilvl="1" w:tplc="04220019" w:tentative="1">
      <w:start w:val="1"/>
      <w:numFmt w:val="lowerLetter"/>
      <w:lvlText w:val="%2."/>
      <w:lvlJc w:val="left"/>
      <w:pPr>
        <w:ind w:left="1495" w:hanging="360"/>
      </w:pPr>
    </w:lvl>
    <w:lvl w:ilvl="2" w:tplc="0422001B" w:tentative="1">
      <w:start w:val="1"/>
      <w:numFmt w:val="lowerRoman"/>
      <w:lvlText w:val="%3."/>
      <w:lvlJc w:val="right"/>
      <w:pPr>
        <w:ind w:left="2215" w:hanging="180"/>
      </w:pPr>
    </w:lvl>
    <w:lvl w:ilvl="3" w:tplc="0422000F" w:tentative="1">
      <w:start w:val="1"/>
      <w:numFmt w:val="decimal"/>
      <w:lvlText w:val="%4."/>
      <w:lvlJc w:val="left"/>
      <w:pPr>
        <w:ind w:left="2935" w:hanging="360"/>
      </w:pPr>
    </w:lvl>
    <w:lvl w:ilvl="4" w:tplc="04220019" w:tentative="1">
      <w:start w:val="1"/>
      <w:numFmt w:val="lowerLetter"/>
      <w:lvlText w:val="%5."/>
      <w:lvlJc w:val="left"/>
      <w:pPr>
        <w:ind w:left="3655" w:hanging="360"/>
      </w:pPr>
    </w:lvl>
    <w:lvl w:ilvl="5" w:tplc="0422001B" w:tentative="1">
      <w:start w:val="1"/>
      <w:numFmt w:val="lowerRoman"/>
      <w:lvlText w:val="%6."/>
      <w:lvlJc w:val="right"/>
      <w:pPr>
        <w:ind w:left="4375" w:hanging="180"/>
      </w:pPr>
    </w:lvl>
    <w:lvl w:ilvl="6" w:tplc="0422000F" w:tentative="1">
      <w:start w:val="1"/>
      <w:numFmt w:val="decimal"/>
      <w:lvlText w:val="%7."/>
      <w:lvlJc w:val="left"/>
      <w:pPr>
        <w:ind w:left="5095" w:hanging="360"/>
      </w:pPr>
    </w:lvl>
    <w:lvl w:ilvl="7" w:tplc="04220019" w:tentative="1">
      <w:start w:val="1"/>
      <w:numFmt w:val="lowerLetter"/>
      <w:lvlText w:val="%8."/>
      <w:lvlJc w:val="left"/>
      <w:pPr>
        <w:ind w:left="5815" w:hanging="360"/>
      </w:pPr>
    </w:lvl>
    <w:lvl w:ilvl="8" w:tplc="0422001B" w:tentative="1">
      <w:start w:val="1"/>
      <w:numFmt w:val="lowerRoman"/>
      <w:lvlText w:val="%9."/>
      <w:lvlJc w:val="right"/>
      <w:pPr>
        <w:ind w:left="6535" w:hanging="180"/>
      </w:pPr>
    </w:lvl>
  </w:abstractNum>
  <w:abstractNum w:abstractNumId="25" w15:restartNumberingAfterBreak="0">
    <w:nsid w:val="24156B89"/>
    <w:multiLevelType w:val="hybridMultilevel"/>
    <w:tmpl w:val="5CA802EE"/>
    <w:lvl w:ilvl="0" w:tplc="B6A458A6">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26" w15:restartNumberingAfterBreak="0">
    <w:nsid w:val="241574DD"/>
    <w:multiLevelType w:val="hybridMultilevel"/>
    <w:tmpl w:val="25F465B2"/>
    <w:lvl w:ilvl="0" w:tplc="6D7A52C8">
      <w:start w:val="19"/>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24772E7D"/>
    <w:multiLevelType w:val="hybridMultilevel"/>
    <w:tmpl w:val="92C2B78A"/>
    <w:lvl w:ilvl="0" w:tplc="A1827D84">
      <w:start w:val="1"/>
      <w:numFmt w:val="decimal"/>
      <w:lvlText w:val="%1)"/>
      <w:lvlJc w:val="left"/>
      <w:pPr>
        <w:ind w:left="1080" w:hanging="360"/>
      </w:pPr>
      <w:rPr>
        <w:rFonts w:cs="Times New Roman"/>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28" w15:restartNumberingAfterBreak="0">
    <w:nsid w:val="261F2D20"/>
    <w:multiLevelType w:val="hybridMultilevel"/>
    <w:tmpl w:val="9018550C"/>
    <w:lvl w:ilvl="0" w:tplc="0422000F">
      <w:start w:val="1"/>
      <w:numFmt w:val="decimal"/>
      <w:lvlText w:val="%1."/>
      <w:lvlJc w:val="left"/>
      <w:pPr>
        <w:ind w:left="1070" w:hanging="360"/>
      </w:pPr>
    </w:lvl>
    <w:lvl w:ilvl="1" w:tplc="64767EEE">
      <w:start w:val="1"/>
      <w:numFmt w:val="decimal"/>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29" w15:restartNumberingAfterBreak="0">
    <w:nsid w:val="28BA32FF"/>
    <w:multiLevelType w:val="hybridMultilevel"/>
    <w:tmpl w:val="41C485CC"/>
    <w:lvl w:ilvl="0" w:tplc="21C294A6">
      <w:start w:val="17"/>
      <w:numFmt w:val="decimal"/>
      <w:lvlText w:val="%1."/>
      <w:lvlJc w:val="left"/>
      <w:pPr>
        <w:ind w:left="144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29085B76"/>
    <w:multiLevelType w:val="hybridMultilevel"/>
    <w:tmpl w:val="1EC86694"/>
    <w:lvl w:ilvl="0" w:tplc="F788C50E">
      <w:start w:val="2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C3E0043"/>
    <w:multiLevelType w:val="hybridMultilevel"/>
    <w:tmpl w:val="5C78D24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2CCB1904"/>
    <w:multiLevelType w:val="hybridMultilevel"/>
    <w:tmpl w:val="A5D6A0A0"/>
    <w:lvl w:ilvl="0" w:tplc="C9DA656C">
      <w:start w:val="3"/>
      <w:numFmt w:val="decimal"/>
      <w:lvlText w:val="%1)"/>
      <w:lvlJc w:val="left"/>
      <w:pPr>
        <w:ind w:left="999" w:hanging="432"/>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32DA150A"/>
    <w:multiLevelType w:val="hybridMultilevel"/>
    <w:tmpl w:val="AAF64C8E"/>
    <w:lvl w:ilvl="0" w:tplc="04220011">
      <w:start w:val="1"/>
      <w:numFmt w:val="decimal"/>
      <w:lvlText w:val="%1)"/>
      <w:lvlJc w:val="left"/>
      <w:pPr>
        <w:ind w:left="1440" w:hanging="360"/>
      </w:pPr>
      <w:rPr>
        <w:rFonts w:cs="Times New Roman"/>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34" w15:restartNumberingAfterBreak="0">
    <w:nsid w:val="35425679"/>
    <w:multiLevelType w:val="hybridMultilevel"/>
    <w:tmpl w:val="A972E8F6"/>
    <w:lvl w:ilvl="0" w:tplc="B5FE6A10">
      <w:numFmt w:val="bullet"/>
      <w:lvlText w:val="-"/>
      <w:lvlJc w:val="left"/>
      <w:pPr>
        <w:ind w:left="720" w:hanging="360"/>
      </w:pPr>
      <w:rPr>
        <w:rFonts w:ascii="Calibri" w:eastAsia="Times New Roman" w:hAnsi="Calibri" w:cs="Calibri" w:hint="default"/>
      </w:rPr>
    </w:lvl>
    <w:lvl w:ilvl="1" w:tplc="C0CCC90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6EE0FE9"/>
    <w:multiLevelType w:val="hybridMultilevel"/>
    <w:tmpl w:val="187CC218"/>
    <w:lvl w:ilvl="0" w:tplc="541AF4BC">
      <w:start w:val="4"/>
      <w:numFmt w:val="decimal"/>
      <w:lvlText w:val="%1."/>
      <w:lvlJc w:val="left"/>
      <w:pPr>
        <w:ind w:left="1068"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39745796"/>
    <w:multiLevelType w:val="hybridMultilevel"/>
    <w:tmpl w:val="D44AD2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7" w15:restartNumberingAfterBreak="0">
    <w:nsid w:val="3A6E5BB6"/>
    <w:multiLevelType w:val="hybridMultilevel"/>
    <w:tmpl w:val="2F1A7D00"/>
    <w:lvl w:ilvl="0" w:tplc="04220011">
      <w:start w:val="1"/>
      <w:numFmt w:val="decimal"/>
      <w:lvlText w:val="%1)"/>
      <w:lvlJc w:val="left"/>
      <w:pPr>
        <w:ind w:left="1804" w:hanging="360"/>
      </w:pPr>
    </w:lvl>
    <w:lvl w:ilvl="1" w:tplc="04220019">
      <w:start w:val="1"/>
      <w:numFmt w:val="lowerLetter"/>
      <w:lvlText w:val="%2."/>
      <w:lvlJc w:val="left"/>
      <w:pPr>
        <w:ind w:left="2524" w:hanging="360"/>
      </w:pPr>
    </w:lvl>
    <w:lvl w:ilvl="2" w:tplc="0422001B">
      <w:start w:val="1"/>
      <w:numFmt w:val="lowerRoman"/>
      <w:lvlText w:val="%3."/>
      <w:lvlJc w:val="right"/>
      <w:pPr>
        <w:ind w:left="3244" w:hanging="180"/>
      </w:pPr>
    </w:lvl>
    <w:lvl w:ilvl="3" w:tplc="0422000F">
      <w:start w:val="1"/>
      <w:numFmt w:val="decimal"/>
      <w:lvlText w:val="%4."/>
      <w:lvlJc w:val="left"/>
      <w:pPr>
        <w:ind w:left="3964" w:hanging="360"/>
      </w:pPr>
    </w:lvl>
    <w:lvl w:ilvl="4" w:tplc="04220019">
      <w:start w:val="1"/>
      <w:numFmt w:val="lowerLetter"/>
      <w:lvlText w:val="%5."/>
      <w:lvlJc w:val="left"/>
      <w:pPr>
        <w:ind w:left="4684" w:hanging="360"/>
      </w:pPr>
    </w:lvl>
    <w:lvl w:ilvl="5" w:tplc="0422001B">
      <w:start w:val="1"/>
      <w:numFmt w:val="lowerRoman"/>
      <w:lvlText w:val="%6."/>
      <w:lvlJc w:val="right"/>
      <w:pPr>
        <w:ind w:left="5404" w:hanging="180"/>
      </w:pPr>
    </w:lvl>
    <w:lvl w:ilvl="6" w:tplc="0422000F">
      <w:start w:val="1"/>
      <w:numFmt w:val="decimal"/>
      <w:lvlText w:val="%7."/>
      <w:lvlJc w:val="left"/>
      <w:pPr>
        <w:ind w:left="6124" w:hanging="360"/>
      </w:pPr>
    </w:lvl>
    <w:lvl w:ilvl="7" w:tplc="04220019">
      <w:start w:val="1"/>
      <w:numFmt w:val="lowerLetter"/>
      <w:lvlText w:val="%8."/>
      <w:lvlJc w:val="left"/>
      <w:pPr>
        <w:ind w:left="6844" w:hanging="360"/>
      </w:pPr>
    </w:lvl>
    <w:lvl w:ilvl="8" w:tplc="0422001B">
      <w:start w:val="1"/>
      <w:numFmt w:val="lowerRoman"/>
      <w:lvlText w:val="%9."/>
      <w:lvlJc w:val="right"/>
      <w:pPr>
        <w:ind w:left="7564" w:hanging="180"/>
      </w:pPr>
    </w:lvl>
  </w:abstractNum>
  <w:abstractNum w:abstractNumId="38" w15:restartNumberingAfterBreak="0">
    <w:nsid w:val="3C7C2B96"/>
    <w:multiLevelType w:val="hybridMultilevel"/>
    <w:tmpl w:val="048E37F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3CBE0B1F"/>
    <w:multiLevelType w:val="hybridMultilevel"/>
    <w:tmpl w:val="8834B040"/>
    <w:lvl w:ilvl="0" w:tplc="ABA2ED2C">
      <w:start w:val="18"/>
      <w:numFmt w:val="decimal"/>
      <w:lvlText w:val="%1."/>
      <w:lvlJc w:val="left"/>
      <w:pPr>
        <w:ind w:left="144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3D041138"/>
    <w:multiLevelType w:val="hybridMultilevel"/>
    <w:tmpl w:val="7DF6D87E"/>
    <w:lvl w:ilvl="0" w:tplc="9A30A4AA">
      <w:start w:val="4"/>
      <w:numFmt w:val="decimal"/>
      <w:lvlText w:val="%1."/>
      <w:lvlJc w:val="left"/>
      <w:pPr>
        <w:ind w:left="720" w:hanging="360"/>
      </w:pPr>
      <w:rPr>
        <w:rFonts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3D0F16C5"/>
    <w:multiLevelType w:val="hybridMultilevel"/>
    <w:tmpl w:val="5AF2479A"/>
    <w:lvl w:ilvl="0" w:tplc="3E36EAA0">
      <w:start w:val="20"/>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3D8D0F56"/>
    <w:multiLevelType w:val="hybridMultilevel"/>
    <w:tmpl w:val="0388C014"/>
    <w:lvl w:ilvl="0" w:tplc="0CB2636C">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43815D82"/>
    <w:multiLevelType w:val="hybridMultilevel"/>
    <w:tmpl w:val="FEB2A730"/>
    <w:lvl w:ilvl="0" w:tplc="9CF2567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4" w15:restartNumberingAfterBreak="0">
    <w:nsid w:val="43CC2131"/>
    <w:multiLevelType w:val="hybridMultilevel"/>
    <w:tmpl w:val="B9BA9C54"/>
    <w:lvl w:ilvl="0" w:tplc="D602CA6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15:restartNumberingAfterBreak="0">
    <w:nsid w:val="44BC273E"/>
    <w:multiLevelType w:val="hybridMultilevel"/>
    <w:tmpl w:val="7BFE3D18"/>
    <w:lvl w:ilvl="0" w:tplc="04220011">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6" w15:restartNumberingAfterBreak="0">
    <w:nsid w:val="45D248FB"/>
    <w:multiLevelType w:val="hybridMultilevel"/>
    <w:tmpl w:val="EC2617A6"/>
    <w:lvl w:ilvl="0" w:tplc="2F0082CA">
      <w:start w:val="1"/>
      <w:numFmt w:val="decimal"/>
      <w:lvlText w:val="%1)"/>
      <w:lvlJc w:val="left"/>
      <w:pPr>
        <w:ind w:left="1341" w:hanging="915"/>
      </w:pPr>
      <w:rPr>
        <w:rFonts w:cs="Times New Roman"/>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47" w15:restartNumberingAfterBreak="0">
    <w:nsid w:val="46917CE1"/>
    <w:multiLevelType w:val="hybridMultilevel"/>
    <w:tmpl w:val="3300F190"/>
    <w:lvl w:ilvl="0" w:tplc="1598D0DE">
      <w:start w:val="17"/>
      <w:numFmt w:val="decimal"/>
      <w:lvlText w:val="%1."/>
      <w:lvlJc w:val="left"/>
      <w:pPr>
        <w:ind w:left="144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15:restartNumberingAfterBreak="0">
    <w:nsid w:val="48BE6DC4"/>
    <w:multiLevelType w:val="hybridMultilevel"/>
    <w:tmpl w:val="AF0C011C"/>
    <w:lvl w:ilvl="0" w:tplc="94983A9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9" w15:restartNumberingAfterBreak="0">
    <w:nsid w:val="4A3758D2"/>
    <w:multiLevelType w:val="hybridMultilevel"/>
    <w:tmpl w:val="EC16C1C2"/>
    <w:lvl w:ilvl="0" w:tplc="B8948D5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0" w15:restartNumberingAfterBreak="0">
    <w:nsid w:val="4BB47882"/>
    <w:multiLevelType w:val="hybridMultilevel"/>
    <w:tmpl w:val="60A4C7DE"/>
    <w:lvl w:ilvl="0" w:tplc="8716C9E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1" w15:restartNumberingAfterBreak="0">
    <w:nsid w:val="4BF073EB"/>
    <w:multiLevelType w:val="hybridMultilevel"/>
    <w:tmpl w:val="998C325C"/>
    <w:lvl w:ilvl="0" w:tplc="0CB2636C">
      <w:start w:val="1"/>
      <w:numFmt w:val="decimal"/>
      <w:lvlText w:val="%1"/>
      <w:lvlJc w:val="left"/>
      <w:pPr>
        <w:ind w:left="1353" w:hanging="360"/>
      </w:pPr>
      <w:rPr>
        <w:rFonts w:cs="Times New Roman" w:hint="default"/>
      </w:rPr>
    </w:lvl>
    <w:lvl w:ilvl="1" w:tplc="04220019" w:tentative="1">
      <w:start w:val="1"/>
      <w:numFmt w:val="lowerLetter"/>
      <w:lvlText w:val="%2."/>
      <w:lvlJc w:val="left"/>
      <w:pPr>
        <w:ind w:left="1582" w:hanging="360"/>
      </w:pPr>
      <w:rPr>
        <w:rFonts w:cs="Times New Roman"/>
      </w:rPr>
    </w:lvl>
    <w:lvl w:ilvl="2" w:tplc="0422001B" w:tentative="1">
      <w:start w:val="1"/>
      <w:numFmt w:val="lowerRoman"/>
      <w:lvlText w:val="%3."/>
      <w:lvlJc w:val="right"/>
      <w:pPr>
        <w:ind w:left="2302" w:hanging="180"/>
      </w:pPr>
      <w:rPr>
        <w:rFonts w:cs="Times New Roman"/>
      </w:rPr>
    </w:lvl>
    <w:lvl w:ilvl="3" w:tplc="0422000F" w:tentative="1">
      <w:start w:val="1"/>
      <w:numFmt w:val="decimal"/>
      <w:lvlText w:val="%4."/>
      <w:lvlJc w:val="left"/>
      <w:pPr>
        <w:ind w:left="3022" w:hanging="360"/>
      </w:pPr>
      <w:rPr>
        <w:rFonts w:cs="Times New Roman"/>
      </w:rPr>
    </w:lvl>
    <w:lvl w:ilvl="4" w:tplc="04220019" w:tentative="1">
      <w:start w:val="1"/>
      <w:numFmt w:val="lowerLetter"/>
      <w:lvlText w:val="%5."/>
      <w:lvlJc w:val="left"/>
      <w:pPr>
        <w:ind w:left="3742" w:hanging="360"/>
      </w:pPr>
      <w:rPr>
        <w:rFonts w:cs="Times New Roman"/>
      </w:rPr>
    </w:lvl>
    <w:lvl w:ilvl="5" w:tplc="0422001B" w:tentative="1">
      <w:start w:val="1"/>
      <w:numFmt w:val="lowerRoman"/>
      <w:lvlText w:val="%6."/>
      <w:lvlJc w:val="right"/>
      <w:pPr>
        <w:ind w:left="4462" w:hanging="180"/>
      </w:pPr>
      <w:rPr>
        <w:rFonts w:cs="Times New Roman"/>
      </w:rPr>
    </w:lvl>
    <w:lvl w:ilvl="6" w:tplc="0422000F" w:tentative="1">
      <w:start w:val="1"/>
      <w:numFmt w:val="decimal"/>
      <w:lvlText w:val="%7."/>
      <w:lvlJc w:val="left"/>
      <w:pPr>
        <w:ind w:left="5182" w:hanging="360"/>
      </w:pPr>
      <w:rPr>
        <w:rFonts w:cs="Times New Roman"/>
      </w:rPr>
    </w:lvl>
    <w:lvl w:ilvl="7" w:tplc="04220019" w:tentative="1">
      <w:start w:val="1"/>
      <w:numFmt w:val="lowerLetter"/>
      <w:lvlText w:val="%8."/>
      <w:lvlJc w:val="left"/>
      <w:pPr>
        <w:ind w:left="5902" w:hanging="360"/>
      </w:pPr>
      <w:rPr>
        <w:rFonts w:cs="Times New Roman"/>
      </w:rPr>
    </w:lvl>
    <w:lvl w:ilvl="8" w:tplc="0422001B" w:tentative="1">
      <w:start w:val="1"/>
      <w:numFmt w:val="lowerRoman"/>
      <w:lvlText w:val="%9."/>
      <w:lvlJc w:val="right"/>
      <w:pPr>
        <w:ind w:left="6622" w:hanging="180"/>
      </w:pPr>
      <w:rPr>
        <w:rFonts w:cs="Times New Roman"/>
      </w:rPr>
    </w:lvl>
  </w:abstractNum>
  <w:abstractNum w:abstractNumId="52" w15:restartNumberingAfterBreak="0">
    <w:nsid w:val="4C713DEF"/>
    <w:multiLevelType w:val="hybridMultilevel"/>
    <w:tmpl w:val="3FBC84D8"/>
    <w:lvl w:ilvl="0" w:tplc="5AC48DB8">
      <w:start w:val="1"/>
      <w:numFmt w:val="decimal"/>
      <w:lvlText w:val="%1)"/>
      <w:lvlJc w:val="left"/>
      <w:pPr>
        <w:ind w:left="1065" w:hanging="360"/>
      </w:pPr>
      <w:rPr>
        <w:rFonts w:cs="Times New Roman"/>
      </w:rPr>
    </w:lvl>
    <w:lvl w:ilvl="1" w:tplc="04220019">
      <w:start w:val="1"/>
      <w:numFmt w:val="lowerLetter"/>
      <w:lvlText w:val="%2."/>
      <w:lvlJc w:val="left"/>
      <w:pPr>
        <w:ind w:left="1785" w:hanging="360"/>
      </w:pPr>
      <w:rPr>
        <w:rFonts w:cs="Times New Roman"/>
      </w:rPr>
    </w:lvl>
    <w:lvl w:ilvl="2" w:tplc="0422001B">
      <w:start w:val="1"/>
      <w:numFmt w:val="lowerRoman"/>
      <w:lvlText w:val="%3."/>
      <w:lvlJc w:val="right"/>
      <w:pPr>
        <w:ind w:left="2505" w:hanging="180"/>
      </w:pPr>
      <w:rPr>
        <w:rFonts w:cs="Times New Roman"/>
      </w:rPr>
    </w:lvl>
    <w:lvl w:ilvl="3" w:tplc="0422000F">
      <w:start w:val="1"/>
      <w:numFmt w:val="decimal"/>
      <w:lvlText w:val="%4."/>
      <w:lvlJc w:val="left"/>
      <w:pPr>
        <w:ind w:left="3225" w:hanging="360"/>
      </w:pPr>
      <w:rPr>
        <w:rFonts w:cs="Times New Roman"/>
      </w:rPr>
    </w:lvl>
    <w:lvl w:ilvl="4" w:tplc="04220019">
      <w:start w:val="1"/>
      <w:numFmt w:val="lowerLetter"/>
      <w:lvlText w:val="%5."/>
      <w:lvlJc w:val="left"/>
      <w:pPr>
        <w:ind w:left="3945" w:hanging="360"/>
      </w:pPr>
      <w:rPr>
        <w:rFonts w:cs="Times New Roman"/>
      </w:rPr>
    </w:lvl>
    <w:lvl w:ilvl="5" w:tplc="0422001B">
      <w:start w:val="1"/>
      <w:numFmt w:val="lowerRoman"/>
      <w:lvlText w:val="%6."/>
      <w:lvlJc w:val="right"/>
      <w:pPr>
        <w:ind w:left="4665" w:hanging="180"/>
      </w:pPr>
      <w:rPr>
        <w:rFonts w:cs="Times New Roman"/>
      </w:rPr>
    </w:lvl>
    <w:lvl w:ilvl="6" w:tplc="0422000F">
      <w:start w:val="1"/>
      <w:numFmt w:val="decimal"/>
      <w:lvlText w:val="%7."/>
      <w:lvlJc w:val="left"/>
      <w:pPr>
        <w:ind w:left="5385" w:hanging="360"/>
      </w:pPr>
      <w:rPr>
        <w:rFonts w:cs="Times New Roman"/>
      </w:rPr>
    </w:lvl>
    <w:lvl w:ilvl="7" w:tplc="04220019">
      <w:start w:val="1"/>
      <w:numFmt w:val="lowerLetter"/>
      <w:lvlText w:val="%8."/>
      <w:lvlJc w:val="left"/>
      <w:pPr>
        <w:ind w:left="6105" w:hanging="360"/>
      </w:pPr>
      <w:rPr>
        <w:rFonts w:cs="Times New Roman"/>
      </w:rPr>
    </w:lvl>
    <w:lvl w:ilvl="8" w:tplc="0422001B">
      <w:start w:val="1"/>
      <w:numFmt w:val="lowerRoman"/>
      <w:lvlText w:val="%9."/>
      <w:lvlJc w:val="right"/>
      <w:pPr>
        <w:ind w:left="6825" w:hanging="180"/>
      </w:pPr>
      <w:rPr>
        <w:rFonts w:cs="Times New Roman"/>
      </w:rPr>
    </w:lvl>
  </w:abstractNum>
  <w:abstractNum w:abstractNumId="53" w15:restartNumberingAfterBreak="0">
    <w:nsid w:val="4C940FD9"/>
    <w:multiLevelType w:val="hybridMultilevel"/>
    <w:tmpl w:val="D6ECA7FC"/>
    <w:lvl w:ilvl="0" w:tplc="9AE023C6">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54" w15:restartNumberingAfterBreak="0">
    <w:nsid w:val="4E90302E"/>
    <w:multiLevelType w:val="hybridMultilevel"/>
    <w:tmpl w:val="8ADED28E"/>
    <w:lvl w:ilvl="0" w:tplc="DAF8F0E8">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55" w15:restartNumberingAfterBreak="0">
    <w:nsid w:val="51101CF6"/>
    <w:multiLevelType w:val="hybridMultilevel"/>
    <w:tmpl w:val="621AE31A"/>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6" w15:restartNumberingAfterBreak="0">
    <w:nsid w:val="51672CEC"/>
    <w:multiLevelType w:val="hybridMultilevel"/>
    <w:tmpl w:val="22D21F46"/>
    <w:lvl w:ilvl="0" w:tplc="5804F866">
      <w:start w:val="3"/>
      <w:numFmt w:val="upperRoman"/>
      <w:lvlText w:val="%1."/>
      <w:lvlJc w:val="left"/>
      <w:pPr>
        <w:ind w:left="1800" w:hanging="720"/>
      </w:pPr>
      <w:rPr>
        <w:rFonts w:cs="Times New Roman" w:hint="default"/>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57" w15:restartNumberingAfterBreak="0">
    <w:nsid w:val="56401E63"/>
    <w:multiLevelType w:val="hybridMultilevel"/>
    <w:tmpl w:val="E6421E16"/>
    <w:lvl w:ilvl="0" w:tplc="3A1476C6">
      <w:start w:val="1"/>
      <w:numFmt w:val="decimal"/>
      <w:lvlText w:val="%1)"/>
      <w:lvlJc w:val="left"/>
      <w:pPr>
        <w:ind w:left="928"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58" w15:restartNumberingAfterBreak="0">
    <w:nsid w:val="56E251AC"/>
    <w:multiLevelType w:val="hybridMultilevel"/>
    <w:tmpl w:val="F1F84702"/>
    <w:lvl w:ilvl="0" w:tplc="25FEEC74">
      <w:start w:val="18"/>
      <w:numFmt w:val="decimal"/>
      <w:lvlText w:val="%1."/>
      <w:lvlJc w:val="left"/>
      <w:pPr>
        <w:ind w:left="144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5A663B5B"/>
    <w:multiLevelType w:val="hybridMultilevel"/>
    <w:tmpl w:val="96E8CE62"/>
    <w:lvl w:ilvl="0" w:tplc="04220011">
      <w:start w:val="1"/>
      <w:numFmt w:val="decimal"/>
      <w:lvlText w:val="%1)"/>
      <w:lvlJc w:val="left"/>
      <w:pPr>
        <w:ind w:left="1353"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60" w15:restartNumberingAfterBreak="0">
    <w:nsid w:val="5A831531"/>
    <w:multiLevelType w:val="hybridMultilevel"/>
    <w:tmpl w:val="50B8365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1" w15:restartNumberingAfterBreak="0">
    <w:nsid w:val="5ABA49B9"/>
    <w:multiLevelType w:val="hybridMultilevel"/>
    <w:tmpl w:val="BF50EB08"/>
    <w:lvl w:ilvl="0" w:tplc="B0AAF056">
      <w:start w:val="1"/>
      <w:numFmt w:val="decimal"/>
      <w:lvlText w:val="%1)"/>
      <w:lvlJc w:val="left"/>
      <w:pPr>
        <w:ind w:left="1497" w:hanging="930"/>
      </w:pPr>
      <w:rPr>
        <w:rFonts w:cs="Times New Roman"/>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928"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62" w15:restartNumberingAfterBreak="0">
    <w:nsid w:val="5B244FB5"/>
    <w:multiLevelType w:val="hybridMultilevel"/>
    <w:tmpl w:val="BF0EFB3A"/>
    <w:lvl w:ilvl="0" w:tplc="0422000F">
      <w:start w:val="1"/>
      <w:numFmt w:val="decimal"/>
      <w:lvlText w:val="%1."/>
      <w:lvlJc w:val="left"/>
      <w:pPr>
        <w:ind w:left="786" w:hanging="360"/>
      </w:pPr>
    </w:lvl>
    <w:lvl w:ilvl="1" w:tplc="64767EEE">
      <w:start w:val="1"/>
      <w:numFmt w:val="decimal"/>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63" w15:restartNumberingAfterBreak="0">
    <w:nsid w:val="5C17362E"/>
    <w:multiLevelType w:val="hybridMultilevel"/>
    <w:tmpl w:val="D84EB1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4" w15:restartNumberingAfterBreak="0">
    <w:nsid w:val="618D1CB4"/>
    <w:multiLevelType w:val="hybridMultilevel"/>
    <w:tmpl w:val="7DD23DFA"/>
    <w:lvl w:ilvl="0" w:tplc="70C6C9C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5" w15:restartNumberingAfterBreak="0">
    <w:nsid w:val="646E0A9C"/>
    <w:multiLevelType w:val="hybridMultilevel"/>
    <w:tmpl w:val="FAAC3168"/>
    <w:lvl w:ilvl="0" w:tplc="4DC85D6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6" w15:restartNumberingAfterBreak="0">
    <w:nsid w:val="6495696E"/>
    <w:multiLevelType w:val="hybridMultilevel"/>
    <w:tmpl w:val="ECB43B6C"/>
    <w:lvl w:ilvl="0" w:tplc="C0CCC900">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7" w15:restartNumberingAfterBreak="0">
    <w:nsid w:val="69401143"/>
    <w:multiLevelType w:val="hybridMultilevel"/>
    <w:tmpl w:val="2D663182"/>
    <w:lvl w:ilvl="0" w:tplc="99025B5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8" w15:restartNumberingAfterBreak="0">
    <w:nsid w:val="69B17D42"/>
    <w:multiLevelType w:val="hybridMultilevel"/>
    <w:tmpl w:val="28CEC54C"/>
    <w:lvl w:ilvl="0" w:tplc="C0CCC900">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9" w15:restartNumberingAfterBreak="0">
    <w:nsid w:val="6B7B0DC3"/>
    <w:multiLevelType w:val="hybridMultilevel"/>
    <w:tmpl w:val="5CA802EE"/>
    <w:lvl w:ilvl="0" w:tplc="B6A458A6">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70" w15:restartNumberingAfterBreak="0">
    <w:nsid w:val="6F2F3F8D"/>
    <w:multiLevelType w:val="hybridMultilevel"/>
    <w:tmpl w:val="ABF8ED0C"/>
    <w:lvl w:ilvl="0" w:tplc="04220011">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71" w15:restartNumberingAfterBreak="0">
    <w:nsid w:val="70F95ED2"/>
    <w:multiLevelType w:val="hybridMultilevel"/>
    <w:tmpl w:val="BD829DDA"/>
    <w:lvl w:ilvl="0" w:tplc="07A47D2E">
      <w:start w:val="8"/>
      <w:numFmt w:val="bullet"/>
      <w:lvlText w:val="-"/>
      <w:lvlJc w:val="left"/>
      <w:pPr>
        <w:ind w:left="927" w:hanging="360"/>
      </w:pPr>
      <w:rPr>
        <w:rFonts w:ascii="Times New Roman" w:eastAsia="Times New Roman" w:hAnsi="Times New Roman" w:cs="Times New Roman"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72" w15:restartNumberingAfterBreak="0">
    <w:nsid w:val="724B089A"/>
    <w:multiLevelType w:val="hybridMultilevel"/>
    <w:tmpl w:val="2F1A7D00"/>
    <w:lvl w:ilvl="0" w:tplc="04220011">
      <w:start w:val="1"/>
      <w:numFmt w:val="decimal"/>
      <w:lvlText w:val="%1)"/>
      <w:lvlJc w:val="left"/>
      <w:pPr>
        <w:ind w:left="1804" w:hanging="360"/>
      </w:pPr>
    </w:lvl>
    <w:lvl w:ilvl="1" w:tplc="04220019">
      <w:start w:val="1"/>
      <w:numFmt w:val="lowerLetter"/>
      <w:lvlText w:val="%2."/>
      <w:lvlJc w:val="left"/>
      <w:pPr>
        <w:ind w:left="2524" w:hanging="360"/>
      </w:pPr>
    </w:lvl>
    <w:lvl w:ilvl="2" w:tplc="0422001B">
      <w:start w:val="1"/>
      <w:numFmt w:val="lowerRoman"/>
      <w:lvlText w:val="%3."/>
      <w:lvlJc w:val="right"/>
      <w:pPr>
        <w:ind w:left="3244" w:hanging="180"/>
      </w:pPr>
    </w:lvl>
    <w:lvl w:ilvl="3" w:tplc="0422000F">
      <w:start w:val="1"/>
      <w:numFmt w:val="decimal"/>
      <w:lvlText w:val="%4."/>
      <w:lvlJc w:val="left"/>
      <w:pPr>
        <w:ind w:left="3964" w:hanging="360"/>
      </w:pPr>
    </w:lvl>
    <w:lvl w:ilvl="4" w:tplc="04220019">
      <w:start w:val="1"/>
      <w:numFmt w:val="lowerLetter"/>
      <w:lvlText w:val="%5."/>
      <w:lvlJc w:val="left"/>
      <w:pPr>
        <w:ind w:left="4684" w:hanging="360"/>
      </w:pPr>
    </w:lvl>
    <w:lvl w:ilvl="5" w:tplc="0422001B">
      <w:start w:val="1"/>
      <w:numFmt w:val="lowerRoman"/>
      <w:lvlText w:val="%6."/>
      <w:lvlJc w:val="right"/>
      <w:pPr>
        <w:ind w:left="5404" w:hanging="180"/>
      </w:pPr>
    </w:lvl>
    <w:lvl w:ilvl="6" w:tplc="0422000F">
      <w:start w:val="1"/>
      <w:numFmt w:val="decimal"/>
      <w:lvlText w:val="%7."/>
      <w:lvlJc w:val="left"/>
      <w:pPr>
        <w:ind w:left="6124" w:hanging="360"/>
      </w:pPr>
    </w:lvl>
    <w:lvl w:ilvl="7" w:tplc="04220019">
      <w:start w:val="1"/>
      <w:numFmt w:val="lowerLetter"/>
      <w:lvlText w:val="%8."/>
      <w:lvlJc w:val="left"/>
      <w:pPr>
        <w:ind w:left="6844" w:hanging="360"/>
      </w:pPr>
    </w:lvl>
    <w:lvl w:ilvl="8" w:tplc="0422001B">
      <w:start w:val="1"/>
      <w:numFmt w:val="lowerRoman"/>
      <w:lvlText w:val="%9."/>
      <w:lvlJc w:val="right"/>
      <w:pPr>
        <w:ind w:left="7564" w:hanging="180"/>
      </w:pPr>
    </w:lvl>
  </w:abstractNum>
  <w:abstractNum w:abstractNumId="73" w15:restartNumberingAfterBreak="0">
    <w:nsid w:val="75A34235"/>
    <w:multiLevelType w:val="hybridMultilevel"/>
    <w:tmpl w:val="E638A91C"/>
    <w:lvl w:ilvl="0" w:tplc="2A1CE91E">
      <w:start w:val="1"/>
      <w:numFmt w:val="decimal"/>
      <w:lvlText w:val="%1)"/>
      <w:lvlJc w:val="left"/>
      <w:pPr>
        <w:ind w:left="1092" w:hanging="52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4" w15:restartNumberingAfterBreak="0">
    <w:nsid w:val="76A55B71"/>
    <w:multiLevelType w:val="hybridMultilevel"/>
    <w:tmpl w:val="4ACAA294"/>
    <w:lvl w:ilvl="0" w:tplc="88F6BC5C">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C908BE5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vertAlign w:val="baseline"/>
      </w:rPr>
    </w:lvl>
    <w:lvl w:ilvl="2" w:tplc="1424092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vertAlign w:val="baseline"/>
      </w:rPr>
    </w:lvl>
    <w:lvl w:ilvl="3" w:tplc="A63A6BC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vertAlign w:val="baseline"/>
      </w:rPr>
    </w:lvl>
    <w:lvl w:ilvl="4" w:tplc="2CAE855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vertAlign w:val="baseline"/>
      </w:rPr>
    </w:lvl>
    <w:lvl w:ilvl="5" w:tplc="BE6CA92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vertAlign w:val="baseline"/>
      </w:rPr>
    </w:lvl>
    <w:lvl w:ilvl="6" w:tplc="3E42FEB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vertAlign w:val="baseline"/>
      </w:rPr>
    </w:lvl>
    <w:lvl w:ilvl="7" w:tplc="ED3A763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vertAlign w:val="baseline"/>
      </w:rPr>
    </w:lvl>
    <w:lvl w:ilvl="8" w:tplc="79B200F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75" w15:restartNumberingAfterBreak="0">
    <w:nsid w:val="76C35DC2"/>
    <w:multiLevelType w:val="hybridMultilevel"/>
    <w:tmpl w:val="626C62B8"/>
    <w:lvl w:ilvl="0" w:tplc="04220011">
      <w:start w:val="1"/>
      <w:numFmt w:val="decimal"/>
      <w:lvlText w:val="%1)"/>
      <w:lvlJc w:val="left"/>
      <w:pPr>
        <w:ind w:left="786" w:hanging="360"/>
      </w:pPr>
    </w:lvl>
    <w:lvl w:ilvl="1" w:tplc="04220019">
      <w:start w:val="1"/>
      <w:numFmt w:val="lowerLetter"/>
      <w:lvlText w:val="%2."/>
      <w:lvlJc w:val="left"/>
      <w:pPr>
        <w:ind w:left="1866" w:hanging="360"/>
      </w:pPr>
    </w:lvl>
    <w:lvl w:ilvl="2" w:tplc="0422001B">
      <w:start w:val="1"/>
      <w:numFmt w:val="lowerRoman"/>
      <w:lvlText w:val="%3."/>
      <w:lvlJc w:val="right"/>
      <w:pPr>
        <w:ind w:left="2586" w:hanging="180"/>
      </w:pPr>
    </w:lvl>
    <w:lvl w:ilvl="3" w:tplc="0422000F">
      <w:start w:val="1"/>
      <w:numFmt w:val="decimal"/>
      <w:lvlText w:val="%4."/>
      <w:lvlJc w:val="left"/>
      <w:pPr>
        <w:ind w:left="3306" w:hanging="360"/>
      </w:pPr>
    </w:lvl>
    <w:lvl w:ilvl="4" w:tplc="04220019">
      <w:start w:val="1"/>
      <w:numFmt w:val="lowerLetter"/>
      <w:lvlText w:val="%5."/>
      <w:lvlJc w:val="left"/>
      <w:pPr>
        <w:ind w:left="4026" w:hanging="360"/>
      </w:pPr>
    </w:lvl>
    <w:lvl w:ilvl="5" w:tplc="0422001B">
      <w:start w:val="1"/>
      <w:numFmt w:val="lowerRoman"/>
      <w:lvlText w:val="%6."/>
      <w:lvlJc w:val="right"/>
      <w:pPr>
        <w:ind w:left="4746" w:hanging="180"/>
      </w:pPr>
    </w:lvl>
    <w:lvl w:ilvl="6" w:tplc="0422000F">
      <w:start w:val="1"/>
      <w:numFmt w:val="decimal"/>
      <w:lvlText w:val="%7."/>
      <w:lvlJc w:val="left"/>
      <w:pPr>
        <w:ind w:left="5466" w:hanging="360"/>
      </w:pPr>
    </w:lvl>
    <w:lvl w:ilvl="7" w:tplc="04220019">
      <w:start w:val="1"/>
      <w:numFmt w:val="lowerLetter"/>
      <w:lvlText w:val="%8."/>
      <w:lvlJc w:val="left"/>
      <w:pPr>
        <w:ind w:left="6186" w:hanging="360"/>
      </w:pPr>
    </w:lvl>
    <w:lvl w:ilvl="8" w:tplc="0422001B">
      <w:start w:val="1"/>
      <w:numFmt w:val="lowerRoman"/>
      <w:lvlText w:val="%9."/>
      <w:lvlJc w:val="right"/>
      <w:pPr>
        <w:ind w:left="6906" w:hanging="180"/>
      </w:pPr>
    </w:lvl>
  </w:abstractNum>
  <w:abstractNum w:abstractNumId="76" w15:restartNumberingAfterBreak="0">
    <w:nsid w:val="78CF6A8C"/>
    <w:multiLevelType w:val="hybridMultilevel"/>
    <w:tmpl w:val="9842ABD2"/>
    <w:lvl w:ilvl="0" w:tplc="458C592E">
      <w:start w:val="1"/>
      <w:numFmt w:val="decimal"/>
      <w:lvlText w:val="%1."/>
      <w:lvlJc w:val="left"/>
      <w:pPr>
        <w:ind w:left="720" w:hanging="360"/>
      </w:pPr>
      <w:rPr>
        <w:rFonts w:eastAsiaTheme="minorHAnsi" w:cstheme="minorBid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7" w15:restartNumberingAfterBreak="0">
    <w:nsid w:val="7A4E5CD5"/>
    <w:multiLevelType w:val="hybridMultilevel"/>
    <w:tmpl w:val="53BA83EE"/>
    <w:lvl w:ilvl="0" w:tplc="14F2E92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8" w15:restartNumberingAfterBreak="0">
    <w:nsid w:val="7AB96CCB"/>
    <w:multiLevelType w:val="hybridMultilevel"/>
    <w:tmpl w:val="48240BCE"/>
    <w:lvl w:ilvl="0" w:tplc="64AA66BA">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79" w15:restartNumberingAfterBreak="0">
    <w:nsid w:val="7D877603"/>
    <w:multiLevelType w:val="hybridMultilevel"/>
    <w:tmpl w:val="9018550C"/>
    <w:lvl w:ilvl="0" w:tplc="0422000F">
      <w:start w:val="1"/>
      <w:numFmt w:val="decimal"/>
      <w:lvlText w:val="%1."/>
      <w:lvlJc w:val="left"/>
      <w:pPr>
        <w:ind w:left="6456" w:hanging="360"/>
      </w:pPr>
    </w:lvl>
    <w:lvl w:ilvl="1" w:tplc="64767EEE">
      <w:start w:val="1"/>
      <w:numFmt w:val="decimal"/>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num w:numId="1">
    <w:abstractNumId w:val="3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6"/>
  </w:num>
  <w:num w:numId="4">
    <w:abstractNumId w:val="22"/>
  </w:num>
  <w:num w:numId="5">
    <w:abstractNumId w:val="7"/>
  </w:num>
  <w:num w:numId="6">
    <w:abstractNumId w:val="60"/>
  </w:num>
  <w:num w:numId="7">
    <w:abstractNumId w:val="16"/>
  </w:num>
  <w:num w:numId="8">
    <w:abstractNumId w:val="53"/>
  </w:num>
  <w:num w:numId="9">
    <w:abstractNumId w:val="67"/>
  </w:num>
  <w:num w:numId="10">
    <w:abstractNumId w:val="2"/>
  </w:num>
  <w:num w:numId="1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6"/>
  </w:num>
  <w:num w:numId="17">
    <w:abstractNumId w:val="46"/>
  </w:num>
  <w:num w:numId="18">
    <w:abstractNumId w:val="39"/>
  </w:num>
  <w:num w:numId="19">
    <w:abstractNumId w:val="41"/>
  </w:num>
  <w:num w:numId="20">
    <w:abstractNumId w:val="0"/>
  </w:num>
  <w:num w:numId="21">
    <w:abstractNumId w:val="33"/>
  </w:num>
  <w:num w:numId="22">
    <w:abstractNumId w:val="18"/>
  </w:num>
  <w:num w:numId="23">
    <w:abstractNumId w:val="70"/>
  </w:num>
  <w:num w:numId="24">
    <w:abstractNumId w:val="42"/>
  </w:num>
  <w:num w:numId="25">
    <w:abstractNumId w:val="51"/>
  </w:num>
  <w:num w:numId="26">
    <w:abstractNumId w:val="4"/>
  </w:num>
  <w:num w:numId="27">
    <w:abstractNumId w:val="64"/>
  </w:num>
  <w:num w:numId="28">
    <w:abstractNumId w:val="5"/>
  </w:num>
  <w:num w:numId="29">
    <w:abstractNumId w:val="63"/>
  </w:num>
  <w:num w:numId="30">
    <w:abstractNumId w:val="65"/>
  </w:num>
  <w:num w:numId="31">
    <w:abstractNumId w:val="73"/>
  </w:num>
  <w:num w:numId="3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num>
  <w:num w:numId="34">
    <w:abstractNumId w:val="26"/>
  </w:num>
  <w:num w:numId="35">
    <w:abstractNumId w:val="58"/>
  </w:num>
  <w:num w:numId="36">
    <w:abstractNumId w:val="30"/>
  </w:num>
  <w:num w:numId="37">
    <w:abstractNumId w:val="29"/>
  </w:num>
  <w:num w:numId="38">
    <w:abstractNumId w:val="12"/>
  </w:num>
  <w:num w:numId="39">
    <w:abstractNumId w:val="48"/>
  </w:num>
  <w:num w:numId="40">
    <w:abstractNumId w:val="32"/>
  </w:num>
  <w:num w:numId="41">
    <w:abstractNumId w:val="57"/>
  </w:num>
  <w:num w:numId="42">
    <w:abstractNumId w:val="49"/>
  </w:num>
  <w:num w:numId="43">
    <w:abstractNumId w:val="50"/>
  </w:num>
  <w:num w:numId="44">
    <w:abstractNumId w:val="40"/>
  </w:num>
  <w:num w:numId="45">
    <w:abstractNumId w:val="24"/>
  </w:num>
  <w:num w:numId="46">
    <w:abstractNumId w:val="43"/>
  </w:num>
  <w:num w:numId="47">
    <w:abstractNumId w:val="8"/>
  </w:num>
  <w:num w:numId="48">
    <w:abstractNumId w:val="35"/>
  </w:num>
  <w:num w:numId="49">
    <w:abstractNumId w:val="17"/>
  </w:num>
  <w:num w:numId="50">
    <w:abstractNumId w:val="11"/>
  </w:num>
  <w:num w:numId="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2"/>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
  </w:num>
  <w:num w:numId="5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num>
  <w:num w:numId="62">
    <w:abstractNumId w:val="25"/>
  </w:num>
  <w:num w:numId="63">
    <w:abstractNumId w:val="69"/>
  </w:num>
  <w:num w:numId="64">
    <w:abstractNumId w:val="14"/>
  </w:num>
  <w:num w:numId="65">
    <w:abstractNumId w:val="6"/>
  </w:num>
  <w:num w:numId="66">
    <w:abstractNumId w:val="1"/>
  </w:num>
  <w:num w:numId="67">
    <w:abstractNumId w:val="13"/>
  </w:num>
  <w:num w:numId="68">
    <w:abstractNumId w:val="28"/>
  </w:num>
  <w:num w:numId="69">
    <w:abstractNumId w:val="38"/>
  </w:num>
  <w:num w:numId="70">
    <w:abstractNumId w:val="74"/>
  </w:num>
  <w:num w:numId="7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9"/>
  </w:num>
  <w:num w:numId="73">
    <w:abstractNumId w:val="34"/>
  </w:num>
  <w:num w:numId="74">
    <w:abstractNumId w:val="71"/>
  </w:num>
  <w:num w:numId="75">
    <w:abstractNumId w:val="55"/>
  </w:num>
  <w:num w:numId="76">
    <w:abstractNumId w:val="19"/>
  </w:num>
  <w:num w:numId="77">
    <w:abstractNumId w:val="21"/>
  </w:num>
  <w:num w:numId="78">
    <w:abstractNumId w:val="77"/>
  </w:num>
  <w:num w:numId="79">
    <w:abstractNumId w:val="23"/>
  </w:num>
  <w:num w:numId="80">
    <w:abstractNumId w:val="66"/>
  </w:num>
  <w:num w:numId="81">
    <w:abstractNumId w:val="68"/>
  </w:num>
  <w:num w:numId="82">
    <w:abstractNumId w:val="31"/>
  </w:num>
  <w:num w:numId="83">
    <w:abstractNumId w:val="4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409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992"/>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65"/>
    <w:rsid w:val="00000529"/>
    <w:rsid w:val="00000598"/>
    <w:rsid w:val="0000082A"/>
    <w:rsid w:val="000019B7"/>
    <w:rsid w:val="00001D88"/>
    <w:rsid w:val="00002A5B"/>
    <w:rsid w:val="00005492"/>
    <w:rsid w:val="0000562F"/>
    <w:rsid w:val="000064FA"/>
    <w:rsid w:val="000069AF"/>
    <w:rsid w:val="00006C04"/>
    <w:rsid w:val="00006EAD"/>
    <w:rsid w:val="00007365"/>
    <w:rsid w:val="00007664"/>
    <w:rsid w:val="00007B5C"/>
    <w:rsid w:val="00010C15"/>
    <w:rsid w:val="00010F6B"/>
    <w:rsid w:val="000110EA"/>
    <w:rsid w:val="00011189"/>
    <w:rsid w:val="000114EB"/>
    <w:rsid w:val="0001166F"/>
    <w:rsid w:val="00011CAD"/>
    <w:rsid w:val="0001269F"/>
    <w:rsid w:val="000129C0"/>
    <w:rsid w:val="00013516"/>
    <w:rsid w:val="00015679"/>
    <w:rsid w:val="00015AA5"/>
    <w:rsid w:val="00015CF3"/>
    <w:rsid w:val="00015FDE"/>
    <w:rsid w:val="000165F6"/>
    <w:rsid w:val="0001772C"/>
    <w:rsid w:val="00020763"/>
    <w:rsid w:val="00020B40"/>
    <w:rsid w:val="000229F8"/>
    <w:rsid w:val="0002413B"/>
    <w:rsid w:val="000241CD"/>
    <w:rsid w:val="000242D6"/>
    <w:rsid w:val="0002631C"/>
    <w:rsid w:val="00026E2A"/>
    <w:rsid w:val="0002759C"/>
    <w:rsid w:val="00027694"/>
    <w:rsid w:val="00027EB8"/>
    <w:rsid w:val="00030FD8"/>
    <w:rsid w:val="0003128F"/>
    <w:rsid w:val="000313D5"/>
    <w:rsid w:val="00032289"/>
    <w:rsid w:val="00032713"/>
    <w:rsid w:val="00032FB9"/>
    <w:rsid w:val="0003331E"/>
    <w:rsid w:val="0003341B"/>
    <w:rsid w:val="000342A5"/>
    <w:rsid w:val="000348B6"/>
    <w:rsid w:val="0003583C"/>
    <w:rsid w:val="0003793C"/>
    <w:rsid w:val="000426B8"/>
    <w:rsid w:val="0004321B"/>
    <w:rsid w:val="00044205"/>
    <w:rsid w:val="000447AD"/>
    <w:rsid w:val="0004514F"/>
    <w:rsid w:val="0004738C"/>
    <w:rsid w:val="00050271"/>
    <w:rsid w:val="00050D0B"/>
    <w:rsid w:val="00051E27"/>
    <w:rsid w:val="00051E34"/>
    <w:rsid w:val="00051FF1"/>
    <w:rsid w:val="000536C4"/>
    <w:rsid w:val="00053736"/>
    <w:rsid w:val="00053BC0"/>
    <w:rsid w:val="000543C6"/>
    <w:rsid w:val="00054683"/>
    <w:rsid w:val="00056855"/>
    <w:rsid w:val="000570BD"/>
    <w:rsid w:val="0005789F"/>
    <w:rsid w:val="00060086"/>
    <w:rsid w:val="000600A8"/>
    <w:rsid w:val="00061C52"/>
    <w:rsid w:val="00062270"/>
    <w:rsid w:val="000631A3"/>
    <w:rsid w:val="00063480"/>
    <w:rsid w:val="000638F2"/>
    <w:rsid w:val="000644BD"/>
    <w:rsid w:val="00064FDD"/>
    <w:rsid w:val="00065B18"/>
    <w:rsid w:val="00066D45"/>
    <w:rsid w:val="000701BA"/>
    <w:rsid w:val="00072231"/>
    <w:rsid w:val="000730BF"/>
    <w:rsid w:val="00073A19"/>
    <w:rsid w:val="0007418F"/>
    <w:rsid w:val="000754AE"/>
    <w:rsid w:val="00075A9C"/>
    <w:rsid w:val="00076FD9"/>
    <w:rsid w:val="000770FF"/>
    <w:rsid w:val="00081465"/>
    <w:rsid w:val="00083DB5"/>
    <w:rsid w:val="0008471D"/>
    <w:rsid w:val="00085E80"/>
    <w:rsid w:val="00086005"/>
    <w:rsid w:val="0009011A"/>
    <w:rsid w:val="0009219C"/>
    <w:rsid w:val="0009252C"/>
    <w:rsid w:val="00092B3B"/>
    <w:rsid w:val="00092DD6"/>
    <w:rsid w:val="000932CB"/>
    <w:rsid w:val="000935B5"/>
    <w:rsid w:val="00093694"/>
    <w:rsid w:val="00093D64"/>
    <w:rsid w:val="000960A8"/>
    <w:rsid w:val="000A0846"/>
    <w:rsid w:val="000A0AC5"/>
    <w:rsid w:val="000A1A13"/>
    <w:rsid w:val="000A2639"/>
    <w:rsid w:val="000A2F5E"/>
    <w:rsid w:val="000A3204"/>
    <w:rsid w:val="000A4758"/>
    <w:rsid w:val="000A5787"/>
    <w:rsid w:val="000A5DE5"/>
    <w:rsid w:val="000A6066"/>
    <w:rsid w:val="000A64BC"/>
    <w:rsid w:val="000A6816"/>
    <w:rsid w:val="000A69D9"/>
    <w:rsid w:val="000A6E5A"/>
    <w:rsid w:val="000B1D74"/>
    <w:rsid w:val="000B2005"/>
    <w:rsid w:val="000B2990"/>
    <w:rsid w:val="000B34F0"/>
    <w:rsid w:val="000B4A08"/>
    <w:rsid w:val="000B57CA"/>
    <w:rsid w:val="000B5B31"/>
    <w:rsid w:val="000B69DE"/>
    <w:rsid w:val="000B6A9C"/>
    <w:rsid w:val="000B7EA7"/>
    <w:rsid w:val="000C245D"/>
    <w:rsid w:val="000C399E"/>
    <w:rsid w:val="000C49FB"/>
    <w:rsid w:val="000C51EC"/>
    <w:rsid w:val="000C5270"/>
    <w:rsid w:val="000C5F76"/>
    <w:rsid w:val="000C609C"/>
    <w:rsid w:val="000C6EBF"/>
    <w:rsid w:val="000C7516"/>
    <w:rsid w:val="000C7632"/>
    <w:rsid w:val="000C7817"/>
    <w:rsid w:val="000C78AE"/>
    <w:rsid w:val="000D0495"/>
    <w:rsid w:val="000D05A8"/>
    <w:rsid w:val="000D0601"/>
    <w:rsid w:val="000D082B"/>
    <w:rsid w:val="000D0D20"/>
    <w:rsid w:val="000D0DD8"/>
    <w:rsid w:val="000D10F8"/>
    <w:rsid w:val="000D1416"/>
    <w:rsid w:val="000D24AA"/>
    <w:rsid w:val="000D2966"/>
    <w:rsid w:val="000D2D2B"/>
    <w:rsid w:val="000D2DC4"/>
    <w:rsid w:val="000D3D81"/>
    <w:rsid w:val="000D7745"/>
    <w:rsid w:val="000D778F"/>
    <w:rsid w:val="000E0A4F"/>
    <w:rsid w:val="000E0CB3"/>
    <w:rsid w:val="000E22A5"/>
    <w:rsid w:val="000E22E0"/>
    <w:rsid w:val="000E4065"/>
    <w:rsid w:val="000E42B9"/>
    <w:rsid w:val="000E5110"/>
    <w:rsid w:val="000E56BA"/>
    <w:rsid w:val="000E5B8C"/>
    <w:rsid w:val="000E7A13"/>
    <w:rsid w:val="000F0680"/>
    <w:rsid w:val="000F0E55"/>
    <w:rsid w:val="000F0FDA"/>
    <w:rsid w:val="000F150E"/>
    <w:rsid w:val="000F1CFE"/>
    <w:rsid w:val="000F2428"/>
    <w:rsid w:val="000F3161"/>
    <w:rsid w:val="000F3BFD"/>
    <w:rsid w:val="000F4B71"/>
    <w:rsid w:val="000F58E1"/>
    <w:rsid w:val="000F6012"/>
    <w:rsid w:val="000F76E0"/>
    <w:rsid w:val="00100285"/>
    <w:rsid w:val="0010106C"/>
    <w:rsid w:val="001033AC"/>
    <w:rsid w:val="00104883"/>
    <w:rsid w:val="00104B37"/>
    <w:rsid w:val="00104FEF"/>
    <w:rsid w:val="0010580A"/>
    <w:rsid w:val="00106229"/>
    <w:rsid w:val="00106E6F"/>
    <w:rsid w:val="0010723C"/>
    <w:rsid w:val="00110267"/>
    <w:rsid w:val="001125CC"/>
    <w:rsid w:val="001129CF"/>
    <w:rsid w:val="00112D17"/>
    <w:rsid w:val="00113E5A"/>
    <w:rsid w:val="001151D7"/>
    <w:rsid w:val="001157A5"/>
    <w:rsid w:val="00115ECF"/>
    <w:rsid w:val="00116D88"/>
    <w:rsid w:val="00117143"/>
    <w:rsid w:val="00117228"/>
    <w:rsid w:val="00120C86"/>
    <w:rsid w:val="00121971"/>
    <w:rsid w:val="00121FE8"/>
    <w:rsid w:val="001233E3"/>
    <w:rsid w:val="001237B5"/>
    <w:rsid w:val="00123D09"/>
    <w:rsid w:val="001240CD"/>
    <w:rsid w:val="00124DA1"/>
    <w:rsid w:val="001257DE"/>
    <w:rsid w:val="001260C0"/>
    <w:rsid w:val="001334D3"/>
    <w:rsid w:val="001346C3"/>
    <w:rsid w:val="00136631"/>
    <w:rsid w:val="00136A8B"/>
    <w:rsid w:val="00136B96"/>
    <w:rsid w:val="00136EF4"/>
    <w:rsid w:val="00137376"/>
    <w:rsid w:val="0013756C"/>
    <w:rsid w:val="00141DC2"/>
    <w:rsid w:val="00142606"/>
    <w:rsid w:val="00143F52"/>
    <w:rsid w:val="00145684"/>
    <w:rsid w:val="00150183"/>
    <w:rsid w:val="0015056D"/>
    <w:rsid w:val="00150F38"/>
    <w:rsid w:val="00151C16"/>
    <w:rsid w:val="00152421"/>
    <w:rsid w:val="00153226"/>
    <w:rsid w:val="00154096"/>
    <w:rsid w:val="00156F0D"/>
    <w:rsid w:val="001572CB"/>
    <w:rsid w:val="001606CA"/>
    <w:rsid w:val="00160B87"/>
    <w:rsid w:val="00160C8D"/>
    <w:rsid w:val="00160F0E"/>
    <w:rsid w:val="001631E2"/>
    <w:rsid w:val="0016332A"/>
    <w:rsid w:val="001647B0"/>
    <w:rsid w:val="00166875"/>
    <w:rsid w:val="00166A51"/>
    <w:rsid w:val="00166AE8"/>
    <w:rsid w:val="00166D6C"/>
    <w:rsid w:val="00166F5E"/>
    <w:rsid w:val="00167EED"/>
    <w:rsid w:val="001707D2"/>
    <w:rsid w:val="001716B0"/>
    <w:rsid w:val="00171CD1"/>
    <w:rsid w:val="00172D8A"/>
    <w:rsid w:val="0017409E"/>
    <w:rsid w:val="001740C0"/>
    <w:rsid w:val="001742AD"/>
    <w:rsid w:val="0017529A"/>
    <w:rsid w:val="00175A45"/>
    <w:rsid w:val="001818FD"/>
    <w:rsid w:val="00183527"/>
    <w:rsid w:val="00184871"/>
    <w:rsid w:val="00184A7C"/>
    <w:rsid w:val="00184C83"/>
    <w:rsid w:val="00185CF6"/>
    <w:rsid w:val="00186A37"/>
    <w:rsid w:val="00187448"/>
    <w:rsid w:val="001878CD"/>
    <w:rsid w:val="0019078E"/>
    <w:rsid w:val="00190E1A"/>
    <w:rsid w:val="00191471"/>
    <w:rsid w:val="001922A6"/>
    <w:rsid w:val="00192389"/>
    <w:rsid w:val="001939BF"/>
    <w:rsid w:val="001940E4"/>
    <w:rsid w:val="00194272"/>
    <w:rsid w:val="00194EF6"/>
    <w:rsid w:val="00195234"/>
    <w:rsid w:val="001954D0"/>
    <w:rsid w:val="001975BF"/>
    <w:rsid w:val="001A0EE5"/>
    <w:rsid w:val="001A143B"/>
    <w:rsid w:val="001A16FA"/>
    <w:rsid w:val="001A18E3"/>
    <w:rsid w:val="001A1BEC"/>
    <w:rsid w:val="001A21E8"/>
    <w:rsid w:val="001A33CE"/>
    <w:rsid w:val="001A4BE6"/>
    <w:rsid w:val="001A4CB9"/>
    <w:rsid w:val="001A551E"/>
    <w:rsid w:val="001A5AC1"/>
    <w:rsid w:val="001A64A3"/>
    <w:rsid w:val="001A6795"/>
    <w:rsid w:val="001B08E2"/>
    <w:rsid w:val="001B2E8A"/>
    <w:rsid w:val="001B2E8E"/>
    <w:rsid w:val="001B43D6"/>
    <w:rsid w:val="001B47A7"/>
    <w:rsid w:val="001B61FB"/>
    <w:rsid w:val="001C0D7A"/>
    <w:rsid w:val="001C0E5F"/>
    <w:rsid w:val="001C11AB"/>
    <w:rsid w:val="001C1266"/>
    <w:rsid w:val="001C163B"/>
    <w:rsid w:val="001C188C"/>
    <w:rsid w:val="001C1CC8"/>
    <w:rsid w:val="001C206C"/>
    <w:rsid w:val="001C2A90"/>
    <w:rsid w:val="001C34D9"/>
    <w:rsid w:val="001C3854"/>
    <w:rsid w:val="001C3AC8"/>
    <w:rsid w:val="001C40BA"/>
    <w:rsid w:val="001C4EC7"/>
    <w:rsid w:val="001C6DE3"/>
    <w:rsid w:val="001C7E17"/>
    <w:rsid w:val="001D14BC"/>
    <w:rsid w:val="001D382F"/>
    <w:rsid w:val="001D3B60"/>
    <w:rsid w:val="001D487A"/>
    <w:rsid w:val="001D48BC"/>
    <w:rsid w:val="001D4DD9"/>
    <w:rsid w:val="001D5425"/>
    <w:rsid w:val="001D5A54"/>
    <w:rsid w:val="001D5D6C"/>
    <w:rsid w:val="001D60B7"/>
    <w:rsid w:val="001D67D7"/>
    <w:rsid w:val="001D6BD6"/>
    <w:rsid w:val="001D6F91"/>
    <w:rsid w:val="001E01B7"/>
    <w:rsid w:val="001E061C"/>
    <w:rsid w:val="001E0E6F"/>
    <w:rsid w:val="001E3E4F"/>
    <w:rsid w:val="001E576E"/>
    <w:rsid w:val="001F02CA"/>
    <w:rsid w:val="001F1EE0"/>
    <w:rsid w:val="001F2ECE"/>
    <w:rsid w:val="001F66FB"/>
    <w:rsid w:val="0020001E"/>
    <w:rsid w:val="00200218"/>
    <w:rsid w:val="0020103B"/>
    <w:rsid w:val="0020121C"/>
    <w:rsid w:val="00201BB0"/>
    <w:rsid w:val="00202C5B"/>
    <w:rsid w:val="00203B75"/>
    <w:rsid w:val="00203C11"/>
    <w:rsid w:val="00204292"/>
    <w:rsid w:val="00204C89"/>
    <w:rsid w:val="002050DF"/>
    <w:rsid w:val="00205977"/>
    <w:rsid w:val="00206987"/>
    <w:rsid w:val="00206C1B"/>
    <w:rsid w:val="002104ED"/>
    <w:rsid w:val="00211A53"/>
    <w:rsid w:val="00212305"/>
    <w:rsid w:val="00212750"/>
    <w:rsid w:val="002142BA"/>
    <w:rsid w:val="00214DDF"/>
    <w:rsid w:val="00216287"/>
    <w:rsid w:val="00217210"/>
    <w:rsid w:val="002177B7"/>
    <w:rsid w:val="0022164D"/>
    <w:rsid w:val="00221D0F"/>
    <w:rsid w:val="002228C0"/>
    <w:rsid w:val="0022297B"/>
    <w:rsid w:val="00222BDD"/>
    <w:rsid w:val="002238D1"/>
    <w:rsid w:val="00223B5A"/>
    <w:rsid w:val="00224746"/>
    <w:rsid w:val="0023188C"/>
    <w:rsid w:val="00231B09"/>
    <w:rsid w:val="00232831"/>
    <w:rsid w:val="00232C66"/>
    <w:rsid w:val="00233F37"/>
    <w:rsid w:val="00235329"/>
    <w:rsid w:val="00235953"/>
    <w:rsid w:val="00235A6F"/>
    <w:rsid w:val="00236779"/>
    <w:rsid w:val="00236B57"/>
    <w:rsid w:val="00237885"/>
    <w:rsid w:val="002400C1"/>
    <w:rsid w:val="00240942"/>
    <w:rsid w:val="00241062"/>
    <w:rsid w:val="00241373"/>
    <w:rsid w:val="00243C08"/>
    <w:rsid w:val="0024554A"/>
    <w:rsid w:val="002477DC"/>
    <w:rsid w:val="00251AA9"/>
    <w:rsid w:val="00251F77"/>
    <w:rsid w:val="002525C3"/>
    <w:rsid w:val="002533D8"/>
    <w:rsid w:val="00253BF9"/>
    <w:rsid w:val="0025455E"/>
    <w:rsid w:val="00260D99"/>
    <w:rsid w:val="00261F88"/>
    <w:rsid w:val="00262599"/>
    <w:rsid w:val="00262A06"/>
    <w:rsid w:val="002635C4"/>
    <w:rsid w:val="00264068"/>
    <w:rsid w:val="00264983"/>
    <w:rsid w:val="00264FDE"/>
    <w:rsid w:val="00265A9C"/>
    <w:rsid w:val="00266678"/>
    <w:rsid w:val="00266C90"/>
    <w:rsid w:val="002678DD"/>
    <w:rsid w:val="00270D77"/>
    <w:rsid w:val="0027116B"/>
    <w:rsid w:val="00271D33"/>
    <w:rsid w:val="00272457"/>
    <w:rsid w:val="00273DEA"/>
    <w:rsid w:val="002745CF"/>
    <w:rsid w:val="00276449"/>
    <w:rsid w:val="00276988"/>
    <w:rsid w:val="00276FC8"/>
    <w:rsid w:val="00277338"/>
    <w:rsid w:val="00277773"/>
    <w:rsid w:val="0028051C"/>
    <w:rsid w:val="00280574"/>
    <w:rsid w:val="00280DCC"/>
    <w:rsid w:val="00281E44"/>
    <w:rsid w:val="00282BF8"/>
    <w:rsid w:val="0028371E"/>
    <w:rsid w:val="002855F5"/>
    <w:rsid w:val="0028572E"/>
    <w:rsid w:val="00285C77"/>
    <w:rsid w:val="00285DDA"/>
    <w:rsid w:val="002879D7"/>
    <w:rsid w:val="00290169"/>
    <w:rsid w:val="002907B8"/>
    <w:rsid w:val="0029259C"/>
    <w:rsid w:val="002930EC"/>
    <w:rsid w:val="00293C47"/>
    <w:rsid w:val="00295007"/>
    <w:rsid w:val="002954A9"/>
    <w:rsid w:val="00296B26"/>
    <w:rsid w:val="00296B29"/>
    <w:rsid w:val="00296C62"/>
    <w:rsid w:val="002978B8"/>
    <w:rsid w:val="002A2391"/>
    <w:rsid w:val="002A332A"/>
    <w:rsid w:val="002A356D"/>
    <w:rsid w:val="002A371F"/>
    <w:rsid w:val="002A5112"/>
    <w:rsid w:val="002A568B"/>
    <w:rsid w:val="002A5A3D"/>
    <w:rsid w:val="002A6E7C"/>
    <w:rsid w:val="002A6FDF"/>
    <w:rsid w:val="002B0472"/>
    <w:rsid w:val="002B31B0"/>
    <w:rsid w:val="002B351E"/>
    <w:rsid w:val="002B3CFE"/>
    <w:rsid w:val="002B3F71"/>
    <w:rsid w:val="002B582B"/>
    <w:rsid w:val="002B5B22"/>
    <w:rsid w:val="002B681B"/>
    <w:rsid w:val="002B6D26"/>
    <w:rsid w:val="002B769C"/>
    <w:rsid w:val="002C01D9"/>
    <w:rsid w:val="002C0657"/>
    <w:rsid w:val="002C0666"/>
    <w:rsid w:val="002C1A57"/>
    <w:rsid w:val="002C1EB4"/>
    <w:rsid w:val="002C1FDB"/>
    <w:rsid w:val="002C2C1B"/>
    <w:rsid w:val="002C36E7"/>
    <w:rsid w:val="002C488D"/>
    <w:rsid w:val="002C48AB"/>
    <w:rsid w:val="002D0C13"/>
    <w:rsid w:val="002D14AF"/>
    <w:rsid w:val="002D1790"/>
    <w:rsid w:val="002D1A70"/>
    <w:rsid w:val="002D26CB"/>
    <w:rsid w:val="002D3454"/>
    <w:rsid w:val="002D4C2E"/>
    <w:rsid w:val="002D4C3B"/>
    <w:rsid w:val="002D5236"/>
    <w:rsid w:val="002D55F1"/>
    <w:rsid w:val="002D6879"/>
    <w:rsid w:val="002E1E39"/>
    <w:rsid w:val="002E3651"/>
    <w:rsid w:val="002E369D"/>
    <w:rsid w:val="002E36A8"/>
    <w:rsid w:val="002E46F3"/>
    <w:rsid w:val="002E5BEF"/>
    <w:rsid w:val="002E5E3C"/>
    <w:rsid w:val="002E6142"/>
    <w:rsid w:val="002E64AC"/>
    <w:rsid w:val="002E65E8"/>
    <w:rsid w:val="002F0482"/>
    <w:rsid w:val="002F1084"/>
    <w:rsid w:val="002F29AA"/>
    <w:rsid w:val="002F3863"/>
    <w:rsid w:val="002F3CD6"/>
    <w:rsid w:val="002F48EF"/>
    <w:rsid w:val="002F5ECF"/>
    <w:rsid w:val="002F69E8"/>
    <w:rsid w:val="002F72A2"/>
    <w:rsid w:val="002F7971"/>
    <w:rsid w:val="002F7D52"/>
    <w:rsid w:val="0030188B"/>
    <w:rsid w:val="0030194F"/>
    <w:rsid w:val="00301F31"/>
    <w:rsid w:val="00303556"/>
    <w:rsid w:val="003068C0"/>
    <w:rsid w:val="00306D44"/>
    <w:rsid w:val="003071EE"/>
    <w:rsid w:val="003105AB"/>
    <w:rsid w:val="003109D5"/>
    <w:rsid w:val="00312E17"/>
    <w:rsid w:val="00314B8A"/>
    <w:rsid w:val="00316A1B"/>
    <w:rsid w:val="00321022"/>
    <w:rsid w:val="00321053"/>
    <w:rsid w:val="00322779"/>
    <w:rsid w:val="00323575"/>
    <w:rsid w:val="00324171"/>
    <w:rsid w:val="00324949"/>
    <w:rsid w:val="00325B36"/>
    <w:rsid w:val="00326815"/>
    <w:rsid w:val="00327CB9"/>
    <w:rsid w:val="0033083C"/>
    <w:rsid w:val="00330B74"/>
    <w:rsid w:val="00330CFC"/>
    <w:rsid w:val="00332701"/>
    <w:rsid w:val="00333902"/>
    <w:rsid w:val="0033404B"/>
    <w:rsid w:val="00334FCD"/>
    <w:rsid w:val="00335057"/>
    <w:rsid w:val="00336542"/>
    <w:rsid w:val="003368A7"/>
    <w:rsid w:val="00337782"/>
    <w:rsid w:val="00340A8D"/>
    <w:rsid w:val="00340D07"/>
    <w:rsid w:val="00341222"/>
    <w:rsid w:val="0034162F"/>
    <w:rsid w:val="00341770"/>
    <w:rsid w:val="0034231C"/>
    <w:rsid w:val="00344431"/>
    <w:rsid w:val="00344499"/>
    <w:rsid w:val="00345982"/>
    <w:rsid w:val="003468A4"/>
    <w:rsid w:val="00347279"/>
    <w:rsid w:val="00347417"/>
    <w:rsid w:val="00347BE9"/>
    <w:rsid w:val="0035419F"/>
    <w:rsid w:val="00355469"/>
    <w:rsid w:val="00356E34"/>
    <w:rsid w:val="00357676"/>
    <w:rsid w:val="0036096D"/>
    <w:rsid w:val="0036098D"/>
    <w:rsid w:val="00361153"/>
    <w:rsid w:val="00361226"/>
    <w:rsid w:val="00361599"/>
    <w:rsid w:val="00361D1B"/>
    <w:rsid w:val="003626AF"/>
    <w:rsid w:val="003649ED"/>
    <w:rsid w:val="00364DB9"/>
    <w:rsid w:val="00365A19"/>
    <w:rsid w:val="003662EF"/>
    <w:rsid w:val="003705C5"/>
    <w:rsid w:val="00372562"/>
    <w:rsid w:val="00372F68"/>
    <w:rsid w:val="0037339F"/>
    <w:rsid w:val="00376121"/>
    <w:rsid w:val="00376B5D"/>
    <w:rsid w:val="00376FDF"/>
    <w:rsid w:val="003772E4"/>
    <w:rsid w:val="0038272D"/>
    <w:rsid w:val="003837B0"/>
    <w:rsid w:val="0038385E"/>
    <w:rsid w:val="00384703"/>
    <w:rsid w:val="00384DE7"/>
    <w:rsid w:val="00384F65"/>
    <w:rsid w:val="00385801"/>
    <w:rsid w:val="00385C1D"/>
    <w:rsid w:val="00386473"/>
    <w:rsid w:val="00386506"/>
    <w:rsid w:val="00390303"/>
    <w:rsid w:val="003907DA"/>
    <w:rsid w:val="00391A31"/>
    <w:rsid w:val="00392140"/>
    <w:rsid w:val="003938E4"/>
    <w:rsid w:val="00393C4C"/>
    <w:rsid w:val="003946D8"/>
    <w:rsid w:val="00394A0D"/>
    <w:rsid w:val="00394F10"/>
    <w:rsid w:val="00395DBC"/>
    <w:rsid w:val="003963C4"/>
    <w:rsid w:val="0039725C"/>
    <w:rsid w:val="003A16E7"/>
    <w:rsid w:val="003A21E7"/>
    <w:rsid w:val="003A2F2C"/>
    <w:rsid w:val="003A38CA"/>
    <w:rsid w:val="003A3C30"/>
    <w:rsid w:val="003A40DB"/>
    <w:rsid w:val="003A4105"/>
    <w:rsid w:val="003A410E"/>
    <w:rsid w:val="003A447A"/>
    <w:rsid w:val="003A4821"/>
    <w:rsid w:val="003A4A71"/>
    <w:rsid w:val="003A5F4F"/>
    <w:rsid w:val="003A6731"/>
    <w:rsid w:val="003A6E70"/>
    <w:rsid w:val="003A751F"/>
    <w:rsid w:val="003B01BC"/>
    <w:rsid w:val="003B09A8"/>
    <w:rsid w:val="003B12D7"/>
    <w:rsid w:val="003B2BAA"/>
    <w:rsid w:val="003B33A1"/>
    <w:rsid w:val="003B3513"/>
    <w:rsid w:val="003B36DF"/>
    <w:rsid w:val="003B4323"/>
    <w:rsid w:val="003B4DAC"/>
    <w:rsid w:val="003B4E2A"/>
    <w:rsid w:val="003B5100"/>
    <w:rsid w:val="003C09F6"/>
    <w:rsid w:val="003C0F52"/>
    <w:rsid w:val="003C10F1"/>
    <w:rsid w:val="003C1492"/>
    <w:rsid w:val="003C279D"/>
    <w:rsid w:val="003C310D"/>
    <w:rsid w:val="003C3282"/>
    <w:rsid w:val="003C3985"/>
    <w:rsid w:val="003C39AA"/>
    <w:rsid w:val="003C3E56"/>
    <w:rsid w:val="003C4999"/>
    <w:rsid w:val="003C6DD8"/>
    <w:rsid w:val="003C6E2A"/>
    <w:rsid w:val="003C6E70"/>
    <w:rsid w:val="003C7DB5"/>
    <w:rsid w:val="003D11F9"/>
    <w:rsid w:val="003D1340"/>
    <w:rsid w:val="003D1D60"/>
    <w:rsid w:val="003D2D2B"/>
    <w:rsid w:val="003D41C5"/>
    <w:rsid w:val="003D4A4F"/>
    <w:rsid w:val="003D5D8C"/>
    <w:rsid w:val="003D5EB8"/>
    <w:rsid w:val="003D6B33"/>
    <w:rsid w:val="003D782C"/>
    <w:rsid w:val="003D7DE4"/>
    <w:rsid w:val="003E2883"/>
    <w:rsid w:val="003E32F9"/>
    <w:rsid w:val="003E33AC"/>
    <w:rsid w:val="003E3941"/>
    <w:rsid w:val="003E3C09"/>
    <w:rsid w:val="003E44EA"/>
    <w:rsid w:val="003E67C8"/>
    <w:rsid w:val="003E7807"/>
    <w:rsid w:val="003F0441"/>
    <w:rsid w:val="003F0505"/>
    <w:rsid w:val="003F0F3F"/>
    <w:rsid w:val="003F2552"/>
    <w:rsid w:val="003F28B5"/>
    <w:rsid w:val="003F3877"/>
    <w:rsid w:val="003F4FF4"/>
    <w:rsid w:val="003F556C"/>
    <w:rsid w:val="003F6131"/>
    <w:rsid w:val="003F6315"/>
    <w:rsid w:val="003F7093"/>
    <w:rsid w:val="003F7DED"/>
    <w:rsid w:val="00400E09"/>
    <w:rsid w:val="00400FBD"/>
    <w:rsid w:val="00401C2A"/>
    <w:rsid w:val="00401EDB"/>
    <w:rsid w:val="004029A0"/>
    <w:rsid w:val="00402FDB"/>
    <w:rsid w:val="0040326F"/>
    <w:rsid w:val="00404C93"/>
    <w:rsid w:val="00404CE9"/>
    <w:rsid w:val="00405289"/>
    <w:rsid w:val="004069B5"/>
    <w:rsid w:val="004073A2"/>
    <w:rsid w:val="00407877"/>
    <w:rsid w:val="004079C2"/>
    <w:rsid w:val="0041247F"/>
    <w:rsid w:val="004130B9"/>
    <w:rsid w:val="004137D2"/>
    <w:rsid w:val="004142DF"/>
    <w:rsid w:val="00414480"/>
    <w:rsid w:val="00414C74"/>
    <w:rsid w:val="004162F8"/>
    <w:rsid w:val="004177C5"/>
    <w:rsid w:val="00420027"/>
    <w:rsid w:val="00422726"/>
    <w:rsid w:val="00423CD0"/>
    <w:rsid w:val="004244C0"/>
    <w:rsid w:val="00424BCE"/>
    <w:rsid w:val="00426828"/>
    <w:rsid w:val="00426CC4"/>
    <w:rsid w:val="00427285"/>
    <w:rsid w:val="0043411E"/>
    <w:rsid w:val="00435A67"/>
    <w:rsid w:val="00436C52"/>
    <w:rsid w:val="00437747"/>
    <w:rsid w:val="00440020"/>
    <w:rsid w:val="004407FD"/>
    <w:rsid w:val="00440C39"/>
    <w:rsid w:val="00440FFB"/>
    <w:rsid w:val="00441802"/>
    <w:rsid w:val="00441A31"/>
    <w:rsid w:val="00442EA4"/>
    <w:rsid w:val="004440D8"/>
    <w:rsid w:val="004446AB"/>
    <w:rsid w:val="00444E09"/>
    <w:rsid w:val="00445188"/>
    <w:rsid w:val="004455C0"/>
    <w:rsid w:val="004455F4"/>
    <w:rsid w:val="00445AB4"/>
    <w:rsid w:val="00446704"/>
    <w:rsid w:val="004478E4"/>
    <w:rsid w:val="0045169F"/>
    <w:rsid w:val="004546C5"/>
    <w:rsid w:val="00454D1E"/>
    <w:rsid w:val="0045589F"/>
    <w:rsid w:val="00455AAE"/>
    <w:rsid w:val="00455B45"/>
    <w:rsid w:val="00457772"/>
    <w:rsid w:val="004605EE"/>
    <w:rsid w:val="0046066E"/>
    <w:rsid w:val="00460BA2"/>
    <w:rsid w:val="0046125C"/>
    <w:rsid w:val="0046215A"/>
    <w:rsid w:val="004622AE"/>
    <w:rsid w:val="00462E4D"/>
    <w:rsid w:val="00463217"/>
    <w:rsid w:val="00463612"/>
    <w:rsid w:val="00463918"/>
    <w:rsid w:val="00464350"/>
    <w:rsid w:val="00465CDD"/>
    <w:rsid w:val="004666D6"/>
    <w:rsid w:val="00467A47"/>
    <w:rsid w:val="004704CD"/>
    <w:rsid w:val="0047067B"/>
    <w:rsid w:val="00471418"/>
    <w:rsid w:val="00471B59"/>
    <w:rsid w:val="00471C07"/>
    <w:rsid w:val="00472B94"/>
    <w:rsid w:val="004736AE"/>
    <w:rsid w:val="00473BE7"/>
    <w:rsid w:val="00475097"/>
    <w:rsid w:val="00476326"/>
    <w:rsid w:val="0047635D"/>
    <w:rsid w:val="00481D5C"/>
    <w:rsid w:val="00481DC1"/>
    <w:rsid w:val="00483885"/>
    <w:rsid w:val="004853AA"/>
    <w:rsid w:val="00485EA1"/>
    <w:rsid w:val="00485F42"/>
    <w:rsid w:val="00486395"/>
    <w:rsid w:val="004865A2"/>
    <w:rsid w:val="0048663E"/>
    <w:rsid w:val="004904F9"/>
    <w:rsid w:val="0049056A"/>
    <w:rsid w:val="00490DB8"/>
    <w:rsid w:val="00491CF8"/>
    <w:rsid w:val="004923E2"/>
    <w:rsid w:val="00495311"/>
    <w:rsid w:val="00497654"/>
    <w:rsid w:val="004977F2"/>
    <w:rsid w:val="004A0B20"/>
    <w:rsid w:val="004A1161"/>
    <w:rsid w:val="004A1CFC"/>
    <w:rsid w:val="004A33BB"/>
    <w:rsid w:val="004A4133"/>
    <w:rsid w:val="004A42C5"/>
    <w:rsid w:val="004A5236"/>
    <w:rsid w:val="004A58CA"/>
    <w:rsid w:val="004A690D"/>
    <w:rsid w:val="004A7F27"/>
    <w:rsid w:val="004A7F75"/>
    <w:rsid w:val="004B02DE"/>
    <w:rsid w:val="004B1929"/>
    <w:rsid w:val="004B1D4D"/>
    <w:rsid w:val="004B1FE9"/>
    <w:rsid w:val="004B2183"/>
    <w:rsid w:val="004B32BF"/>
    <w:rsid w:val="004B39BE"/>
    <w:rsid w:val="004B4BC2"/>
    <w:rsid w:val="004B5574"/>
    <w:rsid w:val="004B703D"/>
    <w:rsid w:val="004B7122"/>
    <w:rsid w:val="004C1E79"/>
    <w:rsid w:val="004C6114"/>
    <w:rsid w:val="004C6413"/>
    <w:rsid w:val="004C6628"/>
    <w:rsid w:val="004C6B25"/>
    <w:rsid w:val="004C7302"/>
    <w:rsid w:val="004C78C8"/>
    <w:rsid w:val="004C7AC3"/>
    <w:rsid w:val="004C7DC1"/>
    <w:rsid w:val="004D00E0"/>
    <w:rsid w:val="004D0B1B"/>
    <w:rsid w:val="004D0DD9"/>
    <w:rsid w:val="004D2B57"/>
    <w:rsid w:val="004D3FB2"/>
    <w:rsid w:val="004D5516"/>
    <w:rsid w:val="004D5E83"/>
    <w:rsid w:val="004D78B0"/>
    <w:rsid w:val="004D7905"/>
    <w:rsid w:val="004E0B59"/>
    <w:rsid w:val="004E22E2"/>
    <w:rsid w:val="004E568A"/>
    <w:rsid w:val="004E6DA9"/>
    <w:rsid w:val="004E7820"/>
    <w:rsid w:val="004E7B90"/>
    <w:rsid w:val="004F007A"/>
    <w:rsid w:val="004F05EB"/>
    <w:rsid w:val="004F0F87"/>
    <w:rsid w:val="004F10BC"/>
    <w:rsid w:val="004F1AFC"/>
    <w:rsid w:val="004F2671"/>
    <w:rsid w:val="004F2B4F"/>
    <w:rsid w:val="004F3453"/>
    <w:rsid w:val="004F4A75"/>
    <w:rsid w:val="004F50F2"/>
    <w:rsid w:val="004F5F6D"/>
    <w:rsid w:val="00500407"/>
    <w:rsid w:val="005006DF"/>
    <w:rsid w:val="005009A3"/>
    <w:rsid w:val="0050318E"/>
    <w:rsid w:val="00503E47"/>
    <w:rsid w:val="00503F07"/>
    <w:rsid w:val="00503F67"/>
    <w:rsid w:val="00504F3E"/>
    <w:rsid w:val="0050553E"/>
    <w:rsid w:val="00505576"/>
    <w:rsid w:val="0050563F"/>
    <w:rsid w:val="00505A7E"/>
    <w:rsid w:val="00506DF8"/>
    <w:rsid w:val="00507103"/>
    <w:rsid w:val="005073F7"/>
    <w:rsid w:val="00507AC2"/>
    <w:rsid w:val="0051015A"/>
    <w:rsid w:val="00511461"/>
    <w:rsid w:val="0051334A"/>
    <w:rsid w:val="005133FE"/>
    <w:rsid w:val="0051449A"/>
    <w:rsid w:val="00514C9C"/>
    <w:rsid w:val="00516E92"/>
    <w:rsid w:val="005210A9"/>
    <w:rsid w:val="005212A1"/>
    <w:rsid w:val="005212C5"/>
    <w:rsid w:val="00523C13"/>
    <w:rsid w:val="00524645"/>
    <w:rsid w:val="00524F07"/>
    <w:rsid w:val="00524F7B"/>
    <w:rsid w:val="0052553B"/>
    <w:rsid w:val="005255B1"/>
    <w:rsid w:val="005257C2"/>
    <w:rsid w:val="005257D5"/>
    <w:rsid w:val="0052594A"/>
    <w:rsid w:val="0052636F"/>
    <w:rsid w:val="00527204"/>
    <w:rsid w:val="005307C7"/>
    <w:rsid w:val="005309D1"/>
    <w:rsid w:val="00530A2B"/>
    <w:rsid w:val="00530B13"/>
    <w:rsid w:val="00530C1E"/>
    <w:rsid w:val="00532633"/>
    <w:rsid w:val="00534158"/>
    <w:rsid w:val="005355C3"/>
    <w:rsid w:val="00536320"/>
    <w:rsid w:val="005373AD"/>
    <w:rsid w:val="005378AE"/>
    <w:rsid w:val="005400FF"/>
    <w:rsid w:val="005403F1"/>
    <w:rsid w:val="00541CC9"/>
    <w:rsid w:val="00542533"/>
    <w:rsid w:val="00542F74"/>
    <w:rsid w:val="00543341"/>
    <w:rsid w:val="005433C5"/>
    <w:rsid w:val="00543FE3"/>
    <w:rsid w:val="005443DA"/>
    <w:rsid w:val="0055134C"/>
    <w:rsid w:val="0055150E"/>
    <w:rsid w:val="00552A0E"/>
    <w:rsid w:val="00552F7E"/>
    <w:rsid w:val="00553235"/>
    <w:rsid w:val="005534A0"/>
    <w:rsid w:val="0055529A"/>
    <w:rsid w:val="0055531D"/>
    <w:rsid w:val="0056031C"/>
    <w:rsid w:val="00560C67"/>
    <w:rsid w:val="00560EBB"/>
    <w:rsid w:val="00561341"/>
    <w:rsid w:val="005624B6"/>
    <w:rsid w:val="00562C46"/>
    <w:rsid w:val="005633F6"/>
    <w:rsid w:val="00564546"/>
    <w:rsid w:val="00565C3D"/>
    <w:rsid w:val="0056784A"/>
    <w:rsid w:val="00570405"/>
    <w:rsid w:val="0057068E"/>
    <w:rsid w:val="00570B8F"/>
    <w:rsid w:val="00571386"/>
    <w:rsid w:val="0057237F"/>
    <w:rsid w:val="00572EFE"/>
    <w:rsid w:val="00573338"/>
    <w:rsid w:val="0057471B"/>
    <w:rsid w:val="0057501E"/>
    <w:rsid w:val="005751B0"/>
    <w:rsid w:val="00575D99"/>
    <w:rsid w:val="00577291"/>
    <w:rsid w:val="00577341"/>
    <w:rsid w:val="00577402"/>
    <w:rsid w:val="005822CB"/>
    <w:rsid w:val="00583DB9"/>
    <w:rsid w:val="00584329"/>
    <w:rsid w:val="005848E9"/>
    <w:rsid w:val="00584A05"/>
    <w:rsid w:val="00584B2F"/>
    <w:rsid w:val="00584D43"/>
    <w:rsid w:val="00584D5D"/>
    <w:rsid w:val="00585003"/>
    <w:rsid w:val="0058630E"/>
    <w:rsid w:val="00586D8A"/>
    <w:rsid w:val="0059108A"/>
    <w:rsid w:val="00591647"/>
    <w:rsid w:val="00591939"/>
    <w:rsid w:val="00592446"/>
    <w:rsid w:val="005926E8"/>
    <w:rsid w:val="00593455"/>
    <w:rsid w:val="0059397A"/>
    <w:rsid w:val="00593AFB"/>
    <w:rsid w:val="005950C7"/>
    <w:rsid w:val="00595D5A"/>
    <w:rsid w:val="00596392"/>
    <w:rsid w:val="00596FEA"/>
    <w:rsid w:val="00597AB6"/>
    <w:rsid w:val="005A0F4B"/>
    <w:rsid w:val="005A1537"/>
    <w:rsid w:val="005A1D3C"/>
    <w:rsid w:val="005A23D6"/>
    <w:rsid w:val="005A2C01"/>
    <w:rsid w:val="005A3F34"/>
    <w:rsid w:val="005B0707"/>
    <w:rsid w:val="005B0B74"/>
    <w:rsid w:val="005B1B4B"/>
    <w:rsid w:val="005B1E75"/>
    <w:rsid w:val="005B2A84"/>
    <w:rsid w:val="005B2D03"/>
    <w:rsid w:val="005B2E97"/>
    <w:rsid w:val="005B39B9"/>
    <w:rsid w:val="005B4AA9"/>
    <w:rsid w:val="005B5A08"/>
    <w:rsid w:val="005B5D98"/>
    <w:rsid w:val="005C09D1"/>
    <w:rsid w:val="005C18AD"/>
    <w:rsid w:val="005C1934"/>
    <w:rsid w:val="005C28EF"/>
    <w:rsid w:val="005C348D"/>
    <w:rsid w:val="005C5CBA"/>
    <w:rsid w:val="005C5CBF"/>
    <w:rsid w:val="005C6BA0"/>
    <w:rsid w:val="005C7614"/>
    <w:rsid w:val="005D1D3D"/>
    <w:rsid w:val="005D2ECC"/>
    <w:rsid w:val="005D3B88"/>
    <w:rsid w:val="005D4066"/>
    <w:rsid w:val="005D447E"/>
    <w:rsid w:val="005D45F5"/>
    <w:rsid w:val="005D5230"/>
    <w:rsid w:val="005D6168"/>
    <w:rsid w:val="005D66B9"/>
    <w:rsid w:val="005D6A87"/>
    <w:rsid w:val="005D6BDA"/>
    <w:rsid w:val="005E07A3"/>
    <w:rsid w:val="005E092E"/>
    <w:rsid w:val="005E0E76"/>
    <w:rsid w:val="005E104C"/>
    <w:rsid w:val="005E1A20"/>
    <w:rsid w:val="005E28F6"/>
    <w:rsid w:val="005E3FA8"/>
    <w:rsid w:val="005E483B"/>
    <w:rsid w:val="005E4D25"/>
    <w:rsid w:val="005E4D44"/>
    <w:rsid w:val="005E4D90"/>
    <w:rsid w:val="005E5477"/>
    <w:rsid w:val="005E5FDB"/>
    <w:rsid w:val="005E6AB3"/>
    <w:rsid w:val="005E7FC7"/>
    <w:rsid w:val="005F005F"/>
    <w:rsid w:val="005F03DD"/>
    <w:rsid w:val="005F0B2E"/>
    <w:rsid w:val="005F26DE"/>
    <w:rsid w:val="005F2DB4"/>
    <w:rsid w:val="005F3681"/>
    <w:rsid w:val="005F3C74"/>
    <w:rsid w:val="005F44FE"/>
    <w:rsid w:val="005F4CB4"/>
    <w:rsid w:val="005F57B0"/>
    <w:rsid w:val="005F5D77"/>
    <w:rsid w:val="005F6499"/>
    <w:rsid w:val="005F6B35"/>
    <w:rsid w:val="005F70B2"/>
    <w:rsid w:val="005F7486"/>
    <w:rsid w:val="0060009E"/>
    <w:rsid w:val="006019E3"/>
    <w:rsid w:val="00601ED7"/>
    <w:rsid w:val="006025F6"/>
    <w:rsid w:val="0060276A"/>
    <w:rsid w:val="00603F2D"/>
    <w:rsid w:val="00604BBC"/>
    <w:rsid w:val="00605D2A"/>
    <w:rsid w:val="006061B2"/>
    <w:rsid w:val="00606521"/>
    <w:rsid w:val="006070A5"/>
    <w:rsid w:val="006102F1"/>
    <w:rsid w:val="00610886"/>
    <w:rsid w:val="006116E6"/>
    <w:rsid w:val="0061216A"/>
    <w:rsid w:val="00612289"/>
    <w:rsid w:val="006148DF"/>
    <w:rsid w:val="00615FDD"/>
    <w:rsid w:val="0061666F"/>
    <w:rsid w:val="006176E1"/>
    <w:rsid w:val="00617989"/>
    <w:rsid w:val="00620D6C"/>
    <w:rsid w:val="00624426"/>
    <w:rsid w:val="0062634A"/>
    <w:rsid w:val="00626BE8"/>
    <w:rsid w:val="00627479"/>
    <w:rsid w:val="006300C0"/>
    <w:rsid w:val="0063138A"/>
    <w:rsid w:val="006328D0"/>
    <w:rsid w:val="00632E34"/>
    <w:rsid w:val="006330E9"/>
    <w:rsid w:val="0063312B"/>
    <w:rsid w:val="006331D0"/>
    <w:rsid w:val="0063385C"/>
    <w:rsid w:val="00634249"/>
    <w:rsid w:val="006370D7"/>
    <w:rsid w:val="00637457"/>
    <w:rsid w:val="00637D3A"/>
    <w:rsid w:val="00640612"/>
    <w:rsid w:val="00640693"/>
    <w:rsid w:val="006410BD"/>
    <w:rsid w:val="0064227D"/>
    <w:rsid w:val="00642597"/>
    <w:rsid w:val="0064260F"/>
    <w:rsid w:val="00643BAD"/>
    <w:rsid w:val="006458A8"/>
    <w:rsid w:val="006466AE"/>
    <w:rsid w:val="00647020"/>
    <w:rsid w:val="00650508"/>
    <w:rsid w:val="0065052C"/>
    <w:rsid w:val="00650869"/>
    <w:rsid w:val="00650E6A"/>
    <w:rsid w:val="0065179F"/>
    <w:rsid w:val="00651941"/>
    <w:rsid w:val="00651F6A"/>
    <w:rsid w:val="0065403C"/>
    <w:rsid w:val="00654167"/>
    <w:rsid w:val="006552CB"/>
    <w:rsid w:val="00656A55"/>
    <w:rsid w:val="00657593"/>
    <w:rsid w:val="00660B80"/>
    <w:rsid w:val="00660E4B"/>
    <w:rsid w:val="00663719"/>
    <w:rsid w:val="006638BC"/>
    <w:rsid w:val="00665F68"/>
    <w:rsid w:val="00665FD1"/>
    <w:rsid w:val="00666206"/>
    <w:rsid w:val="006666D8"/>
    <w:rsid w:val="00667C76"/>
    <w:rsid w:val="006708A9"/>
    <w:rsid w:val="006708ED"/>
    <w:rsid w:val="00670C95"/>
    <w:rsid w:val="00671520"/>
    <w:rsid w:val="0067237C"/>
    <w:rsid w:val="00673B39"/>
    <w:rsid w:val="00674A93"/>
    <w:rsid w:val="00674AB2"/>
    <w:rsid w:val="00675E9C"/>
    <w:rsid w:val="006763A3"/>
    <w:rsid w:val="00676817"/>
    <w:rsid w:val="00676BF6"/>
    <w:rsid w:val="0067744A"/>
    <w:rsid w:val="00677754"/>
    <w:rsid w:val="00677A29"/>
    <w:rsid w:val="00680962"/>
    <w:rsid w:val="006812D9"/>
    <w:rsid w:val="006813A1"/>
    <w:rsid w:val="00682E77"/>
    <w:rsid w:val="00682F9A"/>
    <w:rsid w:val="006836E3"/>
    <w:rsid w:val="00685756"/>
    <w:rsid w:val="00685768"/>
    <w:rsid w:val="00685C2E"/>
    <w:rsid w:val="006902D4"/>
    <w:rsid w:val="00691FB6"/>
    <w:rsid w:val="006925CE"/>
    <w:rsid w:val="0069291F"/>
    <w:rsid w:val="00692C8C"/>
    <w:rsid w:val="00692CDE"/>
    <w:rsid w:val="006939EE"/>
    <w:rsid w:val="00696FF9"/>
    <w:rsid w:val="00697483"/>
    <w:rsid w:val="00697605"/>
    <w:rsid w:val="00697A18"/>
    <w:rsid w:val="006A1711"/>
    <w:rsid w:val="006A28A0"/>
    <w:rsid w:val="006A2D2E"/>
    <w:rsid w:val="006A335C"/>
    <w:rsid w:val="006A3BEB"/>
    <w:rsid w:val="006A73CA"/>
    <w:rsid w:val="006B15EE"/>
    <w:rsid w:val="006B1993"/>
    <w:rsid w:val="006B19D7"/>
    <w:rsid w:val="006B1EB8"/>
    <w:rsid w:val="006B2072"/>
    <w:rsid w:val="006B2748"/>
    <w:rsid w:val="006B2CDE"/>
    <w:rsid w:val="006B465F"/>
    <w:rsid w:val="006B6C9D"/>
    <w:rsid w:val="006C06A1"/>
    <w:rsid w:val="006C0F22"/>
    <w:rsid w:val="006C13B1"/>
    <w:rsid w:val="006C2240"/>
    <w:rsid w:val="006C260B"/>
    <w:rsid w:val="006C298E"/>
    <w:rsid w:val="006C33F1"/>
    <w:rsid w:val="006C35C5"/>
    <w:rsid w:val="006C4176"/>
    <w:rsid w:val="006C4CF2"/>
    <w:rsid w:val="006C51D2"/>
    <w:rsid w:val="006C66EF"/>
    <w:rsid w:val="006D07AA"/>
    <w:rsid w:val="006D0C57"/>
    <w:rsid w:val="006D13B5"/>
    <w:rsid w:val="006D1B0D"/>
    <w:rsid w:val="006D209E"/>
    <w:rsid w:val="006D24CA"/>
    <w:rsid w:val="006D2617"/>
    <w:rsid w:val="006D2F2D"/>
    <w:rsid w:val="006D3E6A"/>
    <w:rsid w:val="006D52FF"/>
    <w:rsid w:val="006D6BD2"/>
    <w:rsid w:val="006D7386"/>
    <w:rsid w:val="006D79B1"/>
    <w:rsid w:val="006E0782"/>
    <w:rsid w:val="006E1257"/>
    <w:rsid w:val="006E20B8"/>
    <w:rsid w:val="006E2265"/>
    <w:rsid w:val="006E32DC"/>
    <w:rsid w:val="006E4BE5"/>
    <w:rsid w:val="006E5443"/>
    <w:rsid w:val="006E55C0"/>
    <w:rsid w:val="006E5EB8"/>
    <w:rsid w:val="006E636C"/>
    <w:rsid w:val="006E6454"/>
    <w:rsid w:val="006E6732"/>
    <w:rsid w:val="006E69C2"/>
    <w:rsid w:val="006E74CE"/>
    <w:rsid w:val="006F0442"/>
    <w:rsid w:val="006F0865"/>
    <w:rsid w:val="006F18BB"/>
    <w:rsid w:val="006F3101"/>
    <w:rsid w:val="006F3F65"/>
    <w:rsid w:val="006F48AA"/>
    <w:rsid w:val="006F5492"/>
    <w:rsid w:val="006F5D02"/>
    <w:rsid w:val="006F69B5"/>
    <w:rsid w:val="007008D6"/>
    <w:rsid w:val="00700AA3"/>
    <w:rsid w:val="00701302"/>
    <w:rsid w:val="0070244D"/>
    <w:rsid w:val="00702879"/>
    <w:rsid w:val="00702B68"/>
    <w:rsid w:val="00705029"/>
    <w:rsid w:val="0070517D"/>
    <w:rsid w:val="00705238"/>
    <w:rsid w:val="00706613"/>
    <w:rsid w:val="00706B01"/>
    <w:rsid w:val="007075B5"/>
    <w:rsid w:val="00710466"/>
    <w:rsid w:val="00710B2B"/>
    <w:rsid w:val="00710D7C"/>
    <w:rsid w:val="00711082"/>
    <w:rsid w:val="007113F4"/>
    <w:rsid w:val="007142BA"/>
    <w:rsid w:val="00714823"/>
    <w:rsid w:val="007165AB"/>
    <w:rsid w:val="00717197"/>
    <w:rsid w:val="0071789F"/>
    <w:rsid w:val="00720916"/>
    <w:rsid w:val="00721395"/>
    <w:rsid w:val="00721556"/>
    <w:rsid w:val="00721D1D"/>
    <w:rsid w:val="007222EE"/>
    <w:rsid w:val="00722BFB"/>
    <w:rsid w:val="007239E8"/>
    <w:rsid w:val="00727DFC"/>
    <w:rsid w:val="00727FEE"/>
    <w:rsid w:val="00730088"/>
    <w:rsid w:val="00731A84"/>
    <w:rsid w:val="00731E3C"/>
    <w:rsid w:val="00732308"/>
    <w:rsid w:val="00733227"/>
    <w:rsid w:val="00734005"/>
    <w:rsid w:val="0073452A"/>
    <w:rsid w:val="0074220B"/>
    <w:rsid w:val="007424C9"/>
    <w:rsid w:val="007447DE"/>
    <w:rsid w:val="0074666A"/>
    <w:rsid w:val="00747222"/>
    <w:rsid w:val="007479B8"/>
    <w:rsid w:val="00747B18"/>
    <w:rsid w:val="00747BFA"/>
    <w:rsid w:val="00750574"/>
    <w:rsid w:val="00750898"/>
    <w:rsid w:val="0075369F"/>
    <w:rsid w:val="0075415A"/>
    <w:rsid w:val="00757C07"/>
    <w:rsid w:val="00757E7F"/>
    <w:rsid w:val="00757E99"/>
    <w:rsid w:val="00761E67"/>
    <w:rsid w:val="007625AE"/>
    <w:rsid w:val="00762B23"/>
    <w:rsid w:val="0076356A"/>
    <w:rsid w:val="00764ED8"/>
    <w:rsid w:val="007659D3"/>
    <w:rsid w:val="00766D9D"/>
    <w:rsid w:val="00767DE5"/>
    <w:rsid w:val="007711A2"/>
    <w:rsid w:val="00773023"/>
    <w:rsid w:val="00773559"/>
    <w:rsid w:val="007735A2"/>
    <w:rsid w:val="007736E5"/>
    <w:rsid w:val="00773C9F"/>
    <w:rsid w:val="00774A95"/>
    <w:rsid w:val="00774D4B"/>
    <w:rsid w:val="007751D8"/>
    <w:rsid w:val="007756DB"/>
    <w:rsid w:val="00777043"/>
    <w:rsid w:val="00777279"/>
    <w:rsid w:val="007777E9"/>
    <w:rsid w:val="007807B7"/>
    <w:rsid w:val="0078127A"/>
    <w:rsid w:val="0078230A"/>
    <w:rsid w:val="00782DFE"/>
    <w:rsid w:val="007834D1"/>
    <w:rsid w:val="00783AF2"/>
    <w:rsid w:val="00784A95"/>
    <w:rsid w:val="007854DE"/>
    <w:rsid w:val="007859B8"/>
    <w:rsid w:val="00786BC6"/>
    <w:rsid w:val="00786F11"/>
    <w:rsid w:val="00786FDB"/>
    <w:rsid w:val="00787452"/>
    <w:rsid w:val="00787E46"/>
    <w:rsid w:val="00790DB0"/>
    <w:rsid w:val="007942F8"/>
    <w:rsid w:val="00794876"/>
    <w:rsid w:val="00795FEB"/>
    <w:rsid w:val="00797AF2"/>
    <w:rsid w:val="007A024B"/>
    <w:rsid w:val="007A23E5"/>
    <w:rsid w:val="007A2E16"/>
    <w:rsid w:val="007A305D"/>
    <w:rsid w:val="007A4D9A"/>
    <w:rsid w:val="007A6609"/>
    <w:rsid w:val="007A6EAC"/>
    <w:rsid w:val="007A78FD"/>
    <w:rsid w:val="007B060F"/>
    <w:rsid w:val="007B0B5C"/>
    <w:rsid w:val="007B1F65"/>
    <w:rsid w:val="007B21B6"/>
    <w:rsid w:val="007B2987"/>
    <w:rsid w:val="007B4ECF"/>
    <w:rsid w:val="007B6316"/>
    <w:rsid w:val="007B6C42"/>
    <w:rsid w:val="007B6CB7"/>
    <w:rsid w:val="007B7505"/>
    <w:rsid w:val="007B7688"/>
    <w:rsid w:val="007B7B73"/>
    <w:rsid w:val="007C0AC0"/>
    <w:rsid w:val="007C16F9"/>
    <w:rsid w:val="007C204E"/>
    <w:rsid w:val="007C26E8"/>
    <w:rsid w:val="007C292B"/>
    <w:rsid w:val="007C2CED"/>
    <w:rsid w:val="007C3CC5"/>
    <w:rsid w:val="007C6AD0"/>
    <w:rsid w:val="007C7A82"/>
    <w:rsid w:val="007D23CD"/>
    <w:rsid w:val="007D2501"/>
    <w:rsid w:val="007D35EC"/>
    <w:rsid w:val="007D50F6"/>
    <w:rsid w:val="007D56E8"/>
    <w:rsid w:val="007D620E"/>
    <w:rsid w:val="007D74A2"/>
    <w:rsid w:val="007D7987"/>
    <w:rsid w:val="007E079A"/>
    <w:rsid w:val="007E1922"/>
    <w:rsid w:val="007E1F61"/>
    <w:rsid w:val="007E283B"/>
    <w:rsid w:val="007E3312"/>
    <w:rsid w:val="007E3AD9"/>
    <w:rsid w:val="007E4279"/>
    <w:rsid w:val="007E4867"/>
    <w:rsid w:val="007E50DD"/>
    <w:rsid w:val="007E5E09"/>
    <w:rsid w:val="007E6830"/>
    <w:rsid w:val="007E6C67"/>
    <w:rsid w:val="007E717A"/>
    <w:rsid w:val="007E72A9"/>
    <w:rsid w:val="007E75E2"/>
    <w:rsid w:val="007E7B13"/>
    <w:rsid w:val="007F0A45"/>
    <w:rsid w:val="007F0F79"/>
    <w:rsid w:val="007F133C"/>
    <w:rsid w:val="007F13DF"/>
    <w:rsid w:val="007F16F3"/>
    <w:rsid w:val="007F2DC3"/>
    <w:rsid w:val="007F4CEF"/>
    <w:rsid w:val="007F628D"/>
    <w:rsid w:val="007F7B6C"/>
    <w:rsid w:val="007F7BE5"/>
    <w:rsid w:val="007F7CC3"/>
    <w:rsid w:val="00800ADE"/>
    <w:rsid w:val="0080151A"/>
    <w:rsid w:val="00801B97"/>
    <w:rsid w:val="00802988"/>
    <w:rsid w:val="0080317C"/>
    <w:rsid w:val="0080507F"/>
    <w:rsid w:val="00805538"/>
    <w:rsid w:val="00806B9B"/>
    <w:rsid w:val="00807303"/>
    <w:rsid w:val="0080797F"/>
    <w:rsid w:val="00807F2F"/>
    <w:rsid w:val="0081005A"/>
    <w:rsid w:val="00810F7B"/>
    <w:rsid w:val="008116C2"/>
    <w:rsid w:val="00811F30"/>
    <w:rsid w:val="00812429"/>
    <w:rsid w:val="008131A5"/>
    <w:rsid w:val="00813302"/>
    <w:rsid w:val="008133D6"/>
    <w:rsid w:val="00813484"/>
    <w:rsid w:val="0081461B"/>
    <w:rsid w:val="00814B0F"/>
    <w:rsid w:val="00814E4F"/>
    <w:rsid w:val="008154F8"/>
    <w:rsid w:val="00816E1B"/>
    <w:rsid w:val="008172EB"/>
    <w:rsid w:val="008176E5"/>
    <w:rsid w:val="008177A4"/>
    <w:rsid w:val="00817BE0"/>
    <w:rsid w:val="00820F6E"/>
    <w:rsid w:val="008214CF"/>
    <w:rsid w:val="00821785"/>
    <w:rsid w:val="00821B1D"/>
    <w:rsid w:val="00822297"/>
    <w:rsid w:val="008238F3"/>
    <w:rsid w:val="00823B30"/>
    <w:rsid w:val="00825375"/>
    <w:rsid w:val="0082706D"/>
    <w:rsid w:val="008274C0"/>
    <w:rsid w:val="00827B31"/>
    <w:rsid w:val="0083054E"/>
    <w:rsid w:val="00833E68"/>
    <w:rsid w:val="00834626"/>
    <w:rsid w:val="0083559B"/>
    <w:rsid w:val="0083690D"/>
    <w:rsid w:val="00840A76"/>
    <w:rsid w:val="00841046"/>
    <w:rsid w:val="008415A0"/>
    <w:rsid w:val="00846257"/>
    <w:rsid w:val="008464E9"/>
    <w:rsid w:val="008466BA"/>
    <w:rsid w:val="008472A2"/>
    <w:rsid w:val="00847789"/>
    <w:rsid w:val="00847FA4"/>
    <w:rsid w:val="0085089C"/>
    <w:rsid w:val="0085181D"/>
    <w:rsid w:val="00851AF8"/>
    <w:rsid w:val="008527CB"/>
    <w:rsid w:val="00852F05"/>
    <w:rsid w:val="00853082"/>
    <w:rsid w:val="0085364B"/>
    <w:rsid w:val="00853702"/>
    <w:rsid w:val="008543E6"/>
    <w:rsid w:val="0085550F"/>
    <w:rsid w:val="00856C63"/>
    <w:rsid w:val="00856D6C"/>
    <w:rsid w:val="008602BA"/>
    <w:rsid w:val="00860470"/>
    <w:rsid w:val="00860489"/>
    <w:rsid w:val="00860F13"/>
    <w:rsid w:val="008616D8"/>
    <w:rsid w:val="008622E2"/>
    <w:rsid w:val="008643F3"/>
    <w:rsid w:val="008645F8"/>
    <w:rsid w:val="008651F0"/>
    <w:rsid w:val="00865BF3"/>
    <w:rsid w:val="00866993"/>
    <w:rsid w:val="00867213"/>
    <w:rsid w:val="00870C0C"/>
    <w:rsid w:val="008719FC"/>
    <w:rsid w:val="00872C6F"/>
    <w:rsid w:val="0087366B"/>
    <w:rsid w:val="00874158"/>
    <w:rsid w:val="00874366"/>
    <w:rsid w:val="00874749"/>
    <w:rsid w:val="00874B5C"/>
    <w:rsid w:val="0087566F"/>
    <w:rsid w:val="00875E31"/>
    <w:rsid w:val="008762D8"/>
    <w:rsid w:val="008766F5"/>
    <w:rsid w:val="008772F5"/>
    <w:rsid w:val="00877D80"/>
    <w:rsid w:val="00877DEE"/>
    <w:rsid w:val="00877F13"/>
    <w:rsid w:val="008800F1"/>
    <w:rsid w:val="008802F0"/>
    <w:rsid w:val="00880774"/>
    <w:rsid w:val="00880ACB"/>
    <w:rsid w:val="00880F76"/>
    <w:rsid w:val="00882988"/>
    <w:rsid w:val="0088501C"/>
    <w:rsid w:val="008851A1"/>
    <w:rsid w:val="008865F3"/>
    <w:rsid w:val="0088677F"/>
    <w:rsid w:val="00887C79"/>
    <w:rsid w:val="0089071B"/>
    <w:rsid w:val="00890809"/>
    <w:rsid w:val="0089155D"/>
    <w:rsid w:val="00891A48"/>
    <w:rsid w:val="00892E5F"/>
    <w:rsid w:val="008942C3"/>
    <w:rsid w:val="00894679"/>
    <w:rsid w:val="008953FA"/>
    <w:rsid w:val="0089552F"/>
    <w:rsid w:val="0089603D"/>
    <w:rsid w:val="00896795"/>
    <w:rsid w:val="00897035"/>
    <w:rsid w:val="008A2116"/>
    <w:rsid w:val="008A3263"/>
    <w:rsid w:val="008A396D"/>
    <w:rsid w:val="008A3B09"/>
    <w:rsid w:val="008A4AAD"/>
    <w:rsid w:val="008A69DB"/>
    <w:rsid w:val="008A79AF"/>
    <w:rsid w:val="008B1589"/>
    <w:rsid w:val="008B184F"/>
    <w:rsid w:val="008B1DAB"/>
    <w:rsid w:val="008B20C0"/>
    <w:rsid w:val="008B2F8C"/>
    <w:rsid w:val="008B3AB2"/>
    <w:rsid w:val="008B5393"/>
    <w:rsid w:val="008B5CF2"/>
    <w:rsid w:val="008B74DD"/>
    <w:rsid w:val="008B74E0"/>
    <w:rsid w:val="008B74F7"/>
    <w:rsid w:val="008C0BA4"/>
    <w:rsid w:val="008C1A96"/>
    <w:rsid w:val="008C2D4E"/>
    <w:rsid w:val="008C2D95"/>
    <w:rsid w:val="008C2FFC"/>
    <w:rsid w:val="008C3739"/>
    <w:rsid w:val="008C3F00"/>
    <w:rsid w:val="008C52EB"/>
    <w:rsid w:val="008C6977"/>
    <w:rsid w:val="008C72B5"/>
    <w:rsid w:val="008D03FE"/>
    <w:rsid w:val="008D0BD8"/>
    <w:rsid w:val="008D10FD"/>
    <w:rsid w:val="008D122F"/>
    <w:rsid w:val="008D31B8"/>
    <w:rsid w:val="008D5588"/>
    <w:rsid w:val="008D5593"/>
    <w:rsid w:val="008D55C4"/>
    <w:rsid w:val="008D573F"/>
    <w:rsid w:val="008D5F60"/>
    <w:rsid w:val="008D63B0"/>
    <w:rsid w:val="008D656A"/>
    <w:rsid w:val="008D6BB1"/>
    <w:rsid w:val="008D727F"/>
    <w:rsid w:val="008E01BE"/>
    <w:rsid w:val="008E0DB9"/>
    <w:rsid w:val="008E1E64"/>
    <w:rsid w:val="008E2168"/>
    <w:rsid w:val="008E3445"/>
    <w:rsid w:val="008E3D8C"/>
    <w:rsid w:val="008E523F"/>
    <w:rsid w:val="008E5CEF"/>
    <w:rsid w:val="008F0210"/>
    <w:rsid w:val="008F076F"/>
    <w:rsid w:val="008F15CB"/>
    <w:rsid w:val="008F1C5E"/>
    <w:rsid w:val="008F2600"/>
    <w:rsid w:val="008F3D98"/>
    <w:rsid w:val="008F47D6"/>
    <w:rsid w:val="008F5D52"/>
    <w:rsid w:val="008F7085"/>
    <w:rsid w:val="00900067"/>
    <w:rsid w:val="00902404"/>
    <w:rsid w:val="009037A9"/>
    <w:rsid w:val="0090382C"/>
    <w:rsid w:val="00904429"/>
    <w:rsid w:val="00904F17"/>
    <w:rsid w:val="00910C6E"/>
    <w:rsid w:val="00911105"/>
    <w:rsid w:val="00911500"/>
    <w:rsid w:val="00911776"/>
    <w:rsid w:val="0091372E"/>
    <w:rsid w:val="00914CE8"/>
    <w:rsid w:val="00917B7A"/>
    <w:rsid w:val="009200A7"/>
    <w:rsid w:val="00921D29"/>
    <w:rsid w:val="00922966"/>
    <w:rsid w:val="00922A8C"/>
    <w:rsid w:val="00923BEC"/>
    <w:rsid w:val="009257F1"/>
    <w:rsid w:val="00926172"/>
    <w:rsid w:val="009268B3"/>
    <w:rsid w:val="0092710A"/>
    <w:rsid w:val="00927FDF"/>
    <w:rsid w:val="009306DF"/>
    <w:rsid w:val="00930F50"/>
    <w:rsid w:val="0093151E"/>
    <w:rsid w:val="009322D2"/>
    <w:rsid w:val="0093240B"/>
    <w:rsid w:val="009342C0"/>
    <w:rsid w:val="00934B8F"/>
    <w:rsid w:val="00935C38"/>
    <w:rsid w:val="00935E3F"/>
    <w:rsid w:val="009366AE"/>
    <w:rsid w:val="00937240"/>
    <w:rsid w:val="00937AE3"/>
    <w:rsid w:val="00937D24"/>
    <w:rsid w:val="00940883"/>
    <w:rsid w:val="0094139D"/>
    <w:rsid w:val="009427C8"/>
    <w:rsid w:val="00943175"/>
    <w:rsid w:val="00943659"/>
    <w:rsid w:val="00944CE0"/>
    <w:rsid w:val="00945667"/>
    <w:rsid w:val="00945A61"/>
    <w:rsid w:val="00945E97"/>
    <w:rsid w:val="00946AD6"/>
    <w:rsid w:val="00946C38"/>
    <w:rsid w:val="009477BF"/>
    <w:rsid w:val="00950C77"/>
    <w:rsid w:val="0095109E"/>
    <w:rsid w:val="009511AA"/>
    <w:rsid w:val="009528A5"/>
    <w:rsid w:val="009535B8"/>
    <w:rsid w:val="0095703C"/>
    <w:rsid w:val="0095741D"/>
    <w:rsid w:val="00957728"/>
    <w:rsid w:val="00957E16"/>
    <w:rsid w:val="0096201F"/>
    <w:rsid w:val="00965EEB"/>
    <w:rsid w:val="00966A58"/>
    <w:rsid w:val="00967B3E"/>
    <w:rsid w:val="00970373"/>
    <w:rsid w:val="009712A7"/>
    <w:rsid w:val="0097288F"/>
    <w:rsid w:val="009739BC"/>
    <w:rsid w:val="0097449A"/>
    <w:rsid w:val="009750F9"/>
    <w:rsid w:val="0097552A"/>
    <w:rsid w:val="0097663B"/>
    <w:rsid w:val="0097716F"/>
    <w:rsid w:val="009771B5"/>
    <w:rsid w:val="0097748B"/>
    <w:rsid w:val="009803A1"/>
    <w:rsid w:val="0098207E"/>
    <w:rsid w:val="00983263"/>
    <w:rsid w:val="00983EDA"/>
    <w:rsid w:val="009848C4"/>
    <w:rsid w:val="0098642B"/>
    <w:rsid w:val="0098643A"/>
    <w:rsid w:val="00986A5C"/>
    <w:rsid w:val="0099064E"/>
    <w:rsid w:val="00990AAE"/>
    <w:rsid w:val="009915FB"/>
    <w:rsid w:val="009923D5"/>
    <w:rsid w:val="009924D6"/>
    <w:rsid w:val="00992AC0"/>
    <w:rsid w:val="00992EBC"/>
    <w:rsid w:val="009932C0"/>
    <w:rsid w:val="00995D30"/>
    <w:rsid w:val="00996CB3"/>
    <w:rsid w:val="009973AA"/>
    <w:rsid w:val="00997818"/>
    <w:rsid w:val="009A0379"/>
    <w:rsid w:val="009A08A6"/>
    <w:rsid w:val="009A09CD"/>
    <w:rsid w:val="009A2F2F"/>
    <w:rsid w:val="009A3252"/>
    <w:rsid w:val="009A346F"/>
    <w:rsid w:val="009A4189"/>
    <w:rsid w:val="009A5CAE"/>
    <w:rsid w:val="009A604F"/>
    <w:rsid w:val="009A61E8"/>
    <w:rsid w:val="009A6FCE"/>
    <w:rsid w:val="009B1D34"/>
    <w:rsid w:val="009B27AE"/>
    <w:rsid w:val="009B3CAC"/>
    <w:rsid w:val="009B3DE0"/>
    <w:rsid w:val="009B4553"/>
    <w:rsid w:val="009B5713"/>
    <w:rsid w:val="009B6120"/>
    <w:rsid w:val="009C0BE6"/>
    <w:rsid w:val="009C16AE"/>
    <w:rsid w:val="009C19E6"/>
    <w:rsid w:val="009C2F76"/>
    <w:rsid w:val="009C5416"/>
    <w:rsid w:val="009C5AD4"/>
    <w:rsid w:val="009C62C5"/>
    <w:rsid w:val="009C6AE7"/>
    <w:rsid w:val="009C758C"/>
    <w:rsid w:val="009D0410"/>
    <w:rsid w:val="009D136C"/>
    <w:rsid w:val="009D3324"/>
    <w:rsid w:val="009D6104"/>
    <w:rsid w:val="009E00B2"/>
    <w:rsid w:val="009E07BA"/>
    <w:rsid w:val="009E21CD"/>
    <w:rsid w:val="009E2A07"/>
    <w:rsid w:val="009E2DE4"/>
    <w:rsid w:val="009E3789"/>
    <w:rsid w:val="009E49FA"/>
    <w:rsid w:val="009E5076"/>
    <w:rsid w:val="009E61D4"/>
    <w:rsid w:val="009E655F"/>
    <w:rsid w:val="009E6D5D"/>
    <w:rsid w:val="009E738F"/>
    <w:rsid w:val="009E75A2"/>
    <w:rsid w:val="009F0F9C"/>
    <w:rsid w:val="009F18E0"/>
    <w:rsid w:val="009F21DD"/>
    <w:rsid w:val="009F39B1"/>
    <w:rsid w:val="009F3A1F"/>
    <w:rsid w:val="009F43AF"/>
    <w:rsid w:val="009F4F79"/>
    <w:rsid w:val="009F5312"/>
    <w:rsid w:val="009F6552"/>
    <w:rsid w:val="009F69AF"/>
    <w:rsid w:val="00A00798"/>
    <w:rsid w:val="00A00F23"/>
    <w:rsid w:val="00A021CD"/>
    <w:rsid w:val="00A023BA"/>
    <w:rsid w:val="00A02655"/>
    <w:rsid w:val="00A02AEC"/>
    <w:rsid w:val="00A04F38"/>
    <w:rsid w:val="00A0505C"/>
    <w:rsid w:val="00A058D3"/>
    <w:rsid w:val="00A0594A"/>
    <w:rsid w:val="00A05C97"/>
    <w:rsid w:val="00A0614C"/>
    <w:rsid w:val="00A06D8E"/>
    <w:rsid w:val="00A1051E"/>
    <w:rsid w:val="00A10B14"/>
    <w:rsid w:val="00A11E8C"/>
    <w:rsid w:val="00A12430"/>
    <w:rsid w:val="00A12806"/>
    <w:rsid w:val="00A12930"/>
    <w:rsid w:val="00A12C47"/>
    <w:rsid w:val="00A13378"/>
    <w:rsid w:val="00A13531"/>
    <w:rsid w:val="00A14077"/>
    <w:rsid w:val="00A15DAC"/>
    <w:rsid w:val="00A16F4D"/>
    <w:rsid w:val="00A17C4C"/>
    <w:rsid w:val="00A22611"/>
    <w:rsid w:val="00A231CE"/>
    <w:rsid w:val="00A23697"/>
    <w:rsid w:val="00A23E04"/>
    <w:rsid w:val="00A25535"/>
    <w:rsid w:val="00A2653B"/>
    <w:rsid w:val="00A30B14"/>
    <w:rsid w:val="00A31205"/>
    <w:rsid w:val="00A31C6F"/>
    <w:rsid w:val="00A32817"/>
    <w:rsid w:val="00A3347A"/>
    <w:rsid w:val="00A341A1"/>
    <w:rsid w:val="00A3569B"/>
    <w:rsid w:val="00A36DC6"/>
    <w:rsid w:val="00A36E10"/>
    <w:rsid w:val="00A37E9C"/>
    <w:rsid w:val="00A401A0"/>
    <w:rsid w:val="00A409D4"/>
    <w:rsid w:val="00A40EE2"/>
    <w:rsid w:val="00A44530"/>
    <w:rsid w:val="00A4536C"/>
    <w:rsid w:val="00A454AF"/>
    <w:rsid w:val="00A464FC"/>
    <w:rsid w:val="00A46C15"/>
    <w:rsid w:val="00A46E3E"/>
    <w:rsid w:val="00A501E1"/>
    <w:rsid w:val="00A50DC0"/>
    <w:rsid w:val="00A512DF"/>
    <w:rsid w:val="00A5168E"/>
    <w:rsid w:val="00A52DBB"/>
    <w:rsid w:val="00A52FA6"/>
    <w:rsid w:val="00A6014B"/>
    <w:rsid w:val="00A61218"/>
    <w:rsid w:val="00A61EDA"/>
    <w:rsid w:val="00A63695"/>
    <w:rsid w:val="00A6398B"/>
    <w:rsid w:val="00A644CF"/>
    <w:rsid w:val="00A64D2E"/>
    <w:rsid w:val="00A6574A"/>
    <w:rsid w:val="00A6644D"/>
    <w:rsid w:val="00A664F4"/>
    <w:rsid w:val="00A67E71"/>
    <w:rsid w:val="00A70C74"/>
    <w:rsid w:val="00A70D97"/>
    <w:rsid w:val="00A71D79"/>
    <w:rsid w:val="00A71D94"/>
    <w:rsid w:val="00A72376"/>
    <w:rsid w:val="00A72F06"/>
    <w:rsid w:val="00A730F2"/>
    <w:rsid w:val="00A737E7"/>
    <w:rsid w:val="00A75FD8"/>
    <w:rsid w:val="00A76F07"/>
    <w:rsid w:val="00A77BCF"/>
    <w:rsid w:val="00A77EAB"/>
    <w:rsid w:val="00A77FFD"/>
    <w:rsid w:val="00A801D5"/>
    <w:rsid w:val="00A80521"/>
    <w:rsid w:val="00A80CA1"/>
    <w:rsid w:val="00A811E3"/>
    <w:rsid w:val="00A811E5"/>
    <w:rsid w:val="00A81357"/>
    <w:rsid w:val="00A82290"/>
    <w:rsid w:val="00A8332A"/>
    <w:rsid w:val="00A8335D"/>
    <w:rsid w:val="00A8373E"/>
    <w:rsid w:val="00A83ACC"/>
    <w:rsid w:val="00A83EC2"/>
    <w:rsid w:val="00A84C86"/>
    <w:rsid w:val="00A85B1A"/>
    <w:rsid w:val="00A8625A"/>
    <w:rsid w:val="00A8716B"/>
    <w:rsid w:val="00A8750C"/>
    <w:rsid w:val="00A927F6"/>
    <w:rsid w:val="00A93617"/>
    <w:rsid w:val="00A93EBA"/>
    <w:rsid w:val="00A94686"/>
    <w:rsid w:val="00A96868"/>
    <w:rsid w:val="00A97388"/>
    <w:rsid w:val="00AA00EC"/>
    <w:rsid w:val="00AA0808"/>
    <w:rsid w:val="00AA1A32"/>
    <w:rsid w:val="00AA3541"/>
    <w:rsid w:val="00AA3645"/>
    <w:rsid w:val="00AA41B7"/>
    <w:rsid w:val="00AB0F93"/>
    <w:rsid w:val="00AB1208"/>
    <w:rsid w:val="00AB1470"/>
    <w:rsid w:val="00AB1EF4"/>
    <w:rsid w:val="00AB325E"/>
    <w:rsid w:val="00AB4554"/>
    <w:rsid w:val="00AB63ED"/>
    <w:rsid w:val="00AB6D01"/>
    <w:rsid w:val="00AB6D9C"/>
    <w:rsid w:val="00AB7399"/>
    <w:rsid w:val="00AC0E1A"/>
    <w:rsid w:val="00AC118A"/>
    <w:rsid w:val="00AC14E9"/>
    <w:rsid w:val="00AC298A"/>
    <w:rsid w:val="00AC32BB"/>
    <w:rsid w:val="00AC47B6"/>
    <w:rsid w:val="00AC6064"/>
    <w:rsid w:val="00AC6478"/>
    <w:rsid w:val="00AC65B3"/>
    <w:rsid w:val="00AC6958"/>
    <w:rsid w:val="00AD15FF"/>
    <w:rsid w:val="00AD2F55"/>
    <w:rsid w:val="00AD595B"/>
    <w:rsid w:val="00AD6D37"/>
    <w:rsid w:val="00AD7A76"/>
    <w:rsid w:val="00AD7DF9"/>
    <w:rsid w:val="00AE0B2D"/>
    <w:rsid w:val="00AE1815"/>
    <w:rsid w:val="00AE29BB"/>
    <w:rsid w:val="00AE2B5C"/>
    <w:rsid w:val="00AE2CAF"/>
    <w:rsid w:val="00AE34FE"/>
    <w:rsid w:val="00AE39EE"/>
    <w:rsid w:val="00AE45D9"/>
    <w:rsid w:val="00AE524A"/>
    <w:rsid w:val="00AE57D3"/>
    <w:rsid w:val="00AE5EA2"/>
    <w:rsid w:val="00AE6C90"/>
    <w:rsid w:val="00AF00EE"/>
    <w:rsid w:val="00AF0C5C"/>
    <w:rsid w:val="00AF0FDE"/>
    <w:rsid w:val="00AF33D9"/>
    <w:rsid w:val="00AF3588"/>
    <w:rsid w:val="00AF45B0"/>
    <w:rsid w:val="00AF4D61"/>
    <w:rsid w:val="00AF589A"/>
    <w:rsid w:val="00AF7751"/>
    <w:rsid w:val="00AF79A7"/>
    <w:rsid w:val="00AF7D07"/>
    <w:rsid w:val="00B002E4"/>
    <w:rsid w:val="00B00F90"/>
    <w:rsid w:val="00B00FD9"/>
    <w:rsid w:val="00B01A4F"/>
    <w:rsid w:val="00B01EA8"/>
    <w:rsid w:val="00B02533"/>
    <w:rsid w:val="00B02C71"/>
    <w:rsid w:val="00B02E20"/>
    <w:rsid w:val="00B044A5"/>
    <w:rsid w:val="00B05C21"/>
    <w:rsid w:val="00B05C4B"/>
    <w:rsid w:val="00B064CA"/>
    <w:rsid w:val="00B0672E"/>
    <w:rsid w:val="00B06FFA"/>
    <w:rsid w:val="00B101F9"/>
    <w:rsid w:val="00B10824"/>
    <w:rsid w:val="00B13AB0"/>
    <w:rsid w:val="00B13F7A"/>
    <w:rsid w:val="00B2157B"/>
    <w:rsid w:val="00B21F66"/>
    <w:rsid w:val="00B25406"/>
    <w:rsid w:val="00B255FB"/>
    <w:rsid w:val="00B269B7"/>
    <w:rsid w:val="00B27893"/>
    <w:rsid w:val="00B310CF"/>
    <w:rsid w:val="00B32228"/>
    <w:rsid w:val="00B332B2"/>
    <w:rsid w:val="00B334EF"/>
    <w:rsid w:val="00B34CCC"/>
    <w:rsid w:val="00B35099"/>
    <w:rsid w:val="00B35496"/>
    <w:rsid w:val="00B35A6F"/>
    <w:rsid w:val="00B365B9"/>
    <w:rsid w:val="00B366B8"/>
    <w:rsid w:val="00B36EC7"/>
    <w:rsid w:val="00B36EDD"/>
    <w:rsid w:val="00B36F0F"/>
    <w:rsid w:val="00B37EBD"/>
    <w:rsid w:val="00B404AC"/>
    <w:rsid w:val="00B410F0"/>
    <w:rsid w:val="00B41699"/>
    <w:rsid w:val="00B418B9"/>
    <w:rsid w:val="00B43EE6"/>
    <w:rsid w:val="00B45925"/>
    <w:rsid w:val="00B46955"/>
    <w:rsid w:val="00B47C05"/>
    <w:rsid w:val="00B47FBB"/>
    <w:rsid w:val="00B50456"/>
    <w:rsid w:val="00B51E7C"/>
    <w:rsid w:val="00B52D53"/>
    <w:rsid w:val="00B534A2"/>
    <w:rsid w:val="00B53B9E"/>
    <w:rsid w:val="00B53CEA"/>
    <w:rsid w:val="00B55724"/>
    <w:rsid w:val="00B56590"/>
    <w:rsid w:val="00B57F9D"/>
    <w:rsid w:val="00B61BF5"/>
    <w:rsid w:val="00B61C97"/>
    <w:rsid w:val="00B628C5"/>
    <w:rsid w:val="00B64296"/>
    <w:rsid w:val="00B64413"/>
    <w:rsid w:val="00B6458C"/>
    <w:rsid w:val="00B64BC4"/>
    <w:rsid w:val="00B6528C"/>
    <w:rsid w:val="00B657FD"/>
    <w:rsid w:val="00B65CE9"/>
    <w:rsid w:val="00B65F03"/>
    <w:rsid w:val="00B67438"/>
    <w:rsid w:val="00B6753A"/>
    <w:rsid w:val="00B67EBE"/>
    <w:rsid w:val="00B70130"/>
    <w:rsid w:val="00B70551"/>
    <w:rsid w:val="00B706D2"/>
    <w:rsid w:val="00B70FB0"/>
    <w:rsid w:val="00B71933"/>
    <w:rsid w:val="00B721CA"/>
    <w:rsid w:val="00B742C4"/>
    <w:rsid w:val="00B75692"/>
    <w:rsid w:val="00B7577A"/>
    <w:rsid w:val="00B77108"/>
    <w:rsid w:val="00B7721D"/>
    <w:rsid w:val="00B8078D"/>
    <w:rsid w:val="00B80B88"/>
    <w:rsid w:val="00B80C5E"/>
    <w:rsid w:val="00B813DF"/>
    <w:rsid w:val="00B81AE2"/>
    <w:rsid w:val="00B838E6"/>
    <w:rsid w:val="00B839B8"/>
    <w:rsid w:val="00B853FE"/>
    <w:rsid w:val="00B85C62"/>
    <w:rsid w:val="00B861C6"/>
    <w:rsid w:val="00B86DF7"/>
    <w:rsid w:val="00B87121"/>
    <w:rsid w:val="00B8735D"/>
    <w:rsid w:val="00B90212"/>
    <w:rsid w:val="00B9046C"/>
    <w:rsid w:val="00B90F2C"/>
    <w:rsid w:val="00B911CE"/>
    <w:rsid w:val="00B9157C"/>
    <w:rsid w:val="00B918FE"/>
    <w:rsid w:val="00B93BA5"/>
    <w:rsid w:val="00B93E95"/>
    <w:rsid w:val="00B95844"/>
    <w:rsid w:val="00B96230"/>
    <w:rsid w:val="00B965DF"/>
    <w:rsid w:val="00B96BAE"/>
    <w:rsid w:val="00B96F43"/>
    <w:rsid w:val="00B971EC"/>
    <w:rsid w:val="00BA0227"/>
    <w:rsid w:val="00BA278D"/>
    <w:rsid w:val="00BA5EA7"/>
    <w:rsid w:val="00BA6123"/>
    <w:rsid w:val="00BA75AD"/>
    <w:rsid w:val="00BA7C37"/>
    <w:rsid w:val="00BB0AE3"/>
    <w:rsid w:val="00BB170C"/>
    <w:rsid w:val="00BB1F38"/>
    <w:rsid w:val="00BB265A"/>
    <w:rsid w:val="00BB2ACE"/>
    <w:rsid w:val="00BB387D"/>
    <w:rsid w:val="00BB3AB4"/>
    <w:rsid w:val="00BB3F2D"/>
    <w:rsid w:val="00BB6BC3"/>
    <w:rsid w:val="00BB6C6D"/>
    <w:rsid w:val="00BC0390"/>
    <w:rsid w:val="00BC0D37"/>
    <w:rsid w:val="00BC1A21"/>
    <w:rsid w:val="00BC259C"/>
    <w:rsid w:val="00BC3943"/>
    <w:rsid w:val="00BC4322"/>
    <w:rsid w:val="00BC47C9"/>
    <w:rsid w:val="00BC485F"/>
    <w:rsid w:val="00BC5AB1"/>
    <w:rsid w:val="00BC6914"/>
    <w:rsid w:val="00BC7BB4"/>
    <w:rsid w:val="00BC7E6C"/>
    <w:rsid w:val="00BD0090"/>
    <w:rsid w:val="00BD0BB4"/>
    <w:rsid w:val="00BD12A3"/>
    <w:rsid w:val="00BD3136"/>
    <w:rsid w:val="00BD3344"/>
    <w:rsid w:val="00BD35D1"/>
    <w:rsid w:val="00BD3F83"/>
    <w:rsid w:val="00BD3FFC"/>
    <w:rsid w:val="00BD48DD"/>
    <w:rsid w:val="00BD4F00"/>
    <w:rsid w:val="00BD5EFB"/>
    <w:rsid w:val="00BD69C2"/>
    <w:rsid w:val="00BD6D34"/>
    <w:rsid w:val="00BD7E97"/>
    <w:rsid w:val="00BD7F6E"/>
    <w:rsid w:val="00BE10F9"/>
    <w:rsid w:val="00BE1EE1"/>
    <w:rsid w:val="00BE3521"/>
    <w:rsid w:val="00BE4645"/>
    <w:rsid w:val="00BE568A"/>
    <w:rsid w:val="00BE63BE"/>
    <w:rsid w:val="00BE6BE6"/>
    <w:rsid w:val="00BE74A7"/>
    <w:rsid w:val="00BF154E"/>
    <w:rsid w:val="00BF195F"/>
    <w:rsid w:val="00BF1AA3"/>
    <w:rsid w:val="00BF23C3"/>
    <w:rsid w:val="00BF24B4"/>
    <w:rsid w:val="00BF311E"/>
    <w:rsid w:val="00BF339F"/>
    <w:rsid w:val="00BF3731"/>
    <w:rsid w:val="00BF3891"/>
    <w:rsid w:val="00BF47B0"/>
    <w:rsid w:val="00BF5327"/>
    <w:rsid w:val="00BF54FE"/>
    <w:rsid w:val="00BF71B8"/>
    <w:rsid w:val="00BF72F2"/>
    <w:rsid w:val="00BF7632"/>
    <w:rsid w:val="00BF7B64"/>
    <w:rsid w:val="00BF7C3B"/>
    <w:rsid w:val="00C01F45"/>
    <w:rsid w:val="00C02274"/>
    <w:rsid w:val="00C031AB"/>
    <w:rsid w:val="00C054D6"/>
    <w:rsid w:val="00C06151"/>
    <w:rsid w:val="00C06A88"/>
    <w:rsid w:val="00C07B5C"/>
    <w:rsid w:val="00C07E44"/>
    <w:rsid w:val="00C1020D"/>
    <w:rsid w:val="00C12888"/>
    <w:rsid w:val="00C13389"/>
    <w:rsid w:val="00C14C55"/>
    <w:rsid w:val="00C150FC"/>
    <w:rsid w:val="00C15C22"/>
    <w:rsid w:val="00C15CCB"/>
    <w:rsid w:val="00C170D8"/>
    <w:rsid w:val="00C1763E"/>
    <w:rsid w:val="00C17DA6"/>
    <w:rsid w:val="00C20D23"/>
    <w:rsid w:val="00C21D33"/>
    <w:rsid w:val="00C23551"/>
    <w:rsid w:val="00C23F53"/>
    <w:rsid w:val="00C24404"/>
    <w:rsid w:val="00C248ED"/>
    <w:rsid w:val="00C25545"/>
    <w:rsid w:val="00C25759"/>
    <w:rsid w:val="00C25944"/>
    <w:rsid w:val="00C25FB5"/>
    <w:rsid w:val="00C26FDC"/>
    <w:rsid w:val="00C27737"/>
    <w:rsid w:val="00C2784C"/>
    <w:rsid w:val="00C27D58"/>
    <w:rsid w:val="00C30AA9"/>
    <w:rsid w:val="00C31FB2"/>
    <w:rsid w:val="00C32536"/>
    <w:rsid w:val="00C32E64"/>
    <w:rsid w:val="00C332A9"/>
    <w:rsid w:val="00C3382F"/>
    <w:rsid w:val="00C33F15"/>
    <w:rsid w:val="00C3484D"/>
    <w:rsid w:val="00C34E47"/>
    <w:rsid w:val="00C356A8"/>
    <w:rsid w:val="00C35C2E"/>
    <w:rsid w:val="00C36023"/>
    <w:rsid w:val="00C3618D"/>
    <w:rsid w:val="00C37359"/>
    <w:rsid w:val="00C379D2"/>
    <w:rsid w:val="00C4211B"/>
    <w:rsid w:val="00C42DFD"/>
    <w:rsid w:val="00C43095"/>
    <w:rsid w:val="00C43535"/>
    <w:rsid w:val="00C4377C"/>
    <w:rsid w:val="00C43837"/>
    <w:rsid w:val="00C43D17"/>
    <w:rsid w:val="00C43DCA"/>
    <w:rsid w:val="00C43F64"/>
    <w:rsid w:val="00C465C1"/>
    <w:rsid w:val="00C47F0F"/>
    <w:rsid w:val="00C50A33"/>
    <w:rsid w:val="00C50A4B"/>
    <w:rsid w:val="00C5117A"/>
    <w:rsid w:val="00C51D84"/>
    <w:rsid w:val="00C52506"/>
    <w:rsid w:val="00C52760"/>
    <w:rsid w:val="00C5408F"/>
    <w:rsid w:val="00C541B6"/>
    <w:rsid w:val="00C55436"/>
    <w:rsid w:val="00C55496"/>
    <w:rsid w:val="00C569D3"/>
    <w:rsid w:val="00C57877"/>
    <w:rsid w:val="00C57F18"/>
    <w:rsid w:val="00C602DD"/>
    <w:rsid w:val="00C60CBC"/>
    <w:rsid w:val="00C61AB2"/>
    <w:rsid w:val="00C625D7"/>
    <w:rsid w:val="00C62D57"/>
    <w:rsid w:val="00C63C51"/>
    <w:rsid w:val="00C64B03"/>
    <w:rsid w:val="00C658D4"/>
    <w:rsid w:val="00C6642C"/>
    <w:rsid w:val="00C6688B"/>
    <w:rsid w:val="00C70FB0"/>
    <w:rsid w:val="00C71351"/>
    <w:rsid w:val="00C7160C"/>
    <w:rsid w:val="00C71BD3"/>
    <w:rsid w:val="00C71F5D"/>
    <w:rsid w:val="00C7513E"/>
    <w:rsid w:val="00C76F04"/>
    <w:rsid w:val="00C80B00"/>
    <w:rsid w:val="00C81473"/>
    <w:rsid w:val="00C81E7D"/>
    <w:rsid w:val="00C81F2C"/>
    <w:rsid w:val="00C82259"/>
    <w:rsid w:val="00C8241E"/>
    <w:rsid w:val="00C853A0"/>
    <w:rsid w:val="00C857F9"/>
    <w:rsid w:val="00C8737B"/>
    <w:rsid w:val="00C874EC"/>
    <w:rsid w:val="00C87512"/>
    <w:rsid w:val="00C87B80"/>
    <w:rsid w:val="00C87FFC"/>
    <w:rsid w:val="00C91EC0"/>
    <w:rsid w:val="00C9297C"/>
    <w:rsid w:val="00C94014"/>
    <w:rsid w:val="00C95F62"/>
    <w:rsid w:val="00C977F0"/>
    <w:rsid w:val="00C97BB7"/>
    <w:rsid w:val="00C97CAA"/>
    <w:rsid w:val="00CA29A8"/>
    <w:rsid w:val="00CA30EF"/>
    <w:rsid w:val="00CA6889"/>
    <w:rsid w:val="00CA6F2C"/>
    <w:rsid w:val="00CA73AD"/>
    <w:rsid w:val="00CA758B"/>
    <w:rsid w:val="00CB0240"/>
    <w:rsid w:val="00CB044E"/>
    <w:rsid w:val="00CB0A99"/>
    <w:rsid w:val="00CB332E"/>
    <w:rsid w:val="00CB3AC5"/>
    <w:rsid w:val="00CB4BE6"/>
    <w:rsid w:val="00CB5A09"/>
    <w:rsid w:val="00CB5F6E"/>
    <w:rsid w:val="00CB655A"/>
    <w:rsid w:val="00CB71BC"/>
    <w:rsid w:val="00CC0383"/>
    <w:rsid w:val="00CC2266"/>
    <w:rsid w:val="00CC24BC"/>
    <w:rsid w:val="00CC279D"/>
    <w:rsid w:val="00CC2F94"/>
    <w:rsid w:val="00CC357C"/>
    <w:rsid w:val="00CC62AF"/>
    <w:rsid w:val="00CC7248"/>
    <w:rsid w:val="00CC7FD0"/>
    <w:rsid w:val="00CD06D7"/>
    <w:rsid w:val="00CD0CD4"/>
    <w:rsid w:val="00CD0D0F"/>
    <w:rsid w:val="00CD14B4"/>
    <w:rsid w:val="00CD19A5"/>
    <w:rsid w:val="00CD23B7"/>
    <w:rsid w:val="00CD2524"/>
    <w:rsid w:val="00CD4657"/>
    <w:rsid w:val="00CD490E"/>
    <w:rsid w:val="00CD4FF2"/>
    <w:rsid w:val="00CD5BCB"/>
    <w:rsid w:val="00CD7522"/>
    <w:rsid w:val="00CE12D2"/>
    <w:rsid w:val="00CE2648"/>
    <w:rsid w:val="00CE338C"/>
    <w:rsid w:val="00CE346E"/>
    <w:rsid w:val="00CE3B9F"/>
    <w:rsid w:val="00CE5FB2"/>
    <w:rsid w:val="00CE6304"/>
    <w:rsid w:val="00CE6D6A"/>
    <w:rsid w:val="00CE7183"/>
    <w:rsid w:val="00CE77E3"/>
    <w:rsid w:val="00CF1FB8"/>
    <w:rsid w:val="00CF238C"/>
    <w:rsid w:val="00CF2C65"/>
    <w:rsid w:val="00CF3CD0"/>
    <w:rsid w:val="00CF4956"/>
    <w:rsid w:val="00CF546E"/>
    <w:rsid w:val="00CF5862"/>
    <w:rsid w:val="00D001F1"/>
    <w:rsid w:val="00D00921"/>
    <w:rsid w:val="00D00B54"/>
    <w:rsid w:val="00D011FF"/>
    <w:rsid w:val="00D01AB0"/>
    <w:rsid w:val="00D02544"/>
    <w:rsid w:val="00D02EEB"/>
    <w:rsid w:val="00D03335"/>
    <w:rsid w:val="00D03850"/>
    <w:rsid w:val="00D044EF"/>
    <w:rsid w:val="00D045A1"/>
    <w:rsid w:val="00D062AF"/>
    <w:rsid w:val="00D062C3"/>
    <w:rsid w:val="00D0640E"/>
    <w:rsid w:val="00D06C08"/>
    <w:rsid w:val="00D077D7"/>
    <w:rsid w:val="00D07882"/>
    <w:rsid w:val="00D078B6"/>
    <w:rsid w:val="00D07FD4"/>
    <w:rsid w:val="00D1022C"/>
    <w:rsid w:val="00D10354"/>
    <w:rsid w:val="00D10E20"/>
    <w:rsid w:val="00D11293"/>
    <w:rsid w:val="00D11EAB"/>
    <w:rsid w:val="00D123D5"/>
    <w:rsid w:val="00D133BF"/>
    <w:rsid w:val="00D15550"/>
    <w:rsid w:val="00D1592B"/>
    <w:rsid w:val="00D15972"/>
    <w:rsid w:val="00D15C09"/>
    <w:rsid w:val="00D15E24"/>
    <w:rsid w:val="00D16A13"/>
    <w:rsid w:val="00D20657"/>
    <w:rsid w:val="00D212F1"/>
    <w:rsid w:val="00D21FC4"/>
    <w:rsid w:val="00D22F45"/>
    <w:rsid w:val="00D231E0"/>
    <w:rsid w:val="00D24B2B"/>
    <w:rsid w:val="00D25B95"/>
    <w:rsid w:val="00D261D1"/>
    <w:rsid w:val="00D26415"/>
    <w:rsid w:val="00D26710"/>
    <w:rsid w:val="00D27115"/>
    <w:rsid w:val="00D3167D"/>
    <w:rsid w:val="00D339FA"/>
    <w:rsid w:val="00D34DCC"/>
    <w:rsid w:val="00D411AA"/>
    <w:rsid w:val="00D4130B"/>
    <w:rsid w:val="00D4231A"/>
    <w:rsid w:val="00D4266D"/>
    <w:rsid w:val="00D46674"/>
    <w:rsid w:val="00D4673B"/>
    <w:rsid w:val="00D47A26"/>
    <w:rsid w:val="00D50C8C"/>
    <w:rsid w:val="00D50FC4"/>
    <w:rsid w:val="00D510AC"/>
    <w:rsid w:val="00D512DB"/>
    <w:rsid w:val="00D51C07"/>
    <w:rsid w:val="00D524BE"/>
    <w:rsid w:val="00D5261E"/>
    <w:rsid w:val="00D52B92"/>
    <w:rsid w:val="00D5429F"/>
    <w:rsid w:val="00D5483A"/>
    <w:rsid w:val="00D5563A"/>
    <w:rsid w:val="00D55DE2"/>
    <w:rsid w:val="00D561AD"/>
    <w:rsid w:val="00D564ED"/>
    <w:rsid w:val="00D5687F"/>
    <w:rsid w:val="00D56A53"/>
    <w:rsid w:val="00D576D9"/>
    <w:rsid w:val="00D57E76"/>
    <w:rsid w:val="00D60036"/>
    <w:rsid w:val="00D6135D"/>
    <w:rsid w:val="00D617CB"/>
    <w:rsid w:val="00D6181A"/>
    <w:rsid w:val="00D61A19"/>
    <w:rsid w:val="00D61D9B"/>
    <w:rsid w:val="00D61EC1"/>
    <w:rsid w:val="00D645CB"/>
    <w:rsid w:val="00D64ADF"/>
    <w:rsid w:val="00D64B17"/>
    <w:rsid w:val="00D7041D"/>
    <w:rsid w:val="00D70A6F"/>
    <w:rsid w:val="00D72125"/>
    <w:rsid w:val="00D7283C"/>
    <w:rsid w:val="00D74AB2"/>
    <w:rsid w:val="00D754F6"/>
    <w:rsid w:val="00D76685"/>
    <w:rsid w:val="00D80053"/>
    <w:rsid w:val="00D80262"/>
    <w:rsid w:val="00D80C09"/>
    <w:rsid w:val="00D81897"/>
    <w:rsid w:val="00D82011"/>
    <w:rsid w:val="00D82192"/>
    <w:rsid w:val="00D83311"/>
    <w:rsid w:val="00D864DF"/>
    <w:rsid w:val="00D86597"/>
    <w:rsid w:val="00D902B7"/>
    <w:rsid w:val="00D92D22"/>
    <w:rsid w:val="00D95133"/>
    <w:rsid w:val="00D960B5"/>
    <w:rsid w:val="00D968C5"/>
    <w:rsid w:val="00DA0293"/>
    <w:rsid w:val="00DA10C7"/>
    <w:rsid w:val="00DA1798"/>
    <w:rsid w:val="00DA2E1D"/>
    <w:rsid w:val="00DA2F09"/>
    <w:rsid w:val="00DA2F38"/>
    <w:rsid w:val="00DA39B6"/>
    <w:rsid w:val="00DA3F1F"/>
    <w:rsid w:val="00DA73E2"/>
    <w:rsid w:val="00DA7955"/>
    <w:rsid w:val="00DB0D9B"/>
    <w:rsid w:val="00DB2386"/>
    <w:rsid w:val="00DB383B"/>
    <w:rsid w:val="00DB680C"/>
    <w:rsid w:val="00DB76A0"/>
    <w:rsid w:val="00DC0466"/>
    <w:rsid w:val="00DC1E60"/>
    <w:rsid w:val="00DC2D71"/>
    <w:rsid w:val="00DC3E62"/>
    <w:rsid w:val="00DC435F"/>
    <w:rsid w:val="00DC443F"/>
    <w:rsid w:val="00DC4A8D"/>
    <w:rsid w:val="00DC5814"/>
    <w:rsid w:val="00DC59BD"/>
    <w:rsid w:val="00DC6FB5"/>
    <w:rsid w:val="00DD0027"/>
    <w:rsid w:val="00DD0307"/>
    <w:rsid w:val="00DD0520"/>
    <w:rsid w:val="00DD084D"/>
    <w:rsid w:val="00DD2568"/>
    <w:rsid w:val="00DD29CD"/>
    <w:rsid w:val="00DD3220"/>
    <w:rsid w:val="00DD3E14"/>
    <w:rsid w:val="00DD43F0"/>
    <w:rsid w:val="00DD5B37"/>
    <w:rsid w:val="00DD60CC"/>
    <w:rsid w:val="00DD7686"/>
    <w:rsid w:val="00DE00F2"/>
    <w:rsid w:val="00DE1193"/>
    <w:rsid w:val="00DE1807"/>
    <w:rsid w:val="00DE1BC8"/>
    <w:rsid w:val="00DE2743"/>
    <w:rsid w:val="00DE296E"/>
    <w:rsid w:val="00DE2E40"/>
    <w:rsid w:val="00DE347D"/>
    <w:rsid w:val="00DE366F"/>
    <w:rsid w:val="00DE4F63"/>
    <w:rsid w:val="00DE654A"/>
    <w:rsid w:val="00DE68A2"/>
    <w:rsid w:val="00DE7CC9"/>
    <w:rsid w:val="00DF0392"/>
    <w:rsid w:val="00DF21C8"/>
    <w:rsid w:val="00DF29AC"/>
    <w:rsid w:val="00DF4D12"/>
    <w:rsid w:val="00DF4FE8"/>
    <w:rsid w:val="00DF516B"/>
    <w:rsid w:val="00DF5DBA"/>
    <w:rsid w:val="00DF6736"/>
    <w:rsid w:val="00DF6DBC"/>
    <w:rsid w:val="00DF7F25"/>
    <w:rsid w:val="00DF7FF6"/>
    <w:rsid w:val="00E013BC"/>
    <w:rsid w:val="00E0296A"/>
    <w:rsid w:val="00E0344E"/>
    <w:rsid w:val="00E0347F"/>
    <w:rsid w:val="00E0473E"/>
    <w:rsid w:val="00E04C7B"/>
    <w:rsid w:val="00E05590"/>
    <w:rsid w:val="00E055C6"/>
    <w:rsid w:val="00E05A7F"/>
    <w:rsid w:val="00E0660F"/>
    <w:rsid w:val="00E07C7D"/>
    <w:rsid w:val="00E10AE2"/>
    <w:rsid w:val="00E10F0A"/>
    <w:rsid w:val="00E119D8"/>
    <w:rsid w:val="00E12E58"/>
    <w:rsid w:val="00E13252"/>
    <w:rsid w:val="00E147B8"/>
    <w:rsid w:val="00E14C96"/>
    <w:rsid w:val="00E1662A"/>
    <w:rsid w:val="00E175CC"/>
    <w:rsid w:val="00E215E8"/>
    <w:rsid w:val="00E21875"/>
    <w:rsid w:val="00E21A8E"/>
    <w:rsid w:val="00E23675"/>
    <w:rsid w:val="00E23AA5"/>
    <w:rsid w:val="00E23B97"/>
    <w:rsid w:val="00E24C4C"/>
    <w:rsid w:val="00E24CE4"/>
    <w:rsid w:val="00E252AC"/>
    <w:rsid w:val="00E25407"/>
    <w:rsid w:val="00E26757"/>
    <w:rsid w:val="00E26AA7"/>
    <w:rsid w:val="00E3030B"/>
    <w:rsid w:val="00E30E04"/>
    <w:rsid w:val="00E30FA0"/>
    <w:rsid w:val="00E32231"/>
    <w:rsid w:val="00E32599"/>
    <w:rsid w:val="00E33B0E"/>
    <w:rsid w:val="00E344F8"/>
    <w:rsid w:val="00E354B5"/>
    <w:rsid w:val="00E35C1B"/>
    <w:rsid w:val="00E35D3D"/>
    <w:rsid w:val="00E35E76"/>
    <w:rsid w:val="00E375EB"/>
    <w:rsid w:val="00E42621"/>
    <w:rsid w:val="00E44130"/>
    <w:rsid w:val="00E445E1"/>
    <w:rsid w:val="00E44691"/>
    <w:rsid w:val="00E446A6"/>
    <w:rsid w:val="00E46B36"/>
    <w:rsid w:val="00E46CDC"/>
    <w:rsid w:val="00E470FA"/>
    <w:rsid w:val="00E472A3"/>
    <w:rsid w:val="00E47829"/>
    <w:rsid w:val="00E47DFE"/>
    <w:rsid w:val="00E52204"/>
    <w:rsid w:val="00E52A7D"/>
    <w:rsid w:val="00E530E2"/>
    <w:rsid w:val="00E53CB5"/>
    <w:rsid w:val="00E53CCD"/>
    <w:rsid w:val="00E548E2"/>
    <w:rsid w:val="00E56B98"/>
    <w:rsid w:val="00E57617"/>
    <w:rsid w:val="00E577A4"/>
    <w:rsid w:val="00E6073A"/>
    <w:rsid w:val="00E60A53"/>
    <w:rsid w:val="00E61789"/>
    <w:rsid w:val="00E618BD"/>
    <w:rsid w:val="00E62607"/>
    <w:rsid w:val="00E62AD0"/>
    <w:rsid w:val="00E63192"/>
    <w:rsid w:val="00E63728"/>
    <w:rsid w:val="00E63890"/>
    <w:rsid w:val="00E64A44"/>
    <w:rsid w:val="00E65B5E"/>
    <w:rsid w:val="00E66142"/>
    <w:rsid w:val="00E67076"/>
    <w:rsid w:val="00E70B47"/>
    <w:rsid w:val="00E70C8D"/>
    <w:rsid w:val="00E71855"/>
    <w:rsid w:val="00E719A9"/>
    <w:rsid w:val="00E71D2B"/>
    <w:rsid w:val="00E725F7"/>
    <w:rsid w:val="00E7341D"/>
    <w:rsid w:val="00E73FA8"/>
    <w:rsid w:val="00E772AC"/>
    <w:rsid w:val="00E81497"/>
    <w:rsid w:val="00E81878"/>
    <w:rsid w:val="00E81DD9"/>
    <w:rsid w:val="00E82B9B"/>
    <w:rsid w:val="00E830FD"/>
    <w:rsid w:val="00E841C1"/>
    <w:rsid w:val="00E84BB9"/>
    <w:rsid w:val="00E84D4F"/>
    <w:rsid w:val="00E8560A"/>
    <w:rsid w:val="00E86B3E"/>
    <w:rsid w:val="00E870AD"/>
    <w:rsid w:val="00E875E5"/>
    <w:rsid w:val="00E91752"/>
    <w:rsid w:val="00E92DFD"/>
    <w:rsid w:val="00E93433"/>
    <w:rsid w:val="00E94BC5"/>
    <w:rsid w:val="00E95207"/>
    <w:rsid w:val="00E95848"/>
    <w:rsid w:val="00E9603C"/>
    <w:rsid w:val="00E96FDD"/>
    <w:rsid w:val="00EA13BC"/>
    <w:rsid w:val="00EA1D25"/>
    <w:rsid w:val="00EA1DE4"/>
    <w:rsid w:val="00EA29B2"/>
    <w:rsid w:val="00EA376C"/>
    <w:rsid w:val="00EA3D5D"/>
    <w:rsid w:val="00EA60EA"/>
    <w:rsid w:val="00EA669E"/>
    <w:rsid w:val="00EA74B2"/>
    <w:rsid w:val="00EB06B0"/>
    <w:rsid w:val="00EB0CE0"/>
    <w:rsid w:val="00EB1C3A"/>
    <w:rsid w:val="00EB29BF"/>
    <w:rsid w:val="00EB341B"/>
    <w:rsid w:val="00EB3FEC"/>
    <w:rsid w:val="00EB452F"/>
    <w:rsid w:val="00EB51DC"/>
    <w:rsid w:val="00EB666D"/>
    <w:rsid w:val="00EB68C5"/>
    <w:rsid w:val="00EC0E93"/>
    <w:rsid w:val="00EC1084"/>
    <w:rsid w:val="00EC17A5"/>
    <w:rsid w:val="00EC1D06"/>
    <w:rsid w:val="00EC2FC5"/>
    <w:rsid w:val="00EC4246"/>
    <w:rsid w:val="00EC4420"/>
    <w:rsid w:val="00EC44DC"/>
    <w:rsid w:val="00EC60A6"/>
    <w:rsid w:val="00EC719B"/>
    <w:rsid w:val="00EC7374"/>
    <w:rsid w:val="00EC7C7F"/>
    <w:rsid w:val="00ED04F0"/>
    <w:rsid w:val="00ED1A5E"/>
    <w:rsid w:val="00ED33EA"/>
    <w:rsid w:val="00ED35D3"/>
    <w:rsid w:val="00ED4E39"/>
    <w:rsid w:val="00ED6E55"/>
    <w:rsid w:val="00EE02D9"/>
    <w:rsid w:val="00EE1100"/>
    <w:rsid w:val="00EE1B30"/>
    <w:rsid w:val="00EE3564"/>
    <w:rsid w:val="00EE4747"/>
    <w:rsid w:val="00EE4978"/>
    <w:rsid w:val="00EE4D24"/>
    <w:rsid w:val="00EE50E0"/>
    <w:rsid w:val="00EE52AA"/>
    <w:rsid w:val="00EE5E1F"/>
    <w:rsid w:val="00EE5E7E"/>
    <w:rsid w:val="00EE67CE"/>
    <w:rsid w:val="00EE73B9"/>
    <w:rsid w:val="00EE7510"/>
    <w:rsid w:val="00EE76FF"/>
    <w:rsid w:val="00EE7A2A"/>
    <w:rsid w:val="00EE7E5E"/>
    <w:rsid w:val="00EF01A8"/>
    <w:rsid w:val="00EF168F"/>
    <w:rsid w:val="00EF1B9C"/>
    <w:rsid w:val="00EF1F56"/>
    <w:rsid w:val="00EF2C44"/>
    <w:rsid w:val="00EF3009"/>
    <w:rsid w:val="00EF44D9"/>
    <w:rsid w:val="00EF4B42"/>
    <w:rsid w:val="00F003D3"/>
    <w:rsid w:val="00F007C5"/>
    <w:rsid w:val="00F008AB"/>
    <w:rsid w:val="00F009C1"/>
    <w:rsid w:val="00F02CEA"/>
    <w:rsid w:val="00F03C51"/>
    <w:rsid w:val="00F03E32"/>
    <w:rsid w:val="00F04949"/>
    <w:rsid w:val="00F054B8"/>
    <w:rsid w:val="00F05865"/>
    <w:rsid w:val="00F05DC9"/>
    <w:rsid w:val="00F076AB"/>
    <w:rsid w:val="00F07A22"/>
    <w:rsid w:val="00F07B7B"/>
    <w:rsid w:val="00F07C5C"/>
    <w:rsid w:val="00F11021"/>
    <w:rsid w:val="00F11A88"/>
    <w:rsid w:val="00F13A59"/>
    <w:rsid w:val="00F145CC"/>
    <w:rsid w:val="00F1493C"/>
    <w:rsid w:val="00F15B05"/>
    <w:rsid w:val="00F1640A"/>
    <w:rsid w:val="00F17BB7"/>
    <w:rsid w:val="00F17E7B"/>
    <w:rsid w:val="00F20235"/>
    <w:rsid w:val="00F20395"/>
    <w:rsid w:val="00F2064D"/>
    <w:rsid w:val="00F2074B"/>
    <w:rsid w:val="00F236BC"/>
    <w:rsid w:val="00F248B7"/>
    <w:rsid w:val="00F270E0"/>
    <w:rsid w:val="00F30018"/>
    <w:rsid w:val="00F30BD9"/>
    <w:rsid w:val="00F32207"/>
    <w:rsid w:val="00F34F00"/>
    <w:rsid w:val="00F35853"/>
    <w:rsid w:val="00F379E0"/>
    <w:rsid w:val="00F37D2F"/>
    <w:rsid w:val="00F37FAF"/>
    <w:rsid w:val="00F403FA"/>
    <w:rsid w:val="00F41519"/>
    <w:rsid w:val="00F42289"/>
    <w:rsid w:val="00F4236D"/>
    <w:rsid w:val="00F42E75"/>
    <w:rsid w:val="00F43F16"/>
    <w:rsid w:val="00F44761"/>
    <w:rsid w:val="00F45D49"/>
    <w:rsid w:val="00F45D65"/>
    <w:rsid w:val="00F4668E"/>
    <w:rsid w:val="00F47B6D"/>
    <w:rsid w:val="00F50F07"/>
    <w:rsid w:val="00F517FA"/>
    <w:rsid w:val="00F5218D"/>
    <w:rsid w:val="00F523C8"/>
    <w:rsid w:val="00F52D05"/>
    <w:rsid w:val="00F52D16"/>
    <w:rsid w:val="00F538F4"/>
    <w:rsid w:val="00F53B79"/>
    <w:rsid w:val="00F57FA7"/>
    <w:rsid w:val="00F604B5"/>
    <w:rsid w:val="00F6196A"/>
    <w:rsid w:val="00F61C13"/>
    <w:rsid w:val="00F62D67"/>
    <w:rsid w:val="00F62E5E"/>
    <w:rsid w:val="00F62F0B"/>
    <w:rsid w:val="00F638B5"/>
    <w:rsid w:val="00F63BD9"/>
    <w:rsid w:val="00F6477F"/>
    <w:rsid w:val="00F64C09"/>
    <w:rsid w:val="00F65643"/>
    <w:rsid w:val="00F660A2"/>
    <w:rsid w:val="00F663EC"/>
    <w:rsid w:val="00F6694C"/>
    <w:rsid w:val="00F67BEB"/>
    <w:rsid w:val="00F67E5E"/>
    <w:rsid w:val="00F67E65"/>
    <w:rsid w:val="00F72F3D"/>
    <w:rsid w:val="00F73178"/>
    <w:rsid w:val="00F7536C"/>
    <w:rsid w:val="00F75EBE"/>
    <w:rsid w:val="00F76357"/>
    <w:rsid w:val="00F76870"/>
    <w:rsid w:val="00F76D4A"/>
    <w:rsid w:val="00F76FAE"/>
    <w:rsid w:val="00F77D90"/>
    <w:rsid w:val="00F77E25"/>
    <w:rsid w:val="00F8074F"/>
    <w:rsid w:val="00F8145F"/>
    <w:rsid w:val="00F81869"/>
    <w:rsid w:val="00F83771"/>
    <w:rsid w:val="00F84174"/>
    <w:rsid w:val="00F84AFA"/>
    <w:rsid w:val="00F867F7"/>
    <w:rsid w:val="00F86933"/>
    <w:rsid w:val="00F86B97"/>
    <w:rsid w:val="00F87DA4"/>
    <w:rsid w:val="00F90614"/>
    <w:rsid w:val="00F913C9"/>
    <w:rsid w:val="00F91821"/>
    <w:rsid w:val="00F91947"/>
    <w:rsid w:val="00F91B23"/>
    <w:rsid w:val="00F922D9"/>
    <w:rsid w:val="00F9241E"/>
    <w:rsid w:val="00F927EA"/>
    <w:rsid w:val="00F9283D"/>
    <w:rsid w:val="00F92C53"/>
    <w:rsid w:val="00F93F09"/>
    <w:rsid w:val="00F9438A"/>
    <w:rsid w:val="00F94D6A"/>
    <w:rsid w:val="00F95D33"/>
    <w:rsid w:val="00F96F18"/>
    <w:rsid w:val="00F97240"/>
    <w:rsid w:val="00FA0077"/>
    <w:rsid w:val="00FA14C6"/>
    <w:rsid w:val="00FA2A57"/>
    <w:rsid w:val="00FA2DE0"/>
    <w:rsid w:val="00FA3CB4"/>
    <w:rsid w:val="00FA3DB6"/>
    <w:rsid w:val="00FA508E"/>
    <w:rsid w:val="00FA5320"/>
    <w:rsid w:val="00FA589E"/>
    <w:rsid w:val="00FA7846"/>
    <w:rsid w:val="00FA7B38"/>
    <w:rsid w:val="00FB067B"/>
    <w:rsid w:val="00FB31A4"/>
    <w:rsid w:val="00FB3A80"/>
    <w:rsid w:val="00FB3AAF"/>
    <w:rsid w:val="00FB3FF3"/>
    <w:rsid w:val="00FB4221"/>
    <w:rsid w:val="00FB4A2F"/>
    <w:rsid w:val="00FB4D92"/>
    <w:rsid w:val="00FB5C67"/>
    <w:rsid w:val="00FB5FD9"/>
    <w:rsid w:val="00FB698C"/>
    <w:rsid w:val="00FC0662"/>
    <w:rsid w:val="00FC073C"/>
    <w:rsid w:val="00FC081A"/>
    <w:rsid w:val="00FC0890"/>
    <w:rsid w:val="00FC1077"/>
    <w:rsid w:val="00FC10C6"/>
    <w:rsid w:val="00FC1AC7"/>
    <w:rsid w:val="00FC26E5"/>
    <w:rsid w:val="00FC2BFA"/>
    <w:rsid w:val="00FC2E08"/>
    <w:rsid w:val="00FC2FC2"/>
    <w:rsid w:val="00FC4383"/>
    <w:rsid w:val="00FC4D57"/>
    <w:rsid w:val="00FC50D8"/>
    <w:rsid w:val="00FC5540"/>
    <w:rsid w:val="00FC6BA3"/>
    <w:rsid w:val="00FC7281"/>
    <w:rsid w:val="00FC73F5"/>
    <w:rsid w:val="00FC7F88"/>
    <w:rsid w:val="00FD08BA"/>
    <w:rsid w:val="00FD0F71"/>
    <w:rsid w:val="00FD1563"/>
    <w:rsid w:val="00FD15B5"/>
    <w:rsid w:val="00FD19F1"/>
    <w:rsid w:val="00FD29B1"/>
    <w:rsid w:val="00FD2D62"/>
    <w:rsid w:val="00FD334E"/>
    <w:rsid w:val="00FD370F"/>
    <w:rsid w:val="00FD489B"/>
    <w:rsid w:val="00FD7355"/>
    <w:rsid w:val="00FD7941"/>
    <w:rsid w:val="00FD7FA8"/>
    <w:rsid w:val="00FE0394"/>
    <w:rsid w:val="00FE0508"/>
    <w:rsid w:val="00FE0B90"/>
    <w:rsid w:val="00FE0E48"/>
    <w:rsid w:val="00FE0ED3"/>
    <w:rsid w:val="00FE2090"/>
    <w:rsid w:val="00FE2997"/>
    <w:rsid w:val="00FE2D8C"/>
    <w:rsid w:val="00FE4D0E"/>
    <w:rsid w:val="00FE4FE0"/>
    <w:rsid w:val="00FE5448"/>
    <w:rsid w:val="00FE6B00"/>
    <w:rsid w:val="00FE6F78"/>
    <w:rsid w:val="00FE7BD9"/>
    <w:rsid w:val="00FF0959"/>
    <w:rsid w:val="00FF17F6"/>
    <w:rsid w:val="00FF36D3"/>
    <w:rsid w:val="00FF37CE"/>
    <w:rsid w:val="00FF3E0E"/>
    <w:rsid w:val="00FF4C41"/>
    <w:rsid w:val="00FF509A"/>
    <w:rsid w:val="00FF6DD9"/>
    <w:rsid w:val="00FF6E81"/>
    <w:rsid w:val="00FF7DE0"/>
    <w:rsid w:val="00FF7E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D339F8"/>
  <w15:docId w15:val="{FBE382E4-A50F-4E35-93E0-A24725B2D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paragraph" w:styleId="1">
    <w:name w:val="heading 1"/>
    <w:basedOn w:val="a"/>
    <w:next w:val="a"/>
    <w:link w:val="10"/>
    <w:uiPriority w:val="9"/>
    <w:qFormat/>
    <w:rsid w:val="00C43F64"/>
    <w:pPr>
      <w:keepNext/>
      <w:keepLines/>
      <w:spacing w:before="360" w:after="240"/>
      <w:jc w:val="center"/>
      <w:outlineLvl w:val="0"/>
    </w:pPr>
    <w:rPr>
      <w:rFonts w:eastAsiaTheme="majorEastAsia" w:cstheme="majorBidi"/>
      <w:color w:val="000000" w:themeColor="text1"/>
      <w:szCs w:val="32"/>
    </w:rPr>
  </w:style>
  <w:style w:type="paragraph" w:styleId="2">
    <w:name w:val="heading 2"/>
    <w:basedOn w:val="a"/>
    <w:next w:val="a"/>
    <w:link w:val="20"/>
    <w:uiPriority w:val="9"/>
    <w:semiHidden/>
    <w:unhideWhenUsed/>
    <w:qFormat/>
    <w:rsid w:val="00565C3D"/>
    <w:pPr>
      <w:keepNext/>
      <w:keepLines/>
      <w:jc w:val="center"/>
      <w:outlineLvl w:val="1"/>
    </w:pPr>
    <w:rPr>
      <w:rFonts w:eastAsiaTheme="majorEastAsia"/>
      <w:bCs/>
      <w:szCs w:val="26"/>
      <w:lang w:eastAsia="en-US"/>
    </w:rPr>
  </w:style>
  <w:style w:type="paragraph" w:styleId="3">
    <w:name w:val="heading 3"/>
    <w:basedOn w:val="a"/>
    <w:link w:val="30"/>
    <w:uiPriority w:val="9"/>
    <w:qFormat/>
    <w:rsid w:val="00231B09"/>
    <w:pPr>
      <w:spacing w:before="100" w:beforeAutospacing="1" w:after="100" w:afterAutospacing="1"/>
      <w:jc w:val="left"/>
      <w:outlineLvl w:val="2"/>
    </w:pPr>
    <w:rPr>
      <w:b/>
      <w:bCs/>
      <w:sz w:val="27"/>
      <w:szCs w:val="27"/>
    </w:rPr>
  </w:style>
  <w:style w:type="paragraph" w:styleId="4">
    <w:name w:val="heading 4"/>
    <w:basedOn w:val="a"/>
    <w:next w:val="a"/>
    <w:link w:val="40"/>
    <w:uiPriority w:val="9"/>
    <w:semiHidden/>
    <w:unhideWhenUsed/>
    <w:qFormat/>
    <w:rsid w:val="00565C3D"/>
    <w:pPr>
      <w:keepNext/>
      <w:keepLines/>
      <w:spacing w:before="200"/>
      <w:jc w:val="left"/>
      <w:outlineLvl w:val="3"/>
    </w:pPr>
    <w:rPr>
      <w:rFonts w:asciiTheme="majorHAnsi" w:eastAsiaTheme="majorEastAsia" w:hAnsiTheme="majorHAnsi"/>
      <w:b/>
      <w:bCs/>
      <w:i/>
      <w:iCs/>
      <w:color w:val="4F81BD" w:themeColor="accent1"/>
      <w:szCs w:val="22"/>
      <w:lang w:eastAsia="en-US"/>
    </w:rPr>
  </w:style>
  <w:style w:type="paragraph" w:styleId="5">
    <w:name w:val="heading 5"/>
    <w:basedOn w:val="a"/>
    <w:next w:val="a"/>
    <w:link w:val="50"/>
    <w:uiPriority w:val="9"/>
    <w:semiHidden/>
    <w:unhideWhenUsed/>
    <w:qFormat/>
    <w:rsid w:val="00565C3D"/>
    <w:pPr>
      <w:keepNext/>
      <w:keepLines/>
      <w:spacing w:before="200"/>
      <w:ind w:left="1008" w:hanging="1008"/>
      <w:outlineLvl w:val="4"/>
    </w:pPr>
    <w:rPr>
      <w:rFonts w:asciiTheme="majorHAnsi" w:eastAsiaTheme="majorEastAsia" w:hAnsiTheme="majorHAnsi"/>
      <w:color w:val="243F60" w:themeColor="accent1" w:themeShade="7F"/>
      <w:szCs w:val="22"/>
      <w:lang w:val="en-GB" w:eastAsia="en-US"/>
    </w:rPr>
  </w:style>
  <w:style w:type="paragraph" w:styleId="6">
    <w:name w:val="heading 6"/>
    <w:basedOn w:val="a"/>
    <w:next w:val="a"/>
    <w:link w:val="60"/>
    <w:uiPriority w:val="9"/>
    <w:semiHidden/>
    <w:unhideWhenUsed/>
    <w:qFormat/>
    <w:rsid w:val="00565C3D"/>
    <w:pPr>
      <w:keepNext/>
      <w:keepLines/>
      <w:spacing w:before="200"/>
      <w:ind w:left="1152" w:hanging="1152"/>
      <w:outlineLvl w:val="5"/>
    </w:pPr>
    <w:rPr>
      <w:rFonts w:asciiTheme="majorHAnsi" w:eastAsiaTheme="majorEastAsia" w:hAnsiTheme="majorHAnsi"/>
      <w:i/>
      <w:iCs/>
      <w:color w:val="243F60" w:themeColor="accent1" w:themeShade="7F"/>
      <w:szCs w:val="22"/>
      <w:lang w:val="en-GB" w:eastAsia="en-US"/>
    </w:rPr>
  </w:style>
  <w:style w:type="paragraph" w:styleId="7">
    <w:name w:val="heading 7"/>
    <w:basedOn w:val="a"/>
    <w:next w:val="a"/>
    <w:link w:val="70"/>
    <w:uiPriority w:val="9"/>
    <w:semiHidden/>
    <w:unhideWhenUsed/>
    <w:qFormat/>
    <w:rsid w:val="00565C3D"/>
    <w:pPr>
      <w:keepNext/>
      <w:keepLines/>
      <w:spacing w:before="200"/>
      <w:ind w:left="1296" w:hanging="1296"/>
      <w:outlineLvl w:val="6"/>
    </w:pPr>
    <w:rPr>
      <w:rFonts w:asciiTheme="majorHAnsi" w:eastAsiaTheme="majorEastAsia" w:hAnsiTheme="majorHAnsi"/>
      <w:i/>
      <w:iCs/>
      <w:color w:val="404040" w:themeColor="text1" w:themeTint="BF"/>
      <w:szCs w:val="22"/>
      <w:lang w:val="en-GB" w:eastAsia="en-US"/>
    </w:rPr>
  </w:style>
  <w:style w:type="paragraph" w:styleId="8">
    <w:name w:val="heading 8"/>
    <w:basedOn w:val="a"/>
    <w:next w:val="a"/>
    <w:link w:val="80"/>
    <w:uiPriority w:val="9"/>
    <w:semiHidden/>
    <w:unhideWhenUsed/>
    <w:qFormat/>
    <w:rsid w:val="00565C3D"/>
    <w:pPr>
      <w:keepNext/>
      <w:keepLines/>
      <w:spacing w:before="200"/>
      <w:ind w:left="1440" w:hanging="1440"/>
      <w:outlineLvl w:val="7"/>
    </w:pPr>
    <w:rPr>
      <w:rFonts w:asciiTheme="majorHAnsi" w:eastAsiaTheme="majorEastAsia" w:hAnsiTheme="majorHAnsi"/>
      <w:color w:val="404040" w:themeColor="text1" w:themeTint="BF"/>
      <w:sz w:val="20"/>
      <w:szCs w:val="20"/>
      <w:lang w:val="en-GB" w:eastAsia="en-US"/>
    </w:rPr>
  </w:style>
  <w:style w:type="paragraph" w:styleId="9">
    <w:name w:val="heading 9"/>
    <w:basedOn w:val="a"/>
    <w:next w:val="a"/>
    <w:link w:val="90"/>
    <w:uiPriority w:val="9"/>
    <w:semiHidden/>
    <w:unhideWhenUsed/>
    <w:qFormat/>
    <w:rsid w:val="00565C3D"/>
    <w:pPr>
      <w:keepNext/>
      <w:keepLines/>
      <w:spacing w:before="200"/>
      <w:ind w:left="1584" w:hanging="1584"/>
      <w:outlineLvl w:val="8"/>
    </w:pPr>
    <w:rPr>
      <w:rFonts w:asciiTheme="majorHAnsi" w:eastAsiaTheme="majorEastAsia" w:hAnsiTheme="majorHAnsi"/>
      <w:i/>
      <w:iCs/>
      <w:color w:val="404040" w:themeColor="text1" w:themeTint="BF"/>
      <w:sz w:val="20"/>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uiPriority w:val="99"/>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3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unhideWhenUsed/>
    <w:rsid w:val="007A6609"/>
    <w:rPr>
      <w:rFonts w:ascii="Tahoma" w:hAnsi="Tahoma" w:cs="Tahoma"/>
      <w:sz w:val="16"/>
      <w:szCs w:val="16"/>
    </w:rPr>
  </w:style>
  <w:style w:type="character" w:customStyle="1" w:styleId="ae">
    <w:name w:val="Текст у виносці Знак"/>
    <w:basedOn w:val="a0"/>
    <w:link w:val="ad"/>
    <w:uiPriority w:val="99"/>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aliases w:val="Bullets,Heading Bullet,text bullet,List Numbers,Elenco Normale,En tête 1,Γράφημα,Citation List,본문(내용),List Paragraph (numbered (a))"/>
    <w:basedOn w:val="a"/>
    <w:link w:val="af4"/>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paragraph" w:styleId="af5">
    <w:name w:val="endnote text"/>
    <w:basedOn w:val="a"/>
    <w:link w:val="af6"/>
    <w:uiPriority w:val="99"/>
    <w:unhideWhenUsed/>
    <w:rsid w:val="00092DD6"/>
    <w:rPr>
      <w:sz w:val="20"/>
      <w:szCs w:val="20"/>
    </w:rPr>
  </w:style>
  <w:style w:type="character" w:customStyle="1" w:styleId="af6">
    <w:name w:val="Текст кінцевої виноски Знак"/>
    <w:basedOn w:val="a0"/>
    <w:link w:val="af5"/>
    <w:uiPriority w:val="99"/>
    <w:rsid w:val="00092DD6"/>
    <w:rPr>
      <w:rFonts w:ascii="Times New Roman" w:hAnsi="Times New Roman" w:cs="Times New Roman"/>
      <w:sz w:val="20"/>
      <w:szCs w:val="20"/>
      <w:lang w:eastAsia="uk-UA"/>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 Знак2,Знак Зн"/>
    <w:basedOn w:val="a"/>
    <w:link w:val="af8"/>
    <w:uiPriority w:val="99"/>
    <w:unhideWhenUsed/>
    <w:qFormat/>
    <w:rsid w:val="003D782C"/>
    <w:pPr>
      <w:jc w:val="left"/>
    </w:pPr>
    <w:rPr>
      <w:rFonts w:asciiTheme="minorHAnsi" w:hAnsiTheme="minorHAnsi"/>
      <w:sz w:val="20"/>
      <w:szCs w:val="20"/>
      <w:lang w:eastAsia="en-US"/>
    </w:rPr>
  </w:style>
  <w:style w:type="character" w:customStyle="1" w:styleId="af8">
    <w:name w:val="Текст ви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Знак Знак2 Знак,Знак Зн Знак"/>
    <w:basedOn w:val="a0"/>
    <w:link w:val="af7"/>
    <w:uiPriority w:val="99"/>
    <w:qFormat/>
    <w:rsid w:val="003D782C"/>
    <w:rPr>
      <w:rFonts w:cs="Times New Roman"/>
      <w:sz w:val="20"/>
      <w:szCs w:val="20"/>
    </w:rPr>
  </w:style>
  <w:style w:type="character" w:styleId="af9">
    <w:name w:val="annotation reference"/>
    <w:basedOn w:val="a0"/>
    <w:uiPriority w:val="99"/>
    <w:unhideWhenUsed/>
    <w:rsid w:val="00CD5BCB"/>
    <w:rPr>
      <w:sz w:val="16"/>
      <w:szCs w:val="16"/>
    </w:rPr>
  </w:style>
  <w:style w:type="paragraph" w:styleId="afa">
    <w:name w:val="annotation text"/>
    <w:basedOn w:val="a"/>
    <w:link w:val="afb"/>
    <w:uiPriority w:val="99"/>
    <w:unhideWhenUsed/>
    <w:rsid w:val="00CD5BCB"/>
    <w:rPr>
      <w:sz w:val="20"/>
      <w:szCs w:val="20"/>
    </w:rPr>
  </w:style>
  <w:style w:type="character" w:customStyle="1" w:styleId="afb">
    <w:name w:val="Текст примітки Знак"/>
    <w:basedOn w:val="a0"/>
    <w:link w:val="afa"/>
    <w:uiPriority w:val="99"/>
    <w:rsid w:val="00CD5BCB"/>
    <w:rPr>
      <w:rFonts w:ascii="Times New Roman" w:hAnsi="Times New Roman" w:cs="Times New Roman"/>
      <w:sz w:val="20"/>
      <w:szCs w:val="20"/>
      <w:lang w:eastAsia="uk-UA"/>
    </w:rPr>
  </w:style>
  <w:style w:type="paragraph" w:styleId="afc">
    <w:name w:val="annotation subject"/>
    <w:basedOn w:val="afa"/>
    <w:next w:val="afa"/>
    <w:link w:val="afd"/>
    <w:uiPriority w:val="99"/>
    <w:unhideWhenUsed/>
    <w:rsid w:val="00CD5BCB"/>
    <w:rPr>
      <w:b/>
      <w:bCs/>
    </w:rPr>
  </w:style>
  <w:style w:type="character" w:customStyle="1" w:styleId="afd">
    <w:name w:val="Тема примітки Знак"/>
    <w:basedOn w:val="afb"/>
    <w:link w:val="afc"/>
    <w:uiPriority w:val="99"/>
    <w:rsid w:val="00CD5BCB"/>
    <w:rPr>
      <w:rFonts w:ascii="Times New Roman" w:hAnsi="Times New Roman" w:cs="Times New Roman"/>
      <w:b/>
      <w:bCs/>
      <w:sz w:val="20"/>
      <w:szCs w:val="20"/>
      <w:lang w:eastAsia="uk-UA"/>
    </w:rPr>
  </w:style>
  <w:style w:type="paragraph" w:styleId="afe">
    <w:name w:val="Revision"/>
    <w:hidden/>
    <w:uiPriority w:val="99"/>
    <w:semiHidden/>
    <w:rsid w:val="00BD3344"/>
    <w:pPr>
      <w:spacing w:after="0" w:line="240" w:lineRule="auto"/>
    </w:pPr>
    <w:rPr>
      <w:rFonts w:ascii="Times New Roman" w:hAnsi="Times New Roman" w:cs="Times New Roman"/>
      <w:sz w:val="28"/>
      <w:szCs w:val="28"/>
      <w:lang w:eastAsia="uk-UA"/>
    </w:rPr>
  </w:style>
  <w:style w:type="character" w:styleId="aff">
    <w:name w:val="Hyperlink"/>
    <w:basedOn w:val="a0"/>
    <w:uiPriority w:val="99"/>
    <w:unhideWhenUsed/>
    <w:rsid w:val="00B02C71"/>
    <w:rPr>
      <w:color w:val="0000FF"/>
      <w:u w:val="single"/>
    </w:rPr>
  </w:style>
  <w:style w:type="paragraph" w:customStyle="1" w:styleId="ParagraphNumbering">
    <w:name w:val="Paragraph Numbering"/>
    <w:basedOn w:val="a"/>
    <w:rsid w:val="00B02C71"/>
    <w:pPr>
      <w:spacing w:after="240"/>
      <w:jc w:val="left"/>
    </w:pPr>
    <w:rPr>
      <w:sz w:val="24"/>
      <w:szCs w:val="20"/>
      <w:lang w:val="en-US" w:eastAsia="en-US"/>
    </w:rPr>
  </w:style>
  <w:style w:type="character" w:customStyle="1" w:styleId="xrvts37">
    <w:name w:val="x_rvts37"/>
    <w:basedOn w:val="a0"/>
    <w:rsid w:val="003938E4"/>
  </w:style>
  <w:style w:type="paragraph" w:customStyle="1" w:styleId="rvps2">
    <w:name w:val="rvps2"/>
    <w:basedOn w:val="a"/>
    <w:rsid w:val="002D55F1"/>
    <w:pPr>
      <w:spacing w:before="100" w:beforeAutospacing="1" w:after="100" w:afterAutospacing="1"/>
      <w:jc w:val="left"/>
    </w:pPr>
    <w:rPr>
      <w:sz w:val="24"/>
      <w:szCs w:val="24"/>
    </w:rPr>
  </w:style>
  <w:style w:type="paragraph" w:styleId="aff0">
    <w:name w:val="Normal (Web)"/>
    <w:basedOn w:val="a"/>
    <w:uiPriority w:val="99"/>
    <w:unhideWhenUsed/>
    <w:rsid w:val="000B5B31"/>
    <w:pPr>
      <w:spacing w:before="100" w:beforeAutospacing="1" w:after="100" w:afterAutospacing="1"/>
      <w:jc w:val="left"/>
    </w:pPr>
    <w:rPr>
      <w:sz w:val="24"/>
      <w:szCs w:val="24"/>
      <w:lang w:val="ru-RU" w:eastAsia="ru-RU"/>
    </w:rPr>
  </w:style>
  <w:style w:type="character" w:customStyle="1" w:styleId="FontStyle28">
    <w:name w:val="Font Style28"/>
    <w:rsid w:val="001B61FB"/>
    <w:rPr>
      <w:rFonts w:ascii="Times New Roman" w:hAnsi="Times New Roman" w:cs="Times New Roman" w:hint="default"/>
      <w:sz w:val="26"/>
      <w:szCs w:val="26"/>
    </w:rPr>
  </w:style>
  <w:style w:type="character" w:customStyle="1" w:styleId="defaultchar">
    <w:name w:val="default__char"/>
    <w:basedOn w:val="a0"/>
    <w:rsid w:val="00AA1A32"/>
  </w:style>
  <w:style w:type="character" w:styleId="aff1">
    <w:name w:val="page number"/>
    <w:basedOn w:val="a0"/>
    <w:uiPriority w:val="99"/>
    <w:rsid w:val="002978B8"/>
    <w:rPr>
      <w:rFonts w:cs="Times New Roman"/>
    </w:rPr>
  </w:style>
  <w:style w:type="character" w:customStyle="1" w:styleId="rvts37">
    <w:name w:val="rvts37"/>
    <w:basedOn w:val="a0"/>
    <w:rsid w:val="00322779"/>
  </w:style>
  <w:style w:type="character" w:styleId="aff2">
    <w:name w:val="footnote reference"/>
    <w:basedOn w:val="a0"/>
    <w:uiPriority w:val="99"/>
    <w:unhideWhenUsed/>
    <w:qFormat/>
    <w:rsid w:val="000644BD"/>
    <w:rPr>
      <w:vertAlign w:val="superscript"/>
    </w:rPr>
  </w:style>
  <w:style w:type="character" w:customStyle="1" w:styleId="30">
    <w:name w:val="Заголовок 3 Знак"/>
    <w:basedOn w:val="a0"/>
    <w:link w:val="3"/>
    <w:uiPriority w:val="9"/>
    <w:rsid w:val="00231B09"/>
    <w:rPr>
      <w:rFonts w:ascii="Times New Roman" w:hAnsi="Times New Roman" w:cs="Times New Roman"/>
      <w:b/>
      <w:bCs/>
      <w:sz w:val="27"/>
      <w:szCs w:val="27"/>
      <w:lang w:eastAsia="uk-UA"/>
    </w:rPr>
  </w:style>
  <w:style w:type="paragraph" w:customStyle="1" w:styleId="xmsonormal">
    <w:name w:val="x_msonormal"/>
    <w:basedOn w:val="a"/>
    <w:rsid w:val="00C06A88"/>
    <w:pPr>
      <w:spacing w:before="100" w:beforeAutospacing="1" w:after="100" w:afterAutospacing="1"/>
      <w:jc w:val="left"/>
    </w:pPr>
    <w:rPr>
      <w:sz w:val="24"/>
      <w:szCs w:val="24"/>
    </w:rPr>
  </w:style>
  <w:style w:type="paragraph" w:customStyle="1" w:styleId="xmsolistparagraph">
    <w:name w:val="x_msolistparagraph"/>
    <w:basedOn w:val="a"/>
    <w:rsid w:val="009037A9"/>
    <w:pPr>
      <w:spacing w:before="100" w:beforeAutospacing="1" w:after="100" w:afterAutospacing="1"/>
      <w:jc w:val="left"/>
    </w:pPr>
    <w:rPr>
      <w:sz w:val="24"/>
      <w:szCs w:val="24"/>
    </w:rPr>
  </w:style>
  <w:style w:type="paragraph" w:customStyle="1" w:styleId="xmsocommenttext">
    <w:name w:val="x_msocommenttext"/>
    <w:basedOn w:val="a"/>
    <w:rsid w:val="00C150FC"/>
    <w:pPr>
      <w:spacing w:before="100" w:beforeAutospacing="1" w:after="100" w:afterAutospacing="1"/>
      <w:jc w:val="left"/>
    </w:pPr>
    <w:rPr>
      <w:sz w:val="24"/>
      <w:szCs w:val="24"/>
      <w:lang w:val="ru-RU" w:eastAsia="ru-RU"/>
    </w:rPr>
  </w:style>
  <w:style w:type="character" w:customStyle="1" w:styleId="xmsofootnotereference">
    <w:name w:val="x_msofootnotereference"/>
    <w:basedOn w:val="a0"/>
    <w:rsid w:val="00C150FC"/>
  </w:style>
  <w:style w:type="paragraph" w:customStyle="1" w:styleId="xmsofootnotetext">
    <w:name w:val="x_msofootnotetext"/>
    <w:basedOn w:val="a"/>
    <w:rsid w:val="00C150FC"/>
    <w:pPr>
      <w:spacing w:before="100" w:beforeAutospacing="1" w:after="100" w:afterAutospacing="1"/>
      <w:jc w:val="left"/>
    </w:pPr>
    <w:rPr>
      <w:sz w:val="24"/>
      <w:szCs w:val="24"/>
      <w:lang w:val="ru-RU" w:eastAsia="ru-RU"/>
    </w:rPr>
  </w:style>
  <w:style w:type="character" w:customStyle="1" w:styleId="rvts46">
    <w:name w:val="rvts46"/>
    <w:basedOn w:val="a0"/>
    <w:rsid w:val="00F44761"/>
  </w:style>
  <w:style w:type="character" w:customStyle="1" w:styleId="rvts11">
    <w:name w:val="rvts11"/>
    <w:basedOn w:val="a0"/>
    <w:rsid w:val="00F44761"/>
  </w:style>
  <w:style w:type="paragraph" w:customStyle="1" w:styleId="rvps7">
    <w:name w:val="rvps7"/>
    <w:basedOn w:val="a"/>
    <w:rsid w:val="00C07B5C"/>
    <w:pPr>
      <w:spacing w:before="100" w:beforeAutospacing="1" w:after="100" w:afterAutospacing="1"/>
      <w:jc w:val="left"/>
    </w:pPr>
    <w:rPr>
      <w:sz w:val="24"/>
      <w:szCs w:val="24"/>
      <w:lang w:val="ru-RU" w:eastAsia="ru-RU"/>
    </w:rPr>
  </w:style>
  <w:style w:type="character" w:customStyle="1" w:styleId="rvts15">
    <w:name w:val="rvts15"/>
    <w:basedOn w:val="a0"/>
    <w:rsid w:val="00C07B5C"/>
  </w:style>
  <w:style w:type="character" w:customStyle="1" w:styleId="rvts23">
    <w:name w:val="rvts23"/>
    <w:basedOn w:val="a0"/>
    <w:rsid w:val="00C07B5C"/>
  </w:style>
  <w:style w:type="table" w:customStyle="1" w:styleId="41">
    <w:name w:val="Сітка таблиці4"/>
    <w:basedOn w:val="a1"/>
    <w:uiPriority w:val="59"/>
    <w:rsid w:val="00787452"/>
    <w:pPr>
      <w:spacing w:after="0" w:line="240" w:lineRule="auto"/>
    </w:pPr>
    <w:rPr>
      <w:rFonts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43F64"/>
    <w:rPr>
      <w:rFonts w:ascii="Times New Roman" w:eastAsiaTheme="majorEastAsia" w:hAnsi="Times New Roman" w:cstheme="majorBidi"/>
      <w:color w:val="000000" w:themeColor="text1"/>
      <w:sz w:val="28"/>
      <w:szCs w:val="32"/>
      <w:lang w:eastAsia="uk-UA"/>
    </w:rPr>
  </w:style>
  <w:style w:type="character" w:customStyle="1" w:styleId="20">
    <w:name w:val="Заголовок 2 Знак"/>
    <w:basedOn w:val="a0"/>
    <w:link w:val="2"/>
    <w:uiPriority w:val="9"/>
    <w:semiHidden/>
    <w:rsid w:val="00565C3D"/>
    <w:rPr>
      <w:rFonts w:ascii="Times New Roman" w:eastAsiaTheme="majorEastAsia" w:hAnsi="Times New Roman" w:cs="Times New Roman"/>
      <w:bCs/>
      <w:sz w:val="28"/>
      <w:szCs w:val="26"/>
    </w:rPr>
  </w:style>
  <w:style w:type="character" w:customStyle="1" w:styleId="40">
    <w:name w:val="Заголовок 4 Знак"/>
    <w:basedOn w:val="a0"/>
    <w:link w:val="4"/>
    <w:uiPriority w:val="9"/>
    <w:semiHidden/>
    <w:rsid w:val="00565C3D"/>
    <w:rPr>
      <w:rFonts w:asciiTheme="majorHAnsi" w:eastAsiaTheme="majorEastAsia" w:hAnsiTheme="majorHAnsi" w:cs="Times New Roman"/>
      <w:b/>
      <w:bCs/>
      <w:i/>
      <w:iCs/>
      <w:color w:val="4F81BD" w:themeColor="accent1"/>
      <w:sz w:val="28"/>
    </w:rPr>
  </w:style>
  <w:style w:type="character" w:customStyle="1" w:styleId="50">
    <w:name w:val="Заголовок 5 Знак"/>
    <w:basedOn w:val="a0"/>
    <w:link w:val="5"/>
    <w:uiPriority w:val="9"/>
    <w:semiHidden/>
    <w:rsid w:val="00565C3D"/>
    <w:rPr>
      <w:rFonts w:asciiTheme="majorHAnsi" w:eastAsiaTheme="majorEastAsia" w:hAnsiTheme="majorHAnsi" w:cs="Times New Roman"/>
      <w:color w:val="243F60" w:themeColor="accent1" w:themeShade="7F"/>
      <w:sz w:val="28"/>
      <w:lang w:val="en-GB"/>
    </w:rPr>
  </w:style>
  <w:style w:type="character" w:customStyle="1" w:styleId="60">
    <w:name w:val="Заголовок 6 Знак"/>
    <w:basedOn w:val="a0"/>
    <w:link w:val="6"/>
    <w:uiPriority w:val="9"/>
    <w:semiHidden/>
    <w:rsid w:val="00565C3D"/>
    <w:rPr>
      <w:rFonts w:asciiTheme="majorHAnsi" w:eastAsiaTheme="majorEastAsia" w:hAnsiTheme="majorHAnsi" w:cs="Times New Roman"/>
      <w:i/>
      <w:iCs/>
      <w:color w:val="243F60" w:themeColor="accent1" w:themeShade="7F"/>
      <w:sz w:val="28"/>
      <w:lang w:val="en-GB"/>
    </w:rPr>
  </w:style>
  <w:style w:type="character" w:customStyle="1" w:styleId="70">
    <w:name w:val="Заголовок 7 Знак"/>
    <w:basedOn w:val="a0"/>
    <w:link w:val="7"/>
    <w:uiPriority w:val="9"/>
    <w:semiHidden/>
    <w:rsid w:val="00565C3D"/>
    <w:rPr>
      <w:rFonts w:asciiTheme="majorHAnsi" w:eastAsiaTheme="majorEastAsia" w:hAnsiTheme="majorHAnsi" w:cs="Times New Roman"/>
      <w:i/>
      <w:iCs/>
      <w:color w:val="404040" w:themeColor="text1" w:themeTint="BF"/>
      <w:sz w:val="28"/>
      <w:lang w:val="en-GB"/>
    </w:rPr>
  </w:style>
  <w:style w:type="character" w:customStyle="1" w:styleId="80">
    <w:name w:val="Заголовок 8 Знак"/>
    <w:basedOn w:val="a0"/>
    <w:link w:val="8"/>
    <w:uiPriority w:val="9"/>
    <w:semiHidden/>
    <w:rsid w:val="00565C3D"/>
    <w:rPr>
      <w:rFonts w:asciiTheme="majorHAnsi" w:eastAsiaTheme="majorEastAsia" w:hAnsiTheme="majorHAnsi" w:cs="Times New Roman"/>
      <w:color w:val="404040" w:themeColor="text1" w:themeTint="BF"/>
      <w:sz w:val="20"/>
      <w:szCs w:val="20"/>
      <w:lang w:val="en-GB"/>
    </w:rPr>
  </w:style>
  <w:style w:type="character" w:customStyle="1" w:styleId="90">
    <w:name w:val="Заголовок 9 Знак"/>
    <w:basedOn w:val="a0"/>
    <w:link w:val="9"/>
    <w:uiPriority w:val="9"/>
    <w:semiHidden/>
    <w:rsid w:val="00565C3D"/>
    <w:rPr>
      <w:rFonts w:asciiTheme="majorHAnsi" w:eastAsiaTheme="majorEastAsia" w:hAnsiTheme="majorHAnsi" w:cs="Times New Roman"/>
      <w:i/>
      <w:iCs/>
      <w:color w:val="404040" w:themeColor="text1" w:themeTint="BF"/>
      <w:sz w:val="20"/>
      <w:szCs w:val="20"/>
      <w:lang w:val="en-GB"/>
    </w:rPr>
  </w:style>
  <w:style w:type="character" w:styleId="aff3">
    <w:name w:val="endnote reference"/>
    <w:basedOn w:val="a0"/>
    <w:uiPriority w:val="99"/>
    <w:rsid w:val="00565C3D"/>
    <w:rPr>
      <w:rFonts w:cs="Times New Roman"/>
      <w:vertAlign w:val="superscript"/>
    </w:rPr>
  </w:style>
  <w:style w:type="table" w:customStyle="1" w:styleId="21">
    <w:name w:val="Сетка таблицы2"/>
    <w:basedOn w:val="a1"/>
    <w:next w:val="a9"/>
    <w:uiPriority w:val="59"/>
    <w:rsid w:val="00565C3D"/>
    <w:pPr>
      <w:spacing w:after="0" w:line="240" w:lineRule="auto"/>
    </w:pPr>
    <w:rPr>
      <w:rFonts w:ascii="Calibri" w:eastAsiaTheme="minorEastAsia"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565C3D"/>
    <w:pPr>
      <w:spacing w:after="240" w:line="240" w:lineRule="atLeast"/>
      <w:ind w:left="720"/>
      <w:contextualSpacing/>
      <w:jc w:val="left"/>
    </w:pPr>
    <w:rPr>
      <w:rFonts w:ascii="Georgia" w:hAnsi="Georgia"/>
      <w:sz w:val="20"/>
      <w:szCs w:val="20"/>
      <w:lang w:val="en-GB" w:eastAsia="en-US"/>
    </w:rPr>
  </w:style>
  <w:style w:type="paragraph" w:styleId="aff4">
    <w:name w:val="Body Text"/>
    <w:basedOn w:val="a"/>
    <w:link w:val="aff5"/>
    <w:uiPriority w:val="99"/>
    <w:rsid w:val="00565C3D"/>
    <w:pPr>
      <w:spacing w:after="240" w:line="240" w:lineRule="atLeast"/>
      <w:jc w:val="left"/>
    </w:pPr>
    <w:rPr>
      <w:rFonts w:ascii="Georgia" w:hAnsi="Georgia"/>
      <w:sz w:val="20"/>
      <w:szCs w:val="20"/>
      <w:lang w:val="en-GB" w:eastAsia="en-US"/>
    </w:rPr>
  </w:style>
  <w:style w:type="character" w:customStyle="1" w:styleId="aff5">
    <w:name w:val="Основний текст Знак"/>
    <w:basedOn w:val="a0"/>
    <w:link w:val="aff4"/>
    <w:uiPriority w:val="99"/>
    <w:rsid w:val="00565C3D"/>
    <w:rPr>
      <w:rFonts w:ascii="Georgia" w:hAnsi="Georgia" w:cs="Times New Roman"/>
      <w:sz w:val="20"/>
      <w:szCs w:val="20"/>
      <w:lang w:val="en-GB"/>
    </w:rPr>
  </w:style>
  <w:style w:type="table" w:customStyle="1" w:styleId="12">
    <w:name w:val="Сетка таблицы1"/>
    <w:basedOn w:val="a1"/>
    <w:next w:val="a9"/>
    <w:uiPriority w:val="59"/>
    <w:rsid w:val="00565C3D"/>
    <w:pPr>
      <w:spacing w:after="0" w:line="240" w:lineRule="auto"/>
    </w:pPr>
    <w:rPr>
      <w:rFonts w:ascii="Calibri" w:eastAsiaTheme="minorEastAsia"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FollowedHyperlink"/>
    <w:basedOn w:val="a0"/>
    <w:uiPriority w:val="99"/>
    <w:unhideWhenUsed/>
    <w:rsid w:val="00565C3D"/>
    <w:rPr>
      <w:rFonts w:cs="Times New Roman"/>
      <w:color w:val="800080"/>
      <w:u w:val="single"/>
    </w:rPr>
  </w:style>
  <w:style w:type="paragraph" w:customStyle="1" w:styleId="xl80">
    <w:name w:val="xl80"/>
    <w:basedOn w:val="a"/>
    <w:rsid w:val="00565C3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heme="minorEastAsia"/>
    </w:rPr>
  </w:style>
  <w:style w:type="paragraph" w:customStyle="1" w:styleId="xl81">
    <w:name w:val="xl81"/>
    <w:basedOn w:val="a"/>
    <w:rsid w:val="00565C3D"/>
    <w:pPr>
      <w:spacing w:before="100" w:beforeAutospacing="1" w:after="100" w:afterAutospacing="1"/>
      <w:jc w:val="left"/>
    </w:pPr>
    <w:rPr>
      <w:rFonts w:eastAsiaTheme="minorEastAsia"/>
    </w:rPr>
  </w:style>
  <w:style w:type="paragraph" w:customStyle="1" w:styleId="xl82">
    <w:name w:val="xl82"/>
    <w:basedOn w:val="a"/>
    <w:rsid w:val="00565C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heme="minorEastAsia"/>
    </w:rPr>
  </w:style>
  <w:style w:type="paragraph" w:customStyle="1" w:styleId="xl83">
    <w:name w:val="xl83"/>
    <w:basedOn w:val="a"/>
    <w:rsid w:val="00565C3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heme="minorEastAsia"/>
    </w:rPr>
  </w:style>
  <w:style w:type="paragraph" w:customStyle="1" w:styleId="xl84">
    <w:name w:val="xl84"/>
    <w:basedOn w:val="a"/>
    <w:rsid w:val="00565C3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heme="minorEastAsia"/>
    </w:rPr>
  </w:style>
  <w:style w:type="paragraph" w:customStyle="1" w:styleId="xl85">
    <w:name w:val="xl85"/>
    <w:basedOn w:val="a"/>
    <w:rsid w:val="00565C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heme="minorEastAsia"/>
    </w:rPr>
  </w:style>
  <w:style w:type="paragraph" w:customStyle="1" w:styleId="xl86">
    <w:name w:val="xl86"/>
    <w:basedOn w:val="a"/>
    <w:rsid w:val="00565C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heme="minorEastAsia"/>
    </w:rPr>
  </w:style>
  <w:style w:type="paragraph" w:customStyle="1" w:styleId="xl87">
    <w:name w:val="xl87"/>
    <w:basedOn w:val="a"/>
    <w:rsid w:val="00565C3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heme="minorEastAsia"/>
    </w:rPr>
  </w:style>
  <w:style w:type="paragraph" w:customStyle="1" w:styleId="xl88">
    <w:name w:val="xl88"/>
    <w:basedOn w:val="a"/>
    <w:rsid w:val="00565C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heme="minorEastAsia"/>
    </w:rPr>
  </w:style>
  <w:style w:type="paragraph" w:customStyle="1" w:styleId="xl89">
    <w:name w:val="xl89"/>
    <w:basedOn w:val="a"/>
    <w:rsid w:val="00565C3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heme="minorEastAsia"/>
    </w:rPr>
  </w:style>
  <w:style w:type="paragraph" w:customStyle="1" w:styleId="xl90">
    <w:name w:val="xl90"/>
    <w:basedOn w:val="a"/>
    <w:rsid w:val="00565C3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heme="minorEastAsia"/>
    </w:rPr>
  </w:style>
  <w:style w:type="paragraph" w:customStyle="1" w:styleId="xl91">
    <w:name w:val="xl91"/>
    <w:basedOn w:val="a"/>
    <w:rsid w:val="00565C3D"/>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jc w:val="left"/>
      <w:textAlignment w:val="center"/>
    </w:pPr>
    <w:rPr>
      <w:rFonts w:eastAsiaTheme="minorEastAsia"/>
    </w:rPr>
  </w:style>
  <w:style w:type="paragraph" w:customStyle="1" w:styleId="xl92">
    <w:name w:val="xl92"/>
    <w:basedOn w:val="a"/>
    <w:rsid w:val="00565C3D"/>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jc w:val="left"/>
      <w:textAlignment w:val="center"/>
    </w:pPr>
    <w:rPr>
      <w:rFonts w:eastAsiaTheme="minorEastAsia"/>
    </w:rPr>
  </w:style>
  <w:style w:type="paragraph" w:customStyle="1" w:styleId="xl93">
    <w:name w:val="xl93"/>
    <w:basedOn w:val="a"/>
    <w:rsid w:val="00565C3D"/>
    <w:pPr>
      <w:pBdr>
        <w:top w:val="single" w:sz="4" w:space="0" w:color="auto"/>
        <w:left w:val="single" w:sz="4" w:space="31" w:color="auto"/>
        <w:bottom w:val="single" w:sz="4" w:space="0" w:color="auto"/>
        <w:right w:val="single" w:sz="4" w:space="0" w:color="auto"/>
      </w:pBdr>
      <w:spacing w:before="100" w:beforeAutospacing="1" w:after="100" w:afterAutospacing="1"/>
      <w:ind w:firstLineChars="400" w:firstLine="400"/>
      <w:jc w:val="left"/>
      <w:textAlignment w:val="center"/>
    </w:pPr>
    <w:rPr>
      <w:rFonts w:eastAsiaTheme="minorEastAsia"/>
    </w:rPr>
  </w:style>
  <w:style w:type="paragraph" w:customStyle="1" w:styleId="xl94">
    <w:name w:val="xl94"/>
    <w:basedOn w:val="a"/>
    <w:rsid w:val="00565C3D"/>
    <w:pPr>
      <w:pBdr>
        <w:top w:val="single" w:sz="4" w:space="0" w:color="auto"/>
        <w:left w:val="single" w:sz="4" w:space="31" w:color="auto"/>
        <w:bottom w:val="single" w:sz="4" w:space="0" w:color="auto"/>
        <w:right w:val="single" w:sz="4" w:space="0" w:color="auto"/>
      </w:pBdr>
      <w:spacing w:before="100" w:beforeAutospacing="1" w:after="100" w:afterAutospacing="1"/>
      <w:ind w:firstLineChars="400" w:firstLine="400"/>
      <w:jc w:val="left"/>
      <w:textAlignment w:val="center"/>
    </w:pPr>
    <w:rPr>
      <w:rFonts w:eastAsiaTheme="minorEastAsia"/>
    </w:rPr>
  </w:style>
  <w:style w:type="paragraph" w:customStyle="1" w:styleId="xl95">
    <w:name w:val="xl95"/>
    <w:basedOn w:val="a"/>
    <w:rsid w:val="00565C3D"/>
    <w:pPr>
      <w:pBdr>
        <w:top w:val="single" w:sz="4" w:space="0" w:color="auto"/>
        <w:left w:val="single" w:sz="4" w:space="31" w:color="auto"/>
        <w:bottom w:val="single" w:sz="4" w:space="0" w:color="auto"/>
        <w:right w:val="single" w:sz="4" w:space="0" w:color="auto"/>
      </w:pBdr>
      <w:spacing w:before="100" w:beforeAutospacing="1" w:after="100" w:afterAutospacing="1"/>
      <w:ind w:firstLineChars="600" w:firstLine="600"/>
      <w:jc w:val="left"/>
      <w:textAlignment w:val="center"/>
    </w:pPr>
    <w:rPr>
      <w:rFonts w:eastAsiaTheme="minorEastAsia"/>
    </w:rPr>
  </w:style>
  <w:style w:type="paragraph" w:customStyle="1" w:styleId="xl96">
    <w:name w:val="xl96"/>
    <w:basedOn w:val="a"/>
    <w:rsid w:val="00565C3D"/>
    <w:pPr>
      <w:pBdr>
        <w:top w:val="single" w:sz="4" w:space="0" w:color="auto"/>
        <w:left w:val="single" w:sz="4" w:space="31" w:color="auto"/>
        <w:bottom w:val="single" w:sz="4" w:space="0" w:color="auto"/>
        <w:right w:val="single" w:sz="4" w:space="0" w:color="auto"/>
      </w:pBdr>
      <w:spacing w:before="100" w:beforeAutospacing="1" w:after="100" w:afterAutospacing="1"/>
      <w:ind w:firstLineChars="600" w:firstLine="600"/>
      <w:jc w:val="left"/>
      <w:textAlignment w:val="center"/>
    </w:pPr>
    <w:rPr>
      <w:rFonts w:eastAsiaTheme="minorEastAsia"/>
    </w:rPr>
  </w:style>
  <w:style w:type="paragraph" w:customStyle="1" w:styleId="xl97">
    <w:name w:val="xl97"/>
    <w:basedOn w:val="a"/>
    <w:rsid w:val="00565C3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heme="minorEastAsia"/>
    </w:rPr>
  </w:style>
  <w:style w:type="paragraph" w:customStyle="1" w:styleId="xl98">
    <w:name w:val="xl98"/>
    <w:basedOn w:val="a"/>
    <w:rsid w:val="00565C3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heme="minorEastAsia"/>
    </w:rPr>
  </w:style>
  <w:style w:type="character" w:customStyle="1" w:styleId="HTML">
    <w:name w:val="Стандартний HTML Знак"/>
    <w:basedOn w:val="a0"/>
    <w:link w:val="HTML0"/>
    <w:uiPriority w:val="99"/>
    <w:semiHidden/>
    <w:rsid w:val="00565C3D"/>
    <w:rPr>
      <w:rFonts w:ascii="Courier New" w:hAnsi="Courier New" w:cs="Courier New"/>
    </w:rPr>
  </w:style>
  <w:style w:type="paragraph" w:styleId="HTML0">
    <w:name w:val="HTML Preformatted"/>
    <w:basedOn w:val="a"/>
    <w:link w:val="HTML"/>
    <w:uiPriority w:val="99"/>
    <w:semiHidden/>
    <w:unhideWhenUsed/>
    <w:rsid w:val="00565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2"/>
      <w:szCs w:val="22"/>
      <w:lang w:eastAsia="en-US"/>
    </w:rPr>
  </w:style>
  <w:style w:type="character" w:customStyle="1" w:styleId="HTML1">
    <w:name w:val="Стандартний HTML Знак1"/>
    <w:basedOn w:val="a0"/>
    <w:uiPriority w:val="99"/>
    <w:semiHidden/>
    <w:rsid w:val="00565C3D"/>
    <w:rPr>
      <w:rFonts w:ascii="Consolas" w:hAnsi="Consolas" w:cs="Consolas"/>
      <w:sz w:val="20"/>
      <w:szCs w:val="20"/>
      <w:lang w:eastAsia="uk-UA"/>
    </w:rPr>
  </w:style>
  <w:style w:type="paragraph" w:styleId="13">
    <w:name w:val="toc 1"/>
    <w:basedOn w:val="a"/>
    <w:next w:val="a"/>
    <w:autoRedefine/>
    <w:uiPriority w:val="39"/>
    <w:semiHidden/>
    <w:unhideWhenUsed/>
    <w:rsid w:val="00565C3D"/>
    <w:pPr>
      <w:tabs>
        <w:tab w:val="left" w:pos="284"/>
        <w:tab w:val="right" w:leader="dot" w:pos="9922"/>
      </w:tabs>
      <w:spacing w:after="100"/>
      <w:ind w:right="-1"/>
    </w:pPr>
    <w:rPr>
      <w:noProof/>
      <w:szCs w:val="22"/>
      <w:lang w:eastAsia="en-US"/>
    </w:rPr>
  </w:style>
  <w:style w:type="character" w:styleId="aff7">
    <w:name w:val="Subtle Emphasis"/>
    <w:basedOn w:val="a0"/>
    <w:uiPriority w:val="19"/>
    <w:qFormat/>
    <w:rsid w:val="00565C3D"/>
    <w:rPr>
      <w:rFonts w:ascii="Times New Roman" w:hAnsi="Times New Roman" w:cs="Times New Roman" w:hint="default"/>
      <w:i/>
      <w:iCs/>
      <w:color w:val="404040" w:themeColor="text1" w:themeTint="BF"/>
    </w:rPr>
  </w:style>
  <w:style w:type="character" w:styleId="aff8">
    <w:name w:val="Intense Emphasis"/>
    <w:basedOn w:val="a0"/>
    <w:uiPriority w:val="21"/>
    <w:qFormat/>
    <w:rsid w:val="00565C3D"/>
    <w:rPr>
      <w:rFonts w:ascii="Times New Roman" w:hAnsi="Times New Roman" w:cs="Times New Roman" w:hint="default"/>
      <w:b/>
      <w:bCs/>
      <w:i/>
      <w:iCs/>
      <w:color w:val="4F81BD" w:themeColor="accent1"/>
      <w:sz w:val="24"/>
    </w:rPr>
  </w:style>
  <w:style w:type="character" w:styleId="aff9">
    <w:name w:val="Book Title"/>
    <w:basedOn w:val="a0"/>
    <w:uiPriority w:val="33"/>
    <w:qFormat/>
    <w:rsid w:val="00565C3D"/>
    <w:rPr>
      <w:b/>
      <w:bCs/>
      <w:i/>
      <w:iCs/>
      <w:spacing w:val="5"/>
    </w:rPr>
  </w:style>
  <w:style w:type="character" w:customStyle="1" w:styleId="apple-style-span">
    <w:name w:val="apple-style-span"/>
    <w:basedOn w:val="a0"/>
    <w:rsid w:val="00565C3D"/>
    <w:rPr>
      <w:rFonts w:ascii="Times New Roman" w:hAnsi="Times New Roman" w:cs="Times New Roman" w:hint="default"/>
    </w:rPr>
  </w:style>
  <w:style w:type="character" w:customStyle="1" w:styleId="apple-converted-space">
    <w:name w:val="apple-converted-space"/>
    <w:basedOn w:val="a0"/>
    <w:rsid w:val="00565C3D"/>
    <w:rPr>
      <w:rFonts w:ascii="Times New Roman" w:hAnsi="Times New Roman" w:cs="Times New Roman" w:hint="default"/>
    </w:rPr>
  </w:style>
  <w:style w:type="character" w:customStyle="1" w:styleId="22">
    <w:name w:val="Верхний колонтитул Знак2"/>
    <w:basedOn w:val="a0"/>
    <w:uiPriority w:val="99"/>
    <w:locked/>
    <w:rsid w:val="00565C3D"/>
    <w:rPr>
      <w:rFonts w:ascii="Times New Roman" w:hAnsi="Times New Roman" w:cs="Times New Roman" w:hint="default"/>
    </w:rPr>
  </w:style>
  <w:style w:type="character" w:customStyle="1" w:styleId="51">
    <w:name w:val="Нижний колонтитул Знак5"/>
    <w:basedOn w:val="a0"/>
    <w:uiPriority w:val="99"/>
    <w:locked/>
    <w:rsid w:val="00565C3D"/>
    <w:rPr>
      <w:rFonts w:ascii="Times New Roman" w:hAnsi="Times New Roman" w:cs="Times New Roman" w:hint="default"/>
    </w:rPr>
  </w:style>
  <w:style w:type="character" w:customStyle="1" w:styleId="rvts82">
    <w:name w:val="rvts82"/>
    <w:basedOn w:val="a0"/>
    <w:rsid w:val="00565C3D"/>
    <w:rPr>
      <w:rFonts w:ascii="Times New Roman" w:hAnsi="Times New Roman" w:cs="Times New Roman" w:hint="default"/>
    </w:rPr>
  </w:style>
  <w:style w:type="paragraph" w:customStyle="1" w:styleId="Default">
    <w:name w:val="Default"/>
    <w:qFormat/>
    <w:rsid w:val="00565C3D"/>
    <w:pPr>
      <w:autoSpaceDE w:val="0"/>
      <w:autoSpaceDN w:val="0"/>
      <w:adjustRightInd w:val="0"/>
      <w:spacing w:after="0" w:line="240" w:lineRule="auto"/>
    </w:pPr>
    <w:rPr>
      <w:rFonts w:ascii="Times New Roman" w:hAnsi="Times New Roman" w:cs="Times New Roman"/>
      <w:color w:val="000000"/>
      <w:sz w:val="24"/>
      <w:szCs w:val="24"/>
      <w:lang w:eastAsia="uk-UA"/>
    </w:rPr>
  </w:style>
  <w:style w:type="paragraph" w:customStyle="1" w:styleId="msonormal0">
    <w:name w:val="msonormal"/>
    <w:basedOn w:val="a"/>
    <w:rsid w:val="00565C3D"/>
    <w:pPr>
      <w:spacing w:before="100" w:beforeAutospacing="1" w:after="100" w:afterAutospacing="1"/>
      <w:jc w:val="left"/>
    </w:pPr>
    <w:rPr>
      <w:sz w:val="24"/>
      <w:szCs w:val="24"/>
    </w:rPr>
  </w:style>
  <w:style w:type="paragraph" w:customStyle="1" w:styleId="xl99">
    <w:name w:val="xl99"/>
    <w:basedOn w:val="a"/>
    <w:rsid w:val="00565C3D"/>
    <w:pPr>
      <w:spacing w:before="100" w:beforeAutospacing="1" w:after="100" w:afterAutospacing="1"/>
      <w:jc w:val="center"/>
      <w:textAlignment w:val="center"/>
    </w:pPr>
  </w:style>
  <w:style w:type="paragraph" w:customStyle="1" w:styleId="xl100">
    <w:name w:val="xl100"/>
    <w:basedOn w:val="a"/>
    <w:rsid w:val="00565C3D"/>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jc w:val="left"/>
      <w:textAlignment w:val="center"/>
    </w:pPr>
  </w:style>
  <w:style w:type="paragraph" w:customStyle="1" w:styleId="xl101">
    <w:name w:val="xl101"/>
    <w:basedOn w:val="a"/>
    <w:rsid w:val="00565C3D"/>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jc w:val="left"/>
      <w:textAlignment w:val="center"/>
    </w:pPr>
  </w:style>
  <w:style w:type="paragraph" w:customStyle="1" w:styleId="xl102">
    <w:name w:val="xl102"/>
    <w:basedOn w:val="a"/>
    <w:rsid w:val="00565C3D"/>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103">
    <w:name w:val="xl103"/>
    <w:basedOn w:val="a"/>
    <w:rsid w:val="00565C3D"/>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jc w:val="left"/>
      <w:textAlignment w:val="center"/>
    </w:pPr>
  </w:style>
  <w:style w:type="paragraph" w:customStyle="1" w:styleId="xl104">
    <w:name w:val="xl104"/>
    <w:basedOn w:val="a"/>
    <w:rsid w:val="00565C3D"/>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jc w:val="left"/>
      <w:textAlignment w:val="center"/>
    </w:pPr>
  </w:style>
  <w:style w:type="paragraph" w:customStyle="1" w:styleId="xl105">
    <w:name w:val="xl105"/>
    <w:basedOn w:val="a"/>
    <w:rsid w:val="00565C3D"/>
    <w:pPr>
      <w:pBdr>
        <w:top w:val="single" w:sz="4" w:space="0" w:color="auto"/>
        <w:left w:val="single" w:sz="4" w:space="31" w:color="auto"/>
        <w:bottom w:val="single" w:sz="4" w:space="0" w:color="auto"/>
        <w:right w:val="single" w:sz="4" w:space="0" w:color="auto"/>
      </w:pBdr>
      <w:spacing w:before="100" w:beforeAutospacing="1" w:after="100" w:afterAutospacing="1"/>
      <w:ind w:firstLineChars="400" w:firstLine="400"/>
      <w:jc w:val="left"/>
      <w:textAlignment w:val="center"/>
    </w:pPr>
  </w:style>
  <w:style w:type="paragraph" w:customStyle="1" w:styleId="xl106">
    <w:name w:val="xl106"/>
    <w:basedOn w:val="a"/>
    <w:rsid w:val="00565C3D"/>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jc w:val="left"/>
      <w:textAlignment w:val="center"/>
    </w:pPr>
  </w:style>
  <w:style w:type="paragraph" w:customStyle="1" w:styleId="xl107">
    <w:name w:val="xl107"/>
    <w:basedOn w:val="a"/>
    <w:rsid w:val="00565C3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8">
    <w:name w:val="xl108"/>
    <w:basedOn w:val="a"/>
    <w:rsid w:val="00565C3D"/>
    <w:pPr>
      <w:spacing w:before="100" w:beforeAutospacing="1" w:after="100" w:afterAutospacing="1"/>
      <w:jc w:val="left"/>
    </w:pPr>
  </w:style>
  <w:style w:type="paragraph" w:customStyle="1" w:styleId="xl109">
    <w:name w:val="xl109"/>
    <w:basedOn w:val="a"/>
    <w:rsid w:val="00565C3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0">
    <w:name w:val="xl110"/>
    <w:basedOn w:val="a"/>
    <w:rsid w:val="00565C3D"/>
    <w:pPr>
      <w:pBdr>
        <w:top w:val="single" w:sz="4" w:space="0" w:color="auto"/>
        <w:left w:val="single" w:sz="4" w:space="31" w:color="auto"/>
        <w:bottom w:val="single" w:sz="4" w:space="0" w:color="auto"/>
        <w:right w:val="single" w:sz="4" w:space="0" w:color="auto"/>
      </w:pBdr>
      <w:spacing w:before="100" w:beforeAutospacing="1" w:after="100" w:afterAutospacing="1"/>
      <w:ind w:firstLineChars="400" w:firstLine="400"/>
      <w:jc w:val="left"/>
      <w:textAlignment w:val="center"/>
    </w:pPr>
  </w:style>
  <w:style w:type="paragraph" w:customStyle="1" w:styleId="xl111">
    <w:name w:val="xl111"/>
    <w:basedOn w:val="a"/>
    <w:rsid w:val="00565C3D"/>
    <w:pPr>
      <w:pBdr>
        <w:top w:val="single" w:sz="4" w:space="0" w:color="auto"/>
        <w:left w:val="single" w:sz="4" w:space="31" w:color="auto"/>
        <w:bottom w:val="single" w:sz="4" w:space="0" w:color="auto"/>
        <w:right w:val="single" w:sz="4" w:space="0" w:color="auto"/>
      </w:pBdr>
      <w:spacing w:before="100" w:beforeAutospacing="1" w:after="100" w:afterAutospacing="1"/>
      <w:ind w:firstLineChars="600" w:firstLine="600"/>
      <w:jc w:val="left"/>
      <w:textAlignment w:val="center"/>
    </w:pPr>
  </w:style>
  <w:style w:type="table" w:customStyle="1" w:styleId="14">
    <w:name w:val="Сітка таблиці1"/>
    <w:basedOn w:val="a1"/>
    <w:next w:val="a9"/>
    <w:uiPriority w:val="59"/>
    <w:rsid w:val="00565C3D"/>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Emphasis"/>
    <w:basedOn w:val="a0"/>
    <w:qFormat/>
    <w:rsid w:val="00565C3D"/>
    <w:rPr>
      <w:i/>
      <w:iCs/>
    </w:rPr>
  </w:style>
  <w:style w:type="character" w:customStyle="1" w:styleId="15">
    <w:name w:val="Текст виноски Знак1"/>
    <w:aliases w:val="Знак Знак2 Знак1,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0"/>
    <w:uiPriority w:val="99"/>
    <w:rsid w:val="00565C3D"/>
    <w:rPr>
      <w:rFonts w:eastAsia="Times New Roman"/>
      <w:color w:val="00000A"/>
      <w:sz w:val="28"/>
      <w:szCs w:val="28"/>
      <w:lang w:val="uk-UA" w:eastAsia="uk-UA"/>
    </w:rPr>
  </w:style>
  <w:style w:type="character" w:customStyle="1" w:styleId="af4">
    <w:name w:val="Абзац списку Знак"/>
    <w:aliases w:val="Bullets Знак,Heading Bullet Знак,text bullet Знак,List Numbers Знак,Elenco Normale Знак,En tête 1 Знак,Γράφημα Знак,Citation List Знак,본문(내용) Знак,List Paragraph (numbered (a)) Знак"/>
    <w:basedOn w:val="a0"/>
    <w:link w:val="af3"/>
    <w:uiPriority w:val="34"/>
    <w:locked/>
    <w:rsid w:val="00565C3D"/>
    <w:rPr>
      <w:rFonts w:ascii="Times New Roman" w:hAnsi="Times New Roman" w:cs="Times New Roman"/>
      <w:sz w:val="28"/>
      <w:szCs w:val="28"/>
      <w:lang w:eastAsia="uk-UA"/>
    </w:rPr>
  </w:style>
  <w:style w:type="character" w:customStyle="1" w:styleId="affb">
    <w:name w:val="Основной текст_"/>
    <w:link w:val="16"/>
    <w:locked/>
    <w:rsid w:val="0046215A"/>
    <w:rPr>
      <w:sz w:val="27"/>
      <w:shd w:val="clear" w:color="auto" w:fill="FFFFFF"/>
    </w:rPr>
  </w:style>
  <w:style w:type="paragraph" w:customStyle="1" w:styleId="16">
    <w:name w:val="Основной текст1"/>
    <w:basedOn w:val="a"/>
    <w:link w:val="affb"/>
    <w:rsid w:val="0046215A"/>
    <w:pPr>
      <w:shd w:val="clear" w:color="auto" w:fill="FFFFFF"/>
      <w:spacing w:line="240" w:lineRule="atLeast"/>
      <w:jc w:val="left"/>
    </w:pPr>
    <w:rPr>
      <w:rFonts w:asciiTheme="minorHAnsi" w:hAnsiTheme="minorHAnsi" w:cstheme="minorHAnsi"/>
      <w:sz w:val="27"/>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46318">
      <w:bodyDiv w:val="1"/>
      <w:marLeft w:val="0"/>
      <w:marRight w:val="0"/>
      <w:marTop w:val="0"/>
      <w:marBottom w:val="0"/>
      <w:divBdr>
        <w:top w:val="none" w:sz="0" w:space="0" w:color="auto"/>
        <w:left w:val="none" w:sz="0" w:space="0" w:color="auto"/>
        <w:bottom w:val="none" w:sz="0" w:space="0" w:color="auto"/>
        <w:right w:val="none" w:sz="0" w:space="0" w:color="auto"/>
      </w:divBdr>
      <w:divsChild>
        <w:div w:id="179321363">
          <w:marLeft w:val="0"/>
          <w:marRight w:val="0"/>
          <w:marTop w:val="0"/>
          <w:marBottom w:val="0"/>
          <w:divBdr>
            <w:top w:val="none" w:sz="0" w:space="0" w:color="auto"/>
            <w:left w:val="none" w:sz="0" w:space="0" w:color="auto"/>
            <w:bottom w:val="none" w:sz="0" w:space="0" w:color="auto"/>
            <w:right w:val="none" w:sz="0" w:space="0" w:color="auto"/>
          </w:divBdr>
          <w:divsChild>
            <w:div w:id="204474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836644">
      <w:bodyDiv w:val="1"/>
      <w:marLeft w:val="0"/>
      <w:marRight w:val="0"/>
      <w:marTop w:val="0"/>
      <w:marBottom w:val="0"/>
      <w:divBdr>
        <w:top w:val="none" w:sz="0" w:space="0" w:color="auto"/>
        <w:left w:val="none" w:sz="0" w:space="0" w:color="auto"/>
        <w:bottom w:val="none" w:sz="0" w:space="0" w:color="auto"/>
        <w:right w:val="none" w:sz="0" w:space="0" w:color="auto"/>
      </w:divBdr>
    </w:div>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631063323">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974070039">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192955095">
      <w:bodyDiv w:val="1"/>
      <w:marLeft w:val="0"/>
      <w:marRight w:val="0"/>
      <w:marTop w:val="0"/>
      <w:marBottom w:val="0"/>
      <w:divBdr>
        <w:top w:val="none" w:sz="0" w:space="0" w:color="auto"/>
        <w:left w:val="none" w:sz="0" w:space="0" w:color="auto"/>
        <w:bottom w:val="none" w:sz="0" w:space="0" w:color="auto"/>
        <w:right w:val="none" w:sz="0" w:space="0" w:color="auto"/>
      </w:divBdr>
    </w:div>
    <w:div w:id="1206527947">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317802402">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428230920">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 w:id="1750225882">
      <w:bodyDiv w:val="1"/>
      <w:marLeft w:val="0"/>
      <w:marRight w:val="0"/>
      <w:marTop w:val="0"/>
      <w:marBottom w:val="0"/>
      <w:divBdr>
        <w:top w:val="none" w:sz="0" w:space="0" w:color="auto"/>
        <w:left w:val="none" w:sz="0" w:space="0" w:color="auto"/>
        <w:bottom w:val="none" w:sz="0" w:space="0" w:color="auto"/>
        <w:right w:val="none" w:sz="0" w:space="0" w:color="auto"/>
      </w:divBdr>
    </w:div>
    <w:div w:id="180010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B9B379-7018-4A3A-A88B-F8671DED09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5.xml><?xml version="1.0" encoding="utf-8"?>
<ds:datastoreItem xmlns:ds="http://schemas.openxmlformats.org/officeDocument/2006/customXml" ds:itemID="{B636F5E2-459D-41DE-8392-B11178C02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32</Pages>
  <Words>38326</Words>
  <Characters>21846</Characters>
  <Application>Microsoft Office Word</Application>
  <DocSecurity>0</DocSecurity>
  <Lines>182</Lines>
  <Paragraphs>120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60052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1a4506</dc:creator>
  <cp:lastModifiedBy>Майба Віталій Васильович</cp:lastModifiedBy>
  <cp:revision>8</cp:revision>
  <cp:lastPrinted>2023-08-30T15:57:00Z</cp:lastPrinted>
  <dcterms:created xsi:type="dcterms:W3CDTF">2023-08-30T15:53:00Z</dcterms:created>
  <dcterms:modified xsi:type="dcterms:W3CDTF">2023-09-01T11:23:00Z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