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1" w:type="dxa"/>
        <w:tblLook w:val="04A0" w:firstRow="1" w:lastRow="0" w:firstColumn="1" w:lastColumn="0" w:noHBand="0" w:noVBand="1"/>
      </w:tblPr>
      <w:tblGrid>
        <w:gridCol w:w="10076"/>
        <w:gridCol w:w="223"/>
        <w:gridCol w:w="222"/>
      </w:tblGrid>
      <w:tr w:rsidR="00A249CB" w:rsidRPr="00981FF0" w14:paraId="7158A147" w14:textId="77777777" w:rsidTr="00E341FF">
        <w:tc>
          <w:tcPr>
            <w:tcW w:w="10076" w:type="dxa"/>
            <w:shd w:val="clear" w:color="auto" w:fill="auto"/>
            <w:vAlign w:val="bottom"/>
          </w:tcPr>
          <w:tbl>
            <w:tblPr>
              <w:tblW w:w="963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208"/>
              <w:gridCol w:w="3226"/>
              <w:gridCol w:w="3204"/>
            </w:tblGrid>
            <w:tr w:rsidR="00A249CB" w:rsidRPr="00981FF0" w14:paraId="5D8EF168" w14:textId="77777777" w:rsidTr="00E341FF">
              <w:trPr>
                <w:trHeight w:val="851"/>
              </w:trPr>
              <w:tc>
                <w:tcPr>
                  <w:tcW w:w="3208" w:type="dxa"/>
                </w:tcPr>
                <w:p w14:paraId="4769DF8A" w14:textId="77777777" w:rsidR="00A249CB" w:rsidRPr="008414F6" w:rsidRDefault="00A249CB" w:rsidP="00E341FF">
                  <w:pPr>
                    <w:spacing w:after="0" w:line="240" w:lineRule="auto"/>
                    <w:rPr>
                      <w:kern w:val="0"/>
                      <w:lang w:val="en-US" w:eastAsia="zh-CN" w:bidi="ar-SA"/>
                    </w:rPr>
                  </w:pPr>
                </w:p>
              </w:tc>
              <w:tc>
                <w:tcPr>
                  <w:tcW w:w="3226" w:type="dxa"/>
                  <w:vMerge w:val="restart"/>
                </w:tcPr>
                <w:p w14:paraId="43B18C52" w14:textId="77777777" w:rsidR="00A249CB" w:rsidRPr="00981FF0" w:rsidRDefault="00A249CB" w:rsidP="00E341FF">
                  <w:pPr>
                    <w:spacing w:after="0" w:line="240" w:lineRule="auto"/>
                    <w:jc w:val="center"/>
                    <w:rPr>
                      <w:kern w:val="0"/>
                      <w:lang w:eastAsia="zh-CN" w:bidi="ar-SA"/>
                    </w:rPr>
                  </w:pPr>
                  <w:r w:rsidRPr="00981FF0">
                    <w:rPr>
                      <w:noProof/>
                      <w:kern w:val="0"/>
                      <w:lang w:bidi="ar-SA"/>
                    </w:rPr>
                    <w:drawing>
                      <wp:inline distT="0" distB="0" distL="0" distR="0" wp14:anchorId="022EE713" wp14:editId="5C637069">
                        <wp:extent cx="426085" cy="60198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a:stretch>
                                  <a:fillRect/>
                                </a:stretch>
                              </pic:blipFill>
                              <pic:spPr>
                                <a:xfrm>
                                  <a:off x="0" y="0"/>
                                  <a:ext cx="426719" cy="601980"/>
                                </a:xfrm>
                                <a:prstGeom prst="rect">
                                  <a:avLst/>
                                </a:prstGeom>
                              </pic:spPr>
                            </pic:pic>
                          </a:graphicData>
                        </a:graphic>
                      </wp:inline>
                    </w:drawing>
                  </w:r>
                </w:p>
              </w:tc>
              <w:tc>
                <w:tcPr>
                  <w:tcW w:w="3204" w:type="dxa"/>
                </w:tcPr>
                <w:p w14:paraId="0D6101CE" w14:textId="7294EBD4" w:rsidR="00A249CB" w:rsidRPr="00820ABB" w:rsidRDefault="00820ABB" w:rsidP="00C14439">
                  <w:pPr>
                    <w:spacing w:after="0" w:line="240" w:lineRule="auto"/>
                    <w:jc w:val="left"/>
                    <w:rPr>
                      <w:kern w:val="0"/>
                      <w:lang w:val="en-US" w:eastAsia="zh-CN" w:bidi="ar-SA"/>
                    </w:rPr>
                  </w:pPr>
                  <w:bookmarkStart w:id="0" w:name="_GoBack"/>
                  <w:r>
                    <w:rPr>
                      <w:sz w:val="24"/>
                      <w:szCs w:val="24"/>
                    </w:rPr>
                    <w:t xml:space="preserve">Офіційно опубліковано </w:t>
                  </w:r>
                  <w:r>
                    <w:rPr>
                      <w:sz w:val="24"/>
                      <w:szCs w:val="24"/>
                      <w:lang w:val="en-US"/>
                    </w:rPr>
                    <w:t>02</w:t>
                  </w:r>
                  <w:r w:rsidRPr="00B24D32">
                    <w:rPr>
                      <w:sz w:val="24"/>
                      <w:szCs w:val="24"/>
                    </w:rPr>
                    <w:t>.</w:t>
                  </w:r>
                  <w:r>
                    <w:rPr>
                      <w:sz w:val="24"/>
                      <w:szCs w:val="24"/>
                      <w:lang w:val="en-US"/>
                    </w:rPr>
                    <w:t>02</w:t>
                  </w:r>
                  <w:r w:rsidRPr="00B24D32">
                    <w:rPr>
                      <w:sz w:val="24"/>
                      <w:szCs w:val="24"/>
                    </w:rPr>
                    <w:t>.202</w:t>
                  </w:r>
                  <w:r>
                    <w:rPr>
                      <w:sz w:val="24"/>
                      <w:szCs w:val="24"/>
                      <w:lang w:val="en-US"/>
                    </w:rPr>
                    <w:t>4</w:t>
                  </w:r>
                  <w:bookmarkEnd w:id="0"/>
                </w:p>
              </w:tc>
            </w:tr>
            <w:tr w:rsidR="00A249CB" w:rsidRPr="00981FF0" w14:paraId="4FE66D57" w14:textId="77777777" w:rsidTr="00E341FF">
              <w:tc>
                <w:tcPr>
                  <w:tcW w:w="3208" w:type="dxa"/>
                </w:tcPr>
                <w:p w14:paraId="4FD01E1D" w14:textId="77777777" w:rsidR="00A249CB" w:rsidRPr="00981FF0" w:rsidRDefault="00A249CB" w:rsidP="00E341FF">
                  <w:pPr>
                    <w:spacing w:after="0" w:line="240" w:lineRule="auto"/>
                    <w:rPr>
                      <w:kern w:val="0"/>
                      <w:lang w:eastAsia="zh-CN" w:bidi="ar-SA"/>
                    </w:rPr>
                  </w:pPr>
                </w:p>
              </w:tc>
              <w:tc>
                <w:tcPr>
                  <w:tcW w:w="3226" w:type="dxa"/>
                  <w:vMerge/>
                </w:tcPr>
                <w:p w14:paraId="7E20179F" w14:textId="77777777" w:rsidR="00A249CB" w:rsidRPr="00981FF0" w:rsidRDefault="00A249CB" w:rsidP="00E341FF">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left"/>
                    <w:rPr>
                      <w:kern w:val="0"/>
                      <w:lang w:eastAsia="zh-CN" w:bidi="ar-SA"/>
                    </w:rPr>
                  </w:pPr>
                </w:p>
              </w:tc>
              <w:tc>
                <w:tcPr>
                  <w:tcW w:w="3204" w:type="dxa"/>
                </w:tcPr>
                <w:p w14:paraId="30372DD7" w14:textId="77777777" w:rsidR="00A249CB" w:rsidRPr="00981FF0" w:rsidRDefault="00A249CB" w:rsidP="00E341FF">
                  <w:pPr>
                    <w:spacing w:after="0" w:line="240" w:lineRule="auto"/>
                    <w:rPr>
                      <w:kern w:val="0"/>
                      <w:lang w:eastAsia="zh-CN" w:bidi="ar-SA"/>
                    </w:rPr>
                  </w:pPr>
                </w:p>
              </w:tc>
            </w:tr>
            <w:tr w:rsidR="00A249CB" w:rsidRPr="00981FF0" w14:paraId="503A68D1" w14:textId="77777777" w:rsidTr="00E341FF">
              <w:tc>
                <w:tcPr>
                  <w:tcW w:w="9638" w:type="dxa"/>
                  <w:gridSpan w:val="3"/>
                </w:tcPr>
                <w:p w14:paraId="55FD9372" w14:textId="77777777" w:rsidR="00A249CB" w:rsidRPr="00981FF0" w:rsidRDefault="00A249CB" w:rsidP="00E341FF">
                  <w:pPr>
                    <w:tabs>
                      <w:tab w:val="left" w:pos="-3600"/>
                    </w:tabs>
                    <w:spacing w:before="120" w:after="120" w:line="240" w:lineRule="auto"/>
                    <w:jc w:val="center"/>
                    <w:rPr>
                      <w:b/>
                      <w:color w:val="006600"/>
                      <w:kern w:val="0"/>
                      <w:lang w:eastAsia="zh-CN" w:bidi="ar-SA"/>
                    </w:rPr>
                  </w:pPr>
                  <w:r w:rsidRPr="00981FF0">
                    <w:rPr>
                      <w:b/>
                      <w:color w:val="006600"/>
                      <w:kern w:val="0"/>
                      <w:lang w:eastAsia="zh-CN" w:bidi="ar-SA"/>
                    </w:rPr>
                    <w:t>Правління Національного банку України</w:t>
                  </w:r>
                </w:p>
                <w:p w14:paraId="7C0E6B61" w14:textId="77777777" w:rsidR="00A249CB" w:rsidRPr="00981FF0" w:rsidRDefault="00A249CB" w:rsidP="00E341FF">
                  <w:pPr>
                    <w:spacing w:after="0" w:line="240" w:lineRule="auto"/>
                    <w:jc w:val="center"/>
                    <w:rPr>
                      <w:kern w:val="0"/>
                      <w:lang w:eastAsia="zh-CN" w:bidi="ar-SA"/>
                    </w:rPr>
                  </w:pPr>
                  <w:r w:rsidRPr="00981FF0">
                    <w:rPr>
                      <w:b/>
                      <w:color w:val="006600"/>
                      <w:kern w:val="0"/>
                      <w:sz w:val="32"/>
                      <w:szCs w:val="32"/>
                      <w:lang w:eastAsia="zh-CN" w:bidi="ar-SA"/>
                    </w:rPr>
                    <w:t>П О С Т А Н О В А</w:t>
                  </w:r>
                </w:p>
              </w:tc>
            </w:tr>
          </w:tbl>
          <w:p w14:paraId="6BD3E813" w14:textId="77777777" w:rsidR="00A249CB" w:rsidRPr="00981FF0" w:rsidRDefault="00A249CB" w:rsidP="00E341FF">
            <w:pPr>
              <w:spacing w:after="0" w:line="240" w:lineRule="auto"/>
              <w:rPr>
                <w:kern w:val="0"/>
                <w:sz w:val="4"/>
                <w:szCs w:val="4"/>
                <w:lang w:eastAsia="zh-CN" w:bidi="ar-SA"/>
              </w:rPr>
            </w:pPr>
          </w:p>
          <w:tbl>
            <w:tblPr>
              <w:tblW w:w="963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423"/>
              <w:gridCol w:w="2643"/>
              <w:gridCol w:w="1680"/>
              <w:gridCol w:w="1892"/>
            </w:tblGrid>
            <w:tr w:rsidR="00A249CB" w:rsidRPr="00981FF0" w14:paraId="331E2C33" w14:textId="77777777" w:rsidTr="00E341FF">
              <w:tc>
                <w:tcPr>
                  <w:tcW w:w="3423" w:type="dxa"/>
                  <w:vAlign w:val="bottom"/>
                </w:tcPr>
                <w:p w14:paraId="3B7B0C0D" w14:textId="36FDCD49" w:rsidR="00A249CB" w:rsidRPr="00820ABB" w:rsidRDefault="00820ABB" w:rsidP="00E341FF">
                  <w:pPr>
                    <w:spacing w:after="0" w:line="240" w:lineRule="auto"/>
                    <w:rPr>
                      <w:kern w:val="0"/>
                      <w:lang w:eastAsia="zh-CN" w:bidi="ar-SA"/>
                    </w:rPr>
                  </w:pPr>
                  <w:r>
                    <w:rPr>
                      <w:kern w:val="0"/>
                      <w:lang w:val="en-US" w:eastAsia="zh-CN" w:bidi="ar-SA"/>
                    </w:rPr>
                    <w:t xml:space="preserve">02 </w:t>
                  </w:r>
                  <w:r>
                    <w:rPr>
                      <w:kern w:val="0"/>
                      <w:lang w:eastAsia="zh-CN" w:bidi="ar-SA"/>
                    </w:rPr>
                    <w:t>лютого 2024 року</w:t>
                  </w:r>
                </w:p>
              </w:tc>
              <w:tc>
                <w:tcPr>
                  <w:tcW w:w="2643" w:type="dxa"/>
                </w:tcPr>
                <w:p w14:paraId="7A8A1EF8" w14:textId="77777777" w:rsidR="00A249CB" w:rsidRPr="00981FF0" w:rsidRDefault="00A249CB" w:rsidP="00E341FF">
                  <w:pPr>
                    <w:spacing w:before="240" w:after="0" w:line="240" w:lineRule="auto"/>
                    <w:jc w:val="center"/>
                    <w:rPr>
                      <w:kern w:val="0"/>
                      <w:lang w:eastAsia="zh-CN" w:bidi="ar-SA"/>
                    </w:rPr>
                  </w:pPr>
                  <w:r w:rsidRPr="00981FF0">
                    <w:rPr>
                      <w:color w:val="006600"/>
                      <w:kern w:val="0"/>
                      <w:lang w:eastAsia="zh-CN" w:bidi="ar-SA"/>
                    </w:rPr>
                    <w:t>Київ</w:t>
                  </w:r>
                </w:p>
              </w:tc>
              <w:tc>
                <w:tcPr>
                  <w:tcW w:w="1680" w:type="dxa"/>
                  <w:vAlign w:val="bottom"/>
                </w:tcPr>
                <w:p w14:paraId="1FD2FE8A" w14:textId="77777777" w:rsidR="00A249CB" w:rsidRPr="00981FF0" w:rsidRDefault="00A249CB" w:rsidP="00E341FF">
                  <w:pPr>
                    <w:spacing w:after="0" w:line="240" w:lineRule="auto"/>
                    <w:jc w:val="right"/>
                    <w:rPr>
                      <w:kern w:val="0"/>
                      <w:lang w:eastAsia="zh-CN" w:bidi="ar-SA"/>
                    </w:rPr>
                  </w:pPr>
                </w:p>
              </w:tc>
              <w:tc>
                <w:tcPr>
                  <w:tcW w:w="1892" w:type="dxa"/>
                  <w:vAlign w:val="bottom"/>
                </w:tcPr>
                <w:p w14:paraId="7C7BC414" w14:textId="661142FD" w:rsidR="00A249CB" w:rsidRPr="00820ABB" w:rsidRDefault="00820ABB" w:rsidP="00E341FF">
                  <w:pPr>
                    <w:spacing w:after="0" w:line="240" w:lineRule="auto"/>
                    <w:jc w:val="left"/>
                    <w:rPr>
                      <w:kern w:val="0"/>
                      <w:lang w:eastAsia="zh-CN" w:bidi="ar-SA"/>
                    </w:rPr>
                  </w:pPr>
                  <w:r>
                    <w:rPr>
                      <w:kern w:val="0"/>
                      <w:lang w:eastAsia="zh-CN" w:bidi="ar-SA"/>
                    </w:rPr>
                    <w:t>№ 13</w:t>
                  </w:r>
                </w:p>
              </w:tc>
            </w:tr>
          </w:tbl>
          <w:p w14:paraId="279280F6" w14:textId="77777777" w:rsidR="00A249CB" w:rsidRPr="00981FF0" w:rsidRDefault="00A249CB" w:rsidP="00E341FF">
            <w:pPr>
              <w:spacing w:after="0" w:line="240" w:lineRule="auto"/>
              <w:contextualSpacing/>
              <w:rPr>
                <w:color w:val="000000" w:themeColor="text1"/>
              </w:rPr>
            </w:pPr>
          </w:p>
        </w:tc>
        <w:tc>
          <w:tcPr>
            <w:tcW w:w="223" w:type="dxa"/>
            <w:shd w:val="clear" w:color="auto" w:fill="auto"/>
            <w:vAlign w:val="bottom"/>
          </w:tcPr>
          <w:p w14:paraId="3A6A2E71" w14:textId="77777777" w:rsidR="00A249CB" w:rsidRPr="00981FF0" w:rsidRDefault="00A249CB" w:rsidP="00E341FF">
            <w:pPr>
              <w:spacing w:after="0" w:line="240" w:lineRule="auto"/>
              <w:ind w:firstLine="567"/>
              <w:contextualSpacing/>
              <w:jc w:val="right"/>
              <w:rPr>
                <w:color w:val="000000" w:themeColor="text1"/>
              </w:rPr>
            </w:pPr>
          </w:p>
        </w:tc>
        <w:tc>
          <w:tcPr>
            <w:tcW w:w="222" w:type="dxa"/>
            <w:shd w:val="clear" w:color="auto" w:fill="auto"/>
            <w:vAlign w:val="bottom"/>
          </w:tcPr>
          <w:p w14:paraId="16846D0F" w14:textId="77777777" w:rsidR="00A249CB" w:rsidRPr="00981FF0" w:rsidRDefault="00A249CB" w:rsidP="00E341FF">
            <w:pPr>
              <w:spacing w:after="0" w:line="240" w:lineRule="auto"/>
              <w:ind w:firstLine="567"/>
              <w:contextualSpacing/>
              <w:rPr>
                <w:color w:val="000000" w:themeColor="text1"/>
              </w:rPr>
            </w:pPr>
          </w:p>
        </w:tc>
      </w:tr>
    </w:tbl>
    <w:p w14:paraId="70300FE9" w14:textId="77777777" w:rsidR="00A249CB" w:rsidRPr="000F301A" w:rsidRDefault="00A249CB" w:rsidP="00355CD8">
      <w:pPr>
        <w:jc w:val="center"/>
      </w:pPr>
    </w:p>
    <w:p w14:paraId="7270B03A" w14:textId="77777777" w:rsidR="001C1CBE" w:rsidRDefault="00C07EE7" w:rsidP="00B96E75">
      <w:pPr>
        <w:tabs>
          <w:tab w:val="left" w:pos="6156"/>
        </w:tabs>
        <w:spacing w:before="240" w:after="0" w:line="240" w:lineRule="auto"/>
        <w:jc w:val="center"/>
        <w:rPr>
          <w:bCs/>
        </w:rPr>
      </w:pPr>
      <w:r w:rsidRPr="00981FF0">
        <w:rPr>
          <w:bCs/>
        </w:rPr>
        <w:t>Про внесення змін</w:t>
      </w:r>
      <w:r w:rsidR="00EF1587" w:rsidRPr="00981FF0">
        <w:rPr>
          <w:bCs/>
        </w:rPr>
        <w:t xml:space="preserve"> до постанови </w:t>
      </w:r>
    </w:p>
    <w:p w14:paraId="7EDF45DE" w14:textId="240517D9" w:rsidR="00EF1587" w:rsidRPr="00981FF0" w:rsidRDefault="00EF1587" w:rsidP="00A249CB">
      <w:pPr>
        <w:tabs>
          <w:tab w:val="left" w:pos="6156"/>
        </w:tabs>
        <w:spacing w:after="0" w:line="240" w:lineRule="auto"/>
        <w:jc w:val="center"/>
        <w:rPr>
          <w:bCs/>
        </w:rPr>
      </w:pPr>
      <w:r w:rsidRPr="00981FF0">
        <w:rPr>
          <w:bCs/>
        </w:rPr>
        <w:t xml:space="preserve">Правління Національного банку України </w:t>
      </w:r>
    </w:p>
    <w:p w14:paraId="568848F6" w14:textId="77777777" w:rsidR="00A249CB" w:rsidRPr="00981FF0" w:rsidRDefault="00EF1587" w:rsidP="00355CD8">
      <w:pPr>
        <w:tabs>
          <w:tab w:val="left" w:pos="6156"/>
        </w:tabs>
        <w:spacing w:after="240" w:line="240" w:lineRule="auto"/>
        <w:jc w:val="center"/>
      </w:pPr>
      <w:r w:rsidRPr="00981FF0">
        <w:rPr>
          <w:bCs/>
        </w:rPr>
        <w:t>від 12 серпня 2022 року № 177</w:t>
      </w:r>
    </w:p>
    <w:p w14:paraId="4563F430" w14:textId="77777777" w:rsidR="00A249CB" w:rsidRPr="00981FF0" w:rsidRDefault="00A249CB" w:rsidP="00A249CB">
      <w:pPr>
        <w:tabs>
          <w:tab w:val="left" w:pos="6156"/>
        </w:tabs>
        <w:spacing w:after="0" w:line="240" w:lineRule="auto"/>
        <w:contextualSpacing/>
        <w:jc w:val="center"/>
        <w:rPr>
          <w:iCs/>
          <w:highlight w:val="yellow"/>
        </w:rPr>
      </w:pPr>
    </w:p>
    <w:p w14:paraId="269BA1B7" w14:textId="06E436D6" w:rsidR="00A249CB" w:rsidRPr="00B96E75" w:rsidRDefault="00A249CB" w:rsidP="00B96E75">
      <w:pPr>
        <w:spacing w:after="0" w:line="240" w:lineRule="auto"/>
        <w:ind w:firstLine="567"/>
        <w:contextualSpacing/>
        <w:rPr>
          <w:rFonts w:eastAsia="SimSun"/>
          <w:b/>
          <w:bCs/>
        </w:rPr>
      </w:pPr>
      <w:r w:rsidRPr="00B96E75">
        <w:rPr>
          <w:rFonts w:eastAsia="SimSun"/>
        </w:rPr>
        <w:t>Відповідно до статей 7, 15, 55</w:t>
      </w:r>
      <w:r w:rsidRPr="00B96E75">
        <w:rPr>
          <w:rFonts w:eastAsia="SimSun"/>
          <w:vertAlign w:val="superscript"/>
        </w:rPr>
        <w:t>1</w:t>
      </w:r>
      <w:r w:rsidRPr="00B96E75">
        <w:rPr>
          <w:rFonts w:eastAsia="SimSun"/>
        </w:rPr>
        <w:t xml:space="preserve">, 56 Закону України “Про Національний банк України”, </w:t>
      </w:r>
      <w:r w:rsidR="00FF4A46" w:rsidRPr="00B96E75">
        <w:t>статей 21–2</w:t>
      </w:r>
      <w:r w:rsidR="005834E5" w:rsidRPr="00B96E75">
        <w:rPr>
          <w:lang w:val="ru-RU"/>
        </w:rPr>
        <w:t>3</w:t>
      </w:r>
      <w:r w:rsidR="00FF4A46" w:rsidRPr="00B96E75">
        <w:t xml:space="preserve"> </w:t>
      </w:r>
      <w:r w:rsidRPr="00B96E75">
        <w:t>Закону України “Про фінансові послуги та фінансові компанії”</w:t>
      </w:r>
      <w:r w:rsidRPr="00B96E75">
        <w:rPr>
          <w:rFonts w:eastAsia="SimSun"/>
        </w:rPr>
        <w:t>, з метою актуалізації нормативно-</w:t>
      </w:r>
      <w:r w:rsidR="009D4E05" w:rsidRPr="00B96E75">
        <w:rPr>
          <w:rFonts w:eastAsia="SimSun"/>
        </w:rPr>
        <w:t xml:space="preserve">правового </w:t>
      </w:r>
      <w:proofErr w:type="spellStart"/>
      <w:r w:rsidR="009D4E05" w:rsidRPr="00B96E75">
        <w:rPr>
          <w:rFonts w:eastAsia="SimSun"/>
        </w:rPr>
        <w:t>акта</w:t>
      </w:r>
      <w:proofErr w:type="spellEnd"/>
      <w:r w:rsidR="009D4E05" w:rsidRPr="00B96E75">
        <w:rPr>
          <w:rFonts w:eastAsia="SimSun"/>
        </w:rPr>
        <w:t xml:space="preserve"> </w:t>
      </w:r>
      <w:r w:rsidRPr="00B96E75">
        <w:rPr>
          <w:rFonts w:eastAsia="SimSun"/>
        </w:rPr>
        <w:t xml:space="preserve">Національного банку України Правління Національного банку України </w:t>
      </w:r>
      <w:r w:rsidRPr="00B96E75">
        <w:rPr>
          <w:rFonts w:eastAsia="SimSun"/>
          <w:b/>
          <w:bCs/>
        </w:rPr>
        <w:t>постановляє:</w:t>
      </w:r>
    </w:p>
    <w:p w14:paraId="3B97BFE0" w14:textId="77777777" w:rsidR="00A249CB" w:rsidRPr="00B96E75" w:rsidRDefault="00A249CB" w:rsidP="00355CD8">
      <w:pPr>
        <w:spacing w:after="0" w:line="240" w:lineRule="auto"/>
        <w:ind w:firstLine="567"/>
        <w:rPr>
          <w:iCs/>
          <w:highlight w:val="yellow"/>
        </w:rPr>
      </w:pPr>
    </w:p>
    <w:p w14:paraId="47A8B869" w14:textId="4B040BD5" w:rsidR="00A249CB" w:rsidRPr="00B96E75" w:rsidRDefault="00A249CB" w:rsidP="00355CD8">
      <w:pPr>
        <w:pStyle w:val="a4"/>
        <w:numPr>
          <w:ilvl w:val="0"/>
          <w:numId w:val="1"/>
        </w:numPr>
        <w:spacing w:after="0" w:line="240" w:lineRule="auto"/>
        <w:ind w:left="0" w:firstLine="567"/>
        <w:rPr>
          <w:rFonts w:cs="Times New Roman"/>
          <w:color w:val="000000" w:themeColor="text1"/>
          <w:szCs w:val="28"/>
          <w:shd w:val="clear" w:color="auto" w:fill="FFFFFF"/>
        </w:rPr>
      </w:pPr>
      <w:proofErr w:type="spellStart"/>
      <w:r w:rsidRPr="00B96E75">
        <w:rPr>
          <w:rFonts w:cs="Times New Roman"/>
          <w:color w:val="000000" w:themeColor="text1"/>
          <w:szCs w:val="28"/>
          <w:shd w:val="clear" w:color="auto" w:fill="FFFFFF"/>
        </w:rPr>
        <w:t>Унести</w:t>
      </w:r>
      <w:proofErr w:type="spellEnd"/>
      <w:r w:rsidRPr="00B96E75">
        <w:rPr>
          <w:rFonts w:cs="Times New Roman"/>
          <w:color w:val="000000" w:themeColor="text1"/>
          <w:szCs w:val="28"/>
          <w:shd w:val="clear" w:color="auto" w:fill="FFFFFF"/>
        </w:rPr>
        <w:t xml:space="preserve"> до постанови Правління Національного банку України від 12</w:t>
      </w:r>
      <w:r w:rsidR="00635176">
        <w:rPr>
          <w:rFonts w:cs="Times New Roman"/>
          <w:color w:val="000000" w:themeColor="text1"/>
          <w:szCs w:val="28"/>
          <w:shd w:val="clear" w:color="auto" w:fill="FFFFFF"/>
        </w:rPr>
        <w:t> </w:t>
      </w:r>
      <w:r w:rsidRPr="00B96E75">
        <w:rPr>
          <w:rFonts w:cs="Times New Roman"/>
          <w:color w:val="000000" w:themeColor="text1"/>
          <w:szCs w:val="28"/>
          <w:shd w:val="clear" w:color="auto" w:fill="FFFFFF"/>
        </w:rPr>
        <w:t>серпня 2022 року № 177 “Про особливості застосування процедур реєстрації та ліцензування учасників ринку небанківських фінансових послуг у період дії воєнного стану та внесення змін до постанови Правління Національного банку України від 06 березня 2022 року № 39” (зі змінами) такі зміни:</w:t>
      </w:r>
    </w:p>
    <w:p w14:paraId="2EB76B4A" w14:textId="77777777" w:rsidR="00A249CB" w:rsidRPr="00B96E75" w:rsidRDefault="00A249CB" w:rsidP="00355CD8">
      <w:pPr>
        <w:pStyle w:val="a4"/>
        <w:spacing w:after="0" w:line="240" w:lineRule="auto"/>
        <w:ind w:left="0" w:firstLine="567"/>
        <w:rPr>
          <w:rFonts w:cs="Times New Roman"/>
          <w:color w:val="000000" w:themeColor="text1"/>
          <w:szCs w:val="28"/>
          <w:highlight w:val="yellow"/>
          <w:shd w:val="clear" w:color="auto" w:fill="FFFFFF"/>
        </w:rPr>
      </w:pPr>
    </w:p>
    <w:p w14:paraId="53141410" w14:textId="44527916" w:rsidR="008321A3" w:rsidRPr="00B96E75" w:rsidRDefault="00EF1587" w:rsidP="00355CD8">
      <w:pPr>
        <w:spacing w:after="0" w:line="240" w:lineRule="auto"/>
        <w:ind w:firstLine="567"/>
        <w:rPr>
          <w:color w:val="000000" w:themeColor="text1"/>
        </w:rPr>
      </w:pPr>
      <w:r w:rsidRPr="00B96E75">
        <w:rPr>
          <w:color w:val="000000" w:themeColor="text1"/>
        </w:rPr>
        <w:t>1</w:t>
      </w:r>
      <w:r w:rsidR="00A249CB" w:rsidRPr="00B96E75">
        <w:rPr>
          <w:color w:val="000000" w:themeColor="text1"/>
        </w:rPr>
        <w:t xml:space="preserve">) </w:t>
      </w:r>
      <w:r w:rsidR="008321A3" w:rsidRPr="00B96E75">
        <w:rPr>
          <w:color w:val="000000" w:themeColor="text1"/>
        </w:rPr>
        <w:t>у пункті 2:</w:t>
      </w:r>
    </w:p>
    <w:p w14:paraId="204BCB9D" w14:textId="7CC1B6F6" w:rsidR="00D338D6" w:rsidRPr="00B96E75" w:rsidRDefault="008321A3" w:rsidP="00355CD8">
      <w:pPr>
        <w:spacing w:after="0" w:line="240" w:lineRule="auto"/>
        <w:ind w:firstLine="567"/>
        <w:rPr>
          <w:color w:val="000000" w:themeColor="text1"/>
          <w:lang w:val="ru-RU"/>
        </w:rPr>
      </w:pPr>
      <w:r w:rsidRPr="00B96E75">
        <w:rPr>
          <w:color w:val="000000" w:themeColor="text1"/>
        </w:rPr>
        <w:t>абзац перший після сл</w:t>
      </w:r>
      <w:r w:rsidR="000A3072" w:rsidRPr="00B96E75">
        <w:rPr>
          <w:color w:val="000000" w:themeColor="text1"/>
        </w:rPr>
        <w:t>о</w:t>
      </w:r>
      <w:r w:rsidRPr="00B96E75">
        <w:rPr>
          <w:color w:val="000000" w:themeColor="text1"/>
        </w:rPr>
        <w:t>в</w:t>
      </w:r>
      <w:r w:rsidR="000A3072" w:rsidRPr="00B96E75">
        <w:rPr>
          <w:color w:val="000000" w:themeColor="text1"/>
        </w:rPr>
        <w:t>а</w:t>
      </w:r>
      <w:r w:rsidRPr="00B96E75">
        <w:rPr>
          <w:color w:val="000000" w:themeColor="text1"/>
        </w:rPr>
        <w:t xml:space="preserve"> </w:t>
      </w:r>
      <w:r w:rsidRPr="00B96E75">
        <w:rPr>
          <w:color w:val="000000" w:themeColor="text1"/>
          <w:lang w:val="ru-RU"/>
        </w:rPr>
        <w:t>“</w:t>
      </w:r>
      <w:r w:rsidRPr="00B96E75">
        <w:rPr>
          <w:color w:val="333333"/>
          <w:shd w:val="clear" w:color="auto" w:fill="FFFFFF"/>
        </w:rPr>
        <w:t>фінансового</w:t>
      </w:r>
      <w:r w:rsidRPr="00B96E75">
        <w:rPr>
          <w:color w:val="000000" w:themeColor="text1"/>
          <w:lang w:val="ru-RU"/>
        </w:rPr>
        <w:t xml:space="preserve">” </w:t>
      </w:r>
      <w:proofErr w:type="spellStart"/>
      <w:r w:rsidRPr="00B96E75">
        <w:rPr>
          <w:color w:val="000000" w:themeColor="text1"/>
          <w:lang w:val="ru-RU"/>
        </w:rPr>
        <w:t>доповнити</w:t>
      </w:r>
      <w:proofErr w:type="spellEnd"/>
      <w:r w:rsidRPr="00B96E75">
        <w:rPr>
          <w:color w:val="000000" w:themeColor="text1"/>
          <w:lang w:val="ru-RU"/>
        </w:rPr>
        <w:t xml:space="preserve"> слов</w:t>
      </w:r>
      <w:r w:rsidR="000A3072" w:rsidRPr="00B96E75">
        <w:rPr>
          <w:color w:val="000000" w:themeColor="text1"/>
          <w:lang w:val="ru-RU"/>
        </w:rPr>
        <w:t>ом</w:t>
      </w:r>
      <w:r w:rsidRPr="00B96E75">
        <w:rPr>
          <w:color w:val="000000" w:themeColor="text1"/>
          <w:lang w:val="ru-RU"/>
        </w:rPr>
        <w:t xml:space="preserve"> “/</w:t>
      </w:r>
      <w:r w:rsidRPr="00B96E75">
        <w:rPr>
          <w:color w:val="000000" w:themeColor="text1"/>
        </w:rPr>
        <w:t>майнового</w:t>
      </w:r>
      <w:r w:rsidRPr="00B96E75">
        <w:rPr>
          <w:color w:val="000000" w:themeColor="text1"/>
          <w:lang w:val="ru-RU"/>
        </w:rPr>
        <w:t>”</w:t>
      </w:r>
      <w:r w:rsidR="00D338D6" w:rsidRPr="00B96E75">
        <w:rPr>
          <w:color w:val="000000" w:themeColor="text1"/>
          <w:lang w:val="ru-RU"/>
        </w:rPr>
        <w:t>;</w:t>
      </w:r>
    </w:p>
    <w:p w14:paraId="4D9BB2E0" w14:textId="2E307B2B" w:rsidR="00A249CB" w:rsidRPr="00B96E75" w:rsidRDefault="00A249CB" w:rsidP="00355CD8">
      <w:pPr>
        <w:spacing w:after="0" w:line="240" w:lineRule="auto"/>
        <w:ind w:firstLine="567"/>
        <w:rPr>
          <w:color w:val="000000" w:themeColor="text1"/>
        </w:rPr>
      </w:pPr>
      <w:r w:rsidRPr="00B96E75">
        <w:rPr>
          <w:color w:val="000000" w:themeColor="text1"/>
        </w:rPr>
        <w:t>підпункт 1 викласти в такій редакції:</w:t>
      </w:r>
    </w:p>
    <w:p w14:paraId="692A0FAB" w14:textId="4DBC6896" w:rsidR="00A249CB" w:rsidRPr="00B96E75" w:rsidRDefault="00A249CB" w:rsidP="00355CD8">
      <w:pPr>
        <w:spacing w:after="0" w:line="240" w:lineRule="auto"/>
        <w:ind w:firstLine="567"/>
        <w:rPr>
          <w:color w:val="000000" w:themeColor="text1"/>
          <w:highlight w:val="yellow"/>
        </w:rPr>
      </w:pPr>
      <w:r w:rsidRPr="00B96E75">
        <w:rPr>
          <w:color w:val="000000" w:themeColor="text1"/>
        </w:rPr>
        <w:t xml:space="preserve">“1) осіб, визначених у </w:t>
      </w:r>
      <w:r w:rsidR="006E0648" w:rsidRPr="00B96E75">
        <w:rPr>
          <w:color w:val="000000" w:themeColor="text1"/>
        </w:rPr>
        <w:t>підпунктах 1</w:t>
      </w:r>
      <w:r w:rsidR="00DC7728">
        <w:rPr>
          <w:color w:val="000000" w:themeColor="text1"/>
        </w:rPr>
        <w:t>–</w:t>
      </w:r>
      <w:r w:rsidR="000C5A8E" w:rsidRPr="00B96E75">
        <w:rPr>
          <w:color w:val="000000" w:themeColor="text1"/>
          <w:lang w:val="ru-RU"/>
        </w:rPr>
        <w:t>7</w:t>
      </w:r>
      <w:r w:rsidR="004E2D79" w:rsidRPr="00B96E75">
        <w:rPr>
          <w:color w:val="000000" w:themeColor="text1"/>
        </w:rPr>
        <w:t xml:space="preserve"> </w:t>
      </w:r>
      <w:r w:rsidR="006E0648" w:rsidRPr="00B96E75">
        <w:rPr>
          <w:color w:val="000000" w:themeColor="text1"/>
        </w:rPr>
        <w:t>пункту</w:t>
      </w:r>
      <w:r w:rsidRPr="00B96E75">
        <w:rPr>
          <w:color w:val="000000" w:themeColor="text1"/>
        </w:rPr>
        <w:t xml:space="preserve"> 451 глави 38 розділу V </w:t>
      </w:r>
      <w:r w:rsidR="00EF1587" w:rsidRPr="00B96E75">
        <w:rPr>
          <w:color w:val="000000" w:themeColor="text1"/>
        </w:rPr>
        <w:t>Положення про авторизацію надавачів фінансових послуг та умови здійснення ними діяльності з надання фінансових послуг</w:t>
      </w:r>
      <w:r w:rsidRPr="00B96E75">
        <w:rPr>
          <w:color w:val="000000" w:themeColor="text1"/>
        </w:rPr>
        <w:t>,</w:t>
      </w:r>
      <w:r w:rsidR="00EF1587" w:rsidRPr="00B96E75">
        <w:rPr>
          <w:color w:val="000000" w:themeColor="text1"/>
        </w:rPr>
        <w:t xml:space="preserve"> </w:t>
      </w:r>
      <w:r w:rsidR="00CE0AF4" w:rsidRPr="00B96E75">
        <w:rPr>
          <w:color w:val="000000" w:themeColor="text1"/>
        </w:rPr>
        <w:t xml:space="preserve">затвердженого </w:t>
      </w:r>
      <w:r w:rsidR="00EF1587" w:rsidRPr="00B96E75">
        <w:rPr>
          <w:color w:val="000000" w:themeColor="text1"/>
        </w:rPr>
        <w:t>постановою Правління Національного банку України від 29 грудня 2023 року № 199 (далі – Положення про авторизацію),</w:t>
      </w:r>
      <w:r w:rsidRPr="00B96E75">
        <w:rPr>
          <w:color w:val="000000" w:themeColor="text1"/>
        </w:rPr>
        <w:t xml:space="preserve"> а також публічної компанії;”;</w:t>
      </w:r>
    </w:p>
    <w:p w14:paraId="0DA7FA3A" w14:textId="77777777" w:rsidR="00A249CB" w:rsidRPr="00B96E75" w:rsidRDefault="00A249CB" w:rsidP="00355CD8">
      <w:pPr>
        <w:spacing w:after="0" w:line="240" w:lineRule="auto"/>
        <w:ind w:firstLine="567"/>
        <w:rPr>
          <w:color w:val="000000" w:themeColor="text1"/>
          <w:highlight w:val="yellow"/>
        </w:rPr>
      </w:pPr>
    </w:p>
    <w:p w14:paraId="00373427" w14:textId="77777777" w:rsidR="009379D7" w:rsidRPr="00B96E75" w:rsidRDefault="006E0648" w:rsidP="00355CD8">
      <w:pPr>
        <w:spacing w:after="0" w:line="240" w:lineRule="auto"/>
        <w:ind w:firstLine="567"/>
        <w:rPr>
          <w:color w:val="000000" w:themeColor="text1"/>
        </w:rPr>
      </w:pPr>
      <w:r w:rsidRPr="00B96E75">
        <w:rPr>
          <w:color w:val="000000" w:themeColor="text1"/>
        </w:rPr>
        <w:t>2</w:t>
      </w:r>
      <w:r w:rsidR="00A249CB" w:rsidRPr="00B96E75">
        <w:rPr>
          <w:color w:val="000000" w:themeColor="text1"/>
        </w:rPr>
        <w:t xml:space="preserve">) </w:t>
      </w:r>
      <w:r w:rsidR="009379D7" w:rsidRPr="00B96E75">
        <w:rPr>
          <w:color w:val="000000" w:themeColor="text1"/>
        </w:rPr>
        <w:t xml:space="preserve">у </w:t>
      </w:r>
      <w:r w:rsidR="00B96FAC" w:rsidRPr="00B96E75">
        <w:rPr>
          <w:color w:val="000000" w:themeColor="text1"/>
        </w:rPr>
        <w:t>пункті</w:t>
      </w:r>
      <w:r w:rsidR="009379D7" w:rsidRPr="00B96E75">
        <w:rPr>
          <w:color w:val="000000" w:themeColor="text1"/>
        </w:rPr>
        <w:t xml:space="preserve"> 5:</w:t>
      </w:r>
    </w:p>
    <w:p w14:paraId="393F09F5" w14:textId="0AD2E9ED" w:rsidR="00FC334F" w:rsidRPr="00B96E75" w:rsidRDefault="009379D7" w:rsidP="00355CD8">
      <w:pPr>
        <w:spacing w:after="0" w:line="240" w:lineRule="auto"/>
        <w:ind w:firstLine="567"/>
        <w:rPr>
          <w:color w:val="000000" w:themeColor="text1"/>
        </w:rPr>
      </w:pPr>
      <w:r w:rsidRPr="00B96E75">
        <w:rPr>
          <w:color w:val="000000" w:themeColor="text1"/>
        </w:rPr>
        <w:t xml:space="preserve">у </w:t>
      </w:r>
      <w:r w:rsidR="00A249CB" w:rsidRPr="00B96E75">
        <w:rPr>
          <w:color w:val="000000" w:themeColor="text1"/>
        </w:rPr>
        <w:t>підпункт</w:t>
      </w:r>
      <w:r w:rsidRPr="00B96E75">
        <w:rPr>
          <w:color w:val="000000" w:themeColor="text1"/>
        </w:rPr>
        <w:t>і</w:t>
      </w:r>
      <w:r w:rsidR="00A249CB" w:rsidRPr="00B96E75">
        <w:rPr>
          <w:color w:val="000000" w:themeColor="text1"/>
        </w:rPr>
        <w:t xml:space="preserve"> 2</w:t>
      </w:r>
      <w:r w:rsidRPr="00B96E75">
        <w:rPr>
          <w:color w:val="000000" w:themeColor="text1"/>
        </w:rPr>
        <w:t xml:space="preserve"> слова</w:t>
      </w:r>
      <w:r w:rsidR="00DC7728">
        <w:rPr>
          <w:color w:val="000000" w:themeColor="text1"/>
        </w:rPr>
        <w:t xml:space="preserve"> та цифри</w:t>
      </w:r>
      <w:r w:rsidRPr="00B96E75">
        <w:rPr>
          <w:color w:val="000000" w:themeColor="text1"/>
        </w:rPr>
        <w:t xml:space="preserve"> “</w:t>
      </w:r>
      <w:r w:rsidR="00837D08" w:rsidRPr="00B96E75">
        <w:rPr>
          <w:color w:val="000000" w:themeColor="text1"/>
        </w:rPr>
        <w:t xml:space="preserve">пункту </w:t>
      </w:r>
      <w:r w:rsidR="00A43ED3" w:rsidRPr="00B96E75">
        <w:rPr>
          <w:color w:val="000000" w:themeColor="text1"/>
        </w:rPr>
        <w:t>317</w:t>
      </w:r>
      <w:r w:rsidR="00810131" w:rsidRPr="00B96E75">
        <w:rPr>
          <w:color w:val="000000" w:themeColor="text1"/>
        </w:rPr>
        <w:t xml:space="preserve"> </w:t>
      </w:r>
      <w:r w:rsidR="00A43ED3" w:rsidRPr="00B96E75">
        <w:rPr>
          <w:color w:val="000000" w:themeColor="text1"/>
        </w:rPr>
        <w:t>глави 38 розділу V Положення про ліцензування та реєстрацію</w:t>
      </w:r>
      <w:r w:rsidRPr="00B96E75">
        <w:rPr>
          <w:color w:val="000000" w:themeColor="text1"/>
        </w:rPr>
        <w:t>”</w:t>
      </w:r>
      <w:r w:rsidR="00A43ED3" w:rsidRPr="00B96E75">
        <w:rPr>
          <w:color w:val="000000" w:themeColor="text1"/>
        </w:rPr>
        <w:t xml:space="preserve"> замінити словами</w:t>
      </w:r>
      <w:r w:rsidR="00DC7728">
        <w:rPr>
          <w:color w:val="000000" w:themeColor="text1"/>
        </w:rPr>
        <w:t xml:space="preserve"> та цифрами</w:t>
      </w:r>
      <w:r w:rsidR="00A43ED3" w:rsidRPr="00B96E75">
        <w:rPr>
          <w:color w:val="000000" w:themeColor="text1"/>
        </w:rPr>
        <w:t xml:space="preserve"> “пунктів 468, 469 глави 40 розділу V Положення про авторизацію”</w:t>
      </w:r>
      <w:r w:rsidR="006E0648" w:rsidRPr="00B96E75">
        <w:rPr>
          <w:color w:val="000000" w:themeColor="text1"/>
        </w:rPr>
        <w:t>;</w:t>
      </w:r>
    </w:p>
    <w:p w14:paraId="36A43682" w14:textId="12E33FD7" w:rsidR="00FC334F" w:rsidRPr="00B96E75" w:rsidRDefault="00A249CB" w:rsidP="00355CD8">
      <w:pPr>
        <w:spacing w:after="0" w:line="240" w:lineRule="auto"/>
        <w:ind w:firstLine="567"/>
        <w:rPr>
          <w:color w:val="000000" w:themeColor="text1"/>
        </w:rPr>
      </w:pPr>
      <w:r w:rsidRPr="00B96E75">
        <w:rPr>
          <w:color w:val="000000" w:themeColor="text1"/>
        </w:rPr>
        <w:t>підпункт 3</w:t>
      </w:r>
      <w:r w:rsidR="00FC334F" w:rsidRPr="00B96E75">
        <w:rPr>
          <w:color w:val="000000" w:themeColor="text1"/>
        </w:rPr>
        <w:t xml:space="preserve"> викласти </w:t>
      </w:r>
      <w:r w:rsidR="00005B2F">
        <w:rPr>
          <w:color w:val="000000" w:themeColor="text1"/>
        </w:rPr>
        <w:t>в</w:t>
      </w:r>
      <w:r w:rsidR="00FC334F" w:rsidRPr="00B96E75">
        <w:rPr>
          <w:color w:val="000000" w:themeColor="text1"/>
        </w:rPr>
        <w:t xml:space="preserve"> такій редакції:</w:t>
      </w:r>
    </w:p>
    <w:p w14:paraId="017B21A3" w14:textId="20546F64" w:rsidR="00E71A1A" w:rsidRDefault="00FC334F" w:rsidP="00F62974">
      <w:pPr>
        <w:pStyle w:val="a4"/>
        <w:shd w:val="clear" w:color="auto" w:fill="FFFFFF"/>
        <w:spacing w:after="0" w:line="240" w:lineRule="auto"/>
        <w:ind w:left="0" w:firstLine="567"/>
        <w:contextualSpacing w:val="0"/>
        <w:rPr>
          <w:rFonts w:cs="Times New Roman"/>
          <w:color w:val="000000" w:themeColor="text1"/>
          <w:szCs w:val="28"/>
        </w:rPr>
      </w:pPr>
      <w:r w:rsidRPr="00B96E75">
        <w:rPr>
          <w:rFonts w:cs="Times New Roman"/>
          <w:color w:val="000000" w:themeColor="text1"/>
          <w:szCs w:val="28"/>
        </w:rPr>
        <w:t>“3) юридична особа є фінансово стійкою відповідно до</w:t>
      </w:r>
      <w:r w:rsidRPr="00B96E75" w:rsidDel="000655CD">
        <w:rPr>
          <w:rFonts w:cs="Times New Roman"/>
          <w:color w:val="000000" w:themeColor="text1"/>
          <w:szCs w:val="28"/>
        </w:rPr>
        <w:t xml:space="preserve"> </w:t>
      </w:r>
      <w:r w:rsidRPr="00B96E75">
        <w:rPr>
          <w:rFonts w:cs="Times New Roman"/>
          <w:color w:val="000000" w:themeColor="text1"/>
          <w:szCs w:val="28"/>
        </w:rPr>
        <w:t>пунктів 474</w:t>
      </w:r>
      <w:r w:rsidR="00005B2F">
        <w:rPr>
          <w:rFonts w:cs="Times New Roman"/>
          <w:color w:val="000000" w:themeColor="text1"/>
          <w:szCs w:val="28"/>
        </w:rPr>
        <w:t>–</w:t>
      </w:r>
      <w:r w:rsidRPr="00B96E75">
        <w:rPr>
          <w:rFonts w:cs="Times New Roman"/>
          <w:color w:val="000000" w:themeColor="text1"/>
          <w:szCs w:val="28"/>
        </w:rPr>
        <w:t>477 глави 40 розділу V Положення про авторизацію та в неї немає ознак незадовільного фінансового стану станом на останню звітну дату, що передує відповідній даті, та на дату визначення розміру власних коштів юридичної особи (якщо ці дати є різними).</w:t>
      </w:r>
      <w:r w:rsidR="004642DD" w:rsidRPr="00B96E75">
        <w:rPr>
          <w:rFonts w:cs="Times New Roman"/>
          <w:color w:val="000000" w:themeColor="text1"/>
          <w:szCs w:val="28"/>
        </w:rPr>
        <w:t>”;</w:t>
      </w:r>
    </w:p>
    <w:p w14:paraId="7A74A5D3" w14:textId="77777777" w:rsidR="00005B2F" w:rsidRPr="00B96E75" w:rsidRDefault="00005B2F" w:rsidP="00005B2F">
      <w:pPr>
        <w:pStyle w:val="a4"/>
        <w:shd w:val="clear" w:color="auto" w:fill="FFFFFF"/>
        <w:spacing w:after="0" w:line="240" w:lineRule="auto"/>
        <w:ind w:left="0" w:firstLine="567"/>
        <w:contextualSpacing w:val="0"/>
        <w:rPr>
          <w:rFonts w:cs="Times New Roman"/>
          <w:color w:val="000000" w:themeColor="text1"/>
          <w:szCs w:val="28"/>
        </w:rPr>
      </w:pPr>
    </w:p>
    <w:p w14:paraId="3714FB23" w14:textId="6A44AE5F" w:rsidR="00E71A1A" w:rsidRPr="00B96E75" w:rsidRDefault="00E71A1A" w:rsidP="006048BC">
      <w:pPr>
        <w:pStyle w:val="a4"/>
        <w:shd w:val="clear" w:color="auto" w:fill="FFFFFF"/>
        <w:spacing w:line="240" w:lineRule="auto"/>
        <w:ind w:left="0" w:firstLine="567"/>
        <w:rPr>
          <w:rFonts w:cs="Times New Roman"/>
          <w:color w:val="000000" w:themeColor="text1"/>
          <w:szCs w:val="28"/>
        </w:rPr>
      </w:pPr>
      <w:r w:rsidRPr="00B96E75">
        <w:rPr>
          <w:rFonts w:cs="Times New Roman"/>
          <w:color w:val="000000" w:themeColor="text1"/>
          <w:szCs w:val="28"/>
          <w:lang w:val="ru-RU"/>
        </w:rPr>
        <w:t xml:space="preserve">3) </w:t>
      </w:r>
      <w:r w:rsidRPr="00B96E75">
        <w:rPr>
          <w:rFonts w:cs="Times New Roman"/>
          <w:color w:val="000000" w:themeColor="text1"/>
          <w:szCs w:val="28"/>
        </w:rPr>
        <w:t xml:space="preserve">постанову </w:t>
      </w:r>
      <w:r w:rsidR="00327536">
        <w:rPr>
          <w:rFonts w:cs="Times New Roman"/>
          <w:color w:val="000000" w:themeColor="text1"/>
          <w:szCs w:val="28"/>
        </w:rPr>
        <w:t xml:space="preserve">після пункту 5 </w:t>
      </w:r>
      <w:r w:rsidRPr="00B96E75">
        <w:rPr>
          <w:rFonts w:cs="Times New Roman"/>
          <w:color w:val="000000" w:themeColor="text1"/>
          <w:szCs w:val="28"/>
        </w:rPr>
        <w:t>доповнити новим пунктом 5</w:t>
      </w:r>
      <w:r w:rsidRPr="00B96E75">
        <w:rPr>
          <w:rFonts w:cs="Times New Roman"/>
          <w:color w:val="000000" w:themeColor="text1"/>
          <w:szCs w:val="28"/>
          <w:vertAlign w:val="superscript"/>
        </w:rPr>
        <w:t>1</w:t>
      </w:r>
      <w:r w:rsidRPr="006048BC">
        <w:rPr>
          <w:rFonts w:cs="Times New Roman"/>
          <w:color w:val="000000" w:themeColor="text1"/>
          <w:szCs w:val="28"/>
        </w:rPr>
        <w:t xml:space="preserve"> </w:t>
      </w:r>
      <w:r w:rsidRPr="00B96E75">
        <w:rPr>
          <w:rFonts w:cs="Times New Roman"/>
          <w:color w:val="000000" w:themeColor="text1"/>
          <w:szCs w:val="28"/>
        </w:rPr>
        <w:t>такого змісту:</w:t>
      </w:r>
    </w:p>
    <w:p w14:paraId="7CEC3890" w14:textId="3B293485" w:rsidR="00277AD8" w:rsidRDefault="00E71A1A" w:rsidP="006048BC">
      <w:pPr>
        <w:pStyle w:val="a4"/>
        <w:shd w:val="clear" w:color="auto" w:fill="FFFFFF"/>
        <w:spacing w:after="0" w:line="240" w:lineRule="auto"/>
        <w:ind w:left="0" w:firstLine="567"/>
        <w:contextualSpacing w:val="0"/>
        <w:rPr>
          <w:rFonts w:cs="Times New Roman"/>
          <w:szCs w:val="28"/>
        </w:rPr>
      </w:pPr>
      <w:r w:rsidRPr="00B96E75">
        <w:rPr>
          <w:rFonts w:cs="Times New Roman"/>
          <w:szCs w:val="28"/>
          <w:lang w:val="ru-RU"/>
        </w:rPr>
        <w:t>“</w:t>
      </w:r>
      <w:r w:rsidR="000B21B3" w:rsidRPr="00B96E75">
        <w:rPr>
          <w:rFonts w:cs="Times New Roman"/>
          <w:szCs w:val="28"/>
        </w:rPr>
        <w:t>5</w:t>
      </w:r>
      <w:r w:rsidR="000B21B3" w:rsidRPr="00B96E75">
        <w:rPr>
          <w:rFonts w:cs="Times New Roman"/>
          <w:szCs w:val="28"/>
          <w:vertAlign w:val="superscript"/>
        </w:rPr>
        <w:t>1</w:t>
      </w:r>
      <w:r w:rsidRPr="00B96E75">
        <w:rPr>
          <w:rFonts w:cs="Times New Roman"/>
          <w:szCs w:val="28"/>
        </w:rPr>
        <w:t>.</w:t>
      </w:r>
      <w:r w:rsidR="000B21B3" w:rsidRPr="00B96E75">
        <w:rPr>
          <w:rFonts w:cs="Times New Roman"/>
          <w:szCs w:val="28"/>
        </w:rPr>
        <w:t xml:space="preserve"> </w:t>
      </w:r>
      <w:r w:rsidR="00FC334F" w:rsidRPr="00B96E75">
        <w:rPr>
          <w:rFonts w:cs="Times New Roman"/>
          <w:szCs w:val="28"/>
        </w:rPr>
        <w:t>Ознаками незадовільного фінансового стану юридичної особи</w:t>
      </w:r>
      <w:r w:rsidR="00342FFA" w:rsidRPr="00B96E75">
        <w:rPr>
          <w:rFonts w:cs="Times New Roman"/>
          <w:szCs w:val="28"/>
        </w:rPr>
        <w:t>,</w:t>
      </w:r>
      <w:r w:rsidR="00FC334F" w:rsidRPr="00B96E75">
        <w:rPr>
          <w:rFonts w:cs="Times New Roman"/>
          <w:szCs w:val="28"/>
        </w:rPr>
        <w:t xml:space="preserve"> </w:t>
      </w:r>
      <w:r w:rsidR="0064376E" w:rsidRPr="00B96E75">
        <w:rPr>
          <w:rFonts w:cs="Times New Roman"/>
          <w:szCs w:val="28"/>
        </w:rPr>
        <w:t xml:space="preserve">що </w:t>
      </w:r>
      <w:r w:rsidR="00327536">
        <w:rPr>
          <w:rFonts w:cs="Times New Roman"/>
          <w:szCs w:val="28"/>
        </w:rPr>
        <w:t xml:space="preserve">зазначені в </w:t>
      </w:r>
      <w:r w:rsidR="000B21B3" w:rsidRPr="00B96E75">
        <w:rPr>
          <w:rFonts w:cs="Times New Roman"/>
          <w:szCs w:val="28"/>
        </w:rPr>
        <w:t>підпункті 3 пункту 5</w:t>
      </w:r>
      <w:r w:rsidR="0064376E" w:rsidRPr="00B96E75">
        <w:rPr>
          <w:rFonts w:cs="Times New Roman"/>
          <w:szCs w:val="28"/>
        </w:rPr>
        <w:t xml:space="preserve"> цієї постанови</w:t>
      </w:r>
      <w:r w:rsidR="00327536">
        <w:rPr>
          <w:rFonts w:cs="Times New Roman"/>
          <w:szCs w:val="28"/>
        </w:rPr>
        <w:t>,</w:t>
      </w:r>
      <w:r w:rsidR="000B21B3" w:rsidRPr="00B96E75">
        <w:rPr>
          <w:rFonts w:cs="Times New Roman"/>
          <w:szCs w:val="28"/>
        </w:rPr>
        <w:t xml:space="preserve"> </w:t>
      </w:r>
      <w:r w:rsidR="00FC334F" w:rsidRPr="00B96E75">
        <w:rPr>
          <w:rFonts w:cs="Times New Roman"/>
          <w:szCs w:val="28"/>
        </w:rPr>
        <w:t>є:</w:t>
      </w:r>
      <w:r w:rsidR="00005B2F">
        <w:rPr>
          <w:rFonts w:cs="Times New Roman"/>
          <w:szCs w:val="28"/>
        </w:rPr>
        <w:t xml:space="preserve"> </w:t>
      </w:r>
    </w:p>
    <w:p w14:paraId="7FDFE576" w14:textId="77777777" w:rsidR="00005B2F" w:rsidRPr="00B96E75" w:rsidRDefault="00005B2F" w:rsidP="00005B2F">
      <w:pPr>
        <w:pStyle w:val="a4"/>
        <w:shd w:val="clear" w:color="auto" w:fill="FFFFFF"/>
        <w:spacing w:after="0" w:line="240" w:lineRule="auto"/>
        <w:ind w:left="0" w:firstLine="567"/>
        <w:contextualSpacing w:val="0"/>
        <w:rPr>
          <w:rFonts w:cs="Times New Roman"/>
          <w:szCs w:val="28"/>
        </w:rPr>
      </w:pPr>
    </w:p>
    <w:p w14:paraId="1C091872" w14:textId="438D993F" w:rsidR="00277AD8" w:rsidRDefault="00277AD8" w:rsidP="006048BC">
      <w:pPr>
        <w:pStyle w:val="a4"/>
        <w:numPr>
          <w:ilvl w:val="0"/>
          <w:numId w:val="5"/>
        </w:numPr>
        <w:shd w:val="clear" w:color="auto" w:fill="FFFFFF"/>
        <w:spacing w:after="0" w:line="240" w:lineRule="auto"/>
        <w:ind w:left="0" w:firstLine="567"/>
        <w:contextualSpacing w:val="0"/>
        <w:rPr>
          <w:rFonts w:cs="Times New Roman"/>
          <w:color w:val="000000" w:themeColor="text1"/>
          <w:szCs w:val="28"/>
        </w:rPr>
      </w:pPr>
      <w:r w:rsidRPr="00B96E75">
        <w:rPr>
          <w:rFonts w:cs="Times New Roman"/>
          <w:color w:val="000000" w:themeColor="text1"/>
          <w:szCs w:val="28"/>
        </w:rPr>
        <w:t>порушення справи про припинення/ліквідацію юридичної особи або про визнання її неплатоспроможною (банкрутом), установлення щодо юридичної особи режиму зовнішнього управління;</w:t>
      </w:r>
      <w:r w:rsidR="00005B2F">
        <w:rPr>
          <w:rFonts w:cs="Times New Roman"/>
          <w:color w:val="000000" w:themeColor="text1"/>
          <w:szCs w:val="28"/>
        </w:rPr>
        <w:t xml:space="preserve"> </w:t>
      </w:r>
    </w:p>
    <w:p w14:paraId="2A3CCF9E" w14:textId="77777777" w:rsidR="00005B2F" w:rsidRPr="00DA1050" w:rsidRDefault="00005B2F" w:rsidP="00005B2F">
      <w:pPr>
        <w:pStyle w:val="a4"/>
        <w:shd w:val="clear" w:color="auto" w:fill="FFFFFF"/>
        <w:spacing w:after="0" w:line="240" w:lineRule="auto"/>
        <w:ind w:left="567"/>
        <w:contextualSpacing w:val="0"/>
        <w:rPr>
          <w:rFonts w:cs="Times New Roman"/>
          <w:szCs w:val="28"/>
        </w:rPr>
      </w:pPr>
    </w:p>
    <w:p w14:paraId="4A354A63" w14:textId="4400A9EB" w:rsidR="00277AD8" w:rsidRPr="00DA1050" w:rsidRDefault="00277AD8" w:rsidP="006048BC">
      <w:pPr>
        <w:pStyle w:val="a4"/>
        <w:numPr>
          <w:ilvl w:val="0"/>
          <w:numId w:val="5"/>
        </w:numPr>
        <w:shd w:val="clear" w:color="auto" w:fill="FFFFFF"/>
        <w:spacing w:after="0" w:line="240" w:lineRule="auto"/>
        <w:ind w:left="0" w:firstLine="567"/>
        <w:contextualSpacing w:val="0"/>
        <w:rPr>
          <w:rFonts w:cs="Times New Roman"/>
          <w:szCs w:val="28"/>
        </w:rPr>
      </w:pPr>
      <w:r w:rsidRPr="00DA1050">
        <w:rPr>
          <w:rFonts w:cs="Times New Roman"/>
          <w:szCs w:val="28"/>
        </w:rPr>
        <w:t>невиконання юридичною особою грошових зобов’язань на загальну суму один мільйон гривень (або еквівалент цієї суми в іноземній валюті) і більше протягом п’яти днів поспіль у період року, що передує даті, станом на яку здійснюється оцінка фінансового стану юридичної особи;</w:t>
      </w:r>
    </w:p>
    <w:p w14:paraId="02D1B530" w14:textId="77777777" w:rsidR="00005B2F" w:rsidRPr="00B96E75" w:rsidRDefault="00005B2F" w:rsidP="00005B2F">
      <w:pPr>
        <w:pStyle w:val="a4"/>
        <w:shd w:val="clear" w:color="auto" w:fill="FFFFFF"/>
        <w:spacing w:after="0" w:line="240" w:lineRule="auto"/>
        <w:ind w:left="567"/>
        <w:contextualSpacing w:val="0"/>
        <w:rPr>
          <w:rFonts w:cs="Times New Roman"/>
          <w:color w:val="000000" w:themeColor="text1"/>
          <w:szCs w:val="28"/>
        </w:rPr>
      </w:pPr>
    </w:p>
    <w:p w14:paraId="673FFF5A" w14:textId="6024E2B7" w:rsidR="00277AD8" w:rsidRDefault="00277AD8" w:rsidP="006048BC">
      <w:pPr>
        <w:pStyle w:val="a4"/>
        <w:numPr>
          <w:ilvl w:val="0"/>
          <w:numId w:val="5"/>
        </w:numPr>
        <w:shd w:val="clear" w:color="auto" w:fill="FFFFFF"/>
        <w:spacing w:after="0" w:line="240" w:lineRule="auto"/>
        <w:ind w:left="0" w:firstLine="567"/>
        <w:rPr>
          <w:rFonts w:cs="Times New Roman"/>
          <w:color w:val="000000" w:themeColor="text1"/>
          <w:szCs w:val="28"/>
        </w:rPr>
      </w:pPr>
      <w:r w:rsidRPr="00B96E75">
        <w:rPr>
          <w:rFonts w:cs="Times New Roman"/>
          <w:color w:val="000000" w:themeColor="text1"/>
          <w:szCs w:val="28"/>
        </w:rPr>
        <w:t>накладення арешту на всі активи юридичної особи або на більшу їх частину.”;</w:t>
      </w:r>
      <w:r w:rsidR="00005B2F">
        <w:rPr>
          <w:rFonts w:cs="Times New Roman"/>
          <w:color w:val="000000" w:themeColor="text1"/>
          <w:szCs w:val="28"/>
        </w:rPr>
        <w:t xml:space="preserve"> </w:t>
      </w:r>
    </w:p>
    <w:p w14:paraId="021A790D" w14:textId="77777777" w:rsidR="00005B2F" w:rsidRPr="00B96E75" w:rsidRDefault="00005B2F" w:rsidP="00005B2F">
      <w:pPr>
        <w:pStyle w:val="a4"/>
        <w:shd w:val="clear" w:color="auto" w:fill="FFFFFF"/>
        <w:spacing w:after="0" w:line="240" w:lineRule="auto"/>
        <w:ind w:left="567"/>
        <w:rPr>
          <w:rFonts w:cs="Times New Roman"/>
          <w:color w:val="000000" w:themeColor="text1"/>
          <w:szCs w:val="28"/>
        </w:rPr>
      </w:pPr>
    </w:p>
    <w:p w14:paraId="0B26FEA2" w14:textId="4AB23B8E" w:rsidR="00F663BF" w:rsidRPr="00B96E75" w:rsidRDefault="00E71A1A" w:rsidP="006048BC">
      <w:pPr>
        <w:spacing w:after="0" w:line="240" w:lineRule="auto"/>
        <w:ind w:firstLine="567"/>
        <w:rPr>
          <w:color w:val="000000" w:themeColor="text1"/>
        </w:rPr>
      </w:pPr>
      <w:r w:rsidRPr="00B96E75">
        <w:rPr>
          <w:color w:val="000000" w:themeColor="text1"/>
          <w:lang w:val="ru-RU"/>
        </w:rPr>
        <w:t>4</w:t>
      </w:r>
      <w:r w:rsidR="00A249CB" w:rsidRPr="00B96E75">
        <w:rPr>
          <w:color w:val="000000" w:themeColor="text1"/>
        </w:rPr>
        <w:t xml:space="preserve">) </w:t>
      </w:r>
      <w:r w:rsidR="00F663BF" w:rsidRPr="00B96E75">
        <w:rPr>
          <w:color w:val="000000" w:themeColor="text1"/>
        </w:rPr>
        <w:t xml:space="preserve">підпункти 2, 3 </w:t>
      </w:r>
      <w:r w:rsidR="00D31EED" w:rsidRPr="00B96E75">
        <w:rPr>
          <w:color w:val="000000" w:themeColor="text1"/>
        </w:rPr>
        <w:t>пункт</w:t>
      </w:r>
      <w:r w:rsidR="00F663BF" w:rsidRPr="00B96E75">
        <w:rPr>
          <w:color w:val="000000" w:themeColor="text1"/>
        </w:rPr>
        <w:t>у</w:t>
      </w:r>
      <w:r w:rsidR="00D31EED" w:rsidRPr="00B96E75">
        <w:rPr>
          <w:color w:val="000000" w:themeColor="text1"/>
        </w:rPr>
        <w:t xml:space="preserve"> 6</w:t>
      </w:r>
      <w:r w:rsidR="00F663BF" w:rsidRPr="00B96E75">
        <w:rPr>
          <w:color w:val="000000" w:themeColor="text1"/>
        </w:rPr>
        <w:t xml:space="preserve"> викласти в такій редакції</w:t>
      </w:r>
      <w:r w:rsidR="00D31EED" w:rsidRPr="00B96E75">
        <w:rPr>
          <w:color w:val="000000" w:themeColor="text1"/>
        </w:rPr>
        <w:t xml:space="preserve">: </w:t>
      </w:r>
    </w:p>
    <w:p w14:paraId="0376858B" w14:textId="3D7C2637" w:rsidR="00F663BF" w:rsidRDefault="00F663BF" w:rsidP="006048BC">
      <w:pPr>
        <w:spacing w:after="0" w:line="240" w:lineRule="auto"/>
        <w:ind w:firstLine="567"/>
        <w:rPr>
          <w:color w:val="000000" w:themeColor="text1"/>
        </w:rPr>
      </w:pPr>
      <w:r w:rsidRPr="00B96E75">
        <w:rPr>
          <w:color w:val="000000" w:themeColor="text1"/>
        </w:rPr>
        <w:t>“2) джерела походження власних коштів фізичної особи є підтвердженими відповідно до пункту 487 (крім</w:t>
      </w:r>
      <w:r w:rsidR="00925B59">
        <w:rPr>
          <w:color w:val="000000" w:themeColor="text1"/>
        </w:rPr>
        <w:t xml:space="preserve"> </w:t>
      </w:r>
      <w:r w:rsidRPr="00B96E75">
        <w:rPr>
          <w:color w:val="000000" w:themeColor="text1"/>
        </w:rPr>
        <w:t>абзацу третього</w:t>
      </w:r>
      <w:r w:rsidR="00925B59">
        <w:rPr>
          <w:color w:val="000000" w:themeColor="text1"/>
        </w:rPr>
        <w:t xml:space="preserve"> </w:t>
      </w:r>
      <w:r w:rsidRPr="00B96E75">
        <w:rPr>
          <w:color w:val="000000" w:themeColor="text1"/>
        </w:rPr>
        <w:t>підпункту 4 пункту 487) глави 42 розділу V Положення про авторизацію;</w:t>
      </w:r>
      <w:r w:rsidR="00005B2F">
        <w:rPr>
          <w:color w:val="000000" w:themeColor="text1"/>
        </w:rPr>
        <w:t xml:space="preserve"> </w:t>
      </w:r>
    </w:p>
    <w:p w14:paraId="5EF5DA73" w14:textId="77777777" w:rsidR="00005B2F" w:rsidRPr="00B96E75" w:rsidRDefault="00005B2F" w:rsidP="00005B2F">
      <w:pPr>
        <w:spacing w:after="0" w:line="240" w:lineRule="auto"/>
        <w:ind w:firstLine="567"/>
        <w:rPr>
          <w:color w:val="000000" w:themeColor="text1"/>
          <w:highlight w:val="yellow"/>
        </w:rPr>
      </w:pPr>
    </w:p>
    <w:p w14:paraId="0AE93DE9" w14:textId="0D01E1FF" w:rsidR="00A249CB" w:rsidRPr="00B96E75" w:rsidRDefault="0042281E" w:rsidP="006048BC">
      <w:pPr>
        <w:spacing w:after="0" w:line="240" w:lineRule="auto"/>
        <w:ind w:firstLine="567"/>
        <w:rPr>
          <w:color w:val="000000" w:themeColor="text1"/>
        </w:rPr>
      </w:pPr>
      <w:r w:rsidRPr="00B96E75">
        <w:rPr>
          <w:color w:val="000000" w:themeColor="text1"/>
        </w:rPr>
        <w:t>3)</w:t>
      </w:r>
      <w:r w:rsidRPr="00B96E75">
        <w:t xml:space="preserve"> </w:t>
      </w:r>
      <w:r w:rsidR="00F663BF" w:rsidRPr="00B96E75">
        <w:t>фізична особа є платоспроможною</w:t>
      </w:r>
      <w:r w:rsidR="00F663BF" w:rsidRPr="00B96E75">
        <w:rPr>
          <w:shd w:val="clear" w:color="auto" w:fill="FFFFFF"/>
        </w:rPr>
        <w:t>, якщо немає підстав уважати, що особа неспроможна виконувати всі майнові зобов’язання відповідно до умов правочинів, укладених такою особою, та/або майновий стан особи, та/або стан виконання нею майнових зобов’язань надалі погіршиться. Такими підставами є невиконання/неналежне виконання фізичною особою своїх зобов’язань або загроза невиконання/неналежного виконання таких зобов’язань, накладення арешту на все майно фізичної особи або значну його частину на підставі виконавчих документів, наявність судового спору за участю фізичної особи, негативне рішення за яким може призвести до втрати фізичною особою всього належного їй майна (доходів) або їх значної частини, майбутня втрата постійного джерела доходів фізичної особи, про яку стало відомо, погіршення майнового стану фізичної особи, що настало або ймовірно настане, унаслідок яких фізична особа може стати неспроможною виконувати свої майнові зобов’язання.</w:t>
      </w:r>
      <w:r w:rsidRPr="00B96E75">
        <w:t>”</w:t>
      </w:r>
      <w:r w:rsidR="003B0786" w:rsidRPr="00B96E75">
        <w:t>;</w:t>
      </w:r>
    </w:p>
    <w:p w14:paraId="30F8C433" w14:textId="77777777" w:rsidR="00A249CB" w:rsidRPr="00B96E75" w:rsidRDefault="00A249CB" w:rsidP="006048BC">
      <w:pPr>
        <w:spacing w:after="0" w:line="240" w:lineRule="auto"/>
        <w:ind w:firstLine="567"/>
        <w:rPr>
          <w:color w:val="000000" w:themeColor="text1"/>
          <w:highlight w:val="yellow"/>
        </w:rPr>
      </w:pPr>
    </w:p>
    <w:p w14:paraId="528BA6FA" w14:textId="43E13704" w:rsidR="00D31EED" w:rsidRPr="00B96E75" w:rsidRDefault="00E71A1A" w:rsidP="006048BC">
      <w:pPr>
        <w:spacing w:after="0" w:line="240" w:lineRule="auto"/>
        <w:ind w:firstLine="567"/>
        <w:rPr>
          <w:color w:val="000000" w:themeColor="text1"/>
        </w:rPr>
      </w:pPr>
      <w:r w:rsidRPr="00B96E75">
        <w:rPr>
          <w:color w:val="000000" w:themeColor="text1"/>
          <w:lang w:val="ru-RU"/>
        </w:rPr>
        <w:t>5</w:t>
      </w:r>
      <w:r w:rsidR="00A249CB" w:rsidRPr="00B96E75">
        <w:rPr>
          <w:color w:val="000000" w:themeColor="text1"/>
        </w:rPr>
        <w:t xml:space="preserve">) </w:t>
      </w:r>
      <w:r w:rsidR="00D31EED" w:rsidRPr="00B96E75">
        <w:rPr>
          <w:color w:val="000000" w:themeColor="text1"/>
        </w:rPr>
        <w:t>у пункті 6</w:t>
      </w:r>
      <w:r w:rsidR="00D31EED" w:rsidRPr="00B96E75">
        <w:rPr>
          <w:color w:val="000000" w:themeColor="text1"/>
          <w:vertAlign w:val="superscript"/>
        </w:rPr>
        <w:t>1</w:t>
      </w:r>
      <w:r w:rsidR="00D31EED" w:rsidRPr="00B96E75">
        <w:rPr>
          <w:color w:val="000000" w:themeColor="text1"/>
        </w:rPr>
        <w:t>:</w:t>
      </w:r>
    </w:p>
    <w:p w14:paraId="5291A57A" w14:textId="77777777" w:rsidR="00A249CB" w:rsidRPr="00B96E75" w:rsidRDefault="00A249CB" w:rsidP="006048BC">
      <w:pPr>
        <w:spacing w:after="0" w:line="240" w:lineRule="auto"/>
        <w:ind w:firstLine="567"/>
        <w:rPr>
          <w:color w:val="000000" w:themeColor="text1"/>
        </w:rPr>
      </w:pPr>
      <w:r w:rsidRPr="00B96E75">
        <w:rPr>
          <w:color w:val="000000" w:themeColor="text1"/>
          <w:shd w:val="clear" w:color="auto" w:fill="FFFFFF"/>
        </w:rPr>
        <w:t>підпункт 1 викласти в такій редакції:</w:t>
      </w:r>
    </w:p>
    <w:p w14:paraId="38861F4C" w14:textId="77777777" w:rsidR="00384750" w:rsidRPr="00B96E75" w:rsidRDefault="00A249CB" w:rsidP="006048BC">
      <w:pPr>
        <w:spacing w:after="0" w:line="240" w:lineRule="auto"/>
        <w:ind w:firstLine="567"/>
        <w:rPr>
          <w:color w:val="000000" w:themeColor="text1"/>
        </w:rPr>
      </w:pPr>
      <w:r w:rsidRPr="00B96E75">
        <w:rPr>
          <w:color w:val="000000" w:themeColor="text1"/>
        </w:rPr>
        <w:t xml:space="preserve">“1) документами та інформацією, що підтверджує доходи фізичної особи від </w:t>
      </w:r>
      <w:r w:rsidR="00384750" w:rsidRPr="00B96E75">
        <w:rPr>
          <w:color w:val="000000" w:themeColor="text1"/>
        </w:rPr>
        <w:t>операцій з майном, є інформація про:</w:t>
      </w:r>
    </w:p>
    <w:p w14:paraId="0C6B889E" w14:textId="77777777" w:rsidR="00384750" w:rsidRPr="00B96E75" w:rsidRDefault="00384750" w:rsidP="006048BC">
      <w:pPr>
        <w:spacing w:after="0" w:line="240" w:lineRule="auto"/>
        <w:ind w:firstLine="567"/>
        <w:rPr>
          <w:color w:val="000000" w:themeColor="text1"/>
        </w:rPr>
      </w:pPr>
      <w:r w:rsidRPr="00B96E75">
        <w:rPr>
          <w:color w:val="000000" w:themeColor="text1"/>
        </w:rPr>
        <w:t xml:space="preserve">вид майна, від операцій з яким особою отримано доходи, його загальні характеристики, розмір отриманих доходів від операцій з ним, дані контрагента </w:t>
      </w:r>
      <w:r w:rsidRPr="00B96E75">
        <w:rPr>
          <w:color w:val="000000" w:themeColor="text1"/>
        </w:rPr>
        <w:lastRenderedPageBreak/>
        <w:t>(правочин щодо продажу/надання в оренду майна, наявність запису у відповідних реєстрах), наявність цього майна на його балансі (якщо контрагентом є юридична особа);</w:t>
      </w:r>
    </w:p>
    <w:p w14:paraId="1464DF5B" w14:textId="1DDBF3A8" w:rsidR="00384750" w:rsidRPr="00B96E75" w:rsidRDefault="00384750" w:rsidP="006048BC">
      <w:pPr>
        <w:spacing w:after="0" w:line="240" w:lineRule="auto"/>
        <w:ind w:firstLine="567"/>
        <w:rPr>
          <w:color w:val="000000" w:themeColor="text1"/>
        </w:rPr>
      </w:pPr>
      <w:r w:rsidRPr="00B96E75">
        <w:rPr>
          <w:color w:val="000000" w:themeColor="text1"/>
        </w:rPr>
        <w:t xml:space="preserve">підстави набуття майна, від операцій з яким особою отримано доходи, дату набуття такого майна, його вартість на день набуття, а також джерела коштів для </w:t>
      </w:r>
      <w:r w:rsidR="00390044" w:rsidRPr="00B96E75">
        <w:rPr>
          <w:color w:val="000000" w:themeColor="text1"/>
        </w:rPr>
        <w:t>його</w:t>
      </w:r>
      <w:r w:rsidRPr="00B96E75">
        <w:rPr>
          <w:color w:val="000000" w:themeColor="text1"/>
        </w:rPr>
        <w:t xml:space="preserve"> набуття (правочин </w:t>
      </w:r>
      <w:r w:rsidR="00755BFF">
        <w:rPr>
          <w:color w:val="000000" w:themeColor="text1"/>
        </w:rPr>
        <w:t xml:space="preserve">щодо </w:t>
      </w:r>
      <w:r w:rsidRPr="00B96E75">
        <w:rPr>
          <w:color w:val="000000" w:themeColor="text1"/>
        </w:rPr>
        <w:t xml:space="preserve">придбання майна або безоплатного набуття </w:t>
      </w:r>
      <w:r w:rsidR="00ED59B4">
        <w:rPr>
          <w:color w:val="000000" w:themeColor="text1"/>
        </w:rPr>
        <w:t xml:space="preserve">  </w:t>
      </w:r>
      <w:r w:rsidRPr="00B96E75">
        <w:rPr>
          <w:color w:val="000000" w:themeColor="text1"/>
        </w:rPr>
        <w:t>майна)</w:t>
      </w:r>
      <w:r w:rsidR="009E2D2A" w:rsidRPr="00B96E75">
        <w:rPr>
          <w:color w:val="000000" w:themeColor="text1"/>
          <w:lang w:val="ru-RU"/>
        </w:rPr>
        <w:t>;</w:t>
      </w:r>
    </w:p>
    <w:p w14:paraId="7CD9643F" w14:textId="34712538" w:rsidR="00384750" w:rsidRPr="00B96E75" w:rsidRDefault="00384750" w:rsidP="006048BC">
      <w:pPr>
        <w:spacing w:after="0" w:line="240" w:lineRule="auto"/>
        <w:ind w:firstLine="567"/>
        <w:rPr>
          <w:color w:val="000000" w:themeColor="text1"/>
        </w:rPr>
      </w:pPr>
      <w:r w:rsidRPr="00B96E75">
        <w:rPr>
          <w:color w:val="000000" w:themeColor="text1"/>
        </w:rPr>
        <w:t xml:space="preserve">відсутність фіктивної складової (документи, які підтверджують платоспроможність покупця майна, відсутність близьких родинних стосунків, відсутність ознак перепродажу майна кілька разів різним особам протягом короткого проміжку часу, складних конструкцій правочинів </w:t>
      </w:r>
      <w:r w:rsidR="009D7E44">
        <w:rPr>
          <w:color w:val="000000" w:themeColor="text1"/>
        </w:rPr>
        <w:t>і</w:t>
      </w:r>
      <w:r w:rsidRPr="00B96E75">
        <w:rPr>
          <w:color w:val="000000" w:themeColor="text1"/>
        </w:rPr>
        <w:t>з незрозумілими умовами сплати/передавання майна</w:t>
      </w:r>
      <w:r w:rsidR="00A10D65" w:rsidRPr="00B96E75">
        <w:rPr>
          <w:color w:val="000000" w:themeColor="text1"/>
        </w:rPr>
        <w:t>)</w:t>
      </w:r>
      <w:r w:rsidRPr="00B96E75">
        <w:rPr>
          <w:color w:val="000000" w:themeColor="text1"/>
        </w:rPr>
        <w:t>;</w:t>
      </w:r>
    </w:p>
    <w:p w14:paraId="3AE7BBF3" w14:textId="2BE11D78" w:rsidR="00C97485" w:rsidRPr="00B96E75" w:rsidRDefault="00384750" w:rsidP="006048BC">
      <w:pPr>
        <w:spacing w:after="0" w:line="240" w:lineRule="auto"/>
        <w:ind w:firstLine="567"/>
        <w:rPr>
          <w:color w:val="000000" w:themeColor="text1"/>
        </w:rPr>
      </w:pPr>
      <w:r w:rsidRPr="00B96E75">
        <w:rPr>
          <w:color w:val="000000" w:themeColor="text1"/>
          <w:shd w:val="clear" w:color="auto" w:fill="FFFFFF"/>
        </w:rPr>
        <w:t>відповідність ціни набуття майна та/або продажу майна та його вартості на відповідні дати (інформація з відкритих джерел, вартість, зазначена в договорі про набуття відповідного майна у власн</w:t>
      </w:r>
      <w:r w:rsidR="009D7E44">
        <w:rPr>
          <w:color w:val="000000" w:themeColor="text1"/>
          <w:shd w:val="clear" w:color="auto" w:fill="FFFFFF"/>
        </w:rPr>
        <w:t>ість</w:t>
      </w:r>
      <w:r w:rsidRPr="00B96E75">
        <w:rPr>
          <w:color w:val="000000" w:themeColor="text1"/>
          <w:shd w:val="clear" w:color="auto" w:fill="FFFFFF"/>
        </w:rPr>
        <w:t xml:space="preserve">, та за наявності </w:t>
      </w:r>
      <w:r w:rsidR="00755BFF">
        <w:rPr>
          <w:color w:val="000000" w:themeColor="text1"/>
          <w:shd w:val="clear" w:color="auto" w:fill="FFFFFF"/>
        </w:rPr>
        <w:t>–</w:t>
      </w:r>
      <w:r w:rsidRPr="00B96E75">
        <w:rPr>
          <w:color w:val="000000" w:themeColor="text1"/>
          <w:shd w:val="clear" w:color="auto" w:fill="FFFFFF"/>
        </w:rPr>
        <w:t xml:space="preserve"> останній звіт суб</w:t>
      </w:r>
      <w:r w:rsidR="00755BFF">
        <w:rPr>
          <w:color w:val="000000" w:themeColor="text1"/>
          <w:shd w:val="clear" w:color="auto" w:fill="FFFFFF"/>
        </w:rPr>
        <w:t>’</w:t>
      </w:r>
      <w:r w:rsidRPr="00B96E75">
        <w:rPr>
          <w:color w:val="000000" w:themeColor="text1"/>
          <w:shd w:val="clear" w:color="auto" w:fill="FFFFFF"/>
        </w:rPr>
        <w:t>єкта оціночної діяльності);</w:t>
      </w:r>
      <w:r w:rsidR="00C97485" w:rsidRPr="00B96E75">
        <w:rPr>
          <w:color w:val="000000" w:themeColor="text1"/>
          <w:shd w:val="clear" w:color="auto" w:fill="FFFFFF"/>
        </w:rPr>
        <w:t>”;</w:t>
      </w:r>
    </w:p>
    <w:p w14:paraId="672224E1" w14:textId="730D86B6" w:rsidR="00A249CB" w:rsidRPr="00B96E75" w:rsidRDefault="00431FB9" w:rsidP="006048BC">
      <w:pPr>
        <w:spacing w:after="0" w:line="240" w:lineRule="auto"/>
        <w:ind w:firstLine="567"/>
        <w:rPr>
          <w:color w:val="000000" w:themeColor="text1"/>
          <w:shd w:val="clear" w:color="auto" w:fill="FFFFFF"/>
        </w:rPr>
      </w:pPr>
      <w:r w:rsidRPr="00B96E75">
        <w:rPr>
          <w:color w:val="000000" w:themeColor="text1"/>
          <w:shd w:val="clear" w:color="auto" w:fill="FFFFFF"/>
        </w:rPr>
        <w:t xml:space="preserve">у </w:t>
      </w:r>
      <w:r w:rsidR="00A249CB" w:rsidRPr="00B96E75">
        <w:rPr>
          <w:color w:val="000000" w:themeColor="text1"/>
          <w:shd w:val="clear" w:color="auto" w:fill="FFFFFF"/>
        </w:rPr>
        <w:t>підпункт</w:t>
      </w:r>
      <w:r w:rsidRPr="00B96E75">
        <w:rPr>
          <w:color w:val="000000" w:themeColor="text1"/>
          <w:shd w:val="clear" w:color="auto" w:fill="FFFFFF"/>
        </w:rPr>
        <w:t>і</w:t>
      </w:r>
      <w:r w:rsidR="00A249CB" w:rsidRPr="00B96E75">
        <w:rPr>
          <w:color w:val="000000" w:themeColor="text1"/>
          <w:shd w:val="clear" w:color="auto" w:fill="FFFFFF"/>
        </w:rPr>
        <w:t xml:space="preserve"> 2 </w:t>
      </w:r>
      <w:r w:rsidRPr="00B96E75">
        <w:rPr>
          <w:color w:val="000000" w:themeColor="text1"/>
          <w:shd w:val="clear" w:color="auto" w:fill="FFFFFF"/>
        </w:rPr>
        <w:t>слова</w:t>
      </w:r>
      <w:r w:rsidR="009D7E44">
        <w:rPr>
          <w:color w:val="000000" w:themeColor="text1"/>
          <w:shd w:val="clear" w:color="auto" w:fill="FFFFFF"/>
        </w:rPr>
        <w:t xml:space="preserve"> та цифри</w:t>
      </w:r>
      <w:r w:rsidRPr="00B96E75">
        <w:rPr>
          <w:color w:val="000000" w:themeColor="text1"/>
          <w:shd w:val="clear" w:color="auto" w:fill="FFFFFF"/>
        </w:rPr>
        <w:t xml:space="preserve"> “підпунктах 1</w:t>
      </w:r>
      <w:r w:rsidR="009D7E44">
        <w:rPr>
          <w:color w:val="000000" w:themeColor="text1"/>
          <w:shd w:val="clear" w:color="auto" w:fill="FFFFFF"/>
        </w:rPr>
        <w:t>–</w:t>
      </w:r>
      <w:r w:rsidRPr="00B96E75">
        <w:rPr>
          <w:color w:val="000000" w:themeColor="text1"/>
          <w:shd w:val="clear" w:color="auto" w:fill="FFFFFF"/>
        </w:rPr>
        <w:t>5 пункту 372 глави 46 розділу VI Положення про ліцензування та реєстрацію” замінити словами</w:t>
      </w:r>
      <w:r w:rsidR="009D7E44">
        <w:rPr>
          <w:color w:val="000000" w:themeColor="text1"/>
          <w:shd w:val="clear" w:color="auto" w:fill="FFFFFF"/>
        </w:rPr>
        <w:t xml:space="preserve"> та цифрами</w:t>
      </w:r>
      <w:r w:rsidRPr="00B96E75">
        <w:rPr>
          <w:color w:val="000000" w:themeColor="text1"/>
          <w:shd w:val="clear" w:color="auto" w:fill="FFFFFF"/>
        </w:rPr>
        <w:t xml:space="preserve"> “</w:t>
      </w:r>
      <w:r w:rsidR="00633CB0" w:rsidRPr="00B96E75">
        <w:rPr>
          <w:color w:val="000000" w:themeColor="text1"/>
          <w:shd w:val="clear" w:color="auto" w:fill="FFFFFF"/>
        </w:rPr>
        <w:t>підпунктах 1</w:t>
      </w:r>
      <w:r w:rsidR="009D7E44">
        <w:rPr>
          <w:color w:val="000000" w:themeColor="text1"/>
          <w:shd w:val="clear" w:color="auto" w:fill="FFFFFF"/>
        </w:rPr>
        <w:t>–</w:t>
      </w:r>
      <w:r w:rsidR="00633CB0" w:rsidRPr="00B96E75">
        <w:rPr>
          <w:color w:val="000000" w:themeColor="text1"/>
          <w:shd w:val="clear" w:color="auto" w:fill="FFFFFF"/>
        </w:rPr>
        <w:t>5 пункту 523 глави 49 розділу VI Положення про авторизацію</w:t>
      </w:r>
      <w:r w:rsidRPr="00B96E75">
        <w:rPr>
          <w:color w:val="000000" w:themeColor="text1"/>
          <w:shd w:val="clear" w:color="auto" w:fill="FFFFFF"/>
        </w:rPr>
        <w:t>”</w:t>
      </w:r>
      <w:r w:rsidR="00633CB0" w:rsidRPr="00B96E75">
        <w:rPr>
          <w:color w:val="000000" w:themeColor="text1"/>
          <w:shd w:val="clear" w:color="auto" w:fill="FFFFFF"/>
        </w:rPr>
        <w:t>;</w:t>
      </w:r>
    </w:p>
    <w:p w14:paraId="19D29E15" w14:textId="46DBBF54" w:rsidR="000C3B58" w:rsidRPr="00B96E75" w:rsidRDefault="000C3B58" w:rsidP="006048BC">
      <w:pPr>
        <w:spacing w:after="0" w:line="240" w:lineRule="auto"/>
        <w:ind w:firstLine="567"/>
        <w:rPr>
          <w:color w:val="000000" w:themeColor="text1"/>
          <w:shd w:val="clear" w:color="auto" w:fill="FFFFFF"/>
        </w:rPr>
      </w:pPr>
    </w:p>
    <w:p w14:paraId="67F9831F" w14:textId="356C4C0C" w:rsidR="00EB60D7" w:rsidRPr="00B96E75" w:rsidRDefault="00E71A1A" w:rsidP="006048BC">
      <w:pPr>
        <w:spacing w:after="0" w:line="240" w:lineRule="auto"/>
        <w:ind w:firstLine="567"/>
        <w:rPr>
          <w:color w:val="000000" w:themeColor="text1"/>
          <w:shd w:val="clear" w:color="auto" w:fill="FFFFFF"/>
        </w:rPr>
      </w:pPr>
      <w:r w:rsidRPr="00B96E75">
        <w:rPr>
          <w:color w:val="000000" w:themeColor="text1"/>
          <w:shd w:val="clear" w:color="auto" w:fill="FFFFFF"/>
        </w:rPr>
        <w:t>6</w:t>
      </w:r>
      <w:r w:rsidR="000C3B58" w:rsidRPr="00B96E75">
        <w:rPr>
          <w:color w:val="000000" w:themeColor="text1"/>
          <w:shd w:val="clear" w:color="auto" w:fill="FFFFFF"/>
        </w:rPr>
        <w:t>)</w:t>
      </w:r>
      <w:r w:rsidR="00443830" w:rsidRPr="00B96E75">
        <w:rPr>
          <w:color w:val="000000" w:themeColor="text1"/>
          <w:shd w:val="clear" w:color="auto" w:fill="FFFFFF"/>
        </w:rPr>
        <w:t xml:space="preserve"> </w:t>
      </w:r>
      <w:r w:rsidR="00EB60D7" w:rsidRPr="00B96E75">
        <w:rPr>
          <w:color w:val="000000" w:themeColor="text1"/>
          <w:shd w:val="clear" w:color="auto" w:fill="FFFFFF"/>
        </w:rPr>
        <w:t xml:space="preserve">пункт 7 викласти </w:t>
      </w:r>
      <w:r w:rsidR="009D7E44">
        <w:rPr>
          <w:color w:val="000000" w:themeColor="text1"/>
          <w:shd w:val="clear" w:color="auto" w:fill="FFFFFF"/>
        </w:rPr>
        <w:t>в</w:t>
      </w:r>
      <w:r w:rsidR="00EB60D7" w:rsidRPr="00B96E75">
        <w:rPr>
          <w:color w:val="000000" w:themeColor="text1"/>
          <w:shd w:val="clear" w:color="auto" w:fill="FFFFFF"/>
        </w:rPr>
        <w:t xml:space="preserve"> такій редакції:</w:t>
      </w:r>
    </w:p>
    <w:p w14:paraId="03511DCD" w14:textId="3D0FD943" w:rsidR="00341A3D" w:rsidRPr="00B96E75" w:rsidRDefault="00EB60D7" w:rsidP="004B1FCE">
      <w:pPr>
        <w:spacing w:after="0" w:line="240" w:lineRule="auto"/>
        <w:ind w:firstLine="567"/>
        <w:rPr>
          <w:color w:val="333333"/>
          <w:shd w:val="clear" w:color="auto" w:fill="FFFFFF"/>
        </w:rPr>
      </w:pPr>
      <w:r w:rsidRPr="00B96E75">
        <w:rPr>
          <w:color w:val="000000" w:themeColor="text1"/>
          <w:shd w:val="clear" w:color="auto" w:fill="FFFFFF"/>
        </w:rPr>
        <w:t xml:space="preserve">“7. </w:t>
      </w:r>
      <w:r w:rsidRPr="00B96E75">
        <w:rPr>
          <w:color w:val="333333"/>
          <w:shd w:val="clear" w:color="auto" w:fill="FFFFFF"/>
        </w:rPr>
        <w:t>Н</w:t>
      </w:r>
      <w:r w:rsidRPr="00B96E75">
        <w:rPr>
          <w:color w:val="000000" w:themeColor="text1"/>
          <w:shd w:val="clear" w:color="auto" w:fill="FFFFFF"/>
        </w:rPr>
        <w:t>аціональний банк у разі невідповідності фінансового/майнового стану власника істотної участі в небанківській фінансовій установі вимогам пунктів</w:t>
      </w:r>
      <w:r w:rsidR="005F2149">
        <w:rPr>
          <w:color w:val="000000" w:themeColor="text1"/>
          <w:shd w:val="clear" w:color="auto" w:fill="FFFFFF"/>
        </w:rPr>
        <w:t> </w:t>
      </w:r>
      <w:r w:rsidRPr="00B96E75">
        <w:rPr>
          <w:color w:val="000000" w:themeColor="text1"/>
          <w:shd w:val="clear" w:color="auto" w:fill="FFFFFF"/>
        </w:rPr>
        <w:t>5,</w:t>
      </w:r>
      <w:r w:rsidR="005F2149">
        <w:rPr>
          <w:color w:val="000000" w:themeColor="text1"/>
          <w:shd w:val="clear" w:color="auto" w:fill="FFFFFF"/>
        </w:rPr>
        <w:t> </w:t>
      </w:r>
      <w:r w:rsidRPr="00B96E75">
        <w:rPr>
          <w:color w:val="000000" w:themeColor="text1"/>
          <w:shd w:val="clear" w:color="auto" w:fill="FFFFFF"/>
        </w:rPr>
        <w:t>6</w:t>
      </w:r>
      <w:r w:rsidR="004B1FCE" w:rsidRPr="004B1FCE">
        <w:rPr>
          <w:color w:val="000000" w:themeColor="text1"/>
          <w:shd w:val="clear" w:color="auto" w:fill="FFFFFF"/>
        </w:rPr>
        <w:t>/</w:t>
      </w:r>
      <w:r w:rsidRPr="00B96E75">
        <w:rPr>
          <w:color w:val="000000" w:themeColor="text1"/>
          <w:shd w:val="clear" w:color="auto" w:fill="FFFFFF"/>
        </w:rPr>
        <w:t>підпунктів 2, 3 пункту 5, підпунктів 2, 3 пункту 6, пунктів 10</w:t>
      </w:r>
      <w:r w:rsidRPr="00B96E75">
        <w:rPr>
          <w:color w:val="000000" w:themeColor="text1"/>
          <w:shd w:val="clear" w:color="auto" w:fill="FFFFFF"/>
          <w:vertAlign w:val="superscript"/>
        </w:rPr>
        <w:t>5</w:t>
      </w:r>
      <w:r w:rsidRPr="00B96E75">
        <w:rPr>
          <w:color w:val="000000" w:themeColor="text1"/>
          <w:shd w:val="clear" w:color="auto" w:fill="FFFFFF"/>
        </w:rPr>
        <w:t>, 10</w:t>
      </w:r>
      <w:r w:rsidRPr="00B96E75">
        <w:rPr>
          <w:color w:val="000000" w:themeColor="text1"/>
          <w:shd w:val="clear" w:color="auto" w:fill="FFFFFF"/>
          <w:vertAlign w:val="superscript"/>
        </w:rPr>
        <w:t>6</w:t>
      </w:r>
      <w:r w:rsidRPr="00B96E75">
        <w:rPr>
          <w:color w:val="000000" w:themeColor="text1"/>
          <w:shd w:val="clear" w:color="auto" w:fill="FFFFFF"/>
        </w:rPr>
        <w:t xml:space="preserve"> (якщо документи подані відповідно до пунктів 10</w:t>
      </w:r>
      <w:r w:rsidRPr="00B96E75">
        <w:rPr>
          <w:color w:val="000000" w:themeColor="text1"/>
          <w:shd w:val="clear" w:color="auto" w:fill="FFFFFF"/>
          <w:vertAlign w:val="superscript"/>
        </w:rPr>
        <w:t>2</w:t>
      </w:r>
      <w:r w:rsidRPr="00B96E75">
        <w:rPr>
          <w:color w:val="000000" w:themeColor="text1"/>
          <w:shd w:val="clear" w:color="auto" w:fill="FFFFFF"/>
        </w:rPr>
        <w:t>, 10</w:t>
      </w:r>
      <w:r w:rsidRPr="00B96E75">
        <w:rPr>
          <w:color w:val="000000" w:themeColor="text1"/>
          <w:shd w:val="clear" w:color="auto" w:fill="FFFFFF"/>
          <w:vertAlign w:val="superscript"/>
        </w:rPr>
        <w:t>3</w:t>
      </w:r>
      <w:r w:rsidRPr="00B96E75">
        <w:rPr>
          <w:color w:val="000000" w:themeColor="text1"/>
          <w:shd w:val="clear" w:color="auto" w:fill="FFFFFF"/>
        </w:rPr>
        <w:t xml:space="preserve"> цієї постанови) цієї постанови має право прийняти рішення про невідповідність власника істотної участі в небанківській фінансовій установі вимогам законодавства України та відкликання (анулювання) ліцензії/ліцензій на провадження діяльності з надання фінансових послуг у небанківської фінансової установи/анулювання ліцензії на здійснення діяльності із страхування страховика або ліцензії на діяльність фінансової компанії</w:t>
      </w:r>
      <w:r w:rsidR="00A34D44">
        <w:rPr>
          <w:color w:val="000000" w:themeColor="text1"/>
          <w:shd w:val="clear" w:color="auto" w:fill="FFFFFF"/>
        </w:rPr>
        <w:t>,</w:t>
      </w:r>
      <w:r w:rsidRPr="00B96E75">
        <w:rPr>
          <w:color w:val="000000" w:themeColor="text1"/>
          <w:shd w:val="clear" w:color="auto" w:fill="FFFFFF"/>
        </w:rPr>
        <w:t xml:space="preserve"> або ліцензії на діяльність ломбарду/відкликання (анулювання) ліцензії на здійснення валютних операцій в частині торгівлі валютними цінностями в готівковій формі [рішення приймає Комітет з питань нагляду та регулювання діяльності ринків небанківських фінансових послуг (далі</w:t>
      </w:r>
      <w:r w:rsidR="00A34D44">
        <w:rPr>
          <w:color w:val="000000" w:themeColor="text1"/>
          <w:shd w:val="clear" w:color="auto" w:fill="FFFFFF"/>
        </w:rPr>
        <w:t> –</w:t>
      </w:r>
      <w:r w:rsidRPr="00B96E75">
        <w:rPr>
          <w:color w:val="000000" w:themeColor="text1"/>
          <w:shd w:val="clear" w:color="auto" w:fill="FFFFFF"/>
        </w:rPr>
        <w:t xml:space="preserve"> Комітет з питань нагляду)].</w:t>
      </w:r>
    </w:p>
    <w:p w14:paraId="46D72007" w14:textId="7703F8A2" w:rsidR="00EB60D7" w:rsidRPr="00B96E75" w:rsidRDefault="00EB60D7" w:rsidP="004B1FCE">
      <w:pPr>
        <w:spacing w:after="0" w:line="240" w:lineRule="auto"/>
        <w:ind w:firstLine="567"/>
        <w:rPr>
          <w:color w:val="333333"/>
          <w:shd w:val="clear" w:color="auto" w:fill="FFFFFF"/>
        </w:rPr>
      </w:pPr>
      <w:r w:rsidRPr="00B96E75">
        <w:t xml:space="preserve">Національний банк вносить відповідний запис до </w:t>
      </w:r>
      <w:r w:rsidR="004B1FCE" w:rsidRPr="004B1FCE">
        <w:t>Державного реєстру фінансових установ/Реєстру платіжної інфраструктури/електронного реєстру ліцензій на здійснення валютних операцій та осіб, яким видано ліцензії на здійснення валютних операцій, що ведеться Національним банком</w:t>
      </w:r>
      <w:r w:rsidR="00EE60BC">
        <w:t>,</w:t>
      </w:r>
      <w:r w:rsidR="00963FD2">
        <w:t xml:space="preserve"> </w:t>
      </w:r>
      <w:r w:rsidRPr="00B96E75">
        <w:t>протягом трьох робочих днів із дня прийняття рішення, зазначеного в абзаці першому пункту 7 цієї постанови.</w:t>
      </w:r>
    </w:p>
    <w:p w14:paraId="7747D586" w14:textId="4FC036E7" w:rsidR="000C3B58" w:rsidRPr="00B96E75" w:rsidRDefault="00EB60D7" w:rsidP="004B1FCE">
      <w:pPr>
        <w:spacing w:after="0" w:line="240" w:lineRule="auto"/>
        <w:ind w:firstLine="567"/>
        <w:rPr>
          <w:color w:val="000000" w:themeColor="text1"/>
        </w:rPr>
      </w:pPr>
      <w:r w:rsidRPr="00B96E75">
        <w:lastRenderedPageBreak/>
        <w:t xml:space="preserve">Національний банк повідомляє небанківську фінансову установу про прийняте рішення протягом трьох робочих днів </w:t>
      </w:r>
      <w:r w:rsidR="00E82A75">
        <w:t>і</w:t>
      </w:r>
      <w:r w:rsidRPr="00B96E75">
        <w:t>з дня його прийняття шляхом надсилання копії прийнятого рішення.</w:t>
      </w:r>
      <w:r w:rsidRPr="00B96E75">
        <w:rPr>
          <w:color w:val="000000" w:themeColor="text1"/>
          <w:shd w:val="clear" w:color="auto" w:fill="FFFFFF"/>
        </w:rPr>
        <w:t>”</w:t>
      </w:r>
      <w:r w:rsidR="005025FE" w:rsidRPr="00B96E75">
        <w:rPr>
          <w:color w:val="000000" w:themeColor="text1"/>
          <w:shd w:val="clear" w:color="auto" w:fill="FFFFFF"/>
        </w:rPr>
        <w:t>;</w:t>
      </w:r>
    </w:p>
    <w:p w14:paraId="23EDB025" w14:textId="77777777" w:rsidR="00A249CB" w:rsidRPr="00B96E75" w:rsidRDefault="00A249CB" w:rsidP="004B1FCE">
      <w:pPr>
        <w:spacing w:after="0" w:line="240" w:lineRule="auto"/>
        <w:ind w:firstLine="567"/>
        <w:rPr>
          <w:color w:val="000000" w:themeColor="text1"/>
          <w:highlight w:val="yellow"/>
        </w:rPr>
      </w:pPr>
    </w:p>
    <w:p w14:paraId="4CF3F46A" w14:textId="2DEF16E6" w:rsidR="004B3BE8" w:rsidRPr="00B96E75" w:rsidRDefault="00E71A1A" w:rsidP="004B1FCE">
      <w:pPr>
        <w:spacing w:after="0" w:line="240" w:lineRule="auto"/>
        <w:ind w:firstLine="567"/>
        <w:rPr>
          <w:color w:val="000000" w:themeColor="text1"/>
          <w:shd w:val="clear" w:color="auto" w:fill="FFFFFF"/>
        </w:rPr>
      </w:pPr>
      <w:r w:rsidRPr="00B96E75">
        <w:rPr>
          <w:color w:val="000000" w:themeColor="text1"/>
          <w:shd w:val="clear" w:color="auto" w:fill="FFFFFF"/>
          <w:lang w:val="ru-RU"/>
        </w:rPr>
        <w:t>7</w:t>
      </w:r>
      <w:r w:rsidR="00A249CB" w:rsidRPr="00B96E75">
        <w:rPr>
          <w:color w:val="000000" w:themeColor="text1"/>
          <w:shd w:val="clear" w:color="auto" w:fill="FFFFFF"/>
        </w:rPr>
        <w:t>) пункт 8</w:t>
      </w:r>
      <w:r w:rsidR="004B3BE8" w:rsidRPr="00B96E75">
        <w:rPr>
          <w:color w:val="000000" w:themeColor="text1"/>
          <w:shd w:val="clear" w:color="auto" w:fill="FFFFFF"/>
        </w:rPr>
        <w:t xml:space="preserve"> викласти в такій редакції:</w:t>
      </w:r>
    </w:p>
    <w:p w14:paraId="708B3E33" w14:textId="1BA89939" w:rsidR="00A249CB" w:rsidRPr="00B96E75" w:rsidRDefault="004B3BE8" w:rsidP="004B1FCE">
      <w:pPr>
        <w:spacing w:after="0" w:line="240" w:lineRule="auto"/>
        <w:ind w:firstLine="567"/>
        <w:rPr>
          <w:color w:val="000000" w:themeColor="text1"/>
        </w:rPr>
      </w:pPr>
      <w:r w:rsidRPr="00B96E75">
        <w:rPr>
          <w:color w:val="000000" w:themeColor="text1"/>
          <w:shd w:val="clear" w:color="auto" w:fill="FFFFFF"/>
        </w:rPr>
        <w:t xml:space="preserve">“8. </w:t>
      </w:r>
      <w:r w:rsidRPr="0065770C">
        <w:rPr>
          <w:shd w:val="clear" w:color="auto" w:fill="FFFFFF"/>
        </w:rPr>
        <w:t xml:space="preserve">Строк для прийняття Національним банком рішення про анулювання </w:t>
      </w:r>
      <w:r w:rsidRPr="0065770C">
        <w:t xml:space="preserve">ліцензії на здійснення діяльності із страхування страховика </w:t>
      </w:r>
      <w:r w:rsidR="003C5406" w:rsidRPr="0065770C">
        <w:t>або ліцензії на здійснення діяльності кредитної спілки</w:t>
      </w:r>
      <w:r w:rsidR="00867CBA" w:rsidRPr="0065770C">
        <w:t>,</w:t>
      </w:r>
      <w:r w:rsidR="003C5406" w:rsidRPr="0065770C">
        <w:t xml:space="preserve"> </w:t>
      </w:r>
      <w:r w:rsidRPr="0065770C">
        <w:t>або ліцензії на діяльність фінансової компанії</w:t>
      </w:r>
      <w:r w:rsidR="00867CBA" w:rsidRPr="0065770C">
        <w:t>,</w:t>
      </w:r>
      <w:r w:rsidRPr="0065770C">
        <w:t xml:space="preserve"> або ліцензії на діяльність ломбарду/відкликання (анулювання) ліцензії на здійснення валютних операцій в частині торгівлі валютними цінностями в готівковій формі або про відмову в їх </w:t>
      </w:r>
      <w:r w:rsidRPr="0065770C">
        <w:rPr>
          <w:shd w:val="clear" w:color="auto" w:fill="FFFFFF"/>
        </w:rPr>
        <w:t>анулюванні/відкликанні (анулюванні), визначений в</w:t>
      </w:r>
      <w:r w:rsidR="00867CBA" w:rsidRPr="0065770C">
        <w:rPr>
          <w:shd w:val="clear" w:color="auto" w:fill="FFFFFF"/>
        </w:rPr>
        <w:t xml:space="preserve"> </w:t>
      </w:r>
      <w:r w:rsidRPr="0065770C">
        <w:rPr>
          <w:shd w:val="clear" w:color="auto" w:fill="FFFFFF"/>
        </w:rPr>
        <w:t xml:space="preserve">пункті 813 глави </w:t>
      </w:r>
      <w:r w:rsidRPr="0065770C">
        <w:t xml:space="preserve">76 розділу XII </w:t>
      </w:r>
      <w:r w:rsidRPr="0065770C">
        <w:rPr>
          <w:shd w:val="clear" w:color="auto" w:fill="FFFFFF"/>
        </w:rPr>
        <w:t>Положення про авторизацію, у період дії воєнного стану в Україні не застосовується.”;</w:t>
      </w:r>
      <w:r w:rsidR="00A249CB" w:rsidRPr="0065770C">
        <w:rPr>
          <w:shd w:val="clear" w:color="auto" w:fill="FFFFFF"/>
        </w:rPr>
        <w:t xml:space="preserve"> </w:t>
      </w:r>
    </w:p>
    <w:p w14:paraId="28DE24AA" w14:textId="77777777" w:rsidR="00A249CB" w:rsidRPr="00B96E75" w:rsidRDefault="00A249CB" w:rsidP="004B1FCE">
      <w:pPr>
        <w:spacing w:after="0" w:line="240" w:lineRule="auto"/>
        <w:ind w:firstLine="567"/>
        <w:rPr>
          <w:color w:val="000000" w:themeColor="text1"/>
          <w:highlight w:val="yellow"/>
        </w:rPr>
      </w:pPr>
    </w:p>
    <w:p w14:paraId="6F83CD60" w14:textId="66AECF56" w:rsidR="008414F6" w:rsidRPr="00B96E75" w:rsidRDefault="00E71A1A" w:rsidP="004B1FCE">
      <w:pPr>
        <w:spacing w:after="0" w:line="240" w:lineRule="auto"/>
        <w:ind w:firstLine="567"/>
        <w:rPr>
          <w:color w:val="000000" w:themeColor="text1"/>
          <w:shd w:val="clear" w:color="auto" w:fill="FFFFFF"/>
          <w:lang w:val="ru-RU"/>
        </w:rPr>
      </w:pPr>
      <w:r w:rsidRPr="00B96E75">
        <w:rPr>
          <w:color w:val="000000" w:themeColor="text1"/>
          <w:shd w:val="clear" w:color="auto" w:fill="FFFFFF"/>
          <w:lang w:val="ru-RU"/>
        </w:rPr>
        <w:t>8</w:t>
      </w:r>
      <w:r w:rsidR="00A249CB" w:rsidRPr="00B96E75">
        <w:rPr>
          <w:color w:val="000000" w:themeColor="text1"/>
          <w:shd w:val="clear" w:color="auto" w:fill="FFFFFF"/>
        </w:rPr>
        <w:t xml:space="preserve">) </w:t>
      </w:r>
      <w:r w:rsidR="008A48A6" w:rsidRPr="00B96E75">
        <w:rPr>
          <w:color w:val="000000" w:themeColor="text1"/>
          <w:shd w:val="clear" w:color="auto" w:fill="FFFFFF"/>
        </w:rPr>
        <w:t>пункти 9</w:t>
      </w:r>
      <w:r w:rsidR="00A34D44">
        <w:rPr>
          <w:color w:val="000000" w:themeColor="text1"/>
          <w:shd w:val="clear" w:color="auto" w:fill="FFFFFF"/>
        </w:rPr>
        <w:t xml:space="preserve">, </w:t>
      </w:r>
      <w:r w:rsidR="008A48A6" w:rsidRPr="00B96E75">
        <w:rPr>
          <w:color w:val="000000" w:themeColor="text1"/>
          <w:shd w:val="clear" w:color="auto" w:fill="FFFFFF"/>
        </w:rPr>
        <w:t>10 виключити</w:t>
      </w:r>
      <w:r w:rsidR="008414F6" w:rsidRPr="00B96E75">
        <w:rPr>
          <w:color w:val="000000" w:themeColor="text1"/>
          <w:shd w:val="clear" w:color="auto" w:fill="FFFFFF"/>
          <w:lang w:val="ru-RU"/>
        </w:rPr>
        <w:t>;</w:t>
      </w:r>
    </w:p>
    <w:p w14:paraId="561FCCD7" w14:textId="77777777" w:rsidR="00CF1DD6" w:rsidRPr="00B96E75" w:rsidRDefault="00CF1DD6" w:rsidP="004B1FCE">
      <w:pPr>
        <w:spacing w:after="0" w:line="240" w:lineRule="auto"/>
        <w:ind w:firstLine="567"/>
        <w:rPr>
          <w:color w:val="000000" w:themeColor="text1"/>
          <w:shd w:val="clear" w:color="auto" w:fill="FFFFFF"/>
          <w:lang w:val="ru-RU"/>
        </w:rPr>
      </w:pPr>
    </w:p>
    <w:p w14:paraId="6D31443A" w14:textId="61F0F9BD" w:rsidR="00A249CB" w:rsidRPr="00B96E75" w:rsidRDefault="00E71A1A" w:rsidP="004B1FCE">
      <w:pPr>
        <w:spacing w:after="0" w:line="240" w:lineRule="auto"/>
        <w:ind w:firstLine="567"/>
        <w:rPr>
          <w:color w:val="000000" w:themeColor="text1"/>
          <w:lang w:val="ru-RU"/>
        </w:rPr>
      </w:pPr>
      <w:r w:rsidRPr="00B96E75">
        <w:rPr>
          <w:color w:val="000000" w:themeColor="text1"/>
          <w:shd w:val="clear" w:color="auto" w:fill="FFFFFF"/>
          <w:lang w:val="ru-RU"/>
        </w:rPr>
        <w:t>9</w:t>
      </w:r>
      <w:r w:rsidR="008414F6" w:rsidRPr="00B96E75">
        <w:rPr>
          <w:color w:val="000000" w:themeColor="text1"/>
          <w:shd w:val="clear" w:color="auto" w:fill="FFFFFF"/>
          <w:lang w:val="ru-RU"/>
        </w:rPr>
        <w:t xml:space="preserve">) </w:t>
      </w:r>
      <w:r w:rsidR="00006895" w:rsidRPr="00B96E75">
        <w:rPr>
          <w:color w:val="000000" w:themeColor="text1"/>
          <w:shd w:val="clear" w:color="auto" w:fill="FFFFFF"/>
          <w:lang w:val="ru-RU"/>
        </w:rPr>
        <w:t xml:space="preserve">постанову </w:t>
      </w:r>
      <w:proofErr w:type="spellStart"/>
      <w:r w:rsidR="00006895" w:rsidRPr="00B96E75">
        <w:rPr>
          <w:color w:val="000000" w:themeColor="text1"/>
          <w:shd w:val="clear" w:color="auto" w:fill="FFFFFF"/>
          <w:lang w:val="ru-RU"/>
        </w:rPr>
        <w:t>після</w:t>
      </w:r>
      <w:proofErr w:type="spellEnd"/>
      <w:r w:rsidR="00006895" w:rsidRPr="00B96E75">
        <w:rPr>
          <w:color w:val="000000" w:themeColor="text1"/>
          <w:shd w:val="clear" w:color="auto" w:fill="FFFFFF"/>
          <w:lang w:val="ru-RU"/>
        </w:rPr>
        <w:t xml:space="preserve"> пункту</w:t>
      </w:r>
      <w:r w:rsidR="00325F5F" w:rsidRPr="00B96E75">
        <w:rPr>
          <w:color w:val="000000" w:themeColor="text1"/>
          <w:shd w:val="clear" w:color="auto" w:fill="FFFFFF"/>
          <w:lang w:val="ru-RU"/>
        </w:rPr>
        <w:t xml:space="preserve"> 10 </w:t>
      </w:r>
      <w:r w:rsidR="008414F6" w:rsidRPr="00B96E75">
        <w:rPr>
          <w:color w:val="000000" w:themeColor="text1"/>
          <w:shd w:val="clear" w:color="auto" w:fill="FFFFFF"/>
        </w:rPr>
        <w:t>доповнити</w:t>
      </w:r>
      <w:r w:rsidR="0065770C">
        <w:rPr>
          <w:color w:val="000000" w:themeColor="text1"/>
          <w:shd w:val="clear" w:color="auto" w:fill="FFFFFF"/>
        </w:rPr>
        <w:t xml:space="preserve"> сімома</w:t>
      </w:r>
      <w:r w:rsidR="008414F6" w:rsidRPr="00B96E75">
        <w:rPr>
          <w:color w:val="000000" w:themeColor="text1"/>
          <w:shd w:val="clear" w:color="auto" w:fill="FFFFFF"/>
        </w:rPr>
        <w:t xml:space="preserve"> новими пунктами 10</w:t>
      </w:r>
      <w:r w:rsidR="008414F6" w:rsidRPr="00B96E75">
        <w:rPr>
          <w:color w:val="000000" w:themeColor="text1"/>
          <w:shd w:val="clear" w:color="auto" w:fill="FFFFFF"/>
          <w:vertAlign w:val="superscript"/>
        </w:rPr>
        <w:t>1</w:t>
      </w:r>
      <w:r w:rsidR="0035552B">
        <w:rPr>
          <w:color w:val="000000" w:themeColor="text1"/>
          <w:shd w:val="clear" w:color="auto" w:fill="FFFFFF"/>
        </w:rPr>
        <w:t>–</w:t>
      </w:r>
      <w:r w:rsidR="008414F6" w:rsidRPr="00B96E75">
        <w:rPr>
          <w:color w:val="000000" w:themeColor="text1"/>
          <w:shd w:val="clear" w:color="auto" w:fill="FFFFFF"/>
        </w:rPr>
        <w:t>10</w:t>
      </w:r>
      <w:r w:rsidR="0065770C">
        <w:rPr>
          <w:color w:val="000000" w:themeColor="text1"/>
          <w:shd w:val="clear" w:color="auto" w:fill="FFFFFF"/>
          <w:vertAlign w:val="superscript"/>
        </w:rPr>
        <w:t>7</w:t>
      </w:r>
      <w:r w:rsidR="008414F6" w:rsidRPr="00B96E75">
        <w:rPr>
          <w:color w:val="000000" w:themeColor="text1"/>
          <w:shd w:val="clear" w:color="auto" w:fill="FFFFFF"/>
        </w:rPr>
        <w:t xml:space="preserve"> такого змісту:</w:t>
      </w:r>
    </w:p>
    <w:p w14:paraId="5AD7F812" w14:textId="25F2E4B4" w:rsidR="00FA0B5B" w:rsidRPr="00B96E75" w:rsidRDefault="00632F63" w:rsidP="004B1FCE">
      <w:pPr>
        <w:spacing w:after="0" w:line="240" w:lineRule="auto"/>
        <w:ind w:firstLine="567"/>
        <w:rPr>
          <w:rFonts w:eastAsia="SimSun"/>
          <w:color w:val="000000" w:themeColor="text1"/>
        </w:rPr>
      </w:pPr>
      <w:r w:rsidRPr="00B96E75">
        <w:rPr>
          <w:rFonts w:eastAsia="SimSun"/>
          <w:color w:val="000000" w:themeColor="text1"/>
        </w:rPr>
        <w:t>“10</w:t>
      </w:r>
      <w:r w:rsidRPr="00B96E75">
        <w:rPr>
          <w:rFonts w:eastAsia="SimSun"/>
          <w:color w:val="000000" w:themeColor="text1"/>
          <w:vertAlign w:val="superscript"/>
        </w:rPr>
        <w:t>1</w:t>
      </w:r>
      <w:r w:rsidRPr="00B96E75">
        <w:rPr>
          <w:rFonts w:eastAsia="SimSun"/>
          <w:color w:val="000000" w:themeColor="text1"/>
        </w:rPr>
        <w:t>.</w:t>
      </w:r>
      <w:r w:rsidR="009F2D2B" w:rsidRPr="00B96E75">
        <w:rPr>
          <w:rFonts w:eastAsia="SimSun"/>
          <w:color w:val="000000" w:themeColor="text1"/>
        </w:rPr>
        <w:t xml:space="preserve"> </w:t>
      </w:r>
      <w:r w:rsidR="008A48A6" w:rsidRPr="00B96E75">
        <w:rPr>
          <w:rFonts w:eastAsia="SimSun"/>
          <w:color w:val="000000" w:themeColor="text1"/>
        </w:rPr>
        <w:t xml:space="preserve">Національний банк </w:t>
      </w:r>
      <w:r w:rsidR="00E00C9F" w:rsidRPr="00B96E75">
        <w:rPr>
          <w:rFonts w:eastAsia="SimSun"/>
          <w:color w:val="000000" w:themeColor="text1"/>
        </w:rPr>
        <w:t xml:space="preserve">з </w:t>
      </w:r>
      <w:r w:rsidR="003A56B6">
        <w:rPr>
          <w:rFonts w:eastAsia="SimSun"/>
          <w:color w:val="000000" w:themeColor="text1"/>
        </w:rPr>
        <w:t>0</w:t>
      </w:r>
      <w:r w:rsidR="00E00C9F" w:rsidRPr="00B96E75">
        <w:rPr>
          <w:rFonts w:eastAsia="SimSun"/>
          <w:color w:val="000000" w:themeColor="text1"/>
        </w:rPr>
        <w:t xml:space="preserve">1 січня 2024 року </w:t>
      </w:r>
      <w:r w:rsidR="0034794F">
        <w:rPr>
          <w:rFonts w:eastAsia="SimSun"/>
          <w:color w:val="000000" w:themeColor="text1"/>
        </w:rPr>
        <w:t>надалі</w:t>
      </w:r>
      <w:r w:rsidR="0034794F" w:rsidRPr="00B96E75">
        <w:rPr>
          <w:rFonts w:eastAsia="SimSun"/>
          <w:color w:val="000000" w:themeColor="text1"/>
        </w:rPr>
        <w:t xml:space="preserve"> </w:t>
      </w:r>
      <w:r w:rsidR="00037AD1" w:rsidRPr="00B96E75">
        <w:rPr>
          <w:rFonts w:eastAsia="SimSun"/>
          <w:color w:val="000000" w:themeColor="text1"/>
        </w:rPr>
        <w:t>здійсню</w:t>
      </w:r>
      <w:r w:rsidR="0034794F">
        <w:rPr>
          <w:rFonts w:eastAsia="SimSun"/>
          <w:color w:val="000000" w:themeColor="text1"/>
        </w:rPr>
        <w:t>є</w:t>
      </w:r>
      <w:r w:rsidR="00037AD1" w:rsidRPr="00B96E75">
        <w:rPr>
          <w:rFonts w:eastAsia="SimSun"/>
          <w:color w:val="000000" w:themeColor="text1"/>
        </w:rPr>
        <w:t xml:space="preserve"> оцінку</w:t>
      </w:r>
      <w:r w:rsidR="008A48A6" w:rsidRPr="00B96E75">
        <w:rPr>
          <w:rFonts w:eastAsia="SimSun"/>
          <w:color w:val="000000" w:themeColor="text1"/>
        </w:rPr>
        <w:t xml:space="preserve"> фінансов</w:t>
      </w:r>
      <w:r w:rsidR="00037AD1" w:rsidRPr="00B96E75">
        <w:rPr>
          <w:rFonts w:eastAsia="SimSun"/>
          <w:color w:val="000000" w:themeColor="text1"/>
        </w:rPr>
        <w:t>ого</w:t>
      </w:r>
      <w:r w:rsidR="008A48A6" w:rsidRPr="00B96E75">
        <w:rPr>
          <w:rFonts w:eastAsia="SimSun"/>
          <w:color w:val="000000" w:themeColor="text1"/>
        </w:rPr>
        <w:t>/майнов</w:t>
      </w:r>
      <w:r w:rsidR="00037AD1" w:rsidRPr="00B96E75">
        <w:rPr>
          <w:rFonts w:eastAsia="SimSun"/>
          <w:color w:val="000000" w:themeColor="text1"/>
        </w:rPr>
        <w:t>ого</w:t>
      </w:r>
      <w:r w:rsidR="008A48A6" w:rsidRPr="00B96E75">
        <w:rPr>
          <w:rFonts w:eastAsia="SimSun"/>
          <w:color w:val="000000" w:themeColor="text1"/>
        </w:rPr>
        <w:t xml:space="preserve"> стан</w:t>
      </w:r>
      <w:r w:rsidR="00037AD1" w:rsidRPr="00B96E75">
        <w:rPr>
          <w:rFonts w:eastAsia="SimSun"/>
          <w:color w:val="000000" w:themeColor="text1"/>
        </w:rPr>
        <w:t>у</w:t>
      </w:r>
      <w:r w:rsidR="008A48A6" w:rsidRPr="00B96E75">
        <w:rPr>
          <w:rFonts w:eastAsia="SimSun"/>
          <w:color w:val="000000" w:themeColor="text1"/>
        </w:rPr>
        <w:t xml:space="preserve"> </w:t>
      </w:r>
      <w:r w:rsidR="00054EF9" w:rsidRPr="00B96E75">
        <w:rPr>
          <w:rFonts w:eastAsia="SimSun"/>
          <w:color w:val="000000" w:themeColor="text1"/>
        </w:rPr>
        <w:t>юридичних/фізичних</w:t>
      </w:r>
      <w:r w:rsidR="008A48A6" w:rsidRPr="00B96E75">
        <w:rPr>
          <w:rFonts w:eastAsia="SimSun"/>
          <w:color w:val="000000" w:themeColor="text1"/>
        </w:rPr>
        <w:t xml:space="preserve"> осіб, які є власниками істотної участі в небанківській фінансовій</w:t>
      </w:r>
      <w:r w:rsidR="001C60E8" w:rsidRPr="00B96E75">
        <w:rPr>
          <w:rFonts w:eastAsia="SimSun"/>
          <w:color w:val="000000" w:themeColor="text1"/>
        </w:rPr>
        <w:t xml:space="preserve"> </w:t>
      </w:r>
      <w:r w:rsidR="000F12BA" w:rsidRPr="00B96E75">
        <w:rPr>
          <w:rFonts w:eastAsia="SimSun"/>
          <w:color w:val="000000" w:themeColor="text1"/>
        </w:rPr>
        <w:t>установі</w:t>
      </w:r>
      <w:r w:rsidR="00683216" w:rsidRPr="00B96E75">
        <w:rPr>
          <w:rFonts w:eastAsia="SimSun"/>
          <w:color w:val="000000" w:themeColor="text1"/>
        </w:rPr>
        <w:t>,</w:t>
      </w:r>
      <w:r w:rsidR="000F12BA" w:rsidRPr="00B96E75">
        <w:rPr>
          <w:rFonts w:eastAsia="SimSun"/>
          <w:color w:val="000000" w:themeColor="text1"/>
        </w:rPr>
        <w:t xml:space="preserve"> </w:t>
      </w:r>
      <w:r w:rsidR="00C4446B">
        <w:rPr>
          <w:rFonts w:eastAsia="SimSun"/>
          <w:color w:val="000000" w:themeColor="text1"/>
        </w:rPr>
        <w:t xml:space="preserve">на підставі </w:t>
      </w:r>
      <w:r w:rsidR="003C5406" w:rsidRPr="00B96E75">
        <w:rPr>
          <w:rFonts w:eastAsia="SimSun"/>
          <w:color w:val="000000" w:themeColor="text1"/>
        </w:rPr>
        <w:t>інформаці</w:t>
      </w:r>
      <w:r w:rsidR="00741671">
        <w:rPr>
          <w:rFonts w:eastAsia="SimSun"/>
          <w:color w:val="000000" w:themeColor="text1"/>
        </w:rPr>
        <w:t>ї</w:t>
      </w:r>
      <w:r w:rsidR="003C5406" w:rsidRPr="00B96E75">
        <w:rPr>
          <w:rFonts w:eastAsia="SimSun"/>
          <w:color w:val="000000" w:themeColor="text1"/>
        </w:rPr>
        <w:t>/документ</w:t>
      </w:r>
      <w:r w:rsidR="00741671">
        <w:rPr>
          <w:rFonts w:eastAsia="SimSun"/>
          <w:color w:val="000000" w:themeColor="text1"/>
        </w:rPr>
        <w:t>ів</w:t>
      </w:r>
      <w:r w:rsidR="003C5406" w:rsidRPr="00B96E75">
        <w:rPr>
          <w:rFonts w:eastAsia="SimSun"/>
          <w:color w:val="000000" w:themeColor="text1"/>
        </w:rPr>
        <w:t>, визначен</w:t>
      </w:r>
      <w:r w:rsidR="00DE4D07">
        <w:rPr>
          <w:rFonts w:eastAsia="SimSun"/>
          <w:color w:val="000000" w:themeColor="text1"/>
        </w:rPr>
        <w:t>ої(</w:t>
      </w:r>
      <w:proofErr w:type="spellStart"/>
      <w:r w:rsidR="003C5406" w:rsidRPr="00B96E75">
        <w:rPr>
          <w:rFonts w:eastAsia="SimSun"/>
          <w:color w:val="000000" w:themeColor="text1"/>
        </w:rPr>
        <w:t>и</w:t>
      </w:r>
      <w:r w:rsidR="00741671">
        <w:rPr>
          <w:rFonts w:eastAsia="SimSun"/>
          <w:color w:val="000000" w:themeColor="text1"/>
        </w:rPr>
        <w:t>х</w:t>
      </w:r>
      <w:proofErr w:type="spellEnd"/>
      <w:r w:rsidR="00DE4D07">
        <w:rPr>
          <w:rFonts w:eastAsia="SimSun"/>
          <w:color w:val="000000" w:themeColor="text1"/>
        </w:rPr>
        <w:t>)</w:t>
      </w:r>
      <w:r w:rsidR="003C5406" w:rsidRPr="00B96E75">
        <w:rPr>
          <w:rFonts w:eastAsia="SimSun"/>
          <w:color w:val="000000" w:themeColor="text1"/>
        </w:rPr>
        <w:t xml:space="preserve"> у пункті 1 цієї постанови</w:t>
      </w:r>
      <w:r w:rsidR="001C60E8" w:rsidRPr="00B96E75">
        <w:rPr>
          <w:rFonts w:eastAsia="SimSun"/>
          <w:color w:val="000000" w:themeColor="text1"/>
        </w:rPr>
        <w:t xml:space="preserve">, з урахуванням </w:t>
      </w:r>
      <w:r w:rsidR="003941EB" w:rsidRPr="00B96E75">
        <w:rPr>
          <w:rFonts w:eastAsia="SimSun"/>
          <w:color w:val="000000" w:themeColor="text1"/>
        </w:rPr>
        <w:t>вимог</w:t>
      </w:r>
      <w:r w:rsidR="001C60E8" w:rsidRPr="00B96E75">
        <w:rPr>
          <w:rFonts w:eastAsia="SimSun"/>
          <w:color w:val="000000" w:themeColor="text1"/>
        </w:rPr>
        <w:t xml:space="preserve"> </w:t>
      </w:r>
      <w:r w:rsidR="00E00C9F" w:rsidRPr="00B96E75">
        <w:rPr>
          <w:rFonts w:eastAsia="SimSun"/>
          <w:color w:val="000000" w:themeColor="text1"/>
        </w:rPr>
        <w:t>Положення про авторизацію</w:t>
      </w:r>
      <w:r w:rsidR="001C60E8" w:rsidRPr="00B96E75">
        <w:rPr>
          <w:rFonts w:eastAsia="SimSun"/>
          <w:color w:val="000000" w:themeColor="text1"/>
        </w:rPr>
        <w:t>.</w:t>
      </w:r>
    </w:p>
    <w:p w14:paraId="53CCE96E" w14:textId="77777777" w:rsidR="00FA0B5B" w:rsidRPr="00B96E75" w:rsidRDefault="00FA0B5B" w:rsidP="004B1FCE">
      <w:pPr>
        <w:spacing w:after="0" w:line="240" w:lineRule="auto"/>
        <w:ind w:firstLine="567"/>
        <w:rPr>
          <w:rFonts w:eastAsia="SimSun"/>
          <w:color w:val="000000" w:themeColor="text1"/>
        </w:rPr>
      </w:pPr>
    </w:p>
    <w:p w14:paraId="79C8B7E1" w14:textId="298A3E2F" w:rsidR="000E325B" w:rsidRDefault="00A931F0" w:rsidP="007968E8">
      <w:pPr>
        <w:spacing w:after="0" w:line="240" w:lineRule="auto"/>
        <w:ind w:firstLine="567"/>
        <w:rPr>
          <w:rFonts w:eastAsia="SimSun"/>
          <w:color w:val="000000" w:themeColor="text1"/>
        </w:rPr>
      </w:pPr>
      <w:r w:rsidRPr="00B96E75">
        <w:rPr>
          <w:rFonts w:eastAsia="SimSun"/>
          <w:color w:val="000000" w:themeColor="text1"/>
        </w:rPr>
        <w:t>10</w:t>
      </w:r>
      <w:r w:rsidRPr="00B96E75">
        <w:rPr>
          <w:rFonts w:eastAsia="SimSun"/>
          <w:color w:val="000000" w:themeColor="text1"/>
          <w:vertAlign w:val="superscript"/>
        </w:rPr>
        <w:t>2</w:t>
      </w:r>
      <w:r w:rsidR="00FA0B5B" w:rsidRPr="00B96E75">
        <w:rPr>
          <w:rFonts w:eastAsia="SimSun"/>
          <w:color w:val="000000" w:themeColor="text1"/>
        </w:rPr>
        <w:t xml:space="preserve">. </w:t>
      </w:r>
      <w:r w:rsidR="00B27B1A" w:rsidRPr="00B96E75">
        <w:rPr>
          <w:rFonts w:eastAsia="SimSun"/>
          <w:color w:val="000000" w:themeColor="text1"/>
        </w:rPr>
        <w:t xml:space="preserve">Небанківські фінансові установи </w:t>
      </w:r>
      <w:r w:rsidR="000E325B" w:rsidRPr="00B96E75">
        <w:rPr>
          <w:rFonts w:eastAsia="SimSun"/>
          <w:color w:val="000000" w:themeColor="text1"/>
        </w:rPr>
        <w:t xml:space="preserve">відповідно до рішення Національного банку про застосування заходу впливу/письмової вимоги Національного банку, прийнятого/надісланої </w:t>
      </w:r>
      <w:r w:rsidR="000E325B" w:rsidRPr="00B96E75">
        <w:t xml:space="preserve">у зв’язку з неподанням до Національного банку </w:t>
      </w:r>
      <w:r w:rsidR="00741671">
        <w:t>в</w:t>
      </w:r>
      <w:r w:rsidR="009D755C" w:rsidRPr="00B96E75">
        <w:t xml:space="preserve"> строки, визначені в пункті </w:t>
      </w:r>
      <w:r w:rsidR="000E325B" w:rsidRPr="00B96E75">
        <w:t>1</w:t>
      </w:r>
      <w:r w:rsidR="000E325B" w:rsidRPr="00B96E75">
        <w:rPr>
          <w:vertAlign w:val="superscript"/>
        </w:rPr>
        <w:t>1</w:t>
      </w:r>
      <w:r w:rsidR="009D755C" w:rsidRPr="00B96E75">
        <w:t xml:space="preserve"> </w:t>
      </w:r>
      <w:r w:rsidR="000E325B" w:rsidRPr="00B96E75">
        <w:t>цієї постанови</w:t>
      </w:r>
      <w:r w:rsidR="00B92576">
        <w:t>,</w:t>
      </w:r>
      <w:r w:rsidR="000E325B" w:rsidRPr="00B96E75">
        <w:t xml:space="preserve"> інформації/документів </w:t>
      </w:r>
      <w:r w:rsidR="000E325B" w:rsidRPr="00B96E75">
        <w:rPr>
          <w:bCs/>
          <w:color w:val="000000"/>
        </w:rPr>
        <w:t xml:space="preserve">для оцінки фінансового/майнового стану прямих </w:t>
      </w:r>
      <w:r w:rsidR="00EA4F4A" w:rsidRPr="00B96E75">
        <w:rPr>
          <w:bCs/>
          <w:color w:val="000000"/>
        </w:rPr>
        <w:t xml:space="preserve">та/або </w:t>
      </w:r>
      <w:r w:rsidR="000E325B" w:rsidRPr="00B96E75">
        <w:rPr>
          <w:bCs/>
          <w:color w:val="000000"/>
        </w:rPr>
        <w:t>кінцевих власників істотної участі в небанківській фінансовій установі,</w:t>
      </w:r>
      <w:r w:rsidR="00741671">
        <w:rPr>
          <w:rFonts w:eastAsia="SimSun"/>
        </w:rPr>
        <w:t xml:space="preserve"> повинні</w:t>
      </w:r>
      <w:r w:rsidR="000E325B" w:rsidRPr="00B96E75">
        <w:rPr>
          <w:rFonts w:eastAsia="SimSun"/>
        </w:rPr>
        <w:t xml:space="preserve"> після набрання чинності цією постановою </w:t>
      </w:r>
      <w:r w:rsidR="000E325B" w:rsidRPr="00B96E75">
        <w:rPr>
          <w:bCs/>
        </w:rPr>
        <w:t>подати</w:t>
      </w:r>
      <w:r w:rsidR="00FA0B5B" w:rsidRPr="00B96E75">
        <w:rPr>
          <w:rFonts w:eastAsia="SimSun"/>
          <w:color w:val="000000" w:themeColor="text1"/>
        </w:rPr>
        <w:t xml:space="preserve"> </w:t>
      </w:r>
      <w:r w:rsidR="002604EF">
        <w:rPr>
          <w:rFonts w:eastAsia="SimSun"/>
          <w:color w:val="000000" w:themeColor="text1"/>
        </w:rPr>
        <w:t>в</w:t>
      </w:r>
      <w:r w:rsidR="00267D4E" w:rsidRPr="00B96E75">
        <w:rPr>
          <w:rFonts w:eastAsia="SimSun"/>
          <w:color w:val="000000" w:themeColor="text1"/>
        </w:rPr>
        <w:t xml:space="preserve"> строки, визначені </w:t>
      </w:r>
      <w:r w:rsidR="000E325B" w:rsidRPr="00B96E75">
        <w:rPr>
          <w:rFonts w:eastAsia="SimSun"/>
          <w:color w:val="000000" w:themeColor="text1"/>
        </w:rPr>
        <w:t xml:space="preserve">таким рішенням/письмовою вимогою </w:t>
      </w:r>
      <w:r w:rsidR="00FA03ED" w:rsidRPr="00B96E75">
        <w:rPr>
          <w:rFonts w:eastAsia="SimSun"/>
          <w:color w:val="000000" w:themeColor="text1"/>
        </w:rPr>
        <w:t>Національного банку</w:t>
      </w:r>
      <w:r w:rsidR="000E325B" w:rsidRPr="00B96E75">
        <w:rPr>
          <w:rFonts w:eastAsia="SimSun"/>
          <w:color w:val="000000" w:themeColor="text1"/>
        </w:rPr>
        <w:t>,</w:t>
      </w:r>
      <w:r w:rsidR="00FA03ED" w:rsidRPr="00B96E75">
        <w:rPr>
          <w:rFonts w:eastAsia="SimSun"/>
          <w:color w:val="000000" w:themeColor="text1"/>
        </w:rPr>
        <w:t xml:space="preserve"> </w:t>
      </w:r>
      <w:r w:rsidR="00267D4E" w:rsidRPr="00B96E75">
        <w:rPr>
          <w:rFonts w:eastAsia="SimSun"/>
          <w:color w:val="000000" w:themeColor="text1"/>
        </w:rPr>
        <w:t>такі документи:</w:t>
      </w:r>
    </w:p>
    <w:p w14:paraId="1BFADB4B" w14:textId="77777777" w:rsidR="00CF19AA" w:rsidRPr="00B96E75" w:rsidRDefault="00CF19AA" w:rsidP="00CF19AA">
      <w:pPr>
        <w:spacing w:after="0" w:line="240" w:lineRule="auto"/>
        <w:ind w:firstLine="567"/>
        <w:rPr>
          <w:rFonts w:eastAsia="SimSun"/>
          <w:color w:val="000000" w:themeColor="text1"/>
        </w:rPr>
      </w:pPr>
    </w:p>
    <w:p w14:paraId="016E9CC4" w14:textId="6C15C462" w:rsidR="008A48A6" w:rsidRDefault="00267D4E" w:rsidP="007968E8">
      <w:pPr>
        <w:spacing w:after="0" w:line="240" w:lineRule="auto"/>
        <w:ind w:firstLine="567"/>
        <w:rPr>
          <w:rFonts w:eastAsia="SimSun"/>
          <w:color w:val="000000" w:themeColor="text1"/>
        </w:rPr>
      </w:pPr>
      <w:r w:rsidRPr="00B96E75">
        <w:rPr>
          <w:rFonts w:eastAsia="SimSun"/>
          <w:color w:val="000000" w:themeColor="text1"/>
        </w:rPr>
        <w:t>1) письмове запевнення в довільній формі про відповідність прямих та</w:t>
      </w:r>
      <w:r w:rsidR="00690CED" w:rsidRPr="00B96E75">
        <w:rPr>
          <w:rFonts w:eastAsia="SimSun"/>
          <w:color w:val="000000" w:themeColor="text1"/>
        </w:rPr>
        <w:t>/або</w:t>
      </w:r>
      <w:r w:rsidRPr="00B96E75">
        <w:rPr>
          <w:rFonts w:eastAsia="SimSun"/>
          <w:color w:val="000000" w:themeColor="text1"/>
        </w:rPr>
        <w:t xml:space="preserve"> кінцевих власників істотної участі в небанківській фінансовій установі</w:t>
      </w:r>
      <w:r w:rsidR="00BA69B1" w:rsidRPr="00B96E75">
        <w:rPr>
          <w:rFonts w:eastAsia="SimSun"/>
          <w:color w:val="000000" w:themeColor="text1"/>
        </w:rPr>
        <w:t xml:space="preserve"> </w:t>
      </w:r>
      <w:r w:rsidRPr="00B96E75">
        <w:rPr>
          <w:rFonts w:eastAsia="SimSun"/>
          <w:color w:val="000000" w:themeColor="text1"/>
        </w:rPr>
        <w:t xml:space="preserve">вимогам щодо фінансового/майнового стану, установленим у </w:t>
      </w:r>
      <w:r w:rsidR="003421FE" w:rsidRPr="00B96E75">
        <w:rPr>
          <w:rFonts w:eastAsia="SimSun"/>
          <w:color w:val="000000" w:themeColor="text1"/>
        </w:rPr>
        <w:t>підпункт</w:t>
      </w:r>
      <w:r w:rsidR="006F69DF" w:rsidRPr="00B96E75">
        <w:rPr>
          <w:rFonts w:eastAsia="SimSun"/>
          <w:color w:val="000000" w:themeColor="text1"/>
        </w:rPr>
        <w:t>ах</w:t>
      </w:r>
      <w:r w:rsidR="003421FE" w:rsidRPr="00B96E75">
        <w:rPr>
          <w:rFonts w:eastAsia="SimSun"/>
          <w:color w:val="000000" w:themeColor="text1"/>
        </w:rPr>
        <w:t xml:space="preserve"> </w:t>
      </w:r>
      <w:r w:rsidRPr="00B96E75">
        <w:rPr>
          <w:rFonts w:eastAsia="SimSun"/>
          <w:color w:val="000000" w:themeColor="text1"/>
        </w:rPr>
        <w:t>2, 3 пункт</w:t>
      </w:r>
      <w:r w:rsidR="00B60CE6" w:rsidRPr="00B96E75">
        <w:rPr>
          <w:rFonts w:eastAsia="SimSun"/>
          <w:color w:val="000000" w:themeColor="text1"/>
        </w:rPr>
        <w:t>у</w:t>
      </w:r>
      <w:r w:rsidRPr="00B96E75">
        <w:rPr>
          <w:rFonts w:eastAsia="SimSun"/>
          <w:color w:val="000000" w:themeColor="text1"/>
        </w:rPr>
        <w:t xml:space="preserve"> 5, </w:t>
      </w:r>
      <w:r w:rsidR="003421FE" w:rsidRPr="00B96E75">
        <w:rPr>
          <w:rFonts w:eastAsia="SimSun"/>
          <w:color w:val="000000" w:themeColor="text1"/>
        </w:rPr>
        <w:t xml:space="preserve">підпунктах 2, 3 пункту </w:t>
      </w:r>
      <w:r w:rsidR="00B60CE6" w:rsidRPr="00B96E75">
        <w:rPr>
          <w:rFonts w:eastAsia="SimSun"/>
          <w:color w:val="000000" w:themeColor="text1"/>
        </w:rPr>
        <w:t xml:space="preserve">6 та </w:t>
      </w:r>
      <w:r w:rsidRPr="00B96E75">
        <w:rPr>
          <w:rFonts w:eastAsia="SimSun"/>
          <w:color w:val="000000" w:themeColor="text1"/>
        </w:rPr>
        <w:t>пункт</w:t>
      </w:r>
      <w:r w:rsidR="00E77CFB" w:rsidRPr="00B96E75">
        <w:rPr>
          <w:rFonts w:eastAsia="SimSun"/>
          <w:color w:val="000000" w:themeColor="text1"/>
        </w:rPr>
        <w:t>ах</w:t>
      </w:r>
      <w:r w:rsidRPr="00B96E75">
        <w:rPr>
          <w:rFonts w:eastAsia="SimSun"/>
          <w:color w:val="000000" w:themeColor="text1"/>
        </w:rPr>
        <w:t xml:space="preserve"> </w:t>
      </w:r>
      <w:r w:rsidR="009D7A6A" w:rsidRPr="00B96E75">
        <w:rPr>
          <w:rFonts w:eastAsia="SimSun"/>
          <w:color w:val="000000" w:themeColor="text1"/>
        </w:rPr>
        <w:t>10</w:t>
      </w:r>
      <w:r w:rsidRPr="00B96E75">
        <w:rPr>
          <w:rFonts w:eastAsia="SimSun"/>
          <w:color w:val="000000" w:themeColor="text1"/>
          <w:vertAlign w:val="superscript"/>
        </w:rPr>
        <w:t>5</w:t>
      </w:r>
      <w:r w:rsidRPr="00B96E75">
        <w:rPr>
          <w:rFonts w:eastAsia="SimSun"/>
          <w:color w:val="000000" w:themeColor="text1"/>
        </w:rPr>
        <w:t xml:space="preserve">, </w:t>
      </w:r>
      <w:r w:rsidR="009D7A6A" w:rsidRPr="00B96E75">
        <w:rPr>
          <w:rFonts w:eastAsia="SimSun"/>
          <w:color w:val="000000" w:themeColor="text1"/>
        </w:rPr>
        <w:t>10</w:t>
      </w:r>
      <w:r w:rsidRPr="00B96E75">
        <w:rPr>
          <w:rFonts w:eastAsia="SimSun"/>
          <w:color w:val="000000" w:themeColor="text1"/>
          <w:vertAlign w:val="superscript"/>
        </w:rPr>
        <w:t>6</w:t>
      </w:r>
      <w:r w:rsidRPr="00B96E75">
        <w:rPr>
          <w:rFonts w:eastAsia="SimSun"/>
          <w:color w:val="000000" w:themeColor="text1"/>
        </w:rPr>
        <w:t xml:space="preserve"> цієї постанови;</w:t>
      </w:r>
      <w:r w:rsidR="00CF19AA">
        <w:rPr>
          <w:rFonts w:eastAsia="SimSun"/>
          <w:color w:val="000000" w:themeColor="text1"/>
        </w:rPr>
        <w:t xml:space="preserve"> </w:t>
      </w:r>
    </w:p>
    <w:p w14:paraId="1A1BE1A2" w14:textId="77777777" w:rsidR="00CF19AA" w:rsidRPr="00B96E75" w:rsidRDefault="00CF19AA" w:rsidP="00CF19AA">
      <w:pPr>
        <w:spacing w:after="0" w:line="240" w:lineRule="auto"/>
        <w:ind w:firstLine="567"/>
        <w:rPr>
          <w:rFonts w:eastAsia="SimSun"/>
          <w:color w:val="000000" w:themeColor="text1"/>
        </w:rPr>
      </w:pPr>
    </w:p>
    <w:p w14:paraId="67F587AC" w14:textId="7A6AE140" w:rsidR="00034EDA" w:rsidRPr="00B96E75" w:rsidRDefault="00034EDA" w:rsidP="007968E8">
      <w:pPr>
        <w:spacing w:after="0" w:line="240" w:lineRule="auto"/>
        <w:ind w:firstLine="567"/>
        <w:rPr>
          <w:rFonts w:eastAsia="SimSun"/>
          <w:color w:val="000000" w:themeColor="text1"/>
        </w:rPr>
      </w:pPr>
      <w:r w:rsidRPr="00B96E75">
        <w:rPr>
          <w:color w:val="333333"/>
          <w:shd w:val="clear" w:color="auto" w:fill="FFFFFF"/>
        </w:rPr>
        <w:t xml:space="preserve">2) </w:t>
      </w:r>
      <w:r w:rsidR="00A2299C" w:rsidRPr="00B96E75">
        <w:rPr>
          <w:color w:val="000000" w:themeColor="text1"/>
        </w:rPr>
        <w:t>документи згідно з </w:t>
      </w:r>
      <w:r w:rsidR="00073D25" w:rsidRPr="00B96E75">
        <w:rPr>
          <w:color w:val="000000" w:themeColor="text1"/>
        </w:rPr>
        <w:t xml:space="preserve">главами 39, 41 </w:t>
      </w:r>
      <w:r w:rsidR="00A2299C" w:rsidRPr="00B96E75">
        <w:rPr>
          <w:color w:val="000000" w:themeColor="text1"/>
        </w:rPr>
        <w:t xml:space="preserve">розділу V Положення про авторизацію для оцінки фінансового/майнового стану прямих </w:t>
      </w:r>
      <w:r w:rsidR="00BE7B35" w:rsidRPr="00B96E75">
        <w:rPr>
          <w:color w:val="000000" w:themeColor="text1"/>
        </w:rPr>
        <w:t>та</w:t>
      </w:r>
      <w:r w:rsidR="00BE7B35" w:rsidRPr="00B96E75">
        <w:rPr>
          <w:color w:val="000000" w:themeColor="text1"/>
          <w:lang w:val="ru-RU"/>
        </w:rPr>
        <w:t>/</w:t>
      </w:r>
      <w:r w:rsidR="00BE7B35" w:rsidRPr="00B96E75">
        <w:rPr>
          <w:color w:val="000000" w:themeColor="text1"/>
        </w:rPr>
        <w:t>або</w:t>
      </w:r>
      <w:r w:rsidR="00A2299C" w:rsidRPr="00B96E75">
        <w:rPr>
          <w:color w:val="000000" w:themeColor="text1"/>
        </w:rPr>
        <w:t xml:space="preserve"> кінцевих власників істотної участі в</w:t>
      </w:r>
      <w:r w:rsidR="00F26E27" w:rsidRPr="00B96E75">
        <w:rPr>
          <w:color w:val="000000" w:themeColor="text1"/>
        </w:rPr>
        <w:t xml:space="preserve"> </w:t>
      </w:r>
      <w:r w:rsidR="00F26E27" w:rsidRPr="00B96E75">
        <w:rPr>
          <w:rFonts w:eastAsia="SimSun"/>
          <w:color w:val="000000" w:themeColor="text1"/>
        </w:rPr>
        <w:t>небанківській фінансовій установі</w:t>
      </w:r>
      <w:r w:rsidR="000F1A93">
        <w:rPr>
          <w:rFonts w:eastAsia="SimSun"/>
          <w:color w:val="000000" w:themeColor="text1"/>
        </w:rPr>
        <w:t>,</w:t>
      </w:r>
      <w:r w:rsidR="006F69DF" w:rsidRPr="00B96E75">
        <w:rPr>
          <w:rFonts w:eastAsia="SimSun"/>
          <w:color w:val="000000" w:themeColor="text1"/>
        </w:rPr>
        <w:t xml:space="preserve"> </w:t>
      </w:r>
      <w:r w:rsidR="00815F91" w:rsidRPr="00B96E75">
        <w:rPr>
          <w:rFonts w:eastAsia="SimSun"/>
          <w:color w:val="000000" w:themeColor="text1"/>
        </w:rPr>
        <w:t xml:space="preserve">стосовно яких подано </w:t>
      </w:r>
      <w:r w:rsidR="00815F91" w:rsidRPr="00B96E75">
        <w:rPr>
          <w:rFonts w:eastAsia="SimSun"/>
          <w:color w:val="000000" w:themeColor="text1"/>
        </w:rPr>
        <w:lastRenderedPageBreak/>
        <w:t xml:space="preserve">письмове запевнення, </w:t>
      </w:r>
      <w:r w:rsidR="000F1A93">
        <w:rPr>
          <w:rFonts w:eastAsia="SimSun"/>
          <w:color w:val="000000" w:themeColor="text1"/>
        </w:rPr>
        <w:t xml:space="preserve">визначене в </w:t>
      </w:r>
      <w:r w:rsidR="00815F91" w:rsidRPr="00B96E75">
        <w:rPr>
          <w:rFonts w:eastAsia="SimSun"/>
          <w:color w:val="000000" w:themeColor="text1"/>
        </w:rPr>
        <w:t>підпункті 1 пункту 10</w:t>
      </w:r>
      <w:r w:rsidR="00815F91" w:rsidRPr="00B96E75">
        <w:rPr>
          <w:rFonts w:eastAsia="SimSun"/>
          <w:color w:val="000000" w:themeColor="text1"/>
          <w:vertAlign w:val="superscript"/>
        </w:rPr>
        <w:t>2</w:t>
      </w:r>
      <w:r w:rsidR="00815F91" w:rsidRPr="00B96E75">
        <w:rPr>
          <w:rFonts w:eastAsia="SimSun"/>
          <w:color w:val="000000" w:themeColor="text1"/>
        </w:rPr>
        <w:t xml:space="preserve"> цієї постанови</w:t>
      </w:r>
      <w:r w:rsidR="000F1A93">
        <w:rPr>
          <w:rFonts w:eastAsia="SimSun"/>
          <w:color w:val="000000" w:themeColor="text1"/>
        </w:rPr>
        <w:t>,</w:t>
      </w:r>
      <w:r w:rsidR="00815F91" w:rsidRPr="00B96E75">
        <w:rPr>
          <w:rFonts w:eastAsia="SimSun"/>
          <w:color w:val="000000" w:themeColor="text1"/>
        </w:rPr>
        <w:t xml:space="preserve"> </w:t>
      </w:r>
      <w:r w:rsidR="006F69DF" w:rsidRPr="00B96E75">
        <w:rPr>
          <w:rFonts w:eastAsia="SimSun"/>
          <w:color w:val="000000" w:themeColor="text1"/>
        </w:rPr>
        <w:t xml:space="preserve">станом на дату подання </w:t>
      </w:r>
      <w:r w:rsidR="00372746" w:rsidRPr="00B96E75">
        <w:rPr>
          <w:rFonts w:eastAsia="SimSun"/>
          <w:color w:val="000000" w:themeColor="text1"/>
        </w:rPr>
        <w:t xml:space="preserve">такого </w:t>
      </w:r>
      <w:r w:rsidR="006F69DF" w:rsidRPr="00B96E75">
        <w:rPr>
          <w:rFonts w:eastAsia="SimSun"/>
          <w:color w:val="000000" w:themeColor="text1"/>
        </w:rPr>
        <w:t>запевнення</w:t>
      </w:r>
      <w:r w:rsidR="00F26E27" w:rsidRPr="00B96E75">
        <w:rPr>
          <w:rFonts w:eastAsia="SimSun"/>
          <w:color w:val="000000" w:themeColor="text1"/>
        </w:rPr>
        <w:t>.</w:t>
      </w:r>
    </w:p>
    <w:p w14:paraId="0B80A9A1" w14:textId="77777777" w:rsidR="00006E8F" w:rsidRPr="00B96E75" w:rsidRDefault="00006E8F" w:rsidP="007968E8">
      <w:pPr>
        <w:spacing w:after="0" w:line="240" w:lineRule="auto"/>
        <w:ind w:firstLine="567"/>
        <w:rPr>
          <w:rFonts w:eastAsia="SimSun"/>
          <w:color w:val="000000" w:themeColor="text1"/>
          <w:highlight w:val="yellow"/>
        </w:rPr>
      </w:pPr>
    </w:p>
    <w:p w14:paraId="61F82F39" w14:textId="15CC06BA" w:rsidR="00006E8F" w:rsidRDefault="00A931F0" w:rsidP="007968E8">
      <w:pPr>
        <w:spacing w:after="0" w:line="240" w:lineRule="auto"/>
        <w:ind w:firstLine="567"/>
        <w:rPr>
          <w:color w:val="000000" w:themeColor="text1"/>
        </w:rPr>
      </w:pPr>
      <w:r w:rsidRPr="00B96E75">
        <w:rPr>
          <w:color w:val="000000" w:themeColor="text1"/>
          <w:shd w:val="clear" w:color="auto" w:fill="FFFFFF"/>
        </w:rPr>
        <w:t>10</w:t>
      </w:r>
      <w:r w:rsidR="00006E8F" w:rsidRPr="00B96E75">
        <w:rPr>
          <w:color w:val="000000" w:themeColor="text1"/>
          <w:shd w:val="clear" w:color="auto" w:fill="FFFFFF"/>
          <w:vertAlign w:val="superscript"/>
        </w:rPr>
        <w:t>3</w:t>
      </w:r>
      <w:r w:rsidR="00006E8F" w:rsidRPr="00B96E75">
        <w:rPr>
          <w:color w:val="000000" w:themeColor="text1"/>
          <w:shd w:val="clear" w:color="auto" w:fill="FFFFFF"/>
        </w:rPr>
        <w:t xml:space="preserve">. </w:t>
      </w:r>
      <w:r w:rsidR="005B3DB6" w:rsidRPr="00B96E75">
        <w:rPr>
          <w:color w:val="000000" w:themeColor="text1"/>
          <w:shd w:val="clear" w:color="auto" w:fill="FFFFFF"/>
        </w:rPr>
        <w:t>Небанківські фінансові установи (</w:t>
      </w:r>
      <w:r w:rsidR="005B3DB6" w:rsidRPr="00B96E75">
        <w:rPr>
          <w:rFonts w:eastAsia="SimSun"/>
          <w:color w:val="000000" w:themeColor="text1"/>
        </w:rPr>
        <w:t>крім кредитних спілок та осіб, визначених у</w:t>
      </w:r>
      <w:r w:rsidR="005B3DB6" w:rsidRPr="00B96E75" w:rsidDel="005B3DB6">
        <w:rPr>
          <w:rFonts w:eastAsia="SimSun"/>
          <w:color w:val="000000" w:themeColor="text1"/>
        </w:rPr>
        <w:t xml:space="preserve"> </w:t>
      </w:r>
      <w:r w:rsidR="005B3DB6" w:rsidRPr="00B96E75">
        <w:rPr>
          <w:rFonts w:eastAsia="SimSun"/>
          <w:color w:val="000000" w:themeColor="text1"/>
        </w:rPr>
        <w:t>пунктах 8, 10 та 12 Постанови № 217</w:t>
      </w:r>
      <w:r w:rsidR="005B3DB6" w:rsidRPr="00B96E75">
        <w:rPr>
          <w:color w:val="000000" w:themeColor="text1"/>
          <w:shd w:val="clear" w:color="auto" w:fill="FFFFFF"/>
        </w:rPr>
        <w:t>) щодо о</w:t>
      </w:r>
      <w:r w:rsidR="00006E8F" w:rsidRPr="00B96E75">
        <w:rPr>
          <w:color w:val="000000" w:themeColor="text1"/>
          <w:shd w:val="clear" w:color="auto" w:fill="FFFFFF"/>
        </w:rPr>
        <w:t>с</w:t>
      </w:r>
      <w:r w:rsidR="005B3DB6" w:rsidRPr="00B96E75">
        <w:rPr>
          <w:color w:val="000000" w:themeColor="text1"/>
          <w:shd w:val="clear" w:color="auto" w:fill="FFFFFF"/>
        </w:rPr>
        <w:t>іб</w:t>
      </w:r>
      <w:r w:rsidR="00006E8F" w:rsidRPr="00B96E75">
        <w:rPr>
          <w:color w:val="000000" w:themeColor="text1"/>
          <w:shd w:val="clear" w:color="auto" w:fill="FFFFFF"/>
        </w:rPr>
        <w:t>, зазначен</w:t>
      </w:r>
      <w:r w:rsidR="005B3DB6" w:rsidRPr="00B96E75">
        <w:rPr>
          <w:color w:val="000000" w:themeColor="text1"/>
          <w:shd w:val="clear" w:color="auto" w:fill="FFFFFF"/>
        </w:rPr>
        <w:t>их</w:t>
      </w:r>
      <w:r w:rsidR="00006E8F" w:rsidRPr="00B96E75">
        <w:rPr>
          <w:color w:val="000000" w:themeColor="text1"/>
          <w:shd w:val="clear" w:color="auto" w:fill="FFFFFF"/>
        </w:rPr>
        <w:t xml:space="preserve"> в пункті 7</w:t>
      </w:r>
      <w:r w:rsidR="00006E8F" w:rsidRPr="00B96E75">
        <w:rPr>
          <w:color w:val="000000" w:themeColor="text1"/>
          <w:shd w:val="clear" w:color="auto" w:fill="FFFFFF"/>
          <w:vertAlign w:val="superscript"/>
        </w:rPr>
        <w:t>1</w:t>
      </w:r>
      <w:r w:rsidR="00E77CFB" w:rsidRPr="00B96E75">
        <w:rPr>
          <w:color w:val="000000" w:themeColor="text1"/>
          <w:shd w:val="clear" w:color="auto" w:fill="FFFFFF"/>
        </w:rPr>
        <w:t xml:space="preserve"> </w:t>
      </w:r>
      <w:r w:rsidR="00C44FD8" w:rsidRPr="00B96E75">
        <w:rPr>
          <w:color w:val="000000" w:themeColor="text1"/>
          <w:shd w:val="clear" w:color="auto" w:fill="FFFFFF"/>
        </w:rPr>
        <w:t>цієї постанови</w:t>
      </w:r>
      <w:r w:rsidR="00006E8F" w:rsidRPr="00B96E75">
        <w:rPr>
          <w:color w:val="000000" w:themeColor="text1"/>
          <w:shd w:val="clear" w:color="auto" w:fill="FFFFFF"/>
        </w:rPr>
        <w:t xml:space="preserve">, подають </w:t>
      </w:r>
      <w:r w:rsidR="0092205B" w:rsidRPr="00B96E75">
        <w:rPr>
          <w:color w:val="000000" w:themeColor="text1"/>
          <w:shd w:val="clear" w:color="auto" w:fill="FFFFFF"/>
        </w:rPr>
        <w:t xml:space="preserve">такі </w:t>
      </w:r>
      <w:r w:rsidR="00006E8F" w:rsidRPr="00B96E75">
        <w:rPr>
          <w:color w:val="000000" w:themeColor="text1"/>
          <w:shd w:val="clear" w:color="auto" w:fill="FFFFFF"/>
        </w:rPr>
        <w:t xml:space="preserve">документи </w:t>
      </w:r>
      <w:r w:rsidR="0092205B" w:rsidRPr="00B96E75">
        <w:rPr>
          <w:color w:val="000000" w:themeColor="text1"/>
        </w:rPr>
        <w:t xml:space="preserve">для </w:t>
      </w:r>
      <w:r w:rsidR="00006E8F" w:rsidRPr="00B96E75">
        <w:rPr>
          <w:color w:val="000000" w:themeColor="text1"/>
        </w:rPr>
        <w:t xml:space="preserve">оцінки </w:t>
      </w:r>
      <w:r w:rsidR="00006E8F" w:rsidRPr="00B96E75">
        <w:rPr>
          <w:rFonts w:eastAsia="SimSun"/>
          <w:color w:val="000000" w:themeColor="text1"/>
        </w:rPr>
        <w:t>фінансового/майнового стану юридичних/фізичних осіб</w:t>
      </w:r>
      <w:r w:rsidR="0092205B" w:rsidRPr="00B96E75">
        <w:rPr>
          <w:rFonts w:eastAsia="SimSun"/>
          <w:color w:val="000000" w:themeColor="text1"/>
        </w:rPr>
        <w:t>:</w:t>
      </w:r>
      <w:r w:rsidR="00006E8F" w:rsidRPr="00B96E75">
        <w:rPr>
          <w:color w:val="000000" w:themeColor="text1"/>
        </w:rPr>
        <w:t xml:space="preserve"> </w:t>
      </w:r>
    </w:p>
    <w:p w14:paraId="4F2AB98D" w14:textId="77777777" w:rsidR="00353BC8" w:rsidRPr="00B96E75" w:rsidRDefault="00353BC8" w:rsidP="00353BC8">
      <w:pPr>
        <w:spacing w:after="0" w:line="240" w:lineRule="auto"/>
        <w:ind w:firstLine="567"/>
        <w:rPr>
          <w:color w:val="000000" w:themeColor="text1"/>
        </w:rPr>
      </w:pPr>
    </w:p>
    <w:p w14:paraId="0A85151A" w14:textId="3FAD72AF" w:rsidR="00E77CFB" w:rsidRDefault="00F12CCC" w:rsidP="007968E8">
      <w:pPr>
        <w:spacing w:after="0" w:line="240" w:lineRule="auto"/>
        <w:ind w:firstLine="567"/>
        <w:rPr>
          <w:color w:val="333333"/>
          <w:shd w:val="clear" w:color="auto" w:fill="FFFFFF"/>
        </w:rPr>
      </w:pPr>
      <w:r w:rsidRPr="00B96E75">
        <w:rPr>
          <w:color w:val="000000" w:themeColor="text1"/>
          <w:shd w:val="clear" w:color="auto" w:fill="FFFFFF"/>
        </w:rPr>
        <w:t>1) письмове запевнення в довільній формі про відповідність прямих та</w:t>
      </w:r>
      <w:r w:rsidR="00A5770C" w:rsidRPr="00B96E75">
        <w:rPr>
          <w:color w:val="000000" w:themeColor="text1"/>
          <w:shd w:val="clear" w:color="auto" w:fill="FFFFFF"/>
        </w:rPr>
        <w:t>/або</w:t>
      </w:r>
      <w:r w:rsidRPr="00B96E75">
        <w:rPr>
          <w:color w:val="000000" w:themeColor="text1"/>
          <w:shd w:val="clear" w:color="auto" w:fill="FFFFFF"/>
        </w:rPr>
        <w:t xml:space="preserve"> кінцевих власників істотної участі в небанківській фінансовій установі вимогам щодо фінансового/майнового стану, установленим у підпунктах 2, 3 пункту 5, підпунктах 2, 3 пункту 6 та пунктах</w:t>
      </w:r>
      <w:r w:rsidRPr="00B96E75">
        <w:rPr>
          <w:rFonts w:eastAsia="SimSun"/>
          <w:color w:val="000000" w:themeColor="text1"/>
        </w:rPr>
        <w:t xml:space="preserve"> 10</w:t>
      </w:r>
      <w:r w:rsidRPr="00B96E75">
        <w:rPr>
          <w:rFonts w:eastAsia="SimSun"/>
          <w:color w:val="000000" w:themeColor="text1"/>
          <w:vertAlign w:val="superscript"/>
        </w:rPr>
        <w:t>5</w:t>
      </w:r>
      <w:r w:rsidRPr="00B96E75">
        <w:rPr>
          <w:rFonts w:eastAsia="SimSun"/>
          <w:color w:val="000000" w:themeColor="text1"/>
        </w:rPr>
        <w:t>, 10</w:t>
      </w:r>
      <w:r w:rsidRPr="00B96E75">
        <w:rPr>
          <w:rFonts w:eastAsia="SimSun"/>
          <w:color w:val="000000" w:themeColor="text1"/>
          <w:vertAlign w:val="superscript"/>
        </w:rPr>
        <w:t>6</w:t>
      </w:r>
      <w:r w:rsidRPr="00B96E75">
        <w:rPr>
          <w:rFonts w:eastAsia="SimSun"/>
          <w:color w:val="000000" w:themeColor="text1"/>
        </w:rPr>
        <w:t xml:space="preserve"> цієї постанови</w:t>
      </w:r>
      <w:r w:rsidRPr="00B96E75">
        <w:rPr>
          <w:color w:val="333333"/>
          <w:shd w:val="clear" w:color="auto" w:fill="FFFFFF"/>
        </w:rPr>
        <w:t>;</w:t>
      </w:r>
      <w:r w:rsidR="00353BC8">
        <w:rPr>
          <w:color w:val="333333"/>
          <w:shd w:val="clear" w:color="auto" w:fill="FFFFFF"/>
        </w:rPr>
        <w:t xml:space="preserve"> </w:t>
      </w:r>
    </w:p>
    <w:p w14:paraId="788E6D44" w14:textId="77777777" w:rsidR="00353BC8" w:rsidRPr="00B96E75" w:rsidRDefault="00353BC8" w:rsidP="00353BC8">
      <w:pPr>
        <w:spacing w:after="0" w:line="240" w:lineRule="auto"/>
        <w:ind w:firstLine="567"/>
        <w:rPr>
          <w:color w:val="333333"/>
          <w:shd w:val="clear" w:color="auto" w:fill="FFFFFF"/>
        </w:rPr>
      </w:pPr>
    </w:p>
    <w:p w14:paraId="109F16C2" w14:textId="3638E658" w:rsidR="00F12CCC" w:rsidRPr="00B96E75" w:rsidRDefault="00F12CCC" w:rsidP="007968E8">
      <w:pPr>
        <w:spacing w:after="0" w:line="240" w:lineRule="auto"/>
        <w:ind w:firstLine="567"/>
        <w:rPr>
          <w:color w:val="333333"/>
          <w:shd w:val="clear" w:color="auto" w:fill="FFFFFF"/>
        </w:rPr>
      </w:pPr>
      <w:r w:rsidRPr="00B96E75">
        <w:rPr>
          <w:color w:val="333333"/>
          <w:shd w:val="clear" w:color="auto" w:fill="FFFFFF"/>
        </w:rPr>
        <w:t xml:space="preserve">2) </w:t>
      </w:r>
      <w:r w:rsidR="00674B20" w:rsidRPr="00B96E75">
        <w:rPr>
          <w:shd w:val="clear" w:color="auto" w:fill="FFFFFF"/>
        </w:rPr>
        <w:t>документи згідно з главами 39, 41</w:t>
      </w:r>
      <w:r w:rsidRPr="00B96E75">
        <w:rPr>
          <w:shd w:val="clear" w:color="auto" w:fill="FFFFFF"/>
        </w:rPr>
        <w:t xml:space="preserve"> розділу V Положення про авторизацію для оцінки фінансового/майнового стану прямих </w:t>
      </w:r>
      <w:r w:rsidR="00970836" w:rsidRPr="00B96E75">
        <w:rPr>
          <w:shd w:val="clear" w:color="auto" w:fill="FFFFFF"/>
        </w:rPr>
        <w:t xml:space="preserve">та/або </w:t>
      </w:r>
      <w:r w:rsidRPr="00B96E75">
        <w:rPr>
          <w:shd w:val="clear" w:color="auto" w:fill="FFFFFF"/>
        </w:rPr>
        <w:t>кінцевих власників істотної участі в небанківській фінансовій установі</w:t>
      </w:r>
      <w:r w:rsidR="00AB07B9">
        <w:rPr>
          <w:shd w:val="clear" w:color="auto" w:fill="FFFFFF"/>
        </w:rPr>
        <w:t>,</w:t>
      </w:r>
      <w:r w:rsidRPr="00B96E75">
        <w:rPr>
          <w:shd w:val="clear" w:color="auto" w:fill="FFFFFF"/>
        </w:rPr>
        <w:t xml:space="preserve"> </w:t>
      </w:r>
      <w:r w:rsidR="004831E6" w:rsidRPr="00B96E75">
        <w:rPr>
          <w:shd w:val="clear" w:color="auto" w:fill="FFFFFF"/>
        </w:rPr>
        <w:t xml:space="preserve">стосовно яких подано письмове запевнення, </w:t>
      </w:r>
      <w:r w:rsidR="00AB07B9">
        <w:rPr>
          <w:shd w:val="clear" w:color="auto" w:fill="FFFFFF"/>
        </w:rPr>
        <w:t xml:space="preserve">визначене в </w:t>
      </w:r>
      <w:r w:rsidR="004831E6" w:rsidRPr="00B96E75">
        <w:rPr>
          <w:shd w:val="clear" w:color="auto" w:fill="FFFFFF"/>
        </w:rPr>
        <w:t>підпункті 1 пункту 10</w:t>
      </w:r>
      <w:r w:rsidR="004831E6" w:rsidRPr="00B96E75">
        <w:rPr>
          <w:shd w:val="clear" w:color="auto" w:fill="FFFFFF"/>
          <w:vertAlign w:val="superscript"/>
        </w:rPr>
        <w:t>3</w:t>
      </w:r>
      <w:r w:rsidR="004831E6" w:rsidRPr="00B96E75">
        <w:rPr>
          <w:shd w:val="clear" w:color="auto" w:fill="FFFFFF"/>
        </w:rPr>
        <w:t xml:space="preserve"> цієї постанови</w:t>
      </w:r>
      <w:r w:rsidR="00AB07B9">
        <w:rPr>
          <w:shd w:val="clear" w:color="auto" w:fill="FFFFFF"/>
        </w:rPr>
        <w:t>,</w:t>
      </w:r>
      <w:r w:rsidR="004831E6" w:rsidRPr="00B96E75">
        <w:rPr>
          <w:shd w:val="clear" w:color="auto" w:fill="FFFFFF"/>
        </w:rPr>
        <w:t xml:space="preserve"> </w:t>
      </w:r>
      <w:r w:rsidRPr="00B96E75">
        <w:rPr>
          <w:shd w:val="clear" w:color="auto" w:fill="FFFFFF"/>
        </w:rPr>
        <w:t>станом на дату подання</w:t>
      </w:r>
      <w:r w:rsidR="00CA0E06" w:rsidRPr="00B96E75">
        <w:rPr>
          <w:shd w:val="clear" w:color="auto" w:fill="FFFFFF"/>
        </w:rPr>
        <w:t xml:space="preserve"> </w:t>
      </w:r>
      <w:r w:rsidR="004831E6" w:rsidRPr="00B96E75">
        <w:rPr>
          <w:shd w:val="clear" w:color="auto" w:fill="FFFFFF"/>
        </w:rPr>
        <w:t>такого запевнення</w:t>
      </w:r>
      <w:r w:rsidRPr="00B96E75">
        <w:rPr>
          <w:shd w:val="clear" w:color="auto" w:fill="FFFFFF"/>
        </w:rPr>
        <w:t>.</w:t>
      </w:r>
    </w:p>
    <w:p w14:paraId="093889B8" w14:textId="77777777" w:rsidR="00006E8F" w:rsidRPr="00B96E75" w:rsidRDefault="00006E8F" w:rsidP="007968E8">
      <w:pPr>
        <w:spacing w:after="0" w:line="240" w:lineRule="auto"/>
        <w:ind w:firstLine="567"/>
        <w:rPr>
          <w:rFonts w:eastAsia="SimSun"/>
          <w:color w:val="000000" w:themeColor="text1"/>
          <w:highlight w:val="yellow"/>
        </w:rPr>
      </w:pPr>
    </w:p>
    <w:p w14:paraId="59081822" w14:textId="3CFD9020" w:rsidR="00006E8F" w:rsidRPr="00B96E75" w:rsidRDefault="00A931F0" w:rsidP="007968E8">
      <w:pPr>
        <w:spacing w:after="0" w:line="240" w:lineRule="auto"/>
        <w:ind w:firstLine="567"/>
        <w:rPr>
          <w:rFonts w:eastAsia="SimSun"/>
          <w:color w:val="000000" w:themeColor="text1"/>
        </w:rPr>
      </w:pPr>
      <w:r w:rsidRPr="00B96E75">
        <w:rPr>
          <w:rFonts w:eastAsia="SimSun"/>
          <w:color w:val="000000" w:themeColor="text1"/>
        </w:rPr>
        <w:t>10</w:t>
      </w:r>
      <w:r w:rsidR="00006E8F" w:rsidRPr="00B96E75">
        <w:rPr>
          <w:rFonts w:eastAsia="SimSun"/>
          <w:color w:val="000000" w:themeColor="text1"/>
          <w:vertAlign w:val="superscript"/>
        </w:rPr>
        <w:t>4</w:t>
      </w:r>
      <w:r w:rsidR="00006E8F" w:rsidRPr="00B96E75">
        <w:rPr>
          <w:rFonts w:eastAsia="SimSun"/>
          <w:color w:val="000000" w:themeColor="text1"/>
        </w:rPr>
        <w:t>.</w:t>
      </w:r>
      <w:r w:rsidR="00006E8F" w:rsidRPr="00B96E75">
        <w:rPr>
          <w:color w:val="000000" w:themeColor="text1"/>
        </w:rPr>
        <w:t xml:space="preserve"> </w:t>
      </w:r>
      <w:r w:rsidR="00006E8F" w:rsidRPr="00B96E75">
        <w:rPr>
          <w:rFonts w:eastAsia="SimSun"/>
          <w:color w:val="000000" w:themeColor="text1"/>
        </w:rPr>
        <w:t xml:space="preserve">Національний банк за результатами розгляду документів, поданих відповідно до </w:t>
      </w:r>
      <w:r w:rsidR="000D7BB2" w:rsidRPr="00B96E75">
        <w:rPr>
          <w:rFonts w:eastAsia="SimSun"/>
          <w:color w:val="000000" w:themeColor="text1"/>
        </w:rPr>
        <w:t>пунктів 10</w:t>
      </w:r>
      <w:r w:rsidR="000D7BB2" w:rsidRPr="00B96E75">
        <w:rPr>
          <w:rFonts w:eastAsia="SimSun"/>
          <w:color w:val="000000" w:themeColor="text1"/>
          <w:vertAlign w:val="superscript"/>
        </w:rPr>
        <w:t>2</w:t>
      </w:r>
      <w:r w:rsidR="000D7BB2" w:rsidRPr="00B96E75">
        <w:rPr>
          <w:rFonts w:eastAsia="SimSun"/>
          <w:color w:val="000000" w:themeColor="text1"/>
        </w:rPr>
        <w:t>, 10</w:t>
      </w:r>
      <w:r w:rsidR="00006E8F" w:rsidRPr="00B96E75">
        <w:rPr>
          <w:rFonts w:eastAsia="SimSun"/>
          <w:color w:val="000000" w:themeColor="text1"/>
          <w:vertAlign w:val="superscript"/>
        </w:rPr>
        <w:t>3</w:t>
      </w:r>
      <w:r w:rsidR="00006E8F" w:rsidRPr="00B96E75">
        <w:rPr>
          <w:rFonts w:eastAsia="SimSun"/>
          <w:color w:val="000000" w:themeColor="text1"/>
        </w:rPr>
        <w:t xml:space="preserve"> цієї постанови</w:t>
      </w:r>
      <w:r w:rsidR="000D2F53">
        <w:rPr>
          <w:rFonts w:eastAsia="SimSun"/>
          <w:color w:val="000000" w:themeColor="text1"/>
        </w:rPr>
        <w:t>,</w:t>
      </w:r>
      <w:r w:rsidR="00006E8F" w:rsidRPr="00B96E75">
        <w:rPr>
          <w:rFonts w:eastAsia="SimSun"/>
          <w:color w:val="000000" w:themeColor="text1"/>
        </w:rPr>
        <w:t xml:space="preserve"> має право розглянути питання про відповідність власника істотної участі в небанківській фінансовій установі вимогам, установленим у </w:t>
      </w:r>
      <w:r w:rsidR="003941EB" w:rsidRPr="00B96E75">
        <w:rPr>
          <w:rFonts w:eastAsia="SimSun"/>
          <w:color w:val="000000" w:themeColor="text1"/>
        </w:rPr>
        <w:t>підпунктах 2, 3 пункт</w:t>
      </w:r>
      <w:r w:rsidR="007C5FD7" w:rsidRPr="00B96E75">
        <w:rPr>
          <w:rFonts w:eastAsia="SimSun"/>
          <w:color w:val="000000" w:themeColor="text1"/>
        </w:rPr>
        <w:t>у</w:t>
      </w:r>
      <w:r w:rsidR="003941EB" w:rsidRPr="00B96E75">
        <w:rPr>
          <w:rFonts w:eastAsia="SimSun"/>
          <w:color w:val="000000" w:themeColor="text1"/>
        </w:rPr>
        <w:t xml:space="preserve"> 5, </w:t>
      </w:r>
      <w:r w:rsidR="00D220DF" w:rsidRPr="00B96E75">
        <w:rPr>
          <w:rFonts w:eastAsia="SimSun"/>
          <w:color w:val="000000" w:themeColor="text1"/>
        </w:rPr>
        <w:t xml:space="preserve">підпунктах 2, 3 пункту </w:t>
      </w:r>
      <w:r w:rsidR="003941EB" w:rsidRPr="00B96E75">
        <w:rPr>
          <w:rFonts w:eastAsia="SimSun"/>
          <w:color w:val="000000" w:themeColor="text1"/>
        </w:rPr>
        <w:t>6</w:t>
      </w:r>
      <w:r w:rsidR="004C3A26" w:rsidRPr="00B96E75">
        <w:rPr>
          <w:rFonts w:eastAsia="SimSun"/>
          <w:color w:val="000000" w:themeColor="text1"/>
        </w:rPr>
        <w:t xml:space="preserve"> та </w:t>
      </w:r>
      <w:r w:rsidR="00037D68" w:rsidRPr="00B96E75">
        <w:rPr>
          <w:rFonts w:eastAsia="SimSun"/>
          <w:color w:val="000000" w:themeColor="text1"/>
        </w:rPr>
        <w:t xml:space="preserve">пунктах </w:t>
      </w:r>
      <w:r w:rsidR="004C3A26" w:rsidRPr="00B96E75">
        <w:rPr>
          <w:rFonts w:eastAsia="SimSun"/>
          <w:color w:val="000000" w:themeColor="text1"/>
        </w:rPr>
        <w:t>10</w:t>
      </w:r>
      <w:r w:rsidR="004C3A26" w:rsidRPr="00B96E75">
        <w:rPr>
          <w:rFonts w:eastAsia="SimSun"/>
          <w:color w:val="000000" w:themeColor="text1"/>
          <w:vertAlign w:val="superscript"/>
        </w:rPr>
        <w:t>5</w:t>
      </w:r>
      <w:r w:rsidR="004C3A26" w:rsidRPr="00B96E75">
        <w:rPr>
          <w:rFonts w:eastAsia="SimSun"/>
          <w:color w:val="000000" w:themeColor="text1"/>
        </w:rPr>
        <w:t>, 10</w:t>
      </w:r>
      <w:r w:rsidR="004C3A26" w:rsidRPr="00B96E75">
        <w:rPr>
          <w:rFonts w:eastAsia="SimSun"/>
          <w:color w:val="000000" w:themeColor="text1"/>
          <w:vertAlign w:val="superscript"/>
        </w:rPr>
        <w:t>6</w:t>
      </w:r>
      <w:r w:rsidR="003941EB" w:rsidRPr="00B96E75">
        <w:rPr>
          <w:rFonts w:eastAsia="SimSun"/>
          <w:color w:val="000000" w:themeColor="text1"/>
        </w:rPr>
        <w:t xml:space="preserve"> цієї постанови</w:t>
      </w:r>
      <w:r w:rsidR="00006E8F" w:rsidRPr="00B96E75">
        <w:rPr>
          <w:rFonts w:eastAsia="SimSun"/>
          <w:color w:val="000000" w:themeColor="text1"/>
        </w:rPr>
        <w:t xml:space="preserve">. </w:t>
      </w:r>
    </w:p>
    <w:p w14:paraId="2692A459" w14:textId="77777777" w:rsidR="008A3E38" w:rsidRPr="00B96E75" w:rsidRDefault="008A3E38" w:rsidP="007968E8">
      <w:pPr>
        <w:spacing w:after="0" w:line="240" w:lineRule="auto"/>
        <w:ind w:firstLine="567"/>
        <w:rPr>
          <w:rFonts w:eastAsia="SimSun"/>
          <w:color w:val="000000" w:themeColor="text1"/>
          <w:highlight w:val="yellow"/>
        </w:rPr>
      </w:pPr>
    </w:p>
    <w:p w14:paraId="62B7B58F" w14:textId="40F80813" w:rsidR="005D46F1" w:rsidRPr="00B96E75" w:rsidRDefault="00B058CF" w:rsidP="007968E8">
      <w:pPr>
        <w:spacing w:after="0" w:line="240" w:lineRule="auto"/>
        <w:ind w:firstLine="567"/>
        <w:rPr>
          <w:rFonts w:eastAsia="SimSun"/>
          <w:color w:val="000000" w:themeColor="text1"/>
        </w:rPr>
      </w:pPr>
      <w:r w:rsidRPr="00B96E75">
        <w:rPr>
          <w:rFonts w:eastAsia="SimSun"/>
          <w:color w:val="000000" w:themeColor="text1"/>
        </w:rPr>
        <w:t>10</w:t>
      </w:r>
      <w:r w:rsidR="00054EF9" w:rsidRPr="00B96E75">
        <w:rPr>
          <w:rFonts w:eastAsia="SimSun"/>
          <w:color w:val="000000" w:themeColor="text1"/>
          <w:vertAlign w:val="superscript"/>
        </w:rPr>
        <w:t>5</w:t>
      </w:r>
      <w:r w:rsidR="008A3E38" w:rsidRPr="00B96E75">
        <w:rPr>
          <w:rFonts w:eastAsia="SimSun"/>
          <w:color w:val="000000" w:themeColor="text1"/>
        </w:rPr>
        <w:t xml:space="preserve">. </w:t>
      </w:r>
      <w:r w:rsidR="005D46F1" w:rsidRPr="00B96E75">
        <w:rPr>
          <w:rFonts w:eastAsia="SimSun"/>
          <w:color w:val="000000" w:themeColor="text1"/>
        </w:rPr>
        <w:t xml:space="preserve">Розмір власних коштів юридичної особи, яка прямо володіє істотною участю або є кінцевим власником у небанківській фінансовій установі, станом на відповідну дату або на останню звітну дату, що передує відповідній даті, має </w:t>
      </w:r>
      <w:r w:rsidR="00D378D1">
        <w:rPr>
          <w:rFonts w:eastAsia="SimSun"/>
          <w:color w:val="000000" w:themeColor="text1"/>
        </w:rPr>
        <w:t xml:space="preserve"> </w:t>
      </w:r>
      <w:r w:rsidR="005D46F1" w:rsidRPr="00B96E75">
        <w:rPr>
          <w:rFonts w:eastAsia="SimSun"/>
          <w:color w:val="000000" w:themeColor="text1"/>
        </w:rPr>
        <w:t>бути рівним або більшим, ніж більша з таких величин:</w:t>
      </w:r>
    </w:p>
    <w:p w14:paraId="3CBD16E0" w14:textId="77777777" w:rsidR="005D46F1" w:rsidRPr="00B96E75" w:rsidRDefault="005D46F1" w:rsidP="007968E8">
      <w:pPr>
        <w:spacing w:after="0" w:line="240" w:lineRule="auto"/>
        <w:ind w:firstLine="567"/>
        <w:rPr>
          <w:rFonts w:eastAsia="SimSun"/>
          <w:color w:val="000000" w:themeColor="text1"/>
          <w:highlight w:val="yellow"/>
        </w:rPr>
      </w:pPr>
    </w:p>
    <w:p w14:paraId="3D2366BE" w14:textId="37AFEEB7" w:rsidR="005D46F1" w:rsidRPr="00B96E75" w:rsidRDefault="005D46F1" w:rsidP="007968E8">
      <w:pPr>
        <w:spacing w:after="0" w:line="240" w:lineRule="auto"/>
        <w:ind w:firstLine="567"/>
        <w:rPr>
          <w:rFonts w:eastAsia="SimSun"/>
          <w:color w:val="000000" w:themeColor="text1"/>
        </w:rPr>
      </w:pPr>
      <w:r w:rsidRPr="00B96E75">
        <w:rPr>
          <w:rFonts w:eastAsia="SimSun"/>
          <w:color w:val="000000" w:themeColor="text1"/>
        </w:rPr>
        <w:t>1) величина частини власного капіталу небанківської фінансової установи, пропорційна частці, яку становить розмір істотної участі особи в статутному (складеному) капіталі не</w:t>
      </w:r>
      <w:r w:rsidR="00A330A0" w:rsidRPr="00B96E75">
        <w:rPr>
          <w:rFonts w:eastAsia="SimSun"/>
          <w:color w:val="000000" w:themeColor="text1"/>
        </w:rPr>
        <w:t>банківської фінансової установи</w:t>
      </w:r>
      <w:r w:rsidRPr="00B96E75">
        <w:rPr>
          <w:rFonts w:eastAsia="SimSun"/>
          <w:color w:val="000000" w:themeColor="text1"/>
        </w:rPr>
        <w:t>;</w:t>
      </w:r>
    </w:p>
    <w:p w14:paraId="122958EC" w14:textId="77777777" w:rsidR="005D46F1" w:rsidRPr="00B96E75" w:rsidRDefault="005D46F1" w:rsidP="007968E8">
      <w:pPr>
        <w:pStyle w:val="a4"/>
        <w:spacing w:after="0" w:line="240" w:lineRule="auto"/>
        <w:ind w:left="1069" w:firstLine="567"/>
        <w:rPr>
          <w:rFonts w:eastAsia="SimSun" w:cs="Times New Roman"/>
          <w:color w:val="000000" w:themeColor="text1"/>
          <w:szCs w:val="28"/>
          <w:highlight w:val="yellow"/>
        </w:rPr>
      </w:pPr>
    </w:p>
    <w:p w14:paraId="57451DAA" w14:textId="2ECD9C33" w:rsidR="005D46F1" w:rsidRPr="00B96E75" w:rsidRDefault="005D46F1" w:rsidP="007968E8">
      <w:pPr>
        <w:spacing w:after="0" w:line="240" w:lineRule="auto"/>
        <w:ind w:firstLine="567"/>
        <w:rPr>
          <w:rFonts w:eastAsia="SimSun"/>
          <w:color w:val="000000" w:themeColor="text1"/>
        </w:rPr>
      </w:pPr>
      <w:r w:rsidRPr="00B96E75">
        <w:rPr>
          <w:rFonts w:eastAsia="SimSun"/>
          <w:color w:val="000000" w:themeColor="text1"/>
        </w:rPr>
        <w:t>2) величина частини статутного (складеного) капіталу небанківської фінансової установи, пропорційна частці, яку розмір істотної участі особи становить у статутному (складеному) капіталі небанківської фінансової установи;</w:t>
      </w:r>
    </w:p>
    <w:p w14:paraId="118FEAFC" w14:textId="77777777" w:rsidR="005D46F1" w:rsidRPr="00B96E75" w:rsidRDefault="005D46F1" w:rsidP="007968E8">
      <w:pPr>
        <w:spacing w:after="0" w:line="240" w:lineRule="auto"/>
        <w:ind w:firstLine="567"/>
        <w:rPr>
          <w:rFonts w:eastAsia="SimSun"/>
          <w:color w:val="000000" w:themeColor="text1"/>
        </w:rPr>
      </w:pPr>
    </w:p>
    <w:p w14:paraId="5936926C" w14:textId="1761633A" w:rsidR="005D46F1" w:rsidRPr="00B96E75" w:rsidRDefault="005D46F1" w:rsidP="007968E8">
      <w:pPr>
        <w:spacing w:after="0" w:line="240" w:lineRule="auto"/>
        <w:ind w:firstLine="567"/>
        <w:rPr>
          <w:rFonts w:eastAsia="SimSun"/>
          <w:color w:val="000000" w:themeColor="text1"/>
        </w:rPr>
      </w:pPr>
      <w:r w:rsidRPr="00B96E75">
        <w:rPr>
          <w:rFonts w:eastAsia="SimSun"/>
          <w:color w:val="000000" w:themeColor="text1"/>
        </w:rPr>
        <w:t xml:space="preserve">3) частина капіталу платоспроможності страховика, пропорційна частці, яку становить розмір істотної участі особи </w:t>
      </w:r>
      <w:r w:rsidR="00D8686D">
        <w:rPr>
          <w:rFonts w:eastAsia="SimSun"/>
          <w:color w:val="000000" w:themeColor="text1"/>
        </w:rPr>
        <w:t>в</w:t>
      </w:r>
      <w:r w:rsidR="00CB0F2D" w:rsidRPr="00B96E75">
        <w:rPr>
          <w:rFonts w:eastAsia="SimSun"/>
          <w:color w:val="000000" w:themeColor="text1"/>
        </w:rPr>
        <w:t xml:space="preserve"> статутному капіталі страховика</w:t>
      </w:r>
      <w:r w:rsidR="00D8686D">
        <w:rPr>
          <w:rFonts w:eastAsia="SimSun"/>
          <w:color w:val="000000" w:themeColor="text1"/>
        </w:rPr>
        <w:t>,</w:t>
      </w:r>
      <w:r w:rsidRPr="00B96E75">
        <w:rPr>
          <w:rFonts w:eastAsia="SimSun"/>
          <w:color w:val="000000" w:themeColor="text1"/>
        </w:rPr>
        <w:t xml:space="preserve"> або частина мінімального капіталу, розрахованого</w:t>
      </w:r>
      <w:r w:rsidR="00B25EC9" w:rsidRPr="00B96E75">
        <w:rPr>
          <w:rFonts w:eastAsia="SimSun"/>
          <w:color w:val="000000" w:themeColor="text1"/>
        </w:rPr>
        <w:t xml:space="preserve"> на останню звітну дату, що </w:t>
      </w:r>
      <w:r w:rsidR="00B25EC9" w:rsidRPr="00B96E75">
        <w:rPr>
          <w:rFonts w:eastAsia="SimSun"/>
          <w:color w:val="000000" w:themeColor="text1"/>
        </w:rPr>
        <w:lastRenderedPageBreak/>
        <w:t>передує даті підтвердження розміру власних коштів</w:t>
      </w:r>
      <w:r w:rsidRPr="00B96E75">
        <w:rPr>
          <w:rFonts w:eastAsia="SimSun"/>
          <w:color w:val="000000" w:themeColor="text1"/>
        </w:rPr>
        <w:t xml:space="preserve"> для цілей оцінки платоспроможності страховика, пропорційна частці, яку становить розмір істотної участі особи </w:t>
      </w:r>
      <w:r w:rsidR="00D8686D">
        <w:rPr>
          <w:rFonts w:eastAsia="SimSun"/>
          <w:color w:val="000000" w:themeColor="text1"/>
        </w:rPr>
        <w:t>в</w:t>
      </w:r>
      <w:r w:rsidRPr="00B96E75">
        <w:rPr>
          <w:rFonts w:eastAsia="SimSun"/>
          <w:color w:val="000000" w:themeColor="text1"/>
        </w:rPr>
        <w:t xml:space="preserve"> статутному капіталі страховика.</w:t>
      </w:r>
    </w:p>
    <w:p w14:paraId="7E4F1E37" w14:textId="7A12D7E9" w:rsidR="004A0E0B" w:rsidRPr="00B96E75" w:rsidRDefault="004A0E0B" w:rsidP="007968E8">
      <w:pPr>
        <w:spacing w:after="0" w:line="240" w:lineRule="auto"/>
        <w:ind w:firstLine="567"/>
        <w:rPr>
          <w:rFonts w:eastAsia="SimSun"/>
          <w:color w:val="000000" w:themeColor="text1"/>
        </w:rPr>
      </w:pPr>
      <w:r w:rsidRPr="00B96E75">
        <w:rPr>
          <w:rFonts w:eastAsia="SimSun"/>
          <w:color w:val="000000" w:themeColor="text1"/>
        </w:rPr>
        <w:t xml:space="preserve">Вимоги </w:t>
      </w:r>
      <w:r w:rsidR="00006895" w:rsidRPr="00B96E75">
        <w:rPr>
          <w:rFonts w:eastAsia="SimSun"/>
          <w:color w:val="000000" w:themeColor="text1"/>
        </w:rPr>
        <w:t xml:space="preserve">підпунктів 1, </w:t>
      </w:r>
      <w:r w:rsidRPr="00B96E75">
        <w:rPr>
          <w:rFonts w:eastAsia="SimSun"/>
          <w:color w:val="000000" w:themeColor="text1"/>
        </w:rPr>
        <w:t xml:space="preserve">2 </w:t>
      </w:r>
      <w:r w:rsidR="00006895" w:rsidRPr="00B96E75">
        <w:rPr>
          <w:rFonts w:eastAsia="SimSun"/>
          <w:color w:val="000000" w:themeColor="text1"/>
        </w:rPr>
        <w:t>пункту 10</w:t>
      </w:r>
      <w:r w:rsidR="00006895" w:rsidRPr="00B96E75">
        <w:rPr>
          <w:rFonts w:eastAsia="SimSun"/>
          <w:color w:val="000000" w:themeColor="text1"/>
          <w:vertAlign w:val="superscript"/>
        </w:rPr>
        <w:t>5</w:t>
      </w:r>
      <w:r w:rsidR="00BF1847">
        <w:rPr>
          <w:rFonts w:eastAsia="SimSun"/>
          <w:color w:val="000000" w:themeColor="text1"/>
        </w:rPr>
        <w:t xml:space="preserve"> цієї постанови</w:t>
      </w:r>
      <w:r w:rsidR="00006895" w:rsidRPr="00B96E75">
        <w:rPr>
          <w:rFonts w:eastAsia="SimSun"/>
          <w:color w:val="000000" w:themeColor="text1"/>
        </w:rPr>
        <w:t xml:space="preserve"> </w:t>
      </w:r>
      <w:r w:rsidRPr="00B96E75">
        <w:rPr>
          <w:rFonts w:eastAsia="SimSun"/>
          <w:color w:val="000000" w:themeColor="text1"/>
        </w:rPr>
        <w:t xml:space="preserve">не </w:t>
      </w:r>
      <w:r w:rsidR="00006895" w:rsidRPr="00B96E75">
        <w:rPr>
          <w:rFonts w:eastAsia="SimSun"/>
          <w:color w:val="000000" w:themeColor="text1"/>
        </w:rPr>
        <w:t>поширюються</w:t>
      </w:r>
      <w:r w:rsidRPr="00B96E75">
        <w:rPr>
          <w:rFonts w:eastAsia="SimSun"/>
          <w:color w:val="000000" w:themeColor="text1"/>
        </w:rPr>
        <w:t xml:space="preserve"> </w:t>
      </w:r>
      <w:r w:rsidR="00006895" w:rsidRPr="00B96E75">
        <w:rPr>
          <w:rFonts w:eastAsia="SimSun"/>
          <w:color w:val="000000" w:themeColor="text1"/>
        </w:rPr>
        <w:t xml:space="preserve">на </w:t>
      </w:r>
      <w:r w:rsidRPr="00B96E75">
        <w:rPr>
          <w:rFonts w:eastAsia="SimSun"/>
          <w:color w:val="000000" w:themeColor="text1"/>
        </w:rPr>
        <w:t>страховиків</w:t>
      </w:r>
      <w:r w:rsidR="00006895" w:rsidRPr="00B96E75">
        <w:rPr>
          <w:rFonts w:eastAsia="SimSun"/>
          <w:color w:val="000000" w:themeColor="text1"/>
        </w:rPr>
        <w:t>.</w:t>
      </w:r>
    </w:p>
    <w:p w14:paraId="4BC70C43" w14:textId="1CFD6959" w:rsidR="00006895" w:rsidRPr="00B96E75" w:rsidRDefault="00B25EC9" w:rsidP="007968E8">
      <w:pPr>
        <w:spacing w:after="0" w:line="240" w:lineRule="auto"/>
        <w:ind w:firstLine="567"/>
        <w:rPr>
          <w:rFonts w:eastAsia="SimSun"/>
          <w:color w:val="000000" w:themeColor="text1"/>
        </w:rPr>
      </w:pPr>
      <w:r w:rsidRPr="00B96E75">
        <w:rPr>
          <w:rFonts w:eastAsia="SimSun"/>
          <w:color w:val="000000" w:themeColor="text1"/>
        </w:rPr>
        <w:t>Розмір</w:t>
      </w:r>
      <w:r w:rsidR="00D8686D">
        <w:rPr>
          <w:rFonts w:eastAsia="SimSun"/>
          <w:color w:val="000000" w:themeColor="text1"/>
        </w:rPr>
        <w:t>и</w:t>
      </w:r>
      <w:r w:rsidRPr="00B96E75">
        <w:rPr>
          <w:rFonts w:eastAsia="SimSun"/>
          <w:color w:val="000000" w:themeColor="text1"/>
        </w:rPr>
        <w:t xml:space="preserve"> капіталу, </w:t>
      </w:r>
      <w:r w:rsidR="00D8686D">
        <w:rPr>
          <w:rFonts w:eastAsia="SimSun"/>
          <w:color w:val="000000" w:themeColor="text1"/>
        </w:rPr>
        <w:t xml:space="preserve">зазначені в </w:t>
      </w:r>
      <w:r w:rsidRPr="00B96E75">
        <w:rPr>
          <w:rFonts w:eastAsia="SimSun"/>
          <w:color w:val="000000" w:themeColor="text1"/>
        </w:rPr>
        <w:t>підпунктах 1, 2 пункту 10</w:t>
      </w:r>
      <w:r w:rsidRPr="00B96E75">
        <w:rPr>
          <w:rFonts w:eastAsia="SimSun"/>
          <w:color w:val="000000" w:themeColor="text1"/>
          <w:vertAlign w:val="superscript"/>
        </w:rPr>
        <w:t>5</w:t>
      </w:r>
      <w:r w:rsidR="00BF1847">
        <w:rPr>
          <w:rFonts w:eastAsia="SimSun"/>
          <w:color w:val="000000" w:themeColor="text1"/>
        </w:rPr>
        <w:t xml:space="preserve"> цієї постанови</w:t>
      </w:r>
      <w:r w:rsidR="00D8686D">
        <w:rPr>
          <w:rFonts w:eastAsia="SimSun"/>
          <w:color w:val="000000" w:themeColor="text1"/>
        </w:rPr>
        <w:t>,</w:t>
      </w:r>
      <w:r w:rsidRPr="001B7847">
        <w:rPr>
          <w:rFonts w:eastAsia="SimSun"/>
          <w:color w:val="000000" w:themeColor="text1"/>
        </w:rPr>
        <w:t xml:space="preserve"> </w:t>
      </w:r>
      <w:r w:rsidR="00471739" w:rsidRPr="00B96E75">
        <w:rPr>
          <w:rFonts w:eastAsia="SimSun"/>
          <w:color w:val="000000" w:themeColor="text1"/>
        </w:rPr>
        <w:t>визнача</w:t>
      </w:r>
      <w:r w:rsidR="00D8686D">
        <w:rPr>
          <w:rFonts w:eastAsia="SimSun"/>
          <w:color w:val="000000" w:themeColor="text1"/>
        </w:rPr>
        <w:t>ю</w:t>
      </w:r>
      <w:r w:rsidR="00471739" w:rsidRPr="00B96E75">
        <w:rPr>
          <w:rFonts w:eastAsia="SimSun"/>
          <w:color w:val="000000" w:themeColor="text1"/>
        </w:rPr>
        <w:t>ться на кінець звітного періоду, що передує даті підтвердження розміру власних коштів.</w:t>
      </w:r>
    </w:p>
    <w:p w14:paraId="2B14A06B" w14:textId="167010AD" w:rsidR="003F7F9F" w:rsidRPr="00B96E75" w:rsidRDefault="003F7F9F" w:rsidP="007968E8">
      <w:pPr>
        <w:spacing w:after="0" w:line="240" w:lineRule="auto"/>
        <w:ind w:firstLine="567"/>
        <w:rPr>
          <w:rFonts w:eastAsia="SimSun"/>
          <w:color w:val="000000" w:themeColor="text1"/>
        </w:rPr>
      </w:pPr>
      <w:r w:rsidRPr="00B96E75">
        <w:rPr>
          <w:rFonts w:eastAsia="SimSun"/>
          <w:color w:val="000000" w:themeColor="text1"/>
        </w:rPr>
        <w:t xml:space="preserve">Розмір капіталу платоспроможності, </w:t>
      </w:r>
      <w:r w:rsidR="00D8686D">
        <w:rPr>
          <w:rFonts w:eastAsia="SimSun"/>
          <w:color w:val="000000" w:themeColor="text1"/>
        </w:rPr>
        <w:t>за</w:t>
      </w:r>
      <w:r w:rsidRPr="00B96E75">
        <w:rPr>
          <w:rFonts w:eastAsia="SimSun"/>
          <w:color w:val="000000" w:themeColor="text1"/>
        </w:rPr>
        <w:t>значений у підпункті 3 пункту 10</w:t>
      </w:r>
      <w:r w:rsidRPr="00B96E75">
        <w:rPr>
          <w:rFonts w:eastAsia="SimSun"/>
          <w:color w:val="000000" w:themeColor="text1"/>
          <w:vertAlign w:val="superscript"/>
        </w:rPr>
        <w:t>5</w:t>
      </w:r>
      <w:r w:rsidR="005E679F" w:rsidRPr="00B96E75">
        <w:rPr>
          <w:rFonts w:eastAsia="SimSun"/>
          <w:color w:val="000000" w:themeColor="text1"/>
        </w:rPr>
        <w:t xml:space="preserve"> </w:t>
      </w:r>
      <w:r w:rsidR="00140405">
        <w:rPr>
          <w:rFonts w:eastAsia="SimSun"/>
          <w:color w:val="000000" w:themeColor="text1"/>
        </w:rPr>
        <w:t xml:space="preserve"> </w:t>
      </w:r>
      <w:r w:rsidR="005E679F" w:rsidRPr="00B96E75">
        <w:rPr>
          <w:rFonts w:eastAsia="SimSun"/>
          <w:color w:val="000000" w:themeColor="text1"/>
        </w:rPr>
        <w:t>цієї постанови</w:t>
      </w:r>
      <w:r w:rsidR="00D8686D">
        <w:rPr>
          <w:rFonts w:eastAsia="SimSun"/>
          <w:color w:val="000000" w:themeColor="text1"/>
        </w:rPr>
        <w:t>,</w:t>
      </w:r>
      <w:r w:rsidR="005E679F" w:rsidRPr="00B96E75">
        <w:rPr>
          <w:rFonts w:eastAsia="SimSun"/>
          <w:color w:val="000000" w:themeColor="text1"/>
        </w:rPr>
        <w:t xml:space="preserve"> </w:t>
      </w:r>
      <w:r w:rsidRPr="00B96E75">
        <w:rPr>
          <w:rFonts w:eastAsia="SimSun"/>
          <w:color w:val="000000" w:themeColor="text1"/>
        </w:rPr>
        <w:t xml:space="preserve">визначається станом на останню дату його розрахунку, що передує даті підтвердження розміру власних коштів, відповідно до вимог нормативно-правового </w:t>
      </w:r>
      <w:proofErr w:type="spellStart"/>
      <w:r w:rsidRPr="00B96E75">
        <w:rPr>
          <w:rFonts w:eastAsia="SimSun"/>
          <w:color w:val="000000" w:themeColor="text1"/>
        </w:rPr>
        <w:t>акта</w:t>
      </w:r>
      <w:proofErr w:type="spellEnd"/>
      <w:r w:rsidRPr="00B96E75">
        <w:rPr>
          <w:rFonts w:eastAsia="SimSun"/>
          <w:color w:val="000000" w:themeColor="text1"/>
        </w:rPr>
        <w:t xml:space="preserve"> Національного банку щодо визначення вимог до платоспроможності </w:t>
      </w:r>
      <w:r w:rsidR="00B138D8" w:rsidRPr="00B96E75">
        <w:rPr>
          <w:rFonts w:eastAsia="SimSun"/>
          <w:color w:val="000000" w:themeColor="text1"/>
        </w:rPr>
        <w:t xml:space="preserve">та інвестиційної діяльності </w:t>
      </w:r>
      <w:r w:rsidRPr="00B96E75">
        <w:rPr>
          <w:rFonts w:eastAsia="SimSun"/>
          <w:color w:val="000000" w:themeColor="text1"/>
        </w:rPr>
        <w:t>страховика.</w:t>
      </w:r>
    </w:p>
    <w:p w14:paraId="1D9C2103" w14:textId="77777777" w:rsidR="008A3E38" w:rsidRPr="00B96E75" w:rsidRDefault="008A3E38" w:rsidP="007968E8">
      <w:pPr>
        <w:spacing w:after="0" w:line="240" w:lineRule="auto"/>
        <w:ind w:firstLine="567"/>
        <w:rPr>
          <w:rFonts w:eastAsia="SimSun"/>
          <w:color w:val="000000" w:themeColor="text1"/>
          <w:highlight w:val="yellow"/>
        </w:rPr>
      </w:pPr>
    </w:p>
    <w:p w14:paraId="09AB3986" w14:textId="4113F279" w:rsidR="009134D6" w:rsidRDefault="00B058CF" w:rsidP="00BA29EC">
      <w:pPr>
        <w:pStyle w:val="rvps2"/>
        <w:shd w:val="clear" w:color="auto" w:fill="FFFFFF"/>
        <w:spacing w:before="0" w:beforeAutospacing="0" w:after="0" w:afterAutospacing="0"/>
        <w:ind w:firstLine="567"/>
        <w:jc w:val="both"/>
        <w:rPr>
          <w:color w:val="000000" w:themeColor="text1"/>
          <w:sz w:val="28"/>
          <w:szCs w:val="28"/>
        </w:rPr>
      </w:pPr>
      <w:r w:rsidRPr="00B96E75">
        <w:rPr>
          <w:rFonts w:eastAsia="SimSun"/>
          <w:color w:val="000000" w:themeColor="text1"/>
          <w:sz w:val="28"/>
          <w:szCs w:val="28"/>
        </w:rPr>
        <w:t>10</w:t>
      </w:r>
      <w:r w:rsidR="00054EF9" w:rsidRPr="00B96E75">
        <w:rPr>
          <w:rFonts w:eastAsia="SimSun"/>
          <w:color w:val="000000" w:themeColor="text1"/>
          <w:sz w:val="28"/>
          <w:szCs w:val="28"/>
          <w:vertAlign w:val="superscript"/>
        </w:rPr>
        <w:t>6</w:t>
      </w:r>
      <w:r w:rsidR="008A3E38" w:rsidRPr="00B96E75">
        <w:rPr>
          <w:rFonts w:eastAsia="SimSun"/>
          <w:color w:val="000000" w:themeColor="text1"/>
          <w:sz w:val="28"/>
          <w:szCs w:val="28"/>
        </w:rPr>
        <w:t>.</w:t>
      </w:r>
      <w:r w:rsidR="00A10D65" w:rsidRPr="00B96E75">
        <w:rPr>
          <w:rFonts w:eastAsia="SimSun"/>
          <w:color w:val="000000" w:themeColor="text1"/>
          <w:sz w:val="28"/>
          <w:szCs w:val="28"/>
        </w:rPr>
        <w:t xml:space="preserve"> </w:t>
      </w:r>
      <w:bookmarkStart w:id="1" w:name="n23"/>
      <w:bookmarkEnd w:id="1"/>
      <w:r w:rsidR="009134D6" w:rsidRPr="00B96E75">
        <w:rPr>
          <w:color w:val="000000" w:themeColor="text1"/>
          <w:sz w:val="28"/>
          <w:szCs w:val="28"/>
        </w:rPr>
        <w:t xml:space="preserve">Розмір власних коштів фізичної особи, яка прямо та/або опосередковано володіє істотною участю </w:t>
      </w:r>
      <w:r w:rsidR="00E337DC">
        <w:rPr>
          <w:color w:val="000000" w:themeColor="text1"/>
          <w:sz w:val="28"/>
          <w:szCs w:val="28"/>
        </w:rPr>
        <w:t>в</w:t>
      </w:r>
      <w:r w:rsidR="009134D6" w:rsidRPr="00B96E75">
        <w:rPr>
          <w:color w:val="000000" w:themeColor="text1"/>
          <w:sz w:val="28"/>
          <w:szCs w:val="28"/>
        </w:rPr>
        <w:t xml:space="preserve"> небанківській фінансовій установі, станом на відповідну дату або на останній день кварталу, що передує відповідній даті, </w:t>
      </w:r>
      <w:r w:rsidR="00E337DC">
        <w:rPr>
          <w:color w:val="000000" w:themeColor="text1"/>
          <w:sz w:val="28"/>
          <w:szCs w:val="28"/>
        </w:rPr>
        <w:t>повинен</w:t>
      </w:r>
      <w:r w:rsidR="00E337DC" w:rsidRPr="00B96E75">
        <w:rPr>
          <w:color w:val="000000" w:themeColor="text1"/>
          <w:sz w:val="28"/>
          <w:szCs w:val="28"/>
        </w:rPr>
        <w:t xml:space="preserve"> </w:t>
      </w:r>
      <w:r w:rsidR="009134D6" w:rsidRPr="00B96E75">
        <w:rPr>
          <w:color w:val="000000" w:themeColor="text1"/>
          <w:sz w:val="28"/>
          <w:szCs w:val="28"/>
        </w:rPr>
        <w:t>бути рівним або більшим, ніж більша з таких величин:</w:t>
      </w:r>
      <w:r w:rsidR="00D42147">
        <w:rPr>
          <w:color w:val="000000" w:themeColor="text1"/>
          <w:sz w:val="28"/>
          <w:szCs w:val="28"/>
        </w:rPr>
        <w:t xml:space="preserve"> </w:t>
      </w:r>
    </w:p>
    <w:p w14:paraId="580B44BC" w14:textId="77777777" w:rsidR="00D42147" w:rsidRPr="00B96E75" w:rsidRDefault="00D42147" w:rsidP="00D42147">
      <w:pPr>
        <w:pStyle w:val="rvps2"/>
        <w:shd w:val="clear" w:color="auto" w:fill="FFFFFF"/>
        <w:spacing w:before="0" w:beforeAutospacing="0" w:after="0" w:afterAutospacing="0"/>
        <w:ind w:firstLine="567"/>
        <w:jc w:val="both"/>
        <w:rPr>
          <w:rFonts w:eastAsia="SimSun"/>
          <w:color w:val="000000" w:themeColor="text1"/>
          <w:sz w:val="28"/>
          <w:szCs w:val="28"/>
        </w:rPr>
      </w:pPr>
    </w:p>
    <w:p w14:paraId="08CA7D75" w14:textId="7EE9347F" w:rsidR="009134D6" w:rsidRDefault="009134D6" w:rsidP="00175B4D">
      <w:pPr>
        <w:pStyle w:val="rvps2"/>
        <w:shd w:val="clear" w:color="auto" w:fill="FFFFFF"/>
        <w:spacing w:before="0" w:beforeAutospacing="0" w:after="0" w:afterAutospacing="0"/>
        <w:ind w:firstLine="567"/>
        <w:jc w:val="both"/>
        <w:rPr>
          <w:color w:val="000000" w:themeColor="text1"/>
          <w:sz w:val="28"/>
          <w:szCs w:val="28"/>
        </w:rPr>
      </w:pPr>
      <w:r w:rsidRPr="00B96E75">
        <w:rPr>
          <w:color w:val="000000" w:themeColor="text1"/>
          <w:sz w:val="28"/>
          <w:szCs w:val="28"/>
        </w:rPr>
        <w:t>1) величина частини власного капіталу небанківської фінансової установи, пропорційна частці, яку становить розмір істотної участі особи в статутному (складеному) капіталі не</w:t>
      </w:r>
      <w:r w:rsidR="00356438" w:rsidRPr="00B96E75">
        <w:rPr>
          <w:color w:val="000000" w:themeColor="text1"/>
          <w:sz w:val="28"/>
          <w:szCs w:val="28"/>
        </w:rPr>
        <w:t>банківської фінансової установи</w:t>
      </w:r>
      <w:r w:rsidRPr="00B96E75">
        <w:rPr>
          <w:color w:val="000000" w:themeColor="text1"/>
          <w:sz w:val="28"/>
          <w:szCs w:val="28"/>
        </w:rPr>
        <w:t>;</w:t>
      </w:r>
      <w:r w:rsidR="00D42147">
        <w:rPr>
          <w:color w:val="000000" w:themeColor="text1"/>
          <w:sz w:val="28"/>
          <w:szCs w:val="28"/>
        </w:rPr>
        <w:t xml:space="preserve"> </w:t>
      </w:r>
    </w:p>
    <w:p w14:paraId="538FE4B2" w14:textId="77777777" w:rsidR="00D42147" w:rsidRPr="00B96E75" w:rsidRDefault="00D42147" w:rsidP="00D42147">
      <w:pPr>
        <w:pStyle w:val="rvps2"/>
        <w:shd w:val="clear" w:color="auto" w:fill="FFFFFF"/>
        <w:spacing w:before="0" w:beforeAutospacing="0" w:after="0" w:afterAutospacing="0"/>
        <w:ind w:firstLine="567"/>
        <w:jc w:val="both"/>
        <w:rPr>
          <w:color w:val="000000" w:themeColor="text1"/>
          <w:sz w:val="28"/>
          <w:szCs w:val="28"/>
        </w:rPr>
      </w:pPr>
    </w:p>
    <w:p w14:paraId="5B3BB8AF" w14:textId="698E27A2" w:rsidR="009134D6" w:rsidRDefault="009134D6" w:rsidP="00175B4D">
      <w:pPr>
        <w:pStyle w:val="rvps2"/>
        <w:shd w:val="clear" w:color="auto" w:fill="FFFFFF"/>
        <w:spacing w:before="0" w:beforeAutospacing="0" w:after="0" w:afterAutospacing="0"/>
        <w:ind w:firstLine="567"/>
        <w:jc w:val="both"/>
        <w:rPr>
          <w:color w:val="000000" w:themeColor="text1"/>
          <w:sz w:val="28"/>
          <w:szCs w:val="28"/>
        </w:rPr>
      </w:pPr>
      <w:r w:rsidRPr="00B96E75">
        <w:rPr>
          <w:color w:val="000000" w:themeColor="text1"/>
          <w:sz w:val="28"/>
          <w:szCs w:val="28"/>
        </w:rPr>
        <w:t>2) величина частини статутного (складеного) капіталу небанківської фінансової установи, пропорційна частці, яку становить розмір істотної участі особи в статутному (складеному) капіталі не</w:t>
      </w:r>
      <w:r w:rsidR="00C340AA" w:rsidRPr="00B96E75">
        <w:rPr>
          <w:color w:val="000000" w:themeColor="text1"/>
          <w:sz w:val="28"/>
          <w:szCs w:val="28"/>
        </w:rPr>
        <w:t>банківської фінансової установи</w:t>
      </w:r>
      <w:r w:rsidRPr="00B96E75">
        <w:rPr>
          <w:color w:val="000000" w:themeColor="text1"/>
          <w:sz w:val="28"/>
          <w:szCs w:val="28"/>
        </w:rPr>
        <w:t>;</w:t>
      </w:r>
      <w:r w:rsidR="00D42147">
        <w:rPr>
          <w:color w:val="000000" w:themeColor="text1"/>
          <w:sz w:val="28"/>
          <w:szCs w:val="28"/>
        </w:rPr>
        <w:t xml:space="preserve"> </w:t>
      </w:r>
    </w:p>
    <w:p w14:paraId="0D935BE1" w14:textId="77777777" w:rsidR="00D42147" w:rsidRPr="00B96E75" w:rsidRDefault="00D42147" w:rsidP="00D42147">
      <w:pPr>
        <w:pStyle w:val="rvps2"/>
        <w:shd w:val="clear" w:color="auto" w:fill="FFFFFF"/>
        <w:spacing w:before="0" w:beforeAutospacing="0" w:after="0" w:afterAutospacing="0"/>
        <w:ind w:firstLine="567"/>
        <w:jc w:val="both"/>
        <w:rPr>
          <w:color w:val="000000" w:themeColor="text1"/>
          <w:sz w:val="28"/>
          <w:szCs w:val="28"/>
        </w:rPr>
      </w:pPr>
    </w:p>
    <w:p w14:paraId="698E4B38" w14:textId="14D71757" w:rsidR="00006895" w:rsidRPr="00B96E75" w:rsidRDefault="009134D6" w:rsidP="00175B4D">
      <w:pPr>
        <w:spacing w:after="0" w:line="240" w:lineRule="auto"/>
        <w:ind w:firstLine="567"/>
        <w:rPr>
          <w:rFonts w:eastAsia="SimSun"/>
          <w:color w:val="000000" w:themeColor="text1"/>
        </w:rPr>
      </w:pPr>
      <w:r w:rsidRPr="00B96E75">
        <w:rPr>
          <w:rFonts w:eastAsia="SimSun"/>
          <w:color w:val="000000" w:themeColor="text1"/>
        </w:rPr>
        <w:t xml:space="preserve">3) частина капіталу платоспроможності страховика, пропорційна частці, яку становить розмір істотної участі особи </w:t>
      </w:r>
      <w:r w:rsidR="00883460">
        <w:rPr>
          <w:rFonts w:eastAsia="SimSun"/>
          <w:color w:val="000000" w:themeColor="text1"/>
        </w:rPr>
        <w:t>в</w:t>
      </w:r>
      <w:r w:rsidR="00CB0F2D" w:rsidRPr="00B96E75">
        <w:rPr>
          <w:rFonts w:eastAsia="SimSun"/>
          <w:color w:val="000000" w:themeColor="text1"/>
        </w:rPr>
        <w:t xml:space="preserve"> статутному капіталі страховика</w:t>
      </w:r>
      <w:r w:rsidR="00883460">
        <w:rPr>
          <w:rFonts w:eastAsia="SimSun"/>
          <w:color w:val="000000" w:themeColor="text1"/>
        </w:rPr>
        <w:t>,</w:t>
      </w:r>
      <w:r w:rsidRPr="00B96E75">
        <w:rPr>
          <w:rFonts w:eastAsia="SimSun"/>
          <w:color w:val="000000" w:themeColor="text1"/>
        </w:rPr>
        <w:t xml:space="preserve"> або частина мінімального капіталу, розрахованого </w:t>
      </w:r>
      <w:r w:rsidR="00283B50" w:rsidRPr="00B96E75">
        <w:rPr>
          <w:rFonts w:eastAsia="SimSun"/>
          <w:color w:val="000000" w:themeColor="text1"/>
        </w:rPr>
        <w:t xml:space="preserve">на останню звітну дату, що передує даті підтвердження розміру власних коштів </w:t>
      </w:r>
      <w:r w:rsidRPr="00B96E75">
        <w:rPr>
          <w:rFonts w:eastAsia="SimSun"/>
          <w:color w:val="000000" w:themeColor="text1"/>
        </w:rPr>
        <w:t xml:space="preserve">для цілей оцінки платоспроможності страховика, пропорційна частці, яку становить розмір істотної участі особи </w:t>
      </w:r>
      <w:r w:rsidR="00883460">
        <w:rPr>
          <w:rFonts w:eastAsia="SimSun"/>
          <w:color w:val="000000" w:themeColor="text1"/>
        </w:rPr>
        <w:t>в</w:t>
      </w:r>
      <w:r w:rsidRPr="00B96E75">
        <w:rPr>
          <w:rFonts w:eastAsia="SimSun"/>
          <w:color w:val="000000" w:themeColor="text1"/>
        </w:rPr>
        <w:t xml:space="preserve"> статутному капіталі страховика.</w:t>
      </w:r>
      <w:bookmarkStart w:id="2" w:name="n24"/>
      <w:bookmarkStart w:id="3" w:name="n25"/>
      <w:bookmarkStart w:id="4" w:name="n26"/>
      <w:bookmarkEnd w:id="2"/>
      <w:bookmarkEnd w:id="3"/>
      <w:bookmarkEnd w:id="4"/>
    </w:p>
    <w:p w14:paraId="7E440792" w14:textId="15D96594" w:rsidR="00503475" w:rsidRPr="00B96E75" w:rsidRDefault="00006895" w:rsidP="00175B4D">
      <w:pPr>
        <w:spacing w:after="0" w:line="240" w:lineRule="auto"/>
        <w:ind w:firstLine="567"/>
        <w:rPr>
          <w:rFonts w:eastAsia="SimSun"/>
          <w:color w:val="000000" w:themeColor="text1"/>
        </w:rPr>
      </w:pPr>
      <w:r w:rsidRPr="00B96E75">
        <w:rPr>
          <w:rFonts w:eastAsia="SimSun"/>
          <w:color w:val="000000" w:themeColor="text1"/>
        </w:rPr>
        <w:t>Вимоги підпунктів 1, 2 пункту 10</w:t>
      </w:r>
      <w:r w:rsidRPr="00B96E75">
        <w:rPr>
          <w:rFonts w:eastAsia="SimSun"/>
          <w:color w:val="000000" w:themeColor="text1"/>
          <w:vertAlign w:val="superscript"/>
        </w:rPr>
        <w:t>6</w:t>
      </w:r>
      <w:r w:rsidR="00BF1847">
        <w:rPr>
          <w:rFonts w:eastAsia="SimSun"/>
          <w:color w:val="000000" w:themeColor="text1"/>
        </w:rPr>
        <w:t xml:space="preserve"> цієї постанови</w:t>
      </w:r>
      <w:r w:rsidRPr="00B96E75">
        <w:rPr>
          <w:rFonts w:eastAsia="SimSun"/>
          <w:color w:val="000000" w:themeColor="text1"/>
        </w:rPr>
        <w:t xml:space="preserve"> не поширюються на страховиків.</w:t>
      </w:r>
    </w:p>
    <w:p w14:paraId="5BB7421A" w14:textId="19CC4D25" w:rsidR="005E679F" w:rsidRPr="00B96E75" w:rsidRDefault="00503475" w:rsidP="00175B4D">
      <w:pPr>
        <w:spacing w:after="0" w:line="240" w:lineRule="auto"/>
        <w:ind w:firstLine="567"/>
        <w:rPr>
          <w:rFonts w:eastAsia="SimSun"/>
          <w:color w:val="000000" w:themeColor="text1"/>
        </w:rPr>
      </w:pPr>
      <w:r w:rsidRPr="00B96E75">
        <w:rPr>
          <w:rFonts w:eastAsia="SimSun"/>
          <w:color w:val="000000" w:themeColor="text1"/>
        </w:rPr>
        <w:t>Розмір</w:t>
      </w:r>
      <w:r w:rsidR="00883460">
        <w:rPr>
          <w:rFonts w:eastAsia="SimSun"/>
          <w:color w:val="000000" w:themeColor="text1"/>
        </w:rPr>
        <w:t>и</w:t>
      </w:r>
      <w:r w:rsidRPr="00B96E75">
        <w:rPr>
          <w:rFonts w:eastAsia="SimSun"/>
          <w:color w:val="000000" w:themeColor="text1"/>
        </w:rPr>
        <w:t xml:space="preserve"> капіталу, </w:t>
      </w:r>
      <w:r w:rsidR="00883460">
        <w:rPr>
          <w:rFonts w:eastAsia="SimSun"/>
          <w:color w:val="000000" w:themeColor="text1"/>
        </w:rPr>
        <w:t xml:space="preserve">зазначені в </w:t>
      </w:r>
      <w:r w:rsidRPr="00B96E75">
        <w:rPr>
          <w:rFonts w:eastAsia="SimSun"/>
          <w:color w:val="000000" w:themeColor="text1"/>
        </w:rPr>
        <w:t>підпунктах 1, 2 пункту 10</w:t>
      </w:r>
      <w:r w:rsidRPr="00B96E75">
        <w:rPr>
          <w:rFonts w:eastAsia="SimSun"/>
          <w:color w:val="000000" w:themeColor="text1"/>
          <w:vertAlign w:val="superscript"/>
        </w:rPr>
        <w:t>6</w:t>
      </w:r>
      <w:r w:rsidR="00BF1847">
        <w:rPr>
          <w:rFonts w:eastAsia="SimSun"/>
          <w:color w:val="000000" w:themeColor="text1"/>
        </w:rPr>
        <w:t xml:space="preserve"> цієї постанови</w:t>
      </w:r>
      <w:r w:rsidR="00883460">
        <w:rPr>
          <w:rFonts w:eastAsia="SimSun"/>
          <w:color w:val="000000" w:themeColor="text1"/>
        </w:rPr>
        <w:t>,</w:t>
      </w:r>
      <w:r w:rsidRPr="00D3725A">
        <w:rPr>
          <w:rFonts w:eastAsia="SimSun"/>
          <w:color w:val="000000" w:themeColor="text1"/>
        </w:rPr>
        <w:t xml:space="preserve"> </w:t>
      </w:r>
      <w:r w:rsidRPr="00B96E75">
        <w:rPr>
          <w:rFonts w:eastAsia="SimSun"/>
          <w:color w:val="000000" w:themeColor="text1"/>
        </w:rPr>
        <w:t>визнача</w:t>
      </w:r>
      <w:r w:rsidR="00883460">
        <w:rPr>
          <w:rFonts w:eastAsia="SimSun"/>
          <w:color w:val="000000" w:themeColor="text1"/>
        </w:rPr>
        <w:t>ю</w:t>
      </w:r>
      <w:r w:rsidRPr="00B96E75">
        <w:rPr>
          <w:rFonts w:eastAsia="SimSun"/>
          <w:color w:val="000000" w:themeColor="text1"/>
        </w:rPr>
        <w:t>ться на кінець звітного періоду, що передує даті підтвердження розміру власних коштів.</w:t>
      </w:r>
    </w:p>
    <w:p w14:paraId="1776F36E" w14:textId="77777777" w:rsidR="00175B4D" w:rsidRDefault="005E679F" w:rsidP="00175B4D">
      <w:pPr>
        <w:spacing w:after="0" w:line="240" w:lineRule="auto"/>
        <w:ind w:firstLine="567"/>
        <w:rPr>
          <w:rFonts w:eastAsia="SimSun"/>
          <w:color w:val="000000" w:themeColor="text1"/>
        </w:rPr>
      </w:pPr>
      <w:r w:rsidRPr="00B96E75">
        <w:rPr>
          <w:rFonts w:eastAsia="SimSun"/>
          <w:color w:val="000000" w:themeColor="text1"/>
        </w:rPr>
        <w:t>Розмір капіталу платоспроможності, визначений у підпункті 3 пункту 10</w:t>
      </w:r>
      <w:r w:rsidRPr="00B96E75">
        <w:rPr>
          <w:rFonts w:eastAsia="SimSun"/>
          <w:color w:val="000000" w:themeColor="text1"/>
          <w:vertAlign w:val="superscript"/>
        </w:rPr>
        <w:t>6</w:t>
      </w:r>
      <w:r w:rsidRPr="00D3725A">
        <w:rPr>
          <w:rFonts w:eastAsia="SimSun"/>
          <w:color w:val="000000" w:themeColor="text1"/>
        </w:rPr>
        <w:t xml:space="preserve"> </w:t>
      </w:r>
      <w:r w:rsidRPr="00B96E75">
        <w:rPr>
          <w:rFonts w:eastAsia="SimSun"/>
          <w:color w:val="000000" w:themeColor="text1"/>
        </w:rPr>
        <w:t>цієї постанови</w:t>
      </w:r>
      <w:r w:rsidR="00BF1847">
        <w:rPr>
          <w:rFonts w:eastAsia="SimSun"/>
          <w:color w:val="000000" w:themeColor="text1"/>
        </w:rPr>
        <w:t>,</w:t>
      </w:r>
      <w:r w:rsidRPr="00B96E75">
        <w:rPr>
          <w:rFonts w:eastAsia="SimSun"/>
          <w:color w:val="000000" w:themeColor="text1"/>
        </w:rPr>
        <w:t xml:space="preserve"> визначається станом на останню дату його розрахунку, що передує даті підтвердження розміру власних коштів, відповідно до вимог </w:t>
      </w:r>
      <w:r w:rsidRPr="00B96E75">
        <w:rPr>
          <w:rFonts w:eastAsia="SimSun"/>
          <w:color w:val="000000" w:themeColor="text1"/>
        </w:rPr>
        <w:lastRenderedPageBreak/>
        <w:t xml:space="preserve">нормативно-правового </w:t>
      </w:r>
      <w:proofErr w:type="spellStart"/>
      <w:r w:rsidRPr="00B96E75">
        <w:rPr>
          <w:rFonts w:eastAsia="SimSun"/>
          <w:color w:val="000000" w:themeColor="text1"/>
        </w:rPr>
        <w:t>акта</w:t>
      </w:r>
      <w:proofErr w:type="spellEnd"/>
      <w:r w:rsidRPr="00B96E75">
        <w:rPr>
          <w:rFonts w:eastAsia="SimSun"/>
          <w:color w:val="000000" w:themeColor="text1"/>
        </w:rPr>
        <w:t xml:space="preserve"> Національного банку щодо визначення вимог </w:t>
      </w:r>
      <w:r w:rsidR="006C1E2D" w:rsidRPr="00B96E75">
        <w:rPr>
          <w:rFonts w:eastAsia="SimSun"/>
          <w:color w:val="000000" w:themeColor="text1"/>
        </w:rPr>
        <w:t xml:space="preserve">до платоспроможності </w:t>
      </w:r>
      <w:r w:rsidR="00B138D8" w:rsidRPr="00B96E75">
        <w:rPr>
          <w:rFonts w:eastAsia="SimSun"/>
          <w:color w:val="000000" w:themeColor="text1"/>
        </w:rPr>
        <w:t xml:space="preserve">та інвестиційної діяльності </w:t>
      </w:r>
      <w:r w:rsidR="006C1E2D" w:rsidRPr="00B96E75">
        <w:rPr>
          <w:rFonts w:eastAsia="SimSun"/>
          <w:color w:val="000000" w:themeColor="text1"/>
        </w:rPr>
        <w:t>страховика.</w:t>
      </w:r>
    </w:p>
    <w:p w14:paraId="355CA278" w14:textId="77777777" w:rsidR="00175B4D" w:rsidRDefault="00175B4D" w:rsidP="00175B4D">
      <w:pPr>
        <w:spacing w:after="0" w:line="240" w:lineRule="auto"/>
        <w:ind w:firstLine="567"/>
        <w:rPr>
          <w:rFonts w:eastAsia="SimSun"/>
          <w:color w:val="000000" w:themeColor="text1"/>
        </w:rPr>
      </w:pPr>
    </w:p>
    <w:p w14:paraId="1D2900D8" w14:textId="22ED1789" w:rsidR="008A3E38" w:rsidRPr="00B96E75" w:rsidRDefault="00175B4D" w:rsidP="00175B4D">
      <w:pPr>
        <w:spacing w:after="0" w:line="240" w:lineRule="auto"/>
        <w:ind w:firstLine="567"/>
        <w:rPr>
          <w:rFonts w:eastAsia="SimSun"/>
          <w:color w:val="000000" w:themeColor="text1"/>
        </w:rPr>
      </w:pPr>
      <w:r>
        <w:rPr>
          <w:rFonts w:eastAsia="SimSun"/>
          <w:color w:val="000000" w:themeColor="text1"/>
        </w:rPr>
        <w:t>10</w:t>
      </w:r>
      <w:r w:rsidRPr="00175B4D">
        <w:rPr>
          <w:rFonts w:eastAsia="SimSun"/>
          <w:color w:val="000000" w:themeColor="text1"/>
          <w:vertAlign w:val="superscript"/>
        </w:rPr>
        <w:t>7</w:t>
      </w:r>
      <w:r>
        <w:rPr>
          <w:rFonts w:eastAsia="SimSun"/>
          <w:color w:val="000000" w:themeColor="text1"/>
        </w:rPr>
        <w:t xml:space="preserve">. </w:t>
      </w:r>
      <w:r w:rsidRPr="00175B4D">
        <w:rPr>
          <w:rFonts w:eastAsia="SimSun"/>
          <w:color w:val="000000" w:themeColor="text1"/>
        </w:rPr>
        <w:t xml:space="preserve">Національний банк у межах процедури, визначеної цією </w:t>
      </w:r>
      <w:r w:rsidR="000951FE">
        <w:rPr>
          <w:rFonts w:eastAsia="SimSun"/>
          <w:color w:val="000000" w:themeColor="text1"/>
        </w:rPr>
        <w:t>п</w:t>
      </w:r>
      <w:r w:rsidRPr="00175B4D">
        <w:rPr>
          <w:rFonts w:eastAsia="SimSun"/>
          <w:color w:val="000000" w:themeColor="text1"/>
        </w:rPr>
        <w:t>остановою, має право</w:t>
      </w:r>
      <w:bookmarkStart w:id="5" w:name="n155"/>
      <w:bookmarkEnd w:id="5"/>
      <w:r w:rsidRPr="00175B4D">
        <w:rPr>
          <w:rFonts w:eastAsia="SimSun"/>
          <w:color w:val="000000" w:themeColor="text1"/>
        </w:rPr>
        <w:t xml:space="preserve"> вимагати від небанківської фінансової установи інформацію, документи, пояснення, необхідні для уточнення або перевірки відомостей, що були подані до Національного банку, а також для повного та всебічного аналізу </w:t>
      </w:r>
      <w:r w:rsidR="00140405">
        <w:rPr>
          <w:rFonts w:eastAsia="SimSun"/>
          <w:color w:val="000000" w:themeColor="text1"/>
        </w:rPr>
        <w:t xml:space="preserve"> </w:t>
      </w:r>
      <w:r w:rsidRPr="00175B4D">
        <w:rPr>
          <w:rFonts w:eastAsia="SimSun"/>
          <w:color w:val="000000" w:themeColor="text1"/>
        </w:rPr>
        <w:t xml:space="preserve">й прийняття ним мотивованого рішення відповідно до цієї </w:t>
      </w:r>
      <w:r w:rsidR="00367B99">
        <w:rPr>
          <w:rFonts w:eastAsia="SimSun"/>
          <w:color w:val="000000" w:themeColor="text1"/>
        </w:rPr>
        <w:t>п</w:t>
      </w:r>
      <w:r w:rsidRPr="00175B4D">
        <w:rPr>
          <w:rFonts w:eastAsia="SimSun"/>
          <w:color w:val="000000" w:themeColor="text1"/>
        </w:rPr>
        <w:t>останови.</w:t>
      </w:r>
      <w:r w:rsidR="00B058CF" w:rsidRPr="00175B4D">
        <w:rPr>
          <w:rFonts w:eastAsia="SimSun"/>
          <w:color w:val="000000" w:themeColor="text1"/>
        </w:rPr>
        <w:t>”.</w:t>
      </w:r>
    </w:p>
    <w:p w14:paraId="49122E31" w14:textId="77777777" w:rsidR="003A43F1" w:rsidRPr="00B96E75" w:rsidRDefault="003A43F1" w:rsidP="00175B4D">
      <w:pPr>
        <w:spacing w:after="0" w:line="240" w:lineRule="auto"/>
        <w:ind w:firstLine="567"/>
        <w:rPr>
          <w:rFonts w:eastAsia="SimSun"/>
          <w:color w:val="000000" w:themeColor="text1"/>
        </w:rPr>
      </w:pPr>
    </w:p>
    <w:p w14:paraId="0F843EAA" w14:textId="2DB273C2" w:rsidR="00A249CB" w:rsidRPr="00B96E75" w:rsidRDefault="00B058CF" w:rsidP="00175B4D">
      <w:pPr>
        <w:spacing w:after="0" w:line="240" w:lineRule="auto"/>
        <w:ind w:firstLine="567"/>
        <w:rPr>
          <w:color w:val="000000" w:themeColor="text1"/>
        </w:rPr>
      </w:pPr>
      <w:r w:rsidRPr="00B96E75">
        <w:rPr>
          <w:rFonts w:eastAsia="SimSun"/>
          <w:color w:val="000000" w:themeColor="text1"/>
        </w:rPr>
        <w:t>2</w:t>
      </w:r>
      <w:r w:rsidR="001C60E8" w:rsidRPr="00B96E75">
        <w:rPr>
          <w:rFonts w:eastAsia="SimSun"/>
          <w:color w:val="000000" w:themeColor="text1"/>
        </w:rPr>
        <w:t xml:space="preserve">. </w:t>
      </w:r>
      <w:r w:rsidR="00A249CB" w:rsidRPr="00B96E75">
        <w:rPr>
          <w:rFonts w:eastAsia="SimSun"/>
          <w:color w:val="000000" w:themeColor="text1"/>
        </w:rPr>
        <w:t>Постанова набирає чинності з дня, наступного за днем її офіційного опублікування.</w:t>
      </w:r>
    </w:p>
    <w:p w14:paraId="5F64C1C5" w14:textId="00D88ECC" w:rsidR="003A43F1" w:rsidRDefault="003A43F1" w:rsidP="00A249CB">
      <w:pPr>
        <w:pStyle w:val="1"/>
        <w:pBdr>
          <w:top w:val="none" w:sz="0" w:space="0" w:color="000000"/>
          <w:left w:val="none" w:sz="0" w:space="0" w:color="000000"/>
          <w:bottom w:val="none" w:sz="0" w:space="0" w:color="000000"/>
          <w:right w:val="none" w:sz="0" w:space="0" w:color="000000"/>
        </w:pBdr>
        <w:tabs>
          <w:tab w:val="left" w:pos="993"/>
        </w:tabs>
        <w:spacing w:line="240" w:lineRule="auto"/>
        <w:ind w:left="568"/>
        <w:rPr>
          <w:shd w:val="clear" w:color="auto" w:fill="FFFFFF"/>
        </w:rPr>
      </w:pPr>
    </w:p>
    <w:p w14:paraId="0EEAE973" w14:textId="77777777" w:rsidR="00EB00DF" w:rsidRPr="00981FF0" w:rsidRDefault="00EB00DF" w:rsidP="00A249CB">
      <w:pPr>
        <w:pStyle w:val="1"/>
        <w:pBdr>
          <w:top w:val="none" w:sz="0" w:space="0" w:color="000000"/>
          <w:left w:val="none" w:sz="0" w:space="0" w:color="000000"/>
          <w:bottom w:val="none" w:sz="0" w:space="0" w:color="000000"/>
          <w:right w:val="none" w:sz="0" w:space="0" w:color="000000"/>
        </w:pBdr>
        <w:tabs>
          <w:tab w:val="left" w:pos="993"/>
        </w:tabs>
        <w:spacing w:line="240" w:lineRule="auto"/>
        <w:ind w:left="568"/>
        <w:rPr>
          <w:shd w:val="clear" w:color="auto" w:fill="FFFFFF"/>
        </w:rPr>
      </w:pPr>
    </w:p>
    <w:tbl>
      <w:tblPr>
        <w:tblW w:w="9747" w:type="dxa"/>
        <w:tblLook w:val="04A0" w:firstRow="1" w:lastRow="0" w:firstColumn="1" w:lastColumn="0" w:noHBand="0" w:noVBand="1"/>
      </w:tblPr>
      <w:tblGrid>
        <w:gridCol w:w="5494"/>
        <w:gridCol w:w="4253"/>
      </w:tblGrid>
      <w:tr w:rsidR="00A249CB" w:rsidRPr="00981FF0" w14:paraId="6974631B" w14:textId="77777777" w:rsidTr="00E341FF">
        <w:tc>
          <w:tcPr>
            <w:tcW w:w="5494" w:type="dxa"/>
            <w:shd w:val="clear" w:color="auto" w:fill="auto"/>
            <w:vAlign w:val="bottom"/>
          </w:tcPr>
          <w:p w14:paraId="376A7D61" w14:textId="77777777" w:rsidR="00A249CB" w:rsidRPr="00981FF0" w:rsidRDefault="00A249CB" w:rsidP="00E341FF">
            <w:pPr>
              <w:spacing w:after="0" w:line="240" w:lineRule="auto"/>
              <w:contextualSpacing/>
            </w:pPr>
            <w:r w:rsidRPr="00981FF0">
              <w:t>Голова</w:t>
            </w:r>
          </w:p>
        </w:tc>
        <w:tc>
          <w:tcPr>
            <w:tcW w:w="4253" w:type="dxa"/>
            <w:shd w:val="clear" w:color="auto" w:fill="auto"/>
            <w:vAlign w:val="bottom"/>
          </w:tcPr>
          <w:p w14:paraId="0B58D1C7" w14:textId="77777777" w:rsidR="00A249CB" w:rsidRPr="00981FF0" w:rsidRDefault="00A249CB" w:rsidP="00E341FF">
            <w:pPr>
              <w:tabs>
                <w:tab w:val="left" w:pos="7020"/>
                <w:tab w:val="left" w:pos="7200"/>
              </w:tabs>
              <w:spacing w:after="0" w:line="240" w:lineRule="auto"/>
              <w:ind w:firstLine="567"/>
              <w:contextualSpacing/>
            </w:pPr>
            <w:r w:rsidRPr="00981FF0">
              <w:t xml:space="preserve">       </w:t>
            </w:r>
            <w:r w:rsidRPr="00981FF0">
              <w:rPr>
                <w:rFonts w:eastAsia="SimSun"/>
              </w:rPr>
              <w:t>Андрій ПИШНИЙ</w:t>
            </w:r>
          </w:p>
        </w:tc>
      </w:tr>
    </w:tbl>
    <w:p w14:paraId="310AFC45" w14:textId="77777777" w:rsidR="00A249CB" w:rsidRPr="00981FF0" w:rsidRDefault="00A249CB" w:rsidP="00A249CB">
      <w:pPr>
        <w:spacing w:after="0" w:line="240" w:lineRule="auto"/>
        <w:ind w:firstLine="567"/>
        <w:contextualSpacing/>
        <w:rPr>
          <w:rFonts w:eastAsia="SimSun"/>
        </w:rPr>
      </w:pPr>
    </w:p>
    <w:p w14:paraId="0D7CA768" w14:textId="77777777" w:rsidR="00314F7E" w:rsidRDefault="00A249CB" w:rsidP="00A249CB">
      <w:r w:rsidRPr="00981FF0">
        <w:rPr>
          <w:rFonts w:eastAsia="SimSun"/>
        </w:rPr>
        <w:t>Інд. 33</w:t>
      </w:r>
    </w:p>
    <w:sectPr w:rsidR="00314F7E" w:rsidSect="004D24D6">
      <w:headerReference w:type="default" r:id="rId9"/>
      <w:pgSz w:w="11906" w:h="16838" w:code="9"/>
      <w:pgMar w:top="567" w:right="567" w:bottom="1701"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D686" w14:textId="77777777" w:rsidR="00BA1995" w:rsidRDefault="00BA1995" w:rsidP="008138A3">
      <w:pPr>
        <w:spacing w:after="0" w:line="240" w:lineRule="auto"/>
      </w:pPr>
      <w:r>
        <w:separator/>
      </w:r>
    </w:p>
  </w:endnote>
  <w:endnote w:type="continuationSeparator" w:id="0">
    <w:p w14:paraId="21899A41" w14:textId="77777777" w:rsidR="00BA1995" w:rsidRDefault="00BA1995" w:rsidP="0081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0F11E" w14:textId="77777777" w:rsidR="00BA1995" w:rsidRDefault="00BA1995" w:rsidP="008138A3">
      <w:pPr>
        <w:spacing w:after="0" w:line="240" w:lineRule="auto"/>
      </w:pPr>
      <w:r>
        <w:separator/>
      </w:r>
    </w:p>
  </w:footnote>
  <w:footnote w:type="continuationSeparator" w:id="0">
    <w:p w14:paraId="10C02FFA" w14:textId="77777777" w:rsidR="00BA1995" w:rsidRDefault="00BA1995" w:rsidP="0081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644774"/>
      <w:docPartObj>
        <w:docPartGallery w:val="Page Numbers (Top of Page)"/>
        <w:docPartUnique/>
      </w:docPartObj>
    </w:sdtPr>
    <w:sdtEndPr/>
    <w:sdtContent>
      <w:p w14:paraId="41838355" w14:textId="6F9ED473" w:rsidR="008138A3" w:rsidRDefault="008138A3">
        <w:pPr>
          <w:pStyle w:val="a6"/>
          <w:jc w:val="center"/>
        </w:pPr>
        <w:r>
          <w:fldChar w:fldCharType="begin"/>
        </w:r>
        <w:r>
          <w:instrText>PAGE   \* MERGEFORMAT</w:instrText>
        </w:r>
        <w:r>
          <w:fldChar w:fldCharType="separate"/>
        </w:r>
        <w:r w:rsidR="00C14439">
          <w:rPr>
            <w:noProof/>
          </w:rPr>
          <w:t>7</w:t>
        </w:r>
        <w:r>
          <w:fldChar w:fldCharType="end"/>
        </w:r>
      </w:p>
    </w:sdtContent>
  </w:sdt>
  <w:p w14:paraId="6D521943" w14:textId="77777777" w:rsidR="008138A3" w:rsidRDefault="008138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F36"/>
    <w:multiLevelType w:val="hybridMultilevel"/>
    <w:tmpl w:val="DF1E25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2361E83"/>
    <w:multiLevelType w:val="hybridMultilevel"/>
    <w:tmpl w:val="573E63BC"/>
    <w:lvl w:ilvl="0" w:tplc="752A5514">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AF34477"/>
    <w:multiLevelType w:val="hybridMultilevel"/>
    <w:tmpl w:val="41581A58"/>
    <w:lvl w:ilvl="0" w:tplc="0E4CF89C">
      <w:start w:val="1"/>
      <w:numFmt w:val="decimal"/>
      <w:lvlText w:val="%1)"/>
      <w:lvlJc w:val="left"/>
      <w:pPr>
        <w:ind w:left="1144" w:hanging="4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57955DF"/>
    <w:multiLevelType w:val="hybridMultilevel"/>
    <w:tmpl w:val="CDACCC06"/>
    <w:lvl w:ilvl="0" w:tplc="EC2AC9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BC91F5C"/>
    <w:multiLevelType w:val="hybridMultilevel"/>
    <w:tmpl w:val="BA388480"/>
    <w:lvl w:ilvl="0" w:tplc="0422000F">
      <w:start w:val="1"/>
      <w:numFmt w:val="decimal"/>
      <w:lvlText w:val="%1."/>
      <w:lvlJc w:val="left"/>
      <w:pPr>
        <w:ind w:left="4755" w:hanging="360"/>
      </w:pPr>
      <w:rPr>
        <w:rFonts w:hint="default"/>
      </w:rPr>
    </w:lvl>
    <w:lvl w:ilvl="1" w:tplc="04220019" w:tentative="1">
      <w:start w:val="1"/>
      <w:numFmt w:val="lowerLetter"/>
      <w:lvlText w:val="%2."/>
      <w:lvlJc w:val="left"/>
      <w:pPr>
        <w:ind w:left="5475" w:hanging="360"/>
      </w:pPr>
    </w:lvl>
    <w:lvl w:ilvl="2" w:tplc="0422001B" w:tentative="1">
      <w:start w:val="1"/>
      <w:numFmt w:val="lowerRoman"/>
      <w:lvlText w:val="%3."/>
      <w:lvlJc w:val="right"/>
      <w:pPr>
        <w:ind w:left="6195" w:hanging="180"/>
      </w:pPr>
    </w:lvl>
    <w:lvl w:ilvl="3" w:tplc="0422000F" w:tentative="1">
      <w:start w:val="1"/>
      <w:numFmt w:val="decimal"/>
      <w:lvlText w:val="%4."/>
      <w:lvlJc w:val="left"/>
      <w:pPr>
        <w:ind w:left="6915" w:hanging="360"/>
      </w:pPr>
    </w:lvl>
    <w:lvl w:ilvl="4" w:tplc="04220019" w:tentative="1">
      <w:start w:val="1"/>
      <w:numFmt w:val="lowerLetter"/>
      <w:lvlText w:val="%5."/>
      <w:lvlJc w:val="left"/>
      <w:pPr>
        <w:ind w:left="7635" w:hanging="360"/>
      </w:pPr>
    </w:lvl>
    <w:lvl w:ilvl="5" w:tplc="0422001B" w:tentative="1">
      <w:start w:val="1"/>
      <w:numFmt w:val="lowerRoman"/>
      <w:lvlText w:val="%6."/>
      <w:lvlJc w:val="right"/>
      <w:pPr>
        <w:ind w:left="8355" w:hanging="180"/>
      </w:pPr>
    </w:lvl>
    <w:lvl w:ilvl="6" w:tplc="0422000F" w:tentative="1">
      <w:start w:val="1"/>
      <w:numFmt w:val="decimal"/>
      <w:lvlText w:val="%7."/>
      <w:lvlJc w:val="left"/>
      <w:pPr>
        <w:ind w:left="9075" w:hanging="360"/>
      </w:pPr>
    </w:lvl>
    <w:lvl w:ilvl="7" w:tplc="04220019" w:tentative="1">
      <w:start w:val="1"/>
      <w:numFmt w:val="lowerLetter"/>
      <w:lvlText w:val="%8."/>
      <w:lvlJc w:val="left"/>
      <w:pPr>
        <w:ind w:left="9795" w:hanging="360"/>
      </w:pPr>
    </w:lvl>
    <w:lvl w:ilvl="8" w:tplc="0422001B" w:tentative="1">
      <w:start w:val="1"/>
      <w:numFmt w:val="lowerRoman"/>
      <w:lvlText w:val="%9."/>
      <w:lvlJc w:val="right"/>
      <w:pPr>
        <w:ind w:left="1051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9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10"/>
    <w:rsid w:val="0000487B"/>
    <w:rsid w:val="00005B2F"/>
    <w:rsid w:val="00006895"/>
    <w:rsid w:val="00006E8F"/>
    <w:rsid w:val="0000769F"/>
    <w:rsid w:val="000131E2"/>
    <w:rsid w:val="00017290"/>
    <w:rsid w:val="000348CE"/>
    <w:rsid w:val="00034EDA"/>
    <w:rsid w:val="00037AD1"/>
    <w:rsid w:val="00037D68"/>
    <w:rsid w:val="000449C8"/>
    <w:rsid w:val="00053210"/>
    <w:rsid w:val="00054EF9"/>
    <w:rsid w:val="00064C83"/>
    <w:rsid w:val="00065BAC"/>
    <w:rsid w:val="00066624"/>
    <w:rsid w:val="00073D25"/>
    <w:rsid w:val="00077EFC"/>
    <w:rsid w:val="000800C1"/>
    <w:rsid w:val="00082AA1"/>
    <w:rsid w:val="00094A7A"/>
    <w:rsid w:val="000951FE"/>
    <w:rsid w:val="000A1066"/>
    <w:rsid w:val="000A1912"/>
    <w:rsid w:val="000A3072"/>
    <w:rsid w:val="000B21B3"/>
    <w:rsid w:val="000C3B58"/>
    <w:rsid w:val="000C5A8E"/>
    <w:rsid w:val="000D2F53"/>
    <w:rsid w:val="000D7BB2"/>
    <w:rsid w:val="000E325B"/>
    <w:rsid w:val="000E4F4E"/>
    <w:rsid w:val="000F12BA"/>
    <w:rsid w:val="000F1A93"/>
    <w:rsid w:val="000F301A"/>
    <w:rsid w:val="000F6402"/>
    <w:rsid w:val="000F78C7"/>
    <w:rsid w:val="001005C8"/>
    <w:rsid w:val="00140405"/>
    <w:rsid w:val="00141AFA"/>
    <w:rsid w:val="00141DDF"/>
    <w:rsid w:val="001461A8"/>
    <w:rsid w:val="001620F7"/>
    <w:rsid w:val="00166791"/>
    <w:rsid w:val="001705F4"/>
    <w:rsid w:val="0017108C"/>
    <w:rsid w:val="00173E77"/>
    <w:rsid w:val="00175B4D"/>
    <w:rsid w:val="00181299"/>
    <w:rsid w:val="00190C7C"/>
    <w:rsid w:val="001B7847"/>
    <w:rsid w:val="001C1CBE"/>
    <w:rsid w:val="001C60E8"/>
    <w:rsid w:val="001C62AB"/>
    <w:rsid w:val="001D26C7"/>
    <w:rsid w:val="001E5DB7"/>
    <w:rsid w:val="00207ECE"/>
    <w:rsid w:val="00215320"/>
    <w:rsid w:val="00241DAA"/>
    <w:rsid w:val="00241EC4"/>
    <w:rsid w:val="00257866"/>
    <w:rsid w:val="002604EF"/>
    <w:rsid w:val="00265D0D"/>
    <w:rsid w:val="00267D4E"/>
    <w:rsid w:val="0027001D"/>
    <w:rsid w:val="002769EF"/>
    <w:rsid w:val="00277AD8"/>
    <w:rsid w:val="0028314B"/>
    <w:rsid w:val="00283B50"/>
    <w:rsid w:val="0028696F"/>
    <w:rsid w:val="0029144B"/>
    <w:rsid w:val="0029315C"/>
    <w:rsid w:val="002A42E7"/>
    <w:rsid w:val="002B0A91"/>
    <w:rsid w:val="002D163E"/>
    <w:rsid w:val="003028C3"/>
    <w:rsid w:val="00314F7E"/>
    <w:rsid w:val="00317F4E"/>
    <w:rsid w:val="003205E4"/>
    <w:rsid w:val="00321A73"/>
    <w:rsid w:val="00325F5F"/>
    <w:rsid w:val="00327536"/>
    <w:rsid w:val="0033335A"/>
    <w:rsid w:val="00341A3D"/>
    <w:rsid w:val="003421FE"/>
    <w:rsid w:val="00342FFA"/>
    <w:rsid w:val="0034794F"/>
    <w:rsid w:val="003501CF"/>
    <w:rsid w:val="00353BC8"/>
    <w:rsid w:val="0035552B"/>
    <w:rsid w:val="00355CD8"/>
    <w:rsid w:val="00356438"/>
    <w:rsid w:val="00366061"/>
    <w:rsid w:val="00367A92"/>
    <w:rsid w:val="00367B99"/>
    <w:rsid w:val="003700F7"/>
    <w:rsid w:val="00372746"/>
    <w:rsid w:val="00383389"/>
    <w:rsid w:val="00384750"/>
    <w:rsid w:val="00390044"/>
    <w:rsid w:val="003941EB"/>
    <w:rsid w:val="00394B46"/>
    <w:rsid w:val="003A43F1"/>
    <w:rsid w:val="003A54F7"/>
    <w:rsid w:val="003A56B6"/>
    <w:rsid w:val="003A709F"/>
    <w:rsid w:val="003B0786"/>
    <w:rsid w:val="003C5406"/>
    <w:rsid w:val="003D609E"/>
    <w:rsid w:val="003D79B8"/>
    <w:rsid w:val="003F7F9F"/>
    <w:rsid w:val="00402567"/>
    <w:rsid w:val="00420F36"/>
    <w:rsid w:val="00421252"/>
    <w:rsid w:val="0042281E"/>
    <w:rsid w:val="0042531C"/>
    <w:rsid w:val="00431FB9"/>
    <w:rsid w:val="00443830"/>
    <w:rsid w:val="004505A9"/>
    <w:rsid w:val="00463A79"/>
    <w:rsid w:val="004642DD"/>
    <w:rsid w:val="00465706"/>
    <w:rsid w:val="00471739"/>
    <w:rsid w:val="004767E6"/>
    <w:rsid w:val="004831E6"/>
    <w:rsid w:val="004845D4"/>
    <w:rsid w:val="004863F9"/>
    <w:rsid w:val="00490094"/>
    <w:rsid w:val="00490BFD"/>
    <w:rsid w:val="00494F1B"/>
    <w:rsid w:val="00496223"/>
    <w:rsid w:val="004A0E0B"/>
    <w:rsid w:val="004B112E"/>
    <w:rsid w:val="004B1FCE"/>
    <w:rsid w:val="004B3BE8"/>
    <w:rsid w:val="004B3FA6"/>
    <w:rsid w:val="004C3A26"/>
    <w:rsid w:val="004C7141"/>
    <w:rsid w:val="004D24D6"/>
    <w:rsid w:val="004D6F72"/>
    <w:rsid w:val="004E0090"/>
    <w:rsid w:val="004E2D79"/>
    <w:rsid w:val="004E5B75"/>
    <w:rsid w:val="004F13A6"/>
    <w:rsid w:val="00500EE8"/>
    <w:rsid w:val="0050245D"/>
    <w:rsid w:val="005025FE"/>
    <w:rsid w:val="00503475"/>
    <w:rsid w:val="00516D30"/>
    <w:rsid w:val="00525F45"/>
    <w:rsid w:val="00527CA3"/>
    <w:rsid w:val="00534A4D"/>
    <w:rsid w:val="005448A0"/>
    <w:rsid w:val="00550E24"/>
    <w:rsid w:val="00550EA9"/>
    <w:rsid w:val="00552369"/>
    <w:rsid w:val="00552D6C"/>
    <w:rsid w:val="00554A5A"/>
    <w:rsid w:val="00555E9E"/>
    <w:rsid w:val="00556B88"/>
    <w:rsid w:val="00557EB7"/>
    <w:rsid w:val="0057043F"/>
    <w:rsid w:val="0057348B"/>
    <w:rsid w:val="00577E96"/>
    <w:rsid w:val="00580D61"/>
    <w:rsid w:val="005834E5"/>
    <w:rsid w:val="0059160D"/>
    <w:rsid w:val="00597F5E"/>
    <w:rsid w:val="005B3DB6"/>
    <w:rsid w:val="005B41C1"/>
    <w:rsid w:val="005D46F1"/>
    <w:rsid w:val="005E1463"/>
    <w:rsid w:val="005E679F"/>
    <w:rsid w:val="005F03A0"/>
    <w:rsid w:val="005F2149"/>
    <w:rsid w:val="005F5A5F"/>
    <w:rsid w:val="006048BC"/>
    <w:rsid w:val="006252AB"/>
    <w:rsid w:val="00632F63"/>
    <w:rsid w:val="00633CB0"/>
    <w:rsid w:val="00635176"/>
    <w:rsid w:val="0064376E"/>
    <w:rsid w:val="0065401B"/>
    <w:rsid w:val="0065770C"/>
    <w:rsid w:val="0067458B"/>
    <w:rsid w:val="00674B20"/>
    <w:rsid w:val="0068136B"/>
    <w:rsid w:val="00681A71"/>
    <w:rsid w:val="00683216"/>
    <w:rsid w:val="00690351"/>
    <w:rsid w:val="00690CED"/>
    <w:rsid w:val="006C1E2D"/>
    <w:rsid w:val="006D4887"/>
    <w:rsid w:val="006D6123"/>
    <w:rsid w:val="006E0648"/>
    <w:rsid w:val="006E165D"/>
    <w:rsid w:val="006E5502"/>
    <w:rsid w:val="006F69DF"/>
    <w:rsid w:val="00705E4B"/>
    <w:rsid w:val="00724AB0"/>
    <w:rsid w:val="00734428"/>
    <w:rsid w:val="00741671"/>
    <w:rsid w:val="00745F2D"/>
    <w:rsid w:val="00755BFF"/>
    <w:rsid w:val="00755C7C"/>
    <w:rsid w:val="007608F2"/>
    <w:rsid w:val="007747C3"/>
    <w:rsid w:val="00784526"/>
    <w:rsid w:val="00784717"/>
    <w:rsid w:val="007902D5"/>
    <w:rsid w:val="007968E8"/>
    <w:rsid w:val="007B268C"/>
    <w:rsid w:val="007C5DFA"/>
    <w:rsid w:val="007C5FD7"/>
    <w:rsid w:val="007F611A"/>
    <w:rsid w:val="00801D59"/>
    <w:rsid w:val="00803D4E"/>
    <w:rsid w:val="00805919"/>
    <w:rsid w:val="00810131"/>
    <w:rsid w:val="008138A3"/>
    <w:rsid w:val="00815F91"/>
    <w:rsid w:val="00820ABB"/>
    <w:rsid w:val="00826AFA"/>
    <w:rsid w:val="00827B7E"/>
    <w:rsid w:val="00827FC0"/>
    <w:rsid w:val="008321A3"/>
    <w:rsid w:val="00837D08"/>
    <w:rsid w:val="008414F6"/>
    <w:rsid w:val="00867CBA"/>
    <w:rsid w:val="00874CEE"/>
    <w:rsid w:val="00883460"/>
    <w:rsid w:val="0088671A"/>
    <w:rsid w:val="008A3E38"/>
    <w:rsid w:val="008A48A6"/>
    <w:rsid w:val="008B1AED"/>
    <w:rsid w:val="008B2865"/>
    <w:rsid w:val="008B43AC"/>
    <w:rsid w:val="008B67FD"/>
    <w:rsid w:val="008B6D86"/>
    <w:rsid w:val="00900DD7"/>
    <w:rsid w:val="00901792"/>
    <w:rsid w:val="009134D6"/>
    <w:rsid w:val="009142FC"/>
    <w:rsid w:val="00916675"/>
    <w:rsid w:val="0092205B"/>
    <w:rsid w:val="00925B59"/>
    <w:rsid w:val="00934CBB"/>
    <w:rsid w:val="009379D7"/>
    <w:rsid w:val="00940B98"/>
    <w:rsid w:val="00951C19"/>
    <w:rsid w:val="00963FD2"/>
    <w:rsid w:val="00970836"/>
    <w:rsid w:val="009713E5"/>
    <w:rsid w:val="009715A5"/>
    <w:rsid w:val="00975598"/>
    <w:rsid w:val="00981FF0"/>
    <w:rsid w:val="00983525"/>
    <w:rsid w:val="009C1692"/>
    <w:rsid w:val="009D4E05"/>
    <w:rsid w:val="009D6938"/>
    <w:rsid w:val="009D755C"/>
    <w:rsid w:val="009D7A6A"/>
    <w:rsid w:val="009D7E44"/>
    <w:rsid w:val="009E2D2A"/>
    <w:rsid w:val="009F2D2B"/>
    <w:rsid w:val="009F509E"/>
    <w:rsid w:val="00A10B72"/>
    <w:rsid w:val="00A10D65"/>
    <w:rsid w:val="00A16DC4"/>
    <w:rsid w:val="00A2299C"/>
    <w:rsid w:val="00A249CB"/>
    <w:rsid w:val="00A330A0"/>
    <w:rsid w:val="00A34D44"/>
    <w:rsid w:val="00A3583B"/>
    <w:rsid w:val="00A43ED3"/>
    <w:rsid w:val="00A56B14"/>
    <w:rsid w:val="00A5770C"/>
    <w:rsid w:val="00A6184C"/>
    <w:rsid w:val="00A626E9"/>
    <w:rsid w:val="00A81BB8"/>
    <w:rsid w:val="00A8496A"/>
    <w:rsid w:val="00A90D8A"/>
    <w:rsid w:val="00A931F0"/>
    <w:rsid w:val="00A96804"/>
    <w:rsid w:val="00AB07B9"/>
    <w:rsid w:val="00AB091B"/>
    <w:rsid w:val="00AC48AD"/>
    <w:rsid w:val="00AF3CC8"/>
    <w:rsid w:val="00AF6309"/>
    <w:rsid w:val="00B04B13"/>
    <w:rsid w:val="00B058CF"/>
    <w:rsid w:val="00B06CAD"/>
    <w:rsid w:val="00B138D8"/>
    <w:rsid w:val="00B14EF2"/>
    <w:rsid w:val="00B25EC9"/>
    <w:rsid w:val="00B27B1A"/>
    <w:rsid w:val="00B442C9"/>
    <w:rsid w:val="00B4530B"/>
    <w:rsid w:val="00B505CD"/>
    <w:rsid w:val="00B60CE6"/>
    <w:rsid w:val="00B67D55"/>
    <w:rsid w:val="00B74181"/>
    <w:rsid w:val="00B92576"/>
    <w:rsid w:val="00B930FD"/>
    <w:rsid w:val="00B93EFB"/>
    <w:rsid w:val="00B96E75"/>
    <w:rsid w:val="00B96FAC"/>
    <w:rsid w:val="00BA1995"/>
    <w:rsid w:val="00BA29EC"/>
    <w:rsid w:val="00BA4028"/>
    <w:rsid w:val="00BA69B1"/>
    <w:rsid w:val="00BD40CA"/>
    <w:rsid w:val="00BD4C01"/>
    <w:rsid w:val="00BE0E30"/>
    <w:rsid w:val="00BE30E2"/>
    <w:rsid w:val="00BE3110"/>
    <w:rsid w:val="00BE3379"/>
    <w:rsid w:val="00BE7B35"/>
    <w:rsid w:val="00BF1847"/>
    <w:rsid w:val="00BF7FC0"/>
    <w:rsid w:val="00C07EE7"/>
    <w:rsid w:val="00C133D5"/>
    <w:rsid w:val="00C14439"/>
    <w:rsid w:val="00C340AA"/>
    <w:rsid w:val="00C35B83"/>
    <w:rsid w:val="00C4446B"/>
    <w:rsid w:val="00C44FD8"/>
    <w:rsid w:val="00C509D7"/>
    <w:rsid w:val="00C57AD9"/>
    <w:rsid w:val="00C74DB8"/>
    <w:rsid w:val="00C77896"/>
    <w:rsid w:val="00C91B20"/>
    <w:rsid w:val="00C97485"/>
    <w:rsid w:val="00CA0E06"/>
    <w:rsid w:val="00CA4F2D"/>
    <w:rsid w:val="00CB0F2D"/>
    <w:rsid w:val="00CB1D4A"/>
    <w:rsid w:val="00CD2FDD"/>
    <w:rsid w:val="00CE0AF4"/>
    <w:rsid w:val="00CF19AA"/>
    <w:rsid w:val="00CF1DD6"/>
    <w:rsid w:val="00CF4C40"/>
    <w:rsid w:val="00CF6D38"/>
    <w:rsid w:val="00D13020"/>
    <w:rsid w:val="00D220DF"/>
    <w:rsid w:val="00D24316"/>
    <w:rsid w:val="00D31EED"/>
    <w:rsid w:val="00D32910"/>
    <w:rsid w:val="00D338D6"/>
    <w:rsid w:val="00D3725A"/>
    <w:rsid w:val="00D378D1"/>
    <w:rsid w:val="00D42147"/>
    <w:rsid w:val="00D42C2B"/>
    <w:rsid w:val="00D52661"/>
    <w:rsid w:val="00D52948"/>
    <w:rsid w:val="00D57FD2"/>
    <w:rsid w:val="00D6696A"/>
    <w:rsid w:val="00D778C3"/>
    <w:rsid w:val="00D8686D"/>
    <w:rsid w:val="00D96F25"/>
    <w:rsid w:val="00D97DD6"/>
    <w:rsid w:val="00DA1050"/>
    <w:rsid w:val="00DA10E3"/>
    <w:rsid w:val="00DA1E92"/>
    <w:rsid w:val="00DA7C08"/>
    <w:rsid w:val="00DB0819"/>
    <w:rsid w:val="00DB6672"/>
    <w:rsid w:val="00DC654D"/>
    <w:rsid w:val="00DC7728"/>
    <w:rsid w:val="00DD292F"/>
    <w:rsid w:val="00DE27D8"/>
    <w:rsid w:val="00DE4D07"/>
    <w:rsid w:val="00E00C9F"/>
    <w:rsid w:val="00E10F68"/>
    <w:rsid w:val="00E126B8"/>
    <w:rsid w:val="00E15E45"/>
    <w:rsid w:val="00E24CF2"/>
    <w:rsid w:val="00E337DC"/>
    <w:rsid w:val="00E348D4"/>
    <w:rsid w:val="00E37198"/>
    <w:rsid w:val="00E4339D"/>
    <w:rsid w:val="00E44D43"/>
    <w:rsid w:val="00E624BA"/>
    <w:rsid w:val="00E6332C"/>
    <w:rsid w:val="00E64161"/>
    <w:rsid w:val="00E71A1A"/>
    <w:rsid w:val="00E7264C"/>
    <w:rsid w:val="00E77CFB"/>
    <w:rsid w:val="00E82A75"/>
    <w:rsid w:val="00EA3623"/>
    <w:rsid w:val="00EA4F4A"/>
    <w:rsid w:val="00EB00DF"/>
    <w:rsid w:val="00EB204B"/>
    <w:rsid w:val="00EB60D7"/>
    <w:rsid w:val="00ED59B4"/>
    <w:rsid w:val="00EE31AA"/>
    <w:rsid w:val="00EE60BC"/>
    <w:rsid w:val="00EF1587"/>
    <w:rsid w:val="00F00636"/>
    <w:rsid w:val="00F12CCC"/>
    <w:rsid w:val="00F163F2"/>
    <w:rsid w:val="00F26E27"/>
    <w:rsid w:val="00F418E5"/>
    <w:rsid w:val="00F52564"/>
    <w:rsid w:val="00F626FA"/>
    <w:rsid w:val="00F62974"/>
    <w:rsid w:val="00F63E1A"/>
    <w:rsid w:val="00F663BF"/>
    <w:rsid w:val="00F6739F"/>
    <w:rsid w:val="00F74FC0"/>
    <w:rsid w:val="00F85219"/>
    <w:rsid w:val="00F86B97"/>
    <w:rsid w:val="00F94C08"/>
    <w:rsid w:val="00FA03ED"/>
    <w:rsid w:val="00FA0B5B"/>
    <w:rsid w:val="00FB11D3"/>
    <w:rsid w:val="00FC14C0"/>
    <w:rsid w:val="00FC334F"/>
    <w:rsid w:val="00FF194A"/>
    <w:rsid w:val="00FF4A4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73984"/>
  <w15:chartTrackingRefBased/>
  <w15:docId w15:val="{A3185A1B-7833-48D7-827B-666E5D9D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9CB"/>
    <w:pPr>
      <w:spacing w:after="200" w:line="276" w:lineRule="auto"/>
      <w:jc w:val="both"/>
    </w:pPr>
    <w:rPr>
      <w:rFonts w:ascii="Times New Roman" w:eastAsia="Times New Roman" w:hAnsi="Times New Roman" w:cs="Times New Roman"/>
      <w:kern w:val="2"/>
      <w:sz w:val="28"/>
      <w:szCs w:val="28"/>
      <w:lang w:eastAsia="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link w:val="a3"/>
    <w:uiPriority w:val="34"/>
    <w:qFormat/>
    <w:rsid w:val="00A249CB"/>
    <w:pPr>
      <w:spacing w:after="0"/>
      <w:ind w:left="720"/>
      <w:contextualSpacing/>
    </w:pPr>
  </w:style>
  <w:style w:type="character" w:customStyle="1" w:styleId="a3">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1"/>
    <w:uiPriority w:val="34"/>
    <w:qFormat/>
    <w:locked/>
    <w:rsid w:val="00A249CB"/>
    <w:rPr>
      <w:rFonts w:ascii="Times New Roman" w:eastAsia="Times New Roman" w:hAnsi="Times New Roman" w:cs="Times New Roman"/>
      <w:kern w:val="2"/>
      <w:sz w:val="28"/>
      <w:szCs w:val="28"/>
      <w:lang w:eastAsia="uk-UA" w:bidi="hi-IN"/>
    </w:rPr>
  </w:style>
  <w:style w:type="paragraph" w:styleId="a4">
    <w:name w:val="List Paragraph"/>
    <w:aliases w:val="Bullets,Normal bullet 2,Heading Bullet,Number normal,Number Normal,text bullet,List Numbers,Elenco Normale,List Paragraph - sub title"/>
    <w:basedOn w:val="a"/>
    <w:uiPriority w:val="34"/>
    <w:qFormat/>
    <w:rsid w:val="00A249CB"/>
    <w:pPr>
      <w:ind w:left="720"/>
      <w:contextualSpacing/>
    </w:pPr>
    <w:rPr>
      <w:rFonts w:cs="Mangal"/>
      <w:szCs w:val="25"/>
    </w:rPr>
  </w:style>
  <w:style w:type="character" w:styleId="a5">
    <w:name w:val="Hyperlink"/>
    <w:basedOn w:val="a0"/>
    <w:uiPriority w:val="99"/>
    <w:semiHidden/>
    <w:unhideWhenUsed/>
    <w:rsid w:val="00A43ED3"/>
    <w:rPr>
      <w:color w:val="0000FF"/>
      <w:u w:val="single"/>
    </w:rPr>
  </w:style>
  <w:style w:type="paragraph" w:styleId="a6">
    <w:name w:val="header"/>
    <w:basedOn w:val="a"/>
    <w:link w:val="a7"/>
    <w:uiPriority w:val="99"/>
    <w:unhideWhenUsed/>
    <w:rsid w:val="008138A3"/>
    <w:pPr>
      <w:tabs>
        <w:tab w:val="center" w:pos="4819"/>
        <w:tab w:val="right" w:pos="9639"/>
      </w:tabs>
      <w:spacing w:after="0" w:line="240" w:lineRule="auto"/>
    </w:pPr>
    <w:rPr>
      <w:rFonts w:cs="Mangal"/>
      <w:szCs w:val="25"/>
    </w:rPr>
  </w:style>
  <w:style w:type="character" w:customStyle="1" w:styleId="a7">
    <w:name w:val="Верхній колонтитул Знак"/>
    <w:basedOn w:val="a0"/>
    <w:link w:val="a6"/>
    <w:uiPriority w:val="99"/>
    <w:rsid w:val="008138A3"/>
    <w:rPr>
      <w:rFonts w:ascii="Times New Roman" w:eastAsia="Times New Roman" w:hAnsi="Times New Roman" w:cs="Mangal"/>
      <w:kern w:val="2"/>
      <w:sz w:val="28"/>
      <w:szCs w:val="25"/>
      <w:lang w:eastAsia="uk-UA" w:bidi="hi-IN"/>
    </w:rPr>
  </w:style>
  <w:style w:type="paragraph" w:styleId="a8">
    <w:name w:val="footer"/>
    <w:basedOn w:val="a"/>
    <w:link w:val="a9"/>
    <w:uiPriority w:val="99"/>
    <w:unhideWhenUsed/>
    <w:rsid w:val="008138A3"/>
    <w:pPr>
      <w:tabs>
        <w:tab w:val="center" w:pos="4819"/>
        <w:tab w:val="right" w:pos="9639"/>
      </w:tabs>
      <w:spacing w:after="0" w:line="240" w:lineRule="auto"/>
    </w:pPr>
    <w:rPr>
      <w:rFonts w:cs="Mangal"/>
      <w:szCs w:val="25"/>
    </w:rPr>
  </w:style>
  <w:style w:type="character" w:customStyle="1" w:styleId="a9">
    <w:name w:val="Нижній колонтитул Знак"/>
    <w:basedOn w:val="a0"/>
    <w:link w:val="a8"/>
    <w:uiPriority w:val="99"/>
    <w:rsid w:val="008138A3"/>
    <w:rPr>
      <w:rFonts w:ascii="Times New Roman" w:eastAsia="Times New Roman" w:hAnsi="Times New Roman" w:cs="Mangal"/>
      <w:kern w:val="2"/>
      <w:sz w:val="28"/>
      <w:szCs w:val="25"/>
      <w:lang w:eastAsia="uk-UA" w:bidi="hi-IN"/>
    </w:rPr>
  </w:style>
  <w:style w:type="character" w:styleId="aa">
    <w:name w:val="annotation reference"/>
    <w:basedOn w:val="a0"/>
    <w:uiPriority w:val="99"/>
    <w:unhideWhenUsed/>
    <w:qFormat/>
    <w:rsid w:val="00006E8F"/>
    <w:rPr>
      <w:sz w:val="16"/>
      <w:szCs w:val="16"/>
    </w:rPr>
  </w:style>
  <w:style w:type="paragraph" w:styleId="ab">
    <w:name w:val="annotation text"/>
    <w:basedOn w:val="a"/>
    <w:link w:val="ac"/>
    <w:uiPriority w:val="99"/>
    <w:unhideWhenUsed/>
    <w:qFormat/>
    <w:rsid w:val="00006E8F"/>
    <w:pPr>
      <w:spacing w:line="240" w:lineRule="auto"/>
    </w:pPr>
    <w:rPr>
      <w:rFonts w:cs="Mangal"/>
      <w:sz w:val="20"/>
      <w:szCs w:val="18"/>
    </w:rPr>
  </w:style>
  <w:style w:type="character" w:customStyle="1" w:styleId="ac">
    <w:name w:val="Текст примітки Знак"/>
    <w:basedOn w:val="a0"/>
    <w:link w:val="ab"/>
    <w:uiPriority w:val="99"/>
    <w:qFormat/>
    <w:rsid w:val="00006E8F"/>
    <w:rPr>
      <w:rFonts w:ascii="Times New Roman" w:eastAsia="Times New Roman" w:hAnsi="Times New Roman" w:cs="Mangal"/>
      <w:kern w:val="2"/>
      <w:sz w:val="20"/>
      <w:szCs w:val="18"/>
      <w:lang w:eastAsia="uk-UA" w:bidi="hi-IN"/>
    </w:rPr>
  </w:style>
  <w:style w:type="paragraph" w:styleId="ad">
    <w:name w:val="Balloon Text"/>
    <w:basedOn w:val="a"/>
    <w:link w:val="ae"/>
    <w:uiPriority w:val="99"/>
    <w:unhideWhenUsed/>
    <w:rsid w:val="00006E8F"/>
    <w:pPr>
      <w:spacing w:after="0" w:line="240" w:lineRule="auto"/>
    </w:pPr>
    <w:rPr>
      <w:rFonts w:ascii="Segoe UI" w:hAnsi="Segoe UI" w:cs="Mangal"/>
      <w:sz w:val="18"/>
      <w:szCs w:val="16"/>
    </w:rPr>
  </w:style>
  <w:style w:type="character" w:customStyle="1" w:styleId="ae">
    <w:name w:val="Текст у виносці Знак"/>
    <w:basedOn w:val="a0"/>
    <w:link w:val="ad"/>
    <w:uiPriority w:val="99"/>
    <w:rsid w:val="00006E8F"/>
    <w:rPr>
      <w:rFonts w:ascii="Segoe UI" w:eastAsia="Times New Roman" w:hAnsi="Segoe UI" w:cs="Mangal"/>
      <w:kern w:val="2"/>
      <w:sz w:val="18"/>
      <w:szCs w:val="16"/>
      <w:lang w:eastAsia="uk-UA" w:bidi="hi-IN"/>
    </w:rPr>
  </w:style>
  <w:style w:type="paragraph" w:customStyle="1" w:styleId="rvps2">
    <w:name w:val="rvps2"/>
    <w:basedOn w:val="a"/>
    <w:rsid w:val="008A3E38"/>
    <w:pPr>
      <w:spacing w:before="100" w:beforeAutospacing="1" w:after="100" w:afterAutospacing="1" w:line="240" w:lineRule="auto"/>
      <w:jc w:val="left"/>
    </w:pPr>
    <w:rPr>
      <w:kern w:val="0"/>
      <w:sz w:val="24"/>
      <w:szCs w:val="24"/>
      <w:lang w:bidi="ar-SA"/>
    </w:rPr>
  </w:style>
  <w:style w:type="paragraph" w:styleId="af">
    <w:name w:val="annotation subject"/>
    <w:basedOn w:val="ab"/>
    <w:next w:val="ab"/>
    <w:link w:val="af0"/>
    <w:uiPriority w:val="99"/>
    <w:semiHidden/>
    <w:unhideWhenUsed/>
    <w:rsid w:val="00B04B13"/>
    <w:rPr>
      <w:b/>
      <w:bCs/>
    </w:rPr>
  </w:style>
  <w:style w:type="character" w:customStyle="1" w:styleId="af0">
    <w:name w:val="Тема примітки Знак"/>
    <w:basedOn w:val="ac"/>
    <w:link w:val="af"/>
    <w:uiPriority w:val="99"/>
    <w:semiHidden/>
    <w:rsid w:val="00B04B13"/>
    <w:rPr>
      <w:rFonts w:ascii="Times New Roman" w:eastAsia="Times New Roman" w:hAnsi="Times New Roman" w:cs="Mangal"/>
      <w:b/>
      <w:bCs/>
      <w:kern w:val="2"/>
      <w:sz w:val="20"/>
      <w:szCs w:val="18"/>
      <w:lang w:eastAsia="uk-UA" w:bidi="hi-IN"/>
    </w:rPr>
  </w:style>
  <w:style w:type="character" w:customStyle="1" w:styleId="rvts37">
    <w:name w:val="rvts37"/>
    <w:basedOn w:val="a0"/>
    <w:rsid w:val="008B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F3FDD-662E-49A4-8943-C51E850E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9129</Words>
  <Characters>5205</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Баєр Тетяна Володимирівна</dc:creator>
  <cp:keywords/>
  <dc:description/>
  <cp:lastModifiedBy>Козлова Єлизавета Андріївна</cp:lastModifiedBy>
  <cp:revision>20</cp:revision>
  <dcterms:created xsi:type="dcterms:W3CDTF">2024-01-24T12:40:00Z</dcterms:created>
  <dcterms:modified xsi:type="dcterms:W3CDTF">2024-02-02T08:41:00Z</dcterms:modified>
</cp:coreProperties>
</file>