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566BA2" w:rsidRDefault="00967711" w:rsidP="00967711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67711" w:rsidTr="00E054A9">
        <w:trPr>
          <w:trHeight w:val="851"/>
        </w:trPr>
        <w:tc>
          <w:tcPr>
            <w:tcW w:w="3284" w:type="dxa"/>
          </w:tcPr>
          <w:p w:rsidR="00967711" w:rsidRDefault="00967711" w:rsidP="00E054A9"/>
        </w:tc>
        <w:tc>
          <w:tcPr>
            <w:tcW w:w="3285" w:type="dxa"/>
            <w:vMerge w:val="restart"/>
          </w:tcPr>
          <w:p w:rsidR="00967711" w:rsidRDefault="00967711" w:rsidP="00E054A9">
            <w:pPr>
              <w:jc w:val="center"/>
            </w:pPr>
            <w:r>
              <w:object w:dxaOrig="1595" w:dyaOrig="2201" w14:anchorId="1E269E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" o:ole="">
                  <v:imagedata r:id="rId12" o:title=""/>
                </v:shape>
                <o:OLEObject Type="Embed" ProgID="CorelDraw.Graphic.16" ShapeID="_x0000_i1025" DrawAspect="Content" ObjectID="_1775912229" r:id="rId13"/>
              </w:object>
            </w:r>
          </w:p>
        </w:tc>
        <w:tc>
          <w:tcPr>
            <w:tcW w:w="3285" w:type="dxa"/>
          </w:tcPr>
          <w:p w:rsidR="00967711" w:rsidRDefault="00967711" w:rsidP="00E054A9"/>
        </w:tc>
      </w:tr>
      <w:tr w:rsidR="00967711" w:rsidTr="00E054A9">
        <w:tc>
          <w:tcPr>
            <w:tcW w:w="3284" w:type="dxa"/>
          </w:tcPr>
          <w:p w:rsidR="00967711" w:rsidRDefault="00967711" w:rsidP="00E054A9"/>
        </w:tc>
        <w:tc>
          <w:tcPr>
            <w:tcW w:w="3285" w:type="dxa"/>
            <w:vMerge/>
          </w:tcPr>
          <w:p w:rsidR="00967711" w:rsidRDefault="00967711" w:rsidP="00E054A9"/>
        </w:tc>
        <w:tc>
          <w:tcPr>
            <w:tcW w:w="3285" w:type="dxa"/>
          </w:tcPr>
          <w:p w:rsidR="00967711" w:rsidRDefault="00967711" w:rsidP="00E054A9"/>
        </w:tc>
      </w:tr>
      <w:tr w:rsidR="00967711" w:rsidTr="00E054A9">
        <w:tc>
          <w:tcPr>
            <w:tcW w:w="9854" w:type="dxa"/>
            <w:gridSpan w:val="3"/>
          </w:tcPr>
          <w:p w:rsidR="00967711" w:rsidRPr="00E10F0A" w:rsidRDefault="0096771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2221"/>
        <w:gridCol w:w="1812"/>
        <w:gridCol w:w="1899"/>
      </w:tblGrid>
      <w:tr w:rsidR="00967711" w:rsidTr="00D37F10">
        <w:tc>
          <w:tcPr>
            <w:tcW w:w="3794" w:type="dxa"/>
            <w:vAlign w:val="bottom"/>
          </w:tcPr>
          <w:p w:rsidR="00967711" w:rsidRPr="00566BA2" w:rsidRDefault="000A5E10" w:rsidP="00E054A9">
            <w:r>
              <w:t>02 червня 2022 року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67711" w:rsidRDefault="00967711" w:rsidP="00853BE7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:rsidR="00967711" w:rsidRPr="00BD25A1" w:rsidRDefault="00BD25A1" w:rsidP="001359C4">
            <w:pPr>
              <w:jc w:val="right"/>
              <w:rPr>
                <w:lang w:val="ru-RU"/>
              </w:rPr>
            </w:pPr>
            <w:r w:rsidRPr="00BD25A1">
              <w:rPr>
                <w:color w:val="FFFFFF" w:themeColor="background1"/>
                <w:lang w:val="ru-RU"/>
              </w:rPr>
              <w:t>№</w:t>
            </w:r>
          </w:p>
        </w:tc>
        <w:tc>
          <w:tcPr>
            <w:tcW w:w="1937" w:type="dxa"/>
            <w:vAlign w:val="bottom"/>
          </w:tcPr>
          <w:p w:rsidR="00967711" w:rsidRDefault="000A5E10" w:rsidP="002C2894">
            <w:pPr>
              <w:jc w:val="left"/>
            </w:pPr>
            <w:r>
              <w:t>№ 267-рш</w:t>
            </w:r>
          </w:p>
        </w:tc>
      </w:tr>
    </w:tbl>
    <w:p w:rsidR="00967711" w:rsidRPr="00CD0CD4" w:rsidRDefault="00967711" w:rsidP="00967711">
      <w:pPr>
        <w:rPr>
          <w:sz w:val="2"/>
          <w:szCs w:val="2"/>
        </w:rPr>
      </w:pPr>
    </w:p>
    <w:p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487BC2" w:rsidTr="0050563F">
        <w:tc>
          <w:tcPr>
            <w:tcW w:w="5000" w:type="pct"/>
          </w:tcPr>
          <w:p w:rsidR="00C46621" w:rsidRDefault="00C46621" w:rsidP="009258D8">
            <w:pPr>
              <w:spacing w:before="240" w:after="12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</w:p>
          <w:p w:rsidR="002B3F71" w:rsidRPr="00487BC2" w:rsidRDefault="008B44E3" w:rsidP="009258D8">
            <w:pPr>
              <w:spacing w:before="240" w:after="12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8B44E3">
              <w:rPr>
                <w:rFonts w:eastAsiaTheme="minorEastAsia"/>
                <w:noProof/>
                <w:color w:val="000000" w:themeColor="text1"/>
                <w:lang w:eastAsia="en-US"/>
              </w:rPr>
              <w:t>Про затвердження сталої величини, яка  використовується для визначення процентної ставки за кредитами рефінансування понад 14 днів</w:t>
            </w:r>
          </w:p>
        </w:tc>
      </w:tr>
    </w:tbl>
    <w:p w:rsidR="00470271" w:rsidRDefault="008B44E3" w:rsidP="009258D8">
      <w:pPr>
        <w:pStyle w:val="af3"/>
        <w:spacing w:before="480" w:after="120"/>
        <w:ind w:left="0" w:firstLine="567"/>
        <w:contextualSpacing w:val="0"/>
        <w:rPr>
          <w:b/>
        </w:rPr>
      </w:pPr>
      <w:r w:rsidRPr="008B44E3">
        <w:rPr>
          <w:rFonts w:eastAsiaTheme="minorEastAsia"/>
          <w:noProof/>
          <w:color w:val="000000" w:themeColor="text1"/>
          <w:lang w:eastAsia="en-US"/>
        </w:rPr>
        <w:t>Відповідно до статей 7, 15, 25, 27, 56 Закону України “Про Національний банк України”, згідно з пунктом 18 розділу VІ Положення про процентну політику Національного банку України, затвердженого постановою Правління Національного банку України від 21 квітня 2016 року № 277 (</w:t>
      </w:r>
      <w:r w:rsidR="00E37D74" w:rsidRPr="00E37D74">
        <w:rPr>
          <w:rFonts w:eastAsiaTheme="minorEastAsia"/>
          <w:noProof/>
          <w:color w:val="000000" w:themeColor="text1"/>
          <w:lang w:eastAsia="en-US"/>
        </w:rPr>
        <w:t>у редакції постанови Правління Національного банку Ук</w:t>
      </w:r>
      <w:r w:rsidR="00E37D74">
        <w:rPr>
          <w:rFonts w:eastAsiaTheme="minorEastAsia"/>
          <w:noProof/>
          <w:color w:val="000000" w:themeColor="text1"/>
          <w:lang w:eastAsia="en-US"/>
        </w:rPr>
        <w:t>раїни від 26 серпня 2021 року №</w:t>
      </w:r>
      <w:r w:rsidR="00E37D74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E37D74" w:rsidRPr="00E37D74">
        <w:rPr>
          <w:rFonts w:eastAsiaTheme="minorEastAsia"/>
          <w:noProof/>
          <w:color w:val="000000" w:themeColor="text1"/>
          <w:lang w:eastAsia="en-US"/>
        </w:rPr>
        <w:t>90</w:t>
      </w:r>
      <w:r w:rsidRPr="008B44E3">
        <w:rPr>
          <w:rFonts w:eastAsiaTheme="minorEastAsia"/>
          <w:noProof/>
          <w:color w:val="000000" w:themeColor="text1"/>
          <w:lang w:eastAsia="en-US"/>
        </w:rPr>
        <w:t>), пунктом 31 глави 3 розділу ІІ Положення про застосування Національним банком України стандартних інструментів регулювання ліквідності банківської системи, затвердженого постановою Правління Національного банку України від 17 вересня 2015 року № 615 (зі змінами)</w:t>
      </w:r>
      <w:r w:rsidR="006017BA">
        <w:rPr>
          <w:rFonts w:eastAsiaTheme="minorEastAsia"/>
          <w:noProof/>
          <w:color w:val="000000" w:themeColor="text1"/>
          <w:lang w:eastAsia="en-US"/>
        </w:rPr>
        <w:t>,</w:t>
      </w:r>
      <w:r w:rsidR="00423068" w:rsidRPr="00487BC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70271" w:rsidRPr="00487BC2">
        <w:t>Правління Національного банку України</w:t>
      </w:r>
      <w:r w:rsidR="00470271" w:rsidRPr="00487BC2">
        <w:rPr>
          <w:b/>
        </w:rPr>
        <w:t xml:space="preserve"> вирішило:</w:t>
      </w:r>
    </w:p>
    <w:p w:rsidR="0009302B" w:rsidRDefault="0009302B" w:rsidP="0009302B">
      <w:pPr>
        <w:pStyle w:val="af3"/>
        <w:spacing w:before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1. 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 xml:space="preserve">Установити, що розмір сталої величини, яка використовується для визначення процентної ставки за короткостроковими кредитами рефінансування строком понад 14 днів та довгостроковими кредитами рефінансування, визначається: </w:t>
      </w:r>
      <w:r w:rsidR="008B44E3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:rsidR="0009302B" w:rsidRDefault="008B44E3" w:rsidP="0009302B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8B44E3">
        <w:rPr>
          <w:rFonts w:eastAsiaTheme="minorEastAsia"/>
          <w:noProof/>
          <w:color w:val="000000" w:themeColor="text1"/>
          <w:lang w:eastAsia="en-US"/>
        </w:rPr>
        <w:t xml:space="preserve">для кількісного тендера –  два процентних пункти; 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:rsidR="001D4193" w:rsidRPr="00487BC2" w:rsidRDefault="008B44E3" w:rsidP="0009302B">
      <w:pPr>
        <w:pStyle w:val="af3"/>
        <w:spacing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8B44E3">
        <w:rPr>
          <w:rFonts w:eastAsiaTheme="minorEastAsia"/>
          <w:noProof/>
          <w:color w:val="000000" w:themeColor="text1"/>
          <w:lang w:eastAsia="en-US"/>
        </w:rPr>
        <w:t xml:space="preserve">для процентного тендера – на рівні, що дорівнює різниці між процентною ставкою, яку пропонує банк у своїй заявці на участь у тендері, та розміром облікової ставки Національного банку України, що діє на момент проведення тендера, але не менше </w:t>
      </w:r>
      <w:r w:rsidR="00CC34D7" w:rsidRPr="008B44E3">
        <w:rPr>
          <w:rFonts w:eastAsiaTheme="minorEastAsia"/>
          <w:noProof/>
          <w:color w:val="000000" w:themeColor="text1"/>
          <w:lang w:eastAsia="en-US"/>
        </w:rPr>
        <w:t>дв</w:t>
      </w:r>
      <w:r w:rsidR="00CC34D7">
        <w:rPr>
          <w:rFonts w:eastAsiaTheme="minorEastAsia"/>
          <w:noProof/>
          <w:color w:val="000000" w:themeColor="text1"/>
          <w:lang w:eastAsia="en-US"/>
        </w:rPr>
        <w:t>о</w:t>
      </w:r>
      <w:r w:rsidR="00CC34D7" w:rsidRPr="008B44E3">
        <w:rPr>
          <w:rFonts w:eastAsiaTheme="minorEastAsia"/>
          <w:noProof/>
          <w:color w:val="000000" w:themeColor="text1"/>
          <w:lang w:eastAsia="en-US"/>
        </w:rPr>
        <w:t xml:space="preserve">х </w:t>
      </w:r>
      <w:r w:rsidRPr="008B44E3">
        <w:rPr>
          <w:rFonts w:eastAsiaTheme="minorEastAsia"/>
          <w:noProof/>
          <w:color w:val="000000" w:themeColor="text1"/>
          <w:lang w:eastAsia="en-US"/>
        </w:rPr>
        <w:t>процентни</w:t>
      </w:r>
      <w:r>
        <w:rPr>
          <w:rFonts w:eastAsiaTheme="minorEastAsia"/>
          <w:noProof/>
          <w:color w:val="000000" w:themeColor="text1"/>
          <w:lang w:eastAsia="en-US"/>
        </w:rPr>
        <w:t>х пунктів</w:t>
      </w:r>
      <w:r w:rsidR="001742F1" w:rsidRPr="001742F1">
        <w:rPr>
          <w:noProof/>
          <w:lang w:val="ru-RU"/>
        </w:rPr>
        <w:t>.</w:t>
      </w:r>
    </w:p>
    <w:p w:rsidR="00A2037B" w:rsidRPr="00487BC2" w:rsidRDefault="00D75789" w:rsidP="0009302B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t>2.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Визнати таким, що втратило чинність, рішення Правління Національного банку України від 22 липня 2021 року № 339-рш “Про затвердження сталої величини, яка  використовується для визначення процентної ставки за кредитами рефінансування понад 14 днів”</w:t>
      </w:r>
      <w:r w:rsidR="001742F1" w:rsidRPr="001742F1">
        <w:rPr>
          <w:noProof/>
          <w:lang w:val="ru-RU"/>
        </w:rPr>
        <w:t>.</w:t>
      </w:r>
    </w:p>
    <w:p w:rsidR="00523F5C" w:rsidRDefault="00D75789" w:rsidP="00C46621">
      <w:pPr>
        <w:pStyle w:val="af3"/>
        <w:spacing w:before="240" w:after="240"/>
        <w:ind w:left="0" w:firstLine="567"/>
        <w:contextualSpacing w:val="0"/>
        <w:rPr>
          <w:noProof/>
          <w:lang w:val="ru-RU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t>3.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1742F1">
        <w:rPr>
          <w:noProof/>
          <w:lang w:val="ru-RU"/>
        </w:rPr>
        <w:t>.</w:t>
      </w:r>
    </w:p>
    <w:p w:rsidR="00C46621" w:rsidRDefault="00C46621" w:rsidP="00C46621">
      <w:pPr>
        <w:pStyle w:val="af3"/>
        <w:spacing w:before="240" w:after="240"/>
        <w:ind w:left="0" w:firstLine="567"/>
        <w:contextualSpacing w:val="0"/>
        <w:rPr>
          <w:noProof/>
          <w:lang w:val="ru-RU"/>
        </w:rPr>
      </w:pPr>
    </w:p>
    <w:p w:rsidR="006215C8" w:rsidRDefault="006215C8" w:rsidP="00C46621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 xml:space="preserve">4. 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Контроль за виконанням цього рішення покласти на заступника Голови Національного банку України Юрія Гелетія</w:t>
      </w:r>
      <w:r w:rsidR="008B44E3">
        <w:rPr>
          <w:rFonts w:eastAsiaTheme="minorEastAsia"/>
          <w:noProof/>
          <w:color w:val="000000" w:themeColor="text1"/>
          <w:lang w:eastAsia="en-US"/>
        </w:rPr>
        <w:t>.</w:t>
      </w:r>
    </w:p>
    <w:p w:rsidR="008B44E3" w:rsidRPr="00487BC2" w:rsidRDefault="008B44E3" w:rsidP="00C46621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5. </w:t>
      </w:r>
      <w:r w:rsidRPr="008B44E3">
        <w:rPr>
          <w:rFonts w:eastAsiaTheme="minorEastAsia"/>
          <w:noProof/>
          <w:color w:val="000000" w:themeColor="text1"/>
          <w:lang w:eastAsia="en-US"/>
        </w:rPr>
        <w:t>Рішення набирає чинності з 03 червня 2022 року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:rsidR="00DF771C" w:rsidRDefault="00DF771C" w:rsidP="00DF771C">
      <w:pPr>
        <w:tabs>
          <w:tab w:val="left" w:pos="993"/>
        </w:tabs>
        <w:spacing w:after="120"/>
      </w:pPr>
    </w:p>
    <w:p w:rsidR="00C46621" w:rsidRDefault="00C46621" w:rsidP="00DF771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Tr="00CA003A">
        <w:tc>
          <w:tcPr>
            <w:tcW w:w="5495" w:type="dxa"/>
            <w:vAlign w:val="bottom"/>
            <w:hideMark/>
          </w:tcPr>
          <w:p w:rsidR="00DF771C" w:rsidRDefault="008B44E3" w:rsidP="008B44E3">
            <w:pPr>
              <w:autoSpaceDE w:val="0"/>
              <w:autoSpaceDN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 Голова</w:t>
            </w:r>
          </w:p>
        </w:tc>
        <w:tc>
          <w:tcPr>
            <w:tcW w:w="4252" w:type="dxa"/>
            <w:vAlign w:val="bottom"/>
            <w:hideMark/>
          </w:tcPr>
          <w:p w:rsidR="00DF771C" w:rsidRDefault="008B44E3" w:rsidP="001200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 w:rsidRPr="008B44E3">
              <w:rPr>
                <w:lang w:eastAsia="en-US"/>
              </w:rPr>
              <w:t>Кирило ШЕВЧЕНКО</w:t>
            </w:r>
          </w:p>
        </w:tc>
      </w:tr>
    </w:tbl>
    <w:p w:rsidR="008B44E3" w:rsidRDefault="008B44E3" w:rsidP="00FA508E">
      <w:pPr>
        <w:jc w:val="left"/>
        <w:rPr>
          <w:noProof/>
        </w:rPr>
      </w:pPr>
    </w:p>
    <w:p w:rsidR="00C46621" w:rsidRDefault="00C46621" w:rsidP="00FA508E">
      <w:pPr>
        <w:jc w:val="left"/>
        <w:rPr>
          <w:noProof/>
        </w:rPr>
      </w:pPr>
    </w:p>
    <w:p w:rsidR="00FA508E" w:rsidRPr="00487BC2" w:rsidRDefault="00FA508E" w:rsidP="00FA508E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8B44E3">
        <w:rPr>
          <w:noProof/>
        </w:rPr>
        <w:t>40</w:t>
      </w:r>
    </w:p>
    <w:sectPr w:rsidR="00FA508E" w:rsidRPr="00487BC2" w:rsidSect="00363171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1E" w:rsidRDefault="002C5E1E" w:rsidP="00E53CCD">
      <w:r>
        <w:separator/>
      </w:r>
    </w:p>
  </w:endnote>
  <w:endnote w:type="continuationSeparator" w:id="0">
    <w:p w:rsidR="002C5E1E" w:rsidRDefault="002C5E1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01" w:rsidRPr="00EF3001" w:rsidRDefault="00EF3001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1E" w:rsidRDefault="002C5E1E" w:rsidP="00E53CCD">
      <w:r>
        <w:separator/>
      </w:r>
    </w:p>
  </w:footnote>
  <w:footnote w:type="continuationSeparator" w:id="0">
    <w:p w:rsidR="002C5E1E" w:rsidRDefault="002C5E1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A5E10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30088F"/>
    <w:multiLevelType w:val="hybridMultilevel"/>
    <w:tmpl w:val="2354A8BE"/>
    <w:lvl w:ilvl="0" w:tplc="34E0E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5CF3"/>
    <w:rsid w:val="00015FDE"/>
    <w:rsid w:val="0003331E"/>
    <w:rsid w:val="000342A5"/>
    <w:rsid w:val="0003793C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9302B"/>
    <w:rsid w:val="000A5E10"/>
    <w:rsid w:val="000B2990"/>
    <w:rsid w:val="000D778F"/>
    <w:rsid w:val="000E0CB3"/>
    <w:rsid w:val="000E5B8C"/>
    <w:rsid w:val="001039CA"/>
    <w:rsid w:val="0012002E"/>
    <w:rsid w:val="001359C4"/>
    <w:rsid w:val="001631E2"/>
    <w:rsid w:val="001740C0"/>
    <w:rsid w:val="001742F1"/>
    <w:rsid w:val="00180821"/>
    <w:rsid w:val="00190E1A"/>
    <w:rsid w:val="001A0EE5"/>
    <w:rsid w:val="001A16FA"/>
    <w:rsid w:val="001A4CB9"/>
    <w:rsid w:val="001A6795"/>
    <w:rsid w:val="001C206C"/>
    <w:rsid w:val="001C5904"/>
    <w:rsid w:val="001D4193"/>
    <w:rsid w:val="001D487A"/>
    <w:rsid w:val="0022003C"/>
    <w:rsid w:val="002238D1"/>
    <w:rsid w:val="00241373"/>
    <w:rsid w:val="00253BF9"/>
    <w:rsid w:val="00264983"/>
    <w:rsid w:val="00266678"/>
    <w:rsid w:val="00276988"/>
    <w:rsid w:val="00280DCC"/>
    <w:rsid w:val="00285DDA"/>
    <w:rsid w:val="00290F65"/>
    <w:rsid w:val="002B351E"/>
    <w:rsid w:val="002B3F71"/>
    <w:rsid w:val="002B582B"/>
    <w:rsid w:val="002C1FDB"/>
    <w:rsid w:val="002C2894"/>
    <w:rsid w:val="002C5E1E"/>
    <w:rsid w:val="002D1790"/>
    <w:rsid w:val="002F48EF"/>
    <w:rsid w:val="00340D07"/>
    <w:rsid w:val="00345982"/>
    <w:rsid w:val="00356E34"/>
    <w:rsid w:val="00357676"/>
    <w:rsid w:val="00363171"/>
    <w:rsid w:val="0038385E"/>
    <w:rsid w:val="00384F65"/>
    <w:rsid w:val="0039725C"/>
    <w:rsid w:val="003A751F"/>
    <w:rsid w:val="003C3282"/>
    <w:rsid w:val="003C3985"/>
    <w:rsid w:val="003F0441"/>
    <w:rsid w:val="003F28B5"/>
    <w:rsid w:val="003F7093"/>
    <w:rsid w:val="00401EDB"/>
    <w:rsid w:val="00404C93"/>
    <w:rsid w:val="00407877"/>
    <w:rsid w:val="004130B9"/>
    <w:rsid w:val="004222C8"/>
    <w:rsid w:val="00423068"/>
    <w:rsid w:val="00445DA2"/>
    <w:rsid w:val="00455B45"/>
    <w:rsid w:val="00460BA2"/>
    <w:rsid w:val="00470271"/>
    <w:rsid w:val="00487BC2"/>
    <w:rsid w:val="004A1CFC"/>
    <w:rsid w:val="004A7F75"/>
    <w:rsid w:val="004B1FE9"/>
    <w:rsid w:val="004B5574"/>
    <w:rsid w:val="004E22E2"/>
    <w:rsid w:val="004E74F5"/>
    <w:rsid w:val="004F2BC6"/>
    <w:rsid w:val="0050563F"/>
    <w:rsid w:val="00505B10"/>
    <w:rsid w:val="0051774A"/>
    <w:rsid w:val="00523C13"/>
    <w:rsid w:val="00523F5C"/>
    <w:rsid w:val="005257C2"/>
    <w:rsid w:val="00532633"/>
    <w:rsid w:val="005403F1"/>
    <w:rsid w:val="00542533"/>
    <w:rsid w:val="005538D2"/>
    <w:rsid w:val="005624B6"/>
    <w:rsid w:val="0057237F"/>
    <w:rsid w:val="00577402"/>
    <w:rsid w:val="00597AB6"/>
    <w:rsid w:val="005A0F4B"/>
    <w:rsid w:val="005A1D3C"/>
    <w:rsid w:val="005A2D93"/>
    <w:rsid w:val="005A3F34"/>
    <w:rsid w:val="005B2D03"/>
    <w:rsid w:val="005C5CBF"/>
    <w:rsid w:val="005D45F5"/>
    <w:rsid w:val="005E3FA8"/>
    <w:rsid w:val="005E6C19"/>
    <w:rsid w:val="005F4CB4"/>
    <w:rsid w:val="006017BA"/>
    <w:rsid w:val="006215C8"/>
    <w:rsid w:val="00624863"/>
    <w:rsid w:val="00640612"/>
    <w:rsid w:val="0064227D"/>
    <w:rsid w:val="0065179F"/>
    <w:rsid w:val="00670C95"/>
    <w:rsid w:val="006754CA"/>
    <w:rsid w:val="00686B35"/>
    <w:rsid w:val="006925CE"/>
    <w:rsid w:val="00692C8C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F06FF"/>
    <w:rsid w:val="00700AA3"/>
    <w:rsid w:val="0071789F"/>
    <w:rsid w:val="00730088"/>
    <w:rsid w:val="00746401"/>
    <w:rsid w:val="00751BA7"/>
    <w:rsid w:val="0078127A"/>
    <w:rsid w:val="00783AF2"/>
    <w:rsid w:val="007A1752"/>
    <w:rsid w:val="007A6609"/>
    <w:rsid w:val="007A7FDF"/>
    <w:rsid w:val="007C2CED"/>
    <w:rsid w:val="007D1C2C"/>
    <w:rsid w:val="008020FB"/>
    <w:rsid w:val="00802988"/>
    <w:rsid w:val="008244E7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B44E3"/>
    <w:rsid w:val="008D10FD"/>
    <w:rsid w:val="008D122F"/>
    <w:rsid w:val="008D5F60"/>
    <w:rsid w:val="008D727F"/>
    <w:rsid w:val="008F0210"/>
    <w:rsid w:val="008F2600"/>
    <w:rsid w:val="008F5D52"/>
    <w:rsid w:val="008F5FEC"/>
    <w:rsid w:val="008F68C1"/>
    <w:rsid w:val="00904F17"/>
    <w:rsid w:val="00922966"/>
    <w:rsid w:val="009258D8"/>
    <w:rsid w:val="00937AE3"/>
    <w:rsid w:val="00937D24"/>
    <w:rsid w:val="0094046D"/>
    <w:rsid w:val="00943175"/>
    <w:rsid w:val="0095741D"/>
    <w:rsid w:val="00967711"/>
    <w:rsid w:val="0097288F"/>
    <w:rsid w:val="009812F4"/>
    <w:rsid w:val="0098207E"/>
    <w:rsid w:val="009B6120"/>
    <w:rsid w:val="009C2F76"/>
    <w:rsid w:val="009E5BFD"/>
    <w:rsid w:val="009F5312"/>
    <w:rsid w:val="00A01F95"/>
    <w:rsid w:val="00A0594A"/>
    <w:rsid w:val="00A12C47"/>
    <w:rsid w:val="00A2037B"/>
    <w:rsid w:val="00A23E04"/>
    <w:rsid w:val="00A50DC0"/>
    <w:rsid w:val="00A542E0"/>
    <w:rsid w:val="00A609BC"/>
    <w:rsid w:val="00A64927"/>
    <w:rsid w:val="00A72F06"/>
    <w:rsid w:val="00A730F2"/>
    <w:rsid w:val="00A77FFD"/>
    <w:rsid w:val="00AB4554"/>
    <w:rsid w:val="00AC47B6"/>
    <w:rsid w:val="00AD0504"/>
    <w:rsid w:val="00AE2CAF"/>
    <w:rsid w:val="00AF33D9"/>
    <w:rsid w:val="00B332B2"/>
    <w:rsid w:val="00B34CCC"/>
    <w:rsid w:val="00B34FF5"/>
    <w:rsid w:val="00B36EC7"/>
    <w:rsid w:val="00B36EDD"/>
    <w:rsid w:val="00B435E4"/>
    <w:rsid w:val="00B628C5"/>
    <w:rsid w:val="00B71933"/>
    <w:rsid w:val="00B8078D"/>
    <w:rsid w:val="00BC128A"/>
    <w:rsid w:val="00BC41DB"/>
    <w:rsid w:val="00BD12A3"/>
    <w:rsid w:val="00BD25A1"/>
    <w:rsid w:val="00BF47B0"/>
    <w:rsid w:val="00BF5224"/>
    <w:rsid w:val="00BF5327"/>
    <w:rsid w:val="00C21D33"/>
    <w:rsid w:val="00C32E1D"/>
    <w:rsid w:val="00C37498"/>
    <w:rsid w:val="00C4377C"/>
    <w:rsid w:val="00C46621"/>
    <w:rsid w:val="00C46F29"/>
    <w:rsid w:val="00C47F0F"/>
    <w:rsid w:val="00C5099B"/>
    <w:rsid w:val="00C51D84"/>
    <w:rsid w:val="00C52506"/>
    <w:rsid w:val="00C7167B"/>
    <w:rsid w:val="00C82259"/>
    <w:rsid w:val="00C94014"/>
    <w:rsid w:val="00CA003A"/>
    <w:rsid w:val="00CA174B"/>
    <w:rsid w:val="00CB0A99"/>
    <w:rsid w:val="00CC34D7"/>
    <w:rsid w:val="00CC3E16"/>
    <w:rsid w:val="00CE3B9F"/>
    <w:rsid w:val="00CF0054"/>
    <w:rsid w:val="00CF2C65"/>
    <w:rsid w:val="00D00D4F"/>
    <w:rsid w:val="00D0243F"/>
    <w:rsid w:val="00D1605E"/>
    <w:rsid w:val="00D34DCC"/>
    <w:rsid w:val="00D37F10"/>
    <w:rsid w:val="00D75789"/>
    <w:rsid w:val="00D821E0"/>
    <w:rsid w:val="00DC1E60"/>
    <w:rsid w:val="00DD1AC3"/>
    <w:rsid w:val="00DD60CC"/>
    <w:rsid w:val="00DF771C"/>
    <w:rsid w:val="00E10AE2"/>
    <w:rsid w:val="00E13BC3"/>
    <w:rsid w:val="00E21875"/>
    <w:rsid w:val="00E25407"/>
    <w:rsid w:val="00E32599"/>
    <w:rsid w:val="00E33B0E"/>
    <w:rsid w:val="00E37D74"/>
    <w:rsid w:val="00E417AB"/>
    <w:rsid w:val="00E446A6"/>
    <w:rsid w:val="00E53CB5"/>
    <w:rsid w:val="00E53CCD"/>
    <w:rsid w:val="00E670CF"/>
    <w:rsid w:val="00E71855"/>
    <w:rsid w:val="00E719A9"/>
    <w:rsid w:val="00E94E17"/>
    <w:rsid w:val="00EA1DE4"/>
    <w:rsid w:val="00EA60EA"/>
    <w:rsid w:val="00EB29BF"/>
    <w:rsid w:val="00EB3662"/>
    <w:rsid w:val="00EC358D"/>
    <w:rsid w:val="00EF3001"/>
    <w:rsid w:val="00F003D3"/>
    <w:rsid w:val="00F008AB"/>
    <w:rsid w:val="00F03E32"/>
    <w:rsid w:val="00F27502"/>
    <w:rsid w:val="00F42E75"/>
    <w:rsid w:val="00F517FA"/>
    <w:rsid w:val="00F52D16"/>
    <w:rsid w:val="00F62D67"/>
    <w:rsid w:val="00F63BD9"/>
    <w:rsid w:val="00F64762"/>
    <w:rsid w:val="00F6694C"/>
    <w:rsid w:val="00F700A0"/>
    <w:rsid w:val="00F8145F"/>
    <w:rsid w:val="00F8349A"/>
    <w:rsid w:val="00F9283D"/>
    <w:rsid w:val="00F92AB8"/>
    <w:rsid w:val="00F96F18"/>
    <w:rsid w:val="00FA508E"/>
    <w:rsid w:val="00FA5320"/>
    <w:rsid w:val="00FA7846"/>
    <w:rsid w:val="00FC26E5"/>
    <w:rsid w:val="00FD19F1"/>
    <w:rsid w:val="00FD370F"/>
    <w:rsid w:val="00FD72DB"/>
    <w:rsid w:val="00FE0B90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9E55BD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207D9-E9B2-4795-85D9-F103AECC912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DB4F66-376F-4536-8DF6-58ECFB3A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3</cp:revision>
  <cp:lastPrinted>2024-04-29T13:10:00Z</cp:lastPrinted>
  <dcterms:created xsi:type="dcterms:W3CDTF">2024-04-29T13:06:00Z</dcterms:created>
  <dcterms:modified xsi:type="dcterms:W3CDTF">2024-04-29T13:11:00Z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