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846" w:rsidRPr="00CD0CD4" w:rsidRDefault="00FA7846" w:rsidP="00FA7846">
      <w:pPr>
        <w:rPr>
          <w:sz w:val="2"/>
          <w:szCs w:val="2"/>
        </w:rPr>
      </w:pPr>
    </w:p>
    <w:p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210"/>
        <w:gridCol w:w="3239"/>
      </w:tblGrid>
      <w:tr w:rsidR="00501F58" w:rsidTr="00E054A9">
        <w:trPr>
          <w:trHeight w:val="851"/>
        </w:trPr>
        <w:tc>
          <w:tcPr>
            <w:tcW w:w="3284" w:type="dxa"/>
          </w:tcPr>
          <w:p w:rsidR="00657593" w:rsidRDefault="00657593" w:rsidP="00E054A9"/>
        </w:tc>
        <w:tc>
          <w:tcPr>
            <w:tcW w:w="3285" w:type="dxa"/>
            <w:vMerge w:val="restart"/>
          </w:tcPr>
          <w:p w:rsidR="00657593" w:rsidRDefault="00154C4C" w:rsidP="00E054A9">
            <w:pPr>
              <w:jc w:val="center"/>
            </w:pPr>
            <w:r>
              <w:rPr>
                <w:noProof/>
              </w:rPr>
              <w:object w:dxaOrig="689" w:dyaOrig="950" w14:anchorId="5559C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pt;height:47.1pt;mso-width-percent:0;mso-height-percent:0;mso-width-percent:0;mso-height-percent:0" o:ole="">
                  <v:imagedata r:id="rId12" o:title=""/>
                </v:shape>
                <o:OLEObject Type="Embed" ProgID="CorelDraw.Graphic.16" ShapeID="_x0000_i1025" DrawAspect="Content" ObjectID="_1723632669" r:id="rId13"/>
              </w:object>
            </w:r>
          </w:p>
        </w:tc>
        <w:tc>
          <w:tcPr>
            <w:tcW w:w="3285" w:type="dxa"/>
          </w:tcPr>
          <w:p w:rsidR="00657593" w:rsidRDefault="00501F58" w:rsidP="00E054A9">
            <w:r>
              <w:t>Офіційно опубліковано 02.09.2022</w:t>
            </w:r>
          </w:p>
        </w:tc>
      </w:tr>
      <w:tr w:rsidR="00501F58" w:rsidTr="00E054A9">
        <w:tc>
          <w:tcPr>
            <w:tcW w:w="3284" w:type="dxa"/>
          </w:tcPr>
          <w:p w:rsidR="00657593" w:rsidRDefault="00657593" w:rsidP="00E054A9"/>
        </w:tc>
        <w:tc>
          <w:tcPr>
            <w:tcW w:w="3285" w:type="dxa"/>
            <w:vMerge/>
          </w:tcPr>
          <w:p w:rsidR="00657593" w:rsidRDefault="00657593" w:rsidP="00E054A9"/>
        </w:tc>
        <w:tc>
          <w:tcPr>
            <w:tcW w:w="3285" w:type="dxa"/>
          </w:tcPr>
          <w:p w:rsidR="00657593" w:rsidRDefault="00657593" w:rsidP="00E054A9"/>
        </w:tc>
      </w:tr>
      <w:tr w:rsidR="00F22B0F" w:rsidTr="00E054A9">
        <w:tc>
          <w:tcPr>
            <w:tcW w:w="9854" w:type="dxa"/>
            <w:gridSpan w:val="3"/>
          </w:tcPr>
          <w:p w:rsidR="00657593" w:rsidRPr="00E10F0A" w:rsidRDefault="00937B48"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57593" w:rsidRDefault="00937B48" w:rsidP="00E054A9">
            <w:pPr>
              <w:jc w:val="center"/>
            </w:pPr>
            <w:r w:rsidRPr="00E10F0A">
              <w:rPr>
                <w:b/>
                <w:bCs/>
                <w:color w:val="006600"/>
                <w:sz w:val="32"/>
                <w:szCs w:val="32"/>
              </w:rPr>
              <w:t>П О С Т А Н О В А</w:t>
            </w:r>
          </w:p>
        </w:tc>
      </w:tr>
    </w:tbl>
    <w:p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3"/>
        <w:gridCol w:w="1666"/>
        <w:gridCol w:w="1904"/>
      </w:tblGrid>
      <w:tr w:rsidR="00F22B0F" w:rsidTr="00AB062E">
        <w:tc>
          <w:tcPr>
            <w:tcW w:w="3510" w:type="dxa"/>
            <w:vAlign w:val="bottom"/>
          </w:tcPr>
          <w:p w:rsidR="00657593" w:rsidRPr="00566BA2" w:rsidRDefault="00501F58" w:rsidP="00E054A9">
            <w:r>
              <w:t>02 вересня 2022 року</w:t>
            </w:r>
          </w:p>
        </w:tc>
        <w:tc>
          <w:tcPr>
            <w:tcW w:w="2694" w:type="dxa"/>
          </w:tcPr>
          <w:p w:rsidR="00657593" w:rsidRDefault="00937B48" w:rsidP="00E62607">
            <w:pPr>
              <w:spacing w:before="240"/>
              <w:jc w:val="center"/>
            </w:pPr>
            <w:r w:rsidRPr="00E10F0A">
              <w:rPr>
                <w:color w:val="006600"/>
              </w:rPr>
              <w:t>Київ</w:t>
            </w:r>
          </w:p>
        </w:tc>
        <w:tc>
          <w:tcPr>
            <w:tcW w:w="1713" w:type="dxa"/>
            <w:vAlign w:val="bottom"/>
          </w:tcPr>
          <w:p w:rsidR="00657593" w:rsidRDefault="00657593" w:rsidP="00E62607">
            <w:pPr>
              <w:jc w:val="right"/>
            </w:pPr>
          </w:p>
        </w:tc>
        <w:tc>
          <w:tcPr>
            <w:tcW w:w="1937" w:type="dxa"/>
            <w:vAlign w:val="bottom"/>
          </w:tcPr>
          <w:p w:rsidR="00657593" w:rsidRDefault="00501F58" w:rsidP="00290169">
            <w:pPr>
              <w:jc w:val="left"/>
            </w:pPr>
            <w:r>
              <w:t>№199</w:t>
            </w:r>
          </w:p>
        </w:tc>
      </w:tr>
    </w:tbl>
    <w:p w:rsidR="00657593" w:rsidRPr="00CD0CD4" w:rsidRDefault="00657593" w:rsidP="00657593">
      <w:pPr>
        <w:rPr>
          <w:sz w:val="2"/>
          <w:szCs w:val="2"/>
        </w:rPr>
      </w:pPr>
    </w:p>
    <w:p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F22B0F" w:rsidTr="005212C5">
        <w:trPr>
          <w:jc w:val="center"/>
        </w:trPr>
        <w:tc>
          <w:tcPr>
            <w:tcW w:w="5000" w:type="pct"/>
          </w:tcPr>
          <w:p w:rsidR="006B5B52" w:rsidRPr="006B5B52" w:rsidRDefault="00E916C7" w:rsidP="006B5B52">
            <w:pPr>
              <w:tabs>
                <w:tab w:val="left" w:pos="840"/>
                <w:tab w:val="center" w:pos="3293"/>
              </w:tabs>
              <w:spacing w:before="240"/>
              <w:jc w:val="center"/>
              <w:rPr>
                <w:bCs/>
              </w:rPr>
            </w:pPr>
            <w:r w:rsidRPr="006B5B52">
              <w:rPr>
                <w:bCs/>
              </w:rPr>
              <w:t xml:space="preserve">Про внесення змін до постанови </w:t>
            </w:r>
          </w:p>
          <w:p w:rsidR="00E916C7" w:rsidRPr="006B5B52" w:rsidRDefault="00E916C7" w:rsidP="006B5B52">
            <w:pPr>
              <w:tabs>
                <w:tab w:val="left" w:pos="840"/>
                <w:tab w:val="center" w:pos="3293"/>
              </w:tabs>
              <w:jc w:val="center"/>
              <w:rPr>
                <w:bCs/>
              </w:rPr>
            </w:pPr>
            <w:r w:rsidRPr="006B5B52">
              <w:rPr>
                <w:bCs/>
              </w:rPr>
              <w:t>Правління Національного банку України</w:t>
            </w:r>
          </w:p>
          <w:p w:rsidR="00E916C7" w:rsidRPr="006B5B52" w:rsidRDefault="00E916C7" w:rsidP="006B5B52">
            <w:pPr>
              <w:tabs>
                <w:tab w:val="left" w:pos="840"/>
                <w:tab w:val="center" w:pos="3293"/>
              </w:tabs>
              <w:jc w:val="center"/>
              <w:rPr>
                <w:bCs/>
              </w:rPr>
            </w:pPr>
            <w:r w:rsidRPr="006B5B52">
              <w:rPr>
                <w:bCs/>
              </w:rPr>
              <w:t>від 24 лютого 2022 року № 22</w:t>
            </w:r>
          </w:p>
          <w:p w:rsidR="002B3F71" w:rsidRPr="00CD0CD4" w:rsidRDefault="002B3F71" w:rsidP="00811CD6">
            <w:pPr>
              <w:tabs>
                <w:tab w:val="left" w:pos="840"/>
                <w:tab w:val="center" w:pos="3293"/>
              </w:tabs>
              <w:spacing w:before="240" w:after="240"/>
              <w:jc w:val="center"/>
              <w:rPr>
                <w:rFonts w:eastAsiaTheme="minorEastAsia"/>
                <w:color w:val="000000" w:themeColor="text1"/>
                <w:lang w:eastAsia="en-US"/>
              </w:rPr>
            </w:pPr>
          </w:p>
        </w:tc>
      </w:tr>
    </w:tbl>
    <w:p w:rsidR="00E53CCD" w:rsidRPr="006B5B52" w:rsidRDefault="00D829C7" w:rsidP="006B5B52">
      <w:pPr>
        <w:spacing w:before="240" w:after="240"/>
        <w:ind w:firstLine="567"/>
        <w:rPr>
          <w:b/>
        </w:rPr>
      </w:pPr>
      <w:r w:rsidRPr="006B5B52">
        <w:rPr>
          <w:lang w:eastAsia="ru-RU"/>
        </w:rPr>
        <w:t xml:space="preserve">Відповідно до статей </w:t>
      </w:r>
      <w:r w:rsidR="006959F7">
        <w:rPr>
          <w:lang w:val="ru-RU" w:eastAsia="ru-RU"/>
        </w:rPr>
        <w:t xml:space="preserve">7, </w:t>
      </w:r>
      <w:r w:rsidRPr="006B5B52">
        <w:rPr>
          <w:lang w:eastAsia="ru-RU"/>
        </w:rPr>
        <w:t xml:space="preserve">15, 56 Закону України “Про Національний банк України”, </w:t>
      </w:r>
      <w:r w:rsidRPr="006B5B52">
        <w:t>Указу Президента України від 24 лютого 2022 року №</w:t>
      </w:r>
      <w:r w:rsidRPr="006B5B52">
        <w:rPr>
          <w:lang w:val="en-US"/>
        </w:rPr>
        <w:t> </w:t>
      </w:r>
      <w:r w:rsidRPr="006B5B52">
        <w:t>64/2022 “Про введення воєнного стану в Україні”, затвердженого Законом України від 24</w:t>
      </w:r>
      <w:r w:rsidRPr="006B5B52">
        <w:rPr>
          <w:lang w:val="ru-RU"/>
        </w:rPr>
        <w:t xml:space="preserve"> лютого </w:t>
      </w:r>
      <w:r w:rsidRPr="006B5B52">
        <w:t>2022 року №</w:t>
      </w:r>
      <w:r w:rsidRPr="006B5B52">
        <w:rPr>
          <w:lang w:val="en-US"/>
        </w:rPr>
        <w:t> </w:t>
      </w:r>
      <w:r w:rsidRPr="006B5B52">
        <w:t xml:space="preserve">2102-ІХ «Про затвердження Указу Президента України “Про введення воєнного стану в Україні”», </w:t>
      </w:r>
      <w:r w:rsidRPr="006B5B52">
        <w:rPr>
          <w:lang w:eastAsia="ru-RU"/>
        </w:rPr>
        <w:t xml:space="preserve">Положення про регулювання Національним банком України грошово-кредитного та валютного ринків в умовах особливого періоду, затвердженого постановою Правління Національного банку України від 06 листопада 2019 року № 129/ДСК, </w:t>
      </w:r>
      <w:r w:rsidR="00EB1533">
        <w:rPr>
          <w:lang w:eastAsia="ru-RU"/>
        </w:rPr>
        <w:t xml:space="preserve">постанови Правління Національного банку України від 24 лютого 2022 року №18 </w:t>
      </w:r>
      <w:r w:rsidR="00EB1533">
        <w:t>“Про роботу банківської системи в період запровадження воєнного стану” (зі змінами)</w:t>
      </w:r>
      <w:r w:rsidR="00EB1533" w:rsidRPr="006B5B52">
        <w:rPr>
          <w:lang w:eastAsia="ru-RU"/>
        </w:rPr>
        <w:t xml:space="preserve">, </w:t>
      </w:r>
      <w:r w:rsidR="00EB1533">
        <w:t xml:space="preserve">рішення Національної комісії з цінних паперів та фондового ринку від 04 серпня 2022 року № 1053 “Про впорядкування провадження професійної діяльності на ринках капіталу та організованих товарних ринках у період дії воєнного стану”, </w:t>
      </w:r>
      <w:r w:rsidR="00EB1533">
        <w:rPr>
          <w:lang w:eastAsia="ru-RU"/>
        </w:rPr>
        <w:t xml:space="preserve">з метою сприяння банкам у підтримці їх ліквідності </w:t>
      </w:r>
      <w:r w:rsidR="00420695">
        <w:rPr>
          <w:lang w:eastAsia="ru-RU"/>
        </w:rPr>
        <w:t xml:space="preserve">в </w:t>
      </w:r>
      <w:r w:rsidR="00EB1533">
        <w:rPr>
          <w:lang w:eastAsia="ru-RU"/>
        </w:rPr>
        <w:t>період воєнного стану</w:t>
      </w:r>
      <w:r w:rsidR="00FA508E" w:rsidRPr="006B5B52">
        <w:rPr>
          <w:b/>
        </w:rPr>
        <w:t xml:space="preserve"> </w:t>
      </w:r>
      <w:r w:rsidR="00115ECF" w:rsidRPr="006B5B52">
        <w:t xml:space="preserve">Правління Національного банку </w:t>
      </w:r>
      <w:r w:rsidR="00562C46" w:rsidRPr="006B5B52">
        <w:t>України</w:t>
      </w:r>
      <w:r w:rsidR="00562C46" w:rsidRPr="006B5B52">
        <w:rPr>
          <w:b/>
        </w:rPr>
        <w:t xml:space="preserve"> </w:t>
      </w:r>
      <w:r w:rsidR="00FA508E" w:rsidRPr="006B5B52">
        <w:rPr>
          <w:b/>
        </w:rPr>
        <w:t>постановляє:</w:t>
      </w:r>
    </w:p>
    <w:p w:rsidR="00F14F58" w:rsidRDefault="00937B48" w:rsidP="00860646">
      <w:pPr>
        <w:ind w:firstLine="567"/>
        <w:rPr>
          <w:lang w:eastAsia="ru-RU"/>
        </w:rPr>
      </w:pPr>
      <w:r w:rsidRPr="006B5B52">
        <w:t>1.</w:t>
      </w:r>
      <w:r w:rsidRPr="006B5B52">
        <w:rPr>
          <w:lang w:val="en-US"/>
        </w:rPr>
        <w:t> </w:t>
      </w:r>
      <w:r w:rsidR="00F14F58">
        <w:t>П</w:t>
      </w:r>
      <w:r w:rsidR="00F04C92" w:rsidRPr="006B5B52">
        <w:t>ункт 3</w:t>
      </w:r>
      <w:r w:rsidR="00D829C7" w:rsidRPr="006B5B52">
        <w:t xml:space="preserve"> </w:t>
      </w:r>
      <w:r w:rsidR="00D829C7" w:rsidRPr="006B5B52">
        <w:rPr>
          <w:lang w:eastAsia="ru-RU"/>
        </w:rPr>
        <w:t>постанови Правління Національного банку України від 24 лютого 2022 року № 22 “Про особливості підтримання ліквідності банків у період дії воєнного стану” (зі змінами)</w:t>
      </w:r>
      <w:r w:rsidR="00F14F58">
        <w:rPr>
          <w:lang w:eastAsia="ru-RU"/>
        </w:rPr>
        <w:t xml:space="preserve"> після абзацу сьомого доповнити </w:t>
      </w:r>
      <w:r w:rsidR="009A0C45">
        <w:rPr>
          <w:lang w:eastAsia="ru-RU"/>
        </w:rPr>
        <w:t>п’</w:t>
      </w:r>
      <w:r w:rsidR="009A0C45" w:rsidRPr="00EF0267">
        <w:rPr>
          <w:lang w:eastAsia="ru-RU"/>
        </w:rPr>
        <w:t>ять</w:t>
      </w:r>
      <w:r w:rsidR="009A0C45">
        <w:rPr>
          <w:lang w:eastAsia="ru-RU"/>
        </w:rPr>
        <w:t xml:space="preserve">ма </w:t>
      </w:r>
      <w:r w:rsidR="00F14F58">
        <w:rPr>
          <w:lang w:eastAsia="ru-RU"/>
        </w:rPr>
        <w:t>новими абзацами такого змісту</w:t>
      </w:r>
      <w:r w:rsidR="00F14F58" w:rsidRPr="002A01FA">
        <w:rPr>
          <w:lang w:eastAsia="ru-RU"/>
        </w:rPr>
        <w:t>:</w:t>
      </w:r>
    </w:p>
    <w:p w:rsidR="006B7EF5" w:rsidRPr="00B2530E" w:rsidRDefault="002A01FA" w:rsidP="006B7EF5">
      <w:pPr>
        <w:tabs>
          <w:tab w:val="left" w:pos="598"/>
        </w:tabs>
        <w:ind w:firstLine="598"/>
      </w:pPr>
      <w:r w:rsidRPr="00420695">
        <w:t>“</w:t>
      </w:r>
      <w:r w:rsidR="006B7EF5" w:rsidRPr="00B2530E">
        <w:t>Вартість пулу активів (майна), переданого банком у заставу,</w:t>
      </w:r>
      <w:r w:rsidR="006B7EF5" w:rsidRPr="00B2530E">
        <w:rPr>
          <w:rStyle w:val="apple-converted-space"/>
        </w:rPr>
        <w:t xml:space="preserve"> </w:t>
      </w:r>
      <w:r w:rsidR="00420695">
        <w:rPr>
          <w:rStyle w:val="apple-converted-space"/>
        </w:rPr>
        <w:t>у</w:t>
      </w:r>
      <w:r w:rsidR="00420695" w:rsidRPr="00B2530E">
        <w:rPr>
          <w:rStyle w:val="apple-converted-space"/>
        </w:rPr>
        <w:t xml:space="preserve"> </w:t>
      </w:r>
      <w:r w:rsidR="006B7EF5" w:rsidRPr="00B2530E">
        <w:rPr>
          <w:rStyle w:val="apple-converted-space"/>
        </w:rPr>
        <w:t xml:space="preserve">разі належного виконання ним умов генерального кредитного договору та враховуючи, що банк за всіма кредитами, наданими Національним банком, не має простроченої заборгованості (основна сума кредиту, проценти за користування ним), </w:t>
      </w:r>
      <w:r w:rsidR="006B7EF5" w:rsidRPr="00B2530E">
        <w:t>починаючи з 1</w:t>
      </w:r>
      <w:r w:rsidR="008E0CBD" w:rsidRPr="00B2530E">
        <w:t>9</w:t>
      </w:r>
      <w:r w:rsidR="006B7EF5" w:rsidRPr="00B2530E">
        <w:t xml:space="preserve"> вересня 2022 року розраховується за такою формулою:</w:t>
      </w:r>
    </w:p>
    <w:p w:rsidR="006B7EF5" w:rsidRPr="006B7EF5" w:rsidRDefault="006B7EF5" w:rsidP="006B7EF5">
      <w:pPr>
        <w:jc w:val="center"/>
        <w:rPr>
          <w:i/>
          <w:iCs/>
          <w:color w:val="212121"/>
        </w:rPr>
      </w:pPr>
    </w:p>
    <w:p w:rsidR="006B7EF5" w:rsidRPr="006B7EF5" w:rsidRDefault="006B7EF5" w:rsidP="006B7EF5">
      <w:pPr>
        <w:jc w:val="center"/>
        <w:rPr>
          <w:i/>
          <w:iCs/>
          <w:color w:val="212121"/>
        </w:rPr>
      </w:pPr>
      <w:r w:rsidRPr="006B7EF5">
        <w:rPr>
          <w:i/>
          <w:iCs/>
          <w:color w:val="212121"/>
        </w:rPr>
        <w:lastRenderedPageBreak/>
        <w:t>В</w:t>
      </w:r>
      <w:r w:rsidRPr="006B7EF5">
        <w:rPr>
          <w:i/>
          <w:iCs/>
          <w:color w:val="212121"/>
          <w:vertAlign w:val="subscript"/>
        </w:rPr>
        <w:t>п</w:t>
      </w:r>
      <w:r w:rsidRPr="006B7EF5">
        <w:rPr>
          <w:i/>
          <w:iCs/>
          <w:color w:val="212121"/>
        </w:rPr>
        <w:t>= В</w:t>
      </w:r>
      <w:r w:rsidRPr="006B7EF5">
        <w:rPr>
          <w:i/>
          <w:iCs/>
          <w:color w:val="212121"/>
          <w:vertAlign w:val="subscript"/>
        </w:rPr>
        <w:t>псв</w:t>
      </w:r>
      <w:r w:rsidRPr="006B7EF5">
        <w:rPr>
          <w:color w:val="212121"/>
        </w:rPr>
        <w:t xml:space="preserve"> *</w:t>
      </w:r>
      <w:r w:rsidRPr="006B7EF5">
        <w:rPr>
          <w:i/>
          <w:iCs/>
          <w:color w:val="212121"/>
        </w:rPr>
        <w:t>К + В</w:t>
      </w:r>
      <w:r w:rsidRPr="006B7EF5">
        <w:rPr>
          <w:i/>
          <w:iCs/>
          <w:color w:val="212121"/>
          <w:vertAlign w:val="subscript"/>
        </w:rPr>
        <w:t>пнв</w:t>
      </w:r>
      <w:r w:rsidRPr="006B7EF5">
        <w:rPr>
          <w:color w:val="212121"/>
        </w:rPr>
        <w:t xml:space="preserve"> * (1 – </w:t>
      </w:r>
      <w:r w:rsidRPr="006B7EF5">
        <w:rPr>
          <w:i/>
          <w:iCs/>
          <w:color w:val="212121"/>
        </w:rPr>
        <w:t>К)</w:t>
      </w:r>
      <w:r w:rsidR="00420695" w:rsidRPr="00B2530E">
        <w:rPr>
          <w:iCs/>
          <w:color w:val="212121"/>
        </w:rPr>
        <w:t>,</w:t>
      </w:r>
    </w:p>
    <w:p w:rsidR="006B7EF5" w:rsidRPr="006B7EF5" w:rsidRDefault="006B7EF5" w:rsidP="006B7EF5">
      <w:pPr>
        <w:rPr>
          <w:color w:val="212121"/>
        </w:rPr>
      </w:pPr>
    </w:p>
    <w:p w:rsidR="006B7EF5" w:rsidRPr="006B7EF5" w:rsidRDefault="006B7EF5" w:rsidP="006B7EF5">
      <w:pPr>
        <w:rPr>
          <w:color w:val="212121"/>
        </w:rPr>
      </w:pPr>
      <w:r w:rsidRPr="006B7EF5">
        <w:rPr>
          <w:color w:val="212121"/>
        </w:rPr>
        <w:t>де</w:t>
      </w:r>
      <w:r w:rsidRPr="006B7EF5">
        <w:rPr>
          <w:i/>
          <w:iCs/>
          <w:color w:val="212121"/>
        </w:rPr>
        <w:t xml:space="preserve"> </w:t>
      </w:r>
      <w:r w:rsidR="00420695">
        <w:rPr>
          <w:i/>
          <w:iCs/>
          <w:color w:val="212121"/>
        </w:rPr>
        <w:t xml:space="preserve">    </w:t>
      </w:r>
      <w:proofErr w:type="spellStart"/>
      <w:r w:rsidRPr="006B7EF5">
        <w:rPr>
          <w:i/>
          <w:iCs/>
          <w:color w:val="212121"/>
        </w:rPr>
        <w:t>В</w:t>
      </w:r>
      <w:r w:rsidRPr="006B7EF5">
        <w:rPr>
          <w:i/>
          <w:iCs/>
          <w:color w:val="212121"/>
          <w:vertAlign w:val="subscript"/>
        </w:rPr>
        <w:t>п</w:t>
      </w:r>
      <w:proofErr w:type="spellEnd"/>
      <w:r w:rsidRPr="00753FAA">
        <w:rPr>
          <w:i/>
          <w:iCs/>
          <w:color w:val="212121"/>
        </w:rPr>
        <w:t xml:space="preserve"> </w:t>
      </w:r>
      <w:r w:rsidR="00753FAA">
        <w:rPr>
          <w:color w:val="212121"/>
        </w:rPr>
        <w:t>−</w:t>
      </w:r>
      <w:r w:rsidRPr="006B7EF5">
        <w:rPr>
          <w:i/>
          <w:iCs/>
          <w:color w:val="212121"/>
        </w:rPr>
        <w:t xml:space="preserve"> </w:t>
      </w:r>
      <w:r w:rsidRPr="006B7EF5">
        <w:rPr>
          <w:color w:val="212121"/>
        </w:rPr>
        <w:t>вартість пулу активів (майна);</w:t>
      </w:r>
    </w:p>
    <w:p w:rsidR="006B7EF5" w:rsidRPr="006B7EF5" w:rsidRDefault="006B7EF5" w:rsidP="00420695">
      <w:pPr>
        <w:ind w:firstLine="567"/>
        <w:rPr>
          <w:color w:val="212121"/>
        </w:rPr>
      </w:pPr>
      <w:proofErr w:type="spellStart"/>
      <w:r w:rsidRPr="006B7EF5">
        <w:rPr>
          <w:i/>
          <w:iCs/>
          <w:color w:val="212121"/>
        </w:rPr>
        <w:t>В</w:t>
      </w:r>
      <w:r w:rsidRPr="006B7EF5">
        <w:rPr>
          <w:i/>
          <w:iCs/>
          <w:color w:val="212121"/>
          <w:vertAlign w:val="subscript"/>
        </w:rPr>
        <w:t>псв</w:t>
      </w:r>
      <w:proofErr w:type="spellEnd"/>
      <w:r w:rsidRPr="006B7EF5">
        <w:rPr>
          <w:color w:val="212121"/>
        </w:rPr>
        <w:t xml:space="preserve"> </w:t>
      </w:r>
      <w:r w:rsidR="00420695">
        <w:rPr>
          <w:color w:val="212121"/>
        </w:rPr>
        <w:t>−</w:t>
      </w:r>
      <w:r w:rsidR="00420695" w:rsidRPr="006B7EF5">
        <w:rPr>
          <w:color w:val="212121"/>
        </w:rPr>
        <w:t xml:space="preserve"> </w:t>
      </w:r>
      <w:r w:rsidRPr="006B7EF5">
        <w:rPr>
          <w:color w:val="212121"/>
        </w:rPr>
        <w:t>вартість пулу активів (майна), розрахована із застосуванням справедливої вартості цінних паперів, що входять до складу пулу активів (майна), та коригуючих коефіцієнтів;</w:t>
      </w:r>
    </w:p>
    <w:p w:rsidR="006B7EF5" w:rsidRPr="006B7EF5" w:rsidRDefault="006B7EF5" w:rsidP="00420695">
      <w:pPr>
        <w:ind w:firstLine="567"/>
        <w:rPr>
          <w:color w:val="212121"/>
        </w:rPr>
      </w:pPr>
      <w:proofErr w:type="spellStart"/>
      <w:r w:rsidRPr="006B7EF5">
        <w:rPr>
          <w:i/>
          <w:iCs/>
          <w:color w:val="212121"/>
        </w:rPr>
        <w:t>В</w:t>
      </w:r>
      <w:r w:rsidRPr="006B7EF5">
        <w:rPr>
          <w:i/>
          <w:iCs/>
          <w:color w:val="212121"/>
          <w:vertAlign w:val="subscript"/>
        </w:rPr>
        <w:t>пнв</w:t>
      </w:r>
      <w:proofErr w:type="spellEnd"/>
      <w:r w:rsidRPr="006B7EF5">
        <w:rPr>
          <w:color w:val="212121"/>
        </w:rPr>
        <w:t xml:space="preserve"> </w:t>
      </w:r>
      <w:r w:rsidR="00420695">
        <w:rPr>
          <w:color w:val="212121"/>
        </w:rPr>
        <w:t>−</w:t>
      </w:r>
      <w:r w:rsidR="00420695" w:rsidRPr="006B7EF5">
        <w:rPr>
          <w:color w:val="212121"/>
        </w:rPr>
        <w:t xml:space="preserve"> </w:t>
      </w:r>
      <w:r w:rsidRPr="006B7EF5">
        <w:rPr>
          <w:color w:val="212121"/>
        </w:rPr>
        <w:t>вартість пулу активів (майна), розрахована із застосуванням номінальної вартості цінних паперів, що входять до складу пулу активів (майна);</w:t>
      </w:r>
    </w:p>
    <w:p w:rsidR="006B7EF5" w:rsidRPr="006B7EF5" w:rsidRDefault="006B7EF5" w:rsidP="00420695">
      <w:pPr>
        <w:ind w:firstLine="567"/>
        <w:rPr>
          <w:color w:val="212121"/>
        </w:rPr>
      </w:pPr>
      <w:r w:rsidRPr="006B7EF5">
        <w:rPr>
          <w:i/>
          <w:iCs/>
          <w:color w:val="212121"/>
        </w:rPr>
        <w:t>К</w:t>
      </w:r>
      <w:r w:rsidRPr="006B7EF5">
        <w:rPr>
          <w:color w:val="212121"/>
        </w:rPr>
        <w:t xml:space="preserve"> – частка основної заборгованості за кредитами,  отриманими банком після</w:t>
      </w:r>
      <w:r w:rsidRPr="006B7EF5">
        <w:t xml:space="preserve"> 1</w:t>
      </w:r>
      <w:r w:rsidR="008E0CBD">
        <w:t>9</w:t>
      </w:r>
      <w:r w:rsidRPr="006B7EF5">
        <w:t xml:space="preserve"> вересня </w:t>
      </w:r>
      <w:r w:rsidRPr="006B7EF5">
        <w:rPr>
          <w:color w:val="212121"/>
        </w:rPr>
        <w:t>2022 року, включаючи кредити, надані на повернення раніше отриманих кредитів, у загальній сумі основної заборгованості за кредитами, отриманими банком за генеральним кредитним договором.</w:t>
      </w:r>
      <w:r w:rsidRPr="006B7EF5">
        <w:rPr>
          <w:rStyle w:val="apple-converted-space"/>
          <w:color w:val="212121"/>
        </w:rPr>
        <w:t> </w:t>
      </w:r>
    </w:p>
    <w:p w:rsidR="002A01FA" w:rsidRPr="00F54707" w:rsidRDefault="006B7EF5" w:rsidP="00325712">
      <w:pPr>
        <w:ind w:firstLine="567"/>
      </w:pPr>
      <w:r w:rsidRPr="006B7EF5">
        <w:rPr>
          <w:color w:val="000000"/>
          <w:shd w:val="clear" w:color="auto" w:fill="FFFFFF"/>
        </w:rPr>
        <w:t xml:space="preserve">Визначення достатності забезпечення </w:t>
      </w:r>
      <w:r w:rsidR="00420695">
        <w:rPr>
          <w:color w:val="000000"/>
          <w:shd w:val="clear" w:color="auto" w:fill="FFFFFF"/>
        </w:rPr>
        <w:t>під час</w:t>
      </w:r>
      <w:r w:rsidRPr="006B7EF5">
        <w:rPr>
          <w:color w:val="000000"/>
          <w:shd w:val="clear" w:color="auto" w:fill="FFFFFF"/>
        </w:rPr>
        <w:t xml:space="preserve"> </w:t>
      </w:r>
      <w:r w:rsidRPr="006B7EF5">
        <w:rPr>
          <w:color w:val="212121"/>
        </w:rPr>
        <w:t>опрацювання заявок</w:t>
      </w:r>
      <w:r w:rsidRPr="006B7EF5">
        <w:t xml:space="preserve"> на включення активів (майна) до пулу/виключення активів (майна) з пулу/заміну активів (майна) у пулі</w:t>
      </w:r>
      <w:r w:rsidRPr="006B7EF5">
        <w:rPr>
          <w:color w:val="212121"/>
        </w:rPr>
        <w:t xml:space="preserve"> </w:t>
      </w:r>
      <w:r w:rsidRPr="006B7EF5">
        <w:rPr>
          <w:color w:val="000000"/>
          <w:shd w:val="clear" w:color="auto" w:fill="FFFFFF"/>
        </w:rPr>
        <w:t>здійснюється із застосуванням справедливої вартості цінних паперів та коригуючих коефіцієнтів, якщо заявки призводять до зменшення вартості пулу активів (майна), розрахованої із застосуванням справедливої вартості цінних паперів, що входять до складу пулу активів (майна), та коригуючих коефіцієнтів</w:t>
      </w:r>
      <w:r w:rsidR="002A01FA">
        <w:t>.</w:t>
      </w:r>
      <w:r w:rsidR="002A01FA" w:rsidRPr="00F54707">
        <w:t>”</w:t>
      </w:r>
      <w:r w:rsidR="00826AD1">
        <w:t>.</w:t>
      </w:r>
    </w:p>
    <w:p w:rsidR="002A01FA" w:rsidRPr="006B5B52" w:rsidRDefault="002A01FA" w:rsidP="002A01FA">
      <w:pPr>
        <w:spacing w:after="240"/>
        <w:ind w:firstLine="567"/>
        <w:rPr>
          <w:lang w:val="ru-RU"/>
        </w:rPr>
      </w:pPr>
      <w:r w:rsidRPr="006B5B52">
        <w:rPr>
          <w:lang w:val="ru-RU"/>
        </w:rPr>
        <w:t xml:space="preserve">У зв’язку з цим абзаци </w:t>
      </w:r>
      <w:r>
        <w:rPr>
          <w:lang w:val="ru-RU"/>
        </w:rPr>
        <w:t xml:space="preserve">восьмий, </w:t>
      </w:r>
      <w:r w:rsidRPr="006B5B52">
        <w:t>дев</w:t>
      </w:r>
      <w:r w:rsidRPr="006B5B52">
        <w:rPr>
          <w:lang w:val="ru-RU"/>
        </w:rPr>
        <w:t>’</w:t>
      </w:r>
      <w:r w:rsidRPr="006B5B52">
        <w:t xml:space="preserve">ятий </w:t>
      </w:r>
      <w:r w:rsidRPr="006B5B52">
        <w:rPr>
          <w:lang w:val="ru-RU"/>
        </w:rPr>
        <w:t>уважати відповідно абзацами</w:t>
      </w:r>
      <w:r>
        <w:rPr>
          <w:lang w:val="ru-RU"/>
        </w:rPr>
        <w:t xml:space="preserve"> </w:t>
      </w:r>
      <w:r w:rsidR="009A0C45">
        <w:rPr>
          <w:lang w:val="ru-RU"/>
        </w:rPr>
        <w:t>тринадцятим</w:t>
      </w:r>
      <w:r>
        <w:rPr>
          <w:lang w:val="ru-RU"/>
        </w:rPr>
        <w:t xml:space="preserve">, </w:t>
      </w:r>
      <w:r w:rsidR="009A0C45">
        <w:rPr>
          <w:lang w:val="ru-RU"/>
        </w:rPr>
        <w:t>чотирнадцятим</w:t>
      </w:r>
      <w:r w:rsidRPr="006B5B52">
        <w:rPr>
          <w:lang w:val="ru-RU"/>
        </w:rPr>
        <w:t>.</w:t>
      </w:r>
    </w:p>
    <w:p w:rsidR="00AD7DF9" w:rsidRPr="006B5B52" w:rsidRDefault="00937B48" w:rsidP="006B5B52">
      <w:pPr>
        <w:spacing w:before="240" w:after="240"/>
        <w:ind w:firstLine="567"/>
        <w:rPr>
          <w:rFonts w:eastAsiaTheme="minorEastAsia"/>
          <w:noProof/>
          <w:lang w:eastAsia="en-US"/>
        </w:rPr>
      </w:pPr>
      <w:r w:rsidRPr="006B5B52">
        <w:rPr>
          <w:rFonts w:eastAsiaTheme="minorEastAsia"/>
          <w:noProof/>
          <w:lang w:eastAsia="en-US"/>
        </w:rPr>
        <w:t>2. </w:t>
      </w:r>
      <w:r w:rsidR="00D829C7" w:rsidRPr="006B5B52">
        <w:rPr>
          <w:lang w:eastAsia="ru-RU"/>
        </w:rPr>
        <w:t>Департаменту відкритих ринків (Олексій Лупін) після офіційного опублікування довести до відома банків України інформацію про прийняття цієї постанови</w:t>
      </w:r>
      <w:r w:rsidR="00D829C7" w:rsidRPr="006B5B52">
        <w:rPr>
          <w:rFonts w:eastAsiaTheme="minorEastAsia"/>
          <w:noProof/>
          <w:lang w:eastAsia="en-US"/>
        </w:rPr>
        <w:t>.</w:t>
      </w:r>
    </w:p>
    <w:p w:rsidR="00AD7DF9" w:rsidRPr="006B5B52" w:rsidRDefault="00937B48" w:rsidP="006B5B52">
      <w:pPr>
        <w:spacing w:before="240" w:after="240"/>
        <w:ind w:firstLine="567"/>
        <w:rPr>
          <w:rFonts w:eastAsiaTheme="minorEastAsia"/>
          <w:noProof/>
          <w:lang w:eastAsia="en-US"/>
        </w:rPr>
      </w:pPr>
      <w:r w:rsidRPr="006B5B52">
        <w:rPr>
          <w:rFonts w:eastAsiaTheme="minorEastAsia"/>
          <w:noProof/>
          <w:lang w:eastAsia="en-US"/>
        </w:rPr>
        <w:t>3. </w:t>
      </w:r>
      <w:r w:rsidR="00D829C7" w:rsidRPr="006B5B52">
        <w:rPr>
          <w:lang w:eastAsia="ru-RU"/>
        </w:rPr>
        <w:t>Контроль за виконанням цієї постанови покласти на заступника Голови Національного банку України Юрія Гелетія</w:t>
      </w:r>
      <w:r w:rsidR="00D829C7" w:rsidRPr="006B5B52">
        <w:rPr>
          <w:rFonts w:eastAsiaTheme="minorEastAsia"/>
          <w:noProof/>
          <w:lang w:val="ru-RU" w:eastAsia="en-US"/>
        </w:rPr>
        <w:t>.</w:t>
      </w:r>
    </w:p>
    <w:p w:rsidR="00AD7DF9" w:rsidRDefault="00937B48" w:rsidP="006B5B52">
      <w:pPr>
        <w:spacing w:before="240" w:after="240"/>
        <w:ind w:firstLine="567"/>
        <w:rPr>
          <w:lang w:eastAsia="ru-RU"/>
        </w:rPr>
      </w:pPr>
      <w:r w:rsidRPr="006B5B52">
        <w:rPr>
          <w:rFonts w:eastAsiaTheme="minorEastAsia"/>
          <w:noProof/>
          <w:lang w:eastAsia="en-US"/>
        </w:rPr>
        <w:t>4. </w:t>
      </w:r>
      <w:r w:rsidR="00D829C7" w:rsidRPr="006B5B52">
        <w:rPr>
          <w:lang w:eastAsia="ru-RU"/>
        </w:rPr>
        <w:t xml:space="preserve">Постанова набирає чинності з </w:t>
      </w:r>
      <w:r w:rsidR="00DC02E1">
        <w:rPr>
          <w:lang w:eastAsia="ru-RU"/>
        </w:rPr>
        <w:t>1</w:t>
      </w:r>
      <w:r w:rsidR="008E0CBD">
        <w:rPr>
          <w:lang w:eastAsia="ru-RU"/>
        </w:rPr>
        <w:t>9</w:t>
      </w:r>
      <w:r w:rsidR="00DC02E1">
        <w:rPr>
          <w:lang w:eastAsia="ru-RU"/>
        </w:rPr>
        <w:t xml:space="preserve"> вересня 2022 року</w:t>
      </w:r>
      <w:r w:rsidR="00D829C7" w:rsidRPr="006B5B52">
        <w:rPr>
          <w:lang w:eastAsia="ru-RU"/>
        </w:rPr>
        <w:t>.</w:t>
      </w:r>
    </w:p>
    <w:p w:rsidR="001F642C" w:rsidRDefault="001F642C" w:rsidP="006B5B52">
      <w:pPr>
        <w:spacing w:before="240" w:after="240"/>
        <w:ind w:firstLine="567"/>
        <w:rPr>
          <w:lang w:eastAsia="ru-RU"/>
        </w:rPr>
      </w:pPr>
    </w:p>
    <w:p w:rsidR="001F642C" w:rsidRPr="006B5B52" w:rsidRDefault="001F642C" w:rsidP="006B5B52">
      <w:pPr>
        <w:spacing w:before="240" w:after="240"/>
        <w:ind w:firstLine="567"/>
        <w:rPr>
          <w:rFonts w:eastAsiaTheme="minorEastAsia"/>
          <w:noProof/>
          <w:lang w:eastAsia="en-US"/>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F22B0F" w:rsidRPr="006B5B52" w:rsidTr="00CF2935">
        <w:tc>
          <w:tcPr>
            <w:tcW w:w="5495" w:type="dxa"/>
            <w:vAlign w:val="bottom"/>
          </w:tcPr>
          <w:p w:rsidR="00DD60CC" w:rsidRPr="006B5B52" w:rsidRDefault="00D829C7" w:rsidP="00954131">
            <w:pPr>
              <w:tabs>
                <w:tab w:val="left" w:pos="7020"/>
                <w:tab w:val="left" w:pos="7200"/>
              </w:tabs>
              <w:autoSpaceDE w:val="0"/>
              <w:autoSpaceDN w:val="0"/>
              <w:ind w:left="-111"/>
              <w:jc w:val="left"/>
            </w:pPr>
            <w:r w:rsidRPr="006B5B52">
              <w:t>Голова</w:t>
            </w:r>
          </w:p>
        </w:tc>
        <w:tc>
          <w:tcPr>
            <w:tcW w:w="4252" w:type="dxa"/>
            <w:vAlign w:val="bottom"/>
          </w:tcPr>
          <w:p w:rsidR="00DD60CC" w:rsidRPr="006B5B52" w:rsidRDefault="00D829C7" w:rsidP="00AC2472">
            <w:pPr>
              <w:tabs>
                <w:tab w:val="left" w:pos="7020"/>
                <w:tab w:val="left" w:pos="7200"/>
              </w:tabs>
              <w:autoSpaceDE w:val="0"/>
              <w:autoSpaceDN w:val="0"/>
              <w:ind w:left="32"/>
              <w:jc w:val="right"/>
            </w:pPr>
            <w:r w:rsidRPr="006B5B52">
              <w:t>Кирило ШЕВЧЕНКО</w:t>
            </w:r>
          </w:p>
        </w:tc>
      </w:tr>
    </w:tbl>
    <w:p w:rsidR="008D10FD" w:rsidRPr="006B5B52" w:rsidRDefault="008D10FD" w:rsidP="00E53CCD"/>
    <w:p w:rsidR="00FA508E" w:rsidRPr="006B5B52" w:rsidRDefault="00FA508E" w:rsidP="00E53CCD"/>
    <w:p w:rsidR="00FA508E" w:rsidRPr="006B5B52" w:rsidRDefault="00937B48" w:rsidP="00FA508E">
      <w:pPr>
        <w:jc w:val="left"/>
      </w:pPr>
      <w:r w:rsidRPr="006B5B52">
        <w:t>Інд.</w:t>
      </w:r>
      <w:r w:rsidRPr="006B5B52">
        <w:rPr>
          <w:sz w:val="22"/>
          <w:szCs w:val="22"/>
        </w:rPr>
        <w:t xml:space="preserve"> </w:t>
      </w:r>
      <w:r w:rsidR="00D829C7" w:rsidRPr="006B5B52">
        <w:rPr>
          <w:lang w:val="en-US"/>
        </w:rPr>
        <w:t>40</w:t>
      </w:r>
    </w:p>
    <w:sectPr w:rsidR="00FA508E" w:rsidRPr="006B5B52" w:rsidSect="00420695">
      <w:headerReference w:type="default" r:id="rId14"/>
      <w:footerReference w:type="first" r:id="rId15"/>
      <w:pgSz w:w="11906" w:h="16838" w:code="9"/>
      <w:pgMar w:top="851" w:right="567" w:bottom="1985"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C4C" w:rsidRDefault="00154C4C">
      <w:r>
        <w:separator/>
      </w:r>
    </w:p>
  </w:endnote>
  <w:endnote w:type="continuationSeparator" w:id="0">
    <w:p w:rsidR="00154C4C" w:rsidRDefault="0015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20B0604020202020204"/>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C70" w:rsidRPr="00AB062E" w:rsidRDefault="00937B48" w:rsidP="00F93C70">
    <w:pPr>
      <w:pStyle w:val="a5"/>
      <w:jc w:val="right"/>
      <w:rPr>
        <w:color w:val="FFFFFF" w:themeColor="background1"/>
      </w:rPr>
    </w:pPr>
    <w:r w:rsidRPr="00AB062E">
      <w:rPr>
        <w:color w:val="FFFFFF" w:themeColor="background1"/>
      </w:rPr>
      <w:t>Шаблон</w:t>
    </w:r>
  </w:p>
  <w:p w:rsidR="00F93C70" w:rsidRPr="00F93C70" w:rsidRDefault="00937B48"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C4C" w:rsidRDefault="00154C4C">
      <w:r>
        <w:separator/>
      </w:r>
    </w:p>
  </w:footnote>
  <w:footnote w:type="continuationSeparator" w:id="0">
    <w:p w:rsidR="00154C4C" w:rsidRDefault="0015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9334"/>
      <w:docPartObj>
        <w:docPartGallery w:val="Page Numbers (Top of Page)"/>
        <w:docPartUnique/>
      </w:docPartObj>
    </w:sdtPr>
    <w:sdtContent>
      <w:p w:rsidR="00460BA2" w:rsidRDefault="00937B48">
        <w:pPr>
          <w:pStyle w:val="a5"/>
          <w:jc w:val="center"/>
        </w:pPr>
        <w:r>
          <w:fldChar w:fldCharType="begin"/>
        </w:r>
        <w:r>
          <w:instrText xml:space="preserve"> PAGE   \* MERGEFORMAT </w:instrText>
        </w:r>
        <w:r>
          <w:fldChar w:fldCharType="separate"/>
        </w:r>
        <w:r w:rsidR="009527C4">
          <w:rPr>
            <w:noProof/>
          </w:rPr>
          <w:t>2</w:t>
        </w:r>
        <w:r>
          <w:fldChar w:fldCharType="end"/>
        </w:r>
      </w:p>
    </w:sdtContent>
  </w:sdt>
  <w:p w:rsidR="00460BA2" w:rsidRDefault="00460B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05DD"/>
    <w:multiLevelType w:val="hybridMultilevel"/>
    <w:tmpl w:val="4008ECA2"/>
    <w:lvl w:ilvl="0" w:tplc="7562D15C">
      <w:start w:val="1"/>
      <w:numFmt w:val="decimal"/>
      <w:lvlText w:val="%1."/>
      <w:lvlJc w:val="left"/>
      <w:pPr>
        <w:ind w:left="3905" w:hanging="360"/>
      </w:pPr>
    </w:lvl>
    <w:lvl w:ilvl="1" w:tplc="462420DE">
      <w:start w:val="1"/>
      <w:numFmt w:val="lowerLetter"/>
      <w:lvlText w:val="%2."/>
      <w:lvlJc w:val="left"/>
      <w:pPr>
        <w:ind w:left="1789" w:hanging="360"/>
      </w:pPr>
    </w:lvl>
    <w:lvl w:ilvl="2" w:tplc="59185CC8">
      <w:start w:val="1"/>
      <w:numFmt w:val="lowerRoman"/>
      <w:lvlText w:val="%3."/>
      <w:lvlJc w:val="right"/>
      <w:pPr>
        <w:ind w:left="2509" w:hanging="180"/>
      </w:pPr>
    </w:lvl>
    <w:lvl w:ilvl="3" w:tplc="FBB4E0EA">
      <w:start w:val="1"/>
      <w:numFmt w:val="decimal"/>
      <w:lvlText w:val="%4."/>
      <w:lvlJc w:val="left"/>
      <w:pPr>
        <w:ind w:left="3229" w:hanging="360"/>
      </w:pPr>
    </w:lvl>
    <w:lvl w:ilvl="4" w:tplc="EE4C8278">
      <w:start w:val="1"/>
      <w:numFmt w:val="lowerLetter"/>
      <w:lvlText w:val="%5."/>
      <w:lvlJc w:val="left"/>
      <w:pPr>
        <w:ind w:left="3949" w:hanging="360"/>
      </w:pPr>
    </w:lvl>
    <w:lvl w:ilvl="5" w:tplc="92FE9058">
      <w:start w:val="1"/>
      <w:numFmt w:val="lowerRoman"/>
      <w:lvlText w:val="%6."/>
      <w:lvlJc w:val="right"/>
      <w:pPr>
        <w:ind w:left="4669" w:hanging="180"/>
      </w:pPr>
    </w:lvl>
    <w:lvl w:ilvl="6" w:tplc="0FA0CB64">
      <w:start w:val="1"/>
      <w:numFmt w:val="decimal"/>
      <w:lvlText w:val="%7."/>
      <w:lvlJc w:val="left"/>
      <w:pPr>
        <w:ind w:left="5389" w:hanging="360"/>
      </w:pPr>
    </w:lvl>
    <w:lvl w:ilvl="7" w:tplc="47BC5042">
      <w:start w:val="1"/>
      <w:numFmt w:val="lowerLetter"/>
      <w:lvlText w:val="%8."/>
      <w:lvlJc w:val="left"/>
      <w:pPr>
        <w:ind w:left="6109" w:hanging="360"/>
      </w:pPr>
    </w:lvl>
    <w:lvl w:ilvl="8" w:tplc="776E5522">
      <w:start w:val="1"/>
      <w:numFmt w:val="lowerRoman"/>
      <w:lvlText w:val="%9."/>
      <w:lvlJc w:val="right"/>
      <w:pPr>
        <w:ind w:left="6829" w:hanging="180"/>
      </w:pPr>
    </w:lvl>
  </w:abstractNum>
  <w:abstractNum w:abstractNumId="1" w15:restartNumberingAfterBreak="0">
    <w:nsid w:val="39745796"/>
    <w:multiLevelType w:val="hybridMultilevel"/>
    <w:tmpl w:val="D44AD2DE"/>
    <w:lvl w:ilvl="0" w:tplc="9D5A093A">
      <w:start w:val="1"/>
      <w:numFmt w:val="decimal"/>
      <w:lvlText w:val="%1."/>
      <w:lvlJc w:val="left"/>
      <w:pPr>
        <w:ind w:left="1429" w:hanging="360"/>
      </w:pPr>
    </w:lvl>
    <w:lvl w:ilvl="1" w:tplc="5E486168" w:tentative="1">
      <w:start w:val="1"/>
      <w:numFmt w:val="lowerLetter"/>
      <w:lvlText w:val="%2."/>
      <w:lvlJc w:val="left"/>
      <w:pPr>
        <w:ind w:left="2149" w:hanging="360"/>
      </w:pPr>
    </w:lvl>
    <w:lvl w:ilvl="2" w:tplc="2F1CAAA2" w:tentative="1">
      <w:start w:val="1"/>
      <w:numFmt w:val="lowerRoman"/>
      <w:lvlText w:val="%3."/>
      <w:lvlJc w:val="right"/>
      <w:pPr>
        <w:ind w:left="2869" w:hanging="180"/>
      </w:pPr>
    </w:lvl>
    <w:lvl w:ilvl="3" w:tplc="78AAB78C" w:tentative="1">
      <w:start w:val="1"/>
      <w:numFmt w:val="decimal"/>
      <w:lvlText w:val="%4."/>
      <w:lvlJc w:val="left"/>
      <w:pPr>
        <w:ind w:left="3589" w:hanging="360"/>
      </w:pPr>
    </w:lvl>
    <w:lvl w:ilvl="4" w:tplc="1920264E" w:tentative="1">
      <w:start w:val="1"/>
      <w:numFmt w:val="lowerLetter"/>
      <w:lvlText w:val="%5."/>
      <w:lvlJc w:val="left"/>
      <w:pPr>
        <w:ind w:left="4309" w:hanging="360"/>
      </w:pPr>
    </w:lvl>
    <w:lvl w:ilvl="5" w:tplc="FBC410EA" w:tentative="1">
      <w:start w:val="1"/>
      <w:numFmt w:val="lowerRoman"/>
      <w:lvlText w:val="%6."/>
      <w:lvlJc w:val="right"/>
      <w:pPr>
        <w:ind w:left="5029" w:hanging="180"/>
      </w:pPr>
    </w:lvl>
    <w:lvl w:ilvl="6" w:tplc="2E4C6B08" w:tentative="1">
      <w:start w:val="1"/>
      <w:numFmt w:val="decimal"/>
      <w:lvlText w:val="%7."/>
      <w:lvlJc w:val="left"/>
      <w:pPr>
        <w:ind w:left="5749" w:hanging="360"/>
      </w:pPr>
    </w:lvl>
    <w:lvl w:ilvl="7" w:tplc="8118DD88" w:tentative="1">
      <w:start w:val="1"/>
      <w:numFmt w:val="lowerLetter"/>
      <w:lvlText w:val="%8."/>
      <w:lvlJc w:val="left"/>
      <w:pPr>
        <w:ind w:left="6469" w:hanging="360"/>
      </w:pPr>
    </w:lvl>
    <w:lvl w:ilvl="8" w:tplc="254E7894" w:tentative="1">
      <w:start w:val="1"/>
      <w:numFmt w:val="lowerRoman"/>
      <w:lvlText w:val="%9."/>
      <w:lvlJc w:val="right"/>
      <w:pPr>
        <w:ind w:left="7189" w:hanging="180"/>
      </w:pPr>
    </w:lvl>
  </w:abstractNum>
  <w:abstractNum w:abstractNumId="2" w15:restartNumberingAfterBreak="0">
    <w:nsid w:val="6F1F3951"/>
    <w:multiLevelType w:val="hybridMultilevel"/>
    <w:tmpl w:val="33965596"/>
    <w:lvl w:ilvl="0" w:tplc="F5C082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58383312">
    <w:abstractNumId w:val="1"/>
  </w:num>
  <w:num w:numId="2" w16cid:durableId="159780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6338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trackRevisions/>
  <w:defaultTabStop w:val="992"/>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65"/>
    <w:rsid w:val="0000282B"/>
    <w:rsid w:val="000064FA"/>
    <w:rsid w:val="000069AF"/>
    <w:rsid w:val="00015CF3"/>
    <w:rsid w:val="00015FDE"/>
    <w:rsid w:val="000271C0"/>
    <w:rsid w:val="0003331E"/>
    <w:rsid w:val="000342A5"/>
    <w:rsid w:val="0003793C"/>
    <w:rsid w:val="000543C6"/>
    <w:rsid w:val="00054495"/>
    <w:rsid w:val="000600A8"/>
    <w:rsid w:val="00061C52"/>
    <w:rsid w:val="00063480"/>
    <w:rsid w:val="000638F2"/>
    <w:rsid w:val="000B2990"/>
    <w:rsid w:val="000D51FD"/>
    <w:rsid w:val="000D778F"/>
    <w:rsid w:val="000E0877"/>
    <w:rsid w:val="000E0CB3"/>
    <w:rsid w:val="000E5B8C"/>
    <w:rsid w:val="000E7A13"/>
    <w:rsid w:val="00105299"/>
    <w:rsid w:val="00106229"/>
    <w:rsid w:val="00115ECF"/>
    <w:rsid w:val="001215DF"/>
    <w:rsid w:val="00154C4C"/>
    <w:rsid w:val="001564BA"/>
    <w:rsid w:val="001631E2"/>
    <w:rsid w:val="001639EC"/>
    <w:rsid w:val="001716B0"/>
    <w:rsid w:val="001740C0"/>
    <w:rsid w:val="00190E1A"/>
    <w:rsid w:val="001A0EE5"/>
    <w:rsid w:val="001A16FA"/>
    <w:rsid w:val="001A4CB9"/>
    <w:rsid w:val="001A6795"/>
    <w:rsid w:val="001B4D80"/>
    <w:rsid w:val="001C206C"/>
    <w:rsid w:val="001D487A"/>
    <w:rsid w:val="001F3B2A"/>
    <w:rsid w:val="001F642C"/>
    <w:rsid w:val="002238D1"/>
    <w:rsid w:val="00233F37"/>
    <w:rsid w:val="00241373"/>
    <w:rsid w:val="00241FF5"/>
    <w:rsid w:val="002516E3"/>
    <w:rsid w:val="00253BF9"/>
    <w:rsid w:val="00264983"/>
    <w:rsid w:val="00266678"/>
    <w:rsid w:val="00276988"/>
    <w:rsid w:val="00280DCC"/>
    <w:rsid w:val="00285DDA"/>
    <w:rsid w:val="00290169"/>
    <w:rsid w:val="002A01FA"/>
    <w:rsid w:val="002A2391"/>
    <w:rsid w:val="002B351E"/>
    <w:rsid w:val="002B3F71"/>
    <w:rsid w:val="002B582B"/>
    <w:rsid w:val="002C1FDB"/>
    <w:rsid w:val="002D1790"/>
    <w:rsid w:val="002F48EF"/>
    <w:rsid w:val="00325712"/>
    <w:rsid w:val="00331332"/>
    <w:rsid w:val="00332701"/>
    <w:rsid w:val="00340D07"/>
    <w:rsid w:val="00345982"/>
    <w:rsid w:val="003519E8"/>
    <w:rsid w:val="00356E34"/>
    <w:rsid w:val="00357676"/>
    <w:rsid w:val="003808DC"/>
    <w:rsid w:val="0038385E"/>
    <w:rsid w:val="00384F65"/>
    <w:rsid w:val="0039725C"/>
    <w:rsid w:val="003A16E7"/>
    <w:rsid w:val="003A751F"/>
    <w:rsid w:val="003C3282"/>
    <w:rsid w:val="003C3985"/>
    <w:rsid w:val="003D1404"/>
    <w:rsid w:val="003D6B33"/>
    <w:rsid w:val="003E253E"/>
    <w:rsid w:val="003F0441"/>
    <w:rsid w:val="003F28B5"/>
    <w:rsid w:val="003F7093"/>
    <w:rsid w:val="00401EDB"/>
    <w:rsid w:val="00404C93"/>
    <w:rsid w:val="00407877"/>
    <w:rsid w:val="004130B9"/>
    <w:rsid w:val="00420695"/>
    <w:rsid w:val="00421C46"/>
    <w:rsid w:val="0043496A"/>
    <w:rsid w:val="00446704"/>
    <w:rsid w:val="00455B45"/>
    <w:rsid w:val="00460087"/>
    <w:rsid w:val="00460BA2"/>
    <w:rsid w:val="004625B1"/>
    <w:rsid w:val="00464FFE"/>
    <w:rsid w:val="004666D6"/>
    <w:rsid w:val="00480F60"/>
    <w:rsid w:val="004940E0"/>
    <w:rsid w:val="00494903"/>
    <w:rsid w:val="004A1CFC"/>
    <w:rsid w:val="004A7F75"/>
    <w:rsid w:val="004B1FE9"/>
    <w:rsid w:val="004B5574"/>
    <w:rsid w:val="004D096D"/>
    <w:rsid w:val="004D2B57"/>
    <w:rsid w:val="004E22E2"/>
    <w:rsid w:val="004F7286"/>
    <w:rsid w:val="00501F58"/>
    <w:rsid w:val="0050563F"/>
    <w:rsid w:val="005212A1"/>
    <w:rsid w:val="005212C5"/>
    <w:rsid w:val="00523C13"/>
    <w:rsid w:val="00524F07"/>
    <w:rsid w:val="005257C2"/>
    <w:rsid w:val="00532633"/>
    <w:rsid w:val="005403F1"/>
    <w:rsid w:val="00542533"/>
    <w:rsid w:val="005624B6"/>
    <w:rsid w:val="00562C46"/>
    <w:rsid w:val="00566BA2"/>
    <w:rsid w:val="005672BF"/>
    <w:rsid w:val="0057237F"/>
    <w:rsid w:val="0057325A"/>
    <w:rsid w:val="00577402"/>
    <w:rsid w:val="005822CB"/>
    <w:rsid w:val="00597AB6"/>
    <w:rsid w:val="005A0F4B"/>
    <w:rsid w:val="005A1D3C"/>
    <w:rsid w:val="005A3F34"/>
    <w:rsid w:val="005B2D03"/>
    <w:rsid w:val="005B798E"/>
    <w:rsid w:val="005C5CBF"/>
    <w:rsid w:val="005D3B88"/>
    <w:rsid w:val="005D45F5"/>
    <w:rsid w:val="005E3FA8"/>
    <w:rsid w:val="005F4CB4"/>
    <w:rsid w:val="005F6B35"/>
    <w:rsid w:val="006121C5"/>
    <w:rsid w:val="00640612"/>
    <w:rsid w:val="0064227D"/>
    <w:rsid w:val="0065179F"/>
    <w:rsid w:val="00657593"/>
    <w:rsid w:val="00670C95"/>
    <w:rsid w:val="006925CE"/>
    <w:rsid w:val="00692C8C"/>
    <w:rsid w:val="006959F7"/>
    <w:rsid w:val="006B2748"/>
    <w:rsid w:val="006B465F"/>
    <w:rsid w:val="006B5B52"/>
    <w:rsid w:val="006B7EF5"/>
    <w:rsid w:val="006C06A1"/>
    <w:rsid w:val="006C0F22"/>
    <w:rsid w:val="006C13B1"/>
    <w:rsid w:val="006C4176"/>
    <w:rsid w:val="006C66EF"/>
    <w:rsid w:val="006D2617"/>
    <w:rsid w:val="00700AA3"/>
    <w:rsid w:val="007142BA"/>
    <w:rsid w:val="00714823"/>
    <w:rsid w:val="00717197"/>
    <w:rsid w:val="0071789F"/>
    <w:rsid w:val="00730088"/>
    <w:rsid w:val="00747222"/>
    <w:rsid w:val="00750898"/>
    <w:rsid w:val="00753FAA"/>
    <w:rsid w:val="00773559"/>
    <w:rsid w:val="0078127A"/>
    <w:rsid w:val="00783AF2"/>
    <w:rsid w:val="00784D5D"/>
    <w:rsid w:val="00787E46"/>
    <w:rsid w:val="007A2BCB"/>
    <w:rsid w:val="007A32DB"/>
    <w:rsid w:val="007A6609"/>
    <w:rsid w:val="007B2EB3"/>
    <w:rsid w:val="007B3538"/>
    <w:rsid w:val="007B7B73"/>
    <w:rsid w:val="007C2CED"/>
    <w:rsid w:val="007C337C"/>
    <w:rsid w:val="007E40BA"/>
    <w:rsid w:val="00802988"/>
    <w:rsid w:val="00811CD6"/>
    <w:rsid w:val="008159D0"/>
    <w:rsid w:val="00825BEB"/>
    <w:rsid w:val="00826AD1"/>
    <w:rsid w:val="008415A0"/>
    <w:rsid w:val="0085364B"/>
    <w:rsid w:val="00860646"/>
    <w:rsid w:val="008639DA"/>
    <w:rsid w:val="00866993"/>
    <w:rsid w:val="00874366"/>
    <w:rsid w:val="008762D8"/>
    <w:rsid w:val="00882590"/>
    <w:rsid w:val="008851AC"/>
    <w:rsid w:val="008934A9"/>
    <w:rsid w:val="00897035"/>
    <w:rsid w:val="008B1589"/>
    <w:rsid w:val="008B74DD"/>
    <w:rsid w:val="008C72B5"/>
    <w:rsid w:val="008D10FD"/>
    <w:rsid w:val="008D122F"/>
    <w:rsid w:val="008D5F60"/>
    <w:rsid w:val="008D727F"/>
    <w:rsid w:val="008E0CBD"/>
    <w:rsid w:val="008E1B8E"/>
    <w:rsid w:val="008F0210"/>
    <w:rsid w:val="008F2600"/>
    <w:rsid w:val="008F2DCE"/>
    <w:rsid w:val="008F5D52"/>
    <w:rsid w:val="0090189A"/>
    <w:rsid w:val="00904F17"/>
    <w:rsid w:val="00922966"/>
    <w:rsid w:val="0092710A"/>
    <w:rsid w:val="00937AE3"/>
    <w:rsid w:val="00937B48"/>
    <w:rsid w:val="00937D24"/>
    <w:rsid w:val="00943175"/>
    <w:rsid w:val="009527C4"/>
    <w:rsid w:val="00954131"/>
    <w:rsid w:val="00956D26"/>
    <w:rsid w:val="0095741D"/>
    <w:rsid w:val="00960362"/>
    <w:rsid w:val="0097288F"/>
    <w:rsid w:val="0098207E"/>
    <w:rsid w:val="009828C4"/>
    <w:rsid w:val="00990AAE"/>
    <w:rsid w:val="009A0C45"/>
    <w:rsid w:val="009A648B"/>
    <w:rsid w:val="009B6120"/>
    <w:rsid w:val="009C2F76"/>
    <w:rsid w:val="009C369D"/>
    <w:rsid w:val="009F5312"/>
    <w:rsid w:val="00A02AEC"/>
    <w:rsid w:val="00A0594A"/>
    <w:rsid w:val="00A10B22"/>
    <w:rsid w:val="00A12C47"/>
    <w:rsid w:val="00A158E7"/>
    <w:rsid w:val="00A17B63"/>
    <w:rsid w:val="00A23E04"/>
    <w:rsid w:val="00A3014D"/>
    <w:rsid w:val="00A46C15"/>
    <w:rsid w:val="00A50DC0"/>
    <w:rsid w:val="00A63695"/>
    <w:rsid w:val="00A64552"/>
    <w:rsid w:val="00A72F06"/>
    <w:rsid w:val="00A730F2"/>
    <w:rsid w:val="00A75ECA"/>
    <w:rsid w:val="00A77FFD"/>
    <w:rsid w:val="00AB062E"/>
    <w:rsid w:val="00AB4554"/>
    <w:rsid w:val="00AC2472"/>
    <w:rsid w:val="00AC47B6"/>
    <w:rsid w:val="00AC4E5A"/>
    <w:rsid w:val="00AD7DF9"/>
    <w:rsid w:val="00AE29BB"/>
    <w:rsid w:val="00AE2CAF"/>
    <w:rsid w:val="00AF33D9"/>
    <w:rsid w:val="00B002E4"/>
    <w:rsid w:val="00B1363C"/>
    <w:rsid w:val="00B20EB8"/>
    <w:rsid w:val="00B2530E"/>
    <w:rsid w:val="00B332B2"/>
    <w:rsid w:val="00B34CCC"/>
    <w:rsid w:val="00B36EC7"/>
    <w:rsid w:val="00B36EDD"/>
    <w:rsid w:val="00B40B77"/>
    <w:rsid w:val="00B50992"/>
    <w:rsid w:val="00B61C97"/>
    <w:rsid w:val="00B628C5"/>
    <w:rsid w:val="00B71933"/>
    <w:rsid w:val="00B8078D"/>
    <w:rsid w:val="00B924CA"/>
    <w:rsid w:val="00BD12A3"/>
    <w:rsid w:val="00BD6D34"/>
    <w:rsid w:val="00BD7F6E"/>
    <w:rsid w:val="00BF47B0"/>
    <w:rsid w:val="00BF5327"/>
    <w:rsid w:val="00C04685"/>
    <w:rsid w:val="00C13400"/>
    <w:rsid w:val="00C21D33"/>
    <w:rsid w:val="00C3382F"/>
    <w:rsid w:val="00C4377C"/>
    <w:rsid w:val="00C47F0F"/>
    <w:rsid w:val="00C51D84"/>
    <w:rsid w:val="00C52506"/>
    <w:rsid w:val="00C5393D"/>
    <w:rsid w:val="00C66ABC"/>
    <w:rsid w:val="00C82259"/>
    <w:rsid w:val="00C9297C"/>
    <w:rsid w:val="00C94014"/>
    <w:rsid w:val="00CB0A99"/>
    <w:rsid w:val="00CB5A09"/>
    <w:rsid w:val="00CB69B4"/>
    <w:rsid w:val="00CD0CD4"/>
    <w:rsid w:val="00CD64B0"/>
    <w:rsid w:val="00CE3B9F"/>
    <w:rsid w:val="00CF1FB8"/>
    <w:rsid w:val="00CF2935"/>
    <w:rsid w:val="00CF2C65"/>
    <w:rsid w:val="00D078B6"/>
    <w:rsid w:val="00D1022C"/>
    <w:rsid w:val="00D27115"/>
    <w:rsid w:val="00D34DCC"/>
    <w:rsid w:val="00D61D9B"/>
    <w:rsid w:val="00D829C7"/>
    <w:rsid w:val="00DA2F09"/>
    <w:rsid w:val="00DC02E1"/>
    <w:rsid w:val="00DC1E60"/>
    <w:rsid w:val="00DD1736"/>
    <w:rsid w:val="00DD60CC"/>
    <w:rsid w:val="00DF4D12"/>
    <w:rsid w:val="00E054A9"/>
    <w:rsid w:val="00E10AE2"/>
    <w:rsid w:val="00E10F0A"/>
    <w:rsid w:val="00E21875"/>
    <w:rsid w:val="00E2262F"/>
    <w:rsid w:val="00E25407"/>
    <w:rsid w:val="00E32599"/>
    <w:rsid w:val="00E33B0E"/>
    <w:rsid w:val="00E42511"/>
    <w:rsid w:val="00E42621"/>
    <w:rsid w:val="00E432BE"/>
    <w:rsid w:val="00E446A6"/>
    <w:rsid w:val="00E53CB5"/>
    <w:rsid w:val="00E53CCD"/>
    <w:rsid w:val="00E62607"/>
    <w:rsid w:val="00E71855"/>
    <w:rsid w:val="00E719A9"/>
    <w:rsid w:val="00E916C7"/>
    <w:rsid w:val="00EA1DE4"/>
    <w:rsid w:val="00EA60EA"/>
    <w:rsid w:val="00EB1533"/>
    <w:rsid w:val="00EB29BF"/>
    <w:rsid w:val="00EC324F"/>
    <w:rsid w:val="00EC7C7F"/>
    <w:rsid w:val="00EE4D7D"/>
    <w:rsid w:val="00EF0267"/>
    <w:rsid w:val="00EF4B42"/>
    <w:rsid w:val="00F003D3"/>
    <w:rsid w:val="00F008AB"/>
    <w:rsid w:val="00F03E32"/>
    <w:rsid w:val="00F04C92"/>
    <w:rsid w:val="00F14F58"/>
    <w:rsid w:val="00F22B0F"/>
    <w:rsid w:val="00F42289"/>
    <w:rsid w:val="00F42E75"/>
    <w:rsid w:val="00F45D65"/>
    <w:rsid w:val="00F517FA"/>
    <w:rsid w:val="00F52D16"/>
    <w:rsid w:val="00F55E14"/>
    <w:rsid w:val="00F62D67"/>
    <w:rsid w:val="00F63BD9"/>
    <w:rsid w:val="00F6694C"/>
    <w:rsid w:val="00F8145F"/>
    <w:rsid w:val="00F9283D"/>
    <w:rsid w:val="00F93C70"/>
    <w:rsid w:val="00F96F18"/>
    <w:rsid w:val="00FA508E"/>
    <w:rsid w:val="00FA5320"/>
    <w:rsid w:val="00FA7846"/>
    <w:rsid w:val="00FC26E5"/>
    <w:rsid w:val="00FC34B0"/>
    <w:rsid w:val="00FD19F1"/>
    <w:rsid w:val="00FD3523"/>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8D6E8"/>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styleId="af4">
    <w:name w:val="Normal (Web)"/>
    <w:basedOn w:val="a"/>
    <w:uiPriority w:val="99"/>
    <w:unhideWhenUsed/>
    <w:rsid w:val="00D829C7"/>
    <w:pPr>
      <w:spacing w:before="100" w:beforeAutospacing="1" w:after="100" w:afterAutospacing="1"/>
      <w:jc w:val="left"/>
    </w:pPr>
    <w:rPr>
      <w:rFonts w:eastAsiaTheme="minorEastAsia"/>
      <w:sz w:val="24"/>
      <w:szCs w:val="24"/>
    </w:rPr>
  </w:style>
  <w:style w:type="paragraph" w:styleId="af5">
    <w:name w:val="Revision"/>
    <w:hidden/>
    <w:uiPriority w:val="99"/>
    <w:semiHidden/>
    <w:rsid w:val="00480F60"/>
    <w:pPr>
      <w:spacing w:after="0" w:line="240" w:lineRule="auto"/>
    </w:pPr>
    <w:rPr>
      <w:rFonts w:ascii="Times New Roman" w:hAnsi="Times New Roman" w:cs="Times New Roman"/>
      <w:sz w:val="28"/>
      <w:szCs w:val="28"/>
      <w:lang w:eastAsia="uk-UA"/>
    </w:rPr>
  </w:style>
  <w:style w:type="character" w:customStyle="1" w:styleId="apple-converted-space">
    <w:name w:val="apple-converted-space"/>
    <w:basedOn w:val="a0"/>
    <w:rsid w:val="006B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4800C-8161-45F5-9F30-2A250E4C1D75}">
  <ds:schemaRefs>
    <ds:schemaRef ds:uri="http://schemas.openxmlformats.org/officeDocument/2006/bibliography"/>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7716753-10DB-42DA-B032-EC131FF1F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528</Words>
  <Characters>3016</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nila.tarasiuk@bank.gov.ua</cp:lastModifiedBy>
  <cp:revision>5</cp:revision>
  <cp:lastPrinted>2015-04-06T07:59:00Z</cp:lastPrinted>
  <dcterms:created xsi:type="dcterms:W3CDTF">2022-09-02T06:34:00Z</dcterms:created>
  <dcterms:modified xsi:type="dcterms:W3CDTF">2022-09-02T11:05:00Z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