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50EB" w14:textId="1AA178EA" w:rsidR="00657593" w:rsidRPr="003B2C07" w:rsidRDefault="003B2C07" w:rsidP="003B2C07">
      <w:pPr>
        <w:jc w:val="right"/>
        <w:rPr>
          <w:sz w:val="24"/>
          <w:szCs w:val="24"/>
        </w:rPr>
      </w:pPr>
      <w:r>
        <w:rPr>
          <w:sz w:val="24"/>
          <w:szCs w:val="24"/>
        </w:rPr>
        <w:t>Офіційно опу</w:t>
      </w:r>
      <w:bookmarkStart w:id="0" w:name="_GoBack"/>
      <w:bookmarkEnd w:id="0"/>
      <w:r>
        <w:rPr>
          <w:sz w:val="24"/>
          <w:szCs w:val="24"/>
        </w:rPr>
        <w:t>бліковано 04.10.2022</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v:imagedata r:id="rId12" o:title=""/>
                </v:shape>
                <o:OLEObject Type="Embed" ProgID="CorelDraw.Graphic.16" ShapeID="_x0000_i1025" DrawAspect="Content" ObjectID="_1726406328" r:id="rId13"/>
              </w:object>
            </w:r>
          </w:p>
        </w:tc>
        <w:tc>
          <w:tcPr>
            <w:tcW w:w="3285" w:type="dxa"/>
          </w:tcPr>
          <w:p w14:paraId="12D933A3" w14:textId="77777777" w:rsidR="00657593" w:rsidRDefault="00657593" w:rsidP="00E054A9"/>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657593" w14:paraId="6AE0F1AB" w14:textId="77777777" w:rsidTr="0076356A">
        <w:tc>
          <w:tcPr>
            <w:tcW w:w="3510" w:type="dxa"/>
            <w:vAlign w:val="bottom"/>
          </w:tcPr>
          <w:p w14:paraId="77514C11" w14:textId="2D22300A" w:rsidR="00657593" w:rsidRPr="003B2C07" w:rsidRDefault="003B2C07" w:rsidP="003B2C07">
            <w:r>
              <w:rPr>
                <w:lang w:val="en-US"/>
              </w:rPr>
              <w:t>04</w:t>
            </w:r>
            <w:r>
              <w:rPr>
                <w:lang w:val="en-US"/>
              </w:rPr>
              <w:t xml:space="preserve"> </w:t>
            </w:r>
            <w:r>
              <w:t>жовтня 2022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35B97304" w:rsidR="00657593" w:rsidRDefault="00C63169" w:rsidP="00090E19">
            <w:pPr>
              <w:jc w:val="left"/>
            </w:pPr>
            <w:r>
              <w:t xml:space="preserve">       </w:t>
            </w:r>
            <w:r w:rsidR="003B2C07">
              <w:t>№ 212</w:t>
            </w:r>
          </w:p>
        </w:tc>
      </w:tr>
    </w:tbl>
    <w:p w14:paraId="52A42275" w14:textId="77777777" w:rsidR="00657593" w:rsidRPr="00CD0CD4" w:rsidRDefault="00657593" w:rsidP="00657593">
      <w:pPr>
        <w:rPr>
          <w:sz w:val="2"/>
          <w:szCs w:val="2"/>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CF7A47" w:rsidRPr="00CF7A47" w14:paraId="32B2F6BC" w14:textId="77777777" w:rsidTr="005212C5">
        <w:trPr>
          <w:jc w:val="center"/>
        </w:trPr>
        <w:tc>
          <w:tcPr>
            <w:tcW w:w="5000" w:type="pct"/>
          </w:tcPr>
          <w:p w14:paraId="00A15E73" w14:textId="77777777" w:rsidR="00B42719" w:rsidRDefault="00B42719" w:rsidP="00106229">
            <w:pPr>
              <w:tabs>
                <w:tab w:val="left" w:pos="840"/>
                <w:tab w:val="center" w:pos="3293"/>
              </w:tabs>
              <w:spacing w:before="240" w:after="240"/>
              <w:jc w:val="center"/>
              <w:rPr>
                <w:bCs/>
                <w:shd w:val="clear" w:color="auto" w:fill="FFFFFF"/>
              </w:rPr>
            </w:pPr>
          </w:p>
          <w:p w14:paraId="342355A8" w14:textId="77777777" w:rsidR="00A956D9" w:rsidRDefault="003006B0" w:rsidP="00E273A5">
            <w:pPr>
              <w:tabs>
                <w:tab w:val="left" w:pos="840"/>
                <w:tab w:val="center" w:pos="3293"/>
              </w:tabs>
              <w:jc w:val="center"/>
              <w:rPr>
                <w:bCs/>
                <w:shd w:val="clear" w:color="auto" w:fill="FFFFFF"/>
              </w:rPr>
            </w:pPr>
            <w:r w:rsidRPr="00CF7A47">
              <w:rPr>
                <w:bCs/>
                <w:shd w:val="clear" w:color="auto" w:fill="FFFFFF"/>
              </w:rPr>
              <w:t xml:space="preserve">Про внесення змін до постанови Правління Національного банку України </w:t>
            </w:r>
          </w:p>
          <w:p w14:paraId="5FD72C2A" w14:textId="77777777" w:rsidR="00B42719" w:rsidRDefault="003006B0" w:rsidP="00C63169">
            <w:pPr>
              <w:tabs>
                <w:tab w:val="left" w:pos="840"/>
                <w:tab w:val="center" w:pos="3293"/>
              </w:tabs>
              <w:jc w:val="center"/>
              <w:rPr>
                <w:bCs/>
                <w:shd w:val="clear" w:color="auto" w:fill="FFFFFF"/>
              </w:rPr>
            </w:pPr>
            <w:r w:rsidRPr="00CF7A47">
              <w:rPr>
                <w:bCs/>
                <w:shd w:val="clear" w:color="auto" w:fill="FFFFFF"/>
              </w:rPr>
              <w:t>від 23 березня 2022 року № 60</w:t>
            </w:r>
          </w:p>
          <w:p w14:paraId="3EED8686" w14:textId="77777777" w:rsidR="00C63169" w:rsidRDefault="00C63169" w:rsidP="00C63169">
            <w:pPr>
              <w:tabs>
                <w:tab w:val="left" w:pos="840"/>
                <w:tab w:val="center" w:pos="3293"/>
              </w:tabs>
              <w:jc w:val="center"/>
              <w:rPr>
                <w:bCs/>
                <w:shd w:val="clear" w:color="auto" w:fill="FFFFFF"/>
              </w:rPr>
            </w:pPr>
          </w:p>
          <w:p w14:paraId="32B2F6BB" w14:textId="3E2C2754" w:rsidR="00C63169" w:rsidRPr="00CF7A47" w:rsidRDefault="00C63169" w:rsidP="00C63169">
            <w:pPr>
              <w:tabs>
                <w:tab w:val="left" w:pos="840"/>
                <w:tab w:val="center" w:pos="3293"/>
              </w:tabs>
              <w:jc w:val="center"/>
              <w:rPr>
                <w:rFonts w:eastAsiaTheme="minorEastAsia"/>
                <w:lang w:eastAsia="en-US"/>
              </w:rPr>
            </w:pPr>
          </w:p>
        </w:tc>
      </w:tr>
    </w:tbl>
    <w:p w14:paraId="32B2F6BD" w14:textId="6B0CDB2E" w:rsidR="00E53CCD" w:rsidRPr="00CF7A47" w:rsidRDefault="003006B0" w:rsidP="005F4548">
      <w:pPr>
        <w:spacing w:before="240" w:after="240"/>
        <w:ind w:firstLine="567"/>
        <w:rPr>
          <w:b/>
        </w:rPr>
      </w:pPr>
      <w:r w:rsidRPr="00CF7A47">
        <w:t>Відповідно до статей 7, 15, 55, 56 Закону України “Про Національний банк України”, статті 18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статей 11, 14, 15</w:t>
      </w:r>
      <w:r w:rsidR="00AA67EB">
        <w:t xml:space="preserve"> </w:t>
      </w:r>
      <w:r w:rsidRPr="00CF7A47">
        <w:t xml:space="preserve">Закону України “Про валюту і валютні операції”, </w:t>
      </w:r>
      <w:r w:rsidR="00FE1662">
        <w:t>статт</w:t>
      </w:r>
      <w:r w:rsidR="00CA773A">
        <w:t>і</w:t>
      </w:r>
      <w:r w:rsidR="00FE1662">
        <w:t xml:space="preserve"> 5 </w:t>
      </w:r>
      <w:r w:rsidRPr="00CF7A47">
        <w:t xml:space="preserve">Закону України “Про санкції”, </w:t>
      </w:r>
      <w:r w:rsidR="007939AE">
        <w:t xml:space="preserve">Указу Президента України від 24 лютого 2022 року № 64/2022 “Про введення воєнного стану в Україні”, затвердженого Законом України від 24 лютого 2022 року № 2102-IX «Про затвердження Указу Президента України “Про введення воєнного стану в Україні”», </w:t>
      </w:r>
      <w:r w:rsidRPr="00CF7A47">
        <w:t>з метою визначення особливостей виконання окремих вимог законодавства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протягом дії воєнного стану</w:t>
      </w:r>
      <w:r w:rsidR="00FA508E" w:rsidRPr="00E273A5">
        <w:t xml:space="preserve"> </w:t>
      </w:r>
      <w:r w:rsidR="00115ECF" w:rsidRPr="00CF7A47">
        <w:t xml:space="preserve">Правління Національного банку </w:t>
      </w:r>
      <w:r w:rsidR="00562C46" w:rsidRPr="00CF7A47">
        <w:t>України</w:t>
      </w:r>
      <w:r w:rsidR="00562C46" w:rsidRPr="00CF7A47">
        <w:rPr>
          <w:b/>
        </w:rPr>
        <w:t xml:space="preserve"> </w:t>
      </w:r>
      <w:r w:rsidR="00FA508E" w:rsidRPr="00CF7A47">
        <w:rPr>
          <w:b/>
        </w:rPr>
        <w:t>постановляє:</w:t>
      </w:r>
    </w:p>
    <w:p w14:paraId="7D35A737" w14:textId="0BD470F3" w:rsidR="00AD7DF9" w:rsidRPr="00CF7A47" w:rsidRDefault="00AD7DF9" w:rsidP="005F4548">
      <w:pPr>
        <w:spacing w:before="240" w:after="240"/>
        <w:ind w:firstLine="567"/>
        <w:rPr>
          <w:shd w:val="clear" w:color="auto" w:fill="FFFFFF"/>
        </w:rPr>
      </w:pPr>
      <w:r w:rsidRPr="00CF7A47">
        <w:t>1.</w:t>
      </w:r>
      <w:r w:rsidRPr="00CF7A47">
        <w:rPr>
          <w:lang w:val="en-US"/>
        </w:rPr>
        <w:t> </w:t>
      </w:r>
      <w:proofErr w:type="spellStart"/>
      <w:r w:rsidR="003006B0" w:rsidRPr="00CF7A47">
        <w:rPr>
          <w:shd w:val="clear" w:color="auto" w:fill="FFFFFF"/>
        </w:rPr>
        <w:t>Унести</w:t>
      </w:r>
      <w:proofErr w:type="spellEnd"/>
      <w:r w:rsidR="003006B0" w:rsidRPr="00CF7A47">
        <w:rPr>
          <w:shd w:val="clear" w:color="auto" w:fill="FFFFFF"/>
        </w:rPr>
        <w:t xml:space="preserve"> до постанови Правління Національного банку України від 23 березня 2022 року  № 60 </w:t>
      </w:r>
      <w:r w:rsidR="003006B0" w:rsidRPr="00CF7A47">
        <w:t>“</w:t>
      </w:r>
      <w:r w:rsidR="003006B0" w:rsidRPr="00CF7A47">
        <w:rPr>
          <w:shd w:val="clear" w:color="auto" w:fill="FFFFFF"/>
        </w:rPr>
        <w:t>Про особливості виконання окремих вимог законодавства у сфері фінансового моніторингу, валютного нагляду, нагляду з питань реалізації і моніторингу ефективності персональних спеціальних економічних та інших обмежувальних заходів (санкцій) протягом дії воєнного стану</w:t>
      </w:r>
      <w:r w:rsidR="003006B0" w:rsidRPr="00CF7A47">
        <w:t>”</w:t>
      </w:r>
      <w:r w:rsidR="003006B0" w:rsidRPr="00CF7A47">
        <w:rPr>
          <w:shd w:val="clear" w:color="auto" w:fill="FFFFFF"/>
        </w:rPr>
        <w:t xml:space="preserve"> (зі змінами) такі зміни:</w:t>
      </w:r>
    </w:p>
    <w:p w14:paraId="690FC4A7" w14:textId="73ECF313" w:rsidR="000979A8" w:rsidRDefault="003006B0" w:rsidP="003006B0">
      <w:pPr>
        <w:ind w:firstLine="567"/>
        <w:rPr>
          <w:shd w:val="clear" w:color="auto" w:fill="FFFFFF"/>
        </w:rPr>
      </w:pPr>
      <w:r w:rsidRPr="00CF7A47">
        <w:rPr>
          <w:shd w:val="clear" w:color="auto" w:fill="FFFFFF"/>
        </w:rPr>
        <w:t>1</w:t>
      </w:r>
      <w:r w:rsidRPr="00601B0D">
        <w:rPr>
          <w:shd w:val="clear" w:color="auto" w:fill="FFFFFF"/>
        </w:rPr>
        <w:t xml:space="preserve">) </w:t>
      </w:r>
      <w:r w:rsidR="000979A8">
        <w:rPr>
          <w:shd w:val="clear" w:color="auto" w:fill="FFFFFF"/>
        </w:rPr>
        <w:t xml:space="preserve">у пункті 10 слова </w:t>
      </w:r>
      <w:r w:rsidR="000979A8" w:rsidRPr="000979A8">
        <w:rPr>
          <w:shd w:val="clear" w:color="auto" w:fill="FFFFFF"/>
          <w:lang w:val="ru-RU"/>
        </w:rPr>
        <w:t>“</w:t>
      </w:r>
      <w:r w:rsidR="000979A8" w:rsidRPr="000979A8">
        <w:rPr>
          <w:color w:val="000000" w:themeColor="text1"/>
          <w:shd w:val="clear" w:color="auto" w:fill="FFFFFF"/>
        </w:rPr>
        <w:t>може не проводитися</w:t>
      </w:r>
      <w:r w:rsidR="000979A8" w:rsidRPr="000979A8">
        <w:rPr>
          <w:color w:val="000000" w:themeColor="text1"/>
          <w:shd w:val="clear" w:color="auto" w:fill="FFFFFF"/>
          <w:lang w:val="ru-RU"/>
        </w:rPr>
        <w:t>”</w:t>
      </w:r>
      <w:r w:rsidR="000979A8" w:rsidRPr="000979A8">
        <w:rPr>
          <w:shd w:val="clear" w:color="auto" w:fill="FFFFFF"/>
          <w:lang w:val="ru-RU"/>
        </w:rPr>
        <w:t xml:space="preserve"> </w:t>
      </w:r>
      <w:r w:rsidR="000979A8">
        <w:rPr>
          <w:shd w:val="clear" w:color="auto" w:fill="FFFFFF"/>
        </w:rPr>
        <w:t xml:space="preserve">замінити словами </w:t>
      </w:r>
      <w:r w:rsidR="000979A8" w:rsidRPr="000979A8">
        <w:rPr>
          <w:shd w:val="clear" w:color="auto" w:fill="FFFFFF"/>
          <w:lang w:val="ru-RU"/>
        </w:rPr>
        <w:t>“</w:t>
      </w:r>
      <w:r w:rsidR="000979A8">
        <w:rPr>
          <w:shd w:val="clear" w:color="auto" w:fill="FFFFFF"/>
        </w:rPr>
        <w:t>не проводиться</w:t>
      </w:r>
      <w:r w:rsidR="000979A8" w:rsidRPr="000979A8">
        <w:rPr>
          <w:shd w:val="clear" w:color="auto" w:fill="FFFFFF"/>
          <w:lang w:val="ru-RU"/>
        </w:rPr>
        <w:t>”</w:t>
      </w:r>
      <w:r w:rsidR="000979A8">
        <w:rPr>
          <w:shd w:val="clear" w:color="auto" w:fill="FFFFFF"/>
        </w:rPr>
        <w:t>;</w:t>
      </w:r>
    </w:p>
    <w:p w14:paraId="035128EE" w14:textId="77777777" w:rsidR="000979A8" w:rsidRDefault="000979A8" w:rsidP="003006B0">
      <w:pPr>
        <w:ind w:firstLine="567"/>
        <w:rPr>
          <w:shd w:val="clear" w:color="auto" w:fill="FFFFFF"/>
        </w:rPr>
      </w:pPr>
    </w:p>
    <w:p w14:paraId="4FB7A3F6" w14:textId="77777777" w:rsidR="000B1962" w:rsidRDefault="000979A8" w:rsidP="003006B0">
      <w:pPr>
        <w:ind w:firstLine="567"/>
        <w:rPr>
          <w:color w:val="000000" w:themeColor="text1"/>
          <w:lang w:val="ru-RU"/>
        </w:rPr>
      </w:pPr>
      <w:r>
        <w:rPr>
          <w:shd w:val="clear" w:color="auto" w:fill="FFFFFF"/>
        </w:rPr>
        <w:t>2) в абзаці п</w:t>
      </w:r>
      <w:r w:rsidRPr="000979A8">
        <w:rPr>
          <w:shd w:val="clear" w:color="auto" w:fill="FFFFFF"/>
          <w:lang w:val="ru-RU"/>
        </w:rPr>
        <w:t>’</w:t>
      </w:r>
      <w:proofErr w:type="spellStart"/>
      <w:r>
        <w:rPr>
          <w:shd w:val="clear" w:color="auto" w:fill="FFFFFF"/>
        </w:rPr>
        <w:t>ятому</w:t>
      </w:r>
      <w:proofErr w:type="spellEnd"/>
      <w:r>
        <w:rPr>
          <w:shd w:val="clear" w:color="auto" w:fill="FFFFFF"/>
        </w:rPr>
        <w:t xml:space="preserve"> пункту </w:t>
      </w:r>
      <w:r w:rsidRPr="0021336B">
        <w:rPr>
          <w:rFonts w:eastAsiaTheme="minorEastAsia"/>
          <w:noProof/>
          <w:color w:val="000000" w:themeColor="text1"/>
          <w:lang w:eastAsia="en-US"/>
        </w:rPr>
        <w:t>12</w:t>
      </w:r>
      <w:r w:rsidRPr="0021336B">
        <w:rPr>
          <w:rFonts w:eastAsiaTheme="minorEastAsia"/>
          <w:noProof/>
          <w:color w:val="000000" w:themeColor="text1"/>
          <w:vertAlign w:val="superscript"/>
          <w:lang w:eastAsia="en-US"/>
        </w:rPr>
        <w:t>2</w:t>
      </w:r>
      <w:r>
        <w:rPr>
          <w:rFonts w:eastAsiaTheme="minorEastAsia"/>
          <w:noProof/>
          <w:color w:val="000000" w:themeColor="text1"/>
          <w:vertAlign w:val="superscript"/>
          <w:lang w:eastAsia="en-US"/>
        </w:rPr>
        <w:t xml:space="preserve"> </w:t>
      </w:r>
      <w:r w:rsidRPr="000B1962">
        <w:rPr>
          <w:color w:val="000000" w:themeColor="text1"/>
        </w:rPr>
        <w:t xml:space="preserve">слова </w:t>
      </w:r>
      <w:r w:rsidRPr="000B1962">
        <w:rPr>
          <w:color w:val="000000" w:themeColor="text1"/>
          <w:lang w:val="ru-RU"/>
        </w:rPr>
        <w:t>“</w:t>
      </w:r>
      <w:r w:rsidRPr="000B1962">
        <w:rPr>
          <w:color w:val="000000" w:themeColor="text1"/>
        </w:rPr>
        <w:t>про результати безвиїзного нагляду</w:t>
      </w:r>
      <w:r w:rsidR="000B1962" w:rsidRPr="000B1962">
        <w:rPr>
          <w:color w:val="000000" w:themeColor="text1"/>
          <w:lang w:val="ru-RU"/>
        </w:rPr>
        <w:t xml:space="preserve">” </w:t>
      </w:r>
      <w:r w:rsidR="000B1962">
        <w:rPr>
          <w:color w:val="000000" w:themeColor="text1"/>
          <w:lang w:val="ru-RU"/>
        </w:rPr>
        <w:t xml:space="preserve">та </w:t>
      </w:r>
      <w:r w:rsidR="000B1962" w:rsidRPr="000B1962">
        <w:rPr>
          <w:color w:val="000000" w:themeColor="text1"/>
          <w:lang w:val="ru-RU"/>
        </w:rPr>
        <w:t>“</w:t>
      </w:r>
      <w:r w:rsidR="000B1962" w:rsidRPr="000B1962">
        <w:rPr>
          <w:color w:val="000000" w:themeColor="text1"/>
        </w:rPr>
        <w:t>про позапланові виїзні перевірки</w:t>
      </w:r>
      <w:r w:rsidR="000B1962" w:rsidRPr="000B1962">
        <w:rPr>
          <w:color w:val="000000" w:themeColor="text1"/>
          <w:lang w:val="ru-RU"/>
        </w:rPr>
        <w:t>”</w:t>
      </w:r>
      <w:r w:rsidR="000B1962">
        <w:rPr>
          <w:color w:val="000000" w:themeColor="text1"/>
          <w:lang w:val="ru-RU"/>
        </w:rPr>
        <w:t xml:space="preserve"> </w:t>
      </w:r>
      <w:proofErr w:type="spellStart"/>
      <w:r w:rsidR="000B1962">
        <w:rPr>
          <w:color w:val="000000" w:themeColor="text1"/>
          <w:lang w:val="ru-RU"/>
        </w:rPr>
        <w:t>виключити</w:t>
      </w:r>
      <w:proofErr w:type="spellEnd"/>
      <w:r w:rsidR="000B1962">
        <w:rPr>
          <w:color w:val="000000" w:themeColor="text1"/>
          <w:lang w:val="ru-RU"/>
        </w:rPr>
        <w:t>;</w:t>
      </w:r>
    </w:p>
    <w:p w14:paraId="455A0BA0" w14:textId="77777777" w:rsidR="000B1962" w:rsidRDefault="000B1962" w:rsidP="003006B0">
      <w:pPr>
        <w:ind w:firstLine="567"/>
        <w:rPr>
          <w:color w:val="000000" w:themeColor="text1"/>
          <w:lang w:val="ru-RU"/>
        </w:rPr>
      </w:pPr>
    </w:p>
    <w:p w14:paraId="793DF3A1" w14:textId="784F860E" w:rsidR="003006B0" w:rsidRPr="00601B0D" w:rsidRDefault="000B1962" w:rsidP="003006B0">
      <w:pPr>
        <w:ind w:firstLine="567"/>
        <w:rPr>
          <w:bCs/>
        </w:rPr>
      </w:pPr>
      <w:r>
        <w:rPr>
          <w:color w:val="000000" w:themeColor="text1"/>
          <w:lang w:val="ru-RU"/>
        </w:rPr>
        <w:lastRenderedPageBreak/>
        <w:t>3)</w:t>
      </w:r>
      <w:r w:rsidR="000979A8" w:rsidRPr="000B1962">
        <w:rPr>
          <w:shd w:val="clear" w:color="auto" w:fill="FFFFFF"/>
        </w:rPr>
        <w:t xml:space="preserve"> </w:t>
      </w:r>
      <w:r>
        <w:rPr>
          <w:shd w:val="clear" w:color="auto" w:fill="FFFFFF"/>
        </w:rPr>
        <w:t xml:space="preserve">постанову після пункту </w:t>
      </w:r>
      <w:r w:rsidR="007F488D" w:rsidRPr="0021336B">
        <w:rPr>
          <w:rFonts w:eastAsiaTheme="minorEastAsia"/>
          <w:noProof/>
          <w:color w:val="000000" w:themeColor="text1"/>
          <w:lang w:eastAsia="en-US"/>
        </w:rPr>
        <w:t>12</w:t>
      </w:r>
      <w:r w:rsidR="007F488D">
        <w:rPr>
          <w:rFonts w:eastAsiaTheme="minorEastAsia"/>
          <w:noProof/>
          <w:color w:val="000000" w:themeColor="text1"/>
          <w:vertAlign w:val="superscript"/>
          <w:lang w:eastAsia="en-US"/>
        </w:rPr>
        <w:t xml:space="preserve">3 </w:t>
      </w:r>
      <w:r>
        <w:rPr>
          <w:shd w:val="clear" w:color="auto" w:fill="FFFFFF"/>
        </w:rPr>
        <w:t>доповнити п</w:t>
      </w:r>
      <w:r w:rsidRPr="000B1962">
        <w:rPr>
          <w:shd w:val="clear" w:color="auto" w:fill="FFFFFF"/>
          <w:lang w:val="ru-RU"/>
        </w:rPr>
        <w:t>’</w:t>
      </w:r>
      <w:proofErr w:type="spellStart"/>
      <w:r>
        <w:rPr>
          <w:shd w:val="clear" w:color="auto" w:fill="FFFFFF"/>
        </w:rPr>
        <w:t>ятьма</w:t>
      </w:r>
      <w:proofErr w:type="spellEnd"/>
      <w:r>
        <w:rPr>
          <w:shd w:val="clear" w:color="auto" w:fill="FFFFFF"/>
        </w:rPr>
        <w:t xml:space="preserve"> новими пунктами </w:t>
      </w:r>
      <w:r w:rsidRPr="007F488D">
        <w:rPr>
          <w:rFonts w:eastAsiaTheme="minorEastAsia"/>
          <w:noProof/>
          <w:color w:val="000000" w:themeColor="text1"/>
          <w:lang w:eastAsia="en-US"/>
        </w:rPr>
        <w:t>12</w:t>
      </w:r>
      <w:r w:rsidRPr="007F488D">
        <w:rPr>
          <w:rFonts w:eastAsiaTheme="minorEastAsia"/>
          <w:noProof/>
          <w:color w:val="000000" w:themeColor="text1"/>
          <w:vertAlign w:val="superscript"/>
          <w:lang w:eastAsia="en-US"/>
        </w:rPr>
        <w:t>4</w:t>
      </w:r>
      <w:r w:rsidR="007F488D" w:rsidRPr="007F488D">
        <w:rPr>
          <w:rFonts w:eastAsiaTheme="minorEastAsia"/>
          <w:noProof/>
          <w:color w:val="000000" w:themeColor="text1"/>
          <w:vertAlign w:val="superscript"/>
          <w:lang w:eastAsia="en-US"/>
        </w:rPr>
        <w:t xml:space="preserve"> </w:t>
      </w:r>
      <w:r w:rsidR="007F488D" w:rsidRPr="007F488D">
        <w:rPr>
          <w:color w:val="000000" w:themeColor="text1"/>
          <w:shd w:val="clear" w:color="auto" w:fill="FFFFFF"/>
        </w:rPr>
        <w:t>–</w:t>
      </w:r>
      <w:r w:rsidRPr="007F488D">
        <w:rPr>
          <w:rFonts w:eastAsiaTheme="minorEastAsia"/>
          <w:noProof/>
          <w:color w:val="000000" w:themeColor="text1"/>
          <w:lang w:eastAsia="en-US"/>
        </w:rPr>
        <w:t>12</w:t>
      </w:r>
      <w:r w:rsidRPr="007F488D">
        <w:rPr>
          <w:rFonts w:eastAsiaTheme="minorEastAsia"/>
          <w:noProof/>
          <w:color w:val="000000" w:themeColor="text1"/>
          <w:vertAlign w:val="superscript"/>
          <w:lang w:eastAsia="en-US"/>
        </w:rPr>
        <w:t>8</w:t>
      </w:r>
      <w:r>
        <w:rPr>
          <w:rFonts w:eastAsiaTheme="minorEastAsia"/>
          <w:noProof/>
          <w:color w:val="000000" w:themeColor="text1"/>
          <w:vertAlign w:val="superscript"/>
          <w:lang w:eastAsia="en-US"/>
        </w:rPr>
        <w:t xml:space="preserve"> </w:t>
      </w:r>
      <w:r>
        <w:rPr>
          <w:shd w:val="clear" w:color="auto" w:fill="FFFFFF"/>
        </w:rPr>
        <w:t>такого з</w:t>
      </w:r>
      <w:r w:rsidR="003006B0" w:rsidRPr="00601B0D">
        <w:rPr>
          <w:shd w:val="clear" w:color="auto" w:fill="FFFFFF"/>
        </w:rPr>
        <w:t xml:space="preserve">місту:  </w:t>
      </w:r>
    </w:p>
    <w:p w14:paraId="4D97C2D4" w14:textId="1DD6C21F" w:rsidR="000B1962" w:rsidRDefault="003006B0" w:rsidP="000B1962">
      <w:pPr>
        <w:ind w:firstLine="567"/>
        <w:rPr>
          <w:color w:val="000000" w:themeColor="text1"/>
        </w:rPr>
      </w:pPr>
      <w:r w:rsidRPr="00B42719">
        <w:t>“</w:t>
      </w:r>
      <w:r w:rsidR="000B1962" w:rsidRPr="000B1962">
        <w:rPr>
          <w:bCs/>
          <w:color w:val="000000" w:themeColor="text1"/>
        </w:rPr>
        <w:t>12</w:t>
      </w:r>
      <w:r w:rsidR="000B1962" w:rsidRPr="000B1962">
        <w:rPr>
          <w:bCs/>
          <w:color w:val="000000" w:themeColor="text1"/>
          <w:vertAlign w:val="superscript"/>
        </w:rPr>
        <w:t>4</w:t>
      </w:r>
      <w:r w:rsidR="000B1962" w:rsidRPr="000B1962">
        <w:rPr>
          <w:bCs/>
          <w:color w:val="000000" w:themeColor="text1"/>
        </w:rPr>
        <w:t xml:space="preserve">. Розгляд питання, </w:t>
      </w:r>
      <w:r w:rsidR="000B1962" w:rsidRPr="000B1962">
        <w:rPr>
          <w:color w:val="000000" w:themeColor="text1"/>
        </w:rPr>
        <w:t xml:space="preserve">зазначеного в підпункті 1 пункту 8 розділу І Положення № 90, на засіданні </w:t>
      </w:r>
      <w:r w:rsidR="000B1962" w:rsidRPr="000B1962">
        <w:rPr>
          <w:color w:val="000000" w:themeColor="text1"/>
          <w:shd w:val="clear" w:color="auto" w:fill="FFFFFF"/>
        </w:rPr>
        <w:t>колегіального органу, який утворений відповідно до </w:t>
      </w:r>
      <w:hyperlink r:id="rId14" w:anchor="n270" w:tgtFrame="_blank" w:history="1">
        <w:r w:rsidR="000B1962" w:rsidRPr="000B1962">
          <w:rPr>
            <w:rStyle w:val="af4"/>
            <w:color w:val="000000" w:themeColor="text1"/>
            <w:u w:val="none"/>
            <w:shd w:val="clear" w:color="auto" w:fill="FFFFFF"/>
          </w:rPr>
          <w:t>статті 1</w:t>
        </w:r>
        <w:r w:rsidR="00F03C00" w:rsidRPr="00F03C00">
          <w:rPr>
            <w:rStyle w:val="af4"/>
            <w:color w:val="000000" w:themeColor="text1"/>
            <w:u w:val="none"/>
            <w:shd w:val="clear" w:color="auto" w:fill="FFFFFF"/>
          </w:rPr>
          <w:t>7</w:t>
        </w:r>
      </w:hyperlink>
      <w:r w:rsidR="000B1962" w:rsidRPr="000B1962">
        <w:rPr>
          <w:color w:val="000000" w:themeColor="text1"/>
          <w:shd w:val="clear" w:color="auto" w:fill="FFFFFF"/>
        </w:rPr>
        <w:t> Закону України “Про Національний банк України” та якому Правлінням Національного банку делеговані окремі повноваження щодо регулювання та нагляду (далі – Комітет),</w:t>
      </w:r>
      <w:r w:rsidR="000B1962" w:rsidRPr="000B1962">
        <w:rPr>
          <w:color w:val="000000" w:themeColor="text1"/>
        </w:rPr>
        <w:t xml:space="preserve"> здійснюється без участі Суб’єктів.</w:t>
      </w:r>
    </w:p>
    <w:p w14:paraId="4EF0755C" w14:textId="1DBB6175" w:rsidR="000B1962" w:rsidRDefault="000B1962" w:rsidP="000B1962">
      <w:pPr>
        <w:ind w:firstLine="567"/>
        <w:rPr>
          <w:color w:val="000000" w:themeColor="text1"/>
        </w:rPr>
      </w:pPr>
    </w:p>
    <w:p w14:paraId="1A5D805C" w14:textId="52E1DCA1" w:rsidR="00BD0E73" w:rsidRDefault="000B1962" w:rsidP="000B1962">
      <w:pPr>
        <w:ind w:firstLine="567"/>
        <w:rPr>
          <w:color w:val="000000" w:themeColor="text1"/>
        </w:rPr>
      </w:pPr>
      <w:r w:rsidRPr="000B1962">
        <w:rPr>
          <w:bCs/>
          <w:color w:val="000000" w:themeColor="text1"/>
        </w:rPr>
        <w:t>12</w:t>
      </w:r>
      <w:r w:rsidRPr="000B1962">
        <w:rPr>
          <w:bCs/>
          <w:color w:val="000000" w:themeColor="text1"/>
          <w:vertAlign w:val="superscript"/>
        </w:rPr>
        <w:t>5</w:t>
      </w:r>
      <w:r w:rsidRPr="000B1962">
        <w:rPr>
          <w:color w:val="000000" w:themeColor="text1"/>
        </w:rPr>
        <w:t>. Інформація, зазначена в підпункті 1 пункту 8 розділу І Положення</w:t>
      </w:r>
      <w:r w:rsidR="00BD0E73" w:rsidRPr="00BD0E73">
        <w:rPr>
          <w:color w:val="000000" w:themeColor="text1"/>
          <w:lang w:val="ru-RU"/>
        </w:rPr>
        <w:t xml:space="preserve">         </w:t>
      </w:r>
      <w:r w:rsidRPr="000B1962">
        <w:rPr>
          <w:color w:val="000000" w:themeColor="text1"/>
        </w:rPr>
        <w:t xml:space="preserve"> №</w:t>
      </w:r>
      <w:r w:rsidR="005B773F">
        <w:rPr>
          <w:color w:val="000000" w:themeColor="text1"/>
        </w:rPr>
        <w:t> </w:t>
      </w:r>
      <w:r w:rsidRPr="000B1962">
        <w:rPr>
          <w:color w:val="000000" w:themeColor="text1"/>
        </w:rPr>
        <w:t>90, може не вноситися на засідання</w:t>
      </w:r>
      <w:r w:rsidR="000A66E2">
        <w:rPr>
          <w:color w:val="000000" w:themeColor="text1"/>
        </w:rPr>
        <w:t xml:space="preserve"> Комітету</w:t>
      </w:r>
      <w:r w:rsidRPr="000B1962">
        <w:rPr>
          <w:color w:val="000000" w:themeColor="text1"/>
        </w:rPr>
        <w:t xml:space="preserve"> та не розглядатися </w:t>
      </w:r>
      <w:r w:rsidRPr="000B1962">
        <w:rPr>
          <w:color w:val="000000" w:themeColor="text1"/>
          <w:shd w:val="clear" w:color="auto" w:fill="FFFFFF"/>
        </w:rPr>
        <w:t>Комітетом</w:t>
      </w:r>
      <w:r w:rsidRPr="000B1962">
        <w:rPr>
          <w:color w:val="000000" w:themeColor="text1"/>
        </w:rPr>
        <w:t xml:space="preserve">. </w:t>
      </w:r>
    </w:p>
    <w:p w14:paraId="3896936E" w14:textId="225A5C0F" w:rsidR="000B1962" w:rsidRPr="000B1962" w:rsidRDefault="00AB3EDD" w:rsidP="000B1962">
      <w:pPr>
        <w:ind w:firstLine="567"/>
        <w:rPr>
          <w:color w:val="000000" w:themeColor="text1"/>
        </w:rPr>
      </w:pPr>
      <w:r w:rsidRPr="00EC155D">
        <w:rPr>
          <w:color w:val="000000" w:themeColor="text1"/>
        </w:rPr>
        <w:t>А</w:t>
      </w:r>
      <w:r w:rsidR="000B1962" w:rsidRPr="00EC155D">
        <w:rPr>
          <w:color w:val="000000" w:themeColor="text1"/>
        </w:rPr>
        <w:t xml:space="preserve">кт/довідка </w:t>
      </w:r>
      <w:r w:rsidR="005B773F">
        <w:rPr>
          <w:color w:val="000000" w:themeColor="text1"/>
        </w:rPr>
        <w:t>в</w:t>
      </w:r>
      <w:r w:rsidR="005B773F" w:rsidRPr="00EC155D">
        <w:rPr>
          <w:color w:val="000000" w:themeColor="text1"/>
        </w:rPr>
        <w:t xml:space="preserve"> такому разі </w:t>
      </w:r>
      <w:r w:rsidR="000B1962" w:rsidRPr="00EC155D">
        <w:rPr>
          <w:color w:val="000000" w:themeColor="text1"/>
        </w:rPr>
        <w:t xml:space="preserve">складається без розгляду Комітетом, </w:t>
      </w:r>
      <w:r w:rsidR="000B1962" w:rsidRPr="00BD3472">
        <w:rPr>
          <w:color w:val="000000" w:themeColor="text1"/>
        </w:rPr>
        <w:t>а інформація</w:t>
      </w:r>
      <w:r w:rsidR="000B1962" w:rsidRPr="00BD3472">
        <w:rPr>
          <w:color w:val="000000" w:themeColor="text1"/>
          <w:shd w:val="clear" w:color="auto" w:fill="FFFFFF"/>
        </w:rPr>
        <w:t xml:space="preserve"> про результати проведеного(</w:t>
      </w:r>
      <w:proofErr w:type="spellStart"/>
      <w:r w:rsidR="000B1962" w:rsidRPr="00BD3472">
        <w:rPr>
          <w:color w:val="000000" w:themeColor="text1"/>
          <w:shd w:val="clear" w:color="auto" w:fill="FFFFFF"/>
        </w:rPr>
        <w:t>ої</w:t>
      </w:r>
      <w:proofErr w:type="spellEnd"/>
      <w:r w:rsidR="000B1962" w:rsidRPr="00BD3472">
        <w:rPr>
          <w:color w:val="000000" w:themeColor="text1"/>
          <w:shd w:val="clear" w:color="auto" w:fill="FFFFFF"/>
        </w:rPr>
        <w:t>) безвиїзного нагляду/виїзної перевірки,</w:t>
      </w:r>
      <w:r w:rsidR="000B1962" w:rsidRPr="00BD3472">
        <w:rPr>
          <w:color w:val="000000" w:themeColor="text1"/>
        </w:rPr>
        <w:t xml:space="preserve"> зафіксована в акті/довідці, доводиться до відома </w:t>
      </w:r>
      <w:r w:rsidR="000B1962" w:rsidRPr="00BD3472">
        <w:rPr>
          <w:color w:val="000000" w:themeColor="text1"/>
          <w:shd w:val="clear" w:color="auto" w:fill="FFFFFF"/>
        </w:rPr>
        <w:t xml:space="preserve">Комітету одночасно з </w:t>
      </w:r>
      <w:r w:rsidR="005B773F">
        <w:rPr>
          <w:color w:val="000000" w:themeColor="text1"/>
          <w:shd w:val="clear" w:color="auto" w:fill="FFFFFF"/>
        </w:rPr>
        <w:t>у</w:t>
      </w:r>
      <w:r w:rsidR="005B773F" w:rsidRPr="00BD3472">
        <w:rPr>
          <w:color w:val="000000" w:themeColor="text1"/>
          <w:shd w:val="clear" w:color="auto" w:fill="FFFFFF"/>
        </w:rPr>
        <w:t xml:space="preserve">несенням </w:t>
      </w:r>
      <w:r w:rsidR="000B1962" w:rsidRPr="00BD3472">
        <w:rPr>
          <w:color w:val="000000" w:themeColor="text1"/>
        </w:rPr>
        <w:t>на засідання Комітету пропозицій, зазначених у підпункті 2 пункту 8 розділу І Положення</w:t>
      </w:r>
      <w:r w:rsidR="00B215E6" w:rsidRPr="00BD3472">
        <w:rPr>
          <w:color w:val="000000" w:themeColor="text1"/>
        </w:rPr>
        <w:t xml:space="preserve"> </w:t>
      </w:r>
      <w:r w:rsidR="000B1962" w:rsidRPr="00BD3472">
        <w:rPr>
          <w:color w:val="000000" w:themeColor="text1"/>
        </w:rPr>
        <w:t>№ 90.</w:t>
      </w:r>
    </w:p>
    <w:p w14:paraId="5A68846F" w14:textId="2F6D3186" w:rsidR="000B1962" w:rsidRPr="000B1962" w:rsidRDefault="000B1962" w:rsidP="000B1962">
      <w:pPr>
        <w:ind w:firstLine="567"/>
        <w:rPr>
          <w:color w:val="000000" w:themeColor="text1"/>
        </w:rPr>
      </w:pPr>
    </w:p>
    <w:p w14:paraId="7B4A13AD" w14:textId="2B0AF641" w:rsidR="00BD0E73" w:rsidRDefault="000B1962" w:rsidP="000B1962">
      <w:pPr>
        <w:ind w:firstLine="567"/>
        <w:rPr>
          <w:color w:val="000000" w:themeColor="text1"/>
        </w:rPr>
      </w:pPr>
      <w:r w:rsidRPr="000B1962">
        <w:rPr>
          <w:bCs/>
          <w:color w:val="000000" w:themeColor="text1"/>
        </w:rPr>
        <w:t>12</w:t>
      </w:r>
      <w:r w:rsidRPr="000B1962">
        <w:rPr>
          <w:bCs/>
          <w:color w:val="000000" w:themeColor="text1"/>
          <w:vertAlign w:val="superscript"/>
        </w:rPr>
        <w:t>6</w:t>
      </w:r>
      <w:r w:rsidRPr="000B1962">
        <w:rPr>
          <w:color w:val="000000" w:themeColor="text1"/>
        </w:rPr>
        <w:t xml:space="preserve">. На засідання Комітету, </w:t>
      </w:r>
      <w:r w:rsidR="000A66E2">
        <w:rPr>
          <w:color w:val="000000" w:themeColor="text1"/>
        </w:rPr>
        <w:t>зазначене</w:t>
      </w:r>
      <w:r w:rsidRPr="000B1962">
        <w:rPr>
          <w:color w:val="000000" w:themeColor="text1"/>
        </w:rPr>
        <w:t xml:space="preserve"> в абзаці четвертому пункту 8 розділу І</w:t>
      </w:r>
      <w:r w:rsidR="005B773F">
        <w:rPr>
          <w:color w:val="000000" w:themeColor="text1"/>
          <w:lang w:val="en-US"/>
        </w:rPr>
        <w:t> </w:t>
      </w:r>
      <w:r w:rsidRPr="000B1962">
        <w:rPr>
          <w:color w:val="000000" w:themeColor="text1"/>
        </w:rPr>
        <w:t>Положення №</w:t>
      </w:r>
      <w:r w:rsidR="005B773F">
        <w:rPr>
          <w:color w:val="000000" w:themeColor="text1"/>
        </w:rPr>
        <w:t> </w:t>
      </w:r>
      <w:r w:rsidRPr="000B1962">
        <w:rPr>
          <w:color w:val="000000" w:themeColor="text1"/>
        </w:rPr>
        <w:t>90, не запрошується</w:t>
      </w:r>
      <w:r w:rsidRPr="000B1962">
        <w:rPr>
          <w:color w:val="000000" w:themeColor="text1"/>
          <w:lang w:val="ru-RU"/>
        </w:rPr>
        <w:t xml:space="preserve">/не </w:t>
      </w:r>
      <w:r w:rsidRPr="000B1962">
        <w:rPr>
          <w:color w:val="000000" w:themeColor="text1"/>
        </w:rPr>
        <w:t>запрошуються представник/</w:t>
      </w:r>
      <w:r w:rsidR="005B773F">
        <w:rPr>
          <w:color w:val="000000" w:themeColor="text1"/>
        </w:rPr>
        <w:t>п</w:t>
      </w:r>
      <w:r w:rsidRPr="000B1962">
        <w:rPr>
          <w:color w:val="000000" w:themeColor="text1"/>
        </w:rPr>
        <w:t xml:space="preserve">редставники Суб’єкта </w:t>
      </w:r>
      <w:r w:rsidR="00590CAF">
        <w:rPr>
          <w:color w:val="000000" w:themeColor="text1"/>
        </w:rPr>
        <w:t>в</w:t>
      </w:r>
      <w:r w:rsidR="00590CAF" w:rsidRPr="000B1962">
        <w:rPr>
          <w:color w:val="000000" w:themeColor="text1"/>
        </w:rPr>
        <w:t xml:space="preserve"> </w:t>
      </w:r>
      <w:r w:rsidRPr="000B1962">
        <w:rPr>
          <w:color w:val="000000" w:themeColor="text1"/>
        </w:rPr>
        <w:t xml:space="preserve">разі розгляду на </w:t>
      </w:r>
      <w:r w:rsidR="000A66E2">
        <w:rPr>
          <w:color w:val="000000" w:themeColor="text1"/>
        </w:rPr>
        <w:t>цьому</w:t>
      </w:r>
      <w:r w:rsidRPr="000B1962">
        <w:rPr>
          <w:color w:val="000000" w:themeColor="text1"/>
        </w:rPr>
        <w:t xml:space="preserve"> засіданні </w:t>
      </w:r>
      <w:r w:rsidR="00F03C00">
        <w:rPr>
          <w:color w:val="000000" w:themeColor="text1"/>
        </w:rPr>
        <w:t>пропозиції</w:t>
      </w:r>
      <w:r w:rsidRPr="000B1962">
        <w:rPr>
          <w:color w:val="000000" w:themeColor="text1"/>
        </w:rPr>
        <w:t xml:space="preserve"> щодо незастосування заходів впливу до такого Суб’єкта. </w:t>
      </w:r>
    </w:p>
    <w:p w14:paraId="0B11AD70" w14:textId="388C051C" w:rsidR="000B1962" w:rsidRDefault="000B1962" w:rsidP="000B1962">
      <w:pPr>
        <w:ind w:firstLine="567"/>
        <w:rPr>
          <w:bCs/>
          <w:color w:val="000000" w:themeColor="text1"/>
          <w:spacing w:val="-1"/>
        </w:rPr>
      </w:pPr>
      <w:r w:rsidRPr="000B1962">
        <w:rPr>
          <w:color w:val="000000" w:themeColor="text1"/>
        </w:rPr>
        <w:t>Національний банк доводить і</w:t>
      </w:r>
      <w:r w:rsidRPr="000B1962">
        <w:rPr>
          <w:bCs/>
          <w:color w:val="000000" w:themeColor="text1"/>
          <w:spacing w:val="-1"/>
        </w:rPr>
        <w:t xml:space="preserve">нформацію про прийняте рішення </w:t>
      </w:r>
      <w:r w:rsidRPr="000B1962">
        <w:rPr>
          <w:color w:val="000000" w:themeColor="text1"/>
        </w:rPr>
        <w:t>щодо незастосування заходів впливу до Суб’єкта</w:t>
      </w:r>
      <w:r w:rsidRPr="000B1962">
        <w:rPr>
          <w:bCs/>
          <w:color w:val="000000" w:themeColor="text1"/>
          <w:spacing w:val="-1"/>
        </w:rPr>
        <w:t xml:space="preserve"> шляхом направлення йому листа </w:t>
      </w:r>
      <w:r w:rsidR="0017632C">
        <w:rPr>
          <w:bCs/>
          <w:color w:val="000000" w:themeColor="text1"/>
          <w:spacing w:val="-1"/>
        </w:rPr>
        <w:t>в</w:t>
      </w:r>
      <w:r w:rsidR="0017632C" w:rsidRPr="000B1962">
        <w:rPr>
          <w:bCs/>
          <w:color w:val="000000" w:themeColor="text1"/>
          <w:spacing w:val="-1"/>
        </w:rPr>
        <w:t xml:space="preserve"> </w:t>
      </w:r>
      <w:r w:rsidRPr="000B1962">
        <w:rPr>
          <w:bCs/>
          <w:color w:val="000000" w:themeColor="text1"/>
          <w:spacing w:val="-1"/>
        </w:rPr>
        <w:t xml:space="preserve">порядку, </w:t>
      </w:r>
      <w:r w:rsidR="0017632C">
        <w:rPr>
          <w:bCs/>
          <w:color w:val="000000" w:themeColor="text1"/>
          <w:spacing w:val="-1"/>
        </w:rPr>
        <w:t>визначеному</w:t>
      </w:r>
      <w:r w:rsidR="0017632C" w:rsidRPr="000B1962">
        <w:rPr>
          <w:bCs/>
          <w:color w:val="000000" w:themeColor="text1"/>
          <w:spacing w:val="-1"/>
        </w:rPr>
        <w:t xml:space="preserve"> </w:t>
      </w:r>
      <w:r w:rsidRPr="000B1962">
        <w:rPr>
          <w:bCs/>
          <w:color w:val="000000" w:themeColor="text1"/>
          <w:spacing w:val="-1"/>
        </w:rPr>
        <w:t>в пункті 12</w:t>
      </w:r>
      <w:r w:rsidRPr="000B1962">
        <w:rPr>
          <w:bCs/>
          <w:color w:val="000000" w:themeColor="text1"/>
          <w:spacing w:val="-1"/>
          <w:vertAlign w:val="superscript"/>
        </w:rPr>
        <w:t>2</w:t>
      </w:r>
      <w:r w:rsidRPr="000B1962">
        <w:rPr>
          <w:bCs/>
          <w:color w:val="000000" w:themeColor="text1"/>
          <w:spacing w:val="-1"/>
        </w:rPr>
        <w:t xml:space="preserve"> цієї постанови</w:t>
      </w:r>
      <w:r>
        <w:rPr>
          <w:bCs/>
          <w:color w:val="000000" w:themeColor="text1"/>
          <w:spacing w:val="-1"/>
        </w:rPr>
        <w:t>.</w:t>
      </w:r>
    </w:p>
    <w:p w14:paraId="3D23D42B" w14:textId="0A12AB4A" w:rsidR="00F03C00" w:rsidRPr="00F03C00" w:rsidRDefault="00F03C00" w:rsidP="000B1962">
      <w:pPr>
        <w:ind w:firstLine="567"/>
        <w:rPr>
          <w:bCs/>
          <w:color w:val="000000" w:themeColor="text1"/>
          <w:spacing w:val="-1"/>
        </w:rPr>
      </w:pPr>
      <w:r w:rsidRPr="00F03C00">
        <w:rPr>
          <w:bCs/>
          <w:color w:val="000000" w:themeColor="text1"/>
        </w:rPr>
        <w:t>Розгляд питання про застосування заходів впливу до Суб’єкта здійснюється в порядку, установленому нормативно-правовими актами Національного банку, якщо Комітетом не підтримано пропозицію, зазначену в абзаці першому пункту 12</w:t>
      </w:r>
      <w:r w:rsidRPr="00F03C00">
        <w:rPr>
          <w:bCs/>
          <w:color w:val="000000" w:themeColor="text1"/>
          <w:vertAlign w:val="superscript"/>
        </w:rPr>
        <w:t>6</w:t>
      </w:r>
      <w:r w:rsidRPr="00F03C00">
        <w:rPr>
          <w:bCs/>
          <w:color w:val="000000" w:themeColor="text1"/>
        </w:rPr>
        <w:t xml:space="preserve"> цієї постанови</w:t>
      </w:r>
      <w:r w:rsidRPr="00F03C00">
        <w:rPr>
          <w:bCs/>
          <w:color w:val="000000" w:themeColor="text1"/>
          <w:lang w:val="ru-RU"/>
        </w:rPr>
        <w:t>.</w:t>
      </w:r>
    </w:p>
    <w:p w14:paraId="12A6A0C1" w14:textId="48A48034" w:rsidR="000B1962" w:rsidRDefault="000B1962" w:rsidP="000B1962">
      <w:pPr>
        <w:ind w:firstLine="567"/>
        <w:rPr>
          <w:bCs/>
          <w:color w:val="000000" w:themeColor="text1"/>
          <w:spacing w:val="-1"/>
        </w:rPr>
      </w:pPr>
    </w:p>
    <w:p w14:paraId="69D72986" w14:textId="342409E8" w:rsidR="000B1962" w:rsidRPr="00F03C00" w:rsidRDefault="000B1962" w:rsidP="000B1962">
      <w:pPr>
        <w:ind w:firstLine="567"/>
        <w:rPr>
          <w:color w:val="000000" w:themeColor="text1"/>
        </w:rPr>
      </w:pPr>
      <w:r w:rsidRPr="000B1962">
        <w:rPr>
          <w:bCs/>
          <w:color w:val="000000" w:themeColor="text1"/>
        </w:rPr>
        <w:t>12</w:t>
      </w:r>
      <w:r w:rsidRPr="000B1962">
        <w:rPr>
          <w:bCs/>
          <w:color w:val="000000" w:themeColor="text1"/>
          <w:vertAlign w:val="superscript"/>
        </w:rPr>
        <w:t>7</w:t>
      </w:r>
      <w:r w:rsidRPr="00F03C00">
        <w:rPr>
          <w:bCs/>
          <w:color w:val="000000" w:themeColor="text1"/>
        </w:rPr>
        <w:t>.</w:t>
      </w:r>
      <w:r w:rsidR="00F03C00" w:rsidRPr="00F03C00">
        <w:rPr>
          <w:color w:val="000000" w:themeColor="text1"/>
        </w:rPr>
        <w:t xml:space="preserve"> Пункт 7 розділу І Положення № 90 не застосовується</w:t>
      </w:r>
      <w:r w:rsidR="00EC155D" w:rsidRPr="00F03C00">
        <w:rPr>
          <w:color w:val="000000" w:themeColor="text1"/>
        </w:rPr>
        <w:t>.</w:t>
      </w:r>
    </w:p>
    <w:p w14:paraId="1297A6F8" w14:textId="63F1D845" w:rsidR="000B1962" w:rsidRDefault="000B1962" w:rsidP="000B1962">
      <w:pPr>
        <w:ind w:firstLine="567"/>
        <w:rPr>
          <w:b/>
          <w:color w:val="000000" w:themeColor="text1"/>
        </w:rPr>
      </w:pPr>
    </w:p>
    <w:p w14:paraId="567B3A7C" w14:textId="659CE6DD" w:rsidR="00B42719" w:rsidRPr="00163A41" w:rsidRDefault="000B1962" w:rsidP="003006B0">
      <w:pPr>
        <w:ind w:firstLine="567"/>
        <w:rPr>
          <w:lang w:val="ru-RU"/>
        </w:rPr>
      </w:pPr>
      <w:r w:rsidRPr="000B1962">
        <w:rPr>
          <w:bCs/>
          <w:color w:val="000000" w:themeColor="text1"/>
        </w:rPr>
        <w:t>12</w:t>
      </w:r>
      <w:r w:rsidRPr="000B1962">
        <w:rPr>
          <w:bCs/>
          <w:color w:val="000000" w:themeColor="text1"/>
          <w:vertAlign w:val="superscript"/>
        </w:rPr>
        <w:t>8</w:t>
      </w:r>
      <w:r w:rsidRPr="000B1962">
        <w:rPr>
          <w:bCs/>
          <w:color w:val="000000" w:themeColor="text1"/>
        </w:rPr>
        <w:t>.</w:t>
      </w:r>
      <w:r w:rsidRPr="000B1962">
        <w:rPr>
          <w:bCs/>
          <w:color w:val="000000" w:themeColor="text1"/>
          <w:vertAlign w:val="superscript"/>
        </w:rPr>
        <w:t xml:space="preserve"> </w:t>
      </w:r>
      <w:r w:rsidRPr="000B1962">
        <w:rPr>
          <w:color w:val="000000" w:themeColor="text1"/>
        </w:rPr>
        <w:t xml:space="preserve">Зустріч, зазначена в пункті 29 розділу ІI Положення № 90, може </w:t>
      </w:r>
      <w:r w:rsidR="0017632C" w:rsidRPr="000B1962">
        <w:rPr>
          <w:color w:val="000000" w:themeColor="text1"/>
        </w:rPr>
        <w:t>проводитис</w:t>
      </w:r>
      <w:r w:rsidR="0017632C">
        <w:rPr>
          <w:color w:val="000000" w:themeColor="text1"/>
        </w:rPr>
        <w:t>я</w:t>
      </w:r>
      <w:r w:rsidR="0017632C" w:rsidRPr="000B1962">
        <w:rPr>
          <w:color w:val="000000" w:themeColor="text1"/>
        </w:rPr>
        <w:t xml:space="preserve"> </w:t>
      </w:r>
      <w:r w:rsidRPr="000B1962">
        <w:rPr>
          <w:color w:val="000000" w:themeColor="text1"/>
        </w:rPr>
        <w:t xml:space="preserve">в режимі </w:t>
      </w:r>
      <w:proofErr w:type="spellStart"/>
      <w:r w:rsidRPr="000B1962">
        <w:rPr>
          <w:color w:val="000000" w:themeColor="text1"/>
        </w:rPr>
        <w:t>відеоконференції</w:t>
      </w:r>
      <w:proofErr w:type="spellEnd"/>
      <w:r w:rsidRPr="000B1962">
        <w:rPr>
          <w:color w:val="000000" w:themeColor="text1"/>
        </w:rPr>
        <w:t>.</w:t>
      </w:r>
      <w:r w:rsidR="00B42719" w:rsidRPr="00B42719">
        <w:rPr>
          <w:color w:val="000000" w:themeColor="text1"/>
          <w:shd w:val="clear" w:color="auto" w:fill="FFFFFF"/>
        </w:rPr>
        <w:t>”</w:t>
      </w:r>
      <w:r>
        <w:rPr>
          <w:color w:val="000000" w:themeColor="text1"/>
          <w:shd w:val="clear" w:color="auto" w:fill="FFFFFF"/>
        </w:rPr>
        <w:t>.</w:t>
      </w:r>
    </w:p>
    <w:p w14:paraId="35060D55" w14:textId="53F9CA59" w:rsidR="00AD7DF9" w:rsidRPr="00CF7A47" w:rsidRDefault="00AD7DF9" w:rsidP="005F4548">
      <w:pPr>
        <w:spacing w:before="240" w:after="240"/>
        <w:ind w:firstLine="567"/>
        <w:rPr>
          <w:rFonts w:eastAsiaTheme="minorEastAsia"/>
          <w:noProof/>
          <w:lang w:eastAsia="en-US"/>
        </w:rPr>
      </w:pPr>
      <w:r w:rsidRPr="00CF7A47">
        <w:rPr>
          <w:rFonts w:eastAsiaTheme="minorEastAsia"/>
          <w:noProof/>
          <w:lang w:eastAsia="en-US"/>
        </w:rPr>
        <w:t>2. </w:t>
      </w:r>
      <w:r w:rsidR="003006B0" w:rsidRPr="00CF7A47">
        <w:t>Постанова набирає чинності з дня</w:t>
      </w:r>
      <w:r w:rsidR="00191EE4">
        <w:t>, наступного за днем</w:t>
      </w:r>
      <w:r w:rsidR="003006B0" w:rsidRPr="00CF7A47">
        <w:t xml:space="preserve"> її офіційного опублікування.</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CF7A47" w:rsidRPr="00CF7A47" w14:paraId="32B2F6C8" w14:textId="77777777" w:rsidTr="00CF7A47">
        <w:tc>
          <w:tcPr>
            <w:tcW w:w="5495" w:type="dxa"/>
            <w:vAlign w:val="bottom"/>
          </w:tcPr>
          <w:p w14:paraId="5E47A21A" w14:textId="77777777" w:rsidR="00B42719" w:rsidRDefault="00B42719" w:rsidP="003006B0">
            <w:pPr>
              <w:autoSpaceDE w:val="0"/>
              <w:autoSpaceDN w:val="0"/>
              <w:jc w:val="left"/>
            </w:pPr>
          </w:p>
          <w:p w14:paraId="32B2F6C6" w14:textId="66E615C5" w:rsidR="00DD60CC" w:rsidRPr="00CF7A47" w:rsidRDefault="00163A41" w:rsidP="005F6EA8">
            <w:pPr>
              <w:autoSpaceDE w:val="0"/>
              <w:autoSpaceDN w:val="0"/>
              <w:jc w:val="left"/>
            </w:pPr>
            <w:r>
              <w:t>В.</w:t>
            </w:r>
            <w:r w:rsidR="00590CAF">
              <w:t> </w:t>
            </w:r>
            <w:r>
              <w:t>о.</w:t>
            </w:r>
            <w:r w:rsidR="00590CAF">
              <w:t> </w:t>
            </w:r>
            <w:r w:rsidR="003006B0" w:rsidRPr="00CF7A47">
              <w:t>Голов</w:t>
            </w:r>
            <w:r>
              <w:t>и</w:t>
            </w:r>
          </w:p>
        </w:tc>
        <w:tc>
          <w:tcPr>
            <w:tcW w:w="4252" w:type="dxa"/>
            <w:vAlign w:val="bottom"/>
          </w:tcPr>
          <w:p w14:paraId="32B2F6C7" w14:textId="49753E2F" w:rsidR="00DD60CC" w:rsidRPr="00CF7A47" w:rsidRDefault="00163A41" w:rsidP="00163A41">
            <w:pPr>
              <w:tabs>
                <w:tab w:val="left" w:pos="7020"/>
                <w:tab w:val="left" w:pos="7200"/>
              </w:tabs>
              <w:autoSpaceDE w:val="0"/>
              <w:autoSpaceDN w:val="0"/>
              <w:ind w:left="32"/>
              <w:jc w:val="right"/>
            </w:pPr>
            <w:r>
              <w:t>Юрій ГЕЛЕТІЙ</w:t>
            </w:r>
          </w:p>
        </w:tc>
      </w:tr>
    </w:tbl>
    <w:p w14:paraId="32B2F6C9" w14:textId="0117A6A2" w:rsidR="008D10FD" w:rsidRDefault="008D10FD" w:rsidP="00E53CCD"/>
    <w:p w14:paraId="03605811" w14:textId="77777777" w:rsidR="00B42719" w:rsidRDefault="00B42719" w:rsidP="00E53CCD"/>
    <w:p w14:paraId="32B2F6CB" w14:textId="46148EAA" w:rsidR="00FA508E" w:rsidRPr="00CF7A47" w:rsidRDefault="00FA508E" w:rsidP="00FA508E">
      <w:pPr>
        <w:jc w:val="left"/>
      </w:pPr>
      <w:r w:rsidRPr="00CF7A47">
        <w:t>Інд.</w:t>
      </w:r>
      <w:r w:rsidRPr="00CF7A47">
        <w:rPr>
          <w:sz w:val="22"/>
          <w:szCs w:val="22"/>
        </w:rPr>
        <w:t xml:space="preserve"> </w:t>
      </w:r>
      <w:r w:rsidR="003006B0" w:rsidRPr="00CF7A47">
        <w:t>25</w:t>
      </w:r>
    </w:p>
    <w:sectPr w:rsidR="00FA508E" w:rsidRPr="00CF7A47" w:rsidSect="00F03C00">
      <w:headerReference w:type="default" r:id="rId15"/>
      <w:footerReference w:type="first" r:id="rId16"/>
      <w:pgSz w:w="11906" w:h="16838" w:code="9"/>
      <w:pgMar w:top="567" w:right="567" w:bottom="1701"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4E06" w14:textId="77777777" w:rsidR="00E15FDE" w:rsidRDefault="00E15FDE" w:rsidP="00E53CCD">
      <w:r>
        <w:separator/>
      </w:r>
    </w:p>
  </w:endnote>
  <w:endnote w:type="continuationSeparator" w:id="0">
    <w:p w14:paraId="3C2CC873" w14:textId="77777777" w:rsidR="00E15FDE" w:rsidRDefault="00E15FD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149F" w14:textId="77777777" w:rsidR="00E15FDE" w:rsidRDefault="00E15FDE" w:rsidP="00E53CCD">
      <w:r>
        <w:separator/>
      </w:r>
    </w:p>
  </w:footnote>
  <w:footnote w:type="continuationSeparator" w:id="0">
    <w:p w14:paraId="4D4A5369" w14:textId="77777777" w:rsidR="00E15FDE" w:rsidRDefault="00E15FD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37697B09" w:rsidR="00460BA2" w:rsidRDefault="00FE0B90">
        <w:pPr>
          <w:pStyle w:val="a5"/>
          <w:jc w:val="center"/>
        </w:pPr>
        <w:r>
          <w:fldChar w:fldCharType="begin"/>
        </w:r>
        <w:r w:rsidR="00460BA2">
          <w:instrText xml:space="preserve"> PAGE   \* MERGEFORMAT </w:instrText>
        </w:r>
        <w:r>
          <w:fldChar w:fldCharType="separate"/>
        </w:r>
        <w:r w:rsidR="003B2C07">
          <w:rPr>
            <w:noProof/>
          </w:rPr>
          <w:t>2</w:t>
        </w:r>
        <w:r>
          <w:fldChar w:fldCharType="end"/>
        </w:r>
      </w:p>
    </w:sdtContent>
  </w:sdt>
  <w:p w14:paraId="32B2F6D2"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3331E"/>
    <w:rsid w:val="000342A5"/>
    <w:rsid w:val="0003793C"/>
    <w:rsid w:val="00051F5C"/>
    <w:rsid w:val="00053F52"/>
    <w:rsid w:val="000543C6"/>
    <w:rsid w:val="000600A8"/>
    <w:rsid w:val="00061C52"/>
    <w:rsid w:val="00063480"/>
    <w:rsid w:val="000638F2"/>
    <w:rsid w:val="00064086"/>
    <w:rsid w:val="000700B8"/>
    <w:rsid w:val="00090E19"/>
    <w:rsid w:val="000979A8"/>
    <w:rsid w:val="000A3252"/>
    <w:rsid w:val="000A6220"/>
    <w:rsid w:val="000A66E2"/>
    <w:rsid w:val="000B1962"/>
    <w:rsid w:val="000B2990"/>
    <w:rsid w:val="000C4501"/>
    <w:rsid w:val="000D4E60"/>
    <w:rsid w:val="000D778F"/>
    <w:rsid w:val="000E0CB3"/>
    <w:rsid w:val="000E5B8C"/>
    <w:rsid w:val="000E6652"/>
    <w:rsid w:val="000E7A13"/>
    <w:rsid w:val="00106229"/>
    <w:rsid w:val="00115ECF"/>
    <w:rsid w:val="0013555C"/>
    <w:rsid w:val="001631E2"/>
    <w:rsid w:val="00163A41"/>
    <w:rsid w:val="001716B0"/>
    <w:rsid w:val="001740C0"/>
    <w:rsid w:val="0017632C"/>
    <w:rsid w:val="00190E1A"/>
    <w:rsid w:val="00191EE4"/>
    <w:rsid w:val="001A0EE5"/>
    <w:rsid w:val="001A16FA"/>
    <w:rsid w:val="001A4CB9"/>
    <w:rsid w:val="001A6795"/>
    <w:rsid w:val="001C206C"/>
    <w:rsid w:val="001C6B35"/>
    <w:rsid w:val="001D487A"/>
    <w:rsid w:val="001E09BD"/>
    <w:rsid w:val="001E6B43"/>
    <w:rsid w:val="001E7479"/>
    <w:rsid w:val="002238D1"/>
    <w:rsid w:val="00233F37"/>
    <w:rsid w:val="00241373"/>
    <w:rsid w:val="00253BF9"/>
    <w:rsid w:val="0025455E"/>
    <w:rsid w:val="00264983"/>
    <w:rsid w:val="00266678"/>
    <w:rsid w:val="00276988"/>
    <w:rsid w:val="00280DCC"/>
    <w:rsid w:val="00285DDA"/>
    <w:rsid w:val="00290169"/>
    <w:rsid w:val="002A2391"/>
    <w:rsid w:val="002A5916"/>
    <w:rsid w:val="002B351E"/>
    <w:rsid w:val="002B3F71"/>
    <w:rsid w:val="002B582B"/>
    <w:rsid w:val="002C01D9"/>
    <w:rsid w:val="002C1FDB"/>
    <w:rsid w:val="002D1790"/>
    <w:rsid w:val="002F48EF"/>
    <w:rsid w:val="003006B0"/>
    <w:rsid w:val="0030447B"/>
    <w:rsid w:val="00313F66"/>
    <w:rsid w:val="00332701"/>
    <w:rsid w:val="00340D07"/>
    <w:rsid w:val="00345982"/>
    <w:rsid w:val="00345C1D"/>
    <w:rsid w:val="00356E34"/>
    <w:rsid w:val="00357676"/>
    <w:rsid w:val="003764F5"/>
    <w:rsid w:val="00383329"/>
    <w:rsid w:val="0038385E"/>
    <w:rsid w:val="00384F65"/>
    <w:rsid w:val="00394649"/>
    <w:rsid w:val="0039725C"/>
    <w:rsid w:val="003A16E7"/>
    <w:rsid w:val="003A751F"/>
    <w:rsid w:val="003B2C07"/>
    <w:rsid w:val="003C10F1"/>
    <w:rsid w:val="003C3282"/>
    <w:rsid w:val="003C3985"/>
    <w:rsid w:val="003D6B33"/>
    <w:rsid w:val="003E7824"/>
    <w:rsid w:val="003F0441"/>
    <w:rsid w:val="003F28B5"/>
    <w:rsid w:val="003F7093"/>
    <w:rsid w:val="00401EDB"/>
    <w:rsid w:val="00404C93"/>
    <w:rsid w:val="00407877"/>
    <w:rsid w:val="004130B9"/>
    <w:rsid w:val="00415D8F"/>
    <w:rsid w:val="00424321"/>
    <w:rsid w:val="00446704"/>
    <w:rsid w:val="00455B45"/>
    <w:rsid w:val="00460BA2"/>
    <w:rsid w:val="004666D6"/>
    <w:rsid w:val="00473EF2"/>
    <w:rsid w:val="00481BB4"/>
    <w:rsid w:val="00483205"/>
    <w:rsid w:val="004A1CFC"/>
    <w:rsid w:val="004A7F75"/>
    <w:rsid w:val="004B1FE9"/>
    <w:rsid w:val="004B5574"/>
    <w:rsid w:val="004D2B57"/>
    <w:rsid w:val="004E22E2"/>
    <w:rsid w:val="0050563F"/>
    <w:rsid w:val="00514C67"/>
    <w:rsid w:val="005212A1"/>
    <w:rsid w:val="005212C5"/>
    <w:rsid w:val="00523C13"/>
    <w:rsid w:val="00524F07"/>
    <w:rsid w:val="005257C2"/>
    <w:rsid w:val="00532633"/>
    <w:rsid w:val="005403F1"/>
    <w:rsid w:val="00542533"/>
    <w:rsid w:val="00543654"/>
    <w:rsid w:val="005624B6"/>
    <w:rsid w:val="00562C46"/>
    <w:rsid w:val="0057237F"/>
    <w:rsid w:val="00577402"/>
    <w:rsid w:val="005822CB"/>
    <w:rsid w:val="00590CAF"/>
    <w:rsid w:val="00597AB6"/>
    <w:rsid w:val="005A0F4B"/>
    <w:rsid w:val="005A1D3C"/>
    <w:rsid w:val="005A3F34"/>
    <w:rsid w:val="005B2D03"/>
    <w:rsid w:val="005B366A"/>
    <w:rsid w:val="005B773F"/>
    <w:rsid w:val="005C5CBF"/>
    <w:rsid w:val="005D3B88"/>
    <w:rsid w:val="005D45F5"/>
    <w:rsid w:val="005E3FA8"/>
    <w:rsid w:val="005F4548"/>
    <w:rsid w:val="005F4CB4"/>
    <w:rsid w:val="005F6B35"/>
    <w:rsid w:val="005F6EA8"/>
    <w:rsid w:val="00601B0D"/>
    <w:rsid w:val="00640612"/>
    <w:rsid w:val="0064227D"/>
    <w:rsid w:val="00645119"/>
    <w:rsid w:val="0065179F"/>
    <w:rsid w:val="00657593"/>
    <w:rsid w:val="0066240B"/>
    <w:rsid w:val="00670C95"/>
    <w:rsid w:val="006925CE"/>
    <w:rsid w:val="00692C8C"/>
    <w:rsid w:val="006B2748"/>
    <w:rsid w:val="006B465F"/>
    <w:rsid w:val="006C06A1"/>
    <w:rsid w:val="006C0F22"/>
    <w:rsid w:val="006C13B1"/>
    <w:rsid w:val="006C4176"/>
    <w:rsid w:val="006C66EF"/>
    <w:rsid w:val="006D2617"/>
    <w:rsid w:val="00700AA3"/>
    <w:rsid w:val="007142BA"/>
    <w:rsid w:val="00714823"/>
    <w:rsid w:val="00717197"/>
    <w:rsid w:val="0071789F"/>
    <w:rsid w:val="00730088"/>
    <w:rsid w:val="00746947"/>
    <w:rsid w:val="00747222"/>
    <w:rsid w:val="00750898"/>
    <w:rsid w:val="0076356A"/>
    <w:rsid w:val="007712EF"/>
    <w:rsid w:val="00773559"/>
    <w:rsid w:val="0077782C"/>
    <w:rsid w:val="0078127A"/>
    <w:rsid w:val="00783AF2"/>
    <w:rsid w:val="00787E46"/>
    <w:rsid w:val="007939AE"/>
    <w:rsid w:val="007A0590"/>
    <w:rsid w:val="007A6609"/>
    <w:rsid w:val="007B7B73"/>
    <w:rsid w:val="007C2CED"/>
    <w:rsid w:val="007F06A6"/>
    <w:rsid w:val="007F16F3"/>
    <w:rsid w:val="007F488D"/>
    <w:rsid w:val="00802988"/>
    <w:rsid w:val="00817B00"/>
    <w:rsid w:val="008274C0"/>
    <w:rsid w:val="008415A0"/>
    <w:rsid w:val="00842ADB"/>
    <w:rsid w:val="0085364B"/>
    <w:rsid w:val="00866993"/>
    <w:rsid w:val="00874366"/>
    <w:rsid w:val="008762D8"/>
    <w:rsid w:val="00877385"/>
    <w:rsid w:val="00897035"/>
    <w:rsid w:val="008A63CA"/>
    <w:rsid w:val="008B1589"/>
    <w:rsid w:val="008B5CF2"/>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0F69"/>
    <w:rsid w:val="0095741D"/>
    <w:rsid w:val="0097288F"/>
    <w:rsid w:val="0098207E"/>
    <w:rsid w:val="00990AAE"/>
    <w:rsid w:val="009B193C"/>
    <w:rsid w:val="009B6120"/>
    <w:rsid w:val="009C2F76"/>
    <w:rsid w:val="009C6E64"/>
    <w:rsid w:val="009F5312"/>
    <w:rsid w:val="00A02655"/>
    <w:rsid w:val="00A02AEC"/>
    <w:rsid w:val="00A0594A"/>
    <w:rsid w:val="00A12C47"/>
    <w:rsid w:val="00A23E04"/>
    <w:rsid w:val="00A46C15"/>
    <w:rsid w:val="00A50DC0"/>
    <w:rsid w:val="00A63695"/>
    <w:rsid w:val="00A72F06"/>
    <w:rsid w:val="00A730B2"/>
    <w:rsid w:val="00A730F2"/>
    <w:rsid w:val="00A75AF0"/>
    <w:rsid w:val="00A77FFD"/>
    <w:rsid w:val="00A956D9"/>
    <w:rsid w:val="00AA3E98"/>
    <w:rsid w:val="00AA67EB"/>
    <w:rsid w:val="00AB3EDD"/>
    <w:rsid w:val="00AB4554"/>
    <w:rsid w:val="00AC47B6"/>
    <w:rsid w:val="00AC4D8A"/>
    <w:rsid w:val="00AD7DF9"/>
    <w:rsid w:val="00AE29BB"/>
    <w:rsid w:val="00AE2CAF"/>
    <w:rsid w:val="00AF33D9"/>
    <w:rsid w:val="00B002E4"/>
    <w:rsid w:val="00B215E6"/>
    <w:rsid w:val="00B26DAE"/>
    <w:rsid w:val="00B332B2"/>
    <w:rsid w:val="00B34CCC"/>
    <w:rsid w:val="00B36EC7"/>
    <w:rsid w:val="00B36EDD"/>
    <w:rsid w:val="00B42719"/>
    <w:rsid w:val="00B46944"/>
    <w:rsid w:val="00B61C97"/>
    <w:rsid w:val="00B628C5"/>
    <w:rsid w:val="00B71933"/>
    <w:rsid w:val="00B8078D"/>
    <w:rsid w:val="00BA3761"/>
    <w:rsid w:val="00BA5A74"/>
    <w:rsid w:val="00BD0E73"/>
    <w:rsid w:val="00BD12A3"/>
    <w:rsid w:val="00BD3472"/>
    <w:rsid w:val="00BD6D34"/>
    <w:rsid w:val="00BD7F6E"/>
    <w:rsid w:val="00BE69A3"/>
    <w:rsid w:val="00BF47B0"/>
    <w:rsid w:val="00BF5327"/>
    <w:rsid w:val="00C17EF5"/>
    <w:rsid w:val="00C21D33"/>
    <w:rsid w:val="00C3382F"/>
    <w:rsid w:val="00C42859"/>
    <w:rsid w:val="00C4377C"/>
    <w:rsid w:val="00C47F0F"/>
    <w:rsid w:val="00C51D84"/>
    <w:rsid w:val="00C52506"/>
    <w:rsid w:val="00C63169"/>
    <w:rsid w:val="00C82259"/>
    <w:rsid w:val="00C9297C"/>
    <w:rsid w:val="00C94014"/>
    <w:rsid w:val="00CA773A"/>
    <w:rsid w:val="00CB0A99"/>
    <w:rsid w:val="00CB5A09"/>
    <w:rsid w:val="00CD0CD4"/>
    <w:rsid w:val="00CE3B9F"/>
    <w:rsid w:val="00CF1FB8"/>
    <w:rsid w:val="00CF2C65"/>
    <w:rsid w:val="00CF7A47"/>
    <w:rsid w:val="00D078B6"/>
    <w:rsid w:val="00D1022C"/>
    <w:rsid w:val="00D27115"/>
    <w:rsid w:val="00D34DCC"/>
    <w:rsid w:val="00D61D9B"/>
    <w:rsid w:val="00D711FE"/>
    <w:rsid w:val="00D87311"/>
    <w:rsid w:val="00D905C3"/>
    <w:rsid w:val="00D9096D"/>
    <w:rsid w:val="00D92FB9"/>
    <w:rsid w:val="00DA2F09"/>
    <w:rsid w:val="00DA7907"/>
    <w:rsid w:val="00DC1E60"/>
    <w:rsid w:val="00DD2AC9"/>
    <w:rsid w:val="00DD60CC"/>
    <w:rsid w:val="00DE1BC8"/>
    <w:rsid w:val="00DF4D12"/>
    <w:rsid w:val="00E10AE2"/>
    <w:rsid w:val="00E10F0A"/>
    <w:rsid w:val="00E15FDE"/>
    <w:rsid w:val="00E21875"/>
    <w:rsid w:val="00E25407"/>
    <w:rsid w:val="00E273A5"/>
    <w:rsid w:val="00E32599"/>
    <w:rsid w:val="00E33B0E"/>
    <w:rsid w:val="00E42621"/>
    <w:rsid w:val="00E42F26"/>
    <w:rsid w:val="00E446A6"/>
    <w:rsid w:val="00E53CB5"/>
    <w:rsid w:val="00E53CCD"/>
    <w:rsid w:val="00E55027"/>
    <w:rsid w:val="00E62607"/>
    <w:rsid w:val="00E65DF9"/>
    <w:rsid w:val="00E71855"/>
    <w:rsid w:val="00E719A9"/>
    <w:rsid w:val="00E828F7"/>
    <w:rsid w:val="00EA1DE4"/>
    <w:rsid w:val="00EA60EA"/>
    <w:rsid w:val="00EB29BF"/>
    <w:rsid w:val="00EC067F"/>
    <w:rsid w:val="00EC155D"/>
    <w:rsid w:val="00EC7C7F"/>
    <w:rsid w:val="00EE1B30"/>
    <w:rsid w:val="00EF4B42"/>
    <w:rsid w:val="00F003D3"/>
    <w:rsid w:val="00F008AB"/>
    <w:rsid w:val="00F03C00"/>
    <w:rsid w:val="00F03E32"/>
    <w:rsid w:val="00F42289"/>
    <w:rsid w:val="00F42E75"/>
    <w:rsid w:val="00F45D65"/>
    <w:rsid w:val="00F50E6A"/>
    <w:rsid w:val="00F517FA"/>
    <w:rsid w:val="00F52D16"/>
    <w:rsid w:val="00F62D67"/>
    <w:rsid w:val="00F63BD9"/>
    <w:rsid w:val="00F6522B"/>
    <w:rsid w:val="00F6694C"/>
    <w:rsid w:val="00F8145F"/>
    <w:rsid w:val="00F9283D"/>
    <w:rsid w:val="00F96F18"/>
    <w:rsid w:val="00FA508E"/>
    <w:rsid w:val="00FA5320"/>
    <w:rsid w:val="00FA7846"/>
    <w:rsid w:val="00FC01A3"/>
    <w:rsid w:val="00FC26E5"/>
    <w:rsid w:val="00FD19F1"/>
    <w:rsid w:val="00FD370F"/>
    <w:rsid w:val="00FE0B90"/>
    <w:rsid w:val="00FE1662"/>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rvts37">
    <w:name w:val="rvts37"/>
    <w:basedOn w:val="a0"/>
    <w:rsid w:val="003006B0"/>
  </w:style>
  <w:style w:type="character" w:styleId="af4">
    <w:name w:val="Hyperlink"/>
    <w:basedOn w:val="a0"/>
    <w:uiPriority w:val="99"/>
    <w:unhideWhenUsed/>
    <w:rsid w:val="003006B0"/>
    <w:rPr>
      <w:color w:val="0000FF"/>
      <w:u w:val="single"/>
    </w:rPr>
  </w:style>
  <w:style w:type="character" w:styleId="af5">
    <w:name w:val="annotation reference"/>
    <w:basedOn w:val="a0"/>
    <w:uiPriority w:val="99"/>
    <w:semiHidden/>
    <w:unhideWhenUsed/>
    <w:rsid w:val="001C6B35"/>
    <w:rPr>
      <w:sz w:val="16"/>
      <w:szCs w:val="16"/>
    </w:rPr>
  </w:style>
  <w:style w:type="paragraph" w:styleId="af6">
    <w:name w:val="annotation text"/>
    <w:basedOn w:val="a"/>
    <w:link w:val="af7"/>
    <w:uiPriority w:val="99"/>
    <w:semiHidden/>
    <w:unhideWhenUsed/>
    <w:rsid w:val="001C6B35"/>
    <w:rPr>
      <w:sz w:val="20"/>
      <w:szCs w:val="20"/>
    </w:rPr>
  </w:style>
  <w:style w:type="character" w:customStyle="1" w:styleId="af7">
    <w:name w:val="Текст примітки Знак"/>
    <w:basedOn w:val="a0"/>
    <w:link w:val="af6"/>
    <w:uiPriority w:val="99"/>
    <w:semiHidden/>
    <w:rsid w:val="001C6B35"/>
    <w:rPr>
      <w:rFonts w:ascii="Times New Roman" w:hAnsi="Times New Roman" w:cs="Times New Roman"/>
      <w:sz w:val="20"/>
      <w:szCs w:val="20"/>
      <w:lang w:eastAsia="uk-UA"/>
    </w:rPr>
  </w:style>
  <w:style w:type="paragraph" w:styleId="af8">
    <w:name w:val="annotation subject"/>
    <w:basedOn w:val="af6"/>
    <w:next w:val="af6"/>
    <w:link w:val="af9"/>
    <w:uiPriority w:val="99"/>
    <w:semiHidden/>
    <w:unhideWhenUsed/>
    <w:rsid w:val="001C6B35"/>
    <w:rPr>
      <w:b/>
      <w:bCs/>
    </w:rPr>
  </w:style>
  <w:style w:type="character" w:customStyle="1" w:styleId="af9">
    <w:name w:val="Тема примітки Знак"/>
    <w:basedOn w:val="af7"/>
    <w:link w:val="af8"/>
    <w:uiPriority w:val="99"/>
    <w:semiHidden/>
    <w:rsid w:val="001C6B35"/>
    <w:rPr>
      <w:rFonts w:ascii="Times New Roman" w:hAnsi="Times New Roman" w:cs="Times New Roman"/>
      <w:b/>
      <w:bCs/>
      <w:sz w:val="20"/>
      <w:szCs w:val="20"/>
      <w:lang w:eastAsia="uk-UA"/>
    </w:rPr>
  </w:style>
  <w:style w:type="paragraph" w:styleId="afa">
    <w:name w:val="Revision"/>
    <w:hidden/>
    <w:uiPriority w:val="99"/>
    <w:semiHidden/>
    <w:rsid w:val="00746947"/>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67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1B22079-4BF5-466F-8230-EE37586C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2433</Words>
  <Characters>1387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Карпенко Оксана Василівна</cp:lastModifiedBy>
  <cp:revision>3</cp:revision>
  <cp:lastPrinted>2022-09-28T08:23:00Z</cp:lastPrinted>
  <dcterms:created xsi:type="dcterms:W3CDTF">2022-10-04T13:28:00Z</dcterms:created>
  <dcterms:modified xsi:type="dcterms:W3CDTF">2022-10-04T13:32:00Z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