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2D65D" w14:textId="77777777" w:rsidR="00967711" w:rsidRPr="00C95981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14:paraId="109F807A" w14:textId="77777777" w:rsidTr="006938E4">
        <w:trPr>
          <w:trHeight w:val="851"/>
        </w:trPr>
        <w:tc>
          <w:tcPr>
            <w:tcW w:w="3284" w:type="dxa"/>
          </w:tcPr>
          <w:p w14:paraId="30E67B56" w14:textId="77777777" w:rsidR="00967711" w:rsidRDefault="00967711" w:rsidP="006938E4"/>
        </w:tc>
        <w:tc>
          <w:tcPr>
            <w:tcW w:w="3285" w:type="dxa"/>
            <w:vMerge w:val="restart"/>
          </w:tcPr>
          <w:p w14:paraId="15166C02" w14:textId="77777777" w:rsidR="00967711" w:rsidRDefault="00967711" w:rsidP="006938E4">
            <w:pPr>
              <w:jc w:val="center"/>
            </w:pPr>
            <w:r>
              <w:object w:dxaOrig="1595" w:dyaOrig="2201" w14:anchorId="1ABCB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34505535" r:id="rId13"/>
              </w:object>
            </w:r>
          </w:p>
        </w:tc>
        <w:tc>
          <w:tcPr>
            <w:tcW w:w="3285" w:type="dxa"/>
          </w:tcPr>
          <w:p w14:paraId="183A536F" w14:textId="77777777" w:rsidR="00967711" w:rsidRDefault="00967711" w:rsidP="006938E4"/>
        </w:tc>
      </w:tr>
      <w:tr w:rsidR="00967711" w14:paraId="5AA8E624" w14:textId="77777777" w:rsidTr="006938E4">
        <w:tc>
          <w:tcPr>
            <w:tcW w:w="3284" w:type="dxa"/>
          </w:tcPr>
          <w:p w14:paraId="52106FCF" w14:textId="77777777" w:rsidR="00967711" w:rsidRDefault="00967711" w:rsidP="006938E4"/>
        </w:tc>
        <w:tc>
          <w:tcPr>
            <w:tcW w:w="3285" w:type="dxa"/>
            <w:vMerge/>
          </w:tcPr>
          <w:p w14:paraId="5B9E2779" w14:textId="77777777" w:rsidR="00967711" w:rsidRDefault="00967711" w:rsidP="006938E4"/>
        </w:tc>
        <w:tc>
          <w:tcPr>
            <w:tcW w:w="3285" w:type="dxa"/>
          </w:tcPr>
          <w:p w14:paraId="5D5D2D8A" w14:textId="77777777" w:rsidR="00967711" w:rsidRDefault="00967711" w:rsidP="006938E4"/>
        </w:tc>
      </w:tr>
      <w:tr w:rsidR="00967711" w14:paraId="0808C675" w14:textId="77777777" w:rsidTr="006938E4">
        <w:tc>
          <w:tcPr>
            <w:tcW w:w="9854" w:type="dxa"/>
            <w:gridSpan w:val="3"/>
          </w:tcPr>
          <w:p w14:paraId="1C91D935" w14:textId="77777777" w:rsidR="00967711" w:rsidRPr="00E10F0A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2468FD6" w14:textId="77777777"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53B23571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2224"/>
        <w:gridCol w:w="1821"/>
        <w:gridCol w:w="1886"/>
      </w:tblGrid>
      <w:tr w:rsidR="00967711" w14:paraId="1565F6FF" w14:textId="77777777" w:rsidTr="00D37F10">
        <w:tc>
          <w:tcPr>
            <w:tcW w:w="3794" w:type="dxa"/>
            <w:vAlign w:val="bottom"/>
          </w:tcPr>
          <w:p w14:paraId="76B92011" w14:textId="705AE5DC" w:rsidR="00967711" w:rsidRPr="00566BA2" w:rsidRDefault="00AA3F6C" w:rsidP="006938E4">
            <w:r>
              <w:t>05 січня 2023 року</w:t>
            </w:r>
          </w:p>
        </w:tc>
        <w:tc>
          <w:tcPr>
            <w:tcW w:w="2268" w:type="dxa"/>
          </w:tcPr>
          <w:p w14:paraId="37101B38" w14:textId="77777777" w:rsidR="00967711" w:rsidRDefault="00967711" w:rsidP="00853BE7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7FF114AC" w14:textId="3A603C7A" w:rsidR="00967711" w:rsidRPr="00AA3F6C" w:rsidRDefault="00BD25A1" w:rsidP="00AA3F6C">
            <w:pPr>
              <w:jc w:val="right"/>
              <w:rPr>
                <w:color w:val="000000" w:themeColor="text1"/>
                <w:lang w:val="ru-RU"/>
              </w:rPr>
            </w:pPr>
            <w:r w:rsidRPr="00AA3F6C">
              <w:rPr>
                <w:color w:val="000000" w:themeColor="text1"/>
                <w:lang w:val="ru-RU"/>
              </w:rPr>
              <w:t>№</w:t>
            </w:r>
            <w:r w:rsidR="00AA3F6C" w:rsidRPr="00AA3F6C">
              <w:rPr>
                <w:color w:val="000000" w:themeColor="text1"/>
                <w:lang w:val="ru-RU"/>
              </w:rPr>
              <w:t>7-рш</w:t>
            </w:r>
          </w:p>
        </w:tc>
        <w:tc>
          <w:tcPr>
            <w:tcW w:w="1937" w:type="dxa"/>
            <w:vAlign w:val="bottom"/>
          </w:tcPr>
          <w:p w14:paraId="5EB308D0" w14:textId="77777777" w:rsidR="00967711" w:rsidRPr="00AA3F6C" w:rsidRDefault="00967711" w:rsidP="002C2894">
            <w:pPr>
              <w:jc w:val="left"/>
              <w:rPr>
                <w:color w:val="000000" w:themeColor="text1"/>
              </w:rPr>
            </w:pPr>
          </w:p>
        </w:tc>
      </w:tr>
    </w:tbl>
    <w:p w14:paraId="03C1498A" w14:textId="77777777" w:rsidR="00967711" w:rsidRPr="00CD0CD4" w:rsidRDefault="00967711" w:rsidP="00967711">
      <w:pPr>
        <w:rPr>
          <w:sz w:val="2"/>
          <w:szCs w:val="2"/>
        </w:rPr>
      </w:pPr>
    </w:p>
    <w:p w14:paraId="292EEFC0" w14:textId="77777777" w:rsidR="00967711" w:rsidRPr="00CD0CD4" w:rsidRDefault="00967711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08B07092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487BC2" w14:paraId="3D33D563" w14:textId="77777777" w:rsidTr="0050563F">
        <w:tc>
          <w:tcPr>
            <w:tcW w:w="5000" w:type="pct"/>
          </w:tcPr>
          <w:p w14:paraId="1A5DC558" w14:textId="77777777" w:rsidR="00431069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B6129F">
              <w:rPr>
                <w:rFonts w:eastAsiaTheme="minorEastAsia"/>
                <w:noProof/>
                <w:color w:val="000000" w:themeColor="text1"/>
                <w:lang w:eastAsia="en-US"/>
              </w:rPr>
              <w:t>Про внесенн</w:t>
            </w:r>
            <w:bookmarkStart w:id="0" w:name="_GoBack"/>
            <w:bookmarkEnd w:id="0"/>
            <w:r w:rsidRPr="00B6129F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я </w:t>
            </w:r>
            <w:r w:rsidRPr="009C0C9E">
              <w:rPr>
                <w:rFonts w:eastAsiaTheme="minorEastAsia"/>
                <w:noProof/>
                <w:color w:val="000000" w:themeColor="text1"/>
                <w:lang w:eastAsia="en-US"/>
              </w:rPr>
              <w:t>змін</w:t>
            </w:r>
            <w:r w:rsidRPr="00B6129F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  <w:p w14:paraId="315701F2" w14:textId="1408381F" w:rsidR="00431069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B6129F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14:paraId="73DB4004" w14:textId="0A246583" w:rsidR="002B3F71" w:rsidRPr="00487BC2" w:rsidRDefault="00A22BFD" w:rsidP="00431069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B6129F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 2017 року № 752-рш</w:t>
            </w:r>
          </w:p>
        </w:tc>
      </w:tr>
    </w:tbl>
    <w:p w14:paraId="088DFB3A" w14:textId="38C7CB4C" w:rsidR="00470271" w:rsidRPr="00431069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431069">
        <w:rPr>
          <w:snapToGrid w:val="0"/>
          <w:lang w:eastAsia="ru-RU"/>
        </w:rPr>
        <w:t>Відповідно до статей 7, 15, 25, 26 та 56 Закону України “Про Національний банк України</w:t>
      </w:r>
      <w:r w:rsidRPr="00431069">
        <w:rPr>
          <w:lang w:eastAsia="ru-RU"/>
        </w:rPr>
        <w:t>”</w:t>
      </w:r>
      <w:r w:rsidRPr="00431069">
        <w:rPr>
          <w:snapToGrid w:val="0"/>
          <w:lang w:eastAsia="ru-RU"/>
        </w:rPr>
        <w:t>, статті 66 Закону України “Про банки і банківську діяльність</w:t>
      </w:r>
      <w:r w:rsidRPr="00431069">
        <w:rPr>
          <w:lang w:eastAsia="ru-RU"/>
        </w:rPr>
        <w:t>”</w:t>
      </w:r>
      <w:r w:rsidR="00DF4070" w:rsidRPr="00431069">
        <w:rPr>
          <w:lang w:eastAsia="ru-RU"/>
        </w:rPr>
        <w:t>,</w:t>
      </w:r>
      <w:r w:rsidR="008126F3" w:rsidRPr="00431069">
        <w:t xml:space="preserve"> згідно з Положенням про порядок формування та зберігання обов’язкових резервів банками України та філіями іноземних банків в Україні, затвердженим постановою Правління Національного банку України від 11 грудня 2014 року №</w:t>
      </w:r>
      <w:r w:rsidR="00DE3931">
        <w:t> </w:t>
      </w:r>
      <w:r w:rsidR="008126F3" w:rsidRPr="00431069">
        <w:t xml:space="preserve">806 (зі змінами), </w:t>
      </w:r>
      <w:r w:rsidR="00790F52" w:rsidRPr="00431069">
        <w:t>протокол</w:t>
      </w:r>
      <w:r w:rsidR="00FB1408">
        <w:t>ом</w:t>
      </w:r>
      <w:r w:rsidR="00790F52" w:rsidRPr="00431069">
        <w:t xml:space="preserve"> засідання Ради з фінансової стабільності від 08</w:t>
      </w:r>
      <w:r w:rsidR="00DE3931">
        <w:t xml:space="preserve"> грудня </w:t>
      </w:r>
      <w:r w:rsidR="00790F52" w:rsidRPr="00431069">
        <w:t>2022 року № 4</w:t>
      </w:r>
      <w:r w:rsidR="00DF4070" w:rsidRPr="00431069">
        <w:t>,</w:t>
      </w:r>
      <w:r w:rsidR="00DF4070" w:rsidRPr="00431069">
        <w:rPr>
          <w:noProof/>
        </w:rPr>
        <w:t xml:space="preserve"> </w:t>
      </w:r>
      <w:r w:rsidR="002911B1" w:rsidRPr="00431069">
        <w:t>з метою підвищення ефективності регулювання грошово-кредитно</w:t>
      </w:r>
      <w:r w:rsidR="003B580F" w:rsidRPr="00431069">
        <w:t>го ринку</w:t>
      </w:r>
      <w:r w:rsidR="0048590C" w:rsidRPr="00431069">
        <w:t xml:space="preserve"> під час воєнного стану</w:t>
      </w:r>
      <w:r w:rsidR="003B580F" w:rsidRPr="00431069">
        <w:t xml:space="preserve"> та сприяння </w:t>
      </w:r>
      <w:r w:rsidR="00BA6257" w:rsidRPr="00431069">
        <w:t>уникненню</w:t>
      </w:r>
      <w:r w:rsidR="002911B1" w:rsidRPr="00431069">
        <w:t xml:space="preserve"> </w:t>
      </w:r>
      <w:r w:rsidR="003B580F" w:rsidRPr="00431069">
        <w:t>фінансуванн</w:t>
      </w:r>
      <w:r w:rsidR="00BA6257" w:rsidRPr="00431069">
        <w:t>я</w:t>
      </w:r>
      <w:r w:rsidR="002911B1" w:rsidRPr="00431069">
        <w:t xml:space="preserve"> бюджет</w:t>
      </w:r>
      <w:r w:rsidR="003B580F" w:rsidRPr="00431069">
        <w:t xml:space="preserve">ного дефіциту через </w:t>
      </w:r>
      <w:r w:rsidR="00C952A9" w:rsidRPr="00431069">
        <w:t xml:space="preserve">емісійні </w:t>
      </w:r>
      <w:r w:rsidR="003B580F" w:rsidRPr="00431069">
        <w:t>джерела</w:t>
      </w:r>
      <w:r w:rsidR="0056779B" w:rsidRPr="00431069">
        <w:t xml:space="preserve"> Правління Національного банку України</w:t>
      </w:r>
      <w:r w:rsidR="00D465E2" w:rsidRPr="00431069">
        <w:t xml:space="preserve"> </w:t>
      </w:r>
      <w:r w:rsidR="00470271" w:rsidRPr="00431069">
        <w:rPr>
          <w:b/>
        </w:rPr>
        <w:t>вирішило:</w:t>
      </w:r>
    </w:p>
    <w:p w14:paraId="49EBA5C1" w14:textId="0A7BA66B" w:rsidR="00C464C6" w:rsidRPr="00B13602" w:rsidRDefault="00D75789" w:rsidP="00431069">
      <w:pPr>
        <w:pStyle w:val="af3"/>
        <w:spacing w:before="240"/>
        <w:ind w:left="0" w:firstLine="567"/>
        <w:contextualSpacing w:val="0"/>
        <w:rPr>
          <w:snapToGrid w:val="0"/>
          <w:lang w:eastAsia="ru-RU"/>
        </w:rPr>
      </w:pPr>
      <w:r w:rsidRPr="00431069">
        <w:rPr>
          <w:rFonts w:eastAsiaTheme="minorEastAsia"/>
          <w:noProof/>
          <w:lang w:eastAsia="en-US"/>
        </w:rPr>
        <w:t>1.</w:t>
      </w:r>
      <w:r w:rsidRPr="00431069">
        <w:rPr>
          <w:rFonts w:eastAsiaTheme="minorEastAsia"/>
          <w:noProof/>
          <w:lang w:val="en-US" w:eastAsia="en-US"/>
        </w:rPr>
        <w:t> </w:t>
      </w:r>
      <w:r w:rsidR="005251E9" w:rsidRPr="00431069">
        <w:rPr>
          <w:snapToGrid w:val="0"/>
          <w:lang w:eastAsia="ru-RU"/>
        </w:rPr>
        <w:t>Пункт</w:t>
      </w:r>
      <w:r w:rsidR="00E56512" w:rsidRPr="00431069">
        <w:rPr>
          <w:snapToGrid w:val="0"/>
          <w:lang w:eastAsia="ru-RU"/>
        </w:rPr>
        <w:t xml:space="preserve"> 1 </w:t>
      </w:r>
      <w:r w:rsidR="005251E9" w:rsidRPr="00431069">
        <w:rPr>
          <w:lang w:eastAsia="ru-RU"/>
        </w:rPr>
        <w:t xml:space="preserve">рішення Правління Національного банку України від 23 листопада 2017 року № 752-рш “Про формування та зберігання обов’язкових резервів” (зі змінами) </w:t>
      </w:r>
      <w:r w:rsidR="001D3AC1" w:rsidRPr="00B13602">
        <w:rPr>
          <w:lang w:eastAsia="ru-RU"/>
        </w:rPr>
        <w:t xml:space="preserve">доповнити </w:t>
      </w:r>
      <w:r w:rsidR="00240399" w:rsidRPr="00B13602">
        <w:rPr>
          <w:lang w:eastAsia="ru-RU"/>
        </w:rPr>
        <w:t xml:space="preserve">двома </w:t>
      </w:r>
      <w:r w:rsidR="006F3A99" w:rsidRPr="00B13602">
        <w:rPr>
          <w:lang w:eastAsia="ru-RU"/>
        </w:rPr>
        <w:t xml:space="preserve">новими </w:t>
      </w:r>
      <w:r w:rsidR="001D3AC1" w:rsidRPr="00B13602">
        <w:rPr>
          <w:lang w:eastAsia="ru-RU"/>
        </w:rPr>
        <w:t>підпункт</w:t>
      </w:r>
      <w:r w:rsidR="007541F0" w:rsidRPr="00B13602">
        <w:rPr>
          <w:lang w:eastAsia="ru-RU"/>
        </w:rPr>
        <w:t>ами</w:t>
      </w:r>
      <w:r w:rsidR="001D3AC1" w:rsidRPr="00B13602">
        <w:rPr>
          <w:lang w:eastAsia="ru-RU"/>
        </w:rPr>
        <w:t xml:space="preserve"> </w:t>
      </w:r>
      <w:r w:rsidR="006F3A99" w:rsidRPr="00B13602">
        <w:rPr>
          <w:lang w:eastAsia="ru-RU"/>
        </w:rPr>
        <w:t xml:space="preserve">такого </w:t>
      </w:r>
      <w:r w:rsidR="00400784" w:rsidRPr="00B13602">
        <w:rPr>
          <w:lang w:eastAsia="ru-RU"/>
        </w:rPr>
        <w:t>змісту</w:t>
      </w:r>
      <w:r w:rsidR="00C95981" w:rsidRPr="00B13602">
        <w:rPr>
          <w:snapToGrid w:val="0"/>
          <w:lang w:eastAsia="ru-RU"/>
        </w:rPr>
        <w:t>:</w:t>
      </w:r>
    </w:p>
    <w:p w14:paraId="7042B41A" w14:textId="2544D921" w:rsidR="00C464C6" w:rsidRPr="00431069" w:rsidRDefault="00C95981" w:rsidP="00432AC0">
      <w:pPr>
        <w:pStyle w:val="af3"/>
        <w:ind w:left="0" w:firstLine="567"/>
        <w:contextualSpacing w:val="0"/>
      </w:pPr>
      <w:r w:rsidRPr="00B13602">
        <w:rPr>
          <w:snapToGrid w:val="0"/>
          <w:lang w:eastAsia="ru-RU"/>
        </w:rPr>
        <w:t>“</w:t>
      </w:r>
      <w:r w:rsidR="002F200F" w:rsidRPr="00B13602">
        <w:rPr>
          <w:rFonts w:eastAsiaTheme="minorEastAsia"/>
        </w:rPr>
        <w:t xml:space="preserve">5) </w:t>
      </w:r>
      <w:r w:rsidR="00E81D91" w:rsidRPr="00B13602">
        <w:rPr>
          <w:rFonts w:eastAsiaTheme="minorEastAsia"/>
        </w:rPr>
        <w:t>б</w:t>
      </w:r>
      <w:r w:rsidR="00A36E17" w:rsidRPr="00B13602">
        <w:rPr>
          <w:rFonts w:eastAsiaTheme="minorEastAsia"/>
        </w:rPr>
        <w:t>анк</w:t>
      </w:r>
      <w:r w:rsidR="00E81D91" w:rsidRPr="00B13602">
        <w:rPr>
          <w:rFonts w:eastAsiaTheme="minorEastAsia"/>
        </w:rPr>
        <w:t>и зараховують у</w:t>
      </w:r>
      <w:r w:rsidR="00A36E17" w:rsidRPr="00B13602">
        <w:rPr>
          <w:rFonts w:eastAsiaTheme="minorEastAsia"/>
        </w:rPr>
        <w:t xml:space="preserve"> покриття обов’язкових резервів</w:t>
      </w:r>
      <w:r w:rsidR="00A36E17" w:rsidRPr="00B13602">
        <w:rPr>
          <w:noProof/>
        </w:rPr>
        <w:t xml:space="preserve"> </w:t>
      </w:r>
      <w:r w:rsidR="00DE3931" w:rsidRPr="00B13602">
        <w:rPr>
          <w:noProof/>
        </w:rPr>
        <w:t>у</w:t>
      </w:r>
      <w:r w:rsidR="00D56BBE" w:rsidRPr="00B13602">
        <w:rPr>
          <w:noProof/>
        </w:rPr>
        <w:t xml:space="preserve"> період</w:t>
      </w:r>
      <w:r w:rsidR="00240399" w:rsidRPr="00B13602">
        <w:rPr>
          <w:noProof/>
        </w:rPr>
        <w:t>і</w:t>
      </w:r>
      <w:r w:rsidR="00D56BBE" w:rsidRPr="00B13602">
        <w:rPr>
          <w:noProof/>
        </w:rPr>
        <w:t xml:space="preserve"> утримання, як</w:t>
      </w:r>
      <w:r w:rsidR="00240399" w:rsidRPr="00B13602">
        <w:rPr>
          <w:noProof/>
        </w:rPr>
        <w:t>ий</w:t>
      </w:r>
      <w:r w:rsidR="00D56BBE" w:rsidRPr="00B13602">
        <w:rPr>
          <w:noProof/>
        </w:rPr>
        <w:t xml:space="preserve"> почина</w:t>
      </w:r>
      <w:r w:rsidR="00240399" w:rsidRPr="00B13602">
        <w:rPr>
          <w:noProof/>
        </w:rPr>
        <w:t>є</w:t>
      </w:r>
      <w:r w:rsidR="00D56BBE" w:rsidRPr="00B13602">
        <w:rPr>
          <w:noProof/>
        </w:rPr>
        <w:t>ться 11 січня</w:t>
      </w:r>
      <w:r w:rsidR="00240399" w:rsidRPr="00B13602">
        <w:rPr>
          <w:noProof/>
        </w:rPr>
        <w:t xml:space="preserve"> 2023 року</w:t>
      </w:r>
      <w:r w:rsidR="008E20BB">
        <w:rPr>
          <w:noProof/>
        </w:rPr>
        <w:t>,</w:t>
      </w:r>
      <w:r w:rsidR="00240399" w:rsidRPr="00B13602">
        <w:rPr>
          <w:noProof/>
        </w:rPr>
        <w:t xml:space="preserve"> і в подальших періодах утримання</w:t>
      </w:r>
      <w:r w:rsidR="00D56BBE" w:rsidRPr="00B13602">
        <w:rPr>
          <w:noProof/>
        </w:rPr>
        <w:t xml:space="preserve"> </w:t>
      </w:r>
      <w:r w:rsidR="002F200F" w:rsidRPr="00B13602">
        <w:rPr>
          <w:noProof/>
        </w:rPr>
        <w:t>облігації внутрішн</w:t>
      </w:r>
      <w:r w:rsidR="009431CD" w:rsidRPr="00B13602">
        <w:rPr>
          <w:noProof/>
        </w:rPr>
        <w:t>ьої</w:t>
      </w:r>
      <w:r w:rsidR="002F200F" w:rsidRPr="00B13602">
        <w:rPr>
          <w:noProof/>
        </w:rPr>
        <w:t xml:space="preserve"> </w:t>
      </w:r>
      <w:r w:rsidR="00E81D91" w:rsidRPr="00B13602">
        <w:rPr>
          <w:noProof/>
        </w:rPr>
        <w:t>державн</w:t>
      </w:r>
      <w:r w:rsidR="009431CD" w:rsidRPr="00B13602">
        <w:rPr>
          <w:noProof/>
        </w:rPr>
        <w:t>ої</w:t>
      </w:r>
      <w:r w:rsidR="00E81D91" w:rsidRPr="00B13602">
        <w:rPr>
          <w:noProof/>
        </w:rPr>
        <w:t xml:space="preserve"> позик</w:t>
      </w:r>
      <w:r w:rsidR="009431CD" w:rsidRPr="00B13602">
        <w:rPr>
          <w:noProof/>
        </w:rPr>
        <w:t>и</w:t>
      </w:r>
      <w:r w:rsidR="00DF4070" w:rsidRPr="00B13602">
        <w:rPr>
          <w:noProof/>
        </w:rPr>
        <w:t xml:space="preserve"> (далі – ОВДП)</w:t>
      </w:r>
      <w:r w:rsidR="00B10EE0" w:rsidRPr="00B13602">
        <w:rPr>
          <w:noProof/>
        </w:rPr>
        <w:t xml:space="preserve"> </w:t>
      </w:r>
      <w:r w:rsidR="00A36E17" w:rsidRPr="00B13602">
        <w:rPr>
          <w:noProof/>
        </w:rPr>
        <w:t xml:space="preserve">з </w:t>
      </w:r>
      <w:r w:rsidR="00114D5E" w:rsidRPr="00B13602">
        <w:t>м</w:t>
      </w:r>
      <w:r w:rsidR="00114D5E" w:rsidRPr="00B13602">
        <w:rPr>
          <w:noProof/>
        </w:rPr>
        <w:t>іжнародним ідентифікаційн</w:t>
      </w:r>
      <w:r w:rsidR="00114D5E" w:rsidRPr="00431069">
        <w:rPr>
          <w:noProof/>
        </w:rPr>
        <w:t>им номер</w:t>
      </w:r>
      <w:r w:rsidR="0056779B" w:rsidRPr="00431069">
        <w:rPr>
          <w:noProof/>
        </w:rPr>
        <w:t>ом</w:t>
      </w:r>
      <w:r w:rsidR="00114D5E" w:rsidRPr="00431069">
        <w:rPr>
          <w:noProof/>
        </w:rPr>
        <w:t xml:space="preserve"> цінн</w:t>
      </w:r>
      <w:r w:rsidR="0056779B" w:rsidRPr="00431069">
        <w:rPr>
          <w:noProof/>
        </w:rPr>
        <w:t>ого</w:t>
      </w:r>
      <w:r w:rsidR="00114D5E" w:rsidRPr="00431069">
        <w:rPr>
          <w:noProof/>
        </w:rPr>
        <w:t xml:space="preserve"> папер</w:t>
      </w:r>
      <w:r w:rsidR="00DE3931">
        <w:rPr>
          <w:noProof/>
        </w:rPr>
        <w:t>а</w:t>
      </w:r>
      <w:r w:rsidR="00114D5E" w:rsidRPr="00431069">
        <w:rPr>
          <w:noProof/>
        </w:rPr>
        <w:t xml:space="preserve"> ISIN</w:t>
      </w:r>
      <w:r w:rsidR="009431CD" w:rsidRPr="00431069">
        <w:rPr>
          <w:noProof/>
        </w:rPr>
        <w:t xml:space="preserve"> </w:t>
      </w:r>
      <w:r w:rsidR="00C04238" w:rsidRPr="00431069">
        <w:rPr>
          <w:lang w:val="en-US"/>
        </w:rPr>
        <w:t>UA</w:t>
      </w:r>
      <w:r w:rsidR="00C04238" w:rsidRPr="00431069">
        <w:t>4000227045</w:t>
      </w:r>
      <w:r w:rsidR="009431CD" w:rsidRPr="00431069">
        <w:t xml:space="preserve"> </w:t>
      </w:r>
      <w:r w:rsidR="00DF4070" w:rsidRPr="00431069">
        <w:t>за умови, що вони перебувають</w:t>
      </w:r>
      <w:r w:rsidR="00DF4070" w:rsidRPr="00431069">
        <w:rPr>
          <w:sz w:val="26"/>
          <w:szCs w:val="26"/>
          <w:lang w:eastAsia="ru-RU"/>
        </w:rPr>
        <w:t xml:space="preserve"> </w:t>
      </w:r>
      <w:r w:rsidR="00DF4070" w:rsidRPr="00431069">
        <w:t>у власності банку та не обтяжені будь-якими зобов’язаннями</w:t>
      </w:r>
      <w:r w:rsidR="00C464C6" w:rsidRPr="00431069">
        <w:t>.</w:t>
      </w:r>
    </w:p>
    <w:p w14:paraId="4A04453A" w14:textId="47A1E136" w:rsidR="009C46FA" w:rsidRPr="00431069" w:rsidRDefault="00400784" w:rsidP="00930645">
      <w:pPr>
        <w:ind w:firstLine="567"/>
      </w:pPr>
      <w:r w:rsidRPr="00431069">
        <w:t>Сума ОВДП</w:t>
      </w:r>
      <w:r w:rsidR="009C46FA" w:rsidRPr="00431069">
        <w:t>,</w:t>
      </w:r>
      <w:r w:rsidRPr="00431069">
        <w:t xml:space="preserve"> що зараховується </w:t>
      </w:r>
      <w:r w:rsidR="00816077">
        <w:t>в</w:t>
      </w:r>
      <w:r w:rsidRPr="00431069">
        <w:t xml:space="preserve"> покриття обов’язкових резервів</w:t>
      </w:r>
      <w:r w:rsidR="008C2ABE" w:rsidRPr="00431069">
        <w:t xml:space="preserve"> </w:t>
      </w:r>
      <w:r w:rsidR="00DE3931">
        <w:t>у</w:t>
      </w:r>
      <w:r w:rsidR="00D56BBE" w:rsidRPr="00431069">
        <w:t xml:space="preserve"> періоди утримання, визначені в абзаці </w:t>
      </w:r>
      <w:r w:rsidR="00DC1160" w:rsidRPr="00431069">
        <w:t>першому</w:t>
      </w:r>
      <w:r w:rsidR="00D56BBE" w:rsidRPr="00431069">
        <w:t xml:space="preserve"> підпункту 5 пункту 1 цього рішення</w:t>
      </w:r>
      <w:r w:rsidR="009C46FA" w:rsidRPr="00431069">
        <w:t>:</w:t>
      </w:r>
    </w:p>
    <w:p w14:paraId="20E09E9C" w14:textId="367B3FB0" w:rsidR="002E10E2" w:rsidRPr="00431069" w:rsidRDefault="00400784" w:rsidP="00930645">
      <w:pPr>
        <w:ind w:firstLine="567"/>
      </w:pPr>
      <w:r w:rsidRPr="00431069">
        <w:t>визначається як середньоарифметичн</w:t>
      </w:r>
      <w:r w:rsidR="002E10E2" w:rsidRPr="00431069">
        <w:t>е</w:t>
      </w:r>
      <w:r w:rsidRPr="00431069">
        <w:t xml:space="preserve"> значення </w:t>
      </w:r>
      <w:r w:rsidR="009C46FA" w:rsidRPr="00431069">
        <w:t xml:space="preserve">сум </w:t>
      </w:r>
      <w:r w:rsidRPr="00431069">
        <w:t xml:space="preserve">залишків </w:t>
      </w:r>
      <w:r w:rsidR="002E10E2" w:rsidRPr="00431069">
        <w:t>ОВДП</w:t>
      </w:r>
      <w:r w:rsidRPr="00431069">
        <w:t xml:space="preserve">, </w:t>
      </w:r>
      <w:r w:rsidR="009C46FA" w:rsidRPr="00431069">
        <w:t xml:space="preserve">визначених в абзаці </w:t>
      </w:r>
      <w:r w:rsidR="00DC1160" w:rsidRPr="00431069">
        <w:t>першому</w:t>
      </w:r>
      <w:r w:rsidR="009C46FA" w:rsidRPr="00431069">
        <w:t xml:space="preserve"> підпункту 5 пункту 1 цього рішення</w:t>
      </w:r>
      <w:r w:rsidR="002E10E2" w:rsidRPr="00431069">
        <w:t>, за кожний день періоду утримання;</w:t>
      </w:r>
    </w:p>
    <w:p w14:paraId="643186A9" w14:textId="31470553" w:rsidR="009C46FA" w:rsidRPr="00431069" w:rsidRDefault="002E10E2" w:rsidP="00431069">
      <w:pPr>
        <w:spacing w:after="120"/>
        <w:ind w:firstLine="567"/>
      </w:pPr>
      <w:r w:rsidRPr="00431069">
        <w:t xml:space="preserve">не може </w:t>
      </w:r>
      <w:r w:rsidR="00470BDE" w:rsidRPr="00431069">
        <w:t>покривати більше</w:t>
      </w:r>
      <w:r w:rsidRPr="00431069">
        <w:t xml:space="preserve"> </w:t>
      </w:r>
      <w:r w:rsidR="00D56BBE" w:rsidRPr="00431069">
        <w:t>5</w:t>
      </w:r>
      <w:r w:rsidRPr="00431069">
        <w:t>0</w:t>
      </w:r>
      <w:r w:rsidR="009C46FA" w:rsidRPr="00431069">
        <w:t xml:space="preserve">% від </w:t>
      </w:r>
      <w:r w:rsidRPr="00431069">
        <w:t>суми коштів обов’язкових резервів згідно з установленими нормативами (резервної бази) для відповідного періоду утримання</w:t>
      </w:r>
      <w:r w:rsidR="006F3A99" w:rsidRPr="00431069">
        <w:t>;</w:t>
      </w:r>
    </w:p>
    <w:p w14:paraId="76EABAAE" w14:textId="294AE58B" w:rsidR="008126F3" w:rsidRPr="00431069" w:rsidRDefault="00240399" w:rsidP="00431069">
      <w:pPr>
        <w:spacing w:before="240" w:after="120"/>
        <w:ind w:firstLine="567"/>
      </w:pPr>
      <w:r>
        <w:lastRenderedPageBreak/>
        <w:t>6</w:t>
      </w:r>
      <w:r w:rsidR="008126F3" w:rsidRPr="00431069">
        <w:t xml:space="preserve">) </w:t>
      </w:r>
      <w:r w:rsidR="00DC1160" w:rsidRPr="00431069">
        <w:t>б</w:t>
      </w:r>
      <w:r w:rsidR="00F26DB8" w:rsidRPr="00431069">
        <w:t xml:space="preserve">анки розраховують суму ОВДП, що зараховується </w:t>
      </w:r>
      <w:r w:rsidR="00165C7D">
        <w:t>в</w:t>
      </w:r>
      <w:r w:rsidR="00F26DB8" w:rsidRPr="00431069">
        <w:t xml:space="preserve"> покриття обов’язкових резервів, а також показники, що розраховуються з її використанням, один раз </w:t>
      </w:r>
      <w:r w:rsidR="00165C7D">
        <w:t>у</w:t>
      </w:r>
      <w:r w:rsidR="00F26DB8" w:rsidRPr="00431069">
        <w:t xml:space="preserve"> кінці періоду утримання як середньоарифметичне значення. Щоденний розрахунок та контроль за сумою ОВДП, що зараховується </w:t>
      </w:r>
      <w:r w:rsidR="004607C2">
        <w:t>в</w:t>
      </w:r>
      <w:r w:rsidR="00F26DB8" w:rsidRPr="00431069">
        <w:t xml:space="preserve"> покриття обов’язкових резервів</w:t>
      </w:r>
      <w:r w:rsidR="004607C2">
        <w:t>,</w:t>
      </w:r>
      <w:r w:rsidR="00F26DB8" w:rsidRPr="00431069">
        <w:t xml:space="preserve"> та показниками, які розраховуються з її використанням, не здійсню</w:t>
      </w:r>
      <w:r w:rsidR="004607C2">
        <w:t>ю</w:t>
      </w:r>
      <w:r w:rsidR="00F26DB8" w:rsidRPr="00431069">
        <w:t>ться</w:t>
      </w:r>
      <w:r w:rsidR="004607C2">
        <w:t>.</w:t>
      </w:r>
      <w:r w:rsidR="00B204A8" w:rsidRPr="00431069">
        <w:rPr>
          <w:lang w:val="ru-RU"/>
        </w:rPr>
        <w:t>”</w:t>
      </w:r>
      <w:r w:rsidR="008126F3" w:rsidRPr="00431069">
        <w:t>.</w:t>
      </w:r>
    </w:p>
    <w:p w14:paraId="2EF54631" w14:textId="77777777" w:rsidR="00374702" w:rsidRPr="00431069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431069">
        <w:rPr>
          <w:rFonts w:eastAsiaTheme="minorEastAsia"/>
          <w:noProof/>
          <w:lang w:eastAsia="en-US"/>
        </w:rPr>
        <w:t>2</w:t>
      </w:r>
      <w:r w:rsidR="00D75789" w:rsidRPr="00431069">
        <w:rPr>
          <w:rFonts w:eastAsiaTheme="minorEastAsia"/>
          <w:noProof/>
          <w:lang w:eastAsia="en-US"/>
        </w:rPr>
        <w:t>.</w:t>
      </w:r>
      <w:r w:rsidR="00D75789" w:rsidRPr="00431069">
        <w:rPr>
          <w:rFonts w:eastAsiaTheme="minorEastAsia"/>
          <w:noProof/>
          <w:lang w:val="en-US" w:eastAsia="en-US"/>
        </w:rPr>
        <w:t> </w:t>
      </w:r>
      <w:r w:rsidRPr="00431069">
        <w:rPr>
          <w:lang w:eastAsia="ru-RU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431069">
        <w:rPr>
          <w:noProof/>
        </w:rPr>
        <w:t>.</w:t>
      </w:r>
    </w:p>
    <w:p w14:paraId="1B29091A" w14:textId="77777777" w:rsidR="00CF28B4" w:rsidRPr="00431069" w:rsidRDefault="00CF28B4" w:rsidP="00431069">
      <w:pPr>
        <w:pStyle w:val="af3"/>
        <w:spacing w:before="240" w:after="120"/>
        <w:ind w:left="0" w:firstLine="567"/>
        <w:contextualSpacing w:val="0"/>
        <w:rPr>
          <w:noProof/>
          <w:lang w:val="ru-RU"/>
        </w:rPr>
      </w:pPr>
      <w:r w:rsidRPr="00431069">
        <w:rPr>
          <w:rFonts w:eastAsiaTheme="minorEastAsia"/>
          <w:noProof/>
          <w:lang w:val="ru-RU" w:eastAsia="en-US"/>
        </w:rPr>
        <w:t>3</w:t>
      </w:r>
      <w:r w:rsidR="006215C8" w:rsidRPr="00431069">
        <w:rPr>
          <w:rFonts w:eastAsiaTheme="minorEastAsia"/>
          <w:noProof/>
          <w:lang w:eastAsia="en-US"/>
        </w:rPr>
        <w:t>.</w:t>
      </w:r>
      <w:r w:rsidRPr="00431069">
        <w:rPr>
          <w:rFonts w:eastAsiaTheme="minorEastAsia"/>
          <w:noProof/>
          <w:lang w:val="ru-RU" w:eastAsia="en-US"/>
        </w:rPr>
        <w:t xml:space="preserve"> </w:t>
      </w:r>
      <w:r w:rsidRPr="00431069">
        <w:rPr>
          <w:noProof/>
        </w:rPr>
        <w:t>Контроль за виконанням цього рішення покласти на заступника Голови Національного банку України Юрія Гелетія</w:t>
      </w:r>
      <w:r w:rsidRPr="00431069">
        <w:rPr>
          <w:noProof/>
          <w:lang w:val="ru-RU"/>
        </w:rPr>
        <w:t>.</w:t>
      </w:r>
    </w:p>
    <w:p w14:paraId="3E36E64D" w14:textId="77777777" w:rsidR="00DF771C" w:rsidRPr="00431069" w:rsidRDefault="00CF28B4" w:rsidP="00431069">
      <w:pPr>
        <w:spacing w:before="240" w:after="120"/>
        <w:ind w:firstLine="567"/>
      </w:pPr>
      <w:r w:rsidRPr="00431069">
        <w:t xml:space="preserve">4. Рішення набирає чинності з </w:t>
      </w:r>
      <w:r w:rsidR="00E56512" w:rsidRPr="00431069">
        <w:t>10</w:t>
      </w:r>
      <w:r w:rsidRPr="00431069">
        <w:t xml:space="preserve"> </w:t>
      </w:r>
      <w:r w:rsidR="00E56512" w:rsidRPr="00431069">
        <w:t>січня</w:t>
      </w:r>
      <w:r w:rsidRPr="00431069">
        <w:t xml:space="preserve"> 202</w:t>
      </w:r>
      <w:r w:rsidR="00E56512" w:rsidRPr="00431069">
        <w:t>3</w:t>
      </w:r>
      <w:r w:rsidRPr="00431069">
        <w:t xml:space="preserve"> року.</w:t>
      </w:r>
    </w:p>
    <w:p w14:paraId="5B2DEFDD" w14:textId="0BF41C83" w:rsidR="008126F3" w:rsidRDefault="008126F3" w:rsidP="00634C0C">
      <w:pPr>
        <w:pStyle w:val="af3"/>
        <w:spacing w:before="240" w:after="120"/>
        <w:ind w:left="0" w:firstLine="567"/>
        <w:contextualSpacing w:val="0"/>
        <w:rPr>
          <w:lang w:eastAsia="ru-RU"/>
        </w:rPr>
      </w:pPr>
    </w:p>
    <w:p w14:paraId="2EF69539" w14:textId="77777777" w:rsidR="004607C2" w:rsidRPr="00431069" w:rsidRDefault="004607C2" w:rsidP="00634C0C">
      <w:pPr>
        <w:pStyle w:val="af3"/>
        <w:spacing w:before="240" w:after="120"/>
        <w:ind w:left="0" w:firstLine="567"/>
        <w:contextualSpacing w:val="0"/>
        <w:rPr>
          <w:lang w:eastAsia="ru-RU"/>
        </w:rPr>
      </w:pP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14:paraId="02CB89EC" w14:textId="77777777" w:rsidTr="00DC6DA9">
        <w:tc>
          <w:tcPr>
            <w:tcW w:w="5495" w:type="dxa"/>
            <w:vAlign w:val="bottom"/>
            <w:hideMark/>
          </w:tcPr>
          <w:p w14:paraId="1F773808" w14:textId="77777777" w:rsidR="00DF771C" w:rsidRPr="00D468E1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Голов</w:t>
            </w:r>
            <w:r w:rsidR="008126F3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14:paraId="3BAD4F64" w14:textId="77777777" w:rsidR="00DF771C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Андрій</w:t>
            </w:r>
            <w:r w:rsidR="00A873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ПИШНИЙ</w:t>
            </w:r>
          </w:p>
        </w:tc>
      </w:tr>
    </w:tbl>
    <w:p w14:paraId="5576C700" w14:textId="77777777" w:rsidR="008B1A65" w:rsidRPr="00487BC2" w:rsidRDefault="008B1A65" w:rsidP="00FA508E">
      <w:pPr>
        <w:jc w:val="left"/>
        <w:rPr>
          <w:noProof/>
        </w:rPr>
      </w:pPr>
    </w:p>
    <w:p w14:paraId="48BD218B" w14:textId="77777777" w:rsidR="00522EA4" w:rsidRDefault="00FA508E" w:rsidP="00DC6DA9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CF28B4">
        <w:rPr>
          <w:noProof/>
        </w:rPr>
        <w:t>40</w:t>
      </w:r>
    </w:p>
    <w:sectPr w:rsidR="00522EA4" w:rsidSect="00431069">
      <w:headerReference w:type="default" r:id="rId14"/>
      <w:footerReference w:type="first" r:id="rId15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6FBB" w14:textId="77777777" w:rsidR="000B2998" w:rsidRDefault="000B2998" w:rsidP="00E53CCD">
      <w:r>
        <w:separator/>
      </w:r>
    </w:p>
  </w:endnote>
  <w:endnote w:type="continuationSeparator" w:id="0">
    <w:p w14:paraId="65DCDC7A" w14:textId="77777777" w:rsidR="000B2998" w:rsidRDefault="000B299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E86C2" w14:textId="77777777"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1C01" w14:textId="77777777" w:rsidR="000B2998" w:rsidRDefault="000B2998" w:rsidP="00E53CCD">
      <w:r>
        <w:separator/>
      </w:r>
    </w:p>
  </w:footnote>
  <w:footnote w:type="continuationSeparator" w:id="0">
    <w:p w14:paraId="1DF449D2" w14:textId="77777777" w:rsidR="000B2998" w:rsidRDefault="000B299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6CD90F9F" w14:textId="421FDB20"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6C">
          <w:rPr>
            <w:noProof/>
          </w:rPr>
          <w:t>2</w:t>
        </w:r>
        <w:r>
          <w:fldChar w:fldCharType="end"/>
        </w:r>
      </w:p>
    </w:sdtContent>
  </w:sdt>
  <w:p w14:paraId="5E392971" w14:textId="77777777"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070C"/>
    <w:rsid w:val="00015CF3"/>
    <w:rsid w:val="00015FDE"/>
    <w:rsid w:val="00024B85"/>
    <w:rsid w:val="0003331E"/>
    <w:rsid w:val="000342A5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94FE2"/>
    <w:rsid w:val="000A724C"/>
    <w:rsid w:val="000B2990"/>
    <w:rsid w:val="000B2998"/>
    <w:rsid w:val="000B7412"/>
    <w:rsid w:val="000C16C4"/>
    <w:rsid w:val="000C38C9"/>
    <w:rsid w:val="000D778F"/>
    <w:rsid w:val="000E0CB3"/>
    <w:rsid w:val="000E5B8C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22F9"/>
    <w:rsid w:val="001A0EE5"/>
    <w:rsid w:val="001A16FA"/>
    <w:rsid w:val="001A4CB9"/>
    <w:rsid w:val="001A6795"/>
    <w:rsid w:val="001B133E"/>
    <w:rsid w:val="001C206C"/>
    <w:rsid w:val="001C5904"/>
    <w:rsid w:val="001D3AC1"/>
    <w:rsid w:val="001D4193"/>
    <w:rsid w:val="001D487A"/>
    <w:rsid w:val="0022003C"/>
    <w:rsid w:val="00222E2D"/>
    <w:rsid w:val="002238D1"/>
    <w:rsid w:val="00237414"/>
    <w:rsid w:val="00240399"/>
    <w:rsid w:val="00241373"/>
    <w:rsid w:val="00253BF9"/>
    <w:rsid w:val="00264983"/>
    <w:rsid w:val="00264ECA"/>
    <w:rsid w:val="00266678"/>
    <w:rsid w:val="00276988"/>
    <w:rsid w:val="00280DCC"/>
    <w:rsid w:val="00285DDA"/>
    <w:rsid w:val="00290F65"/>
    <w:rsid w:val="002911B1"/>
    <w:rsid w:val="002B351E"/>
    <w:rsid w:val="002B3F71"/>
    <w:rsid w:val="002B582B"/>
    <w:rsid w:val="002C1FDB"/>
    <w:rsid w:val="002C2894"/>
    <w:rsid w:val="002D1790"/>
    <w:rsid w:val="002E10E2"/>
    <w:rsid w:val="002E50B3"/>
    <w:rsid w:val="002F200F"/>
    <w:rsid w:val="002F48EF"/>
    <w:rsid w:val="00310982"/>
    <w:rsid w:val="00340D07"/>
    <w:rsid w:val="00345982"/>
    <w:rsid w:val="0035624F"/>
    <w:rsid w:val="00356E34"/>
    <w:rsid w:val="00357676"/>
    <w:rsid w:val="00363171"/>
    <w:rsid w:val="00374702"/>
    <w:rsid w:val="0038385E"/>
    <w:rsid w:val="00384F65"/>
    <w:rsid w:val="0039725C"/>
    <w:rsid w:val="003A751F"/>
    <w:rsid w:val="003B2A2B"/>
    <w:rsid w:val="003B580F"/>
    <w:rsid w:val="003C262D"/>
    <w:rsid w:val="003C3282"/>
    <w:rsid w:val="003C3985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30B9"/>
    <w:rsid w:val="004222C8"/>
    <w:rsid w:val="00423068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A1CFC"/>
    <w:rsid w:val="004A7F75"/>
    <w:rsid w:val="004B1FE9"/>
    <w:rsid w:val="004B5574"/>
    <w:rsid w:val="004C5CC3"/>
    <w:rsid w:val="004E22E2"/>
    <w:rsid w:val="004F2BC6"/>
    <w:rsid w:val="0050563F"/>
    <w:rsid w:val="00505B10"/>
    <w:rsid w:val="0051774A"/>
    <w:rsid w:val="00522EA4"/>
    <w:rsid w:val="00523C13"/>
    <w:rsid w:val="00523F5C"/>
    <w:rsid w:val="005251E9"/>
    <w:rsid w:val="005257C2"/>
    <w:rsid w:val="00526213"/>
    <w:rsid w:val="00532633"/>
    <w:rsid w:val="005403F1"/>
    <w:rsid w:val="00542533"/>
    <w:rsid w:val="005538D2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CBF"/>
    <w:rsid w:val="005D45F5"/>
    <w:rsid w:val="005E3FA8"/>
    <w:rsid w:val="005E6C19"/>
    <w:rsid w:val="005F3F37"/>
    <w:rsid w:val="005F4CB4"/>
    <w:rsid w:val="005F6063"/>
    <w:rsid w:val="006215C8"/>
    <w:rsid w:val="00624863"/>
    <w:rsid w:val="00634C0C"/>
    <w:rsid w:val="00640612"/>
    <w:rsid w:val="0064227D"/>
    <w:rsid w:val="0065179F"/>
    <w:rsid w:val="00655B04"/>
    <w:rsid w:val="00662BCA"/>
    <w:rsid w:val="00670C95"/>
    <w:rsid w:val="006754CA"/>
    <w:rsid w:val="00686B35"/>
    <w:rsid w:val="006925CE"/>
    <w:rsid w:val="00692C8C"/>
    <w:rsid w:val="006938E4"/>
    <w:rsid w:val="00695769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1310"/>
    <w:rsid w:val="006E2BEE"/>
    <w:rsid w:val="006E4BE7"/>
    <w:rsid w:val="006F06FF"/>
    <w:rsid w:val="006F3A99"/>
    <w:rsid w:val="00700AA3"/>
    <w:rsid w:val="00705009"/>
    <w:rsid w:val="007114A5"/>
    <w:rsid w:val="0071789F"/>
    <w:rsid w:val="00730088"/>
    <w:rsid w:val="00751BA7"/>
    <w:rsid w:val="007541F0"/>
    <w:rsid w:val="00773E53"/>
    <w:rsid w:val="0078127A"/>
    <w:rsid w:val="00783AF2"/>
    <w:rsid w:val="00786D71"/>
    <w:rsid w:val="00790F52"/>
    <w:rsid w:val="007954C3"/>
    <w:rsid w:val="007A1752"/>
    <w:rsid w:val="007A6609"/>
    <w:rsid w:val="007A7FDF"/>
    <w:rsid w:val="007B59C0"/>
    <w:rsid w:val="007B5D46"/>
    <w:rsid w:val="007C2CED"/>
    <w:rsid w:val="007D1C2C"/>
    <w:rsid w:val="007F7829"/>
    <w:rsid w:val="008020FB"/>
    <w:rsid w:val="00802988"/>
    <w:rsid w:val="008126F3"/>
    <w:rsid w:val="00816077"/>
    <w:rsid w:val="0082142C"/>
    <w:rsid w:val="008244E7"/>
    <w:rsid w:val="00830AA2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C2ABE"/>
    <w:rsid w:val="008C6C38"/>
    <w:rsid w:val="008D10FD"/>
    <w:rsid w:val="008D122F"/>
    <w:rsid w:val="008D4AB1"/>
    <w:rsid w:val="008D5F60"/>
    <w:rsid w:val="008D727F"/>
    <w:rsid w:val="008E20BB"/>
    <w:rsid w:val="008E26E9"/>
    <w:rsid w:val="008F0210"/>
    <w:rsid w:val="008F2600"/>
    <w:rsid w:val="008F5D52"/>
    <w:rsid w:val="008F5FEC"/>
    <w:rsid w:val="008F68C1"/>
    <w:rsid w:val="00904F17"/>
    <w:rsid w:val="009141BB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207E"/>
    <w:rsid w:val="009A77B8"/>
    <w:rsid w:val="009B6120"/>
    <w:rsid w:val="009C0C9E"/>
    <w:rsid w:val="009C2F76"/>
    <w:rsid w:val="009C46FA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A3F6C"/>
    <w:rsid w:val="00AB4554"/>
    <w:rsid w:val="00AB6481"/>
    <w:rsid w:val="00AC47B6"/>
    <w:rsid w:val="00AD0504"/>
    <w:rsid w:val="00AD585F"/>
    <w:rsid w:val="00AE2CAF"/>
    <w:rsid w:val="00AE7114"/>
    <w:rsid w:val="00AE7877"/>
    <w:rsid w:val="00AF33D9"/>
    <w:rsid w:val="00B10EE0"/>
    <w:rsid w:val="00B13602"/>
    <w:rsid w:val="00B204A8"/>
    <w:rsid w:val="00B332B2"/>
    <w:rsid w:val="00B34CCC"/>
    <w:rsid w:val="00B34FF5"/>
    <w:rsid w:val="00B36EC7"/>
    <w:rsid w:val="00B36EDD"/>
    <w:rsid w:val="00B50FCE"/>
    <w:rsid w:val="00B628C5"/>
    <w:rsid w:val="00B65C0C"/>
    <w:rsid w:val="00B71933"/>
    <w:rsid w:val="00B73228"/>
    <w:rsid w:val="00B8078D"/>
    <w:rsid w:val="00B900E9"/>
    <w:rsid w:val="00B91F16"/>
    <w:rsid w:val="00BA6257"/>
    <w:rsid w:val="00BC128A"/>
    <w:rsid w:val="00BC41DB"/>
    <w:rsid w:val="00BD12A3"/>
    <w:rsid w:val="00BD25A1"/>
    <w:rsid w:val="00BD5917"/>
    <w:rsid w:val="00BE3252"/>
    <w:rsid w:val="00BF47B0"/>
    <w:rsid w:val="00BF5224"/>
    <w:rsid w:val="00BF5327"/>
    <w:rsid w:val="00BF5CE6"/>
    <w:rsid w:val="00C04238"/>
    <w:rsid w:val="00C20B58"/>
    <w:rsid w:val="00C21213"/>
    <w:rsid w:val="00C21D33"/>
    <w:rsid w:val="00C32E1D"/>
    <w:rsid w:val="00C37498"/>
    <w:rsid w:val="00C4377C"/>
    <w:rsid w:val="00C464C6"/>
    <w:rsid w:val="00C46F29"/>
    <w:rsid w:val="00C47F0F"/>
    <w:rsid w:val="00C5099B"/>
    <w:rsid w:val="00C51D84"/>
    <w:rsid w:val="00C52506"/>
    <w:rsid w:val="00C7167B"/>
    <w:rsid w:val="00C74A5C"/>
    <w:rsid w:val="00C82259"/>
    <w:rsid w:val="00C94014"/>
    <w:rsid w:val="00C952A9"/>
    <w:rsid w:val="00C95981"/>
    <w:rsid w:val="00CA003A"/>
    <w:rsid w:val="00CA174B"/>
    <w:rsid w:val="00CA6D25"/>
    <w:rsid w:val="00CB0A99"/>
    <w:rsid w:val="00CB66C8"/>
    <w:rsid w:val="00CC3E16"/>
    <w:rsid w:val="00CE2A6D"/>
    <w:rsid w:val="00CE3B9F"/>
    <w:rsid w:val="00CE6283"/>
    <w:rsid w:val="00CF0054"/>
    <w:rsid w:val="00CF28B4"/>
    <w:rsid w:val="00CF2C65"/>
    <w:rsid w:val="00D00D4F"/>
    <w:rsid w:val="00D00F03"/>
    <w:rsid w:val="00D0243F"/>
    <w:rsid w:val="00D1605E"/>
    <w:rsid w:val="00D23C19"/>
    <w:rsid w:val="00D34DCC"/>
    <w:rsid w:val="00D37F10"/>
    <w:rsid w:val="00D4209C"/>
    <w:rsid w:val="00D465E2"/>
    <w:rsid w:val="00D46665"/>
    <w:rsid w:val="00D468E1"/>
    <w:rsid w:val="00D56BBE"/>
    <w:rsid w:val="00D7077A"/>
    <w:rsid w:val="00D75789"/>
    <w:rsid w:val="00D85491"/>
    <w:rsid w:val="00DA001F"/>
    <w:rsid w:val="00DB3B97"/>
    <w:rsid w:val="00DB7764"/>
    <w:rsid w:val="00DC1160"/>
    <w:rsid w:val="00DC1E60"/>
    <w:rsid w:val="00DC3111"/>
    <w:rsid w:val="00DC6DA9"/>
    <w:rsid w:val="00DD1AC3"/>
    <w:rsid w:val="00DD60CC"/>
    <w:rsid w:val="00DE3931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94E17"/>
    <w:rsid w:val="00E96B53"/>
    <w:rsid w:val="00EA1DE4"/>
    <w:rsid w:val="00EA60EA"/>
    <w:rsid w:val="00EB29BF"/>
    <w:rsid w:val="00EB3662"/>
    <w:rsid w:val="00EC358D"/>
    <w:rsid w:val="00EC4B8B"/>
    <w:rsid w:val="00EC5597"/>
    <w:rsid w:val="00EF2367"/>
    <w:rsid w:val="00EF3001"/>
    <w:rsid w:val="00EF4AF2"/>
    <w:rsid w:val="00F003D3"/>
    <w:rsid w:val="00F008AB"/>
    <w:rsid w:val="00F03E32"/>
    <w:rsid w:val="00F05177"/>
    <w:rsid w:val="00F12875"/>
    <w:rsid w:val="00F12D3F"/>
    <w:rsid w:val="00F16935"/>
    <w:rsid w:val="00F26DB8"/>
    <w:rsid w:val="00F42E75"/>
    <w:rsid w:val="00F517FA"/>
    <w:rsid w:val="00F52D16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DD2C7D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7C36989-FCF5-4045-A334-247BB7A1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3</cp:revision>
  <cp:lastPrinted>2023-01-03T09:56:00Z</cp:lastPrinted>
  <dcterms:created xsi:type="dcterms:W3CDTF">2023-01-05T11:10:00Z</dcterms:created>
  <dcterms:modified xsi:type="dcterms:W3CDTF">2023-01-06T08:19:00Z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