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A785E" w14:textId="7ED86DB7" w:rsidR="008638BB" w:rsidRPr="008638BB" w:rsidRDefault="008638BB" w:rsidP="008638BB">
      <w:pPr>
        <w:jc w:val="right"/>
        <w:rPr>
          <w:sz w:val="24"/>
          <w:szCs w:val="24"/>
        </w:rPr>
      </w:pPr>
      <w:r>
        <w:rPr>
          <w:sz w:val="24"/>
          <w:szCs w:val="24"/>
        </w:rPr>
        <w:t xml:space="preserve">Офіційно опубліковано </w:t>
      </w:r>
      <w:r w:rsidRPr="00A43919">
        <w:rPr>
          <w:sz w:val="24"/>
          <w:szCs w:val="24"/>
          <w:lang w:val="en-US"/>
        </w:rPr>
        <w:t>0</w:t>
      </w:r>
      <w:r w:rsidR="00A43919" w:rsidRPr="00A43919">
        <w:rPr>
          <w:sz w:val="24"/>
          <w:szCs w:val="24"/>
        </w:rPr>
        <w:t>8</w:t>
      </w:r>
      <w:r w:rsidRPr="00A43919">
        <w:rPr>
          <w:sz w:val="24"/>
          <w:szCs w:val="24"/>
        </w:rPr>
        <w:t>.</w:t>
      </w:r>
      <w:r w:rsidRPr="00A43919">
        <w:rPr>
          <w:sz w:val="24"/>
          <w:szCs w:val="24"/>
          <w:lang w:val="en-US"/>
        </w:rPr>
        <w:t>01</w:t>
      </w:r>
      <w:r w:rsidRPr="00A43919">
        <w:rPr>
          <w:sz w:val="24"/>
          <w:szCs w:val="24"/>
        </w:rPr>
        <w:t>.202</w:t>
      </w:r>
      <w:r w:rsidRPr="00A43919">
        <w:rPr>
          <w:sz w:val="24"/>
          <w:szCs w:val="24"/>
          <w:lang w:val="en-US"/>
        </w:rPr>
        <w:t>4</w:t>
      </w:r>
    </w:p>
    <w:p w14:paraId="32B2F6B9" w14:textId="77777777" w:rsidR="00FA7846" w:rsidRPr="002D1B07" w:rsidRDefault="00FA7846" w:rsidP="00FA7846">
      <w:pPr>
        <w:rPr>
          <w:sz w:val="2"/>
          <w:szCs w:val="2"/>
        </w:rPr>
      </w:pPr>
    </w:p>
    <w:p w14:paraId="01AE50EB" w14:textId="77777777" w:rsidR="00657593" w:rsidRPr="00566BA2" w:rsidRDefault="00657593" w:rsidP="00657593">
      <w:pPr>
        <w:rPr>
          <w:sz w:val="2"/>
          <w:szCs w:val="2"/>
          <w:lang w:val="en-US"/>
        </w:rPr>
      </w:pPr>
    </w:p>
    <w:p w14:paraId="575BC995" w14:textId="4B2599F4" w:rsidR="00657593"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216"/>
        <w:gridCol w:w="2643"/>
        <w:gridCol w:w="368"/>
        <w:gridCol w:w="1312"/>
        <w:gridCol w:w="1892"/>
      </w:tblGrid>
      <w:tr w:rsidR="008638BB" w14:paraId="24C9F562" w14:textId="77777777" w:rsidTr="008638BB">
        <w:trPr>
          <w:trHeight w:val="851"/>
        </w:trPr>
        <w:tc>
          <w:tcPr>
            <w:tcW w:w="3207" w:type="dxa"/>
          </w:tcPr>
          <w:p w14:paraId="410B65F2" w14:textId="77777777" w:rsidR="008638BB" w:rsidRDefault="008638BB" w:rsidP="00351744"/>
        </w:tc>
        <w:tc>
          <w:tcPr>
            <w:tcW w:w="3227" w:type="dxa"/>
            <w:gridSpan w:val="3"/>
            <w:vMerge w:val="restart"/>
          </w:tcPr>
          <w:p w14:paraId="6D52B995" w14:textId="77777777" w:rsidR="008638BB" w:rsidRDefault="008638BB" w:rsidP="00351744">
            <w:pPr>
              <w:jc w:val="center"/>
            </w:pPr>
            <w:r>
              <w:object w:dxaOrig="1595" w:dyaOrig="2201" w14:anchorId="15B7A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46.75pt" o:ole="">
                  <v:imagedata r:id="rId12" o:title=""/>
                </v:shape>
                <o:OLEObject Type="Embed" ProgID="CorelDraw.Graphic.16" ShapeID="_x0000_i1025" DrawAspect="Content" ObjectID="_1766215124" r:id="rId13"/>
              </w:object>
            </w:r>
          </w:p>
        </w:tc>
        <w:tc>
          <w:tcPr>
            <w:tcW w:w="3204" w:type="dxa"/>
            <w:gridSpan w:val="2"/>
          </w:tcPr>
          <w:p w14:paraId="19A6885C" w14:textId="77777777" w:rsidR="008638BB" w:rsidRDefault="008638BB" w:rsidP="00351744"/>
        </w:tc>
      </w:tr>
      <w:tr w:rsidR="008638BB" w14:paraId="363CAD86" w14:textId="77777777" w:rsidTr="008638BB">
        <w:tc>
          <w:tcPr>
            <w:tcW w:w="3207" w:type="dxa"/>
          </w:tcPr>
          <w:p w14:paraId="72D780C6" w14:textId="77777777" w:rsidR="008638BB" w:rsidRDefault="008638BB" w:rsidP="00351744"/>
        </w:tc>
        <w:tc>
          <w:tcPr>
            <w:tcW w:w="3227" w:type="dxa"/>
            <w:gridSpan w:val="3"/>
            <w:vMerge/>
          </w:tcPr>
          <w:p w14:paraId="50741368" w14:textId="77777777" w:rsidR="008638BB" w:rsidRDefault="008638BB" w:rsidP="00351744"/>
        </w:tc>
        <w:tc>
          <w:tcPr>
            <w:tcW w:w="3204" w:type="dxa"/>
            <w:gridSpan w:val="2"/>
          </w:tcPr>
          <w:p w14:paraId="101950C7" w14:textId="77777777" w:rsidR="008638BB" w:rsidRDefault="008638BB" w:rsidP="00351744"/>
        </w:tc>
      </w:tr>
      <w:tr w:rsidR="008638BB" w14:paraId="7D3C60B9" w14:textId="77777777" w:rsidTr="008638BB">
        <w:tc>
          <w:tcPr>
            <w:tcW w:w="9638" w:type="dxa"/>
            <w:gridSpan w:val="6"/>
          </w:tcPr>
          <w:p w14:paraId="50D9AF3E" w14:textId="77777777" w:rsidR="008638BB" w:rsidRPr="00E10F0A" w:rsidRDefault="008638BB" w:rsidP="00351744">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4A24B4E4" w14:textId="77777777" w:rsidR="008638BB" w:rsidRDefault="008638BB" w:rsidP="00351744">
            <w:pPr>
              <w:jc w:val="center"/>
            </w:pPr>
            <w:r w:rsidRPr="00E10F0A">
              <w:rPr>
                <w:b/>
                <w:bCs/>
                <w:color w:val="006600"/>
                <w:sz w:val="32"/>
                <w:szCs w:val="32"/>
              </w:rPr>
              <w:t>П О С Т А Н О В А</w:t>
            </w:r>
          </w:p>
        </w:tc>
      </w:tr>
      <w:tr w:rsidR="00657593" w14:paraId="6AE0F1AB" w14:textId="77777777" w:rsidTr="008638BB">
        <w:tc>
          <w:tcPr>
            <w:tcW w:w="3423" w:type="dxa"/>
            <w:gridSpan w:val="2"/>
            <w:vAlign w:val="bottom"/>
          </w:tcPr>
          <w:p w14:paraId="77514C11" w14:textId="436B56DC" w:rsidR="00657593" w:rsidRPr="00A43919" w:rsidRDefault="00A43919" w:rsidP="000E1C3A">
            <w:r w:rsidRPr="00A43919">
              <w:t>05</w:t>
            </w:r>
            <w:r w:rsidR="000E1C3A" w:rsidRPr="00A43919">
              <w:t xml:space="preserve"> січня 2024 року</w:t>
            </w:r>
          </w:p>
        </w:tc>
        <w:tc>
          <w:tcPr>
            <w:tcW w:w="2643" w:type="dxa"/>
          </w:tcPr>
          <w:p w14:paraId="04E01A72" w14:textId="0C88AB82" w:rsidR="00657593" w:rsidRDefault="00657593" w:rsidP="00E62607">
            <w:pPr>
              <w:spacing w:before="240"/>
              <w:jc w:val="center"/>
            </w:pPr>
            <w:r w:rsidRPr="00E10F0A">
              <w:rPr>
                <w:color w:val="006600"/>
              </w:rPr>
              <w:t>Київ</w:t>
            </w:r>
          </w:p>
        </w:tc>
        <w:tc>
          <w:tcPr>
            <w:tcW w:w="1680" w:type="dxa"/>
            <w:gridSpan w:val="2"/>
            <w:vAlign w:val="bottom"/>
          </w:tcPr>
          <w:p w14:paraId="24633B0B" w14:textId="11E94B2D" w:rsidR="00657593" w:rsidRPr="008274C0" w:rsidRDefault="008274C0" w:rsidP="00E62607">
            <w:pPr>
              <w:jc w:val="right"/>
              <w:rPr>
                <w:lang w:val="en-US"/>
              </w:rPr>
            </w:pPr>
            <w:r w:rsidRPr="008274C0">
              <w:rPr>
                <w:color w:val="FFFFFF" w:themeColor="background1"/>
              </w:rPr>
              <w:t>№</w:t>
            </w:r>
          </w:p>
        </w:tc>
        <w:tc>
          <w:tcPr>
            <w:tcW w:w="1892" w:type="dxa"/>
            <w:vAlign w:val="bottom"/>
          </w:tcPr>
          <w:p w14:paraId="0DDCCE3F" w14:textId="6517F16D" w:rsidR="00657593" w:rsidRPr="00A43919" w:rsidRDefault="000E1C3A" w:rsidP="00290169">
            <w:pPr>
              <w:jc w:val="left"/>
            </w:pPr>
            <w:r w:rsidRPr="00A43919">
              <w:t>№ 2 </w:t>
            </w:r>
          </w:p>
        </w:tc>
      </w:tr>
    </w:tbl>
    <w:p w14:paraId="52A42275" w14:textId="77777777" w:rsidR="00657593" w:rsidRPr="00CD0CD4" w:rsidRDefault="00657593" w:rsidP="00657593">
      <w:pPr>
        <w:rPr>
          <w:sz w:val="2"/>
          <w:szCs w:val="2"/>
        </w:rPr>
      </w:pPr>
    </w:p>
    <w:tbl>
      <w:tblPr>
        <w:tblStyle w:val="a9"/>
        <w:tblW w:w="433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2B3F71" w:rsidRPr="00552B57" w14:paraId="32B2F6BC" w14:textId="77777777" w:rsidTr="00CF4CF3">
        <w:trPr>
          <w:jc w:val="center"/>
        </w:trPr>
        <w:tc>
          <w:tcPr>
            <w:tcW w:w="5000" w:type="pct"/>
          </w:tcPr>
          <w:p w14:paraId="72A7746C" w14:textId="77777777" w:rsidR="00E67213" w:rsidRPr="00D12A1E" w:rsidRDefault="00E67213" w:rsidP="00106229">
            <w:pPr>
              <w:tabs>
                <w:tab w:val="left" w:pos="840"/>
                <w:tab w:val="center" w:pos="3293"/>
              </w:tabs>
              <w:spacing w:before="240" w:after="240"/>
              <w:jc w:val="center"/>
              <w:rPr>
                <w:rFonts w:eastAsiaTheme="minorEastAsia"/>
                <w:sz w:val="16"/>
                <w:szCs w:val="16"/>
                <w:lang w:eastAsia="en-US"/>
              </w:rPr>
            </w:pPr>
          </w:p>
          <w:p w14:paraId="32B2F6BB" w14:textId="388AA255" w:rsidR="002B3F71" w:rsidRPr="00552B57" w:rsidRDefault="00943E53" w:rsidP="00953E12">
            <w:pPr>
              <w:tabs>
                <w:tab w:val="left" w:pos="840"/>
                <w:tab w:val="center" w:pos="3293"/>
              </w:tabs>
              <w:jc w:val="center"/>
              <w:rPr>
                <w:rFonts w:eastAsiaTheme="minorEastAsia"/>
                <w:color w:val="000000" w:themeColor="text1"/>
                <w:lang w:eastAsia="en-US"/>
              </w:rPr>
            </w:pPr>
            <w:r w:rsidRPr="00552B57">
              <w:t xml:space="preserve">Про </w:t>
            </w:r>
            <w:r w:rsidR="002E3670" w:rsidRPr="00552B57">
              <w:t>затвердження З</w:t>
            </w:r>
            <w:r w:rsidR="00CB1999" w:rsidRPr="00552B57">
              <w:t xml:space="preserve">мін до деяких нормативно-правових актів Національного банку України </w:t>
            </w:r>
          </w:p>
        </w:tc>
      </w:tr>
    </w:tbl>
    <w:p w14:paraId="14516820" w14:textId="77777777" w:rsidR="00531087" w:rsidRPr="00552B57" w:rsidRDefault="00531087" w:rsidP="009978B5">
      <w:pPr>
        <w:spacing w:before="120" w:after="120"/>
        <w:ind w:firstLine="709"/>
        <w:rPr>
          <w:rFonts w:eastAsiaTheme="minorEastAsia"/>
          <w:lang w:eastAsia="en-US"/>
        </w:rPr>
      </w:pPr>
    </w:p>
    <w:p w14:paraId="32B2F6BD" w14:textId="674AE676" w:rsidR="00E53CCD" w:rsidRPr="00551976" w:rsidRDefault="000C53A9" w:rsidP="006570A6">
      <w:pPr>
        <w:spacing w:before="120" w:after="240"/>
        <w:ind w:firstLine="709"/>
        <w:rPr>
          <w:b/>
        </w:rPr>
      </w:pPr>
      <w:r w:rsidRPr="00551976">
        <w:rPr>
          <w:rFonts w:eastAsiaTheme="minorEastAsia"/>
          <w:lang w:eastAsia="en-US"/>
        </w:rPr>
        <w:t>Відповідно до статей 7, 15, 55, 56</w:t>
      </w:r>
      <w:r w:rsidR="00C13C62" w:rsidRPr="00551976">
        <w:rPr>
          <w:rFonts w:eastAsiaTheme="minorEastAsia"/>
          <w:lang w:eastAsia="en-US"/>
        </w:rPr>
        <w:t>, 58</w:t>
      </w:r>
      <w:r w:rsidRPr="00551976">
        <w:rPr>
          <w:rFonts w:eastAsiaTheme="minorEastAsia"/>
          <w:lang w:eastAsia="en-US"/>
        </w:rPr>
        <w:t xml:space="preserve"> Закону України “Про Національний банк України”, статей </w:t>
      </w:r>
      <w:r w:rsidR="00C13C62" w:rsidRPr="00551976">
        <w:rPr>
          <w:rFonts w:eastAsiaTheme="minorEastAsia"/>
          <w:lang w:eastAsia="en-US"/>
        </w:rPr>
        <w:t xml:space="preserve">9, </w:t>
      </w:r>
      <w:r w:rsidRPr="00551976">
        <w:rPr>
          <w:rFonts w:eastAsiaTheme="minorEastAsia"/>
          <w:lang w:eastAsia="en-US"/>
        </w:rPr>
        <w:t>6</w:t>
      </w:r>
      <w:r w:rsidR="00C13C62" w:rsidRPr="00551976">
        <w:rPr>
          <w:rFonts w:eastAsiaTheme="minorEastAsia"/>
          <w:lang w:eastAsia="en-US"/>
        </w:rPr>
        <w:t>6, 67</w:t>
      </w:r>
      <w:r w:rsidRPr="00551976">
        <w:rPr>
          <w:rFonts w:eastAsiaTheme="minorEastAsia"/>
          <w:lang w:eastAsia="en-US"/>
        </w:rPr>
        <w:t xml:space="preserve"> Закону України “Про банки і банківську діяльність”, </w:t>
      </w:r>
      <w:r w:rsidR="00C13C62" w:rsidRPr="00551976">
        <w:rPr>
          <w:shd w:val="clear" w:color="auto" w:fill="FFFFFF"/>
        </w:rPr>
        <w:t>з метою</w:t>
      </w:r>
      <w:r w:rsidR="00AD0A7A" w:rsidRPr="00551976">
        <w:rPr>
          <w:shd w:val="clear" w:color="auto" w:fill="FFFFFF"/>
        </w:rPr>
        <w:t xml:space="preserve"> вдосконалення нормативно-правових актів </w:t>
      </w:r>
      <w:r w:rsidR="00F75E60" w:rsidRPr="00551976">
        <w:rPr>
          <w:shd w:val="clear" w:color="auto" w:fill="FFFFFF"/>
        </w:rPr>
        <w:t>Національного банку України</w:t>
      </w:r>
      <w:r w:rsidR="00AD0A7A" w:rsidRPr="00551976">
        <w:rPr>
          <w:shd w:val="clear" w:color="auto" w:fill="FFFFFF"/>
        </w:rPr>
        <w:t xml:space="preserve"> та подальшої імплементації положень </w:t>
      </w:r>
      <w:r w:rsidR="00F75E60" w:rsidRPr="00551976">
        <w:t xml:space="preserve">Регламенту Європейського Парламенту та Ради (ЄС) № 575/2013 від 26 червня 2013 року про пруденційні вимоги до кредитних </w:t>
      </w:r>
      <w:r w:rsidR="007A0B3C" w:rsidRPr="00551976">
        <w:t>установ та про внесення</w:t>
      </w:r>
      <w:r w:rsidR="00F75E60" w:rsidRPr="00551976">
        <w:t xml:space="preserve"> змін до Регламенту (ЄС) № 648/2012 (зі змінами)</w:t>
      </w:r>
      <w:r w:rsidR="008B1F3E" w:rsidRPr="00551976">
        <w:t xml:space="preserve"> щодо достатності ліквідності</w:t>
      </w:r>
      <w:r w:rsidR="00054C22" w:rsidRPr="00551976">
        <w:rPr>
          <w:shd w:val="clear" w:color="auto" w:fill="FFFFFF"/>
        </w:rPr>
        <w:t xml:space="preserve"> </w:t>
      </w:r>
      <w:r w:rsidR="00115ECF" w:rsidRPr="00551976">
        <w:t xml:space="preserve">Правління Національного банку </w:t>
      </w:r>
      <w:r w:rsidR="00562C46" w:rsidRPr="00551976">
        <w:t>України</w:t>
      </w:r>
      <w:r w:rsidR="00562C46" w:rsidRPr="00551976">
        <w:rPr>
          <w:b/>
        </w:rPr>
        <w:t xml:space="preserve"> </w:t>
      </w:r>
      <w:r w:rsidR="00FA508E" w:rsidRPr="00551976">
        <w:rPr>
          <w:b/>
        </w:rPr>
        <w:t>постановляє:</w:t>
      </w:r>
    </w:p>
    <w:p w14:paraId="5799932E" w14:textId="36CF2587" w:rsidR="0055591A" w:rsidRPr="00551976" w:rsidRDefault="007E0EEC" w:rsidP="007E0EEC">
      <w:pPr>
        <w:ind w:firstLine="709"/>
        <w:rPr>
          <w:rFonts w:eastAsiaTheme="minorEastAsia"/>
          <w:noProof/>
          <w:lang w:eastAsia="en-US"/>
        </w:rPr>
      </w:pPr>
      <w:r w:rsidRPr="00551976">
        <w:rPr>
          <w:rFonts w:eastAsiaTheme="minorEastAsia"/>
          <w:noProof/>
          <w:lang w:val="ru-RU" w:eastAsia="en-US"/>
        </w:rPr>
        <w:t>1.</w:t>
      </w:r>
      <w:r w:rsidRPr="00551976">
        <w:rPr>
          <w:rFonts w:eastAsiaTheme="minorEastAsia"/>
          <w:noProof/>
          <w:lang w:val="en-US" w:eastAsia="en-US"/>
        </w:rPr>
        <w:t> </w:t>
      </w:r>
      <w:r w:rsidR="00A04966" w:rsidRPr="00551976">
        <w:rPr>
          <w:rFonts w:eastAsiaTheme="minorEastAsia"/>
          <w:noProof/>
          <w:lang w:eastAsia="en-US"/>
        </w:rPr>
        <w:t>Затвердити Зміни до</w:t>
      </w:r>
      <w:r w:rsidR="0055591A" w:rsidRPr="00551976">
        <w:rPr>
          <w:rFonts w:eastAsiaTheme="minorEastAsia"/>
          <w:noProof/>
          <w:lang w:eastAsia="en-US"/>
        </w:rPr>
        <w:t>:</w:t>
      </w:r>
    </w:p>
    <w:p w14:paraId="58361921" w14:textId="77777777" w:rsidR="0055591A" w:rsidRPr="00551976" w:rsidRDefault="0055591A" w:rsidP="007E0EEC">
      <w:pPr>
        <w:pStyle w:val="af3"/>
        <w:ind w:left="0" w:firstLine="709"/>
        <w:rPr>
          <w:rFonts w:eastAsiaTheme="minorEastAsia"/>
          <w:noProof/>
          <w:lang w:eastAsia="en-US"/>
        </w:rPr>
      </w:pPr>
    </w:p>
    <w:p w14:paraId="250E0885" w14:textId="426F6A10" w:rsidR="005A1E63" w:rsidRPr="00551976" w:rsidRDefault="007E0EEC" w:rsidP="007E0EEC">
      <w:pPr>
        <w:ind w:firstLine="709"/>
        <w:rPr>
          <w:rFonts w:eastAsiaTheme="minorEastAsia"/>
          <w:noProof/>
          <w:lang w:eastAsia="en-US"/>
        </w:rPr>
      </w:pPr>
      <w:r w:rsidRPr="00551976">
        <w:rPr>
          <w:rFonts w:eastAsiaTheme="minorEastAsia"/>
          <w:noProof/>
          <w:lang w:val="ru-RU" w:eastAsia="en-US"/>
        </w:rPr>
        <w:t>1)</w:t>
      </w:r>
      <w:r w:rsidRPr="00551976">
        <w:rPr>
          <w:rFonts w:eastAsiaTheme="minorEastAsia"/>
          <w:noProof/>
          <w:lang w:val="en-US" w:eastAsia="en-US"/>
        </w:rPr>
        <w:t> </w:t>
      </w:r>
      <w:r w:rsidR="005A1E63" w:rsidRPr="00551976">
        <w:rPr>
          <w:rFonts w:eastAsiaTheme="minorEastAsia"/>
          <w:noProof/>
          <w:lang w:eastAsia="en-US"/>
        </w:rPr>
        <w:t>Інструкції про порядок регулювання діяльності банків в Україні, затвердженої постановою Правління Нац</w:t>
      </w:r>
      <w:r w:rsidR="00C5531F" w:rsidRPr="00551976">
        <w:rPr>
          <w:rFonts w:eastAsiaTheme="minorEastAsia"/>
          <w:noProof/>
          <w:lang w:eastAsia="en-US"/>
        </w:rPr>
        <w:t>іонального банку України від 28 серпня 2001 року № </w:t>
      </w:r>
      <w:r w:rsidR="005A1E63" w:rsidRPr="00551976">
        <w:rPr>
          <w:rFonts w:eastAsiaTheme="minorEastAsia"/>
          <w:noProof/>
          <w:lang w:eastAsia="en-US"/>
        </w:rPr>
        <w:t xml:space="preserve">368, зареєстрованої в </w:t>
      </w:r>
      <w:r w:rsidR="00882C95" w:rsidRPr="00551976">
        <w:rPr>
          <w:rFonts w:eastAsiaTheme="minorEastAsia"/>
          <w:noProof/>
          <w:lang w:eastAsia="en-US"/>
        </w:rPr>
        <w:t>Міністерстві юстиції України 26 </w:t>
      </w:r>
      <w:r w:rsidR="005A1E63" w:rsidRPr="00551976">
        <w:rPr>
          <w:rFonts w:eastAsiaTheme="minorEastAsia"/>
          <w:noProof/>
          <w:lang w:eastAsia="en-US"/>
        </w:rPr>
        <w:t>вересня 2001 року за № 841/6032 (зі змінами), що додаються</w:t>
      </w:r>
      <w:r w:rsidR="0055591A" w:rsidRPr="00551976">
        <w:rPr>
          <w:rFonts w:eastAsiaTheme="minorEastAsia"/>
          <w:noProof/>
          <w:lang w:eastAsia="en-US"/>
        </w:rPr>
        <w:t>;</w:t>
      </w:r>
    </w:p>
    <w:p w14:paraId="65756C4F" w14:textId="64AE582E" w:rsidR="00241666" w:rsidRPr="00551976" w:rsidRDefault="0055591A" w:rsidP="00FC57E9">
      <w:pPr>
        <w:spacing w:before="240" w:after="240"/>
        <w:ind w:firstLine="709"/>
        <w:rPr>
          <w:rFonts w:eastAsiaTheme="minorEastAsia"/>
          <w:noProof/>
          <w:lang w:eastAsia="en-US"/>
        </w:rPr>
      </w:pPr>
      <w:r w:rsidRPr="00551976">
        <w:rPr>
          <w:rFonts w:eastAsiaTheme="minorEastAsia"/>
          <w:noProof/>
          <w:lang w:eastAsia="en-US"/>
        </w:rPr>
        <w:t>2) Положення про порядок регулювання діяльності банківських груп, затвердженого постановою Правління Національного банку України від 20</w:t>
      </w:r>
      <w:r w:rsidR="00B85E0B" w:rsidRPr="00551976">
        <w:rPr>
          <w:rFonts w:eastAsiaTheme="minorEastAsia"/>
          <w:noProof/>
          <w:lang w:val="en-US" w:eastAsia="en-US"/>
        </w:rPr>
        <w:t> </w:t>
      </w:r>
      <w:r w:rsidRPr="00551976">
        <w:rPr>
          <w:rFonts w:eastAsiaTheme="minorEastAsia"/>
          <w:noProof/>
          <w:lang w:eastAsia="en-US"/>
        </w:rPr>
        <w:t>червня 2012 року №</w:t>
      </w:r>
      <w:r w:rsidRPr="00551976">
        <w:rPr>
          <w:shd w:val="clear" w:color="auto" w:fill="FFFFFF"/>
        </w:rPr>
        <w:t> </w:t>
      </w:r>
      <w:r w:rsidRPr="00551976">
        <w:rPr>
          <w:rFonts w:eastAsiaTheme="minorEastAsia"/>
          <w:noProof/>
          <w:lang w:eastAsia="en-US"/>
        </w:rPr>
        <w:t>254, зареєстрованого в Міністерстві юстиції України 12</w:t>
      </w:r>
      <w:r w:rsidR="00B85E0B" w:rsidRPr="00551976">
        <w:rPr>
          <w:rFonts w:eastAsiaTheme="minorEastAsia"/>
          <w:noProof/>
          <w:lang w:val="en-US" w:eastAsia="en-US"/>
        </w:rPr>
        <w:t> </w:t>
      </w:r>
      <w:r w:rsidRPr="00551976">
        <w:rPr>
          <w:rFonts w:eastAsiaTheme="minorEastAsia"/>
          <w:noProof/>
          <w:lang w:eastAsia="en-US"/>
        </w:rPr>
        <w:t>липня 2012 року за № 1178/21490 (зі змінами)</w:t>
      </w:r>
      <w:r w:rsidR="00E3494E" w:rsidRPr="00551976">
        <w:rPr>
          <w:rFonts w:eastAsiaTheme="minorEastAsia"/>
          <w:noProof/>
          <w:lang w:eastAsia="en-US"/>
        </w:rPr>
        <w:t xml:space="preserve"> (далі </w:t>
      </w:r>
      <w:r w:rsidR="00167772" w:rsidRPr="00551976">
        <w:rPr>
          <w:rFonts w:eastAsiaTheme="minorEastAsia"/>
          <w:noProof/>
          <w:lang w:eastAsia="en-US"/>
        </w:rPr>
        <w:t>–</w:t>
      </w:r>
      <w:r w:rsidR="00E3494E" w:rsidRPr="00551976">
        <w:rPr>
          <w:rFonts w:eastAsiaTheme="minorEastAsia"/>
          <w:noProof/>
          <w:lang w:eastAsia="en-US"/>
        </w:rPr>
        <w:t xml:space="preserve"> </w:t>
      </w:r>
      <w:r w:rsidR="00167772" w:rsidRPr="00551976">
        <w:rPr>
          <w:rFonts w:eastAsiaTheme="minorEastAsia"/>
          <w:noProof/>
          <w:lang w:eastAsia="en-US"/>
        </w:rPr>
        <w:t xml:space="preserve">Зміни </w:t>
      </w:r>
      <w:r w:rsidR="006430F8">
        <w:rPr>
          <w:rFonts w:eastAsiaTheme="minorEastAsia"/>
          <w:noProof/>
          <w:lang w:eastAsia="en-US"/>
        </w:rPr>
        <w:t xml:space="preserve">до </w:t>
      </w:r>
      <w:r w:rsidR="00167772" w:rsidRPr="00551976">
        <w:rPr>
          <w:rFonts w:eastAsiaTheme="minorEastAsia"/>
          <w:noProof/>
          <w:lang w:eastAsia="en-US"/>
        </w:rPr>
        <w:t>Положення № 254)</w:t>
      </w:r>
      <w:r w:rsidRPr="00551976">
        <w:rPr>
          <w:rFonts w:eastAsiaTheme="minorEastAsia"/>
          <w:noProof/>
          <w:lang w:eastAsia="en-US"/>
        </w:rPr>
        <w:t>, що додаються.</w:t>
      </w:r>
      <w:bookmarkStart w:id="0" w:name="_Hlk69746682"/>
    </w:p>
    <w:bookmarkEnd w:id="0"/>
    <w:p w14:paraId="1D043E87" w14:textId="255A9C2C" w:rsidR="00A84985" w:rsidRPr="00551976" w:rsidRDefault="00C65C7B" w:rsidP="00A961BE">
      <w:pPr>
        <w:ind w:firstLine="709"/>
        <w:rPr>
          <w:shd w:val="clear" w:color="auto" w:fill="FFFFFF"/>
        </w:rPr>
      </w:pPr>
      <w:r w:rsidRPr="00551976">
        <w:rPr>
          <w:rFonts w:eastAsiaTheme="minorEastAsia"/>
          <w:noProof/>
          <w:lang w:eastAsia="en-US"/>
        </w:rPr>
        <w:t>2</w:t>
      </w:r>
      <w:r w:rsidR="007E0EEC" w:rsidRPr="00551976">
        <w:rPr>
          <w:rFonts w:eastAsiaTheme="minorEastAsia"/>
          <w:noProof/>
          <w:lang w:val="ru-RU" w:eastAsia="en-US"/>
        </w:rPr>
        <w:t>.</w:t>
      </w:r>
      <w:r w:rsidR="00CD1ADA" w:rsidRPr="00551976">
        <w:rPr>
          <w:rFonts w:eastAsiaTheme="minorEastAsia"/>
          <w:noProof/>
          <w:lang w:eastAsia="en-US"/>
        </w:rPr>
        <w:t> </w:t>
      </w:r>
      <w:r w:rsidR="00CD1ADA" w:rsidRPr="00551976">
        <w:rPr>
          <w:shd w:val="clear" w:color="auto" w:fill="FFFFFF"/>
        </w:rPr>
        <w:t>Банкам, які є відповідальними особами банківських груп</w:t>
      </w:r>
      <w:r w:rsidR="00A84985" w:rsidRPr="00551976">
        <w:rPr>
          <w:shd w:val="clear" w:color="auto" w:fill="FFFFFF"/>
        </w:rPr>
        <w:t>:</w:t>
      </w:r>
    </w:p>
    <w:p w14:paraId="202608B2" w14:textId="77777777" w:rsidR="00A961BE" w:rsidRPr="00551976" w:rsidRDefault="00A961BE" w:rsidP="00A961BE">
      <w:pPr>
        <w:ind w:firstLine="709"/>
        <w:rPr>
          <w:shd w:val="clear" w:color="auto" w:fill="FFFFFF"/>
        </w:rPr>
      </w:pPr>
    </w:p>
    <w:p w14:paraId="3B82FC9F" w14:textId="1DF02949" w:rsidR="00F66D32" w:rsidRPr="00551976" w:rsidRDefault="00A84985" w:rsidP="00A961BE">
      <w:pPr>
        <w:ind w:firstLine="709"/>
        <w:rPr>
          <w:shd w:val="clear" w:color="auto" w:fill="FFFFFF"/>
        </w:rPr>
      </w:pPr>
      <w:r w:rsidRPr="00551976">
        <w:rPr>
          <w:shd w:val="clear" w:color="auto" w:fill="FFFFFF"/>
        </w:rPr>
        <w:t>1)</w:t>
      </w:r>
      <w:r w:rsidR="00CD1ADA" w:rsidRPr="00551976">
        <w:rPr>
          <w:shd w:val="clear" w:color="auto" w:fill="FFFFFF"/>
        </w:rPr>
        <w:t xml:space="preserve"> розробити</w:t>
      </w:r>
      <w:r w:rsidR="005D4DEB" w:rsidRPr="00551976">
        <w:rPr>
          <w:shd w:val="clear" w:color="auto" w:fill="FFFFFF"/>
        </w:rPr>
        <w:t xml:space="preserve"> </w:t>
      </w:r>
      <w:proofErr w:type="spellStart"/>
      <w:r w:rsidR="005D4DEB" w:rsidRPr="00551976">
        <w:rPr>
          <w:shd w:val="clear" w:color="auto" w:fill="FFFFFF"/>
        </w:rPr>
        <w:t>внутрішньогрупові</w:t>
      </w:r>
      <w:proofErr w:type="spellEnd"/>
      <w:r w:rsidR="005D4DEB" w:rsidRPr="00551976">
        <w:rPr>
          <w:shd w:val="clear" w:color="auto" w:fill="FFFFFF"/>
        </w:rPr>
        <w:t xml:space="preserve"> документи</w:t>
      </w:r>
      <w:r w:rsidR="00E62A7D" w:rsidRPr="00551976">
        <w:rPr>
          <w:shd w:val="clear" w:color="auto" w:fill="FFFFFF"/>
        </w:rPr>
        <w:t xml:space="preserve">  щодо розрахунку </w:t>
      </w:r>
      <w:r w:rsidR="009D5D67" w:rsidRPr="00551976">
        <w:t>коефіцієнта покриття ліквідністю за всіма валютами (</w:t>
      </w:r>
      <w:proofErr w:type="spellStart"/>
      <w:r w:rsidR="009D5D67" w:rsidRPr="00551976">
        <w:t>LCR</w:t>
      </w:r>
      <w:r w:rsidR="009D5D67" w:rsidRPr="00551976">
        <w:rPr>
          <w:vertAlign w:val="subscript"/>
        </w:rPr>
        <w:t>ВВ</w:t>
      </w:r>
      <w:r w:rsidR="009D5D67" w:rsidRPr="00551976">
        <w:t>к</w:t>
      </w:r>
      <w:proofErr w:type="spellEnd"/>
      <w:r w:rsidR="009D5D67" w:rsidRPr="00551976">
        <w:t>), коефіцієнта покриття ліквідністю за іноземними валютами (</w:t>
      </w:r>
      <w:proofErr w:type="spellStart"/>
      <w:r w:rsidR="009D5D67" w:rsidRPr="00551976">
        <w:t>LCR</w:t>
      </w:r>
      <w:r w:rsidR="009D5D67" w:rsidRPr="00551976">
        <w:rPr>
          <w:vertAlign w:val="subscript"/>
        </w:rPr>
        <w:t>ІВ</w:t>
      </w:r>
      <w:r w:rsidR="009D5D67" w:rsidRPr="00551976">
        <w:t>к</w:t>
      </w:r>
      <w:proofErr w:type="spellEnd"/>
      <w:r w:rsidR="009D5D67" w:rsidRPr="00551976">
        <w:t xml:space="preserve">) та коефіцієнта </w:t>
      </w:r>
      <w:r w:rsidR="009D5D67" w:rsidRPr="00551976">
        <w:rPr>
          <w:rFonts w:eastAsiaTheme="minorEastAsia"/>
          <w:lang w:eastAsia="en-US"/>
        </w:rPr>
        <w:t>чистого стабільного фінансування (</w:t>
      </w:r>
      <w:r w:rsidR="009D5D67" w:rsidRPr="00551976">
        <w:rPr>
          <w:rFonts w:eastAsiaTheme="minorEastAsia"/>
          <w:lang w:val="en-US" w:eastAsia="en-US"/>
        </w:rPr>
        <w:t>NSFR</w:t>
      </w:r>
      <w:r w:rsidR="009D5D67" w:rsidRPr="00551976">
        <w:rPr>
          <w:rFonts w:eastAsiaTheme="minorEastAsia"/>
          <w:lang w:eastAsia="en-US"/>
        </w:rPr>
        <w:t>к)</w:t>
      </w:r>
      <w:r w:rsidR="00BF2B49" w:rsidRPr="00551976">
        <w:rPr>
          <w:shd w:val="clear" w:color="auto" w:fill="FFFFFF"/>
        </w:rPr>
        <w:t xml:space="preserve"> </w:t>
      </w:r>
      <w:r w:rsidR="00A45006" w:rsidRPr="00551976">
        <w:rPr>
          <w:shd w:val="clear" w:color="auto" w:fill="FFFFFF"/>
        </w:rPr>
        <w:t>до 01 жовтня</w:t>
      </w:r>
      <w:r w:rsidR="002D3B40" w:rsidRPr="00551976">
        <w:rPr>
          <w:shd w:val="clear" w:color="auto" w:fill="FFFFFF"/>
        </w:rPr>
        <w:t xml:space="preserve"> </w:t>
      </w:r>
      <w:r w:rsidR="00CD1ADA" w:rsidRPr="00551976">
        <w:rPr>
          <w:shd w:val="clear" w:color="auto" w:fill="FFFFFF"/>
        </w:rPr>
        <w:t>2024 року</w:t>
      </w:r>
      <w:r w:rsidR="00925105" w:rsidRPr="00551976">
        <w:rPr>
          <w:shd w:val="clear" w:color="auto" w:fill="FFFFFF"/>
        </w:rPr>
        <w:t>;</w:t>
      </w:r>
    </w:p>
    <w:p w14:paraId="1EBF8404" w14:textId="77777777" w:rsidR="00925105" w:rsidRPr="00551976" w:rsidRDefault="00925105" w:rsidP="00925105">
      <w:pPr>
        <w:ind w:firstLine="709"/>
        <w:rPr>
          <w:shd w:val="clear" w:color="auto" w:fill="FFFFFF"/>
        </w:rPr>
      </w:pPr>
    </w:p>
    <w:p w14:paraId="3C8326D8" w14:textId="5CAD9721" w:rsidR="00A961BE" w:rsidRPr="00551976" w:rsidRDefault="00925105" w:rsidP="00A961BE">
      <w:pPr>
        <w:ind w:firstLine="709"/>
      </w:pPr>
      <w:r w:rsidRPr="00551976">
        <w:rPr>
          <w:shd w:val="clear" w:color="auto" w:fill="FFFFFF"/>
        </w:rPr>
        <w:t>2) </w:t>
      </w:r>
      <w:r w:rsidR="002C53EB" w:rsidRPr="00551976">
        <w:rPr>
          <w:shd w:val="clear" w:color="auto" w:fill="FFFFFF"/>
        </w:rPr>
        <w:t>здійсн</w:t>
      </w:r>
      <w:r w:rsidR="005143FA" w:rsidRPr="00551976">
        <w:rPr>
          <w:shd w:val="clear" w:color="auto" w:fill="FFFFFF"/>
        </w:rPr>
        <w:t>ити</w:t>
      </w:r>
      <w:r w:rsidR="002C53EB" w:rsidRPr="00551976">
        <w:rPr>
          <w:shd w:val="clear" w:color="auto" w:fill="FFFFFF"/>
        </w:rPr>
        <w:t xml:space="preserve"> </w:t>
      </w:r>
      <w:r w:rsidR="005143FA" w:rsidRPr="00551976">
        <w:rPr>
          <w:shd w:val="clear" w:color="auto" w:fill="FFFFFF"/>
        </w:rPr>
        <w:t xml:space="preserve">розрахунок </w:t>
      </w:r>
      <w:r w:rsidR="00D87C96">
        <w:rPr>
          <w:shd w:val="clear" w:color="auto" w:fill="FFFFFF"/>
        </w:rPr>
        <w:t>у</w:t>
      </w:r>
      <w:r w:rsidR="00D87C96" w:rsidRPr="00551976">
        <w:rPr>
          <w:shd w:val="clear" w:color="auto" w:fill="FFFFFF"/>
        </w:rPr>
        <w:t xml:space="preserve"> </w:t>
      </w:r>
      <w:r w:rsidR="00F97E5C" w:rsidRPr="00551976">
        <w:rPr>
          <w:shd w:val="clear" w:color="auto" w:fill="FFFFFF"/>
        </w:rPr>
        <w:t>тестовому режимі</w:t>
      </w:r>
      <w:r w:rsidR="00A961BE" w:rsidRPr="00551976">
        <w:t>:</w:t>
      </w:r>
    </w:p>
    <w:p w14:paraId="4F56B7B6" w14:textId="216CA984" w:rsidR="00531A40" w:rsidRPr="00551976" w:rsidRDefault="00531A40" w:rsidP="00531A40">
      <w:pPr>
        <w:ind w:firstLine="709"/>
        <w:rPr>
          <w:strike/>
          <w:u w:val="single"/>
          <w:shd w:val="clear" w:color="auto" w:fill="FFFFFF"/>
        </w:rPr>
      </w:pPr>
      <w:r w:rsidRPr="00551976">
        <w:lastRenderedPageBreak/>
        <w:t>коефіцієнта покриття ліквідністю за всіма валютами (</w:t>
      </w:r>
      <w:proofErr w:type="spellStart"/>
      <w:r w:rsidRPr="00551976">
        <w:t>LCR</w:t>
      </w:r>
      <w:r w:rsidRPr="00551976">
        <w:rPr>
          <w:vertAlign w:val="subscript"/>
        </w:rPr>
        <w:t>ВВ</w:t>
      </w:r>
      <w:r w:rsidRPr="00551976">
        <w:t>к</w:t>
      </w:r>
      <w:proofErr w:type="spellEnd"/>
      <w:r w:rsidRPr="00551976">
        <w:t>)</w:t>
      </w:r>
      <w:r w:rsidR="00553289" w:rsidRPr="00551976">
        <w:t xml:space="preserve"> та</w:t>
      </w:r>
      <w:r w:rsidR="009A7461" w:rsidRPr="00551976">
        <w:t xml:space="preserve"> коефіцієнта покриття ліквідністю за </w:t>
      </w:r>
      <w:r w:rsidR="002452B3" w:rsidRPr="00551976">
        <w:t>іноземними</w:t>
      </w:r>
      <w:r w:rsidR="009A7461" w:rsidRPr="00551976">
        <w:t xml:space="preserve"> валютами (</w:t>
      </w:r>
      <w:proofErr w:type="spellStart"/>
      <w:r w:rsidR="009A7461" w:rsidRPr="00551976">
        <w:t>LCR</w:t>
      </w:r>
      <w:r w:rsidR="002452B3" w:rsidRPr="00551976">
        <w:rPr>
          <w:vertAlign w:val="subscript"/>
        </w:rPr>
        <w:t>І</w:t>
      </w:r>
      <w:r w:rsidR="009A7461" w:rsidRPr="00551976">
        <w:rPr>
          <w:vertAlign w:val="subscript"/>
        </w:rPr>
        <w:t>В</w:t>
      </w:r>
      <w:r w:rsidR="009A7461" w:rsidRPr="00551976">
        <w:t>к</w:t>
      </w:r>
      <w:proofErr w:type="spellEnd"/>
      <w:r w:rsidR="009A7461" w:rsidRPr="00551976">
        <w:t>)</w:t>
      </w:r>
      <w:r w:rsidR="00CE72CF" w:rsidRPr="00551976">
        <w:t xml:space="preserve"> </w:t>
      </w:r>
      <w:r w:rsidR="00426444" w:rsidRPr="00551976">
        <w:t>–</w:t>
      </w:r>
      <w:r w:rsidRPr="00551976">
        <w:t xml:space="preserve"> </w:t>
      </w:r>
      <w:r w:rsidRPr="00551976">
        <w:rPr>
          <w:shd w:val="clear" w:color="auto" w:fill="FFFFFF"/>
        </w:rPr>
        <w:t>станом</w:t>
      </w:r>
      <w:r w:rsidR="00426444" w:rsidRPr="00551976">
        <w:rPr>
          <w:shd w:val="clear" w:color="auto" w:fill="FFFFFF"/>
        </w:rPr>
        <w:t xml:space="preserve"> </w:t>
      </w:r>
      <w:r w:rsidRPr="00551976">
        <w:rPr>
          <w:shd w:val="clear" w:color="auto" w:fill="FFFFFF"/>
        </w:rPr>
        <w:t xml:space="preserve">на </w:t>
      </w:r>
      <w:r w:rsidR="009A7461" w:rsidRPr="00551976">
        <w:rPr>
          <w:shd w:val="clear" w:color="auto" w:fill="FFFFFF"/>
        </w:rPr>
        <w:t>01 </w:t>
      </w:r>
      <w:r w:rsidRPr="00551976">
        <w:rPr>
          <w:shd w:val="clear" w:color="auto" w:fill="FFFFFF"/>
        </w:rPr>
        <w:t>жовтня, 01 листопада, 01 грудня 2024 року</w:t>
      </w:r>
      <w:r w:rsidR="004A1FB1" w:rsidRPr="00551976">
        <w:rPr>
          <w:shd w:val="clear" w:color="auto" w:fill="FFFFFF"/>
        </w:rPr>
        <w:t>,</w:t>
      </w:r>
      <w:r w:rsidRPr="00551976">
        <w:rPr>
          <w:shd w:val="clear" w:color="auto" w:fill="FFFFFF"/>
        </w:rPr>
        <w:t xml:space="preserve"> 01 січня, 01 лютого, 01 березня 2025 року та подати</w:t>
      </w:r>
      <w:r w:rsidR="009A7461" w:rsidRPr="00551976">
        <w:rPr>
          <w:shd w:val="clear" w:color="auto" w:fill="FFFFFF"/>
        </w:rPr>
        <w:t xml:space="preserve"> </w:t>
      </w:r>
      <w:r w:rsidR="005143FA" w:rsidRPr="00551976">
        <w:rPr>
          <w:shd w:val="clear" w:color="auto" w:fill="FFFFFF"/>
        </w:rPr>
        <w:t xml:space="preserve">інформацію про </w:t>
      </w:r>
      <w:r w:rsidR="004A1FB1" w:rsidRPr="00551976">
        <w:rPr>
          <w:shd w:val="clear" w:color="auto" w:fill="FFFFFF"/>
        </w:rPr>
        <w:t>результати такого</w:t>
      </w:r>
      <w:r w:rsidR="009A7461" w:rsidRPr="00551976">
        <w:rPr>
          <w:shd w:val="clear" w:color="auto" w:fill="FFFFFF"/>
        </w:rPr>
        <w:t xml:space="preserve"> розрахун</w:t>
      </w:r>
      <w:r w:rsidR="004A1FB1" w:rsidRPr="00551976">
        <w:rPr>
          <w:shd w:val="clear" w:color="auto" w:fill="FFFFFF"/>
        </w:rPr>
        <w:t>ку</w:t>
      </w:r>
      <w:r w:rsidRPr="00551976">
        <w:rPr>
          <w:shd w:val="clear" w:color="auto" w:fill="FFFFFF"/>
        </w:rPr>
        <w:t xml:space="preserve"> до Національного банку України за встановленою ним формою</w:t>
      </w:r>
      <w:r w:rsidR="005143FA" w:rsidRPr="00551976">
        <w:rPr>
          <w:shd w:val="clear" w:color="auto" w:fill="FFFFFF"/>
        </w:rPr>
        <w:t xml:space="preserve"> не пізніше 15 </w:t>
      </w:r>
      <w:r w:rsidR="009A7461" w:rsidRPr="00551976">
        <w:rPr>
          <w:shd w:val="clear" w:color="auto" w:fill="FFFFFF"/>
        </w:rPr>
        <w:t>жовтня, 15 листопада, 16 грудня 2024 року</w:t>
      </w:r>
      <w:r w:rsidR="004A1FB1" w:rsidRPr="00551976">
        <w:rPr>
          <w:shd w:val="clear" w:color="auto" w:fill="FFFFFF"/>
        </w:rPr>
        <w:t>,</w:t>
      </w:r>
      <w:r w:rsidR="009A7461" w:rsidRPr="00551976">
        <w:rPr>
          <w:shd w:val="clear" w:color="auto" w:fill="FFFFFF"/>
        </w:rPr>
        <w:t xml:space="preserve"> 15 січня, 17 лютого, 17 березня</w:t>
      </w:r>
      <w:r w:rsidR="00CE72CF" w:rsidRPr="00551976">
        <w:rPr>
          <w:shd w:val="clear" w:color="auto" w:fill="FFFFFF"/>
        </w:rPr>
        <w:t xml:space="preserve"> 2025 року</w:t>
      </w:r>
      <w:r w:rsidR="009A7461" w:rsidRPr="00551976">
        <w:rPr>
          <w:shd w:val="clear" w:color="auto" w:fill="FFFFFF"/>
        </w:rPr>
        <w:t xml:space="preserve"> відповідно</w:t>
      </w:r>
      <w:r w:rsidRPr="00551976">
        <w:rPr>
          <w:shd w:val="clear" w:color="auto" w:fill="FFFFFF"/>
        </w:rPr>
        <w:t>;</w:t>
      </w:r>
    </w:p>
    <w:p w14:paraId="26608DE1" w14:textId="76B5C117" w:rsidR="00A46F5C" w:rsidRPr="00551976" w:rsidRDefault="001240E8" w:rsidP="00E13A19">
      <w:pPr>
        <w:ind w:firstLine="709"/>
        <w:rPr>
          <w:strike/>
          <w:u w:val="single"/>
          <w:shd w:val="clear" w:color="auto" w:fill="FFFFFF"/>
        </w:rPr>
      </w:pPr>
      <w:r w:rsidRPr="00551976">
        <w:t xml:space="preserve">коефіцієнта </w:t>
      </w:r>
      <w:r w:rsidR="00A46F5C" w:rsidRPr="00551976">
        <w:rPr>
          <w:rFonts w:eastAsiaTheme="minorEastAsia"/>
          <w:lang w:eastAsia="en-US"/>
        </w:rPr>
        <w:t>чистого стабільного фінансування (</w:t>
      </w:r>
      <w:r w:rsidR="00A46F5C" w:rsidRPr="00551976">
        <w:rPr>
          <w:rFonts w:eastAsiaTheme="minorEastAsia"/>
          <w:lang w:val="en-US" w:eastAsia="en-US"/>
        </w:rPr>
        <w:t>NSFR</w:t>
      </w:r>
      <w:r w:rsidR="00A46F5C" w:rsidRPr="00551976">
        <w:rPr>
          <w:rFonts w:eastAsiaTheme="minorEastAsia"/>
          <w:lang w:eastAsia="en-US"/>
        </w:rPr>
        <w:t>к)</w:t>
      </w:r>
      <w:r w:rsidR="00A46F5C" w:rsidRPr="00551976">
        <w:rPr>
          <w:shd w:val="clear" w:color="auto" w:fill="FFFFFF"/>
        </w:rPr>
        <w:t xml:space="preserve"> </w:t>
      </w:r>
      <w:r w:rsidR="00426444" w:rsidRPr="00551976">
        <w:t>–</w:t>
      </w:r>
      <w:r w:rsidR="00CE72CF" w:rsidRPr="00551976">
        <w:rPr>
          <w:shd w:val="clear" w:color="auto" w:fill="FFFFFF"/>
        </w:rPr>
        <w:t xml:space="preserve"> </w:t>
      </w:r>
      <w:r w:rsidR="0004222F" w:rsidRPr="00551976">
        <w:rPr>
          <w:shd w:val="clear" w:color="auto" w:fill="FFFFFF"/>
        </w:rPr>
        <w:t>станом на 01 </w:t>
      </w:r>
      <w:r w:rsidR="00A46F5C" w:rsidRPr="00551976">
        <w:rPr>
          <w:shd w:val="clear" w:color="auto" w:fill="FFFFFF"/>
        </w:rPr>
        <w:t>жовтня 2024 року</w:t>
      </w:r>
      <w:r w:rsidR="004A1FB1" w:rsidRPr="00551976">
        <w:rPr>
          <w:shd w:val="clear" w:color="auto" w:fill="FFFFFF"/>
        </w:rPr>
        <w:t>,</w:t>
      </w:r>
      <w:r w:rsidR="00FC3305" w:rsidRPr="00551976">
        <w:rPr>
          <w:shd w:val="clear" w:color="auto" w:fill="FFFFFF"/>
        </w:rPr>
        <w:t xml:space="preserve"> 01 січня 2025 року</w:t>
      </w:r>
      <w:r w:rsidR="009A7461" w:rsidRPr="00551976">
        <w:rPr>
          <w:shd w:val="clear" w:color="auto" w:fill="FFFFFF"/>
        </w:rPr>
        <w:t xml:space="preserve"> та </w:t>
      </w:r>
      <w:r w:rsidR="005143FA" w:rsidRPr="00551976">
        <w:rPr>
          <w:shd w:val="clear" w:color="auto" w:fill="FFFFFF"/>
        </w:rPr>
        <w:t xml:space="preserve">подати інформацію про результати такого розрахунку </w:t>
      </w:r>
      <w:r w:rsidR="009A7461" w:rsidRPr="00551976">
        <w:rPr>
          <w:shd w:val="clear" w:color="auto" w:fill="FFFFFF"/>
        </w:rPr>
        <w:t>до Національного банку України за встановленою ним формою не пі</w:t>
      </w:r>
      <w:r w:rsidR="00426444" w:rsidRPr="00551976">
        <w:rPr>
          <w:shd w:val="clear" w:color="auto" w:fill="FFFFFF"/>
        </w:rPr>
        <w:t xml:space="preserve">зніше </w:t>
      </w:r>
      <w:r w:rsidR="00FD6403" w:rsidRPr="00551976">
        <w:rPr>
          <w:shd w:val="clear" w:color="auto" w:fill="FFFFFF"/>
        </w:rPr>
        <w:t>10 грудня 2024 року,</w:t>
      </w:r>
      <w:r w:rsidR="00426444" w:rsidRPr="00551976">
        <w:rPr>
          <w:shd w:val="clear" w:color="auto" w:fill="FFFFFF"/>
        </w:rPr>
        <w:t xml:space="preserve"> 10 </w:t>
      </w:r>
      <w:r w:rsidR="009A7461" w:rsidRPr="00551976">
        <w:rPr>
          <w:shd w:val="clear" w:color="auto" w:fill="FFFFFF"/>
        </w:rPr>
        <w:t>березня 2025 року відповідно</w:t>
      </w:r>
      <w:r w:rsidR="00A46F5C" w:rsidRPr="00551976">
        <w:rPr>
          <w:shd w:val="clear" w:color="auto" w:fill="FFFFFF"/>
        </w:rPr>
        <w:t>;</w:t>
      </w:r>
    </w:p>
    <w:p w14:paraId="79A024F3" w14:textId="5F8A632A" w:rsidR="00716041" w:rsidRPr="00551976" w:rsidRDefault="00716041" w:rsidP="001844F7">
      <w:pPr>
        <w:ind w:firstLine="709"/>
        <w:rPr>
          <w:rFonts w:eastAsiaTheme="minorEastAsia"/>
          <w:noProof/>
          <w:sz w:val="18"/>
          <w:szCs w:val="18"/>
          <w:lang w:eastAsia="en-US"/>
        </w:rPr>
      </w:pPr>
    </w:p>
    <w:p w14:paraId="1651277C" w14:textId="59D0E4A3" w:rsidR="009D5D67" w:rsidRPr="00551976" w:rsidRDefault="009D5D67" w:rsidP="00411AB2">
      <w:pPr>
        <w:ind w:firstLine="709"/>
        <w:rPr>
          <w:shd w:val="clear" w:color="auto" w:fill="FFFFFF"/>
        </w:rPr>
      </w:pPr>
      <w:r w:rsidRPr="00551976">
        <w:rPr>
          <w:shd w:val="clear" w:color="auto" w:fill="FFFFFF"/>
        </w:rPr>
        <w:t xml:space="preserve">3) затвердити та запровадити </w:t>
      </w:r>
      <w:proofErr w:type="spellStart"/>
      <w:r w:rsidRPr="00551976">
        <w:rPr>
          <w:shd w:val="clear" w:color="auto" w:fill="FFFFFF"/>
        </w:rPr>
        <w:t>внутрішньогрупові</w:t>
      </w:r>
      <w:proofErr w:type="spellEnd"/>
      <w:r w:rsidRPr="00551976">
        <w:rPr>
          <w:shd w:val="clear" w:color="auto" w:fill="FFFFFF"/>
        </w:rPr>
        <w:t xml:space="preserve"> документи щодо розрахунку </w:t>
      </w:r>
      <w:r w:rsidRPr="00551976">
        <w:t>коефіцієнта покриття ліквідністю за всіма валютами (</w:t>
      </w:r>
      <w:proofErr w:type="spellStart"/>
      <w:r w:rsidRPr="00551976">
        <w:t>LCR</w:t>
      </w:r>
      <w:r w:rsidRPr="00551976">
        <w:rPr>
          <w:vertAlign w:val="subscript"/>
        </w:rPr>
        <w:t>ВВ</w:t>
      </w:r>
      <w:r w:rsidRPr="00551976">
        <w:t>к</w:t>
      </w:r>
      <w:proofErr w:type="spellEnd"/>
      <w:r w:rsidRPr="00551976">
        <w:t>), коефіцієнта покриття ліквідністю за іноземними валютами (</w:t>
      </w:r>
      <w:proofErr w:type="spellStart"/>
      <w:r w:rsidRPr="00551976">
        <w:t>LCR</w:t>
      </w:r>
      <w:r w:rsidRPr="00551976">
        <w:rPr>
          <w:vertAlign w:val="subscript"/>
        </w:rPr>
        <w:t>ІВ</w:t>
      </w:r>
      <w:r w:rsidRPr="00551976">
        <w:t>к</w:t>
      </w:r>
      <w:proofErr w:type="spellEnd"/>
      <w:r w:rsidRPr="00551976">
        <w:t xml:space="preserve">) та коефіцієнта </w:t>
      </w:r>
      <w:r w:rsidRPr="00551976">
        <w:rPr>
          <w:rFonts w:eastAsiaTheme="minorEastAsia"/>
          <w:lang w:eastAsia="en-US"/>
        </w:rPr>
        <w:t>чистого стабільного фінансування (</w:t>
      </w:r>
      <w:r w:rsidRPr="00551976">
        <w:rPr>
          <w:rFonts w:eastAsiaTheme="minorEastAsia"/>
          <w:lang w:val="en-US" w:eastAsia="en-US"/>
        </w:rPr>
        <w:t>NSFR</w:t>
      </w:r>
      <w:r w:rsidRPr="00551976">
        <w:rPr>
          <w:rFonts w:eastAsiaTheme="minorEastAsia"/>
          <w:lang w:eastAsia="en-US"/>
        </w:rPr>
        <w:t>к)</w:t>
      </w:r>
      <w:r w:rsidRPr="00551976">
        <w:rPr>
          <w:shd w:val="clear" w:color="auto" w:fill="FFFFFF"/>
        </w:rPr>
        <w:t xml:space="preserve"> </w:t>
      </w:r>
      <w:r w:rsidR="00D87C96">
        <w:rPr>
          <w:shd w:val="clear" w:color="auto" w:fill="FFFFFF"/>
        </w:rPr>
        <w:t>−</w:t>
      </w:r>
      <w:r w:rsidR="00D87C96" w:rsidRPr="00551976">
        <w:rPr>
          <w:shd w:val="clear" w:color="auto" w:fill="FFFFFF"/>
        </w:rPr>
        <w:t xml:space="preserve"> </w:t>
      </w:r>
      <w:r w:rsidRPr="00551976">
        <w:rPr>
          <w:shd w:val="clear" w:color="auto" w:fill="FFFFFF"/>
        </w:rPr>
        <w:t>до 01 квітня 2025 року.</w:t>
      </w:r>
    </w:p>
    <w:p w14:paraId="469AB028" w14:textId="77777777" w:rsidR="009D5D67" w:rsidRPr="00551976" w:rsidRDefault="009D5D67" w:rsidP="00411AB2">
      <w:pPr>
        <w:ind w:firstLine="709"/>
        <w:rPr>
          <w:shd w:val="clear" w:color="auto" w:fill="FFFFFF"/>
        </w:rPr>
      </w:pPr>
    </w:p>
    <w:p w14:paraId="5FEB391B" w14:textId="591BDE06" w:rsidR="00CC0C63" w:rsidRPr="00551976" w:rsidRDefault="009268F6" w:rsidP="00411AB2">
      <w:pPr>
        <w:ind w:firstLine="709"/>
        <w:rPr>
          <w:strike/>
          <w:shd w:val="clear" w:color="auto" w:fill="FFFFFF"/>
        </w:rPr>
      </w:pPr>
      <w:r w:rsidRPr="00551976">
        <w:rPr>
          <w:shd w:val="clear" w:color="auto" w:fill="FFFFFF"/>
        </w:rPr>
        <w:t>3</w:t>
      </w:r>
      <w:r w:rsidR="00CC0C63" w:rsidRPr="00551976">
        <w:rPr>
          <w:shd w:val="clear" w:color="auto" w:fill="FFFFFF"/>
        </w:rPr>
        <w:t>. Банківським групам</w:t>
      </w:r>
      <w:r w:rsidR="00CC0C63" w:rsidRPr="00551976">
        <w:t xml:space="preserve"> </w:t>
      </w:r>
      <w:r w:rsidR="00CC0C63" w:rsidRPr="00551976">
        <w:rPr>
          <w:shd w:val="clear" w:color="auto" w:fill="FFFFFF"/>
        </w:rPr>
        <w:t xml:space="preserve">дотримуватися нормативного значення </w:t>
      </w:r>
      <w:r w:rsidR="00D87C96">
        <w:rPr>
          <w:rFonts w:eastAsiaTheme="minorEastAsia"/>
          <w:lang w:eastAsia="en-US"/>
        </w:rPr>
        <w:t>в</w:t>
      </w:r>
      <w:r w:rsidR="00D87C96" w:rsidRPr="00551976">
        <w:rPr>
          <w:rFonts w:eastAsiaTheme="minorEastAsia"/>
          <w:lang w:eastAsia="en-US"/>
        </w:rPr>
        <w:t xml:space="preserve"> </w:t>
      </w:r>
      <w:r w:rsidR="00CC0C63" w:rsidRPr="00551976">
        <w:rPr>
          <w:rFonts w:eastAsiaTheme="minorEastAsia"/>
          <w:lang w:eastAsia="en-US"/>
        </w:rPr>
        <w:t xml:space="preserve">розмірі не менше ніж 100% </w:t>
      </w:r>
      <w:r w:rsidR="00CC0C63" w:rsidRPr="00551976">
        <w:rPr>
          <w:shd w:val="clear" w:color="auto" w:fill="FFFFFF"/>
        </w:rPr>
        <w:t>за</w:t>
      </w:r>
      <w:r w:rsidR="00411AB2" w:rsidRPr="00551976">
        <w:rPr>
          <w:shd w:val="clear" w:color="auto" w:fill="FFFFFF"/>
        </w:rPr>
        <w:t xml:space="preserve"> </w:t>
      </w:r>
      <w:r w:rsidR="00CC0C63" w:rsidRPr="00551976">
        <w:t>коефіцієнтом покриття ліквідністю за всіма валютами (</w:t>
      </w:r>
      <w:proofErr w:type="spellStart"/>
      <w:r w:rsidR="00CC0C63" w:rsidRPr="00551976">
        <w:t>LCR</w:t>
      </w:r>
      <w:r w:rsidR="00CC0C63" w:rsidRPr="00551976">
        <w:rPr>
          <w:vertAlign w:val="subscript"/>
        </w:rPr>
        <w:t>ВВ</w:t>
      </w:r>
      <w:r w:rsidR="00CC0C63" w:rsidRPr="00551976">
        <w:t>к</w:t>
      </w:r>
      <w:proofErr w:type="spellEnd"/>
      <w:r w:rsidR="00CC0C63" w:rsidRPr="00551976">
        <w:t>)</w:t>
      </w:r>
      <w:r w:rsidR="00411AB2" w:rsidRPr="00551976">
        <w:t>,</w:t>
      </w:r>
      <w:r w:rsidR="00CC0C63" w:rsidRPr="00551976">
        <w:t xml:space="preserve"> коефіцієнтом покриття ліквідністю </w:t>
      </w:r>
      <w:r w:rsidR="00C2523D" w:rsidRPr="00551976">
        <w:t xml:space="preserve">за іноземними валютами </w:t>
      </w:r>
      <w:r w:rsidR="00CC0C63" w:rsidRPr="00551976">
        <w:t>(</w:t>
      </w:r>
      <w:proofErr w:type="spellStart"/>
      <w:r w:rsidR="00CC0C63" w:rsidRPr="00551976">
        <w:t>LCR</w:t>
      </w:r>
      <w:r w:rsidR="00CC0C63" w:rsidRPr="00551976">
        <w:rPr>
          <w:vertAlign w:val="subscript"/>
        </w:rPr>
        <w:t>ІВ</w:t>
      </w:r>
      <w:r w:rsidR="00CC0C63" w:rsidRPr="00551976">
        <w:t>к</w:t>
      </w:r>
      <w:proofErr w:type="spellEnd"/>
      <w:r w:rsidR="00CC0C63" w:rsidRPr="00551976">
        <w:t xml:space="preserve">) </w:t>
      </w:r>
      <w:r w:rsidR="00411AB2" w:rsidRPr="00551976">
        <w:t xml:space="preserve">та </w:t>
      </w:r>
      <w:r w:rsidR="00CC0C63" w:rsidRPr="00551976">
        <w:rPr>
          <w:shd w:val="clear" w:color="auto" w:fill="FFFFFF"/>
        </w:rPr>
        <w:t xml:space="preserve">коефіцієнтом </w:t>
      </w:r>
      <w:r w:rsidR="00CC0C63" w:rsidRPr="00551976">
        <w:rPr>
          <w:rFonts w:eastAsiaTheme="minorEastAsia"/>
          <w:lang w:eastAsia="en-US"/>
        </w:rPr>
        <w:t>чистого стабільного фінансування (</w:t>
      </w:r>
      <w:r w:rsidR="00CC0C63" w:rsidRPr="00551976">
        <w:rPr>
          <w:rFonts w:eastAsiaTheme="minorEastAsia"/>
          <w:lang w:val="en-US" w:eastAsia="en-US"/>
        </w:rPr>
        <w:t>NSFR</w:t>
      </w:r>
      <w:r w:rsidR="00CC0C63" w:rsidRPr="00551976">
        <w:rPr>
          <w:rFonts w:eastAsiaTheme="minorEastAsia"/>
          <w:lang w:eastAsia="en-US"/>
        </w:rPr>
        <w:t xml:space="preserve">к) </w:t>
      </w:r>
      <w:r w:rsidR="00D87C96">
        <w:rPr>
          <w:rFonts w:eastAsiaTheme="minorEastAsia"/>
          <w:lang w:eastAsia="en-US"/>
        </w:rPr>
        <w:t>−</w:t>
      </w:r>
      <w:r w:rsidR="00D87C96" w:rsidRPr="00551976">
        <w:rPr>
          <w:rFonts w:eastAsiaTheme="minorEastAsia"/>
          <w:lang w:eastAsia="en-US"/>
        </w:rPr>
        <w:t xml:space="preserve"> </w:t>
      </w:r>
      <w:r w:rsidR="00CC0C63" w:rsidRPr="00551976">
        <w:rPr>
          <w:shd w:val="clear" w:color="auto" w:fill="FFFFFF"/>
        </w:rPr>
        <w:t>починаючи з</w:t>
      </w:r>
      <w:r w:rsidR="00426444" w:rsidRPr="00551976">
        <w:rPr>
          <w:shd w:val="clear" w:color="auto" w:fill="FFFFFF"/>
        </w:rPr>
        <w:t>і звітної дати станом на</w:t>
      </w:r>
      <w:r w:rsidR="00CC0C63" w:rsidRPr="00551976">
        <w:rPr>
          <w:shd w:val="clear" w:color="auto" w:fill="FFFFFF"/>
        </w:rPr>
        <w:t xml:space="preserve"> 01 </w:t>
      </w:r>
      <w:r w:rsidR="00CF7F04" w:rsidRPr="00551976">
        <w:rPr>
          <w:shd w:val="clear" w:color="auto" w:fill="FFFFFF"/>
        </w:rPr>
        <w:t>квітня</w:t>
      </w:r>
      <w:r w:rsidR="00CC0C63" w:rsidRPr="00551976">
        <w:rPr>
          <w:shd w:val="clear" w:color="auto" w:fill="FFFFFF"/>
        </w:rPr>
        <w:t xml:space="preserve"> 2025 року.</w:t>
      </w:r>
    </w:p>
    <w:p w14:paraId="2FAB7435" w14:textId="221082E5" w:rsidR="00AD7DF9" w:rsidRPr="00551976" w:rsidRDefault="00E27B22" w:rsidP="00E62607">
      <w:pPr>
        <w:spacing w:before="240" w:after="240"/>
        <w:ind w:firstLine="709"/>
        <w:rPr>
          <w:shd w:val="clear" w:color="auto" w:fill="FFFFFF"/>
        </w:rPr>
      </w:pPr>
      <w:r w:rsidRPr="00551976">
        <w:rPr>
          <w:rFonts w:eastAsiaTheme="minorEastAsia"/>
          <w:noProof/>
          <w:lang w:eastAsia="en-US"/>
        </w:rPr>
        <w:t>4</w:t>
      </w:r>
      <w:r w:rsidR="00AD7DF9" w:rsidRPr="00551976">
        <w:rPr>
          <w:rFonts w:eastAsiaTheme="minorEastAsia"/>
          <w:noProof/>
          <w:lang w:eastAsia="en-US"/>
        </w:rPr>
        <w:t>. </w:t>
      </w:r>
      <w:r w:rsidR="00C4128E" w:rsidRPr="00551976">
        <w:rPr>
          <w:shd w:val="clear" w:color="auto" w:fill="FFFFFF"/>
        </w:rPr>
        <w:t xml:space="preserve">Департаменту методології </w:t>
      </w:r>
      <w:r w:rsidR="006739D1" w:rsidRPr="00551976">
        <w:t>регулювання діяльності банків</w:t>
      </w:r>
      <w:r w:rsidR="006739D1" w:rsidRPr="00551976">
        <w:rPr>
          <w:shd w:val="clear" w:color="auto" w:fill="FFFFFF"/>
        </w:rPr>
        <w:t xml:space="preserve"> </w:t>
      </w:r>
      <w:r w:rsidR="00C4128E" w:rsidRPr="00551976">
        <w:rPr>
          <w:shd w:val="clear" w:color="auto" w:fill="FFFFFF"/>
        </w:rPr>
        <w:t>(</w:t>
      </w:r>
      <w:r w:rsidR="00034EC1" w:rsidRPr="00551976">
        <w:rPr>
          <w:shd w:val="clear" w:color="auto" w:fill="FFFFFF"/>
        </w:rPr>
        <w:t>Оксана Присяженко</w:t>
      </w:r>
      <w:r w:rsidR="00C4128E" w:rsidRPr="00551976">
        <w:rPr>
          <w:shd w:val="clear" w:color="auto" w:fill="FFFFFF"/>
        </w:rPr>
        <w:t>) після офіційного опублікування довести до відома банків України інформацію про прийняття цієї постанови.</w:t>
      </w:r>
    </w:p>
    <w:p w14:paraId="77405064" w14:textId="3F1B9055" w:rsidR="00AD7DF9" w:rsidRPr="00551976" w:rsidRDefault="003B1E7C" w:rsidP="00CF4CF3">
      <w:pPr>
        <w:spacing w:before="240" w:after="240"/>
        <w:ind w:firstLine="709"/>
        <w:rPr>
          <w:rFonts w:eastAsiaTheme="minorEastAsia"/>
          <w:noProof/>
          <w:lang w:eastAsia="en-US"/>
        </w:rPr>
      </w:pPr>
      <w:r w:rsidRPr="00551976">
        <w:rPr>
          <w:rFonts w:eastAsiaTheme="minorEastAsia"/>
          <w:noProof/>
          <w:lang w:eastAsia="en-US"/>
        </w:rPr>
        <w:t>5</w:t>
      </w:r>
      <w:r w:rsidR="00AD7DF9" w:rsidRPr="00551976">
        <w:rPr>
          <w:rFonts w:eastAsiaTheme="minorEastAsia"/>
          <w:noProof/>
          <w:lang w:eastAsia="en-US"/>
        </w:rPr>
        <w:t>. </w:t>
      </w:r>
      <w:r w:rsidR="00C4128E" w:rsidRPr="00551976">
        <w:rPr>
          <w:shd w:val="clear" w:color="auto" w:fill="FFFFFF"/>
        </w:rPr>
        <w:t xml:space="preserve">Постанова набирає чинності з </w:t>
      </w:r>
      <w:r w:rsidR="00FC17D4" w:rsidRPr="00551976">
        <w:rPr>
          <w:shd w:val="clear" w:color="auto" w:fill="FFFFFF"/>
        </w:rPr>
        <w:softHyphen/>
      </w:r>
      <w:r w:rsidR="00FC17D4" w:rsidRPr="00551976">
        <w:rPr>
          <w:shd w:val="clear" w:color="auto" w:fill="FFFFFF"/>
        </w:rPr>
        <w:softHyphen/>
      </w:r>
      <w:r w:rsidR="00FC17D4" w:rsidRPr="00551976">
        <w:rPr>
          <w:shd w:val="clear" w:color="auto" w:fill="FFFFFF"/>
        </w:rPr>
        <w:softHyphen/>
      </w:r>
      <w:r w:rsidR="00FC17D4" w:rsidRPr="00551976">
        <w:rPr>
          <w:shd w:val="clear" w:color="auto" w:fill="FFFFFF"/>
        </w:rPr>
        <w:softHyphen/>
      </w:r>
      <w:r w:rsidR="00FC17D4" w:rsidRPr="00551976">
        <w:rPr>
          <w:shd w:val="clear" w:color="auto" w:fill="FFFFFF"/>
        </w:rPr>
        <w:softHyphen/>
      </w:r>
      <w:r w:rsidR="00FC17D4" w:rsidRPr="00551976">
        <w:rPr>
          <w:shd w:val="clear" w:color="auto" w:fill="FFFFFF"/>
        </w:rPr>
        <w:softHyphen/>
      </w:r>
      <w:r w:rsidR="00E62A7D" w:rsidRPr="00551976">
        <w:rPr>
          <w:shd w:val="clear" w:color="auto" w:fill="FFFFFF"/>
        </w:rPr>
        <w:t>01</w:t>
      </w:r>
      <w:r w:rsidR="009D5330" w:rsidRPr="00551976">
        <w:rPr>
          <w:shd w:val="clear" w:color="auto" w:fill="FFFFFF"/>
        </w:rPr>
        <w:t xml:space="preserve"> квітня</w:t>
      </w:r>
      <w:r w:rsidR="00FC17D4" w:rsidRPr="00551976">
        <w:rPr>
          <w:shd w:val="clear" w:color="auto" w:fill="FFFFFF"/>
        </w:rPr>
        <w:t xml:space="preserve"> 2024 року</w:t>
      </w:r>
      <w:r w:rsidR="00E3494E" w:rsidRPr="00551976">
        <w:rPr>
          <w:shd w:val="clear" w:color="auto" w:fill="FFFFFF"/>
        </w:rPr>
        <w:t xml:space="preserve">, крім </w:t>
      </w:r>
      <w:r w:rsidR="00B21726" w:rsidRPr="00551976">
        <w:rPr>
          <w:shd w:val="clear" w:color="auto" w:fill="FFFFFF"/>
        </w:rPr>
        <w:t>абзаців третього</w:t>
      </w:r>
      <w:r w:rsidR="007D6B04">
        <w:rPr>
          <w:shd w:val="clear" w:color="auto" w:fill="FFFFFF"/>
          <w:lang w:val="en-US"/>
        </w:rPr>
        <w:t> </w:t>
      </w:r>
      <w:r w:rsidR="00FF3967">
        <w:rPr>
          <w:shd w:val="clear" w:color="auto" w:fill="FFFFFF"/>
        </w:rPr>
        <w:t>−</w:t>
      </w:r>
      <w:r w:rsidR="007D6B04">
        <w:rPr>
          <w:shd w:val="clear" w:color="auto" w:fill="FFFFFF"/>
          <w:lang w:val="en-US"/>
        </w:rPr>
        <w:t> </w:t>
      </w:r>
      <w:r w:rsidR="00B21726" w:rsidRPr="00551976">
        <w:rPr>
          <w:shd w:val="clear" w:color="auto" w:fill="FFFFFF"/>
        </w:rPr>
        <w:t xml:space="preserve">дев’ятого підпункту 5 пункту 1 </w:t>
      </w:r>
      <w:r w:rsidR="00E3494E" w:rsidRPr="00551976">
        <w:rPr>
          <w:shd w:val="clear" w:color="auto" w:fill="FFFFFF"/>
        </w:rPr>
        <w:t>Змін до Положення</w:t>
      </w:r>
      <w:r w:rsidR="002E7430" w:rsidRPr="00551976">
        <w:rPr>
          <w:shd w:val="clear" w:color="auto" w:fill="FFFFFF"/>
        </w:rPr>
        <w:t xml:space="preserve"> № 254</w:t>
      </w:r>
      <w:r w:rsidR="00E3494E" w:rsidRPr="00551976">
        <w:rPr>
          <w:shd w:val="clear" w:color="auto" w:fill="FFFFFF"/>
        </w:rPr>
        <w:t>, як</w:t>
      </w:r>
      <w:r w:rsidR="00B21726" w:rsidRPr="00551976">
        <w:rPr>
          <w:shd w:val="clear" w:color="auto" w:fill="FFFFFF"/>
        </w:rPr>
        <w:t>і набирають чинності з 01 липня 2024 року</w:t>
      </w:r>
      <w:r w:rsidR="005212A1" w:rsidRPr="00551976">
        <w:rPr>
          <w:rFonts w:eastAsiaTheme="minorEastAsia"/>
          <w:noProof/>
          <w:lang w:eastAsia="en-US"/>
        </w:rPr>
        <w:t>.</w:t>
      </w: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DD60CC" w:rsidRPr="006B069F" w14:paraId="32B2F6C8" w14:textId="77777777" w:rsidTr="00BB5D4D">
        <w:tc>
          <w:tcPr>
            <w:tcW w:w="5495" w:type="dxa"/>
            <w:vAlign w:val="bottom"/>
          </w:tcPr>
          <w:p w14:paraId="0FE3DAC6" w14:textId="77777777" w:rsidR="00783B74" w:rsidRDefault="00783B74" w:rsidP="003C10F1">
            <w:pPr>
              <w:autoSpaceDE w:val="0"/>
              <w:autoSpaceDN w:val="0"/>
              <w:jc w:val="left"/>
            </w:pPr>
          </w:p>
          <w:p w14:paraId="2606C0AB" w14:textId="77777777" w:rsidR="00783B74" w:rsidRDefault="00783B74" w:rsidP="003C10F1">
            <w:pPr>
              <w:autoSpaceDE w:val="0"/>
              <w:autoSpaceDN w:val="0"/>
              <w:jc w:val="left"/>
            </w:pPr>
          </w:p>
          <w:p w14:paraId="32B2F6C6" w14:textId="2CD5ED8B" w:rsidR="00DD60CC" w:rsidRPr="006B069F" w:rsidRDefault="0030499D" w:rsidP="003C10F1">
            <w:pPr>
              <w:autoSpaceDE w:val="0"/>
              <w:autoSpaceDN w:val="0"/>
              <w:jc w:val="left"/>
            </w:pPr>
            <w:r>
              <w:t xml:space="preserve"> </w:t>
            </w:r>
            <w:r w:rsidR="00C4128E" w:rsidRPr="006B069F">
              <w:t>Голова</w:t>
            </w:r>
          </w:p>
        </w:tc>
        <w:tc>
          <w:tcPr>
            <w:tcW w:w="4252" w:type="dxa"/>
            <w:vAlign w:val="bottom"/>
          </w:tcPr>
          <w:p w14:paraId="32B2F6C7" w14:textId="3FEB0081" w:rsidR="00DD60CC" w:rsidRPr="006B069F" w:rsidRDefault="006F0440" w:rsidP="0025455E">
            <w:pPr>
              <w:tabs>
                <w:tab w:val="left" w:pos="7020"/>
                <w:tab w:val="left" w:pos="7200"/>
              </w:tabs>
              <w:autoSpaceDE w:val="0"/>
              <w:autoSpaceDN w:val="0"/>
              <w:ind w:left="32"/>
              <w:jc w:val="right"/>
            </w:pPr>
            <w:r>
              <w:t>Андрій ПИШНИЙ</w:t>
            </w:r>
          </w:p>
        </w:tc>
      </w:tr>
    </w:tbl>
    <w:p w14:paraId="74CEED1F" w14:textId="77777777" w:rsidR="009978B5" w:rsidRPr="006B069F" w:rsidRDefault="009978B5" w:rsidP="00FA508E">
      <w:pPr>
        <w:jc w:val="left"/>
      </w:pPr>
    </w:p>
    <w:p w14:paraId="32B2F6CB" w14:textId="1B9D18D9" w:rsidR="006A1AD2" w:rsidRPr="006B069F" w:rsidRDefault="00FA508E" w:rsidP="00FA508E">
      <w:pPr>
        <w:jc w:val="left"/>
        <w:rPr>
          <w:sz w:val="26"/>
          <w:szCs w:val="26"/>
        </w:rPr>
      </w:pPr>
      <w:r w:rsidRPr="006B069F">
        <w:t xml:space="preserve">Інд. </w:t>
      </w:r>
      <w:r w:rsidR="00C4128E" w:rsidRPr="006B069F">
        <w:t>22</w:t>
      </w:r>
    </w:p>
    <w:p w14:paraId="6CAA9207" w14:textId="77777777" w:rsidR="006A1AD2" w:rsidRDefault="006A1AD2" w:rsidP="006A1AD2">
      <w:pPr>
        <w:spacing w:after="200" w:line="276" w:lineRule="auto"/>
        <w:jc w:val="left"/>
        <w:sectPr w:rsidR="006A1AD2" w:rsidSect="001D4B2B">
          <w:headerReference w:type="default" r:id="rId14"/>
          <w:footerReference w:type="first" r:id="rId15"/>
          <w:pgSz w:w="11906" w:h="16838" w:code="9"/>
          <w:pgMar w:top="567" w:right="567" w:bottom="1701" w:left="1701" w:header="709" w:footer="709" w:gutter="0"/>
          <w:cols w:space="708"/>
          <w:titlePg/>
          <w:docGrid w:linePitch="381"/>
        </w:sectPr>
      </w:pPr>
    </w:p>
    <w:p w14:paraId="0C9556C6" w14:textId="2195EE61" w:rsidR="006A1AD2" w:rsidRPr="007752AC" w:rsidRDefault="005F495B" w:rsidP="006A1AD2">
      <w:pPr>
        <w:pStyle w:val="6"/>
        <w:shd w:val="clear" w:color="auto" w:fill="FFFFFF" w:themeFill="background1"/>
        <w:ind w:firstLine="5670"/>
        <w:jc w:val="both"/>
        <w:rPr>
          <w:szCs w:val="28"/>
        </w:rPr>
      </w:pPr>
      <w:r w:rsidRPr="007752AC">
        <w:rPr>
          <w:szCs w:val="28"/>
        </w:rPr>
        <w:lastRenderedPageBreak/>
        <w:t>ЗАТВЕРДЖ</w:t>
      </w:r>
      <w:r w:rsidR="006A1AD2" w:rsidRPr="007752AC">
        <w:rPr>
          <w:szCs w:val="28"/>
        </w:rPr>
        <w:t>ЕНО</w:t>
      </w:r>
    </w:p>
    <w:p w14:paraId="582E8EDE" w14:textId="5912768F" w:rsidR="006A1AD2" w:rsidRPr="007752AC" w:rsidRDefault="00A337C1" w:rsidP="006A1AD2">
      <w:pPr>
        <w:shd w:val="clear" w:color="auto" w:fill="FFFFFF" w:themeFill="background1"/>
        <w:ind w:firstLine="5670"/>
      </w:pPr>
      <w:r w:rsidRPr="007752AC">
        <w:t>Постанова</w:t>
      </w:r>
      <w:r w:rsidR="006A1AD2" w:rsidRPr="007752AC">
        <w:t xml:space="preserve"> Правління</w:t>
      </w:r>
    </w:p>
    <w:p w14:paraId="0D2BC98C" w14:textId="77777777" w:rsidR="006A1AD2" w:rsidRPr="007752AC" w:rsidRDefault="006A1AD2" w:rsidP="006A1AD2">
      <w:pPr>
        <w:shd w:val="clear" w:color="auto" w:fill="FFFFFF" w:themeFill="background1"/>
        <w:ind w:firstLine="5670"/>
      </w:pPr>
      <w:r w:rsidRPr="007752AC">
        <w:t>Національного банку України</w:t>
      </w:r>
    </w:p>
    <w:p w14:paraId="63DFACBD" w14:textId="1F49F87E" w:rsidR="006A1AD2" w:rsidRPr="007752AC" w:rsidRDefault="00A9403B" w:rsidP="006A1AD2">
      <w:pPr>
        <w:shd w:val="clear" w:color="auto" w:fill="FFFFFF" w:themeFill="background1"/>
        <w:ind w:firstLine="5670"/>
      </w:pPr>
      <w:r>
        <w:t>05 січня 2024 року № 2</w:t>
      </w:r>
    </w:p>
    <w:p w14:paraId="16F2C74C" w14:textId="77777777" w:rsidR="006A1AD2" w:rsidRPr="007752AC" w:rsidRDefault="006A1AD2" w:rsidP="006A1AD2">
      <w:pPr>
        <w:shd w:val="clear" w:color="auto" w:fill="FFFFFF" w:themeFill="background1"/>
        <w:ind w:firstLine="5670"/>
      </w:pPr>
    </w:p>
    <w:p w14:paraId="7AD47304" w14:textId="51E10773" w:rsidR="006A1AD2" w:rsidRPr="007752AC" w:rsidRDefault="006A1AD2" w:rsidP="006A1AD2">
      <w:pPr>
        <w:shd w:val="clear" w:color="auto" w:fill="FFFFFF" w:themeFill="background1"/>
        <w:ind w:firstLine="5670"/>
      </w:pPr>
    </w:p>
    <w:p w14:paraId="0D2BD4EA" w14:textId="77777777" w:rsidR="008426EA" w:rsidRPr="007752AC" w:rsidRDefault="008426EA" w:rsidP="008426EA">
      <w:pPr>
        <w:ind w:firstLine="709"/>
        <w:jc w:val="center"/>
        <w:rPr>
          <w:rFonts w:eastAsiaTheme="minorEastAsia"/>
          <w:noProof/>
          <w:lang w:eastAsia="en-US"/>
        </w:rPr>
      </w:pPr>
      <w:r w:rsidRPr="007752AC">
        <w:rPr>
          <w:rFonts w:eastAsiaTheme="minorEastAsia"/>
          <w:noProof/>
          <w:lang w:eastAsia="en-US"/>
        </w:rPr>
        <w:t>Зміни до Інструкції про порядок регулювання</w:t>
      </w:r>
    </w:p>
    <w:p w14:paraId="70E46605" w14:textId="475F4FA4" w:rsidR="008426EA" w:rsidRPr="007752AC" w:rsidRDefault="008426EA" w:rsidP="008426EA">
      <w:pPr>
        <w:ind w:firstLine="709"/>
        <w:jc w:val="center"/>
        <w:rPr>
          <w:rFonts w:eastAsiaTheme="minorEastAsia"/>
          <w:noProof/>
          <w:lang w:eastAsia="en-US"/>
        </w:rPr>
      </w:pPr>
      <w:r w:rsidRPr="007752AC">
        <w:rPr>
          <w:rFonts w:eastAsiaTheme="minorEastAsia"/>
          <w:noProof/>
          <w:lang w:eastAsia="en-US"/>
        </w:rPr>
        <w:t>діяльності банків в Україні</w:t>
      </w:r>
    </w:p>
    <w:p w14:paraId="6BAD3FD1" w14:textId="77777777" w:rsidR="008426EA" w:rsidRPr="007752AC" w:rsidRDefault="008426EA" w:rsidP="00395A27">
      <w:pPr>
        <w:shd w:val="clear" w:color="auto" w:fill="FFFFFF" w:themeFill="background1"/>
        <w:tabs>
          <w:tab w:val="left" w:pos="851"/>
        </w:tabs>
        <w:ind w:firstLine="567"/>
      </w:pPr>
    </w:p>
    <w:p w14:paraId="06934342" w14:textId="77777777" w:rsidR="008426EA" w:rsidRPr="007752AC" w:rsidRDefault="008426EA" w:rsidP="00395A27">
      <w:pPr>
        <w:shd w:val="clear" w:color="auto" w:fill="FFFFFF" w:themeFill="background1"/>
        <w:tabs>
          <w:tab w:val="left" w:pos="851"/>
        </w:tabs>
        <w:ind w:firstLine="567"/>
      </w:pPr>
    </w:p>
    <w:p w14:paraId="02D5F040" w14:textId="327FCD4A" w:rsidR="00395A27" w:rsidRPr="00E81173" w:rsidRDefault="00395A27" w:rsidP="00395A27">
      <w:pPr>
        <w:shd w:val="clear" w:color="auto" w:fill="FFFFFF" w:themeFill="background1"/>
        <w:tabs>
          <w:tab w:val="left" w:pos="851"/>
        </w:tabs>
        <w:ind w:firstLine="567"/>
      </w:pPr>
      <w:r w:rsidRPr="00CF06A0">
        <w:t xml:space="preserve">1. </w:t>
      </w:r>
      <w:r w:rsidR="00E21068">
        <w:t>А</w:t>
      </w:r>
      <w:r w:rsidR="00D05B73" w:rsidRPr="00180AF7">
        <w:t xml:space="preserve">бзац </w:t>
      </w:r>
      <w:r w:rsidR="00D05B73" w:rsidRPr="007752AC">
        <w:t>дев</w:t>
      </w:r>
      <w:r w:rsidR="00D05B73" w:rsidRPr="00180AF7">
        <w:t>’</w:t>
      </w:r>
      <w:r w:rsidR="00D05B73" w:rsidRPr="007752AC">
        <w:t xml:space="preserve">ятий </w:t>
      </w:r>
      <w:r w:rsidRPr="007752AC">
        <w:t>розділ</w:t>
      </w:r>
      <w:r w:rsidR="00D05B73" w:rsidRPr="007752AC">
        <w:t>у</w:t>
      </w:r>
      <w:r w:rsidRPr="007752AC">
        <w:t xml:space="preserve"> I</w:t>
      </w:r>
      <w:r w:rsidR="00D05B73" w:rsidRPr="007752AC">
        <w:t xml:space="preserve"> замінити двома </w:t>
      </w:r>
      <w:r w:rsidR="008C5F09" w:rsidRPr="00E81173">
        <w:t xml:space="preserve">новими </w:t>
      </w:r>
      <w:r w:rsidR="00D05B73" w:rsidRPr="00E81173">
        <w:t xml:space="preserve">абзацами </w:t>
      </w:r>
      <w:r w:rsidR="008C5F09" w:rsidRPr="00E81173">
        <w:t xml:space="preserve">дев’ятим, десятим </w:t>
      </w:r>
      <w:r w:rsidR="00D05B73" w:rsidRPr="00E81173">
        <w:t>такого змісту</w:t>
      </w:r>
      <w:r w:rsidRPr="00E81173">
        <w:t>:</w:t>
      </w:r>
    </w:p>
    <w:p w14:paraId="551BB80D" w14:textId="41F150C1" w:rsidR="00D05B73" w:rsidRPr="00E81173" w:rsidRDefault="00D05B73" w:rsidP="009C5E41">
      <w:pPr>
        <w:shd w:val="clear" w:color="auto" w:fill="FFFFFF" w:themeFill="background1"/>
        <w:tabs>
          <w:tab w:val="left" w:pos="851"/>
        </w:tabs>
        <w:ind w:firstLine="567"/>
      </w:pPr>
      <w:r w:rsidRPr="00E81173">
        <w:t>“коефіцієнт покриття ліквідністю за всіма валютами (LCR</w:t>
      </w:r>
      <w:r w:rsidRPr="00E81173">
        <w:rPr>
          <w:vertAlign w:val="subscript"/>
        </w:rPr>
        <w:t>BB</w:t>
      </w:r>
      <w:r w:rsidRPr="00E81173">
        <w:t>);</w:t>
      </w:r>
    </w:p>
    <w:p w14:paraId="7B19BDC1" w14:textId="440E54D1" w:rsidR="00395A27" w:rsidRPr="00E81173" w:rsidRDefault="00D05B73" w:rsidP="009C5E41">
      <w:pPr>
        <w:shd w:val="clear" w:color="auto" w:fill="FFFFFF" w:themeFill="background1"/>
        <w:tabs>
          <w:tab w:val="left" w:pos="851"/>
        </w:tabs>
        <w:ind w:firstLine="426"/>
      </w:pPr>
      <w:r w:rsidRPr="00E81173">
        <w:t xml:space="preserve">  </w:t>
      </w:r>
      <w:r w:rsidR="001C09B6" w:rsidRPr="00E81173">
        <w:t xml:space="preserve"> </w:t>
      </w:r>
      <w:r w:rsidRPr="00E81173">
        <w:t xml:space="preserve">коефіцієнт покриття ліквідністю </w:t>
      </w:r>
      <w:r w:rsidR="005A2D85">
        <w:t>за іноземними валютами</w:t>
      </w:r>
      <w:r w:rsidRPr="00E81173">
        <w:t xml:space="preserve"> (LCR</w:t>
      </w:r>
      <w:r w:rsidRPr="00E81173">
        <w:rPr>
          <w:vertAlign w:val="subscript"/>
        </w:rPr>
        <w:t>IB</w:t>
      </w:r>
      <w:r w:rsidRPr="00E81173">
        <w:t>);”.</w:t>
      </w:r>
    </w:p>
    <w:p w14:paraId="4E463D8F" w14:textId="4DBAC50D" w:rsidR="00D05B73" w:rsidRDefault="00D05B73" w:rsidP="00395A27">
      <w:pPr>
        <w:shd w:val="clear" w:color="auto" w:fill="FFFFFF" w:themeFill="background1"/>
        <w:tabs>
          <w:tab w:val="left" w:pos="851"/>
        </w:tabs>
        <w:ind w:firstLine="567"/>
      </w:pPr>
      <w:r w:rsidRPr="00E81173">
        <w:t>У зв</w:t>
      </w:r>
      <w:r w:rsidRPr="00E81173">
        <w:rPr>
          <w:lang w:val="ru-RU"/>
        </w:rPr>
        <w:t>’</w:t>
      </w:r>
      <w:proofErr w:type="spellStart"/>
      <w:r w:rsidRPr="00E81173">
        <w:t>язку</w:t>
      </w:r>
      <w:proofErr w:type="spellEnd"/>
      <w:r w:rsidRPr="00E81173">
        <w:t xml:space="preserve"> з цим абзаци десятий </w:t>
      </w:r>
      <w:r w:rsidR="008B2D33">
        <w:t>−</w:t>
      </w:r>
      <w:r w:rsidR="008B2D33" w:rsidRPr="00E81173">
        <w:t xml:space="preserve"> </w:t>
      </w:r>
      <w:r w:rsidRPr="00E81173">
        <w:t>двадцять третій уважати</w:t>
      </w:r>
      <w:r w:rsidRPr="007752AC">
        <w:t xml:space="preserve"> відповідно абзацами одинадцятим </w:t>
      </w:r>
      <w:r w:rsidR="008B2D33">
        <w:t>−</w:t>
      </w:r>
      <w:r w:rsidR="008B2D33" w:rsidRPr="007752AC">
        <w:t xml:space="preserve"> </w:t>
      </w:r>
      <w:r w:rsidRPr="007752AC">
        <w:t>двадцять четвертим</w:t>
      </w:r>
      <w:r w:rsidR="00E21068">
        <w:t>.</w:t>
      </w:r>
    </w:p>
    <w:p w14:paraId="2DFE6281" w14:textId="77777777" w:rsidR="002B4BF6" w:rsidRDefault="002B4BF6" w:rsidP="002B4BF6">
      <w:pPr>
        <w:shd w:val="clear" w:color="auto" w:fill="FFFFFF" w:themeFill="background1"/>
        <w:tabs>
          <w:tab w:val="left" w:pos="851"/>
        </w:tabs>
        <w:ind w:firstLine="567"/>
        <w:rPr>
          <w:highlight w:val="lightGray"/>
        </w:rPr>
      </w:pPr>
    </w:p>
    <w:p w14:paraId="62437A4E" w14:textId="22EEF7FC" w:rsidR="001679BD" w:rsidRPr="007752AC" w:rsidRDefault="001679BD" w:rsidP="00395A27">
      <w:pPr>
        <w:shd w:val="clear" w:color="auto" w:fill="FFFFFF" w:themeFill="background1"/>
        <w:tabs>
          <w:tab w:val="left" w:pos="851"/>
        </w:tabs>
        <w:ind w:firstLine="567"/>
      </w:pPr>
      <w:r w:rsidRPr="007752AC">
        <w:t xml:space="preserve">2. У розділі </w:t>
      </w:r>
      <w:r w:rsidRPr="007752AC">
        <w:rPr>
          <w:lang w:val="en-US"/>
        </w:rPr>
        <w:t>V</w:t>
      </w:r>
      <w:r w:rsidRPr="007752AC">
        <w:t>:</w:t>
      </w:r>
    </w:p>
    <w:p w14:paraId="75E56436" w14:textId="77777777" w:rsidR="001679BD" w:rsidRPr="007752AC" w:rsidRDefault="001679BD" w:rsidP="00395A27">
      <w:pPr>
        <w:shd w:val="clear" w:color="auto" w:fill="FFFFFF" w:themeFill="background1"/>
        <w:tabs>
          <w:tab w:val="left" w:pos="851"/>
        </w:tabs>
        <w:ind w:firstLine="567"/>
      </w:pPr>
    </w:p>
    <w:p w14:paraId="786A5498" w14:textId="19442C67" w:rsidR="001679BD" w:rsidRPr="007752AC" w:rsidRDefault="001679BD" w:rsidP="00395A27">
      <w:pPr>
        <w:shd w:val="clear" w:color="auto" w:fill="FFFFFF" w:themeFill="background1"/>
        <w:tabs>
          <w:tab w:val="left" w:pos="851"/>
        </w:tabs>
        <w:ind w:firstLine="567"/>
      </w:pPr>
      <w:r w:rsidRPr="007752AC">
        <w:t>1) у пункті 1.2 глави 1 слова</w:t>
      </w:r>
      <w:r w:rsidR="00A35428">
        <w:t xml:space="preserve"> та літери</w:t>
      </w:r>
      <w:r w:rsidRPr="007752AC">
        <w:t xml:space="preserve"> “</w:t>
      </w:r>
      <w:r w:rsidRPr="007752AC">
        <w:rPr>
          <w:rStyle w:val="rvts15"/>
        </w:rPr>
        <w:t>коефіцієнта покриття ліквідністю (LCR) за всіма валютами (LCR</w:t>
      </w:r>
      <w:r w:rsidRPr="007752AC">
        <w:rPr>
          <w:rStyle w:val="rvts15"/>
          <w:vertAlign w:val="subscript"/>
        </w:rPr>
        <w:t>BB</w:t>
      </w:r>
      <w:r w:rsidRPr="007752AC">
        <w:rPr>
          <w:rStyle w:val="rvts15"/>
        </w:rPr>
        <w:t>) та в іноземній валюті (LCR</w:t>
      </w:r>
      <w:r w:rsidRPr="007752AC">
        <w:rPr>
          <w:rStyle w:val="rvts15"/>
          <w:vertAlign w:val="subscript"/>
        </w:rPr>
        <w:t>IB</w:t>
      </w:r>
      <w:r w:rsidRPr="007752AC">
        <w:rPr>
          <w:rStyle w:val="rvts15"/>
        </w:rPr>
        <w:t>)</w:t>
      </w:r>
      <w:r w:rsidR="007752AC" w:rsidRPr="007752AC">
        <w:rPr>
          <w:rStyle w:val="rvts15"/>
        </w:rPr>
        <w:t>, коефіцієнта</w:t>
      </w:r>
      <w:r w:rsidRPr="007752AC">
        <w:t>” замінити словами</w:t>
      </w:r>
      <w:r w:rsidR="00A35428">
        <w:t xml:space="preserve"> та літерами</w:t>
      </w:r>
      <w:r w:rsidRPr="007752AC">
        <w:t xml:space="preserve"> “</w:t>
      </w:r>
      <w:r w:rsidRPr="007752AC">
        <w:rPr>
          <w:rStyle w:val="rvts15"/>
          <w:rFonts w:eastAsia="Calibri"/>
          <w:lang w:eastAsia="en-US"/>
        </w:rPr>
        <w:t>коефіцієнт покриття ліквідністю за всіма валютами (LCR</w:t>
      </w:r>
      <w:r w:rsidRPr="007752AC">
        <w:rPr>
          <w:rStyle w:val="rvts15"/>
          <w:rFonts w:eastAsia="Calibri"/>
          <w:vertAlign w:val="subscript"/>
          <w:lang w:eastAsia="en-US"/>
        </w:rPr>
        <w:t>BB</w:t>
      </w:r>
      <w:r w:rsidRPr="007752AC">
        <w:rPr>
          <w:rStyle w:val="rvts15"/>
          <w:rFonts w:eastAsia="Calibri"/>
          <w:lang w:eastAsia="en-US"/>
        </w:rPr>
        <w:t xml:space="preserve">), коефіцієнт покриття ліквідністю </w:t>
      </w:r>
      <w:r w:rsidR="005A2D85">
        <w:t>за іноземними валютами</w:t>
      </w:r>
      <w:r w:rsidR="005A2D85" w:rsidRPr="00E81173">
        <w:t xml:space="preserve"> </w:t>
      </w:r>
      <w:r w:rsidRPr="007752AC">
        <w:rPr>
          <w:rStyle w:val="rvts15"/>
          <w:rFonts w:eastAsia="Calibri"/>
          <w:lang w:eastAsia="en-US"/>
        </w:rPr>
        <w:t>(LCR</w:t>
      </w:r>
      <w:r w:rsidRPr="007752AC">
        <w:rPr>
          <w:rStyle w:val="rvts15"/>
          <w:rFonts w:eastAsia="Calibri"/>
          <w:vertAlign w:val="subscript"/>
          <w:lang w:eastAsia="en-US"/>
        </w:rPr>
        <w:t>IB</w:t>
      </w:r>
      <w:r w:rsidRPr="007752AC">
        <w:rPr>
          <w:rStyle w:val="rvts15"/>
          <w:rFonts w:eastAsia="Calibri"/>
          <w:lang w:eastAsia="en-US"/>
        </w:rPr>
        <w:t>)</w:t>
      </w:r>
      <w:r w:rsidR="007752AC" w:rsidRPr="007752AC">
        <w:rPr>
          <w:rStyle w:val="rvts15"/>
          <w:rFonts w:eastAsia="Calibri"/>
          <w:lang w:eastAsia="en-US"/>
        </w:rPr>
        <w:t>, коефіцієнт</w:t>
      </w:r>
      <w:r w:rsidRPr="007752AC">
        <w:t>”;</w:t>
      </w:r>
    </w:p>
    <w:p w14:paraId="1C2ADE3D" w14:textId="22799326" w:rsidR="001679BD" w:rsidRPr="007752AC" w:rsidRDefault="001679BD" w:rsidP="00395A27">
      <w:pPr>
        <w:shd w:val="clear" w:color="auto" w:fill="FFFFFF" w:themeFill="background1"/>
        <w:tabs>
          <w:tab w:val="left" w:pos="851"/>
        </w:tabs>
        <w:ind w:firstLine="567"/>
      </w:pPr>
    </w:p>
    <w:p w14:paraId="76B62CAA" w14:textId="726A2354" w:rsidR="001679BD" w:rsidRPr="007752AC" w:rsidRDefault="001679BD" w:rsidP="001679BD">
      <w:pPr>
        <w:shd w:val="clear" w:color="auto" w:fill="FFFFFF" w:themeFill="background1"/>
        <w:ind w:firstLine="540"/>
      </w:pPr>
      <w:r w:rsidRPr="007752AC">
        <w:t>2)</w:t>
      </w:r>
      <w:r w:rsidRPr="007752AC">
        <w:rPr>
          <w:lang w:val="en-US"/>
        </w:rPr>
        <w:t> </w:t>
      </w:r>
      <w:r w:rsidRPr="007752AC">
        <w:t>глав</w:t>
      </w:r>
      <w:r w:rsidRPr="007752AC">
        <w:rPr>
          <w:lang w:val="ru-RU"/>
        </w:rPr>
        <w:t xml:space="preserve">у 2 </w:t>
      </w:r>
      <w:r w:rsidRPr="007752AC">
        <w:t>викласти в такій редакції:</w:t>
      </w:r>
    </w:p>
    <w:p w14:paraId="5F538938" w14:textId="7B99D388" w:rsidR="001679BD" w:rsidRPr="007752AC" w:rsidRDefault="001679BD" w:rsidP="00390BFC">
      <w:pPr>
        <w:ind w:firstLine="567"/>
        <w:jc w:val="center"/>
      </w:pPr>
      <w:r w:rsidRPr="007752AC">
        <w:t>“</w:t>
      </w:r>
      <w:r w:rsidR="00D87EA2" w:rsidRPr="007752AC">
        <w:t>2. </w:t>
      </w:r>
      <w:r w:rsidRPr="007752AC">
        <w:t>Коефіцієнт покриття ліквідністю за всіма валютами (LCR</w:t>
      </w:r>
      <w:r w:rsidRPr="007752AC">
        <w:rPr>
          <w:vertAlign w:val="subscript"/>
        </w:rPr>
        <w:t>BB</w:t>
      </w:r>
      <w:r w:rsidRPr="007752AC">
        <w:t xml:space="preserve">) та коефіцієнт покриття ліквідністю </w:t>
      </w:r>
      <w:r w:rsidR="005A2D85">
        <w:t>за іноземними валютами</w:t>
      </w:r>
      <w:r w:rsidR="005A2D85" w:rsidRPr="00E81173">
        <w:t xml:space="preserve"> </w:t>
      </w:r>
      <w:r w:rsidRPr="007752AC">
        <w:t>(LCR</w:t>
      </w:r>
      <w:r w:rsidRPr="007752AC">
        <w:rPr>
          <w:vertAlign w:val="subscript"/>
        </w:rPr>
        <w:t>IB</w:t>
      </w:r>
      <w:r w:rsidRPr="007752AC">
        <w:t>)</w:t>
      </w:r>
    </w:p>
    <w:p w14:paraId="22C418B0" w14:textId="77777777" w:rsidR="001679BD" w:rsidRPr="007752AC" w:rsidRDefault="001679BD" w:rsidP="001679BD">
      <w:pPr>
        <w:ind w:firstLine="567"/>
      </w:pPr>
    </w:p>
    <w:p w14:paraId="57F3EEA1" w14:textId="13D35868" w:rsidR="001679BD" w:rsidRPr="007752AC" w:rsidRDefault="001679BD" w:rsidP="001679BD">
      <w:pPr>
        <w:ind w:firstLine="567"/>
      </w:pPr>
      <w:r w:rsidRPr="007752AC">
        <w:t>1. Коефіцієнт покриття ліквідністю за всіма валютами (LCR</w:t>
      </w:r>
      <w:r w:rsidRPr="007752AC">
        <w:rPr>
          <w:vertAlign w:val="subscript"/>
        </w:rPr>
        <w:t>BB</w:t>
      </w:r>
      <w:r w:rsidRPr="007752AC">
        <w:t xml:space="preserve">) – норматив ліквідності, який установлює мінімально необхідний рівень ліквідності за всіма валютами для покриття чистого очікуваного відпливу грошових коштів за всіма валютами протягом 30 календарних днів з урахуванням стрес-сценарію (далі </w:t>
      </w:r>
      <w:r w:rsidR="00C6336D">
        <w:t>−</w:t>
      </w:r>
      <w:r w:rsidR="00C6336D" w:rsidRPr="007752AC">
        <w:t xml:space="preserve"> </w:t>
      </w:r>
      <w:r w:rsidRPr="007752AC">
        <w:t>чистий очікуваний відплив грошових коштів за всіма валютами).</w:t>
      </w:r>
    </w:p>
    <w:p w14:paraId="44167666" w14:textId="56828D39" w:rsidR="001679BD" w:rsidRPr="007752AC" w:rsidRDefault="001679BD" w:rsidP="001679BD">
      <w:pPr>
        <w:ind w:firstLine="567"/>
      </w:pPr>
      <w:r w:rsidRPr="007752AC">
        <w:t>Банк розраховує коефіцієнт покриття ліквідністю за всіма валютами (LCR</w:t>
      </w:r>
      <w:r w:rsidRPr="007752AC">
        <w:rPr>
          <w:vertAlign w:val="subscript"/>
        </w:rPr>
        <w:t>BB</w:t>
      </w:r>
      <w:r w:rsidRPr="007752AC">
        <w:t>) щодня як відношення високоякісних ліквідних активів за всіма валютами</w:t>
      </w:r>
      <w:r w:rsidR="00944D12" w:rsidRPr="00944D12">
        <w:t xml:space="preserve"> </w:t>
      </w:r>
      <w:r w:rsidR="005E0A86" w:rsidRPr="00944D12">
        <w:t>до</w:t>
      </w:r>
      <w:r w:rsidR="005E0A86">
        <w:t xml:space="preserve"> </w:t>
      </w:r>
      <w:r w:rsidRPr="007752AC">
        <w:t>чистого очікуваного відпливу грошових коштів за всіма валютами.</w:t>
      </w:r>
    </w:p>
    <w:p w14:paraId="2CC8EDB7" w14:textId="77777777" w:rsidR="001679BD" w:rsidRPr="007752AC" w:rsidRDefault="001679BD" w:rsidP="001679BD">
      <w:pPr>
        <w:ind w:firstLine="567"/>
      </w:pPr>
      <w:r w:rsidRPr="007752AC">
        <w:t>Банк відносить до високоякісних ліквідних активів за всіма валютами активи, що відповідають характеристикам та вимогам, установленим Національним банком.</w:t>
      </w:r>
    </w:p>
    <w:p w14:paraId="280F992F" w14:textId="3C19C639" w:rsidR="00F805A1" w:rsidRDefault="00F805A1" w:rsidP="00F805A1">
      <w:pPr>
        <w:ind w:firstLine="567"/>
      </w:pPr>
      <w:r>
        <w:t xml:space="preserve">Банк розраховує чистий очікуваний відплив грошових коштів за всіма валютами як різницю сукупних очікуваних відпливів і сукупних очікуваних надходжень грошових коштів за всіма валютами. </w:t>
      </w:r>
      <w:r w:rsidR="006B6479">
        <w:t xml:space="preserve"> </w:t>
      </w:r>
    </w:p>
    <w:p w14:paraId="7974703F" w14:textId="77777777" w:rsidR="00F805A1" w:rsidRPr="00CF06A0" w:rsidRDefault="00F805A1" w:rsidP="00F805A1">
      <w:pPr>
        <w:ind w:firstLine="567"/>
      </w:pPr>
      <w:r>
        <w:t xml:space="preserve">Банк визначає сукупні очікувані відпливи та сукупні очікувані надходження грошових коштів за всіма валютами на підставі очікуваних відпливів та </w:t>
      </w:r>
      <w:r>
        <w:lastRenderedPageBreak/>
        <w:t xml:space="preserve">очікуваних надходжень грошових коштів за всіма валютами із застосуванням коефіцієнтів очікуваних відпливів та очікуваних надходжень, установлених </w:t>
      </w:r>
      <w:r w:rsidRPr="00CF06A0">
        <w:t>Національним банком на основі стрес-сценарію.</w:t>
      </w:r>
    </w:p>
    <w:p w14:paraId="7197FADE" w14:textId="00EB49DF" w:rsidR="00F805A1" w:rsidRPr="00CF06A0" w:rsidRDefault="00F805A1" w:rsidP="00F805A1">
      <w:pPr>
        <w:ind w:firstLine="567"/>
      </w:pPr>
      <w:r w:rsidRPr="00CF06A0">
        <w:t xml:space="preserve"> </w:t>
      </w:r>
      <w:r w:rsidR="0052638D" w:rsidRPr="00CF06A0">
        <w:t>Банк під час розрахунку чистого очікуваного відпливу грошових коштів за всіма валютами не враховує суму сукупних очікуваних надходжень за всіма валютами, яка перевищує 75% від сукупних очікуваних відпливів за всіма валютами.</w:t>
      </w:r>
    </w:p>
    <w:p w14:paraId="6B3BF42A" w14:textId="1053956C" w:rsidR="001679BD" w:rsidRPr="00CF06A0" w:rsidRDefault="001679BD" w:rsidP="00F805A1">
      <w:pPr>
        <w:ind w:firstLine="567"/>
      </w:pPr>
      <w:r w:rsidRPr="00CF06A0">
        <w:t xml:space="preserve"> </w:t>
      </w:r>
    </w:p>
    <w:p w14:paraId="7612CE30" w14:textId="6E574B86" w:rsidR="001679BD" w:rsidRPr="007752AC" w:rsidRDefault="001679BD" w:rsidP="001679BD">
      <w:pPr>
        <w:ind w:firstLine="567"/>
      </w:pPr>
      <w:r w:rsidRPr="00CF06A0">
        <w:t>2. Коефіцієнт</w:t>
      </w:r>
      <w:r w:rsidRPr="007752AC">
        <w:t xml:space="preserve"> покриття ліквідністю </w:t>
      </w:r>
      <w:r w:rsidR="005A2D85">
        <w:t>за іноземними валютами</w:t>
      </w:r>
      <w:r w:rsidRPr="007752AC">
        <w:t xml:space="preserve"> (LCR</w:t>
      </w:r>
      <w:r w:rsidRPr="007752AC">
        <w:rPr>
          <w:vertAlign w:val="subscript"/>
        </w:rPr>
        <w:t>IB</w:t>
      </w:r>
      <w:r w:rsidRPr="007752AC">
        <w:t xml:space="preserve">) – норматив ліквідності, який установлює мінімально необхідний рівень ліквідності </w:t>
      </w:r>
      <w:r w:rsidR="005A2D85">
        <w:t>за всіма іноземними валютами</w:t>
      </w:r>
      <w:r w:rsidR="005A2D85" w:rsidRPr="007752AC">
        <w:t xml:space="preserve"> </w:t>
      </w:r>
      <w:r w:rsidRPr="007752AC">
        <w:t xml:space="preserve">для покриття чистого очікуваного відпливу грошових коштів </w:t>
      </w:r>
      <w:r w:rsidR="005A2D85">
        <w:t>за всіма іноземними валютами</w:t>
      </w:r>
      <w:r w:rsidR="005A2D85" w:rsidRPr="007752AC">
        <w:t xml:space="preserve"> </w:t>
      </w:r>
      <w:r w:rsidR="005A2D85">
        <w:t>протягом 30 </w:t>
      </w:r>
      <w:r w:rsidRPr="007752AC">
        <w:t xml:space="preserve">календарних днів з урахуванням стрес-сценарію (далі </w:t>
      </w:r>
      <w:r w:rsidR="00552597">
        <w:t>−</w:t>
      </w:r>
      <w:r w:rsidRPr="007752AC">
        <w:t xml:space="preserve"> чистий очікуваний відплив грошових коштів </w:t>
      </w:r>
      <w:r w:rsidR="005A2D85">
        <w:t>за іноземними валютами</w:t>
      </w:r>
      <w:r w:rsidRPr="007752AC">
        <w:t>).</w:t>
      </w:r>
    </w:p>
    <w:p w14:paraId="4A7D0D09" w14:textId="2A7927D2" w:rsidR="001679BD" w:rsidRPr="007752AC" w:rsidRDefault="001679BD" w:rsidP="001679BD">
      <w:pPr>
        <w:ind w:firstLine="567"/>
      </w:pPr>
      <w:r w:rsidRPr="007752AC">
        <w:t xml:space="preserve">Банк </w:t>
      </w:r>
      <w:r w:rsidRPr="00944D12">
        <w:t xml:space="preserve">розраховує коефіцієнт покриття ліквідністю </w:t>
      </w:r>
      <w:r w:rsidR="005A2D85" w:rsidRPr="00944D12">
        <w:t xml:space="preserve">за іноземними валютами </w:t>
      </w:r>
      <w:r w:rsidRPr="00944D12">
        <w:t>(LCR</w:t>
      </w:r>
      <w:r w:rsidRPr="00944D12">
        <w:rPr>
          <w:vertAlign w:val="subscript"/>
        </w:rPr>
        <w:t>IB</w:t>
      </w:r>
      <w:r w:rsidRPr="00944D12">
        <w:t xml:space="preserve">) щодня як відношення високоякісних ліквідних активів </w:t>
      </w:r>
      <w:r w:rsidR="005A2D85" w:rsidRPr="00944D12">
        <w:t xml:space="preserve">за іноземними валютами </w:t>
      </w:r>
      <w:r w:rsidRPr="00944D12">
        <w:t>до чистого</w:t>
      </w:r>
      <w:r w:rsidRPr="007752AC">
        <w:t xml:space="preserve"> очікуваного відпливу грошових коштів </w:t>
      </w:r>
      <w:r w:rsidR="005A2D85">
        <w:t>за іноземними валютами</w:t>
      </w:r>
      <w:r w:rsidRPr="007752AC">
        <w:t>.</w:t>
      </w:r>
    </w:p>
    <w:p w14:paraId="3A69E704" w14:textId="26C80A1B" w:rsidR="001679BD" w:rsidRPr="007752AC" w:rsidRDefault="001679BD" w:rsidP="001679BD">
      <w:pPr>
        <w:ind w:firstLine="567"/>
      </w:pPr>
      <w:r w:rsidRPr="007752AC">
        <w:t xml:space="preserve">Банк відносить до високоякісних ліквідних активів </w:t>
      </w:r>
      <w:r w:rsidR="005A2D85">
        <w:t>за іноземними валютами</w:t>
      </w:r>
      <w:r w:rsidR="005A2D85" w:rsidRPr="007752AC">
        <w:t xml:space="preserve"> </w:t>
      </w:r>
      <w:r w:rsidRPr="007752AC">
        <w:t>активи, що відповідають характеристикам та вимогам, установленим Національним банком.</w:t>
      </w:r>
    </w:p>
    <w:p w14:paraId="15E9280A" w14:textId="77777777" w:rsidR="00F805A1" w:rsidRDefault="00F805A1" w:rsidP="00F805A1">
      <w:pPr>
        <w:ind w:firstLine="567"/>
      </w:pPr>
      <w:r>
        <w:t xml:space="preserve">Банк розраховує чистий очікуваний відплив грошових коштів за іноземними валютами як різницю сукупних очікуваних відпливів і сукупних очікуваних надходжень грошових коштів за іноземними валютами. </w:t>
      </w:r>
    </w:p>
    <w:p w14:paraId="2CB1C1C7" w14:textId="77777777" w:rsidR="00F805A1" w:rsidRDefault="00F805A1" w:rsidP="00F805A1">
      <w:pPr>
        <w:ind w:firstLine="567"/>
      </w:pPr>
      <w:r>
        <w:t>Банк визначає сукупні очікувані відпливи та сукупні очікувані надходження грошових коштів за іноземними валютами на підставі очікуваних відпливів та надходжень грошових коштів за іноземними валютами із застосуванням коефіцієнтів очікуваних відпливів та очікуваних надходжень грошових коштів, установлених Національним банком на основі стрес-сценарію.</w:t>
      </w:r>
    </w:p>
    <w:p w14:paraId="15B23390" w14:textId="1F81026F" w:rsidR="0052638D" w:rsidRDefault="0052638D" w:rsidP="00F805A1">
      <w:pPr>
        <w:ind w:firstLine="567"/>
      </w:pPr>
      <w:r w:rsidRPr="00CF06A0">
        <w:t>Банк під час розрахунку чистого очікуваного відпливу грошових коштів за іноземними валютами  не враховує суму сукупних очікуваних надходжень за іноземними валютами, яка перевищує 75% від сукупних очікуваних відпливів за іноземними валютами.</w:t>
      </w:r>
    </w:p>
    <w:p w14:paraId="45836A5C" w14:textId="77777777" w:rsidR="001679BD" w:rsidRPr="007752AC" w:rsidRDefault="001679BD" w:rsidP="001679BD">
      <w:pPr>
        <w:ind w:firstLine="567"/>
      </w:pPr>
    </w:p>
    <w:p w14:paraId="5D942077" w14:textId="469CB3F1" w:rsidR="001679BD" w:rsidRPr="007752AC" w:rsidRDefault="001679BD" w:rsidP="001679BD">
      <w:pPr>
        <w:ind w:firstLine="567"/>
      </w:pPr>
      <w:r w:rsidRPr="007752AC">
        <w:t>3. Банк здійснює розрахунок коефіцієнта покриття ліквідністю за всіма валютами (LCR</w:t>
      </w:r>
      <w:r w:rsidRPr="007752AC">
        <w:rPr>
          <w:vertAlign w:val="subscript"/>
        </w:rPr>
        <w:t>BB</w:t>
      </w:r>
      <w:r w:rsidRPr="007752AC">
        <w:t xml:space="preserve">) та коефіцієнта покриття ліквідністю </w:t>
      </w:r>
      <w:r w:rsidR="005A2D85">
        <w:t>за іноземними валютами</w:t>
      </w:r>
      <w:r w:rsidR="005A2D85" w:rsidRPr="007752AC">
        <w:t xml:space="preserve"> </w:t>
      </w:r>
      <w:r w:rsidRPr="007752AC">
        <w:t>(LCR</w:t>
      </w:r>
      <w:r w:rsidRPr="007752AC">
        <w:rPr>
          <w:vertAlign w:val="subscript"/>
        </w:rPr>
        <w:t>IB</w:t>
      </w:r>
      <w:r w:rsidRPr="007752AC">
        <w:t xml:space="preserve">) відповідно до </w:t>
      </w:r>
      <w:r w:rsidR="00E4407B">
        <w:t>М</w:t>
      </w:r>
      <w:r w:rsidRPr="007752AC">
        <w:t>етодики розрахунку коефіцієнта покриття ліквідністю (LCR), установленої Національним банком.</w:t>
      </w:r>
    </w:p>
    <w:p w14:paraId="16AE554B" w14:textId="77777777" w:rsidR="001679BD" w:rsidRPr="007752AC" w:rsidRDefault="001679BD" w:rsidP="001679BD">
      <w:pPr>
        <w:ind w:firstLine="567"/>
      </w:pPr>
    </w:p>
    <w:p w14:paraId="390ACC7A" w14:textId="0680B2D1" w:rsidR="001679BD" w:rsidRPr="007752AC" w:rsidRDefault="001679BD" w:rsidP="001679BD">
      <w:pPr>
        <w:ind w:firstLine="567"/>
      </w:pPr>
      <w:r w:rsidRPr="007752AC">
        <w:t>4. Нормативні значення коефіцієнта покриття ліквідністю за всіма валютами (LCR</w:t>
      </w:r>
      <w:r w:rsidRPr="007752AC">
        <w:rPr>
          <w:vertAlign w:val="subscript"/>
        </w:rPr>
        <w:t>BB</w:t>
      </w:r>
      <w:r w:rsidRPr="007752AC">
        <w:t xml:space="preserve">) та коефіцієнта покриття ліквідністю </w:t>
      </w:r>
      <w:r w:rsidR="005A2D85">
        <w:t>за іноземними валютами</w:t>
      </w:r>
      <w:r w:rsidR="005A2D85" w:rsidRPr="007752AC">
        <w:t xml:space="preserve"> </w:t>
      </w:r>
      <w:r w:rsidRPr="007752AC">
        <w:t>(LCR</w:t>
      </w:r>
      <w:r w:rsidRPr="007752AC">
        <w:rPr>
          <w:vertAlign w:val="subscript"/>
        </w:rPr>
        <w:t>IB</w:t>
      </w:r>
      <w:r w:rsidRPr="007752AC">
        <w:t>) мають бути не менш</w:t>
      </w:r>
      <w:r w:rsidR="00E002CF">
        <w:t>е</w:t>
      </w:r>
      <w:r w:rsidRPr="007752AC">
        <w:t xml:space="preserve"> ніж 100%.</w:t>
      </w:r>
    </w:p>
    <w:p w14:paraId="47E93B3B" w14:textId="54CD1BFF" w:rsidR="001679BD" w:rsidRPr="007752AC" w:rsidRDefault="001679BD" w:rsidP="00BC1855">
      <w:pPr>
        <w:ind w:firstLine="567"/>
      </w:pPr>
      <w:r w:rsidRPr="007752AC">
        <w:lastRenderedPageBreak/>
        <w:t>Банк має дотримуватис</w:t>
      </w:r>
      <w:r w:rsidR="00552597">
        <w:t>я</w:t>
      </w:r>
      <w:r w:rsidRPr="007752AC">
        <w:t xml:space="preserve"> нормативного значення коефіцієнта покриття ліквідністю </w:t>
      </w:r>
      <w:r w:rsidR="005A2D85">
        <w:t>за іноземними валютами</w:t>
      </w:r>
      <w:r w:rsidR="005A2D85" w:rsidRPr="007752AC">
        <w:t xml:space="preserve"> </w:t>
      </w:r>
      <w:r w:rsidRPr="007752AC">
        <w:t>(LCR</w:t>
      </w:r>
      <w:r w:rsidRPr="007752AC">
        <w:rPr>
          <w:vertAlign w:val="subscript"/>
        </w:rPr>
        <w:t>IB</w:t>
      </w:r>
      <w:r w:rsidRPr="007752AC">
        <w:t xml:space="preserve">), якщо середньоарифметичне значення відношення зобов’язань </w:t>
      </w:r>
      <w:r w:rsidR="005A2D85">
        <w:t>за іноземними валютами</w:t>
      </w:r>
      <w:r w:rsidR="005A2D85" w:rsidRPr="007752AC">
        <w:t xml:space="preserve"> </w:t>
      </w:r>
      <w:r w:rsidRPr="007752AC">
        <w:t>до всіх зобов’язань банку, розраховане за останні</w:t>
      </w:r>
      <w:r w:rsidR="00552597">
        <w:t>х</w:t>
      </w:r>
      <w:r w:rsidRPr="007752AC">
        <w:t xml:space="preserve"> 30 календарних днів, становить  5% і більше.”;</w:t>
      </w:r>
    </w:p>
    <w:p w14:paraId="25918655" w14:textId="3A14D067" w:rsidR="00395A27" w:rsidRPr="007752AC" w:rsidRDefault="00395A27" w:rsidP="00395A27">
      <w:pPr>
        <w:shd w:val="clear" w:color="auto" w:fill="FFFFFF" w:themeFill="background1"/>
        <w:tabs>
          <w:tab w:val="left" w:pos="851"/>
        </w:tabs>
        <w:ind w:firstLine="567"/>
      </w:pPr>
    </w:p>
    <w:p w14:paraId="664994B1" w14:textId="77777777" w:rsidR="00872F87" w:rsidRDefault="001679BD" w:rsidP="00395A27">
      <w:pPr>
        <w:shd w:val="clear" w:color="auto" w:fill="FFFFFF" w:themeFill="background1"/>
        <w:tabs>
          <w:tab w:val="left" w:pos="851"/>
        </w:tabs>
        <w:ind w:firstLine="567"/>
      </w:pPr>
      <w:r w:rsidRPr="007752AC">
        <w:t>3</w:t>
      </w:r>
      <w:r w:rsidR="00D87EA2" w:rsidRPr="007752AC">
        <w:t>) </w:t>
      </w:r>
      <w:r w:rsidRPr="007752AC">
        <w:t> </w:t>
      </w:r>
      <w:r w:rsidR="00872F87">
        <w:t>у главі 3:</w:t>
      </w:r>
    </w:p>
    <w:p w14:paraId="209FD062" w14:textId="2E47C2E6" w:rsidR="00872F87" w:rsidRDefault="006A2C86" w:rsidP="00395A27">
      <w:pPr>
        <w:shd w:val="clear" w:color="auto" w:fill="FFFFFF" w:themeFill="background1"/>
        <w:tabs>
          <w:tab w:val="left" w:pos="851"/>
        </w:tabs>
        <w:ind w:firstLine="567"/>
      </w:pPr>
      <w:r w:rsidRPr="007752AC">
        <w:t xml:space="preserve">у </w:t>
      </w:r>
      <w:r w:rsidR="00E60DBD">
        <w:t xml:space="preserve">пункті 1 </w:t>
      </w:r>
      <w:r w:rsidRPr="007752AC">
        <w:t>слова “</w:t>
      </w:r>
      <w:r w:rsidRPr="007752AC">
        <w:rPr>
          <w:rStyle w:val="rvts15"/>
        </w:rPr>
        <w:t xml:space="preserve">, достатній для забезпечення фінансування </w:t>
      </w:r>
      <w:r w:rsidRPr="007752AC">
        <w:t>” виключити</w:t>
      </w:r>
      <w:r w:rsidR="00872F87">
        <w:t>;</w:t>
      </w:r>
    </w:p>
    <w:p w14:paraId="783A6DE3" w14:textId="77777777" w:rsidR="00872F87" w:rsidRPr="007752AC" w:rsidRDefault="00872F87" w:rsidP="00872F87">
      <w:pPr>
        <w:shd w:val="clear" w:color="auto" w:fill="FFFFFF" w:themeFill="background1"/>
        <w:ind w:firstLine="540"/>
      </w:pPr>
      <w:r>
        <w:t xml:space="preserve">пункт 5 викласти </w:t>
      </w:r>
      <w:r w:rsidRPr="007752AC">
        <w:t>в такій редакції:</w:t>
      </w:r>
    </w:p>
    <w:p w14:paraId="4B8BE459" w14:textId="01E140AB" w:rsidR="001679BD" w:rsidRPr="007752AC" w:rsidRDefault="00872F87" w:rsidP="00872F87">
      <w:pPr>
        <w:shd w:val="clear" w:color="auto" w:fill="FFFFFF" w:themeFill="background1"/>
        <w:tabs>
          <w:tab w:val="left" w:pos="851"/>
        </w:tabs>
        <w:ind w:firstLine="567"/>
      </w:pPr>
      <w:r w:rsidRPr="007752AC">
        <w:t>“</w:t>
      </w:r>
      <w:r w:rsidRPr="00872F87">
        <w:t>5. Нормативне значення коефіцієнта чистого стабільного фінансування (NSFR) має бути не менше ніж 100%</w:t>
      </w:r>
      <w:r>
        <w:t>.</w:t>
      </w:r>
      <w:r w:rsidRPr="006626B2">
        <w:rPr>
          <w:lang w:val="ru-RU"/>
        </w:rPr>
        <w:t>”</w:t>
      </w:r>
      <w:r w:rsidR="006A2C86" w:rsidRPr="007752AC">
        <w:t>.</w:t>
      </w:r>
    </w:p>
    <w:p w14:paraId="5225E445" w14:textId="77777777" w:rsidR="001679BD" w:rsidRPr="007752AC" w:rsidRDefault="001679BD" w:rsidP="00395A27">
      <w:pPr>
        <w:shd w:val="clear" w:color="auto" w:fill="FFFFFF" w:themeFill="background1"/>
        <w:tabs>
          <w:tab w:val="left" w:pos="851"/>
        </w:tabs>
        <w:ind w:firstLine="567"/>
      </w:pPr>
    </w:p>
    <w:p w14:paraId="0FD55E84" w14:textId="6FC32B88" w:rsidR="001679BD" w:rsidRPr="00EA290A" w:rsidRDefault="006A2C86" w:rsidP="00395A27">
      <w:pPr>
        <w:shd w:val="clear" w:color="auto" w:fill="FFFFFF" w:themeFill="background1"/>
        <w:tabs>
          <w:tab w:val="left" w:pos="851"/>
        </w:tabs>
        <w:ind w:firstLine="567"/>
      </w:pPr>
      <w:r w:rsidRPr="007752AC">
        <w:t>3. У розділі І</w:t>
      </w:r>
      <w:r w:rsidRPr="007752AC">
        <w:rPr>
          <w:lang w:val="en-US"/>
        </w:rPr>
        <w:t>X</w:t>
      </w:r>
      <w:r w:rsidRPr="00EA290A">
        <w:t>:</w:t>
      </w:r>
    </w:p>
    <w:p w14:paraId="2D69E868" w14:textId="77777777" w:rsidR="006A2C86" w:rsidRPr="00EA290A" w:rsidRDefault="006A2C86" w:rsidP="00395A27">
      <w:pPr>
        <w:shd w:val="clear" w:color="auto" w:fill="FFFFFF" w:themeFill="background1"/>
        <w:tabs>
          <w:tab w:val="left" w:pos="851"/>
        </w:tabs>
        <w:ind w:firstLine="567"/>
      </w:pPr>
    </w:p>
    <w:p w14:paraId="0514567B" w14:textId="2D3A2BA3" w:rsidR="00B75EB5" w:rsidRPr="00B75EB5" w:rsidRDefault="006A2C86" w:rsidP="00395A27">
      <w:pPr>
        <w:shd w:val="clear" w:color="auto" w:fill="FFFFFF" w:themeFill="background1"/>
        <w:tabs>
          <w:tab w:val="left" w:pos="851"/>
        </w:tabs>
        <w:ind w:firstLine="567"/>
      </w:pPr>
      <w:r w:rsidRPr="00EA290A">
        <w:t>1)</w:t>
      </w:r>
      <w:r w:rsidRPr="007752AC">
        <w:rPr>
          <w:lang w:val="en-US"/>
        </w:rPr>
        <w:t> </w:t>
      </w:r>
      <w:r w:rsidRPr="007752AC">
        <w:t xml:space="preserve">у підпункті “г” пункту 1.2 </w:t>
      </w:r>
      <w:r w:rsidR="00C17C2D" w:rsidRPr="007752AC">
        <w:t xml:space="preserve">глави 1 </w:t>
      </w:r>
      <w:r w:rsidR="00D47BB4">
        <w:t xml:space="preserve">літери та </w:t>
      </w:r>
      <w:r w:rsidRPr="007752AC">
        <w:t>слова “</w:t>
      </w:r>
      <w:r w:rsidRPr="007752AC">
        <w:rPr>
          <w:rStyle w:val="rvts15"/>
        </w:rPr>
        <w:t>(LCR) за всіма валютами (LCR</w:t>
      </w:r>
      <w:r w:rsidRPr="007752AC">
        <w:rPr>
          <w:rStyle w:val="rvts15"/>
          <w:vertAlign w:val="subscript"/>
        </w:rPr>
        <w:t>BB</w:t>
      </w:r>
      <w:r w:rsidRPr="007752AC">
        <w:rPr>
          <w:rStyle w:val="rvts15"/>
        </w:rPr>
        <w:t>) та в іноземній валюті (LCR</w:t>
      </w:r>
      <w:r w:rsidRPr="007752AC">
        <w:rPr>
          <w:rStyle w:val="rvts15"/>
          <w:vertAlign w:val="subscript"/>
        </w:rPr>
        <w:t>IB</w:t>
      </w:r>
      <w:r w:rsidRPr="007752AC">
        <w:rPr>
          <w:rStyle w:val="rvts15"/>
        </w:rPr>
        <w:t>)</w:t>
      </w:r>
      <w:r w:rsidRPr="007752AC">
        <w:t xml:space="preserve">” замінити словами </w:t>
      </w:r>
      <w:r w:rsidR="00D47BB4">
        <w:t xml:space="preserve">та літерами </w:t>
      </w:r>
      <w:r w:rsidRPr="007752AC">
        <w:t>“</w:t>
      </w:r>
      <w:r w:rsidRPr="007752AC">
        <w:rPr>
          <w:rStyle w:val="rvts15"/>
          <w:rFonts w:eastAsia="Calibri"/>
          <w:lang w:eastAsia="en-US"/>
        </w:rPr>
        <w:t>за всіма валютами (LCR</w:t>
      </w:r>
      <w:r w:rsidRPr="007752AC">
        <w:rPr>
          <w:rStyle w:val="rvts15"/>
          <w:rFonts w:eastAsia="Calibri"/>
          <w:vertAlign w:val="subscript"/>
          <w:lang w:eastAsia="en-US"/>
        </w:rPr>
        <w:t>BB</w:t>
      </w:r>
      <w:r w:rsidRPr="007752AC">
        <w:rPr>
          <w:rStyle w:val="rvts15"/>
          <w:rFonts w:eastAsia="Calibri"/>
          <w:lang w:eastAsia="en-US"/>
        </w:rPr>
        <w:t>)</w:t>
      </w:r>
      <w:r w:rsidR="0002560A">
        <w:rPr>
          <w:rStyle w:val="rvts15"/>
          <w:rFonts w:eastAsia="Calibri"/>
          <w:lang w:eastAsia="en-US"/>
        </w:rPr>
        <w:t xml:space="preserve"> та</w:t>
      </w:r>
      <w:r w:rsidRPr="007752AC">
        <w:rPr>
          <w:rStyle w:val="rvts15"/>
          <w:rFonts w:eastAsia="Calibri"/>
          <w:lang w:eastAsia="en-US"/>
        </w:rPr>
        <w:t xml:space="preserve"> коефіцієнт</w:t>
      </w:r>
      <w:r w:rsidR="00E40980">
        <w:rPr>
          <w:rStyle w:val="rvts15"/>
          <w:rFonts w:eastAsia="Calibri"/>
          <w:lang w:eastAsia="en-US"/>
        </w:rPr>
        <w:t>а</w:t>
      </w:r>
      <w:r w:rsidRPr="007752AC">
        <w:rPr>
          <w:rStyle w:val="rvts15"/>
          <w:rFonts w:eastAsia="Calibri"/>
          <w:lang w:eastAsia="en-US"/>
        </w:rPr>
        <w:t xml:space="preserve"> покриття ліквідністю </w:t>
      </w:r>
      <w:r w:rsidR="009D690B">
        <w:t>за іноземними валютами</w:t>
      </w:r>
      <w:r w:rsidRPr="007752AC">
        <w:rPr>
          <w:rStyle w:val="rvts15"/>
          <w:rFonts w:eastAsia="Calibri"/>
          <w:lang w:eastAsia="en-US"/>
        </w:rPr>
        <w:t xml:space="preserve"> (LCR</w:t>
      </w:r>
      <w:r w:rsidRPr="007752AC">
        <w:rPr>
          <w:rStyle w:val="rvts15"/>
          <w:rFonts w:eastAsia="Calibri"/>
          <w:vertAlign w:val="subscript"/>
          <w:lang w:eastAsia="en-US"/>
        </w:rPr>
        <w:t>IB</w:t>
      </w:r>
      <w:r w:rsidRPr="007752AC">
        <w:rPr>
          <w:rStyle w:val="rvts15"/>
          <w:rFonts w:eastAsia="Calibri"/>
          <w:lang w:eastAsia="en-US"/>
        </w:rPr>
        <w:t>)</w:t>
      </w:r>
      <w:r w:rsidRPr="007752AC">
        <w:t>”;</w:t>
      </w:r>
    </w:p>
    <w:p w14:paraId="0609EF87" w14:textId="3E38A663" w:rsidR="006A2C86" w:rsidRPr="007752AC" w:rsidRDefault="006A2C86" w:rsidP="00395A27">
      <w:pPr>
        <w:shd w:val="clear" w:color="auto" w:fill="FFFFFF" w:themeFill="background1"/>
        <w:tabs>
          <w:tab w:val="left" w:pos="851"/>
        </w:tabs>
        <w:ind w:firstLine="567"/>
      </w:pPr>
    </w:p>
    <w:p w14:paraId="3502A0C7" w14:textId="7E8F99B7" w:rsidR="006A2C86" w:rsidRPr="007752AC" w:rsidRDefault="00395A27" w:rsidP="00395A27">
      <w:pPr>
        <w:shd w:val="clear" w:color="auto" w:fill="FFFFFF" w:themeFill="background1"/>
        <w:tabs>
          <w:tab w:val="left" w:pos="851"/>
        </w:tabs>
        <w:ind w:firstLine="567"/>
      </w:pPr>
      <w:r w:rsidRPr="007752AC">
        <w:t xml:space="preserve">2) </w:t>
      </w:r>
      <w:r w:rsidR="00C17C2D" w:rsidRPr="007752AC">
        <w:t>пункт 3.4 глави 3</w:t>
      </w:r>
      <w:r w:rsidR="00FF45C5" w:rsidRPr="007752AC">
        <w:t xml:space="preserve"> викласти </w:t>
      </w:r>
      <w:r w:rsidR="00D34AEB">
        <w:t>в</w:t>
      </w:r>
      <w:r w:rsidR="00EB0E09" w:rsidRPr="007752AC">
        <w:t xml:space="preserve"> такій редакції</w:t>
      </w:r>
      <w:r w:rsidR="00C17C2D" w:rsidRPr="007752AC">
        <w:t>:</w:t>
      </w:r>
    </w:p>
    <w:p w14:paraId="79D9AF8E" w14:textId="43397083" w:rsidR="00FF45C5" w:rsidRPr="007752AC" w:rsidRDefault="00FF45C5" w:rsidP="00910BB7">
      <w:pPr>
        <w:shd w:val="clear" w:color="auto" w:fill="FFFFFF"/>
        <w:ind w:firstLine="567"/>
        <w:rPr>
          <w:rStyle w:val="rvts15"/>
        </w:rPr>
      </w:pPr>
      <w:r w:rsidRPr="007752AC">
        <w:t>“3.4. </w:t>
      </w:r>
      <w:r w:rsidR="006848C7" w:rsidRPr="00CF06A0">
        <w:rPr>
          <w:rStyle w:val="rvts15"/>
        </w:rPr>
        <w:t>Банк здійснює розрахунок</w:t>
      </w:r>
      <w:r w:rsidR="006848C7" w:rsidRPr="006848C7">
        <w:rPr>
          <w:rStyle w:val="rvts15"/>
        </w:rPr>
        <w:t xml:space="preserve"> середньоарифметичної величини </w:t>
      </w:r>
      <w:r w:rsidRPr="007752AC">
        <w:rPr>
          <w:rStyle w:val="rvts15"/>
        </w:rPr>
        <w:t xml:space="preserve"> коефіцієнта покриття ліквідністю за всіма валютами (LCR</w:t>
      </w:r>
      <w:r w:rsidRPr="007752AC">
        <w:rPr>
          <w:rStyle w:val="rvts15"/>
          <w:vertAlign w:val="subscript"/>
        </w:rPr>
        <w:t>BB</w:t>
      </w:r>
      <w:r w:rsidRPr="007752AC">
        <w:rPr>
          <w:rStyle w:val="rvts15"/>
        </w:rPr>
        <w:t xml:space="preserve">) та коефіцієнта покриття ліквідністю </w:t>
      </w:r>
      <w:r w:rsidR="009D690B">
        <w:t>за іноземними валютами</w:t>
      </w:r>
      <w:r w:rsidR="009D690B" w:rsidRPr="007752AC">
        <w:t xml:space="preserve"> </w:t>
      </w:r>
      <w:r w:rsidRPr="007752AC">
        <w:rPr>
          <w:rStyle w:val="rvts15"/>
        </w:rPr>
        <w:t>(LCR</w:t>
      </w:r>
      <w:r w:rsidRPr="007752AC">
        <w:rPr>
          <w:rStyle w:val="rvts15"/>
          <w:vertAlign w:val="subscript"/>
        </w:rPr>
        <w:t>IB</w:t>
      </w:r>
      <w:r w:rsidRPr="007752AC">
        <w:rPr>
          <w:rStyle w:val="rvts15"/>
        </w:rPr>
        <w:t>) за такою формулою:</w:t>
      </w:r>
    </w:p>
    <w:p w14:paraId="22D7100F" w14:textId="75C7873D" w:rsidR="00FF45C5" w:rsidRPr="007752AC" w:rsidRDefault="00C3361B" w:rsidP="00FF45C5">
      <w:pPr>
        <w:ind w:firstLine="709"/>
      </w:pPr>
      <m:oMathPara>
        <m:oMath>
          <m:sSub>
            <m:sSubPr>
              <m:ctrlPr>
                <w:rPr>
                  <w:rFonts w:ascii="Cambria Math" w:hAnsi="Cambria Math"/>
                </w:rPr>
              </m:ctrlPr>
            </m:sSubPr>
            <m:e>
              <m:r>
                <w:rPr>
                  <w:rFonts w:ascii="Cambria Math" w:hAnsi="Cambria Math"/>
                  <w:lang w:val="en-US"/>
                </w:rPr>
                <m:t>X</m:t>
              </m:r>
            </m:e>
            <m:sub>
              <m:r>
                <w:rPr>
                  <w:rFonts w:ascii="Cambria Math" w:hAnsi="Cambria Math"/>
                </w:rPr>
                <m:t>s</m:t>
              </m:r>
            </m:sub>
          </m:sSub>
          <m:r>
            <w:rPr>
              <w:rFonts w:ascii="Cambria Math" w:hAnsi="Cambria Math"/>
            </w:rPr>
            <m:t>=</m:t>
          </m:r>
          <m:nary>
            <m:naryPr>
              <m:chr m:val="∑"/>
              <m:grow m:val="1"/>
              <m:ctrlPr>
                <w:rPr>
                  <w:rFonts w:ascii="Cambria Math" w:hAnsi="Cambria Math"/>
                </w:rPr>
              </m:ctrlPr>
            </m:naryPr>
            <m:sub>
              <m:r>
                <w:rPr>
                  <w:rFonts w:ascii="Cambria Math" w:hAnsi="Cambria Math"/>
                </w:rPr>
                <m:t>i=1</m:t>
              </m:r>
            </m:sub>
            <m:sup>
              <m:r>
                <w:rPr>
                  <w:rFonts w:ascii="Cambria Math" w:hAnsi="Cambria Math"/>
                </w:rPr>
                <m:t>n</m:t>
              </m:r>
            </m:sup>
            <m:e>
              <m:r>
                <w:rPr>
                  <w:rFonts w:ascii="Cambria Math" w:hAnsi="Cambria Math"/>
                </w:rPr>
                <m:t>(</m:t>
              </m:r>
              <m:f>
                <m:fPr>
                  <m:ctrlPr>
                    <w:rPr>
                      <w:rFonts w:ascii="Cambria Math" w:hAnsi="Cambria Math"/>
                      <w:i/>
                    </w:rPr>
                  </m:ctrlPr>
                </m:fPr>
                <m:num>
                  <m:r>
                    <w:rPr>
                      <w:rFonts w:ascii="Cambria Math" w:hAnsi="Cambria Math"/>
                    </w:rPr>
                    <m:t>Xi</m:t>
                  </m:r>
                </m:num>
                <m:den>
                  <m:r>
                    <w:rPr>
                      <w:rFonts w:ascii="Cambria Math" w:hAnsi="Cambria Math"/>
                    </w:rPr>
                    <m:t>n</m:t>
                  </m:r>
                </m:den>
              </m:f>
            </m:e>
          </m:nary>
          <m:r>
            <w:rPr>
              <w:rFonts w:ascii="Cambria Math" w:hAnsi="Cambria Math"/>
            </w:rPr>
            <m:t>),</m:t>
          </m:r>
        </m:oMath>
      </m:oMathPara>
    </w:p>
    <w:p w14:paraId="442F2C19" w14:textId="50716034" w:rsidR="00E337E7" w:rsidRDefault="00FF45C5" w:rsidP="00021BCA">
      <w:pPr>
        <w:rPr>
          <w:rStyle w:val="rvts15"/>
        </w:rPr>
      </w:pPr>
      <w:r w:rsidRPr="007752AC">
        <w:t xml:space="preserve">де </w:t>
      </w:r>
      <w:proofErr w:type="spellStart"/>
      <w:r w:rsidRPr="007752AC">
        <w:t>Xi</w:t>
      </w:r>
      <w:proofErr w:type="spellEnd"/>
      <w:r w:rsidRPr="007752AC">
        <w:t xml:space="preserve"> – </w:t>
      </w:r>
      <w:r w:rsidRPr="007752AC">
        <w:rPr>
          <w:rStyle w:val="rvts15"/>
        </w:rPr>
        <w:t>значення коефіцієнта покриття ліквідністю за всіма валютами (LCR</w:t>
      </w:r>
      <w:r w:rsidRPr="007752AC">
        <w:rPr>
          <w:rStyle w:val="rvts15"/>
          <w:vertAlign w:val="subscript"/>
        </w:rPr>
        <w:t>BB</w:t>
      </w:r>
      <w:r w:rsidRPr="007752AC">
        <w:rPr>
          <w:rStyle w:val="rvts15"/>
        </w:rPr>
        <w:t xml:space="preserve">) або коефіцієнта покриття ліквідністю </w:t>
      </w:r>
      <w:r w:rsidR="009D690B">
        <w:t>за іноземними валютами</w:t>
      </w:r>
      <w:r w:rsidR="009D690B" w:rsidRPr="007752AC">
        <w:t xml:space="preserve"> </w:t>
      </w:r>
      <w:r w:rsidRPr="007752AC">
        <w:rPr>
          <w:rStyle w:val="rvts15"/>
        </w:rPr>
        <w:t>(LCR</w:t>
      </w:r>
      <w:r w:rsidRPr="007752AC">
        <w:rPr>
          <w:rStyle w:val="rvts15"/>
          <w:vertAlign w:val="subscript"/>
        </w:rPr>
        <w:t>IB</w:t>
      </w:r>
      <w:r w:rsidRPr="007752AC">
        <w:rPr>
          <w:rStyle w:val="rvts15"/>
        </w:rPr>
        <w:t xml:space="preserve">), розраховане згідно з </w:t>
      </w:r>
      <w:r w:rsidRPr="007752AC">
        <w:rPr>
          <w:rStyle w:val="rvts15"/>
          <w:bCs/>
        </w:rPr>
        <w:t>главою</w:t>
      </w:r>
      <w:r w:rsidRPr="007752AC">
        <w:rPr>
          <w:rStyle w:val="rvts15"/>
        </w:rPr>
        <w:t xml:space="preserve"> 2 </w:t>
      </w:r>
      <w:r w:rsidRPr="007752AC">
        <w:rPr>
          <w:rStyle w:val="rvts15"/>
          <w:bCs/>
        </w:rPr>
        <w:t>розділу V цієї Інструкції</w:t>
      </w:r>
      <w:r w:rsidRPr="007752AC">
        <w:rPr>
          <w:rStyle w:val="rvts15"/>
          <w:b/>
        </w:rPr>
        <w:t xml:space="preserve"> </w:t>
      </w:r>
      <w:r w:rsidRPr="007752AC">
        <w:rPr>
          <w:rStyle w:val="rvts15"/>
        </w:rPr>
        <w:t xml:space="preserve">у i-й день, за який відповідно до нормативно-правового </w:t>
      </w:r>
      <w:proofErr w:type="spellStart"/>
      <w:r w:rsidRPr="007752AC">
        <w:rPr>
          <w:rStyle w:val="rvts15"/>
        </w:rPr>
        <w:t>акт</w:t>
      </w:r>
      <w:r w:rsidR="00910BB7">
        <w:rPr>
          <w:rStyle w:val="rvts15"/>
        </w:rPr>
        <w:t>а</w:t>
      </w:r>
      <w:proofErr w:type="spellEnd"/>
      <w:r w:rsidRPr="007752AC">
        <w:rPr>
          <w:rStyle w:val="rvts15"/>
        </w:rPr>
        <w:t xml:space="preserve"> Національного банку, який регламентує правила організації статистичної звітності, що подається банками до Національного банку, має </w:t>
      </w:r>
      <w:r w:rsidR="00910BB7" w:rsidRPr="007752AC">
        <w:rPr>
          <w:rStyle w:val="rvts15"/>
        </w:rPr>
        <w:t>подаватис</w:t>
      </w:r>
      <w:r w:rsidR="00910BB7">
        <w:rPr>
          <w:rStyle w:val="rvts15"/>
        </w:rPr>
        <w:t>я</w:t>
      </w:r>
      <w:r w:rsidR="00910BB7" w:rsidRPr="007752AC">
        <w:rPr>
          <w:rStyle w:val="rvts15"/>
        </w:rPr>
        <w:t xml:space="preserve"> </w:t>
      </w:r>
      <w:r w:rsidRPr="007752AC">
        <w:rPr>
          <w:rStyle w:val="rvts15"/>
        </w:rPr>
        <w:t>файл 01Х;</w:t>
      </w:r>
    </w:p>
    <w:p w14:paraId="2AA83E18" w14:textId="7D1040AF" w:rsidR="00FF45C5" w:rsidRPr="007752AC" w:rsidRDefault="00E337E7" w:rsidP="00852100">
      <w:pPr>
        <w:ind w:firstLine="709"/>
        <w:rPr>
          <w:lang w:val="ru-RU"/>
        </w:rPr>
      </w:pPr>
      <w:r w:rsidRPr="00E337E7">
        <w:rPr>
          <w:lang w:val="ru-RU"/>
        </w:rPr>
        <w:t>n</w:t>
      </w:r>
      <w:r w:rsidRPr="00E337E7">
        <w:rPr>
          <w:lang w:val="ru-RU"/>
        </w:rPr>
        <w:tab/>
      </w:r>
      <w:r w:rsidR="008F5A35" w:rsidRPr="007752AC">
        <w:t>–</w:t>
      </w:r>
      <w:r w:rsidRPr="00E337E7">
        <w:rPr>
          <w:lang w:val="ru-RU"/>
        </w:rPr>
        <w:tab/>
      </w:r>
      <w:proofErr w:type="spellStart"/>
      <w:r w:rsidRPr="00E337E7">
        <w:rPr>
          <w:lang w:val="ru-RU"/>
        </w:rPr>
        <w:t>кількість</w:t>
      </w:r>
      <w:proofErr w:type="spellEnd"/>
      <w:r w:rsidRPr="00E337E7">
        <w:rPr>
          <w:lang w:val="ru-RU"/>
        </w:rPr>
        <w:t xml:space="preserve"> </w:t>
      </w:r>
      <w:proofErr w:type="spellStart"/>
      <w:r w:rsidRPr="00E337E7">
        <w:rPr>
          <w:lang w:val="ru-RU"/>
        </w:rPr>
        <w:t>днів</w:t>
      </w:r>
      <w:proofErr w:type="spellEnd"/>
      <w:r w:rsidRPr="00E337E7">
        <w:rPr>
          <w:lang w:val="ru-RU"/>
        </w:rPr>
        <w:t xml:space="preserve">, за </w:t>
      </w:r>
      <w:proofErr w:type="spellStart"/>
      <w:r w:rsidRPr="00E337E7">
        <w:rPr>
          <w:lang w:val="ru-RU"/>
        </w:rPr>
        <w:t>які</w:t>
      </w:r>
      <w:proofErr w:type="spellEnd"/>
      <w:r w:rsidRPr="00E337E7">
        <w:rPr>
          <w:lang w:val="ru-RU"/>
        </w:rPr>
        <w:t xml:space="preserve"> </w:t>
      </w:r>
      <w:proofErr w:type="spellStart"/>
      <w:r w:rsidRPr="00E337E7">
        <w:rPr>
          <w:lang w:val="ru-RU"/>
        </w:rPr>
        <w:t>відповідно</w:t>
      </w:r>
      <w:proofErr w:type="spellEnd"/>
      <w:r w:rsidRPr="00E337E7">
        <w:rPr>
          <w:lang w:val="ru-RU"/>
        </w:rPr>
        <w:t xml:space="preserve"> до нормативно-правового акт</w:t>
      </w:r>
      <w:r w:rsidR="00910BB7">
        <w:rPr>
          <w:lang w:val="ru-RU"/>
        </w:rPr>
        <w:t>а</w:t>
      </w:r>
      <w:r w:rsidRPr="00E337E7">
        <w:rPr>
          <w:lang w:val="ru-RU"/>
        </w:rPr>
        <w:t xml:space="preserve"> </w:t>
      </w:r>
      <w:proofErr w:type="spellStart"/>
      <w:r w:rsidRPr="00E337E7">
        <w:rPr>
          <w:lang w:val="ru-RU"/>
        </w:rPr>
        <w:t>Національного</w:t>
      </w:r>
      <w:proofErr w:type="spellEnd"/>
      <w:r w:rsidRPr="00E337E7">
        <w:rPr>
          <w:lang w:val="ru-RU"/>
        </w:rPr>
        <w:t xml:space="preserve"> банку, </w:t>
      </w:r>
      <w:proofErr w:type="spellStart"/>
      <w:r w:rsidRPr="00E337E7">
        <w:rPr>
          <w:lang w:val="ru-RU"/>
        </w:rPr>
        <w:t>який</w:t>
      </w:r>
      <w:proofErr w:type="spellEnd"/>
      <w:r w:rsidRPr="00E337E7">
        <w:rPr>
          <w:lang w:val="ru-RU"/>
        </w:rPr>
        <w:t xml:space="preserve"> </w:t>
      </w:r>
      <w:proofErr w:type="spellStart"/>
      <w:r w:rsidRPr="00E337E7">
        <w:rPr>
          <w:lang w:val="ru-RU"/>
        </w:rPr>
        <w:t>регламентує</w:t>
      </w:r>
      <w:proofErr w:type="spellEnd"/>
      <w:r w:rsidRPr="00E337E7">
        <w:rPr>
          <w:lang w:val="ru-RU"/>
        </w:rPr>
        <w:t xml:space="preserve"> правила </w:t>
      </w:r>
      <w:proofErr w:type="spellStart"/>
      <w:r w:rsidRPr="00E337E7">
        <w:rPr>
          <w:lang w:val="ru-RU"/>
        </w:rPr>
        <w:t>організації</w:t>
      </w:r>
      <w:proofErr w:type="spellEnd"/>
      <w:r w:rsidRPr="00E337E7">
        <w:rPr>
          <w:lang w:val="ru-RU"/>
        </w:rPr>
        <w:t xml:space="preserve"> </w:t>
      </w:r>
      <w:proofErr w:type="spellStart"/>
      <w:r w:rsidRPr="00E337E7">
        <w:rPr>
          <w:lang w:val="ru-RU"/>
        </w:rPr>
        <w:t>статистичної</w:t>
      </w:r>
      <w:proofErr w:type="spellEnd"/>
      <w:r w:rsidRPr="00E337E7">
        <w:rPr>
          <w:lang w:val="ru-RU"/>
        </w:rPr>
        <w:t xml:space="preserve"> </w:t>
      </w:r>
      <w:proofErr w:type="spellStart"/>
      <w:r w:rsidRPr="00E337E7">
        <w:rPr>
          <w:lang w:val="ru-RU"/>
        </w:rPr>
        <w:t>звітності</w:t>
      </w:r>
      <w:proofErr w:type="spellEnd"/>
      <w:r w:rsidRPr="00E337E7">
        <w:rPr>
          <w:lang w:val="ru-RU"/>
        </w:rPr>
        <w:t xml:space="preserve">, </w:t>
      </w:r>
      <w:proofErr w:type="spellStart"/>
      <w:r w:rsidRPr="00E337E7">
        <w:rPr>
          <w:lang w:val="ru-RU"/>
        </w:rPr>
        <w:t>що</w:t>
      </w:r>
      <w:proofErr w:type="spellEnd"/>
      <w:r w:rsidRPr="00E337E7">
        <w:rPr>
          <w:lang w:val="ru-RU"/>
        </w:rPr>
        <w:t xml:space="preserve"> </w:t>
      </w:r>
      <w:proofErr w:type="spellStart"/>
      <w:r w:rsidRPr="00E337E7">
        <w:rPr>
          <w:lang w:val="ru-RU"/>
        </w:rPr>
        <w:t>подається</w:t>
      </w:r>
      <w:proofErr w:type="spellEnd"/>
      <w:r w:rsidRPr="00E337E7">
        <w:rPr>
          <w:lang w:val="ru-RU"/>
        </w:rPr>
        <w:t xml:space="preserve"> банками до </w:t>
      </w:r>
      <w:proofErr w:type="spellStart"/>
      <w:r w:rsidRPr="00E337E7">
        <w:rPr>
          <w:lang w:val="ru-RU"/>
        </w:rPr>
        <w:t>Національного</w:t>
      </w:r>
      <w:proofErr w:type="spellEnd"/>
      <w:r w:rsidRPr="00E337E7">
        <w:rPr>
          <w:lang w:val="ru-RU"/>
        </w:rPr>
        <w:t xml:space="preserve"> банку, </w:t>
      </w:r>
      <w:proofErr w:type="spellStart"/>
      <w:r w:rsidRPr="00E337E7">
        <w:rPr>
          <w:lang w:val="ru-RU"/>
        </w:rPr>
        <w:t>має</w:t>
      </w:r>
      <w:proofErr w:type="spellEnd"/>
      <w:r w:rsidRPr="00E337E7">
        <w:rPr>
          <w:lang w:val="ru-RU"/>
        </w:rPr>
        <w:t xml:space="preserve"> </w:t>
      </w:r>
      <w:proofErr w:type="spellStart"/>
      <w:r w:rsidR="00910BB7" w:rsidRPr="00E337E7">
        <w:rPr>
          <w:lang w:val="ru-RU"/>
        </w:rPr>
        <w:t>подаватис</w:t>
      </w:r>
      <w:r w:rsidR="00910BB7">
        <w:rPr>
          <w:lang w:val="ru-RU"/>
        </w:rPr>
        <w:t>я</w:t>
      </w:r>
      <w:proofErr w:type="spellEnd"/>
      <w:r w:rsidR="00910BB7" w:rsidRPr="00E337E7">
        <w:rPr>
          <w:lang w:val="ru-RU"/>
        </w:rPr>
        <w:t xml:space="preserve"> </w:t>
      </w:r>
      <w:r w:rsidRPr="00E337E7">
        <w:rPr>
          <w:lang w:val="ru-RU"/>
        </w:rPr>
        <w:t xml:space="preserve">файл 01Х, за </w:t>
      </w:r>
      <w:proofErr w:type="spellStart"/>
      <w:r w:rsidRPr="00E337E7">
        <w:rPr>
          <w:lang w:val="ru-RU"/>
        </w:rPr>
        <w:t>останні</w:t>
      </w:r>
      <w:r w:rsidR="00910BB7">
        <w:rPr>
          <w:lang w:val="ru-RU"/>
        </w:rPr>
        <w:t>х</w:t>
      </w:r>
      <w:proofErr w:type="spellEnd"/>
      <w:r w:rsidRPr="00E337E7">
        <w:rPr>
          <w:lang w:val="ru-RU"/>
        </w:rPr>
        <w:t xml:space="preserve"> 30 </w:t>
      </w:r>
      <w:proofErr w:type="spellStart"/>
      <w:r w:rsidRPr="00E337E7">
        <w:rPr>
          <w:lang w:val="ru-RU"/>
        </w:rPr>
        <w:t>календарних</w:t>
      </w:r>
      <w:proofErr w:type="spellEnd"/>
      <w:r w:rsidRPr="00E337E7">
        <w:rPr>
          <w:lang w:val="ru-RU"/>
        </w:rPr>
        <w:t xml:space="preserve"> </w:t>
      </w:r>
      <w:proofErr w:type="spellStart"/>
      <w:r w:rsidRPr="00E337E7">
        <w:rPr>
          <w:lang w:val="ru-RU"/>
        </w:rPr>
        <w:t>днів</w:t>
      </w:r>
      <w:proofErr w:type="spellEnd"/>
      <w:r w:rsidRPr="00E337E7">
        <w:rPr>
          <w:lang w:val="ru-RU"/>
        </w:rPr>
        <w:t>.</w:t>
      </w:r>
      <w:r w:rsidR="00FF45C5" w:rsidRPr="007752AC">
        <w:rPr>
          <w:lang w:val="ru-RU"/>
        </w:rPr>
        <w:t>”.</w:t>
      </w:r>
    </w:p>
    <w:p w14:paraId="20D1FDC7" w14:textId="77777777" w:rsidR="0055179F" w:rsidRDefault="0055179F" w:rsidP="00FF45C5">
      <w:pPr>
        <w:ind w:firstLine="709"/>
        <w:rPr>
          <w:lang w:val="ru-RU"/>
        </w:rPr>
        <w:sectPr w:rsidR="0055179F" w:rsidSect="00877884">
          <w:footnotePr>
            <w:pos w:val="beneathText"/>
            <w:numStart w:val="2"/>
          </w:footnotePr>
          <w:endnotePr>
            <w:numFmt w:val="decimal"/>
          </w:endnotePr>
          <w:pgSz w:w="11907" w:h="16840" w:code="9"/>
          <w:pgMar w:top="567" w:right="567" w:bottom="1701" w:left="1701" w:header="567" w:footer="680" w:gutter="0"/>
          <w:pgNumType w:start="1"/>
          <w:cols w:space="720"/>
          <w:titlePg/>
        </w:sectPr>
      </w:pPr>
    </w:p>
    <w:p w14:paraId="7FBC0669" w14:textId="77777777" w:rsidR="0055179F" w:rsidRPr="00973C63" w:rsidRDefault="0055179F" w:rsidP="0055179F">
      <w:pPr>
        <w:pStyle w:val="6"/>
        <w:shd w:val="clear" w:color="auto" w:fill="FFFFFF" w:themeFill="background1"/>
        <w:ind w:firstLine="5670"/>
        <w:jc w:val="both"/>
        <w:rPr>
          <w:szCs w:val="28"/>
        </w:rPr>
      </w:pPr>
      <w:r w:rsidRPr="00973C63">
        <w:rPr>
          <w:szCs w:val="28"/>
        </w:rPr>
        <w:lastRenderedPageBreak/>
        <w:t>ЗАТВЕРДЖЕНО</w:t>
      </w:r>
    </w:p>
    <w:p w14:paraId="6B4EE746" w14:textId="77777777" w:rsidR="0055179F" w:rsidRPr="00973C63" w:rsidRDefault="0055179F" w:rsidP="0055179F">
      <w:pPr>
        <w:shd w:val="clear" w:color="auto" w:fill="FFFFFF" w:themeFill="background1"/>
        <w:ind w:firstLine="5670"/>
      </w:pPr>
      <w:r w:rsidRPr="00973C63">
        <w:t>Постанова Правління</w:t>
      </w:r>
    </w:p>
    <w:p w14:paraId="4D0B4F75" w14:textId="77777777" w:rsidR="0055179F" w:rsidRPr="00973C63" w:rsidRDefault="0055179F" w:rsidP="0055179F">
      <w:pPr>
        <w:shd w:val="clear" w:color="auto" w:fill="FFFFFF" w:themeFill="background1"/>
        <w:ind w:firstLine="5670"/>
      </w:pPr>
      <w:r w:rsidRPr="00973C63">
        <w:t>Національного банку України</w:t>
      </w:r>
    </w:p>
    <w:p w14:paraId="0F157881" w14:textId="77777777" w:rsidR="00A9403B" w:rsidRPr="007752AC" w:rsidRDefault="00A9403B" w:rsidP="00A9403B">
      <w:pPr>
        <w:shd w:val="clear" w:color="auto" w:fill="FFFFFF" w:themeFill="background1"/>
        <w:ind w:firstLine="5670"/>
      </w:pPr>
      <w:r>
        <w:t>05 січня 2024 року № 2</w:t>
      </w:r>
    </w:p>
    <w:p w14:paraId="17C126C2" w14:textId="77777777" w:rsidR="003229A8" w:rsidRPr="00973C63" w:rsidRDefault="003229A8" w:rsidP="0055179F">
      <w:pPr>
        <w:shd w:val="clear" w:color="auto" w:fill="FFFFFF" w:themeFill="background1"/>
        <w:ind w:firstLine="5670"/>
      </w:pPr>
      <w:bookmarkStart w:id="1" w:name="_GoBack"/>
      <w:bookmarkEnd w:id="1"/>
    </w:p>
    <w:p w14:paraId="3E7F32AD" w14:textId="585598F3" w:rsidR="0055179F" w:rsidRDefault="0055179F" w:rsidP="0055179F">
      <w:pPr>
        <w:shd w:val="clear" w:color="auto" w:fill="FFFFFF" w:themeFill="background1"/>
        <w:ind w:firstLine="5670"/>
      </w:pPr>
    </w:p>
    <w:p w14:paraId="66D985B5" w14:textId="77777777" w:rsidR="003229A8" w:rsidRPr="00973C63" w:rsidRDefault="003229A8" w:rsidP="0055179F">
      <w:pPr>
        <w:shd w:val="clear" w:color="auto" w:fill="FFFFFF" w:themeFill="background1"/>
        <w:ind w:firstLine="5670"/>
      </w:pPr>
    </w:p>
    <w:p w14:paraId="30C7FC87" w14:textId="77777777" w:rsidR="0055179F" w:rsidRPr="00973C63" w:rsidRDefault="0055179F" w:rsidP="0055179F">
      <w:pPr>
        <w:pStyle w:val="2"/>
        <w:shd w:val="clear" w:color="auto" w:fill="FFFFFF" w:themeFill="background1"/>
        <w:spacing w:before="0"/>
        <w:jc w:val="center"/>
        <w:rPr>
          <w:rFonts w:ascii="Times New Roman" w:hAnsi="Times New Roman"/>
          <w:color w:val="auto"/>
          <w:sz w:val="28"/>
          <w:szCs w:val="28"/>
        </w:rPr>
      </w:pPr>
      <w:r w:rsidRPr="00973C63">
        <w:rPr>
          <w:rFonts w:ascii="Times New Roman" w:hAnsi="Times New Roman"/>
          <w:color w:val="auto"/>
          <w:sz w:val="28"/>
          <w:szCs w:val="28"/>
        </w:rPr>
        <w:t>Зміни до Положення про порядок регулювання</w:t>
      </w:r>
    </w:p>
    <w:p w14:paraId="490776DD" w14:textId="14CA2AE6" w:rsidR="0055179F" w:rsidRPr="00973C63" w:rsidRDefault="0055179F" w:rsidP="0055179F">
      <w:pPr>
        <w:pStyle w:val="2"/>
        <w:shd w:val="clear" w:color="auto" w:fill="FFFFFF" w:themeFill="background1"/>
        <w:spacing w:before="0"/>
        <w:jc w:val="center"/>
        <w:rPr>
          <w:rFonts w:ascii="Times New Roman" w:hAnsi="Times New Roman"/>
          <w:color w:val="auto"/>
          <w:sz w:val="28"/>
          <w:szCs w:val="28"/>
        </w:rPr>
      </w:pPr>
      <w:r w:rsidRPr="00973C63">
        <w:rPr>
          <w:rFonts w:ascii="Times New Roman" w:hAnsi="Times New Roman"/>
          <w:color w:val="auto"/>
          <w:sz w:val="28"/>
          <w:szCs w:val="28"/>
        </w:rPr>
        <w:t xml:space="preserve"> діяльності банківських груп</w:t>
      </w:r>
      <w:r w:rsidRPr="00973C63">
        <w:rPr>
          <w:rFonts w:ascii="Times New Roman" w:hAnsi="Times New Roman"/>
          <w:color w:val="auto"/>
          <w:sz w:val="28"/>
          <w:szCs w:val="28"/>
        </w:rPr>
        <w:br/>
      </w:r>
    </w:p>
    <w:p w14:paraId="3E67CE7B" w14:textId="5C09F5F9" w:rsidR="0055179F" w:rsidRDefault="0055179F" w:rsidP="0055179F">
      <w:pPr>
        <w:shd w:val="clear" w:color="auto" w:fill="FFFFFF" w:themeFill="background1"/>
        <w:tabs>
          <w:tab w:val="left" w:pos="851"/>
        </w:tabs>
        <w:ind w:firstLine="567"/>
      </w:pPr>
    </w:p>
    <w:p w14:paraId="052E3CE8" w14:textId="77777777" w:rsidR="003229A8" w:rsidRPr="00973C63" w:rsidRDefault="003229A8" w:rsidP="0055179F">
      <w:pPr>
        <w:shd w:val="clear" w:color="auto" w:fill="FFFFFF" w:themeFill="background1"/>
        <w:tabs>
          <w:tab w:val="left" w:pos="851"/>
        </w:tabs>
        <w:ind w:firstLine="567"/>
      </w:pPr>
    </w:p>
    <w:p w14:paraId="476CCFC2" w14:textId="63D6CF02" w:rsidR="0055179F" w:rsidRPr="00973C63" w:rsidRDefault="0055179F" w:rsidP="0055179F">
      <w:pPr>
        <w:shd w:val="clear" w:color="auto" w:fill="FFFFFF" w:themeFill="background1"/>
        <w:tabs>
          <w:tab w:val="left" w:pos="851"/>
        </w:tabs>
        <w:ind w:firstLine="567"/>
      </w:pPr>
      <w:r w:rsidRPr="00973C63">
        <w:t xml:space="preserve">1. </w:t>
      </w:r>
      <w:r w:rsidR="002F2607" w:rsidRPr="00973C63">
        <w:t>У розділі І:</w:t>
      </w:r>
    </w:p>
    <w:p w14:paraId="42D05F2F" w14:textId="5D096414" w:rsidR="002F2607" w:rsidRPr="00973C63" w:rsidRDefault="002F2607" w:rsidP="0055179F">
      <w:pPr>
        <w:shd w:val="clear" w:color="auto" w:fill="FFFFFF" w:themeFill="background1"/>
        <w:tabs>
          <w:tab w:val="left" w:pos="851"/>
        </w:tabs>
        <w:ind w:firstLine="567"/>
      </w:pPr>
    </w:p>
    <w:p w14:paraId="6A1282B0" w14:textId="6CFCAEB6" w:rsidR="002F2607" w:rsidRPr="00973C63" w:rsidRDefault="002F2607" w:rsidP="002F2607">
      <w:pPr>
        <w:shd w:val="clear" w:color="auto" w:fill="FFFFFF" w:themeFill="background1"/>
        <w:tabs>
          <w:tab w:val="left" w:pos="851"/>
        </w:tabs>
        <w:ind w:firstLine="567"/>
        <w:rPr>
          <w:lang w:val="ru-RU"/>
        </w:rPr>
      </w:pPr>
      <w:r w:rsidRPr="00973C63">
        <w:t xml:space="preserve">1) підпункт </w:t>
      </w:r>
      <w:r w:rsidRPr="00973C63">
        <w:rPr>
          <w:lang w:val="ru-RU"/>
        </w:rPr>
        <w:t>“</w:t>
      </w:r>
      <w:r w:rsidRPr="00973C63">
        <w:t>а</w:t>
      </w:r>
      <w:r w:rsidRPr="00973C63">
        <w:rPr>
          <w:lang w:val="ru-RU"/>
        </w:rPr>
        <w:t>”</w:t>
      </w:r>
      <w:r w:rsidRPr="00973C63">
        <w:t xml:space="preserve"> </w:t>
      </w:r>
      <w:r w:rsidR="00624DB7">
        <w:t xml:space="preserve">пункту </w:t>
      </w:r>
      <w:r w:rsidR="005F607E">
        <w:t xml:space="preserve">3 </w:t>
      </w:r>
      <w:proofErr w:type="spellStart"/>
      <w:r w:rsidRPr="00973C63">
        <w:rPr>
          <w:lang w:val="ru-RU"/>
        </w:rPr>
        <w:t>доповнити</w:t>
      </w:r>
      <w:proofErr w:type="spellEnd"/>
      <w:r w:rsidRPr="00973C63">
        <w:rPr>
          <w:lang w:val="ru-RU"/>
        </w:rPr>
        <w:t xml:space="preserve"> </w:t>
      </w:r>
      <w:proofErr w:type="spellStart"/>
      <w:r w:rsidRPr="00973C63">
        <w:rPr>
          <w:lang w:val="ru-RU"/>
        </w:rPr>
        <w:t>трьома</w:t>
      </w:r>
      <w:proofErr w:type="spellEnd"/>
      <w:r w:rsidRPr="00973C63">
        <w:rPr>
          <w:lang w:val="ru-RU"/>
        </w:rPr>
        <w:t xml:space="preserve"> </w:t>
      </w:r>
      <w:proofErr w:type="spellStart"/>
      <w:r w:rsidRPr="00973C63">
        <w:rPr>
          <w:lang w:val="ru-RU"/>
        </w:rPr>
        <w:t>новими</w:t>
      </w:r>
      <w:proofErr w:type="spellEnd"/>
      <w:r w:rsidRPr="00973C63">
        <w:rPr>
          <w:lang w:val="ru-RU"/>
        </w:rPr>
        <w:t xml:space="preserve"> абзацами такого </w:t>
      </w:r>
      <w:proofErr w:type="spellStart"/>
      <w:r w:rsidRPr="00973C63">
        <w:rPr>
          <w:lang w:val="ru-RU"/>
        </w:rPr>
        <w:t>змісту</w:t>
      </w:r>
      <w:proofErr w:type="spellEnd"/>
      <w:r w:rsidRPr="00973C63">
        <w:rPr>
          <w:lang w:val="ru-RU"/>
        </w:rPr>
        <w:t>:</w:t>
      </w:r>
    </w:p>
    <w:p w14:paraId="1EAC1C8F" w14:textId="2C3E55F2" w:rsidR="002F2607" w:rsidRPr="00973C63" w:rsidRDefault="002F2607" w:rsidP="002F2607">
      <w:pPr>
        <w:shd w:val="clear" w:color="auto" w:fill="FFFFFF" w:themeFill="background1"/>
        <w:tabs>
          <w:tab w:val="left" w:pos="851"/>
        </w:tabs>
        <w:ind w:firstLine="567"/>
        <w:rPr>
          <w:lang w:val="ru-RU"/>
        </w:rPr>
      </w:pPr>
      <w:r w:rsidRPr="00973C63">
        <w:rPr>
          <w:lang w:val="ru-RU"/>
        </w:rPr>
        <w:t>“</w:t>
      </w:r>
      <w:proofErr w:type="spellStart"/>
      <w:r w:rsidRPr="00973C63">
        <w:rPr>
          <w:lang w:val="ru-RU"/>
        </w:rPr>
        <w:t>коефіцієнт</w:t>
      </w:r>
      <w:proofErr w:type="spellEnd"/>
      <w:r w:rsidRPr="00973C63">
        <w:rPr>
          <w:lang w:val="ru-RU"/>
        </w:rPr>
        <w:t xml:space="preserve"> </w:t>
      </w:r>
      <w:proofErr w:type="spellStart"/>
      <w:r w:rsidRPr="00973C63">
        <w:rPr>
          <w:lang w:val="ru-RU"/>
        </w:rPr>
        <w:t>покриття</w:t>
      </w:r>
      <w:proofErr w:type="spellEnd"/>
      <w:r w:rsidRPr="00973C63">
        <w:rPr>
          <w:lang w:val="ru-RU"/>
        </w:rPr>
        <w:t xml:space="preserve"> </w:t>
      </w:r>
      <w:proofErr w:type="spellStart"/>
      <w:r w:rsidRPr="00973C63">
        <w:rPr>
          <w:lang w:val="ru-RU"/>
        </w:rPr>
        <w:t>ліквідністю</w:t>
      </w:r>
      <w:proofErr w:type="spellEnd"/>
      <w:r w:rsidRPr="00973C63">
        <w:rPr>
          <w:lang w:val="ru-RU"/>
        </w:rPr>
        <w:t xml:space="preserve"> за </w:t>
      </w:r>
      <w:proofErr w:type="spellStart"/>
      <w:r w:rsidRPr="00973C63">
        <w:rPr>
          <w:lang w:val="ru-RU"/>
        </w:rPr>
        <w:t>всіма</w:t>
      </w:r>
      <w:proofErr w:type="spellEnd"/>
      <w:r w:rsidRPr="00973C63">
        <w:rPr>
          <w:lang w:val="ru-RU"/>
        </w:rPr>
        <w:t xml:space="preserve"> валютами (</w:t>
      </w:r>
      <w:proofErr w:type="spellStart"/>
      <w:r w:rsidRPr="00973C63">
        <w:rPr>
          <w:lang w:val="ru-RU"/>
        </w:rPr>
        <w:t>LCR</w:t>
      </w:r>
      <w:r w:rsidRPr="00973C63">
        <w:rPr>
          <w:vertAlign w:val="subscript"/>
          <w:lang w:val="ru-RU"/>
        </w:rPr>
        <w:t>ВВ</w:t>
      </w:r>
      <w:r w:rsidRPr="00973C63">
        <w:rPr>
          <w:lang w:val="ru-RU"/>
        </w:rPr>
        <w:t>к</w:t>
      </w:r>
      <w:proofErr w:type="spellEnd"/>
      <w:r w:rsidRPr="00973C63">
        <w:rPr>
          <w:lang w:val="ru-RU"/>
        </w:rPr>
        <w:t xml:space="preserve">); </w:t>
      </w:r>
    </w:p>
    <w:p w14:paraId="4BD060AE" w14:textId="2A26271C" w:rsidR="002F2607" w:rsidRPr="00973C63" w:rsidRDefault="002F2607" w:rsidP="002F2607">
      <w:pPr>
        <w:shd w:val="clear" w:color="auto" w:fill="FFFFFF" w:themeFill="background1"/>
        <w:tabs>
          <w:tab w:val="left" w:pos="851"/>
        </w:tabs>
        <w:ind w:firstLine="567"/>
        <w:rPr>
          <w:lang w:val="ru-RU"/>
        </w:rPr>
      </w:pPr>
      <w:r w:rsidRPr="00973C63">
        <w:rPr>
          <w:lang w:val="ru-RU"/>
        </w:rPr>
        <w:t xml:space="preserve">  </w:t>
      </w:r>
      <w:proofErr w:type="spellStart"/>
      <w:r w:rsidRPr="00973C63">
        <w:rPr>
          <w:lang w:val="ru-RU"/>
        </w:rPr>
        <w:t>коефіцієнт</w:t>
      </w:r>
      <w:proofErr w:type="spellEnd"/>
      <w:r w:rsidRPr="00973C63">
        <w:rPr>
          <w:lang w:val="ru-RU"/>
        </w:rPr>
        <w:t xml:space="preserve"> </w:t>
      </w:r>
      <w:proofErr w:type="spellStart"/>
      <w:r w:rsidRPr="00973C63">
        <w:rPr>
          <w:lang w:val="ru-RU"/>
        </w:rPr>
        <w:t>покриття</w:t>
      </w:r>
      <w:proofErr w:type="spellEnd"/>
      <w:r w:rsidRPr="00973C63">
        <w:rPr>
          <w:lang w:val="ru-RU"/>
        </w:rPr>
        <w:t xml:space="preserve"> </w:t>
      </w:r>
      <w:proofErr w:type="spellStart"/>
      <w:r w:rsidRPr="00973C63">
        <w:rPr>
          <w:lang w:val="ru-RU"/>
        </w:rPr>
        <w:t>ліквідністю</w:t>
      </w:r>
      <w:proofErr w:type="spellEnd"/>
      <w:r w:rsidRPr="00973C63">
        <w:rPr>
          <w:lang w:val="ru-RU"/>
        </w:rPr>
        <w:t xml:space="preserve"> </w:t>
      </w:r>
      <w:r w:rsidR="00B549D1">
        <w:rPr>
          <w:lang w:val="ru-RU"/>
        </w:rPr>
        <w:t xml:space="preserve">за </w:t>
      </w:r>
      <w:proofErr w:type="spellStart"/>
      <w:r w:rsidR="00B549D1">
        <w:rPr>
          <w:lang w:val="ru-RU"/>
        </w:rPr>
        <w:t>іноземними</w:t>
      </w:r>
      <w:proofErr w:type="spellEnd"/>
      <w:r w:rsidR="00B549D1">
        <w:rPr>
          <w:lang w:val="ru-RU"/>
        </w:rPr>
        <w:t xml:space="preserve"> валютами</w:t>
      </w:r>
      <w:r w:rsidRPr="00973C63">
        <w:rPr>
          <w:lang w:val="ru-RU"/>
        </w:rPr>
        <w:t xml:space="preserve"> (</w:t>
      </w:r>
      <w:proofErr w:type="spellStart"/>
      <w:r w:rsidRPr="00973C63">
        <w:rPr>
          <w:lang w:val="ru-RU"/>
        </w:rPr>
        <w:t>LCR</w:t>
      </w:r>
      <w:r w:rsidRPr="00973C63">
        <w:rPr>
          <w:vertAlign w:val="subscript"/>
          <w:lang w:val="ru-RU"/>
        </w:rPr>
        <w:t>ІВ</w:t>
      </w:r>
      <w:r w:rsidRPr="00973C63">
        <w:rPr>
          <w:lang w:val="ru-RU"/>
        </w:rPr>
        <w:t>к</w:t>
      </w:r>
      <w:proofErr w:type="spellEnd"/>
      <w:r w:rsidRPr="00973C63">
        <w:rPr>
          <w:lang w:val="ru-RU"/>
        </w:rPr>
        <w:t>);</w:t>
      </w:r>
    </w:p>
    <w:p w14:paraId="4C3ED2D9" w14:textId="72012F4B" w:rsidR="0055179F" w:rsidRPr="00973C63" w:rsidRDefault="002F2607" w:rsidP="00E40980">
      <w:pPr>
        <w:shd w:val="clear" w:color="auto" w:fill="FFFFFF" w:themeFill="background1"/>
        <w:tabs>
          <w:tab w:val="left" w:pos="851"/>
        </w:tabs>
        <w:ind w:firstLine="567"/>
        <w:rPr>
          <w:lang w:val="ru-RU"/>
        </w:rPr>
      </w:pPr>
      <w:r w:rsidRPr="00973C63">
        <w:rPr>
          <w:lang w:val="ru-RU"/>
        </w:rPr>
        <w:t xml:space="preserve">  </w:t>
      </w:r>
      <w:proofErr w:type="spellStart"/>
      <w:r w:rsidRPr="00973C63">
        <w:rPr>
          <w:lang w:val="ru-RU"/>
        </w:rPr>
        <w:t>коефіцієнт</w:t>
      </w:r>
      <w:proofErr w:type="spellEnd"/>
      <w:r w:rsidRPr="00973C63">
        <w:rPr>
          <w:lang w:val="ru-RU"/>
        </w:rPr>
        <w:t xml:space="preserve"> чистого </w:t>
      </w:r>
      <w:proofErr w:type="spellStart"/>
      <w:r w:rsidRPr="00973C63">
        <w:rPr>
          <w:lang w:val="ru-RU"/>
        </w:rPr>
        <w:t>стабільного</w:t>
      </w:r>
      <w:proofErr w:type="spellEnd"/>
      <w:r w:rsidRPr="00973C63">
        <w:rPr>
          <w:lang w:val="ru-RU"/>
        </w:rPr>
        <w:t xml:space="preserve"> </w:t>
      </w:r>
      <w:proofErr w:type="spellStart"/>
      <w:r w:rsidRPr="00973C63">
        <w:rPr>
          <w:lang w:val="ru-RU"/>
        </w:rPr>
        <w:t>фінансування</w:t>
      </w:r>
      <w:proofErr w:type="spellEnd"/>
      <w:r w:rsidRPr="00973C63">
        <w:rPr>
          <w:lang w:val="ru-RU"/>
        </w:rPr>
        <w:t xml:space="preserve"> (</w:t>
      </w:r>
      <w:proofErr w:type="spellStart"/>
      <w:r w:rsidRPr="00973C63">
        <w:rPr>
          <w:lang w:val="ru-RU"/>
        </w:rPr>
        <w:t>NSFRк</w:t>
      </w:r>
      <w:proofErr w:type="spellEnd"/>
      <w:r w:rsidRPr="00973C63">
        <w:rPr>
          <w:lang w:val="ru-RU"/>
        </w:rPr>
        <w:t>);</w:t>
      </w:r>
      <w:r w:rsidR="0066120C" w:rsidRPr="00973C63">
        <w:rPr>
          <w:lang w:val="ru-RU"/>
        </w:rPr>
        <w:t>”;</w:t>
      </w:r>
    </w:p>
    <w:p w14:paraId="7435E331" w14:textId="4FF18B93" w:rsidR="0066120C" w:rsidRPr="00973C63" w:rsidRDefault="0066120C" w:rsidP="002F2607">
      <w:pPr>
        <w:shd w:val="clear" w:color="auto" w:fill="FFFFFF" w:themeFill="background1"/>
        <w:tabs>
          <w:tab w:val="left" w:pos="851"/>
        </w:tabs>
        <w:ind w:firstLine="567"/>
        <w:rPr>
          <w:lang w:val="ru-RU"/>
        </w:rPr>
      </w:pPr>
    </w:p>
    <w:p w14:paraId="01D81858" w14:textId="14948117" w:rsidR="000A2EE4" w:rsidRPr="00973C63" w:rsidRDefault="0066120C" w:rsidP="005F607E">
      <w:pPr>
        <w:shd w:val="clear" w:color="auto" w:fill="FFFFFF" w:themeFill="background1"/>
        <w:ind w:firstLine="540"/>
      </w:pPr>
      <w:r w:rsidRPr="00973C63">
        <w:rPr>
          <w:lang w:val="ru-RU"/>
        </w:rPr>
        <w:t>2) </w:t>
      </w:r>
      <w:r w:rsidR="000A2EE4" w:rsidRPr="00973C63">
        <w:t>пункт</w:t>
      </w:r>
      <w:r w:rsidR="009965D0" w:rsidRPr="00973C63">
        <w:t>и</w:t>
      </w:r>
      <w:r w:rsidR="000A2EE4" w:rsidRPr="00973C63">
        <w:t xml:space="preserve"> 4</w:t>
      </w:r>
      <w:r w:rsidR="001174E6">
        <w:t>,</w:t>
      </w:r>
      <w:r w:rsidR="005F607E">
        <w:t xml:space="preserve"> </w:t>
      </w:r>
      <w:r w:rsidR="009965D0" w:rsidRPr="00973C63">
        <w:t>5</w:t>
      </w:r>
      <w:r w:rsidR="000A2EE4" w:rsidRPr="00973C63">
        <w:rPr>
          <w:lang w:val="ru-RU"/>
        </w:rPr>
        <w:t xml:space="preserve"> </w:t>
      </w:r>
      <w:r w:rsidR="004557B6" w:rsidRPr="00973C63">
        <w:t xml:space="preserve">замінити </w:t>
      </w:r>
      <w:r w:rsidR="009965D0" w:rsidRPr="00973C63">
        <w:t>п</w:t>
      </w:r>
      <w:r w:rsidR="009965D0" w:rsidRPr="00973C63">
        <w:rPr>
          <w:lang w:val="ru-RU"/>
        </w:rPr>
        <w:t>’</w:t>
      </w:r>
      <w:proofErr w:type="spellStart"/>
      <w:r w:rsidR="009965D0" w:rsidRPr="00973C63">
        <w:t>ять</w:t>
      </w:r>
      <w:r w:rsidR="004557B6" w:rsidRPr="00973C63">
        <w:t>ма</w:t>
      </w:r>
      <w:proofErr w:type="spellEnd"/>
      <w:r w:rsidR="004557B6" w:rsidRPr="00973C63">
        <w:t xml:space="preserve"> новими пунктами </w:t>
      </w:r>
      <w:r w:rsidR="00A1323F" w:rsidRPr="00973C63">
        <w:t>4</w:t>
      </w:r>
      <w:r w:rsidR="00FF3967">
        <w:t>−</w:t>
      </w:r>
      <w:r w:rsidR="00A1323F" w:rsidRPr="00973C63">
        <w:t xml:space="preserve">8 </w:t>
      </w:r>
      <w:r w:rsidR="004557B6" w:rsidRPr="00973C63">
        <w:t>такого змісту</w:t>
      </w:r>
      <w:r w:rsidR="000A2EE4" w:rsidRPr="00973C63">
        <w:t>:</w:t>
      </w:r>
    </w:p>
    <w:p w14:paraId="4B3097E6" w14:textId="2029199D" w:rsidR="000A2EE4" w:rsidRPr="00973C63" w:rsidRDefault="000A2EE4" w:rsidP="005F607E">
      <w:pPr>
        <w:shd w:val="clear" w:color="auto" w:fill="FFFFFF" w:themeFill="background1"/>
        <w:tabs>
          <w:tab w:val="left" w:pos="851"/>
        </w:tabs>
        <w:ind w:firstLine="567"/>
      </w:pPr>
      <w:r w:rsidRPr="00973C63">
        <w:t>“</w:t>
      </w:r>
      <w:r w:rsidR="004557B6" w:rsidRPr="00973C63">
        <w:t>4. </w:t>
      </w:r>
      <w:r w:rsidRPr="00973C63">
        <w:t>Банківська група зобов’язана дотримуватися:</w:t>
      </w:r>
    </w:p>
    <w:p w14:paraId="186D0A25" w14:textId="77777777" w:rsidR="00897856" w:rsidRDefault="00897856" w:rsidP="005F607E">
      <w:pPr>
        <w:shd w:val="clear" w:color="auto" w:fill="FFFFFF" w:themeFill="background1"/>
        <w:tabs>
          <w:tab w:val="left" w:pos="851"/>
        </w:tabs>
        <w:ind w:firstLine="567"/>
      </w:pPr>
    </w:p>
    <w:p w14:paraId="2240347D" w14:textId="6A277444" w:rsidR="000A2EE4" w:rsidRPr="00CF06A0" w:rsidRDefault="000A2EE4" w:rsidP="005F607E">
      <w:pPr>
        <w:pStyle w:val="af3"/>
        <w:numPr>
          <w:ilvl w:val="0"/>
          <w:numId w:val="7"/>
        </w:numPr>
        <w:shd w:val="clear" w:color="auto" w:fill="FFFFFF" w:themeFill="background1"/>
        <w:tabs>
          <w:tab w:val="left" w:pos="851"/>
        </w:tabs>
      </w:pPr>
      <w:r w:rsidRPr="00CF06A0">
        <w:t>вимог щодо достатності регулятивного капіталу;</w:t>
      </w:r>
    </w:p>
    <w:p w14:paraId="28FD202C" w14:textId="77777777" w:rsidR="00897856" w:rsidRPr="00CF06A0" w:rsidRDefault="00897856" w:rsidP="005F607E">
      <w:pPr>
        <w:shd w:val="clear" w:color="auto" w:fill="FFFFFF" w:themeFill="background1"/>
        <w:tabs>
          <w:tab w:val="left" w:pos="851"/>
        </w:tabs>
        <w:ind w:firstLine="567"/>
      </w:pPr>
    </w:p>
    <w:p w14:paraId="31CA8FD1" w14:textId="77777777" w:rsidR="00FC33F6" w:rsidRPr="00CF06A0" w:rsidRDefault="00897856" w:rsidP="005F607E">
      <w:pPr>
        <w:shd w:val="clear" w:color="auto" w:fill="FFFFFF" w:themeFill="background1"/>
        <w:tabs>
          <w:tab w:val="left" w:pos="851"/>
        </w:tabs>
        <w:ind w:firstLine="567"/>
      </w:pPr>
      <w:r w:rsidRPr="00CF06A0">
        <w:t xml:space="preserve">2) </w:t>
      </w:r>
      <w:r w:rsidR="000A2EE4" w:rsidRPr="00CF06A0">
        <w:t>нормативів ліквідності</w:t>
      </w:r>
      <w:r w:rsidR="00FC33F6" w:rsidRPr="00CF06A0">
        <w:t>:</w:t>
      </w:r>
    </w:p>
    <w:p w14:paraId="02E001A8" w14:textId="77777777" w:rsidR="00FC33F6" w:rsidRPr="00CF06A0" w:rsidRDefault="00FC33F6" w:rsidP="00FC33F6">
      <w:pPr>
        <w:shd w:val="clear" w:color="auto" w:fill="FFFFFF" w:themeFill="background1"/>
        <w:tabs>
          <w:tab w:val="left" w:pos="851"/>
        </w:tabs>
        <w:ind w:firstLine="567"/>
      </w:pPr>
      <w:r w:rsidRPr="00CF06A0">
        <w:t>за кредитно-інвестиційною підгрупою банківської групи;</w:t>
      </w:r>
    </w:p>
    <w:p w14:paraId="142A6266" w14:textId="3A71003B" w:rsidR="000A2EE4" w:rsidRPr="00CF06A0" w:rsidRDefault="00FC33F6" w:rsidP="00FC33F6">
      <w:pPr>
        <w:shd w:val="clear" w:color="auto" w:fill="FFFFFF" w:themeFill="background1"/>
        <w:tabs>
          <w:tab w:val="left" w:pos="851"/>
        </w:tabs>
        <w:ind w:firstLine="567"/>
      </w:pPr>
      <w:r w:rsidRPr="00CF06A0">
        <w:t>за підгрупою банківської групи, визначеною за географічним критерієм [за учасниками підгрупи в цілому (крім страхових компаній)</w:t>
      </w:r>
      <w:r w:rsidRPr="00CF06A0">
        <w:rPr>
          <w:lang w:val="ru-RU"/>
        </w:rPr>
        <w:t>]</w:t>
      </w:r>
      <w:r w:rsidR="000A2EE4" w:rsidRPr="00CF06A0">
        <w:t>;</w:t>
      </w:r>
    </w:p>
    <w:p w14:paraId="50835A26" w14:textId="77777777" w:rsidR="00897856" w:rsidRPr="00CF06A0" w:rsidRDefault="00897856" w:rsidP="005F607E">
      <w:pPr>
        <w:shd w:val="clear" w:color="auto" w:fill="FFFFFF" w:themeFill="background1"/>
        <w:tabs>
          <w:tab w:val="left" w:pos="851"/>
        </w:tabs>
        <w:ind w:firstLine="567"/>
      </w:pPr>
    </w:p>
    <w:p w14:paraId="390DA55E" w14:textId="5C1BF8FE" w:rsidR="000A2EE4" w:rsidRPr="00CF06A0" w:rsidRDefault="00897856" w:rsidP="005F607E">
      <w:pPr>
        <w:shd w:val="clear" w:color="auto" w:fill="FFFFFF" w:themeFill="background1"/>
        <w:tabs>
          <w:tab w:val="left" w:pos="851"/>
        </w:tabs>
        <w:ind w:firstLine="567"/>
      </w:pPr>
      <w:r w:rsidRPr="00CF06A0">
        <w:t xml:space="preserve">3) </w:t>
      </w:r>
      <w:r w:rsidR="000A2EE4" w:rsidRPr="00CF06A0">
        <w:t xml:space="preserve">нормативів кредитного ризику; </w:t>
      </w:r>
    </w:p>
    <w:p w14:paraId="353A12AC" w14:textId="77777777" w:rsidR="00897856" w:rsidRPr="00CF06A0" w:rsidRDefault="00897856" w:rsidP="005F607E">
      <w:pPr>
        <w:shd w:val="clear" w:color="auto" w:fill="FFFFFF" w:themeFill="background1"/>
        <w:tabs>
          <w:tab w:val="left" w:pos="851"/>
        </w:tabs>
        <w:ind w:firstLine="567"/>
      </w:pPr>
    </w:p>
    <w:p w14:paraId="2BF0207E" w14:textId="1B1C998E" w:rsidR="004557B6" w:rsidRPr="00CF06A0" w:rsidRDefault="00897856" w:rsidP="005F607E">
      <w:pPr>
        <w:shd w:val="clear" w:color="auto" w:fill="FFFFFF" w:themeFill="background1"/>
        <w:tabs>
          <w:tab w:val="left" w:pos="851"/>
        </w:tabs>
        <w:ind w:firstLine="567"/>
      </w:pPr>
      <w:r w:rsidRPr="00CF06A0">
        <w:t xml:space="preserve">4) </w:t>
      </w:r>
      <w:r w:rsidR="000A2EE4" w:rsidRPr="00CF06A0">
        <w:t>нормативів участі (інвестування).</w:t>
      </w:r>
    </w:p>
    <w:p w14:paraId="050EB53D" w14:textId="77777777" w:rsidR="004557B6" w:rsidRPr="00CF06A0" w:rsidRDefault="004557B6" w:rsidP="005F607E">
      <w:pPr>
        <w:shd w:val="clear" w:color="auto" w:fill="FFFFFF" w:themeFill="background1"/>
        <w:tabs>
          <w:tab w:val="left" w:pos="851"/>
        </w:tabs>
        <w:ind w:firstLine="567"/>
      </w:pPr>
    </w:p>
    <w:p w14:paraId="0E0902F0" w14:textId="77777777" w:rsidR="004557B6" w:rsidRPr="00CF06A0" w:rsidRDefault="004557B6" w:rsidP="005F607E">
      <w:pPr>
        <w:shd w:val="clear" w:color="auto" w:fill="FFFFFF" w:themeFill="background1"/>
        <w:tabs>
          <w:tab w:val="left" w:pos="851"/>
        </w:tabs>
        <w:ind w:firstLine="567"/>
        <w:rPr>
          <w:lang w:val="ru-RU"/>
        </w:rPr>
      </w:pPr>
      <w:r w:rsidRPr="00CF06A0">
        <w:rPr>
          <w:lang w:val="ru-RU"/>
        </w:rPr>
        <w:t>5. Кредитно-</w:t>
      </w:r>
      <w:proofErr w:type="spellStart"/>
      <w:r w:rsidRPr="00CF06A0">
        <w:rPr>
          <w:lang w:val="ru-RU"/>
        </w:rPr>
        <w:t>інвестиційна</w:t>
      </w:r>
      <w:proofErr w:type="spellEnd"/>
      <w:r w:rsidRPr="00CF06A0">
        <w:rPr>
          <w:lang w:val="ru-RU"/>
        </w:rPr>
        <w:t xml:space="preserve"> </w:t>
      </w:r>
      <w:proofErr w:type="spellStart"/>
      <w:r w:rsidRPr="00CF06A0">
        <w:rPr>
          <w:lang w:val="ru-RU"/>
        </w:rPr>
        <w:t>підгрупа</w:t>
      </w:r>
      <w:proofErr w:type="spellEnd"/>
      <w:r w:rsidRPr="00CF06A0">
        <w:rPr>
          <w:lang w:val="ru-RU"/>
        </w:rPr>
        <w:t xml:space="preserve"> </w:t>
      </w:r>
      <w:proofErr w:type="spellStart"/>
      <w:r w:rsidRPr="00CF06A0">
        <w:rPr>
          <w:lang w:val="ru-RU"/>
        </w:rPr>
        <w:t>зобов’язана</w:t>
      </w:r>
      <w:proofErr w:type="spellEnd"/>
      <w:r w:rsidRPr="00CF06A0">
        <w:rPr>
          <w:lang w:val="ru-RU"/>
        </w:rPr>
        <w:t xml:space="preserve"> </w:t>
      </w:r>
      <w:proofErr w:type="spellStart"/>
      <w:r w:rsidRPr="00CF06A0">
        <w:rPr>
          <w:lang w:val="ru-RU"/>
        </w:rPr>
        <w:t>дотримуватися</w:t>
      </w:r>
      <w:proofErr w:type="spellEnd"/>
      <w:r w:rsidRPr="00CF06A0">
        <w:rPr>
          <w:lang w:val="ru-RU"/>
        </w:rPr>
        <w:t>:</w:t>
      </w:r>
    </w:p>
    <w:p w14:paraId="1479D300" w14:textId="77777777" w:rsidR="00CC7886" w:rsidRPr="00CF06A0" w:rsidRDefault="00CC7886" w:rsidP="005F607E">
      <w:pPr>
        <w:shd w:val="clear" w:color="auto" w:fill="FFFFFF" w:themeFill="background1"/>
        <w:tabs>
          <w:tab w:val="left" w:pos="851"/>
        </w:tabs>
        <w:ind w:firstLine="567"/>
        <w:rPr>
          <w:lang w:val="ru-RU"/>
        </w:rPr>
      </w:pPr>
    </w:p>
    <w:p w14:paraId="0AC27886" w14:textId="2A597335" w:rsidR="004557B6" w:rsidRPr="00CF06A0" w:rsidRDefault="004557B6" w:rsidP="005F607E">
      <w:pPr>
        <w:pStyle w:val="af3"/>
        <w:numPr>
          <w:ilvl w:val="0"/>
          <w:numId w:val="8"/>
        </w:numPr>
        <w:shd w:val="clear" w:color="auto" w:fill="FFFFFF" w:themeFill="background1"/>
        <w:tabs>
          <w:tab w:val="left" w:pos="851"/>
        </w:tabs>
        <w:rPr>
          <w:lang w:val="ru-RU"/>
        </w:rPr>
      </w:pPr>
      <w:proofErr w:type="spellStart"/>
      <w:r w:rsidRPr="00CF06A0">
        <w:rPr>
          <w:lang w:val="ru-RU"/>
        </w:rPr>
        <w:t>вимог</w:t>
      </w:r>
      <w:proofErr w:type="spellEnd"/>
      <w:r w:rsidRPr="00CF06A0">
        <w:rPr>
          <w:lang w:val="ru-RU"/>
        </w:rPr>
        <w:t xml:space="preserve"> </w:t>
      </w:r>
      <w:proofErr w:type="spellStart"/>
      <w:r w:rsidRPr="00CF06A0">
        <w:rPr>
          <w:lang w:val="ru-RU"/>
        </w:rPr>
        <w:t>щодо</w:t>
      </w:r>
      <w:proofErr w:type="spellEnd"/>
      <w:r w:rsidRPr="00CF06A0">
        <w:rPr>
          <w:lang w:val="ru-RU"/>
        </w:rPr>
        <w:t xml:space="preserve"> достатності регулятивного капіталу;</w:t>
      </w:r>
    </w:p>
    <w:p w14:paraId="3BE5F617" w14:textId="77777777" w:rsidR="00CC7886" w:rsidRPr="00CF06A0" w:rsidRDefault="00CC7886" w:rsidP="005F607E">
      <w:pPr>
        <w:shd w:val="clear" w:color="auto" w:fill="FFFFFF" w:themeFill="background1"/>
        <w:tabs>
          <w:tab w:val="left" w:pos="851"/>
        </w:tabs>
        <w:ind w:firstLine="567"/>
        <w:rPr>
          <w:lang w:val="ru-RU"/>
        </w:rPr>
      </w:pPr>
    </w:p>
    <w:p w14:paraId="61966B86" w14:textId="417F73F4" w:rsidR="004557B6" w:rsidRPr="00CF06A0" w:rsidRDefault="004557B6" w:rsidP="005F607E">
      <w:pPr>
        <w:pStyle w:val="af3"/>
        <w:numPr>
          <w:ilvl w:val="0"/>
          <w:numId w:val="8"/>
        </w:numPr>
        <w:shd w:val="clear" w:color="auto" w:fill="FFFFFF" w:themeFill="background1"/>
        <w:tabs>
          <w:tab w:val="left" w:pos="851"/>
        </w:tabs>
        <w:rPr>
          <w:lang w:val="ru-RU"/>
        </w:rPr>
      </w:pPr>
      <w:proofErr w:type="spellStart"/>
      <w:r w:rsidRPr="00CF06A0">
        <w:rPr>
          <w:lang w:val="ru-RU"/>
        </w:rPr>
        <w:t>нормативів</w:t>
      </w:r>
      <w:proofErr w:type="spellEnd"/>
      <w:r w:rsidRPr="00CF06A0">
        <w:rPr>
          <w:lang w:val="ru-RU"/>
        </w:rPr>
        <w:t xml:space="preserve"> </w:t>
      </w:r>
      <w:proofErr w:type="spellStart"/>
      <w:r w:rsidRPr="00CF06A0">
        <w:rPr>
          <w:lang w:val="ru-RU"/>
        </w:rPr>
        <w:t>ліквідності</w:t>
      </w:r>
      <w:proofErr w:type="spellEnd"/>
      <w:r w:rsidRPr="00CF06A0">
        <w:rPr>
          <w:lang w:val="ru-RU"/>
        </w:rPr>
        <w:t>;</w:t>
      </w:r>
    </w:p>
    <w:p w14:paraId="58BB5B80" w14:textId="77777777" w:rsidR="00CC7886" w:rsidRPr="00CF06A0" w:rsidRDefault="00CC7886" w:rsidP="005F607E">
      <w:pPr>
        <w:shd w:val="clear" w:color="auto" w:fill="FFFFFF" w:themeFill="background1"/>
        <w:tabs>
          <w:tab w:val="left" w:pos="851"/>
        </w:tabs>
        <w:ind w:firstLine="567"/>
        <w:rPr>
          <w:lang w:val="ru-RU"/>
        </w:rPr>
      </w:pPr>
    </w:p>
    <w:p w14:paraId="62A7E493" w14:textId="35039B46" w:rsidR="004557B6" w:rsidRPr="00CF06A0" w:rsidRDefault="004557B6" w:rsidP="005F607E">
      <w:pPr>
        <w:pStyle w:val="af3"/>
        <w:numPr>
          <w:ilvl w:val="0"/>
          <w:numId w:val="8"/>
        </w:numPr>
        <w:shd w:val="clear" w:color="auto" w:fill="FFFFFF" w:themeFill="background1"/>
        <w:tabs>
          <w:tab w:val="left" w:pos="851"/>
        </w:tabs>
        <w:rPr>
          <w:lang w:val="ru-RU"/>
        </w:rPr>
      </w:pPr>
      <w:proofErr w:type="spellStart"/>
      <w:r w:rsidRPr="00CF06A0">
        <w:rPr>
          <w:lang w:val="ru-RU"/>
        </w:rPr>
        <w:t>нормативів</w:t>
      </w:r>
      <w:proofErr w:type="spellEnd"/>
      <w:r w:rsidRPr="00CF06A0">
        <w:rPr>
          <w:lang w:val="ru-RU"/>
        </w:rPr>
        <w:t xml:space="preserve"> кредитного </w:t>
      </w:r>
      <w:proofErr w:type="spellStart"/>
      <w:r w:rsidRPr="00CF06A0">
        <w:rPr>
          <w:lang w:val="ru-RU"/>
        </w:rPr>
        <w:t>ризику</w:t>
      </w:r>
      <w:proofErr w:type="spellEnd"/>
      <w:r w:rsidRPr="00CF06A0">
        <w:rPr>
          <w:lang w:val="ru-RU"/>
        </w:rPr>
        <w:t xml:space="preserve">; </w:t>
      </w:r>
    </w:p>
    <w:p w14:paraId="7DB8F42F" w14:textId="77777777" w:rsidR="00CC7886" w:rsidRPr="00CF06A0" w:rsidRDefault="00CC7886" w:rsidP="005F607E">
      <w:pPr>
        <w:shd w:val="clear" w:color="auto" w:fill="FFFFFF" w:themeFill="background1"/>
        <w:tabs>
          <w:tab w:val="left" w:pos="851"/>
        </w:tabs>
        <w:ind w:firstLine="567"/>
        <w:rPr>
          <w:lang w:val="ru-RU"/>
        </w:rPr>
      </w:pPr>
    </w:p>
    <w:p w14:paraId="5DF8D935" w14:textId="2E1E5725" w:rsidR="004557B6" w:rsidRPr="00CF06A0" w:rsidRDefault="004557B6" w:rsidP="005F607E">
      <w:pPr>
        <w:pStyle w:val="af3"/>
        <w:numPr>
          <w:ilvl w:val="0"/>
          <w:numId w:val="8"/>
        </w:numPr>
        <w:shd w:val="clear" w:color="auto" w:fill="FFFFFF" w:themeFill="background1"/>
        <w:tabs>
          <w:tab w:val="left" w:pos="851"/>
        </w:tabs>
        <w:rPr>
          <w:lang w:val="ru-RU"/>
        </w:rPr>
      </w:pPr>
      <w:proofErr w:type="spellStart"/>
      <w:r w:rsidRPr="00CF06A0">
        <w:rPr>
          <w:lang w:val="ru-RU"/>
        </w:rPr>
        <w:t>нормативів</w:t>
      </w:r>
      <w:proofErr w:type="spellEnd"/>
      <w:r w:rsidRPr="00CF06A0">
        <w:rPr>
          <w:lang w:val="ru-RU"/>
        </w:rPr>
        <w:t xml:space="preserve"> </w:t>
      </w:r>
      <w:proofErr w:type="spellStart"/>
      <w:r w:rsidRPr="00CF06A0">
        <w:rPr>
          <w:lang w:val="ru-RU"/>
        </w:rPr>
        <w:t>участі</w:t>
      </w:r>
      <w:proofErr w:type="spellEnd"/>
      <w:r w:rsidRPr="00CF06A0">
        <w:rPr>
          <w:lang w:val="ru-RU"/>
        </w:rPr>
        <w:t xml:space="preserve"> (</w:t>
      </w:r>
      <w:proofErr w:type="spellStart"/>
      <w:r w:rsidRPr="00CF06A0">
        <w:rPr>
          <w:lang w:val="ru-RU"/>
        </w:rPr>
        <w:t>інвестування</w:t>
      </w:r>
      <w:proofErr w:type="spellEnd"/>
      <w:r w:rsidRPr="00CF06A0">
        <w:rPr>
          <w:lang w:val="ru-RU"/>
        </w:rPr>
        <w:t xml:space="preserve">). </w:t>
      </w:r>
    </w:p>
    <w:p w14:paraId="2EB19F1F" w14:textId="77777777" w:rsidR="004557B6" w:rsidRPr="00CF06A0" w:rsidRDefault="004557B6" w:rsidP="005F607E">
      <w:pPr>
        <w:shd w:val="clear" w:color="auto" w:fill="FFFFFF" w:themeFill="background1"/>
        <w:tabs>
          <w:tab w:val="left" w:pos="851"/>
        </w:tabs>
        <w:ind w:firstLine="567"/>
        <w:rPr>
          <w:lang w:val="ru-RU"/>
        </w:rPr>
      </w:pPr>
    </w:p>
    <w:p w14:paraId="4DA0B51F" w14:textId="4A0B5BAD" w:rsidR="004557B6" w:rsidRPr="00CF06A0" w:rsidRDefault="001D3786" w:rsidP="004557B6">
      <w:pPr>
        <w:shd w:val="clear" w:color="auto" w:fill="FFFFFF" w:themeFill="background1"/>
        <w:tabs>
          <w:tab w:val="left" w:pos="851"/>
        </w:tabs>
        <w:ind w:firstLine="567"/>
        <w:rPr>
          <w:lang w:val="ru-RU"/>
        </w:rPr>
      </w:pPr>
      <w:r w:rsidRPr="00CF06A0">
        <w:rPr>
          <w:lang w:val="ru-RU"/>
        </w:rPr>
        <w:t>6. </w:t>
      </w:r>
      <w:r w:rsidR="004557B6" w:rsidRPr="00CF06A0">
        <w:rPr>
          <w:lang w:val="ru-RU"/>
        </w:rPr>
        <w:t xml:space="preserve">Страхова </w:t>
      </w:r>
      <w:proofErr w:type="spellStart"/>
      <w:r w:rsidR="004557B6" w:rsidRPr="00CF06A0">
        <w:rPr>
          <w:lang w:val="ru-RU"/>
        </w:rPr>
        <w:t>підгрупа</w:t>
      </w:r>
      <w:proofErr w:type="spellEnd"/>
      <w:r w:rsidR="004557B6" w:rsidRPr="00CF06A0">
        <w:rPr>
          <w:lang w:val="ru-RU"/>
        </w:rPr>
        <w:t xml:space="preserve"> </w:t>
      </w:r>
      <w:proofErr w:type="spellStart"/>
      <w:r w:rsidR="004557B6" w:rsidRPr="00CF06A0">
        <w:rPr>
          <w:lang w:val="ru-RU"/>
        </w:rPr>
        <w:t>зобов’язана</w:t>
      </w:r>
      <w:proofErr w:type="spellEnd"/>
      <w:r w:rsidR="004557B6" w:rsidRPr="00CF06A0">
        <w:rPr>
          <w:lang w:val="ru-RU"/>
        </w:rPr>
        <w:t xml:space="preserve"> </w:t>
      </w:r>
      <w:proofErr w:type="spellStart"/>
      <w:r w:rsidR="004557B6" w:rsidRPr="00CF06A0">
        <w:rPr>
          <w:lang w:val="ru-RU"/>
        </w:rPr>
        <w:t>дотримуватис</w:t>
      </w:r>
      <w:r w:rsidR="0089684E">
        <w:rPr>
          <w:lang w:val="ru-RU"/>
        </w:rPr>
        <w:t>я</w:t>
      </w:r>
      <w:proofErr w:type="spellEnd"/>
      <w:r w:rsidR="004557B6" w:rsidRPr="00CF06A0">
        <w:rPr>
          <w:lang w:val="ru-RU"/>
        </w:rPr>
        <w:t xml:space="preserve"> </w:t>
      </w:r>
      <w:proofErr w:type="spellStart"/>
      <w:r w:rsidR="004557B6" w:rsidRPr="00CF06A0">
        <w:rPr>
          <w:lang w:val="ru-RU"/>
        </w:rPr>
        <w:t>вимог</w:t>
      </w:r>
      <w:proofErr w:type="spellEnd"/>
      <w:r w:rsidR="004557B6" w:rsidRPr="00CF06A0">
        <w:rPr>
          <w:lang w:val="ru-RU"/>
        </w:rPr>
        <w:t xml:space="preserve"> </w:t>
      </w:r>
      <w:proofErr w:type="spellStart"/>
      <w:r w:rsidR="004557B6" w:rsidRPr="00CF06A0">
        <w:rPr>
          <w:lang w:val="ru-RU"/>
        </w:rPr>
        <w:t>щодо</w:t>
      </w:r>
      <w:proofErr w:type="spellEnd"/>
      <w:r w:rsidR="004557B6" w:rsidRPr="00CF06A0">
        <w:rPr>
          <w:lang w:val="ru-RU"/>
        </w:rPr>
        <w:t xml:space="preserve"> достатності регулятивного капіталу.</w:t>
      </w:r>
    </w:p>
    <w:p w14:paraId="28F68E99" w14:textId="3DF17A92" w:rsidR="000A2EE4" w:rsidRPr="00CF06A0" w:rsidRDefault="000A2EE4" w:rsidP="000A2EE4">
      <w:pPr>
        <w:shd w:val="clear" w:color="auto" w:fill="FFFFFF" w:themeFill="background1"/>
        <w:tabs>
          <w:tab w:val="left" w:pos="851"/>
        </w:tabs>
        <w:ind w:firstLine="567"/>
      </w:pPr>
    </w:p>
    <w:p w14:paraId="4A15D4F5" w14:textId="3F1862DB" w:rsidR="00446DFE" w:rsidRPr="00CF06A0" w:rsidRDefault="00E846C6" w:rsidP="00446DFE">
      <w:pPr>
        <w:shd w:val="clear" w:color="auto" w:fill="FFFFFF" w:themeFill="background1"/>
        <w:tabs>
          <w:tab w:val="left" w:pos="851"/>
        </w:tabs>
        <w:ind w:firstLine="567"/>
        <w:rPr>
          <w:lang w:val="ru-RU"/>
        </w:rPr>
      </w:pPr>
      <w:r w:rsidRPr="00CF06A0">
        <w:rPr>
          <w:lang w:val="ru-RU"/>
        </w:rPr>
        <w:t>7. </w:t>
      </w:r>
      <w:proofErr w:type="spellStart"/>
      <w:r w:rsidR="00446DFE" w:rsidRPr="00CF06A0">
        <w:rPr>
          <w:lang w:val="ru-RU"/>
        </w:rPr>
        <w:t>Підгрупа</w:t>
      </w:r>
      <w:proofErr w:type="spellEnd"/>
      <w:r w:rsidR="00446DFE" w:rsidRPr="00CF06A0">
        <w:rPr>
          <w:lang w:val="ru-RU"/>
        </w:rPr>
        <w:t xml:space="preserve"> </w:t>
      </w:r>
      <w:proofErr w:type="spellStart"/>
      <w:r w:rsidR="00446DFE" w:rsidRPr="00CF06A0">
        <w:rPr>
          <w:lang w:val="ru-RU"/>
        </w:rPr>
        <w:t>банківської</w:t>
      </w:r>
      <w:proofErr w:type="spellEnd"/>
      <w:r w:rsidR="00446DFE" w:rsidRPr="00CF06A0">
        <w:rPr>
          <w:lang w:val="ru-RU"/>
        </w:rPr>
        <w:t xml:space="preserve"> </w:t>
      </w:r>
      <w:proofErr w:type="spellStart"/>
      <w:r w:rsidR="00446DFE" w:rsidRPr="00CF06A0">
        <w:rPr>
          <w:lang w:val="ru-RU"/>
        </w:rPr>
        <w:t>групи</w:t>
      </w:r>
      <w:proofErr w:type="spellEnd"/>
      <w:r w:rsidR="00446DFE" w:rsidRPr="00CF06A0">
        <w:rPr>
          <w:lang w:val="ru-RU"/>
        </w:rPr>
        <w:t xml:space="preserve">, </w:t>
      </w:r>
      <w:proofErr w:type="spellStart"/>
      <w:r w:rsidR="00446DFE" w:rsidRPr="00CF06A0">
        <w:rPr>
          <w:lang w:val="ru-RU"/>
        </w:rPr>
        <w:t>визначена</w:t>
      </w:r>
      <w:proofErr w:type="spellEnd"/>
      <w:r w:rsidR="00446DFE" w:rsidRPr="00CF06A0">
        <w:rPr>
          <w:lang w:val="ru-RU"/>
        </w:rPr>
        <w:t xml:space="preserve"> за </w:t>
      </w:r>
      <w:proofErr w:type="spellStart"/>
      <w:r w:rsidR="00446DFE" w:rsidRPr="00CF06A0">
        <w:rPr>
          <w:lang w:val="ru-RU"/>
        </w:rPr>
        <w:t>географічним</w:t>
      </w:r>
      <w:proofErr w:type="spellEnd"/>
      <w:r w:rsidR="00446DFE" w:rsidRPr="00CF06A0">
        <w:rPr>
          <w:lang w:val="ru-RU"/>
        </w:rPr>
        <w:t xml:space="preserve"> </w:t>
      </w:r>
      <w:proofErr w:type="spellStart"/>
      <w:r w:rsidR="00446DFE" w:rsidRPr="00CF06A0">
        <w:rPr>
          <w:lang w:val="ru-RU"/>
        </w:rPr>
        <w:t>критерієм</w:t>
      </w:r>
      <w:proofErr w:type="spellEnd"/>
      <w:r w:rsidR="00446DFE" w:rsidRPr="00CF06A0">
        <w:rPr>
          <w:lang w:val="ru-RU"/>
        </w:rPr>
        <w:t xml:space="preserve">, </w:t>
      </w:r>
      <w:proofErr w:type="spellStart"/>
      <w:r w:rsidR="00446DFE" w:rsidRPr="00CF06A0">
        <w:rPr>
          <w:lang w:val="ru-RU"/>
        </w:rPr>
        <w:t>зобов’язана</w:t>
      </w:r>
      <w:proofErr w:type="spellEnd"/>
      <w:r w:rsidR="00446DFE" w:rsidRPr="00CF06A0">
        <w:rPr>
          <w:lang w:val="ru-RU"/>
        </w:rPr>
        <w:t xml:space="preserve"> </w:t>
      </w:r>
      <w:proofErr w:type="spellStart"/>
      <w:r w:rsidR="00446DFE" w:rsidRPr="00CF06A0">
        <w:rPr>
          <w:lang w:val="ru-RU"/>
        </w:rPr>
        <w:t>дотримуватися</w:t>
      </w:r>
      <w:proofErr w:type="spellEnd"/>
      <w:r w:rsidR="00446DFE" w:rsidRPr="00CF06A0">
        <w:rPr>
          <w:lang w:val="ru-RU"/>
        </w:rPr>
        <w:t>:</w:t>
      </w:r>
    </w:p>
    <w:p w14:paraId="37DEE94B" w14:textId="77777777" w:rsidR="007725CB" w:rsidRPr="00CF06A0" w:rsidRDefault="007725CB" w:rsidP="00446DFE">
      <w:pPr>
        <w:shd w:val="clear" w:color="auto" w:fill="FFFFFF" w:themeFill="background1"/>
        <w:tabs>
          <w:tab w:val="left" w:pos="851"/>
        </w:tabs>
        <w:ind w:firstLine="567"/>
        <w:rPr>
          <w:lang w:val="ru-RU"/>
        </w:rPr>
      </w:pPr>
    </w:p>
    <w:p w14:paraId="4297A182" w14:textId="33BF3544" w:rsidR="00446DFE" w:rsidRPr="00CF06A0" w:rsidRDefault="00446DFE" w:rsidP="005F607E">
      <w:pPr>
        <w:pStyle w:val="af3"/>
        <w:numPr>
          <w:ilvl w:val="0"/>
          <w:numId w:val="9"/>
        </w:numPr>
        <w:shd w:val="clear" w:color="auto" w:fill="FFFFFF" w:themeFill="background1"/>
        <w:tabs>
          <w:tab w:val="left" w:pos="851"/>
        </w:tabs>
        <w:rPr>
          <w:lang w:val="ru-RU"/>
        </w:rPr>
      </w:pPr>
      <w:proofErr w:type="spellStart"/>
      <w:r w:rsidRPr="00CF06A0">
        <w:rPr>
          <w:lang w:val="ru-RU"/>
        </w:rPr>
        <w:t>вимог</w:t>
      </w:r>
      <w:proofErr w:type="spellEnd"/>
      <w:r w:rsidRPr="00CF06A0">
        <w:rPr>
          <w:lang w:val="ru-RU"/>
        </w:rPr>
        <w:t xml:space="preserve"> </w:t>
      </w:r>
      <w:proofErr w:type="spellStart"/>
      <w:r w:rsidRPr="00CF06A0">
        <w:rPr>
          <w:lang w:val="ru-RU"/>
        </w:rPr>
        <w:t>щодо</w:t>
      </w:r>
      <w:proofErr w:type="spellEnd"/>
      <w:r w:rsidRPr="00CF06A0">
        <w:rPr>
          <w:lang w:val="ru-RU"/>
        </w:rPr>
        <w:t xml:space="preserve"> достатності регулятивного капіталу;</w:t>
      </w:r>
    </w:p>
    <w:p w14:paraId="18C4F10D" w14:textId="77777777" w:rsidR="007725CB" w:rsidRPr="00CF06A0" w:rsidRDefault="007725CB" w:rsidP="00446DFE">
      <w:pPr>
        <w:shd w:val="clear" w:color="auto" w:fill="FFFFFF" w:themeFill="background1"/>
        <w:tabs>
          <w:tab w:val="left" w:pos="851"/>
        </w:tabs>
        <w:ind w:firstLine="567"/>
        <w:rPr>
          <w:lang w:val="ru-RU"/>
        </w:rPr>
      </w:pPr>
    </w:p>
    <w:p w14:paraId="4E1BBE49" w14:textId="3EC820BF" w:rsidR="00446DFE" w:rsidRPr="00CF06A0" w:rsidRDefault="007725CB" w:rsidP="00446DFE">
      <w:pPr>
        <w:shd w:val="clear" w:color="auto" w:fill="FFFFFF" w:themeFill="background1"/>
        <w:tabs>
          <w:tab w:val="left" w:pos="851"/>
        </w:tabs>
        <w:ind w:firstLine="567"/>
        <w:rPr>
          <w:lang w:val="ru-RU"/>
        </w:rPr>
      </w:pPr>
      <w:r w:rsidRPr="00CF06A0">
        <w:rPr>
          <w:lang w:val="ru-RU"/>
        </w:rPr>
        <w:t xml:space="preserve">2) </w:t>
      </w:r>
      <w:proofErr w:type="spellStart"/>
      <w:r w:rsidR="00446DFE" w:rsidRPr="00CF06A0">
        <w:rPr>
          <w:lang w:val="ru-RU"/>
        </w:rPr>
        <w:t>нормативів</w:t>
      </w:r>
      <w:proofErr w:type="spellEnd"/>
      <w:r w:rsidR="00446DFE" w:rsidRPr="00CF06A0">
        <w:rPr>
          <w:lang w:val="ru-RU"/>
        </w:rPr>
        <w:t xml:space="preserve"> </w:t>
      </w:r>
      <w:proofErr w:type="spellStart"/>
      <w:r w:rsidR="00446DFE" w:rsidRPr="00CF06A0">
        <w:rPr>
          <w:lang w:val="ru-RU"/>
        </w:rPr>
        <w:t>ліквідності</w:t>
      </w:r>
      <w:proofErr w:type="spellEnd"/>
      <w:r w:rsidR="00446DFE" w:rsidRPr="00CF06A0">
        <w:rPr>
          <w:lang w:val="ru-RU"/>
        </w:rPr>
        <w:t xml:space="preserve"> </w:t>
      </w:r>
      <w:r w:rsidR="00E21068" w:rsidRPr="00CF06A0">
        <w:rPr>
          <w:lang w:val="ru-RU"/>
        </w:rPr>
        <w:t xml:space="preserve">[за </w:t>
      </w:r>
      <w:proofErr w:type="spellStart"/>
      <w:r w:rsidR="00E21068" w:rsidRPr="00CF06A0">
        <w:rPr>
          <w:lang w:val="ru-RU"/>
        </w:rPr>
        <w:t>учасниками</w:t>
      </w:r>
      <w:proofErr w:type="spellEnd"/>
      <w:r w:rsidR="00E21068" w:rsidRPr="00CF06A0">
        <w:rPr>
          <w:lang w:val="ru-RU"/>
        </w:rPr>
        <w:t xml:space="preserve"> </w:t>
      </w:r>
      <w:proofErr w:type="spellStart"/>
      <w:r w:rsidR="00E21068" w:rsidRPr="00CF06A0">
        <w:rPr>
          <w:lang w:val="ru-RU"/>
        </w:rPr>
        <w:t>підгрупи</w:t>
      </w:r>
      <w:proofErr w:type="spellEnd"/>
      <w:r w:rsidR="00E21068" w:rsidRPr="00CF06A0">
        <w:rPr>
          <w:lang w:val="ru-RU"/>
        </w:rPr>
        <w:t xml:space="preserve"> в</w:t>
      </w:r>
      <w:r w:rsidR="00FC33F6" w:rsidRPr="00CF06A0">
        <w:rPr>
          <w:lang w:val="ru-RU"/>
        </w:rPr>
        <w:t xml:space="preserve"> </w:t>
      </w:r>
      <w:proofErr w:type="spellStart"/>
      <w:r w:rsidR="00E21068" w:rsidRPr="00CF06A0">
        <w:rPr>
          <w:lang w:val="ru-RU"/>
        </w:rPr>
        <w:t>цілому</w:t>
      </w:r>
      <w:proofErr w:type="spellEnd"/>
      <w:r w:rsidR="00E21068" w:rsidRPr="00CF06A0">
        <w:rPr>
          <w:lang w:val="ru-RU"/>
        </w:rPr>
        <w:t xml:space="preserve"> (</w:t>
      </w:r>
      <w:proofErr w:type="spellStart"/>
      <w:r w:rsidR="00E21068" w:rsidRPr="00CF06A0">
        <w:rPr>
          <w:lang w:val="ru-RU"/>
        </w:rPr>
        <w:t>крім</w:t>
      </w:r>
      <w:proofErr w:type="spellEnd"/>
      <w:r w:rsidR="00E21068" w:rsidRPr="00CF06A0">
        <w:rPr>
          <w:lang w:val="ru-RU"/>
        </w:rPr>
        <w:t xml:space="preserve"> </w:t>
      </w:r>
      <w:proofErr w:type="spellStart"/>
      <w:r w:rsidR="00E21068" w:rsidRPr="00CF06A0">
        <w:rPr>
          <w:lang w:val="ru-RU"/>
        </w:rPr>
        <w:t>страхових</w:t>
      </w:r>
      <w:proofErr w:type="spellEnd"/>
      <w:r w:rsidR="00E21068" w:rsidRPr="00CF06A0">
        <w:rPr>
          <w:lang w:val="ru-RU"/>
        </w:rPr>
        <w:t xml:space="preserve"> </w:t>
      </w:r>
      <w:proofErr w:type="spellStart"/>
      <w:r w:rsidR="00013398" w:rsidRPr="00CF06A0">
        <w:rPr>
          <w:lang w:val="ru-RU"/>
        </w:rPr>
        <w:t>компаній</w:t>
      </w:r>
      <w:proofErr w:type="spellEnd"/>
      <w:r w:rsidR="00013398" w:rsidRPr="00CF06A0">
        <w:rPr>
          <w:lang w:val="ru-RU"/>
        </w:rPr>
        <w:t>)]</w:t>
      </w:r>
      <w:r w:rsidR="00446DFE" w:rsidRPr="00CF06A0">
        <w:rPr>
          <w:lang w:val="ru-RU"/>
        </w:rPr>
        <w:t>;</w:t>
      </w:r>
    </w:p>
    <w:p w14:paraId="3712C2FF" w14:textId="77777777" w:rsidR="007725CB" w:rsidRPr="00CF06A0" w:rsidRDefault="007725CB" w:rsidP="00446DFE">
      <w:pPr>
        <w:shd w:val="clear" w:color="auto" w:fill="FFFFFF" w:themeFill="background1"/>
        <w:tabs>
          <w:tab w:val="left" w:pos="851"/>
        </w:tabs>
        <w:ind w:firstLine="567"/>
        <w:rPr>
          <w:lang w:val="ru-RU"/>
        </w:rPr>
      </w:pPr>
    </w:p>
    <w:p w14:paraId="195FC9FE" w14:textId="71EEF91D" w:rsidR="00446DFE" w:rsidRPr="00CF06A0" w:rsidRDefault="007725CB" w:rsidP="00446DFE">
      <w:pPr>
        <w:shd w:val="clear" w:color="auto" w:fill="FFFFFF" w:themeFill="background1"/>
        <w:tabs>
          <w:tab w:val="left" w:pos="851"/>
        </w:tabs>
        <w:ind w:firstLine="567"/>
        <w:rPr>
          <w:lang w:val="ru-RU"/>
        </w:rPr>
      </w:pPr>
      <w:r w:rsidRPr="00CF06A0">
        <w:rPr>
          <w:lang w:val="ru-RU"/>
        </w:rPr>
        <w:t xml:space="preserve">3) </w:t>
      </w:r>
      <w:proofErr w:type="spellStart"/>
      <w:r w:rsidR="00446DFE" w:rsidRPr="00CF06A0">
        <w:rPr>
          <w:lang w:val="ru-RU"/>
        </w:rPr>
        <w:t>нормативів</w:t>
      </w:r>
      <w:proofErr w:type="spellEnd"/>
      <w:r w:rsidR="00446DFE" w:rsidRPr="00CF06A0">
        <w:rPr>
          <w:lang w:val="ru-RU"/>
        </w:rPr>
        <w:t xml:space="preserve"> кредитного </w:t>
      </w:r>
      <w:proofErr w:type="spellStart"/>
      <w:r w:rsidR="00446DFE" w:rsidRPr="00CF06A0">
        <w:rPr>
          <w:lang w:val="ru-RU"/>
        </w:rPr>
        <w:t>ризику</w:t>
      </w:r>
      <w:proofErr w:type="spellEnd"/>
      <w:r w:rsidR="00446DFE" w:rsidRPr="00CF06A0">
        <w:rPr>
          <w:lang w:val="ru-RU"/>
        </w:rPr>
        <w:t xml:space="preserve">; </w:t>
      </w:r>
    </w:p>
    <w:p w14:paraId="62AEB540" w14:textId="77777777" w:rsidR="00B44949" w:rsidRPr="00CF06A0" w:rsidRDefault="00B44949" w:rsidP="00446DFE">
      <w:pPr>
        <w:shd w:val="clear" w:color="auto" w:fill="FFFFFF" w:themeFill="background1"/>
        <w:tabs>
          <w:tab w:val="left" w:pos="851"/>
        </w:tabs>
        <w:ind w:firstLine="567"/>
        <w:rPr>
          <w:lang w:val="ru-RU"/>
        </w:rPr>
      </w:pPr>
    </w:p>
    <w:p w14:paraId="292A6354" w14:textId="4059EC31" w:rsidR="00E846C6" w:rsidRPr="00CF06A0" w:rsidRDefault="00B44949" w:rsidP="00446DFE">
      <w:pPr>
        <w:shd w:val="clear" w:color="auto" w:fill="FFFFFF" w:themeFill="background1"/>
        <w:tabs>
          <w:tab w:val="left" w:pos="851"/>
        </w:tabs>
        <w:ind w:firstLine="567"/>
        <w:rPr>
          <w:lang w:val="ru-RU"/>
        </w:rPr>
      </w:pPr>
      <w:r w:rsidRPr="00CF06A0">
        <w:rPr>
          <w:lang w:val="ru-RU"/>
        </w:rPr>
        <w:t xml:space="preserve">4) </w:t>
      </w:r>
      <w:proofErr w:type="spellStart"/>
      <w:r w:rsidR="00446DFE" w:rsidRPr="00CF06A0">
        <w:rPr>
          <w:lang w:val="ru-RU"/>
        </w:rPr>
        <w:t>нормативів</w:t>
      </w:r>
      <w:proofErr w:type="spellEnd"/>
      <w:r w:rsidR="00446DFE" w:rsidRPr="00CF06A0">
        <w:rPr>
          <w:lang w:val="ru-RU"/>
        </w:rPr>
        <w:t xml:space="preserve"> </w:t>
      </w:r>
      <w:proofErr w:type="spellStart"/>
      <w:r w:rsidR="00446DFE" w:rsidRPr="00CF06A0">
        <w:rPr>
          <w:lang w:val="ru-RU"/>
        </w:rPr>
        <w:t>участі</w:t>
      </w:r>
      <w:proofErr w:type="spellEnd"/>
      <w:r w:rsidR="00446DFE" w:rsidRPr="00CF06A0">
        <w:rPr>
          <w:lang w:val="ru-RU"/>
        </w:rPr>
        <w:t xml:space="preserve"> (</w:t>
      </w:r>
      <w:proofErr w:type="spellStart"/>
      <w:r w:rsidR="00446DFE" w:rsidRPr="00CF06A0">
        <w:rPr>
          <w:lang w:val="ru-RU"/>
        </w:rPr>
        <w:t>інвестування</w:t>
      </w:r>
      <w:proofErr w:type="spellEnd"/>
      <w:r w:rsidR="00446DFE" w:rsidRPr="00CF06A0">
        <w:rPr>
          <w:lang w:val="ru-RU"/>
        </w:rPr>
        <w:t>).</w:t>
      </w:r>
    </w:p>
    <w:p w14:paraId="2B59D8DE" w14:textId="77777777" w:rsidR="00E846C6" w:rsidRPr="00CF06A0" w:rsidRDefault="00E846C6" w:rsidP="00446DFE">
      <w:pPr>
        <w:shd w:val="clear" w:color="auto" w:fill="FFFFFF" w:themeFill="background1"/>
        <w:tabs>
          <w:tab w:val="left" w:pos="851"/>
        </w:tabs>
        <w:ind w:firstLine="567"/>
        <w:rPr>
          <w:lang w:val="ru-RU"/>
        </w:rPr>
      </w:pPr>
    </w:p>
    <w:p w14:paraId="1A4D7E56" w14:textId="4D30C9E1" w:rsidR="00446DFE" w:rsidRPr="00CF06A0" w:rsidRDefault="00E846C6" w:rsidP="00446DFE">
      <w:pPr>
        <w:shd w:val="clear" w:color="auto" w:fill="FFFFFF" w:themeFill="background1"/>
        <w:tabs>
          <w:tab w:val="left" w:pos="851"/>
        </w:tabs>
        <w:ind w:firstLine="567"/>
        <w:rPr>
          <w:lang w:val="ru-RU"/>
        </w:rPr>
      </w:pPr>
      <w:r w:rsidRPr="00CF06A0">
        <w:t xml:space="preserve">8. Відповідальна особа банківської групи здійснює розрахунок достатності регулятивного капіталу, </w:t>
      </w:r>
      <w:proofErr w:type="spellStart"/>
      <w:r w:rsidR="00451F6F" w:rsidRPr="00CF06A0">
        <w:t>пруденцій</w:t>
      </w:r>
      <w:r w:rsidRPr="00CF06A0">
        <w:t>них</w:t>
      </w:r>
      <w:proofErr w:type="spellEnd"/>
      <w:r w:rsidRPr="00CF06A0">
        <w:t xml:space="preserve"> нормативів банківської групи/підгрупи банківської групи відповідно до порядку, визначеного цим Положенням.</w:t>
      </w:r>
      <w:r w:rsidR="00446DFE" w:rsidRPr="00CF06A0">
        <w:rPr>
          <w:lang w:val="ru-RU"/>
        </w:rPr>
        <w:t>”.</w:t>
      </w:r>
    </w:p>
    <w:p w14:paraId="5B29A57E" w14:textId="5BE20FAF" w:rsidR="009965D0" w:rsidRPr="00CF06A0" w:rsidRDefault="009965D0" w:rsidP="009965D0">
      <w:pPr>
        <w:shd w:val="clear" w:color="auto" w:fill="FFFFFF" w:themeFill="background1"/>
        <w:tabs>
          <w:tab w:val="left" w:pos="851"/>
        </w:tabs>
        <w:ind w:firstLine="567"/>
      </w:pPr>
      <w:r w:rsidRPr="00CF06A0">
        <w:rPr>
          <w:lang w:val="ru-RU"/>
        </w:rPr>
        <w:t xml:space="preserve">У </w:t>
      </w:r>
      <w:proofErr w:type="spellStart"/>
      <w:r w:rsidRPr="00CF06A0">
        <w:rPr>
          <w:lang w:val="ru-RU"/>
        </w:rPr>
        <w:t>зв</w:t>
      </w:r>
      <w:proofErr w:type="spellEnd"/>
      <w:r w:rsidRPr="00CF06A0">
        <w:rPr>
          <w:lang w:val="ru-RU"/>
        </w:rPr>
        <w:t>’</w:t>
      </w:r>
      <w:proofErr w:type="spellStart"/>
      <w:r w:rsidRPr="00CF06A0">
        <w:t>язку</w:t>
      </w:r>
      <w:proofErr w:type="spellEnd"/>
      <w:r w:rsidRPr="00CF06A0">
        <w:t xml:space="preserve"> з цим пункти 6</w:t>
      </w:r>
      <w:r w:rsidR="00FF3967">
        <w:t>−</w:t>
      </w:r>
      <w:r w:rsidRPr="00CF06A0">
        <w:t xml:space="preserve">14 уважати відповідно пунктами </w:t>
      </w:r>
      <w:r w:rsidR="009D6A70" w:rsidRPr="00CF06A0">
        <w:rPr>
          <w:lang w:val="ru-RU"/>
        </w:rPr>
        <w:t>9</w:t>
      </w:r>
      <w:r w:rsidR="00FF3967">
        <w:t>−</w:t>
      </w:r>
      <w:r w:rsidRPr="00CF06A0">
        <w:t>1</w:t>
      </w:r>
      <w:r w:rsidR="009D6A70" w:rsidRPr="00CF06A0">
        <w:rPr>
          <w:lang w:val="ru-RU"/>
        </w:rPr>
        <w:t>7</w:t>
      </w:r>
      <w:r w:rsidRPr="00CF06A0">
        <w:t>;</w:t>
      </w:r>
    </w:p>
    <w:p w14:paraId="4629CC88" w14:textId="77777777" w:rsidR="009965D0" w:rsidRPr="00CF06A0" w:rsidRDefault="009965D0" w:rsidP="00446DFE">
      <w:pPr>
        <w:shd w:val="clear" w:color="auto" w:fill="FFFFFF" w:themeFill="background1"/>
        <w:tabs>
          <w:tab w:val="left" w:pos="851"/>
        </w:tabs>
        <w:ind w:firstLine="567"/>
      </w:pPr>
    </w:p>
    <w:p w14:paraId="26B4EDF2" w14:textId="5853FA4E" w:rsidR="00A1323F" w:rsidRPr="00CF06A0" w:rsidRDefault="009965D0" w:rsidP="001D3786">
      <w:pPr>
        <w:shd w:val="clear" w:color="auto" w:fill="FFFFFF" w:themeFill="background1"/>
        <w:tabs>
          <w:tab w:val="left" w:pos="851"/>
        </w:tabs>
        <w:ind w:firstLine="567"/>
      </w:pPr>
      <w:r w:rsidRPr="00CF06A0">
        <w:t>3) </w:t>
      </w:r>
      <w:r w:rsidR="001D3786" w:rsidRPr="00CF06A0">
        <w:t>п</w:t>
      </w:r>
      <w:r w:rsidRPr="00CF06A0">
        <w:t>ункт</w:t>
      </w:r>
      <w:r w:rsidR="001D3786" w:rsidRPr="00CF06A0">
        <w:t xml:space="preserve"> </w:t>
      </w:r>
      <w:r w:rsidR="00A1323F" w:rsidRPr="00CF06A0">
        <w:t>9</w:t>
      </w:r>
      <w:r w:rsidR="00D73917" w:rsidRPr="00CF06A0">
        <w:t xml:space="preserve"> </w:t>
      </w:r>
      <w:r w:rsidR="001D3786" w:rsidRPr="00CF06A0">
        <w:t>викласти в такій редакції</w:t>
      </w:r>
      <w:r w:rsidR="00A1323F" w:rsidRPr="00CF06A0">
        <w:t>:</w:t>
      </w:r>
    </w:p>
    <w:p w14:paraId="04610F01" w14:textId="433A42B0" w:rsidR="004E1CCA" w:rsidRPr="00CF06A0" w:rsidRDefault="001D3786" w:rsidP="003E2C02">
      <w:pPr>
        <w:pStyle w:val="rvps2"/>
        <w:shd w:val="clear" w:color="auto" w:fill="FFFFFF"/>
        <w:spacing w:before="0" w:beforeAutospacing="0" w:after="0" w:afterAutospacing="0"/>
        <w:ind w:left="-57" w:right="-57" w:firstLine="624"/>
        <w:jc w:val="both"/>
        <w:rPr>
          <w:bCs/>
          <w:sz w:val="28"/>
          <w:szCs w:val="28"/>
          <w:lang w:val="uk-UA"/>
        </w:rPr>
      </w:pPr>
      <w:r w:rsidRPr="00CF06A0">
        <w:rPr>
          <w:sz w:val="28"/>
          <w:szCs w:val="28"/>
          <w:lang w:val="uk-UA"/>
        </w:rPr>
        <w:t>“</w:t>
      </w:r>
      <w:r w:rsidR="00D73917" w:rsidRPr="00CF06A0">
        <w:rPr>
          <w:sz w:val="28"/>
          <w:szCs w:val="28"/>
          <w:lang w:val="uk-UA"/>
        </w:rPr>
        <w:t>9.</w:t>
      </w:r>
      <w:r w:rsidR="001F306E" w:rsidRPr="00CF06A0">
        <w:rPr>
          <w:sz w:val="28"/>
          <w:szCs w:val="28"/>
        </w:rPr>
        <w:t> </w:t>
      </w:r>
      <w:r w:rsidR="003A0D56" w:rsidRPr="00CF06A0">
        <w:rPr>
          <w:bCs/>
          <w:sz w:val="28"/>
          <w:szCs w:val="28"/>
          <w:shd w:val="clear" w:color="auto" w:fill="FFFFFF"/>
          <w:lang w:val="uk-UA"/>
        </w:rPr>
        <w:t xml:space="preserve">Відповідальна особа банківської групи включає </w:t>
      </w:r>
      <w:r w:rsidR="003A0D56" w:rsidRPr="00CF06A0">
        <w:rPr>
          <w:bCs/>
          <w:sz w:val="28"/>
          <w:szCs w:val="28"/>
          <w:lang w:val="uk-UA"/>
        </w:rPr>
        <w:t xml:space="preserve">до розрахунку достатності регулятивного капіталу, </w:t>
      </w:r>
      <w:proofErr w:type="spellStart"/>
      <w:r w:rsidR="003A0D56" w:rsidRPr="00CF06A0">
        <w:rPr>
          <w:bCs/>
          <w:sz w:val="28"/>
          <w:szCs w:val="28"/>
          <w:lang w:val="uk-UA"/>
        </w:rPr>
        <w:t>пруденційних</w:t>
      </w:r>
      <w:proofErr w:type="spellEnd"/>
      <w:r w:rsidR="003A0D56" w:rsidRPr="00CF06A0">
        <w:rPr>
          <w:bCs/>
          <w:sz w:val="28"/>
          <w:szCs w:val="28"/>
          <w:lang w:val="uk-UA"/>
        </w:rPr>
        <w:t xml:space="preserve"> нормативів банківської групи/підгрупи банківської групи активи, зобов’язання та позабалансові інструменти відповідно до порядку, визначеного Інструкцією про порядок регулювання діяльності банків в Україні, затвердженою постановою Правління Національного банку України від 28 серпня 2001 року № 368, зареєстрованою в Міністерстві юстиції України 26 вересня 2001 року за № 841/6032 (зі змінами) (далі </w:t>
      </w:r>
      <w:r w:rsidR="00EC5777">
        <w:rPr>
          <w:bCs/>
          <w:sz w:val="28"/>
          <w:szCs w:val="28"/>
          <w:lang w:val="uk-UA"/>
        </w:rPr>
        <w:t xml:space="preserve">− </w:t>
      </w:r>
      <w:r w:rsidR="00EC5777" w:rsidRPr="00CF06A0">
        <w:rPr>
          <w:bCs/>
          <w:sz w:val="28"/>
          <w:szCs w:val="28"/>
          <w:lang w:val="uk-UA"/>
        </w:rPr>
        <w:t xml:space="preserve"> </w:t>
      </w:r>
      <w:r w:rsidR="003A0D56" w:rsidRPr="00CF06A0">
        <w:rPr>
          <w:bCs/>
          <w:sz w:val="28"/>
          <w:szCs w:val="28"/>
          <w:lang w:val="uk-UA"/>
        </w:rPr>
        <w:t xml:space="preserve">Інструкція № 368), з урахуванням </w:t>
      </w:r>
      <w:r w:rsidR="00B0113C">
        <w:rPr>
          <w:bCs/>
          <w:sz w:val="28"/>
          <w:szCs w:val="28"/>
          <w:lang w:val="uk-UA"/>
        </w:rPr>
        <w:t>м</w:t>
      </w:r>
      <w:r w:rsidR="003E2C02" w:rsidRPr="00CF06A0">
        <w:rPr>
          <w:bCs/>
          <w:sz w:val="28"/>
          <w:szCs w:val="28"/>
          <w:lang w:val="uk-UA"/>
        </w:rPr>
        <w:t xml:space="preserve">етодики розрахунку </w:t>
      </w:r>
      <w:proofErr w:type="spellStart"/>
      <w:r w:rsidR="003E2C02" w:rsidRPr="00CF06A0">
        <w:rPr>
          <w:bCs/>
          <w:sz w:val="28"/>
          <w:szCs w:val="28"/>
          <w:lang w:val="uk-UA"/>
        </w:rPr>
        <w:t>пруденційних</w:t>
      </w:r>
      <w:proofErr w:type="spellEnd"/>
      <w:r w:rsidR="003E2C02" w:rsidRPr="00CF06A0">
        <w:rPr>
          <w:bCs/>
          <w:sz w:val="28"/>
          <w:szCs w:val="28"/>
          <w:lang w:val="uk-UA"/>
        </w:rPr>
        <w:t xml:space="preserve"> нормативів регулювання діяльності банків в Україні, </w:t>
      </w:r>
      <w:r w:rsidR="00B0113C">
        <w:rPr>
          <w:bCs/>
          <w:sz w:val="28"/>
          <w:szCs w:val="28"/>
          <w:lang w:val="uk-UA"/>
        </w:rPr>
        <w:t>м</w:t>
      </w:r>
      <w:r w:rsidR="003A0D56" w:rsidRPr="00CF06A0">
        <w:rPr>
          <w:bCs/>
          <w:sz w:val="28"/>
          <w:szCs w:val="28"/>
          <w:lang w:val="uk-UA"/>
        </w:rPr>
        <w:t>етодики розрахунку коефіцієнта покриття ліквідністю (LCR)</w:t>
      </w:r>
      <w:r w:rsidR="00E454B9">
        <w:rPr>
          <w:bCs/>
          <w:sz w:val="28"/>
          <w:szCs w:val="28"/>
          <w:lang w:val="uk-UA"/>
        </w:rPr>
        <w:t xml:space="preserve">, </w:t>
      </w:r>
      <w:r w:rsidR="00B0113C">
        <w:rPr>
          <w:bCs/>
          <w:sz w:val="28"/>
          <w:szCs w:val="28"/>
          <w:lang w:val="uk-UA"/>
        </w:rPr>
        <w:t>м</w:t>
      </w:r>
      <w:r w:rsidR="003A0D56" w:rsidRPr="00CF06A0">
        <w:rPr>
          <w:bCs/>
          <w:sz w:val="28"/>
          <w:szCs w:val="28"/>
          <w:lang w:val="uk-UA"/>
        </w:rPr>
        <w:t>етодики розрахунку коефіцієнта чистого стабільного фінансування (NSFR)</w:t>
      </w:r>
      <w:r w:rsidR="00E454B9">
        <w:rPr>
          <w:bCs/>
          <w:sz w:val="28"/>
          <w:szCs w:val="28"/>
          <w:lang w:val="uk-UA"/>
        </w:rPr>
        <w:t xml:space="preserve">, </w:t>
      </w:r>
      <w:r w:rsidR="00CC75C7">
        <w:rPr>
          <w:bCs/>
          <w:sz w:val="28"/>
          <w:szCs w:val="28"/>
          <w:lang w:val="uk-UA"/>
        </w:rPr>
        <w:t>у</w:t>
      </w:r>
      <w:r w:rsidR="00E454B9">
        <w:rPr>
          <w:bCs/>
          <w:sz w:val="28"/>
          <w:szCs w:val="28"/>
          <w:lang w:val="uk-UA"/>
        </w:rPr>
        <w:t>становлених Національним банком.</w:t>
      </w:r>
      <w:r w:rsidR="00BC1F41" w:rsidRPr="00BC1F41">
        <w:rPr>
          <w:bCs/>
          <w:sz w:val="28"/>
          <w:szCs w:val="28"/>
          <w:lang w:val="uk-UA"/>
        </w:rPr>
        <w:t>”</w:t>
      </w:r>
      <w:r w:rsidR="00BC1F41">
        <w:rPr>
          <w:bCs/>
          <w:sz w:val="28"/>
          <w:szCs w:val="28"/>
          <w:lang w:val="uk-UA"/>
        </w:rPr>
        <w:t>;</w:t>
      </w:r>
    </w:p>
    <w:p w14:paraId="74941CF4" w14:textId="444FE3D5" w:rsidR="0058173C" w:rsidRPr="00CF06A0" w:rsidRDefault="0058173C" w:rsidP="00D038D9">
      <w:pPr>
        <w:shd w:val="clear" w:color="auto" w:fill="FFFFFF" w:themeFill="background1"/>
        <w:tabs>
          <w:tab w:val="left" w:pos="851"/>
        </w:tabs>
        <w:ind w:firstLine="567"/>
      </w:pPr>
    </w:p>
    <w:p w14:paraId="538920B1" w14:textId="7F19EAC9" w:rsidR="0058173C" w:rsidRPr="00944D12" w:rsidRDefault="0058173C" w:rsidP="003E2C02">
      <w:pPr>
        <w:pStyle w:val="rvps2"/>
        <w:shd w:val="clear" w:color="auto" w:fill="FFFFFF"/>
        <w:spacing w:before="0" w:beforeAutospacing="0" w:after="0" w:afterAutospacing="0"/>
        <w:ind w:left="-57" w:right="-57" w:firstLine="624"/>
        <w:jc w:val="both"/>
        <w:rPr>
          <w:sz w:val="28"/>
          <w:szCs w:val="28"/>
        </w:rPr>
      </w:pPr>
      <w:r w:rsidRPr="001C4345">
        <w:rPr>
          <w:sz w:val="28"/>
          <w:szCs w:val="28"/>
        </w:rPr>
        <w:t xml:space="preserve">4) пункт 12 </w:t>
      </w:r>
      <w:proofErr w:type="spellStart"/>
      <w:r w:rsidRPr="001C4345">
        <w:rPr>
          <w:sz w:val="28"/>
          <w:szCs w:val="28"/>
        </w:rPr>
        <w:t>викласти</w:t>
      </w:r>
      <w:proofErr w:type="spellEnd"/>
      <w:r w:rsidRPr="001C4345">
        <w:rPr>
          <w:sz w:val="28"/>
          <w:szCs w:val="28"/>
        </w:rPr>
        <w:t xml:space="preserve"> в </w:t>
      </w:r>
      <w:proofErr w:type="spellStart"/>
      <w:r w:rsidRPr="001C4345">
        <w:rPr>
          <w:sz w:val="28"/>
          <w:szCs w:val="28"/>
        </w:rPr>
        <w:t>такій</w:t>
      </w:r>
      <w:proofErr w:type="spellEnd"/>
      <w:r w:rsidRPr="001C4345">
        <w:rPr>
          <w:sz w:val="28"/>
          <w:szCs w:val="28"/>
        </w:rPr>
        <w:t xml:space="preserve"> </w:t>
      </w:r>
      <w:proofErr w:type="spellStart"/>
      <w:r w:rsidRPr="001C4345">
        <w:rPr>
          <w:sz w:val="28"/>
          <w:szCs w:val="28"/>
        </w:rPr>
        <w:t>редакції</w:t>
      </w:r>
      <w:proofErr w:type="spellEnd"/>
      <w:r w:rsidRPr="001C4345">
        <w:rPr>
          <w:sz w:val="28"/>
          <w:szCs w:val="28"/>
        </w:rPr>
        <w:t>:</w:t>
      </w:r>
    </w:p>
    <w:p w14:paraId="419C998C" w14:textId="3FFFCDCD" w:rsidR="00D038D9" w:rsidRPr="00D87C96" w:rsidRDefault="00F32C02" w:rsidP="00944D12">
      <w:pPr>
        <w:shd w:val="clear" w:color="auto" w:fill="FFFFFF" w:themeFill="background1"/>
        <w:tabs>
          <w:tab w:val="left" w:pos="851"/>
        </w:tabs>
        <w:ind w:firstLine="567"/>
      </w:pPr>
      <w:r w:rsidRPr="001C4345">
        <w:t>“</w:t>
      </w:r>
      <w:r w:rsidR="009262FC" w:rsidRPr="001C4345">
        <w:t>12. </w:t>
      </w:r>
      <w:r w:rsidR="00D038D9" w:rsidRPr="001C4345">
        <w:t xml:space="preserve">Розрахунок достатності регулятивного капіталу, </w:t>
      </w:r>
      <w:proofErr w:type="spellStart"/>
      <w:r w:rsidR="003E5088" w:rsidRPr="001C4345">
        <w:t>пруденційних</w:t>
      </w:r>
      <w:proofErr w:type="spellEnd"/>
      <w:r w:rsidR="00D038D9" w:rsidRPr="001C4345">
        <w:t xml:space="preserve"> нормативів підгрупи банківської групи,</w:t>
      </w:r>
      <w:r w:rsidR="00D038D9" w:rsidRPr="00944D12">
        <w:t xml:space="preserve"> визначеної за географічним критерієм, здійснюється відповідно до вимог цього Положення, виходячи зі складу учасників такої підгрупи:</w:t>
      </w:r>
    </w:p>
    <w:p w14:paraId="248CC1B2" w14:textId="77777777" w:rsidR="00B21D6D" w:rsidRPr="00CF06A0" w:rsidRDefault="00B21D6D" w:rsidP="00D038D9">
      <w:pPr>
        <w:shd w:val="clear" w:color="auto" w:fill="FFFFFF" w:themeFill="background1"/>
        <w:tabs>
          <w:tab w:val="left" w:pos="851"/>
        </w:tabs>
        <w:ind w:firstLine="567"/>
      </w:pPr>
    </w:p>
    <w:p w14:paraId="07520C1D" w14:textId="77777777" w:rsidR="00FC0B58" w:rsidRPr="00CF06A0" w:rsidRDefault="00FC0B58" w:rsidP="00FC0B58">
      <w:pPr>
        <w:shd w:val="clear" w:color="auto" w:fill="FFFFFF" w:themeFill="background1"/>
        <w:tabs>
          <w:tab w:val="left" w:pos="851"/>
        </w:tabs>
        <w:ind w:firstLine="567"/>
      </w:pPr>
      <w:r w:rsidRPr="00CF06A0">
        <w:t>1) якщо до складу підгрупи не входить страхова компанія, то розрахунок здійснюється згідно з вимогами цього Положення для кредитно-інвестиційної підгрупи;</w:t>
      </w:r>
    </w:p>
    <w:p w14:paraId="71A76336" w14:textId="77777777" w:rsidR="00FC0B58" w:rsidRPr="00CF06A0" w:rsidRDefault="00FC0B58" w:rsidP="00FC0B58">
      <w:pPr>
        <w:shd w:val="clear" w:color="auto" w:fill="FFFFFF" w:themeFill="background1"/>
        <w:tabs>
          <w:tab w:val="left" w:pos="851"/>
        </w:tabs>
        <w:ind w:firstLine="567"/>
      </w:pPr>
    </w:p>
    <w:p w14:paraId="1F4AE389" w14:textId="13FAB802" w:rsidR="00D038D9" w:rsidRPr="007A0B3C" w:rsidRDefault="00FC0B58" w:rsidP="00FC0B58">
      <w:pPr>
        <w:shd w:val="clear" w:color="auto" w:fill="FFFFFF" w:themeFill="background1"/>
        <w:tabs>
          <w:tab w:val="left" w:pos="851"/>
        </w:tabs>
        <w:ind w:firstLine="567"/>
        <w:rPr>
          <w:lang w:val="ru-RU"/>
        </w:rPr>
      </w:pPr>
      <w:r w:rsidRPr="00CF06A0">
        <w:t>2) якщо до складу підгрупи входить страхова компанія, то розрахунок здійснюється згідно з вимогами цього Положення для банківської групи.</w:t>
      </w:r>
      <w:r w:rsidR="00B14750" w:rsidRPr="00B14750">
        <w:rPr>
          <w:lang w:val="ru-RU"/>
        </w:rPr>
        <w:t>”</w:t>
      </w:r>
      <w:r w:rsidR="00874F00">
        <w:rPr>
          <w:lang w:val="ru-RU"/>
        </w:rPr>
        <w:t>;</w:t>
      </w:r>
    </w:p>
    <w:p w14:paraId="1381313E" w14:textId="328012D8" w:rsidR="008E19DE" w:rsidRPr="00CF06A0" w:rsidRDefault="008E19DE" w:rsidP="00446DFE">
      <w:pPr>
        <w:shd w:val="clear" w:color="auto" w:fill="FFFFFF" w:themeFill="background1"/>
        <w:tabs>
          <w:tab w:val="left" w:pos="851"/>
        </w:tabs>
        <w:ind w:firstLine="567"/>
      </w:pPr>
    </w:p>
    <w:p w14:paraId="703BFB0D" w14:textId="3B2E0E0E" w:rsidR="0055179F" w:rsidRPr="00CF06A0" w:rsidRDefault="0058173C" w:rsidP="0055179F">
      <w:pPr>
        <w:shd w:val="clear" w:color="auto" w:fill="FFFFFF" w:themeFill="background1"/>
        <w:tabs>
          <w:tab w:val="left" w:pos="851"/>
        </w:tabs>
        <w:ind w:firstLine="567"/>
      </w:pPr>
      <w:r w:rsidRPr="00CF06A0">
        <w:t>5</w:t>
      </w:r>
      <w:r w:rsidR="00D038D9" w:rsidRPr="00CF06A0">
        <w:t>) </w:t>
      </w:r>
      <w:r w:rsidR="0079046B" w:rsidRPr="00CF06A0">
        <w:t>у пункті 13:</w:t>
      </w:r>
    </w:p>
    <w:p w14:paraId="2EC16DCE" w14:textId="60C53F85" w:rsidR="0079046B" w:rsidRPr="00CF06A0" w:rsidRDefault="00244A6A" w:rsidP="0055179F">
      <w:pPr>
        <w:shd w:val="clear" w:color="auto" w:fill="FFFFFF" w:themeFill="background1"/>
        <w:tabs>
          <w:tab w:val="left" w:pos="851"/>
        </w:tabs>
        <w:ind w:firstLine="567"/>
      </w:pPr>
      <w:r w:rsidRPr="00CF06A0">
        <w:t>абзац перший після сл</w:t>
      </w:r>
      <w:r w:rsidR="00547B84" w:rsidRPr="00CF06A0">
        <w:t>ова</w:t>
      </w:r>
      <w:r w:rsidRPr="00CF06A0">
        <w:t xml:space="preserve"> </w:t>
      </w:r>
      <w:r w:rsidRPr="00CF06A0">
        <w:rPr>
          <w:lang w:val="ru-RU"/>
        </w:rPr>
        <w:t>“</w:t>
      </w:r>
      <w:r w:rsidRPr="00CF06A0">
        <w:t>розрахунку</w:t>
      </w:r>
      <w:r w:rsidRPr="00CF06A0">
        <w:rPr>
          <w:lang w:val="ru-RU"/>
        </w:rPr>
        <w:t xml:space="preserve">” </w:t>
      </w:r>
      <w:proofErr w:type="spellStart"/>
      <w:r w:rsidRPr="00CF06A0">
        <w:rPr>
          <w:lang w:val="ru-RU"/>
        </w:rPr>
        <w:t>доповнити</w:t>
      </w:r>
      <w:proofErr w:type="spellEnd"/>
      <w:r w:rsidRPr="00CF06A0">
        <w:rPr>
          <w:lang w:val="ru-RU"/>
        </w:rPr>
        <w:t xml:space="preserve"> словами “достатності регулятивного капіталу, </w:t>
      </w:r>
      <w:proofErr w:type="spellStart"/>
      <w:r w:rsidR="002023B0" w:rsidRPr="00CF06A0">
        <w:rPr>
          <w:lang w:val="ru-RU"/>
        </w:rPr>
        <w:t>пруденцій</w:t>
      </w:r>
      <w:r w:rsidRPr="00CF06A0">
        <w:rPr>
          <w:lang w:val="ru-RU"/>
        </w:rPr>
        <w:t>них</w:t>
      </w:r>
      <w:proofErr w:type="spellEnd"/>
      <w:r w:rsidRPr="00CF06A0">
        <w:rPr>
          <w:lang w:val="ru-RU"/>
        </w:rPr>
        <w:t>”</w:t>
      </w:r>
      <w:r w:rsidRPr="00CF06A0">
        <w:t>;</w:t>
      </w:r>
    </w:p>
    <w:p w14:paraId="03372165" w14:textId="61EB9F5C" w:rsidR="007B035D" w:rsidRPr="00CF06A0" w:rsidRDefault="007B035D" w:rsidP="0055179F">
      <w:pPr>
        <w:shd w:val="clear" w:color="auto" w:fill="FFFFFF" w:themeFill="background1"/>
        <w:tabs>
          <w:tab w:val="left" w:pos="851"/>
        </w:tabs>
        <w:ind w:firstLine="567"/>
      </w:pPr>
      <w:r w:rsidRPr="00CF06A0">
        <w:t xml:space="preserve">підпункт 1 викласти </w:t>
      </w:r>
      <w:r w:rsidR="00547B84" w:rsidRPr="00CF06A0">
        <w:t>в</w:t>
      </w:r>
      <w:r w:rsidRPr="00CF06A0">
        <w:t xml:space="preserve"> такій редакції:</w:t>
      </w:r>
    </w:p>
    <w:p w14:paraId="23A7B243" w14:textId="50CA873D" w:rsidR="00832DEA" w:rsidRPr="00CF06A0" w:rsidRDefault="00244A6A" w:rsidP="0055179F">
      <w:pPr>
        <w:shd w:val="clear" w:color="auto" w:fill="FFFFFF" w:themeFill="background1"/>
        <w:tabs>
          <w:tab w:val="left" w:pos="851"/>
        </w:tabs>
        <w:ind w:firstLine="567"/>
      </w:pPr>
      <w:r w:rsidRPr="00CF06A0">
        <w:t>“</w:t>
      </w:r>
      <w:r w:rsidR="00547B84" w:rsidRPr="00CF06A0">
        <w:t xml:space="preserve">1) </w:t>
      </w:r>
      <w:r w:rsidR="005730AE" w:rsidRPr="00CF06A0">
        <w:t>активи одного учасника банківської групи станом на дату складання консолідованої/</w:t>
      </w:r>
      <w:proofErr w:type="spellStart"/>
      <w:r w:rsidR="005730AE" w:rsidRPr="00CF06A0">
        <w:t>субконсолідованої</w:t>
      </w:r>
      <w:proofErr w:type="spellEnd"/>
      <w:r w:rsidR="005730AE" w:rsidRPr="00CF06A0">
        <w:t xml:space="preserve"> звітності не перевищують 1% активів банківської групи та сукупні активи таких учасників банківської групи є меншими за найменшу з величин:</w:t>
      </w:r>
    </w:p>
    <w:p w14:paraId="4D0C60F9" w14:textId="77777777" w:rsidR="00832DEA" w:rsidRPr="00CF06A0" w:rsidRDefault="00832DEA" w:rsidP="00832DEA">
      <w:pPr>
        <w:shd w:val="clear" w:color="auto" w:fill="FFFFFF" w:themeFill="background1"/>
        <w:tabs>
          <w:tab w:val="left" w:pos="851"/>
        </w:tabs>
        <w:ind w:firstLine="567"/>
      </w:pPr>
      <w:r w:rsidRPr="00CF06A0">
        <w:t>3% активів банківської групи;</w:t>
      </w:r>
    </w:p>
    <w:p w14:paraId="6589FFC0" w14:textId="729BB42C" w:rsidR="00244A6A" w:rsidRPr="00CF06A0" w:rsidRDefault="00832DEA" w:rsidP="00832DEA">
      <w:pPr>
        <w:shd w:val="clear" w:color="auto" w:fill="FFFFFF" w:themeFill="background1"/>
        <w:tabs>
          <w:tab w:val="left" w:pos="851"/>
        </w:tabs>
        <w:ind w:firstLine="567"/>
      </w:pPr>
      <w:r w:rsidRPr="00CF06A0">
        <w:t>еквівалент</w:t>
      </w:r>
      <w:r w:rsidR="00EC5777">
        <w:t>а</w:t>
      </w:r>
      <w:r w:rsidRPr="00CF06A0">
        <w:t xml:space="preserve"> 10 млн євро на дату складання консолідованої звітності банківської групи/</w:t>
      </w:r>
      <w:proofErr w:type="spellStart"/>
      <w:r w:rsidRPr="00CF06A0">
        <w:t>субконсолідованої</w:t>
      </w:r>
      <w:proofErr w:type="spellEnd"/>
      <w:r w:rsidRPr="00CF06A0">
        <w:t xml:space="preserve"> звітності підгрупи банківської групи;</w:t>
      </w:r>
      <w:r w:rsidR="00244A6A" w:rsidRPr="00CF06A0">
        <w:t>”</w:t>
      </w:r>
      <w:r w:rsidR="00090A23" w:rsidRPr="00CF06A0">
        <w:t>;</w:t>
      </w:r>
    </w:p>
    <w:p w14:paraId="6DEF42B7" w14:textId="15E585F2" w:rsidR="00695FE6" w:rsidRPr="00CF06A0" w:rsidRDefault="00695FE6" w:rsidP="0055179F">
      <w:pPr>
        <w:shd w:val="clear" w:color="auto" w:fill="FFFFFF" w:themeFill="background1"/>
        <w:tabs>
          <w:tab w:val="left" w:pos="851"/>
        </w:tabs>
        <w:ind w:firstLine="567"/>
        <w:rPr>
          <w:lang w:val="ru-RU"/>
        </w:rPr>
      </w:pPr>
      <w:r w:rsidRPr="00CF06A0">
        <w:rPr>
          <w:lang w:val="ru-RU"/>
        </w:rPr>
        <w:t xml:space="preserve">у </w:t>
      </w:r>
      <w:proofErr w:type="spellStart"/>
      <w:r w:rsidRPr="00CF06A0">
        <w:rPr>
          <w:lang w:val="ru-RU"/>
        </w:rPr>
        <w:t>підпункті</w:t>
      </w:r>
      <w:proofErr w:type="spellEnd"/>
      <w:r w:rsidRPr="00CF06A0">
        <w:rPr>
          <w:lang w:val="ru-RU"/>
        </w:rPr>
        <w:t xml:space="preserve"> 2:</w:t>
      </w:r>
    </w:p>
    <w:p w14:paraId="3BF1E3C4" w14:textId="35DBCBC0" w:rsidR="0055179F" w:rsidRPr="00CF06A0" w:rsidRDefault="00547B84" w:rsidP="0055179F">
      <w:pPr>
        <w:shd w:val="clear" w:color="auto" w:fill="FFFFFF" w:themeFill="background1"/>
        <w:tabs>
          <w:tab w:val="left" w:pos="851"/>
        </w:tabs>
        <w:ind w:firstLine="567"/>
      </w:pPr>
      <w:r w:rsidRPr="00CF06A0">
        <w:rPr>
          <w:lang w:val="ru-RU"/>
        </w:rPr>
        <w:t>в</w:t>
      </w:r>
      <w:r w:rsidR="005915B9" w:rsidRPr="00CF06A0">
        <w:rPr>
          <w:lang w:val="ru-RU"/>
        </w:rPr>
        <w:t xml:space="preserve"> </w:t>
      </w:r>
      <w:proofErr w:type="spellStart"/>
      <w:r w:rsidR="005915B9" w:rsidRPr="00CF06A0">
        <w:rPr>
          <w:lang w:val="ru-RU"/>
        </w:rPr>
        <w:t>абзаці</w:t>
      </w:r>
      <w:proofErr w:type="spellEnd"/>
      <w:r w:rsidR="005915B9" w:rsidRPr="00CF06A0">
        <w:rPr>
          <w:lang w:val="ru-RU"/>
        </w:rPr>
        <w:t xml:space="preserve"> </w:t>
      </w:r>
      <w:proofErr w:type="spellStart"/>
      <w:r w:rsidR="005915B9" w:rsidRPr="00CF06A0">
        <w:rPr>
          <w:lang w:val="ru-RU"/>
        </w:rPr>
        <w:t>першому</w:t>
      </w:r>
      <w:proofErr w:type="spellEnd"/>
      <w:r w:rsidR="005915B9" w:rsidRPr="00CF06A0">
        <w:rPr>
          <w:lang w:val="ru-RU"/>
        </w:rPr>
        <w:t xml:space="preserve"> слово “</w:t>
      </w:r>
      <w:proofErr w:type="spellStart"/>
      <w:r w:rsidR="005915B9" w:rsidRPr="00CF06A0">
        <w:rPr>
          <w:lang w:val="ru-RU"/>
        </w:rPr>
        <w:t>умовам</w:t>
      </w:r>
      <w:proofErr w:type="spellEnd"/>
      <w:r w:rsidR="005915B9" w:rsidRPr="00CF06A0">
        <w:rPr>
          <w:lang w:val="ru-RU"/>
        </w:rPr>
        <w:t xml:space="preserve">” </w:t>
      </w:r>
      <w:proofErr w:type="spellStart"/>
      <w:r w:rsidR="005915B9" w:rsidRPr="00CF06A0">
        <w:rPr>
          <w:lang w:val="ru-RU"/>
        </w:rPr>
        <w:t>замінити</w:t>
      </w:r>
      <w:proofErr w:type="spellEnd"/>
      <w:r w:rsidR="005915B9" w:rsidRPr="00CF06A0">
        <w:rPr>
          <w:lang w:val="ru-RU"/>
        </w:rPr>
        <w:t xml:space="preserve"> словом “</w:t>
      </w:r>
      <w:proofErr w:type="spellStart"/>
      <w:r w:rsidR="005915B9" w:rsidRPr="00CF06A0">
        <w:rPr>
          <w:lang w:val="ru-RU"/>
        </w:rPr>
        <w:t>вимогам</w:t>
      </w:r>
      <w:proofErr w:type="spellEnd"/>
      <w:r w:rsidR="005915B9" w:rsidRPr="00CF06A0">
        <w:rPr>
          <w:lang w:val="ru-RU"/>
        </w:rPr>
        <w:t>”</w:t>
      </w:r>
      <w:r w:rsidR="005915B9" w:rsidRPr="00CF06A0">
        <w:t>;</w:t>
      </w:r>
    </w:p>
    <w:p w14:paraId="57661780" w14:textId="12ED25CF" w:rsidR="00695FE6" w:rsidRPr="00CF06A0" w:rsidRDefault="00695FE6" w:rsidP="00695FE6">
      <w:pPr>
        <w:shd w:val="clear" w:color="auto" w:fill="FFFFFF" w:themeFill="background1"/>
        <w:tabs>
          <w:tab w:val="left" w:pos="851"/>
        </w:tabs>
        <w:ind w:firstLine="567"/>
      </w:pPr>
      <w:r w:rsidRPr="00CF06A0">
        <w:rPr>
          <w:lang w:val="ru-RU"/>
        </w:rPr>
        <w:t xml:space="preserve">абзац </w:t>
      </w:r>
      <w:proofErr w:type="spellStart"/>
      <w:r w:rsidRPr="00CF06A0">
        <w:rPr>
          <w:lang w:val="ru-RU"/>
        </w:rPr>
        <w:t>третій</w:t>
      </w:r>
      <w:proofErr w:type="spellEnd"/>
      <w:r w:rsidRPr="00CF06A0">
        <w:rPr>
          <w:lang w:val="ru-RU"/>
        </w:rPr>
        <w:t xml:space="preserve"> </w:t>
      </w:r>
      <w:proofErr w:type="spellStart"/>
      <w:r w:rsidRPr="00CF06A0">
        <w:rPr>
          <w:lang w:val="ru-RU"/>
        </w:rPr>
        <w:t>після</w:t>
      </w:r>
      <w:proofErr w:type="spellEnd"/>
      <w:r w:rsidRPr="00CF06A0">
        <w:rPr>
          <w:lang w:val="ru-RU"/>
        </w:rPr>
        <w:t xml:space="preserve"> слова “не” </w:t>
      </w:r>
      <w:proofErr w:type="spellStart"/>
      <w:r w:rsidRPr="00CF06A0">
        <w:rPr>
          <w:lang w:val="ru-RU"/>
        </w:rPr>
        <w:t>доповнити</w:t>
      </w:r>
      <w:proofErr w:type="spellEnd"/>
      <w:r w:rsidRPr="00CF06A0">
        <w:rPr>
          <w:lang w:val="ru-RU"/>
        </w:rPr>
        <w:t xml:space="preserve"> словами “</w:t>
      </w:r>
      <w:proofErr w:type="spellStart"/>
      <w:r w:rsidR="002D5A85" w:rsidRPr="00CF06A0">
        <w:rPr>
          <w:lang w:val="ru-RU"/>
        </w:rPr>
        <w:t>здійснювали</w:t>
      </w:r>
      <w:proofErr w:type="spellEnd"/>
      <w:r w:rsidR="002D5A85" w:rsidRPr="00CF06A0">
        <w:rPr>
          <w:lang w:val="ru-RU"/>
        </w:rPr>
        <w:t xml:space="preserve"> </w:t>
      </w:r>
      <w:proofErr w:type="spellStart"/>
      <w:r w:rsidR="002D5A85" w:rsidRPr="00CF06A0">
        <w:rPr>
          <w:lang w:val="ru-RU"/>
        </w:rPr>
        <w:t>протягом</w:t>
      </w:r>
      <w:proofErr w:type="spellEnd"/>
      <w:r w:rsidR="002D5A85" w:rsidRPr="00CF06A0">
        <w:rPr>
          <w:lang w:val="ru-RU"/>
        </w:rPr>
        <w:t xml:space="preserve"> </w:t>
      </w:r>
      <w:proofErr w:type="spellStart"/>
      <w:r w:rsidR="002D5A85" w:rsidRPr="00CF06A0">
        <w:rPr>
          <w:lang w:val="ru-RU"/>
        </w:rPr>
        <w:t>останніх</w:t>
      </w:r>
      <w:proofErr w:type="spellEnd"/>
      <w:r w:rsidR="002D5A85" w:rsidRPr="00CF06A0">
        <w:rPr>
          <w:lang w:val="ru-RU"/>
        </w:rPr>
        <w:t xml:space="preserve"> </w:t>
      </w:r>
      <w:proofErr w:type="spellStart"/>
      <w:r w:rsidR="00021BCA">
        <w:rPr>
          <w:lang w:val="ru-RU"/>
        </w:rPr>
        <w:t>чотирьох</w:t>
      </w:r>
      <w:proofErr w:type="spellEnd"/>
      <w:r w:rsidR="002D5A85" w:rsidRPr="00CF06A0">
        <w:rPr>
          <w:lang w:val="ru-RU"/>
        </w:rPr>
        <w:t xml:space="preserve"> </w:t>
      </w:r>
      <w:proofErr w:type="spellStart"/>
      <w:r w:rsidR="002D5A85" w:rsidRPr="00CF06A0">
        <w:rPr>
          <w:lang w:val="ru-RU"/>
        </w:rPr>
        <w:t>кварталів</w:t>
      </w:r>
      <w:proofErr w:type="spellEnd"/>
      <w:r w:rsidR="00E54DBD" w:rsidRPr="00CF06A0">
        <w:rPr>
          <w:lang w:val="ru-RU"/>
        </w:rPr>
        <w:t xml:space="preserve"> та не</w:t>
      </w:r>
      <w:r w:rsidRPr="00CF06A0">
        <w:rPr>
          <w:lang w:val="ru-RU"/>
        </w:rPr>
        <w:t>”</w:t>
      </w:r>
      <w:r w:rsidRPr="00CF06A0">
        <w:t>;</w:t>
      </w:r>
    </w:p>
    <w:p w14:paraId="3F2F953F" w14:textId="74783224" w:rsidR="0055179F" w:rsidRPr="00CF06A0" w:rsidRDefault="0055179F" w:rsidP="0055179F">
      <w:pPr>
        <w:shd w:val="clear" w:color="auto" w:fill="FFFFFF" w:themeFill="background1"/>
        <w:tabs>
          <w:tab w:val="left" w:pos="851"/>
        </w:tabs>
        <w:ind w:firstLine="567"/>
      </w:pPr>
    </w:p>
    <w:p w14:paraId="4228737B" w14:textId="70DE063A" w:rsidR="005915B9" w:rsidRPr="00CF06A0" w:rsidRDefault="0058173C" w:rsidP="0055179F">
      <w:pPr>
        <w:shd w:val="clear" w:color="auto" w:fill="FFFFFF" w:themeFill="background1"/>
        <w:tabs>
          <w:tab w:val="left" w:pos="851"/>
        </w:tabs>
        <w:ind w:firstLine="567"/>
      </w:pPr>
      <w:r w:rsidRPr="00CF06A0">
        <w:t>6</w:t>
      </w:r>
      <w:r w:rsidR="005915B9" w:rsidRPr="00CF06A0">
        <w:t>) </w:t>
      </w:r>
      <w:r w:rsidR="008C3319" w:rsidRPr="00CF06A0">
        <w:t xml:space="preserve">розділ </w:t>
      </w:r>
      <w:r w:rsidR="00547B84" w:rsidRPr="00CF06A0">
        <w:t xml:space="preserve">після пункту </w:t>
      </w:r>
      <w:r w:rsidR="001719C9" w:rsidRPr="00CF06A0">
        <w:t>13</w:t>
      </w:r>
      <w:r w:rsidR="00547B84" w:rsidRPr="00CF06A0">
        <w:t xml:space="preserve"> </w:t>
      </w:r>
      <w:r w:rsidR="008C3319" w:rsidRPr="00CF06A0">
        <w:t>доповнити</w:t>
      </w:r>
      <w:r w:rsidR="002B62D3" w:rsidRPr="00CF06A0">
        <w:t xml:space="preserve"> </w:t>
      </w:r>
      <w:r w:rsidR="008C3319" w:rsidRPr="00CF06A0">
        <w:t>новим пунктом 14 такого змісту:</w:t>
      </w:r>
    </w:p>
    <w:p w14:paraId="5C78275D" w14:textId="1C77C2A9" w:rsidR="008C3319" w:rsidRPr="00CF06A0" w:rsidRDefault="008C3319" w:rsidP="008C3319">
      <w:pPr>
        <w:shd w:val="clear" w:color="auto" w:fill="FFFFFF" w:themeFill="background1"/>
        <w:tabs>
          <w:tab w:val="left" w:pos="851"/>
        </w:tabs>
        <w:ind w:firstLine="567"/>
      </w:pPr>
      <w:r w:rsidRPr="00CF06A0">
        <w:t>“14. Відповідальна особа банківської групи під час подання консолідованої звітності банківської групи зобов’язана:</w:t>
      </w:r>
    </w:p>
    <w:p w14:paraId="088AF899" w14:textId="77777777" w:rsidR="008C3319" w:rsidRPr="00CF06A0" w:rsidRDefault="008C3319" w:rsidP="008C3319">
      <w:pPr>
        <w:shd w:val="clear" w:color="auto" w:fill="FFFFFF" w:themeFill="background1"/>
        <w:tabs>
          <w:tab w:val="left" w:pos="851"/>
        </w:tabs>
        <w:ind w:firstLine="567"/>
      </w:pPr>
    </w:p>
    <w:p w14:paraId="566FC8F1" w14:textId="24485412" w:rsidR="008C3319" w:rsidRPr="00973C63" w:rsidRDefault="008C3319" w:rsidP="008C3319">
      <w:pPr>
        <w:shd w:val="clear" w:color="auto" w:fill="FFFFFF" w:themeFill="background1"/>
        <w:tabs>
          <w:tab w:val="left" w:pos="851"/>
        </w:tabs>
        <w:ind w:firstLine="567"/>
      </w:pPr>
      <w:r w:rsidRPr="00CF06A0">
        <w:t>1) повідомити Національний банк про прийняте нею рішення не враховувати звітність учасників банківської групи (крім банків) під час складання консолідованої звітності банківської групи/</w:t>
      </w:r>
      <w:proofErr w:type="spellStart"/>
      <w:r w:rsidRPr="00CF06A0">
        <w:t>субконсолідованої</w:t>
      </w:r>
      <w:proofErr w:type="spellEnd"/>
      <w:r w:rsidRPr="00CF06A0">
        <w:t xml:space="preserve"> звітності підгрупи банківської групи, розрахунку достатності регулятивного капіталу, </w:t>
      </w:r>
      <w:proofErr w:type="spellStart"/>
      <w:r w:rsidR="00FF463B" w:rsidRPr="00CF06A0">
        <w:t>пруденційних</w:t>
      </w:r>
      <w:proofErr w:type="spellEnd"/>
      <w:r w:rsidRPr="00CF06A0">
        <w:t xml:space="preserve"> нормативів банківської групи/підгрупи банківської групи відповідно до пункту 13 розділу</w:t>
      </w:r>
      <w:r w:rsidRPr="00973C63">
        <w:t xml:space="preserve"> </w:t>
      </w:r>
      <w:r w:rsidRPr="00973C63">
        <w:rPr>
          <w:lang w:val="en-US"/>
        </w:rPr>
        <w:t>I</w:t>
      </w:r>
      <w:r w:rsidRPr="00973C63">
        <w:t xml:space="preserve"> цього Положення;</w:t>
      </w:r>
    </w:p>
    <w:p w14:paraId="197CAAB5" w14:textId="77777777" w:rsidR="008C3319" w:rsidRPr="00973C63" w:rsidRDefault="008C3319" w:rsidP="008C3319">
      <w:pPr>
        <w:shd w:val="clear" w:color="auto" w:fill="FFFFFF" w:themeFill="background1"/>
        <w:tabs>
          <w:tab w:val="left" w:pos="851"/>
        </w:tabs>
        <w:ind w:firstLine="567"/>
      </w:pPr>
    </w:p>
    <w:p w14:paraId="5EAD9D78" w14:textId="77777777" w:rsidR="008C3319" w:rsidRPr="00973C63" w:rsidRDefault="008C3319" w:rsidP="008C3319">
      <w:pPr>
        <w:shd w:val="clear" w:color="auto" w:fill="FFFFFF" w:themeFill="background1"/>
        <w:tabs>
          <w:tab w:val="left" w:pos="851"/>
        </w:tabs>
        <w:ind w:firstLine="567"/>
      </w:pPr>
      <w:r w:rsidRPr="00973C63">
        <w:t>2) надати інформацію про:</w:t>
      </w:r>
    </w:p>
    <w:p w14:paraId="457EFBE1" w14:textId="49E8D4E5" w:rsidR="008C3319" w:rsidRPr="00973C63" w:rsidRDefault="008C3319" w:rsidP="008C3319">
      <w:pPr>
        <w:shd w:val="clear" w:color="auto" w:fill="FFFFFF" w:themeFill="background1"/>
        <w:tabs>
          <w:tab w:val="left" w:pos="851"/>
        </w:tabs>
        <w:ind w:firstLine="567"/>
      </w:pPr>
      <w:r w:rsidRPr="00973C63">
        <w:t>учасників банківської групи, щодо яких прийняте рішення, зазначене в підпункті 1 пункту</w:t>
      </w:r>
      <w:r w:rsidR="005E4EA1">
        <w:t xml:space="preserve"> 14</w:t>
      </w:r>
      <w:r w:rsidR="00FC6159">
        <w:t xml:space="preserve"> розділу </w:t>
      </w:r>
      <w:r w:rsidR="005E4EA1">
        <w:t>І</w:t>
      </w:r>
      <w:r w:rsidR="00FC6159">
        <w:t xml:space="preserve"> цього Положення</w:t>
      </w:r>
      <w:r w:rsidRPr="00973C63">
        <w:t>;</w:t>
      </w:r>
    </w:p>
    <w:p w14:paraId="258B2D4B" w14:textId="77777777" w:rsidR="009D6A70" w:rsidRPr="00973C63" w:rsidRDefault="008C3319" w:rsidP="008C3319">
      <w:pPr>
        <w:shd w:val="clear" w:color="auto" w:fill="FFFFFF" w:themeFill="background1"/>
        <w:tabs>
          <w:tab w:val="left" w:pos="851"/>
        </w:tabs>
        <w:ind w:firstLine="567"/>
        <w:rPr>
          <w:lang w:val="ru-RU"/>
        </w:rPr>
      </w:pPr>
      <w:proofErr w:type="spellStart"/>
      <w:r w:rsidRPr="00973C63">
        <w:rPr>
          <w:lang w:val="ru-RU"/>
        </w:rPr>
        <w:t>дотримання</w:t>
      </w:r>
      <w:proofErr w:type="spellEnd"/>
      <w:r w:rsidRPr="00973C63">
        <w:rPr>
          <w:lang w:val="ru-RU"/>
        </w:rPr>
        <w:t xml:space="preserve"> умов, </w:t>
      </w:r>
      <w:proofErr w:type="spellStart"/>
      <w:r w:rsidRPr="00973C63">
        <w:rPr>
          <w:lang w:val="ru-RU"/>
        </w:rPr>
        <w:t>визначених</w:t>
      </w:r>
      <w:proofErr w:type="spellEnd"/>
      <w:r w:rsidRPr="00973C63">
        <w:rPr>
          <w:lang w:val="ru-RU"/>
        </w:rPr>
        <w:t xml:space="preserve"> пунктом 13 </w:t>
      </w:r>
      <w:proofErr w:type="spellStart"/>
      <w:r w:rsidRPr="00973C63">
        <w:rPr>
          <w:lang w:val="ru-RU"/>
        </w:rPr>
        <w:t>розділу</w:t>
      </w:r>
      <w:proofErr w:type="spellEnd"/>
      <w:r w:rsidRPr="00973C63">
        <w:rPr>
          <w:lang w:val="ru-RU"/>
        </w:rPr>
        <w:t xml:space="preserve"> </w:t>
      </w:r>
      <w:r w:rsidRPr="00973C63">
        <w:rPr>
          <w:lang w:val="en-US"/>
        </w:rPr>
        <w:t>I</w:t>
      </w:r>
      <w:r w:rsidRPr="00973C63">
        <w:rPr>
          <w:lang w:val="ru-RU"/>
        </w:rPr>
        <w:t xml:space="preserve"> </w:t>
      </w:r>
      <w:proofErr w:type="spellStart"/>
      <w:r w:rsidRPr="00973C63">
        <w:rPr>
          <w:lang w:val="ru-RU"/>
        </w:rPr>
        <w:t>цього</w:t>
      </w:r>
      <w:proofErr w:type="spellEnd"/>
      <w:r w:rsidRPr="00973C63">
        <w:rPr>
          <w:lang w:val="ru-RU"/>
        </w:rPr>
        <w:t xml:space="preserve"> </w:t>
      </w:r>
      <w:proofErr w:type="spellStart"/>
      <w:r w:rsidRPr="00973C63">
        <w:rPr>
          <w:lang w:val="ru-RU"/>
        </w:rPr>
        <w:t>Положення</w:t>
      </w:r>
      <w:proofErr w:type="spellEnd"/>
      <w:r w:rsidRPr="00973C63">
        <w:rPr>
          <w:lang w:val="ru-RU"/>
        </w:rPr>
        <w:t>.”</w:t>
      </w:r>
      <w:r w:rsidR="009D6A70" w:rsidRPr="00973C63">
        <w:rPr>
          <w:lang w:val="ru-RU"/>
        </w:rPr>
        <w:t>.</w:t>
      </w:r>
    </w:p>
    <w:p w14:paraId="4ECCFF75" w14:textId="65164BD2" w:rsidR="009D6A70" w:rsidRPr="00973C63" w:rsidRDefault="009D6A70" w:rsidP="009D6A70">
      <w:pPr>
        <w:shd w:val="clear" w:color="auto" w:fill="FFFFFF" w:themeFill="background1"/>
        <w:tabs>
          <w:tab w:val="left" w:pos="851"/>
        </w:tabs>
        <w:ind w:firstLine="567"/>
      </w:pPr>
      <w:r w:rsidRPr="00973C63">
        <w:rPr>
          <w:lang w:val="ru-RU"/>
        </w:rPr>
        <w:t xml:space="preserve">У </w:t>
      </w:r>
      <w:proofErr w:type="spellStart"/>
      <w:r w:rsidRPr="00973C63">
        <w:rPr>
          <w:lang w:val="ru-RU"/>
        </w:rPr>
        <w:t>зв</w:t>
      </w:r>
      <w:proofErr w:type="spellEnd"/>
      <w:r w:rsidRPr="00973C63">
        <w:rPr>
          <w:lang w:val="ru-RU"/>
        </w:rPr>
        <w:t>’</w:t>
      </w:r>
      <w:proofErr w:type="spellStart"/>
      <w:r w:rsidRPr="00973C63">
        <w:t>язку</w:t>
      </w:r>
      <w:proofErr w:type="spellEnd"/>
      <w:r w:rsidRPr="00973C63">
        <w:t xml:space="preserve"> з цим пункти </w:t>
      </w:r>
      <w:r w:rsidRPr="00973C63">
        <w:rPr>
          <w:lang w:val="ru-RU"/>
        </w:rPr>
        <w:t>14</w:t>
      </w:r>
      <w:r w:rsidR="00EC5777">
        <w:t>−</w:t>
      </w:r>
      <w:r w:rsidRPr="00973C63">
        <w:t>1</w:t>
      </w:r>
      <w:r w:rsidRPr="00973C63">
        <w:rPr>
          <w:lang w:val="ru-RU"/>
        </w:rPr>
        <w:t>7</w:t>
      </w:r>
      <w:r w:rsidRPr="00973C63">
        <w:t xml:space="preserve"> уважати відповідно пунктами </w:t>
      </w:r>
      <w:r w:rsidRPr="00973C63">
        <w:rPr>
          <w:lang w:val="ru-RU"/>
        </w:rPr>
        <w:t>15</w:t>
      </w:r>
      <w:r w:rsidR="00EC5777">
        <w:t>−</w:t>
      </w:r>
      <w:r w:rsidRPr="00973C63">
        <w:t>18;</w:t>
      </w:r>
    </w:p>
    <w:p w14:paraId="0CD565EC" w14:textId="295EB378" w:rsidR="009D6A70" w:rsidRPr="00973C63" w:rsidRDefault="009D6A70" w:rsidP="008C3319">
      <w:pPr>
        <w:shd w:val="clear" w:color="auto" w:fill="FFFFFF" w:themeFill="background1"/>
        <w:tabs>
          <w:tab w:val="left" w:pos="851"/>
        </w:tabs>
        <w:ind w:firstLine="567"/>
      </w:pPr>
    </w:p>
    <w:p w14:paraId="3117BC11" w14:textId="2291A2D6" w:rsidR="009D6A70" w:rsidRPr="00B14750" w:rsidRDefault="007F5283" w:rsidP="008C3319">
      <w:pPr>
        <w:shd w:val="clear" w:color="auto" w:fill="FFFFFF" w:themeFill="background1"/>
        <w:tabs>
          <w:tab w:val="left" w:pos="851"/>
        </w:tabs>
        <w:ind w:firstLine="567"/>
      </w:pPr>
      <w:r w:rsidRPr="00B14750">
        <w:t>7</w:t>
      </w:r>
      <w:r w:rsidR="004A71AE" w:rsidRPr="00B14750">
        <w:t>) у пункті 15:</w:t>
      </w:r>
    </w:p>
    <w:p w14:paraId="67E56454" w14:textId="3D3789D2" w:rsidR="004A71AE" w:rsidRPr="00B14750" w:rsidRDefault="004A71AE" w:rsidP="004A71AE">
      <w:pPr>
        <w:shd w:val="clear" w:color="auto" w:fill="FFFFFF" w:themeFill="background1"/>
        <w:tabs>
          <w:tab w:val="left" w:pos="851"/>
        </w:tabs>
        <w:ind w:firstLine="567"/>
      </w:pPr>
      <w:r w:rsidRPr="00B14750">
        <w:t>пункт після сл</w:t>
      </w:r>
      <w:r w:rsidR="00FC6159" w:rsidRPr="00B14750">
        <w:t>ова</w:t>
      </w:r>
      <w:r w:rsidRPr="00B14750">
        <w:t xml:space="preserve"> </w:t>
      </w:r>
      <w:r w:rsidRPr="00B14750">
        <w:rPr>
          <w:lang w:val="ru-RU"/>
        </w:rPr>
        <w:t>“</w:t>
      </w:r>
      <w:r w:rsidRPr="00B14750">
        <w:t>розрахунку</w:t>
      </w:r>
      <w:r w:rsidRPr="00B14750">
        <w:rPr>
          <w:lang w:val="ru-RU"/>
        </w:rPr>
        <w:t xml:space="preserve">” </w:t>
      </w:r>
      <w:proofErr w:type="spellStart"/>
      <w:r w:rsidRPr="00B14750">
        <w:rPr>
          <w:lang w:val="ru-RU"/>
        </w:rPr>
        <w:t>доповнити</w:t>
      </w:r>
      <w:proofErr w:type="spellEnd"/>
      <w:r w:rsidRPr="00B14750">
        <w:rPr>
          <w:lang w:val="ru-RU"/>
        </w:rPr>
        <w:t xml:space="preserve"> словами “достатності регулятивного капіталу, </w:t>
      </w:r>
      <w:proofErr w:type="spellStart"/>
      <w:r w:rsidR="00A34E5D" w:rsidRPr="00B14750">
        <w:t>пруденцій</w:t>
      </w:r>
      <w:proofErr w:type="spellEnd"/>
      <w:r w:rsidRPr="00B14750">
        <w:rPr>
          <w:lang w:val="ru-RU"/>
        </w:rPr>
        <w:t>них”</w:t>
      </w:r>
      <w:r w:rsidRPr="00B14750">
        <w:t>;</w:t>
      </w:r>
    </w:p>
    <w:p w14:paraId="47962E64" w14:textId="459D49DD" w:rsidR="004A71AE" w:rsidRPr="00973C63" w:rsidRDefault="004A71AE" w:rsidP="004A71AE">
      <w:pPr>
        <w:shd w:val="clear" w:color="auto" w:fill="FFFFFF" w:themeFill="background1"/>
        <w:tabs>
          <w:tab w:val="left" w:pos="851"/>
        </w:tabs>
        <w:ind w:firstLine="567"/>
      </w:pPr>
      <w:r w:rsidRPr="00B14750">
        <w:t>слов</w:t>
      </w:r>
      <w:r w:rsidR="00FC6159" w:rsidRPr="00B14750">
        <w:t xml:space="preserve">о та цифри </w:t>
      </w:r>
      <w:r w:rsidRPr="00B14750">
        <w:t xml:space="preserve"> “</w:t>
      </w:r>
      <w:r w:rsidRPr="00B14750">
        <w:rPr>
          <w:rStyle w:val="rvts15"/>
        </w:rPr>
        <w:t>пункті 10</w:t>
      </w:r>
      <w:r w:rsidRPr="00B14750">
        <w:t>” замінити словами</w:t>
      </w:r>
      <w:r w:rsidR="00FC6159" w:rsidRPr="00B14750">
        <w:t xml:space="preserve"> та цифрами </w:t>
      </w:r>
      <w:r w:rsidRPr="00B14750">
        <w:t xml:space="preserve"> “</w:t>
      </w:r>
      <w:r w:rsidRPr="00B14750">
        <w:rPr>
          <w:rStyle w:val="rvts15"/>
          <w:rFonts w:eastAsia="Calibri"/>
          <w:lang w:eastAsia="en-US"/>
        </w:rPr>
        <w:t>підпункті 1 або  підпункті 2 пункту 13</w:t>
      </w:r>
      <w:r w:rsidRPr="00B14750">
        <w:t>”</w:t>
      </w:r>
      <w:r w:rsidR="00501143" w:rsidRPr="00B14750">
        <w:t>.</w:t>
      </w:r>
    </w:p>
    <w:p w14:paraId="2F1298AD" w14:textId="77777777" w:rsidR="004A71AE" w:rsidRPr="00973C63" w:rsidRDefault="004A71AE" w:rsidP="008C3319">
      <w:pPr>
        <w:shd w:val="clear" w:color="auto" w:fill="FFFFFF" w:themeFill="background1"/>
        <w:tabs>
          <w:tab w:val="left" w:pos="851"/>
        </w:tabs>
        <w:ind w:firstLine="567"/>
      </w:pPr>
    </w:p>
    <w:p w14:paraId="00E11540" w14:textId="77777777" w:rsidR="00C65089" w:rsidRPr="00973C63" w:rsidRDefault="00501143" w:rsidP="0055179F">
      <w:pPr>
        <w:shd w:val="clear" w:color="auto" w:fill="FFFFFF" w:themeFill="background1"/>
        <w:tabs>
          <w:tab w:val="left" w:pos="851"/>
        </w:tabs>
        <w:ind w:firstLine="567"/>
      </w:pPr>
      <w:r w:rsidRPr="00973C63">
        <w:t>2. </w:t>
      </w:r>
      <w:r w:rsidR="00C65089" w:rsidRPr="00973C63">
        <w:t>У розділі ІІІ:</w:t>
      </w:r>
    </w:p>
    <w:p w14:paraId="30B3A03E" w14:textId="77777777" w:rsidR="00C65089" w:rsidRPr="00973C63" w:rsidRDefault="00C65089" w:rsidP="0055179F">
      <w:pPr>
        <w:shd w:val="clear" w:color="auto" w:fill="FFFFFF" w:themeFill="background1"/>
        <w:tabs>
          <w:tab w:val="left" w:pos="851"/>
        </w:tabs>
        <w:ind w:firstLine="567"/>
      </w:pPr>
    </w:p>
    <w:p w14:paraId="1E7716AF" w14:textId="1B2D8906" w:rsidR="00C65089" w:rsidRPr="00973C63" w:rsidRDefault="00C65089" w:rsidP="00C65089">
      <w:pPr>
        <w:pStyle w:val="af3"/>
        <w:numPr>
          <w:ilvl w:val="0"/>
          <w:numId w:val="4"/>
        </w:numPr>
        <w:shd w:val="clear" w:color="auto" w:fill="FFFFFF" w:themeFill="background1"/>
        <w:tabs>
          <w:tab w:val="left" w:pos="851"/>
        </w:tabs>
      </w:pPr>
      <w:r w:rsidRPr="00973C63">
        <w:t>главу 1 викласти в такій редакції:</w:t>
      </w:r>
    </w:p>
    <w:p w14:paraId="2491F2BD" w14:textId="4151847F" w:rsidR="00C65089" w:rsidRPr="00973C63" w:rsidRDefault="00C65089" w:rsidP="00C65089">
      <w:pPr>
        <w:shd w:val="clear" w:color="auto" w:fill="FFFFFF" w:themeFill="background1"/>
        <w:tabs>
          <w:tab w:val="left" w:pos="851"/>
        </w:tabs>
        <w:jc w:val="center"/>
      </w:pPr>
      <w:r w:rsidRPr="00973C63">
        <w:lastRenderedPageBreak/>
        <w:t>“1. Вимоги до ліквідності кредитно-інвестиційної підгрупи</w:t>
      </w:r>
    </w:p>
    <w:p w14:paraId="0E1A0126" w14:textId="77777777" w:rsidR="00C65089" w:rsidRPr="00973C63" w:rsidRDefault="00C65089" w:rsidP="00C65089">
      <w:pPr>
        <w:shd w:val="clear" w:color="auto" w:fill="FFFFFF" w:themeFill="background1"/>
        <w:tabs>
          <w:tab w:val="left" w:pos="851"/>
        </w:tabs>
      </w:pPr>
    </w:p>
    <w:p w14:paraId="16AAC308" w14:textId="23CD299D" w:rsidR="00C65089" w:rsidRPr="00843484" w:rsidRDefault="007B38B8" w:rsidP="00C65089">
      <w:pPr>
        <w:shd w:val="clear" w:color="auto" w:fill="FFFFFF" w:themeFill="background1"/>
        <w:tabs>
          <w:tab w:val="left" w:pos="851"/>
        </w:tabs>
        <w:ind w:firstLine="567"/>
      </w:pPr>
      <w:r>
        <w:t>1. </w:t>
      </w:r>
      <w:r w:rsidR="00B46B7D" w:rsidRPr="00B46B7D">
        <w:t>Відповідальна особа банківської групи зобов’язана постійно управляти ліквідністю кредитно-інвестиційної підгрупи, підтримувати її на рівні, достатньому для своєчасного та повного виконання зобов’язань, забезпечувати оптимальне співвідношення між строками і сумами погашення розміщених активів та строками і сумами виконання зобов’язань.</w:t>
      </w:r>
    </w:p>
    <w:p w14:paraId="3008D489" w14:textId="77777777" w:rsidR="00C65089" w:rsidRPr="00180AF7" w:rsidRDefault="00C65089" w:rsidP="00C65089">
      <w:pPr>
        <w:shd w:val="clear" w:color="auto" w:fill="FFFFFF" w:themeFill="background1"/>
        <w:tabs>
          <w:tab w:val="left" w:pos="851"/>
        </w:tabs>
      </w:pPr>
    </w:p>
    <w:p w14:paraId="45304D2B" w14:textId="4692F78B" w:rsidR="00C65089" w:rsidRPr="001C4345" w:rsidRDefault="00C65089" w:rsidP="00C65089">
      <w:pPr>
        <w:shd w:val="clear" w:color="auto" w:fill="FFFFFF" w:themeFill="background1"/>
        <w:tabs>
          <w:tab w:val="left" w:pos="851"/>
        </w:tabs>
        <w:ind w:firstLine="567"/>
      </w:pPr>
      <w:r w:rsidRPr="001C4345">
        <w:t>2. Кредитно-інвестиційна підгрупа має дотримуватис</w:t>
      </w:r>
      <w:r w:rsidR="00EC5777" w:rsidRPr="001C4345">
        <w:t>я</w:t>
      </w:r>
      <w:r w:rsidRPr="001C4345">
        <w:t xml:space="preserve"> таких нормативів ліквідності:</w:t>
      </w:r>
    </w:p>
    <w:p w14:paraId="49F240A0" w14:textId="77777777" w:rsidR="00AF350D" w:rsidRPr="001C4345" w:rsidRDefault="00AF350D" w:rsidP="00C65089">
      <w:pPr>
        <w:shd w:val="clear" w:color="auto" w:fill="FFFFFF" w:themeFill="background1"/>
        <w:tabs>
          <w:tab w:val="left" w:pos="851"/>
        </w:tabs>
        <w:ind w:firstLine="567"/>
      </w:pPr>
    </w:p>
    <w:p w14:paraId="690D4EB9" w14:textId="434B72AA" w:rsidR="00C65089" w:rsidRPr="00AF350D" w:rsidRDefault="00C65089" w:rsidP="00FA5D06">
      <w:pPr>
        <w:pStyle w:val="af3"/>
        <w:numPr>
          <w:ilvl w:val="0"/>
          <w:numId w:val="10"/>
        </w:numPr>
        <w:shd w:val="clear" w:color="auto" w:fill="FFFFFF" w:themeFill="background1"/>
        <w:tabs>
          <w:tab w:val="left" w:pos="851"/>
        </w:tabs>
        <w:rPr>
          <w:lang w:val="ru-RU"/>
        </w:rPr>
      </w:pPr>
      <w:proofErr w:type="spellStart"/>
      <w:r w:rsidRPr="00AF350D">
        <w:rPr>
          <w:lang w:val="ru-RU"/>
        </w:rPr>
        <w:t>поточної</w:t>
      </w:r>
      <w:proofErr w:type="spellEnd"/>
      <w:r w:rsidRPr="00AF350D">
        <w:rPr>
          <w:lang w:val="ru-RU"/>
        </w:rPr>
        <w:t xml:space="preserve"> </w:t>
      </w:r>
      <w:proofErr w:type="spellStart"/>
      <w:r w:rsidRPr="00AF350D">
        <w:rPr>
          <w:lang w:val="ru-RU"/>
        </w:rPr>
        <w:t>ліквідності</w:t>
      </w:r>
      <w:proofErr w:type="spellEnd"/>
      <w:r w:rsidRPr="00AF350D">
        <w:rPr>
          <w:lang w:val="ru-RU"/>
        </w:rPr>
        <w:t xml:space="preserve"> (Н5к);</w:t>
      </w:r>
    </w:p>
    <w:p w14:paraId="08300151" w14:textId="77777777" w:rsidR="00AF350D" w:rsidRDefault="00AF350D" w:rsidP="00C65089">
      <w:pPr>
        <w:shd w:val="clear" w:color="auto" w:fill="FFFFFF" w:themeFill="background1"/>
        <w:tabs>
          <w:tab w:val="left" w:pos="851"/>
        </w:tabs>
        <w:ind w:firstLine="567"/>
        <w:rPr>
          <w:lang w:val="ru-RU"/>
        </w:rPr>
      </w:pPr>
    </w:p>
    <w:p w14:paraId="3E9202D2" w14:textId="7917397B" w:rsidR="00C65089" w:rsidRDefault="00C65089" w:rsidP="00FA5D06">
      <w:pPr>
        <w:pStyle w:val="af3"/>
        <w:numPr>
          <w:ilvl w:val="0"/>
          <w:numId w:val="10"/>
        </w:numPr>
        <w:shd w:val="clear" w:color="auto" w:fill="FFFFFF" w:themeFill="background1"/>
        <w:tabs>
          <w:tab w:val="left" w:pos="851"/>
        </w:tabs>
        <w:rPr>
          <w:lang w:val="ru-RU"/>
        </w:rPr>
      </w:pPr>
      <w:proofErr w:type="spellStart"/>
      <w:r w:rsidRPr="00AF350D">
        <w:rPr>
          <w:lang w:val="ru-RU"/>
        </w:rPr>
        <w:t>короткострокової</w:t>
      </w:r>
      <w:proofErr w:type="spellEnd"/>
      <w:r w:rsidRPr="00AF350D">
        <w:rPr>
          <w:lang w:val="ru-RU"/>
        </w:rPr>
        <w:t xml:space="preserve"> </w:t>
      </w:r>
      <w:proofErr w:type="spellStart"/>
      <w:r w:rsidRPr="00AF350D">
        <w:rPr>
          <w:lang w:val="ru-RU"/>
        </w:rPr>
        <w:t>ліквідності</w:t>
      </w:r>
      <w:proofErr w:type="spellEnd"/>
      <w:r w:rsidRPr="00AF350D">
        <w:rPr>
          <w:lang w:val="ru-RU"/>
        </w:rPr>
        <w:t xml:space="preserve"> (Н6к);</w:t>
      </w:r>
    </w:p>
    <w:p w14:paraId="3E363517" w14:textId="77777777" w:rsidR="00AF350D" w:rsidRPr="00AF350D" w:rsidRDefault="00AF350D" w:rsidP="00FA5D06">
      <w:pPr>
        <w:pStyle w:val="af3"/>
        <w:rPr>
          <w:lang w:val="ru-RU"/>
        </w:rPr>
      </w:pPr>
    </w:p>
    <w:p w14:paraId="0283168C" w14:textId="2AB30202" w:rsidR="00C65089" w:rsidRPr="00AF350D" w:rsidRDefault="00C65089" w:rsidP="00FA5D06">
      <w:pPr>
        <w:pStyle w:val="af3"/>
        <w:numPr>
          <w:ilvl w:val="0"/>
          <w:numId w:val="10"/>
        </w:numPr>
        <w:shd w:val="clear" w:color="auto" w:fill="FFFFFF" w:themeFill="background1"/>
        <w:tabs>
          <w:tab w:val="left" w:pos="851"/>
        </w:tabs>
        <w:rPr>
          <w:lang w:val="ru-RU"/>
        </w:rPr>
      </w:pPr>
      <w:r w:rsidRPr="00AF350D">
        <w:rPr>
          <w:lang w:val="ru-RU"/>
        </w:rPr>
        <w:t xml:space="preserve">коефіцієнта </w:t>
      </w:r>
      <w:proofErr w:type="spellStart"/>
      <w:r w:rsidRPr="00AF350D">
        <w:rPr>
          <w:lang w:val="ru-RU"/>
        </w:rPr>
        <w:t>покриття</w:t>
      </w:r>
      <w:proofErr w:type="spellEnd"/>
      <w:r w:rsidRPr="00AF350D">
        <w:rPr>
          <w:lang w:val="ru-RU"/>
        </w:rPr>
        <w:t xml:space="preserve"> </w:t>
      </w:r>
      <w:proofErr w:type="spellStart"/>
      <w:r w:rsidRPr="00AF350D">
        <w:rPr>
          <w:lang w:val="ru-RU"/>
        </w:rPr>
        <w:t>ліквідністю</w:t>
      </w:r>
      <w:proofErr w:type="spellEnd"/>
      <w:r w:rsidRPr="00AF350D">
        <w:rPr>
          <w:lang w:val="ru-RU"/>
        </w:rPr>
        <w:t xml:space="preserve"> за </w:t>
      </w:r>
      <w:proofErr w:type="spellStart"/>
      <w:r w:rsidRPr="00AF350D">
        <w:rPr>
          <w:lang w:val="ru-RU"/>
        </w:rPr>
        <w:t>всіма</w:t>
      </w:r>
      <w:proofErr w:type="spellEnd"/>
      <w:r w:rsidRPr="00AF350D">
        <w:rPr>
          <w:lang w:val="ru-RU"/>
        </w:rPr>
        <w:t xml:space="preserve"> валютами (</w:t>
      </w:r>
      <w:r w:rsidRPr="00AF350D">
        <w:rPr>
          <w:lang w:val="en-US"/>
        </w:rPr>
        <w:t>LCR</w:t>
      </w:r>
      <w:r w:rsidRPr="00AF350D">
        <w:rPr>
          <w:vertAlign w:val="subscript"/>
          <w:lang w:val="en-US"/>
        </w:rPr>
        <w:t>BB</w:t>
      </w:r>
      <w:r w:rsidRPr="00AF350D">
        <w:rPr>
          <w:lang w:val="ru-RU"/>
        </w:rPr>
        <w:t>к);</w:t>
      </w:r>
    </w:p>
    <w:p w14:paraId="33F708FE" w14:textId="77777777" w:rsidR="00AF350D" w:rsidRDefault="00AF350D" w:rsidP="00C65089">
      <w:pPr>
        <w:shd w:val="clear" w:color="auto" w:fill="FFFFFF" w:themeFill="background1"/>
        <w:tabs>
          <w:tab w:val="left" w:pos="851"/>
        </w:tabs>
        <w:ind w:firstLine="567"/>
        <w:rPr>
          <w:lang w:val="ru-RU"/>
        </w:rPr>
      </w:pPr>
    </w:p>
    <w:p w14:paraId="7A04ADAE" w14:textId="3F2C322E" w:rsidR="00C65089" w:rsidRPr="00AF350D" w:rsidRDefault="00C65089" w:rsidP="00FA5D06">
      <w:pPr>
        <w:pStyle w:val="af3"/>
        <w:numPr>
          <w:ilvl w:val="0"/>
          <w:numId w:val="10"/>
        </w:numPr>
        <w:shd w:val="clear" w:color="auto" w:fill="FFFFFF" w:themeFill="background1"/>
        <w:tabs>
          <w:tab w:val="left" w:pos="851"/>
        </w:tabs>
        <w:rPr>
          <w:lang w:val="ru-RU"/>
        </w:rPr>
      </w:pPr>
      <w:r w:rsidRPr="00AF350D">
        <w:rPr>
          <w:lang w:val="ru-RU"/>
        </w:rPr>
        <w:t xml:space="preserve">коефіцієнта </w:t>
      </w:r>
      <w:proofErr w:type="spellStart"/>
      <w:r w:rsidRPr="00AF350D">
        <w:rPr>
          <w:lang w:val="ru-RU"/>
        </w:rPr>
        <w:t>покриття</w:t>
      </w:r>
      <w:proofErr w:type="spellEnd"/>
      <w:r w:rsidRPr="00AF350D">
        <w:rPr>
          <w:lang w:val="ru-RU"/>
        </w:rPr>
        <w:t xml:space="preserve"> </w:t>
      </w:r>
      <w:proofErr w:type="spellStart"/>
      <w:r w:rsidRPr="00AF350D">
        <w:rPr>
          <w:lang w:val="ru-RU"/>
        </w:rPr>
        <w:t>ліквідністю</w:t>
      </w:r>
      <w:proofErr w:type="spellEnd"/>
      <w:r w:rsidRPr="00AF350D">
        <w:rPr>
          <w:lang w:val="ru-RU"/>
        </w:rPr>
        <w:t xml:space="preserve"> </w:t>
      </w:r>
      <w:r w:rsidR="00B549D1">
        <w:rPr>
          <w:lang w:val="ru-RU"/>
        </w:rPr>
        <w:t xml:space="preserve">за </w:t>
      </w:r>
      <w:proofErr w:type="spellStart"/>
      <w:r w:rsidR="00B549D1">
        <w:rPr>
          <w:lang w:val="ru-RU"/>
        </w:rPr>
        <w:t>іноземними</w:t>
      </w:r>
      <w:proofErr w:type="spellEnd"/>
      <w:r w:rsidR="00B549D1">
        <w:rPr>
          <w:lang w:val="ru-RU"/>
        </w:rPr>
        <w:t xml:space="preserve"> валютами</w:t>
      </w:r>
      <w:r w:rsidR="00B549D1" w:rsidRPr="00973C63">
        <w:rPr>
          <w:lang w:val="ru-RU"/>
        </w:rPr>
        <w:t xml:space="preserve"> </w:t>
      </w:r>
      <w:r w:rsidRPr="00AF350D">
        <w:rPr>
          <w:lang w:val="ru-RU"/>
        </w:rPr>
        <w:t>(</w:t>
      </w:r>
      <w:r w:rsidRPr="00AF350D">
        <w:rPr>
          <w:lang w:val="en-US"/>
        </w:rPr>
        <w:t>LCR</w:t>
      </w:r>
      <w:r w:rsidRPr="00AF350D">
        <w:rPr>
          <w:vertAlign w:val="subscript"/>
          <w:lang w:val="en-US"/>
        </w:rPr>
        <w:t>IB</w:t>
      </w:r>
      <w:r w:rsidRPr="00AF350D">
        <w:rPr>
          <w:lang w:val="ru-RU"/>
        </w:rPr>
        <w:t>к);</w:t>
      </w:r>
    </w:p>
    <w:p w14:paraId="0263D8D6" w14:textId="77777777" w:rsidR="00AF350D" w:rsidRDefault="00AF350D" w:rsidP="00C65089">
      <w:pPr>
        <w:shd w:val="clear" w:color="auto" w:fill="FFFFFF" w:themeFill="background1"/>
        <w:tabs>
          <w:tab w:val="left" w:pos="851"/>
        </w:tabs>
        <w:ind w:firstLine="567"/>
        <w:rPr>
          <w:lang w:val="ru-RU"/>
        </w:rPr>
      </w:pPr>
    </w:p>
    <w:p w14:paraId="2087EE97" w14:textId="6E2A891C" w:rsidR="00C65089" w:rsidRPr="00AF350D" w:rsidRDefault="00C65089" w:rsidP="00FA5D06">
      <w:pPr>
        <w:pStyle w:val="af3"/>
        <w:numPr>
          <w:ilvl w:val="0"/>
          <w:numId w:val="10"/>
        </w:numPr>
        <w:shd w:val="clear" w:color="auto" w:fill="FFFFFF" w:themeFill="background1"/>
        <w:tabs>
          <w:tab w:val="left" w:pos="851"/>
        </w:tabs>
        <w:rPr>
          <w:lang w:val="ru-RU"/>
        </w:rPr>
      </w:pPr>
      <w:r w:rsidRPr="00AF350D">
        <w:rPr>
          <w:lang w:val="ru-RU"/>
        </w:rPr>
        <w:t xml:space="preserve">коефіцієнта чистого </w:t>
      </w:r>
      <w:proofErr w:type="spellStart"/>
      <w:r w:rsidRPr="00AF350D">
        <w:rPr>
          <w:lang w:val="ru-RU"/>
        </w:rPr>
        <w:t>стабільного</w:t>
      </w:r>
      <w:proofErr w:type="spellEnd"/>
      <w:r w:rsidRPr="00AF350D">
        <w:rPr>
          <w:lang w:val="ru-RU"/>
        </w:rPr>
        <w:t xml:space="preserve"> </w:t>
      </w:r>
      <w:proofErr w:type="spellStart"/>
      <w:r w:rsidRPr="00AF350D">
        <w:rPr>
          <w:lang w:val="ru-RU"/>
        </w:rPr>
        <w:t>фінансування</w:t>
      </w:r>
      <w:proofErr w:type="spellEnd"/>
      <w:r w:rsidRPr="00AF350D">
        <w:rPr>
          <w:lang w:val="ru-RU"/>
        </w:rPr>
        <w:t xml:space="preserve"> (</w:t>
      </w:r>
      <w:r w:rsidRPr="00AF350D">
        <w:rPr>
          <w:lang w:val="en-US"/>
        </w:rPr>
        <w:t>NSFR</w:t>
      </w:r>
      <w:r w:rsidRPr="00AF350D">
        <w:rPr>
          <w:lang w:val="ru-RU"/>
        </w:rPr>
        <w:t>к).</w:t>
      </w:r>
    </w:p>
    <w:p w14:paraId="728C2BD8" w14:textId="77777777" w:rsidR="00325FD8" w:rsidRPr="00973C63" w:rsidRDefault="00325FD8" w:rsidP="00325FD8">
      <w:pPr>
        <w:shd w:val="clear" w:color="auto" w:fill="FFFFFF" w:themeFill="background1"/>
        <w:tabs>
          <w:tab w:val="left" w:pos="851"/>
        </w:tabs>
        <w:rPr>
          <w:lang w:val="ru-RU"/>
        </w:rPr>
      </w:pPr>
    </w:p>
    <w:p w14:paraId="309CC519" w14:textId="0A03ABAD" w:rsidR="00C65089" w:rsidRPr="00973C63" w:rsidRDefault="00C65089" w:rsidP="00325FD8">
      <w:pPr>
        <w:shd w:val="clear" w:color="auto" w:fill="FFFFFF" w:themeFill="background1"/>
        <w:tabs>
          <w:tab w:val="left" w:pos="851"/>
        </w:tabs>
        <w:ind w:firstLine="567"/>
        <w:rPr>
          <w:lang w:val="ru-RU"/>
        </w:rPr>
      </w:pPr>
      <w:r w:rsidRPr="00973C63">
        <w:rPr>
          <w:lang w:val="ru-RU"/>
        </w:rPr>
        <w:t xml:space="preserve">3. </w:t>
      </w:r>
      <w:proofErr w:type="spellStart"/>
      <w:r w:rsidR="00FD260E" w:rsidRPr="00FD260E">
        <w:rPr>
          <w:lang w:val="ru-RU"/>
        </w:rPr>
        <w:t>Відповідальна</w:t>
      </w:r>
      <w:proofErr w:type="spellEnd"/>
      <w:r w:rsidR="00FD260E" w:rsidRPr="00FD260E">
        <w:rPr>
          <w:lang w:val="ru-RU"/>
        </w:rPr>
        <w:t xml:space="preserve"> особа </w:t>
      </w:r>
      <w:proofErr w:type="spellStart"/>
      <w:r w:rsidR="00FD260E" w:rsidRPr="00FD260E">
        <w:rPr>
          <w:lang w:val="ru-RU"/>
        </w:rPr>
        <w:t>банківської</w:t>
      </w:r>
      <w:proofErr w:type="spellEnd"/>
      <w:r w:rsidR="00FD260E" w:rsidRPr="00FD260E">
        <w:rPr>
          <w:lang w:val="ru-RU"/>
        </w:rPr>
        <w:t xml:space="preserve"> </w:t>
      </w:r>
      <w:proofErr w:type="spellStart"/>
      <w:r w:rsidR="00FD260E" w:rsidRPr="00FD260E">
        <w:rPr>
          <w:lang w:val="ru-RU"/>
        </w:rPr>
        <w:t>групи</w:t>
      </w:r>
      <w:proofErr w:type="spellEnd"/>
      <w:r w:rsidR="00FD260E" w:rsidRPr="00FD260E">
        <w:rPr>
          <w:lang w:val="ru-RU"/>
        </w:rPr>
        <w:t xml:space="preserve">, </w:t>
      </w:r>
      <w:proofErr w:type="spellStart"/>
      <w:r w:rsidR="00FD260E" w:rsidRPr="00FD260E">
        <w:rPr>
          <w:lang w:val="ru-RU"/>
        </w:rPr>
        <w:t>якщо</w:t>
      </w:r>
      <w:proofErr w:type="spellEnd"/>
      <w:r w:rsidR="00FD260E" w:rsidRPr="00FD260E">
        <w:rPr>
          <w:lang w:val="ru-RU"/>
        </w:rPr>
        <w:t xml:space="preserve"> </w:t>
      </w:r>
      <w:proofErr w:type="gramStart"/>
      <w:r w:rsidR="00FD260E" w:rsidRPr="00FD260E">
        <w:rPr>
          <w:lang w:val="ru-RU"/>
        </w:rPr>
        <w:t>до складу</w:t>
      </w:r>
      <w:proofErr w:type="gramEnd"/>
      <w:r w:rsidR="00FD260E" w:rsidRPr="00FD260E">
        <w:rPr>
          <w:lang w:val="ru-RU"/>
        </w:rPr>
        <w:t xml:space="preserve"> кредитно-</w:t>
      </w:r>
      <w:proofErr w:type="spellStart"/>
      <w:r w:rsidR="00FD260E" w:rsidRPr="00FD260E">
        <w:rPr>
          <w:lang w:val="ru-RU"/>
        </w:rPr>
        <w:t>інвестиційної</w:t>
      </w:r>
      <w:proofErr w:type="spellEnd"/>
      <w:r w:rsidR="00FD260E" w:rsidRPr="00FD260E">
        <w:rPr>
          <w:lang w:val="ru-RU"/>
        </w:rPr>
        <w:t xml:space="preserve"> </w:t>
      </w:r>
      <w:proofErr w:type="spellStart"/>
      <w:r w:rsidR="00FD260E" w:rsidRPr="00FD260E">
        <w:rPr>
          <w:lang w:val="ru-RU"/>
        </w:rPr>
        <w:t>підгрупи</w:t>
      </w:r>
      <w:proofErr w:type="spellEnd"/>
      <w:r w:rsidR="00FD260E" w:rsidRPr="00FD260E">
        <w:rPr>
          <w:lang w:val="ru-RU"/>
        </w:rPr>
        <w:t xml:space="preserve"> входить </w:t>
      </w:r>
      <w:proofErr w:type="spellStart"/>
      <w:r w:rsidR="00FD260E" w:rsidRPr="00FD260E">
        <w:rPr>
          <w:lang w:val="ru-RU"/>
        </w:rPr>
        <w:t>учасник</w:t>
      </w:r>
      <w:proofErr w:type="spellEnd"/>
      <w:r w:rsidR="00FD260E" w:rsidRPr="00FD260E">
        <w:rPr>
          <w:lang w:val="ru-RU"/>
        </w:rPr>
        <w:t xml:space="preserve">, </w:t>
      </w:r>
      <w:proofErr w:type="spellStart"/>
      <w:r w:rsidR="00FD260E" w:rsidRPr="00FD260E">
        <w:rPr>
          <w:lang w:val="ru-RU"/>
        </w:rPr>
        <w:t>зареєстрований</w:t>
      </w:r>
      <w:proofErr w:type="spellEnd"/>
      <w:r w:rsidR="00FD260E" w:rsidRPr="00FD260E">
        <w:rPr>
          <w:lang w:val="ru-RU"/>
        </w:rPr>
        <w:t xml:space="preserve"> в </w:t>
      </w:r>
      <w:proofErr w:type="spellStart"/>
      <w:r w:rsidR="00FD260E" w:rsidRPr="00FD260E">
        <w:rPr>
          <w:lang w:val="ru-RU"/>
        </w:rPr>
        <w:t>іноземній</w:t>
      </w:r>
      <w:proofErr w:type="spellEnd"/>
      <w:r w:rsidR="00FD260E" w:rsidRPr="00FD260E">
        <w:rPr>
          <w:lang w:val="ru-RU"/>
        </w:rPr>
        <w:t xml:space="preserve"> </w:t>
      </w:r>
      <w:proofErr w:type="spellStart"/>
      <w:r w:rsidR="00FD260E" w:rsidRPr="00FD260E">
        <w:rPr>
          <w:lang w:val="ru-RU"/>
        </w:rPr>
        <w:t>державі</w:t>
      </w:r>
      <w:proofErr w:type="spellEnd"/>
      <w:r w:rsidR="00FD260E" w:rsidRPr="00FD260E">
        <w:rPr>
          <w:lang w:val="ru-RU"/>
        </w:rPr>
        <w:t xml:space="preserve"> (</w:t>
      </w:r>
      <w:proofErr w:type="spellStart"/>
      <w:r w:rsidR="00FD260E" w:rsidRPr="00FD260E">
        <w:rPr>
          <w:lang w:val="ru-RU"/>
        </w:rPr>
        <w:t>далі</w:t>
      </w:r>
      <w:proofErr w:type="spellEnd"/>
      <w:r w:rsidR="00FD260E" w:rsidRPr="00FD260E">
        <w:rPr>
          <w:lang w:val="ru-RU"/>
        </w:rPr>
        <w:t xml:space="preserve"> – </w:t>
      </w:r>
      <w:proofErr w:type="spellStart"/>
      <w:r w:rsidR="00FD260E" w:rsidRPr="00FD260E">
        <w:rPr>
          <w:lang w:val="ru-RU"/>
        </w:rPr>
        <w:t>Іноземний</w:t>
      </w:r>
      <w:proofErr w:type="spellEnd"/>
      <w:r w:rsidR="00FD260E" w:rsidRPr="00FD260E">
        <w:rPr>
          <w:lang w:val="ru-RU"/>
        </w:rPr>
        <w:t xml:space="preserve"> </w:t>
      </w:r>
      <w:proofErr w:type="spellStart"/>
      <w:r w:rsidR="00FD260E" w:rsidRPr="00FD260E">
        <w:rPr>
          <w:lang w:val="ru-RU"/>
        </w:rPr>
        <w:t>учасник</w:t>
      </w:r>
      <w:proofErr w:type="spellEnd"/>
      <w:r w:rsidR="00FD260E" w:rsidRPr="00FD260E">
        <w:rPr>
          <w:lang w:val="ru-RU"/>
        </w:rPr>
        <w:t>):</w:t>
      </w:r>
    </w:p>
    <w:p w14:paraId="094225E1" w14:textId="77777777" w:rsidR="00C65089" w:rsidRPr="00973C63" w:rsidRDefault="00C65089" w:rsidP="00C65089">
      <w:pPr>
        <w:shd w:val="clear" w:color="auto" w:fill="FFFFFF" w:themeFill="background1"/>
        <w:tabs>
          <w:tab w:val="left" w:pos="851"/>
        </w:tabs>
        <w:rPr>
          <w:lang w:val="ru-RU"/>
        </w:rPr>
      </w:pPr>
    </w:p>
    <w:p w14:paraId="49B3DB64" w14:textId="77777777" w:rsidR="00C65089" w:rsidRPr="00973C63" w:rsidRDefault="00C65089" w:rsidP="00325FD8">
      <w:pPr>
        <w:shd w:val="clear" w:color="auto" w:fill="FFFFFF" w:themeFill="background1"/>
        <w:tabs>
          <w:tab w:val="left" w:pos="851"/>
        </w:tabs>
        <w:ind w:firstLine="567"/>
        <w:rPr>
          <w:lang w:val="ru-RU"/>
        </w:rPr>
      </w:pPr>
      <w:r w:rsidRPr="00973C63">
        <w:rPr>
          <w:lang w:val="ru-RU"/>
        </w:rPr>
        <w:t xml:space="preserve">1) </w:t>
      </w:r>
      <w:proofErr w:type="spellStart"/>
      <w:r w:rsidRPr="00973C63">
        <w:rPr>
          <w:lang w:val="ru-RU"/>
        </w:rPr>
        <w:t>забезпечує</w:t>
      </w:r>
      <w:proofErr w:type="spellEnd"/>
      <w:r w:rsidRPr="00973C63">
        <w:rPr>
          <w:lang w:val="ru-RU"/>
        </w:rPr>
        <w:t xml:space="preserve"> </w:t>
      </w:r>
      <w:proofErr w:type="spellStart"/>
      <w:r w:rsidRPr="00973C63">
        <w:rPr>
          <w:lang w:val="ru-RU"/>
        </w:rPr>
        <w:t>документування</w:t>
      </w:r>
      <w:proofErr w:type="spellEnd"/>
      <w:r w:rsidRPr="00973C63">
        <w:rPr>
          <w:lang w:val="ru-RU"/>
        </w:rPr>
        <w:t xml:space="preserve"> та </w:t>
      </w:r>
      <w:proofErr w:type="spellStart"/>
      <w:r w:rsidRPr="00973C63">
        <w:rPr>
          <w:lang w:val="ru-RU"/>
        </w:rPr>
        <w:t>підтримання</w:t>
      </w:r>
      <w:proofErr w:type="spellEnd"/>
      <w:r w:rsidRPr="00973C63">
        <w:rPr>
          <w:lang w:val="ru-RU"/>
        </w:rPr>
        <w:t xml:space="preserve"> в актуальному </w:t>
      </w:r>
      <w:proofErr w:type="spellStart"/>
      <w:r w:rsidRPr="00973C63">
        <w:rPr>
          <w:lang w:val="ru-RU"/>
        </w:rPr>
        <w:t>стані</w:t>
      </w:r>
      <w:proofErr w:type="spellEnd"/>
      <w:r w:rsidRPr="00973C63">
        <w:rPr>
          <w:lang w:val="ru-RU"/>
        </w:rPr>
        <w:t xml:space="preserve"> </w:t>
      </w:r>
      <w:proofErr w:type="spellStart"/>
      <w:r w:rsidRPr="00973C63">
        <w:rPr>
          <w:lang w:val="ru-RU"/>
        </w:rPr>
        <w:t>інформації</w:t>
      </w:r>
      <w:proofErr w:type="spellEnd"/>
      <w:r w:rsidRPr="00973C63">
        <w:rPr>
          <w:lang w:val="ru-RU"/>
        </w:rPr>
        <w:t xml:space="preserve"> про:</w:t>
      </w:r>
    </w:p>
    <w:p w14:paraId="13F45D14" w14:textId="738D3DD0" w:rsidR="00C65089" w:rsidRPr="009C3EFD" w:rsidRDefault="00C65089" w:rsidP="00325FD8">
      <w:pPr>
        <w:shd w:val="clear" w:color="auto" w:fill="FFFFFF" w:themeFill="background1"/>
        <w:tabs>
          <w:tab w:val="left" w:pos="851"/>
        </w:tabs>
        <w:ind w:firstLine="567"/>
        <w:rPr>
          <w:lang w:val="ru-RU"/>
        </w:rPr>
      </w:pPr>
      <w:proofErr w:type="spellStart"/>
      <w:r w:rsidRPr="00973C63">
        <w:rPr>
          <w:lang w:val="ru-RU"/>
        </w:rPr>
        <w:t>наявні</w:t>
      </w:r>
      <w:proofErr w:type="spellEnd"/>
      <w:r w:rsidRPr="00973C63">
        <w:rPr>
          <w:lang w:val="ru-RU"/>
        </w:rPr>
        <w:t xml:space="preserve"> </w:t>
      </w:r>
      <w:proofErr w:type="spellStart"/>
      <w:r w:rsidRPr="00973C63">
        <w:rPr>
          <w:lang w:val="ru-RU"/>
        </w:rPr>
        <w:t>юридичні</w:t>
      </w:r>
      <w:proofErr w:type="spellEnd"/>
      <w:r w:rsidRPr="00973C63">
        <w:rPr>
          <w:lang w:val="ru-RU"/>
        </w:rPr>
        <w:t xml:space="preserve">, </w:t>
      </w:r>
      <w:proofErr w:type="spellStart"/>
      <w:r w:rsidRPr="00973C63">
        <w:rPr>
          <w:lang w:val="ru-RU"/>
        </w:rPr>
        <w:t>контрактні</w:t>
      </w:r>
      <w:proofErr w:type="spellEnd"/>
      <w:r w:rsidRPr="00973C63">
        <w:rPr>
          <w:lang w:val="ru-RU"/>
        </w:rPr>
        <w:t>/</w:t>
      </w:r>
      <w:proofErr w:type="spellStart"/>
      <w:r w:rsidRPr="00973C63">
        <w:rPr>
          <w:lang w:val="ru-RU"/>
        </w:rPr>
        <w:t>договірні</w:t>
      </w:r>
      <w:proofErr w:type="spellEnd"/>
      <w:r w:rsidRPr="00973C63">
        <w:rPr>
          <w:lang w:val="ru-RU"/>
        </w:rPr>
        <w:t xml:space="preserve">, </w:t>
      </w:r>
      <w:proofErr w:type="spellStart"/>
      <w:r w:rsidRPr="00973C63">
        <w:rPr>
          <w:lang w:val="ru-RU"/>
        </w:rPr>
        <w:t>регуляторні</w:t>
      </w:r>
      <w:proofErr w:type="spellEnd"/>
      <w:r w:rsidRPr="00973C63">
        <w:rPr>
          <w:lang w:val="ru-RU"/>
        </w:rPr>
        <w:t xml:space="preserve">, </w:t>
      </w:r>
      <w:proofErr w:type="spellStart"/>
      <w:r w:rsidRPr="00973C63">
        <w:rPr>
          <w:lang w:val="ru-RU"/>
        </w:rPr>
        <w:t>податкові</w:t>
      </w:r>
      <w:proofErr w:type="spellEnd"/>
      <w:r w:rsidRPr="00973C63">
        <w:rPr>
          <w:lang w:val="ru-RU"/>
        </w:rPr>
        <w:t xml:space="preserve"> </w:t>
      </w:r>
      <w:proofErr w:type="spellStart"/>
      <w:r w:rsidRPr="00973C63">
        <w:rPr>
          <w:lang w:val="ru-RU"/>
        </w:rPr>
        <w:t>або</w:t>
      </w:r>
      <w:proofErr w:type="spellEnd"/>
      <w:r w:rsidRPr="00973C63">
        <w:rPr>
          <w:lang w:val="ru-RU"/>
        </w:rPr>
        <w:t xml:space="preserve"> </w:t>
      </w:r>
      <w:proofErr w:type="spellStart"/>
      <w:r w:rsidRPr="00973C63">
        <w:rPr>
          <w:lang w:val="ru-RU"/>
        </w:rPr>
        <w:t>інші</w:t>
      </w:r>
      <w:proofErr w:type="spellEnd"/>
      <w:r w:rsidRPr="00973C63">
        <w:rPr>
          <w:lang w:val="ru-RU"/>
        </w:rPr>
        <w:t xml:space="preserve"> </w:t>
      </w:r>
      <w:proofErr w:type="spellStart"/>
      <w:r w:rsidRPr="00973C63">
        <w:rPr>
          <w:lang w:val="ru-RU"/>
        </w:rPr>
        <w:t>перешкоди</w:t>
      </w:r>
      <w:proofErr w:type="spellEnd"/>
      <w:r w:rsidRPr="00973C63">
        <w:rPr>
          <w:lang w:val="ru-RU"/>
        </w:rPr>
        <w:t>/</w:t>
      </w:r>
      <w:proofErr w:type="spellStart"/>
      <w:r w:rsidRPr="009C3EFD">
        <w:rPr>
          <w:lang w:val="ru-RU"/>
        </w:rPr>
        <w:t>обмеження</w:t>
      </w:r>
      <w:proofErr w:type="spellEnd"/>
      <w:r w:rsidRPr="009C3EFD">
        <w:rPr>
          <w:lang w:val="ru-RU"/>
        </w:rPr>
        <w:t xml:space="preserve"> на </w:t>
      </w:r>
      <w:proofErr w:type="spellStart"/>
      <w:r w:rsidRPr="009C3EFD">
        <w:rPr>
          <w:lang w:val="ru-RU"/>
        </w:rPr>
        <w:t>передавання</w:t>
      </w:r>
      <w:proofErr w:type="spellEnd"/>
      <w:r w:rsidRPr="009C3EFD">
        <w:rPr>
          <w:lang w:val="ru-RU"/>
        </w:rPr>
        <w:t xml:space="preserve"> </w:t>
      </w:r>
      <w:proofErr w:type="spellStart"/>
      <w:r w:rsidRPr="009C3EFD">
        <w:rPr>
          <w:lang w:val="ru-RU"/>
        </w:rPr>
        <w:t>активів</w:t>
      </w:r>
      <w:proofErr w:type="spellEnd"/>
      <w:r w:rsidRPr="009C3EFD">
        <w:rPr>
          <w:lang w:val="ru-RU"/>
        </w:rPr>
        <w:t xml:space="preserve">, </w:t>
      </w:r>
      <w:proofErr w:type="spellStart"/>
      <w:r w:rsidRPr="009C3EFD">
        <w:rPr>
          <w:lang w:val="ru-RU"/>
        </w:rPr>
        <w:t>які</w:t>
      </w:r>
      <w:proofErr w:type="spellEnd"/>
      <w:r w:rsidRPr="009C3EFD">
        <w:rPr>
          <w:lang w:val="ru-RU"/>
        </w:rPr>
        <w:t xml:space="preserve"> </w:t>
      </w:r>
      <w:proofErr w:type="spellStart"/>
      <w:r w:rsidRPr="009C3EFD">
        <w:rPr>
          <w:lang w:val="ru-RU"/>
        </w:rPr>
        <w:t>включаються</w:t>
      </w:r>
      <w:proofErr w:type="spellEnd"/>
      <w:r w:rsidRPr="009C3EFD">
        <w:rPr>
          <w:lang w:val="ru-RU"/>
        </w:rPr>
        <w:t xml:space="preserve"> до </w:t>
      </w:r>
      <w:proofErr w:type="spellStart"/>
      <w:r w:rsidRPr="009C3EFD">
        <w:rPr>
          <w:lang w:val="ru-RU"/>
        </w:rPr>
        <w:t>високоякісних</w:t>
      </w:r>
      <w:proofErr w:type="spellEnd"/>
      <w:r w:rsidRPr="009C3EFD">
        <w:rPr>
          <w:lang w:val="ru-RU"/>
        </w:rPr>
        <w:t xml:space="preserve"> </w:t>
      </w:r>
      <w:proofErr w:type="spellStart"/>
      <w:r w:rsidRPr="009C3EFD">
        <w:rPr>
          <w:lang w:val="ru-RU"/>
        </w:rPr>
        <w:t>ліквідних</w:t>
      </w:r>
      <w:proofErr w:type="spellEnd"/>
      <w:r w:rsidRPr="009C3EFD">
        <w:rPr>
          <w:lang w:val="ru-RU"/>
        </w:rPr>
        <w:t xml:space="preserve"> </w:t>
      </w:r>
      <w:proofErr w:type="spellStart"/>
      <w:r w:rsidRPr="009C3EFD">
        <w:rPr>
          <w:lang w:val="ru-RU"/>
        </w:rPr>
        <w:t>активів</w:t>
      </w:r>
      <w:proofErr w:type="spellEnd"/>
      <w:r w:rsidRPr="009C3EFD">
        <w:rPr>
          <w:lang w:val="ru-RU"/>
        </w:rPr>
        <w:t xml:space="preserve"> (</w:t>
      </w:r>
      <w:proofErr w:type="spellStart"/>
      <w:r w:rsidRPr="009C3EFD">
        <w:rPr>
          <w:lang w:val="ru-RU"/>
        </w:rPr>
        <w:t>далі</w:t>
      </w:r>
      <w:proofErr w:type="spellEnd"/>
      <w:r w:rsidRPr="009C3EFD">
        <w:rPr>
          <w:lang w:val="ru-RU"/>
        </w:rPr>
        <w:t xml:space="preserve"> – </w:t>
      </w:r>
      <w:proofErr w:type="spellStart"/>
      <w:r w:rsidRPr="009C3EFD">
        <w:rPr>
          <w:lang w:val="ru-RU"/>
        </w:rPr>
        <w:t>обмеження</w:t>
      </w:r>
      <w:proofErr w:type="spellEnd"/>
      <w:r w:rsidRPr="009C3EFD">
        <w:rPr>
          <w:lang w:val="ru-RU"/>
        </w:rPr>
        <w:t xml:space="preserve"> на </w:t>
      </w:r>
      <w:proofErr w:type="spellStart"/>
      <w:r w:rsidRPr="009C3EFD">
        <w:rPr>
          <w:lang w:val="ru-RU"/>
        </w:rPr>
        <w:t>передавання</w:t>
      </w:r>
      <w:proofErr w:type="spellEnd"/>
      <w:r w:rsidRPr="009C3EFD">
        <w:rPr>
          <w:lang w:val="ru-RU"/>
        </w:rPr>
        <w:t xml:space="preserve"> </w:t>
      </w:r>
      <w:proofErr w:type="spellStart"/>
      <w:r w:rsidR="00707A4B" w:rsidRPr="009C3EFD">
        <w:rPr>
          <w:lang w:val="ru-RU"/>
        </w:rPr>
        <w:t>активів</w:t>
      </w:r>
      <w:proofErr w:type="spellEnd"/>
      <w:r w:rsidRPr="009C3EFD">
        <w:rPr>
          <w:lang w:val="ru-RU"/>
        </w:rPr>
        <w:t xml:space="preserve">), </w:t>
      </w:r>
      <w:proofErr w:type="spellStart"/>
      <w:r w:rsidRPr="009C3EFD">
        <w:rPr>
          <w:lang w:val="ru-RU"/>
        </w:rPr>
        <w:t>від</w:t>
      </w:r>
      <w:proofErr w:type="spellEnd"/>
      <w:r w:rsidRPr="009C3EFD">
        <w:rPr>
          <w:lang w:val="ru-RU"/>
        </w:rPr>
        <w:t xml:space="preserve"> </w:t>
      </w:r>
      <w:proofErr w:type="spellStart"/>
      <w:r w:rsidRPr="009C3EFD">
        <w:rPr>
          <w:lang w:val="ru-RU"/>
        </w:rPr>
        <w:t>Іноземн</w:t>
      </w:r>
      <w:r w:rsidR="00812BAC" w:rsidRPr="009C3EFD">
        <w:rPr>
          <w:lang w:val="ru-RU"/>
        </w:rPr>
        <w:t>ого</w:t>
      </w:r>
      <w:proofErr w:type="spellEnd"/>
      <w:r w:rsidRPr="009C3EFD">
        <w:rPr>
          <w:lang w:val="ru-RU"/>
        </w:rPr>
        <w:t xml:space="preserve"> </w:t>
      </w:r>
      <w:proofErr w:type="spellStart"/>
      <w:r w:rsidRPr="009C3EFD">
        <w:rPr>
          <w:lang w:val="ru-RU"/>
        </w:rPr>
        <w:t>учасник</w:t>
      </w:r>
      <w:r w:rsidR="00812BAC" w:rsidRPr="009C3EFD">
        <w:rPr>
          <w:lang w:val="ru-RU"/>
        </w:rPr>
        <w:t>а</w:t>
      </w:r>
      <w:proofErr w:type="spellEnd"/>
      <w:r w:rsidRPr="009C3EFD">
        <w:rPr>
          <w:lang w:val="ru-RU"/>
        </w:rPr>
        <w:t xml:space="preserve"> до </w:t>
      </w:r>
      <w:proofErr w:type="spellStart"/>
      <w:r w:rsidRPr="009C3EFD">
        <w:rPr>
          <w:lang w:val="ru-RU"/>
        </w:rPr>
        <w:t>інших</w:t>
      </w:r>
      <w:proofErr w:type="spellEnd"/>
      <w:r w:rsidRPr="009C3EFD">
        <w:rPr>
          <w:lang w:val="ru-RU"/>
        </w:rPr>
        <w:t xml:space="preserve"> </w:t>
      </w:r>
      <w:proofErr w:type="spellStart"/>
      <w:r w:rsidRPr="009C3EFD">
        <w:rPr>
          <w:lang w:val="ru-RU"/>
        </w:rPr>
        <w:t>учасників</w:t>
      </w:r>
      <w:proofErr w:type="spellEnd"/>
      <w:r w:rsidRPr="009C3EFD">
        <w:rPr>
          <w:lang w:val="ru-RU"/>
        </w:rPr>
        <w:t xml:space="preserve"> кредитно-</w:t>
      </w:r>
      <w:proofErr w:type="spellStart"/>
      <w:r w:rsidRPr="009C3EFD">
        <w:rPr>
          <w:lang w:val="ru-RU"/>
        </w:rPr>
        <w:t>інвестиційної</w:t>
      </w:r>
      <w:proofErr w:type="spellEnd"/>
      <w:r w:rsidRPr="009C3EFD">
        <w:rPr>
          <w:lang w:val="ru-RU"/>
        </w:rPr>
        <w:t xml:space="preserve"> </w:t>
      </w:r>
      <w:proofErr w:type="spellStart"/>
      <w:r w:rsidRPr="009C3EFD">
        <w:rPr>
          <w:lang w:val="ru-RU"/>
        </w:rPr>
        <w:t>підгрупи</w:t>
      </w:r>
      <w:proofErr w:type="spellEnd"/>
      <w:r w:rsidRPr="009C3EFD">
        <w:rPr>
          <w:lang w:val="ru-RU"/>
        </w:rPr>
        <w:t xml:space="preserve">, </w:t>
      </w:r>
      <w:proofErr w:type="spellStart"/>
      <w:r w:rsidRPr="009C3EFD">
        <w:rPr>
          <w:lang w:val="ru-RU"/>
        </w:rPr>
        <w:t>зареєстрованих</w:t>
      </w:r>
      <w:proofErr w:type="spellEnd"/>
      <w:r w:rsidRPr="009C3EFD">
        <w:rPr>
          <w:lang w:val="ru-RU"/>
        </w:rPr>
        <w:t xml:space="preserve"> в </w:t>
      </w:r>
      <w:proofErr w:type="spellStart"/>
      <w:r w:rsidRPr="009C3EFD">
        <w:rPr>
          <w:lang w:val="ru-RU"/>
        </w:rPr>
        <w:t>Україні</w:t>
      </w:r>
      <w:proofErr w:type="spellEnd"/>
      <w:r w:rsidRPr="009C3EFD">
        <w:rPr>
          <w:lang w:val="ru-RU"/>
        </w:rPr>
        <w:t>;</w:t>
      </w:r>
    </w:p>
    <w:p w14:paraId="44047574" w14:textId="77777777" w:rsidR="00812BAC" w:rsidRPr="009C3EFD" w:rsidRDefault="00812BAC" w:rsidP="00812BAC">
      <w:pPr>
        <w:shd w:val="clear" w:color="auto" w:fill="FFFFFF" w:themeFill="background1"/>
        <w:tabs>
          <w:tab w:val="left" w:pos="851"/>
        </w:tabs>
        <w:ind w:firstLine="567"/>
        <w:rPr>
          <w:bCs/>
          <w:shd w:val="clear" w:color="auto" w:fill="FFFFFF"/>
          <w:lang w:eastAsia="ru-RU"/>
        </w:rPr>
      </w:pPr>
      <w:r w:rsidRPr="009C3EFD">
        <w:rPr>
          <w:bCs/>
          <w:shd w:val="clear" w:color="auto" w:fill="FFFFFF"/>
          <w:lang w:eastAsia="ru-RU"/>
        </w:rPr>
        <w:t>вимоги, встановлені відповідним державним органом іноземної держави, що здійснює регулювання ринків фінансових послуг, до розрахунку Іноземним учасником коефіцієнтів ліквідності на індивідуальній основі;</w:t>
      </w:r>
    </w:p>
    <w:p w14:paraId="3BC90E72" w14:textId="7A1ABC14" w:rsidR="00C65089" w:rsidRPr="009C3EFD" w:rsidRDefault="00812BAC" w:rsidP="00812BAC">
      <w:pPr>
        <w:shd w:val="clear" w:color="auto" w:fill="FFFFFF" w:themeFill="background1"/>
        <w:tabs>
          <w:tab w:val="left" w:pos="851"/>
        </w:tabs>
        <w:ind w:firstLine="567"/>
      </w:pPr>
      <w:r w:rsidRPr="009C3EFD">
        <w:rPr>
          <w:bCs/>
          <w:shd w:val="clear" w:color="auto" w:fill="FFFFFF"/>
          <w:lang w:eastAsia="ru-RU"/>
        </w:rPr>
        <w:t>результати розрахунків Іноземним учасником коефіцієнтів ліквідності на індивідуальній основі, подані до відповідного державного органу іноземної держави, що здійснює нагляд за Іноземним учасником</w:t>
      </w:r>
      <w:r w:rsidR="001D4B1F" w:rsidRPr="009C3EFD">
        <w:rPr>
          <w:bCs/>
          <w:shd w:val="clear" w:color="auto" w:fill="FFFFFF"/>
        </w:rPr>
        <w:t>;</w:t>
      </w:r>
    </w:p>
    <w:p w14:paraId="2B3BF78B" w14:textId="77777777" w:rsidR="00C65089" w:rsidRPr="009C3EFD" w:rsidRDefault="00C65089" w:rsidP="00C65089">
      <w:pPr>
        <w:shd w:val="clear" w:color="auto" w:fill="FFFFFF" w:themeFill="background1"/>
        <w:tabs>
          <w:tab w:val="left" w:pos="851"/>
        </w:tabs>
      </w:pPr>
    </w:p>
    <w:p w14:paraId="369457F4" w14:textId="42E70459" w:rsidR="00C65089" w:rsidRPr="001E6828" w:rsidRDefault="00C65089" w:rsidP="005B474D">
      <w:pPr>
        <w:shd w:val="clear" w:color="auto" w:fill="FFFFFF" w:themeFill="background1"/>
        <w:tabs>
          <w:tab w:val="left" w:pos="851"/>
        </w:tabs>
        <w:ind w:firstLine="567"/>
      </w:pPr>
      <w:r w:rsidRPr="009C3EFD">
        <w:t xml:space="preserve">2) подає до структурного підрозділу Національного банку, що здійснює банківський нагляд, не пізніше </w:t>
      </w:r>
      <w:r w:rsidR="001E6828" w:rsidRPr="009C3EFD">
        <w:t>наступного робочого дня за днем</w:t>
      </w:r>
      <w:r w:rsidRPr="009C3EFD">
        <w:t xml:space="preserve"> подання</w:t>
      </w:r>
      <w:r w:rsidRPr="001E6828">
        <w:t xml:space="preserve"> до Національного банку файлів з показниками статистичної звітності щодо розрахунку коефіцієнта покриття ліквідністю за всіма валютами (</w:t>
      </w:r>
      <w:r w:rsidRPr="00973C63">
        <w:rPr>
          <w:lang w:val="en-US"/>
        </w:rPr>
        <w:t>LCR</w:t>
      </w:r>
      <w:r w:rsidRPr="00973C63">
        <w:rPr>
          <w:vertAlign w:val="subscript"/>
          <w:lang w:val="en-US"/>
        </w:rPr>
        <w:t>BB</w:t>
      </w:r>
      <w:r w:rsidRPr="001E6828">
        <w:t xml:space="preserve">к), </w:t>
      </w:r>
      <w:r w:rsidRPr="001E6828">
        <w:lastRenderedPageBreak/>
        <w:t xml:space="preserve">коефіцієнта покриття ліквідністю </w:t>
      </w:r>
      <w:r w:rsidR="00B549D1" w:rsidRPr="001E6828">
        <w:t>за іноземними валютами</w:t>
      </w:r>
      <w:r w:rsidRPr="001E6828">
        <w:t xml:space="preserve"> (</w:t>
      </w:r>
      <w:r w:rsidRPr="00973C63">
        <w:rPr>
          <w:lang w:val="en-US"/>
        </w:rPr>
        <w:t>LCR</w:t>
      </w:r>
      <w:r w:rsidRPr="00973C63">
        <w:rPr>
          <w:vertAlign w:val="subscript"/>
          <w:lang w:val="en-US"/>
        </w:rPr>
        <w:t>IB</w:t>
      </w:r>
      <w:r w:rsidRPr="001E6828">
        <w:t>к) та коефіцієнта чистого стабільного фінансування (</w:t>
      </w:r>
      <w:r w:rsidRPr="00973C63">
        <w:rPr>
          <w:lang w:val="en-US"/>
        </w:rPr>
        <w:t>NSFR</w:t>
      </w:r>
      <w:r w:rsidRPr="001E6828">
        <w:t>к) інформацію про:</w:t>
      </w:r>
    </w:p>
    <w:p w14:paraId="63A96EE1" w14:textId="77777777" w:rsidR="006533EB" w:rsidRDefault="006533EB" w:rsidP="006533EB">
      <w:pPr>
        <w:shd w:val="clear" w:color="auto" w:fill="FFFFFF" w:themeFill="background1"/>
        <w:tabs>
          <w:tab w:val="left" w:pos="851"/>
        </w:tabs>
        <w:ind w:firstLine="567"/>
      </w:pPr>
      <w:r>
        <w:t>обмеження на передавання активів від Іноземного учасника до інших учасників кредитно-інвестиційної підгрупи, зареєстрованих в Україні, або підтвердження відсутності таких обмежень;</w:t>
      </w:r>
    </w:p>
    <w:p w14:paraId="3617CB50" w14:textId="1BEF410E" w:rsidR="00C65089" w:rsidRPr="00973C63" w:rsidRDefault="006533EB" w:rsidP="006533EB">
      <w:pPr>
        <w:shd w:val="clear" w:color="auto" w:fill="FFFFFF" w:themeFill="background1"/>
        <w:tabs>
          <w:tab w:val="left" w:pos="851"/>
        </w:tabs>
        <w:ind w:firstLine="567"/>
        <w:rPr>
          <w:lang w:val="ru-RU"/>
        </w:rPr>
      </w:pPr>
      <w:r>
        <w:t>вимоги, встановлені відповідним державним органом  іноземної держави, що здійснює регулювання ринків фінансових послуг, до розрахунку Іноземним учасником коефіцієнтів ліквідності на індивідуальній основі, включаючи інформацію щодо вимог, які є</w:t>
      </w:r>
      <w:r w:rsidR="00D84D2B">
        <w:t xml:space="preserve"> більш</w:t>
      </w:r>
      <w:r>
        <w:t xml:space="preserve"> консервативними  порівнян</w:t>
      </w:r>
      <w:r w:rsidR="00D1601B">
        <w:t>о</w:t>
      </w:r>
      <w:r>
        <w:t xml:space="preserve"> з вимогами, встановленими Національним банком. </w:t>
      </w:r>
      <w:proofErr w:type="spellStart"/>
      <w:r w:rsidR="00C65089" w:rsidRPr="00973C63">
        <w:rPr>
          <w:lang w:val="ru-RU"/>
        </w:rPr>
        <w:t>Відповідальна</w:t>
      </w:r>
      <w:proofErr w:type="spellEnd"/>
      <w:r w:rsidR="00C65089" w:rsidRPr="00973C63">
        <w:rPr>
          <w:lang w:val="ru-RU"/>
        </w:rPr>
        <w:t xml:space="preserve"> особа </w:t>
      </w:r>
      <w:proofErr w:type="spellStart"/>
      <w:r w:rsidR="001E6828" w:rsidRPr="009C3EFD">
        <w:rPr>
          <w:lang w:val="ru-RU"/>
        </w:rPr>
        <w:t>банківської</w:t>
      </w:r>
      <w:proofErr w:type="spellEnd"/>
      <w:r w:rsidR="001E6828" w:rsidRPr="009C3EFD">
        <w:rPr>
          <w:lang w:val="ru-RU"/>
        </w:rPr>
        <w:t xml:space="preserve"> </w:t>
      </w:r>
      <w:proofErr w:type="spellStart"/>
      <w:r w:rsidR="001E6828" w:rsidRPr="009C3EFD">
        <w:rPr>
          <w:lang w:val="ru-RU"/>
        </w:rPr>
        <w:t>групи</w:t>
      </w:r>
      <w:proofErr w:type="spellEnd"/>
      <w:r w:rsidR="001E6828">
        <w:rPr>
          <w:lang w:val="ru-RU"/>
        </w:rPr>
        <w:t xml:space="preserve"> </w:t>
      </w:r>
      <w:proofErr w:type="spellStart"/>
      <w:r w:rsidR="00C65089" w:rsidRPr="00973C63">
        <w:rPr>
          <w:lang w:val="ru-RU"/>
        </w:rPr>
        <w:t>має</w:t>
      </w:r>
      <w:proofErr w:type="spellEnd"/>
      <w:r w:rsidR="00C65089" w:rsidRPr="00973C63">
        <w:rPr>
          <w:lang w:val="ru-RU"/>
        </w:rPr>
        <w:t xml:space="preserve"> право не </w:t>
      </w:r>
      <w:proofErr w:type="spellStart"/>
      <w:r w:rsidR="00C65089" w:rsidRPr="00973C63">
        <w:rPr>
          <w:lang w:val="ru-RU"/>
        </w:rPr>
        <w:t>подавати</w:t>
      </w:r>
      <w:proofErr w:type="spellEnd"/>
      <w:r w:rsidR="00C65089" w:rsidRPr="00973C63">
        <w:rPr>
          <w:lang w:val="ru-RU"/>
        </w:rPr>
        <w:t xml:space="preserve"> до </w:t>
      </w:r>
      <w:proofErr w:type="spellStart"/>
      <w:r w:rsidR="00C65089" w:rsidRPr="00973C63">
        <w:rPr>
          <w:lang w:val="ru-RU"/>
        </w:rPr>
        <w:t>Національного</w:t>
      </w:r>
      <w:proofErr w:type="spellEnd"/>
      <w:r w:rsidR="00C65089" w:rsidRPr="00973C63">
        <w:rPr>
          <w:lang w:val="ru-RU"/>
        </w:rPr>
        <w:t xml:space="preserve"> банку </w:t>
      </w:r>
      <w:proofErr w:type="spellStart"/>
      <w:r w:rsidR="00C65089" w:rsidRPr="00973C63">
        <w:rPr>
          <w:lang w:val="ru-RU"/>
        </w:rPr>
        <w:t>інформацію</w:t>
      </w:r>
      <w:proofErr w:type="spellEnd"/>
      <w:r w:rsidR="00C65089" w:rsidRPr="00973C63">
        <w:rPr>
          <w:lang w:val="ru-RU"/>
        </w:rPr>
        <w:t xml:space="preserve">, </w:t>
      </w:r>
      <w:proofErr w:type="spellStart"/>
      <w:r w:rsidR="00C65089" w:rsidRPr="00973C63">
        <w:rPr>
          <w:lang w:val="ru-RU"/>
        </w:rPr>
        <w:t>зазначену</w:t>
      </w:r>
      <w:proofErr w:type="spellEnd"/>
      <w:r w:rsidR="00C65089" w:rsidRPr="00973C63">
        <w:rPr>
          <w:lang w:val="ru-RU"/>
        </w:rPr>
        <w:t xml:space="preserve"> в </w:t>
      </w:r>
      <w:proofErr w:type="spellStart"/>
      <w:r w:rsidR="00C65089" w:rsidRPr="00973C63">
        <w:rPr>
          <w:lang w:val="ru-RU"/>
        </w:rPr>
        <w:t>підпункті</w:t>
      </w:r>
      <w:proofErr w:type="spellEnd"/>
      <w:r w:rsidR="00C65089" w:rsidRPr="00973C63">
        <w:rPr>
          <w:lang w:val="ru-RU"/>
        </w:rPr>
        <w:t xml:space="preserve"> 2 пункту 3 </w:t>
      </w:r>
      <w:proofErr w:type="spellStart"/>
      <w:r w:rsidR="00C65089" w:rsidRPr="00973C63">
        <w:rPr>
          <w:lang w:val="ru-RU"/>
        </w:rPr>
        <w:t>глави</w:t>
      </w:r>
      <w:proofErr w:type="spellEnd"/>
      <w:r w:rsidR="00C65089" w:rsidRPr="00973C63">
        <w:rPr>
          <w:lang w:val="ru-RU"/>
        </w:rPr>
        <w:t xml:space="preserve"> 1 </w:t>
      </w:r>
      <w:proofErr w:type="spellStart"/>
      <w:r w:rsidR="00C65089" w:rsidRPr="00973C63">
        <w:rPr>
          <w:lang w:val="ru-RU"/>
        </w:rPr>
        <w:t>розділу</w:t>
      </w:r>
      <w:proofErr w:type="spellEnd"/>
      <w:r w:rsidR="00C65089" w:rsidRPr="00973C63">
        <w:rPr>
          <w:lang w:val="ru-RU"/>
        </w:rPr>
        <w:t xml:space="preserve"> ІІІ </w:t>
      </w:r>
      <w:proofErr w:type="spellStart"/>
      <w:r w:rsidR="00C65089" w:rsidRPr="00973C63">
        <w:rPr>
          <w:lang w:val="ru-RU"/>
        </w:rPr>
        <w:t>цього</w:t>
      </w:r>
      <w:proofErr w:type="spellEnd"/>
      <w:r w:rsidR="00C65089" w:rsidRPr="00973C63">
        <w:rPr>
          <w:lang w:val="ru-RU"/>
        </w:rPr>
        <w:t xml:space="preserve"> </w:t>
      </w:r>
      <w:proofErr w:type="spellStart"/>
      <w:r w:rsidR="00C65089" w:rsidRPr="00973C63">
        <w:rPr>
          <w:lang w:val="ru-RU"/>
        </w:rPr>
        <w:t>Положення</w:t>
      </w:r>
      <w:proofErr w:type="spellEnd"/>
      <w:r w:rsidR="00C65089" w:rsidRPr="00973C63">
        <w:rPr>
          <w:lang w:val="ru-RU"/>
        </w:rPr>
        <w:t xml:space="preserve">, за </w:t>
      </w:r>
      <w:proofErr w:type="spellStart"/>
      <w:r w:rsidR="00C65089" w:rsidRPr="00973C63">
        <w:rPr>
          <w:lang w:val="ru-RU"/>
        </w:rPr>
        <w:t>умови</w:t>
      </w:r>
      <w:proofErr w:type="spellEnd"/>
      <w:r w:rsidR="00C65089" w:rsidRPr="00973C63">
        <w:rPr>
          <w:lang w:val="ru-RU"/>
        </w:rPr>
        <w:t xml:space="preserve">, </w:t>
      </w:r>
      <w:proofErr w:type="spellStart"/>
      <w:r w:rsidR="00C65089" w:rsidRPr="00973C63">
        <w:rPr>
          <w:lang w:val="ru-RU"/>
        </w:rPr>
        <w:t>що</w:t>
      </w:r>
      <w:proofErr w:type="spellEnd"/>
      <w:r w:rsidR="00C65089" w:rsidRPr="00973C63">
        <w:rPr>
          <w:lang w:val="ru-RU"/>
        </w:rPr>
        <w:t xml:space="preserve"> </w:t>
      </w:r>
      <w:proofErr w:type="spellStart"/>
      <w:r w:rsidR="00C65089" w:rsidRPr="00973C63">
        <w:rPr>
          <w:lang w:val="ru-RU"/>
        </w:rPr>
        <w:t>раніше</w:t>
      </w:r>
      <w:proofErr w:type="spellEnd"/>
      <w:r w:rsidR="00C65089" w:rsidRPr="00973C63">
        <w:rPr>
          <w:lang w:val="ru-RU"/>
        </w:rPr>
        <w:t xml:space="preserve"> подана до </w:t>
      </w:r>
      <w:proofErr w:type="spellStart"/>
      <w:r w:rsidR="00C65089" w:rsidRPr="00973C63">
        <w:rPr>
          <w:lang w:val="ru-RU"/>
        </w:rPr>
        <w:t>Національного</w:t>
      </w:r>
      <w:proofErr w:type="spellEnd"/>
      <w:r w:rsidR="00C65089" w:rsidRPr="00973C63">
        <w:rPr>
          <w:lang w:val="ru-RU"/>
        </w:rPr>
        <w:t xml:space="preserve"> банку </w:t>
      </w:r>
      <w:proofErr w:type="spellStart"/>
      <w:r w:rsidR="00C65089" w:rsidRPr="00973C63">
        <w:rPr>
          <w:lang w:val="ru-RU"/>
        </w:rPr>
        <w:t>інформація</w:t>
      </w:r>
      <w:proofErr w:type="spellEnd"/>
      <w:r w:rsidR="00C65089" w:rsidRPr="00973C63">
        <w:rPr>
          <w:lang w:val="ru-RU"/>
        </w:rPr>
        <w:t xml:space="preserve"> є актуальною. У такому </w:t>
      </w:r>
      <w:proofErr w:type="spellStart"/>
      <w:r w:rsidR="00C65089" w:rsidRPr="00973C63">
        <w:rPr>
          <w:lang w:val="ru-RU"/>
        </w:rPr>
        <w:t>разі</w:t>
      </w:r>
      <w:proofErr w:type="spellEnd"/>
      <w:r w:rsidR="00C65089" w:rsidRPr="00973C63">
        <w:rPr>
          <w:lang w:val="ru-RU"/>
        </w:rPr>
        <w:t xml:space="preserve"> </w:t>
      </w:r>
      <w:proofErr w:type="spellStart"/>
      <w:r w:rsidR="00C65089" w:rsidRPr="00973C63">
        <w:rPr>
          <w:lang w:val="ru-RU"/>
        </w:rPr>
        <w:t>відповідальна</w:t>
      </w:r>
      <w:proofErr w:type="spellEnd"/>
      <w:r w:rsidR="00C65089" w:rsidRPr="00973C63">
        <w:rPr>
          <w:lang w:val="ru-RU"/>
        </w:rPr>
        <w:t xml:space="preserve"> особа </w:t>
      </w:r>
      <w:proofErr w:type="spellStart"/>
      <w:r w:rsidR="00C65089" w:rsidRPr="00973C63">
        <w:rPr>
          <w:lang w:val="ru-RU"/>
        </w:rPr>
        <w:t>банківської</w:t>
      </w:r>
      <w:proofErr w:type="spellEnd"/>
      <w:r w:rsidR="00C65089" w:rsidRPr="00973C63">
        <w:rPr>
          <w:lang w:val="ru-RU"/>
        </w:rPr>
        <w:t xml:space="preserve"> </w:t>
      </w:r>
      <w:proofErr w:type="spellStart"/>
      <w:r w:rsidR="00C65089" w:rsidRPr="00973C63">
        <w:rPr>
          <w:lang w:val="ru-RU"/>
        </w:rPr>
        <w:t>групи</w:t>
      </w:r>
      <w:proofErr w:type="spellEnd"/>
      <w:r w:rsidR="00C65089" w:rsidRPr="00973C63">
        <w:rPr>
          <w:lang w:val="ru-RU"/>
        </w:rPr>
        <w:t xml:space="preserve"> </w:t>
      </w:r>
      <w:proofErr w:type="spellStart"/>
      <w:r w:rsidR="00C65089" w:rsidRPr="00973C63">
        <w:rPr>
          <w:lang w:val="ru-RU"/>
        </w:rPr>
        <w:t>письмово</w:t>
      </w:r>
      <w:proofErr w:type="spellEnd"/>
      <w:r w:rsidR="00C65089" w:rsidRPr="00973C63">
        <w:rPr>
          <w:lang w:val="ru-RU"/>
        </w:rPr>
        <w:t xml:space="preserve"> </w:t>
      </w:r>
      <w:proofErr w:type="spellStart"/>
      <w:r w:rsidR="00C65089" w:rsidRPr="00973C63">
        <w:rPr>
          <w:lang w:val="ru-RU"/>
        </w:rPr>
        <w:t>повідомляє</w:t>
      </w:r>
      <w:proofErr w:type="spellEnd"/>
      <w:r w:rsidR="00C65089" w:rsidRPr="00973C63">
        <w:rPr>
          <w:lang w:val="ru-RU"/>
        </w:rPr>
        <w:t xml:space="preserve"> </w:t>
      </w:r>
      <w:proofErr w:type="spellStart"/>
      <w:r w:rsidR="00C65089" w:rsidRPr="00973C63">
        <w:rPr>
          <w:lang w:val="ru-RU"/>
        </w:rPr>
        <w:t>структурний</w:t>
      </w:r>
      <w:proofErr w:type="spellEnd"/>
      <w:r w:rsidR="00C65089" w:rsidRPr="00973C63">
        <w:rPr>
          <w:lang w:val="ru-RU"/>
        </w:rPr>
        <w:t xml:space="preserve"> </w:t>
      </w:r>
      <w:proofErr w:type="spellStart"/>
      <w:r w:rsidR="00C65089" w:rsidRPr="00973C63">
        <w:rPr>
          <w:lang w:val="ru-RU"/>
        </w:rPr>
        <w:t>підрозділ</w:t>
      </w:r>
      <w:proofErr w:type="spellEnd"/>
      <w:r w:rsidR="00C65089" w:rsidRPr="00973C63">
        <w:rPr>
          <w:lang w:val="ru-RU"/>
        </w:rPr>
        <w:t xml:space="preserve"> </w:t>
      </w:r>
      <w:proofErr w:type="spellStart"/>
      <w:r w:rsidR="00C65089" w:rsidRPr="00973C63">
        <w:rPr>
          <w:lang w:val="ru-RU"/>
        </w:rPr>
        <w:t>Національного</w:t>
      </w:r>
      <w:proofErr w:type="spellEnd"/>
      <w:r w:rsidR="00C65089" w:rsidRPr="00973C63">
        <w:rPr>
          <w:lang w:val="ru-RU"/>
        </w:rPr>
        <w:t xml:space="preserve"> банку, </w:t>
      </w:r>
      <w:proofErr w:type="spellStart"/>
      <w:r w:rsidR="00C65089" w:rsidRPr="00973C63">
        <w:rPr>
          <w:lang w:val="ru-RU"/>
        </w:rPr>
        <w:t>що</w:t>
      </w:r>
      <w:proofErr w:type="spellEnd"/>
      <w:r w:rsidR="00C65089" w:rsidRPr="00973C63">
        <w:rPr>
          <w:lang w:val="ru-RU"/>
        </w:rPr>
        <w:t xml:space="preserve"> </w:t>
      </w:r>
      <w:proofErr w:type="spellStart"/>
      <w:r w:rsidR="00C65089" w:rsidRPr="00973C63">
        <w:rPr>
          <w:lang w:val="ru-RU"/>
        </w:rPr>
        <w:t>здійснює</w:t>
      </w:r>
      <w:proofErr w:type="spellEnd"/>
      <w:r w:rsidR="00C65089" w:rsidRPr="00973C63">
        <w:rPr>
          <w:lang w:val="ru-RU"/>
        </w:rPr>
        <w:t xml:space="preserve"> </w:t>
      </w:r>
      <w:proofErr w:type="spellStart"/>
      <w:r w:rsidR="00C65089" w:rsidRPr="00973C63">
        <w:rPr>
          <w:lang w:val="ru-RU"/>
        </w:rPr>
        <w:t>банківський</w:t>
      </w:r>
      <w:proofErr w:type="spellEnd"/>
      <w:r w:rsidR="00C65089" w:rsidRPr="00973C63">
        <w:rPr>
          <w:lang w:val="ru-RU"/>
        </w:rPr>
        <w:t xml:space="preserve"> </w:t>
      </w:r>
      <w:proofErr w:type="spellStart"/>
      <w:r w:rsidR="00C65089" w:rsidRPr="00973C63">
        <w:rPr>
          <w:lang w:val="ru-RU"/>
        </w:rPr>
        <w:t>нагляд</w:t>
      </w:r>
      <w:proofErr w:type="spellEnd"/>
      <w:r w:rsidR="00C65089" w:rsidRPr="00973C63">
        <w:rPr>
          <w:lang w:val="ru-RU"/>
        </w:rPr>
        <w:t xml:space="preserve">, про те, </w:t>
      </w:r>
      <w:proofErr w:type="spellStart"/>
      <w:r w:rsidR="00C65089" w:rsidRPr="00973C63">
        <w:rPr>
          <w:lang w:val="ru-RU"/>
        </w:rPr>
        <w:t>що</w:t>
      </w:r>
      <w:proofErr w:type="spellEnd"/>
      <w:r w:rsidR="00C65089" w:rsidRPr="00973C63">
        <w:rPr>
          <w:lang w:val="ru-RU"/>
        </w:rPr>
        <w:t xml:space="preserve"> </w:t>
      </w:r>
      <w:proofErr w:type="spellStart"/>
      <w:r w:rsidR="00C65089" w:rsidRPr="00973C63">
        <w:rPr>
          <w:lang w:val="ru-RU"/>
        </w:rPr>
        <w:t>раніше</w:t>
      </w:r>
      <w:proofErr w:type="spellEnd"/>
      <w:r w:rsidR="00C65089" w:rsidRPr="00973C63">
        <w:rPr>
          <w:lang w:val="ru-RU"/>
        </w:rPr>
        <w:t xml:space="preserve"> подана до </w:t>
      </w:r>
      <w:proofErr w:type="spellStart"/>
      <w:r w:rsidR="00C65089" w:rsidRPr="00973C63">
        <w:rPr>
          <w:lang w:val="ru-RU"/>
        </w:rPr>
        <w:t>Національного</w:t>
      </w:r>
      <w:proofErr w:type="spellEnd"/>
      <w:r w:rsidR="00C65089" w:rsidRPr="00973C63">
        <w:rPr>
          <w:lang w:val="ru-RU"/>
        </w:rPr>
        <w:t xml:space="preserve"> банку </w:t>
      </w:r>
      <w:proofErr w:type="spellStart"/>
      <w:r w:rsidR="00C65089" w:rsidRPr="00973C63">
        <w:rPr>
          <w:lang w:val="ru-RU"/>
        </w:rPr>
        <w:t>інформація</w:t>
      </w:r>
      <w:proofErr w:type="spellEnd"/>
      <w:r w:rsidR="00C65089" w:rsidRPr="00973C63">
        <w:rPr>
          <w:lang w:val="ru-RU"/>
        </w:rPr>
        <w:t xml:space="preserve"> є актуальною;</w:t>
      </w:r>
    </w:p>
    <w:p w14:paraId="49DF9A2C" w14:textId="77777777" w:rsidR="00C65089" w:rsidRPr="00973C63" w:rsidRDefault="00C65089" w:rsidP="00C65089">
      <w:pPr>
        <w:shd w:val="clear" w:color="auto" w:fill="FFFFFF" w:themeFill="background1"/>
        <w:tabs>
          <w:tab w:val="left" w:pos="851"/>
        </w:tabs>
        <w:rPr>
          <w:lang w:val="ru-RU"/>
        </w:rPr>
      </w:pPr>
    </w:p>
    <w:p w14:paraId="2B245E87" w14:textId="1DFFFEC0" w:rsidR="0055179F" w:rsidRPr="00BF31A2" w:rsidRDefault="006533EB" w:rsidP="00943533">
      <w:pPr>
        <w:shd w:val="clear" w:color="auto" w:fill="FFFFFF" w:themeFill="background1"/>
        <w:tabs>
          <w:tab w:val="left" w:pos="851"/>
        </w:tabs>
        <w:ind w:firstLine="567"/>
      </w:pPr>
      <w:r w:rsidRPr="006533EB">
        <w:rPr>
          <w:bCs/>
          <w:shd w:val="clear" w:color="auto" w:fill="FFFFFF"/>
        </w:rPr>
        <w:t xml:space="preserve">3) подає до структурного підрозділу Національного банку, що здійснює банківський нагляд, не пізніше </w:t>
      </w:r>
      <w:r w:rsidR="00D2735B">
        <w:rPr>
          <w:bCs/>
          <w:shd w:val="clear" w:color="auto" w:fill="FFFFFF"/>
        </w:rPr>
        <w:t>10</w:t>
      </w:r>
      <w:r w:rsidRPr="006533EB">
        <w:rPr>
          <w:bCs/>
          <w:shd w:val="clear" w:color="auto" w:fill="FFFFFF"/>
        </w:rPr>
        <w:t xml:space="preserve"> робочого дня за днем подання Іноземним учасником звітності щодо розрахунку коефіцієнтів ліквідності на індивідуальній основі до відповідного державного органу іноземної держави, що здійснює нагляд за цим Іноземним учасником.</w:t>
      </w:r>
      <w:r w:rsidR="00C65089" w:rsidRPr="00BF31A2">
        <w:rPr>
          <w:lang w:val="ru-RU"/>
        </w:rPr>
        <w:t>”;</w:t>
      </w:r>
      <w:r w:rsidR="00C8710F" w:rsidRPr="00BF31A2">
        <w:t> </w:t>
      </w:r>
    </w:p>
    <w:p w14:paraId="162C1C1D" w14:textId="61E251A9" w:rsidR="00C8710F" w:rsidRPr="00973C63" w:rsidRDefault="00C8710F" w:rsidP="0055179F">
      <w:pPr>
        <w:shd w:val="clear" w:color="auto" w:fill="FFFFFF" w:themeFill="background1"/>
        <w:tabs>
          <w:tab w:val="left" w:pos="851"/>
        </w:tabs>
        <w:ind w:firstLine="567"/>
      </w:pPr>
    </w:p>
    <w:p w14:paraId="21E6FD7E" w14:textId="77777777" w:rsidR="00943533" w:rsidRPr="00973C63" w:rsidRDefault="00943533" w:rsidP="00943533">
      <w:pPr>
        <w:pStyle w:val="af3"/>
        <w:numPr>
          <w:ilvl w:val="0"/>
          <w:numId w:val="4"/>
        </w:numPr>
        <w:shd w:val="clear" w:color="auto" w:fill="FFFFFF" w:themeFill="background1"/>
        <w:tabs>
          <w:tab w:val="left" w:pos="851"/>
        </w:tabs>
      </w:pPr>
      <w:r w:rsidRPr="00973C63">
        <w:rPr>
          <w:lang w:val="ru-RU"/>
        </w:rPr>
        <w:t xml:space="preserve">у </w:t>
      </w:r>
      <w:r w:rsidRPr="00973C63">
        <w:t xml:space="preserve">главі </w:t>
      </w:r>
      <w:r w:rsidRPr="00973C63">
        <w:rPr>
          <w:lang w:val="ru-RU"/>
        </w:rPr>
        <w:t>2:</w:t>
      </w:r>
    </w:p>
    <w:p w14:paraId="4363F435" w14:textId="433ED47F" w:rsidR="00943533" w:rsidRPr="00973C63" w:rsidRDefault="00347838" w:rsidP="00347838">
      <w:pPr>
        <w:shd w:val="clear" w:color="auto" w:fill="FFFFFF" w:themeFill="background1"/>
        <w:tabs>
          <w:tab w:val="left" w:pos="851"/>
        </w:tabs>
        <w:ind w:firstLine="567"/>
      </w:pPr>
      <w:r w:rsidRPr="00973C63">
        <w:t xml:space="preserve">пункт </w:t>
      </w:r>
      <w:r w:rsidRPr="00973C63">
        <w:rPr>
          <w:lang w:val="ru-RU"/>
        </w:rPr>
        <w:t>2.</w:t>
      </w:r>
      <w:r w:rsidRPr="00973C63">
        <w:t>3 викласти в такій редакції:</w:t>
      </w:r>
    </w:p>
    <w:p w14:paraId="4E69E4DE" w14:textId="781F7432" w:rsidR="00347838" w:rsidRPr="00973C63" w:rsidRDefault="00347838" w:rsidP="00347838">
      <w:pPr>
        <w:shd w:val="clear" w:color="auto" w:fill="FFFFFF" w:themeFill="background1"/>
        <w:tabs>
          <w:tab w:val="left" w:pos="851"/>
        </w:tabs>
        <w:ind w:firstLine="567"/>
      </w:pPr>
      <w:r w:rsidRPr="00973C63">
        <w:t xml:space="preserve">“2.3. Відповідальна особа банківської групи здійснює розрахунок нормативу Н5к за даними </w:t>
      </w:r>
      <w:proofErr w:type="spellStart"/>
      <w:r w:rsidRPr="00973C63">
        <w:t>субконсолідованого</w:t>
      </w:r>
      <w:proofErr w:type="spellEnd"/>
      <w:r w:rsidRPr="00973C63">
        <w:t xml:space="preserve"> балансу кредитно-інвестиційної підгрупи та інформації, необхідної для такого розрахунку, з урахуванням розподілу активів і зобов</w:t>
      </w:r>
      <w:r w:rsidR="00641C7F" w:rsidRPr="00973C63">
        <w:t>’</w:t>
      </w:r>
      <w:r w:rsidRPr="00973C63">
        <w:t>язань за строками до погашення.</w:t>
      </w:r>
    </w:p>
    <w:p w14:paraId="68A840FD" w14:textId="77777777" w:rsidR="00347838" w:rsidRDefault="00347838" w:rsidP="00645B3E">
      <w:pPr>
        <w:shd w:val="clear" w:color="auto" w:fill="FFFFFF" w:themeFill="background1"/>
        <w:tabs>
          <w:tab w:val="left" w:pos="851"/>
        </w:tabs>
        <w:ind w:firstLine="567"/>
      </w:pPr>
      <w:r>
        <w:t>Розрахунок нормативу Н5к здійснюється за такою формулою:</w:t>
      </w:r>
    </w:p>
    <w:tbl>
      <w:tblPr>
        <w:tblW w:w="0" w:type="auto"/>
        <w:tblInd w:w="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275"/>
        <w:gridCol w:w="568"/>
        <w:gridCol w:w="1134"/>
      </w:tblGrid>
      <w:tr w:rsidR="00347838" w:rsidRPr="00201FCD" w14:paraId="6C281AF8" w14:textId="77777777" w:rsidTr="00645B3E">
        <w:trPr>
          <w:trHeight w:val="361"/>
        </w:trPr>
        <w:tc>
          <w:tcPr>
            <w:tcW w:w="1393" w:type="dxa"/>
            <w:vMerge w:val="restart"/>
            <w:tcBorders>
              <w:top w:val="nil"/>
              <w:left w:val="nil"/>
              <w:bottom w:val="nil"/>
              <w:right w:val="nil"/>
            </w:tcBorders>
            <w:shd w:val="clear" w:color="auto" w:fill="auto"/>
            <w:vAlign w:val="center"/>
          </w:tcPr>
          <w:p w14:paraId="20BCE27A" w14:textId="77777777" w:rsidR="00347838" w:rsidRPr="00645B3E" w:rsidRDefault="00347838" w:rsidP="00347838">
            <w:pPr>
              <w:widowControl w:val="0"/>
              <w:suppressAutoHyphens/>
              <w:contextualSpacing/>
              <w:jc w:val="center"/>
              <w:rPr>
                <w:sz w:val="10"/>
                <w:szCs w:val="10"/>
              </w:rPr>
            </w:pPr>
          </w:p>
          <w:p w14:paraId="5676A685" w14:textId="142DC057" w:rsidR="00347838" w:rsidRPr="00347838" w:rsidRDefault="00645B3E" w:rsidP="00645B3E">
            <w:pPr>
              <w:widowControl w:val="0"/>
              <w:suppressAutoHyphens/>
              <w:contextualSpacing/>
              <w:jc w:val="center"/>
            </w:pPr>
            <w:r>
              <w:t>Н5к =</w:t>
            </w:r>
          </w:p>
        </w:tc>
        <w:tc>
          <w:tcPr>
            <w:tcW w:w="1275" w:type="dxa"/>
            <w:tcBorders>
              <w:top w:val="nil"/>
              <w:left w:val="nil"/>
              <w:bottom w:val="single" w:sz="4" w:space="0" w:color="auto"/>
              <w:right w:val="nil"/>
            </w:tcBorders>
            <w:shd w:val="clear" w:color="auto" w:fill="auto"/>
          </w:tcPr>
          <w:p w14:paraId="20DF1077" w14:textId="77777777" w:rsidR="00347838" w:rsidRPr="00347838" w:rsidRDefault="00347838" w:rsidP="00347838">
            <w:pPr>
              <w:widowControl w:val="0"/>
              <w:suppressAutoHyphens/>
              <w:contextualSpacing/>
              <w:jc w:val="center"/>
            </w:pPr>
            <w:r w:rsidRPr="00347838">
              <w:t>А(кіп)</w:t>
            </w:r>
          </w:p>
        </w:tc>
        <w:tc>
          <w:tcPr>
            <w:tcW w:w="568" w:type="dxa"/>
            <w:vMerge w:val="restart"/>
            <w:tcBorders>
              <w:top w:val="nil"/>
              <w:left w:val="nil"/>
              <w:right w:val="nil"/>
            </w:tcBorders>
          </w:tcPr>
          <w:p w14:paraId="4B828C41" w14:textId="77777777" w:rsidR="00347838" w:rsidRPr="00645B3E" w:rsidRDefault="00347838" w:rsidP="00347838">
            <w:pPr>
              <w:widowControl w:val="0"/>
              <w:suppressAutoHyphens/>
              <w:contextualSpacing/>
              <w:jc w:val="center"/>
              <w:rPr>
                <w:sz w:val="4"/>
                <w:szCs w:val="4"/>
              </w:rPr>
            </w:pPr>
          </w:p>
          <w:p w14:paraId="5EA762EE" w14:textId="0B5B601A" w:rsidR="00347838" w:rsidRPr="00645B3E" w:rsidRDefault="00347838" w:rsidP="00347838">
            <w:pPr>
              <w:widowControl w:val="0"/>
              <w:suppressAutoHyphens/>
              <w:contextualSpacing/>
              <w:jc w:val="center"/>
              <w:rPr>
                <w:sz w:val="36"/>
                <w:szCs w:val="36"/>
              </w:rPr>
            </w:pPr>
            <w:r w:rsidRPr="00645B3E">
              <w:rPr>
                <w:sz w:val="36"/>
                <w:szCs w:val="36"/>
              </w:rPr>
              <w:t>.</w:t>
            </w:r>
          </w:p>
        </w:tc>
        <w:tc>
          <w:tcPr>
            <w:tcW w:w="1134" w:type="dxa"/>
            <w:vMerge w:val="restart"/>
            <w:tcBorders>
              <w:top w:val="nil"/>
              <w:left w:val="nil"/>
              <w:bottom w:val="nil"/>
              <w:right w:val="nil"/>
            </w:tcBorders>
            <w:shd w:val="clear" w:color="auto" w:fill="auto"/>
          </w:tcPr>
          <w:p w14:paraId="28875809" w14:textId="3FE566D9" w:rsidR="00347838" w:rsidRPr="00347838" w:rsidRDefault="00347838" w:rsidP="00347838">
            <w:pPr>
              <w:widowControl w:val="0"/>
              <w:suppressAutoHyphens/>
              <w:contextualSpacing/>
              <w:jc w:val="center"/>
              <w:rPr>
                <w:sz w:val="16"/>
                <w:szCs w:val="16"/>
              </w:rPr>
            </w:pPr>
          </w:p>
          <w:p w14:paraId="6B490A96" w14:textId="54F44FA1" w:rsidR="00347838" w:rsidRPr="00347838" w:rsidRDefault="00347838" w:rsidP="00347838">
            <w:pPr>
              <w:widowControl w:val="0"/>
              <w:suppressAutoHyphens/>
              <w:contextualSpacing/>
              <w:jc w:val="center"/>
            </w:pPr>
            <w:r w:rsidRPr="00347838">
              <w:t>100 %,</w:t>
            </w:r>
          </w:p>
        </w:tc>
      </w:tr>
      <w:tr w:rsidR="00347838" w:rsidRPr="00201FCD" w14:paraId="05B26A6D" w14:textId="77777777" w:rsidTr="00645B3E">
        <w:tc>
          <w:tcPr>
            <w:tcW w:w="1393" w:type="dxa"/>
            <w:vMerge/>
            <w:tcBorders>
              <w:top w:val="nil"/>
              <w:left w:val="nil"/>
              <w:bottom w:val="nil"/>
              <w:right w:val="nil"/>
            </w:tcBorders>
            <w:shd w:val="clear" w:color="auto" w:fill="auto"/>
          </w:tcPr>
          <w:p w14:paraId="599F8D4F" w14:textId="77777777" w:rsidR="00347838" w:rsidRPr="00201FCD" w:rsidRDefault="00347838" w:rsidP="00274ACF">
            <w:pPr>
              <w:widowControl w:val="0"/>
              <w:suppressAutoHyphens/>
              <w:contextualSpacing/>
              <w:rPr>
                <w:sz w:val="26"/>
                <w:szCs w:val="26"/>
              </w:rPr>
            </w:pPr>
          </w:p>
        </w:tc>
        <w:tc>
          <w:tcPr>
            <w:tcW w:w="1275" w:type="dxa"/>
            <w:tcBorders>
              <w:left w:val="nil"/>
              <w:bottom w:val="nil"/>
              <w:right w:val="nil"/>
            </w:tcBorders>
            <w:shd w:val="clear" w:color="auto" w:fill="auto"/>
          </w:tcPr>
          <w:p w14:paraId="58FCFB38" w14:textId="77777777" w:rsidR="00347838" w:rsidRPr="00201FCD" w:rsidRDefault="00347838" w:rsidP="00347838">
            <w:pPr>
              <w:widowControl w:val="0"/>
              <w:suppressAutoHyphens/>
              <w:contextualSpacing/>
              <w:jc w:val="center"/>
              <w:rPr>
                <w:sz w:val="26"/>
                <w:szCs w:val="26"/>
              </w:rPr>
            </w:pPr>
            <w:proofErr w:type="spellStart"/>
            <w:r w:rsidRPr="00201FCD">
              <w:rPr>
                <w:sz w:val="26"/>
                <w:szCs w:val="26"/>
              </w:rPr>
              <w:t>Зп</w:t>
            </w:r>
            <w:proofErr w:type="spellEnd"/>
            <w:r w:rsidRPr="00201FCD">
              <w:rPr>
                <w:sz w:val="26"/>
                <w:szCs w:val="26"/>
              </w:rPr>
              <w:t>(кіп)</w:t>
            </w:r>
          </w:p>
        </w:tc>
        <w:tc>
          <w:tcPr>
            <w:tcW w:w="568" w:type="dxa"/>
            <w:vMerge/>
            <w:tcBorders>
              <w:left w:val="nil"/>
              <w:bottom w:val="nil"/>
              <w:right w:val="nil"/>
            </w:tcBorders>
          </w:tcPr>
          <w:p w14:paraId="33161623" w14:textId="77777777" w:rsidR="00347838" w:rsidRPr="00201FCD" w:rsidRDefault="00347838" w:rsidP="00274ACF">
            <w:pPr>
              <w:widowControl w:val="0"/>
              <w:suppressAutoHyphens/>
              <w:contextualSpacing/>
              <w:rPr>
                <w:sz w:val="26"/>
                <w:szCs w:val="26"/>
              </w:rPr>
            </w:pPr>
          </w:p>
        </w:tc>
        <w:tc>
          <w:tcPr>
            <w:tcW w:w="1134" w:type="dxa"/>
            <w:vMerge/>
            <w:tcBorders>
              <w:top w:val="nil"/>
              <w:left w:val="nil"/>
              <w:bottom w:val="nil"/>
              <w:right w:val="nil"/>
            </w:tcBorders>
            <w:shd w:val="clear" w:color="auto" w:fill="auto"/>
          </w:tcPr>
          <w:p w14:paraId="7C3E8648" w14:textId="568B24F8" w:rsidR="00347838" w:rsidRPr="00201FCD" w:rsidRDefault="00347838" w:rsidP="00274ACF">
            <w:pPr>
              <w:widowControl w:val="0"/>
              <w:suppressAutoHyphens/>
              <w:contextualSpacing/>
              <w:rPr>
                <w:sz w:val="26"/>
                <w:szCs w:val="26"/>
              </w:rPr>
            </w:pPr>
          </w:p>
        </w:tc>
      </w:tr>
    </w:tbl>
    <w:p w14:paraId="19D2095F" w14:textId="77777777" w:rsidR="00347838" w:rsidRDefault="00347838" w:rsidP="00347838">
      <w:pPr>
        <w:shd w:val="clear" w:color="auto" w:fill="FFFFFF" w:themeFill="background1"/>
        <w:tabs>
          <w:tab w:val="left" w:pos="851"/>
        </w:tabs>
      </w:pPr>
    </w:p>
    <w:p w14:paraId="020007E4" w14:textId="57F9CAC1" w:rsidR="00347838" w:rsidRDefault="00347838" w:rsidP="00641C7F">
      <w:pPr>
        <w:shd w:val="clear" w:color="auto" w:fill="FFFFFF" w:themeFill="background1"/>
        <w:tabs>
          <w:tab w:val="left" w:pos="567"/>
        </w:tabs>
      </w:pPr>
      <w:r>
        <w:t xml:space="preserve">де А(кіп) </w:t>
      </w:r>
      <w:r w:rsidR="00D1601B">
        <w:t xml:space="preserve">− </w:t>
      </w:r>
      <w:r>
        <w:t>сукупні активи кредитно-інвестиційної підгрупи з кінцевим строком погашення до 31 дня (</w:t>
      </w:r>
      <w:r w:rsidR="00D1601B">
        <w:t>в</w:t>
      </w:r>
      <w:r>
        <w:t>ключно);</w:t>
      </w:r>
    </w:p>
    <w:p w14:paraId="22416F3A" w14:textId="609864E8" w:rsidR="00943533" w:rsidRDefault="00347838" w:rsidP="00645B3E">
      <w:pPr>
        <w:shd w:val="clear" w:color="auto" w:fill="FFFFFF" w:themeFill="background1"/>
        <w:tabs>
          <w:tab w:val="left" w:pos="851"/>
        </w:tabs>
        <w:ind w:firstLine="567"/>
      </w:pPr>
      <w:proofErr w:type="spellStart"/>
      <w:r>
        <w:t>Зп</w:t>
      </w:r>
      <w:proofErr w:type="spellEnd"/>
      <w:r>
        <w:t xml:space="preserve">(кіп) </w:t>
      </w:r>
      <w:r w:rsidR="00D1601B">
        <w:t xml:space="preserve">− </w:t>
      </w:r>
      <w:r>
        <w:t>сукупні зобов</w:t>
      </w:r>
      <w:r w:rsidR="00F8020E" w:rsidRPr="000B2D33">
        <w:t>’</w:t>
      </w:r>
      <w:r>
        <w:t>язання кредитно-інвестиційної підгрупи з кінцевим строком погашення до 31 дня (</w:t>
      </w:r>
      <w:r w:rsidR="00D1601B">
        <w:t>в</w:t>
      </w:r>
      <w:r>
        <w:t>ключно).</w:t>
      </w:r>
      <w:r w:rsidRPr="00347838">
        <w:t>”</w:t>
      </w:r>
      <w:r>
        <w:t>;</w:t>
      </w:r>
    </w:p>
    <w:p w14:paraId="3773FA1D" w14:textId="0BB560CF" w:rsidR="00827C94" w:rsidRDefault="00794E8A" w:rsidP="00645B3E">
      <w:pPr>
        <w:shd w:val="clear" w:color="auto" w:fill="FFFFFF" w:themeFill="background1"/>
        <w:tabs>
          <w:tab w:val="left" w:pos="851"/>
        </w:tabs>
        <w:ind w:firstLine="567"/>
      </w:pPr>
      <w:r>
        <w:t xml:space="preserve">в абзаці першому пунктів </w:t>
      </w:r>
      <w:r w:rsidR="00827C94">
        <w:t xml:space="preserve">2.4 та 2.5 слова </w:t>
      </w:r>
      <w:r w:rsidR="00827C94" w:rsidRPr="00827C94">
        <w:t xml:space="preserve">“/учасників банківської групи (крім страхових компаній), якщо кредитно-інвестиційної підгрупи немає,” </w:t>
      </w:r>
      <w:r w:rsidR="00827C94">
        <w:t>виключити;</w:t>
      </w:r>
    </w:p>
    <w:p w14:paraId="35DBB33F" w14:textId="32E87C44" w:rsidR="00827C94" w:rsidRDefault="00794E8A" w:rsidP="00645B3E">
      <w:pPr>
        <w:shd w:val="clear" w:color="auto" w:fill="FFFFFF" w:themeFill="background1"/>
        <w:tabs>
          <w:tab w:val="left" w:pos="851"/>
        </w:tabs>
        <w:ind w:firstLine="567"/>
        <w:rPr>
          <w:lang w:val="ru-RU"/>
        </w:rPr>
      </w:pPr>
      <w:r>
        <w:t xml:space="preserve">в абзаці першому </w:t>
      </w:r>
      <w:r w:rsidR="00827C94">
        <w:t>пункт</w:t>
      </w:r>
      <w:r>
        <w:t>у</w:t>
      </w:r>
      <w:r w:rsidR="00827C94">
        <w:t xml:space="preserve"> 2.6 слова </w:t>
      </w:r>
      <w:r w:rsidR="00827C94" w:rsidRPr="00827C94">
        <w:rPr>
          <w:lang w:val="ru-RU"/>
        </w:rPr>
        <w:t>“</w:t>
      </w:r>
      <w:proofErr w:type="spellStart"/>
      <w:r w:rsidR="00827C94" w:rsidRPr="00827C94">
        <w:rPr>
          <w:lang w:val="ru-RU"/>
        </w:rPr>
        <w:t>боргові</w:t>
      </w:r>
      <w:proofErr w:type="spellEnd"/>
      <w:r w:rsidR="00827C94" w:rsidRPr="00827C94">
        <w:rPr>
          <w:lang w:val="ru-RU"/>
        </w:rPr>
        <w:t xml:space="preserve"> </w:t>
      </w:r>
      <w:proofErr w:type="spellStart"/>
      <w:r w:rsidR="00827C94" w:rsidRPr="00827C94">
        <w:rPr>
          <w:lang w:val="ru-RU"/>
        </w:rPr>
        <w:t>цінні</w:t>
      </w:r>
      <w:proofErr w:type="spellEnd"/>
      <w:r w:rsidR="00827C94" w:rsidRPr="00827C94">
        <w:rPr>
          <w:lang w:val="ru-RU"/>
        </w:rPr>
        <w:t xml:space="preserve"> </w:t>
      </w:r>
      <w:proofErr w:type="spellStart"/>
      <w:r w:rsidR="00827C94" w:rsidRPr="00827C94">
        <w:rPr>
          <w:lang w:val="ru-RU"/>
        </w:rPr>
        <w:t>папери</w:t>
      </w:r>
      <w:proofErr w:type="spellEnd"/>
      <w:r w:rsidR="00827C94" w:rsidRPr="00827C94">
        <w:rPr>
          <w:lang w:val="ru-RU"/>
        </w:rPr>
        <w:t xml:space="preserve">, </w:t>
      </w:r>
      <w:proofErr w:type="spellStart"/>
      <w:r w:rsidR="00827C94" w:rsidRPr="00827C94">
        <w:rPr>
          <w:lang w:val="ru-RU"/>
        </w:rPr>
        <w:t>емітовані</w:t>
      </w:r>
      <w:proofErr w:type="spellEnd"/>
      <w:r w:rsidR="00827C94" w:rsidRPr="00827C94">
        <w:rPr>
          <w:lang w:val="ru-RU"/>
        </w:rPr>
        <w:t xml:space="preserve"> </w:t>
      </w:r>
      <w:proofErr w:type="spellStart"/>
      <w:r w:rsidR="00827C94" w:rsidRPr="00827C94">
        <w:rPr>
          <w:lang w:val="ru-RU"/>
        </w:rPr>
        <w:t>Національним</w:t>
      </w:r>
      <w:proofErr w:type="spellEnd"/>
      <w:r w:rsidR="00827C94" w:rsidRPr="00827C94">
        <w:rPr>
          <w:lang w:val="ru-RU"/>
        </w:rPr>
        <w:t xml:space="preserve"> банком” </w:t>
      </w:r>
      <w:r w:rsidR="00827C94">
        <w:t xml:space="preserve">замінити словами </w:t>
      </w:r>
      <w:r w:rsidR="00827C94" w:rsidRPr="00827C94">
        <w:rPr>
          <w:lang w:val="ru-RU"/>
        </w:rPr>
        <w:t>“</w:t>
      </w:r>
      <w:proofErr w:type="spellStart"/>
      <w:r w:rsidR="00827C94" w:rsidRPr="00827C94">
        <w:rPr>
          <w:lang w:val="ru-RU"/>
        </w:rPr>
        <w:t>депозитні</w:t>
      </w:r>
      <w:proofErr w:type="spellEnd"/>
      <w:r w:rsidR="00827C94" w:rsidRPr="00827C94">
        <w:rPr>
          <w:lang w:val="ru-RU"/>
        </w:rPr>
        <w:t xml:space="preserve"> </w:t>
      </w:r>
      <w:proofErr w:type="spellStart"/>
      <w:r w:rsidR="008740CB">
        <w:rPr>
          <w:lang w:val="ru-RU"/>
        </w:rPr>
        <w:t>сертифікати</w:t>
      </w:r>
      <w:proofErr w:type="spellEnd"/>
      <w:r w:rsidR="008740CB">
        <w:rPr>
          <w:lang w:val="ru-RU"/>
        </w:rPr>
        <w:t xml:space="preserve"> </w:t>
      </w:r>
      <w:proofErr w:type="spellStart"/>
      <w:r w:rsidR="008740CB">
        <w:rPr>
          <w:lang w:val="ru-RU"/>
        </w:rPr>
        <w:t>Національного</w:t>
      </w:r>
      <w:proofErr w:type="spellEnd"/>
      <w:r w:rsidR="008740CB">
        <w:rPr>
          <w:lang w:val="ru-RU"/>
        </w:rPr>
        <w:t xml:space="preserve"> банку</w:t>
      </w:r>
      <w:r w:rsidR="00827C94" w:rsidRPr="00827C94">
        <w:rPr>
          <w:lang w:val="ru-RU"/>
        </w:rPr>
        <w:t>”</w:t>
      </w:r>
      <w:r w:rsidR="00B25B28">
        <w:rPr>
          <w:lang w:val="ru-RU"/>
        </w:rPr>
        <w:t>;</w:t>
      </w:r>
    </w:p>
    <w:p w14:paraId="42C42AEB" w14:textId="4F09A42B" w:rsidR="00B25B28" w:rsidRDefault="00B25B28" w:rsidP="00645B3E">
      <w:pPr>
        <w:shd w:val="clear" w:color="auto" w:fill="FFFFFF" w:themeFill="background1"/>
        <w:tabs>
          <w:tab w:val="left" w:pos="851"/>
        </w:tabs>
        <w:ind w:firstLine="567"/>
        <w:rPr>
          <w:lang w:val="ru-RU"/>
        </w:rPr>
      </w:pPr>
    </w:p>
    <w:p w14:paraId="59E2D1D8" w14:textId="775CF55C" w:rsidR="002E1DC9" w:rsidRPr="009C3EFD" w:rsidRDefault="000B2D33" w:rsidP="00B25B28">
      <w:pPr>
        <w:shd w:val="clear" w:color="auto" w:fill="FFFFFF" w:themeFill="background1"/>
        <w:tabs>
          <w:tab w:val="left" w:pos="851"/>
        </w:tabs>
        <w:ind w:firstLine="567"/>
      </w:pPr>
      <w:r>
        <w:t>3) </w:t>
      </w:r>
      <w:r w:rsidR="002E1DC9" w:rsidRPr="009C3EFD">
        <w:t>у главі 3:</w:t>
      </w:r>
    </w:p>
    <w:p w14:paraId="0986E4C3" w14:textId="63B32F65" w:rsidR="00B25B28" w:rsidRPr="009C3EFD" w:rsidRDefault="00B25B28" w:rsidP="00B25B28">
      <w:pPr>
        <w:shd w:val="clear" w:color="auto" w:fill="FFFFFF" w:themeFill="background1"/>
        <w:tabs>
          <w:tab w:val="left" w:pos="851"/>
        </w:tabs>
        <w:ind w:firstLine="567"/>
      </w:pPr>
      <w:r w:rsidRPr="009C3EFD">
        <w:t xml:space="preserve">пункт </w:t>
      </w:r>
      <w:r w:rsidRPr="009C3EFD">
        <w:rPr>
          <w:lang w:val="ru-RU"/>
        </w:rPr>
        <w:t>3.</w:t>
      </w:r>
      <w:r w:rsidRPr="009C3EFD">
        <w:t>3 викласти в такій редакції:</w:t>
      </w:r>
    </w:p>
    <w:p w14:paraId="1702C976" w14:textId="6A9CA528" w:rsidR="00B25B28" w:rsidRPr="009C3EFD" w:rsidRDefault="00B25B28" w:rsidP="00B25B28">
      <w:pPr>
        <w:shd w:val="clear" w:color="auto" w:fill="FFFFFF" w:themeFill="background1"/>
        <w:tabs>
          <w:tab w:val="left" w:pos="851"/>
        </w:tabs>
        <w:ind w:firstLine="567"/>
      </w:pPr>
      <w:r w:rsidRPr="009C3EFD">
        <w:t xml:space="preserve">“3.3. Відповідальна особа банківської групи здійснює розрахунок нормативу Н6к за даними </w:t>
      </w:r>
      <w:proofErr w:type="spellStart"/>
      <w:r w:rsidRPr="009C3EFD">
        <w:t>субконсолідованого</w:t>
      </w:r>
      <w:proofErr w:type="spellEnd"/>
      <w:r w:rsidRPr="009C3EFD">
        <w:t xml:space="preserve"> балансу кредитно-інвестиційної підгрупи та інформації, необхідної для такого розрахунку, з урахуванням розподілу активів та зобов</w:t>
      </w:r>
      <w:r w:rsidR="003377D9" w:rsidRPr="009C3EFD">
        <w:t>’</w:t>
      </w:r>
      <w:r w:rsidRPr="009C3EFD">
        <w:t>язань за строками до погашення.</w:t>
      </w:r>
    </w:p>
    <w:p w14:paraId="0DF6D023" w14:textId="42F64DD0" w:rsidR="00B25B28" w:rsidRPr="009C3EFD" w:rsidRDefault="00B25B28" w:rsidP="00B25B28">
      <w:pPr>
        <w:shd w:val="clear" w:color="auto" w:fill="FFFFFF" w:themeFill="background1"/>
        <w:tabs>
          <w:tab w:val="left" w:pos="851"/>
        </w:tabs>
        <w:ind w:firstLine="567"/>
      </w:pPr>
      <w:r w:rsidRPr="009C3EFD">
        <w:t>Розрахунок нормативу Н6к здійснюється за такою формулою:</w:t>
      </w:r>
    </w:p>
    <w:tbl>
      <w:tblPr>
        <w:tblW w:w="0" w:type="auto"/>
        <w:tblInd w:w="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275"/>
        <w:gridCol w:w="568"/>
        <w:gridCol w:w="1134"/>
      </w:tblGrid>
      <w:tr w:rsidR="00B25B28" w:rsidRPr="009C3EFD" w14:paraId="323389C1" w14:textId="77777777" w:rsidTr="00274ACF">
        <w:trPr>
          <w:trHeight w:val="361"/>
        </w:trPr>
        <w:tc>
          <w:tcPr>
            <w:tcW w:w="1393" w:type="dxa"/>
            <w:vMerge w:val="restart"/>
            <w:tcBorders>
              <w:top w:val="nil"/>
              <w:left w:val="nil"/>
              <w:bottom w:val="nil"/>
              <w:right w:val="nil"/>
            </w:tcBorders>
            <w:shd w:val="clear" w:color="auto" w:fill="auto"/>
            <w:vAlign w:val="center"/>
          </w:tcPr>
          <w:p w14:paraId="509B7DEB" w14:textId="77777777" w:rsidR="00B25B28" w:rsidRPr="009C3EFD" w:rsidRDefault="00B25B28" w:rsidP="00274ACF">
            <w:pPr>
              <w:widowControl w:val="0"/>
              <w:suppressAutoHyphens/>
              <w:contextualSpacing/>
              <w:jc w:val="center"/>
              <w:rPr>
                <w:sz w:val="10"/>
                <w:szCs w:val="10"/>
              </w:rPr>
            </w:pPr>
          </w:p>
          <w:p w14:paraId="783A8AD7" w14:textId="5A90EF1E" w:rsidR="00B25B28" w:rsidRPr="009C3EFD" w:rsidRDefault="008B6967" w:rsidP="008B6967">
            <w:pPr>
              <w:widowControl w:val="0"/>
              <w:suppressAutoHyphens/>
              <w:contextualSpacing/>
              <w:jc w:val="center"/>
            </w:pPr>
            <w:r w:rsidRPr="009C3EFD">
              <w:t>Н</w:t>
            </w:r>
            <w:r>
              <w:t>6</w:t>
            </w:r>
            <w:r w:rsidRPr="009C3EFD">
              <w:t>к </w:t>
            </w:r>
            <w:r w:rsidR="00B25B28" w:rsidRPr="009C3EFD">
              <w:t>=</w:t>
            </w:r>
          </w:p>
        </w:tc>
        <w:tc>
          <w:tcPr>
            <w:tcW w:w="1275" w:type="dxa"/>
            <w:tcBorders>
              <w:top w:val="nil"/>
              <w:left w:val="nil"/>
              <w:bottom w:val="single" w:sz="4" w:space="0" w:color="auto"/>
              <w:right w:val="nil"/>
            </w:tcBorders>
            <w:shd w:val="clear" w:color="auto" w:fill="auto"/>
          </w:tcPr>
          <w:p w14:paraId="78ED5E93" w14:textId="58A5B8DD" w:rsidR="00B25B28" w:rsidRPr="009C3EFD" w:rsidRDefault="00B25B28" w:rsidP="00274ACF">
            <w:pPr>
              <w:widowControl w:val="0"/>
              <w:suppressAutoHyphens/>
              <w:contextualSpacing/>
              <w:jc w:val="center"/>
            </w:pPr>
            <w:r w:rsidRPr="009C3EFD">
              <w:t>А1(кіп)</w:t>
            </w:r>
          </w:p>
        </w:tc>
        <w:tc>
          <w:tcPr>
            <w:tcW w:w="568" w:type="dxa"/>
            <w:vMerge w:val="restart"/>
            <w:tcBorders>
              <w:top w:val="nil"/>
              <w:left w:val="nil"/>
              <w:right w:val="nil"/>
            </w:tcBorders>
          </w:tcPr>
          <w:p w14:paraId="45523300" w14:textId="77777777" w:rsidR="00B25B28" w:rsidRPr="009C3EFD" w:rsidRDefault="00B25B28" w:rsidP="00274ACF">
            <w:pPr>
              <w:widowControl w:val="0"/>
              <w:suppressAutoHyphens/>
              <w:contextualSpacing/>
              <w:jc w:val="center"/>
              <w:rPr>
                <w:sz w:val="4"/>
                <w:szCs w:val="4"/>
              </w:rPr>
            </w:pPr>
          </w:p>
          <w:p w14:paraId="7D7B5BBE" w14:textId="77777777" w:rsidR="00B25B28" w:rsidRPr="009C3EFD" w:rsidRDefault="00B25B28" w:rsidP="00274ACF">
            <w:pPr>
              <w:widowControl w:val="0"/>
              <w:suppressAutoHyphens/>
              <w:contextualSpacing/>
              <w:jc w:val="center"/>
              <w:rPr>
                <w:sz w:val="36"/>
                <w:szCs w:val="36"/>
              </w:rPr>
            </w:pPr>
            <w:r w:rsidRPr="009C3EFD">
              <w:rPr>
                <w:sz w:val="36"/>
                <w:szCs w:val="36"/>
              </w:rPr>
              <w:t>.</w:t>
            </w:r>
          </w:p>
        </w:tc>
        <w:tc>
          <w:tcPr>
            <w:tcW w:w="1134" w:type="dxa"/>
            <w:vMerge w:val="restart"/>
            <w:tcBorders>
              <w:top w:val="nil"/>
              <w:left w:val="nil"/>
              <w:bottom w:val="nil"/>
              <w:right w:val="nil"/>
            </w:tcBorders>
            <w:shd w:val="clear" w:color="auto" w:fill="auto"/>
          </w:tcPr>
          <w:p w14:paraId="007B7293" w14:textId="77777777" w:rsidR="00B25B28" w:rsidRPr="009C3EFD" w:rsidRDefault="00B25B28" w:rsidP="00274ACF">
            <w:pPr>
              <w:widowControl w:val="0"/>
              <w:suppressAutoHyphens/>
              <w:contextualSpacing/>
              <w:jc w:val="center"/>
              <w:rPr>
                <w:sz w:val="16"/>
                <w:szCs w:val="16"/>
              </w:rPr>
            </w:pPr>
          </w:p>
          <w:p w14:paraId="1AE73045" w14:textId="77777777" w:rsidR="00B25B28" w:rsidRPr="009C3EFD" w:rsidRDefault="00B25B28" w:rsidP="00274ACF">
            <w:pPr>
              <w:widowControl w:val="0"/>
              <w:suppressAutoHyphens/>
              <w:contextualSpacing/>
              <w:jc w:val="center"/>
            </w:pPr>
            <w:r w:rsidRPr="009C3EFD">
              <w:t>100 %,</w:t>
            </w:r>
          </w:p>
        </w:tc>
      </w:tr>
      <w:tr w:rsidR="00B25B28" w:rsidRPr="009C3EFD" w14:paraId="5427E1C8" w14:textId="77777777" w:rsidTr="00274ACF">
        <w:tc>
          <w:tcPr>
            <w:tcW w:w="1393" w:type="dxa"/>
            <w:vMerge/>
            <w:tcBorders>
              <w:top w:val="nil"/>
              <w:left w:val="nil"/>
              <w:bottom w:val="nil"/>
              <w:right w:val="nil"/>
            </w:tcBorders>
            <w:shd w:val="clear" w:color="auto" w:fill="auto"/>
          </w:tcPr>
          <w:p w14:paraId="7E38896A" w14:textId="77777777" w:rsidR="00B25B28" w:rsidRPr="009C3EFD" w:rsidRDefault="00B25B28" w:rsidP="00274ACF">
            <w:pPr>
              <w:widowControl w:val="0"/>
              <w:suppressAutoHyphens/>
              <w:contextualSpacing/>
              <w:rPr>
                <w:sz w:val="26"/>
                <w:szCs w:val="26"/>
              </w:rPr>
            </w:pPr>
          </w:p>
        </w:tc>
        <w:tc>
          <w:tcPr>
            <w:tcW w:w="1275" w:type="dxa"/>
            <w:tcBorders>
              <w:left w:val="nil"/>
              <w:bottom w:val="nil"/>
              <w:right w:val="nil"/>
            </w:tcBorders>
            <w:shd w:val="clear" w:color="auto" w:fill="auto"/>
          </w:tcPr>
          <w:p w14:paraId="59FC96F6" w14:textId="7F881AE7" w:rsidR="00B25B28" w:rsidRPr="009C3EFD" w:rsidRDefault="00B25B28" w:rsidP="00274ACF">
            <w:pPr>
              <w:widowControl w:val="0"/>
              <w:suppressAutoHyphens/>
              <w:contextualSpacing/>
              <w:jc w:val="center"/>
              <w:rPr>
                <w:sz w:val="26"/>
                <w:szCs w:val="26"/>
              </w:rPr>
            </w:pPr>
            <w:r w:rsidRPr="009C3EFD">
              <w:rPr>
                <w:sz w:val="26"/>
                <w:szCs w:val="26"/>
              </w:rPr>
              <w:t>З1(кіп)</w:t>
            </w:r>
          </w:p>
        </w:tc>
        <w:tc>
          <w:tcPr>
            <w:tcW w:w="568" w:type="dxa"/>
            <w:vMerge/>
            <w:tcBorders>
              <w:left w:val="nil"/>
              <w:bottom w:val="nil"/>
              <w:right w:val="nil"/>
            </w:tcBorders>
          </w:tcPr>
          <w:p w14:paraId="4A384FBB" w14:textId="77777777" w:rsidR="00B25B28" w:rsidRPr="009C3EFD" w:rsidRDefault="00B25B28" w:rsidP="00274ACF">
            <w:pPr>
              <w:widowControl w:val="0"/>
              <w:suppressAutoHyphens/>
              <w:contextualSpacing/>
              <w:rPr>
                <w:sz w:val="26"/>
                <w:szCs w:val="26"/>
              </w:rPr>
            </w:pPr>
          </w:p>
        </w:tc>
        <w:tc>
          <w:tcPr>
            <w:tcW w:w="1134" w:type="dxa"/>
            <w:vMerge/>
            <w:tcBorders>
              <w:top w:val="nil"/>
              <w:left w:val="nil"/>
              <w:bottom w:val="nil"/>
              <w:right w:val="nil"/>
            </w:tcBorders>
            <w:shd w:val="clear" w:color="auto" w:fill="auto"/>
          </w:tcPr>
          <w:p w14:paraId="6D579624" w14:textId="77777777" w:rsidR="00B25B28" w:rsidRPr="009C3EFD" w:rsidRDefault="00B25B28" w:rsidP="00274ACF">
            <w:pPr>
              <w:widowControl w:val="0"/>
              <w:suppressAutoHyphens/>
              <w:contextualSpacing/>
              <w:rPr>
                <w:sz w:val="26"/>
                <w:szCs w:val="26"/>
              </w:rPr>
            </w:pPr>
          </w:p>
        </w:tc>
      </w:tr>
    </w:tbl>
    <w:p w14:paraId="392CC277" w14:textId="414ABCF5" w:rsidR="00B25B28" w:rsidRPr="009C3EFD" w:rsidRDefault="00B25B28" w:rsidP="00B25B28">
      <w:pPr>
        <w:shd w:val="clear" w:color="auto" w:fill="FFFFFF" w:themeFill="background1"/>
        <w:tabs>
          <w:tab w:val="left" w:pos="567"/>
        </w:tabs>
      </w:pPr>
      <w:r w:rsidRPr="009C3EFD">
        <w:t xml:space="preserve">де А1(кіп) </w:t>
      </w:r>
      <w:r w:rsidR="00D1601B">
        <w:t>−</w:t>
      </w:r>
      <w:r w:rsidR="00D1601B" w:rsidRPr="009C3EFD">
        <w:t xml:space="preserve"> </w:t>
      </w:r>
      <w:r w:rsidRPr="009C3EFD">
        <w:t>сукупні активи кредитно-інвестиційної підгрупи з кінцевим строком погашення до одного року</w:t>
      </w:r>
      <w:r w:rsidR="003377D9" w:rsidRPr="009C3EFD">
        <w:t>;</w:t>
      </w:r>
    </w:p>
    <w:p w14:paraId="2D12514E" w14:textId="6B3FE1DC" w:rsidR="00B25B28" w:rsidRPr="009C3EFD" w:rsidRDefault="00B25B28" w:rsidP="00B25B28">
      <w:pPr>
        <w:shd w:val="clear" w:color="auto" w:fill="FFFFFF" w:themeFill="background1"/>
        <w:tabs>
          <w:tab w:val="left" w:pos="851"/>
        </w:tabs>
        <w:ind w:firstLine="567"/>
      </w:pPr>
      <w:r w:rsidRPr="009C3EFD">
        <w:t xml:space="preserve">З1(кіп) </w:t>
      </w:r>
      <w:r w:rsidR="00D1601B">
        <w:t>−</w:t>
      </w:r>
      <w:r w:rsidR="00D1601B" w:rsidRPr="009C3EFD">
        <w:t xml:space="preserve"> </w:t>
      </w:r>
      <w:r w:rsidRPr="009C3EFD">
        <w:t xml:space="preserve">сукупні </w:t>
      </w:r>
      <w:proofErr w:type="spellStart"/>
      <w:r w:rsidRPr="009C3EFD">
        <w:t>зобов</w:t>
      </w:r>
      <w:proofErr w:type="spellEnd"/>
      <w:r w:rsidR="003377D9" w:rsidRPr="009C3EFD">
        <w:rPr>
          <w:lang w:val="ru-RU"/>
        </w:rPr>
        <w:t>’</w:t>
      </w:r>
      <w:proofErr w:type="spellStart"/>
      <w:r w:rsidRPr="009C3EFD">
        <w:t>язання</w:t>
      </w:r>
      <w:proofErr w:type="spellEnd"/>
      <w:r w:rsidRPr="009C3EFD">
        <w:t xml:space="preserve"> кредитно-інвестиційної підгрупи з кінцевим строком погашення до одного року.”;</w:t>
      </w:r>
    </w:p>
    <w:p w14:paraId="0B90946E" w14:textId="019D0296" w:rsidR="002E1DC9" w:rsidRDefault="002E1DC9" w:rsidP="002E1DC9">
      <w:pPr>
        <w:shd w:val="clear" w:color="auto" w:fill="FFFFFF" w:themeFill="background1"/>
        <w:tabs>
          <w:tab w:val="left" w:pos="851"/>
        </w:tabs>
        <w:ind w:firstLine="567"/>
      </w:pPr>
      <w:r w:rsidRPr="009C3EFD">
        <w:t>у пункті 3.4 слова “/учасників банківської групи (крім страхових компаній), якщо кредитно-інвестиційної підгрупи немає” виключити;</w:t>
      </w:r>
    </w:p>
    <w:p w14:paraId="64C9C72A" w14:textId="77777777" w:rsidR="002E1DC9" w:rsidRPr="00973C63" w:rsidRDefault="002E1DC9" w:rsidP="00B25B28">
      <w:pPr>
        <w:shd w:val="clear" w:color="auto" w:fill="FFFFFF" w:themeFill="background1"/>
        <w:tabs>
          <w:tab w:val="left" w:pos="851"/>
        </w:tabs>
        <w:ind w:firstLine="567"/>
      </w:pPr>
    </w:p>
    <w:p w14:paraId="399ECE23" w14:textId="04183D59" w:rsidR="00943533" w:rsidRPr="00973C63" w:rsidRDefault="000B2D33" w:rsidP="000B2D33">
      <w:pPr>
        <w:shd w:val="clear" w:color="auto" w:fill="FFFFFF" w:themeFill="background1"/>
        <w:tabs>
          <w:tab w:val="left" w:pos="851"/>
        </w:tabs>
        <w:ind w:firstLine="567"/>
      </w:pPr>
      <w:r w:rsidRPr="00973C63">
        <w:t>4) розділ доповнити двома новими главами 4 та 5</w:t>
      </w:r>
      <w:r w:rsidR="002D6F8F">
        <w:t xml:space="preserve"> такого змісту</w:t>
      </w:r>
      <w:r w:rsidRPr="00973C63">
        <w:t>:</w:t>
      </w:r>
    </w:p>
    <w:p w14:paraId="6A7C5B74" w14:textId="4F2B0F2A" w:rsidR="000B2D33" w:rsidRPr="00973C63" w:rsidRDefault="000B2D33" w:rsidP="0006152C">
      <w:pPr>
        <w:shd w:val="clear" w:color="auto" w:fill="FFFFFF" w:themeFill="background1"/>
        <w:tabs>
          <w:tab w:val="left" w:pos="851"/>
        </w:tabs>
        <w:ind w:firstLine="567"/>
        <w:jc w:val="center"/>
      </w:pPr>
      <w:r w:rsidRPr="00973C63">
        <w:t>“4. Коефіцієнт покриття ліквідністю за всіма валютами (</w:t>
      </w:r>
      <w:r w:rsidRPr="00973C63">
        <w:rPr>
          <w:lang w:val="ru-RU"/>
        </w:rPr>
        <w:t>LCR</w:t>
      </w:r>
      <w:proofErr w:type="spellStart"/>
      <w:r w:rsidRPr="00973C63">
        <w:rPr>
          <w:vertAlign w:val="subscript"/>
        </w:rPr>
        <w:t>ВВ</w:t>
      </w:r>
      <w:r w:rsidRPr="00973C63">
        <w:t>к</w:t>
      </w:r>
      <w:proofErr w:type="spellEnd"/>
      <w:r w:rsidRPr="00973C63">
        <w:t xml:space="preserve">) та коефіцієнт покриття ліквідністю </w:t>
      </w:r>
      <w:r w:rsidR="00B549D1" w:rsidRPr="00B549D1">
        <w:t xml:space="preserve">за іноземними валютами </w:t>
      </w:r>
      <w:r w:rsidRPr="00973C63">
        <w:t>(</w:t>
      </w:r>
      <w:r w:rsidRPr="00973C63">
        <w:rPr>
          <w:lang w:val="ru-RU"/>
        </w:rPr>
        <w:t>LCR</w:t>
      </w:r>
      <w:proofErr w:type="spellStart"/>
      <w:r w:rsidRPr="00973C63">
        <w:rPr>
          <w:vertAlign w:val="subscript"/>
        </w:rPr>
        <w:t>ІВ</w:t>
      </w:r>
      <w:r w:rsidRPr="00973C63">
        <w:t>к</w:t>
      </w:r>
      <w:proofErr w:type="spellEnd"/>
      <w:r w:rsidRPr="00973C63">
        <w:t>)</w:t>
      </w:r>
    </w:p>
    <w:p w14:paraId="3FCD7025" w14:textId="77777777" w:rsidR="000B2D33" w:rsidRPr="00973C63" w:rsidRDefault="000B2D33" w:rsidP="000B2D33">
      <w:pPr>
        <w:shd w:val="clear" w:color="auto" w:fill="FFFFFF" w:themeFill="background1"/>
        <w:tabs>
          <w:tab w:val="left" w:pos="851"/>
        </w:tabs>
        <w:ind w:firstLine="567"/>
      </w:pPr>
    </w:p>
    <w:p w14:paraId="475410B6" w14:textId="47394E30" w:rsidR="000B2D33" w:rsidRPr="00973C63" w:rsidRDefault="000B2D33" w:rsidP="000B2D33">
      <w:pPr>
        <w:shd w:val="clear" w:color="auto" w:fill="FFFFFF" w:themeFill="background1"/>
        <w:tabs>
          <w:tab w:val="left" w:pos="851"/>
        </w:tabs>
        <w:ind w:firstLine="567"/>
      </w:pPr>
      <w:r w:rsidRPr="00973C63">
        <w:t xml:space="preserve">1. </w:t>
      </w:r>
      <w:r w:rsidR="00385D33" w:rsidRPr="00385D33">
        <w:t>Коефіцієнт покриття ліквідністю за всіма валютами (</w:t>
      </w:r>
      <w:proofErr w:type="spellStart"/>
      <w:r w:rsidR="00385D33" w:rsidRPr="00385D33">
        <w:t>LCR</w:t>
      </w:r>
      <w:r w:rsidR="00385D33" w:rsidRPr="00385D33">
        <w:rPr>
          <w:vertAlign w:val="subscript"/>
        </w:rPr>
        <w:t>ВВ</w:t>
      </w:r>
      <w:r w:rsidR="00385D33" w:rsidRPr="00385D33">
        <w:t>к</w:t>
      </w:r>
      <w:proofErr w:type="spellEnd"/>
      <w:r w:rsidR="00385D33" w:rsidRPr="00385D33">
        <w:t>) – норматив ліквідності, який установлює мінімально необхідний рівень ліквідності кредитно-інвестиційної підгрупи за всіма валютами для покриття чистого очікуваного відпливу грошових кошті</w:t>
      </w:r>
      <w:r w:rsidR="00D53C56">
        <w:t>в за всіма валютами протягом 30 </w:t>
      </w:r>
      <w:r w:rsidR="00385D33" w:rsidRPr="00385D33">
        <w:t>календарних днів з урахуванням стрес-сценарію (далі – чистий очікуваний відплив грошових коштів за всіма валютами).</w:t>
      </w:r>
    </w:p>
    <w:p w14:paraId="7F11E4B7" w14:textId="60E7A1C3" w:rsidR="000B2D33" w:rsidRPr="00973C63" w:rsidRDefault="000B2D33" w:rsidP="000B2D33">
      <w:pPr>
        <w:shd w:val="clear" w:color="auto" w:fill="FFFFFF" w:themeFill="background1"/>
        <w:tabs>
          <w:tab w:val="left" w:pos="851"/>
        </w:tabs>
        <w:ind w:firstLine="567"/>
      </w:pPr>
      <w:r w:rsidRPr="00973C63">
        <w:t>Відповідальна особа банківської групи здійснює розрахунок коефіцієнта покриття ліквідністю за всіма валютами (</w:t>
      </w:r>
      <w:r w:rsidRPr="00973C63">
        <w:rPr>
          <w:lang w:val="ru-RU"/>
        </w:rPr>
        <w:t>LCR</w:t>
      </w:r>
      <w:r w:rsidRPr="00973C63">
        <w:rPr>
          <w:vertAlign w:val="subscript"/>
          <w:lang w:val="ru-RU"/>
        </w:rPr>
        <w:t>BB</w:t>
      </w:r>
      <w:r w:rsidRPr="00973C63">
        <w:t xml:space="preserve">к) </w:t>
      </w:r>
      <w:r w:rsidR="00814C8B" w:rsidRPr="00814C8B">
        <w:t xml:space="preserve">не рідше одного разу на місяць </w:t>
      </w:r>
      <w:r w:rsidRPr="00973C63">
        <w:t>таким чином:</w:t>
      </w:r>
    </w:p>
    <w:p w14:paraId="72FA74C7" w14:textId="77777777" w:rsidR="0006152C" w:rsidRPr="00973C63" w:rsidRDefault="0006152C" w:rsidP="000B2D33">
      <w:pPr>
        <w:shd w:val="clear" w:color="auto" w:fill="FFFFFF" w:themeFill="background1"/>
        <w:tabs>
          <w:tab w:val="left" w:pos="851"/>
        </w:tabs>
        <w:ind w:firstLine="567"/>
      </w:pPr>
    </w:p>
    <w:p w14:paraId="6C802F12" w14:textId="215C74D3" w:rsidR="000B2D33" w:rsidRPr="00973C63" w:rsidRDefault="000B2D33" w:rsidP="000B2D33">
      <w:pPr>
        <w:shd w:val="clear" w:color="auto" w:fill="FFFFFF" w:themeFill="background1"/>
        <w:tabs>
          <w:tab w:val="left" w:pos="851"/>
        </w:tabs>
        <w:ind w:firstLine="567"/>
        <w:rPr>
          <w:lang w:val="ru-RU"/>
        </w:rPr>
      </w:pPr>
      <w:r w:rsidRPr="00973C63">
        <w:rPr>
          <w:lang w:val="ru-RU"/>
        </w:rPr>
        <w:t xml:space="preserve">1) </w:t>
      </w:r>
      <w:proofErr w:type="spellStart"/>
      <w:r w:rsidRPr="00973C63">
        <w:rPr>
          <w:lang w:val="ru-RU"/>
        </w:rPr>
        <w:t>відносить</w:t>
      </w:r>
      <w:proofErr w:type="spellEnd"/>
      <w:r w:rsidRPr="00973C63">
        <w:rPr>
          <w:lang w:val="ru-RU"/>
        </w:rPr>
        <w:t xml:space="preserve"> до </w:t>
      </w:r>
      <w:proofErr w:type="spellStart"/>
      <w:r w:rsidRPr="00973C63">
        <w:rPr>
          <w:lang w:val="ru-RU"/>
        </w:rPr>
        <w:t>високоякісних</w:t>
      </w:r>
      <w:proofErr w:type="spellEnd"/>
      <w:r w:rsidRPr="00973C63">
        <w:rPr>
          <w:lang w:val="ru-RU"/>
        </w:rPr>
        <w:t xml:space="preserve"> </w:t>
      </w:r>
      <w:proofErr w:type="spellStart"/>
      <w:r w:rsidRPr="00973C63">
        <w:rPr>
          <w:lang w:val="ru-RU"/>
        </w:rPr>
        <w:t>ліквідних</w:t>
      </w:r>
      <w:proofErr w:type="spellEnd"/>
      <w:r w:rsidRPr="00973C63">
        <w:rPr>
          <w:lang w:val="ru-RU"/>
        </w:rPr>
        <w:t xml:space="preserve"> </w:t>
      </w:r>
      <w:proofErr w:type="spellStart"/>
      <w:r w:rsidRPr="00973C63">
        <w:rPr>
          <w:lang w:val="ru-RU"/>
        </w:rPr>
        <w:t>активів</w:t>
      </w:r>
      <w:proofErr w:type="spellEnd"/>
      <w:r w:rsidRPr="00973C63">
        <w:rPr>
          <w:lang w:val="ru-RU"/>
        </w:rPr>
        <w:t xml:space="preserve"> (</w:t>
      </w:r>
      <w:proofErr w:type="spellStart"/>
      <w:r w:rsidRPr="00973C63">
        <w:rPr>
          <w:lang w:val="ru-RU"/>
        </w:rPr>
        <w:t>далі</w:t>
      </w:r>
      <w:proofErr w:type="spellEnd"/>
      <w:r w:rsidRPr="00973C63">
        <w:rPr>
          <w:lang w:val="ru-RU"/>
        </w:rPr>
        <w:t xml:space="preserve"> – ВЛА) кредитно-</w:t>
      </w:r>
      <w:proofErr w:type="spellStart"/>
      <w:r w:rsidRPr="00973C63">
        <w:rPr>
          <w:lang w:val="ru-RU"/>
        </w:rPr>
        <w:t>інвестиційної</w:t>
      </w:r>
      <w:proofErr w:type="spellEnd"/>
      <w:r w:rsidRPr="00973C63">
        <w:rPr>
          <w:lang w:val="ru-RU"/>
        </w:rPr>
        <w:t xml:space="preserve"> </w:t>
      </w:r>
      <w:proofErr w:type="spellStart"/>
      <w:r w:rsidRPr="00973C63">
        <w:rPr>
          <w:lang w:val="ru-RU"/>
        </w:rPr>
        <w:t>підгрупи</w:t>
      </w:r>
      <w:proofErr w:type="spellEnd"/>
      <w:r w:rsidRPr="00973C63">
        <w:rPr>
          <w:lang w:val="ru-RU"/>
        </w:rPr>
        <w:t xml:space="preserve"> за </w:t>
      </w:r>
      <w:proofErr w:type="spellStart"/>
      <w:r w:rsidRPr="00973C63">
        <w:rPr>
          <w:lang w:val="ru-RU"/>
        </w:rPr>
        <w:t>всіма</w:t>
      </w:r>
      <w:proofErr w:type="spellEnd"/>
      <w:r w:rsidRPr="00973C63">
        <w:rPr>
          <w:lang w:val="ru-RU"/>
        </w:rPr>
        <w:t xml:space="preserve"> валютами </w:t>
      </w:r>
      <w:proofErr w:type="spellStart"/>
      <w:r w:rsidRPr="00973C63">
        <w:rPr>
          <w:lang w:val="ru-RU"/>
        </w:rPr>
        <w:t>активи</w:t>
      </w:r>
      <w:proofErr w:type="spellEnd"/>
      <w:r w:rsidRPr="00973C63">
        <w:rPr>
          <w:lang w:val="ru-RU"/>
        </w:rPr>
        <w:t xml:space="preserve">, </w:t>
      </w:r>
      <w:proofErr w:type="spellStart"/>
      <w:r w:rsidRPr="00973C63">
        <w:rPr>
          <w:lang w:val="ru-RU"/>
        </w:rPr>
        <w:t>що</w:t>
      </w:r>
      <w:proofErr w:type="spellEnd"/>
      <w:r w:rsidRPr="00973C63">
        <w:rPr>
          <w:lang w:val="ru-RU"/>
        </w:rPr>
        <w:t xml:space="preserve"> </w:t>
      </w:r>
      <w:proofErr w:type="spellStart"/>
      <w:r w:rsidRPr="00973C63">
        <w:rPr>
          <w:lang w:val="ru-RU"/>
        </w:rPr>
        <w:t>відповідають</w:t>
      </w:r>
      <w:proofErr w:type="spellEnd"/>
      <w:r w:rsidRPr="00973C63">
        <w:rPr>
          <w:lang w:val="ru-RU"/>
        </w:rPr>
        <w:t xml:space="preserve"> характеристикам та </w:t>
      </w:r>
      <w:proofErr w:type="spellStart"/>
      <w:r w:rsidRPr="00973C63">
        <w:rPr>
          <w:lang w:val="ru-RU"/>
        </w:rPr>
        <w:t>вимогам</w:t>
      </w:r>
      <w:proofErr w:type="spellEnd"/>
      <w:r w:rsidRPr="00973C63">
        <w:rPr>
          <w:lang w:val="ru-RU"/>
        </w:rPr>
        <w:t xml:space="preserve">, </w:t>
      </w:r>
      <w:proofErr w:type="spellStart"/>
      <w:r w:rsidRPr="00973C63">
        <w:rPr>
          <w:lang w:val="ru-RU"/>
        </w:rPr>
        <w:t>установленим</w:t>
      </w:r>
      <w:proofErr w:type="spellEnd"/>
      <w:r w:rsidRPr="00973C63">
        <w:rPr>
          <w:lang w:val="ru-RU"/>
        </w:rPr>
        <w:t xml:space="preserve"> </w:t>
      </w:r>
      <w:proofErr w:type="spellStart"/>
      <w:r w:rsidRPr="00973C63">
        <w:rPr>
          <w:lang w:val="ru-RU"/>
        </w:rPr>
        <w:t>Національним</w:t>
      </w:r>
      <w:proofErr w:type="spellEnd"/>
      <w:r w:rsidRPr="00973C63">
        <w:rPr>
          <w:lang w:val="ru-RU"/>
        </w:rPr>
        <w:t xml:space="preserve"> банком;</w:t>
      </w:r>
    </w:p>
    <w:p w14:paraId="0EB85511" w14:textId="77777777" w:rsidR="0006152C" w:rsidRPr="00973C63" w:rsidRDefault="0006152C" w:rsidP="000B2D33">
      <w:pPr>
        <w:shd w:val="clear" w:color="auto" w:fill="FFFFFF" w:themeFill="background1"/>
        <w:tabs>
          <w:tab w:val="left" w:pos="851"/>
        </w:tabs>
        <w:ind w:firstLine="567"/>
        <w:rPr>
          <w:lang w:val="ru-RU"/>
        </w:rPr>
      </w:pPr>
    </w:p>
    <w:p w14:paraId="0C9AC9A4" w14:textId="3F572F24" w:rsidR="000B2D33" w:rsidRPr="00973C63" w:rsidRDefault="000B2D33" w:rsidP="000B2D33">
      <w:pPr>
        <w:shd w:val="clear" w:color="auto" w:fill="FFFFFF" w:themeFill="background1"/>
        <w:tabs>
          <w:tab w:val="left" w:pos="851"/>
        </w:tabs>
        <w:ind w:firstLine="567"/>
        <w:rPr>
          <w:lang w:val="ru-RU"/>
        </w:rPr>
      </w:pPr>
      <w:r w:rsidRPr="00973C63">
        <w:rPr>
          <w:lang w:val="ru-RU"/>
        </w:rPr>
        <w:t xml:space="preserve">2) </w:t>
      </w:r>
      <w:proofErr w:type="spellStart"/>
      <w:r w:rsidRPr="00973C63">
        <w:rPr>
          <w:lang w:val="ru-RU"/>
        </w:rPr>
        <w:t>визначає</w:t>
      </w:r>
      <w:proofErr w:type="spellEnd"/>
      <w:r w:rsidRPr="00973C63">
        <w:rPr>
          <w:lang w:val="ru-RU"/>
        </w:rPr>
        <w:t xml:space="preserve"> </w:t>
      </w:r>
      <w:proofErr w:type="spellStart"/>
      <w:r w:rsidRPr="00973C63">
        <w:rPr>
          <w:lang w:val="ru-RU"/>
        </w:rPr>
        <w:t>очікувані</w:t>
      </w:r>
      <w:proofErr w:type="spellEnd"/>
      <w:r w:rsidRPr="00973C63">
        <w:rPr>
          <w:lang w:val="ru-RU"/>
        </w:rPr>
        <w:t xml:space="preserve"> </w:t>
      </w:r>
      <w:proofErr w:type="spellStart"/>
      <w:r w:rsidRPr="00973C63">
        <w:rPr>
          <w:lang w:val="ru-RU"/>
        </w:rPr>
        <w:t>відпливи</w:t>
      </w:r>
      <w:proofErr w:type="spellEnd"/>
      <w:r w:rsidRPr="00973C63">
        <w:rPr>
          <w:lang w:val="ru-RU"/>
        </w:rPr>
        <w:t xml:space="preserve"> та </w:t>
      </w:r>
      <w:proofErr w:type="spellStart"/>
      <w:r w:rsidRPr="00973C63">
        <w:rPr>
          <w:lang w:val="ru-RU"/>
        </w:rPr>
        <w:t>очікувані</w:t>
      </w:r>
      <w:proofErr w:type="spellEnd"/>
      <w:r w:rsidRPr="00973C63">
        <w:rPr>
          <w:lang w:val="ru-RU"/>
        </w:rPr>
        <w:t xml:space="preserve"> </w:t>
      </w:r>
      <w:proofErr w:type="spellStart"/>
      <w:r w:rsidRPr="00973C63">
        <w:rPr>
          <w:lang w:val="ru-RU"/>
        </w:rPr>
        <w:t>надходження</w:t>
      </w:r>
      <w:proofErr w:type="spellEnd"/>
      <w:r w:rsidRPr="00973C63">
        <w:rPr>
          <w:lang w:val="ru-RU"/>
        </w:rPr>
        <w:t xml:space="preserve"> </w:t>
      </w:r>
      <w:proofErr w:type="spellStart"/>
      <w:r w:rsidRPr="00973C63">
        <w:rPr>
          <w:lang w:val="ru-RU"/>
        </w:rPr>
        <w:t>грошових</w:t>
      </w:r>
      <w:proofErr w:type="spellEnd"/>
      <w:r w:rsidRPr="00973C63">
        <w:rPr>
          <w:lang w:val="ru-RU"/>
        </w:rPr>
        <w:t xml:space="preserve"> </w:t>
      </w:r>
      <w:proofErr w:type="spellStart"/>
      <w:r w:rsidRPr="00973C63">
        <w:rPr>
          <w:lang w:val="ru-RU"/>
        </w:rPr>
        <w:t>коштів</w:t>
      </w:r>
      <w:proofErr w:type="spellEnd"/>
      <w:r w:rsidRPr="00973C63">
        <w:rPr>
          <w:lang w:val="ru-RU"/>
        </w:rPr>
        <w:t xml:space="preserve"> кредитно-</w:t>
      </w:r>
      <w:proofErr w:type="spellStart"/>
      <w:r w:rsidRPr="00973C63">
        <w:rPr>
          <w:lang w:val="ru-RU"/>
        </w:rPr>
        <w:t>інвестиційної</w:t>
      </w:r>
      <w:proofErr w:type="spellEnd"/>
      <w:r w:rsidRPr="00973C63">
        <w:rPr>
          <w:lang w:val="ru-RU"/>
        </w:rPr>
        <w:t xml:space="preserve"> </w:t>
      </w:r>
      <w:proofErr w:type="spellStart"/>
      <w:r w:rsidRPr="00973C63">
        <w:rPr>
          <w:lang w:val="ru-RU"/>
        </w:rPr>
        <w:t>підгрупи</w:t>
      </w:r>
      <w:proofErr w:type="spellEnd"/>
      <w:r w:rsidRPr="00973C63">
        <w:rPr>
          <w:lang w:val="ru-RU"/>
        </w:rPr>
        <w:t xml:space="preserve"> за </w:t>
      </w:r>
      <w:proofErr w:type="spellStart"/>
      <w:r w:rsidRPr="00973C63">
        <w:rPr>
          <w:lang w:val="ru-RU"/>
        </w:rPr>
        <w:t>всіма</w:t>
      </w:r>
      <w:proofErr w:type="spellEnd"/>
      <w:r w:rsidRPr="00973C63">
        <w:rPr>
          <w:lang w:val="ru-RU"/>
        </w:rPr>
        <w:t xml:space="preserve"> валютами </w:t>
      </w:r>
      <w:proofErr w:type="spellStart"/>
      <w:r w:rsidRPr="00973C63">
        <w:rPr>
          <w:lang w:val="ru-RU"/>
        </w:rPr>
        <w:t>із</w:t>
      </w:r>
      <w:proofErr w:type="spellEnd"/>
      <w:r w:rsidRPr="00973C63">
        <w:rPr>
          <w:lang w:val="ru-RU"/>
        </w:rPr>
        <w:t xml:space="preserve"> </w:t>
      </w:r>
      <w:proofErr w:type="spellStart"/>
      <w:r w:rsidRPr="00973C63">
        <w:rPr>
          <w:lang w:val="ru-RU"/>
        </w:rPr>
        <w:t>застосуванням</w:t>
      </w:r>
      <w:proofErr w:type="spellEnd"/>
      <w:r w:rsidRPr="00973C63">
        <w:rPr>
          <w:lang w:val="ru-RU"/>
        </w:rPr>
        <w:t xml:space="preserve"> </w:t>
      </w:r>
      <w:proofErr w:type="spellStart"/>
      <w:r w:rsidRPr="00973C63">
        <w:rPr>
          <w:lang w:val="ru-RU"/>
        </w:rPr>
        <w:t>коефіцієнтів</w:t>
      </w:r>
      <w:proofErr w:type="spellEnd"/>
      <w:r w:rsidRPr="00973C63">
        <w:rPr>
          <w:lang w:val="ru-RU"/>
        </w:rPr>
        <w:t xml:space="preserve"> </w:t>
      </w:r>
      <w:proofErr w:type="spellStart"/>
      <w:r w:rsidRPr="00973C63">
        <w:rPr>
          <w:lang w:val="ru-RU"/>
        </w:rPr>
        <w:t>очікуваних</w:t>
      </w:r>
      <w:proofErr w:type="spellEnd"/>
      <w:r w:rsidRPr="00973C63">
        <w:rPr>
          <w:lang w:val="ru-RU"/>
        </w:rPr>
        <w:t xml:space="preserve"> </w:t>
      </w:r>
      <w:proofErr w:type="spellStart"/>
      <w:r w:rsidRPr="00973C63">
        <w:rPr>
          <w:lang w:val="ru-RU"/>
        </w:rPr>
        <w:t>відпливів</w:t>
      </w:r>
      <w:proofErr w:type="spellEnd"/>
      <w:r w:rsidRPr="00973C63">
        <w:rPr>
          <w:lang w:val="ru-RU"/>
        </w:rPr>
        <w:t xml:space="preserve"> та </w:t>
      </w:r>
      <w:proofErr w:type="spellStart"/>
      <w:r w:rsidRPr="00973C63">
        <w:rPr>
          <w:lang w:val="ru-RU"/>
        </w:rPr>
        <w:t>очікуваних</w:t>
      </w:r>
      <w:proofErr w:type="spellEnd"/>
      <w:r w:rsidRPr="00973C63">
        <w:rPr>
          <w:lang w:val="ru-RU"/>
        </w:rPr>
        <w:t xml:space="preserve"> </w:t>
      </w:r>
      <w:proofErr w:type="spellStart"/>
      <w:r w:rsidRPr="00973C63">
        <w:rPr>
          <w:lang w:val="ru-RU"/>
        </w:rPr>
        <w:t>надходжень</w:t>
      </w:r>
      <w:proofErr w:type="spellEnd"/>
      <w:r w:rsidRPr="00973C63">
        <w:rPr>
          <w:lang w:val="ru-RU"/>
        </w:rPr>
        <w:t xml:space="preserve">, </w:t>
      </w:r>
      <w:proofErr w:type="spellStart"/>
      <w:r w:rsidRPr="00973C63">
        <w:rPr>
          <w:lang w:val="ru-RU"/>
        </w:rPr>
        <w:t>установлених</w:t>
      </w:r>
      <w:proofErr w:type="spellEnd"/>
      <w:r w:rsidRPr="00973C63">
        <w:rPr>
          <w:lang w:val="ru-RU"/>
        </w:rPr>
        <w:t xml:space="preserve"> </w:t>
      </w:r>
      <w:proofErr w:type="spellStart"/>
      <w:r w:rsidRPr="00973C63">
        <w:rPr>
          <w:lang w:val="ru-RU"/>
        </w:rPr>
        <w:t>Національним</w:t>
      </w:r>
      <w:proofErr w:type="spellEnd"/>
      <w:r w:rsidRPr="00973C63">
        <w:rPr>
          <w:lang w:val="ru-RU"/>
        </w:rPr>
        <w:t xml:space="preserve"> банком на </w:t>
      </w:r>
      <w:proofErr w:type="spellStart"/>
      <w:r w:rsidRPr="00973C63">
        <w:rPr>
          <w:lang w:val="ru-RU"/>
        </w:rPr>
        <w:t>основі</w:t>
      </w:r>
      <w:proofErr w:type="spellEnd"/>
      <w:r w:rsidRPr="00973C63">
        <w:rPr>
          <w:lang w:val="ru-RU"/>
        </w:rPr>
        <w:t xml:space="preserve"> </w:t>
      </w:r>
      <w:proofErr w:type="spellStart"/>
      <w:r w:rsidRPr="00973C63">
        <w:rPr>
          <w:lang w:val="ru-RU"/>
        </w:rPr>
        <w:t>стрес-сценарію</w:t>
      </w:r>
      <w:proofErr w:type="spellEnd"/>
      <w:r w:rsidRPr="00973C63">
        <w:rPr>
          <w:lang w:val="ru-RU"/>
        </w:rPr>
        <w:t>;</w:t>
      </w:r>
    </w:p>
    <w:p w14:paraId="7BD6387D" w14:textId="77777777" w:rsidR="0006152C" w:rsidRPr="00973C63" w:rsidRDefault="0006152C" w:rsidP="000B2D33">
      <w:pPr>
        <w:shd w:val="clear" w:color="auto" w:fill="FFFFFF" w:themeFill="background1"/>
        <w:tabs>
          <w:tab w:val="left" w:pos="851"/>
        </w:tabs>
        <w:ind w:firstLine="567"/>
        <w:rPr>
          <w:lang w:val="ru-RU"/>
        </w:rPr>
      </w:pPr>
    </w:p>
    <w:p w14:paraId="2936550C" w14:textId="4E8F48F3" w:rsidR="000B2D33" w:rsidRPr="001C4345" w:rsidRDefault="000B2D33" w:rsidP="000B2D33">
      <w:pPr>
        <w:shd w:val="clear" w:color="auto" w:fill="FFFFFF" w:themeFill="background1"/>
        <w:tabs>
          <w:tab w:val="left" w:pos="851"/>
        </w:tabs>
        <w:ind w:firstLine="567"/>
      </w:pPr>
      <w:r w:rsidRPr="00973C63">
        <w:rPr>
          <w:lang w:val="ru-RU"/>
        </w:rPr>
        <w:t xml:space="preserve">3) </w:t>
      </w:r>
      <w:proofErr w:type="spellStart"/>
      <w:r w:rsidRPr="00973C63">
        <w:rPr>
          <w:lang w:val="ru-RU"/>
        </w:rPr>
        <w:t>розраховує</w:t>
      </w:r>
      <w:proofErr w:type="spellEnd"/>
      <w:r w:rsidRPr="00973C63">
        <w:rPr>
          <w:lang w:val="ru-RU"/>
        </w:rPr>
        <w:t xml:space="preserve"> </w:t>
      </w:r>
      <w:proofErr w:type="spellStart"/>
      <w:r w:rsidRPr="00973C63">
        <w:rPr>
          <w:lang w:val="ru-RU"/>
        </w:rPr>
        <w:t>чистий</w:t>
      </w:r>
      <w:proofErr w:type="spellEnd"/>
      <w:r w:rsidRPr="00973C63">
        <w:rPr>
          <w:lang w:val="ru-RU"/>
        </w:rPr>
        <w:t xml:space="preserve"> </w:t>
      </w:r>
      <w:proofErr w:type="spellStart"/>
      <w:r w:rsidRPr="00973C63">
        <w:rPr>
          <w:lang w:val="ru-RU"/>
        </w:rPr>
        <w:t>очікуваний</w:t>
      </w:r>
      <w:proofErr w:type="spellEnd"/>
      <w:r w:rsidRPr="00973C63">
        <w:rPr>
          <w:lang w:val="ru-RU"/>
        </w:rPr>
        <w:t xml:space="preserve"> </w:t>
      </w:r>
      <w:proofErr w:type="spellStart"/>
      <w:r w:rsidRPr="00973C63">
        <w:rPr>
          <w:lang w:val="ru-RU"/>
        </w:rPr>
        <w:t>відплив</w:t>
      </w:r>
      <w:proofErr w:type="spellEnd"/>
      <w:r w:rsidRPr="00973C63">
        <w:rPr>
          <w:lang w:val="ru-RU"/>
        </w:rPr>
        <w:t xml:space="preserve"> </w:t>
      </w:r>
      <w:proofErr w:type="spellStart"/>
      <w:r w:rsidRPr="00973C63">
        <w:rPr>
          <w:lang w:val="ru-RU"/>
        </w:rPr>
        <w:t>грошових</w:t>
      </w:r>
      <w:proofErr w:type="spellEnd"/>
      <w:r w:rsidRPr="00973C63">
        <w:rPr>
          <w:lang w:val="ru-RU"/>
        </w:rPr>
        <w:t xml:space="preserve"> </w:t>
      </w:r>
      <w:proofErr w:type="spellStart"/>
      <w:r w:rsidRPr="00973C63">
        <w:rPr>
          <w:lang w:val="ru-RU"/>
        </w:rPr>
        <w:t>коштів</w:t>
      </w:r>
      <w:proofErr w:type="spellEnd"/>
      <w:r w:rsidRPr="00973C63">
        <w:rPr>
          <w:lang w:val="ru-RU"/>
        </w:rPr>
        <w:t xml:space="preserve"> кредитно-</w:t>
      </w:r>
      <w:proofErr w:type="spellStart"/>
      <w:r w:rsidRPr="00973C63">
        <w:rPr>
          <w:lang w:val="ru-RU"/>
        </w:rPr>
        <w:t>інвестиційної</w:t>
      </w:r>
      <w:proofErr w:type="spellEnd"/>
      <w:r w:rsidRPr="00973C63">
        <w:rPr>
          <w:lang w:val="ru-RU"/>
        </w:rPr>
        <w:t xml:space="preserve"> </w:t>
      </w:r>
      <w:proofErr w:type="spellStart"/>
      <w:r w:rsidRPr="00973C63">
        <w:rPr>
          <w:lang w:val="ru-RU"/>
        </w:rPr>
        <w:t>підгрупи</w:t>
      </w:r>
      <w:proofErr w:type="spellEnd"/>
      <w:r w:rsidRPr="00973C63">
        <w:rPr>
          <w:lang w:val="ru-RU"/>
        </w:rPr>
        <w:t xml:space="preserve"> за </w:t>
      </w:r>
      <w:proofErr w:type="spellStart"/>
      <w:r w:rsidRPr="00973C63">
        <w:rPr>
          <w:lang w:val="ru-RU"/>
        </w:rPr>
        <w:t>всіма</w:t>
      </w:r>
      <w:proofErr w:type="spellEnd"/>
      <w:r w:rsidRPr="00973C63">
        <w:rPr>
          <w:lang w:val="ru-RU"/>
        </w:rPr>
        <w:t xml:space="preserve"> валютами як </w:t>
      </w:r>
      <w:proofErr w:type="spellStart"/>
      <w:r w:rsidRPr="00973C63">
        <w:rPr>
          <w:lang w:val="ru-RU"/>
        </w:rPr>
        <w:t>різницю</w:t>
      </w:r>
      <w:proofErr w:type="spellEnd"/>
      <w:r w:rsidRPr="00973C63">
        <w:rPr>
          <w:lang w:val="ru-RU"/>
        </w:rPr>
        <w:t xml:space="preserve"> </w:t>
      </w:r>
      <w:proofErr w:type="spellStart"/>
      <w:r w:rsidRPr="00973C63">
        <w:rPr>
          <w:lang w:val="ru-RU"/>
        </w:rPr>
        <w:t>сукупних</w:t>
      </w:r>
      <w:proofErr w:type="spellEnd"/>
      <w:r w:rsidRPr="00973C63">
        <w:rPr>
          <w:lang w:val="ru-RU"/>
        </w:rPr>
        <w:t xml:space="preserve"> </w:t>
      </w:r>
      <w:proofErr w:type="spellStart"/>
      <w:r w:rsidRPr="00973C63">
        <w:rPr>
          <w:lang w:val="ru-RU"/>
        </w:rPr>
        <w:t>очікуваних</w:t>
      </w:r>
      <w:proofErr w:type="spellEnd"/>
      <w:r w:rsidRPr="00973C63">
        <w:rPr>
          <w:lang w:val="ru-RU"/>
        </w:rPr>
        <w:t xml:space="preserve"> </w:t>
      </w:r>
      <w:proofErr w:type="spellStart"/>
      <w:r w:rsidRPr="00973C63">
        <w:rPr>
          <w:lang w:val="ru-RU"/>
        </w:rPr>
        <w:t>відпливів</w:t>
      </w:r>
      <w:proofErr w:type="spellEnd"/>
      <w:r w:rsidRPr="00973C63">
        <w:rPr>
          <w:lang w:val="ru-RU"/>
        </w:rPr>
        <w:t xml:space="preserve"> і </w:t>
      </w:r>
      <w:proofErr w:type="spellStart"/>
      <w:r w:rsidRPr="00973C63">
        <w:rPr>
          <w:lang w:val="ru-RU"/>
        </w:rPr>
        <w:t>сукупних</w:t>
      </w:r>
      <w:proofErr w:type="spellEnd"/>
      <w:r w:rsidRPr="00973C63">
        <w:rPr>
          <w:lang w:val="ru-RU"/>
        </w:rPr>
        <w:t xml:space="preserve"> </w:t>
      </w:r>
      <w:proofErr w:type="spellStart"/>
      <w:r w:rsidRPr="00973C63">
        <w:rPr>
          <w:lang w:val="ru-RU"/>
        </w:rPr>
        <w:t>очікуваних</w:t>
      </w:r>
      <w:proofErr w:type="spellEnd"/>
      <w:r w:rsidRPr="00973C63">
        <w:rPr>
          <w:lang w:val="ru-RU"/>
        </w:rPr>
        <w:t xml:space="preserve"> </w:t>
      </w:r>
      <w:proofErr w:type="spellStart"/>
      <w:r w:rsidRPr="00973C63">
        <w:rPr>
          <w:lang w:val="ru-RU"/>
        </w:rPr>
        <w:t>надходжень</w:t>
      </w:r>
      <w:proofErr w:type="spellEnd"/>
      <w:r w:rsidRPr="00973C63">
        <w:rPr>
          <w:lang w:val="ru-RU"/>
        </w:rPr>
        <w:t xml:space="preserve"> </w:t>
      </w:r>
      <w:proofErr w:type="spellStart"/>
      <w:r w:rsidRPr="00973C63">
        <w:rPr>
          <w:lang w:val="ru-RU"/>
        </w:rPr>
        <w:t>грошових</w:t>
      </w:r>
      <w:proofErr w:type="spellEnd"/>
      <w:r w:rsidRPr="00973C63">
        <w:rPr>
          <w:lang w:val="ru-RU"/>
        </w:rPr>
        <w:t xml:space="preserve"> </w:t>
      </w:r>
      <w:proofErr w:type="spellStart"/>
      <w:r w:rsidRPr="00973C63">
        <w:rPr>
          <w:lang w:val="ru-RU"/>
        </w:rPr>
        <w:t>коштів</w:t>
      </w:r>
      <w:proofErr w:type="spellEnd"/>
      <w:r w:rsidRPr="00973C63">
        <w:rPr>
          <w:lang w:val="ru-RU"/>
        </w:rPr>
        <w:t xml:space="preserve"> за </w:t>
      </w:r>
      <w:proofErr w:type="spellStart"/>
      <w:r w:rsidRPr="00973C63">
        <w:rPr>
          <w:lang w:val="ru-RU"/>
        </w:rPr>
        <w:t>всіма</w:t>
      </w:r>
      <w:proofErr w:type="spellEnd"/>
      <w:r w:rsidRPr="00973C63">
        <w:rPr>
          <w:lang w:val="ru-RU"/>
        </w:rPr>
        <w:t xml:space="preserve"> валютами </w:t>
      </w:r>
      <w:r w:rsidRPr="00973C63">
        <w:rPr>
          <w:lang w:val="ru-RU"/>
        </w:rPr>
        <w:lastRenderedPageBreak/>
        <w:t xml:space="preserve">цієї </w:t>
      </w:r>
      <w:proofErr w:type="spellStart"/>
      <w:r w:rsidRPr="00973C63">
        <w:rPr>
          <w:lang w:val="ru-RU"/>
        </w:rPr>
        <w:t>підгрупи</w:t>
      </w:r>
      <w:proofErr w:type="spellEnd"/>
      <w:r w:rsidRPr="00973C63">
        <w:rPr>
          <w:lang w:val="ru-RU"/>
        </w:rPr>
        <w:t xml:space="preserve">. </w:t>
      </w:r>
      <w:r w:rsidR="00D1601B">
        <w:rPr>
          <w:bCs/>
        </w:rPr>
        <w:t>Я</w:t>
      </w:r>
      <w:r w:rsidR="008A7F24" w:rsidRPr="008A7F24">
        <w:rPr>
          <w:bCs/>
        </w:rPr>
        <w:t xml:space="preserve">кщо сукупні очікувані надходження за всіма валютами перевищують 75% від сукупних очікуваних відпливів за всіма валютами, то сума такого </w:t>
      </w:r>
      <w:r w:rsidR="008A7F24" w:rsidRPr="00410CAA">
        <w:rPr>
          <w:bCs/>
        </w:rPr>
        <w:t>перевищення не враховується під час розрахунку чистого очікуваного відпливу грошових коштів за всіма валютами</w:t>
      </w:r>
      <w:r w:rsidR="00895E97" w:rsidRPr="001C4345">
        <w:t>;</w:t>
      </w:r>
    </w:p>
    <w:p w14:paraId="2469773E" w14:textId="77777777" w:rsidR="000B2D33" w:rsidRPr="001C4345" w:rsidRDefault="000B2D33" w:rsidP="000B2D33">
      <w:pPr>
        <w:shd w:val="clear" w:color="auto" w:fill="FFFFFF" w:themeFill="background1"/>
        <w:tabs>
          <w:tab w:val="left" w:pos="851"/>
        </w:tabs>
        <w:ind w:firstLine="567"/>
      </w:pPr>
    </w:p>
    <w:p w14:paraId="7D103CBE" w14:textId="1BE9A0D5" w:rsidR="000B2D33" w:rsidRPr="001C4345" w:rsidRDefault="000B2D33" w:rsidP="000B2D33">
      <w:pPr>
        <w:shd w:val="clear" w:color="auto" w:fill="FFFFFF" w:themeFill="background1"/>
        <w:tabs>
          <w:tab w:val="left" w:pos="851"/>
        </w:tabs>
        <w:ind w:firstLine="567"/>
      </w:pPr>
      <w:r w:rsidRPr="001C4345">
        <w:t>4</w:t>
      </w:r>
      <w:r w:rsidRPr="00944D12">
        <w:t>) розраховує коефіцієнт покриття ліквідністю за всіма валютами (</w:t>
      </w:r>
      <w:r w:rsidRPr="00410CAA">
        <w:rPr>
          <w:lang w:val="ru-RU"/>
        </w:rPr>
        <w:t>LCR</w:t>
      </w:r>
      <w:proofErr w:type="spellStart"/>
      <w:r w:rsidRPr="00944D12">
        <w:rPr>
          <w:vertAlign w:val="subscript"/>
        </w:rPr>
        <w:t>ВВ</w:t>
      </w:r>
      <w:r w:rsidRPr="00944D12">
        <w:t>к</w:t>
      </w:r>
      <w:proofErr w:type="spellEnd"/>
      <w:r w:rsidRPr="00944D12">
        <w:t xml:space="preserve">) як відношення ВЛА кредитно-інвестиційної підгрупи за всіма валютами </w:t>
      </w:r>
      <w:r w:rsidR="00D1601B" w:rsidRPr="00944D12">
        <w:t xml:space="preserve"> </w:t>
      </w:r>
      <w:r w:rsidR="00F86883" w:rsidRPr="00944D12">
        <w:t>до</w:t>
      </w:r>
      <w:r w:rsidR="00F86883">
        <w:t xml:space="preserve"> </w:t>
      </w:r>
      <w:r w:rsidRPr="00944D12">
        <w:t xml:space="preserve">чистого очікуваного відпливу грошових коштів за всіма валютами цієї підгрупи. </w:t>
      </w:r>
    </w:p>
    <w:p w14:paraId="72F74034" w14:textId="77777777" w:rsidR="000B2D33" w:rsidRPr="001C4345" w:rsidRDefault="000B2D33" w:rsidP="000B2D33">
      <w:pPr>
        <w:shd w:val="clear" w:color="auto" w:fill="FFFFFF" w:themeFill="background1"/>
        <w:tabs>
          <w:tab w:val="left" w:pos="851"/>
        </w:tabs>
        <w:ind w:firstLine="567"/>
      </w:pPr>
    </w:p>
    <w:p w14:paraId="1266FC69" w14:textId="010C136C" w:rsidR="000B2D33" w:rsidRPr="001C4345" w:rsidRDefault="000B2D33" w:rsidP="000B2D33">
      <w:pPr>
        <w:shd w:val="clear" w:color="auto" w:fill="FFFFFF" w:themeFill="background1"/>
        <w:tabs>
          <w:tab w:val="left" w:pos="851"/>
        </w:tabs>
        <w:ind w:firstLine="567"/>
      </w:pPr>
      <w:r w:rsidRPr="001C4345">
        <w:t xml:space="preserve">2. Коефіцієнт покриття ліквідністю </w:t>
      </w:r>
      <w:r w:rsidR="00B549D1" w:rsidRPr="001C4345">
        <w:t xml:space="preserve">за іноземними валютами </w:t>
      </w:r>
      <w:r w:rsidRPr="001C4345">
        <w:t>(</w:t>
      </w:r>
      <w:r w:rsidRPr="00973C63">
        <w:rPr>
          <w:lang w:val="ru-RU"/>
        </w:rPr>
        <w:t>LCR</w:t>
      </w:r>
      <w:proofErr w:type="spellStart"/>
      <w:r w:rsidRPr="001C4345">
        <w:rPr>
          <w:vertAlign w:val="subscript"/>
        </w:rPr>
        <w:t>ІВ</w:t>
      </w:r>
      <w:r w:rsidRPr="001C4345">
        <w:t>к</w:t>
      </w:r>
      <w:proofErr w:type="spellEnd"/>
      <w:r w:rsidRPr="001C4345">
        <w:t xml:space="preserve">) – </w:t>
      </w:r>
      <w:r w:rsidR="00385D33" w:rsidRPr="001C4345">
        <w:t xml:space="preserve">норматив ліквідності, який установлює мінімально необхідний рівень ліквідності кредитно-інвестиційної підгрупи, за всіма іноземними валютами для покриття чистого очікуваного відпливу грошових коштів за всіма іноземними валютами протягом 30 календарних днів з урахуванням стрес-сценарію (далі – чистий очікуваний відплив грошових коштів за іноземними валютами). </w:t>
      </w:r>
      <w:r w:rsidRPr="001C4345">
        <w:t xml:space="preserve"> </w:t>
      </w:r>
    </w:p>
    <w:p w14:paraId="13EE02D1" w14:textId="42DBF9EB" w:rsidR="000B2D33" w:rsidRPr="001C4345" w:rsidRDefault="000B2D33" w:rsidP="000B2D33">
      <w:pPr>
        <w:shd w:val="clear" w:color="auto" w:fill="FFFFFF" w:themeFill="background1"/>
        <w:tabs>
          <w:tab w:val="left" w:pos="851"/>
        </w:tabs>
        <w:ind w:firstLine="567"/>
      </w:pPr>
      <w:r w:rsidRPr="001C4345">
        <w:t xml:space="preserve">Відповідальна особа банківської групи здійснює розрахунок коефіцієнта покриття ліквідністю </w:t>
      </w:r>
      <w:r w:rsidR="00B549D1" w:rsidRPr="001C4345">
        <w:t xml:space="preserve">за іноземними валютами </w:t>
      </w:r>
      <w:r w:rsidRPr="001C4345">
        <w:t>(</w:t>
      </w:r>
      <w:r w:rsidRPr="00973C63">
        <w:rPr>
          <w:lang w:val="ru-RU"/>
        </w:rPr>
        <w:t>LCR</w:t>
      </w:r>
      <w:r w:rsidRPr="00973C63">
        <w:rPr>
          <w:vertAlign w:val="subscript"/>
          <w:lang w:val="ru-RU"/>
        </w:rPr>
        <w:t>IB</w:t>
      </w:r>
      <w:r w:rsidRPr="001C4345">
        <w:t xml:space="preserve">к) </w:t>
      </w:r>
      <w:r w:rsidR="00814C8B" w:rsidRPr="001C4345">
        <w:t xml:space="preserve">не рідше одного разу на місяць </w:t>
      </w:r>
      <w:r w:rsidRPr="001C4345">
        <w:t>таким чином:</w:t>
      </w:r>
    </w:p>
    <w:p w14:paraId="6DAC68D7" w14:textId="77777777" w:rsidR="00375A95" w:rsidRPr="001C4345" w:rsidRDefault="00375A95" w:rsidP="000B2D33">
      <w:pPr>
        <w:shd w:val="clear" w:color="auto" w:fill="FFFFFF" w:themeFill="background1"/>
        <w:tabs>
          <w:tab w:val="left" w:pos="851"/>
        </w:tabs>
        <w:ind w:firstLine="567"/>
      </w:pPr>
    </w:p>
    <w:p w14:paraId="2CEEC805" w14:textId="3466D65F" w:rsidR="000B2D33" w:rsidRPr="00973C63" w:rsidRDefault="000B2D33" w:rsidP="000B2D33">
      <w:pPr>
        <w:shd w:val="clear" w:color="auto" w:fill="FFFFFF" w:themeFill="background1"/>
        <w:tabs>
          <w:tab w:val="left" w:pos="851"/>
        </w:tabs>
        <w:ind w:firstLine="567"/>
        <w:rPr>
          <w:lang w:val="ru-RU"/>
        </w:rPr>
      </w:pPr>
      <w:r w:rsidRPr="00973C63">
        <w:rPr>
          <w:lang w:val="ru-RU"/>
        </w:rPr>
        <w:t xml:space="preserve">1) </w:t>
      </w:r>
      <w:proofErr w:type="spellStart"/>
      <w:r w:rsidRPr="00973C63">
        <w:rPr>
          <w:lang w:val="ru-RU"/>
        </w:rPr>
        <w:t>відносить</w:t>
      </w:r>
      <w:proofErr w:type="spellEnd"/>
      <w:r w:rsidRPr="00973C63">
        <w:rPr>
          <w:lang w:val="ru-RU"/>
        </w:rPr>
        <w:t xml:space="preserve"> до ВЛА кредитно-</w:t>
      </w:r>
      <w:proofErr w:type="spellStart"/>
      <w:r w:rsidRPr="00973C63">
        <w:rPr>
          <w:lang w:val="ru-RU"/>
        </w:rPr>
        <w:t>інвестиційної</w:t>
      </w:r>
      <w:proofErr w:type="spellEnd"/>
      <w:r w:rsidRPr="00973C63">
        <w:rPr>
          <w:lang w:val="ru-RU"/>
        </w:rPr>
        <w:t xml:space="preserve"> </w:t>
      </w:r>
      <w:proofErr w:type="spellStart"/>
      <w:r w:rsidRPr="00973C63">
        <w:rPr>
          <w:lang w:val="ru-RU"/>
        </w:rPr>
        <w:t>підгрупи</w:t>
      </w:r>
      <w:proofErr w:type="spellEnd"/>
      <w:r w:rsidRPr="00973C63">
        <w:rPr>
          <w:lang w:val="ru-RU"/>
        </w:rPr>
        <w:t xml:space="preserve"> </w:t>
      </w:r>
      <w:r w:rsidR="00B549D1">
        <w:rPr>
          <w:lang w:val="ru-RU"/>
        </w:rPr>
        <w:t xml:space="preserve">за </w:t>
      </w:r>
      <w:proofErr w:type="spellStart"/>
      <w:r w:rsidR="00B549D1">
        <w:rPr>
          <w:lang w:val="ru-RU"/>
        </w:rPr>
        <w:t>іноземними</w:t>
      </w:r>
      <w:proofErr w:type="spellEnd"/>
      <w:r w:rsidR="00B549D1">
        <w:rPr>
          <w:lang w:val="ru-RU"/>
        </w:rPr>
        <w:t xml:space="preserve"> валютами</w:t>
      </w:r>
      <w:r w:rsidR="00B549D1" w:rsidRPr="00973C63">
        <w:rPr>
          <w:lang w:val="ru-RU"/>
        </w:rPr>
        <w:t xml:space="preserve"> </w:t>
      </w:r>
      <w:proofErr w:type="spellStart"/>
      <w:r w:rsidRPr="00973C63">
        <w:rPr>
          <w:lang w:val="ru-RU"/>
        </w:rPr>
        <w:t>активи</w:t>
      </w:r>
      <w:proofErr w:type="spellEnd"/>
      <w:r w:rsidRPr="00973C63">
        <w:rPr>
          <w:lang w:val="ru-RU"/>
        </w:rPr>
        <w:t xml:space="preserve">, </w:t>
      </w:r>
      <w:proofErr w:type="spellStart"/>
      <w:r w:rsidRPr="00973C63">
        <w:rPr>
          <w:lang w:val="ru-RU"/>
        </w:rPr>
        <w:t>що</w:t>
      </w:r>
      <w:proofErr w:type="spellEnd"/>
      <w:r w:rsidRPr="00973C63">
        <w:rPr>
          <w:lang w:val="ru-RU"/>
        </w:rPr>
        <w:t xml:space="preserve"> </w:t>
      </w:r>
      <w:proofErr w:type="spellStart"/>
      <w:r w:rsidRPr="00973C63">
        <w:rPr>
          <w:lang w:val="ru-RU"/>
        </w:rPr>
        <w:t>відповідають</w:t>
      </w:r>
      <w:proofErr w:type="spellEnd"/>
      <w:r w:rsidRPr="00973C63">
        <w:rPr>
          <w:lang w:val="ru-RU"/>
        </w:rPr>
        <w:t xml:space="preserve"> характеристикам та </w:t>
      </w:r>
      <w:proofErr w:type="spellStart"/>
      <w:r w:rsidRPr="00973C63">
        <w:rPr>
          <w:lang w:val="ru-RU"/>
        </w:rPr>
        <w:t>вимогам</w:t>
      </w:r>
      <w:proofErr w:type="spellEnd"/>
      <w:r w:rsidRPr="00973C63">
        <w:rPr>
          <w:lang w:val="ru-RU"/>
        </w:rPr>
        <w:t xml:space="preserve">, </w:t>
      </w:r>
      <w:proofErr w:type="spellStart"/>
      <w:r w:rsidRPr="00973C63">
        <w:rPr>
          <w:lang w:val="ru-RU"/>
        </w:rPr>
        <w:t>установленим</w:t>
      </w:r>
      <w:proofErr w:type="spellEnd"/>
      <w:r w:rsidRPr="00973C63">
        <w:rPr>
          <w:lang w:val="ru-RU"/>
        </w:rPr>
        <w:t xml:space="preserve"> </w:t>
      </w:r>
      <w:proofErr w:type="spellStart"/>
      <w:r w:rsidRPr="00973C63">
        <w:rPr>
          <w:lang w:val="ru-RU"/>
        </w:rPr>
        <w:t>Національним</w:t>
      </w:r>
      <w:proofErr w:type="spellEnd"/>
      <w:r w:rsidRPr="00973C63">
        <w:rPr>
          <w:lang w:val="ru-RU"/>
        </w:rPr>
        <w:t xml:space="preserve"> банком;</w:t>
      </w:r>
    </w:p>
    <w:p w14:paraId="4D542CE7" w14:textId="77777777" w:rsidR="00375A95" w:rsidRPr="00973C63" w:rsidRDefault="00375A95" w:rsidP="000B2D33">
      <w:pPr>
        <w:shd w:val="clear" w:color="auto" w:fill="FFFFFF" w:themeFill="background1"/>
        <w:tabs>
          <w:tab w:val="left" w:pos="851"/>
        </w:tabs>
        <w:ind w:firstLine="567"/>
        <w:rPr>
          <w:lang w:val="ru-RU"/>
        </w:rPr>
      </w:pPr>
    </w:p>
    <w:p w14:paraId="5F7C3537" w14:textId="6A7943FC" w:rsidR="000B2D33" w:rsidRPr="00973C63" w:rsidRDefault="000B2D33" w:rsidP="000B2D33">
      <w:pPr>
        <w:shd w:val="clear" w:color="auto" w:fill="FFFFFF" w:themeFill="background1"/>
        <w:tabs>
          <w:tab w:val="left" w:pos="851"/>
        </w:tabs>
        <w:ind w:firstLine="567"/>
        <w:rPr>
          <w:lang w:val="ru-RU"/>
        </w:rPr>
      </w:pPr>
      <w:r w:rsidRPr="00973C63">
        <w:rPr>
          <w:lang w:val="ru-RU"/>
        </w:rPr>
        <w:t xml:space="preserve">2) </w:t>
      </w:r>
      <w:proofErr w:type="spellStart"/>
      <w:r w:rsidRPr="00973C63">
        <w:rPr>
          <w:lang w:val="ru-RU"/>
        </w:rPr>
        <w:t>визначає</w:t>
      </w:r>
      <w:proofErr w:type="spellEnd"/>
      <w:r w:rsidRPr="00973C63">
        <w:rPr>
          <w:lang w:val="ru-RU"/>
        </w:rPr>
        <w:t xml:space="preserve"> </w:t>
      </w:r>
      <w:proofErr w:type="spellStart"/>
      <w:r w:rsidRPr="00973C63">
        <w:rPr>
          <w:lang w:val="ru-RU"/>
        </w:rPr>
        <w:t>очікувані</w:t>
      </w:r>
      <w:proofErr w:type="spellEnd"/>
      <w:r w:rsidRPr="00973C63">
        <w:rPr>
          <w:lang w:val="ru-RU"/>
        </w:rPr>
        <w:t xml:space="preserve"> </w:t>
      </w:r>
      <w:proofErr w:type="spellStart"/>
      <w:r w:rsidRPr="00973C63">
        <w:rPr>
          <w:lang w:val="ru-RU"/>
        </w:rPr>
        <w:t>відпливи</w:t>
      </w:r>
      <w:proofErr w:type="spellEnd"/>
      <w:r w:rsidRPr="00973C63">
        <w:rPr>
          <w:lang w:val="ru-RU"/>
        </w:rPr>
        <w:t xml:space="preserve"> та </w:t>
      </w:r>
      <w:proofErr w:type="spellStart"/>
      <w:r w:rsidRPr="00973C63">
        <w:rPr>
          <w:lang w:val="ru-RU"/>
        </w:rPr>
        <w:t>очікувані</w:t>
      </w:r>
      <w:proofErr w:type="spellEnd"/>
      <w:r w:rsidRPr="00973C63">
        <w:rPr>
          <w:lang w:val="ru-RU"/>
        </w:rPr>
        <w:t xml:space="preserve"> </w:t>
      </w:r>
      <w:proofErr w:type="spellStart"/>
      <w:r w:rsidRPr="00973C63">
        <w:rPr>
          <w:lang w:val="ru-RU"/>
        </w:rPr>
        <w:t>надходження</w:t>
      </w:r>
      <w:proofErr w:type="spellEnd"/>
      <w:r w:rsidRPr="00973C63">
        <w:rPr>
          <w:lang w:val="ru-RU"/>
        </w:rPr>
        <w:t xml:space="preserve"> </w:t>
      </w:r>
      <w:proofErr w:type="spellStart"/>
      <w:r w:rsidRPr="00973C63">
        <w:rPr>
          <w:lang w:val="ru-RU"/>
        </w:rPr>
        <w:t>грошових</w:t>
      </w:r>
      <w:proofErr w:type="spellEnd"/>
      <w:r w:rsidRPr="00973C63">
        <w:rPr>
          <w:lang w:val="ru-RU"/>
        </w:rPr>
        <w:t xml:space="preserve"> </w:t>
      </w:r>
      <w:proofErr w:type="spellStart"/>
      <w:r w:rsidRPr="00973C63">
        <w:rPr>
          <w:lang w:val="ru-RU"/>
        </w:rPr>
        <w:t>коштів</w:t>
      </w:r>
      <w:proofErr w:type="spellEnd"/>
      <w:r w:rsidRPr="00973C63">
        <w:rPr>
          <w:lang w:val="ru-RU"/>
        </w:rPr>
        <w:t xml:space="preserve"> кредитно-</w:t>
      </w:r>
      <w:proofErr w:type="spellStart"/>
      <w:r w:rsidRPr="00973C63">
        <w:rPr>
          <w:lang w:val="ru-RU"/>
        </w:rPr>
        <w:t>інвестиційної</w:t>
      </w:r>
      <w:proofErr w:type="spellEnd"/>
      <w:r w:rsidRPr="00973C63">
        <w:rPr>
          <w:lang w:val="ru-RU"/>
        </w:rPr>
        <w:t xml:space="preserve"> </w:t>
      </w:r>
      <w:proofErr w:type="spellStart"/>
      <w:r w:rsidRPr="00973C63">
        <w:rPr>
          <w:lang w:val="ru-RU"/>
        </w:rPr>
        <w:t>підгрупи</w:t>
      </w:r>
      <w:proofErr w:type="spellEnd"/>
      <w:r w:rsidRPr="00973C63">
        <w:rPr>
          <w:lang w:val="ru-RU"/>
        </w:rPr>
        <w:t xml:space="preserve"> </w:t>
      </w:r>
      <w:r w:rsidR="00B549D1">
        <w:rPr>
          <w:lang w:val="ru-RU"/>
        </w:rPr>
        <w:t xml:space="preserve">за </w:t>
      </w:r>
      <w:proofErr w:type="spellStart"/>
      <w:r w:rsidR="00B549D1">
        <w:rPr>
          <w:lang w:val="ru-RU"/>
        </w:rPr>
        <w:t>іноземними</w:t>
      </w:r>
      <w:proofErr w:type="spellEnd"/>
      <w:r w:rsidR="00B549D1">
        <w:rPr>
          <w:lang w:val="ru-RU"/>
        </w:rPr>
        <w:t xml:space="preserve"> валютами</w:t>
      </w:r>
      <w:r w:rsidR="00B549D1" w:rsidRPr="00973C63">
        <w:rPr>
          <w:lang w:val="ru-RU"/>
        </w:rPr>
        <w:t xml:space="preserve"> </w:t>
      </w:r>
      <w:proofErr w:type="spellStart"/>
      <w:r w:rsidRPr="00973C63">
        <w:rPr>
          <w:lang w:val="ru-RU"/>
        </w:rPr>
        <w:t>із</w:t>
      </w:r>
      <w:proofErr w:type="spellEnd"/>
      <w:r w:rsidRPr="00973C63">
        <w:rPr>
          <w:lang w:val="ru-RU"/>
        </w:rPr>
        <w:t xml:space="preserve"> </w:t>
      </w:r>
      <w:proofErr w:type="spellStart"/>
      <w:r w:rsidRPr="00973C63">
        <w:rPr>
          <w:lang w:val="ru-RU"/>
        </w:rPr>
        <w:t>застосуванням</w:t>
      </w:r>
      <w:proofErr w:type="spellEnd"/>
      <w:r w:rsidRPr="00973C63">
        <w:rPr>
          <w:lang w:val="ru-RU"/>
        </w:rPr>
        <w:t xml:space="preserve"> </w:t>
      </w:r>
      <w:proofErr w:type="spellStart"/>
      <w:r w:rsidRPr="00973C63">
        <w:rPr>
          <w:lang w:val="ru-RU"/>
        </w:rPr>
        <w:t>коефіцієнтів</w:t>
      </w:r>
      <w:proofErr w:type="spellEnd"/>
      <w:r w:rsidRPr="00973C63">
        <w:rPr>
          <w:lang w:val="ru-RU"/>
        </w:rPr>
        <w:t xml:space="preserve"> </w:t>
      </w:r>
      <w:proofErr w:type="spellStart"/>
      <w:r w:rsidRPr="00973C63">
        <w:rPr>
          <w:lang w:val="ru-RU"/>
        </w:rPr>
        <w:t>очікуваних</w:t>
      </w:r>
      <w:proofErr w:type="spellEnd"/>
      <w:r w:rsidRPr="00973C63">
        <w:rPr>
          <w:lang w:val="ru-RU"/>
        </w:rPr>
        <w:t xml:space="preserve"> </w:t>
      </w:r>
      <w:proofErr w:type="spellStart"/>
      <w:r w:rsidRPr="00973C63">
        <w:rPr>
          <w:lang w:val="ru-RU"/>
        </w:rPr>
        <w:t>відпливів</w:t>
      </w:r>
      <w:proofErr w:type="spellEnd"/>
      <w:r w:rsidRPr="00973C63">
        <w:rPr>
          <w:lang w:val="ru-RU"/>
        </w:rPr>
        <w:t xml:space="preserve"> та </w:t>
      </w:r>
      <w:proofErr w:type="spellStart"/>
      <w:r w:rsidRPr="00973C63">
        <w:rPr>
          <w:lang w:val="ru-RU"/>
        </w:rPr>
        <w:t>очікуваних</w:t>
      </w:r>
      <w:proofErr w:type="spellEnd"/>
      <w:r w:rsidRPr="00973C63">
        <w:rPr>
          <w:lang w:val="ru-RU"/>
        </w:rPr>
        <w:t xml:space="preserve"> </w:t>
      </w:r>
      <w:proofErr w:type="spellStart"/>
      <w:r w:rsidRPr="00973C63">
        <w:rPr>
          <w:lang w:val="ru-RU"/>
        </w:rPr>
        <w:t>надходжень</w:t>
      </w:r>
      <w:proofErr w:type="spellEnd"/>
      <w:r w:rsidRPr="00973C63">
        <w:rPr>
          <w:lang w:val="ru-RU"/>
        </w:rPr>
        <w:t xml:space="preserve">, </w:t>
      </w:r>
      <w:proofErr w:type="spellStart"/>
      <w:r w:rsidRPr="00973C63">
        <w:rPr>
          <w:lang w:val="ru-RU"/>
        </w:rPr>
        <w:t>установлених</w:t>
      </w:r>
      <w:proofErr w:type="spellEnd"/>
      <w:r w:rsidRPr="00973C63">
        <w:rPr>
          <w:lang w:val="ru-RU"/>
        </w:rPr>
        <w:t xml:space="preserve"> </w:t>
      </w:r>
      <w:proofErr w:type="spellStart"/>
      <w:r w:rsidRPr="00973C63">
        <w:rPr>
          <w:lang w:val="ru-RU"/>
        </w:rPr>
        <w:t>Національним</w:t>
      </w:r>
      <w:proofErr w:type="spellEnd"/>
      <w:r w:rsidRPr="00973C63">
        <w:rPr>
          <w:lang w:val="ru-RU"/>
        </w:rPr>
        <w:t xml:space="preserve"> банком на </w:t>
      </w:r>
      <w:proofErr w:type="spellStart"/>
      <w:r w:rsidRPr="00973C63">
        <w:rPr>
          <w:lang w:val="ru-RU"/>
        </w:rPr>
        <w:t>основі</w:t>
      </w:r>
      <w:proofErr w:type="spellEnd"/>
      <w:r w:rsidRPr="00973C63">
        <w:rPr>
          <w:lang w:val="ru-RU"/>
        </w:rPr>
        <w:t xml:space="preserve"> </w:t>
      </w:r>
      <w:proofErr w:type="spellStart"/>
      <w:r w:rsidRPr="00973C63">
        <w:rPr>
          <w:lang w:val="ru-RU"/>
        </w:rPr>
        <w:t>стрес-сценарію</w:t>
      </w:r>
      <w:proofErr w:type="spellEnd"/>
      <w:r w:rsidRPr="00973C63">
        <w:rPr>
          <w:lang w:val="ru-RU"/>
        </w:rPr>
        <w:t>;</w:t>
      </w:r>
    </w:p>
    <w:p w14:paraId="189F1415" w14:textId="77777777" w:rsidR="00375A95" w:rsidRPr="00973C63" w:rsidRDefault="00375A95" w:rsidP="000B2D33">
      <w:pPr>
        <w:shd w:val="clear" w:color="auto" w:fill="FFFFFF" w:themeFill="background1"/>
        <w:tabs>
          <w:tab w:val="left" w:pos="851"/>
        </w:tabs>
        <w:ind w:firstLine="567"/>
        <w:rPr>
          <w:lang w:val="ru-RU"/>
        </w:rPr>
      </w:pPr>
    </w:p>
    <w:p w14:paraId="3B12712C" w14:textId="42A2E5C0" w:rsidR="000B2D33" w:rsidRPr="001C4345" w:rsidRDefault="000B2D33" w:rsidP="000B2D33">
      <w:pPr>
        <w:shd w:val="clear" w:color="auto" w:fill="FFFFFF" w:themeFill="background1"/>
        <w:tabs>
          <w:tab w:val="left" w:pos="851"/>
        </w:tabs>
        <w:ind w:firstLine="567"/>
      </w:pPr>
      <w:r w:rsidRPr="00973C63">
        <w:rPr>
          <w:lang w:val="ru-RU"/>
        </w:rPr>
        <w:t xml:space="preserve">3) </w:t>
      </w:r>
      <w:proofErr w:type="spellStart"/>
      <w:r w:rsidRPr="00973C63">
        <w:rPr>
          <w:lang w:val="ru-RU"/>
        </w:rPr>
        <w:t>розраховує</w:t>
      </w:r>
      <w:proofErr w:type="spellEnd"/>
      <w:r w:rsidRPr="00973C63">
        <w:rPr>
          <w:lang w:val="ru-RU"/>
        </w:rPr>
        <w:t xml:space="preserve"> </w:t>
      </w:r>
      <w:proofErr w:type="spellStart"/>
      <w:r w:rsidRPr="00973C63">
        <w:rPr>
          <w:lang w:val="ru-RU"/>
        </w:rPr>
        <w:t>чистий</w:t>
      </w:r>
      <w:proofErr w:type="spellEnd"/>
      <w:r w:rsidRPr="00973C63">
        <w:rPr>
          <w:lang w:val="ru-RU"/>
        </w:rPr>
        <w:t xml:space="preserve"> </w:t>
      </w:r>
      <w:proofErr w:type="spellStart"/>
      <w:r w:rsidRPr="00973C63">
        <w:rPr>
          <w:lang w:val="ru-RU"/>
        </w:rPr>
        <w:t>очікуваний</w:t>
      </w:r>
      <w:proofErr w:type="spellEnd"/>
      <w:r w:rsidRPr="00973C63">
        <w:rPr>
          <w:lang w:val="ru-RU"/>
        </w:rPr>
        <w:t xml:space="preserve"> </w:t>
      </w:r>
      <w:proofErr w:type="spellStart"/>
      <w:r w:rsidRPr="00973C63">
        <w:rPr>
          <w:lang w:val="ru-RU"/>
        </w:rPr>
        <w:t>відплив</w:t>
      </w:r>
      <w:proofErr w:type="spellEnd"/>
      <w:r w:rsidRPr="00973C63">
        <w:rPr>
          <w:lang w:val="ru-RU"/>
        </w:rPr>
        <w:t xml:space="preserve"> </w:t>
      </w:r>
      <w:proofErr w:type="spellStart"/>
      <w:r w:rsidRPr="00973C63">
        <w:rPr>
          <w:lang w:val="ru-RU"/>
        </w:rPr>
        <w:t>грошових</w:t>
      </w:r>
      <w:proofErr w:type="spellEnd"/>
      <w:r w:rsidRPr="00973C63">
        <w:rPr>
          <w:lang w:val="ru-RU"/>
        </w:rPr>
        <w:t xml:space="preserve"> </w:t>
      </w:r>
      <w:proofErr w:type="spellStart"/>
      <w:r w:rsidRPr="00973C63">
        <w:rPr>
          <w:lang w:val="ru-RU"/>
        </w:rPr>
        <w:t>коштів</w:t>
      </w:r>
      <w:proofErr w:type="spellEnd"/>
      <w:r w:rsidRPr="00973C63">
        <w:rPr>
          <w:lang w:val="ru-RU"/>
        </w:rPr>
        <w:t xml:space="preserve"> кредитно-</w:t>
      </w:r>
      <w:proofErr w:type="spellStart"/>
      <w:r w:rsidRPr="00973C63">
        <w:rPr>
          <w:lang w:val="ru-RU"/>
        </w:rPr>
        <w:t>інвестиційної</w:t>
      </w:r>
      <w:proofErr w:type="spellEnd"/>
      <w:r w:rsidRPr="00973C63">
        <w:rPr>
          <w:lang w:val="ru-RU"/>
        </w:rPr>
        <w:t xml:space="preserve"> </w:t>
      </w:r>
      <w:proofErr w:type="spellStart"/>
      <w:r w:rsidRPr="00973C63">
        <w:rPr>
          <w:lang w:val="ru-RU"/>
        </w:rPr>
        <w:t>підгрупи</w:t>
      </w:r>
      <w:proofErr w:type="spellEnd"/>
      <w:r w:rsidRPr="00973C63">
        <w:rPr>
          <w:lang w:val="ru-RU"/>
        </w:rPr>
        <w:t xml:space="preserve"> </w:t>
      </w:r>
      <w:r w:rsidR="00B549D1">
        <w:rPr>
          <w:lang w:val="ru-RU"/>
        </w:rPr>
        <w:t xml:space="preserve">за </w:t>
      </w:r>
      <w:proofErr w:type="spellStart"/>
      <w:r w:rsidR="00B549D1">
        <w:rPr>
          <w:lang w:val="ru-RU"/>
        </w:rPr>
        <w:t>іноземними</w:t>
      </w:r>
      <w:proofErr w:type="spellEnd"/>
      <w:r w:rsidR="00B549D1">
        <w:rPr>
          <w:lang w:val="ru-RU"/>
        </w:rPr>
        <w:t xml:space="preserve"> валютами</w:t>
      </w:r>
      <w:r w:rsidR="00B549D1" w:rsidRPr="00973C63">
        <w:rPr>
          <w:lang w:val="ru-RU"/>
        </w:rPr>
        <w:t xml:space="preserve"> </w:t>
      </w:r>
      <w:r w:rsidRPr="00973C63">
        <w:rPr>
          <w:lang w:val="ru-RU"/>
        </w:rPr>
        <w:t xml:space="preserve">як </w:t>
      </w:r>
      <w:proofErr w:type="spellStart"/>
      <w:r w:rsidRPr="00973C63">
        <w:rPr>
          <w:lang w:val="ru-RU"/>
        </w:rPr>
        <w:t>різницю</w:t>
      </w:r>
      <w:proofErr w:type="spellEnd"/>
      <w:r w:rsidRPr="00973C63">
        <w:rPr>
          <w:lang w:val="ru-RU"/>
        </w:rPr>
        <w:t xml:space="preserve"> </w:t>
      </w:r>
      <w:proofErr w:type="spellStart"/>
      <w:r w:rsidRPr="00973C63">
        <w:rPr>
          <w:lang w:val="ru-RU"/>
        </w:rPr>
        <w:t>сукупних</w:t>
      </w:r>
      <w:proofErr w:type="spellEnd"/>
      <w:r w:rsidRPr="00973C63">
        <w:rPr>
          <w:lang w:val="ru-RU"/>
        </w:rPr>
        <w:t xml:space="preserve"> </w:t>
      </w:r>
      <w:proofErr w:type="spellStart"/>
      <w:r w:rsidRPr="00973C63">
        <w:rPr>
          <w:lang w:val="ru-RU"/>
        </w:rPr>
        <w:t>очікуваних</w:t>
      </w:r>
      <w:proofErr w:type="spellEnd"/>
      <w:r w:rsidRPr="00973C63">
        <w:rPr>
          <w:lang w:val="ru-RU"/>
        </w:rPr>
        <w:t xml:space="preserve"> </w:t>
      </w:r>
      <w:proofErr w:type="spellStart"/>
      <w:r w:rsidRPr="00EF38AE">
        <w:rPr>
          <w:lang w:val="ru-RU"/>
        </w:rPr>
        <w:t>відпливів</w:t>
      </w:r>
      <w:proofErr w:type="spellEnd"/>
      <w:r w:rsidRPr="00EF38AE">
        <w:rPr>
          <w:lang w:val="ru-RU"/>
        </w:rPr>
        <w:t xml:space="preserve"> і </w:t>
      </w:r>
      <w:proofErr w:type="spellStart"/>
      <w:r w:rsidRPr="00EF38AE">
        <w:rPr>
          <w:lang w:val="ru-RU"/>
        </w:rPr>
        <w:t>сукупних</w:t>
      </w:r>
      <w:proofErr w:type="spellEnd"/>
      <w:r w:rsidRPr="00EF38AE">
        <w:rPr>
          <w:lang w:val="ru-RU"/>
        </w:rPr>
        <w:t xml:space="preserve"> </w:t>
      </w:r>
      <w:proofErr w:type="spellStart"/>
      <w:r w:rsidRPr="00EF38AE">
        <w:rPr>
          <w:lang w:val="ru-RU"/>
        </w:rPr>
        <w:t>очікуваних</w:t>
      </w:r>
      <w:proofErr w:type="spellEnd"/>
      <w:r w:rsidRPr="00EF38AE">
        <w:rPr>
          <w:lang w:val="ru-RU"/>
        </w:rPr>
        <w:t xml:space="preserve"> </w:t>
      </w:r>
      <w:proofErr w:type="spellStart"/>
      <w:r w:rsidRPr="00EF38AE">
        <w:rPr>
          <w:lang w:val="ru-RU"/>
        </w:rPr>
        <w:t>надходжень</w:t>
      </w:r>
      <w:proofErr w:type="spellEnd"/>
      <w:r w:rsidRPr="00EF38AE">
        <w:rPr>
          <w:lang w:val="ru-RU"/>
        </w:rPr>
        <w:t xml:space="preserve"> </w:t>
      </w:r>
      <w:proofErr w:type="spellStart"/>
      <w:r w:rsidRPr="00EF38AE">
        <w:rPr>
          <w:lang w:val="ru-RU"/>
        </w:rPr>
        <w:t>грошових</w:t>
      </w:r>
      <w:proofErr w:type="spellEnd"/>
      <w:r w:rsidRPr="00EF38AE">
        <w:rPr>
          <w:lang w:val="ru-RU"/>
        </w:rPr>
        <w:t xml:space="preserve"> </w:t>
      </w:r>
      <w:proofErr w:type="spellStart"/>
      <w:r w:rsidRPr="00EF38AE">
        <w:rPr>
          <w:lang w:val="ru-RU"/>
        </w:rPr>
        <w:t>коштів</w:t>
      </w:r>
      <w:proofErr w:type="spellEnd"/>
      <w:r w:rsidRPr="00EF38AE">
        <w:rPr>
          <w:lang w:val="ru-RU"/>
        </w:rPr>
        <w:t xml:space="preserve"> </w:t>
      </w:r>
      <w:r w:rsidR="00B549D1" w:rsidRPr="00EF38AE">
        <w:rPr>
          <w:lang w:val="ru-RU"/>
        </w:rPr>
        <w:t xml:space="preserve">за </w:t>
      </w:r>
      <w:proofErr w:type="spellStart"/>
      <w:r w:rsidR="00B549D1" w:rsidRPr="00EF38AE">
        <w:rPr>
          <w:lang w:val="ru-RU"/>
        </w:rPr>
        <w:t>іноземними</w:t>
      </w:r>
      <w:proofErr w:type="spellEnd"/>
      <w:r w:rsidR="00B549D1" w:rsidRPr="00EF38AE">
        <w:rPr>
          <w:lang w:val="ru-RU"/>
        </w:rPr>
        <w:t xml:space="preserve"> валютами</w:t>
      </w:r>
      <w:r w:rsidRPr="00EF38AE">
        <w:rPr>
          <w:lang w:val="ru-RU"/>
        </w:rPr>
        <w:t xml:space="preserve"> цієї </w:t>
      </w:r>
      <w:proofErr w:type="spellStart"/>
      <w:r w:rsidRPr="00EF38AE">
        <w:rPr>
          <w:lang w:val="ru-RU"/>
        </w:rPr>
        <w:t>підгрупи</w:t>
      </w:r>
      <w:proofErr w:type="spellEnd"/>
      <w:r w:rsidRPr="00EF38AE">
        <w:rPr>
          <w:lang w:val="ru-RU"/>
        </w:rPr>
        <w:t xml:space="preserve">. </w:t>
      </w:r>
      <w:r w:rsidR="005822AA">
        <w:rPr>
          <w:bCs/>
        </w:rPr>
        <w:t>Я</w:t>
      </w:r>
      <w:r w:rsidR="008A7F24" w:rsidRPr="00EF38AE">
        <w:rPr>
          <w:bCs/>
        </w:rPr>
        <w:t>кщо сукупні очікувані надходження за іноземними валютами перевищують 75% від сукупних очікуваних відпливів за іноземними валютами, то сума такого перевищення не враховується під час розрахунку чистого очікуваного відпливу грошових коштів за іноземними валютами</w:t>
      </w:r>
      <w:r w:rsidR="00895E97" w:rsidRPr="001C4345">
        <w:t>;</w:t>
      </w:r>
    </w:p>
    <w:p w14:paraId="5142AC75" w14:textId="77777777" w:rsidR="00375A95" w:rsidRPr="001C4345" w:rsidRDefault="00375A95" w:rsidP="000B2D33">
      <w:pPr>
        <w:shd w:val="clear" w:color="auto" w:fill="FFFFFF" w:themeFill="background1"/>
        <w:tabs>
          <w:tab w:val="left" w:pos="851"/>
        </w:tabs>
        <w:ind w:firstLine="567"/>
      </w:pPr>
    </w:p>
    <w:p w14:paraId="4D8C77EE" w14:textId="5F4669BF" w:rsidR="000B2D33" w:rsidRPr="00944D12" w:rsidRDefault="000B2D33" w:rsidP="000B2D33">
      <w:pPr>
        <w:shd w:val="clear" w:color="auto" w:fill="FFFFFF" w:themeFill="background1"/>
        <w:tabs>
          <w:tab w:val="left" w:pos="851"/>
        </w:tabs>
        <w:ind w:firstLine="567"/>
      </w:pPr>
      <w:r w:rsidRPr="001C4345">
        <w:t xml:space="preserve">4) </w:t>
      </w:r>
      <w:r w:rsidRPr="00944D12">
        <w:t xml:space="preserve">розраховує коефіцієнт покриття ліквідністю </w:t>
      </w:r>
      <w:r w:rsidR="003929AA" w:rsidRPr="00944D12">
        <w:t xml:space="preserve">за іноземними валютами </w:t>
      </w:r>
      <w:r w:rsidRPr="00944D12">
        <w:t>(</w:t>
      </w:r>
      <w:r w:rsidRPr="00EF38AE">
        <w:rPr>
          <w:lang w:val="ru-RU"/>
        </w:rPr>
        <w:t>LCR</w:t>
      </w:r>
      <w:proofErr w:type="spellStart"/>
      <w:r w:rsidRPr="00944D12">
        <w:rPr>
          <w:vertAlign w:val="subscript"/>
        </w:rPr>
        <w:t>ІВ</w:t>
      </w:r>
      <w:r w:rsidRPr="00944D12">
        <w:t>к</w:t>
      </w:r>
      <w:proofErr w:type="spellEnd"/>
      <w:r w:rsidRPr="00944D12">
        <w:t xml:space="preserve">) як відношення ВЛА кредитно-інвестиційної підгрупи </w:t>
      </w:r>
      <w:r w:rsidR="003929AA" w:rsidRPr="00944D12">
        <w:t>за іноземними валютами</w:t>
      </w:r>
      <w:r w:rsidRPr="00944D12">
        <w:t xml:space="preserve"> </w:t>
      </w:r>
      <w:r w:rsidR="00870681">
        <w:t xml:space="preserve">до </w:t>
      </w:r>
      <w:r w:rsidRPr="00944D12">
        <w:t xml:space="preserve">чистого очікуваного відпливу грошових коштів </w:t>
      </w:r>
      <w:r w:rsidR="003929AA" w:rsidRPr="00944D12">
        <w:t>за іноземними валютами</w:t>
      </w:r>
      <w:r w:rsidRPr="00944D12">
        <w:t xml:space="preserve"> цієї підгрупи. </w:t>
      </w:r>
    </w:p>
    <w:p w14:paraId="20E1C239" w14:textId="77777777" w:rsidR="000B2D33" w:rsidRPr="001C4345" w:rsidRDefault="000B2D33" w:rsidP="000B2D33">
      <w:pPr>
        <w:shd w:val="clear" w:color="auto" w:fill="FFFFFF" w:themeFill="background1"/>
        <w:tabs>
          <w:tab w:val="left" w:pos="851"/>
        </w:tabs>
        <w:ind w:firstLine="567"/>
      </w:pPr>
    </w:p>
    <w:p w14:paraId="0FE4D99B" w14:textId="56215450" w:rsidR="000B2D33" w:rsidRPr="00EF38AE" w:rsidRDefault="000B2D33" w:rsidP="000B2D33">
      <w:pPr>
        <w:shd w:val="clear" w:color="auto" w:fill="FFFFFF" w:themeFill="background1"/>
        <w:tabs>
          <w:tab w:val="left" w:pos="851"/>
        </w:tabs>
        <w:ind w:firstLine="567"/>
        <w:rPr>
          <w:lang w:val="ru-RU"/>
        </w:rPr>
      </w:pPr>
      <w:r w:rsidRPr="001C4345">
        <w:lastRenderedPageBreak/>
        <w:t>3. Відповідальна особа банківської групи здійснює розрахунок коефіцієнта покриття ліквідністю за всіма валютами (</w:t>
      </w:r>
      <w:r w:rsidRPr="00EF38AE">
        <w:rPr>
          <w:lang w:val="ru-RU"/>
        </w:rPr>
        <w:t>LCR</w:t>
      </w:r>
      <w:r w:rsidRPr="00EF38AE">
        <w:rPr>
          <w:vertAlign w:val="subscript"/>
          <w:lang w:val="ru-RU"/>
        </w:rPr>
        <w:t>BB</w:t>
      </w:r>
      <w:r w:rsidRPr="001C4345">
        <w:t xml:space="preserve">к) та коефіцієнта покриття ліквідністю </w:t>
      </w:r>
      <w:r w:rsidR="003929AA" w:rsidRPr="001C4345">
        <w:t xml:space="preserve">за іноземними валютами </w:t>
      </w:r>
      <w:r w:rsidRPr="001C4345">
        <w:t>(</w:t>
      </w:r>
      <w:r w:rsidRPr="00EF38AE">
        <w:rPr>
          <w:lang w:val="ru-RU"/>
        </w:rPr>
        <w:t>LCR</w:t>
      </w:r>
      <w:r w:rsidRPr="001C4345">
        <w:rPr>
          <w:vertAlign w:val="subscript"/>
        </w:rPr>
        <w:t>І</w:t>
      </w:r>
      <w:r w:rsidRPr="00EF38AE">
        <w:rPr>
          <w:vertAlign w:val="subscript"/>
          <w:lang w:val="ru-RU"/>
        </w:rPr>
        <w:t>B</w:t>
      </w:r>
      <w:r w:rsidRPr="001C4345">
        <w:t xml:space="preserve">к) згідно з вимогами, установленими Національним банком у </w:t>
      </w:r>
      <w:r w:rsidR="002E3249" w:rsidRPr="001C4345">
        <w:t>м</w:t>
      </w:r>
      <w:r w:rsidRPr="001C4345">
        <w:t xml:space="preserve">етодиці розрахунку коефіцієнта покриття ліквідністю </w:t>
      </w:r>
      <w:r w:rsidRPr="00EF38AE">
        <w:rPr>
          <w:lang w:val="ru-RU"/>
        </w:rPr>
        <w:t>(LCR).</w:t>
      </w:r>
    </w:p>
    <w:p w14:paraId="597CBB11" w14:textId="77777777" w:rsidR="000B2D33" w:rsidRPr="00973C63" w:rsidRDefault="000B2D33" w:rsidP="000B2D33">
      <w:pPr>
        <w:shd w:val="clear" w:color="auto" w:fill="FFFFFF" w:themeFill="background1"/>
        <w:tabs>
          <w:tab w:val="left" w:pos="851"/>
        </w:tabs>
        <w:ind w:firstLine="567"/>
        <w:rPr>
          <w:lang w:val="ru-RU"/>
        </w:rPr>
      </w:pPr>
    </w:p>
    <w:p w14:paraId="21215804" w14:textId="428EC1E3" w:rsidR="000B2D33" w:rsidRPr="00973C63" w:rsidRDefault="000B2D33" w:rsidP="000B2D33">
      <w:pPr>
        <w:shd w:val="clear" w:color="auto" w:fill="FFFFFF" w:themeFill="background1"/>
        <w:tabs>
          <w:tab w:val="left" w:pos="851"/>
        </w:tabs>
        <w:ind w:firstLine="567"/>
        <w:rPr>
          <w:lang w:val="ru-RU"/>
        </w:rPr>
      </w:pPr>
      <w:r w:rsidRPr="00973C63">
        <w:rPr>
          <w:lang w:val="ru-RU"/>
        </w:rPr>
        <w:t xml:space="preserve">4. </w:t>
      </w:r>
      <w:proofErr w:type="spellStart"/>
      <w:r w:rsidR="0080115C" w:rsidRPr="0080115C">
        <w:rPr>
          <w:lang w:val="ru-RU"/>
        </w:rPr>
        <w:t>Відповідальна</w:t>
      </w:r>
      <w:proofErr w:type="spellEnd"/>
      <w:r w:rsidR="0080115C" w:rsidRPr="0080115C">
        <w:rPr>
          <w:lang w:val="ru-RU"/>
        </w:rPr>
        <w:t xml:space="preserve"> особа </w:t>
      </w:r>
      <w:proofErr w:type="spellStart"/>
      <w:r w:rsidR="0080115C" w:rsidRPr="0080115C">
        <w:rPr>
          <w:lang w:val="ru-RU"/>
        </w:rPr>
        <w:t>банківської</w:t>
      </w:r>
      <w:proofErr w:type="spellEnd"/>
      <w:r w:rsidR="0080115C" w:rsidRPr="0080115C">
        <w:rPr>
          <w:lang w:val="ru-RU"/>
        </w:rPr>
        <w:t xml:space="preserve"> </w:t>
      </w:r>
      <w:proofErr w:type="spellStart"/>
      <w:r w:rsidR="0080115C" w:rsidRPr="0080115C">
        <w:rPr>
          <w:lang w:val="ru-RU"/>
        </w:rPr>
        <w:t>групи</w:t>
      </w:r>
      <w:proofErr w:type="spellEnd"/>
      <w:r w:rsidR="0080115C" w:rsidRPr="0080115C">
        <w:rPr>
          <w:lang w:val="ru-RU"/>
        </w:rPr>
        <w:t xml:space="preserve">, </w:t>
      </w:r>
      <w:proofErr w:type="spellStart"/>
      <w:r w:rsidR="0080115C" w:rsidRPr="0080115C">
        <w:rPr>
          <w:lang w:val="ru-RU"/>
        </w:rPr>
        <w:t>якщо</w:t>
      </w:r>
      <w:proofErr w:type="spellEnd"/>
      <w:r w:rsidR="0080115C" w:rsidRPr="0080115C">
        <w:rPr>
          <w:lang w:val="ru-RU"/>
        </w:rPr>
        <w:t xml:space="preserve"> </w:t>
      </w:r>
      <w:proofErr w:type="gramStart"/>
      <w:r w:rsidR="0080115C" w:rsidRPr="0080115C">
        <w:rPr>
          <w:lang w:val="ru-RU"/>
        </w:rPr>
        <w:t>до складу</w:t>
      </w:r>
      <w:proofErr w:type="gramEnd"/>
      <w:r w:rsidR="0080115C" w:rsidRPr="0080115C">
        <w:rPr>
          <w:lang w:val="ru-RU"/>
        </w:rPr>
        <w:t xml:space="preserve"> кредитно-</w:t>
      </w:r>
      <w:proofErr w:type="spellStart"/>
      <w:r w:rsidR="0080115C" w:rsidRPr="0080115C">
        <w:rPr>
          <w:lang w:val="ru-RU"/>
        </w:rPr>
        <w:t>інвестиційної</w:t>
      </w:r>
      <w:proofErr w:type="spellEnd"/>
      <w:r w:rsidR="0080115C" w:rsidRPr="0080115C">
        <w:rPr>
          <w:lang w:val="ru-RU"/>
        </w:rPr>
        <w:t xml:space="preserve"> </w:t>
      </w:r>
      <w:proofErr w:type="spellStart"/>
      <w:r w:rsidR="0080115C" w:rsidRPr="0080115C">
        <w:rPr>
          <w:lang w:val="ru-RU"/>
        </w:rPr>
        <w:t>підгрупи</w:t>
      </w:r>
      <w:proofErr w:type="spellEnd"/>
      <w:r w:rsidR="0080115C" w:rsidRPr="0080115C">
        <w:rPr>
          <w:lang w:val="ru-RU"/>
        </w:rPr>
        <w:t xml:space="preserve"> входить </w:t>
      </w:r>
      <w:proofErr w:type="spellStart"/>
      <w:r w:rsidR="0080115C" w:rsidRPr="0080115C">
        <w:rPr>
          <w:lang w:val="ru-RU"/>
        </w:rPr>
        <w:t>Іноземний</w:t>
      </w:r>
      <w:proofErr w:type="spellEnd"/>
      <w:r w:rsidR="0080115C" w:rsidRPr="0080115C">
        <w:rPr>
          <w:lang w:val="ru-RU"/>
        </w:rPr>
        <w:t xml:space="preserve"> </w:t>
      </w:r>
      <w:proofErr w:type="spellStart"/>
      <w:r w:rsidR="0080115C" w:rsidRPr="0080115C">
        <w:rPr>
          <w:lang w:val="ru-RU"/>
        </w:rPr>
        <w:t>учасник</w:t>
      </w:r>
      <w:proofErr w:type="spellEnd"/>
      <w:r w:rsidR="0080115C" w:rsidRPr="0080115C">
        <w:rPr>
          <w:lang w:val="ru-RU"/>
        </w:rPr>
        <w:t>,</w:t>
      </w:r>
      <w:r w:rsidRPr="00973C63">
        <w:rPr>
          <w:lang w:val="ru-RU"/>
        </w:rPr>
        <w:t xml:space="preserve"> </w:t>
      </w:r>
      <w:proofErr w:type="spellStart"/>
      <w:r w:rsidRPr="00973C63">
        <w:rPr>
          <w:lang w:val="ru-RU"/>
        </w:rPr>
        <w:t>включає</w:t>
      </w:r>
      <w:proofErr w:type="spellEnd"/>
      <w:r w:rsidRPr="00973C63">
        <w:rPr>
          <w:lang w:val="ru-RU"/>
        </w:rPr>
        <w:t xml:space="preserve"> до </w:t>
      </w:r>
      <w:proofErr w:type="spellStart"/>
      <w:r w:rsidRPr="00973C63">
        <w:rPr>
          <w:lang w:val="ru-RU"/>
        </w:rPr>
        <w:t>розрахунку</w:t>
      </w:r>
      <w:proofErr w:type="spellEnd"/>
      <w:r w:rsidRPr="00973C63">
        <w:rPr>
          <w:lang w:val="ru-RU"/>
        </w:rPr>
        <w:t xml:space="preserve"> коефіцієнта </w:t>
      </w:r>
      <w:proofErr w:type="spellStart"/>
      <w:r w:rsidRPr="00973C63">
        <w:rPr>
          <w:lang w:val="ru-RU"/>
        </w:rPr>
        <w:t>покриття</w:t>
      </w:r>
      <w:proofErr w:type="spellEnd"/>
      <w:r w:rsidRPr="00973C63">
        <w:rPr>
          <w:lang w:val="ru-RU"/>
        </w:rPr>
        <w:t xml:space="preserve"> </w:t>
      </w:r>
      <w:proofErr w:type="spellStart"/>
      <w:r w:rsidRPr="00973C63">
        <w:rPr>
          <w:lang w:val="ru-RU"/>
        </w:rPr>
        <w:t>ліквідністю</w:t>
      </w:r>
      <w:proofErr w:type="spellEnd"/>
      <w:r w:rsidRPr="00973C63">
        <w:rPr>
          <w:lang w:val="ru-RU"/>
        </w:rPr>
        <w:t xml:space="preserve"> за </w:t>
      </w:r>
      <w:proofErr w:type="spellStart"/>
      <w:r w:rsidRPr="00973C63">
        <w:rPr>
          <w:lang w:val="ru-RU"/>
        </w:rPr>
        <w:t>всіма</w:t>
      </w:r>
      <w:proofErr w:type="spellEnd"/>
      <w:r w:rsidRPr="00973C63">
        <w:rPr>
          <w:lang w:val="ru-RU"/>
        </w:rPr>
        <w:t xml:space="preserve"> валютами (</w:t>
      </w:r>
      <w:proofErr w:type="spellStart"/>
      <w:r w:rsidRPr="00973C63">
        <w:rPr>
          <w:lang w:val="ru-RU"/>
        </w:rPr>
        <w:t>LCR</w:t>
      </w:r>
      <w:r w:rsidRPr="00973C63">
        <w:rPr>
          <w:vertAlign w:val="subscript"/>
          <w:lang w:val="ru-RU"/>
        </w:rPr>
        <w:t>ВВ</w:t>
      </w:r>
      <w:r w:rsidRPr="00973C63">
        <w:rPr>
          <w:lang w:val="ru-RU"/>
        </w:rPr>
        <w:t>к</w:t>
      </w:r>
      <w:proofErr w:type="spellEnd"/>
      <w:r w:rsidRPr="00973C63">
        <w:rPr>
          <w:lang w:val="ru-RU"/>
        </w:rPr>
        <w:t xml:space="preserve">) та коефіцієнта </w:t>
      </w:r>
      <w:proofErr w:type="spellStart"/>
      <w:r w:rsidRPr="00973C63">
        <w:rPr>
          <w:lang w:val="ru-RU"/>
        </w:rPr>
        <w:t>покриття</w:t>
      </w:r>
      <w:proofErr w:type="spellEnd"/>
      <w:r w:rsidRPr="00973C63">
        <w:rPr>
          <w:lang w:val="ru-RU"/>
        </w:rPr>
        <w:t xml:space="preserve"> </w:t>
      </w:r>
      <w:proofErr w:type="spellStart"/>
      <w:r w:rsidRPr="00973C63">
        <w:rPr>
          <w:lang w:val="ru-RU"/>
        </w:rPr>
        <w:t>ліквідністю</w:t>
      </w:r>
      <w:proofErr w:type="spellEnd"/>
      <w:r w:rsidRPr="00973C63">
        <w:rPr>
          <w:lang w:val="ru-RU"/>
        </w:rPr>
        <w:t xml:space="preserve"> </w:t>
      </w:r>
      <w:r w:rsidR="003929AA">
        <w:rPr>
          <w:lang w:val="ru-RU"/>
        </w:rPr>
        <w:t xml:space="preserve">за </w:t>
      </w:r>
      <w:proofErr w:type="spellStart"/>
      <w:r w:rsidR="003929AA">
        <w:rPr>
          <w:lang w:val="ru-RU"/>
        </w:rPr>
        <w:t>іноземними</w:t>
      </w:r>
      <w:proofErr w:type="spellEnd"/>
      <w:r w:rsidR="003929AA">
        <w:rPr>
          <w:lang w:val="ru-RU"/>
        </w:rPr>
        <w:t xml:space="preserve"> валютами</w:t>
      </w:r>
      <w:r w:rsidR="003929AA" w:rsidRPr="00973C63">
        <w:rPr>
          <w:lang w:val="ru-RU"/>
        </w:rPr>
        <w:t xml:space="preserve"> </w:t>
      </w:r>
      <w:r w:rsidRPr="00973C63">
        <w:rPr>
          <w:lang w:val="ru-RU"/>
        </w:rPr>
        <w:t>(</w:t>
      </w:r>
      <w:proofErr w:type="spellStart"/>
      <w:r w:rsidRPr="00973C63">
        <w:rPr>
          <w:lang w:val="ru-RU"/>
        </w:rPr>
        <w:t>LCR</w:t>
      </w:r>
      <w:r w:rsidRPr="00973C63">
        <w:rPr>
          <w:vertAlign w:val="subscript"/>
          <w:lang w:val="ru-RU"/>
        </w:rPr>
        <w:t>ІВ</w:t>
      </w:r>
      <w:r w:rsidRPr="00973C63">
        <w:rPr>
          <w:lang w:val="ru-RU"/>
        </w:rPr>
        <w:t>к</w:t>
      </w:r>
      <w:proofErr w:type="spellEnd"/>
      <w:r w:rsidRPr="00973C63">
        <w:rPr>
          <w:lang w:val="ru-RU"/>
        </w:rPr>
        <w:t>):</w:t>
      </w:r>
    </w:p>
    <w:p w14:paraId="173A46F4" w14:textId="77777777" w:rsidR="000B2D33" w:rsidRPr="00973C63" w:rsidRDefault="000B2D33" w:rsidP="000B2D33">
      <w:pPr>
        <w:shd w:val="clear" w:color="auto" w:fill="FFFFFF" w:themeFill="background1"/>
        <w:tabs>
          <w:tab w:val="left" w:pos="851"/>
        </w:tabs>
        <w:ind w:firstLine="567"/>
        <w:rPr>
          <w:lang w:val="ru-RU"/>
        </w:rPr>
      </w:pPr>
    </w:p>
    <w:p w14:paraId="16B41193" w14:textId="77777777" w:rsidR="0080115C" w:rsidRPr="0080115C" w:rsidRDefault="0080115C" w:rsidP="0080115C">
      <w:pPr>
        <w:shd w:val="clear" w:color="auto" w:fill="FFFFFF" w:themeFill="background1"/>
        <w:tabs>
          <w:tab w:val="left" w:pos="851"/>
        </w:tabs>
        <w:ind w:firstLine="567"/>
        <w:rPr>
          <w:lang w:val="ru-RU"/>
        </w:rPr>
      </w:pPr>
      <w:r w:rsidRPr="0080115C">
        <w:rPr>
          <w:lang w:val="ru-RU"/>
        </w:rPr>
        <w:t xml:space="preserve">1) </w:t>
      </w:r>
      <w:proofErr w:type="spellStart"/>
      <w:r w:rsidRPr="0080115C">
        <w:rPr>
          <w:lang w:val="ru-RU"/>
        </w:rPr>
        <w:t>складові</w:t>
      </w:r>
      <w:proofErr w:type="spellEnd"/>
      <w:r w:rsidRPr="0080115C">
        <w:rPr>
          <w:lang w:val="ru-RU"/>
        </w:rPr>
        <w:t xml:space="preserve"> </w:t>
      </w:r>
      <w:proofErr w:type="spellStart"/>
      <w:r w:rsidRPr="0080115C">
        <w:rPr>
          <w:lang w:val="ru-RU"/>
        </w:rPr>
        <w:t>згідно</w:t>
      </w:r>
      <w:proofErr w:type="spellEnd"/>
      <w:r w:rsidRPr="0080115C">
        <w:rPr>
          <w:lang w:val="ru-RU"/>
        </w:rPr>
        <w:t xml:space="preserve"> з </w:t>
      </w:r>
      <w:proofErr w:type="spellStart"/>
      <w:r w:rsidRPr="0080115C">
        <w:rPr>
          <w:lang w:val="ru-RU"/>
        </w:rPr>
        <w:t>вимогами</w:t>
      </w:r>
      <w:proofErr w:type="spellEnd"/>
      <w:r w:rsidRPr="0080115C">
        <w:rPr>
          <w:lang w:val="ru-RU"/>
        </w:rPr>
        <w:t xml:space="preserve">, </w:t>
      </w:r>
      <w:proofErr w:type="spellStart"/>
      <w:r w:rsidRPr="0080115C">
        <w:rPr>
          <w:lang w:val="ru-RU"/>
        </w:rPr>
        <w:t>встановленими</w:t>
      </w:r>
      <w:proofErr w:type="spellEnd"/>
      <w:r w:rsidRPr="0080115C">
        <w:rPr>
          <w:lang w:val="ru-RU"/>
        </w:rPr>
        <w:t>:</w:t>
      </w:r>
    </w:p>
    <w:p w14:paraId="1512EEB3" w14:textId="41CFAC1C" w:rsidR="0080115C" w:rsidRPr="0080115C" w:rsidRDefault="00870681" w:rsidP="0080115C">
      <w:pPr>
        <w:shd w:val="clear" w:color="auto" w:fill="FFFFFF" w:themeFill="background1"/>
        <w:tabs>
          <w:tab w:val="left" w:pos="851"/>
        </w:tabs>
        <w:ind w:firstLine="567"/>
        <w:rPr>
          <w:lang w:val="ru-RU"/>
        </w:rPr>
      </w:pPr>
      <w:r w:rsidRPr="001C4345">
        <w:rPr>
          <w:lang w:val="ru-RU"/>
        </w:rPr>
        <w:t>методикою</w:t>
      </w:r>
      <w:r w:rsidRPr="00944D12">
        <w:rPr>
          <w:lang w:val="ru-RU"/>
        </w:rPr>
        <w:t xml:space="preserve"> </w:t>
      </w:r>
      <w:proofErr w:type="spellStart"/>
      <w:r w:rsidR="0080115C" w:rsidRPr="008B6967">
        <w:rPr>
          <w:lang w:val="ru-RU"/>
        </w:rPr>
        <w:t>розрахунку</w:t>
      </w:r>
      <w:proofErr w:type="spellEnd"/>
      <w:r w:rsidR="0080115C" w:rsidRPr="008B6967">
        <w:rPr>
          <w:lang w:val="ru-RU"/>
        </w:rPr>
        <w:t xml:space="preserve"> коефіцієнта </w:t>
      </w:r>
      <w:proofErr w:type="spellStart"/>
      <w:r w:rsidR="0080115C" w:rsidRPr="008B6967">
        <w:rPr>
          <w:lang w:val="ru-RU"/>
        </w:rPr>
        <w:t>покриття</w:t>
      </w:r>
      <w:proofErr w:type="spellEnd"/>
      <w:r w:rsidR="0080115C" w:rsidRPr="008B6967">
        <w:rPr>
          <w:lang w:val="ru-RU"/>
        </w:rPr>
        <w:t xml:space="preserve"> </w:t>
      </w:r>
      <w:proofErr w:type="spellStart"/>
      <w:r w:rsidR="0080115C" w:rsidRPr="008B6967">
        <w:rPr>
          <w:lang w:val="ru-RU"/>
        </w:rPr>
        <w:t>ліквідністю</w:t>
      </w:r>
      <w:proofErr w:type="spellEnd"/>
      <w:r w:rsidR="0080115C" w:rsidRPr="008B6967">
        <w:rPr>
          <w:lang w:val="ru-RU"/>
        </w:rPr>
        <w:t xml:space="preserve"> (LCR),</w:t>
      </w:r>
      <w:r w:rsidR="0080115C" w:rsidRPr="0080115C">
        <w:rPr>
          <w:lang w:val="ru-RU"/>
        </w:rPr>
        <w:t xml:space="preserve"> </w:t>
      </w:r>
      <w:proofErr w:type="spellStart"/>
      <w:r w:rsidR="0080115C" w:rsidRPr="0080115C">
        <w:rPr>
          <w:lang w:val="ru-RU"/>
        </w:rPr>
        <w:t>крім</w:t>
      </w:r>
      <w:proofErr w:type="spellEnd"/>
      <w:r w:rsidR="0080115C" w:rsidRPr="0080115C">
        <w:rPr>
          <w:lang w:val="ru-RU"/>
        </w:rPr>
        <w:t xml:space="preserve"> </w:t>
      </w:r>
      <w:proofErr w:type="spellStart"/>
      <w:r w:rsidR="0080115C" w:rsidRPr="0080115C">
        <w:rPr>
          <w:lang w:val="ru-RU"/>
        </w:rPr>
        <w:t>складових</w:t>
      </w:r>
      <w:proofErr w:type="spellEnd"/>
      <w:r w:rsidR="0080115C" w:rsidRPr="0080115C">
        <w:rPr>
          <w:lang w:val="ru-RU"/>
        </w:rPr>
        <w:t xml:space="preserve">, до </w:t>
      </w:r>
      <w:proofErr w:type="spellStart"/>
      <w:r w:rsidR="0080115C" w:rsidRPr="0080115C">
        <w:rPr>
          <w:lang w:val="ru-RU"/>
        </w:rPr>
        <w:t>яких</w:t>
      </w:r>
      <w:proofErr w:type="spellEnd"/>
      <w:r w:rsidR="0080115C" w:rsidRPr="0080115C">
        <w:rPr>
          <w:lang w:val="ru-RU"/>
        </w:rPr>
        <w:t xml:space="preserve"> </w:t>
      </w:r>
      <w:proofErr w:type="spellStart"/>
      <w:r w:rsidR="0080115C" w:rsidRPr="0080115C">
        <w:rPr>
          <w:lang w:val="ru-RU"/>
        </w:rPr>
        <w:t>застосовуються</w:t>
      </w:r>
      <w:proofErr w:type="spellEnd"/>
      <w:r w:rsidR="0080115C" w:rsidRPr="0080115C">
        <w:rPr>
          <w:lang w:val="ru-RU"/>
        </w:rPr>
        <w:t xml:space="preserve"> </w:t>
      </w:r>
      <w:r w:rsidR="00944D12">
        <w:t xml:space="preserve">більш </w:t>
      </w:r>
      <w:proofErr w:type="spellStart"/>
      <w:r w:rsidR="0080115C" w:rsidRPr="0080115C">
        <w:rPr>
          <w:lang w:val="ru-RU"/>
        </w:rPr>
        <w:t>консервативні</w:t>
      </w:r>
      <w:proofErr w:type="spellEnd"/>
      <w:r w:rsidR="0080115C" w:rsidRPr="0080115C">
        <w:rPr>
          <w:lang w:val="ru-RU"/>
        </w:rPr>
        <w:t xml:space="preserve"> </w:t>
      </w:r>
      <w:proofErr w:type="spellStart"/>
      <w:r w:rsidR="0080115C" w:rsidRPr="0080115C">
        <w:rPr>
          <w:lang w:val="ru-RU"/>
        </w:rPr>
        <w:t>вимоги</w:t>
      </w:r>
      <w:proofErr w:type="spellEnd"/>
      <w:r w:rsidR="0080115C" w:rsidRPr="0080115C">
        <w:rPr>
          <w:lang w:val="ru-RU"/>
        </w:rPr>
        <w:t xml:space="preserve">, </w:t>
      </w:r>
      <w:proofErr w:type="spellStart"/>
      <w:r w:rsidR="0080115C" w:rsidRPr="0080115C">
        <w:rPr>
          <w:lang w:val="ru-RU"/>
        </w:rPr>
        <w:t>встановлені</w:t>
      </w:r>
      <w:proofErr w:type="spellEnd"/>
      <w:r w:rsidR="0080115C" w:rsidRPr="0080115C">
        <w:rPr>
          <w:lang w:val="ru-RU"/>
        </w:rPr>
        <w:t xml:space="preserve"> </w:t>
      </w:r>
      <w:proofErr w:type="spellStart"/>
      <w:r w:rsidR="0080115C" w:rsidRPr="0080115C">
        <w:rPr>
          <w:lang w:val="ru-RU"/>
        </w:rPr>
        <w:t>відповідним</w:t>
      </w:r>
      <w:proofErr w:type="spellEnd"/>
      <w:r w:rsidR="0080115C" w:rsidRPr="0080115C">
        <w:rPr>
          <w:lang w:val="ru-RU"/>
        </w:rPr>
        <w:t xml:space="preserve"> </w:t>
      </w:r>
      <w:proofErr w:type="spellStart"/>
      <w:r w:rsidR="0080115C" w:rsidRPr="0080115C">
        <w:rPr>
          <w:lang w:val="ru-RU"/>
        </w:rPr>
        <w:t>державним</w:t>
      </w:r>
      <w:proofErr w:type="spellEnd"/>
      <w:r w:rsidR="0080115C" w:rsidRPr="0080115C">
        <w:rPr>
          <w:lang w:val="ru-RU"/>
        </w:rPr>
        <w:t xml:space="preserve"> органом </w:t>
      </w:r>
      <w:proofErr w:type="spellStart"/>
      <w:r w:rsidR="0080115C" w:rsidRPr="0080115C">
        <w:rPr>
          <w:lang w:val="ru-RU"/>
        </w:rPr>
        <w:t>іноземної</w:t>
      </w:r>
      <w:proofErr w:type="spellEnd"/>
      <w:r w:rsidR="0080115C" w:rsidRPr="0080115C">
        <w:rPr>
          <w:lang w:val="ru-RU"/>
        </w:rPr>
        <w:t xml:space="preserve"> </w:t>
      </w:r>
      <w:proofErr w:type="spellStart"/>
      <w:r w:rsidR="0080115C" w:rsidRPr="0080115C">
        <w:rPr>
          <w:lang w:val="ru-RU"/>
        </w:rPr>
        <w:t>держави</w:t>
      </w:r>
      <w:proofErr w:type="spellEnd"/>
      <w:r w:rsidR="0080115C" w:rsidRPr="0080115C">
        <w:rPr>
          <w:lang w:val="ru-RU"/>
        </w:rPr>
        <w:t xml:space="preserve">, </w:t>
      </w:r>
      <w:proofErr w:type="spellStart"/>
      <w:r w:rsidR="0080115C" w:rsidRPr="0080115C">
        <w:rPr>
          <w:lang w:val="ru-RU"/>
        </w:rPr>
        <w:t>що</w:t>
      </w:r>
      <w:proofErr w:type="spellEnd"/>
      <w:r w:rsidR="0080115C" w:rsidRPr="0080115C">
        <w:rPr>
          <w:lang w:val="ru-RU"/>
        </w:rPr>
        <w:t xml:space="preserve"> </w:t>
      </w:r>
      <w:proofErr w:type="spellStart"/>
      <w:r w:rsidR="0080115C" w:rsidRPr="0080115C">
        <w:rPr>
          <w:lang w:val="ru-RU"/>
        </w:rPr>
        <w:t>здійснює</w:t>
      </w:r>
      <w:proofErr w:type="spellEnd"/>
      <w:r w:rsidR="0080115C" w:rsidRPr="0080115C">
        <w:rPr>
          <w:lang w:val="ru-RU"/>
        </w:rPr>
        <w:t xml:space="preserve"> </w:t>
      </w:r>
      <w:proofErr w:type="spellStart"/>
      <w:r w:rsidR="0080115C" w:rsidRPr="0080115C">
        <w:rPr>
          <w:lang w:val="ru-RU"/>
        </w:rPr>
        <w:t>регулювання</w:t>
      </w:r>
      <w:proofErr w:type="spellEnd"/>
      <w:r w:rsidR="0080115C" w:rsidRPr="0080115C">
        <w:rPr>
          <w:lang w:val="ru-RU"/>
        </w:rPr>
        <w:t xml:space="preserve"> </w:t>
      </w:r>
      <w:proofErr w:type="spellStart"/>
      <w:r w:rsidR="0080115C" w:rsidRPr="0080115C">
        <w:rPr>
          <w:lang w:val="ru-RU"/>
        </w:rPr>
        <w:t>ринків</w:t>
      </w:r>
      <w:proofErr w:type="spellEnd"/>
      <w:r w:rsidR="0080115C" w:rsidRPr="0080115C">
        <w:rPr>
          <w:lang w:val="ru-RU"/>
        </w:rPr>
        <w:t xml:space="preserve"> </w:t>
      </w:r>
      <w:proofErr w:type="spellStart"/>
      <w:r w:rsidR="0080115C" w:rsidRPr="0080115C">
        <w:rPr>
          <w:lang w:val="ru-RU"/>
        </w:rPr>
        <w:t>фінансових</w:t>
      </w:r>
      <w:proofErr w:type="spellEnd"/>
      <w:r w:rsidR="0080115C" w:rsidRPr="0080115C">
        <w:rPr>
          <w:lang w:val="ru-RU"/>
        </w:rPr>
        <w:t xml:space="preserve"> </w:t>
      </w:r>
      <w:proofErr w:type="spellStart"/>
      <w:r w:rsidR="0080115C" w:rsidRPr="0080115C">
        <w:rPr>
          <w:lang w:val="ru-RU"/>
        </w:rPr>
        <w:t>послуг</w:t>
      </w:r>
      <w:proofErr w:type="spellEnd"/>
      <w:r w:rsidR="0080115C" w:rsidRPr="0080115C">
        <w:rPr>
          <w:lang w:val="ru-RU"/>
        </w:rPr>
        <w:t>;</w:t>
      </w:r>
    </w:p>
    <w:p w14:paraId="20590DF8" w14:textId="320C6DAA" w:rsidR="000B2D33" w:rsidRPr="0080115C" w:rsidRDefault="0080115C" w:rsidP="00870681">
      <w:pPr>
        <w:shd w:val="clear" w:color="auto" w:fill="FFFFFF" w:themeFill="background1"/>
        <w:tabs>
          <w:tab w:val="left" w:pos="851"/>
          <w:tab w:val="left" w:pos="8364"/>
        </w:tabs>
        <w:ind w:firstLine="567"/>
      </w:pPr>
      <w:proofErr w:type="spellStart"/>
      <w:r w:rsidRPr="0080115C">
        <w:rPr>
          <w:lang w:val="ru-RU"/>
        </w:rPr>
        <w:t>відповідним</w:t>
      </w:r>
      <w:proofErr w:type="spellEnd"/>
      <w:r w:rsidRPr="0080115C">
        <w:rPr>
          <w:lang w:val="ru-RU"/>
        </w:rPr>
        <w:t xml:space="preserve"> </w:t>
      </w:r>
      <w:proofErr w:type="spellStart"/>
      <w:r w:rsidRPr="0080115C">
        <w:rPr>
          <w:lang w:val="ru-RU"/>
        </w:rPr>
        <w:t>державним</w:t>
      </w:r>
      <w:proofErr w:type="spellEnd"/>
      <w:r w:rsidRPr="0080115C">
        <w:rPr>
          <w:lang w:val="ru-RU"/>
        </w:rPr>
        <w:t xml:space="preserve"> органом </w:t>
      </w:r>
      <w:proofErr w:type="spellStart"/>
      <w:r w:rsidRPr="0080115C">
        <w:rPr>
          <w:lang w:val="ru-RU"/>
        </w:rPr>
        <w:t>іноземної</w:t>
      </w:r>
      <w:proofErr w:type="spellEnd"/>
      <w:r w:rsidRPr="0080115C">
        <w:rPr>
          <w:lang w:val="ru-RU"/>
        </w:rPr>
        <w:t xml:space="preserve"> </w:t>
      </w:r>
      <w:proofErr w:type="spellStart"/>
      <w:r w:rsidRPr="0080115C">
        <w:rPr>
          <w:lang w:val="ru-RU"/>
        </w:rPr>
        <w:t>держави</w:t>
      </w:r>
      <w:proofErr w:type="spellEnd"/>
      <w:r w:rsidRPr="0080115C">
        <w:rPr>
          <w:lang w:val="ru-RU"/>
        </w:rPr>
        <w:t xml:space="preserve">, </w:t>
      </w:r>
      <w:proofErr w:type="spellStart"/>
      <w:r w:rsidRPr="0080115C">
        <w:rPr>
          <w:lang w:val="ru-RU"/>
        </w:rPr>
        <w:t>що</w:t>
      </w:r>
      <w:proofErr w:type="spellEnd"/>
      <w:r w:rsidRPr="0080115C">
        <w:rPr>
          <w:lang w:val="ru-RU"/>
        </w:rPr>
        <w:t xml:space="preserve"> </w:t>
      </w:r>
      <w:proofErr w:type="spellStart"/>
      <w:r w:rsidRPr="0080115C">
        <w:rPr>
          <w:lang w:val="ru-RU"/>
        </w:rPr>
        <w:t>здійснює</w:t>
      </w:r>
      <w:proofErr w:type="spellEnd"/>
      <w:r w:rsidRPr="0080115C">
        <w:rPr>
          <w:lang w:val="ru-RU"/>
        </w:rPr>
        <w:t xml:space="preserve"> </w:t>
      </w:r>
      <w:proofErr w:type="spellStart"/>
      <w:r w:rsidRPr="0080115C">
        <w:rPr>
          <w:lang w:val="ru-RU"/>
        </w:rPr>
        <w:t>регулювання</w:t>
      </w:r>
      <w:proofErr w:type="spellEnd"/>
      <w:r w:rsidRPr="0080115C">
        <w:rPr>
          <w:lang w:val="ru-RU"/>
        </w:rPr>
        <w:t xml:space="preserve"> </w:t>
      </w:r>
      <w:proofErr w:type="spellStart"/>
      <w:r w:rsidRPr="0080115C">
        <w:rPr>
          <w:lang w:val="ru-RU"/>
        </w:rPr>
        <w:t>ринків</w:t>
      </w:r>
      <w:proofErr w:type="spellEnd"/>
      <w:r w:rsidRPr="0080115C">
        <w:rPr>
          <w:lang w:val="ru-RU"/>
        </w:rPr>
        <w:t xml:space="preserve"> </w:t>
      </w:r>
      <w:proofErr w:type="spellStart"/>
      <w:r w:rsidRPr="0080115C">
        <w:rPr>
          <w:lang w:val="ru-RU"/>
        </w:rPr>
        <w:t>фінансових</w:t>
      </w:r>
      <w:proofErr w:type="spellEnd"/>
      <w:r w:rsidRPr="0080115C">
        <w:rPr>
          <w:lang w:val="ru-RU"/>
        </w:rPr>
        <w:t xml:space="preserve"> </w:t>
      </w:r>
      <w:proofErr w:type="spellStart"/>
      <w:r w:rsidRPr="0080115C">
        <w:rPr>
          <w:lang w:val="ru-RU"/>
        </w:rPr>
        <w:t>послуг</w:t>
      </w:r>
      <w:proofErr w:type="spellEnd"/>
      <w:r w:rsidRPr="0080115C">
        <w:rPr>
          <w:lang w:val="ru-RU"/>
        </w:rPr>
        <w:t xml:space="preserve">, – </w:t>
      </w:r>
      <w:proofErr w:type="spellStart"/>
      <w:r w:rsidRPr="0080115C">
        <w:rPr>
          <w:lang w:val="ru-RU"/>
        </w:rPr>
        <w:t>щодо</w:t>
      </w:r>
      <w:proofErr w:type="spellEnd"/>
      <w:r w:rsidRPr="0080115C">
        <w:rPr>
          <w:lang w:val="ru-RU"/>
        </w:rPr>
        <w:t xml:space="preserve"> </w:t>
      </w:r>
      <w:proofErr w:type="spellStart"/>
      <w:r w:rsidRPr="0080115C">
        <w:rPr>
          <w:lang w:val="ru-RU"/>
        </w:rPr>
        <w:t>складових</w:t>
      </w:r>
      <w:proofErr w:type="spellEnd"/>
      <w:r w:rsidRPr="0080115C">
        <w:rPr>
          <w:lang w:val="ru-RU"/>
        </w:rPr>
        <w:t xml:space="preserve">, до </w:t>
      </w:r>
      <w:proofErr w:type="spellStart"/>
      <w:r w:rsidRPr="0080115C">
        <w:rPr>
          <w:lang w:val="ru-RU"/>
        </w:rPr>
        <w:t>яких</w:t>
      </w:r>
      <w:proofErr w:type="spellEnd"/>
      <w:r w:rsidRPr="0080115C">
        <w:rPr>
          <w:lang w:val="ru-RU"/>
        </w:rPr>
        <w:t xml:space="preserve"> таким </w:t>
      </w:r>
      <w:proofErr w:type="spellStart"/>
      <w:r w:rsidRPr="0080115C">
        <w:rPr>
          <w:lang w:val="ru-RU"/>
        </w:rPr>
        <w:t>державним</w:t>
      </w:r>
      <w:proofErr w:type="spellEnd"/>
      <w:r w:rsidRPr="0080115C">
        <w:rPr>
          <w:lang w:val="ru-RU"/>
        </w:rPr>
        <w:t xml:space="preserve"> органом </w:t>
      </w:r>
      <w:proofErr w:type="spellStart"/>
      <w:r w:rsidRPr="0080115C">
        <w:rPr>
          <w:lang w:val="ru-RU"/>
        </w:rPr>
        <w:t>встановлені</w:t>
      </w:r>
      <w:proofErr w:type="spellEnd"/>
      <w:r w:rsidRPr="0080115C">
        <w:rPr>
          <w:lang w:val="ru-RU"/>
        </w:rPr>
        <w:t xml:space="preserve"> </w:t>
      </w:r>
      <w:proofErr w:type="spellStart"/>
      <w:r w:rsidR="00944D12">
        <w:rPr>
          <w:lang w:val="ru-RU"/>
        </w:rPr>
        <w:t>більш</w:t>
      </w:r>
      <w:proofErr w:type="spellEnd"/>
      <w:r w:rsidR="00944D12">
        <w:rPr>
          <w:lang w:val="ru-RU"/>
        </w:rPr>
        <w:t xml:space="preserve"> </w:t>
      </w:r>
      <w:proofErr w:type="spellStart"/>
      <w:r w:rsidRPr="0080115C">
        <w:rPr>
          <w:lang w:val="ru-RU"/>
        </w:rPr>
        <w:t>консервативні</w:t>
      </w:r>
      <w:proofErr w:type="spellEnd"/>
      <w:r w:rsidRPr="0080115C">
        <w:rPr>
          <w:lang w:val="ru-RU"/>
        </w:rPr>
        <w:t xml:space="preserve"> </w:t>
      </w:r>
      <w:proofErr w:type="spellStart"/>
      <w:r w:rsidRPr="0080115C">
        <w:rPr>
          <w:lang w:val="ru-RU"/>
        </w:rPr>
        <w:t>вимоги</w:t>
      </w:r>
      <w:proofErr w:type="spellEnd"/>
      <w:r w:rsidRPr="0080115C">
        <w:rPr>
          <w:lang w:val="ru-RU"/>
        </w:rPr>
        <w:t>;</w:t>
      </w:r>
    </w:p>
    <w:p w14:paraId="3C14BAD2" w14:textId="77777777" w:rsidR="00A316C3" w:rsidRPr="00973C63" w:rsidRDefault="00A316C3" w:rsidP="00A316C3">
      <w:pPr>
        <w:shd w:val="clear" w:color="auto" w:fill="FFFFFF" w:themeFill="background1"/>
        <w:tabs>
          <w:tab w:val="left" w:pos="851"/>
        </w:tabs>
        <w:ind w:firstLine="567"/>
        <w:rPr>
          <w:lang w:val="ru-RU"/>
        </w:rPr>
      </w:pPr>
    </w:p>
    <w:p w14:paraId="13799BD1" w14:textId="5E392E7C" w:rsidR="000B2D33" w:rsidRPr="00973C63" w:rsidRDefault="000B2D33" w:rsidP="000B2D33">
      <w:pPr>
        <w:shd w:val="clear" w:color="auto" w:fill="FFFFFF" w:themeFill="background1"/>
        <w:tabs>
          <w:tab w:val="left" w:pos="851"/>
        </w:tabs>
        <w:ind w:firstLine="567"/>
        <w:rPr>
          <w:lang w:val="ru-RU"/>
        </w:rPr>
      </w:pPr>
      <w:r w:rsidRPr="00973C63">
        <w:rPr>
          <w:lang w:val="ru-RU"/>
        </w:rPr>
        <w:t xml:space="preserve">2) ВЛА </w:t>
      </w:r>
      <w:proofErr w:type="spellStart"/>
      <w:r w:rsidRPr="00973C63">
        <w:rPr>
          <w:lang w:val="ru-RU"/>
        </w:rPr>
        <w:t>Іноземного</w:t>
      </w:r>
      <w:proofErr w:type="spellEnd"/>
      <w:r w:rsidRPr="00973C63">
        <w:rPr>
          <w:lang w:val="ru-RU"/>
        </w:rPr>
        <w:t xml:space="preserve"> </w:t>
      </w:r>
      <w:proofErr w:type="spellStart"/>
      <w:r w:rsidRPr="00973C63">
        <w:rPr>
          <w:lang w:val="ru-RU"/>
        </w:rPr>
        <w:t>учасника</w:t>
      </w:r>
      <w:proofErr w:type="spellEnd"/>
      <w:r w:rsidRPr="00973C63">
        <w:rPr>
          <w:lang w:val="ru-RU"/>
        </w:rPr>
        <w:t xml:space="preserve"> у </w:t>
      </w:r>
      <w:proofErr w:type="spellStart"/>
      <w:r w:rsidRPr="00973C63">
        <w:rPr>
          <w:lang w:val="ru-RU"/>
        </w:rPr>
        <w:t>сумі</w:t>
      </w:r>
      <w:proofErr w:type="spellEnd"/>
      <w:r w:rsidRPr="00973C63">
        <w:rPr>
          <w:lang w:val="ru-RU"/>
        </w:rPr>
        <w:t xml:space="preserve">, яка не </w:t>
      </w:r>
      <w:proofErr w:type="spellStart"/>
      <w:r w:rsidRPr="00973C63">
        <w:rPr>
          <w:lang w:val="ru-RU"/>
        </w:rPr>
        <w:t>перевищує</w:t>
      </w:r>
      <w:proofErr w:type="spellEnd"/>
      <w:r w:rsidRPr="00973C63">
        <w:rPr>
          <w:lang w:val="ru-RU"/>
        </w:rPr>
        <w:t xml:space="preserve"> </w:t>
      </w:r>
      <w:proofErr w:type="spellStart"/>
      <w:r w:rsidRPr="00973C63">
        <w:rPr>
          <w:lang w:val="ru-RU"/>
        </w:rPr>
        <w:t>сукупний</w:t>
      </w:r>
      <w:proofErr w:type="spellEnd"/>
      <w:r w:rsidRPr="00973C63">
        <w:rPr>
          <w:lang w:val="ru-RU"/>
        </w:rPr>
        <w:t xml:space="preserve"> </w:t>
      </w:r>
      <w:proofErr w:type="spellStart"/>
      <w:r w:rsidRPr="00973C63">
        <w:rPr>
          <w:lang w:val="ru-RU"/>
        </w:rPr>
        <w:t>розмір</w:t>
      </w:r>
      <w:proofErr w:type="spellEnd"/>
      <w:r w:rsidRPr="00973C63">
        <w:rPr>
          <w:lang w:val="ru-RU"/>
        </w:rPr>
        <w:t xml:space="preserve"> </w:t>
      </w:r>
      <w:proofErr w:type="spellStart"/>
      <w:r w:rsidRPr="00973C63">
        <w:rPr>
          <w:lang w:val="ru-RU"/>
        </w:rPr>
        <w:t>чистих</w:t>
      </w:r>
      <w:proofErr w:type="spellEnd"/>
      <w:r w:rsidRPr="00973C63">
        <w:rPr>
          <w:lang w:val="ru-RU"/>
        </w:rPr>
        <w:t xml:space="preserve"> </w:t>
      </w:r>
      <w:proofErr w:type="spellStart"/>
      <w:r w:rsidRPr="00973C63">
        <w:rPr>
          <w:lang w:val="ru-RU"/>
        </w:rPr>
        <w:t>очікуваних</w:t>
      </w:r>
      <w:proofErr w:type="spellEnd"/>
      <w:r w:rsidRPr="00973C63">
        <w:rPr>
          <w:lang w:val="ru-RU"/>
        </w:rPr>
        <w:t xml:space="preserve"> </w:t>
      </w:r>
      <w:proofErr w:type="spellStart"/>
      <w:r w:rsidRPr="00973C63">
        <w:rPr>
          <w:lang w:val="ru-RU"/>
        </w:rPr>
        <w:t>відпливів</w:t>
      </w:r>
      <w:proofErr w:type="spellEnd"/>
      <w:r w:rsidRPr="00973C63">
        <w:rPr>
          <w:lang w:val="ru-RU"/>
        </w:rPr>
        <w:t xml:space="preserve"> </w:t>
      </w:r>
      <w:proofErr w:type="spellStart"/>
      <w:r w:rsidRPr="00973C63">
        <w:rPr>
          <w:lang w:val="ru-RU"/>
        </w:rPr>
        <w:t>грошових</w:t>
      </w:r>
      <w:proofErr w:type="spellEnd"/>
      <w:r w:rsidRPr="00973C63">
        <w:rPr>
          <w:lang w:val="ru-RU"/>
        </w:rPr>
        <w:t xml:space="preserve"> </w:t>
      </w:r>
      <w:proofErr w:type="spellStart"/>
      <w:r w:rsidRPr="00973C63">
        <w:rPr>
          <w:lang w:val="ru-RU"/>
        </w:rPr>
        <w:t>коштів</w:t>
      </w:r>
      <w:proofErr w:type="spellEnd"/>
      <w:r w:rsidRPr="00973C63">
        <w:rPr>
          <w:lang w:val="ru-RU"/>
        </w:rPr>
        <w:t xml:space="preserve"> </w:t>
      </w:r>
      <w:proofErr w:type="spellStart"/>
      <w:r w:rsidRPr="00973C63">
        <w:rPr>
          <w:lang w:val="ru-RU"/>
        </w:rPr>
        <w:t>цього</w:t>
      </w:r>
      <w:proofErr w:type="spellEnd"/>
      <w:r w:rsidRPr="00973C63">
        <w:rPr>
          <w:lang w:val="ru-RU"/>
        </w:rPr>
        <w:t xml:space="preserve"> </w:t>
      </w:r>
      <w:proofErr w:type="spellStart"/>
      <w:r w:rsidRPr="00973C63">
        <w:rPr>
          <w:lang w:val="ru-RU"/>
        </w:rPr>
        <w:t>Іноземного</w:t>
      </w:r>
      <w:proofErr w:type="spellEnd"/>
      <w:r w:rsidRPr="00973C63">
        <w:rPr>
          <w:lang w:val="ru-RU"/>
        </w:rPr>
        <w:t xml:space="preserve"> </w:t>
      </w:r>
      <w:proofErr w:type="spellStart"/>
      <w:r w:rsidRPr="00973C63">
        <w:rPr>
          <w:lang w:val="ru-RU"/>
        </w:rPr>
        <w:t>учасника</w:t>
      </w:r>
      <w:proofErr w:type="spellEnd"/>
      <w:r w:rsidRPr="00973C63">
        <w:rPr>
          <w:lang w:val="ru-RU"/>
        </w:rPr>
        <w:t xml:space="preserve">, </w:t>
      </w:r>
      <w:r w:rsidR="00BB5DDF" w:rsidRPr="00973C63">
        <w:rPr>
          <w:lang w:val="ru-RU"/>
        </w:rPr>
        <w:t>–</w:t>
      </w:r>
      <w:r w:rsidRPr="00973C63">
        <w:rPr>
          <w:lang w:val="ru-RU"/>
        </w:rPr>
        <w:t xml:space="preserve"> </w:t>
      </w:r>
      <w:proofErr w:type="spellStart"/>
      <w:r w:rsidRPr="00973C63">
        <w:rPr>
          <w:lang w:val="ru-RU"/>
        </w:rPr>
        <w:t>якщо</w:t>
      </w:r>
      <w:proofErr w:type="spellEnd"/>
      <w:r w:rsidRPr="00973C63">
        <w:rPr>
          <w:lang w:val="ru-RU"/>
        </w:rPr>
        <w:t xml:space="preserve"> </w:t>
      </w:r>
      <w:r w:rsidR="000B2496">
        <w:rPr>
          <w:lang w:val="ru-RU"/>
        </w:rPr>
        <w:t>є</w:t>
      </w:r>
      <w:r w:rsidR="000B2496" w:rsidRPr="00973C63">
        <w:rPr>
          <w:lang w:val="ru-RU"/>
        </w:rPr>
        <w:t xml:space="preserve"> </w:t>
      </w:r>
      <w:proofErr w:type="spellStart"/>
      <w:r w:rsidRPr="00973C63">
        <w:rPr>
          <w:lang w:val="ru-RU"/>
        </w:rPr>
        <w:t>обмеження</w:t>
      </w:r>
      <w:proofErr w:type="spellEnd"/>
      <w:r w:rsidRPr="00973C63">
        <w:rPr>
          <w:lang w:val="ru-RU"/>
        </w:rPr>
        <w:t xml:space="preserve"> на </w:t>
      </w:r>
      <w:proofErr w:type="spellStart"/>
      <w:r w:rsidRPr="00973C63">
        <w:rPr>
          <w:lang w:val="ru-RU"/>
        </w:rPr>
        <w:t>передавання</w:t>
      </w:r>
      <w:proofErr w:type="spellEnd"/>
      <w:r w:rsidRPr="00973C63">
        <w:rPr>
          <w:lang w:val="ru-RU"/>
        </w:rPr>
        <w:t xml:space="preserve"> </w:t>
      </w:r>
      <w:proofErr w:type="spellStart"/>
      <w:r w:rsidR="00707A4B">
        <w:rPr>
          <w:lang w:val="ru-RU"/>
        </w:rPr>
        <w:t>активів</w:t>
      </w:r>
      <w:proofErr w:type="spellEnd"/>
      <w:r w:rsidR="00707A4B" w:rsidRPr="00973C63">
        <w:rPr>
          <w:lang w:val="ru-RU"/>
        </w:rPr>
        <w:t xml:space="preserve"> </w:t>
      </w:r>
      <w:proofErr w:type="spellStart"/>
      <w:r w:rsidRPr="00973C63">
        <w:rPr>
          <w:lang w:val="ru-RU"/>
        </w:rPr>
        <w:t>від</w:t>
      </w:r>
      <w:proofErr w:type="spellEnd"/>
      <w:r w:rsidRPr="00973C63">
        <w:rPr>
          <w:lang w:val="ru-RU"/>
        </w:rPr>
        <w:t xml:space="preserve"> </w:t>
      </w:r>
      <w:proofErr w:type="spellStart"/>
      <w:r w:rsidRPr="00973C63">
        <w:rPr>
          <w:lang w:val="ru-RU"/>
        </w:rPr>
        <w:t>Іноземного</w:t>
      </w:r>
      <w:proofErr w:type="spellEnd"/>
      <w:r w:rsidRPr="00973C63">
        <w:rPr>
          <w:lang w:val="ru-RU"/>
        </w:rPr>
        <w:t xml:space="preserve"> </w:t>
      </w:r>
      <w:proofErr w:type="spellStart"/>
      <w:r w:rsidRPr="00973C63">
        <w:rPr>
          <w:lang w:val="ru-RU"/>
        </w:rPr>
        <w:t>учасника</w:t>
      </w:r>
      <w:proofErr w:type="spellEnd"/>
      <w:r w:rsidRPr="00973C63">
        <w:rPr>
          <w:lang w:val="ru-RU"/>
        </w:rPr>
        <w:t xml:space="preserve"> до </w:t>
      </w:r>
      <w:proofErr w:type="spellStart"/>
      <w:r w:rsidRPr="00973C63">
        <w:rPr>
          <w:lang w:val="ru-RU"/>
        </w:rPr>
        <w:t>інших</w:t>
      </w:r>
      <w:proofErr w:type="spellEnd"/>
      <w:r w:rsidRPr="00973C63">
        <w:rPr>
          <w:lang w:val="ru-RU"/>
        </w:rPr>
        <w:t xml:space="preserve"> </w:t>
      </w:r>
      <w:proofErr w:type="spellStart"/>
      <w:r w:rsidRPr="00973C63">
        <w:rPr>
          <w:lang w:val="ru-RU"/>
        </w:rPr>
        <w:t>учасників</w:t>
      </w:r>
      <w:proofErr w:type="spellEnd"/>
      <w:r w:rsidRPr="00973C63">
        <w:rPr>
          <w:lang w:val="ru-RU"/>
        </w:rPr>
        <w:t xml:space="preserve"> кредитно-</w:t>
      </w:r>
      <w:proofErr w:type="spellStart"/>
      <w:r w:rsidRPr="00973C63">
        <w:rPr>
          <w:lang w:val="ru-RU"/>
        </w:rPr>
        <w:t>інвестиційної</w:t>
      </w:r>
      <w:proofErr w:type="spellEnd"/>
      <w:r w:rsidRPr="00973C63">
        <w:rPr>
          <w:lang w:val="ru-RU"/>
        </w:rPr>
        <w:t xml:space="preserve"> </w:t>
      </w:r>
      <w:proofErr w:type="spellStart"/>
      <w:r w:rsidRPr="00973C63">
        <w:rPr>
          <w:lang w:val="ru-RU"/>
        </w:rPr>
        <w:t>підгрупи</w:t>
      </w:r>
      <w:proofErr w:type="spellEnd"/>
      <w:r w:rsidRPr="00973C63">
        <w:rPr>
          <w:lang w:val="ru-RU"/>
        </w:rPr>
        <w:t xml:space="preserve">, </w:t>
      </w:r>
      <w:proofErr w:type="spellStart"/>
      <w:r w:rsidRPr="00973C63">
        <w:rPr>
          <w:lang w:val="ru-RU"/>
        </w:rPr>
        <w:t>зареєстрованих</w:t>
      </w:r>
      <w:proofErr w:type="spellEnd"/>
      <w:r w:rsidRPr="00973C63">
        <w:rPr>
          <w:lang w:val="ru-RU"/>
        </w:rPr>
        <w:t xml:space="preserve"> в </w:t>
      </w:r>
      <w:proofErr w:type="spellStart"/>
      <w:r w:rsidRPr="00973C63">
        <w:rPr>
          <w:lang w:val="ru-RU"/>
        </w:rPr>
        <w:t>Україні</w:t>
      </w:r>
      <w:proofErr w:type="spellEnd"/>
      <w:r w:rsidRPr="00973C63">
        <w:rPr>
          <w:lang w:val="ru-RU"/>
        </w:rPr>
        <w:t>.</w:t>
      </w:r>
    </w:p>
    <w:p w14:paraId="3B5B67A9" w14:textId="77777777" w:rsidR="000B2D33" w:rsidRPr="00973C63" w:rsidRDefault="000B2D33" w:rsidP="000B2D33">
      <w:pPr>
        <w:shd w:val="clear" w:color="auto" w:fill="FFFFFF" w:themeFill="background1"/>
        <w:tabs>
          <w:tab w:val="left" w:pos="851"/>
        </w:tabs>
        <w:ind w:firstLine="567"/>
        <w:rPr>
          <w:lang w:val="ru-RU"/>
        </w:rPr>
      </w:pPr>
    </w:p>
    <w:p w14:paraId="3CA483DB" w14:textId="7DA076F0" w:rsidR="000B2D33" w:rsidRPr="00EF38AE" w:rsidRDefault="000B2D33" w:rsidP="000B2D33">
      <w:pPr>
        <w:shd w:val="clear" w:color="auto" w:fill="FFFFFF" w:themeFill="background1"/>
        <w:tabs>
          <w:tab w:val="left" w:pos="851"/>
        </w:tabs>
        <w:ind w:firstLine="567"/>
        <w:rPr>
          <w:lang w:val="ru-RU"/>
        </w:rPr>
      </w:pPr>
      <w:r w:rsidRPr="00973C63">
        <w:rPr>
          <w:lang w:val="ru-RU"/>
        </w:rPr>
        <w:t xml:space="preserve">5. </w:t>
      </w:r>
      <w:proofErr w:type="spellStart"/>
      <w:r w:rsidRPr="00973C63">
        <w:rPr>
          <w:lang w:val="ru-RU"/>
        </w:rPr>
        <w:t>Розрахунок</w:t>
      </w:r>
      <w:proofErr w:type="spellEnd"/>
      <w:r w:rsidRPr="00973C63">
        <w:rPr>
          <w:lang w:val="ru-RU"/>
        </w:rPr>
        <w:t xml:space="preserve"> коефіцієнта </w:t>
      </w:r>
      <w:proofErr w:type="spellStart"/>
      <w:r w:rsidRPr="00973C63">
        <w:rPr>
          <w:lang w:val="ru-RU"/>
        </w:rPr>
        <w:t>покриття</w:t>
      </w:r>
      <w:proofErr w:type="spellEnd"/>
      <w:r w:rsidRPr="00973C63">
        <w:rPr>
          <w:lang w:val="ru-RU"/>
        </w:rPr>
        <w:t xml:space="preserve"> </w:t>
      </w:r>
      <w:proofErr w:type="spellStart"/>
      <w:r w:rsidRPr="00973C63">
        <w:rPr>
          <w:lang w:val="ru-RU"/>
        </w:rPr>
        <w:t>ліквідністю</w:t>
      </w:r>
      <w:proofErr w:type="spellEnd"/>
      <w:r w:rsidRPr="00973C63">
        <w:rPr>
          <w:lang w:val="ru-RU"/>
        </w:rPr>
        <w:t xml:space="preserve"> за </w:t>
      </w:r>
      <w:proofErr w:type="spellStart"/>
      <w:r w:rsidRPr="00973C63">
        <w:rPr>
          <w:lang w:val="ru-RU"/>
        </w:rPr>
        <w:t>всіма</w:t>
      </w:r>
      <w:proofErr w:type="spellEnd"/>
      <w:r w:rsidRPr="00973C63">
        <w:rPr>
          <w:lang w:val="ru-RU"/>
        </w:rPr>
        <w:t xml:space="preserve"> валютами (</w:t>
      </w:r>
      <w:proofErr w:type="spellStart"/>
      <w:r w:rsidRPr="00973C63">
        <w:rPr>
          <w:lang w:val="ru-RU"/>
        </w:rPr>
        <w:t>LCR</w:t>
      </w:r>
      <w:r w:rsidRPr="00973C63">
        <w:rPr>
          <w:vertAlign w:val="subscript"/>
          <w:lang w:val="ru-RU"/>
        </w:rPr>
        <w:t>BB</w:t>
      </w:r>
      <w:r w:rsidRPr="00973C63">
        <w:rPr>
          <w:lang w:val="ru-RU"/>
        </w:rPr>
        <w:t>к</w:t>
      </w:r>
      <w:proofErr w:type="spellEnd"/>
      <w:r w:rsidRPr="00973C63">
        <w:rPr>
          <w:lang w:val="ru-RU"/>
        </w:rPr>
        <w:t xml:space="preserve">) та коефіцієнта </w:t>
      </w:r>
      <w:proofErr w:type="spellStart"/>
      <w:r w:rsidRPr="00973C63">
        <w:rPr>
          <w:lang w:val="ru-RU"/>
        </w:rPr>
        <w:t>покриття</w:t>
      </w:r>
      <w:proofErr w:type="spellEnd"/>
      <w:r w:rsidRPr="00973C63">
        <w:rPr>
          <w:lang w:val="ru-RU"/>
        </w:rPr>
        <w:t xml:space="preserve"> </w:t>
      </w:r>
      <w:proofErr w:type="spellStart"/>
      <w:r w:rsidRPr="00973C63">
        <w:rPr>
          <w:lang w:val="ru-RU"/>
        </w:rPr>
        <w:t>ліквідністю</w:t>
      </w:r>
      <w:proofErr w:type="spellEnd"/>
      <w:r w:rsidRPr="00973C63">
        <w:rPr>
          <w:lang w:val="ru-RU"/>
        </w:rPr>
        <w:t xml:space="preserve"> </w:t>
      </w:r>
      <w:r w:rsidR="0091539A">
        <w:rPr>
          <w:lang w:val="ru-RU"/>
        </w:rPr>
        <w:t xml:space="preserve">за </w:t>
      </w:r>
      <w:proofErr w:type="spellStart"/>
      <w:r w:rsidR="0091539A">
        <w:rPr>
          <w:lang w:val="ru-RU"/>
        </w:rPr>
        <w:t>іноземними</w:t>
      </w:r>
      <w:proofErr w:type="spellEnd"/>
      <w:r w:rsidR="0091539A">
        <w:rPr>
          <w:lang w:val="ru-RU"/>
        </w:rPr>
        <w:t xml:space="preserve"> валютами</w:t>
      </w:r>
      <w:r w:rsidR="0091539A" w:rsidRPr="00973C63">
        <w:rPr>
          <w:lang w:val="ru-RU"/>
        </w:rPr>
        <w:t xml:space="preserve"> </w:t>
      </w:r>
      <w:r w:rsidRPr="00973C63">
        <w:rPr>
          <w:lang w:val="ru-RU"/>
        </w:rPr>
        <w:t>(</w:t>
      </w:r>
      <w:proofErr w:type="spellStart"/>
      <w:r w:rsidRPr="00973C63">
        <w:rPr>
          <w:lang w:val="ru-RU"/>
        </w:rPr>
        <w:t>LCR</w:t>
      </w:r>
      <w:r w:rsidRPr="00973C63">
        <w:rPr>
          <w:vertAlign w:val="subscript"/>
          <w:lang w:val="ru-RU"/>
        </w:rPr>
        <w:t>IB</w:t>
      </w:r>
      <w:r w:rsidRPr="00973C63">
        <w:rPr>
          <w:lang w:val="ru-RU"/>
        </w:rPr>
        <w:t>к</w:t>
      </w:r>
      <w:proofErr w:type="spellEnd"/>
      <w:r w:rsidRPr="00973C63">
        <w:rPr>
          <w:lang w:val="ru-RU"/>
        </w:rPr>
        <w:t xml:space="preserve">) </w:t>
      </w:r>
      <w:proofErr w:type="spellStart"/>
      <w:r w:rsidRPr="00973C63">
        <w:rPr>
          <w:lang w:val="ru-RU"/>
        </w:rPr>
        <w:t>здійснюється</w:t>
      </w:r>
      <w:proofErr w:type="spellEnd"/>
      <w:r w:rsidRPr="00973C63">
        <w:rPr>
          <w:lang w:val="ru-RU"/>
        </w:rPr>
        <w:t xml:space="preserve"> </w:t>
      </w:r>
      <w:r w:rsidRPr="00EF38AE">
        <w:rPr>
          <w:lang w:val="ru-RU"/>
        </w:rPr>
        <w:t xml:space="preserve">за </w:t>
      </w:r>
      <w:proofErr w:type="spellStart"/>
      <w:r w:rsidRPr="00EF38AE">
        <w:rPr>
          <w:lang w:val="ru-RU"/>
        </w:rPr>
        <w:t>даними</w:t>
      </w:r>
      <w:proofErr w:type="spellEnd"/>
      <w:r w:rsidRPr="00EF38AE">
        <w:rPr>
          <w:lang w:val="ru-RU"/>
        </w:rPr>
        <w:t xml:space="preserve"> </w:t>
      </w:r>
      <w:proofErr w:type="spellStart"/>
      <w:r w:rsidRPr="00EF38AE">
        <w:rPr>
          <w:lang w:val="ru-RU"/>
        </w:rPr>
        <w:t>субконсолідованого</w:t>
      </w:r>
      <w:proofErr w:type="spellEnd"/>
      <w:r w:rsidRPr="00EF38AE">
        <w:rPr>
          <w:lang w:val="ru-RU"/>
        </w:rPr>
        <w:t xml:space="preserve"> балансу кредитно-</w:t>
      </w:r>
      <w:proofErr w:type="spellStart"/>
      <w:r w:rsidRPr="00EF38AE">
        <w:rPr>
          <w:lang w:val="ru-RU"/>
        </w:rPr>
        <w:t>інвестиційної</w:t>
      </w:r>
      <w:proofErr w:type="spellEnd"/>
      <w:r w:rsidRPr="00EF38AE">
        <w:rPr>
          <w:lang w:val="ru-RU"/>
        </w:rPr>
        <w:t xml:space="preserve"> </w:t>
      </w:r>
      <w:proofErr w:type="spellStart"/>
      <w:r w:rsidRPr="00EF38AE">
        <w:rPr>
          <w:lang w:val="ru-RU"/>
        </w:rPr>
        <w:t>підгрупи</w:t>
      </w:r>
      <w:proofErr w:type="spellEnd"/>
      <w:r w:rsidRPr="00EF38AE">
        <w:rPr>
          <w:lang w:val="ru-RU"/>
        </w:rPr>
        <w:t xml:space="preserve"> та </w:t>
      </w:r>
      <w:proofErr w:type="spellStart"/>
      <w:r w:rsidRPr="00EF38AE">
        <w:rPr>
          <w:lang w:val="ru-RU"/>
        </w:rPr>
        <w:t>інформації</w:t>
      </w:r>
      <w:proofErr w:type="spellEnd"/>
      <w:r w:rsidRPr="00EF38AE">
        <w:rPr>
          <w:lang w:val="ru-RU"/>
        </w:rPr>
        <w:t xml:space="preserve"> про </w:t>
      </w:r>
      <w:proofErr w:type="spellStart"/>
      <w:r w:rsidRPr="00EF38AE">
        <w:rPr>
          <w:lang w:val="ru-RU"/>
        </w:rPr>
        <w:t>відпливи</w:t>
      </w:r>
      <w:proofErr w:type="spellEnd"/>
      <w:r w:rsidRPr="00EF38AE">
        <w:rPr>
          <w:lang w:val="ru-RU"/>
        </w:rPr>
        <w:t xml:space="preserve"> та </w:t>
      </w:r>
      <w:proofErr w:type="spellStart"/>
      <w:r w:rsidRPr="00EF38AE">
        <w:rPr>
          <w:lang w:val="ru-RU"/>
        </w:rPr>
        <w:t>надходження</w:t>
      </w:r>
      <w:proofErr w:type="spellEnd"/>
      <w:r w:rsidRPr="00EF38AE">
        <w:rPr>
          <w:lang w:val="ru-RU"/>
        </w:rPr>
        <w:t xml:space="preserve"> </w:t>
      </w:r>
      <w:proofErr w:type="spellStart"/>
      <w:r w:rsidRPr="00EF38AE">
        <w:rPr>
          <w:lang w:val="ru-RU"/>
        </w:rPr>
        <w:t>грошових</w:t>
      </w:r>
      <w:proofErr w:type="spellEnd"/>
      <w:r w:rsidRPr="00EF38AE">
        <w:rPr>
          <w:lang w:val="ru-RU"/>
        </w:rPr>
        <w:t xml:space="preserve"> </w:t>
      </w:r>
      <w:proofErr w:type="spellStart"/>
      <w:r w:rsidRPr="00EF38AE">
        <w:rPr>
          <w:lang w:val="ru-RU"/>
        </w:rPr>
        <w:t>коштів</w:t>
      </w:r>
      <w:proofErr w:type="spellEnd"/>
      <w:r w:rsidRPr="00EF38AE">
        <w:rPr>
          <w:lang w:val="ru-RU"/>
        </w:rPr>
        <w:t xml:space="preserve">, </w:t>
      </w:r>
      <w:proofErr w:type="spellStart"/>
      <w:r w:rsidRPr="00EF38AE">
        <w:rPr>
          <w:lang w:val="ru-RU"/>
        </w:rPr>
        <w:t>які</w:t>
      </w:r>
      <w:proofErr w:type="spellEnd"/>
      <w:r w:rsidRPr="00EF38AE">
        <w:rPr>
          <w:lang w:val="ru-RU"/>
        </w:rPr>
        <w:t xml:space="preserve"> </w:t>
      </w:r>
      <w:proofErr w:type="spellStart"/>
      <w:r w:rsidRPr="00EF38AE">
        <w:rPr>
          <w:lang w:val="ru-RU"/>
        </w:rPr>
        <w:t>очікуються</w:t>
      </w:r>
      <w:proofErr w:type="spellEnd"/>
      <w:r w:rsidRPr="00EF38AE">
        <w:rPr>
          <w:lang w:val="ru-RU"/>
        </w:rPr>
        <w:t xml:space="preserve"> </w:t>
      </w:r>
      <w:proofErr w:type="spellStart"/>
      <w:r w:rsidRPr="00EF38AE">
        <w:rPr>
          <w:lang w:val="ru-RU"/>
        </w:rPr>
        <w:t>протягом</w:t>
      </w:r>
      <w:proofErr w:type="spellEnd"/>
      <w:r w:rsidRPr="00EF38AE">
        <w:rPr>
          <w:lang w:val="ru-RU"/>
        </w:rPr>
        <w:t xml:space="preserve"> 30 </w:t>
      </w:r>
      <w:proofErr w:type="spellStart"/>
      <w:r w:rsidRPr="00EF38AE">
        <w:rPr>
          <w:lang w:val="ru-RU"/>
        </w:rPr>
        <w:t>календарних</w:t>
      </w:r>
      <w:proofErr w:type="spellEnd"/>
      <w:r w:rsidRPr="00EF38AE">
        <w:rPr>
          <w:lang w:val="ru-RU"/>
        </w:rPr>
        <w:t xml:space="preserve"> </w:t>
      </w:r>
      <w:proofErr w:type="spellStart"/>
      <w:r w:rsidRPr="00EF38AE">
        <w:rPr>
          <w:lang w:val="ru-RU"/>
        </w:rPr>
        <w:t>днів</w:t>
      </w:r>
      <w:proofErr w:type="spellEnd"/>
      <w:r w:rsidRPr="00EF38AE">
        <w:rPr>
          <w:lang w:val="ru-RU"/>
        </w:rPr>
        <w:t xml:space="preserve"> </w:t>
      </w:r>
      <w:proofErr w:type="spellStart"/>
      <w:r w:rsidRPr="00EF38AE">
        <w:rPr>
          <w:lang w:val="ru-RU"/>
        </w:rPr>
        <w:t>згідно</w:t>
      </w:r>
      <w:proofErr w:type="spellEnd"/>
      <w:r w:rsidRPr="00EF38AE">
        <w:rPr>
          <w:lang w:val="ru-RU"/>
        </w:rPr>
        <w:t xml:space="preserve"> з </w:t>
      </w:r>
      <w:proofErr w:type="spellStart"/>
      <w:r w:rsidRPr="00EF38AE">
        <w:rPr>
          <w:lang w:val="ru-RU"/>
        </w:rPr>
        <w:t>умовами</w:t>
      </w:r>
      <w:proofErr w:type="spellEnd"/>
      <w:r w:rsidRPr="00EF38AE">
        <w:rPr>
          <w:lang w:val="ru-RU"/>
        </w:rPr>
        <w:t xml:space="preserve"> </w:t>
      </w:r>
      <w:proofErr w:type="spellStart"/>
      <w:r w:rsidRPr="00EF38AE">
        <w:rPr>
          <w:lang w:val="ru-RU"/>
        </w:rPr>
        <w:t>укладених</w:t>
      </w:r>
      <w:proofErr w:type="spellEnd"/>
      <w:r w:rsidRPr="00EF38AE">
        <w:rPr>
          <w:lang w:val="ru-RU"/>
        </w:rPr>
        <w:t xml:space="preserve"> </w:t>
      </w:r>
      <w:proofErr w:type="spellStart"/>
      <w:r w:rsidR="00FA1292" w:rsidRPr="00EF38AE">
        <w:rPr>
          <w:lang w:val="ru-RU"/>
        </w:rPr>
        <w:t>учасниками</w:t>
      </w:r>
      <w:proofErr w:type="spellEnd"/>
      <w:r w:rsidR="00FA1292" w:rsidRPr="00EF38AE">
        <w:rPr>
          <w:lang w:val="ru-RU"/>
        </w:rPr>
        <w:t xml:space="preserve"> кредитно-</w:t>
      </w:r>
      <w:proofErr w:type="spellStart"/>
      <w:r w:rsidR="00FA1292" w:rsidRPr="00EF38AE">
        <w:rPr>
          <w:lang w:val="ru-RU"/>
        </w:rPr>
        <w:t>інвестиційної</w:t>
      </w:r>
      <w:proofErr w:type="spellEnd"/>
      <w:r w:rsidR="00FA1292" w:rsidRPr="00EF38AE">
        <w:rPr>
          <w:lang w:val="ru-RU"/>
        </w:rPr>
        <w:t xml:space="preserve"> </w:t>
      </w:r>
      <w:proofErr w:type="spellStart"/>
      <w:r w:rsidR="00FA1292" w:rsidRPr="00EF38AE">
        <w:rPr>
          <w:lang w:val="ru-RU"/>
        </w:rPr>
        <w:t>підгрупи</w:t>
      </w:r>
      <w:proofErr w:type="spellEnd"/>
      <w:r w:rsidR="00FA1292" w:rsidRPr="00EF38AE">
        <w:rPr>
          <w:lang w:val="ru-RU"/>
        </w:rPr>
        <w:t xml:space="preserve"> </w:t>
      </w:r>
      <w:proofErr w:type="spellStart"/>
      <w:r w:rsidRPr="00EF38AE">
        <w:rPr>
          <w:lang w:val="ru-RU"/>
        </w:rPr>
        <w:t>договорів</w:t>
      </w:r>
      <w:proofErr w:type="spellEnd"/>
      <w:r w:rsidRPr="00EF38AE">
        <w:rPr>
          <w:lang w:val="ru-RU"/>
        </w:rPr>
        <w:t>/</w:t>
      </w:r>
      <w:proofErr w:type="spellStart"/>
      <w:r w:rsidRPr="00EF38AE">
        <w:rPr>
          <w:lang w:val="ru-RU"/>
        </w:rPr>
        <w:t>контрактів</w:t>
      </w:r>
      <w:proofErr w:type="spellEnd"/>
      <w:r w:rsidRPr="00EF38AE">
        <w:rPr>
          <w:lang w:val="ru-RU"/>
        </w:rPr>
        <w:t>.</w:t>
      </w:r>
    </w:p>
    <w:p w14:paraId="0E632AA6" w14:textId="77777777" w:rsidR="000B2D33" w:rsidRPr="00973C63" w:rsidRDefault="000B2D33" w:rsidP="000B2D33">
      <w:pPr>
        <w:shd w:val="clear" w:color="auto" w:fill="FFFFFF" w:themeFill="background1"/>
        <w:tabs>
          <w:tab w:val="left" w:pos="851"/>
        </w:tabs>
        <w:ind w:firstLine="567"/>
        <w:rPr>
          <w:lang w:val="ru-RU"/>
        </w:rPr>
      </w:pPr>
      <w:r w:rsidRPr="00EF38AE">
        <w:rPr>
          <w:lang w:val="ru-RU"/>
        </w:rPr>
        <w:t xml:space="preserve">До </w:t>
      </w:r>
      <w:proofErr w:type="spellStart"/>
      <w:r w:rsidRPr="00EF38AE">
        <w:rPr>
          <w:lang w:val="ru-RU"/>
        </w:rPr>
        <w:t>очікуваних</w:t>
      </w:r>
      <w:proofErr w:type="spellEnd"/>
      <w:r w:rsidRPr="00EF38AE">
        <w:rPr>
          <w:lang w:val="ru-RU"/>
        </w:rPr>
        <w:t xml:space="preserve"> </w:t>
      </w:r>
      <w:proofErr w:type="spellStart"/>
      <w:r w:rsidRPr="00EF38AE">
        <w:rPr>
          <w:lang w:val="ru-RU"/>
        </w:rPr>
        <w:t>відпливів</w:t>
      </w:r>
      <w:proofErr w:type="spellEnd"/>
      <w:r w:rsidRPr="00973C63">
        <w:rPr>
          <w:lang w:val="ru-RU"/>
        </w:rPr>
        <w:t xml:space="preserve"> та </w:t>
      </w:r>
      <w:proofErr w:type="spellStart"/>
      <w:r w:rsidRPr="00973C63">
        <w:rPr>
          <w:lang w:val="ru-RU"/>
        </w:rPr>
        <w:t>надходжень</w:t>
      </w:r>
      <w:proofErr w:type="spellEnd"/>
      <w:r w:rsidRPr="00973C63">
        <w:rPr>
          <w:lang w:val="ru-RU"/>
        </w:rPr>
        <w:t xml:space="preserve"> </w:t>
      </w:r>
      <w:proofErr w:type="spellStart"/>
      <w:r w:rsidRPr="00973C63">
        <w:rPr>
          <w:lang w:val="ru-RU"/>
        </w:rPr>
        <w:t>грошових</w:t>
      </w:r>
      <w:proofErr w:type="spellEnd"/>
      <w:r w:rsidRPr="00973C63">
        <w:rPr>
          <w:lang w:val="ru-RU"/>
        </w:rPr>
        <w:t xml:space="preserve"> </w:t>
      </w:r>
      <w:proofErr w:type="spellStart"/>
      <w:r w:rsidRPr="00973C63">
        <w:rPr>
          <w:lang w:val="ru-RU"/>
        </w:rPr>
        <w:t>коштів</w:t>
      </w:r>
      <w:proofErr w:type="spellEnd"/>
      <w:r w:rsidRPr="00973C63">
        <w:rPr>
          <w:lang w:val="ru-RU"/>
        </w:rPr>
        <w:t xml:space="preserve"> не </w:t>
      </w:r>
      <w:proofErr w:type="spellStart"/>
      <w:r w:rsidRPr="00973C63">
        <w:rPr>
          <w:lang w:val="ru-RU"/>
        </w:rPr>
        <w:t>включаються</w:t>
      </w:r>
      <w:proofErr w:type="spellEnd"/>
      <w:r w:rsidRPr="00973C63">
        <w:rPr>
          <w:lang w:val="ru-RU"/>
        </w:rPr>
        <w:t xml:space="preserve"> </w:t>
      </w:r>
      <w:proofErr w:type="spellStart"/>
      <w:r w:rsidRPr="00973C63">
        <w:rPr>
          <w:lang w:val="ru-RU"/>
        </w:rPr>
        <w:t>внутрішньогрупові</w:t>
      </w:r>
      <w:proofErr w:type="spellEnd"/>
      <w:r w:rsidRPr="00973C63">
        <w:rPr>
          <w:lang w:val="ru-RU"/>
        </w:rPr>
        <w:t xml:space="preserve"> </w:t>
      </w:r>
      <w:proofErr w:type="spellStart"/>
      <w:r w:rsidRPr="00973C63">
        <w:rPr>
          <w:lang w:val="ru-RU"/>
        </w:rPr>
        <w:t>операції</w:t>
      </w:r>
      <w:proofErr w:type="spellEnd"/>
      <w:r w:rsidRPr="00973C63">
        <w:rPr>
          <w:lang w:val="ru-RU"/>
        </w:rPr>
        <w:t xml:space="preserve"> </w:t>
      </w:r>
      <w:proofErr w:type="spellStart"/>
      <w:r w:rsidRPr="00973C63">
        <w:rPr>
          <w:lang w:val="ru-RU"/>
        </w:rPr>
        <w:t>між</w:t>
      </w:r>
      <w:proofErr w:type="spellEnd"/>
      <w:r w:rsidRPr="00973C63">
        <w:rPr>
          <w:lang w:val="ru-RU"/>
        </w:rPr>
        <w:t xml:space="preserve"> </w:t>
      </w:r>
      <w:proofErr w:type="spellStart"/>
      <w:r w:rsidRPr="00973C63">
        <w:rPr>
          <w:lang w:val="ru-RU"/>
        </w:rPr>
        <w:t>учасниками</w:t>
      </w:r>
      <w:proofErr w:type="spellEnd"/>
      <w:r w:rsidRPr="00973C63">
        <w:rPr>
          <w:lang w:val="ru-RU"/>
        </w:rPr>
        <w:t xml:space="preserve"> кредитно-</w:t>
      </w:r>
      <w:proofErr w:type="spellStart"/>
      <w:r w:rsidRPr="00973C63">
        <w:rPr>
          <w:lang w:val="ru-RU"/>
        </w:rPr>
        <w:t>інвестиційної</w:t>
      </w:r>
      <w:proofErr w:type="spellEnd"/>
      <w:r w:rsidRPr="00973C63">
        <w:rPr>
          <w:lang w:val="ru-RU"/>
        </w:rPr>
        <w:t xml:space="preserve"> </w:t>
      </w:r>
      <w:proofErr w:type="spellStart"/>
      <w:r w:rsidRPr="00973C63">
        <w:rPr>
          <w:lang w:val="ru-RU"/>
        </w:rPr>
        <w:t>підгрупи</w:t>
      </w:r>
      <w:proofErr w:type="spellEnd"/>
      <w:r w:rsidRPr="00973C63">
        <w:rPr>
          <w:lang w:val="ru-RU"/>
        </w:rPr>
        <w:t xml:space="preserve"> </w:t>
      </w:r>
      <w:proofErr w:type="spellStart"/>
      <w:r w:rsidRPr="00973C63">
        <w:rPr>
          <w:lang w:val="ru-RU"/>
        </w:rPr>
        <w:t>банківської</w:t>
      </w:r>
      <w:proofErr w:type="spellEnd"/>
      <w:r w:rsidRPr="00973C63">
        <w:rPr>
          <w:lang w:val="ru-RU"/>
        </w:rPr>
        <w:t xml:space="preserve"> </w:t>
      </w:r>
      <w:proofErr w:type="spellStart"/>
      <w:r w:rsidRPr="00973C63">
        <w:rPr>
          <w:lang w:val="ru-RU"/>
        </w:rPr>
        <w:t>групи</w:t>
      </w:r>
      <w:proofErr w:type="spellEnd"/>
      <w:r w:rsidRPr="00973C63">
        <w:rPr>
          <w:lang w:val="ru-RU"/>
        </w:rPr>
        <w:t xml:space="preserve">. </w:t>
      </w:r>
    </w:p>
    <w:p w14:paraId="0D67DDBA" w14:textId="77777777" w:rsidR="000B2D33" w:rsidRPr="00973C63" w:rsidRDefault="000B2D33" w:rsidP="000B2D33">
      <w:pPr>
        <w:shd w:val="clear" w:color="auto" w:fill="FFFFFF" w:themeFill="background1"/>
        <w:tabs>
          <w:tab w:val="left" w:pos="851"/>
        </w:tabs>
        <w:ind w:firstLine="567"/>
        <w:rPr>
          <w:lang w:val="ru-RU"/>
        </w:rPr>
      </w:pPr>
    </w:p>
    <w:p w14:paraId="64B1DD9E" w14:textId="1DAEA9FD" w:rsidR="000B2D33" w:rsidRPr="00973C63" w:rsidRDefault="000B2D33" w:rsidP="000B2D33">
      <w:pPr>
        <w:shd w:val="clear" w:color="auto" w:fill="FFFFFF" w:themeFill="background1"/>
        <w:tabs>
          <w:tab w:val="left" w:pos="851"/>
        </w:tabs>
        <w:ind w:firstLine="567"/>
        <w:rPr>
          <w:lang w:val="ru-RU"/>
        </w:rPr>
      </w:pPr>
      <w:r w:rsidRPr="00973C63">
        <w:rPr>
          <w:lang w:val="ru-RU"/>
        </w:rPr>
        <w:t xml:space="preserve">6. </w:t>
      </w:r>
      <w:proofErr w:type="spellStart"/>
      <w:r w:rsidRPr="00973C63">
        <w:rPr>
          <w:lang w:val="ru-RU"/>
        </w:rPr>
        <w:t>Нормативні</w:t>
      </w:r>
      <w:proofErr w:type="spellEnd"/>
      <w:r w:rsidRPr="00973C63">
        <w:rPr>
          <w:lang w:val="ru-RU"/>
        </w:rPr>
        <w:t xml:space="preserve"> </w:t>
      </w:r>
      <w:proofErr w:type="spellStart"/>
      <w:r w:rsidRPr="00973C63">
        <w:rPr>
          <w:lang w:val="ru-RU"/>
        </w:rPr>
        <w:t>значення</w:t>
      </w:r>
      <w:proofErr w:type="spellEnd"/>
      <w:r w:rsidRPr="00973C63">
        <w:rPr>
          <w:lang w:val="ru-RU"/>
        </w:rPr>
        <w:t xml:space="preserve"> коефіцієнта </w:t>
      </w:r>
      <w:proofErr w:type="spellStart"/>
      <w:r w:rsidRPr="00973C63">
        <w:rPr>
          <w:lang w:val="ru-RU"/>
        </w:rPr>
        <w:t>покриття</w:t>
      </w:r>
      <w:proofErr w:type="spellEnd"/>
      <w:r w:rsidRPr="00973C63">
        <w:rPr>
          <w:lang w:val="ru-RU"/>
        </w:rPr>
        <w:t xml:space="preserve"> </w:t>
      </w:r>
      <w:proofErr w:type="spellStart"/>
      <w:r w:rsidRPr="00973C63">
        <w:rPr>
          <w:lang w:val="ru-RU"/>
        </w:rPr>
        <w:t>ліквідністю</w:t>
      </w:r>
      <w:proofErr w:type="spellEnd"/>
      <w:r w:rsidRPr="00973C63">
        <w:rPr>
          <w:lang w:val="ru-RU"/>
        </w:rPr>
        <w:t xml:space="preserve"> за </w:t>
      </w:r>
      <w:proofErr w:type="spellStart"/>
      <w:r w:rsidRPr="00973C63">
        <w:rPr>
          <w:lang w:val="ru-RU"/>
        </w:rPr>
        <w:t>всіма</w:t>
      </w:r>
      <w:proofErr w:type="spellEnd"/>
      <w:r w:rsidRPr="00973C63">
        <w:rPr>
          <w:lang w:val="ru-RU"/>
        </w:rPr>
        <w:t xml:space="preserve"> валютами (</w:t>
      </w:r>
      <w:proofErr w:type="spellStart"/>
      <w:r w:rsidRPr="00973C63">
        <w:rPr>
          <w:lang w:val="ru-RU"/>
        </w:rPr>
        <w:t>LCR</w:t>
      </w:r>
      <w:r w:rsidRPr="00973C63">
        <w:rPr>
          <w:vertAlign w:val="subscript"/>
          <w:lang w:val="ru-RU"/>
        </w:rPr>
        <w:t>BB</w:t>
      </w:r>
      <w:r w:rsidRPr="00973C63">
        <w:rPr>
          <w:lang w:val="ru-RU"/>
        </w:rPr>
        <w:t>к</w:t>
      </w:r>
      <w:proofErr w:type="spellEnd"/>
      <w:r w:rsidRPr="00973C63">
        <w:rPr>
          <w:lang w:val="ru-RU"/>
        </w:rPr>
        <w:t xml:space="preserve">) та коефіцієнта </w:t>
      </w:r>
      <w:proofErr w:type="spellStart"/>
      <w:r w:rsidRPr="00973C63">
        <w:rPr>
          <w:lang w:val="ru-RU"/>
        </w:rPr>
        <w:t>покриття</w:t>
      </w:r>
      <w:proofErr w:type="spellEnd"/>
      <w:r w:rsidRPr="00973C63">
        <w:rPr>
          <w:lang w:val="ru-RU"/>
        </w:rPr>
        <w:t xml:space="preserve"> </w:t>
      </w:r>
      <w:proofErr w:type="spellStart"/>
      <w:r w:rsidRPr="00973C63">
        <w:rPr>
          <w:lang w:val="ru-RU"/>
        </w:rPr>
        <w:t>ліквідністю</w:t>
      </w:r>
      <w:proofErr w:type="spellEnd"/>
      <w:r w:rsidRPr="00973C63">
        <w:rPr>
          <w:lang w:val="ru-RU"/>
        </w:rPr>
        <w:t xml:space="preserve"> </w:t>
      </w:r>
      <w:r w:rsidR="0091539A">
        <w:rPr>
          <w:lang w:val="ru-RU"/>
        </w:rPr>
        <w:t xml:space="preserve">за </w:t>
      </w:r>
      <w:proofErr w:type="spellStart"/>
      <w:r w:rsidR="0091539A">
        <w:rPr>
          <w:lang w:val="ru-RU"/>
        </w:rPr>
        <w:t>іноземними</w:t>
      </w:r>
      <w:proofErr w:type="spellEnd"/>
      <w:r w:rsidR="0091539A">
        <w:rPr>
          <w:lang w:val="ru-RU"/>
        </w:rPr>
        <w:t xml:space="preserve"> валютами</w:t>
      </w:r>
      <w:r w:rsidR="0091539A" w:rsidRPr="00973C63">
        <w:rPr>
          <w:lang w:val="ru-RU"/>
        </w:rPr>
        <w:t xml:space="preserve"> </w:t>
      </w:r>
      <w:r w:rsidRPr="00973C63">
        <w:rPr>
          <w:lang w:val="ru-RU"/>
        </w:rPr>
        <w:t>(</w:t>
      </w:r>
      <w:proofErr w:type="spellStart"/>
      <w:r w:rsidRPr="00973C63">
        <w:rPr>
          <w:lang w:val="ru-RU"/>
        </w:rPr>
        <w:t>LCR</w:t>
      </w:r>
      <w:r w:rsidRPr="00973C63">
        <w:rPr>
          <w:vertAlign w:val="subscript"/>
          <w:lang w:val="ru-RU"/>
        </w:rPr>
        <w:t>IB</w:t>
      </w:r>
      <w:r w:rsidRPr="00973C63">
        <w:rPr>
          <w:lang w:val="ru-RU"/>
        </w:rPr>
        <w:t>к</w:t>
      </w:r>
      <w:proofErr w:type="spellEnd"/>
      <w:r w:rsidRPr="00973C63">
        <w:rPr>
          <w:lang w:val="ru-RU"/>
        </w:rPr>
        <w:t xml:space="preserve">) </w:t>
      </w:r>
      <w:proofErr w:type="spellStart"/>
      <w:r w:rsidRPr="00973C63">
        <w:rPr>
          <w:lang w:val="ru-RU"/>
        </w:rPr>
        <w:t>мають</w:t>
      </w:r>
      <w:proofErr w:type="spellEnd"/>
      <w:r w:rsidRPr="00973C63">
        <w:rPr>
          <w:lang w:val="ru-RU"/>
        </w:rPr>
        <w:t xml:space="preserve"> бути не </w:t>
      </w:r>
      <w:proofErr w:type="spellStart"/>
      <w:r w:rsidRPr="00973C63">
        <w:rPr>
          <w:lang w:val="ru-RU"/>
        </w:rPr>
        <w:t>менш</w:t>
      </w:r>
      <w:r w:rsidR="00DA7BF4" w:rsidRPr="001C4345">
        <w:rPr>
          <w:lang w:val="ru-RU"/>
        </w:rPr>
        <w:t>е</w:t>
      </w:r>
      <w:proofErr w:type="spellEnd"/>
      <w:r w:rsidRPr="00973C63">
        <w:rPr>
          <w:lang w:val="ru-RU"/>
        </w:rPr>
        <w:t xml:space="preserve"> </w:t>
      </w:r>
      <w:proofErr w:type="spellStart"/>
      <w:r w:rsidRPr="00973C63">
        <w:rPr>
          <w:lang w:val="ru-RU"/>
        </w:rPr>
        <w:t>ніж</w:t>
      </w:r>
      <w:proofErr w:type="spellEnd"/>
      <w:r w:rsidRPr="00973C63">
        <w:rPr>
          <w:lang w:val="ru-RU"/>
        </w:rPr>
        <w:t xml:space="preserve"> 100%.</w:t>
      </w:r>
    </w:p>
    <w:p w14:paraId="10A3D396" w14:textId="007F9A1E" w:rsidR="000B2D33" w:rsidRPr="00973C63" w:rsidRDefault="00FA1292" w:rsidP="000B2D33">
      <w:pPr>
        <w:shd w:val="clear" w:color="auto" w:fill="FFFFFF" w:themeFill="background1"/>
        <w:tabs>
          <w:tab w:val="left" w:pos="851"/>
        </w:tabs>
        <w:ind w:firstLine="567"/>
        <w:rPr>
          <w:lang w:val="ru-RU"/>
        </w:rPr>
      </w:pPr>
      <w:proofErr w:type="spellStart"/>
      <w:r w:rsidRPr="00FA1292">
        <w:rPr>
          <w:lang w:val="ru-RU"/>
        </w:rPr>
        <w:t>Банківська</w:t>
      </w:r>
      <w:proofErr w:type="spellEnd"/>
      <w:r w:rsidRPr="00FA1292">
        <w:rPr>
          <w:lang w:val="ru-RU"/>
        </w:rPr>
        <w:t xml:space="preserve"> </w:t>
      </w:r>
      <w:proofErr w:type="spellStart"/>
      <w:r w:rsidRPr="00FA1292">
        <w:rPr>
          <w:lang w:val="ru-RU"/>
        </w:rPr>
        <w:t>група</w:t>
      </w:r>
      <w:proofErr w:type="spellEnd"/>
      <w:r w:rsidRPr="00FA1292">
        <w:rPr>
          <w:lang w:val="ru-RU"/>
        </w:rPr>
        <w:t xml:space="preserve"> </w:t>
      </w:r>
      <w:proofErr w:type="spellStart"/>
      <w:r w:rsidR="000B2D33" w:rsidRPr="00973C63">
        <w:rPr>
          <w:lang w:val="ru-RU"/>
        </w:rPr>
        <w:t>має</w:t>
      </w:r>
      <w:proofErr w:type="spellEnd"/>
      <w:r w:rsidR="000B2D33" w:rsidRPr="00973C63">
        <w:rPr>
          <w:lang w:val="ru-RU"/>
        </w:rPr>
        <w:t xml:space="preserve"> </w:t>
      </w:r>
      <w:proofErr w:type="spellStart"/>
      <w:r w:rsidR="000B2D33" w:rsidRPr="00973C63">
        <w:rPr>
          <w:lang w:val="ru-RU"/>
        </w:rPr>
        <w:t>дотримуватис</w:t>
      </w:r>
      <w:r w:rsidR="00DA7BF4">
        <w:rPr>
          <w:lang w:val="ru-RU"/>
        </w:rPr>
        <w:t>я</w:t>
      </w:r>
      <w:proofErr w:type="spellEnd"/>
      <w:r w:rsidR="000B2D33" w:rsidRPr="00973C63">
        <w:rPr>
          <w:lang w:val="ru-RU"/>
        </w:rPr>
        <w:t xml:space="preserve"> нормативного </w:t>
      </w:r>
      <w:proofErr w:type="spellStart"/>
      <w:r w:rsidR="000B2D33" w:rsidRPr="00973C63">
        <w:rPr>
          <w:lang w:val="ru-RU"/>
        </w:rPr>
        <w:t>значення</w:t>
      </w:r>
      <w:proofErr w:type="spellEnd"/>
      <w:r w:rsidR="000B2D33" w:rsidRPr="00973C63">
        <w:rPr>
          <w:lang w:val="ru-RU"/>
        </w:rPr>
        <w:t xml:space="preserve"> коефіцієнта </w:t>
      </w:r>
      <w:proofErr w:type="spellStart"/>
      <w:r w:rsidR="000B2D33" w:rsidRPr="00973C63">
        <w:rPr>
          <w:lang w:val="ru-RU"/>
        </w:rPr>
        <w:t>покриття</w:t>
      </w:r>
      <w:proofErr w:type="spellEnd"/>
      <w:r w:rsidR="000B2D33" w:rsidRPr="00973C63">
        <w:rPr>
          <w:lang w:val="ru-RU"/>
        </w:rPr>
        <w:t xml:space="preserve"> </w:t>
      </w:r>
      <w:proofErr w:type="spellStart"/>
      <w:r w:rsidR="000B2D33" w:rsidRPr="00973C63">
        <w:rPr>
          <w:lang w:val="ru-RU"/>
        </w:rPr>
        <w:t>ліквідністю</w:t>
      </w:r>
      <w:proofErr w:type="spellEnd"/>
      <w:r w:rsidR="000B2D33" w:rsidRPr="00973C63">
        <w:rPr>
          <w:lang w:val="ru-RU"/>
        </w:rPr>
        <w:t xml:space="preserve"> </w:t>
      </w:r>
      <w:r w:rsidR="0091539A">
        <w:rPr>
          <w:lang w:val="ru-RU"/>
        </w:rPr>
        <w:t xml:space="preserve">за </w:t>
      </w:r>
      <w:proofErr w:type="spellStart"/>
      <w:r w:rsidR="0091539A">
        <w:rPr>
          <w:lang w:val="ru-RU"/>
        </w:rPr>
        <w:t>іноземними</w:t>
      </w:r>
      <w:proofErr w:type="spellEnd"/>
      <w:r w:rsidR="0091539A">
        <w:rPr>
          <w:lang w:val="ru-RU"/>
        </w:rPr>
        <w:t xml:space="preserve"> валютами</w:t>
      </w:r>
      <w:r w:rsidR="0091539A" w:rsidRPr="00973C63">
        <w:rPr>
          <w:lang w:val="ru-RU"/>
        </w:rPr>
        <w:t xml:space="preserve"> </w:t>
      </w:r>
      <w:r w:rsidR="000B2D33" w:rsidRPr="00973C63">
        <w:rPr>
          <w:lang w:val="ru-RU"/>
        </w:rPr>
        <w:t>(</w:t>
      </w:r>
      <w:proofErr w:type="spellStart"/>
      <w:r w:rsidR="000B2D33" w:rsidRPr="00973C63">
        <w:rPr>
          <w:lang w:val="ru-RU"/>
        </w:rPr>
        <w:t>LCR</w:t>
      </w:r>
      <w:r w:rsidR="000B2D33" w:rsidRPr="00973C63">
        <w:rPr>
          <w:vertAlign w:val="subscript"/>
          <w:lang w:val="ru-RU"/>
        </w:rPr>
        <w:t>IB</w:t>
      </w:r>
      <w:r w:rsidR="000B2D33" w:rsidRPr="00973C63">
        <w:rPr>
          <w:lang w:val="ru-RU"/>
        </w:rPr>
        <w:t>к</w:t>
      </w:r>
      <w:proofErr w:type="spellEnd"/>
      <w:r w:rsidR="000B2D33" w:rsidRPr="00973C63">
        <w:rPr>
          <w:lang w:val="ru-RU"/>
        </w:rPr>
        <w:t xml:space="preserve">), </w:t>
      </w:r>
      <w:proofErr w:type="spellStart"/>
      <w:r w:rsidR="000B2D33" w:rsidRPr="00973C63">
        <w:rPr>
          <w:lang w:val="ru-RU"/>
        </w:rPr>
        <w:t>якщо</w:t>
      </w:r>
      <w:proofErr w:type="spellEnd"/>
      <w:r w:rsidR="000B2D33" w:rsidRPr="00973C63">
        <w:rPr>
          <w:lang w:val="ru-RU"/>
        </w:rPr>
        <w:t xml:space="preserve"> </w:t>
      </w:r>
      <w:proofErr w:type="spellStart"/>
      <w:r w:rsidR="000B2D33" w:rsidRPr="00973C63">
        <w:rPr>
          <w:lang w:val="ru-RU"/>
        </w:rPr>
        <w:t>середньоарифметичне</w:t>
      </w:r>
      <w:proofErr w:type="spellEnd"/>
      <w:r w:rsidR="000B2D33" w:rsidRPr="00973C63">
        <w:rPr>
          <w:lang w:val="ru-RU"/>
        </w:rPr>
        <w:t xml:space="preserve"> </w:t>
      </w:r>
      <w:proofErr w:type="spellStart"/>
      <w:r w:rsidR="000B2D33" w:rsidRPr="00EF38AE">
        <w:rPr>
          <w:lang w:val="ru-RU"/>
        </w:rPr>
        <w:t>значення</w:t>
      </w:r>
      <w:proofErr w:type="spellEnd"/>
      <w:r w:rsidR="000B2D33" w:rsidRPr="00EF38AE">
        <w:rPr>
          <w:lang w:val="ru-RU"/>
        </w:rPr>
        <w:t xml:space="preserve"> </w:t>
      </w:r>
      <w:proofErr w:type="spellStart"/>
      <w:r w:rsidR="000B2D33" w:rsidRPr="00EF38AE">
        <w:rPr>
          <w:lang w:val="ru-RU"/>
        </w:rPr>
        <w:t>відношення</w:t>
      </w:r>
      <w:proofErr w:type="spellEnd"/>
      <w:r w:rsidR="000B2D33" w:rsidRPr="00EF38AE">
        <w:rPr>
          <w:lang w:val="ru-RU"/>
        </w:rPr>
        <w:t xml:space="preserve"> </w:t>
      </w:r>
      <w:proofErr w:type="spellStart"/>
      <w:r w:rsidR="000B2D33" w:rsidRPr="00EF38AE">
        <w:rPr>
          <w:lang w:val="ru-RU"/>
        </w:rPr>
        <w:t>зобов’язань</w:t>
      </w:r>
      <w:proofErr w:type="spellEnd"/>
      <w:r w:rsidR="000B2D33" w:rsidRPr="00EF38AE">
        <w:rPr>
          <w:lang w:val="ru-RU"/>
        </w:rPr>
        <w:t xml:space="preserve"> </w:t>
      </w:r>
      <w:r w:rsidR="0091539A" w:rsidRPr="00EF38AE">
        <w:rPr>
          <w:lang w:val="ru-RU"/>
        </w:rPr>
        <w:t xml:space="preserve">за </w:t>
      </w:r>
      <w:proofErr w:type="spellStart"/>
      <w:r w:rsidR="0091539A" w:rsidRPr="00EF38AE">
        <w:rPr>
          <w:lang w:val="ru-RU"/>
        </w:rPr>
        <w:t>іноземними</w:t>
      </w:r>
      <w:proofErr w:type="spellEnd"/>
      <w:r w:rsidR="0091539A" w:rsidRPr="00EF38AE">
        <w:rPr>
          <w:lang w:val="ru-RU"/>
        </w:rPr>
        <w:t xml:space="preserve"> валютами </w:t>
      </w:r>
      <w:r w:rsidR="00944D12">
        <w:rPr>
          <w:lang w:val="ru-RU"/>
        </w:rPr>
        <w:t>до</w:t>
      </w:r>
      <w:r w:rsidR="00DA7BF4" w:rsidRPr="00EF38AE">
        <w:rPr>
          <w:lang w:val="ru-RU"/>
        </w:rPr>
        <w:t xml:space="preserve"> </w:t>
      </w:r>
      <w:proofErr w:type="spellStart"/>
      <w:r w:rsidR="000B2D33" w:rsidRPr="00EF38AE">
        <w:rPr>
          <w:lang w:val="ru-RU"/>
        </w:rPr>
        <w:t>всіх</w:t>
      </w:r>
      <w:proofErr w:type="spellEnd"/>
      <w:r w:rsidR="000B2D33" w:rsidRPr="00EF38AE">
        <w:rPr>
          <w:lang w:val="ru-RU"/>
        </w:rPr>
        <w:t xml:space="preserve"> </w:t>
      </w:r>
      <w:proofErr w:type="spellStart"/>
      <w:r w:rsidR="000B2D33" w:rsidRPr="00EF38AE">
        <w:rPr>
          <w:lang w:val="ru-RU"/>
        </w:rPr>
        <w:t>зобов’язань</w:t>
      </w:r>
      <w:proofErr w:type="spellEnd"/>
      <w:r w:rsidR="000B2D33" w:rsidRPr="00EF38AE">
        <w:rPr>
          <w:lang w:val="ru-RU"/>
        </w:rPr>
        <w:t xml:space="preserve"> </w:t>
      </w:r>
      <w:r w:rsidRPr="00EF38AE">
        <w:rPr>
          <w:lang w:val="ru-RU"/>
        </w:rPr>
        <w:t>кредитно-</w:t>
      </w:r>
      <w:proofErr w:type="spellStart"/>
      <w:r w:rsidRPr="00EF38AE">
        <w:rPr>
          <w:lang w:val="ru-RU"/>
        </w:rPr>
        <w:t>інвестиційної</w:t>
      </w:r>
      <w:proofErr w:type="spellEnd"/>
      <w:r w:rsidRPr="00EF38AE">
        <w:rPr>
          <w:lang w:val="ru-RU"/>
        </w:rPr>
        <w:t xml:space="preserve"> </w:t>
      </w:r>
      <w:proofErr w:type="spellStart"/>
      <w:r w:rsidRPr="00EF38AE">
        <w:rPr>
          <w:lang w:val="ru-RU"/>
        </w:rPr>
        <w:t>підгрупи</w:t>
      </w:r>
      <w:proofErr w:type="spellEnd"/>
      <w:r w:rsidR="00AF7454" w:rsidRPr="00EF38AE">
        <w:rPr>
          <w:lang w:val="ru-RU"/>
        </w:rPr>
        <w:t>,</w:t>
      </w:r>
      <w:r w:rsidR="0091539A" w:rsidRPr="00EF38AE">
        <w:rPr>
          <w:lang w:val="ru-RU"/>
        </w:rPr>
        <w:t xml:space="preserve"> </w:t>
      </w:r>
      <w:proofErr w:type="spellStart"/>
      <w:r w:rsidR="0091539A" w:rsidRPr="00EF38AE">
        <w:rPr>
          <w:lang w:val="ru-RU"/>
        </w:rPr>
        <w:t>розраховане</w:t>
      </w:r>
      <w:proofErr w:type="spellEnd"/>
      <w:r w:rsidR="0091539A" w:rsidRPr="00EF38AE">
        <w:rPr>
          <w:lang w:val="ru-RU"/>
        </w:rPr>
        <w:t xml:space="preserve"> за </w:t>
      </w:r>
      <w:proofErr w:type="spellStart"/>
      <w:r w:rsidR="0091539A" w:rsidRPr="00EF38AE">
        <w:rPr>
          <w:lang w:val="ru-RU"/>
        </w:rPr>
        <w:t>останні</w:t>
      </w:r>
      <w:r w:rsidR="00DA7BF4">
        <w:rPr>
          <w:lang w:val="ru-RU"/>
        </w:rPr>
        <w:t>х</w:t>
      </w:r>
      <w:proofErr w:type="spellEnd"/>
      <w:r w:rsidR="0091539A" w:rsidRPr="00EF38AE">
        <w:rPr>
          <w:lang w:val="ru-RU"/>
        </w:rPr>
        <w:t xml:space="preserve"> 30 </w:t>
      </w:r>
      <w:proofErr w:type="spellStart"/>
      <w:r w:rsidR="000B2D33" w:rsidRPr="00EF38AE">
        <w:rPr>
          <w:lang w:val="ru-RU"/>
        </w:rPr>
        <w:t>календарних</w:t>
      </w:r>
      <w:proofErr w:type="spellEnd"/>
      <w:r w:rsidR="000B2D33" w:rsidRPr="00EF38AE">
        <w:rPr>
          <w:lang w:val="ru-RU"/>
        </w:rPr>
        <w:t xml:space="preserve"> </w:t>
      </w:r>
      <w:proofErr w:type="spellStart"/>
      <w:r w:rsidR="000B2D33" w:rsidRPr="00EF38AE">
        <w:rPr>
          <w:lang w:val="ru-RU"/>
        </w:rPr>
        <w:t>днів</w:t>
      </w:r>
      <w:proofErr w:type="spellEnd"/>
      <w:r w:rsidR="000B2D33" w:rsidRPr="00EF38AE">
        <w:rPr>
          <w:lang w:val="ru-RU"/>
        </w:rPr>
        <w:t xml:space="preserve">, </w:t>
      </w:r>
      <w:r w:rsidR="00375A95" w:rsidRPr="00EF38AE">
        <w:rPr>
          <w:lang w:val="ru-RU"/>
        </w:rPr>
        <w:t>становить 5</w:t>
      </w:r>
      <w:r w:rsidR="000B2D33" w:rsidRPr="00EF38AE">
        <w:rPr>
          <w:lang w:val="ru-RU"/>
        </w:rPr>
        <w:t xml:space="preserve">% і </w:t>
      </w:r>
      <w:proofErr w:type="spellStart"/>
      <w:r w:rsidR="000B2D33" w:rsidRPr="00EF38AE">
        <w:rPr>
          <w:lang w:val="ru-RU"/>
        </w:rPr>
        <w:t>більше</w:t>
      </w:r>
      <w:proofErr w:type="spellEnd"/>
      <w:r w:rsidR="000B2D33" w:rsidRPr="00EF38AE">
        <w:rPr>
          <w:lang w:val="ru-RU"/>
        </w:rPr>
        <w:t>.</w:t>
      </w:r>
    </w:p>
    <w:p w14:paraId="1E430033" w14:textId="77777777" w:rsidR="00877884" w:rsidRDefault="00877884" w:rsidP="00375A95">
      <w:pPr>
        <w:shd w:val="clear" w:color="auto" w:fill="FFFFFF" w:themeFill="background1"/>
        <w:tabs>
          <w:tab w:val="left" w:pos="851"/>
        </w:tabs>
        <w:ind w:firstLine="567"/>
        <w:jc w:val="center"/>
      </w:pPr>
    </w:p>
    <w:p w14:paraId="20B3EC3A" w14:textId="698B40D4" w:rsidR="000B2D33" w:rsidRPr="00973C63" w:rsidRDefault="000B2D33" w:rsidP="00375A95">
      <w:pPr>
        <w:shd w:val="clear" w:color="auto" w:fill="FFFFFF" w:themeFill="background1"/>
        <w:tabs>
          <w:tab w:val="left" w:pos="851"/>
        </w:tabs>
        <w:ind w:firstLine="567"/>
        <w:jc w:val="center"/>
      </w:pPr>
      <w:r w:rsidRPr="00944D12">
        <w:t>5. Коефіцієнт чистого стабільного фінансування (</w:t>
      </w:r>
      <w:proofErr w:type="spellStart"/>
      <w:r w:rsidRPr="00944D12">
        <w:t>NSFRк</w:t>
      </w:r>
      <w:proofErr w:type="spellEnd"/>
      <w:r w:rsidRPr="00944D12">
        <w:t>)</w:t>
      </w:r>
    </w:p>
    <w:p w14:paraId="317A3B26" w14:textId="77777777" w:rsidR="000B2D33" w:rsidRPr="00973C63" w:rsidRDefault="000B2D33" w:rsidP="000B2D33">
      <w:pPr>
        <w:shd w:val="clear" w:color="auto" w:fill="FFFFFF" w:themeFill="background1"/>
        <w:tabs>
          <w:tab w:val="left" w:pos="851"/>
        </w:tabs>
        <w:ind w:firstLine="567"/>
      </w:pPr>
    </w:p>
    <w:p w14:paraId="393BDE9F" w14:textId="75EE2B80" w:rsidR="000B2D33" w:rsidRPr="00684F02" w:rsidRDefault="003077FB" w:rsidP="000B2D33">
      <w:pPr>
        <w:shd w:val="clear" w:color="auto" w:fill="FFFFFF" w:themeFill="background1"/>
        <w:tabs>
          <w:tab w:val="left" w:pos="851"/>
        </w:tabs>
        <w:ind w:firstLine="567"/>
      </w:pPr>
      <w:r w:rsidRPr="00684F02">
        <w:t>7</w:t>
      </w:r>
      <w:r w:rsidR="000B2D33" w:rsidRPr="00684F02">
        <w:t xml:space="preserve">. </w:t>
      </w:r>
      <w:r w:rsidR="001410C1" w:rsidRPr="001410C1">
        <w:t>Коефіцієнт чистого стабільного фінансування (</w:t>
      </w:r>
      <w:proofErr w:type="spellStart"/>
      <w:r w:rsidR="001410C1" w:rsidRPr="001410C1">
        <w:t>NSFRк</w:t>
      </w:r>
      <w:proofErr w:type="spellEnd"/>
      <w:r w:rsidR="001410C1" w:rsidRPr="001410C1">
        <w:t xml:space="preserve">) – норматив ліквідності, який установлює мінімально необхідний рівень стабільного фінансування </w:t>
      </w:r>
      <w:r w:rsidR="001410C1" w:rsidRPr="00EB2288">
        <w:t>кредитно-інвестиційної підгрупи</w:t>
      </w:r>
      <w:r w:rsidR="00EB2288">
        <w:t xml:space="preserve"> </w:t>
      </w:r>
      <w:r w:rsidR="001410C1" w:rsidRPr="001410C1">
        <w:t>на горизонті один рік.</w:t>
      </w:r>
    </w:p>
    <w:p w14:paraId="48D84DFB" w14:textId="77777777" w:rsidR="000B2D33" w:rsidRPr="00684F02" w:rsidRDefault="000B2D33" w:rsidP="000B2D33">
      <w:pPr>
        <w:shd w:val="clear" w:color="auto" w:fill="FFFFFF" w:themeFill="background1"/>
        <w:tabs>
          <w:tab w:val="left" w:pos="851"/>
        </w:tabs>
        <w:ind w:firstLine="567"/>
      </w:pPr>
    </w:p>
    <w:p w14:paraId="2D347651" w14:textId="2BED4D6F" w:rsidR="000B2D33" w:rsidRPr="00973C63" w:rsidRDefault="003077FB" w:rsidP="000B2D33">
      <w:pPr>
        <w:shd w:val="clear" w:color="auto" w:fill="FFFFFF" w:themeFill="background1"/>
        <w:tabs>
          <w:tab w:val="left" w:pos="851"/>
        </w:tabs>
        <w:ind w:firstLine="567"/>
      </w:pPr>
      <w:r w:rsidRPr="00684F02">
        <w:t>8</w:t>
      </w:r>
      <w:r w:rsidR="000B2D33" w:rsidRPr="00684F02">
        <w:t>.</w:t>
      </w:r>
      <w:r w:rsidR="000B2D33" w:rsidRPr="00973C63">
        <w:t xml:space="preserve"> Відповідальна особа банківської групи здійснює розрахунок коефіцієнта чистого стабільного фінансування (</w:t>
      </w:r>
      <w:proofErr w:type="spellStart"/>
      <w:r w:rsidR="000B2D33" w:rsidRPr="00973C63">
        <w:t>NSFRк</w:t>
      </w:r>
      <w:proofErr w:type="spellEnd"/>
      <w:r w:rsidR="000B2D33" w:rsidRPr="00973C63">
        <w:t xml:space="preserve">) </w:t>
      </w:r>
      <w:r w:rsidR="00814C8B" w:rsidRPr="00814C8B">
        <w:t xml:space="preserve">не рідше одного разу на </w:t>
      </w:r>
      <w:r w:rsidR="00814C8B">
        <w:t>квартал</w:t>
      </w:r>
      <w:r w:rsidR="00814C8B" w:rsidRPr="00814C8B">
        <w:t xml:space="preserve"> </w:t>
      </w:r>
      <w:r w:rsidR="000B2D33" w:rsidRPr="00973C63">
        <w:t>таким чином:</w:t>
      </w:r>
    </w:p>
    <w:p w14:paraId="7094AEE7" w14:textId="77777777" w:rsidR="00375A95" w:rsidRPr="00973C63" w:rsidRDefault="00375A95" w:rsidP="000B2D33">
      <w:pPr>
        <w:shd w:val="clear" w:color="auto" w:fill="FFFFFF" w:themeFill="background1"/>
        <w:tabs>
          <w:tab w:val="left" w:pos="851"/>
        </w:tabs>
        <w:ind w:firstLine="567"/>
      </w:pPr>
    </w:p>
    <w:p w14:paraId="50ABDCFD" w14:textId="6BECA577" w:rsidR="000B2D33" w:rsidRPr="00973C63" w:rsidRDefault="000B2D33" w:rsidP="000B2D33">
      <w:pPr>
        <w:shd w:val="clear" w:color="auto" w:fill="FFFFFF" w:themeFill="background1"/>
        <w:tabs>
          <w:tab w:val="left" w:pos="851"/>
        </w:tabs>
        <w:ind w:firstLine="567"/>
      </w:pPr>
      <w:r w:rsidRPr="00973C63">
        <w:t>1) розраховує обсяг наявного стабільного фінансування (ASF) кредитно-інвестиційної підгрупи як суму складових ASF (регулятивний капітал та зобов’язання цієї підгрупи), зважених на установлені Національним банком коефіцієнти ASF, які відображають рівень їх стабільності на горизонті один рік;</w:t>
      </w:r>
    </w:p>
    <w:p w14:paraId="252EC19C" w14:textId="77777777" w:rsidR="00375A95" w:rsidRPr="00973C63" w:rsidRDefault="00375A95" w:rsidP="000B2D33">
      <w:pPr>
        <w:shd w:val="clear" w:color="auto" w:fill="FFFFFF" w:themeFill="background1"/>
        <w:tabs>
          <w:tab w:val="left" w:pos="851"/>
        </w:tabs>
        <w:ind w:firstLine="567"/>
      </w:pPr>
    </w:p>
    <w:p w14:paraId="6C49AE66" w14:textId="14874A01" w:rsidR="000B2D33" w:rsidRPr="00973C63" w:rsidRDefault="000B2D33" w:rsidP="000B2D33">
      <w:pPr>
        <w:shd w:val="clear" w:color="auto" w:fill="FFFFFF" w:themeFill="background1"/>
        <w:tabs>
          <w:tab w:val="left" w:pos="851"/>
        </w:tabs>
        <w:ind w:firstLine="567"/>
      </w:pPr>
      <w:r w:rsidRPr="00973C63">
        <w:t>2) розраховує обсяг необхідного стабільного фінансування (RSF) кредитно-інвестиційної підгрупи як суму складових RSF (активи та позабалансові зобов’язання цієї підгрупи), зважених на установлені Національним банком коефіцієнти RSF, які характеризують їх ліквідність на горизонті один рік;</w:t>
      </w:r>
    </w:p>
    <w:p w14:paraId="49304077" w14:textId="77777777" w:rsidR="00375A95" w:rsidRPr="00973C63" w:rsidRDefault="00375A95" w:rsidP="000B2D33">
      <w:pPr>
        <w:shd w:val="clear" w:color="auto" w:fill="FFFFFF" w:themeFill="background1"/>
        <w:tabs>
          <w:tab w:val="left" w:pos="851"/>
        </w:tabs>
        <w:ind w:firstLine="567"/>
      </w:pPr>
    </w:p>
    <w:p w14:paraId="61B46CBF" w14:textId="6471CD01" w:rsidR="000B2D33" w:rsidRPr="00973C63" w:rsidRDefault="000B2D33" w:rsidP="000B2D33">
      <w:pPr>
        <w:shd w:val="clear" w:color="auto" w:fill="FFFFFF" w:themeFill="background1"/>
        <w:tabs>
          <w:tab w:val="left" w:pos="851"/>
        </w:tabs>
        <w:ind w:firstLine="567"/>
      </w:pPr>
      <w:r w:rsidRPr="00973C63">
        <w:t>3) розраховує коефіцієнт чистого стабільного фінансування (</w:t>
      </w:r>
      <w:proofErr w:type="spellStart"/>
      <w:r w:rsidRPr="00973C63">
        <w:t>NSFRк</w:t>
      </w:r>
      <w:proofErr w:type="spellEnd"/>
      <w:r w:rsidRPr="00973C63">
        <w:t xml:space="preserve">) як відношення обсягу наявного стабільного фінансування (ASF) кредитно-інвестиційної підгрупи </w:t>
      </w:r>
      <w:r w:rsidR="00944D12">
        <w:t xml:space="preserve">до </w:t>
      </w:r>
      <w:r w:rsidRPr="00973C63">
        <w:t>обсягу необхідного стабільного фінансування (RSF) цієї підгрупи.</w:t>
      </w:r>
    </w:p>
    <w:p w14:paraId="61BCD897" w14:textId="77777777" w:rsidR="000B2D33" w:rsidRPr="00973C63" w:rsidRDefault="000B2D33" w:rsidP="000B2D33">
      <w:pPr>
        <w:shd w:val="clear" w:color="auto" w:fill="FFFFFF" w:themeFill="background1"/>
        <w:tabs>
          <w:tab w:val="left" w:pos="851"/>
        </w:tabs>
        <w:ind w:firstLine="567"/>
      </w:pPr>
    </w:p>
    <w:p w14:paraId="24CE06B4" w14:textId="4C7DB8BD" w:rsidR="000B2D33" w:rsidRPr="00895C90" w:rsidRDefault="003077FB" w:rsidP="000B2D33">
      <w:pPr>
        <w:shd w:val="clear" w:color="auto" w:fill="FFFFFF" w:themeFill="background1"/>
        <w:tabs>
          <w:tab w:val="left" w:pos="851"/>
        </w:tabs>
        <w:ind w:firstLine="567"/>
      </w:pPr>
      <w:r w:rsidRPr="00895C90">
        <w:t>9</w:t>
      </w:r>
      <w:r w:rsidR="000B2D33" w:rsidRPr="00895C90">
        <w:t>. Відповідальна особа банківської групи здійснює розрахунок коефіцієнта чистого стабільного фінансування (</w:t>
      </w:r>
      <w:proofErr w:type="spellStart"/>
      <w:r w:rsidR="000B2D33" w:rsidRPr="00895C90">
        <w:t>NSFRк</w:t>
      </w:r>
      <w:proofErr w:type="spellEnd"/>
      <w:r w:rsidR="000B2D33" w:rsidRPr="00895C90">
        <w:t xml:space="preserve">) згідно з вимогами, установленими Національним банком </w:t>
      </w:r>
      <w:r w:rsidR="000B2D33" w:rsidRPr="00944D12">
        <w:t xml:space="preserve">у </w:t>
      </w:r>
      <w:r w:rsidR="002E3249" w:rsidRPr="00944D12">
        <w:t>м</w:t>
      </w:r>
      <w:r w:rsidR="000B2D33" w:rsidRPr="00944D12">
        <w:t xml:space="preserve">етодиці розрахунку </w:t>
      </w:r>
      <w:r w:rsidR="000B2D33" w:rsidRPr="00895C90">
        <w:t>коефіцієнта  чистого стабільного фінансування (NSFR).</w:t>
      </w:r>
    </w:p>
    <w:p w14:paraId="0EE3E5CF" w14:textId="77777777" w:rsidR="000B2D33" w:rsidRPr="00895C90" w:rsidRDefault="000B2D33" w:rsidP="000B2D33">
      <w:pPr>
        <w:shd w:val="clear" w:color="auto" w:fill="FFFFFF" w:themeFill="background1"/>
        <w:tabs>
          <w:tab w:val="left" w:pos="851"/>
        </w:tabs>
        <w:ind w:firstLine="567"/>
      </w:pPr>
    </w:p>
    <w:p w14:paraId="37F75127" w14:textId="77777777" w:rsidR="005B6A79" w:rsidRDefault="005B6A79" w:rsidP="005B6A79">
      <w:pPr>
        <w:shd w:val="clear" w:color="auto" w:fill="FFFFFF" w:themeFill="background1"/>
        <w:tabs>
          <w:tab w:val="left" w:pos="851"/>
        </w:tabs>
        <w:ind w:firstLine="567"/>
      </w:pPr>
      <w:r>
        <w:t>10. Відповідальна особа банківської групи, якщо до складу кредитно-інвестиційної підгрупи входить Іноземний учасник, включає до розрахунку коефіцієнта чистого стабільного фінансування (</w:t>
      </w:r>
      <w:proofErr w:type="spellStart"/>
      <w:r>
        <w:t>NSFRк</w:t>
      </w:r>
      <w:proofErr w:type="spellEnd"/>
      <w:r>
        <w:t>) складові згідно з вимогами, встановленими:</w:t>
      </w:r>
    </w:p>
    <w:p w14:paraId="25F10D40" w14:textId="77777777" w:rsidR="005B6A79" w:rsidRDefault="005B6A79" w:rsidP="005B6A79">
      <w:pPr>
        <w:shd w:val="clear" w:color="auto" w:fill="FFFFFF" w:themeFill="background1"/>
        <w:tabs>
          <w:tab w:val="left" w:pos="851"/>
        </w:tabs>
        <w:ind w:firstLine="567"/>
      </w:pPr>
    </w:p>
    <w:p w14:paraId="2B96200D" w14:textId="5E36ED0B" w:rsidR="005B6A79" w:rsidRDefault="005B6A79" w:rsidP="005B6A79">
      <w:pPr>
        <w:shd w:val="clear" w:color="auto" w:fill="FFFFFF" w:themeFill="background1"/>
        <w:tabs>
          <w:tab w:val="left" w:pos="851"/>
        </w:tabs>
        <w:ind w:firstLine="567"/>
      </w:pPr>
      <w:r>
        <w:t xml:space="preserve">1) </w:t>
      </w:r>
      <w:r w:rsidR="00065391" w:rsidRPr="001C4345">
        <w:t>методикою</w:t>
      </w:r>
      <w:r w:rsidR="00065391" w:rsidRPr="00944D12">
        <w:t xml:space="preserve"> </w:t>
      </w:r>
      <w:r w:rsidRPr="00944D12">
        <w:t>розрахунку коефіцієнта чистого стабільного фінансування (NSFR),</w:t>
      </w:r>
      <w:r w:rsidRPr="001C4345">
        <w:t xml:space="preserve"> крім складових</w:t>
      </w:r>
      <w:r>
        <w:t xml:space="preserve">, до яких застосовуються </w:t>
      </w:r>
      <w:r w:rsidR="00944D12">
        <w:t xml:space="preserve">більш </w:t>
      </w:r>
      <w:r>
        <w:t>консервативні вимоги, встановлені відповідним державним органом іноземної держави, що здійснює регулювання ринків фінансових послуг;</w:t>
      </w:r>
    </w:p>
    <w:p w14:paraId="3958575C" w14:textId="77777777" w:rsidR="005B6A79" w:rsidRDefault="005B6A79" w:rsidP="005B6A79">
      <w:pPr>
        <w:shd w:val="clear" w:color="auto" w:fill="FFFFFF" w:themeFill="background1"/>
        <w:tabs>
          <w:tab w:val="left" w:pos="851"/>
        </w:tabs>
        <w:ind w:firstLine="567"/>
      </w:pPr>
    </w:p>
    <w:p w14:paraId="5BC25EFB" w14:textId="6CD60E3B" w:rsidR="001410C1" w:rsidRDefault="005B6A79" w:rsidP="005B6A79">
      <w:pPr>
        <w:shd w:val="clear" w:color="auto" w:fill="FFFFFF" w:themeFill="background1"/>
        <w:tabs>
          <w:tab w:val="left" w:pos="851"/>
        </w:tabs>
        <w:ind w:firstLine="567"/>
      </w:pPr>
      <w:r>
        <w:lastRenderedPageBreak/>
        <w:t xml:space="preserve">2) відповідним державним органом іноземної держави, що здійснює регулювання ринків фінансових послуг, –  щодо складових, до яких таким державним органом встановлені </w:t>
      </w:r>
      <w:r w:rsidR="00944D12">
        <w:t xml:space="preserve">більш </w:t>
      </w:r>
      <w:r>
        <w:t>консервативні вимоги.</w:t>
      </w:r>
    </w:p>
    <w:p w14:paraId="40DAF870" w14:textId="77777777" w:rsidR="00DB08EE" w:rsidRPr="00973C63" w:rsidRDefault="00DB08EE" w:rsidP="00DB08EE">
      <w:pPr>
        <w:shd w:val="clear" w:color="auto" w:fill="FFFFFF" w:themeFill="background1"/>
        <w:tabs>
          <w:tab w:val="left" w:pos="851"/>
        </w:tabs>
        <w:ind w:firstLine="567"/>
      </w:pPr>
    </w:p>
    <w:p w14:paraId="2F1C4264" w14:textId="6C167F3C" w:rsidR="000B2D33" w:rsidRPr="00EF38AE" w:rsidRDefault="00DF14FC" w:rsidP="000B2D33">
      <w:pPr>
        <w:shd w:val="clear" w:color="auto" w:fill="FFFFFF" w:themeFill="background1"/>
        <w:tabs>
          <w:tab w:val="left" w:pos="851"/>
        </w:tabs>
        <w:ind w:firstLine="567"/>
      </w:pPr>
      <w:r>
        <w:t>11</w:t>
      </w:r>
      <w:r w:rsidR="000B2D33" w:rsidRPr="00973C63">
        <w:t>. Розрахунок коефіцієнта чистого стабільного фінансування (</w:t>
      </w:r>
      <w:proofErr w:type="spellStart"/>
      <w:r w:rsidR="000B2D33" w:rsidRPr="00973C63">
        <w:t>NSFRк</w:t>
      </w:r>
      <w:proofErr w:type="spellEnd"/>
      <w:r w:rsidR="000B2D33" w:rsidRPr="00973C63">
        <w:t xml:space="preserve">) здійснюється за даними </w:t>
      </w:r>
      <w:proofErr w:type="spellStart"/>
      <w:r w:rsidR="000B2D33" w:rsidRPr="00973C63">
        <w:t>субконсолідованого</w:t>
      </w:r>
      <w:proofErr w:type="spellEnd"/>
      <w:r w:rsidR="000B2D33" w:rsidRPr="00973C63">
        <w:t xml:space="preserve"> балансу кредитно-інвестиційної підгрупи та інформації про розподіл активів і зобов’язань за строками до </w:t>
      </w:r>
      <w:r w:rsidR="000B2D33" w:rsidRPr="00EF38AE">
        <w:t xml:space="preserve">погашення згідно з умовами укладених </w:t>
      </w:r>
      <w:r w:rsidR="000D2632" w:rsidRPr="00EF38AE">
        <w:t xml:space="preserve">учасниками кредитно-інвестиційної підгрупи </w:t>
      </w:r>
      <w:r w:rsidR="000B2D33" w:rsidRPr="00EF38AE">
        <w:t>договорів/контрактів.</w:t>
      </w:r>
    </w:p>
    <w:p w14:paraId="6A2BC886" w14:textId="77777777" w:rsidR="000B2D33" w:rsidRPr="00EF38AE" w:rsidRDefault="000B2D33" w:rsidP="000B2D33">
      <w:pPr>
        <w:shd w:val="clear" w:color="auto" w:fill="FFFFFF" w:themeFill="background1"/>
        <w:tabs>
          <w:tab w:val="left" w:pos="851"/>
        </w:tabs>
        <w:ind w:firstLine="567"/>
      </w:pPr>
    </w:p>
    <w:p w14:paraId="23669FBE" w14:textId="77777777" w:rsidR="005C6106" w:rsidRPr="00EF38AE" w:rsidRDefault="00DF14FC" w:rsidP="00B21D6D">
      <w:pPr>
        <w:shd w:val="clear" w:color="auto" w:fill="FFFFFF" w:themeFill="background1"/>
        <w:tabs>
          <w:tab w:val="left" w:pos="851"/>
        </w:tabs>
        <w:ind w:firstLine="567"/>
      </w:pPr>
      <w:r w:rsidRPr="00EF38AE">
        <w:t>12</w:t>
      </w:r>
      <w:r w:rsidR="000B2D33" w:rsidRPr="00EF38AE">
        <w:t>. Нормативне значення коефіцієнта чистого стабільного фінансування (</w:t>
      </w:r>
      <w:proofErr w:type="spellStart"/>
      <w:r w:rsidR="000B2D33" w:rsidRPr="00EF38AE">
        <w:t>NSFRк</w:t>
      </w:r>
      <w:proofErr w:type="spellEnd"/>
      <w:r w:rsidR="000B2D33" w:rsidRPr="00EF38AE">
        <w:t>) має бути не менш</w:t>
      </w:r>
      <w:r w:rsidR="00884567" w:rsidRPr="00EF38AE">
        <w:t>е</w:t>
      </w:r>
      <w:r w:rsidR="000B2D33" w:rsidRPr="00EF38AE">
        <w:t xml:space="preserve"> ніж 100%.</w:t>
      </w:r>
    </w:p>
    <w:p w14:paraId="553FCA56" w14:textId="77777777" w:rsidR="005C6106" w:rsidRPr="00EF38AE" w:rsidRDefault="005C6106" w:rsidP="00B21D6D">
      <w:pPr>
        <w:shd w:val="clear" w:color="auto" w:fill="FFFFFF" w:themeFill="background1"/>
        <w:tabs>
          <w:tab w:val="left" w:pos="851"/>
        </w:tabs>
        <w:ind w:firstLine="567"/>
      </w:pPr>
    </w:p>
    <w:p w14:paraId="45C073FD" w14:textId="38AFDFD8" w:rsidR="00645B3E" w:rsidRPr="00EF38AE" w:rsidRDefault="00D2197A" w:rsidP="002903EC">
      <w:pPr>
        <w:shd w:val="clear" w:color="auto" w:fill="FFFFFF" w:themeFill="background1"/>
        <w:tabs>
          <w:tab w:val="left" w:pos="851"/>
        </w:tabs>
        <w:ind w:firstLine="567"/>
      </w:pPr>
      <w:r w:rsidRPr="00EF38AE">
        <w:t>13. Відповідальна особа банківської групи з метою забезпечення належного аналізу та оцінки ризику ліквідності здійснює розрахунок коефіцієнта чистого стабільного фінансування (</w:t>
      </w:r>
      <w:proofErr w:type="spellStart"/>
      <w:r w:rsidRPr="00EF38AE">
        <w:t>NSFRк</w:t>
      </w:r>
      <w:proofErr w:type="spellEnd"/>
      <w:r w:rsidRPr="00EF38AE">
        <w:t xml:space="preserve">) окремо в національній та </w:t>
      </w:r>
      <w:r w:rsidR="00094F33" w:rsidRPr="00EF38AE">
        <w:t xml:space="preserve">в </w:t>
      </w:r>
      <w:r w:rsidRPr="00EF38AE">
        <w:t>іноземн</w:t>
      </w:r>
      <w:r w:rsidR="00094F33" w:rsidRPr="00EF38AE">
        <w:t>их</w:t>
      </w:r>
      <w:r w:rsidRPr="00EF38AE">
        <w:t xml:space="preserve"> валют</w:t>
      </w:r>
      <w:r w:rsidR="00094F33" w:rsidRPr="00EF38AE">
        <w:t>ах</w:t>
      </w:r>
      <w:r w:rsidRPr="00EF38AE">
        <w:t>.</w:t>
      </w:r>
      <w:r w:rsidR="00375A95" w:rsidRPr="00EF38AE">
        <w:t>”.</w:t>
      </w:r>
    </w:p>
    <w:p w14:paraId="6295C4B6" w14:textId="272175EA" w:rsidR="00A42CA6" w:rsidRPr="00EF38AE" w:rsidRDefault="00A42CA6" w:rsidP="002903EC">
      <w:pPr>
        <w:shd w:val="clear" w:color="auto" w:fill="FFFFFF" w:themeFill="background1"/>
        <w:tabs>
          <w:tab w:val="left" w:pos="851"/>
        </w:tabs>
        <w:ind w:firstLine="567"/>
      </w:pPr>
    </w:p>
    <w:p w14:paraId="3119D275" w14:textId="578FACB3" w:rsidR="00C16F88" w:rsidRPr="00EF38AE" w:rsidRDefault="00A42CA6" w:rsidP="00A42CA6">
      <w:pPr>
        <w:shd w:val="clear" w:color="auto" w:fill="FFFFFF" w:themeFill="background1"/>
        <w:tabs>
          <w:tab w:val="left" w:pos="851"/>
        </w:tabs>
        <w:ind w:firstLine="567"/>
      </w:pPr>
      <w:r w:rsidRPr="00EF38AE">
        <w:t>3. </w:t>
      </w:r>
      <w:r w:rsidR="00C16F88" w:rsidRPr="00EF38AE">
        <w:t xml:space="preserve">У розділі </w:t>
      </w:r>
      <w:r w:rsidR="00C16F88" w:rsidRPr="00EF38AE">
        <w:rPr>
          <w:lang w:val="en-US"/>
        </w:rPr>
        <w:t>V</w:t>
      </w:r>
      <w:r w:rsidR="00C16F88" w:rsidRPr="00EF38AE">
        <w:t>І:</w:t>
      </w:r>
    </w:p>
    <w:p w14:paraId="5BF368B1" w14:textId="77777777" w:rsidR="00C16F88" w:rsidRPr="00EF38AE" w:rsidRDefault="00C16F88" w:rsidP="00A42CA6">
      <w:pPr>
        <w:shd w:val="clear" w:color="auto" w:fill="FFFFFF" w:themeFill="background1"/>
        <w:tabs>
          <w:tab w:val="left" w:pos="851"/>
        </w:tabs>
        <w:ind w:firstLine="567"/>
      </w:pPr>
    </w:p>
    <w:p w14:paraId="2015BE18" w14:textId="26C26C40" w:rsidR="00A42CA6" w:rsidRPr="00EF38AE" w:rsidRDefault="00C16F88" w:rsidP="00C16F88">
      <w:pPr>
        <w:pStyle w:val="af3"/>
        <w:numPr>
          <w:ilvl w:val="0"/>
          <w:numId w:val="12"/>
        </w:numPr>
        <w:shd w:val="clear" w:color="auto" w:fill="FFFFFF" w:themeFill="background1"/>
        <w:tabs>
          <w:tab w:val="left" w:pos="851"/>
        </w:tabs>
      </w:pPr>
      <w:r w:rsidRPr="00EF38AE">
        <w:t>п</w:t>
      </w:r>
      <w:r w:rsidR="00A42CA6" w:rsidRPr="00EF38AE">
        <w:t xml:space="preserve">ункт  1.2 </w:t>
      </w:r>
      <w:r w:rsidR="002341D3" w:rsidRPr="00EF38AE">
        <w:t xml:space="preserve">глави 1 </w:t>
      </w:r>
      <w:r w:rsidR="00A42CA6" w:rsidRPr="00EF38AE">
        <w:t>викласти в такій редакції:</w:t>
      </w:r>
    </w:p>
    <w:p w14:paraId="3DE0EF3F" w14:textId="77777777" w:rsidR="000349BC" w:rsidRPr="00EF38AE" w:rsidRDefault="004528D8" w:rsidP="002C4D10">
      <w:pPr>
        <w:ind w:firstLine="567"/>
        <w:rPr>
          <w:rStyle w:val="rvts15"/>
        </w:rPr>
      </w:pPr>
      <w:r w:rsidRPr="00EF38AE">
        <w:t>“</w:t>
      </w:r>
      <w:r w:rsidR="000349BC" w:rsidRPr="00EF38AE">
        <w:rPr>
          <w:rStyle w:val="rvts15"/>
        </w:rPr>
        <w:t xml:space="preserve">1.2. Розрахунок достатності регулятивного капіталу, </w:t>
      </w:r>
      <w:proofErr w:type="spellStart"/>
      <w:r w:rsidR="000349BC" w:rsidRPr="00EF38AE">
        <w:rPr>
          <w:rStyle w:val="rvts15"/>
        </w:rPr>
        <w:t>пруденційних</w:t>
      </w:r>
      <w:proofErr w:type="spellEnd"/>
      <w:r w:rsidR="000349BC" w:rsidRPr="00EF38AE">
        <w:rPr>
          <w:rStyle w:val="rvts15"/>
        </w:rPr>
        <w:t xml:space="preserve"> нормативів  банківської групи</w:t>
      </w:r>
      <w:r w:rsidR="000349BC" w:rsidRPr="000349BC">
        <w:rPr>
          <w:rStyle w:val="rvts15"/>
        </w:rPr>
        <w:t xml:space="preserve">/підгрупи банківської групи здійснюється відповідальною особою банківської групи на підставі проміжної консолідованої фінансової звітності банківської групи, проміжної </w:t>
      </w:r>
      <w:proofErr w:type="spellStart"/>
      <w:r w:rsidR="000349BC" w:rsidRPr="000349BC">
        <w:rPr>
          <w:rStyle w:val="rvts15"/>
        </w:rPr>
        <w:t>субконсолідованої</w:t>
      </w:r>
      <w:proofErr w:type="spellEnd"/>
      <w:r w:rsidR="000349BC" w:rsidRPr="000349BC">
        <w:rPr>
          <w:rStyle w:val="rvts15"/>
        </w:rPr>
        <w:t xml:space="preserve"> фінансової звітності підгруп банківської групи, річної консолідованої фінансової звітності банківської групи, річної </w:t>
      </w:r>
      <w:proofErr w:type="spellStart"/>
      <w:r w:rsidR="000349BC" w:rsidRPr="000349BC">
        <w:rPr>
          <w:rStyle w:val="rvts15"/>
        </w:rPr>
        <w:t>субконсолідованої</w:t>
      </w:r>
      <w:proofErr w:type="spellEnd"/>
      <w:r w:rsidR="000349BC" w:rsidRPr="000349BC">
        <w:rPr>
          <w:rStyle w:val="rvts15"/>
        </w:rPr>
        <w:t xml:space="preserve"> фінансової звітності підгруп </w:t>
      </w:r>
      <w:r w:rsidR="000349BC" w:rsidRPr="00EF38AE">
        <w:rPr>
          <w:rStyle w:val="rvts15"/>
        </w:rPr>
        <w:t>банківської групи, іншої звітності та інформації, що необхідні для здійснення таких розрахунків.</w:t>
      </w:r>
    </w:p>
    <w:p w14:paraId="794721FE" w14:textId="77777777" w:rsidR="000349BC" w:rsidRPr="00EF38AE" w:rsidRDefault="000349BC" w:rsidP="002C4D10">
      <w:pPr>
        <w:ind w:firstLine="567"/>
        <w:rPr>
          <w:shd w:val="clear" w:color="auto" w:fill="FFFFFF"/>
        </w:rPr>
      </w:pPr>
      <w:r w:rsidRPr="00EF38AE">
        <w:rPr>
          <w:shd w:val="clear" w:color="auto" w:fill="FFFFFF"/>
        </w:rPr>
        <w:t>Звітними є дані про дотримання вимог щодо:</w:t>
      </w:r>
    </w:p>
    <w:p w14:paraId="38F012DF" w14:textId="77777777" w:rsidR="000349BC" w:rsidRPr="00EF38AE" w:rsidRDefault="000349BC" w:rsidP="002C4D10">
      <w:pPr>
        <w:ind w:firstLine="567"/>
        <w:rPr>
          <w:shd w:val="clear" w:color="auto" w:fill="FFFFFF"/>
        </w:rPr>
      </w:pPr>
    </w:p>
    <w:p w14:paraId="6D10C9C1" w14:textId="7C2A424F" w:rsidR="000349BC" w:rsidRPr="00EF38AE" w:rsidRDefault="000349BC" w:rsidP="002C4D10">
      <w:pPr>
        <w:ind w:firstLine="567"/>
        <w:rPr>
          <w:rStyle w:val="rvts15"/>
          <w:color w:val="FF0000"/>
        </w:rPr>
      </w:pPr>
      <w:r w:rsidRPr="00EF38AE">
        <w:rPr>
          <w:shd w:val="clear" w:color="auto" w:fill="FFFFFF"/>
        </w:rPr>
        <w:t xml:space="preserve">1) достатності регулятивного капіталу, </w:t>
      </w:r>
      <w:proofErr w:type="spellStart"/>
      <w:r w:rsidRPr="00EF38AE">
        <w:rPr>
          <w:shd w:val="clear" w:color="auto" w:fill="FFFFFF"/>
        </w:rPr>
        <w:t>пруденційних</w:t>
      </w:r>
      <w:proofErr w:type="spellEnd"/>
      <w:r w:rsidRPr="00EF38AE">
        <w:rPr>
          <w:shd w:val="clear" w:color="auto" w:fill="FFFFFF"/>
        </w:rPr>
        <w:t xml:space="preserve"> нормативів банківської групи/підгрупи банківської групи </w:t>
      </w:r>
      <w:r w:rsidR="00D07FA8" w:rsidRPr="00EF38AE">
        <w:rPr>
          <w:shd w:val="clear" w:color="auto" w:fill="FFFFFF"/>
        </w:rPr>
        <w:t>[</w:t>
      </w:r>
      <w:r w:rsidRPr="00EF38AE">
        <w:rPr>
          <w:shd w:val="clear" w:color="auto" w:fill="FFFFFF"/>
        </w:rPr>
        <w:t xml:space="preserve">крім </w:t>
      </w:r>
      <w:r w:rsidRPr="00EF38AE">
        <w:rPr>
          <w:bCs/>
          <w:shd w:val="clear" w:color="auto" w:fill="FFFFFF"/>
        </w:rPr>
        <w:t>коефіцієнта покриття ліквідністю за всіма валютами (</w:t>
      </w:r>
      <w:proofErr w:type="spellStart"/>
      <w:r w:rsidRPr="00EF38AE">
        <w:rPr>
          <w:bCs/>
          <w:shd w:val="clear" w:color="auto" w:fill="FFFFFF"/>
        </w:rPr>
        <w:t>LCR</w:t>
      </w:r>
      <w:r w:rsidRPr="00EF38AE">
        <w:rPr>
          <w:rStyle w:val="rvts40"/>
          <w:bCs/>
          <w:shd w:val="clear" w:color="auto" w:fill="FFFFFF"/>
          <w:vertAlign w:val="subscript"/>
        </w:rPr>
        <w:t>BB</w:t>
      </w:r>
      <w:r w:rsidRPr="00EF38AE">
        <w:rPr>
          <w:bCs/>
          <w:shd w:val="clear" w:color="auto" w:fill="FFFFFF"/>
        </w:rPr>
        <w:t>к</w:t>
      </w:r>
      <w:proofErr w:type="spellEnd"/>
      <w:r w:rsidRPr="00EF38AE">
        <w:rPr>
          <w:bCs/>
          <w:shd w:val="clear" w:color="auto" w:fill="FFFFFF"/>
        </w:rPr>
        <w:t>), коефіцієнта покриття ліквідністю за іноземними валютами (</w:t>
      </w:r>
      <w:proofErr w:type="spellStart"/>
      <w:r w:rsidRPr="00EF38AE">
        <w:rPr>
          <w:bCs/>
          <w:shd w:val="clear" w:color="auto" w:fill="FFFFFF"/>
        </w:rPr>
        <w:t>LCR</w:t>
      </w:r>
      <w:r w:rsidRPr="00EF38AE">
        <w:rPr>
          <w:vertAlign w:val="subscript"/>
        </w:rPr>
        <w:t>ІB</w:t>
      </w:r>
      <w:r w:rsidRPr="00EF38AE">
        <w:rPr>
          <w:bCs/>
          <w:shd w:val="clear" w:color="auto" w:fill="FFFFFF"/>
        </w:rPr>
        <w:t>к</w:t>
      </w:r>
      <w:proofErr w:type="spellEnd"/>
      <w:r w:rsidRPr="00EF38AE">
        <w:rPr>
          <w:bCs/>
          <w:shd w:val="clear" w:color="auto" w:fill="FFFFFF"/>
        </w:rPr>
        <w:t>)]</w:t>
      </w:r>
      <w:r w:rsidR="00621A77" w:rsidRPr="00EF38AE">
        <w:rPr>
          <w:bCs/>
          <w:shd w:val="clear" w:color="auto" w:fill="FFFFFF"/>
        </w:rPr>
        <w:t>, що розраховані станом на 01 число місяця, наступного за звітним кварталом;</w:t>
      </w:r>
    </w:p>
    <w:p w14:paraId="3818DBAA" w14:textId="77777777" w:rsidR="000349BC" w:rsidRPr="00EF38AE" w:rsidRDefault="000349BC" w:rsidP="002C4D10">
      <w:pPr>
        <w:ind w:firstLine="567"/>
        <w:rPr>
          <w:rStyle w:val="rvts15"/>
        </w:rPr>
      </w:pPr>
    </w:p>
    <w:p w14:paraId="49B55AEA" w14:textId="63C2B1B5" w:rsidR="00A42CA6" w:rsidRPr="00EF38AE" w:rsidRDefault="000349BC" w:rsidP="002C4D10">
      <w:pPr>
        <w:ind w:firstLine="567"/>
      </w:pPr>
      <w:r w:rsidRPr="00EF38AE">
        <w:rPr>
          <w:rStyle w:val="rvts15"/>
        </w:rPr>
        <w:t xml:space="preserve">2) </w:t>
      </w:r>
      <w:r w:rsidRPr="00EF38AE">
        <w:rPr>
          <w:bCs/>
          <w:shd w:val="clear" w:color="auto" w:fill="FFFFFF"/>
        </w:rPr>
        <w:t>коефіцієнта покриття ліквідністю за всіма валютами (</w:t>
      </w:r>
      <w:proofErr w:type="spellStart"/>
      <w:r w:rsidRPr="00EF38AE">
        <w:rPr>
          <w:bCs/>
          <w:shd w:val="clear" w:color="auto" w:fill="FFFFFF"/>
        </w:rPr>
        <w:t>LCR</w:t>
      </w:r>
      <w:r w:rsidRPr="00EF38AE">
        <w:rPr>
          <w:rStyle w:val="rvts40"/>
          <w:bCs/>
          <w:shd w:val="clear" w:color="auto" w:fill="FFFFFF"/>
          <w:vertAlign w:val="subscript"/>
        </w:rPr>
        <w:t>BB</w:t>
      </w:r>
      <w:r w:rsidRPr="00EF38AE">
        <w:rPr>
          <w:bCs/>
          <w:shd w:val="clear" w:color="auto" w:fill="FFFFFF"/>
        </w:rPr>
        <w:t>к</w:t>
      </w:r>
      <w:proofErr w:type="spellEnd"/>
      <w:r w:rsidRPr="00EF38AE">
        <w:rPr>
          <w:bCs/>
          <w:shd w:val="clear" w:color="auto" w:fill="FFFFFF"/>
        </w:rPr>
        <w:t>), коефіцієнта покриття ліквідністю за іноземними валютами (</w:t>
      </w:r>
      <w:proofErr w:type="spellStart"/>
      <w:r w:rsidRPr="00EF38AE">
        <w:rPr>
          <w:bCs/>
          <w:shd w:val="clear" w:color="auto" w:fill="FFFFFF"/>
        </w:rPr>
        <w:t>LCR</w:t>
      </w:r>
      <w:r w:rsidRPr="00EF38AE">
        <w:rPr>
          <w:rStyle w:val="rvts40"/>
          <w:bCs/>
          <w:shd w:val="clear" w:color="auto" w:fill="FFFFFF"/>
          <w:vertAlign w:val="subscript"/>
        </w:rPr>
        <w:t>ІB</w:t>
      </w:r>
      <w:r w:rsidRPr="00EF38AE">
        <w:rPr>
          <w:bCs/>
          <w:shd w:val="clear" w:color="auto" w:fill="FFFFFF"/>
        </w:rPr>
        <w:t>к</w:t>
      </w:r>
      <w:proofErr w:type="spellEnd"/>
      <w:r w:rsidRPr="00EF38AE">
        <w:rPr>
          <w:bCs/>
          <w:shd w:val="clear" w:color="auto" w:fill="FFFFFF"/>
        </w:rPr>
        <w:t>)</w:t>
      </w:r>
      <w:r w:rsidR="00621A77" w:rsidRPr="00EF38AE">
        <w:rPr>
          <w:rStyle w:val="rvts15"/>
        </w:rPr>
        <w:t>, що розраховані станом на 01 число кожного місяця</w:t>
      </w:r>
      <w:r w:rsidRPr="00EF38AE">
        <w:rPr>
          <w:bCs/>
          <w:shd w:val="clear" w:color="auto" w:fill="FFFFFF"/>
        </w:rPr>
        <w:t>.</w:t>
      </w:r>
      <w:r w:rsidR="00A42CA6" w:rsidRPr="00EF38AE">
        <w:t>”</w:t>
      </w:r>
      <w:r w:rsidRPr="00EF38AE">
        <w:t>;</w:t>
      </w:r>
      <w:r w:rsidR="001F545B">
        <w:t xml:space="preserve"> </w:t>
      </w:r>
    </w:p>
    <w:p w14:paraId="2500E80F" w14:textId="1E5580E4" w:rsidR="00C16F88" w:rsidRPr="00EF38AE" w:rsidRDefault="00C16F88" w:rsidP="002C4D10">
      <w:pPr>
        <w:ind w:firstLine="567"/>
      </w:pPr>
    </w:p>
    <w:p w14:paraId="4A2A589D" w14:textId="37985BD3" w:rsidR="0002657D" w:rsidRPr="00EF38AE" w:rsidRDefault="00C16F88" w:rsidP="002C4D10">
      <w:pPr>
        <w:ind w:firstLine="567"/>
      </w:pPr>
      <w:r w:rsidRPr="00EF38AE">
        <w:t>2) </w:t>
      </w:r>
      <w:r w:rsidR="0002657D" w:rsidRPr="00EF38AE">
        <w:t>у главі 2:</w:t>
      </w:r>
    </w:p>
    <w:p w14:paraId="691CF906" w14:textId="535D0E7B" w:rsidR="0002657D" w:rsidRPr="00EF38AE" w:rsidRDefault="00C06F8B" w:rsidP="002C4D10">
      <w:pPr>
        <w:ind w:firstLine="567"/>
      </w:pPr>
      <w:r>
        <w:lastRenderedPageBreak/>
        <w:t>в</w:t>
      </w:r>
      <w:r w:rsidR="00D07FA8" w:rsidRPr="00EF38AE">
        <w:t xml:space="preserve"> </w:t>
      </w:r>
      <w:r w:rsidR="0002657D" w:rsidRPr="00EF38AE">
        <w:t>абзац</w:t>
      </w:r>
      <w:r w:rsidR="00D07FA8" w:rsidRPr="00EF38AE">
        <w:t>і</w:t>
      </w:r>
      <w:r w:rsidR="0002657D" w:rsidRPr="00EF38AE">
        <w:t xml:space="preserve"> шост</w:t>
      </w:r>
      <w:r w:rsidR="00D07FA8" w:rsidRPr="00EF38AE">
        <w:t>ому</w:t>
      </w:r>
      <w:r w:rsidR="0002657D" w:rsidRPr="00EF38AE">
        <w:t xml:space="preserve"> </w:t>
      </w:r>
      <w:r>
        <w:t xml:space="preserve">пункту </w:t>
      </w:r>
      <w:r w:rsidR="008B6967">
        <w:t xml:space="preserve">2.2 </w:t>
      </w:r>
      <w:r w:rsidR="0002657D" w:rsidRPr="00EF38AE">
        <w:t>слов</w:t>
      </w:r>
      <w:r w:rsidR="00D07FA8" w:rsidRPr="00EF38AE">
        <w:t xml:space="preserve">о </w:t>
      </w:r>
      <w:r w:rsidR="00D07FA8" w:rsidRPr="00EF38AE">
        <w:rPr>
          <w:lang w:val="ru-RU"/>
        </w:rPr>
        <w:t>“порядок”</w:t>
      </w:r>
      <w:r w:rsidR="00D07FA8" w:rsidRPr="00EF38AE">
        <w:t xml:space="preserve"> замінити словами</w:t>
      </w:r>
      <w:r w:rsidR="0002657D" w:rsidRPr="00EF38AE">
        <w:t xml:space="preserve"> </w:t>
      </w:r>
      <w:r w:rsidR="0002657D" w:rsidRPr="00EF38AE">
        <w:rPr>
          <w:lang w:val="ru-RU"/>
        </w:rPr>
        <w:t>“</w:t>
      </w:r>
      <w:proofErr w:type="spellStart"/>
      <w:r w:rsidR="00D07FA8" w:rsidRPr="00EF38AE">
        <w:rPr>
          <w:lang w:val="ru-RU"/>
        </w:rPr>
        <w:t>формати</w:t>
      </w:r>
      <w:proofErr w:type="spellEnd"/>
      <w:r w:rsidR="00D07FA8" w:rsidRPr="00EF38AE">
        <w:rPr>
          <w:lang w:val="ru-RU"/>
        </w:rPr>
        <w:t>, порядок</w:t>
      </w:r>
      <w:r w:rsidR="0002657D" w:rsidRPr="00EF38AE">
        <w:rPr>
          <w:lang w:val="ru-RU"/>
        </w:rPr>
        <w:t>”</w:t>
      </w:r>
      <w:r w:rsidR="0002657D" w:rsidRPr="00EF38AE">
        <w:t>;</w:t>
      </w:r>
    </w:p>
    <w:p w14:paraId="513E6B6A" w14:textId="0F479A2E" w:rsidR="00C16F88" w:rsidRPr="00EF38AE" w:rsidRDefault="00C06F8B" w:rsidP="002C4D10">
      <w:pPr>
        <w:ind w:firstLine="567"/>
      </w:pPr>
      <w:r>
        <w:t xml:space="preserve">в абзаці другому </w:t>
      </w:r>
      <w:r w:rsidR="00C16F88" w:rsidRPr="00EF38AE">
        <w:t>пункт</w:t>
      </w:r>
      <w:r>
        <w:t>у</w:t>
      </w:r>
      <w:r w:rsidR="00C16F88" w:rsidRPr="00EF38AE">
        <w:t xml:space="preserve"> </w:t>
      </w:r>
      <w:r w:rsidR="00B32CAA" w:rsidRPr="00EF38AE">
        <w:t>2.</w:t>
      </w:r>
      <w:r w:rsidR="00C16F88" w:rsidRPr="00EF38AE">
        <w:t xml:space="preserve">12 </w:t>
      </w:r>
      <w:r w:rsidR="00B32CAA" w:rsidRPr="00EF38AE">
        <w:t xml:space="preserve"> цифру</w:t>
      </w:r>
      <w:r>
        <w:t xml:space="preserve"> та слова</w:t>
      </w:r>
      <w:r w:rsidR="00B32CAA" w:rsidRPr="00EF38AE">
        <w:t xml:space="preserve"> </w:t>
      </w:r>
      <w:r w:rsidR="00B32CAA" w:rsidRPr="00EF38AE">
        <w:rPr>
          <w:lang w:val="ru-RU"/>
        </w:rPr>
        <w:t xml:space="preserve">“1 число </w:t>
      </w:r>
      <w:proofErr w:type="spellStart"/>
      <w:r w:rsidR="00B32CAA" w:rsidRPr="00EF38AE">
        <w:rPr>
          <w:lang w:val="ru-RU"/>
        </w:rPr>
        <w:t>місяця</w:t>
      </w:r>
      <w:proofErr w:type="spellEnd"/>
      <w:r w:rsidR="00B32CAA" w:rsidRPr="00EF38AE">
        <w:rPr>
          <w:lang w:val="ru-RU"/>
        </w:rPr>
        <w:t xml:space="preserve">, </w:t>
      </w:r>
      <w:proofErr w:type="spellStart"/>
      <w:r w:rsidR="00B32CAA" w:rsidRPr="00EF38AE">
        <w:rPr>
          <w:lang w:val="ru-RU"/>
        </w:rPr>
        <w:t>наступного</w:t>
      </w:r>
      <w:proofErr w:type="spellEnd"/>
      <w:r w:rsidR="00B32CAA" w:rsidRPr="00EF38AE">
        <w:rPr>
          <w:lang w:val="ru-RU"/>
        </w:rPr>
        <w:t xml:space="preserve"> за </w:t>
      </w:r>
      <w:proofErr w:type="spellStart"/>
      <w:r w:rsidR="00B32CAA" w:rsidRPr="00EF38AE">
        <w:rPr>
          <w:lang w:val="ru-RU"/>
        </w:rPr>
        <w:t>звітним</w:t>
      </w:r>
      <w:proofErr w:type="spellEnd"/>
      <w:r w:rsidR="00B32CAA" w:rsidRPr="00EF38AE">
        <w:rPr>
          <w:lang w:val="ru-RU"/>
        </w:rPr>
        <w:t xml:space="preserve"> кварталом, роком” </w:t>
      </w:r>
      <w:proofErr w:type="spellStart"/>
      <w:r w:rsidR="00B32CAA" w:rsidRPr="00EF38AE">
        <w:rPr>
          <w:lang w:val="ru-RU"/>
        </w:rPr>
        <w:t>замінити</w:t>
      </w:r>
      <w:proofErr w:type="spellEnd"/>
      <w:r w:rsidR="00B32CAA" w:rsidRPr="00EF38AE">
        <w:rPr>
          <w:lang w:val="ru-RU"/>
        </w:rPr>
        <w:t xml:space="preserve">  цифрами</w:t>
      </w:r>
      <w:r>
        <w:rPr>
          <w:lang w:val="ru-RU"/>
        </w:rPr>
        <w:t xml:space="preserve"> та словами</w:t>
      </w:r>
      <w:r w:rsidR="00B32CAA" w:rsidRPr="00EF38AE">
        <w:rPr>
          <w:lang w:val="ru-RU"/>
        </w:rPr>
        <w:t xml:space="preserve"> “</w:t>
      </w:r>
      <w:r w:rsidR="00FC7A90" w:rsidRPr="00EF38AE">
        <w:rPr>
          <w:lang w:val="ru-RU"/>
        </w:rPr>
        <w:t xml:space="preserve">01 число кожного </w:t>
      </w:r>
      <w:proofErr w:type="spellStart"/>
      <w:r w:rsidR="00FC7A90" w:rsidRPr="00EF38AE">
        <w:rPr>
          <w:lang w:val="ru-RU"/>
        </w:rPr>
        <w:t>місяця</w:t>
      </w:r>
      <w:proofErr w:type="spellEnd"/>
      <w:r w:rsidR="00B32CAA" w:rsidRPr="00EF38AE">
        <w:rPr>
          <w:lang w:val="ru-RU"/>
        </w:rPr>
        <w:t>”</w:t>
      </w:r>
      <w:r w:rsidR="00FC7A90" w:rsidRPr="00EF38AE">
        <w:t>.</w:t>
      </w:r>
    </w:p>
    <w:sectPr w:rsidR="00C16F88" w:rsidRPr="00EF38AE" w:rsidSect="00877884">
      <w:footnotePr>
        <w:pos w:val="beneathText"/>
        <w:numStart w:val="2"/>
      </w:footnotePr>
      <w:endnotePr>
        <w:numFmt w:val="decimal"/>
      </w:endnotePr>
      <w:pgSz w:w="11907" w:h="16840" w:code="9"/>
      <w:pgMar w:top="567" w:right="567" w:bottom="1701" w:left="1701" w:header="567"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A5856" w14:textId="77777777" w:rsidR="00C3361B" w:rsidRDefault="00C3361B" w:rsidP="00E53CCD">
      <w:r>
        <w:separator/>
      </w:r>
    </w:p>
  </w:endnote>
  <w:endnote w:type="continuationSeparator" w:id="0">
    <w:p w14:paraId="6F9DC3DE" w14:textId="77777777" w:rsidR="00C3361B" w:rsidRDefault="00C3361B"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charset w:val="CC"/>
    <w:family w:val="roman"/>
    <w:pitch w:val="default"/>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58B0" w14:textId="77777777" w:rsidR="00A02655" w:rsidRPr="0076356A" w:rsidRDefault="00A02655" w:rsidP="003C10F1">
    <w:pPr>
      <w:pStyle w:val="a5"/>
      <w:tabs>
        <w:tab w:val="clear" w:pos="4819"/>
      </w:tabs>
      <w:jc w:val="right"/>
      <w:rPr>
        <w:color w:val="FFFFFF" w:themeColor="background1"/>
      </w:rPr>
    </w:pPr>
    <w:r w:rsidRPr="0076356A">
      <w:rPr>
        <w:color w:val="FFFFFF" w:themeColor="background1"/>
      </w:rPr>
      <w:t>Шаблон</w:t>
    </w:r>
  </w:p>
  <w:p w14:paraId="4975EC60" w14:textId="1C6E52A3" w:rsidR="00A02655" w:rsidRPr="00A02655" w:rsidRDefault="00A02655" w:rsidP="00A02655">
    <w:pPr>
      <w:pStyle w:val="a7"/>
      <w:jc w:val="right"/>
      <w:rPr>
        <w:color w:val="FFFFFF" w:themeColor="background1"/>
      </w:rPr>
    </w:pPr>
    <w:r w:rsidRPr="00A02655">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8BF6A" w14:textId="77777777" w:rsidR="00C3361B" w:rsidRDefault="00C3361B" w:rsidP="00E53CCD">
      <w:r>
        <w:separator/>
      </w:r>
    </w:p>
  </w:footnote>
  <w:footnote w:type="continuationSeparator" w:id="0">
    <w:p w14:paraId="2BA2F2E1" w14:textId="77777777" w:rsidR="00C3361B" w:rsidRDefault="00C3361B"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32B2F6D1" w14:textId="198E86DD" w:rsidR="00460BA2" w:rsidRDefault="00FE0B90">
        <w:pPr>
          <w:pStyle w:val="a5"/>
          <w:jc w:val="center"/>
        </w:pPr>
        <w:r>
          <w:fldChar w:fldCharType="begin"/>
        </w:r>
        <w:r w:rsidR="00460BA2">
          <w:instrText xml:space="preserve"> PAGE   \* MERGEFORMAT </w:instrText>
        </w:r>
        <w:r>
          <w:fldChar w:fldCharType="separate"/>
        </w:r>
        <w:r w:rsidR="00A9403B">
          <w:rPr>
            <w:noProof/>
          </w:rPr>
          <w:t>6</w:t>
        </w:r>
        <w:r>
          <w:fldChar w:fldCharType="end"/>
        </w:r>
      </w:p>
    </w:sdtContent>
  </w:sdt>
  <w:p w14:paraId="32B2F6D2" w14:textId="77777777" w:rsidR="00460BA2" w:rsidRDefault="00460BA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547F"/>
    <w:multiLevelType w:val="hybridMultilevel"/>
    <w:tmpl w:val="E10E81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6A464BE"/>
    <w:multiLevelType w:val="hybridMultilevel"/>
    <w:tmpl w:val="6854DD92"/>
    <w:lvl w:ilvl="0" w:tplc="BC1AB78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 w15:restartNumberingAfterBreak="0">
    <w:nsid w:val="1F761D93"/>
    <w:multiLevelType w:val="hybridMultilevel"/>
    <w:tmpl w:val="6342320E"/>
    <w:lvl w:ilvl="0" w:tplc="A8F65400">
      <w:start w:val="1"/>
      <w:numFmt w:val="decimal"/>
      <w:lvlText w:val="%1)"/>
      <w:lvlJc w:val="left"/>
      <w:pPr>
        <w:ind w:left="927" w:hanging="360"/>
      </w:pPr>
      <w:rPr>
        <w:rFonts w:ascii="Times New Roman" w:hAnsi="Times New Roman" w:cs="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CF3214D"/>
    <w:multiLevelType w:val="hybridMultilevel"/>
    <w:tmpl w:val="0E94B6C6"/>
    <w:lvl w:ilvl="0" w:tplc="802A324C">
      <w:start w:val="1"/>
      <w:numFmt w:val="decimal"/>
      <w:lvlText w:val="%1."/>
      <w:lvlJc w:val="left"/>
      <w:pPr>
        <w:ind w:left="1069" w:hanging="360"/>
      </w:pPr>
      <w:rPr>
        <w:rFonts w:eastAsia="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3CED2283"/>
    <w:multiLevelType w:val="hybridMultilevel"/>
    <w:tmpl w:val="0D467A22"/>
    <w:lvl w:ilvl="0" w:tplc="5F6E9BF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407A3D07"/>
    <w:multiLevelType w:val="hybridMultilevel"/>
    <w:tmpl w:val="8384FE9C"/>
    <w:lvl w:ilvl="0" w:tplc="4D063EB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44A41ACE"/>
    <w:multiLevelType w:val="hybridMultilevel"/>
    <w:tmpl w:val="CD7810C6"/>
    <w:lvl w:ilvl="0" w:tplc="E46A7A7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496A355D"/>
    <w:multiLevelType w:val="hybridMultilevel"/>
    <w:tmpl w:val="DD42E11C"/>
    <w:lvl w:ilvl="0" w:tplc="0D14FEF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6BA15C3C"/>
    <w:multiLevelType w:val="hybridMultilevel"/>
    <w:tmpl w:val="F8CE963C"/>
    <w:lvl w:ilvl="0" w:tplc="0D3C073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7EAB498A"/>
    <w:multiLevelType w:val="hybridMultilevel"/>
    <w:tmpl w:val="373C7D5C"/>
    <w:lvl w:ilvl="0" w:tplc="0EE4843A">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4"/>
  </w:num>
  <w:num w:numId="6">
    <w:abstractNumId w:val="11"/>
  </w:num>
  <w:num w:numId="7">
    <w:abstractNumId w:val="1"/>
  </w:num>
  <w:num w:numId="8">
    <w:abstractNumId w:val="8"/>
  </w:num>
  <w:num w:numId="9">
    <w:abstractNumId w:val="9"/>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1559"/>
    <w:rsid w:val="000064FA"/>
    <w:rsid w:val="000069AF"/>
    <w:rsid w:val="00006DAD"/>
    <w:rsid w:val="000107CC"/>
    <w:rsid w:val="00013398"/>
    <w:rsid w:val="00015B87"/>
    <w:rsid w:val="00015CF3"/>
    <w:rsid w:val="00015FDE"/>
    <w:rsid w:val="00017A64"/>
    <w:rsid w:val="00021BB2"/>
    <w:rsid w:val="00021BCA"/>
    <w:rsid w:val="00021E60"/>
    <w:rsid w:val="00024E42"/>
    <w:rsid w:val="0002560A"/>
    <w:rsid w:val="0002657D"/>
    <w:rsid w:val="000274E1"/>
    <w:rsid w:val="0003331E"/>
    <w:rsid w:val="000342A5"/>
    <w:rsid w:val="000349BC"/>
    <w:rsid w:val="00034EC1"/>
    <w:rsid w:val="00036E9C"/>
    <w:rsid w:val="00037912"/>
    <w:rsid w:val="0003793C"/>
    <w:rsid w:val="00041D71"/>
    <w:rsid w:val="0004222F"/>
    <w:rsid w:val="0004264F"/>
    <w:rsid w:val="00045FCF"/>
    <w:rsid w:val="00047E07"/>
    <w:rsid w:val="0005265A"/>
    <w:rsid w:val="00052A87"/>
    <w:rsid w:val="000532C7"/>
    <w:rsid w:val="0005411A"/>
    <w:rsid w:val="000543C6"/>
    <w:rsid w:val="00054C22"/>
    <w:rsid w:val="000553E8"/>
    <w:rsid w:val="000600A8"/>
    <w:rsid w:val="000614E4"/>
    <w:rsid w:val="0006152C"/>
    <w:rsid w:val="00061C52"/>
    <w:rsid w:val="00063480"/>
    <w:rsid w:val="000638F2"/>
    <w:rsid w:val="000638F6"/>
    <w:rsid w:val="00064082"/>
    <w:rsid w:val="00065391"/>
    <w:rsid w:val="00066F0B"/>
    <w:rsid w:val="0007075B"/>
    <w:rsid w:val="00072372"/>
    <w:rsid w:val="00072558"/>
    <w:rsid w:val="00073896"/>
    <w:rsid w:val="00074ACB"/>
    <w:rsid w:val="00075EAF"/>
    <w:rsid w:val="00077A67"/>
    <w:rsid w:val="000800A4"/>
    <w:rsid w:val="00080F68"/>
    <w:rsid w:val="0008170F"/>
    <w:rsid w:val="000833CD"/>
    <w:rsid w:val="0008580E"/>
    <w:rsid w:val="00085C95"/>
    <w:rsid w:val="00086EE3"/>
    <w:rsid w:val="00090A23"/>
    <w:rsid w:val="00091A6F"/>
    <w:rsid w:val="000923B8"/>
    <w:rsid w:val="00092FB6"/>
    <w:rsid w:val="00093F76"/>
    <w:rsid w:val="0009421F"/>
    <w:rsid w:val="00094F33"/>
    <w:rsid w:val="00097EFC"/>
    <w:rsid w:val="000A2EE4"/>
    <w:rsid w:val="000A4ADF"/>
    <w:rsid w:val="000A579E"/>
    <w:rsid w:val="000A6FAE"/>
    <w:rsid w:val="000B0C7C"/>
    <w:rsid w:val="000B2052"/>
    <w:rsid w:val="000B2496"/>
    <w:rsid w:val="000B2990"/>
    <w:rsid w:val="000B2D33"/>
    <w:rsid w:val="000B6F53"/>
    <w:rsid w:val="000C0480"/>
    <w:rsid w:val="000C30F8"/>
    <w:rsid w:val="000C53A9"/>
    <w:rsid w:val="000C5E16"/>
    <w:rsid w:val="000C5E8F"/>
    <w:rsid w:val="000D2632"/>
    <w:rsid w:val="000D291A"/>
    <w:rsid w:val="000D3301"/>
    <w:rsid w:val="000D373E"/>
    <w:rsid w:val="000D3D83"/>
    <w:rsid w:val="000D6813"/>
    <w:rsid w:val="000D778F"/>
    <w:rsid w:val="000E0CB3"/>
    <w:rsid w:val="000E12B8"/>
    <w:rsid w:val="000E1A32"/>
    <w:rsid w:val="000E1C3A"/>
    <w:rsid w:val="000E2EC9"/>
    <w:rsid w:val="000E5B8C"/>
    <w:rsid w:val="000E7A13"/>
    <w:rsid w:val="000F1202"/>
    <w:rsid w:val="000F1767"/>
    <w:rsid w:val="000F4E14"/>
    <w:rsid w:val="000F5FE2"/>
    <w:rsid w:val="001013D0"/>
    <w:rsid w:val="00105DE1"/>
    <w:rsid w:val="00106229"/>
    <w:rsid w:val="001129E4"/>
    <w:rsid w:val="00112D9C"/>
    <w:rsid w:val="00114154"/>
    <w:rsid w:val="001150AA"/>
    <w:rsid w:val="00115ECF"/>
    <w:rsid w:val="00117170"/>
    <w:rsid w:val="001174E6"/>
    <w:rsid w:val="001240B3"/>
    <w:rsid w:val="001240E8"/>
    <w:rsid w:val="00126E2A"/>
    <w:rsid w:val="00137509"/>
    <w:rsid w:val="001401CA"/>
    <w:rsid w:val="00140433"/>
    <w:rsid w:val="001410C1"/>
    <w:rsid w:val="0014783B"/>
    <w:rsid w:val="0015075B"/>
    <w:rsid w:val="00155086"/>
    <w:rsid w:val="00157AC0"/>
    <w:rsid w:val="0016017E"/>
    <w:rsid w:val="0016207E"/>
    <w:rsid w:val="001631E2"/>
    <w:rsid w:val="0016576F"/>
    <w:rsid w:val="00167772"/>
    <w:rsid w:val="001679BD"/>
    <w:rsid w:val="0017038F"/>
    <w:rsid w:val="001710D6"/>
    <w:rsid w:val="001716B0"/>
    <w:rsid w:val="001719C9"/>
    <w:rsid w:val="00171D30"/>
    <w:rsid w:val="00173EBF"/>
    <w:rsid w:val="001740C0"/>
    <w:rsid w:val="0017682E"/>
    <w:rsid w:val="001772DF"/>
    <w:rsid w:val="001800CE"/>
    <w:rsid w:val="00180AF7"/>
    <w:rsid w:val="00182E1D"/>
    <w:rsid w:val="00183DA4"/>
    <w:rsid w:val="001844F7"/>
    <w:rsid w:val="00190E1A"/>
    <w:rsid w:val="001911C5"/>
    <w:rsid w:val="00192E99"/>
    <w:rsid w:val="00195707"/>
    <w:rsid w:val="001A0EE5"/>
    <w:rsid w:val="001A10BE"/>
    <w:rsid w:val="001A16FA"/>
    <w:rsid w:val="001A4CB9"/>
    <w:rsid w:val="001A4FDD"/>
    <w:rsid w:val="001A6795"/>
    <w:rsid w:val="001A6D93"/>
    <w:rsid w:val="001A76D3"/>
    <w:rsid w:val="001B2A3A"/>
    <w:rsid w:val="001C09B6"/>
    <w:rsid w:val="001C206C"/>
    <w:rsid w:val="001C23E2"/>
    <w:rsid w:val="001C4345"/>
    <w:rsid w:val="001C57D8"/>
    <w:rsid w:val="001C5A89"/>
    <w:rsid w:val="001D28C7"/>
    <w:rsid w:val="001D2E0D"/>
    <w:rsid w:val="001D3786"/>
    <w:rsid w:val="001D3859"/>
    <w:rsid w:val="001D47FC"/>
    <w:rsid w:val="001D487A"/>
    <w:rsid w:val="001D4B1F"/>
    <w:rsid w:val="001D4B2B"/>
    <w:rsid w:val="001D4CC4"/>
    <w:rsid w:val="001E324A"/>
    <w:rsid w:val="001E6828"/>
    <w:rsid w:val="001E6FF4"/>
    <w:rsid w:val="001F306E"/>
    <w:rsid w:val="001F545B"/>
    <w:rsid w:val="001F6A99"/>
    <w:rsid w:val="002023B0"/>
    <w:rsid w:val="0020299B"/>
    <w:rsid w:val="002038F4"/>
    <w:rsid w:val="002047F5"/>
    <w:rsid w:val="00210367"/>
    <w:rsid w:val="00210B74"/>
    <w:rsid w:val="0021485E"/>
    <w:rsid w:val="002157F4"/>
    <w:rsid w:val="00215AC3"/>
    <w:rsid w:val="00216799"/>
    <w:rsid w:val="002202E1"/>
    <w:rsid w:val="0022196D"/>
    <w:rsid w:val="002238D1"/>
    <w:rsid w:val="00233C35"/>
    <w:rsid w:val="00233F37"/>
    <w:rsid w:val="002341D3"/>
    <w:rsid w:val="00234D0A"/>
    <w:rsid w:val="00241373"/>
    <w:rsid w:val="00241666"/>
    <w:rsid w:val="00244A6A"/>
    <w:rsid w:val="00244E59"/>
    <w:rsid w:val="002452B3"/>
    <w:rsid w:val="002466FB"/>
    <w:rsid w:val="00246701"/>
    <w:rsid w:val="00246CC0"/>
    <w:rsid w:val="00247AF4"/>
    <w:rsid w:val="00250E05"/>
    <w:rsid w:val="00253BF9"/>
    <w:rsid w:val="0025455E"/>
    <w:rsid w:val="002603F3"/>
    <w:rsid w:val="00260B44"/>
    <w:rsid w:val="00264983"/>
    <w:rsid w:val="00265B88"/>
    <w:rsid w:val="00266678"/>
    <w:rsid w:val="00266D81"/>
    <w:rsid w:val="00270D45"/>
    <w:rsid w:val="00271469"/>
    <w:rsid w:val="00276988"/>
    <w:rsid w:val="00280DCC"/>
    <w:rsid w:val="00281B73"/>
    <w:rsid w:val="00283260"/>
    <w:rsid w:val="00283B93"/>
    <w:rsid w:val="0028477F"/>
    <w:rsid w:val="00284BB1"/>
    <w:rsid w:val="00285DDA"/>
    <w:rsid w:val="00290169"/>
    <w:rsid w:val="002903EC"/>
    <w:rsid w:val="002933D5"/>
    <w:rsid w:val="00294D7A"/>
    <w:rsid w:val="002A0B0E"/>
    <w:rsid w:val="002A1338"/>
    <w:rsid w:val="002A2391"/>
    <w:rsid w:val="002A2D50"/>
    <w:rsid w:val="002A6A17"/>
    <w:rsid w:val="002B351E"/>
    <w:rsid w:val="002B3F71"/>
    <w:rsid w:val="002B44EA"/>
    <w:rsid w:val="002B4BF6"/>
    <w:rsid w:val="002B582B"/>
    <w:rsid w:val="002B62D3"/>
    <w:rsid w:val="002B68F1"/>
    <w:rsid w:val="002B71E3"/>
    <w:rsid w:val="002C01D9"/>
    <w:rsid w:val="002C0B0B"/>
    <w:rsid w:val="002C1FDB"/>
    <w:rsid w:val="002C2E25"/>
    <w:rsid w:val="002C4D10"/>
    <w:rsid w:val="002C53EB"/>
    <w:rsid w:val="002C554A"/>
    <w:rsid w:val="002D00DC"/>
    <w:rsid w:val="002D1790"/>
    <w:rsid w:val="002D18E0"/>
    <w:rsid w:val="002D1B07"/>
    <w:rsid w:val="002D1DFF"/>
    <w:rsid w:val="002D3B40"/>
    <w:rsid w:val="002D4192"/>
    <w:rsid w:val="002D503C"/>
    <w:rsid w:val="002D5A85"/>
    <w:rsid w:val="002D5E24"/>
    <w:rsid w:val="002D6F8F"/>
    <w:rsid w:val="002D7987"/>
    <w:rsid w:val="002E15E8"/>
    <w:rsid w:val="002E1DC9"/>
    <w:rsid w:val="002E3249"/>
    <w:rsid w:val="002E3670"/>
    <w:rsid w:val="002E3E92"/>
    <w:rsid w:val="002E4EE0"/>
    <w:rsid w:val="002E7430"/>
    <w:rsid w:val="002E7A0A"/>
    <w:rsid w:val="002F2607"/>
    <w:rsid w:val="002F2BB8"/>
    <w:rsid w:val="002F48EF"/>
    <w:rsid w:val="00300BFC"/>
    <w:rsid w:val="0030189E"/>
    <w:rsid w:val="00302432"/>
    <w:rsid w:val="00303CF0"/>
    <w:rsid w:val="0030499D"/>
    <w:rsid w:val="00305BB5"/>
    <w:rsid w:val="003077FB"/>
    <w:rsid w:val="003106AF"/>
    <w:rsid w:val="003108C3"/>
    <w:rsid w:val="00312338"/>
    <w:rsid w:val="0031407C"/>
    <w:rsid w:val="0032102F"/>
    <w:rsid w:val="00321C45"/>
    <w:rsid w:val="003229A8"/>
    <w:rsid w:val="00324411"/>
    <w:rsid w:val="0032483B"/>
    <w:rsid w:val="00325FD8"/>
    <w:rsid w:val="00332701"/>
    <w:rsid w:val="00332C31"/>
    <w:rsid w:val="00334271"/>
    <w:rsid w:val="00335622"/>
    <w:rsid w:val="003358EC"/>
    <w:rsid w:val="003371F2"/>
    <w:rsid w:val="003377D9"/>
    <w:rsid w:val="00340D07"/>
    <w:rsid w:val="00343835"/>
    <w:rsid w:val="00345982"/>
    <w:rsid w:val="00347198"/>
    <w:rsid w:val="00347838"/>
    <w:rsid w:val="00356E34"/>
    <w:rsid w:val="00357676"/>
    <w:rsid w:val="00373805"/>
    <w:rsid w:val="00375A95"/>
    <w:rsid w:val="0037742A"/>
    <w:rsid w:val="003801BC"/>
    <w:rsid w:val="00381289"/>
    <w:rsid w:val="003831D4"/>
    <w:rsid w:val="0038385E"/>
    <w:rsid w:val="00384820"/>
    <w:rsid w:val="00384F65"/>
    <w:rsid w:val="00385D33"/>
    <w:rsid w:val="00387259"/>
    <w:rsid w:val="00390BFC"/>
    <w:rsid w:val="003929AA"/>
    <w:rsid w:val="00395A27"/>
    <w:rsid w:val="00396CD2"/>
    <w:rsid w:val="0039725C"/>
    <w:rsid w:val="003A0D56"/>
    <w:rsid w:val="003A16E7"/>
    <w:rsid w:val="003A3DC3"/>
    <w:rsid w:val="003A5066"/>
    <w:rsid w:val="003A54C1"/>
    <w:rsid w:val="003A561D"/>
    <w:rsid w:val="003A751F"/>
    <w:rsid w:val="003A7E8C"/>
    <w:rsid w:val="003B1E7C"/>
    <w:rsid w:val="003B20CF"/>
    <w:rsid w:val="003C0AB9"/>
    <w:rsid w:val="003C10F1"/>
    <w:rsid w:val="003C1FB5"/>
    <w:rsid w:val="003C3256"/>
    <w:rsid w:val="003C3282"/>
    <w:rsid w:val="003C3985"/>
    <w:rsid w:val="003C6D33"/>
    <w:rsid w:val="003C7BB2"/>
    <w:rsid w:val="003D21DA"/>
    <w:rsid w:val="003D6B33"/>
    <w:rsid w:val="003E0809"/>
    <w:rsid w:val="003E2C02"/>
    <w:rsid w:val="003E3440"/>
    <w:rsid w:val="003E3978"/>
    <w:rsid w:val="003E5088"/>
    <w:rsid w:val="003E7443"/>
    <w:rsid w:val="003F0441"/>
    <w:rsid w:val="003F28B5"/>
    <w:rsid w:val="003F4F93"/>
    <w:rsid w:val="003F7093"/>
    <w:rsid w:val="003F7E90"/>
    <w:rsid w:val="00401EDB"/>
    <w:rsid w:val="00404C58"/>
    <w:rsid w:val="00404C93"/>
    <w:rsid w:val="00407877"/>
    <w:rsid w:val="00410CAA"/>
    <w:rsid w:val="00411561"/>
    <w:rsid w:val="00411AB2"/>
    <w:rsid w:val="004130B9"/>
    <w:rsid w:val="00413E80"/>
    <w:rsid w:val="00414F83"/>
    <w:rsid w:val="00417E77"/>
    <w:rsid w:val="0042064A"/>
    <w:rsid w:val="0042414C"/>
    <w:rsid w:val="004251D9"/>
    <w:rsid w:val="00426444"/>
    <w:rsid w:val="00430893"/>
    <w:rsid w:val="004334D0"/>
    <w:rsid w:val="00435E3E"/>
    <w:rsid w:val="0044477F"/>
    <w:rsid w:val="004466E5"/>
    <w:rsid w:val="00446704"/>
    <w:rsid w:val="00446DFE"/>
    <w:rsid w:val="0045058F"/>
    <w:rsid w:val="00451F6F"/>
    <w:rsid w:val="004528D8"/>
    <w:rsid w:val="00454540"/>
    <w:rsid w:val="004557B6"/>
    <w:rsid w:val="00455B45"/>
    <w:rsid w:val="00456D0D"/>
    <w:rsid w:val="00460BA2"/>
    <w:rsid w:val="0046242B"/>
    <w:rsid w:val="00464700"/>
    <w:rsid w:val="004666D6"/>
    <w:rsid w:val="00467077"/>
    <w:rsid w:val="004727FB"/>
    <w:rsid w:val="0047677E"/>
    <w:rsid w:val="00480BCD"/>
    <w:rsid w:val="0048140D"/>
    <w:rsid w:val="0048312E"/>
    <w:rsid w:val="004853CC"/>
    <w:rsid w:val="00494DBC"/>
    <w:rsid w:val="004957BB"/>
    <w:rsid w:val="0049584B"/>
    <w:rsid w:val="004960C4"/>
    <w:rsid w:val="00497097"/>
    <w:rsid w:val="004A1571"/>
    <w:rsid w:val="004A1A2F"/>
    <w:rsid w:val="004A1CFC"/>
    <w:rsid w:val="004A1FB1"/>
    <w:rsid w:val="004A5DD5"/>
    <w:rsid w:val="004A71AE"/>
    <w:rsid w:val="004A721D"/>
    <w:rsid w:val="004A7F75"/>
    <w:rsid w:val="004B1FE9"/>
    <w:rsid w:val="004B5538"/>
    <w:rsid w:val="004B5574"/>
    <w:rsid w:val="004B781F"/>
    <w:rsid w:val="004C3703"/>
    <w:rsid w:val="004C383F"/>
    <w:rsid w:val="004C3FC5"/>
    <w:rsid w:val="004C5C95"/>
    <w:rsid w:val="004C67F5"/>
    <w:rsid w:val="004C695E"/>
    <w:rsid w:val="004C782B"/>
    <w:rsid w:val="004D13AD"/>
    <w:rsid w:val="004D235B"/>
    <w:rsid w:val="004D2B57"/>
    <w:rsid w:val="004D351E"/>
    <w:rsid w:val="004D6D84"/>
    <w:rsid w:val="004D7989"/>
    <w:rsid w:val="004E1CCA"/>
    <w:rsid w:val="004E22E2"/>
    <w:rsid w:val="004E24E8"/>
    <w:rsid w:val="004E655F"/>
    <w:rsid w:val="004E6C71"/>
    <w:rsid w:val="004F4984"/>
    <w:rsid w:val="00501143"/>
    <w:rsid w:val="00501227"/>
    <w:rsid w:val="00502132"/>
    <w:rsid w:val="0050563F"/>
    <w:rsid w:val="005070E5"/>
    <w:rsid w:val="00512BFE"/>
    <w:rsid w:val="005143FA"/>
    <w:rsid w:val="00514CF2"/>
    <w:rsid w:val="005151E5"/>
    <w:rsid w:val="005151EB"/>
    <w:rsid w:val="00515237"/>
    <w:rsid w:val="00517DBA"/>
    <w:rsid w:val="0052072E"/>
    <w:rsid w:val="005212A1"/>
    <w:rsid w:val="005212C5"/>
    <w:rsid w:val="00521599"/>
    <w:rsid w:val="00523C13"/>
    <w:rsid w:val="005247E4"/>
    <w:rsid w:val="00524F07"/>
    <w:rsid w:val="0052550B"/>
    <w:rsid w:val="005257C2"/>
    <w:rsid w:val="00525EBF"/>
    <w:rsid w:val="0052638D"/>
    <w:rsid w:val="005301C0"/>
    <w:rsid w:val="00531087"/>
    <w:rsid w:val="00531A40"/>
    <w:rsid w:val="00532633"/>
    <w:rsid w:val="0053392E"/>
    <w:rsid w:val="00536411"/>
    <w:rsid w:val="005403F1"/>
    <w:rsid w:val="00542533"/>
    <w:rsid w:val="005426B4"/>
    <w:rsid w:val="00544E1C"/>
    <w:rsid w:val="00544F07"/>
    <w:rsid w:val="005456FE"/>
    <w:rsid w:val="00547B84"/>
    <w:rsid w:val="00550086"/>
    <w:rsid w:val="005505AD"/>
    <w:rsid w:val="0055179F"/>
    <w:rsid w:val="00551976"/>
    <w:rsid w:val="00552597"/>
    <w:rsid w:val="00552B57"/>
    <w:rsid w:val="0055322E"/>
    <w:rsid w:val="00553289"/>
    <w:rsid w:val="00554A13"/>
    <w:rsid w:val="0055591A"/>
    <w:rsid w:val="00557FE3"/>
    <w:rsid w:val="0056067D"/>
    <w:rsid w:val="005624B6"/>
    <w:rsid w:val="00562C46"/>
    <w:rsid w:val="00565A92"/>
    <w:rsid w:val="00566D31"/>
    <w:rsid w:val="00571F46"/>
    <w:rsid w:val="0057237F"/>
    <w:rsid w:val="005730AE"/>
    <w:rsid w:val="0057406A"/>
    <w:rsid w:val="0057492A"/>
    <w:rsid w:val="00574ECC"/>
    <w:rsid w:val="00577402"/>
    <w:rsid w:val="0058173C"/>
    <w:rsid w:val="005822AA"/>
    <w:rsid w:val="005822CB"/>
    <w:rsid w:val="00583957"/>
    <w:rsid w:val="00586814"/>
    <w:rsid w:val="005915B9"/>
    <w:rsid w:val="00591624"/>
    <w:rsid w:val="005937DE"/>
    <w:rsid w:val="0059529E"/>
    <w:rsid w:val="005978BD"/>
    <w:rsid w:val="00597AB6"/>
    <w:rsid w:val="005A0F4B"/>
    <w:rsid w:val="005A1D3C"/>
    <w:rsid w:val="005A1E63"/>
    <w:rsid w:val="005A218F"/>
    <w:rsid w:val="005A2D85"/>
    <w:rsid w:val="005A3F34"/>
    <w:rsid w:val="005B075F"/>
    <w:rsid w:val="005B134F"/>
    <w:rsid w:val="005B147A"/>
    <w:rsid w:val="005B2D03"/>
    <w:rsid w:val="005B4377"/>
    <w:rsid w:val="005B474D"/>
    <w:rsid w:val="005B6066"/>
    <w:rsid w:val="005B6601"/>
    <w:rsid w:val="005B6798"/>
    <w:rsid w:val="005B6A79"/>
    <w:rsid w:val="005C52AB"/>
    <w:rsid w:val="005C54ED"/>
    <w:rsid w:val="005C5924"/>
    <w:rsid w:val="005C5CBF"/>
    <w:rsid w:val="005C6106"/>
    <w:rsid w:val="005C7B07"/>
    <w:rsid w:val="005D14CB"/>
    <w:rsid w:val="005D397E"/>
    <w:rsid w:val="005D3B88"/>
    <w:rsid w:val="005D45F5"/>
    <w:rsid w:val="005D4DEB"/>
    <w:rsid w:val="005E02B2"/>
    <w:rsid w:val="005E0A86"/>
    <w:rsid w:val="005E1652"/>
    <w:rsid w:val="005E302A"/>
    <w:rsid w:val="005E3FA8"/>
    <w:rsid w:val="005E48BB"/>
    <w:rsid w:val="005E4EA1"/>
    <w:rsid w:val="005E50B7"/>
    <w:rsid w:val="005F090D"/>
    <w:rsid w:val="005F0FA4"/>
    <w:rsid w:val="005F2EE7"/>
    <w:rsid w:val="005F495B"/>
    <w:rsid w:val="005F4CB4"/>
    <w:rsid w:val="005F5133"/>
    <w:rsid w:val="005F516E"/>
    <w:rsid w:val="005F607E"/>
    <w:rsid w:val="005F6873"/>
    <w:rsid w:val="005F6B35"/>
    <w:rsid w:val="006028F6"/>
    <w:rsid w:val="00603938"/>
    <w:rsid w:val="00603A41"/>
    <w:rsid w:val="00606D06"/>
    <w:rsid w:val="00610B4D"/>
    <w:rsid w:val="006112B9"/>
    <w:rsid w:val="00613696"/>
    <w:rsid w:val="006164F3"/>
    <w:rsid w:val="00621A77"/>
    <w:rsid w:val="00621D18"/>
    <w:rsid w:val="00622D92"/>
    <w:rsid w:val="00623F6E"/>
    <w:rsid w:val="00624DB7"/>
    <w:rsid w:val="00630BA1"/>
    <w:rsid w:val="00630C86"/>
    <w:rsid w:val="00634437"/>
    <w:rsid w:val="0063683C"/>
    <w:rsid w:val="00637218"/>
    <w:rsid w:val="0063789E"/>
    <w:rsid w:val="00640612"/>
    <w:rsid w:val="00641C7F"/>
    <w:rsid w:val="0064227D"/>
    <w:rsid w:val="006430F8"/>
    <w:rsid w:val="00645821"/>
    <w:rsid w:val="00645B3E"/>
    <w:rsid w:val="006467C8"/>
    <w:rsid w:val="00651713"/>
    <w:rsid w:val="0065179F"/>
    <w:rsid w:val="006533EB"/>
    <w:rsid w:val="00655AA4"/>
    <w:rsid w:val="006570A6"/>
    <w:rsid w:val="00657593"/>
    <w:rsid w:val="0066120C"/>
    <w:rsid w:val="006626B2"/>
    <w:rsid w:val="00665E2E"/>
    <w:rsid w:val="00670C95"/>
    <w:rsid w:val="006739D1"/>
    <w:rsid w:val="00676C4E"/>
    <w:rsid w:val="00677768"/>
    <w:rsid w:val="006848C7"/>
    <w:rsid w:val="00684F02"/>
    <w:rsid w:val="006925CE"/>
    <w:rsid w:val="00692C8C"/>
    <w:rsid w:val="00695223"/>
    <w:rsid w:val="00695FE6"/>
    <w:rsid w:val="006A1051"/>
    <w:rsid w:val="006A110C"/>
    <w:rsid w:val="006A1AD2"/>
    <w:rsid w:val="006A2C86"/>
    <w:rsid w:val="006A7247"/>
    <w:rsid w:val="006B069F"/>
    <w:rsid w:val="006B2748"/>
    <w:rsid w:val="006B465F"/>
    <w:rsid w:val="006B6479"/>
    <w:rsid w:val="006B6C1F"/>
    <w:rsid w:val="006C06A1"/>
    <w:rsid w:val="006C0F22"/>
    <w:rsid w:val="006C130D"/>
    <w:rsid w:val="006C13B1"/>
    <w:rsid w:val="006C2528"/>
    <w:rsid w:val="006C4176"/>
    <w:rsid w:val="006C66D2"/>
    <w:rsid w:val="006C66EF"/>
    <w:rsid w:val="006D03ED"/>
    <w:rsid w:val="006D06B8"/>
    <w:rsid w:val="006D2617"/>
    <w:rsid w:val="006D499A"/>
    <w:rsid w:val="006E5391"/>
    <w:rsid w:val="006F0440"/>
    <w:rsid w:val="006F0A39"/>
    <w:rsid w:val="006F0A5B"/>
    <w:rsid w:val="006F5C28"/>
    <w:rsid w:val="00700AA3"/>
    <w:rsid w:val="00701CF5"/>
    <w:rsid w:val="00702D5E"/>
    <w:rsid w:val="00702E2B"/>
    <w:rsid w:val="0070358F"/>
    <w:rsid w:val="00703E6C"/>
    <w:rsid w:val="007051BD"/>
    <w:rsid w:val="00707A4B"/>
    <w:rsid w:val="0071344F"/>
    <w:rsid w:val="00714131"/>
    <w:rsid w:val="007142BA"/>
    <w:rsid w:val="00714823"/>
    <w:rsid w:val="00714B9D"/>
    <w:rsid w:val="00714E90"/>
    <w:rsid w:val="00716041"/>
    <w:rsid w:val="00717197"/>
    <w:rsid w:val="0071789F"/>
    <w:rsid w:val="00722618"/>
    <w:rsid w:val="00723367"/>
    <w:rsid w:val="00730088"/>
    <w:rsid w:val="00731711"/>
    <w:rsid w:val="00733873"/>
    <w:rsid w:val="0073516E"/>
    <w:rsid w:val="00735171"/>
    <w:rsid w:val="00736BD7"/>
    <w:rsid w:val="007409BC"/>
    <w:rsid w:val="00744432"/>
    <w:rsid w:val="00746A6C"/>
    <w:rsid w:val="00747222"/>
    <w:rsid w:val="00750898"/>
    <w:rsid w:val="00750E2F"/>
    <w:rsid w:val="007558AD"/>
    <w:rsid w:val="0075713C"/>
    <w:rsid w:val="007620E2"/>
    <w:rsid w:val="00762C32"/>
    <w:rsid w:val="0076356A"/>
    <w:rsid w:val="0076423A"/>
    <w:rsid w:val="00770B3D"/>
    <w:rsid w:val="00771874"/>
    <w:rsid w:val="00771F1A"/>
    <w:rsid w:val="007725CB"/>
    <w:rsid w:val="00773559"/>
    <w:rsid w:val="007752AC"/>
    <w:rsid w:val="00776354"/>
    <w:rsid w:val="0078127A"/>
    <w:rsid w:val="00783AF2"/>
    <w:rsid w:val="00783B74"/>
    <w:rsid w:val="00785A59"/>
    <w:rsid w:val="00787590"/>
    <w:rsid w:val="00787877"/>
    <w:rsid w:val="00787B86"/>
    <w:rsid w:val="00787E46"/>
    <w:rsid w:val="0079046B"/>
    <w:rsid w:val="00791483"/>
    <w:rsid w:val="007936D5"/>
    <w:rsid w:val="00794E8A"/>
    <w:rsid w:val="00795282"/>
    <w:rsid w:val="00795D17"/>
    <w:rsid w:val="007A0B3C"/>
    <w:rsid w:val="007A18E3"/>
    <w:rsid w:val="007A5A81"/>
    <w:rsid w:val="007A6609"/>
    <w:rsid w:val="007A7DB1"/>
    <w:rsid w:val="007B035D"/>
    <w:rsid w:val="007B23D4"/>
    <w:rsid w:val="007B38B8"/>
    <w:rsid w:val="007B70C6"/>
    <w:rsid w:val="007B7B73"/>
    <w:rsid w:val="007C0530"/>
    <w:rsid w:val="007C1FBB"/>
    <w:rsid w:val="007C2CED"/>
    <w:rsid w:val="007C494E"/>
    <w:rsid w:val="007D243C"/>
    <w:rsid w:val="007D36C9"/>
    <w:rsid w:val="007D4C21"/>
    <w:rsid w:val="007D4ED1"/>
    <w:rsid w:val="007D6B04"/>
    <w:rsid w:val="007E0EEC"/>
    <w:rsid w:val="007E1645"/>
    <w:rsid w:val="007F0D9B"/>
    <w:rsid w:val="007F16F3"/>
    <w:rsid w:val="007F5283"/>
    <w:rsid w:val="00800DB6"/>
    <w:rsid w:val="0080115C"/>
    <w:rsid w:val="00802988"/>
    <w:rsid w:val="008041E9"/>
    <w:rsid w:val="00810206"/>
    <w:rsid w:val="00812BAC"/>
    <w:rsid w:val="00814C8B"/>
    <w:rsid w:val="008228EE"/>
    <w:rsid w:val="00824EE0"/>
    <w:rsid w:val="008274C0"/>
    <w:rsid w:val="00827C94"/>
    <w:rsid w:val="00832DEA"/>
    <w:rsid w:val="00833ECA"/>
    <w:rsid w:val="00834FD2"/>
    <w:rsid w:val="008415A0"/>
    <w:rsid w:val="008426EA"/>
    <w:rsid w:val="00843484"/>
    <w:rsid w:val="0084684D"/>
    <w:rsid w:val="00847C88"/>
    <w:rsid w:val="00852100"/>
    <w:rsid w:val="00852628"/>
    <w:rsid w:val="00852836"/>
    <w:rsid w:val="0085364B"/>
    <w:rsid w:val="00855C99"/>
    <w:rsid w:val="00857317"/>
    <w:rsid w:val="008638BB"/>
    <w:rsid w:val="00864FE7"/>
    <w:rsid w:val="00866993"/>
    <w:rsid w:val="00870681"/>
    <w:rsid w:val="0087239A"/>
    <w:rsid w:val="008725D8"/>
    <w:rsid w:val="00872927"/>
    <w:rsid w:val="00872F87"/>
    <w:rsid w:val="008738D0"/>
    <w:rsid w:val="008740CB"/>
    <w:rsid w:val="00874366"/>
    <w:rsid w:val="00874F00"/>
    <w:rsid w:val="008762D8"/>
    <w:rsid w:val="00877884"/>
    <w:rsid w:val="0088046E"/>
    <w:rsid w:val="00882C95"/>
    <w:rsid w:val="00884567"/>
    <w:rsid w:val="00886F12"/>
    <w:rsid w:val="0089101A"/>
    <w:rsid w:val="008919C4"/>
    <w:rsid w:val="00891E03"/>
    <w:rsid w:val="008931D7"/>
    <w:rsid w:val="00894B59"/>
    <w:rsid w:val="00894C73"/>
    <w:rsid w:val="00895C90"/>
    <w:rsid w:val="00895E97"/>
    <w:rsid w:val="0089684E"/>
    <w:rsid w:val="00897035"/>
    <w:rsid w:val="0089768A"/>
    <w:rsid w:val="00897856"/>
    <w:rsid w:val="008A17CC"/>
    <w:rsid w:val="008A1F2A"/>
    <w:rsid w:val="008A2612"/>
    <w:rsid w:val="008A4FE4"/>
    <w:rsid w:val="008A6219"/>
    <w:rsid w:val="008A7E94"/>
    <w:rsid w:val="008A7F24"/>
    <w:rsid w:val="008B04AC"/>
    <w:rsid w:val="008B1589"/>
    <w:rsid w:val="008B1B59"/>
    <w:rsid w:val="008B1F3E"/>
    <w:rsid w:val="008B2B5F"/>
    <w:rsid w:val="008B2D33"/>
    <w:rsid w:val="008B52BE"/>
    <w:rsid w:val="008B5CF2"/>
    <w:rsid w:val="008B6967"/>
    <w:rsid w:val="008B74DD"/>
    <w:rsid w:val="008B75F4"/>
    <w:rsid w:val="008B7B1C"/>
    <w:rsid w:val="008C0CCD"/>
    <w:rsid w:val="008C3319"/>
    <w:rsid w:val="008C4703"/>
    <w:rsid w:val="008C5F09"/>
    <w:rsid w:val="008C72B5"/>
    <w:rsid w:val="008D10FD"/>
    <w:rsid w:val="008D122F"/>
    <w:rsid w:val="008D134C"/>
    <w:rsid w:val="008D5ACD"/>
    <w:rsid w:val="008D5F60"/>
    <w:rsid w:val="008D727F"/>
    <w:rsid w:val="008E19DE"/>
    <w:rsid w:val="008E3498"/>
    <w:rsid w:val="008F0210"/>
    <w:rsid w:val="008F0899"/>
    <w:rsid w:val="008F2600"/>
    <w:rsid w:val="008F5A35"/>
    <w:rsid w:val="008F5B11"/>
    <w:rsid w:val="008F5D52"/>
    <w:rsid w:val="008F65D8"/>
    <w:rsid w:val="00900B1B"/>
    <w:rsid w:val="00902008"/>
    <w:rsid w:val="009039DE"/>
    <w:rsid w:val="00904F17"/>
    <w:rsid w:val="009059BF"/>
    <w:rsid w:val="00906F9B"/>
    <w:rsid w:val="00910072"/>
    <w:rsid w:val="0091035C"/>
    <w:rsid w:val="00910BB7"/>
    <w:rsid w:val="00911D6B"/>
    <w:rsid w:val="009142D3"/>
    <w:rsid w:val="0091539A"/>
    <w:rsid w:val="00915FF2"/>
    <w:rsid w:val="0091619B"/>
    <w:rsid w:val="00917241"/>
    <w:rsid w:val="0091758D"/>
    <w:rsid w:val="009218BF"/>
    <w:rsid w:val="00922966"/>
    <w:rsid w:val="00923442"/>
    <w:rsid w:val="00923DD9"/>
    <w:rsid w:val="00925105"/>
    <w:rsid w:val="009262FC"/>
    <w:rsid w:val="009268F6"/>
    <w:rsid w:val="0092710A"/>
    <w:rsid w:val="00931924"/>
    <w:rsid w:val="00933B6D"/>
    <w:rsid w:val="00937169"/>
    <w:rsid w:val="00937AE3"/>
    <w:rsid w:val="00937D24"/>
    <w:rsid w:val="009418B4"/>
    <w:rsid w:val="00943175"/>
    <w:rsid w:val="00943533"/>
    <w:rsid w:val="00943E53"/>
    <w:rsid w:val="00944D12"/>
    <w:rsid w:val="00945FD5"/>
    <w:rsid w:val="009469EF"/>
    <w:rsid w:val="009514DF"/>
    <w:rsid w:val="00953E12"/>
    <w:rsid w:val="009571AD"/>
    <w:rsid w:val="0095741D"/>
    <w:rsid w:val="00960AC5"/>
    <w:rsid w:val="00961385"/>
    <w:rsid w:val="00963049"/>
    <w:rsid w:val="00964995"/>
    <w:rsid w:val="009672A4"/>
    <w:rsid w:val="009712F4"/>
    <w:rsid w:val="0097276A"/>
    <w:rsid w:val="0097288F"/>
    <w:rsid w:val="00973C63"/>
    <w:rsid w:val="00974296"/>
    <w:rsid w:val="00974BDD"/>
    <w:rsid w:val="00976FDE"/>
    <w:rsid w:val="00977C8A"/>
    <w:rsid w:val="0098207E"/>
    <w:rsid w:val="009835D8"/>
    <w:rsid w:val="00990AAE"/>
    <w:rsid w:val="00992364"/>
    <w:rsid w:val="009965D0"/>
    <w:rsid w:val="009978B5"/>
    <w:rsid w:val="009A0E62"/>
    <w:rsid w:val="009A1C59"/>
    <w:rsid w:val="009A442D"/>
    <w:rsid w:val="009A7461"/>
    <w:rsid w:val="009B113A"/>
    <w:rsid w:val="009B6120"/>
    <w:rsid w:val="009B636D"/>
    <w:rsid w:val="009B6524"/>
    <w:rsid w:val="009B7A32"/>
    <w:rsid w:val="009C0F4F"/>
    <w:rsid w:val="009C2F76"/>
    <w:rsid w:val="009C3C16"/>
    <w:rsid w:val="009C3EFD"/>
    <w:rsid w:val="009C3F55"/>
    <w:rsid w:val="009C5E41"/>
    <w:rsid w:val="009C6361"/>
    <w:rsid w:val="009C7697"/>
    <w:rsid w:val="009C7824"/>
    <w:rsid w:val="009D31D8"/>
    <w:rsid w:val="009D4688"/>
    <w:rsid w:val="009D5330"/>
    <w:rsid w:val="009D5D67"/>
    <w:rsid w:val="009D690B"/>
    <w:rsid w:val="009D6A70"/>
    <w:rsid w:val="009E0146"/>
    <w:rsid w:val="009E02F5"/>
    <w:rsid w:val="009E0398"/>
    <w:rsid w:val="009E1A00"/>
    <w:rsid w:val="009E3421"/>
    <w:rsid w:val="009E5ED6"/>
    <w:rsid w:val="009F5312"/>
    <w:rsid w:val="009F7A60"/>
    <w:rsid w:val="00A008EB"/>
    <w:rsid w:val="00A02563"/>
    <w:rsid w:val="00A02655"/>
    <w:rsid w:val="00A02AEC"/>
    <w:rsid w:val="00A04966"/>
    <w:rsid w:val="00A058A4"/>
    <w:rsid w:val="00A0594A"/>
    <w:rsid w:val="00A07AE6"/>
    <w:rsid w:val="00A102AE"/>
    <w:rsid w:val="00A12C47"/>
    <w:rsid w:val="00A12D8B"/>
    <w:rsid w:val="00A12F3D"/>
    <w:rsid w:val="00A1323F"/>
    <w:rsid w:val="00A1660B"/>
    <w:rsid w:val="00A167EB"/>
    <w:rsid w:val="00A16F45"/>
    <w:rsid w:val="00A22B70"/>
    <w:rsid w:val="00A23E04"/>
    <w:rsid w:val="00A241C8"/>
    <w:rsid w:val="00A2497A"/>
    <w:rsid w:val="00A24FEC"/>
    <w:rsid w:val="00A262DA"/>
    <w:rsid w:val="00A30342"/>
    <w:rsid w:val="00A307B3"/>
    <w:rsid w:val="00A316C3"/>
    <w:rsid w:val="00A337C1"/>
    <w:rsid w:val="00A34E5D"/>
    <w:rsid w:val="00A35428"/>
    <w:rsid w:val="00A36A0C"/>
    <w:rsid w:val="00A40EF0"/>
    <w:rsid w:val="00A42187"/>
    <w:rsid w:val="00A42CA6"/>
    <w:rsid w:val="00A43919"/>
    <w:rsid w:val="00A45006"/>
    <w:rsid w:val="00A46C15"/>
    <w:rsid w:val="00A46F5C"/>
    <w:rsid w:val="00A50DC0"/>
    <w:rsid w:val="00A6175E"/>
    <w:rsid w:val="00A63695"/>
    <w:rsid w:val="00A64C55"/>
    <w:rsid w:val="00A65706"/>
    <w:rsid w:val="00A66B25"/>
    <w:rsid w:val="00A700B8"/>
    <w:rsid w:val="00A7032C"/>
    <w:rsid w:val="00A72CA2"/>
    <w:rsid w:val="00A72F06"/>
    <w:rsid w:val="00A730F2"/>
    <w:rsid w:val="00A73865"/>
    <w:rsid w:val="00A75598"/>
    <w:rsid w:val="00A77FFD"/>
    <w:rsid w:val="00A82E0D"/>
    <w:rsid w:val="00A84985"/>
    <w:rsid w:val="00A86DA9"/>
    <w:rsid w:val="00A90094"/>
    <w:rsid w:val="00A9032B"/>
    <w:rsid w:val="00A93664"/>
    <w:rsid w:val="00A93AD6"/>
    <w:rsid w:val="00A9403B"/>
    <w:rsid w:val="00A961BE"/>
    <w:rsid w:val="00A963D4"/>
    <w:rsid w:val="00AA4354"/>
    <w:rsid w:val="00AB342D"/>
    <w:rsid w:val="00AB4554"/>
    <w:rsid w:val="00AB4B70"/>
    <w:rsid w:val="00AB7545"/>
    <w:rsid w:val="00AC00DF"/>
    <w:rsid w:val="00AC3672"/>
    <w:rsid w:val="00AC3D35"/>
    <w:rsid w:val="00AC47B6"/>
    <w:rsid w:val="00AC4BD1"/>
    <w:rsid w:val="00AC5648"/>
    <w:rsid w:val="00AC6D8F"/>
    <w:rsid w:val="00AC7B7A"/>
    <w:rsid w:val="00AC7E1B"/>
    <w:rsid w:val="00AD0A7A"/>
    <w:rsid w:val="00AD2330"/>
    <w:rsid w:val="00AD31FE"/>
    <w:rsid w:val="00AD371E"/>
    <w:rsid w:val="00AD7DF9"/>
    <w:rsid w:val="00AE254F"/>
    <w:rsid w:val="00AE29BB"/>
    <w:rsid w:val="00AE29D1"/>
    <w:rsid w:val="00AE2CAF"/>
    <w:rsid w:val="00AE31B4"/>
    <w:rsid w:val="00AE48C9"/>
    <w:rsid w:val="00AE5349"/>
    <w:rsid w:val="00AE6735"/>
    <w:rsid w:val="00AF33D9"/>
    <w:rsid w:val="00AF350D"/>
    <w:rsid w:val="00AF7454"/>
    <w:rsid w:val="00B002E4"/>
    <w:rsid w:val="00B0113C"/>
    <w:rsid w:val="00B06560"/>
    <w:rsid w:val="00B10625"/>
    <w:rsid w:val="00B110AD"/>
    <w:rsid w:val="00B14750"/>
    <w:rsid w:val="00B16DFE"/>
    <w:rsid w:val="00B20541"/>
    <w:rsid w:val="00B20B4F"/>
    <w:rsid w:val="00B21726"/>
    <w:rsid w:val="00B21D6D"/>
    <w:rsid w:val="00B22439"/>
    <w:rsid w:val="00B22721"/>
    <w:rsid w:val="00B227CF"/>
    <w:rsid w:val="00B23815"/>
    <w:rsid w:val="00B238FE"/>
    <w:rsid w:val="00B25B28"/>
    <w:rsid w:val="00B25B79"/>
    <w:rsid w:val="00B31FFF"/>
    <w:rsid w:val="00B32CAA"/>
    <w:rsid w:val="00B32D65"/>
    <w:rsid w:val="00B332B2"/>
    <w:rsid w:val="00B3341D"/>
    <w:rsid w:val="00B34CCC"/>
    <w:rsid w:val="00B35EF3"/>
    <w:rsid w:val="00B36EC7"/>
    <w:rsid w:val="00B36EDD"/>
    <w:rsid w:val="00B433A2"/>
    <w:rsid w:val="00B44949"/>
    <w:rsid w:val="00B46B7D"/>
    <w:rsid w:val="00B46CE3"/>
    <w:rsid w:val="00B4738D"/>
    <w:rsid w:val="00B5000A"/>
    <w:rsid w:val="00B54527"/>
    <w:rsid w:val="00B549D1"/>
    <w:rsid w:val="00B5569D"/>
    <w:rsid w:val="00B5585A"/>
    <w:rsid w:val="00B60846"/>
    <w:rsid w:val="00B61C97"/>
    <w:rsid w:val="00B628C5"/>
    <w:rsid w:val="00B63DFF"/>
    <w:rsid w:val="00B65185"/>
    <w:rsid w:val="00B67B45"/>
    <w:rsid w:val="00B71933"/>
    <w:rsid w:val="00B739FC"/>
    <w:rsid w:val="00B75EB5"/>
    <w:rsid w:val="00B77152"/>
    <w:rsid w:val="00B8078D"/>
    <w:rsid w:val="00B8127F"/>
    <w:rsid w:val="00B83DEB"/>
    <w:rsid w:val="00B84361"/>
    <w:rsid w:val="00B84C02"/>
    <w:rsid w:val="00B84C8D"/>
    <w:rsid w:val="00B85E0B"/>
    <w:rsid w:val="00B95878"/>
    <w:rsid w:val="00BA1BFA"/>
    <w:rsid w:val="00BA3CD4"/>
    <w:rsid w:val="00BA3D7E"/>
    <w:rsid w:val="00BA4628"/>
    <w:rsid w:val="00BA5EE7"/>
    <w:rsid w:val="00BB0135"/>
    <w:rsid w:val="00BB31BD"/>
    <w:rsid w:val="00BB39A4"/>
    <w:rsid w:val="00BB5387"/>
    <w:rsid w:val="00BB5D4D"/>
    <w:rsid w:val="00BB5DDF"/>
    <w:rsid w:val="00BB6501"/>
    <w:rsid w:val="00BC1855"/>
    <w:rsid w:val="00BC1F41"/>
    <w:rsid w:val="00BC349F"/>
    <w:rsid w:val="00BC4364"/>
    <w:rsid w:val="00BC4735"/>
    <w:rsid w:val="00BC548B"/>
    <w:rsid w:val="00BC6CD3"/>
    <w:rsid w:val="00BD119D"/>
    <w:rsid w:val="00BD12A3"/>
    <w:rsid w:val="00BD1A0C"/>
    <w:rsid w:val="00BD2FC8"/>
    <w:rsid w:val="00BD5903"/>
    <w:rsid w:val="00BD69D6"/>
    <w:rsid w:val="00BD6D34"/>
    <w:rsid w:val="00BD7F6E"/>
    <w:rsid w:val="00BE0697"/>
    <w:rsid w:val="00BE099F"/>
    <w:rsid w:val="00BE4C50"/>
    <w:rsid w:val="00BE5CB0"/>
    <w:rsid w:val="00BE73D1"/>
    <w:rsid w:val="00BF01A6"/>
    <w:rsid w:val="00BF2B49"/>
    <w:rsid w:val="00BF31A2"/>
    <w:rsid w:val="00BF47B0"/>
    <w:rsid w:val="00BF5327"/>
    <w:rsid w:val="00C04A76"/>
    <w:rsid w:val="00C06F8B"/>
    <w:rsid w:val="00C07583"/>
    <w:rsid w:val="00C103E5"/>
    <w:rsid w:val="00C10814"/>
    <w:rsid w:val="00C113E5"/>
    <w:rsid w:val="00C1230D"/>
    <w:rsid w:val="00C12739"/>
    <w:rsid w:val="00C134B6"/>
    <w:rsid w:val="00C13A16"/>
    <w:rsid w:val="00C13C62"/>
    <w:rsid w:val="00C149CF"/>
    <w:rsid w:val="00C153A7"/>
    <w:rsid w:val="00C16F88"/>
    <w:rsid w:val="00C17C2D"/>
    <w:rsid w:val="00C21D33"/>
    <w:rsid w:val="00C23A7E"/>
    <w:rsid w:val="00C241B5"/>
    <w:rsid w:val="00C2523D"/>
    <w:rsid w:val="00C27426"/>
    <w:rsid w:val="00C277B8"/>
    <w:rsid w:val="00C3118E"/>
    <w:rsid w:val="00C3361B"/>
    <w:rsid w:val="00C3382F"/>
    <w:rsid w:val="00C34334"/>
    <w:rsid w:val="00C35547"/>
    <w:rsid w:val="00C4128E"/>
    <w:rsid w:val="00C4377C"/>
    <w:rsid w:val="00C44062"/>
    <w:rsid w:val="00C460A3"/>
    <w:rsid w:val="00C47F0F"/>
    <w:rsid w:val="00C505DF"/>
    <w:rsid w:val="00C51D84"/>
    <w:rsid w:val="00C52506"/>
    <w:rsid w:val="00C54BA2"/>
    <w:rsid w:val="00C54C89"/>
    <w:rsid w:val="00C5531F"/>
    <w:rsid w:val="00C60338"/>
    <w:rsid w:val="00C606EF"/>
    <w:rsid w:val="00C62FCF"/>
    <w:rsid w:val="00C6336D"/>
    <w:rsid w:val="00C65089"/>
    <w:rsid w:val="00C65C7B"/>
    <w:rsid w:val="00C6647B"/>
    <w:rsid w:val="00C70FF3"/>
    <w:rsid w:val="00C73E34"/>
    <w:rsid w:val="00C743DF"/>
    <w:rsid w:val="00C75047"/>
    <w:rsid w:val="00C76E49"/>
    <w:rsid w:val="00C82259"/>
    <w:rsid w:val="00C83430"/>
    <w:rsid w:val="00C836AB"/>
    <w:rsid w:val="00C8710F"/>
    <w:rsid w:val="00C916BF"/>
    <w:rsid w:val="00C917FA"/>
    <w:rsid w:val="00C9297C"/>
    <w:rsid w:val="00C94014"/>
    <w:rsid w:val="00C96607"/>
    <w:rsid w:val="00CA3201"/>
    <w:rsid w:val="00CA3496"/>
    <w:rsid w:val="00CA5BF0"/>
    <w:rsid w:val="00CA681C"/>
    <w:rsid w:val="00CA76F5"/>
    <w:rsid w:val="00CA7B77"/>
    <w:rsid w:val="00CB0A99"/>
    <w:rsid w:val="00CB1999"/>
    <w:rsid w:val="00CB2F89"/>
    <w:rsid w:val="00CB3B7B"/>
    <w:rsid w:val="00CB3EB6"/>
    <w:rsid w:val="00CB50B9"/>
    <w:rsid w:val="00CB5A09"/>
    <w:rsid w:val="00CB6112"/>
    <w:rsid w:val="00CC02CE"/>
    <w:rsid w:val="00CC0C63"/>
    <w:rsid w:val="00CC6C90"/>
    <w:rsid w:val="00CC75C7"/>
    <w:rsid w:val="00CC7886"/>
    <w:rsid w:val="00CC7B8B"/>
    <w:rsid w:val="00CD0CD4"/>
    <w:rsid w:val="00CD10BD"/>
    <w:rsid w:val="00CD1ADA"/>
    <w:rsid w:val="00CD3574"/>
    <w:rsid w:val="00CD436D"/>
    <w:rsid w:val="00CD4CB8"/>
    <w:rsid w:val="00CE3B9F"/>
    <w:rsid w:val="00CE511B"/>
    <w:rsid w:val="00CE72CF"/>
    <w:rsid w:val="00CF06A0"/>
    <w:rsid w:val="00CF0FB7"/>
    <w:rsid w:val="00CF137F"/>
    <w:rsid w:val="00CF1FB8"/>
    <w:rsid w:val="00CF2C65"/>
    <w:rsid w:val="00CF3C1E"/>
    <w:rsid w:val="00CF3D08"/>
    <w:rsid w:val="00CF4CF3"/>
    <w:rsid w:val="00CF5053"/>
    <w:rsid w:val="00CF5239"/>
    <w:rsid w:val="00CF7079"/>
    <w:rsid w:val="00CF7F04"/>
    <w:rsid w:val="00D038D9"/>
    <w:rsid w:val="00D03C41"/>
    <w:rsid w:val="00D0448F"/>
    <w:rsid w:val="00D05B73"/>
    <w:rsid w:val="00D078B6"/>
    <w:rsid w:val="00D07FA8"/>
    <w:rsid w:val="00D10097"/>
    <w:rsid w:val="00D1022C"/>
    <w:rsid w:val="00D12A1E"/>
    <w:rsid w:val="00D14061"/>
    <w:rsid w:val="00D1601B"/>
    <w:rsid w:val="00D207BF"/>
    <w:rsid w:val="00D208F0"/>
    <w:rsid w:val="00D20E79"/>
    <w:rsid w:val="00D2197A"/>
    <w:rsid w:val="00D2397C"/>
    <w:rsid w:val="00D26C23"/>
    <w:rsid w:val="00D26D15"/>
    <w:rsid w:val="00D27115"/>
    <w:rsid w:val="00D2735B"/>
    <w:rsid w:val="00D329F5"/>
    <w:rsid w:val="00D34AEB"/>
    <w:rsid w:val="00D34B43"/>
    <w:rsid w:val="00D34DCC"/>
    <w:rsid w:val="00D35633"/>
    <w:rsid w:val="00D44C14"/>
    <w:rsid w:val="00D46E0D"/>
    <w:rsid w:val="00D47BB4"/>
    <w:rsid w:val="00D51A56"/>
    <w:rsid w:val="00D524EA"/>
    <w:rsid w:val="00D528DB"/>
    <w:rsid w:val="00D53C56"/>
    <w:rsid w:val="00D55237"/>
    <w:rsid w:val="00D61D9B"/>
    <w:rsid w:val="00D627CC"/>
    <w:rsid w:val="00D65B4B"/>
    <w:rsid w:val="00D73917"/>
    <w:rsid w:val="00D77D7B"/>
    <w:rsid w:val="00D8160B"/>
    <w:rsid w:val="00D82E41"/>
    <w:rsid w:val="00D84D2B"/>
    <w:rsid w:val="00D8567A"/>
    <w:rsid w:val="00D87C96"/>
    <w:rsid w:val="00D87EA2"/>
    <w:rsid w:val="00D92D58"/>
    <w:rsid w:val="00D9352D"/>
    <w:rsid w:val="00D972CD"/>
    <w:rsid w:val="00D97DA7"/>
    <w:rsid w:val="00D97FB2"/>
    <w:rsid w:val="00DA2F09"/>
    <w:rsid w:val="00DA46C8"/>
    <w:rsid w:val="00DA6FCC"/>
    <w:rsid w:val="00DA7BF4"/>
    <w:rsid w:val="00DB0652"/>
    <w:rsid w:val="00DB08EE"/>
    <w:rsid w:val="00DB21A9"/>
    <w:rsid w:val="00DB3571"/>
    <w:rsid w:val="00DB3B99"/>
    <w:rsid w:val="00DC10F3"/>
    <w:rsid w:val="00DC1E60"/>
    <w:rsid w:val="00DC2867"/>
    <w:rsid w:val="00DC3D51"/>
    <w:rsid w:val="00DC59AD"/>
    <w:rsid w:val="00DC7BD3"/>
    <w:rsid w:val="00DD1E32"/>
    <w:rsid w:val="00DD60CC"/>
    <w:rsid w:val="00DE0A07"/>
    <w:rsid w:val="00DE0DFF"/>
    <w:rsid w:val="00DE1BC8"/>
    <w:rsid w:val="00DE3DE8"/>
    <w:rsid w:val="00DF14FC"/>
    <w:rsid w:val="00DF19E7"/>
    <w:rsid w:val="00DF2E50"/>
    <w:rsid w:val="00DF44E9"/>
    <w:rsid w:val="00DF4D12"/>
    <w:rsid w:val="00DF5CB4"/>
    <w:rsid w:val="00DF777D"/>
    <w:rsid w:val="00E002CF"/>
    <w:rsid w:val="00E00755"/>
    <w:rsid w:val="00E02243"/>
    <w:rsid w:val="00E0375D"/>
    <w:rsid w:val="00E03CB8"/>
    <w:rsid w:val="00E0657A"/>
    <w:rsid w:val="00E06E29"/>
    <w:rsid w:val="00E079DD"/>
    <w:rsid w:val="00E10AE2"/>
    <w:rsid w:val="00E10F0A"/>
    <w:rsid w:val="00E116F1"/>
    <w:rsid w:val="00E12334"/>
    <w:rsid w:val="00E13A19"/>
    <w:rsid w:val="00E13F4B"/>
    <w:rsid w:val="00E204B6"/>
    <w:rsid w:val="00E21068"/>
    <w:rsid w:val="00E21875"/>
    <w:rsid w:val="00E25407"/>
    <w:rsid w:val="00E26D41"/>
    <w:rsid w:val="00E27B22"/>
    <w:rsid w:val="00E32599"/>
    <w:rsid w:val="00E337E7"/>
    <w:rsid w:val="00E33B0E"/>
    <w:rsid w:val="00E346F8"/>
    <w:rsid w:val="00E3494E"/>
    <w:rsid w:val="00E35B4B"/>
    <w:rsid w:val="00E408AD"/>
    <w:rsid w:val="00E40980"/>
    <w:rsid w:val="00E42621"/>
    <w:rsid w:val="00E426E2"/>
    <w:rsid w:val="00E4407B"/>
    <w:rsid w:val="00E446A6"/>
    <w:rsid w:val="00E44EFD"/>
    <w:rsid w:val="00E454B9"/>
    <w:rsid w:val="00E45CFB"/>
    <w:rsid w:val="00E462CB"/>
    <w:rsid w:val="00E508CA"/>
    <w:rsid w:val="00E51B40"/>
    <w:rsid w:val="00E53CB5"/>
    <w:rsid w:val="00E53CCD"/>
    <w:rsid w:val="00E54A3E"/>
    <w:rsid w:val="00E54DBD"/>
    <w:rsid w:val="00E60DBD"/>
    <w:rsid w:val="00E61ED1"/>
    <w:rsid w:val="00E62607"/>
    <w:rsid w:val="00E62A7D"/>
    <w:rsid w:val="00E63491"/>
    <w:rsid w:val="00E636BC"/>
    <w:rsid w:val="00E64591"/>
    <w:rsid w:val="00E67213"/>
    <w:rsid w:val="00E71855"/>
    <w:rsid w:val="00E719A9"/>
    <w:rsid w:val="00E71CB1"/>
    <w:rsid w:val="00E723DF"/>
    <w:rsid w:val="00E72653"/>
    <w:rsid w:val="00E7302A"/>
    <w:rsid w:val="00E746A6"/>
    <w:rsid w:val="00E81173"/>
    <w:rsid w:val="00E846C6"/>
    <w:rsid w:val="00E868C9"/>
    <w:rsid w:val="00E90182"/>
    <w:rsid w:val="00E907E5"/>
    <w:rsid w:val="00E9153A"/>
    <w:rsid w:val="00E93C81"/>
    <w:rsid w:val="00E97A90"/>
    <w:rsid w:val="00EA1C8C"/>
    <w:rsid w:val="00EA1DE4"/>
    <w:rsid w:val="00EA243C"/>
    <w:rsid w:val="00EA290A"/>
    <w:rsid w:val="00EA2A67"/>
    <w:rsid w:val="00EA60EA"/>
    <w:rsid w:val="00EA7373"/>
    <w:rsid w:val="00EB0081"/>
    <w:rsid w:val="00EB08C4"/>
    <w:rsid w:val="00EB0E09"/>
    <w:rsid w:val="00EB18E7"/>
    <w:rsid w:val="00EB2288"/>
    <w:rsid w:val="00EB29BF"/>
    <w:rsid w:val="00EB60E7"/>
    <w:rsid w:val="00EC4860"/>
    <w:rsid w:val="00EC5777"/>
    <w:rsid w:val="00EC7C7F"/>
    <w:rsid w:val="00ED35FB"/>
    <w:rsid w:val="00ED50E0"/>
    <w:rsid w:val="00ED567E"/>
    <w:rsid w:val="00ED6216"/>
    <w:rsid w:val="00EE1B30"/>
    <w:rsid w:val="00EE1FDA"/>
    <w:rsid w:val="00EE436B"/>
    <w:rsid w:val="00EE5CD1"/>
    <w:rsid w:val="00EE5F63"/>
    <w:rsid w:val="00EE62DF"/>
    <w:rsid w:val="00EF38AE"/>
    <w:rsid w:val="00EF45CA"/>
    <w:rsid w:val="00EF4B42"/>
    <w:rsid w:val="00EF6A6C"/>
    <w:rsid w:val="00F00144"/>
    <w:rsid w:val="00F003D3"/>
    <w:rsid w:val="00F008AB"/>
    <w:rsid w:val="00F01486"/>
    <w:rsid w:val="00F0296F"/>
    <w:rsid w:val="00F03E32"/>
    <w:rsid w:val="00F04E83"/>
    <w:rsid w:val="00F1601B"/>
    <w:rsid w:val="00F20042"/>
    <w:rsid w:val="00F2241C"/>
    <w:rsid w:val="00F24A51"/>
    <w:rsid w:val="00F320FA"/>
    <w:rsid w:val="00F32C02"/>
    <w:rsid w:val="00F35D7D"/>
    <w:rsid w:val="00F4045B"/>
    <w:rsid w:val="00F42289"/>
    <w:rsid w:val="00F42E75"/>
    <w:rsid w:val="00F45D65"/>
    <w:rsid w:val="00F45D79"/>
    <w:rsid w:val="00F45EA0"/>
    <w:rsid w:val="00F51221"/>
    <w:rsid w:val="00F517FA"/>
    <w:rsid w:val="00F52D16"/>
    <w:rsid w:val="00F6008A"/>
    <w:rsid w:val="00F62D67"/>
    <w:rsid w:val="00F63BD9"/>
    <w:rsid w:val="00F6694C"/>
    <w:rsid w:val="00F66D32"/>
    <w:rsid w:val="00F70C7F"/>
    <w:rsid w:val="00F71F54"/>
    <w:rsid w:val="00F73933"/>
    <w:rsid w:val="00F75E60"/>
    <w:rsid w:val="00F777E2"/>
    <w:rsid w:val="00F77B85"/>
    <w:rsid w:val="00F8020E"/>
    <w:rsid w:val="00F805A1"/>
    <w:rsid w:val="00F8145F"/>
    <w:rsid w:val="00F81538"/>
    <w:rsid w:val="00F81C3F"/>
    <w:rsid w:val="00F81E97"/>
    <w:rsid w:val="00F82372"/>
    <w:rsid w:val="00F86203"/>
    <w:rsid w:val="00F86883"/>
    <w:rsid w:val="00F90858"/>
    <w:rsid w:val="00F91701"/>
    <w:rsid w:val="00F9283D"/>
    <w:rsid w:val="00F95E69"/>
    <w:rsid w:val="00F96A3E"/>
    <w:rsid w:val="00F96F18"/>
    <w:rsid w:val="00F96F9A"/>
    <w:rsid w:val="00F97E5C"/>
    <w:rsid w:val="00FA1292"/>
    <w:rsid w:val="00FA15B9"/>
    <w:rsid w:val="00FA433D"/>
    <w:rsid w:val="00FA508E"/>
    <w:rsid w:val="00FA5320"/>
    <w:rsid w:val="00FA5D06"/>
    <w:rsid w:val="00FA7846"/>
    <w:rsid w:val="00FA7DB7"/>
    <w:rsid w:val="00FB2C40"/>
    <w:rsid w:val="00FB4394"/>
    <w:rsid w:val="00FB4B4B"/>
    <w:rsid w:val="00FC0B58"/>
    <w:rsid w:val="00FC17D4"/>
    <w:rsid w:val="00FC26E5"/>
    <w:rsid w:val="00FC3305"/>
    <w:rsid w:val="00FC33F6"/>
    <w:rsid w:val="00FC57E9"/>
    <w:rsid w:val="00FC6159"/>
    <w:rsid w:val="00FC7A90"/>
    <w:rsid w:val="00FD0CAE"/>
    <w:rsid w:val="00FD1019"/>
    <w:rsid w:val="00FD1496"/>
    <w:rsid w:val="00FD19F1"/>
    <w:rsid w:val="00FD260E"/>
    <w:rsid w:val="00FD370F"/>
    <w:rsid w:val="00FD6403"/>
    <w:rsid w:val="00FD79D7"/>
    <w:rsid w:val="00FD7C06"/>
    <w:rsid w:val="00FE0B90"/>
    <w:rsid w:val="00FE1884"/>
    <w:rsid w:val="00FE2BBB"/>
    <w:rsid w:val="00FF0EE5"/>
    <w:rsid w:val="00FF2048"/>
    <w:rsid w:val="00FF3967"/>
    <w:rsid w:val="00FF3BFC"/>
    <w:rsid w:val="00FF4236"/>
    <w:rsid w:val="00FF45C5"/>
    <w:rsid w:val="00FF463B"/>
    <w:rsid w:val="00FF4C41"/>
    <w:rsid w:val="00FF7C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B2F6A4"/>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2">
    <w:name w:val="heading 2"/>
    <w:basedOn w:val="a"/>
    <w:next w:val="a"/>
    <w:link w:val="20"/>
    <w:uiPriority w:val="9"/>
    <w:unhideWhenUsed/>
    <w:qFormat/>
    <w:rsid w:val="006A1AD2"/>
    <w:pPr>
      <w:keepNext/>
      <w:keepLines/>
      <w:spacing w:before="40" w:line="259" w:lineRule="auto"/>
      <w:jc w:val="left"/>
      <w:outlineLvl w:val="1"/>
    </w:pPr>
    <w:rPr>
      <w:rFonts w:ascii="Cambria" w:hAnsi="Cambria"/>
      <w:color w:val="365F91"/>
      <w:sz w:val="26"/>
      <w:szCs w:val="26"/>
      <w:lang w:eastAsia="en-US"/>
    </w:rPr>
  </w:style>
  <w:style w:type="paragraph" w:styleId="6">
    <w:name w:val="heading 6"/>
    <w:basedOn w:val="a"/>
    <w:next w:val="a"/>
    <w:link w:val="60"/>
    <w:uiPriority w:val="9"/>
    <w:qFormat/>
    <w:rsid w:val="006A1AD2"/>
    <w:pPr>
      <w:keepNext/>
      <w:ind w:firstLine="720"/>
      <w:jc w:val="right"/>
      <w:outlineLvl w:val="5"/>
    </w:pPr>
    <w:rP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Normal bullet 2"/>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customStyle="1" w:styleId="20">
    <w:name w:val="Заголовок 2 Знак"/>
    <w:basedOn w:val="a0"/>
    <w:link w:val="2"/>
    <w:uiPriority w:val="9"/>
    <w:rsid w:val="006A1AD2"/>
    <w:rPr>
      <w:rFonts w:ascii="Cambria" w:hAnsi="Cambria" w:cs="Times New Roman"/>
      <w:color w:val="365F91"/>
      <w:sz w:val="26"/>
      <w:szCs w:val="26"/>
    </w:rPr>
  </w:style>
  <w:style w:type="character" w:customStyle="1" w:styleId="60">
    <w:name w:val="Заголовок 6 Знак"/>
    <w:basedOn w:val="a0"/>
    <w:link w:val="6"/>
    <w:uiPriority w:val="9"/>
    <w:rsid w:val="006A1AD2"/>
    <w:rPr>
      <w:rFonts w:ascii="Times New Roman" w:hAnsi="Times New Roman" w:cs="Times New Roman"/>
      <w:sz w:val="28"/>
      <w:szCs w:val="20"/>
      <w:lang w:eastAsia="ru-RU"/>
    </w:rPr>
  </w:style>
  <w:style w:type="paragraph" w:styleId="af5">
    <w:name w:val="footnote text"/>
    <w:basedOn w:val="a"/>
    <w:link w:val="af6"/>
    <w:uiPriority w:val="99"/>
    <w:semiHidden/>
    <w:unhideWhenUsed/>
    <w:rsid w:val="00480BCD"/>
    <w:rPr>
      <w:sz w:val="20"/>
      <w:szCs w:val="20"/>
    </w:rPr>
  </w:style>
  <w:style w:type="character" w:customStyle="1" w:styleId="af6">
    <w:name w:val="Текст виноски Знак"/>
    <w:basedOn w:val="a0"/>
    <w:link w:val="af5"/>
    <w:uiPriority w:val="99"/>
    <w:semiHidden/>
    <w:rsid w:val="00480BCD"/>
    <w:rPr>
      <w:rFonts w:ascii="Times New Roman" w:hAnsi="Times New Roman" w:cs="Times New Roman"/>
      <w:sz w:val="20"/>
      <w:szCs w:val="20"/>
      <w:lang w:eastAsia="uk-UA"/>
    </w:rPr>
  </w:style>
  <w:style w:type="character" w:styleId="af7">
    <w:name w:val="footnote reference"/>
    <w:basedOn w:val="a0"/>
    <w:uiPriority w:val="99"/>
    <w:semiHidden/>
    <w:unhideWhenUsed/>
    <w:rsid w:val="00480BCD"/>
    <w:rPr>
      <w:vertAlign w:val="superscript"/>
    </w:rPr>
  </w:style>
  <w:style w:type="character" w:customStyle="1" w:styleId="rvts40">
    <w:name w:val="rvts40"/>
    <w:basedOn w:val="a0"/>
    <w:rsid w:val="00192E99"/>
  </w:style>
  <w:style w:type="paragraph" w:customStyle="1" w:styleId="rvps7">
    <w:name w:val="rvps7"/>
    <w:basedOn w:val="a"/>
    <w:rsid w:val="008B1B59"/>
    <w:pPr>
      <w:spacing w:before="100" w:beforeAutospacing="1" w:after="100" w:afterAutospacing="1"/>
      <w:jc w:val="left"/>
    </w:pPr>
    <w:rPr>
      <w:sz w:val="24"/>
      <w:szCs w:val="24"/>
      <w:lang w:val="ru-RU" w:eastAsia="ru-RU"/>
    </w:rPr>
  </w:style>
  <w:style w:type="paragraph" w:customStyle="1" w:styleId="rvps2">
    <w:name w:val="rvps2"/>
    <w:basedOn w:val="a"/>
    <w:rsid w:val="008B1B59"/>
    <w:pPr>
      <w:spacing w:before="100" w:beforeAutospacing="1" w:after="100" w:afterAutospacing="1"/>
      <w:jc w:val="left"/>
    </w:pPr>
    <w:rPr>
      <w:sz w:val="24"/>
      <w:szCs w:val="24"/>
      <w:lang w:val="ru-RU" w:eastAsia="ru-RU"/>
    </w:rPr>
  </w:style>
  <w:style w:type="character" w:customStyle="1" w:styleId="jlqj4b">
    <w:name w:val="jlqj4b"/>
    <w:basedOn w:val="a0"/>
    <w:rsid w:val="001E6FF4"/>
  </w:style>
  <w:style w:type="character" w:customStyle="1" w:styleId="rvts15">
    <w:name w:val="rvts15"/>
    <w:basedOn w:val="a0"/>
    <w:rsid w:val="001E6FF4"/>
  </w:style>
  <w:style w:type="character" w:styleId="af8">
    <w:name w:val="Strong"/>
    <w:basedOn w:val="a0"/>
    <w:uiPriority w:val="22"/>
    <w:qFormat/>
    <w:rsid w:val="004334D0"/>
    <w:rPr>
      <w:b/>
      <w:bCs/>
    </w:rPr>
  </w:style>
  <w:style w:type="character" w:customStyle="1" w:styleId="af4">
    <w:name w:val="Абзац списку Знак"/>
    <w:aliases w:val="Normal bullet 2 Знак"/>
    <w:link w:val="af3"/>
    <w:uiPriority w:val="34"/>
    <w:locked/>
    <w:rsid w:val="00CF4CF3"/>
    <w:rPr>
      <w:rFonts w:ascii="Times New Roman" w:hAnsi="Times New Roman" w:cs="Times New Roman"/>
      <w:sz w:val="28"/>
      <w:szCs w:val="28"/>
      <w:lang w:eastAsia="uk-UA"/>
    </w:rPr>
  </w:style>
  <w:style w:type="character" w:styleId="af9">
    <w:name w:val="annotation reference"/>
    <w:basedOn w:val="a0"/>
    <w:uiPriority w:val="99"/>
    <w:semiHidden/>
    <w:unhideWhenUsed/>
    <w:rsid w:val="004E655F"/>
    <w:rPr>
      <w:sz w:val="16"/>
      <w:szCs w:val="16"/>
    </w:rPr>
  </w:style>
  <w:style w:type="paragraph" w:styleId="afa">
    <w:name w:val="annotation text"/>
    <w:basedOn w:val="a"/>
    <w:link w:val="afb"/>
    <w:uiPriority w:val="99"/>
    <w:unhideWhenUsed/>
    <w:rsid w:val="004E655F"/>
    <w:rPr>
      <w:sz w:val="20"/>
      <w:szCs w:val="20"/>
    </w:rPr>
  </w:style>
  <w:style w:type="character" w:customStyle="1" w:styleId="afb">
    <w:name w:val="Текст примітки Знак"/>
    <w:basedOn w:val="a0"/>
    <w:link w:val="afa"/>
    <w:uiPriority w:val="99"/>
    <w:rsid w:val="004E655F"/>
    <w:rPr>
      <w:rFonts w:ascii="Times New Roman" w:hAnsi="Times New Roman" w:cs="Times New Roman"/>
      <w:sz w:val="20"/>
      <w:szCs w:val="20"/>
      <w:lang w:eastAsia="uk-UA"/>
    </w:rPr>
  </w:style>
  <w:style w:type="paragraph" w:styleId="afc">
    <w:name w:val="annotation subject"/>
    <w:basedOn w:val="afa"/>
    <w:next w:val="afa"/>
    <w:link w:val="afd"/>
    <w:uiPriority w:val="99"/>
    <w:semiHidden/>
    <w:unhideWhenUsed/>
    <w:rsid w:val="004E655F"/>
    <w:rPr>
      <w:b/>
      <w:bCs/>
    </w:rPr>
  </w:style>
  <w:style w:type="character" w:customStyle="1" w:styleId="afd">
    <w:name w:val="Тема примітки Знак"/>
    <w:basedOn w:val="afb"/>
    <w:link w:val="afc"/>
    <w:uiPriority w:val="99"/>
    <w:semiHidden/>
    <w:rsid w:val="004E655F"/>
    <w:rPr>
      <w:rFonts w:ascii="Times New Roman" w:hAnsi="Times New Roman" w:cs="Times New Roman"/>
      <w:b/>
      <w:bCs/>
      <w:sz w:val="20"/>
      <w:szCs w:val="20"/>
      <w:lang w:eastAsia="uk-UA"/>
    </w:rPr>
  </w:style>
  <w:style w:type="paragraph" w:styleId="afe">
    <w:name w:val="Revision"/>
    <w:hidden/>
    <w:uiPriority w:val="99"/>
    <w:semiHidden/>
    <w:rsid w:val="00EC5777"/>
    <w:pPr>
      <w:spacing w:after="0" w:line="240" w:lineRule="auto"/>
    </w:pPr>
    <w:rPr>
      <w:rFonts w:ascii="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673528777">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145971979">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340893569">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087FD1C-5A18-4046-9E2E-B724B652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19277</Words>
  <Characters>10989</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30206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Сасюк Тетяна Сергіївна</cp:lastModifiedBy>
  <cp:revision>5</cp:revision>
  <cp:lastPrinted>2023-12-18T09:55:00Z</cp:lastPrinted>
  <dcterms:created xsi:type="dcterms:W3CDTF">2024-01-05T07:21:00Z</dcterms:created>
  <dcterms:modified xsi:type="dcterms:W3CDTF">2024-01-08T08:32:00Z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