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0349A" w14:textId="77777777" w:rsidR="00967711" w:rsidRPr="00566BA2" w:rsidRDefault="00967711" w:rsidP="00967711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A64DDD" w14:paraId="5A4D85F2" w14:textId="77777777" w:rsidTr="00E054A9">
        <w:trPr>
          <w:trHeight w:val="851"/>
        </w:trPr>
        <w:tc>
          <w:tcPr>
            <w:tcW w:w="3284" w:type="dxa"/>
          </w:tcPr>
          <w:p w14:paraId="629EF2D3" w14:textId="77777777" w:rsidR="00967711" w:rsidRDefault="00967711" w:rsidP="00E054A9"/>
        </w:tc>
        <w:tc>
          <w:tcPr>
            <w:tcW w:w="3285" w:type="dxa"/>
            <w:vMerge w:val="restart"/>
          </w:tcPr>
          <w:p w14:paraId="06D684AA" w14:textId="77777777" w:rsidR="00967711" w:rsidRDefault="00E06BD8" w:rsidP="00E054A9">
            <w:pPr>
              <w:jc w:val="center"/>
            </w:pPr>
            <w:r>
              <w:object w:dxaOrig="689" w:dyaOrig="950" w14:anchorId="40AA0C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4pt;height:47.6pt" o:ole="">
                  <v:imagedata r:id="rId12" o:title=""/>
                </v:shape>
                <o:OLEObject Type="Embed" ProgID="CorelDraw.Graphic.16" ShapeID="_x0000_i1025" DrawAspect="Content" ObjectID="_1742319574" r:id="rId13"/>
              </w:object>
            </w:r>
          </w:p>
        </w:tc>
        <w:tc>
          <w:tcPr>
            <w:tcW w:w="3285" w:type="dxa"/>
          </w:tcPr>
          <w:p w14:paraId="6EAC1278" w14:textId="77777777" w:rsidR="00967711" w:rsidRDefault="00967711" w:rsidP="00E054A9"/>
        </w:tc>
      </w:tr>
      <w:tr w:rsidR="00A64DDD" w14:paraId="5A819D2F" w14:textId="77777777" w:rsidTr="00E054A9">
        <w:tc>
          <w:tcPr>
            <w:tcW w:w="3284" w:type="dxa"/>
          </w:tcPr>
          <w:p w14:paraId="6B187498" w14:textId="77777777" w:rsidR="00967711" w:rsidRDefault="00967711" w:rsidP="00E054A9"/>
        </w:tc>
        <w:tc>
          <w:tcPr>
            <w:tcW w:w="3285" w:type="dxa"/>
            <w:vMerge/>
          </w:tcPr>
          <w:p w14:paraId="243DE9B3" w14:textId="77777777" w:rsidR="00967711" w:rsidRDefault="00967711" w:rsidP="00E054A9"/>
        </w:tc>
        <w:tc>
          <w:tcPr>
            <w:tcW w:w="3285" w:type="dxa"/>
          </w:tcPr>
          <w:p w14:paraId="763B42E1" w14:textId="77777777" w:rsidR="00967711" w:rsidRDefault="00967711" w:rsidP="00E054A9"/>
        </w:tc>
      </w:tr>
      <w:tr w:rsidR="00A64DDD" w14:paraId="2E5708EC" w14:textId="77777777" w:rsidTr="00E054A9">
        <w:tc>
          <w:tcPr>
            <w:tcW w:w="9854" w:type="dxa"/>
            <w:gridSpan w:val="3"/>
          </w:tcPr>
          <w:p w14:paraId="39780032" w14:textId="77777777" w:rsidR="00967711" w:rsidRPr="00E10F0A" w:rsidRDefault="00E06BD8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4BAC5C20" w14:textId="77777777" w:rsidR="00967711" w:rsidRDefault="00E06BD8" w:rsidP="00D75789">
            <w:pPr>
              <w:jc w:val="center"/>
            </w:pPr>
            <w:r w:rsidRPr="00BC128A">
              <w:rPr>
                <w:b/>
                <w:noProof/>
                <w:color w:val="006600"/>
                <w:sz w:val="32"/>
                <w:szCs w:val="32"/>
              </w:rPr>
              <w:t>Р І Ш Е Н Н Я</w:t>
            </w:r>
          </w:p>
        </w:tc>
      </w:tr>
    </w:tbl>
    <w:p w14:paraId="5BFE22A5" w14:textId="77777777" w:rsidR="00967711" w:rsidRPr="00566BA2" w:rsidRDefault="00967711" w:rsidP="00967711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2220"/>
        <w:gridCol w:w="1810"/>
        <w:gridCol w:w="1906"/>
      </w:tblGrid>
      <w:tr w:rsidR="00A64DDD" w14:paraId="0819DB43" w14:textId="77777777" w:rsidTr="002A3D20">
        <w:tc>
          <w:tcPr>
            <w:tcW w:w="3794" w:type="dxa"/>
            <w:vAlign w:val="bottom"/>
          </w:tcPr>
          <w:p w14:paraId="3F83F6C6" w14:textId="1CCE42C2" w:rsidR="00967711" w:rsidRPr="00566BA2" w:rsidRDefault="00E97AD1" w:rsidP="00E054A9">
            <w:r>
              <w:t>06 квітня 2023 року</w:t>
            </w:r>
          </w:p>
        </w:tc>
        <w:tc>
          <w:tcPr>
            <w:tcW w:w="2268" w:type="dxa"/>
          </w:tcPr>
          <w:p w14:paraId="449ED3CF" w14:textId="77777777" w:rsidR="00967711" w:rsidRDefault="00E06BD8" w:rsidP="001359C4">
            <w:pPr>
              <w:spacing w:before="240"/>
              <w:ind w:firstLine="34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855" w:type="dxa"/>
            <w:shd w:val="clear" w:color="auto" w:fill="auto"/>
            <w:vAlign w:val="bottom"/>
          </w:tcPr>
          <w:p w14:paraId="1C3089CA" w14:textId="77777777" w:rsidR="00967711" w:rsidRDefault="00E06BD8" w:rsidP="001359C4">
            <w:pPr>
              <w:jc w:val="right"/>
            </w:pPr>
            <w:r w:rsidRPr="002A3D2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D22B8D7" w14:textId="7529EF92" w:rsidR="00967711" w:rsidRDefault="004B0014" w:rsidP="002C2894">
            <w:pPr>
              <w:jc w:val="left"/>
            </w:pPr>
            <w:r>
              <w:t>№131-рш</w:t>
            </w:r>
            <w:bookmarkStart w:id="0" w:name="_GoBack"/>
            <w:bookmarkEnd w:id="0"/>
          </w:p>
        </w:tc>
      </w:tr>
    </w:tbl>
    <w:p w14:paraId="62FD53EF" w14:textId="77777777" w:rsidR="00967711" w:rsidRPr="00CD0CD4" w:rsidRDefault="00967711" w:rsidP="00967711">
      <w:pPr>
        <w:rPr>
          <w:sz w:val="2"/>
          <w:szCs w:val="2"/>
        </w:rPr>
      </w:pPr>
    </w:p>
    <w:p w14:paraId="2B89D350" w14:textId="77777777" w:rsidR="00967711" w:rsidRPr="00487BC2" w:rsidRDefault="00967711" w:rsidP="00967711">
      <w:pPr>
        <w:rPr>
          <w:noProof/>
          <w:sz w:val="2"/>
          <w:szCs w:val="2"/>
        </w:rPr>
      </w:pPr>
    </w:p>
    <w:tbl>
      <w:tblPr>
        <w:tblStyle w:val="a9"/>
        <w:tblW w:w="3452" w:type="pct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A64DDD" w14:paraId="7EB7C6F1" w14:textId="77777777" w:rsidTr="0050563F">
        <w:tc>
          <w:tcPr>
            <w:tcW w:w="5000" w:type="pct"/>
          </w:tcPr>
          <w:p w14:paraId="617C7595" w14:textId="55973CDA" w:rsidR="002B3F71" w:rsidRPr="00487BC2" w:rsidRDefault="00E163E7" w:rsidP="00C11BE0">
            <w:pPr>
              <w:spacing w:before="240" w:after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E163E7">
              <w:t xml:space="preserve">Про встановлення </w:t>
            </w:r>
            <w:r w:rsidR="006675BE">
              <w:t xml:space="preserve">розмірів </w:t>
            </w:r>
            <w:r w:rsidRPr="00E163E7">
              <w:t>ставок за інструментами постійного доступу Національного банку України</w:t>
            </w:r>
            <w:r w:rsidR="006831B5">
              <w:t xml:space="preserve"> </w:t>
            </w:r>
          </w:p>
        </w:tc>
      </w:tr>
    </w:tbl>
    <w:p w14:paraId="6B580861" w14:textId="13D052E5" w:rsidR="00470271" w:rsidRPr="00DA7D8C" w:rsidRDefault="00E163E7" w:rsidP="00B91948">
      <w:pPr>
        <w:pStyle w:val="af3"/>
        <w:spacing w:before="240" w:after="120"/>
        <w:ind w:left="0" w:firstLine="567"/>
        <w:contextualSpacing w:val="0"/>
        <w:rPr>
          <w:b/>
        </w:rPr>
      </w:pPr>
      <w:r w:rsidRPr="00210354">
        <w:t xml:space="preserve">Відповідно до статей 6, </w:t>
      </w:r>
      <w:r>
        <w:t xml:space="preserve">7, </w:t>
      </w:r>
      <w:r w:rsidRPr="00210354">
        <w:t xml:space="preserve">15, 25, 27 та 56 Закону України “Про Національний банк України”, Положення про процентну політику </w:t>
      </w:r>
      <w:r w:rsidRPr="00DA7D8C">
        <w:t>Національного банку України, затвердженого постановою Правління Національного банку України від 21 квітня 2016 року №</w:t>
      </w:r>
      <w:r w:rsidRPr="00DA7D8C">
        <w:rPr>
          <w:lang w:val="en-US"/>
        </w:rPr>
        <w:t> </w:t>
      </w:r>
      <w:r w:rsidRPr="00DA7D8C">
        <w:t>277 (зі змінами)</w:t>
      </w:r>
      <w:r w:rsidR="00E43BDD">
        <w:t>,</w:t>
      </w:r>
      <w:r w:rsidRPr="00DA7D8C">
        <w:t xml:space="preserve"> </w:t>
      </w:r>
      <w:r w:rsidR="002345E8" w:rsidRPr="00DB47EC">
        <w:rPr>
          <w:lang w:eastAsia="ru-RU"/>
        </w:rPr>
        <w:t>з метою посилення ринкових стимулів залучення банками строкових депозитів населення в національній валюті, зниження ризиків для валютного ринку та міжнародних резервів на етапі подальшого пом’якшення валютних обмежень</w:t>
      </w:r>
      <w:r w:rsidR="002345E8" w:rsidRPr="00DB47EC">
        <w:t xml:space="preserve"> </w:t>
      </w:r>
      <w:r w:rsidR="00E06BD8" w:rsidRPr="00DB47EC">
        <w:t>Правління Національного банку України</w:t>
      </w:r>
      <w:r w:rsidR="00E06BD8" w:rsidRPr="00DB47EC">
        <w:rPr>
          <w:b/>
        </w:rPr>
        <w:t xml:space="preserve"> вирішило:</w:t>
      </w:r>
    </w:p>
    <w:p w14:paraId="2B4662C2" w14:textId="2FF3EFDA" w:rsidR="00E163E7" w:rsidRPr="00DA7D8C" w:rsidRDefault="00E06BD8" w:rsidP="00D7698E">
      <w:pPr>
        <w:pStyle w:val="af3"/>
        <w:spacing w:before="240"/>
        <w:ind w:left="0" w:firstLine="567"/>
        <w:contextualSpacing w:val="0"/>
      </w:pPr>
      <w:r w:rsidRPr="00DA7D8C">
        <w:rPr>
          <w:rFonts w:eastAsiaTheme="minorEastAsia"/>
          <w:noProof/>
          <w:color w:val="000000" w:themeColor="text1"/>
          <w:lang w:eastAsia="en-US"/>
        </w:rPr>
        <w:t>1.</w:t>
      </w:r>
      <w:r w:rsidRPr="00DA7D8C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E163E7" w:rsidRPr="00DA7D8C">
        <w:t xml:space="preserve">Установити такі розміри процентних ставок за інструментами постійного доступу Національного банку України </w:t>
      </w:r>
      <w:r w:rsidR="006F43AB">
        <w:t xml:space="preserve">(далі </w:t>
      </w:r>
      <w:r w:rsidR="003A3BA2" w:rsidRPr="00DA7D8C">
        <w:t>–</w:t>
      </w:r>
      <w:r w:rsidR="006F43AB">
        <w:t xml:space="preserve"> Національний банк</w:t>
      </w:r>
      <w:r w:rsidR="006F43AB" w:rsidRPr="002345E8">
        <w:t>)</w:t>
      </w:r>
      <w:r w:rsidR="00E163E7" w:rsidRPr="002345E8">
        <w:t xml:space="preserve"> </w:t>
      </w:r>
      <w:r w:rsidR="002345E8" w:rsidRPr="002345E8">
        <w:t xml:space="preserve">з </w:t>
      </w:r>
      <w:r w:rsidR="00E163E7" w:rsidRPr="002345E8">
        <w:t>надання</w:t>
      </w:r>
      <w:r w:rsidR="00E163E7" w:rsidRPr="00DA7D8C">
        <w:t xml:space="preserve"> та вилучення ліквідності на термін овернайт: </w:t>
      </w:r>
    </w:p>
    <w:p w14:paraId="46476725" w14:textId="38C6D93D" w:rsidR="00E163E7" w:rsidRPr="00DA7D8C" w:rsidRDefault="00E163E7" w:rsidP="00B21B95">
      <w:pPr>
        <w:pStyle w:val="af3"/>
        <w:ind w:left="0" w:firstLine="567"/>
        <w:contextualSpacing w:val="0"/>
      </w:pPr>
      <w:r w:rsidRPr="00DA7D8C">
        <w:t xml:space="preserve">за депозитними сертифікатами </w:t>
      </w:r>
      <w:proofErr w:type="spellStart"/>
      <w:r w:rsidRPr="00DA7D8C">
        <w:t>овернайт</w:t>
      </w:r>
      <w:proofErr w:type="spellEnd"/>
      <w:r w:rsidRPr="00DA7D8C">
        <w:t xml:space="preserve"> –</w:t>
      </w:r>
      <w:r w:rsidR="005045EF">
        <w:t xml:space="preserve"> </w:t>
      </w:r>
      <w:r w:rsidR="006C482A" w:rsidRPr="00DA7D8C">
        <w:t xml:space="preserve">на рівні облікової ставки Національного банку </w:t>
      </w:r>
      <w:r w:rsidR="006C482A">
        <w:t>мінус</w:t>
      </w:r>
      <w:r w:rsidR="006C482A" w:rsidRPr="00DA7D8C">
        <w:t xml:space="preserve"> </w:t>
      </w:r>
      <w:r w:rsidR="005F361E">
        <w:t xml:space="preserve">п’ять </w:t>
      </w:r>
      <w:r w:rsidR="006C482A" w:rsidRPr="00DA7D8C">
        <w:t>відсотков</w:t>
      </w:r>
      <w:r w:rsidR="006C482A">
        <w:t>их</w:t>
      </w:r>
      <w:r w:rsidR="006C482A" w:rsidRPr="00DA7D8C">
        <w:t xml:space="preserve"> пункт</w:t>
      </w:r>
      <w:r w:rsidR="00CD2C6E">
        <w:t>ів</w:t>
      </w:r>
      <w:r w:rsidRPr="00DA7D8C">
        <w:t xml:space="preserve">; </w:t>
      </w:r>
    </w:p>
    <w:p w14:paraId="3C4CD8E6" w14:textId="3F88CA75" w:rsidR="001D4193" w:rsidRPr="00DA7D8C" w:rsidRDefault="00E163E7" w:rsidP="00B21B95">
      <w:pPr>
        <w:pStyle w:val="af3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 w:rsidRPr="00DA7D8C">
        <w:t xml:space="preserve">за кредитами </w:t>
      </w:r>
      <w:proofErr w:type="spellStart"/>
      <w:r w:rsidRPr="00DA7D8C">
        <w:t>овернайт</w:t>
      </w:r>
      <w:proofErr w:type="spellEnd"/>
      <w:r w:rsidRPr="00DA7D8C">
        <w:t xml:space="preserve"> – на рівні облікової ставки Національного банку  плюс </w:t>
      </w:r>
      <w:r w:rsidR="005F361E">
        <w:t xml:space="preserve">два </w:t>
      </w:r>
      <w:r w:rsidRPr="00DA7D8C">
        <w:t>відсотков</w:t>
      </w:r>
      <w:r w:rsidR="00773783">
        <w:t>их</w:t>
      </w:r>
      <w:r w:rsidRPr="00DA7D8C">
        <w:t xml:space="preserve"> пункти</w:t>
      </w:r>
      <w:r w:rsidR="001742F1" w:rsidRPr="00DA7D8C">
        <w:rPr>
          <w:noProof/>
        </w:rPr>
        <w:t>.</w:t>
      </w:r>
    </w:p>
    <w:p w14:paraId="6B29BCF4" w14:textId="08E35126" w:rsidR="00A2037B" w:rsidRPr="006831B5" w:rsidRDefault="005A2A0A" w:rsidP="005B0FB8">
      <w:pPr>
        <w:pStyle w:val="af3"/>
        <w:spacing w:before="240" w:after="120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 w:rsidRPr="00DA7D8C">
        <w:rPr>
          <w:rFonts w:eastAsiaTheme="minorEastAsia"/>
          <w:noProof/>
          <w:color w:val="000000" w:themeColor="text1"/>
          <w:lang w:eastAsia="en-US"/>
        </w:rPr>
        <w:t>2</w:t>
      </w:r>
      <w:r w:rsidR="006831B5">
        <w:rPr>
          <w:bCs/>
          <w:iCs/>
        </w:rPr>
        <w:t xml:space="preserve">. </w:t>
      </w:r>
      <w:r w:rsidR="00E163E7" w:rsidRPr="00DA7D8C">
        <w:t>Визнати таким, що втратило чинність</w:t>
      </w:r>
      <w:r w:rsidR="00E43BDD">
        <w:t>,</w:t>
      </w:r>
      <w:r w:rsidR="00E163E7" w:rsidRPr="00DA7D8C">
        <w:t xml:space="preserve"> </w:t>
      </w:r>
      <w:r w:rsidR="00E163E7" w:rsidRPr="00666E4C">
        <w:t xml:space="preserve"> рішення Правління Національного банку України від 0</w:t>
      </w:r>
      <w:r w:rsidR="005045EF" w:rsidRPr="00666E4C">
        <w:t>2</w:t>
      </w:r>
      <w:r w:rsidR="00E163E7" w:rsidRPr="00666E4C">
        <w:t xml:space="preserve"> </w:t>
      </w:r>
      <w:r w:rsidR="005045EF" w:rsidRPr="00666E4C">
        <w:t>червня</w:t>
      </w:r>
      <w:r w:rsidR="00E163E7" w:rsidRPr="00666E4C">
        <w:t xml:space="preserve"> 202</w:t>
      </w:r>
      <w:r w:rsidR="005045EF" w:rsidRPr="00666E4C">
        <w:t>2</w:t>
      </w:r>
      <w:r w:rsidR="00E163E7" w:rsidRPr="006831B5">
        <w:t xml:space="preserve"> року № </w:t>
      </w:r>
      <w:r w:rsidR="005045EF" w:rsidRPr="006831B5">
        <w:t>265</w:t>
      </w:r>
      <w:r w:rsidR="00E163E7" w:rsidRPr="006831B5">
        <w:t>-рш “Про встановлення ставок за інструментами постійного дост</w:t>
      </w:r>
      <w:r w:rsidR="005045EF" w:rsidRPr="006831B5">
        <w:t>упу Національного банку України</w:t>
      </w:r>
      <w:r w:rsidR="00E163E7" w:rsidRPr="006831B5">
        <w:t>”</w:t>
      </w:r>
      <w:r w:rsidR="001742F1" w:rsidRPr="006831B5">
        <w:rPr>
          <w:noProof/>
        </w:rPr>
        <w:t>.</w:t>
      </w:r>
    </w:p>
    <w:p w14:paraId="3B42CED5" w14:textId="2FAEF600" w:rsidR="00523F5C" w:rsidRPr="006831B5" w:rsidRDefault="000E78F7" w:rsidP="005B0FB8">
      <w:pPr>
        <w:pStyle w:val="af3"/>
        <w:spacing w:before="240" w:after="120"/>
        <w:ind w:left="0" w:firstLine="567"/>
        <w:contextualSpacing w:val="0"/>
        <w:rPr>
          <w:noProof/>
          <w:lang w:val="ru-RU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3</w:t>
      </w:r>
      <w:r w:rsidR="00E06BD8" w:rsidRPr="006831B5">
        <w:rPr>
          <w:rFonts w:eastAsiaTheme="minorEastAsia"/>
          <w:noProof/>
          <w:color w:val="000000" w:themeColor="text1"/>
          <w:lang w:val="ru-RU" w:eastAsia="en-US"/>
        </w:rPr>
        <w:t>.</w:t>
      </w:r>
      <w:r w:rsidR="00E06BD8" w:rsidRPr="006831B5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E163E7" w:rsidRPr="006831B5">
        <w:t>Контроль за виконанням цього рішення покласти на заступника Голови Національного банку України Сергія Ніколайчука</w:t>
      </w:r>
      <w:r w:rsidR="00E163E7" w:rsidRPr="006831B5">
        <w:rPr>
          <w:rFonts w:eastAsiaTheme="minorEastAsia"/>
          <w:noProof/>
          <w:color w:val="000000" w:themeColor="text1"/>
          <w:lang w:eastAsia="en-US"/>
        </w:rPr>
        <w:t>.</w:t>
      </w:r>
    </w:p>
    <w:p w14:paraId="0D059454" w14:textId="7A08A76F" w:rsidR="006215C8" w:rsidRDefault="000E78F7" w:rsidP="005B0FB8">
      <w:pPr>
        <w:pStyle w:val="af3"/>
        <w:spacing w:before="240" w:after="120"/>
        <w:ind w:left="0" w:firstLine="567"/>
        <w:contextualSpacing w:val="0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</w:t>
      </w:r>
      <w:r w:rsidR="00E06BD8" w:rsidRPr="006831B5">
        <w:rPr>
          <w:rFonts w:eastAsiaTheme="minorEastAsia"/>
          <w:noProof/>
          <w:color w:val="000000" w:themeColor="text1"/>
          <w:lang w:eastAsia="en-US"/>
        </w:rPr>
        <w:t xml:space="preserve">. </w:t>
      </w:r>
      <w:r w:rsidR="00E163E7" w:rsidRPr="006831B5">
        <w:t xml:space="preserve">Рішення набирає чинності з </w:t>
      </w:r>
      <w:r w:rsidR="005045EF" w:rsidRPr="00666E4C">
        <w:t>07</w:t>
      </w:r>
      <w:r w:rsidR="00E163E7" w:rsidRPr="00666E4C">
        <w:t xml:space="preserve"> </w:t>
      </w:r>
      <w:r w:rsidR="005045EF" w:rsidRPr="00666E4C">
        <w:t>квітня</w:t>
      </w:r>
      <w:r w:rsidR="00E163E7" w:rsidRPr="00666E4C">
        <w:t xml:space="preserve"> 202</w:t>
      </w:r>
      <w:r w:rsidR="005045EF" w:rsidRPr="00666E4C">
        <w:t>3</w:t>
      </w:r>
      <w:r w:rsidR="00E163E7" w:rsidRPr="00666E4C">
        <w:t xml:space="preserve"> року</w:t>
      </w:r>
      <w:r w:rsidR="00E163E7" w:rsidRPr="00666E4C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2A1810EA" w14:textId="77777777" w:rsidR="002640EC" w:rsidRDefault="002640EC" w:rsidP="005B0FB8">
      <w:pPr>
        <w:pStyle w:val="af3"/>
        <w:spacing w:before="240" w:after="120"/>
        <w:ind w:left="0" w:firstLine="567"/>
        <w:contextualSpacing w:val="0"/>
        <w:rPr>
          <w:rFonts w:eastAsiaTheme="minorEastAsia"/>
          <w:noProof/>
          <w:color w:val="000000" w:themeColor="text1"/>
          <w:lang w:val="ru-RU" w:eastAsia="en-US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A64DDD" w14:paraId="648E2978" w14:textId="77777777" w:rsidTr="002640EC">
        <w:tc>
          <w:tcPr>
            <w:tcW w:w="5495" w:type="dxa"/>
            <w:vAlign w:val="bottom"/>
            <w:hideMark/>
          </w:tcPr>
          <w:p w14:paraId="784DB5E6" w14:textId="77777777" w:rsidR="00DF771C" w:rsidRDefault="002640EC" w:rsidP="002640E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  <w:hideMark/>
          </w:tcPr>
          <w:p w14:paraId="5848310A" w14:textId="77777777" w:rsidR="00DF771C" w:rsidRDefault="005045EF" w:rsidP="002640E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Андрій ПИШНИЙ</w:t>
            </w:r>
          </w:p>
        </w:tc>
      </w:tr>
    </w:tbl>
    <w:p w14:paraId="3CD9BC75" w14:textId="77777777" w:rsidR="002640EC" w:rsidRDefault="002640EC" w:rsidP="00FA508E">
      <w:pPr>
        <w:jc w:val="left"/>
        <w:rPr>
          <w:noProof/>
        </w:rPr>
      </w:pPr>
    </w:p>
    <w:p w14:paraId="081FA282" w14:textId="77777777" w:rsidR="00FA508E" w:rsidRPr="00487BC2" w:rsidRDefault="00E06BD8" w:rsidP="00FA508E">
      <w:pPr>
        <w:jc w:val="left"/>
        <w:rPr>
          <w:noProof/>
        </w:rPr>
      </w:pPr>
      <w:r w:rsidRPr="00487BC2">
        <w:rPr>
          <w:noProof/>
        </w:rPr>
        <w:t>Інд.</w:t>
      </w:r>
      <w:r w:rsidRPr="00487BC2">
        <w:rPr>
          <w:noProof/>
          <w:sz w:val="22"/>
          <w:szCs w:val="22"/>
        </w:rPr>
        <w:t xml:space="preserve"> </w:t>
      </w:r>
      <w:r w:rsidR="002640EC">
        <w:rPr>
          <w:noProof/>
        </w:rPr>
        <w:t>30</w:t>
      </w:r>
    </w:p>
    <w:sectPr w:rsidR="00FA508E" w:rsidRPr="00487BC2" w:rsidSect="00773783">
      <w:headerReference w:type="default" r:id="rId14"/>
      <w:footerReference w:type="first" r:id="rId15"/>
      <w:pgSz w:w="11906" w:h="16838" w:code="9"/>
      <w:pgMar w:top="28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8B8F5" w14:textId="77777777" w:rsidR="002476E7" w:rsidRDefault="002476E7">
      <w:r>
        <w:separator/>
      </w:r>
    </w:p>
  </w:endnote>
  <w:endnote w:type="continuationSeparator" w:id="0">
    <w:p w14:paraId="5D9E398C" w14:textId="77777777" w:rsidR="002476E7" w:rsidRDefault="0024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A594E" w14:textId="77777777" w:rsidR="002626BF" w:rsidRPr="002A3D20" w:rsidRDefault="00E06BD8" w:rsidP="002626BF">
    <w:pPr>
      <w:pStyle w:val="a5"/>
      <w:jc w:val="right"/>
      <w:rPr>
        <w:color w:val="FFFFFF" w:themeColor="background1"/>
      </w:rPr>
    </w:pPr>
    <w:r w:rsidRPr="002A3D20">
      <w:rPr>
        <w:color w:val="FFFFFF" w:themeColor="background1"/>
      </w:rPr>
      <w:t>Шаблон</w:t>
    </w:r>
  </w:p>
  <w:p w14:paraId="1850C747" w14:textId="77777777" w:rsidR="002626BF" w:rsidRPr="002A3D20" w:rsidRDefault="00E06BD8" w:rsidP="002626BF">
    <w:pPr>
      <w:pStyle w:val="a5"/>
      <w:jc w:val="right"/>
      <w:rPr>
        <w:color w:val="FFFFFF" w:themeColor="background1"/>
      </w:rPr>
    </w:pPr>
    <w:r w:rsidRPr="002A3D20">
      <w:rPr>
        <w:color w:val="FFFFFF" w:themeColor="background1"/>
      </w:rPr>
      <w:t>Шаблон</w:t>
    </w:r>
  </w:p>
  <w:p w14:paraId="6DF99C46" w14:textId="77777777" w:rsidR="002626BF" w:rsidRPr="002A3D20" w:rsidRDefault="00E06BD8" w:rsidP="002626BF">
    <w:pPr>
      <w:pStyle w:val="a5"/>
      <w:jc w:val="right"/>
      <w:rPr>
        <w:color w:val="FFFFFF" w:themeColor="background1"/>
      </w:rPr>
    </w:pPr>
    <w:r w:rsidRPr="002A3D20">
      <w:rPr>
        <w:color w:val="FFFFFF" w:themeColor="background1"/>
      </w:rPr>
      <w:t>Шаблон</w:t>
    </w:r>
  </w:p>
  <w:p w14:paraId="1BED0D16" w14:textId="77777777" w:rsidR="002626BF" w:rsidRPr="002626BF" w:rsidRDefault="00E06BD8" w:rsidP="002626BF">
    <w:pPr>
      <w:pStyle w:val="a7"/>
      <w:jc w:val="right"/>
      <w:rPr>
        <w:color w:val="FFFFFF" w:themeColor="background1"/>
      </w:rPr>
    </w:pPr>
    <w:r w:rsidRPr="002626BF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00E38" w14:textId="77777777" w:rsidR="002476E7" w:rsidRDefault="002476E7">
      <w:r>
        <w:separator/>
      </w:r>
    </w:p>
  </w:footnote>
  <w:footnote w:type="continuationSeparator" w:id="0">
    <w:p w14:paraId="47DC4C0E" w14:textId="77777777" w:rsidR="002476E7" w:rsidRDefault="00247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56E7C549" w14:textId="01371E8F" w:rsidR="00460BA2" w:rsidRDefault="00E06B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BE0">
          <w:rPr>
            <w:noProof/>
          </w:rPr>
          <w:t>2</w:t>
        </w:r>
        <w:r>
          <w:fldChar w:fldCharType="end"/>
        </w:r>
      </w:p>
    </w:sdtContent>
  </w:sdt>
  <w:p w14:paraId="14886840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57E43BA6">
      <w:start w:val="1"/>
      <w:numFmt w:val="decimal"/>
      <w:lvlText w:val="%1."/>
      <w:lvlJc w:val="left"/>
      <w:pPr>
        <w:ind w:left="3905" w:hanging="360"/>
      </w:pPr>
    </w:lvl>
    <w:lvl w:ilvl="1" w:tplc="DA78C22A" w:tentative="1">
      <w:start w:val="1"/>
      <w:numFmt w:val="lowerLetter"/>
      <w:lvlText w:val="%2."/>
      <w:lvlJc w:val="left"/>
      <w:pPr>
        <w:ind w:left="1789" w:hanging="360"/>
      </w:pPr>
    </w:lvl>
    <w:lvl w:ilvl="2" w:tplc="59629B90" w:tentative="1">
      <w:start w:val="1"/>
      <w:numFmt w:val="lowerRoman"/>
      <w:lvlText w:val="%3."/>
      <w:lvlJc w:val="right"/>
      <w:pPr>
        <w:ind w:left="2509" w:hanging="180"/>
      </w:pPr>
    </w:lvl>
    <w:lvl w:ilvl="3" w:tplc="6C4AAE14" w:tentative="1">
      <w:start w:val="1"/>
      <w:numFmt w:val="decimal"/>
      <w:lvlText w:val="%4."/>
      <w:lvlJc w:val="left"/>
      <w:pPr>
        <w:ind w:left="3229" w:hanging="360"/>
      </w:pPr>
    </w:lvl>
    <w:lvl w:ilvl="4" w:tplc="C520DB0E" w:tentative="1">
      <w:start w:val="1"/>
      <w:numFmt w:val="lowerLetter"/>
      <w:lvlText w:val="%5."/>
      <w:lvlJc w:val="left"/>
      <w:pPr>
        <w:ind w:left="3949" w:hanging="360"/>
      </w:pPr>
    </w:lvl>
    <w:lvl w:ilvl="5" w:tplc="533801EC" w:tentative="1">
      <w:start w:val="1"/>
      <w:numFmt w:val="lowerRoman"/>
      <w:lvlText w:val="%6."/>
      <w:lvlJc w:val="right"/>
      <w:pPr>
        <w:ind w:left="4669" w:hanging="180"/>
      </w:pPr>
    </w:lvl>
    <w:lvl w:ilvl="6" w:tplc="3DC40A7A" w:tentative="1">
      <w:start w:val="1"/>
      <w:numFmt w:val="decimal"/>
      <w:lvlText w:val="%7."/>
      <w:lvlJc w:val="left"/>
      <w:pPr>
        <w:ind w:left="5389" w:hanging="360"/>
      </w:pPr>
    </w:lvl>
    <w:lvl w:ilvl="7" w:tplc="3EFCCD94" w:tentative="1">
      <w:start w:val="1"/>
      <w:numFmt w:val="lowerLetter"/>
      <w:lvlText w:val="%8."/>
      <w:lvlJc w:val="left"/>
      <w:pPr>
        <w:ind w:left="6109" w:hanging="360"/>
      </w:pPr>
    </w:lvl>
    <w:lvl w:ilvl="8" w:tplc="3932B96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84D71"/>
    <w:multiLevelType w:val="hybridMultilevel"/>
    <w:tmpl w:val="3F109CDE"/>
    <w:lvl w:ilvl="0" w:tplc="C94E2942">
      <w:start w:val="1"/>
      <w:numFmt w:val="decimal"/>
      <w:lvlText w:val="%1."/>
      <w:lvlJc w:val="left"/>
      <w:pPr>
        <w:ind w:left="1429" w:hanging="360"/>
      </w:pPr>
    </w:lvl>
    <w:lvl w:ilvl="1" w:tplc="4746BCE2" w:tentative="1">
      <w:start w:val="1"/>
      <w:numFmt w:val="lowerLetter"/>
      <w:lvlText w:val="%2."/>
      <w:lvlJc w:val="left"/>
      <w:pPr>
        <w:ind w:left="2149" w:hanging="360"/>
      </w:pPr>
    </w:lvl>
    <w:lvl w:ilvl="2" w:tplc="AFCA5D6A" w:tentative="1">
      <w:start w:val="1"/>
      <w:numFmt w:val="lowerRoman"/>
      <w:lvlText w:val="%3."/>
      <w:lvlJc w:val="right"/>
      <w:pPr>
        <w:ind w:left="2869" w:hanging="180"/>
      </w:pPr>
    </w:lvl>
    <w:lvl w:ilvl="3" w:tplc="1166F3A8" w:tentative="1">
      <w:start w:val="1"/>
      <w:numFmt w:val="decimal"/>
      <w:lvlText w:val="%4."/>
      <w:lvlJc w:val="left"/>
      <w:pPr>
        <w:ind w:left="3589" w:hanging="360"/>
      </w:pPr>
    </w:lvl>
    <w:lvl w:ilvl="4" w:tplc="1102F224" w:tentative="1">
      <w:start w:val="1"/>
      <w:numFmt w:val="lowerLetter"/>
      <w:lvlText w:val="%5."/>
      <w:lvlJc w:val="left"/>
      <w:pPr>
        <w:ind w:left="4309" w:hanging="360"/>
      </w:pPr>
    </w:lvl>
    <w:lvl w:ilvl="5" w:tplc="E2628754" w:tentative="1">
      <w:start w:val="1"/>
      <w:numFmt w:val="lowerRoman"/>
      <w:lvlText w:val="%6."/>
      <w:lvlJc w:val="right"/>
      <w:pPr>
        <w:ind w:left="5029" w:hanging="180"/>
      </w:pPr>
    </w:lvl>
    <w:lvl w:ilvl="6" w:tplc="02D61DA2" w:tentative="1">
      <w:start w:val="1"/>
      <w:numFmt w:val="decimal"/>
      <w:lvlText w:val="%7."/>
      <w:lvlJc w:val="left"/>
      <w:pPr>
        <w:ind w:left="5749" w:hanging="360"/>
      </w:pPr>
    </w:lvl>
    <w:lvl w:ilvl="7" w:tplc="1B8E90B2" w:tentative="1">
      <w:start w:val="1"/>
      <w:numFmt w:val="lowerLetter"/>
      <w:lvlText w:val="%8."/>
      <w:lvlJc w:val="left"/>
      <w:pPr>
        <w:ind w:left="6469" w:hanging="360"/>
      </w:pPr>
    </w:lvl>
    <w:lvl w:ilvl="8" w:tplc="7F8A69B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745796"/>
    <w:multiLevelType w:val="hybridMultilevel"/>
    <w:tmpl w:val="D44AD2DE"/>
    <w:lvl w:ilvl="0" w:tplc="1AE89FDE">
      <w:start w:val="1"/>
      <w:numFmt w:val="decimal"/>
      <w:lvlText w:val="%1."/>
      <w:lvlJc w:val="left"/>
      <w:pPr>
        <w:ind w:left="1429" w:hanging="360"/>
      </w:pPr>
    </w:lvl>
    <w:lvl w:ilvl="1" w:tplc="81CCE080" w:tentative="1">
      <w:start w:val="1"/>
      <w:numFmt w:val="lowerLetter"/>
      <w:lvlText w:val="%2."/>
      <w:lvlJc w:val="left"/>
      <w:pPr>
        <w:ind w:left="2149" w:hanging="360"/>
      </w:pPr>
    </w:lvl>
    <w:lvl w:ilvl="2" w:tplc="3684AD12" w:tentative="1">
      <w:start w:val="1"/>
      <w:numFmt w:val="lowerRoman"/>
      <w:lvlText w:val="%3."/>
      <w:lvlJc w:val="right"/>
      <w:pPr>
        <w:ind w:left="2869" w:hanging="180"/>
      </w:pPr>
    </w:lvl>
    <w:lvl w:ilvl="3" w:tplc="042EAD5C" w:tentative="1">
      <w:start w:val="1"/>
      <w:numFmt w:val="decimal"/>
      <w:lvlText w:val="%4."/>
      <w:lvlJc w:val="left"/>
      <w:pPr>
        <w:ind w:left="3589" w:hanging="360"/>
      </w:pPr>
    </w:lvl>
    <w:lvl w:ilvl="4" w:tplc="11F2EE4E" w:tentative="1">
      <w:start w:val="1"/>
      <w:numFmt w:val="lowerLetter"/>
      <w:lvlText w:val="%5."/>
      <w:lvlJc w:val="left"/>
      <w:pPr>
        <w:ind w:left="4309" w:hanging="360"/>
      </w:pPr>
    </w:lvl>
    <w:lvl w:ilvl="5" w:tplc="EED61CC2" w:tentative="1">
      <w:start w:val="1"/>
      <w:numFmt w:val="lowerRoman"/>
      <w:lvlText w:val="%6."/>
      <w:lvlJc w:val="right"/>
      <w:pPr>
        <w:ind w:left="5029" w:hanging="180"/>
      </w:pPr>
    </w:lvl>
    <w:lvl w:ilvl="6" w:tplc="B21447E4" w:tentative="1">
      <w:start w:val="1"/>
      <w:numFmt w:val="decimal"/>
      <w:lvlText w:val="%7."/>
      <w:lvlJc w:val="left"/>
      <w:pPr>
        <w:ind w:left="5749" w:hanging="360"/>
      </w:pPr>
    </w:lvl>
    <w:lvl w:ilvl="7" w:tplc="76D43610" w:tentative="1">
      <w:start w:val="1"/>
      <w:numFmt w:val="lowerLetter"/>
      <w:lvlText w:val="%8."/>
      <w:lvlJc w:val="left"/>
      <w:pPr>
        <w:ind w:left="6469" w:hanging="360"/>
      </w:pPr>
    </w:lvl>
    <w:lvl w:ilvl="8" w:tplc="7F543D1A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C42"/>
    <w:rsid w:val="000064FA"/>
    <w:rsid w:val="000069AF"/>
    <w:rsid w:val="00015CF3"/>
    <w:rsid w:val="00015FDE"/>
    <w:rsid w:val="00016007"/>
    <w:rsid w:val="0003331E"/>
    <w:rsid w:val="000342A5"/>
    <w:rsid w:val="0003793C"/>
    <w:rsid w:val="000422EA"/>
    <w:rsid w:val="000543C6"/>
    <w:rsid w:val="000574CE"/>
    <w:rsid w:val="00057A5C"/>
    <w:rsid w:val="000600A8"/>
    <w:rsid w:val="00062DFC"/>
    <w:rsid w:val="00063480"/>
    <w:rsid w:val="000679F5"/>
    <w:rsid w:val="00073C85"/>
    <w:rsid w:val="00076601"/>
    <w:rsid w:val="000B2990"/>
    <w:rsid w:val="000B42CB"/>
    <w:rsid w:val="000D778F"/>
    <w:rsid w:val="000E0CB3"/>
    <w:rsid w:val="000E5B8C"/>
    <w:rsid w:val="000E78F7"/>
    <w:rsid w:val="001039CA"/>
    <w:rsid w:val="00116F28"/>
    <w:rsid w:val="001359C4"/>
    <w:rsid w:val="001631E2"/>
    <w:rsid w:val="001740C0"/>
    <w:rsid w:val="001742F1"/>
    <w:rsid w:val="00190E1A"/>
    <w:rsid w:val="001A0018"/>
    <w:rsid w:val="001A0EE5"/>
    <w:rsid w:val="001A16FA"/>
    <w:rsid w:val="001A4CB9"/>
    <w:rsid w:val="001A6795"/>
    <w:rsid w:val="001C206C"/>
    <w:rsid w:val="001C5904"/>
    <w:rsid w:val="001D4193"/>
    <w:rsid w:val="001D487A"/>
    <w:rsid w:val="0020561D"/>
    <w:rsid w:val="0022003C"/>
    <w:rsid w:val="002238D1"/>
    <w:rsid w:val="002345E8"/>
    <w:rsid w:val="00241373"/>
    <w:rsid w:val="002476E7"/>
    <w:rsid w:val="00253BF9"/>
    <w:rsid w:val="002626BF"/>
    <w:rsid w:val="002640EC"/>
    <w:rsid w:val="00264983"/>
    <w:rsid w:val="00266678"/>
    <w:rsid w:val="00276988"/>
    <w:rsid w:val="00280DCC"/>
    <w:rsid w:val="002853DB"/>
    <w:rsid w:val="00285DDA"/>
    <w:rsid w:val="00290F65"/>
    <w:rsid w:val="002A3D20"/>
    <w:rsid w:val="002B351E"/>
    <w:rsid w:val="002B3F71"/>
    <w:rsid w:val="002B582B"/>
    <w:rsid w:val="002B6E4F"/>
    <w:rsid w:val="002C1FDB"/>
    <w:rsid w:val="002C258A"/>
    <w:rsid w:val="002C2894"/>
    <w:rsid w:val="002D1790"/>
    <w:rsid w:val="002D400B"/>
    <w:rsid w:val="002E2AE5"/>
    <w:rsid w:val="002F23E4"/>
    <w:rsid w:val="002F48EF"/>
    <w:rsid w:val="00311606"/>
    <w:rsid w:val="00332062"/>
    <w:rsid w:val="003364B4"/>
    <w:rsid w:val="00340D07"/>
    <w:rsid w:val="00345982"/>
    <w:rsid w:val="003479FD"/>
    <w:rsid w:val="00356E34"/>
    <w:rsid w:val="00357676"/>
    <w:rsid w:val="003653CC"/>
    <w:rsid w:val="0038385E"/>
    <w:rsid w:val="00384F65"/>
    <w:rsid w:val="0039725C"/>
    <w:rsid w:val="003A3BA2"/>
    <w:rsid w:val="003A751F"/>
    <w:rsid w:val="003C145B"/>
    <w:rsid w:val="003C3282"/>
    <w:rsid w:val="003C3985"/>
    <w:rsid w:val="003F0441"/>
    <w:rsid w:val="003F28B5"/>
    <w:rsid w:val="003F7093"/>
    <w:rsid w:val="00401EDB"/>
    <w:rsid w:val="00404C93"/>
    <w:rsid w:val="00407877"/>
    <w:rsid w:val="004130B9"/>
    <w:rsid w:val="00423068"/>
    <w:rsid w:val="00424A50"/>
    <w:rsid w:val="00445DA2"/>
    <w:rsid w:val="00455B45"/>
    <w:rsid w:val="00460BA2"/>
    <w:rsid w:val="00470271"/>
    <w:rsid w:val="00487BC2"/>
    <w:rsid w:val="004A1CFC"/>
    <w:rsid w:val="004A7F75"/>
    <w:rsid w:val="004B0014"/>
    <w:rsid w:val="004B1FE9"/>
    <w:rsid w:val="004B5574"/>
    <w:rsid w:val="004E22E2"/>
    <w:rsid w:val="004F7286"/>
    <w:rsid w:val="005045EF"/>
    <w:rsid w:val="0050563F"/>
    <w:rsid w:val="00505B10"/>
    <w:rsid w:val="0051774A"/>
    <w:rsid w:val="00523C13"/>
    <w:rsid w:val="00523F5C"/>
    <w:rsid w:val="005257C2"/>
    <w:rsid w:val="005307AD"/>
    <w:rsid w:val="00532633"/>
    <w:rsid w:val="005403F1"/>
    <w:rsid w:val="00542533"/>
    <w:rsid w:val="005538D2"/>
    <w:rsid w:val="005624B6"/>
    <w:rsid w:val="00566BA2"/>
    <w:rsid w:val="0057237F"/>
    <w:rsid w:val="00574ED7"/>
    <w:rsid w:val="00575489"/>
    <w:rsid w:val="00576B1E"/>
    <w:rsid w:val="00577402"/>
    <w:rsid w:val="00587546"/>
    <w:rsid w:val="005917E2"/>
    <w:rsid w:val="00591A20"/>
    <w:rsid w:val="00597AB6"/>
    <w:rsid w:val="005A0F4B"/>
    <w:rsid w:val="005A1D3C"/>
    <w:rsid w:val="005A2A0A"/>
    <w:rsid w:val="005A2D93"/>
    <w:rsid w:val="005A3F34"/>
    <w:rsid w:val="005A44CA"/>
    <w:rsid w:val="005B0FB8"/>
    <w:rsid w:val="005B2D03"/>
    <w:rsid w:val="005C5CBF"/>
    <w:rsid w:val="005D4530"/>
    <w:rsid w:val="005D45F5"/>
    <w:rsid w:val="005E3FA8"/>
    <w:rsid w:val="005F361E"/>
    <w:rsid w:val="005F4CB4"/>
    <w:rsid w:val="005F5FBB"/>
    <w:rsid w:val="00612BA1"/>
    <w:rsid w:val="006215C8"/>
    <w:rsid w:val="00624863"/>
    <w:rsid w:val="00640612"/>
    <w:rsid w:val="0064227D"/>
    <w:rsid w:val="0064529E"/>
    <w:rsid w:val="0065179F"/>
    <w:rsid w:val="0066339D"/>
    <w:rsid w:val="00666E4C"/>
    <w:rsid w:val="006675BE"/>
    <w:rsid w:val="00670C95"/>
    <w:rsid w:val="006754CA"/>
    <w:rsid w:val="006831B5"/>
    <w:rsid w:val="00685FDF"/>
    <w:rsid w:val="00686B35"/>
    <w:rsid w:val="006925CE"/>
    <w:rsid w:val="00692C8C"/>
    <w:rsid w:val="006A1B37"/>
    <w:rsid w:val="006A7062"/>
    <w:rsid w:val="006B2748"/>
    <w:rsid w:val="006B465F"/>
    <w:rsid w:val="006C0F22"/>
    <w:rsid w:val="006C13B1"/>
    <w:rsid w:val="006C2DFE"/>
    <w:rsid w:val="006C36F8"/>
    <w:rsid w:val="006C4176"/>
    <w:rsid w:val="006C482A"/>
    <w:rsid w:val="006C66EF"/>
    <w:rsid w:val="006D2617"/>
    <w:rsid w:val="006D4908"/>
    <w:rsid w:val="006F43AB"/>
    <w:rsid w:val="00700AA3"/>
    <w:rsid w:val="00715230"/>
    <w:rsid w:val="0071789F"/>
    <w:rsid w:val="00730088"/>
    <w:rsid w:val="00732680"/>
    <w:rsid w:val="00773783"/>
    <w:rsid w:val="0078127A"/>
    <w:rsid w:val="00783AF2"/>
    <w:rsid w:val="007A1752"/>
    <w:rsid w:val="007A6609"/>
    <w:rsid w:val="007A7FDF"/>
    <w:rsid w:val="007C2CED"/>
    <w:rsid w:val="007D1C2C"/>
    <w:rsid w:val="007F2929"/>
    <w:rsid w:val="007F4DA1"/>
    <w:rsid w:val="007F6FBB"/>
    <w:rsid w:val="00801A24"/>
    <w:rsid w:val="008020FB"/>
    <w:rsid w:val="00802988"/>
    <w:rsid w:val="00817F88"/>
    <w:rsid w:val="0082248B"/>
    <w:rsid w:val="008319D1"/>
    <w:rsid w:val="0085364B"/>
    <w:rsid w:val="00854149"/>
    <w:rsid w:val="00864994"/>
    <w:rsid w:val="00866993"/>
    <w:rsid w:val="00874366"/>
    <w:rsid w:val="00874390"/>
    <w:rsid w:val="008762D8"/>
    <w:rsid w:val="00883044"/>
    <w:rsid w:val="00885961"/>
    <w:rsid w:val="00894D28"/>
    <w:rsid w:val="00897035"/>
    <w:rsid w:val="008A63A7"/>
    <w:rsid w:val="008B1A65"/>
    <w:rsid w:val="008D10FD"/>
    <w:rsid w:val="008D122F"/>
    <w:rsid w:val="008D5F60"/>
    <w:rsid w:val="008D727F"/>
    <w:rsid w:val="008E1B8E"/>
    <w:rsid w:val="008E347B"/>
    <w:rsid w:val="008F0210"/>
    <w:rsid w:val="008F2600"/>
    <w:rsid w:val="008F5D52"/>
    <w:rsid w:val="008F68C1"/>
    <w:rsid w:val="00904F17"/>
    <w:rsid w:val="00922966"/>
    <w:rsid w:val="0093051F"/>
    <w:rsid w:val="00937AE3"/>
    <w:rsid w:val="00937D24"/>
    <w:rsid w:val="0094046D"/>
    <w:rsid w:val="00943175"/>
    <w:rsid w:val="0095741D"/>
    <w:rsid w:val="00967711"/>
    <w:rsid w:val="0097288F"/>
    <w:rsid w:val="0098207E"/>
    <w:rsid w:val="009B6120"/>
    <w:rsid w:val="009C2F76"/>
    <w:rsid w:val="009C7886"/>
    <w:rsid w:val="009D7949"/>
    <w:rsid w:val="009E5BFD"/>
    <w:rsid w:val="009F5312"/>
    <w:rsid w:val="009F76E8"/>
    <w:rsid w:val="00A013B9"/>
    <w:rsid w:val="00A01F95"/>
    <w:rsid w:val="00A0594A"/>
    <w:rsid w:val="00A074A6"/>
    <w:rsid w:val="00A12826"/>
    <w:rsid w:val="00A12C47"/>
    <w:rsid w:val="00A16215"/>
    <w:rsid w:val="00A17AEA"/>
    <w:rsid w:val="00A2037B"/>
    <w:rsid w:val="00A23E04"/>
    <w:rsid w:val="00A50DC0"/>
    <w:rsid w:val="00A542E0"/>
    <w:rsid w:val="00A64927"/>
    <w:rsid w:val="00A64DDD"/>
    <w:rsid w:val="00A72F06"/>
    <w:rsid w:val="00A730F2"/>
    <w:rsid w:val="00A77FFD"/>
    <w:rsid w:val="00AB4554"/>
    <w:rsid w:val="00AB7CC1"/>
    <w:rsid w:val="00AC47B6"/>
    <w:rsid w:val="00AD0504"/>
    <w:rsid w:val="00AD6CC1"/>
    <w:rsid w:val="00AE2CAF"/>
    <w:rsid w:val="00AF33D9"/>
    <w:rsid w:val="00AF43DF"/>
    <w:rsid w:val="00B11E4C"/>
    <w:rsid w:val="00B16DF6"/>
    <w:rsid w:val="00B21B95"/>
    <w:rsid w:val="00B332B2"/>
    <w:rsid w:val="00B34CCC"/>
    <w:rsid w:val="00B34FF5"/>
    <w:rsid w:val="00B36EC7"/>
    <w:rsid w:val="00B36EDD"/>
    <w:rsid w:val="00B5374C"/>
    <w:rsid w:val="00B628C5"/>
    <w:rsid w:val="00B71933"/>
    <w:rsid w:val="00B75EAD"/>
    <w:rsid w:val="00B8078D"/>
    <w:rsid w:val="00B91948"/>
    <w:rsid w:val="00B96193"/>
    <w:rsid w:val="00BA5544"/>
    <w:rsid w:val="00BC128A"/>
    <w:rsid w:val="00BC3E2A"/>
    <w:rsid w:val="00BC41DB"/>
    <w:rsid w:val="00BD12A3"/>
    <w:rsid w:val="00BF05AF"/>
    <w:rsid w:val="00BF47B0"/>
    <w:rsid w:val="00BF5224"/>
    <w:rsid w:val="00BF5327"/>
    <w:rsid w:val="00C11BE0"/>
    <w:rsid w:val="00C21D33"/>
    <w:rsid w:val="00C32E1D"/>
    <w:rsid w:val="00C35495"/>
    <w:rsid w:val="00C37498"/>
    <w:rsid w:val="00C41ADB"/>
    <w:rsid w:val="00C4377C"/>
    <w:rsid w:val="00C46F29"/>
    <w:rsid w:val="00C47F0F"/>
    <w:rsid w:val="00C5099B"/>
    <w:rsid w:val="00C51D84"/>
    <w:rsid w:val="00C52506"/>
    <w:rsid w:val="00C60B1D"/>
    <w:rsid w:val="00C82259"/>
    <w:rsid w:val="00C94014"/>
    <w:rsid w:val="00CA003A"/>
    <w:rsid w:val="00CA174B"/>
    <w:rsid w:val="00CB0A99"/>
    <w:rsid w:val="00CC229E"/>
    <w:rsid w:val="00CC3E16"/>
    <w:rsid w:val="00CD0CD4"/>
    <w:rsid w:val="00CD2C6E"/>
    <w:rsid w:val="00CD55A7"/>
    <w:rsid w:val="00CE3B9F"/>
    <w:rsid w:val="00CF0054"/>
    <w:rsid w:val="00CF2C65"/>
    <w:rsid w:val="00D00D4F"/>
    <w:rsid w:val="00D0243F"/>
    <w:rsid w:val="00D1605E"/>
    <w:rsid w:val="00D346EB"/>
    <w:rsid w:val="00D34DCC"/>
    <w:rsid w:val="00D376A4"/>
    <w:rsid w:val="00D75789"/>
    <w:rsid w:val="00D7698E"/>
    <w:rsid w:val="00D91CF5"/>
    <w:rsid w:val="00DA16EE"/>
    <w:rsid w:val="00DA7D8C"/>
    <w:rsid w:val="00DB47EC"/>
    <w:rsid w:val="00DC1E60"/>
    <w:rsid w:val="00DC5B52"/>
    <w:rsid w:val="00DD1AC3"/>
    <w:rsid w:val="00DD46E2"/>
    <w:rsid w:val="00DD60CC"/>
    <w:rsid w:val="00DF771C"/>
    <w:rsid w:val="00E054A9"/>
    <w:rsid w:val="00E06BD8"/>
    <w:rsid w:val="00E10AE2"/>
    <w:rsid w:val="00E10F0A"/>
    <w:rsid w:val="00E13BC3"/>
    <w:rsid w:val="00E163E7"/>
    <w:rsid w:val="00E21875"/>
    <w:rsid w:val="00E25407"/>
    <w:rsid w:val="00E32599"/>
    <w:rsid w:val="00E33B0E"/>
    <w:rsid w:val="00E405A2"/>
    <w:rsid w:val="00E417AB"/>
    <w:rsid w:val="00E43BDD"/>
    <w:rsid w:val="00E446A6"/>
    <w:rsid w:val="00E53CB5"/>
    <w:rsid w:val="00E53CCD"/>
    <w:rsid w:val="00E57083"/>
    <w:rsid w:val="00E670CF"/>
    <w:rsid w:val="00E71855"/>
    <w:rsid w:val="00E719A9"/>
    <w:rsid w:val="00E76985"/>
    <w:rsid w:val="00E85449"/>
    <w:rsid w:val="00E90E27"/>
    <w:rsid w:val="00E94E17"/>
    <w:rsid w:val="00E97AD1"/>
    <w:rsid w:val="00EA1DE4"/>
    <w:rsid w:val="00EA60EA"/>
    <w:rsid w:val="00EB29BF"/>
    <w:rsid w:val="00EB3662"/>
    <w:rsid w:val="00EC358D"/>
    <w:rsid w:val="00EC7975"/>
    <w:rsid w:val="00EF64D8"/>
    <w:rsid w:val="00F003D3"/>
    <w:rsid w:val="00F008AB"/>
    <w:rsid w:val="00F03E32"/>
    <w:rsid w:val="00F04917"/>
    <w:rsid w:val="00F21F6F"/>
    <w:rsid w:val="00F42E75"/>
    <w:rsid w:val="00F517FA"/>
    <w:rsid w:val="00F52D16"/>
    <w:rsid w:val="00F5472B"/>
    <w:rsid w:val="00F55A2C"/>
    <w:rsid w:val="00F60D9C"/>
    <w:rsid w:val="00F62D67"/>
    <w:rsid w:val="00F63BD9"/>
    <w:rsid w:val="00F64762"/>
    <w:rsid w:val="00F66113"/>
    <w:rsid w:val="00F6694C"/>
    <w:rsid w:val="00F700A0"/>
    <w:rsid w:val="00F8145F"/>
    <w:rsid w:val="00F82150"/>
    <w:rsid w:val="00F8349A"/>
    <w:rsid w:val="00F9283D"/>
    <w:rsid w:val="00F92AB8"/>
    <w:rsid w:val="00F96F18"/>
    <w:rsid w:val="00FA508E"/>
    <w:rsid w:val="00FA5320"/>
    <w:rsid w:val="00FA7846"/>
    <w:rsid w:val="00FB2003"/>
    <w:rsid w:val="00FC26E5"/>
    <w:rsid w:val="00FD19F1"/>
    <w:rsid w:val="00FD27BF"/>
    <w:rsid w:val="00FD370F"/>
    <w:rsid w:val="00FD72DB"/>
    <w:rsid w:val="00FE0B90"/>
    <w:rsid w:val="00FF1D5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15297"/>
  <w15:docId w15:val="{2E968BEB-DBDD-45BD-9244-56F9F94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5045E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045EF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5045EF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045EF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5045EF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207D9-E9B2-4795-85D9-F103AECC9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FD0A6A5-41AF-4692-B24D-107B3CE3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Бобер Катерина Анатоліївна</cp:lastModifiedBy>
  <cp:revision>3</cp:revision>
  <cp:lastPrinted>2015-04-06T07:59:00Z</cp:lastPrinted>
  <dcterms:created xsi:type="dcterms:W3CDTF">2023-04-06T17:53:00Z</dcterms:created>
  <dcterms:modified xsi:type="dcterms:W3CDTF">2023-04-06T17:53:00Z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