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8B3EBC" w:rsidRDefault="00FA7846" w:rsidP="00FA7846">
      <w:pPr>
        <w:rPr>
          <w:sz w:val="2"/>
          <w:szCs w:val="2"/>
          <w:lang w:val="en-US"/>
        </w:rPr>
      </w:pPr>
    </w:p>
    <w:p w14:paraId="01AE50EB" w14:textId="77777777" w:rsidR="00657593" w:rsidRPr="00264353" w:rsidRDefault="00657593" w:rsidP="0065759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207"/>
        <w:gridCol w:w="3237"/>
      </w:tblGrid>
      <w:tr w:rsidR="00194797" w:rsidRPr="00264353" w14:paraId="65A70CD1" w14:textId="77777777" w:rsidTr="00EE7EB8">
        <w:trPr>
          <w:trHeight w:val="367"/>
        </w:trPr>
        <w:tc>
          <w:tcPr>
            <w:tcW w:w="3184" w:type="dxa"/>
          </w:tcPr>
          <w:p w14:paraId="0541A6A2" w14:textId="77777777" w:rsidR="00194797" w:rsidRPr="00264353" w:rsidRDefault="00194797" w:rsidP="00E054A9"/>
        </w:tc>
        <w:tc>
          <w:tcPr>
            <w:tcW w:w="6444" w:type="dxa"/>
            <w:gridSpan w:val="2"/>
          </w:tcPr>
          <w:p w14:paraId="68CB9885" w14:textId="43DAEF34" w:rsidR="00194797" w:rsidRDefault="00194797" w:rsidP="006B6A62">
            <w:r>
              <w:t xml:space="preserve">       </w:t>
            </w:r>
            <w:r w:rsidR="006B6A62">
              <w:t xml:space="preserve">                     </w:t>
            </w:r>
            <w:r>
              <w:t xml:space="preserve">  </w:t>
            </w:r>
            <w:r>
              <w:t>Офіційно опубліковано 07</w:t>
            </w:r>
            <w:r w:rsidR="006B6A62">
              <w:t>.03.2022</w:t>
            </w:r>
          </w:p>
        </w:tc>
      </w:tr>
      <w:tr w:rsidR="00657593" w:rsidRPr="00264353" w14:paraId="319EB3FB" w14:textId="77777777" w:rsidTr="00EE7EB8">
        <w:trPr>
          <w:trHeight w:val="851"/>
        </w:trPr>
        <w:tc>
          <w:tcPr>
            <w:tcW w:w="3184" w:type="dxa"/>
          </w:tcPr>
          <w:p w14:paraId="17630171" w14:textId="77777777" w:rsidR="00657593" w:rsidRPr="00264353" w:rsidRDefault="00657593" w:rsidP="00E054A9"/>
        </w:tc>
        <w:tc>
          <w:tcPr>
            <w:tcW w:w="3207" w:type="dxa"/>
            <w:vMerge w:val="restart"/>
          </w:tcPr>
          <w:p w14:paraId="4C3B1D20" w14:textId="77777777" w:rsidR="00657593" w:rsidRPr="00264353" w:rsidRDefault="00657593" w:rsidP="00E054A9">
            <w:pPr>
              <w:jc w:val="center"/>
            </w:pPr>
            <w:r w:rsidRPr="00264353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12" o:title=""/>
                </v:shape>
                <o:OLEObject Type="Embed" ProgID="CorelDraw.Graphic.16" ShapeID="_x0000_i1025" DrawAspect="Content" ObjectID="_1708185811" r:id="rId13"/>
              </w:object>
            </w:r>
          </w:p>
        </w:tc>
        <w:tc>
          <w:tcPr>
            <w:tcW w:w="3237" w:type="dxa"/>
          </w:tcPr>
          <w:p w14:paraId="12D933A3" w14:textId="598430D9" w:rsidR="00657593" w:rsidRPr="00194797" w:rsidRDefault="00657593" w:rsidP="00E054A9"/>
        </w:tc>
      </w:tr>
      <w:tr w:rsidR="00657593" w:rsidRPr="00264353" w14:paraId="1DFD65B8" w14:textId="77777777" w:rsidTr="00EE7EB8">
        <w:tc>
          <w:tcPr>
            <w:tcW w:w="3184" w:type="dxa"/>
          </w:tcPr>
          <w:p w14:paraId="306B6DC4" w14:textId="77777777" w:rsidR="00657593" w:rsidRPr="00264353" w:rsidRDefault="00657593" w:rsidP="00E054A9"/>
        </w:tc>
        <w:tc>
          <w:tcPr>
            <w:tcW w:w="3207" w:type="dxa"/>
            <w:vMerge/>
          </w:tcPr>
          <w:p w14:paraId="245EB9EB" w14:textId="77777777" w:rsidR="00657593" w:rsidRPr="00264353" w:rsidRDefault="00657593" w:rsidP="00E054A9"/>
        </w:tc>
        <w:tc>
          <w:tcPr>
            <w:tcW w:w="3237" w:type="dxa"/>
          </w:tcPr>
          <w:p w14:paraId="610F2B4F" w14:textId="77777777" w:rsidR="00657593" w:rsidRPr="00264353" w:rsidRDefault="00657593" w:rsidP="00E054A9"/>
        </w:tc>
      </w:tr>
      <w:tr w:rsidR="00657593" w:rsidRPr="00264353" w14:paraId="293E5551" w14:textId="77777777" w:rsidTr="00EE7EB8">
        <w:tc>
          <w:tcPr>
            <w:tcW w:w="9628" w:type="dxa"/>
            <w:gridSpan w:val="3"/>
          </w:tcPr>
          <w:p w14:paraId="1D340C87" w14:textId="77777777" w:rsidR="00657593" w:rsidRPr="00264353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26435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Pr="00264353" w:rsidRDefault="00657593" w:rsidP="00E054A9">
            <w:pPr>
              <w:jc w:val="center"/>
            </w:pPr>
            <w:r w:rsidRPr="00264353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264353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657593" w:rsidRPr="00264353" w14:paraId="6AE0F1AB" w14:textId="77777777" w:rsidTr="0076356A">
        <w:tc>
          <w:tcPr>
            <w:tcW w:w="3510" w:type="dxa"/>
            <w:vAlign w:val="bottom"/>
          </w:tcPr>
          <w:p w14:paraId="77514C11" w14:textId="281E2C09" w:rsidR="00657593" w:rsidRPr="00264353" w:rsidRDefault="006B6A62" w:rsidP="00E054A9">
            <w:r>
              <w:t>07 березня 2022 року</w:t>
            </w:r>
          </w:p>
        </w:tc>
        <w:tc>
          <w:tcPr>
            <w:tcW w:w="2694" w:type="dxa"/>
          </w:tcPr>
          <w:p w14:paraId="04E01A72" w14:textId="65CB1ABE" w:rsidR="00657593" w:rsidRPr="00264353" w:rsidRDefault="00657593" w:rsidP="007712EF">
            <w:pPr>
              <w:spacing w:before="240"/>
              <w:jc w:val="center"/>
            </w:pPr>
            <w:r w:rsidRPr="00264353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264353" w:rsidRDefault="008274C0" w:rsidP="00E62607">
            <w:pPr>
              <w:jc w:val="right"/>
            </w:pPr>
            <w:r w:rsidRPr="0026435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52A30B9C" w:rsidR="00657593" w:rsidRPr="00264353" w:rsidRDefault="006B6A62" w:rsidP="00290169">
            <w:pPr>
              <w:jc w:val="left"/>
            </w:pPr>
            <w:r>
              <w:t>№ 40</w:t>
            </w:r>
            <w:bookmarkStart w:id="0" w:name="_GoBack"/>
            <w:bookmarkEnd w:id="0"/>
          </w:p>
        </w:tc>
      </w:tr>
    </w:tbl>
    <w:p w14:paraId="52A42275" w14:textId="77777777" w:rsidR="00657593" w:rsidRPr="00264353" w:rsidRDefault="00657593" w:rsidP="00657593">
      <w:pPr>
        <w:rPr>
          <w:sz w:val="2"/>
          <w:szCs w:val="2"/>
        </w:rPr>
      </w:pPr>
    </w:p>
    <w:p w14:paraId="32B2F6BA" w14:textId="06823D79" w:rsidR="00E42621" w:rsidRPr="00264353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844941" w:rsidRPr="00844941" w14:paraId="32B2F6BC" w14:textId="77777777" w:rsidTr="005212C5">
        <w:trPr>
          <w:jc w:val="center"/>
        </w:trPr>
        <w:tc>
          <w:tcPr>
            <w:tcW w:w="5000" w:type="pct"/>
          </w:tcPr>
          <w:p w14:paraId="0EC332BF" w14:textId="77777777" w:rsidR="002B3F71" w:rsidRPr="00844941" w:rsidRDefault="00487B3D" w:rsidP="0084494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color w:val="000000" w:themeColor="text1"/>
                <w:shd w:val="clear" w:color="auto" w:fill="FFFFFF"/>
              </w:rPr>
            </w:pPr>
            <w:r w:rsidRPr="00844941">
              <w:rPr>
                <w:color w:val="000000" w:themeColor="text1"/>
                <w:shd w:val="clear" w:color="auto" w:fill="FFFFFF"/>
              </w:rPr>
              <w:t>Про внесення змін до деяких нормативно-правових актів Національного банку України</w:t>
            </w:r>
          </w:p>
          <w:p w14:paraId="32B2F6BB" w14:textId="344323DA" w:rsidR="00326776" w:rsidRPr="00844941" w:rsidRDefault="00326776" w:rsidP="00326776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2B2F6BD" w14:textId="1DDE3D1B" w:rsidR="00E53CCD" w:rsidRDefault="00662E58" w:rsidP="00844941">
      <w:pPr>
        <w:ind w:firstLine="567"/>
        <w:rPr>
          <w:b/>
          <w:color w:val="000000" w:themeColor="text1"/>
        </w:rPr>
      </w:pPr>
      <w:r w:rsidRPr="00844941">
        <w:rPr>
          <w:color w:val="000000" w:themeColor="text1"/>
        </w:rPr>
        <w:t>Відповідно до статей 6,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>7,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>15,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>55,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>56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 xml:space="preserve">Закону України </w:t>
      </w:r>
      <w:r w:rsidR="007947E0" w:rsidRPr="00844941">
        <w:rPr>
          <w:color w:val="000000" w:themeColor="text1"/>
        </w:rPr>
        <w:t>“</w:t>
      </w:r>
      <w:r w:rsidRPr="00844941">
        <w:rPr>
          <w:color w:val="000000" w:themeColor="text1"/>
        </w:rPr>
        <w:t>Про Національний банк України</w:t>
      </w:r>
      <w:r w:rsidR="007947E0" w:rsidRPr="00844941">
        <w:rPr>
          <w:color w:val="000000" w:themeColor="text1"/>
        </w:rPr>
        <w:t>”</w:t>
      </w:r>
      <w:r w:rsidRPr="00844941">
        <w:rPr>
          <w:color w:val="000000" w:themeColor="text1"/>
        </w:rPr>
        <w:t>,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 xml:space="preserve">статей </w:t>
      </w:r>
      <w:r w:rsidR="008C0FCE" w:rsidRPr="00844941">
        <w:rPr>
          <w:color w:val="000000" w:themeColor="text1"/>
        </w:rPr>
        <w:t xml:space="preserve">9, </w:t>
      </w:r>
      <w:r w:rsidRPr="00844941">
        <w:rPr>
          <w:color w:val="000000" w:themeColor="text1"/>
        </w:rPr>
        <w:t>66,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>67,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>73</w:t>
      </w:r>
      <w:r w:rsidR="007947E0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 xml:space="preserve">Закону України </w:t>
      </w:r>
      <w:r w:rsidR="007947E0" w:rsidRPr="00844941">
        <w:rPr>
          <w:color w:val="000000" w:themeColor="text1"/>
        </w:rPr>
        <w:t>“</w:t>
      </w:r>
      <w:r w:rsidRPr="00844941">
        <w:rPr>
          <w:color w:val="000000" w:themeColor="text1"/>
        </w:rPr>
        <w:t>Про банки і банківську діяльність</w:t>
      </w:r>
      <w:r w:rsidR="007947E0" w:rsidRPr="00844941">
        <w:rPr>
          <w:color w:val="000000" w:themeColor="text1"/>
        </w:rPr>
        <w:t>”</w:t>
      </w:r>
      <w:r w:rsidRPr="00844941">
        <w:rPr>
          <w:color w:val="000000" w:themeColor="text1"/>
        </w:rPr>
        <w:t xml:space="preserve">, </w:t>
      </w:r>
      <w:r w:rsidR="001A13F9" w:rsidRPr="00844941">
        <w:rPr>
          <w:color w:val="000000" w:themeColor="text1"/>
        </w:rPr>
        <w:t xml:space="preserve">Закону України </w:t>
      </w:r>
      <w:r w:rsidR="00DF6A0F" w:rsidRPr="00844941">
        <w:rPr>
          <w:color w:val="000000" w:themeColor="text1"/>
        </w:rPr>
        <w:t xml:space="preserve">від 24 лютого 2022 року № 2102-IX </w:t>
      </w:r>
      <w:r w:rsidR="00844941">
        <w:rPr>
          <w:color w:val="000000" w:themeColor="text1"/>
        </w:rPr>
        <w:t>«</w:t>
      </w:r>
      <w:r w:rsidR="001A13F9" w:rsidRPr="00844941">
        <w:rPr>
          <w:color w:val="000000" w:themeColor="text1"/>
        </w:rPr>
        <w:t>Про затвердження Указу Президента України “Про введення воєнного стану в Україні”</w:t>
      </w:r>
      <w:r w:rsidR="00844941">
        <w:rPr>
          <w:color w:val="000000" w:themeColor="text1"/>
        </w:rPr>
        <w:t>»</w:t>
      </w:r>
      <w:r w:rsidR="001A13F9" w:rsidRPr="00844941">
        <w:rPr>
          <w:color w:val="000000" w:themeColor="text1"/>
        </w:rPr>
        <w:t xml:space="preserve">, Указу Президента України </w:t>
      </w:r>
      <w:r w:rsidR="007F4A2A" w:rsidRPr="00844941">
        <w:rPr>
          <w:color w:val="000000" w:themeColor="text1"/>
        </w:rPr>
        <w:t>від 24 лютого 2022 року</w:t>
      </w:r>
      <w:r w:rsidR="007F4A2A" w:rsidRPr="00844941">
        <w:rPr>
          <w:color w:val="000000" w:themeColor="text1"/>
          <w:lang w:eastAsia="en-US"/>
        </w:rPr>
        <w:t xml:space="preserve"> № </w:t>
      </w:r>
      <w:r w:rsidR="007F4A2A" w:rsidRPr="00844941">
        <w:rPr>
          <w:color w:val="000000" w:themeColor="text1"/>
        </w:rPr>
        <w:t xml:space="preserve">64/2022 </w:t>
      </w:r>
      <w:r w:rsidR="001A13F9" w:rsidRPr="00844941">
        <w:rPr>
          <w:color w:val="000000" w:themeColor="text1"/>
        </w:rPr>
        <w:t>“Про введення воєнного стану в Україні”</w:t>
      </w:r>
      <w:r w:rsidR="007F4A2A" w:rsidRPr="00844941">
        <w:rPr>
          <w:color w:val="000000" w:themeColor="text1"/>
        </w:rPr>
        <w:t>,</w:t>
      </w:r>
      <w:r w:rsidR="001A13F9" w:rsidRPr="00844941">
        <w:rPr>
          <w:color w:val="000000" w:themeColor="text1"/>
          <w:lang w:eastAsia="en-US"/>
        </w:rPr>
        <w:t xml:space="preserve"> </w:t>
      </w:r>
      <w:r w:rsidRPr="00844941">
        <w:rPr>
          <w:color w:val="000000" w:themeColor="text1"/>
        </w:rPr>
        <w:t xml:space="preserve">з метою мінімізації негативного впливу наслідків військової агресії Російської Федерації проти України та сприяння стабільності банківської системи України </w:t>
      </w:r>
      <w:r w:rsidR="00115ECF" w:rsidRPr="00844941">
        <w:rPr>
          <w:color w:val="000000" w:themeColor="text1"/>
        </w:rPr>
        <w:t xml:space="preserve">Правління Національного банку </w:t>
      </w:r>
      <w:r w:rsidR="00562C46" w:rsidRPr="00844941">
        <w:rPr>
          <w:color w:val="000000" w:themeColor="text1"/>
        </w:rPr>
        <w:t>України</w:t>
      </w:r>
      <w:r w:rsidR="00562C46" w:rsidRPr="00844941">
        <w:rPr>
          <w:b/>
          <w:color w:val="000000" w:themeColor="text1"/>
        </w:rPr>
        <w:t xml:space="preserve"> </w:t>
      </w:r>
      <w:r w:rsidR="00FA508E" w:rsidRPr="00844941">
        <w:rPr>
          <w:b/>
          <w:color w:val="000000" w:themeColor="text1"/>
        </w:rPr>
        <w:t>постановляє:</w:t>
      </w:r>
    </w:p>
    <w:p w14:paraId="71DAEE93" w14:textId="77777777" w:rsidR="00955FC1" w:rsidRPr="00844941" w:rsidRDefault="00955FC1" w:rsidP="00844941">
      <w:pPr>
        <w:ind w:firstLine="567"/>
        <w:rPr>
          <w:b/>
          <w:color w:val="000000" w:themeColor="text1"/>
        </w:rPr>
      </w:pPr>
    </w:p>
    <w:p w14:paraId="12241E4C" w14:textId="41A063AF" w:rsidR="00955FC1" w:rsidRDefault="00955FC1" w:rsidP="00955FC1">
      <w:pPr>
        <w:shd w:val="clear" w:color="auto" w:fill="FFFFFF" w:themeFill="background1"/>
        <w:ind w:firstLine="567"/>
        <w:rPr>
          <w:color w:val="000000" w:themeColor="text1"/>
        </w:rPr>
      </w:pPr>
      <w:r>
        <w:rPr>
          <w:color w:val="000000" w:themeColor="text1"/>
        </w:rPr>
        <w:t>1</w:t>
      </w:r>
      <w:r w:rsidRPr="00844941">
        <w:rPr>
          <w:color w:val="000000" w:themeColor="text1"/>
        </w:rPr>
        <w:t>. В абзаці сьомому підпункту “б” пункту 1.4 глави 1 розділу II, підпункті 5 пункту 1.4 глави 1 розділу IV, абзаці четвертому пункту 5 глави 4 розділу V Інструкції про порядок регулювання діяльності банків в Україні, затвердженої постановою Правління Національного банку України від 28 серпня 2001 року № 368, зареєстрованої в Міністерстві юстиції України 26 вересня 2001 року за № 841/6032 (зі змінами), цифри “2022” замінити цифрами “2023”.</w:t>
      </w:r>
    </w:p>
    <w:p w14:paraId="411D1919" w14:textId="77777777" w:rsidR="00955FC1" w:rsidRPr="00844941" w:rsidRDefault="00955FC1" w:rsidP="00955FC1">
      <w:pPr>
        <w:shd w:val="clear" w:color="auto" w:fill="FFFFFF" w:themeFill="background1"/>
        <w:ind w:firstLine="567"/>
        <w:rPr>
          <w:color w:val="000000" w:themeColor="text1"/>
        </w:rPr>
      </w:pPr>
    </w:p>
    <w:p w14:paraId="782B7095" w14:textId="52CABB1A" w:rsidR="00955FC1" w:rsidRPr="00844941" w:rsidRDefault="00955FC1" w:rsidP="00955FC1">
      <w:pPr>
        <w:pStyle w:val="afa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2</w:t>
      </w:r>
      <w:r w:rsidRPr="00844941">
        <w:rPr>
          <w:color w:val="000000" w:themeColor="text1"/>
          <w:sz w:val="28"/>
          <w:szCs w:val="28"/>
          <w:lang w:eastAsia="en-US"/>
        </w:rPr>
        <w:t xml:space="preserve">. </w:t>
      </w:r>
      <w:r>
        <w:rPr>
          <w:color w:val="000000" w:themeColor="text1"/>
          <w:sz w:val="28"/>
          <w:szCs w:val="28"/>
          <w:lang w:eastAsia="en-US"/>
        </w:rPr>
        <w:t>В</w:t>
      </w:r>
      <w:r w:rsidRPr="00844941">
        <w:rPr>
          <w:noProof/>
          <w:color w:val="000000" w:themeColor="text1"/>
          <w:sz w:val="28"/>
          <w:szCs w:val="28"/>
          <w:lang w:eastAsia="en-US"/>
        </w:rPr>
        <w:t xml:space="preserve"> абзаці третьому підпункту 2 пункту 2</w:t>
      </w:r>
      <w:r w:rsidRPr="00844941">
        <w:rPr>
          <w:noProof/>
          <w:color w:val="000000" w:themeColor="text1"/>
          <w:sz w:val="28"/>
          <w:szCs w:val="28"/>
          <w:vertAlign w:val="superscript"/>
          <w:lang w:eastAsia="en-US"/>
        </w:rPr>
        <w:t>1</w:t>
      </w:r>
      <w:r w:rsidRPr="00844941">
        <w:rPr>
          <w:noProof/>
          <w:color w:val="000000" w:themeColor="text1"/>
          <w:sz w:val="28"/>
          <w:szCs w:val="28"/>
          <w:lang w:eastAsia="en-US"/>
        </w:rPr>
        <w:t xml:space="preserve"> та пункті 4 постанови Правління Національного банку України від 08 липня 2021 року №</w:t>
      </w:r>
      <w:r w:rsidRPr="00844941">
        <w:rPr>
          <w:color w:val="000000" w:themeColor="text1"/>
          <w:sz w:val="28"/>
          <w:szCs w:val="28"/>
        </w:rPr>
        <w:t> </w:t>
      </w:r>
      <w:r w:rsidRPr="00844941">
        <w:rPr>
          <w:noProof/>
          <w:color w:val="000000" w:themeColor="text1"/>
          <w:sz w:val="28"/>
          <w:szCs w:val="28"/>
          <w:lang w:eastAsia="en-US"/>
        </w:rPr>
        <w:t xml:space="preserve">73 </w:t>
      </w:r>
      <w:r w:rsidRPr="00844941">
        <w:rPr>
          <w:color w:val="000000" w:themeColor="text1"/>
          <w:sz w:val="28"/>
          <w:szCs w:val="28"/>
        </w:rPr>
        <w:t>“</w:t>
      </w:r>
      <w:r w:rsidRPr="00844941">
        <w:rPr>
          <w:bCs/>
          <w:color w:val="000000" w:themeColor="text1"/>
          <w:sz w:val="28"/>
          <w:szCs w:val="28"/>
        </w:rPr>
        <w:t>Про особливості здійснення оцінки стійкості банків і банківської системи України у 2021 році</w:t>
      </w:r>
      <w:r w:rsidRPr="00844941">
        <w:rPr>
          <w:color w:val="000000" w:themeColor="text1"/>
          <w:sz w:val="28"/>
          <w:szCs w:val="28"/>
        </w:rPr>
        <w:t xml:space="preserve">” (зі змінами) </w:t>
      </w:r>
      <w:r>
        <w:rPr>
          <w:color w:val="000000" w:themeColor="text1"/>
          <w:sz w:val="28"/>
          <w:szCs w:val="28"/>
        </w:rPr>
        <w:t xml:space="preserve">цифри і </w:t>
      </w:r>
      <w:r w:rsidRPr="00844941">
        <w:rPr>
          <w:color w:val="000000" w:themeColor="text1"/>
          <w:sz w:val="28"/>
          <w:szCs w:val="28"/>
        </w:rPr>
        <w:t xml:space="preserve">слова “30 червня 2022 року” замінити </w:t>
      </w:r>
      <w:r>
        <w:rPr>
          <w:color w:val="000000" w:themeColor="text1"/>
          <w:sz w:val="28"/>
          <w:szCs w:val="28"/>
        </w:rPr>
        <w:t xml:space="preserve">цифрами і </w:t>
      </w:r>
      <w:r w:rsidRPr="00844941">
        <w:rPr>
          <w:color w:val="000000" w:themeColor="text1"/>
          <w:sz w:val="28"/>
          <w:szCs w:val="28"/>
        </w:rPr>
        <w:t>словами “120 календарного дня після припинення чи скасування воєнного стану</w:t>
      </w:r>
      <w:r w:rsidRPr="00844941">
        <w:rPr>
          <w:color w:val="000000" w:themeColor="text1"/>
          <w:sz w:val="28"/>
          <w:szCs w:val="28"/>
          <w:lang w:eastAsia="en-US"/>
        </w:rPr>
        <w:t>”</w:t>
      </w:r>
      <w:r w:rsidRPr="00844941">
        <w:rPr>
          <w:color w:val="000000" w:themeColor="text1"/>
          <w:sz w:val="28"/>
          <w:szCs w:val="28"/>
        </w:rPr>
        <w:t>.</w:t>
      </w:r>
    </w:p>
    <w:p w14:paraId="5280C0DC" w14:textId="77777777" w:rsidR="00326776" w:rsidRPr="00844941" w:rsidRDefault="00326776" w:rsidP="00844941">
      <w:pPr>
        <w:ind w:firstLine="567"/>
        <w:rPr>
          <w:b/>
          <w:color w:val="000000" w:themeColor="text1"/>
        </w:rPr>
      </w:pPr>
    </w:p>
    <w:p w14:paraId="2D72FF68" w14:textId="71B7B5F7" w:rsidR="00AD348A" w:rsidRPr="00844941" w:rsidRDefault="00AD348A" w:rsidP="00AD348A">
      <w:pPr>
        <w:shd w:val="clear" w:color="auto" w:fill="FFFFFF" w:themeFill="background1"/>
        <w:ind w:firstLine="567"/>
        <w:rPr>
          <w:color w:val="000000" w:themeColor="text1"/>
        </w:rPr>
      </w:pPr>
      <w:r>
        <w:rPr>
          <w:color w:val="000000" w:themeColor="text1"/>
        </w:rPr>
        <w:t>3</w:t>
      </w:r>
      <w:r w:rsidRPr="00844941">
        <w:rPr>
          <w:color w:val="000000" w:themeColor="text1"/>
        </w:rPr>
        <w:t>. Пункт 2 постанови Правління Національного банку України від 30 грудня 2021 року № 162 “Про затвердження Положення про порядок визначення банками України мінімального розміру ринкового ризику” викласти в такій редакції:</w:t>
      </w:r>
    </w:p>
    <w:p w14:paraId="2FBD0908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  <w:r w:rsidRPr="00844941">
        <w:rPr>
          <w:color w:val="000000" w:themeColor="text1"/>
        </w:rPr>
        <w:t>“2. Банкам України:</w:t>
      </w:r>
    </w:p>
    <w:p w14:paraId="02103FFE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</w:p>
    <w:p w14:paraId="44739CB5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  <w:r w:rsidRPr="00844941">
        <w:rPr>
          <w:color w:val="000000" w:themeColor="text1"/>
        </w:rPr>
        <w:lastRenderedPageBreak/>
        <w:t>1) розробити внутрішньобанківські положення щодо визначення мінімального розміру ринкового ризику згідно з вимогами Положення не пізніше 180 календарного дня після припинення чи скасування воєнного стану;</w:t>
      </w:r>
    </w:p>
    <w:p w14:paraId="224FB6C2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</w:p>
    <w:p w14:paraId="6722E347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  <w:r w:rsidRPr="00844941">
        <w:rPr>
          <w:color w:val="000000" w:themeColor="text1"/>
        </w:rPr>
        <w:t xml:space="preserve">2) здійснити розрахунок мінімального розміру ринкового ризику в тестовому режимі на звітні дати станом на </w:t>
      </w:r>
      <w:r>
        <w:rPr>
          <w:color w:val="000000" w:themeColor="text1"/>
        </w:rPr>
        <w:t>перше</w:t>
      </w:r>
      <w:r w:rsidRPr="00844941">
        <w:rPr>
          <w:color w:val="000000" w:themeColor="text1"/>
        </w:rPr>
        <w:t xml:space="preserve"> число місяця, що настає:</w:t>
      </w:r>
    </w:p>
    <w:p w14:paraId="4075FA7A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  <w:r w:rsidRPr="00844941">
        <w:rPr>
          <w:color w:val="000000" w:themeColor="text1"/>
        </w:rPr>
        <w:t>за 240 календарним днем після припинення чи скасування воєнного стану;</w:t>
      </w:r>
    </w:p>
    <w:p w14:paraId="0916F271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  <w:r w:rsidRPr="00844941">
        <w:rPr>
          <w:color w:val="000000" w:themeColor="text1"/>
        </w:rPr>
        <w:t xml:space="preserve">за 270 календарним днем після припинення чи скасування воєнного стану; </w:t>
      </w:r>
    </w:p>
    <w:p w14:paraId="505F7D8A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</w:p>
    <w:p w14:paraId="7A600294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  <w:r w:rsidRPr="00844941">
        <w:rPr>
          <w:color w:val="000000" w:themeColor="text1"/>
        </w:rPr>
        <w:t>3) поінформувати Національний банк України за встановленою ним формою про розрахунок мінімального розміру ринкового ризику в тестовому режимі до 21 числа місяця, наступного за звітним;</w:t>
      </w:r>
    </w:p>
    <w:p w14:paraId="504FD3BD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</w:p>
    <w:p w14:paraId="217AC9C3" w14:textId="77777777" w:rsidR="00AD348A" w:rsidRPr="00844941" w:rsidRDefault="00AD348A" w:rsidP="00AD348A">
      <w:pPr>
        <w:shd w:val="clear" w:color="auto" w:fill="FFFFFF" w:themeFill="background1"/>
        <w:tabs>
          <w:tab w:val="left" w:pos="1464"/>
        </w:tabs>
        <w:ind w:firstLine="567"/>
        <w:rPr>
          <w:color w:val="000000" w:themeColor="text1"/>
        </w:rPr>
      </w:pPr>
      <w:r w:rsidRPr="00844941">
        <w:rPr>
          <w:color w:val="000000" w:themeColor="text1"/>
        </w:rPr>
        <w:t>4) починаючи з останнього робочого дня місяця</w:t>
      </w:r>
      <w:r>
        <w:rPr>
          <w:color w:val="000000" w:themeColor="text1"/>
        </w:rPr>
        <w:t>,</w:t>
      </w:r>
      <w:r w:rsidRPr="00844941">
        <w:rPr>
          <w:color w:val="000000" w:themeColor="text1"/>
        </w:rPr>
        <w:t xml:space="preserve"> наступного за 300 календарним днем після припинення чи скасування воєнного стану</w:t>
      </w:r>
      <w:r>
        <w:rPr>
          <w:color w:val="000000" w:themeColor="text1"/>
        </w:rPr>
        <w:t>,</w:t>
      </w:r>
      <w:r w:rsidRPr="00844941">
        <w:rPr>
          <w:color w:val="000000" w:themeColor="text1"/>
        </w:rPr>
        <w:t xml:space="preserve"> здійснювати розрахунок мінімального розміру ринкового ризику згідно з вимогами Положення.”.</w:t>
      </w:r>
    </w:p>
    <w:p w14:paraId="7E9AF7FB" w14:textId="77777777" w:rsidR="00AD348A" w:rsidRPr="00844941" w:rsidRDefault="00AD348A" w:rsidP="00AD348A">
      <w:pPr>
        <w:shd w:val="clear" w:color="auto" w:fill="FFFFFF" w:themeFill="background1"/>
        <w:ind w:firstLine="567"/>
        <w:rPr>
          <w:color w:val="000000" w:themeColor="text1"/>
        </w:rPr>
      </w:pPr>
    </w:p>
    <w:p w14:paraId="1A285697" w14:textId="53163EDA" w:rsidR="00AD348A" w:rsidRDefault="00AD348A" w:rsidP="00AD348A">
      <w:pPr>
        <w:shd w:val="clear" w:color="auto" w:fill="FFFFFF" w:themeFill="background1"/>
        <w:ind w:firstLine="567"/>
        <w:rPr>
          <w:color w:val="000000" w:themeColor="text1"/>
        </w:rPr>
      </w:pPr>
      <w:r>
        <w:rPr>
          <w:color w:val="000000" w:themeColor="text1"/>
        </w:rPr>
        <w:t>4</w:t>
      </w:r>
      <w:r w:rsidRPr="00844941">
        <w:rPr>
          <w:color w:val="000000" w:themeColor="text1"/>
        </w:rPr>
        <w:t>. У підпункті 1 пункту 2 постанови Правління Національного банку України від 31 грудня 2021 року № 163 “Про затвердження Змін до Положення про порядок регулювання діяльності банківських груп” слова та цифри “</w:t>
      </w:r>
      <w:r>
        <w:rPr>
          <w:color w:val="000000" w:themeColor="text1"/>
        </w:rPr>
        <w:t xml:space="preserve">у строк </w:t>
      </w:r>
      <w:r w:rsidRPr="00844941">
        <w:rPr>
          <w:color w:val="000000" w:themeColor="text1"/>
        </w:rPr>
        <w:t>до 30 вересня 2022 року” замінити словами та цифрами “не пізніше 180 календарного дня після опублікування річної консолідованої фінансової звітності банківської групи за 2021 рік”.</w:t>
      </w:r>
    </w:p>
    <w:p w14:paraId="17760EEF" w14:textId="77777777" w:rsidR="00AD348A" w:rsidRPr="00844941" w:rsidRDefault="00AD348A" w:rsidP="00AD348A">
      <w:pPr>
        <w:shd w:val="clear" w:color="auto" w:fill="FFFFFF" w:themeFill="background1"/>
        <w:ind w:firstLine="567"/>
        <w:rPr>
          <w:color w:val="000000" w:themeColor="text1"/>
        </w:rPr>
      </w:pPr>
    </w:p>
    <w:p w14:paraId="271CADF9" w14:textId="0F060E05" w:rsidR="000664AC" w:rsidRPr="00844941" w:rsidRDefault="00AD348A" w:rsidP="00844941">
      <w:pPr>
        <w:ind w:firstLine="567"/>
        <w:rPr>
          <w:color w:val="000000" w:themeColor="text1"/>
          <w:lang w:eastAsia="en-US"/>
        </w:rPr>
      </w:pPr>
      <w:r>
        <w:rPr>
          <w:color w:val="000000" w:themeColor="text1"/>
        </w:rPr>
        <w:t>5</w:t>
      </w:r>
      <w:r w:rsidR="000664AC" w:rsidRPr="00844941">
        <w:rPr>
          <w:color w:val="000000" w:themeColor="text1"/>
        </w:rPr>
        <w:t>. </w:t>
      </w:r>
      <w:proofErr w:type="spellStart"/>
      <w:r w:rsidR="000664AC" w:rsidRPr="00844941">
        <w:rPr>
          <w:color w:val="000000" w:themeColor="text1"/>
        </w:rPr>
        <w:t>Унести</w:t>
      </w:r>
      <w:proofErr w:type="spellEnd"/>
      <w:r w:rsidR="000664AC" w:rsidRPr="00844941">
        <w:rPr>
          <w:color w:val="000000" w:themeColor="text1"/>
        </w:rPr>
        <w:t xml:space="preserve"> до постанови Правління Національного банку України від 25</w:t>
      </w:r>
      <w:r w:rsidR="00745D2F" w:rsidRPr="00844941">
        <w:rPr>
          <w:color w:val="000000" w:themeColor="text1"/>
        </w:rPr>
        <w:t> </w:t>
      </w:r>
      <w:r w:rsidR="000664AC" w:rsidRPr="00844941">
        <w:rPr>
          <w:color w:val="000000" w:themeColor="text1"/>
        </w:rPr>
        <w:t>лютого 2022 року № 23 “</w:t>
      </w:r>
      <w:r w:rsidR="000664AC" w:rsidRPr="00844941">
        <w:rPr>
          <w:color w:val="000000" w:themeColor="text1"/>
          <w:lang w:eastAsia="en-US"/>
        </w:rPr>
        <w:t>Про деякі питання діяльності банків України та банківських груп” такі зміни:</w:t>
      </w:r>
    </w:p>
    <w:p w14:paraId="45037F17" w14:textId="77777777" w:rsidR="00326776" w:rsidRPr="00844941" w:rsidRDefault="00326776" w:rsidP="00844941">
      <w:pPr>
        <w:ind w:firstLine="567"/>
        <w:rPr>
          <w:color w:val="000000" w:themeColor="text1"/>
          <w:lang w:eastAsia="en-US"/>
        </w:rPr>
      </w:pPr>
    </w:p>
    <w:p w14:paraId="124AF0B8" w14:textId="77777777" w:rsidR="000664AC" w:rsidRPr="00844941" w:rsidRDefault="000664AC" w:rsidP="00844941">
      <w:pPr>
        <w:shd w:val="clear" w:color="auto" w:fill="FFFFFF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1) пункт 2 викласти в такій редакції:</w:t>
      </w:r>
    </w:p>
    <w:p w14:paraId="52FDD83A" w14:textId="68AD2C42" w:rsidR="00326776" w:rsidRPr="00844941" w:rsidRDefault="000664AC" w:rsidP="00844941">
      <w:pPr>
        <w:ind w:firstLine="567"/>
        <w:rPr>
          <w:bCs/>
          <w:color w:val="000000" w:themeColor="text1"/>
        </w:rPr>
      </w:pPr>
      <w:r w:rsidRPr="00844941">
        <w:rPr>
          <w:color w:val="000000" w:themeColor="text1"/>
        </w:rPr>
        <w:t>“</w:t>
      </w:r>
      <w:r w:rsidR="005846E1" w:rsidRPr="00844941">
        <w:rPr>
          <w:bCs/>
          <w:color w:val="000000" w:themeColor="text1"/>
        </w:rPr>
        <w:t>2. Не здійснювати у 2022 році щорічн</w:t>
      </w:r>
      <w:r w:rsidR="00844941">
        <w:rPr>
          <w:bCs/>
          <w:color w:val="000000" w:themeColor="text1"/>
        </w:rPr>
        <w:t>ої</w:t>
      </w:r>
      <w:r w:rsidR="005846E1" w:rsidRPr="00844941">
        <w:rPr>
          <w:bCs/>
          <w:color w:val="000000" w:themeColor="text1"/>
        </w:rPr>
        <w:t xml:space="preserve"> оцінк</w:t>
      </w:r>
      <w:r w:rsidR="00844941">
        <w:rPr>
          <w:bCs/>
          <w:color w:val="000000" w:themeColor="text1"/>
        </w:rPr>
        <w:t>и</w:t>
      </w:r>
      <w:r w:rsidR="005846E1" w:rsidRPr="00844941">
        <w:rPr>
          <w:bCs/>
          <w:color w:val="000000" w:themeColor="text1"/>
        </w:rPr>
        <w:t xml:space="preserve"> стійкості банків, передбачен</w:t>
      </w:r>
      <w:r w:rsidR="00844941">
        <w:rPr>
          <w:bCs/>
          <w:color w:val="000000" w:themeColor="text1"/>
        </w:rPr>
        <w:t>ої</w:t>
      </w:r>
      <w:r w:rsidR="005846E1" w:rsidRPr="00844941">
        <w:rPr>
          <w:bCs/>
          <w:color w:val="000000" w:themeColor="text1"/>
        </w:rPr>
        <w:t xml:space="preserve"> Положенням про здійснення оцінки стійкості банків і банківської системи України, затвердженим постановою Правління Національного банку України від 22 грудня 2017 року № 141 (зі змінами).”;</w:t>
      </w:r>
    </w:p>
    <w:p w14:paraId="738F7C01" w14:textId="77777777" w:rsidR="005846E1" w:rsidRPr="00844941" w:rsidRDefault="005846E1" w:rsidP="00844941">
      <w:pPr>
        <w:ind w:firstLine="567"/>
        <w:rPr>
          <w:bCs/>
          <w:color w:val="000000" w:themeColor="text1"/>
        </w:rPr>
      </w:pPr>
    </w:p>
    <w:p w14:paraId="795B61E9" w14:textId="1939A1B8" w:rsidR="000664AC" w:rsidRPr="00844941" w:rsidRDefault="000664AC" w:rsidP="00844941">
      <w:pPr>
        <w:ind w:firstLine="567"/>
        <w:rPr>
          <w:color w:val="000000" w:themeColor="text1"/>
        </w:rPr>
      </w:pPr>
      <w:r w:rsidRPr="00844941">
        <w:rPr>
          <w:color w:val="000000" w:themeColor="text1"/>
        </w:rPr>
        <w:t>2) у пункті 5:</w:t>
      </w:r>
    </w:p>
    <w:p w14:paraId="345C6686" w14:textId="05D6142E" w:rsidR="00BF03EC" w:rsidRDefault="007A1140" w:rsidP="00844941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у </w:t>
      </w:r>
      <w:r w:rsidR="000664AC" w:rsidRPr="00844941">
        <w:rPr>
          <w:color w:val="000000" w:themeColor="text1"/>
        </w:rPr>
        <w:t>підпункт</w:t>
      </w:r>
      <w:r w:rsidR="00BF03EC">
        <w:rPr>
          <w:color w:val="000000" w:themeColor="text1"/>
        </w:rPr>
        <w:t>і</w:t>
      </w:r>
      <w:r w:rsidR="000664AC" w:rsidRPr="00844941">
        <w:rPr>
          <w:color w:val="000000" w:themeColor="text1"/>
        </w:rPr>
        <w:t xml:space="preserve"> </w:t>
      </w:r>
      <w:r w:rsidR="00844941">
        <w:rPr>
          <w:color w:val="000000" w:themeColor="text1"/>
        </w:rPr>
        <w:t>1</w:t>
      </w:r>
      <w:r w:rsidR="00BF03EC">
        <w:rPr>
          <w:color w:val="000000" w:themeColor="text1"/>
        </w:rPr>
        <w:t>:</w:t>
      </w:r>
    </w:p>
    <w:p w14:paraId="021B1448" w14:textId="22D3B13E" w:rsidR="00AB6873" w:rsidRDefault="000664AC" w:rsidP="00844941">
      <w:pPr>
        <w:ind w:firstLine="567"/>
        <w:rPr>
          <w:color w:val="000000" w:themeColor="text1"/>
        </w:rPr>
      </w:pPr>
      <w:r w:rsidRPr="00844941">
        <w:rPr>
          <w:color w:val="000000" w:themeColor="text1"/>
        </w:rPr>
        <w:t>після слів “кредитного ризику,”</w:t>
      </w:r>
      <w:r w:rsidR="00AB6873" w:rsidRPr="00AB6873">
        <w:rPr>
          <w:color w:val="000000" w:themeColor="text1"/>
        </w:rPr>
        <w:t xml:space="preserve"> </w:t>
      </w:r>
      <w:r w:rsidR="00AB6873" w:rsidRPr="00844941">
        <w:rPr>
          <w:color w:val="000000" w:themeColor="text1"/>
        </w:rPr>
        <w:t>доповнити слов</w:t>
      </w:r>
      <w:r w:rsidR="00AB6873">
        <w:rPr>
          <w:color w:val="000000" w:themeColor="text1"/>
        </w:rPr>
        <w:t>ом</w:t>
      </w:r>
      <w:r w:rsidR="00AB6873" w:rsidRPr="00844941">
        <w:rPr>
          <w:color w:val="000000" w:themeColor="text1"/>
        </w:rPr>
        <w:t xml:space="preserve"> “інвестування,”</w:t>
      </w:r>
      <w:r w:rsidR="00AB6873">
        <w:rPr>
          <w:color w:val="000000" w:themeColor="text1"/>
        </w:rPr>
        <w:t>,</w:t>
      </w:r>
    </w:p>
    <w:p w14:paraId="0D6973AF" w14:textId="0B2DF1C4" w:rsidR="000664AC" w:rsidRPr="00844941" w:rsidRDefault="008E42D8" w:rsidP="00844941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підпункт доповнити </w:t>
      </w:r>
      <w:r w:rsidR="000664AC" w:rsidRPr="00844941">
        <w:rPr>
          <w:color w:val="000000" w:themeColor="text1"/>
        </w:rPr>
        <w:t>слов</w:t>
      </w:r>
      <w:r w:rsidR="005846E1" w:rsidRPr="00844941">
        <w:rPr>
          <w:color w:val="000000" w:themeColor="text1"/>
        </w:rPr>
        <w:t>ами</w:t>
      </w:r>
      <w:r w:rsidR="00272A30" w:rsidRPr="00844941">
        <w:rPr>
          <w:color w:val="000000" w:themeColor="text1"/>
        </w:rPr>
        <w:t xml:space="preserve"> та цифрами</w:t>
      </w:r>
      <w:r w:rsidR="000664AC" w:rsidRPr="00844941">
        <w:rPr>
          <w:color w:val="000000" w:themeColor="text1"/>
        </w:rPr>
        <w:t xml:space="preserve"> </w:t>
      </w:r>
      <w:r w:rsidR="00844941">
        <w:rPr>
          <w:color w:val="000000" w:themeColor="text1"/>
        </w:rPr>
        <w:t>“</w:t>
      </w:r>
      <w:r w:rsidR="005846E1" w:rsidRPr="00844941">
        <w:rPr>
          <w:color w:val="000000" w:themeColor="text1"/>
        </w:rPr>
        <w:t>(далі – Інструкція №</w:t>
      </w:r>
      <w:r w:rsidR="00844941">
        <w:rPr>
          <w:color w:val="000000" w:themeColor="text1"/>
        </w:rPr>
        <w:t> </w:t>
      </w:r>
      <w:r w:rsidR="005846E1" w:rsidRPr="00844941">
        <w:rPr>
          <w:color w:val="000000" w:themeColor="text1"/>
        </w:rPr>
        <w:t>368)</w:t>
      </w:r>
      <w:r w:rsidR="00844941">
        <w:rPr>
          <w:color w:val="000000" w:themeColor="text1"/>
        </w:rPr>
        <w:t>”</w:t>
      </w:r>
      <w:r w:rsidR="000664AC" w:rsidRPr="00844941">
        <w:rPr>
          <w:color w:val="000000" w:themeColor="text1"/>
        </w:rPr>
        <w:t>;</w:t>
      </w:r>
    </w:p>
    <w:p w14:paraId="31A6AAAA" w14:textId="554AE6CB" w:rsidR="000664AC" w:rsidRPr="00844941" w:rsidRDefault="00001DE0" w:rsidP="00844941">
      <w:pPr>
        <w:ind w:firstLine="567"/>
        <w:rPr>
          <w:color w:val="000000" w:themeColor="text1"/>
        </w:rPr>
      </w:pPr>
      <w:r>
        <w:rPr>
          <w:color w:val="000000" w:themeColor="text1"/>
        </w:rPr>
        <w:t>у</w:t>
      </w:r>
      <w:r w:rsidR="00272A30" w:rsidRPr="00844941">
        <w:rPr>
          <w:color w:val="000000" w:themeColor="text1"/>
        </w:rPr>
        <w:t xml:space="preserve"> підпункт</w:t>
      </w:r>
      <w:r>
        <w:rPr>
          <w:color w:val="000000" w:themeColor="text1"/>
        </w:rPr>
        <w:t>і</w:t>
      </w:r>
      <w:r w:rsidR="00272A30" w:rsidRPr="00844941">
        <w:rPr>
          <w:color w:val="000000" w:themeColor="text1"/>
        </w:rPr>
        <w:t xml:space="preserve"> 3 </w:t>
      </w:r>
      <w:r w:rsidR="000664AC" w:rsidRPr="00844941">
        <w:rPr>
          <w:color w:val="000000" w:themeColor="text1"/>
        </w:rPr>
        <w:t>слова та цифри “</w:t>
      </w:r>
      <w:r w:rsidR="00272A30" w:rsidRPr="00844941">
        <w:rPr>
          <w:color w:val="000000" w:themeColor="text1"/>
        </w:rPr>
        <w:t>на показники діяльності банку та/або його боржників/контрагентів та не відповідають критеріям, наведеним у пунктах 1, 4 статті 75, пункті 2 частини першої статті 76 Закону України “Про банки і банківську діяльність”</w:t>
      </w:r>
      <w:r w:rsidR="000664AC" w:rsidRPr="00844941">
        <w:rPr>
          <w:color w:val="000000" w:themeColor="text1"/>
        </w:rPr>
        <w:t xml:space="preserve"> виключити;</w:t>
      </w:r>
    </w:p>
    <w:p w14:paraId="792D2198" w14:textId="77777777" w:rsidR="00844941" w:rsidRPr="00844941" w:rsidRDefault="00844941" w:rsidP="00844941">
      <w:pPr>
        <w:ind w:firstLine="567"/>
        <w:rPr>
          <w:color w:val="000000" w:themeColor="text1"/>
        </w:rPr>
      </w:pPr>
    </w:p>
    <w:p w14:paraId="56CEC0AC" w14:textId="3248B077" w:rsidR="005F4C98" w:rsidRPr="00844941" w:rsidRDefault="000664AC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lastRenderedPageBreak/>
        <w:t xml:space="preserve">3) </w:t>
      </w:r>
      <w:r w:rsidR="005F4C98" w:rsidRPr="00844941">
        <w:rPr>
          <w:color w:val="000000" w:themeColor="text1"/>
        </w:rPr>
        <w:t xml:space="preserve">постанову </w:t>
      </w:r>
      <w:r w:rsidR="00844941">
        <w:rPr>
          <w:color w:val="000000" w:themeColor="text1"/>
        </w:rPr>
        <w:t xml:space="preserve">після пункту 5 </w:t>
      </w:r>
      <w:r w:rsidR="005F4C98" w:rsidRPr="00844941">
        <w:rPr>
          <w:color w:val="000000" w:themeColor="text1"/>
        </w:rPr>
        <w:t xml:space="preserve">доповнити новим пунктом </w:t>
      </w:r>
      <w:r w:rsidRPr="00844941">
        <w:rPr>
          <w:color w:val="000000" w:themeColor="text1"/>
        </w:rPr>
        <w:t>5</w:t>
      </w:r>
      <w:r w:rsidRPr="00844941">
        <w:rPr>
          <w:color w:val="000000" w:themeColor="text1"/>
          <w:vertAlign w:val="superscript"/>
        </w:rPr>
        <w:t>1</w:t>
      </w:r>
      <w:r w:rsidR="005F4C98" w:rsidRPr="008B3EBC">
        <w:rPr>
          <w:color w:val="000000" w:themeColor="text1"/>
        </w:rPr>
        <w:t xml:space="preserve"> </w:t>
      </w:r>
      <w:r w:rsidR="005F4C98" w:rsidRPr="00844941">
        <w:rPr>
          <w:color w:val="000000" w:themeColor="text1"/>
        </w:rPr>
        <w:t>такого змісту:</w:t>
      </w:r>
    </w:p>
    <w:p w14:paraId="0CF622E6" w14:textId="4ABDD72D" w:rsidR="000664AC" w:rsidRPr="00844941" w:rsidRDefault="005F4C98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“</w:t>
      </w:r>
      <w:r w:rsidR="00272A30" w:rsidRPr="00844941">
        <w:rPr>
          <w:color w:val="000000" w:themeColor="text1"/>
        </w:rPr>
        <w:t>5</w:t>
      </w:r>
      <w:r w:rsidR="00272A30" w:rsidRPr="00844941">
        <w:rPr>
          <w:color w:val="000000" w:themeColor="text1"/>
          <w:vertAlign w:val="superscript"/>
        </w:rPr>
        <w:t>1</w:t>
      </w:r>
      <w:r w:rsidR="00272A30" w:rsidRPr="00844941">
        <w:rPr>
          <w:color w:val="000000" w:themeColor="text1"/>
        </w:rPr>
        <w:t>. Не застосовувати до банків заходів впливу за порушення термінів опублікування інформації, визначених постановою Правління Національного банку України від 15 лютого 2018 року № 11 “Про встановлення переліку інформації, що підлягає обов’язковому опублікуванню банками України” (зі змінами).</w:t>
      </w:r>
      <w:r w:rsidRPr="00844941">
        <w:rPr>
          <w:color w:val="000000" w:themeColor="text1"/>
        </w:rPr>
        <w:t>”;</w:t>
      </w:r>
    </w:p>
    <w:p w14:paraId="45E86ED7" w14:textId="77777777" w:rsidR="00326776" w:rsidRPr="00844941" w:rsidRDefault="00326776" w:rsidP="00844941">
      <w:pPr>
        <w:shd w:val="clear" w:color="auto" w:fill="FFFFFF" w:themeFill="background1"/>
        <w:ind w:firstLine="567"/>
        <w:rPr>
          <w:color w:val="000000" w:themeColor="text1"/>
        </w:rPr>
      </w:pPr>
    </w:p>
    <w:p w14:paraId="1333741C" w14:textId="56818A5E" w:rsidR="005F4C98" w:rsidRPr="00844941" w:rsidRDefault="005F4C98" w:rsidP="00844941">
      <w:pPr>
        <w:ind w:firstLine="567"/>
        <w:rPr>
          <w:color w:val="000000" w:themeColor="text1"/>
        </w:rPr>
      </w:pPr>
      <w:r w:rsidRPr="00844941">
        <w:rPr>
          <w:color w:val="000000" w:themeColor="text1"/>
        </w:rPr>
        <w:t>4) пункт</w:t>
      </w:r>
      <w:r w:rsidR="00483B3B" w:rsidRPr="00844941">
        <w:rPr>
          <w:color w:val="000000" w:themeColor="text1"/>
        </w:rPr>
        <w:t>и</w:t>
      </w:r>
      <w:r w:rsidRPr="00844941">
        <w:rPr>
          <w:color w:val="000000" w:themeColor="text1"/>
        </w:rPr>
        <w:t xml:space="preserve"> 6</w:t>
      </w:r>
      <w:r w:rsidR="00483B3B" w:rsidRPr="00844941">
        <w:rPr>
          <w:color w:val="000000" w:themeColor="text1"/>
        </w:rPr>
        <w:t>, 7</w:t>
      </w:r>
      <w:r w:rsidRPr="00844941">
        <w:rPr>
          <w:color w:val="000000" w:themeColor="text1"/>
        </w:rPr>
        <w:t xml:space="preserve"> </w:t>
      </w:r>
      <w:r w:rsidR="00483B3B" w:rsidRPr="00844941">
        <w:rPr>
          <w:color w:val="000000" w:themeColor="text1"/>
        </w:rPr>
        <w:t>викласти в такій редакції:</w:t>
      </w:r>
    </w:p>
    <w:p w14:paraId="5743C06B" w14:textId="0EB1362C" w:rsidR="00272A30" w:rsidRPr="00844941" w:rsidRDefault="00483B3B" w:rsidP="00844941">
      <w:pPr>
        <w:ind w:firstLine="567"/>
        <w:rPr>
          <w:color w:val="000000" w:themeColor="text1"/>
        </w:rPr>
      </w:pPr>
      <w:r w:rsidRPr="00844941">
        <w:rPr>
          <w:color w:val="000000" w:themeColor="text1"/>
        </w:rPr>
        <w:t>“</w:t>
      </w:r>
      <w:r w:rsidR="00272A30" w:rsidRPr="00844941">
        <w:rPr>
          <w:color w:val="000000" w:themeColor="text1"/>
        </w:rPr>
        <w:t xml:space="preserve">6. Не застосовувати до відповідальної особи банківської групи заходів впливу за порушення </w:t>
      </w:r>
      <w:r w:rsidR="00135379">
        <w:rPr>
          <w:color w:val="000000" w:themeColor="text1"/>
        </w:rPr>
        <w:t>вимог</w:t>
      </w:r>
      <w:r w:rsidR="00135379" w:rsidRPr="00844941">
        <w:rPr>
          <w:color w:val="000000" w:themeColor="text1"/>
        </w:rPr>
        <w:t xml:space="preserve"> </w:t>
      </w:r>
      <w:r w:rsidR="00272A30" w:rsidRPr="00844941">
        <w:rPr>
          <w:color w:val="000000" w:themeColor="text1"/>
        </w:rPr>
        <w:t>Положення про порядок регулювання діяльності банківських груп, затвердженого постановою Правління Національного банку України від 20 червня 2012 року № 254, зареєстрован</w:t>
      </w:r>
      <w:r w:rsidR="00135379">
        <w:rPr>
          <w:color w:val="000000" w:themeColor="text1"/>
        </w:rPr>
        <w:t>ого</w:t>
      </w:r>
      <w:r w:rsidR="00272A30" w:rsidRPr="00844941">
        <w:rPr>
          <w:color w:val="000000" w:themeColor="text1"/>
        </w:rPr>
        <w:t xml:space="preserve"> </w:t>
      </w:r>
      <w:r w:rsidR="00135379">
        <w:rPr>
          <w:color w:val="000000" w:themeColor="text1"/>
        </w:rPr>
        <w:t>в</w:t>
      </w:r>
      <w:r w:rsidR="00272A30" w:rsidRPr="00844941">
        <w:rPr>
          <w:color w:val="000000" w:themeColor="text1"/>
        </w:rPr>
        <w:t xml:space="preserve"> Міністерстві юстиції Ук</w:t>
      </w:r>
      <w:r w:rsidRPr="00844941">
        <w:rPr>
          <w:color w:val="000000" w:themeColor="text1"/>
        </w:rPr>
        <w:t xml:space="preserve">раїни 12 липня 2012 року за </w:t>
      </w:r>
      <w:r w:rsidR="00272A30" w:rsidRPr="00844941">
        <w:rPr>
          <w:color w:val="000000" w:themeColor="text1"/>
        </w:rPr>
        <w:t>№ 1178/21490 (зі змінами), в частині:</w:t>
      </w:r>
    </w:p>
    <w:p w14:paraId="5D39A1E2" w14:textId="77777777" w:rsidR="00272A30" w:rsidRPr="00844941" w:rsidRDefault="00272A30" w:rsidP="00844941">
      <w:pPr>
        <w:ind w:firstLine="567"/>
        <w:rPr>
          <w:color w:val="000000" w:themeColor="text1"/>
        </w:rPr>
      </w:pPr>
    </w:p>
    <w:p w14:paraId="07045337" w14:textId="77777777" w:rsidR="00272A30" w:rsidRPr="00844941" w:rsidRDefault="00272A30" w:rsidP="00844941">
      <w:pPr>
        <w:ind w:firstLine="567"/>
        <w:rPr>
          <w:color w:val="000000" w:themeColor="text1"/>
        </w:rPr>
      </w:pPr>
      <w:r w:rsidRPr="00844941">
        <w:rPr>
          <w:color w:val="000000" w:themeColor="text1"/>
        </w:rPr>
        <w:t xml:space="preserve">1) дотримання банківською групою вимог щодо достатності регулятивного капіталу, економічних нормативів ліквідності, кредитного ризику, інвестування, якщо такі порушення виникли починаючи з 24 лютого 2022 року та спричинені негативним впливом військової агресії Російської Федерації проти України; </w:t>
      </w:r>
    </w:p>
    <w:p w14:paraId="4BF91EF9" w14:textId="77777777" w:rsidR="00272A30" w:rsidRPr="00844941" w:rsidRDefault="00272A30" w:rsidP="00844941">
      <w:pPr>
        <w:ind w:firstLine="567"/>
        <w:rPr>
          <w:color w:val="000000" w:themeColor="text1"/>
        </w:rPr>
      </w:pPr>
    </w:p>
    <w:p w14:paraId="64D41821" w14:textId="77777777" w:rsidR="00483B3B" w:rsidRPr="00844941" w:rsidRDefault="00272A30" w:rsidP="00844941">
      <w:pPr>
        <w:ind w:firstLine="567"/>
        <w:rPr>
          <w:color w:val="000000" w:themeColor="text1"/>
        </w:rPr>
      </w:pPr>
      <w:r w:rsidRPr="00844941">
        <w:rPr>
          <w:color w:val="000000" w:themeColor="text1"/>
        </w:rPr>
        <w:t xml:space="preserve">2) строків подання та оприлюднення річної консолідованої фінансової звітності банківської групи разом з аудиторським звітом, подання проміжної консолідованої звітності банківської групи та проміжної </w:t>
      </w:r>
      <w:proofErr w:type="spellStart"/>
      <w:r w:rsidRPr="00844941">
        <w:rPr>
          <w:color w:val="000000" w:themeColor="text1"/>
        </w:rPr>
        <w:t>субконсолідованої</w:t>
      </w:r>
      <w:proofErr w:type="spellEnd"/>
      <w:r w:rsidRPr="00844941">
        <w:rPr>
          <w:color w:val="000000" w:themeColor="text1"/>
        </w:rPr>
        <w:t xml:space="preserve"> звітності підгруп банківської групи.</w:t>
      </w:r>
    </w:p>
    <w:p w14:paraId="32479E9B" w14:textId="77777777" w:rsidR="00483B3B" w:rsidRPr="00844941" w:rsidRDefault="00483B3B" w:rsidP="00844941">
      <w:pPr>
        <w:ind w:firstLine="567"/>
        <w:rPr>
          <w:color w:val="000000" w:themeColor="text1"/>
        </w:rPr>
      </w:pPr>
    </w:p>
    <w:p w14:paraId="7695152E" w14:textId="76D3DF12" w:rsidR="00326776" w:rsidRPr="00844941" w:rsidRDefault="00483B3B" w:rsidP="00844941">
      <w:pPr>
        <w:ind w:firstLine="567"/>
        <w:rPr>
          <w:color w:val="000000" w:themeColor="text1"/>
        </w:rPr>
      </w:pPr>
      <w:r w:rsidRPr="00844941">
        <w:rPr>
          <w:color w:val="000000" w:themeColor="text1"/>
        </w:rPr>
        <w:t xml:space="preserve">7. Банку/відповідальній особі банківської групи надавати Національному банку України інформацію про дотримання економічних нормативів та іншу інформацію за формою та </w:t>
      </w:r>
      <w:r w:rsidR="00A05FA9">
        <w:rPr>
          <w:color w:val="000000" w:themeColor="text1"/>
        </w:rPr>
        <w:t>в</w:t>
      </w:r>
      <w:r w:rsidR="00A05FA9" w:rsidRPr="00844941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 xml:space="preserve">строки, </w:t>
      </w:r>
      <w:r w:rsidR="00E62C79">
        <w:rPr>
          <w:color w:val="000000" w:themeColor="text1"/>
        </w:rPr>
        <w:t>у</w:t>
      </w:r>
      <w:r w:rsidRPr="00844941">
        <w:rPr>
          <w:color w:val="000000" w:themeColor="text1"/>
        </w:rPr>
        <w:t>становлені Національним банком України.”;</w:t>
      </w:r>
    </w:p>
    <w:p w14:paraId="701492E2" w14:textId="77777777" w:rsidR="00483B3B" w:rsidRPr="00844941" w:rsidRDefault="00483B3B" w:rsidP="00844941">
      <w:pPr>
        <w:ind w:firstLine="567"/>
        <w:rPr>
          <w:color w:val="000000" w:themeColor="text1"/>
        </w:rPr>
      </w:pPr>
    </w:p>
    <w:p w14:paraId="572684AE" w14:textId="028B9E4A" w:rsidR="00CF31AB" w:rsidRPr="00844941" w:rsidRDefault="002C11DF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5</w:t>
      </w:r>
      <w:r w:rsidR="005F4C98" w:rsidRPr="00844941">
        <w:rPr>
          <w:color w:val="000000" w:themeColor="text1"/>
        </w:rPr>
        <w:t>)</w:t>
      </w:r>
      <w:r w:rsidRPr="00844941">
        <w:rPr>
          <w:color w:val="000000" w:themeColor="text1"/>
        </w:rPr>
        <w:t xml:space="preserve"> </w:t>
      </w:r>
      <w:r w:rsidR="00CF31AB" w:rsidRPr="00844941">
        <w:rPr>
          <w:color w:val="000000" w:themeColor="text1"/>
        </w:rPr>
        <w:t>у пункті 8:</w:t>
      </w:r>
    </w:p>
    <w:p w14:paraId="16FC8D8D" w14:textId="0054FACF" w:rsidR="002C11DF" w:rsidRPr="00844941" w:rsidRDefault="002C11DF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в абзаці першому слово та цифри “пунктів 5, 6” замінити словами та цифрами “пункту 5, підпункту 1 пункту 6</w:t>
      </w:r>
      <w:r w:rsidR="00CF31AB" w:rsidRPr="00844941">
        <w:rPr>
          <w:color w:val="000000" w:themeColor="text1"/>
        </w:rPr>
        <w:t>”;</w:t>
      </w:r>
    </w:p>
    <w:p w14:paraId="12CF0394" w14:textId="7555525A" w:rsidR="005F4C98" w:rsidRPr="00844941" w:rsidRDefault="005F4C98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підпункт 5</w:t>
      </w:r>
      <w:r w:rsidR="0079000C" w:rsidRPr="00844941">
        <w:rPr>
          <w:color w:val="000000" w:themeColor="text1"/>
        </w:rPr>
        <w:t xml:space="preserve"> після слів “</w:t>
      </w:r>
      <w:r w:rsidRPr="00844941">
        <w:rPr>
          <w:color w:val="000000" w:themeColor="text1"/>
        </w:rPr>
        <w:t>відповідний рік;</w:t>
      </w:r>
      <w:r w:rsidR="0079000C" w:rsidRPr="00844941">
        <w:rPr>
          <w:color w:val="000000" w:themeColor="text1"/>
        </w:rPr>
        <w:t xml:space="preserve">” доповнити словами </w:t>
      </w:r>
      <w:r w:rsidR="00E62C79">
        <w:rPr>
          <w:color w:val="000000" w:themeColor="text1"/>
        </w:rPr>
        <w:t>«</w:t>
      </w:r>
      <w:r w:rsidRPr="00844941">
        <w:rPr>
          <w:color w:val="000000" w:themeColor="text1"/>
        </w:rPr>
        <w:t xml:space="preserve">облігацій внутрішньої державної позики </w:t>
      </w:r>
      <w:r w:rsidR="00E62C79">
        <w:rPr>
          <w:color w:val="000000" w:themeColor="text1"/>
        </w:rPr>
        <w:t>“</w:t>
      </w:r>
      <w:r w:rsidRPr="00844941">
        <w:rPr>
          <w:color w:val="000000" w:themeColor="text1"/>
        </w:rPr>
        <w:t>Військові облігації</w:t>
      </w:r>
      <w:r w:rsidR="00E62C79">
        <w:rPr>
          <w:color w:val="000000" w:themeColor="text1"/>
        </w:rPr>
        <w:t>”</w:t>
      </w:r>
      <w:r w:rsidRPr="00844941">
        <w:rPr>
          <w:color w:val="000000" w:themeColor="text1"/>
        </w:rPr>
        <w:t>;</w:t>
      </w:r>
      <w:r w:rsidR="00E62C79">
        <w:rPr>
          <w:color w:val="000000" w:themeColor="text1"/>
        </w:rPr>
        <w:t>»</w:t>
      </w:r>
      <w:r w:rsidR="0079000C" w:rsidRPr="00844941">
        <w:rPr>
          <w:color w:val="000000" w:themeColor="text1"/>
        </w:rPr>
        <w:t>;</w:t>
      </w:r>
    </w:p>
    <w:p w14:paraId="2C083A24" w14:textId="3970BCA8" w:rsidR="00326776" w:rsidRPr="00844941" w:rsidRDefault="00326776" w:rsidP="00844941">
      <w:pPr>
        <w:shd w:val="clear" w:color="auto" w:fill="FFFFFF" w:themeFill="background1"/>
        <w:ind w:firstLine="567"/>
        <w:rPr>
          <w:color w:val="000000" w:themeColor="text1"/>
        </w:rPr>
      </w:pPr>
    </w:p>
    <w:p w14:paraId="1E664754" w14:textId="12DBD860" w:rsidR="00CF31AB" w:rsidRPr="00844941" w:rsidRDefault="00CF31AB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6) у пункті 9:</w:t>
      </w:r>
    </w:p>
    <w:p w14:paraId="35023F17" w14:textId="10B60DD0" w:rsidR="002C11DF" w:rsidRPr="00844941" w:rsidRDefault="00CF31AB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слово та цифри “пунктах 5, 6” замінити словами та цифрами “пункті 5, підпункті 1 пункту 6”;</w:t>
      </w:r>
    </w:p>
    <w:p w14:paraId="6FB0FA1F" w14:textId="65453A75" w:rsidR="00CF31AB" w:rsidRPr="00844941" w:rsidRDefault="00CF31AB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слова “на показники діяльності банку/банківської групи та/або боржників/контрагентів банку/учасників банківської групи”</w:t>
      </w:r>
      <w:r w:rsidR="00E62C79">
        <w:rPr>
          <w:color w:val="000000" w:themeColor="text1"/>
        </w:rPr>
        <w:t xml:space="preserve"> виключити;</w:t>
      </w:r>
    </w:p>
    <w:p w14:paraId="5F2B7E79" w14:textId="0F525E1D" w:rsidR="00CF31AB" w:rsidRPr="00844941" w:rsidRDefault="00CF31AB" w:rsidP="00844941">
      <w:pPr>
        <w:shd w:val="clear" w:color="auto" w:fill="FFFFFF" w:themeFill="background1"/>
        <w:ind w:firstLine="567"/>
        <w:rPr>
          <w:color w:val="000000" w:themeColor="text1"/>
        </w:rPr>
      </w:pPr>
    </w:p>
    <w:p w14:paraId="65F12DAA" w14:textId="13491FCE" w:rsidR="00CF31AB" w:rsidRPr="00844941" w:rsidRDefault="00CF31AB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 xml:space="preserve">7) постанову </w:t>
      </w:r>
      <w:r w:rsidR="00E62C79">
        <w:rPr>
          <w:color w:val="000000" w:themeColor="text1"/>
        </w:rPr>
        <w:t xml:space="preserve">після пункту 9 </w:t>
      </w:r>
      <w:r w:rsidRPr="00844941">
        <w:rPr>
          <w:color w:val="000000" w:themeColor="text1"/>
        </w:rPr>
        <w:t>доповнити новим пунктом 9</w:t>
      </w:r>
      <w:r w:rsidRPr="00844941">
        <w:rPr>
          <w:color w:val="000000" w:themeColor="text1"/>
          <w:vertAlign w:val="superscript"/>
        </w:rPr>
        <w:t>1</w:t>
      </w:r>
      <w:r w:rsidRPr="008B3EBC">
        <w:rPr>
          <w:color w:val="000000" w:themeColor="text1"/>
        </w:rPr>
        <w:t xml:space="preserve"> </w:t>
      </w:r>
      <w:r w:rsidRPr="00844941">
        <w:rPr>
          <w:color w:val="000000" w:themeColor="text1"/>
        </w:rPr>
        <w:t>такого змісту:</w:t>
      </w:r>
    </w:p>
    <w:p w14:paraId="1B38B3F3" w14:textId="17CFB60A" w:rsidR="002C11DF" w:rsidRPr="00844941" w:rsidRDefault="00CF31AB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“9</w:t>
      </w:r>
      <w:r w:rsidRPr="00844941">
        <w:rPr>
          <w:color w:val="000000" w:themeColor="text1"/>
          <w:vertAlign w:val="superscript"/>
        </w:rPr>
        <w:t>1</w:t>
      </w:r>
      <w:r w:rsidRPr="00844941">
        <w:rPr>
          <w:color w:val="000000" w:themeColor="text1"/>
        </w:rPr>
        <w:t xml:space="preserve">. </w:t>
      </w:r>
      <w:proofErr w:type="spellStart"/>
      <w:r w:rsidRPr="00844941">
        <w:rPr>
          <w:color w:val="000000" w:themeColor="text1"/>
        </w:rPr>
        <w:t>Cтроки</w:t>
      </w:r>
      <w:proofErr w:type="spellEnd"/>
      <w:r w:rsidRPr="00844941">
        <w:rPr>
          <w:color w:val="000000" w:themeColor="text1"/>
        </w:rPr>
        <w:t xml:space="preserve"> подання/розгляду інформації та документів, визначені Положенням про ліцензування банків, затвердженим постановою Правління </w:t>
      </w:r>
      <w:r w:rsidRPr="00844941">
        <w:rPr>
          <w:color w:val="000000" w:themeColor="text1"/>
        </w:rPr>
        <w:lastRenderedPageBreak/>
        <w:t xml:space="preserve">Національного банку України від 22 грудня 2018 року № 149 (зі змінами), Положенням про порядок подання відомостей про структуру власності банку, затвердженим постановою Правління Національного банку </w:t>
      </w:r>
      <w:r w:rsidR="00A05FA9">
        <w:rPr>
          <w:color w:val="000000" w:themeColor="text1"/>
        </w:rPr>
        <w:t xml:space="preserve">України </w:t>
      </w:r>
      <w:r w:rsidRPr="00844941">
        <w:rPr>
          <w:color w:val="000000" w:themeColor="text1"/>
        </w:rPr>
        <w:t>від 21</w:t>
      </w:r>
      <w:r w:rsidR="00D26ACF">
        <w:rPr>
          <w:color w:val="000000" w:themeColor="text1"/>
        </w:rPr>
        <w:t> </w:t>
      </w:r>
      <w:r w:rsidRPr="00844941">
        <w:rPr>
          <w:color w:val="000000" w:themeColor="text1"/>
        </w:rPr>
        <w:t xml:space="preserve">травня 2015 року № 328 (зі змінами), Положенням про порядок ідентифікації та визнання банківських груп, затвердженим постановою Правління Національного банку України від 09 квітня 2012 року № 134, зареєстрованим </w:t>
      </w:r>
      <w:r w:rsidR="00E62C79">
        <w:rPr>
          <w:color w:val="000000" w:themeColor="text1"/>
        </w:rPr>
        <w:t>у</w:t>
      </w:r>
      <w:r w:rsidRPr="00844941">
        <w:rPr>
          <w:color w:val="000000" w:themeColor="text1"/>
        </w:rPr>
        <w:t xml:space="preserve"> Міністерстві юстиції України 28 квітня 2012 року за № 708/21021 (зі змінами), Положенням про особливості реорганізації банку за рішенням його власників, затвердженим постановою Правління Національного банку України від 27</w:t>
      </w:r>
      <w:r w:rsidR="00D26ACF">
        <w:rPr>
          <w:color w:val="000000" w:themeColor="text1"/>
        </w:rPr>
        <w:t> </w:t>
      </w:r>
      <w:r w:rsidRPr="00844941">
        <w:rPr>
          <w:color w:val="000000" w:themeColor="text1"/>
        </w:rPr>
        <w:t>червня 2008 року №</w:t>
      </w:r>
      <w:r w:rsidR="00695731" w:rsidRPr="00844941">
        <w:rPr>
          <w:color w:val="000000" w:themeColor="text1"/>
        </w:rPr>
        <w:t> </w:t>
      </w:r>
      <w:r w:rsidRPr="00844941">
        <w:rPr>
          <w:color w:val="000000" w:themeColor="text1"/>
        </w:rPr>
        <w:t xml:space="preserve">189, зареєстрованим </w:t>
      </w:r>
      <w:r w:rsidR="00E62C79">
        <w:rPr>
          <w:color w:val="000000" w:themeColor="text1"/>
        </w:rPr>
        <w:t>у</w:t>
      </w:r>
      <w:r w:rsidRPr="00844941">
        <w:rPr>
          <w:color w:val="000000" w:themeColor="text1"/>
        </w:rPr>
        <w:t xml:space="preserve"> Міністерстві юстиції України 12</w:t>
      </w:r>
      <w:r w:rsidR="00D26ACF">
        <w:rPr>
          <w:color w:val="000000" w:themeColor="text1"/>
        </w:rPr>
        <w:t> </w:t>
      </w:r>
      <w:r w:rsidRPr="00844941">
        <w:rPr>
          <w:color w:val="000000" w:themeColor="text1"/>
        </w:rPr>
        <w:t>вересня 2008 року за №</w:t>
      </w:r>
      <w:r w:rsidR="00E62C79">
        <w:rPr>
          <w:color w:val="000000" w:themeColor="text1"/>
        </w:rPr>
        <w:t> </w:t>
      </w:r>
      <w:r w:rsidRPr="00844941">
        <w:rPr>
          <w:color w:val="000000" w:themeColor="text1"/>
        </w:rPr>
        <w:t>845/15536 (зі змінами), Положенням про політику винагороди в банку, затвердженим постановою Правління Національного банку України від 30</w:t>
      </w:r>
      <w:r w:rsidR="00695731" w:rsidRPr="00844941">
        <w:rPr>
          <w:color w:val="000000" w:themeColor="text1"/>
        </w:rPr>
        <w:t> </w:t>
      </w:r>
      <w:r w:rsidRPr="00844941">
        <w:rPr>
          <w:color w:val="000000" w:themeColor="text1"/>
        </w:rPr>
        <w:t>листопада 2020 року № 153 (зі змінами), Положенням про порядок попередньої кваліфікації осіб, які можуть брати участь у виведенні неплатоспроможних банків з ринку, та погодження набуття ними участі в банках, затвердженим постановою Правління Національного банку України від 24</w:t>
      </w:r>
      <w:r w:rsidR="00695731" w:rsidRPr="00844941">
        <w:rPr>
          <w:color w:val="000000" w:themeColor="text1"/>
        </w:rPr>
        <w:t> </w:t>
      </w:r>
      <w:r w:rsidRPr="00844941">
        <w:rPr>
          <w:color w:val="000000" w:themeColor="text1"/>
        </w:rPr>
        <w:t>грудня 2015 року № 942 (зі змінами), Положенням про здійснення банками фінансового моніторингу, затвердженим постановою Правління Національного банку України від 19 травня 2020 року № 65 (зі змінами) (в частині подання інформації та документів щодо відповідального працівника за проведення фінансового моніторингу в банку), Інструкцією № 368, вважаються зупиненими з 24 лютого 2022 року та поновлюються після припинення чи скасування дії воєнного стану з урахуванням кількості календарних днів, що минули станом на 24</w:t>
      </w:r>
      <w:r w:rsidR="00E62C79">
        <w:rPr>
          <w:color w:val="000000" w:themeColor="text1"/>
        </w:rPr>
        <w:t> </w:t>
      </w:r>
      <w:r w:rsidRPr="00844941">
        <w:rPr>
          <w:color w:val="000000" w:themeColor="text1"/>
        </w:rPr>
        <w:t>лютого 2022 року.”</w:t>
      </w:r>
      <w:r w:rsidR="00CE51A9">
        <w:rPr>
          <w:color w:val="000000" w:themeColor="text1"/>
        </w:rPr>
        <w:t>.</w:t>
      </w:r>
    </w:p>
    <w:p w14:paraId="418FFF35" w14:textId="2CA9B73B" w:rsidR="00695731" w:rsidRPr="00844941" w:rsidRDefault="00695731" w:rsidP="00844941">
      <w:pPr>
        <w:shd w:val="clear" w:color="auto" w:fill="FFFFFF" w:themeFill="background1"/>
        <w:ind w:firstLine="567"/>
        <w:rPr>
          <w:color w:val="000000" w:themeColor="text1"/>
        </w:rPr>
      </w:pPr>
    </w:p>
    <w:p w14:paraId="00BE6FD7" w14:textId="4DD754EF" w:rsidR="0018427E" w:rsidRPr="00844941" w:rsidRDefault="00AD348A" w:rsidP="00844941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</w:rPr>
        <w:t>6</w:t>
      </w:r>
      <w:r w:rsidR="0018427E" w:rsidRPr="00844941">
        <w:rPr>
          <w:rFonts w:eastAsiaTheme="minorEastAsia"/>
          <w:color w:val="000000" w:themeColor="text1"/>
        </w:rPr>
        <w:t xml:space="preserve">. </w:t>
      </w:r>
      <w:proofErr w:type="spellStart"/>
      <w:r w:rsidR="0018427E" w:rsidRPr="00844941">
        <w:rPr>
          <w:rFonts w:eastAsiaTheme="minorEastAsia"/>
          <w:color w:val="000000" w:themeColor="text1"/>
        </w:rPr>
        <w:t>У</w:t>
      </w:r>
      <w:r w:rsidR="00CE51A9">
        <w:rPr>
          <w:rFonts w:eastAsiaTheme="minorEastAsia"/>
          <w:color w:val="000000" w:themeColor="text1"/>
        </w:rPr>
        <w:t>нести</w:t>
      </w:r>
      <w:proofErr w:type="spellEnd"/>
      <w:r w:rsidR="00CE51A9">
        <w:rPr>
          <w:rFonts w:eastAsiaTheme="minorEastAsia"/>
          <w:color w:val="000000" w:themeColor="text1"/>
        </w:rPr>
        <w:t xml:space="preserve"> до</w:t>
      </w:r>
      <w:r w:rsidR="0018427E" w:rsidRPr="00844941">
        <w:rPr>
          <w:rFonts w:eastAsiaTheme="minorEastAsia"/>
          <w:color w:val="000000" w:themeColor="text1"/>
        </w:rPr>
        <w:t xml:space="preserve"> </w:t>
      </w:r>
      <w:r w:rsidR="0018427E" w:rsidRPr="00844941">
        <w:rPr>
          <w:color w:val="000000" w:themeColor="text1"/>
        </w:rPr>
        <w:t>Правил роботи банків у зв’язку з введенням в Україні воєнного стану, затверджен</w:t>
      </w:r>
      <w:r w:rsidR="00CE51A9">
        <w:rPr>
          <w:color w:val="000000" w:themeColor="text1"/>
        </w:rPr>
        <w:t>их</w:t>
      </w:r>
      <w:r w:rsidR="00695731" w:rsidRPr="00844941">
        <w:rPr>
          <w:color w:val="000000" w:themeColor="text1"/>
        </w:rPr>
        <w:t xml:space="preserve"> </w:t>
      </w:r>
      <w:r w:rsidR="00CA7C3A">
        <w:rPr>
          <w:color w:val="000000" w:themeColor="text1"/>
        </w:rPr>
        <w:t>постановою Правління Національного банку України від 25 лютого 2022 року № 23</w:t>
      </w:r>
      <w:r w:rsidR="001A3BFA" w:rsidRPr="00844941">
        <w:rPr>
          <w:color w:val="000000" w:themeColor="text1"/>
        </w:rPr>
        <w:t>, так</w:t>
      </w:r>
      <w:r w:rsidR="0028155C">
        <w:rPr>
          <w:color w:val="000000" w:themeColor="text1"/>
        </w:rPr>
        <w:t>і</w:t>
      </w:r>
      <w:r w:rsidR="001A3BFA" w:rsidRPr="00844941">
        <w:rPr>
          <w:color w:val="000000" w:themeColor="text1"/>
        </w:rPr>
        <w:t xml:space="preserve"> зміни:</w:t>
      </w:r>
    </w:p>
    <w:p w14:paraId="0B0B88B0" w14:textId="77777777" w:rsidR="00326776" w:rsidRPr="00844941" w:rsidRDefault="00326776" w:rsidP="00844941">
      <w:pPr>
        <w:ind w:firstLine="567"/>
        <w:rPr>
          <w:color w:val="000000" w:themeColor="text1"/>
          <w:lang w:eastAsia="en-US"/>
        </w:rPr>
      </w:pPr>
    </w:p>
    <w:p w14:paraId="6092BAF1" w14:textId="048261AB" w:rsidR="00695731" w:rsidRPr="00844941" w:rsidRDefault="00695731" w:rsidP="00844941">
      <w:pPr>
        <w:ind w:firstLine="567"/>
        <w:rPr>
          <w:color w:val="000000" w:themeColor="text1"/>
          <w:lang w:eastAsia="en-US"/>
        </w:rPr>
      </w:pPr>
      <w:r w:rsidRPr="00844941">
        <w:rPr>
          <w:color w:val="000000" w:themeColor="text1"/>
          <w:lang w:eastAsia="en-US"/>
        </w:rPr>
        <w:t xml:space="preserve">1) </w:t>
      </w:r>
      <w:r w:rsidR="001B78F7">
        <w:rPr>
          <w:color w:val="000000" w:themeColor="text1"/>
          <w:lang w:eastAsia="en-US"/>
        </w:rPr>
        <w:t xml:space="preserve">в абзаці першому, другому реченні абзаців другого та третього підпункту 2 </w:t>
      </w:r>
      <w:r w:rsidR="0018427E" w:rsidRPr="00844941">
        <w:rPr>
          <w:rFonts w:eastAsiaTheme="minorEastAsia"/>
          <w:color w:val="000000" w:themeColor="text1"/>
        </w:rPr>
        <w:t>пункт</w:t>
      </w:r>
      <w:r w:rsidR="001B78F7">
        <w:rPr>
          <w:rFonts w:eastAsiaTheme="minorEastAsia"/>
          <w:color w:val="000000" w:themeColor="text1"/>
        </w:rPr>
        <w:t>у</w:t>
      </w:r>
      <w:r w:rsidR="0018427E" w:rsidRPr="00844941">
        <w:rPr>
          <w:rFonts w:eastAsiaTheme="minorEastAsia"/>
          <w:color w:val="000000" w:themeColor="text1"/>
        </w:rPr>
        <w:t xml:space="preserve"> 2</w:t>
      </w:r>
      <w:r w:rsidR="0067637D">
        <w:rPr>
          <w:rFonts w:eastAsiaTheme="minorEastAsia"/>
          <w:color w:val="000000" w:themeColor="text1"/>
        </w:rPr>
        <w:t>,</w:t>
      </w:r>
      <w:r w:rsidR="0018427E" w:rsidRPr="00844941">
        <w:rPr>
          <w:rFonts w:eastAsiaTheme="minorEastAsia"/>
          <w:color w:val="000000" w:themeColor="text1"/>
        </w:rPr>
        <w:t xml:space="preserve"> </w:t>
      </w:r>
      <w:r w:rsidR="001B78F7">
        <w:rPr>
          <w:rFonts w:eastAsiaTheme="minorEastAsia"/>
          <w:color w:val="000000" w:themeColor="text1"/>
        </w:rPr>
        <w:t xml:space="preserve">абзаці першому пункту </w:t>
      </w:r>
      <w:r w:rsidR="0018427E" w:rsidRPr="00844941">
        <w:rPr>
          <w:rFonts w:eastAsiaTheme="minorEastAsia"/>
          <w:color w:val="000000" w:themeColor="text1"/>
        </w:rPr>
        <w:t xml:space="preserve">3 </w:t>
      </w:r>
      <w:r w:rsidR="0018427E" w:rsidRPr="00844941">
        <w:rPr>
          <w:color w:val="000000" w:themeColor="text1"/>
        </w:rPr>
        <w:t>слово “відміни</w:t>
      </w:r>
      <w:r w:rsidR="0018427E" w:rsidRPr="00844941">
        <w:rPr>
          <w:color w:val="000000" w:themeColor="text1"/>
          <w:lang w:eastAsia="en-US"/>
        </w:rPr>
        <w:t xml:space="preserve">” замінити словами </w:t>
      </w:r>
      <w:r w:rsidR="0018427E" w:rsidRPr="00844941">
        <w:rPr>
          <w:color w:val="000000" w:themeColor="text1"/>
        </w:rPr>
        <w:t xml:space="preserve">“припинення </w:t>
      </w:r>
      <w:r w:rsidRPr="00844941">
        <w:rPr>
          <w:color w:val="000000" w:themeColor="text1"/>
        </w:rPr>
        <w:t>чи</w:t>
      </w:r>
      <w:r w:rsidR="0018427E" w:rsidRPr="00844941">
        <w:rPr>
          <w:color w:val="000000" w:themeColor="text1"/>
        </w:rPr>
        <w:t xml:space="preserve"> скасування</w:t>
      </w:r>
      <w:r w:rsidR="00326776" w:rsidRPr="00844941">
        <w:rPr>
          <w:color w:val="000000" w:themeColor="text1"/>
          <w:lang w:eastAsia="en-US"/>
        </w:rPr>
        <w:t>”;</w:t>
      </w:r>
    </w:p>
    <w:p w14:paraId="4374F79E" w14:textId="77777777" w:rsidR="00695731" w:rsidRPr="00844941" w:rsidRDefault="00695731" w:rsidP="00844941">
      <w:pPr>
        <w:ind w:firstLine="567"/>
        <w:rPr>
          <w:color w:val="000000" w:themeColor="text1"/>
          <w:lang w:eastAsia="en-US"/>
        </w:rPr>
      </w:pPr>
    </w:p>
    <w:p w14:paraId="58B4F004" w14:textId="7CFEB991" w:rsidR="0018427E" w:rsidRPr="00844941" w:rsidRDefault="006A55DA" w:rsidP="00844941">
      <w:pPr>
        <w:ind w:firstLine="567"/>
        <w:rPr>
          <w:color w:val="000000" w:themeColor="text1"/>
          <w:lang w:eastAsia="en-US"/>
        </w:rPr>
      </w:pPr>
      <w:r w:rsidRPr="00844941">
        <w:rPr>
          <w:color w:val="000000" w:themeColor="text1"/>
          <w:lang w:eastAsia="en-US"/>
        </w:rPr>
        <w:t xml:space="preserve">2) </w:t>
      </w:r>
      <w:r w:rsidR="001B78F7">
        <w:rPr>
          <w:color w:val="000000" w:themeColor="text1"/>
          <w:lang w:eastAsia="en-US"/>
        </w:rPr>
        <w:t>П</w:t>
      </w:r>
      <w:r w:rsidRPr="00844941">
        <w:rPr>
          <w:color w:val="000000" w:themeColor="text1"/>
          <w:lang w:eastAsia="en-US"/>
        </w:rPr>
        <w:t>равила доповнити новим пунктом  такого змісту:</w:t>
      </w:r>
    </w:p>
    <w:p w14:paraId="2DB02E2D" w14:textId="1D5D1893" w:rsidR="00695731" w:rsidRPr="00844941" w:rsidRDefault="006A55DA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“</w:t>
      </w:r>
      <w:r w:rsidR="00695731" w:rsidRPr="00844941">
        <w:rPr>
          <w:color w:val="000000" w:themeColor="text1"/>
        </w:rPr>
        <w:t>4. Відповідальні особи банківських груп під час застосування вимог Положення про порядок регулювання діяльності банківських груп, затвердженого постановою Правління Національного банку України від 20</w:t>
      </w:r>
      <w:r w:rsidR="00745D2F" w:rsidRPr="00844941">
        <w:rPr>
          <w:color w:val="000000" w:themeColor="text1"/>
        </w:rPr>
        <w:t> </w:t>
      </w:r>
      <w:r w:rsidR="00695731" w:rsidRPr="00844941">
        <w:rPr>
          <w:color w:val="000000" w:themeColor="text1"/>
        </w:rPr>
        <w:t xml:space="preserve">червня 2012 року № 254, зареєстрованого в Міністерстві юстиції України </w:t>
      </w:r>
      <w:r w:rsidR="00745D2F" w:rsidRPr="00844941">
        <w:rPr>
          <w:color w:val="000000" w:themeColor="text1"/>
        </w:rPr>
        <w:t>12 </w:t>
      </w:r>
      <w:r w:rsidR="00695731" w:rsidRPr="00844941">
        <w:rPr>
          <w:color w:val="000000" w:themeColor="text1"/>
        </w:rPr>
        <w:t>липня 2012 року за № 1178/21490 (зі змінами) (далі – Положення №</w:t>
      </w:r>
      <w:r w:rsidR="0064154D">
        <w:rPr>
          <w:color w:val="000000" w:themeColor="text1"/>
        </w:rPr>
        <w:t> </w:t>
      </w:r>
      <w:r w:rsidR="00695731" w:rsidRPr="00844941">
        <w:rPr>
          <w:color w:val="000000" w:themeColor="text1"/>
        </w:rPr>
        <w:t>254), протягом періоду дії воєнного стану:</w:t>
      </w:r>
    </w:p>
    <w:p w14:paraId="5AE8390E" w14:textId="77777777" w:rsidR="00695731" w:rsidRPr="00844941" w:rsidRDefault="00695731" w:rsidP="00844941">
      <w:pPr>
        <w:shd w:val="clear" w:color="auto" w:fill="FFFFFF" w:themeFill="background1"/>
        <w:ind w:firstLine="567"/>
        <w:rPr>
          <w:color w:val="000000" w:themeColor="text1"/>
        </w:rPr>
      </w:pPr>
    </w:p>
    <w:p w14:paraId="19E1BD95" w14:textId="178472A8" w:rsidR="00695731" w:rsidRPr="00844941" w:rsidRDefault="00695731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t>1) не застосовують вимоги пунктів 2.6, 2.10 глави 2 розділу VI Положення №</w:t>
      </w:r>
      <w:r w:rsidR="0064154D">
        <w:rPr>
          <w:color w:val="000000" w:themeColor="text1"/>
        </w:rPr>
        <w:t> </w:t>
      </w:r>
      <w:r w:rsidRPr="00844941">
        <w:rPr>
          <w:color w:val="000000" w:themeColor="text1"/>
        </w:rPr>
        <w:t>254;</w:t>
      </w:r>
    </w:p>
    <w:p w14:paraId="0432BB66" w14:textId="77777777" w:rsidR="00695731" w:rsidRPr="00844941" w:rsidRDefault="00695731" w:rsidP="00844941">
      <w:pPr>
        <w:shd w:val="clear" w:color="auto" w:fill="FFFFFF" w:themeFill="background1"/>
        <w:ind w:firstLine="567"/>
        <w:rPr>
          <w:color w:val="000000" w:themeColor="text1"/>
        </w:rPr>
      </w:pPr>
    </w:p>
    <w:p w14:paraId="1DA26B0E" w14:textId="4F2F53CC" w:rsidR="0018427E" w:rsidRPr="00844941" w:rsidRDefault="00695731" w:rsidP="00844941">
      <w:pPr>
        <w:shd w:val="clear" w:color="auto" w:fill="FFFFFF" w:themeFill="background1"/>
        <w:ind w:firstLine="567"/>
        <w:rPr>
          <w:color w:val="000000" w:themeColor="text1"/>
        </w:rPr>
      </w:pPr>
      <w:r w:rsidRPr="00844941">
        <w:rPr>
          <w:color w:val="000000" w:themeColor="text1"/>
        </w:rPr>
        <w:lastRenderedPageBreak/>
        <w:t xml:space="preserve">2) розміщують річну консолідовану фінансову звітність банківської групи разом з аудиторським звітом, річну </w:t>
      </w:r>
      <w:proofErr w:type="spellStart"/>
      <w:r w:rsidRPr="00844941">
        <w:rPr>
          <w:color w:val="000000" w:themeColor="text1"/>
        </w:rPr>
        <w:t>субконсолідовану</w:t>
      </w:r>
      <w:proofErr w:type="spellEnd"/>
      <w:r w:rsidRPr="00844941">
        <w:rPr>
          <w:color w:val="000000" w:themeColor="text1"/>
        </w:rPr>
        <w:t xml:space="preserve"> фінансову звітність підгруп банківської групи, проміжну консолідовану звітність банківської групи та проміжну </w:t>
      </w:r>
      <w:proofErr w:type="spellStart"/>
      <w:r w:rsidRPr="00844941">
        <w:rPr>
          <w:color w:val="000000" w:themeColor="text1"/>
        </w:rPr>
        <w:t>субконсолідовану</w:t>
      </w:r>
      <w:proofErr w:type="spellEnd"/>
      <w:r w:rsidRPr="00844941">
        <w:rPr>
          <w:color w:val="000000" w:themeColor="text1"/>
        </w:rPr>
        <w:t xml:space="preserve"> звітність підгруп банківської групи за весь період неподання звітності на власному </w:t>
      </w:r>
      <w:proofErr w:type="spellStart"/>
      <w:r w:rsidRPr="00844941">
        <w:rPr>
          <w:color w:val="000000" w:themeColor="text1"/>
        </w:rPr>
        <w:t>вебсайті</w:t>
      </w:r>
      <w:proofErr w:type="spellEnd"/>
      <w:r w:rsidRPr="00844941">
        <w:rPr>
          <w:color w:val="000000" w:themeColor="text1"/>
        </w:rPr>
        <w:t xml:space="preserve"> не пізніше 180 календарного дня після припинення чи скасування воєнного стану.</w:t>
      </w:r>
      <w:r w:rsidR="006A55DA" w:rsidRPr="00844941">
        <w:rPr>
          <w:color w:val="000000" w:themeColor="text1"/>
        </w:rPr>
        <w:t>”.</w:t>
      </w:r>
    </w:p>
    <w:p w14:paraId="5701146A" w14:textId="77777777" w:rsidR="00326776" w:rsidRPr="00844941" w:rsidRDefault="00326776" w:rsidP="00844941">
      <w:pPr>
        <w:pStyle w:val="afa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EAB8B5A" w14:textId="1901350D" w:rsidR="00662E58" w:rsidRPr="00844941" w:rsidRDefault="00326776" w:rsidP="00844941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44941">
        <w:rPr>
          <w:rFonts w:eastAsiaTheme="minorEastAsia"/>
          <w:color w:val="000000" w:themeColor="text1"/>
        </w:rPr>
        <w:t>7</w:t>
      </w:r>
      <w:r w:rsidR="00662E58" w:rsidRPr="00844941">
        <w:rPr>
          <w:rFonts w:eastAsiaTheme="minorEastAsia"/>
          <w:color w:val="000000" w:themeColor="text1"/>
        </w:rPr>
        <w:t>. </w:t>
      </w:r>
      <w:r w:rsidR="00662E58" w:rsidRPr="00844941">
        <w:rPr>
          <w:rFonts w:eastAsiaTheme="minorEastAsia"/>
          <w:noProof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E5CE267" w14:textId="77777777" w:rsidR="00326776" w:rsidRPr="00844941" w:rsidRDefault="00326776" w:rsidP="00844941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23E96745" w14:textId="2ED9D8AE" w:rsidR="00662E58" w:rsidRPr="00844941" w:rsidRDefault="00326776" w:rsidP="00844941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44941">
        <w:rPr>
          <w:rFonts w:eastAsiaTheme="minorEastAsia"/>
          <w:color w:val="000000" w:themeColor="text1"/>
        </w:rPr>
        <w:t>8</w:t>
      </w:r>
      <w:r w:rsidR="00662E58" w:rsidRPr="00844941">
        <w:rPr>
          <w:rFonts w:eastAsiaTheme="minorEastAsia"/>
          <w:color w:val="000000" w:themeColor="text1"/>
        </w:rPr>
        <w:t>. </w:t>
      </w:r>
      <w:r w:rsidR="00662E58" w:rsidRPr="00844941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</w:t>
      </w:r>
      <w:r w:rsidR="00EF75E4" w:rsidRPr="00844941">
        <w:rPr>
          <w:rFonts w:eastAsiaTheme="minorEastAsia"/>
          <w:noProof/>
          <w:color w:val="000000" w:themeColor="text1"/>
          <w:lang w:eastAsia="en-US"/>
        </w:rPr>
        <w:t xml:space="preserve"> її </w:t>
      </w:r>
      <w:r w:rsidR="001B007A" w:rsidRPr="001B007A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662E58" w:rsidRPr="00844941">
        <w:rPr>
          <w:rFonts w:eastAsiaTheme="minorEastAsia"/>
          <w:noProof/>
          <w:color w:val="000000" w:themeColor="text1"/>
          <w:lang w:eastAsia="en-US"/>
        </w:rPr>
        <w:t>.</w:t>
      </w:r>
    </w:p>
    <w:p w14:paraId="32B2F6C4" w14:textId="77777777" w:rsidR="00E42621" w:rsidRPr="00844941" w:rsidRDefault="00E42621" w:rsidP="00E42621">
      <w:pPr>
        <w:tabs>
          <w:tab w:val="left" w:pos="993"/>
        </w:tabs>
        <w:spacing w:after="120"/>
        <w:rPr>
          <w:color w:val="000000" w:themeColor="text1"/>
        </w:rPr>
      </w:pPr>
    </w:p>
    <w:p w14:paraId="32B2F6C5" w14:textId="77777777" w:rsidR="0095741D" w:rsidRPr="00844941" w:rsidRDefault="0095741D" w:rsidP="005F4548">
      <w:pPr>
        <w:spacing w:after="12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844941" w14:paraId="32B2F6C8" w14:textId="77777777" w:rsidTr="00BD6D34">
        <w:tc>
          <w:tcPr>
            <w:tcW w:w="5495" w:type="dxa"/>
            <w:vAlign w:val="bottom"/>
          </w:tcPr>
          <w:p w14:paraId="32B2F6C6" w14:textId="6C49AC2A" w:rsidR="00DD60CC" w:rsidRPr="00844941" w:rsidRDefault="00662E58" w:rsidP="003C10F1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844941">
              <w:rPr>
                <w:rFonts w:eastAsiaTheme="minorHAnsi" w:cstheme="minorBidi"/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9344A74" w:rsidR="00DD60CC" w:rsidRPr="00844941" w:rsidRDefault="00662E58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844941">
              <w:rPr>
                <w:rFonts w:eastAsiaTheme="minorHAnsi" w:cstheme="minorBidi"/>
                <w:color w:val="000000" w:themeColor="text1"/>
              </w:rPr>
              <w:t>Кирило ШЕВЧЕНКО</w:t>
            </w:r>
          </w:p>
        </w:tc>
      </w:tr>
    </w:tbl>
    <w:p w14:paraId="32B2F6C9" w14:textId="77777777" w:rsidR="008D10FD" w:rsidRPr="00844941" w:rsidRDefault="008D10FD" w:rsidP="00E53CCD">
      <w:pPr>
        <w:rPr>
          <w:color w:val="000000" w:themeColor="text1"/>
        </w:rPr>
      </w:pPr>
    </w:p>
    <w:p w14:paraId="32B2F6CA" w14:textId="77777777" w:rsidR="00FA508E" w:rsidRPr="00844941" w:rsidRDefault="00FA508E" w:rsidP="00E53CCD">
      <w:pPr>
        <w:rPr>
          <w:color w:val="000000" w:themeColor="text1"/>
        </w:rPr>
      </w:pPr>
    </w:p>
    <w:p w14:paraId="32B2F6CB" w14:textId="4A8F6BD3" w:rsidR="00FA508E" w:rsidRPr="00844941" w:rsidRDefault="00FA508E" w:rsidP="00FA508E">
      <w:pPr>
        <w:jc w:val="left"/>
        <w:rPr>
          <w:rFonts w:eastAsiaTheme="minorHAnsi" w:cstheme="minorBidi"/>
          <w:color w:val="000000" w:themeColor="text1"/>
        </w:rPr>
      </w:pPr>
      <w:r w:rsidRPr="00844941">
        <w:rPr>
          <w:color w:val="000000" w:themeColor="text1"/>
        </w:rPr>
        <w:t>Інд.</w:t>
      </w:r>
      <w:r w:rsidRPr="00844941">
        <w:rPr>
          <w:color w:val="000000" w:themeColor="text1"/>
          <w:sz w:val="22"/>
          <w:szCs w:val="22"/>
        </w:rPr>
        <w:t xml:space="preserve"> </w:t>
      </w:r>
      <w:r w:rsidR="00662E58" w:rsidRPr="00844941">
        <w:rPr>
          <w:rFonts w:eastAsiaTheme="minorHAnsi" w:cstheme="minorBidi"/>
          <w:color w:val="000000" w:themeColor="text1"/>
        </w:rPr>
        <w:t>22</w:t>
      </w:r>
    </w:p>
    <w:p w14:paraId="7B286D84" w14:textId="58FE686C" w:rsidR="00230D7E" w:rsidRPr="00264353" w:rsidRDefault="00230D7E" w:rsidP="00FA508E">
      <w:pPr>
        <w:jc w:val="left"/>
        <w:rPr>
          <w:rFonts w:eastAsiaTheme="minorHAnsi" w:cstheme="minorBidi"/>
        </w:rPr>
      </w:pPr>
    </w:p>
    <w:sectPr w:rsidR="00230D7E" w:rsidRPr="00264353" w:rsidSect="00484CCD">
      <w:headerReference w:type="default" r:id="rId14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02E1" w14:textId="77777777" w:rsidR="001B0CBA" w:rsidRDefault="001B0CBA" w:rsidP="00E53CCD">
      <w:r>
        <w:separator/>
      </w:r>
    </w:p>
  </w:endnote>
  <w:endnote w:type="continuationSeparator" w:id="0">
    <w:p w14:paraId="668A62D6" w14:textId="77777777" w:rsidR="001B0CBA" w:rsidRDefault="001B0CB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ADFB" w14:textId="77777777" w:rsidR="001B0CBA" w:rsidRDefault="001B0CBA" w:rsidP="00E53CCD">
      <w:r>
        <w:separator/>
      </w:r>
    </w:p>
  </w:footnote>
  <w:footnote w:type="continuationSeparator" w:id="0">
    <w:p w14:paraId="295D0C70" w14:textId="77777777" w:rsidR="001B0CBA" w:rsidRDefault="001B0CB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70980"/>
      <w:docPartObj>
        <w:docPartGallery w:val="Page Numbers (Top of Page)"/>
        <w:docPartUnique/>
      </w:docPartObj>
    </w:sdtPr>
    <w:sdtEndPr/>
    <w:sdtContent>
      <w:p w14:paraId="4C975C05" w14:textId="78C319FB" w:rsidR="00484CCD" w:rsidRDefault="00484C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A62">
          <w:rPr>
            <w:noProof/>
          </w:rPr>
          <w:t>5</w:t>
        </w:r>
        <w:r>
          <w:fldChar w:fldCharType="end"/>
        </w:r>
      </w:p>
    </w:sdtContent>
  </w:sdt>
  <w:p w14:paraId="65B1FF5C" w14:textId="77777777" w:rsidR="00484CCD" w:rsidRDefault="00484C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92CA3"/>
    <w:multiLevelType w:val="hybridMultilevel"/>
    <w:tmpl w:val="C9764D12"/>
    <w:lvl w:ilvl="0" w:tplc="3C60A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C54719"/>
    <w:multiLevelType w:val="hybridMultilevel"/>
    <w:tmpl w:val="C150D4E4"/>
    <w:lvl w:ilvl="0" w:tplc="0FF2FF82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00247"/>
    <w:multiLevelType w:val="hybridMultilevel"/>
    <w:tmpl w:val="E64C8854"/>
    <w:lvl w:ilvl="0" w:tplc="838280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4FBB"/>
    <w:multiLevelType w:val="hybridMultilevel"/>
    <w:tmpl w:val="C316D39E"/>
    <w:lvl w:ilvl="0" w:tplc="F836DF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DE0"/>
    <w:rsid w:val="000064FA"/>
    <w:rsid w:val="000069AF"/>
    <w:rsid w:val="00010B98"/>
    <w:rsid w:val="00014A2C"/>
    <w:rsid w:val="00015CF3"/>
    <w:rsid w:val="00015FDE"/>
    <w:rsid w:val="00025F04"/>
    <w:rsid w:val="00033044"/>
    <w:rsid w:val="0003331E"/>
    <w:rsid w:val="000342A5"/>
    <w:rsid w:val="0003793C"/>
    <w:rsid w:val="000543C6"/>
    <w:rsid w:val="000600A8"/>
    <w:rsid w:val="00061C52"/>
    <w:rsid w:val="00063480"/>
    <w:rsid w:val="000638F2"/>
    <w:rsid w:val="000664AC"/>
    <w:rsid w:val="00072455"/>
    <w:rsid w:val="00076F2A"/>
    <w:rsid w:val="000B2990"/>
    <w:rsid w:val="000D778F"/>
    <w:rsid w:val="000E0CB3"/>
    <w:rsid w:val="000E5B8C"/>
    <w:rsid w:val="000E7A13"/>
    <w:rsid w:val="000F1D4A"/>
    <w:rsid w:val="00101D49"/>
    <w:rsid w:val="00106229"/>
    <w:rsid w:val="00111218"/>
    <w:rsid w:val="00115ECF"/>
    <w:rsid w:val="00120264"/>
    <w:rsid w:val="00135379"/>
    <w:rsid w:val="001631E2"/>
    <w:rsid w:val="001716B0"/>
    <w:rsid w:val="00173B88"/>
    <w:rsid w:val="001740C0"/>
    <w:rsid w:val="00175757"/>
    <w:rsid w:val="001832E3"/>
    <w:rsid w:val="00184157"/>
    <w:rsid w:val="0018427E"/>
    <w:rsid w:val="00190E1A"/>
    <w:rsid w:val="00194797"/>
    <w:rsid w:val="001A0EE5"/>
    <w:rsid w:val="001A13F9"/>
    <w:rsid w:val="001A16FA"/>
    <w:rsid w:val="001A3BFA"/>
    <w:rsid w:val="001A4CB9"/>
    <w:rsid w:val="001A6795"/>
    <w:rsid w:val="001B007A"/>
    <w:rsid w:val="001B0CBA"/>
    <w:rsid w:val="001B78F7"/>
    <w:rsid w:val="001C206C"/>
    <w:rsid w:val="001D487A"/>
    <w:rsid w:val="001D6167"/>
    <w:rsid w:val="002010AB"/>
    <w:rsid w:val="002238D1"/>
    <w:rsid w:val="002267C7"/>
    <w:rsid w:val="00230D7E"/>
    <w:rsid w:val="00233F37"/>
    <w:rsid w:val="00241373"/>
    <w:rsid w:val="00253BF9"/>
    <w:rsid w:val="0025455E"/>
    <w:rsid w:val="00264353"/>
    <w:rsid w:val="00264983"/>
    <w:rsid w:val="00266678"/>
    <w:rsid w:val="00267BD6"/>
    <w:rsid w:val="00272A30"/>
    <w:rsid w:val="00276988"/>
    <w:rsid w:val="00280DCC"/>
    <w:rsid w:val="0028155C"/>
    <w:rsid w:val="00285DDA"/>
    <w:rsid w:val="00287F2C"/>
    <w:rsid w:val="00290169"/>
    <w:rsid w:val="002A2391"/>
    <w:rsid w:val="002A2470"/>
    <w:rsid w:val="002A4F12"/>
    <w:rsid w:val="002B351E"/>
    <w:rsid w:val="002B3F71"/>
    <w:rsid w:val="002B582B"/>
    <w:rsid w:val="002C01D9"/>
    <w:rsid w:val="002C11DF"/>
    <w:rsid w:val="002C1FDB"/>
    <w:rsid w:val="002D1790"/>
    <w:rsid w:val="002D28D0"/>
    <w:rsid w:val="002F48EF"/>
    <w:rsid w:val="00303A8A"/>
    <w:rsid w:val="0030661E"/>
    <w:rsid w:val="00313DA7"/>
    <w:rsid w:val="00326776"/>
    <w:rsid w:val="00332701"/>
    <w:rsid w:val="00340D07"/>
    <w:rsid w:val="00345982"/>
    <w:rsid w:val="00350407"/>
    <w:rsid w:val="003521E1"/>
    <w:rsid w:val="00356E34"/>
    <w:rsid w:val="00357676"/>
    <w:rsid w:val="003600E6"/>
    <w:rsid w:val="00361377"/>
    <w:rsid w:val="00382AB9"/>
    <w:rsid w:val="0038385E"/>
    <w:rsid w:val="00383A6A"/>
    <w:rsid w:val="00384F65"/>
    <w:rsid w:val="0039725C"/>
    <w:rsid w:val="003A16E7"/>
    <w:rsid w:val="003A23FF"/>
    <w:rsid w:val="003A751F"/>
    <w:rsid w:val="003B2AA2"/>
    <w:rsid w:val="003C10F1"/>
    <w:rsid w:val="003C3282"/>
    <w:rsid w:val="003C3985"/>
    <w:rsid w:val="003D6B33"/>
    <w:rsid w:val="003E2290"/>
    <w:rsid w:val="003E6BA7"/>
    <w:rsid w:val="003F0441"/>
    <w:rsid w:val="003F28B5"/>
    <w:rsid w:val="003F7093"/>
    <w:rsid w:val="00401EDB"/>
    <w:rsid w:val="00404C93"/>
    <w:rsid w:val="00407877"/>
    <w:rsid w:val="00412FDA"/>
    <w:rsid w:val="004130B9"/>
    <w:rsid w:val="004236C0"/>
    <w:rsid w:val="00443597"/>
    <w:rsid w:val="00446704"/>
    <w:rsid w:val="00455B45"/>
    <w:rsid w:val="00460BA2"/>
    <w:rsid w:val="00463A91"/>
    <w:rsid w:val="004666D6"/>
    <w:rsid w:val="0047013D"/>
    <w:rsid w:val="00473EF2"/>
    <w:rsid w:val="00483B3B"/>
    <w:rsid w:val="00484CCD"/>
    <w:rsid w:val="00487B3D"/>
    <w:rsid w:val="004A1CFC"/>
    <w:rsid w:val="004A7F75"/>
    <w:rsid w:val="004B1FE9"/>
    <w:rsid w:val="004B5574"/>
    <w:rsid w:val="004D2B57"/>
    <w:rsid w:val="004D7D90"/>
    <w:rsid w:val="004E1BFA"/>
    <w:rsid w:val="004E22E2"/>
    <w:rsid w:val="0050563F"/>
    <w:rsid w:val="00513E30"/>
    <w:rsid w:val="0052100F"/>
    <w:rsid w:val="005212A1"/>
    <w:rsid w:val="005212C5"/>
    <w:rsid w:val="00523C13"/>
    <w:rsid w:val="00524C4B"/>
    <w:rsid w:val="00524F07"/>
    <w:rsid w:val="005257C2"/>
    <w:rsid w:val="00532633"/>
    <w:rsid w:val="00532F61"/>
    <w:rsid w:val="005403F1"/>
    <w:rsid w:val="00542533"/>
    <w:rsid w:val="005624B6"/>
    <w:rsid w:val="00562C46"/>
    <w:rsid w:val="00572362"/>
    <w:rsid w:val="0057237F"/>
    <w:rsid w:val="0057393D"/>
    <w:rsid w:val="005742E8"/>
    <w:rsid w:val="00577402"/>
    <w:rsid w:val="005822CB"/>
    <w:rsid w:val="0058293A"/>
    <w:rsid w:val="00583732"/>
    <w:rsid w:val="005846E1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0EEA"/>
    <w:rsid w:val="005F4548"/>
    <w:rsid w:val="005F4692"/>
    <w:rsid w:val="005F4C98"/>
    <w:rsid w:val="005F4CB4"/>
    <w:rsid w:val="005F6B35"/>
    <w:rsid w:val="00607353"/>
    <w:rsid w:val="00640612"/>
    <w:rsid w:val="0064154D"/>
    <w:rsid w:val="0064227D"/>
    <w:rsid w:val="0065179F"/>
    <w:rsid w:val="00657593"/>
    <w:rsid w:val="00662E58"/>
    <w:rsid w:val="0066509D"/>
    <w:rsid w:val="00670C95"/>
    <w:rsid w:val="0067637D"/>
    <w:rsid w:val="006925CE"/>
    <w:rsid w:val="00692C8C"/>
    <w:rsid w:val="00695731"/>
    <w:rsid w:val="006A4598"/>
    <w:rsid w:val="006A55DA"/>
    <w:rsid w:val="006A6010"/>
    <w:rsid w:val="006B06FF"/>
    <w:rsid w:val="006B2748"/>
    <w:rsid w:val="006B2A50"/>
    <w:rsid w:val="006B34B2"/>
    <w:rsid w:val="006B465F"/>
    <w:rsid w:val="006B6A62"/>
    <w:rsid w:val="006C06A1"/>
    <w:rsid w:val="006C0F22"/>
    <w:rsid w:val="006C13B1"/>
    <w:rsid w:val="006C4176"/>
    <w:rsid w:val="006C66EF"/>
    <w:rsid w:val="006D2617"/>
    <w:rsid w:val="006D2CD8"/>
    <w:rsid w:val="006D4185"/>
    <w:rsid w:val="006F581A"/>
    <w:rsid w:val="00700AA3"/>
    <w:rsid w:val="007142BA"/>
    <w:rsid w:val="00714823"/>
    <w:rsid w:val="00717197"/>
    <w:rsid w:val="0071789F"/>
    <w:rsid w:val="00730088"/>
    <w:rsid w:val="00745D2F"/>
    <w:rsid w:val="00747222"/>
    <w:rsid w:val="00750898"/>
    <w:rsid w:val="00762BD1"/>
    <w:rsid w:val="0076356A"/>
    <w:rsid w:val="007712EF"/>
    <w:rsid w:val="00772675"/>
    <w:rsid w:val="00773559"/>
    <w:rsid w:val="0078127A"/>
    <w:rsid w:val="00783AF2"/>
    <w:rsid w:val="00787E46"/>
    <w:rsid w:val="0079000C"/>
    <w:rsid w:val="007947E0"/>
    <w:rsid w:val="007A1140"/>
    <w:rsid w:val="007A6609"/>
    <w:rsid w:val="007B7B73"/>
    <w:rsid w:val="007C2CED"/>
    <w:rsid w:val="007D37B0"/>
    <w:rsid w:val="007F16F3"/>
    <w:rsid w:val="007F4A2A"/>
    <w:rsid w:val="00801402"/>
    <w:rsid w:val="00802988"/>
    <w:rsid w:val="00820843"/>
    <w:rsid w:val="008274C0"/>
    <w:rsid w:val="008415A0"/>
    <w:rsid w:val="00844941"/>
    <w:rsid w:val="008511B6"/>
    <w:rsid w:val="0085364B"/>
    <w:rsid w:val="00866993"/>
    <w:rsid w:val="00874366"/>
    <w:rsid w:val="008762D8"/>
    <w:rsid w:val="00893207"/>
    <w:rsid w:val="00897035"/>
    <w:rsid w:val="008A22B4"/>
    <w:rsid w:val="008B1589"/>
    <w:rsid w:val="008B3EBC"/>
    <w:rsid w:val="008B5CF2"/>
    <w:rsid w:val="008B6096"/>
    <w:rsid w:val="008B74DD"/>
    <w:rsid w:val="008C0FCE"/>
    <w:rsid w:val="008C3127"/>
    <w:rsid w:val="008C72B5"/>
    <w:rsid w:val="008D10FD"/>
    <w:rsid w:val="008D122F"/>
    <w:rsid w:val="008D5F60"/>
    <w:rsid w:val="008D727F"/>
    <w:rsid w:val="008E42D8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43932"/>
    <w:rsid w:val="00955FC1"/>
    <w:rsid w:val="0095741D"/>
    <w:rsid w:val="0097288F"/>
    <w:rsid w:val="0098207E"/>
    <w:rsid w:val="00990AAE"/>
    <w:rsid w:val="009A5FFD"/>
    <w:rsid w:val="009B6120"/>
    <w:rsid w:val="009C2F76"/>
    <w:rsid w:val="009F42F7"/>
    <w:rsid w:val="009F5312"/>
    <w:rsid w:val="00A02655"/>
    <w:rsid w:val="00A02AEC"/>
    <w:rsid w:val="00A0594A"/>
    <w:rsid w:val="00A05FA9"/>
    <w:rsid w:val="00A12C47"/>
    <w:rsid w:val="00A23E04"/>
    <w:rsid w:val="00A3742F"/>
    <w:rsid w:val="00A46C15"/>
    <w:rsid w:val="00A505B9"/>
    <w:rsid w:val="00A50DC0"/>
    <w:rsid w:val="00A573D6"/>
    <w:rsid w:val="00A60F43"/>
    <w:rsid w:val="00A63695"/>
    <w:rsid w:val="00A72F06"/>
    <w:rsid w:val="00A730F2"/>
    <w:rsid w:val="00A77FFD"/>
    <w:rsid w:val="00AB4554"/>
    <w:rsid w:val="00AB4866"/>
    <w:rsid w:val="00AB6873"/>
    <w:rsid w:val="00AC3F47"/>
    <w:rsid w:val="00AC47B6"/>
    <w:rsid w:val="00AC62F2"/>
    <w:rsid w:val="00AD348A"/>
    <w:rsid w:val="00AD7DF9"/>
    <w:rsid w:val="00AE29BB"/>
    <w:rsid w:val="00AE2CAF"/>
    <w:rsid w:val="00AF33D9"/>
    <w:rsid w:val="00AF4675"/>
    <w:rsid w:val="00B002E4"/>
    <w:rsid w:val="00B127D7"/>
    <w:rsid w:val="00B26C20"/>
    <w:rsid w:val="00B332B2"/>
    <w:rsid w:val="00B34CCC"/>
    <w:rsid w:val="00B34E1D"/>
    <w:rsid w:val="00B36EC7"/>
    <w:rsid w:val="00B36EDD"/>
    <w:rsid w:val="00B61C97"/>
    <w:rsid w:val="00B628C5"/>
    <w:rsid w:val="00B71933"/>
    <w:rsid w:val="00B76BDE"/>
    <w:rsid w:val="00B8078D"/>
    <w:rsid w:val="00BC56CC"/>
    <w:rsid w:val="00BD12A3"/>
    <w:rsid w:val="00BD6D34"/>
    <w:rsid w:val="00BD7F6E"/>
    <w:rsid w:val="00BF03EC"/>
    <w:rsid w:val="00BF47B0"/>
    <w:rsid w:val="00BF5327"/>
    <w:rsid w:val="00C21D33"/>
    <w:rsid w:val="00C3382F"/>
    <w:rsid w:val="00C37C44"/>
    <w:rsid w:val="00C4377C"/>
    <w:rsid w:val="00C47F0F"/>
    <w:rsid w:val="00C51D84"/>
    <w:rsid w:val="00C52506"/>
    <w:rsid w:val="00C633F8"/>
    <w:rsid w:val="00C75698"/>
    <w:rsid w:val="00C770B6"/>
    <w:rsid w:val="00C82259"/>
    <w:rsid w:val="00C82963"/>
    <w:rsid w:val="00C9297C"/>
    <w:rsid w:val="00C94014"/>
    <w:rsid w:val="00CA7C3A"/>
    <w:rsid w:val="00CB0A99"/>
    <w:rsid w:val="00CB5A09"/>
    <w:rsid w:val="00CC4934"/>
    <w:rsid w:val="00CD0CD4"/>
    <w:rsid w:val="00CE24A2"/>
    <w:rsid w:val="00CE3B9F"/>
    <w:rsid w:val="00CE51A9"/>
    <w:rsid w:val="00CF0066"/>
    <w:rsid w:val="00CF12EC"/>
    <w:rsid w:val="00CF1FB8"/>
    <w:rsid w:val="00CF2C65"/>
    <w:rsid w:val="00CF31AB"/>
    <w:rsid w:val="00CF6DCD"/>
    <w:rsid w:val="00D078B6"/>
    <w:rsid w:val="00D1022C"/>
    <w:rsid w:val="00D13CB9"/>
    <w:rsid w:val="00D26ACF"/>
    <w:rsid w:val="00D27115"/>
    <w:rsid w:val="00D34DCC"/>
    <w:rsid w:val="00D445BD"/>
    <w:rsid w:val="00D61D9B"/>
    <w:rsid w:val="00DA2B13"/>
    <w:rsid w:val="00DA2F09"/>
    <w:rsid w:val="00DB0C4E"/>
    <w:rsid w:val="00DC1E60"/>
    <w:rsid w:val="00DD60CC"/>
    <w:rsid w:val="00DE1BC8"/>
    <w:rsid w:val="00DF4D12"/>
    <w:rsid w:val="00DF6A0F"/>
    <w:rsid w:val="00E10AE2"/>
    <w:rsid w:val="00E10F0A"/>
    <w:rsid w:val="00E212D9"/>
    <w:rsid w:val="00E21875"/>
    <w:rsid w:val="00E25407"/>
    <w:rsid w:val="00E32599"/>
    <w:rsid w:val="00E33B0E"/>
    <w:rsid w:val="00E42621"/>
    <w:rsid w:val="00E446A6"/>
    <w:rsid w:val="00E5075B"/>
    <w:rsid w:val="00E53CB5"/>
    <w:rsid w:val="00E53CCD"/>
    <w:rsid w:val="00E56A7A"/>
    <w:rsid w:val="00E62607"/>
    <w:rsid w:val="00E62C79"/>
    <w:rsid w:val="00E71855"/>
    <w:rsid w:val="00E719A9"/>
    <w:rsid w:val="00E80EDF"/>
    <w:rsid w:val="00E85117"/>
    <w:rsid w:val="00E87FAA"/>
    <w:rsid w:val="00EA0A77"/>
    <w:rsid w:val="00EA1DE4"/>
    <w:rsid w:val="00EA60EA"/>
    <w:rsid w:val="00EB29BF"/>
    <w:rsid w:val="00EC16E2"/>
    <w:rsid w:val="00EC7C7F"/>
    <w:rsid w:val="00EE1B30"/>
    <w:rsid w:val="00EE7EB8"/>
    <w:rsid w:val="00EF4B42"/>
    <w:rsid w:val="00EF75E4"/>
    <w:rsid w:val="00F003D3"/>
    <w:rsid w:val="00F008AB"/>
    <w:rsid w:val="00F03E32"/>
    <w:rsid w:val="00F26122"/>
    <w:rsid w:val="00F413CD"/>
    <w:rsid w:val="00F42289"/>
    <w:rsid w:val="00F42E75"/>
    <w:rsid w:val="00F44E3F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041C"/>
    <w:rsid w:val="00FA1B73"/>
    <w:rsid w:val="00FA508E"/>
    <w:rsid w:val="00FA5320"/>
    <w:rsid w:val="00FA7846"/>
    <w:rsid w:val="00FC26E5"/>
    <w:rsid w:val="00FD19F1"/>
    <w:rsid w:val="00FD35F6"/>
    <w:rsid w:val="00FD370F"/>
    <w:rsid w:val="00FD7F2C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B3865B1B-52C9-4EC4-8684-6D71FA2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662E58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267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67C7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2267C7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67C7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2267C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semiHidden/>
    <w:unhideWhenUsed/>
    <w:rsid w:val="00A60F4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b">
    <w:name w:val="Revision"/>
    <w:hidden/>
    <w:uiPriority w:val="99"/>
    <w:semiHidden/>
    <w:rsid w:val="00C7569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етка таблицы1"/>
    <w:basedOn w:val="a1"/>
    <w:next w:val="a9"/>
    <w:uiPriority w:val="59"/>
    <w:rsid w:val="00D13CB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86D4D6-1760-4470-A88E-DFAE24EB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6152</Words>
  <Characters>3507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Vlad Yarmolenko</cp:lastModifiedBy>
  <cp:revision>7</cp:revision>
  <cp:lastPrinted>2015-04-06T07:59:00Z</cp:lastPrinted>
  <dcterms:created xsi:type="dcterms:W3CDTF">2022-03-07T06:19:00Z</dcterms:created>
  <dcterms:modified xsi:type="dcterms:W3CDTF">2022-03-07T17:17:00Z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