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975DBC" w14:textId="77777777" w:rsidR="00967711" w:rsidRPr="00257A3D" w:rsidRDefault="00967711" w:rsidP="00967711">
      <w:pPr>
        <w:rPr>
          <w:sz w:val="2"/>
          <w:szCs w:val="2"/>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8"/>
        <w:gridCol w:w="3226"/>
        <w:gridCol w:w="3204"/>
      </w:tblGrid>
      <w:tr w:rsidR="00967711" w:rsidRPr="00257A3D" w14:paraId="1B5AA01E" w14:textId="77777777" w:rsidTr="00E054A9">
        <w:trPr>
          <w:trHeight w:val="851"/>
        </w:trPr>
        <w:tc>
          <w:tcPr>
            <w:tcW w:w="3284" w:type="dxa"/>
          </w:tcPr>
          <w:p w14:paraId="2BF3D55B" w14:textId="77777777" w:rsidR="00967711" w:rsidRPr="00257A3D" w:rsidRDefault="00967711" w:rsidP="00E054A9"/>
        </w:tc>
        <w:tc>
          <w:tcPr>
            <w:tcW w:w="3285" w:type="dxa"/>
            <w:vMerge w:val="restart"/>
          </w:tcPr>
          <w:p w14:paraId="444CD8A7" w14:textId="77777777" w:rsidR="00967711" w:rsidRPr="00257A3D" w:rsidRDefault="00967711" w:rsidP="00E054A9">
            <w:pPr>
              <w:jc w:val="center"/>
            </w:pPr>
            <w:r w:rsidRPr="00257A3D">
              <w:object w:dxaOrig="1595" w:dyaOrig="2201" w14:anchorId="1E269E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pt;height:47.4pt" o:ole="">
                  <v:imagedata r:id="rId12" o:title=""/>
                </v:shape>
                <o:OLEObject Type="Embed" ProgID="CorelDraw.Graphic.16" ShapeID="_x0000_i1025" DrawAspect="Content" ObjectID="_1739717094" r:id="rId13"/>
              </w:object>
            </w:r>
          </w:p>
        </w:tc>
        <w:tc>
          <w:tcPr>
            <w:tcW w:w="3285" w:type="dxa"/>
          </w:tcPr>
          <w:p w14:paraId="53205B47" w14:textId="77777777" w:rsidR="00967711" w:rsidRPr="00257A3D" w:rsidRDefault="00967711" w:rsidP="00E054A9"/>
        </w:tc>
      </w:tr>
      <w:tr w:rsidR="00967711" w:rsidRPr="00257A3D" w14:paraId="3473E8C4" w14:textId="77777777" w:rsidTr="00E054A9">
        <w:tc>
          <w:tcPr>
            <w:tcW w:w="3284" w:type="dxa"/>
          </w:tcPr>
          <w:p w14:paraId="7EBD52E5" w14:textId="77777777" w:rsidR="00967711" w:rsidRPr="00257A3D" w:rsidRDefault="00967711" w:rsidP="00E054A9"/>
        </w:tc>
        <w:tc>
          <w:tcPr>
            <w:tcW w:w="3285" w:type="dxa"/>
            <w:vMerge/>
          </w:tcPr>
          <w:p w14:paraId="40221DA4" w14:textId="77777777" w:rsidR="00967711" w:rsidRPr="00257A3D" w:rsidRDefault="00967711" w:rsidP="00E054A9"/>
        </w:tc>
        <w:tc>
          <w:tcPr>
            <w:tcW w:w="3285" w:type="dxa"/>
          </w:tcPr>
          <w:p w14:paraId="77D7FF8E" w14:textId="77777777" w:rsidR="00967711" w:rsidRPr="00257A3D" w:rsidRDefault="00967711" w:rsidP="00E054A9"/>
        </w:tc>
      </w:tr>
      <w:tr w:rsidR="00967711" w:rsidRPr="00257A3D" w14:paraId="0F502C13" w14:textId="77777777" w:rsidTr="00E054A9">
        <w:tc>
          <w:tcPr>
            <w:tcW w:w="9854" w:type="dxa"/>
            <w:gridSpan w:val="3"/>
          </w:tcPr>
          <w:p w14:paraId="5DB57C8C" w14:textId="77777777" w:rsidR="00967711" w:rsidRPr="00257A3D" w:rsidRDefault="00967711" w:rsidP="00E054A9">
            <w:pPr>
              <w:tabs>
                <w:tab w:val="left" w:pos="-3600"/>
              </w:tabs>
              <w:spacing w:before="120" w:after="120"/>
              <w:jc w:val="center"/>
              <w:rPr>
                <w:b/>
                <w:bCs/>
                <w:color w:val="006600"/>
                <w:spacing w:val="10"/>
              </w:rPr>
            </w:pPr>
            <w:r w:rsidRPr="00257A3D">
              <w:rPr>
                <w:b/>
                <w:bCs/>
                <w:color w:val="006600"/>
                <w:spacing w:val="10"/>
              </w:rPr>
              <w:t>Правління Національного банку України</w:t>
            </w:r>
          </w:p>
          <w:p w14:paraId="1677DC6E" w14:textId="77777777" w:rsidR="00967711" w:rsidRPr="00257A3D" w:rsidRDefault="00967711" w:rsidP="00D75789">
            <w:pPr>
              <w:jc w:val="center"/>
            </w:pPr>
            <w:r w:rsidRPr="00257A3D">
              <w:rPr>
                <w:b/>
                <w:noProof/>
                <w:color w:val="006600"/>
                <w:sz w:val="32"/>
                <w:szCs w:val="32"/>
              </w:rPr>
              <w:t>Р І Ш Е Н Н Я</w:t>
            </w:r>
          </w:p>
        </w:tc>
      </w:tr>
    </w:tbl>
    <w:p w14:paraId="11B78CA7" w14:textId="77777777" w:rsidR="00967711" w:rsidRPr="00257A3D" w:rsidRDefault="00967711" w:rsidP="00967711">
      <w:pPr>
        <w:rPr>
          <w:sz w:val="4"/>
          <w:szCs w:val="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4"/>
        <w:gridCol w:w="2223"/>
        <w:gridCol w:w="1805"/>
        <w:gridCol w:w="1896"/>
      </w:tblGrid>
      <w:tr w:rsidR="00967711" w:rsidRPr="00257A3D" w14:paraId="7E223857" w14:textId="77777777" w:rsidTr="00D37F10">
        <w:tc>
          <w:tcPr>
            <w:tcW w:w="3794" w:type="dxa"/>
            <w:vAlign w:val="bottom"/>
          </w:tcPr>
          <w:p w14:paraId="499B9B8A" w14:textId="3887AE38" w:rsidR="00967711" w:rsidRPr="00054DF2" w:rsidRDefault="00054DF2" w:rsidP="00054DF2">
            <w:pPr>
              <w:spacing w:before="240"/>
              <w:ind w:firstLine="34"/>
              <w:jc w:val="center"/>
              <w:rPr>
                <w:color w:val="006600"/>
              </w:rPr>
            </w:pPr>
            <w:r w:rsidRPr="00054DF2">
              <w:rPr>
                <w:color w:val="006600"/>
              </w:rPr>
              <w:t>від 07 березня 2023 року</w:t>
            </w:r>
          </w:p>
        </w:tc>
        <w:tc>
          <w:tcPr>
            <w:tcW w:w="2268" w:type="dxa"/>
          </w:tcPr>
          <w:p w14:paraId="71AAD1CD" w14:textId="3D32EA96" w:rsidR="00967711" w:rsidRPr="00054DF2" w:rsidRDefault="00967711" w:rsidP="00054DF2">
            <w:pPr>
              <w:spacing w:before="240"/>
              <w:ind w:firstLine="34"/>
              <w:jc w:val="center"/>
              <w:rPr>
                <w:color w:val="006600"/>
              </w:rPr>
            </w:pPr>
            <w:r w:rsidRPr="00257A3D">
              <w:rPr>
                <w:color w:val="006600"/>
              </w:rPr>
              <w:t>Київ</w:t>
            </w:r>
          </w:p>
        </w:tc>
        <w:tc>
          <w:tcPr>
            <w:tcW w:w="1855" w:type="dxa"/>
            <w:vAlign w:val="bottom"/>
          </w:tcPr>
          <w:p w14:paraId="413F890D" w14:textId="37C00612" w:rsidR="00967711" w:rsidRPr="00054DF2" w:rsidRDefault="00967711" w:rsidP="00054DF2">
            <w:pPr>
              <w:spacing w:before="240"/>
              <w:ind w:firstLine="34"/>
              <w:jc w:val="center"/>
              <w:rPr>
                <w:color w:val="006600"/>
              </w:rPr>
            </w:pPr>
          </w:p>
        </w:tc>
        <w:tc>
          <w:tcPr>
            <w:tcW w:w="1937" w:type="dxa"/>
            <w:vAlign w:val="bottom"/>
          </w:tcPr>
          <w:p w14:paraId="3D79A0FF" w14:textId="0B47A939" w:rsidR="00967711" w:rsidRPr="00054DF2" w:rsidRDefault="00054DF2" w:rsidP="00702640">
            <w:pPr>
              <w:spacing w:before="240"/>
              <w:ind w:firstLine="34"/>
              <w:rPr>
                <w:color w:val="006600"/>
              </w:rPr>
            </w:pPr>
            <w:r w:rsidRPr="00054DF2">
              <w:rPr>
                <w:color w:val="006600"/>
              </w:rPr>
              <w:t xml:space="preserve">№ </w:t>
            </w:r>
            <w:r w:rsidR="00702640">
              <w:rPr>
                <w:color w:val="006600"/>
              </w:rPr>
              <w:t>89</w:t>
            </w:r>
            <w:bookmarkStart w:id="0" w:name="_GoBack"/>
            <w:bookmarkEnd w:id="0"/>
            <w:r>
              <w:rPr>
                <w:color w:val="006600"/>
              </w:rPr>
              <w:t>-рш</w:t>
            </w:r>
          </w:p>
        </w:tc>
      </w:tr>
    </w:tbl>
    <w:p w14:paraId="01D85C6B" w14:textId="77777777" w:rsidR="00967711" w:rsidRPr="00257A3D" w:rsidRDefault="00967711" w:rsidP="00967711">
      <w:pPr>
        <w:rPr>
          <w:sz w:val="2"/>
          <w:szCs w:val="2"/>
        </w:rPr>
      </w:pPr>
    </w:p>
    <w:p w14:paraId="09954326" w14:textId="77777777" w:rsidR="00967711" w:rsidRPr="00257A3D" w:rsidRDefault="00967711" w:rsidP="00967711">
      <w:pPr>
        <w:rPr>
          <w:noProof/>
          <w:sz w:val="2"/>
          <w:szCs w:val="2"/>
        </w:rPr>
      </w:pPr>
    </w:p>
    <w:tbl>
      <w:tblPr>
        <w:tblStyle w:val="a9"/>
        <w:tblW w:w="3452" w:type="pct"/>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4"/>
      </w:tblGrid>
      <w:tr w:rsidR="002B3F71" w:rsidRPr="00257A3D" w14:paraId="1156EFD6" w14:textId="77777777" w:rsidTr="0050563F">
        <w:tc>
          <w:tcPr>
            <w:tcW w:w="5000" w:type="pct"/>
          </w:tcPr>
          <w:p w14:paraId="1156EFD5" w14:textId="31975AA5" w:rsidR="002B3F71" w:rsidRPr="00257A3D" w:rsidRDefault="009F385A" w:rsidP="00485E6C">
            <w:pPr>
              <w:spacing w:before="240" w:after="240"/>
              <w:jc w:val="center"/>
              <w:rPr>
                <w:rFonts w:eastAsiaTheme="minorEastAsia"/>
                <w:noProof/>
                <w:color w:val="000000" w:themeColor="text1"/>
                <w:lang w:eastAsia="en-US"/>
              </w:rPr>
            </w:pPr>
            <w:r w:rsidRPr="00257A3D">
              <w:rPr>
                <w:rFonts w:eastAsiaTheme="minorEastAsia"/>
                <w:noProof/>
                <w:color w:val="000000" w:themeColor="text1"/>
                <w:lang w:eastAsia="en-US"/>
              </w:rPr>
              <w:t>Про відкликання банківської ліцензії та ліквідацію ПРИВАТНОГО АКЦІОНЕРНОГО ТОВАРИСТВА “</w:t>
            </w:r>
            <w:r w:rsidR="00485E6C" w:rsidRPr="00257A3D">
              <w:rPr>
                <w:rFonts w:eastAsiaTheme="minorEastAsia"/>
                <w:noProof/>
                <w:color w:val="000000" w:themeColor="text1"/>
                <w:lang w:eastAsia="en-US"/>
              </w:rPr>
              <w:t>АЙБОКС БАНК</w:t>
            </w:r>
            <w:r w:rsidRPr="00257A3D">
              <w:rPr>
                <w:rFonts w:eastAsiaTheme="minorEastAsia"/>
                <w:noProof/>
                <w:color w:val="000000" w:themeColor="text1"/>
                <w:lang w:eastAsia="en-US"/>
              </w:rPr>
              <w:t>”</w:t>
            </w:r>
          </w:p>
        </w:tc>
      </w:tr>
    </w:tbl>
    <w:p w14:paraId="5C132C51" w14:textId="77777777" w:rsidR="000C6EA4" w:rsidRDefault="000C6EA4" w:rsidP="009E6E7F">
      <w:pPr>
        <w:pStyle w:val="af3"/>
        <w:ind w:left="0" w:firstLine="567"/>
        <w:contextualSpacing w:val="0"/>
        <w:rPr>
          <w:color w:val="000000" w:themeColor="text1"/>
          <w:lang w:eastAsia="ru-RU"/>
        </w:rPr>
      </w:pPr>
    </w:p>
    <w:p w14:paraId="28B272EB" w14:textId="089A0DEC" w:rsidR="00485E6C" w:rsidRPr="009E6E7F" w:rsidRDefault="00485E6C" w:rsidP="009E6E7F">
      <w:pPr>
        <w:pStyle w:val="af3"/>
        <w:ind w:left="0" w:firstLine="567"/>
        <w:contextualSpacing w:val="0"/>
        <w:rPr>
          <w:color w:val="000000" w:themeColor="text1"/>
          <w:lang w:eastAsia="ru-RU"/>
        </w:rPr>
      </w:pPr>
      <w:r w:rsidRPr="009E6E7F">
        <w:rPr>
          <w:color w:val="000000" w:themeColor="text1"/>
          <w:lang w:eastAsia="ru-RU"/>
        </w:rPr>
        <w:t xml:space="preserve">Розглянувши інформацію Департаменту фінансового моніторингу про відкликання банківської ліцензії та ліквідацію ПРИВАТНОГО АКЦІОНЕРНОГО ТОВАРИСТВА </w:t>
      </w:r>
      <w:r w:rsidRPr="009E6E7F">
        <w:rPr>
          <w:color w:val="000000" w:themeColor="text1"/>
        </w:rPr>
        <w:t>“</w:t>
      </w:r>
      <w:r w:rsidRPr="009E6E7F">
        <w:rPr>
          <w:color w:val="000000" w:themeColor="text1"/>
          <w:lang w:eastAsia="ru-RU"/>
        </w:rPr>
        <w:t>АЙБОКС БАНК</w:t>
      </w:r>
      <w:r w:rsidRPr="009E6E7F">
        <w:rPr>
          <w:color w:val="000000" w:themeColor="text1"/>
        </w:rPr>
        <w:t xml:space="preserve">” (далі – АТ “АЙБОКС БАНК”), викладену в пояснювальній записці Департаменту фінансового моніторингу від </w:t>
      </w:r>
      <w:r w:rsidR="008D771F" w:rsidRPr="009E6E7F">
        <w:rPr>
          <w:color w:val="000000" w:themeColor="text1"/>
        </w:rPr>
        <w:t>06</w:t>
      </w:r>
      <w:r w:rsidRPr="009E6E7F">
        <w:rPr>
          <w:color w:val="000000" w:themeColor="text1"/>
        </w:rPr>
        <w:t xml:space="preserve"> </w:t>
      </w:r>
      <w:r w:rsidR="008D771F" w:rsidRPr="009E6E7F">
        <w:rPr>
          <w:color w:val="000000" w:themeColor="text1"/>
        </w:rPr>
        <w:t>березня</w:t>
      </w:r>
      <w:r w:rsidRPr="009E6E7F">
        <w:rPr>
          <w:color w:val="000000" w:themeColor="text1"/>
        </w:rPr>
        <w:t xml:space="preserve"> 2023 року, </w:t>
      </w:r>
      <w:r w:rsidR="00A44A11" w:rsidRPr="009E6E7F">
        <w:rPr>
          <w:color w:val="000000" w:themeColor="text1"/>
        </w:rPr>
        <w:t xml:space="preserve">Правління </w:t>
      </w:r>
      <w:r w:rsidRPr="009E6E7F">
        <w:rPr>
          <w:color w:val="000000" w:themeColor="text1"/>
          <w:lang w:eastAsia="ru-RU"/>
        </w:rPr>
        <w:t>Національного банку України</w:t>
      </w:r>
      <w:r w:rsidR="00A44A11" w:rsidRPr="009E6E7F">
        <w:rPr>
          <w:color w:val="000000" w:themeColor="text1"/>
          <w:lang w:eastAsia="ru-RU"/>
        </w:rPr>
        <w:t xml:space="preserve"> </w:t>
      </w:r>
      <w:r w:rsidRPr="009E6E7F">
        <w:rPr>
          <w:color w:val="000000" w:themeColor="text1"/>
          <w:lang w:eastAsia="ru-RU"/>
        </w:rPr>
        <w:t xml:space="preserve">зазначає таке. </w:t>
      </w:r>
    </w:p>
    <w:p w14:paraId="33672674" w14:textId="480ED84B" w:rsidR="00485E6C" w:rsidRPr="009E6E7F" w:rsidRDefault="00485E6C" w:rsidP="009E6E7F">
      <w:pPr>
        <w:ind w:firstLine="567"/>
        <w:rPr>
          <w:color w:val="000000" w:themeColor="text1"/>
        </w:rPr>
      </w:pPr>
      <w:r w:rsidRPr="009E6E7F">
        <w:rPr>
          <w:color w:val="000000" w:themeColor="text1"/>
        </w:rPr>
        <w:t xml:space="preserve">АТ “АЙБОКС БАНК” допустило </w:t>
      </w:r>
      <w:r w:rsidR="000B1FFE" w:rsidRPr="009E6E7F">
        <w:rPr>
          <w:color w:val="000000" w:themeColor="text1"/>
        </w:rPr>
        <w:t xml:space="preserve">систематичні </w:t>
      </w:r>
      <w:r w:rsidRPr="009E6E7F">
        <w:rPr>
          <w:color w:val="000000" w:themeColor="text1"/>
          <w:shd w:val="clear" w:color="auto" w:fill="FFFFFF"/>
        </w:rPr>
        <w:t xml:space="preserve">порушення </w:t>
      </w:r>
      <w:r w:rsidR="00C2549B" w:rsidRPr="009E6E7F">
        <w:rPr>
          <w:color w:val="000000" w:themeColor="text1"/>
          <w:shd w:val="clear" w:color="auto" w:fill="FFFFFF"/>
        </w:rPr>
        <w:t xml:space="preserve">вимог </w:t>
      </w:r>
      <w:r w:rsidRPr="009E6E7F">
        <w:rPr>
          <w:color w:val="000000" w:themeColor="text1"/>
          <w:shd w:val="clear" w:color="auto" w:fill="FFFFFF"/>
        </w:rPr>
        <w:t>законодавства у сфері запобігання та протидії легалізації (відмиванню) доходів, одержаних злочинним шляхом, або фінансуванню тероризму та фінансуванню розповсюдження зброї масового знищення</w:t>
      </w:r>
      <w:r w:rsidRPr="009E6E7F">
        <w:rPr>
          <w:color w:val="000000" w:themeColor="text1"/>
        </w:rPr>
        <w:t xml:space="preserve"> (далі – запобігання та протидія).</w:t>
      </w:r>
    </w:p>
    <w:p w14:paraId="173AFFB8" w14:textId="36CA6B4E" w:rsidR="00485E6C" w:rsidRPr="009E6E7F" w:rsidRDefault="000B1FFE" w:rsidP="009E6E7F">
      <w:pPr>
        <w:ind w:firstLine="567"/>
        <w:rPr>
          <w:color w:val="000000" w:themeColor="text1"/>
          <w:lang w:eastAsia="ru-RU"/>
        </w:rPr>
      </w:pPr>
      <w:r w:rsidRPr="009E6E7F">
        <w:rPr>
          <w:color w:val="000000" w:themeColor="text1"/>
          <w:lang w:eastAsia="ru-RU"/>
        </w:rPr>
        <w:t xml:space="preserve">Вчинені систематичні </w:t>
      </w:r>
      <w:r w:rsidR="00485E6C" w:rsidRPr="009E6E7F">
        <w:rPr>
          <w:color w:val="000000" w:themeColor="text1"/>
          <w:lang w:eastAsia="ru-RU"/>
        </w:rPr>
        <w:t xml:space="preserve">порушення </w:t>
      </w:r>
      <w:r w:rsidRPr="009E6E7F">
        <w:rPr>
          <w:color w:val="000000" w:themeColor="text1"/>
          <w:lang w:eastAsia="ru-RU"/>
        </w:rPr>
        <w:t xml:space="preserve">підтверджуються </w:t>
      </w:r>
      <w:r w:rsidR="00485E6C" w:rsidRPr="009E6E7F">
        <w:rPr>
          <w:color w:val="000000" w:themeColor="text1"/>
          <w:lang w:eastAsia="ru-RU"/>
        </w:rPr>
        <w:t xml:space="preserve">результатами безвиїзного нагляду </w:t>
      </w:r>
      <w:r w:rsidR="00485E6C" w:rsidRPr="009E6E7F">
        <w:rPr>
          <w:color w:val="000000" w:themeColor="text1"/>
        </w:rPr>
        <w:t xml:space="preserve">з питань дотримання </w:t>
      </w:r>
      <w:r w:rsidR="00C2549B" w:rsidRPr="009E6E7F">
        <w:rPr>
          <w:color w:val="000000" w:themeColor="text1"/>
        </w:rPr>
        <w:t>АТ “АЙБОКС БАНК”</w:t>
      </w:r>
      <w:r w:rsidR="00485E6C" w:rsidRPr="009E6E7F">
        <w:rPr>
          <w:color w:val="000000" w:themeColor="text1"/>
        </w:rPr>
        <w:t xml:space="preserve"> вимог законодавства, що регулює відносини у сфері запобігання та протидії </w:t>
      </w:r>
      <w:r w:rsidR="00C2549B" w:rsidRPr="009E6E7F">
        <w:rPr>
          <w:color w:val="000000" w:themeColor="text1"/>
        </w:rPr>
        <w:br/>
      </w:r>
      <w:r w:rsidR="00485E6C" w:rsidRPr="009E6E7F">
        <w:rPr>
          <w:color w:val="000000" w:themeColor="text1"/>
        </w:rPr>
        <w:t xml:space="preserve">(далі – безвиїзний нагляд) </w:t>
      </w:r>
      <w:r w:rsidR="00C2549B" w:rsidRPr="009E6E7F">
        <w:rPr>
          <w:color w:val="000000" w:themeColor="text1"/>
        </w:rPr>
        <w:t xml:space="preserve">[Акт про результати безвиїзного нагляду з питань фінансового моніторингу від 06 січня 2023 року № В/25-0014/2660/БТ </w:t>
      </w:r>
      <w:r w:rsidR="00961C83" w:rsidRPr="009E6E7F">
        <w:rPr>
          <w:color w:val="000000" w:themeColor="text1"/>
        </w:rPr>
        <w:br/>
      </w:r>
      <w:r w:rsidR="00C2549B" w:rsidRPr="009E6E7F">
        <w:rPr>
          <w:color w:val="000000" w:themeColor="text1"/>
        </w:rPr>
        <w:t>(далі – Акт)]</w:t>
      </w:r>
      <w:r w:rsidR="00485E6C" w:rsidRPr="009E6E7F">
        <w:rPr>
          <w:color w:val="000000" w:themeColor="text1"/>
        </w:rPr>
        <w:t>.</w:t>
      </w:r>
    </w:p>
    <w:p w14:paraId="7F2406EC" w14:textId="6F7532FA" w:rsidR="00485E6C" w:rsidRPr="009E6E7F" w:rsidRDefault="00485E6C" w:rsidP="009E6E7F">
      <w:pPr>
        <w:ind w:firstLine="567"/>
        <w:rPr>
          <w:color w:val="000000" w:themeColor="text1"/>
          <w:lang w:eastAsia="ru-RU"/>
        </w:rPr>
      </w:pPr>
      <w:r w:rsidRPr="009E6E7F">
        <w:rPr>
          <w:color w:val="000000" w:themeColor="text1"/>
          <w:lang w:eastAsia="ru-RU"/>
        </w:rPr>
        <w:t>Так, за результатами безвиїзного нагляду виявлено порушення вимог:</w:t>
      </w:r>
    </w:p>
    <w:p w14:paraId="0FE8B4FC" w14:textId="2008192B" w:rsidR="00C2549B" w:rsidRPr="009E6E7F" w:rsidRDefault="005C4156" w:rsidP="009E6E7F">
      <w:pPr>
        <w:tabs>
          <w:tab w:val="left" w:pos="851"/>
          <w:tab w:val="left" w:pos="1134"/>
        </w:tabs>
        <w:ind w:firstLine="567"/>
        <w:rPr>
          <w:color w:val="000000" w:themeColor="text1"/>
        </w:rPr>
      </w:pPr>
      <w:r w:rsidRPr="009E6E7F">
        <w:rPr>
          <w:color w:val="000000" w:themeColor="text1"/>
        </w:rPr>
        <w:t xml:space="preserve">1) </w:t>
      </w:r>
      <w:r w:rsidR="00C2549B" w:rsidRPr="009E6E7F">
        <w:rPr>
          <w:color w:val="000000" w:themeColor="text1"/>
        </w:rPr>
        <w:t xml:space="preserve">частини першої статті 12 Закону </w:t>
      </w:r>
      <w:r w:rsidR="00C2549B" w:rsidRPr="009E6E7F">
        <w:rPr>
          <w:rFonts w:eastAsiaTheme="minorHAnsi"/>
          <w:color w:val="000000" w:themeColor="text1"/>
        </w:rPr>
        <w:t xml:space="preserve">України </w:t>
      </w:r>
      <w:r w:rsidR="0055607C" w:rsidRPr="009E6E7F">
        <w:rPr>
          <w:rFonts w:eastAsiaTheme="minorHAnsi"/>
          <w:color w:val="000000" w:themeColor="text1"/>
        </w:rPr>
        <w:t>“</w:t>
      </w:r>
      <w:r w:rsidR="00C2549B" w:rsidRPr="009E6E7F">
        <w:rPr>
          <w:rFonts w:eastAsiaTheme="minorHAnsi"/>
          <w:color w:val="000000" w:themeColor="text1"/>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0055607C" w:rsidRPr="009E6E7F">
        <w:rPr>
          <w:rFonts w:eastAsiaTheme="minorHAnsi"/>
          <w:color w:val="000000" w:themeColor="text1"/>
        </w:rPr>
        <w:t>”</w:t>
      </w:r>
      <w:r w:rsidR="00C2549B" w:rsidRPr="009E6E7F">
        <w:rPr>
          <w:rFonts w:eastAsiaTheme="minorHAnsi"/>
          <w:color w:val="000000" w:themeColor="text1"/>
        </w:rPr>
        <w:t xml:space="preserve"> </w:t>
      </w:r>
      <w:r w:rsidR="00E12916">
        <w:rPr>
          <w:rFonts w:eastAsiaTheme="minorHAnsi"/>
          <w:color w:val="000000" w:themeColor="text1"/>
        </w:rPr>
        <w:br/>
      </w:r>
      <w:r w:rsidR="00C2549B" w:rsidRPr="009E6E7F">
        <w:rPr>
          <w:rFonts w:eastAsiaTheme="minorHAnsi"/>
          <w:color w:val="000000" w:themeColor="text1"/>
          <w:spacing w:val="-4"/>
        </w:rPr>
        <w:t>від 06</w:t>
      </w:r>
      <w:r w:rsidR="0055607C" w:rsidRPr="009E6E7F">
        <w:rPr>
          <w:rFonts w:eastAsiaTheme="minorHAnsi"/>
          <w:color w:val="000000" w:themeColor="text1"/>
          <w:spacing w:val="-4"/>
        </w:rPr>
        <w:t> </w:t>
      </w:r>
      <w:r w:rsidR="00C2549B" w:rsidRPr="009E6E7F">
        <w:rPr>
          <w:rFonts w:eastAsiaTheme="minorHAnsi"/>
          <w:color w:val="000000" w:themeColor="text1"/>
          <w:spacing w:val="-4"/>
        </w:rPr>
        <w:t xml:space="preserve">грудня 2019 року № 361-IX </w:t>
      </w:r>
      <w:r w:rsidR="00C2549B" w:rsidRPr="009E6E7F">
        <w:rPr>
          <w:rFonts w:eastAsiaTheme="minorHAnsi"/>
          <w:color w:val="000000" w:themeColor="text1"/>
        </w:rPr>
        <w:t>(</w:t>
      </w:r>
      <w:r w:rsidR="00C2549B" w:rsidRPr="009E6E7F">
        <w:rPr>
          <w:rFonts w:eastAsiaTheme="minorHAnsi"/>
          <w:color w:val="000000" w:themeColor="text1"/>
          <w:spacing w:val="-4"/>
        </w:rPr>
        <w:t>далі – Закон</w:t>
      </w:r>
      <w:r w:rsidR="00C2549B" w:rsidRPr="009E6E7F">
        <w:rPr>
          <w:rFonts w:eastAsiaTheme="minorHAnsi"/>
          <w:color w:val="000000" w:themeColor="text1"/>
        </w:rPr>
        <w:t>)</w:t>
      </w:r>
      <w:r w:rsidR="00C2549B" w:rsidRPr="009E6E7F">
        <w:rPr>
          <w:color w:val="000000" w:themeColor="text1"/>
        </w:rPr>
        <w:t xml:space="preserve"> </w:t>
      </w:r>
      <w:r w:rsidR="00492DA2">
        <w:rPr>
          <w:color w:val="000000" w:themeColor="text1"/>
        </w:rPr>
        <w:t xml:space="preserve">щодо </w:t>
      </w:r>
      <w:r w:rsidR="00C2549B" w:rsidRPr="009E6E7F">
        <w:rPr>
          <w:color w:val="000000" w:themeColor="text1"/>
        </w:rPr>
        <w:t xml:space="preserve">неналежного виконання </w:t>
      </w:r>
      <w:r w:rsidR="002455D9" w:rsidRPr="009E6E7F">
        <w:rPr>
          <w:color w:val="000000" w:themeColor="text1"/>
        </w:rPr>
        <w:t>АТ</w:t>
      </w:r>
      <w:r w:rsidR="0055607C" w:rsidRPr="009E6E7F">
        <w:rPr>
          <w:color w:val="000000" w:themeColor="text1"/>
        </w:rPr>
        <w:t> </w:t>
      </w:r>
      <w:r w:rsidR="002455D9" w:rsidRPr="009E6E7F">
        <w:rPr>
          <w:color w:val="000000" w:themeColor="text1"/>
        </w:rPr>
        <w:t>“АЙБОКС БАНК”</w:t>
      </w:r>
      <w:r w:rsidR="00C2549B" w:rsidRPr="009E6E7F">
        <w:rPr>
          <w:color w:val="000000" w:themeColor="text1"/>
        </w:rPr>
        <w:t xml:space="preserve"> обов’язку здійснювати поси</w:t>
      </w:r>
      <w:r w:rsidR="00961C83" w:rsidRPr="009E6E7F">
        <w:rPr>
          <w:color w:val="000000" w:themeColor="text1"/>
        </w:rPr>
        <w:t>лені заходи належної перевірки</w:t>
      </w:r>
      <w:r w:rsidR="00AF1CCD" w:rsidRPr="009E6E7F">
        <w:rPr>
          <w:color w:val="000000" w:themeColor="text1"/>
        </w:rPr>
        <w:t xml:space="preserve"> (далі – ПЗНП)</w:t>
      </w:r>
      <w:r w:rsidR="00961C83" w:rsidRPr="009E6E7F">
        <w:rPr>
          <w:color w:val="000000" w:themeColor="text1"/>
        </w:rPr>
        <w:t xml:space="preserve"> </w:t>
      </w:r>
      <w:r w:rsidR="00C2549B" w:rsidRPr="009E6E7F">
        <w:rPr>
          <w:color w:val="000000" w:themeColor="text1"/>
        </w:rPr>
        <w:t>щодо клієнтів, ризик ділових відносин з якими є високим.</w:t>
      </w:r>
    </w:p>
    <w:p w14:paraId="6D73D28E" w14:textId="558E6926" w:rsidR="00C2549B" w:rsidRPr="009E6E7F" w:rsidRDefault="00C2549B" w:rsidP="009E6E7F">
      <w:pPr>
        <w:tabs>
          <w:tab w:val="left" w:pos="851"/>
        </w:tabs>
        <w:ind w:firstLine="567"/>
        <w:rPr>
          <w:rFonts w:eastAsia="Calibri"/>
          <w:color w:val="000000" w:themeColor="text1"/>
        </w:rPr>
      </w:pPr>
      <w:r w:rsidRPr="009E6E7F">
        <w:rPr>
          <w:rFonts w:eastAsia="Calibri"/>
          <w:color w:val="000000" w:themeColor="text1"/>
        </w:rPr>
        <w:t>Відповідно до вимог частини першої статті 12 Закону, додатк</w:t>
      </w:r>
      <w:r w:rsidR="0055607C" w:rsidRPr="009E6E7F">
        <w:rPr>
          <w:rFonts w:eastAsia="Calibri"/>
          <w:color w:val="000000" w:themeColor="text1"/>
        </w:rPr>
        <w:t>а</w:t>
      </w:r>
      <w:r w:rsidRPr="009E6E7F">
        <w:rPr>
          <w:rFonts w:eastAsia="Calibri"/>
          <w:color w:val="000000" w:themeColor="text1"/>
        </w:rPr>
        <w:t xml:space="preserve"> 6 до Положення</w:t>
      </w:r>
      <w:r w:rsidRPr="009E6E7F">
        <w:rPr>
          <w:color w:val="000000" w:themeColor="text1"/>
        </w:rPr>
        <w:t xml:space="preserve"> п</w:t>
      </w:r>
      <w:r w:rsidRPr="009E6E7F">
        <w:rPr>
          <w:bCs/>
          <w:color w:val="000000" w:themeColor="text1"/>
        </w:rPr>
        <w:t xml:space="preserve">ро здійснення банками фінансового моніторингу, затвердженого постановою Правління Національного банку України від </w:t>
      </w:r>
      <w:r w:rsidRPr="009E6E7F">
        <w:rPr>
          <w:bCs/>
          <w:color w:val="000000" w:themeColor="text1"/>
          <w:shd w:val="clear" w:color="auto" w:fill="FFFFFF"/>
        </w:rPr>
        <w:t>19</w:t>
      </w:r>
      <w:r w:rsidR="005B026D" w:rsidRPr="009E6E7F">
        <w:rPr>
          <w:bCs/>
          <w:color w:val="000000" w:themeColor="text1"/>
          <w:shd w:val="clear" w:color="auto" w:fill="FFFFFF"/>
        </w:rPr>
        <w:t xml:space="preserve"> травня </w:t>
      </w:r>
      <w:r w:rsidRPr="009E6E7F">
        <w:rPr>
          <w:bCs/>
          <w:color w:val="000000" w:themeColor="text1"/>
          <w:shd w:val="clear" w:color="auto" w:fill="FFFFFF"/>
        </w:rPr>
        <w:t xml:space="preserve">2020 </w:t>
      </w:r>
      <w:r w:rsidR="005B026D" w:rsidRPr="009E6E7F">
        <w:rPr>
          <w:bCs/>
          <w:color w:val="000000" w:themeColor="text1"/>
          <w:shd w:val="clear" w:color="auto" w:fill="FFFFFF"/>
        </w:rPr>
        <w:t xml:space="preserve">року </w:t>
      </w:r>
      <w:r w:rsidR="00961C83" w:rsidRPr="009E6E7F">
        <w:rPr>
          <w:bCs/>
          <w:color w:val="000000" w:themeColor="text1"/>
          <w:shd w:val="clear" w:color="auto" w:fill="FFFFFF"/>
        </w:rPr>
        <w:br/>
      </w:r>
      <w:r w:rsidRPr="009E6E7F">
        <w:rPr>
          <w:bCs/>
          <w:color w:val="000000" w:themeColor="text1"/>
          <w:shd w:val="clear" w:color="auto" w:fill="FFFFFF"/>
        </w:rPr>
        <w:t xml:space="preserve">№ 65 </w:t>
      </w:r>
      <w:r w:rsidR="00EF0323" w:rsidRPr="009E6E7F">
        <w:rPr>
          <w:bCs/>
          <w:color w:val="000000" w:themeColor="text1"/>
          <w:shd w:val="clear" w:color="auto" w:fill="FFFFFF"/>
        </w:rPr>
        <w:t xml:space="preserve">(зі змінами) </w:t>
      </w:r>
      <w:r w:rsidRPr="009E6E7F">
        <w:rPr>
          <w:bCs/>
          <w:color w:val="000000" w:themeColor="text1"/>
          <w:shd w:val="clear" w:color="auto" w:fill="FFFFFF"/>
        </w:rPr>
        <w:t>(далі – Положення № 65</w:t>
      </w:r>
      <w:r w:rsidR="005B026D" w:rsidRPr="009E6E7F">
        <w:rPr>
          <w:bCs/>
          <w:color w:val="000000" w:themeColor="text1"/>
          <w:shd w:val="clear" w:color="auto" w:fill="FFFFFF"/>
        </w:rPr>
        <w:t>)</w:t>
      </w:r>
      <w:r w:rsidR="005869D9" w:rsidRPr="009E6E7F">
        <w:rPr>
          <w:bCs/>
          <w:color w:val="000000" w:themeColor="text1"/>
          <w:shd w:val="clear" w:color="auto" w:fill="FFFFFF"/>
        </w:rPr>
        <w:t>,</w:t>
      </w:r>
      <w:r w:rsidRPr="009E6E7F">
        <w:rPr>
          <w:rFonts w:eastAsia="Calibri"/>
          <w:color w:val="000000" w:themeColor="text1"/>
        </w:rPr>
        <w:t xml:space="preserve"> банк зобов’язаний здійснювати </w:t>
      </w:r>
      <w:r w:rsidR="00AF1CCD" w:rsidRPr="009E6E7F">
        <w:rPr>
          <w:rFonts w:eastAsia="Calibri"/>
          <w:color w:val="000000" w:themeColor="text1"/>
        </w:rPr>
        <w:t>ПЗНП</w:t>
      </w:r>
      <w:r w:rsidRPr="009E6E7F">
        <w:rPr>
          <w:rFonts w:eastAsia="Calibri"/>
          <w:color w:val="000000" w:themeColor="text1"/>
        </w:rPr>
        <w:t xml:space="preserve"> щодо клієнтів, ризик ділових відносин з якими (ризик фінансової операції без встановлення ділових відносин яких) є високим.</w:t>
      </w:r>
    </w:p>
    <w:p w14:paraId="38B2E956" w14:textId="612F7CF1" w:rsidR="00C2549B" w:rsidRPr="009E6E7F" w:rsidRDefault="00EF0323" w:rsidP="009E6E7F">
      <w:pPr>
        <w:tabs>
          <w:tab w:val="left" w:pos="851"/>
        </w:tabs>
        <w:ind w:firstLine="567"/>
        <w:rPr>
          <w:rFonts w:eastAsia="Calibri"/>
          <w:color w:val="000000" w:themeColor="text1"/>
        </w:rPr>
      </w:pPr>
      <w:r w:rsidRPr="009E6E7F">
        <w:rPr>
          <w:rFonts w:eastAsia="Calibri"/>
          <w:color w:val="000000" w:themeColor="text1"/>
          <w:shd w:val="clear" w:color="auto" w:fill="FFFFFF"/>
        </w:rPr>
        <w:lastRenderedPageBreak/>
        <w:t>У п</w:t>
      </w:r>
      <w:r w:rsidR="005B026D" w:rsidRPr="009E6E7F">
        <w:rPr>
          <w:rFonts w:eastAsia="Calibri"/>
          <w:color w:val="000000" w:themeColor="text1"/>
          <w:shd w:val="clear" w:color="auto" w:fill="FFFFFF"/>
        </w:rPr>
        <w:t>ункта</w:t>
      </w:r>
      <w:r w:rsidRPr="009E6E7F">
        <w:rPr>
          <w:rFonts w:eastAsia="Calibri"/>
          <w:color w:val="000000" w:themeColor="text1"/>
          <w:shd w:val="clear" w:color="auto" w:fill="FFFFFF"/>
        </w:rPr>
        <w:t>х</w:t>
      </w:r>
      <w:r w:rsidR="005B026D" w:rsidRPr="009E6E7F">
        <w:rPr>
          <w:rFonts w:eastAsia="Calibri"/>
          <w:color w:val="000000" w:themeColor="text1"/>
          <w:shd w:val="clear" w:color="auto" w:fill="FFFFFF"/>
        </w:rPr>
        <w:t xml:space="preserve"> 4 та 9 додатк</w:t>
      </w:r>
      <w:r w:rsidRPr="009E6E7F">
        <w:rPr>
          <w:rFonts w:eastAsia="Calibri"/>
          <w:color w:val="000000" w:themeColor="text1"/>
          <w:shd w:val="clear" w:color="auto" w:fill="FFFFFF"/>
        </w:rPr>
        <w:t>а</w:t>
      </w:r>
      <w:r w:rsidR="005B026D" w:rsidRPr="009E6E7F">
        <w:rPr>
          <w:rFonts w:eastAsia="Calibri"/>
          <w:color w:val="000000" w:themeColor="text1"/>
          <w:shd w:val="clear" w:color="auto" w:fill="FFFFFF"/>
        </w:rPr>
        <w:t xml:space="preserve"> 6 до Положення № 65 </w:t>
      </w:r>
      <w:r w:rsidR="00961C83" w:rsidRPr="009E6E7F">
        <w:rPr>
          <w:rFonts w:eastAsia="Calibri"/>
          <w:color w:val="000000" w:themeColor="text1"/>
          <w:shd w:val="clear" w:color="auto" w:fill="FFFFFF"/>
        </w:rPr>
        <w:t xml:space="preserve">встановлено, що </w:t>
      </w:r>
      <w:r w:rsidR="005B026D" w:rsidRPr="009E6E7F">
        <w:rPr>
          <w:rFonts w:eastAsia="Calibri"/>
          <w:color w:val="000000" w:themeColor="text1"/>
          <w:shd w:val="clear" w:color="auto" w:fill="FFFFFF"/>
        </w:rPr>
        <w:t>пі</w:t>
      </w:r>
      <w:r w:rsidR="00C2549B" w:rsidRPr="009E6E7F">
        <w:rPr>
          <w:rFonts w:eastAsia="Calibri"/>
          <w:color w:val="000000" w:themeColor="text1"/>
          <w:shd w:val="clear" w:color="auto" w:fill="FFFFFF"/>
        </w:rPr>
        <w:t xml:space="preserve">д час здійснення </w:t>
      </w:r>
      <w:r w:rsidR="00AF1CCD" w:rsidRPr="009E6E7F">
        <w:rPr>
          <w:rFonts w:eastAsia="Calibri"/>
          <w:color w:val="000000" w:themeColor="text1"/>
          <w:shd w:val="clear" w:color="auto" w:fill="FFFFFF"/>
        </w:rPr>
        <w:t>ПЗНП</w:t>
      </w:r>
      <w:r w:rsidR="005B026D" w:rsidRPr="009E6E7F">
        <w:rPr>
          <w:rFonts w:eastAsia="Calibri"/>
          <w:color w:val="000000" w:themeColor="text1"/>
          <w:shd w:val="clear" w:color="auto" w:fill="FFFFFF"/>
        </w:rPr>
        <w:t xml:space="preserve"> </w:t>
      </w:r>
      <w:r w:rsidR="00C2549B" w:rsidRPr="009E6E7F">
        <w:rPr>
          <w:rFonts w:eastAsia="Calibri"/>
          <w:color w:val="000000" w:themeColor="text1"/>
          <w:shd w:val="clear" w:color="auto" w:fill="FFFFFF"/>
        </w:rPr>
        <w:t xml:space="preserve">банк обирає вид необхідного до вжиття заходу залежно від виявлених ризиків, притаманних діловим відносинам із клієнтом, та що є пропорційним таким ризикам, документує </w:t>
      </w:r>
      <w:r w:rsidR="005B026D" w:rsidRPr="009E6E7F">
        <w:rPr>
          <w:rFonts w:eastAsia="Calibri"/>
          <w:color w:val="000000" w:themeColor="text1"/>
          <w:shd w:val="clear" w:color="auto" w:fill="FFFFFF"/>
        </w:rPr>
        <w:t xml:space="preserve">їх </w:t>
      </w:r>
      <w:r w:rsidR="00C2549B" w:rsidRPr="009E6E7F">
        <w:rPr>
          <w:rFonts w:eastAsia="Calibri"/>
          <w:color w:val="000000" w:themeColor="text1"/>
          <w:shd w:val="clear" w:color="auto" w:fill="FFFFFF"/>
        </w:rPr>
        <w:t xml:space="preserve">проведення та прийняті рішення в спосіб, що дасть змогу йому продемонструвати їх належне здійснення та обґрунтованість, та зберігає відповідні документи та/або інформацію у справі клієнта протягом строків, визначених Законом. </w:t>
      </w:r>
    </w:p>
    <w:p w14:paraId="1D8B3E31" w14:textId="2BFC1FCF" w:rsidR="005202EC" w:rsidRPr="009E6E7F" w:rsidRDefault="00C2549B" w:rsidP="009E6E7F">
      <w:pPr>
        <w:tabs>
          <w:tab w:val="left" w:pos="851"/>
        </w:tabs>
        <w:ind w:firstLine="567"/>
        <w:rPr>
          <w:color w:val="000000" w:themeColor="text1"/>
        </w:rPr>
      </w:pPr>
      <w:bookmarkStart w:id="1" w:name="n321"/>
      <w:bookmarkStart w:id="2" w:name="n322"/>
      <w:bookmarkStart w:id="3" w:name="n323"/>
      <w:bookmarkStart w:id="4" w:name="n324"/>
      <w:bookmarkStart w:id="5" w:name="n325"/>
      <w:bookmarkStart w:id="6" w:name="n326"/>
      <w:bookmarkStart w:id="7" w:name="n327"/>
      <w:bookmarkEnd w:id="1"/>
      <w:bookmarkEnd w:id="2"/>
      <w:bookmarkEnd w:id="3"/>
      <w:bookmarkEnd w:id="4"/>
      <w:bookmarkEnd w:id="5"/>
      <w:bookmarkEnd w:id="6"/>
      <w:bookmarkEnd w:id="7"/>
      <w:r w:rsidRPr="009E6E7F">
        <w:rPr>
          <w:color w:val="000000" w:themeColor="text1"/>
        </w:rPr>
        <w:t xml:space="preserve">Так, </w:t>
      </w:r>
      <w:r w:rsidR="00EF0323" w:rsidRPr="009E6E7F">
        <w:rPr>
          <w:color w:val="000000" w:themeColor="text1"/>
        </w:rPr>
        <w:t xml:space="preserve">під час </w:t>
      </w:r>
      <w:r w:rsidR="005B026D" w:rsidRPr="009E6E7F">
        <w:rPr>
          <w:color w:val="000000" w:themeColor="text1"/>
        </w:rPr>
        <w:t>безвиїзн</w:t>
      </w:r>
      <w:r w:rsidR="00EF0323" w:rsidRPr="009E6E7F">
        <w:rPr>
          <w:color w:val="000000" w:themeColor="text1"/>
        </w:rPr>
        <w:t>ого</w:t>
      </w:r>
      <w:r w:rsidR="005B026D" w:rsidRPr="009E6E7F">
        <w:rPr>
          <w:color w:val="000000" w:themeColor="text1"/>
        </w:rPr>
        <w:t xml:space="preserve"> нагляд</w:t>
      </w:r>
      <w:r w:rsidR="00EF0323" w:rsidRPr="009E6E7F">
        <w:rPr>
          <w:color w:val="000000" w:themeColor="text1"/>
        </w:rPr>
        <w:t>у</w:t>
      </w:r>
      <w:r w:rsidR="005B026D" w:rsidRPr="009E6E7F">
        <w:rPr>
          <w:color w:val="000000" w:themeColor="text1"/>
        </w:rPr>
        <w:t xml:space="preserve"> виявлено</w:t>
      </w:r>
      <w:r w:rsidRPr="009E6E7F">
        <w:rPr>
          <w:color w:val="000000" w:themeColor="text1"/>
        </w:rPr>
        <w:t xml:space="preserve">, що </w:t>
      </w:r>
      <w:r w:rsidR="005B026D" w:rsidRPr="009E6E7F">
        <w:rPr>
          <w:color w:val="000000" w:themeColor="text1"/>
        </w:rPr>
        <w:t xml:space="preserve">сім юридичних осіб, яким </w:t>
      </w:r>
      <w:r w:rsidR="00961C83" w:rsidRPr="009E6E7F">
        <w:rPr>
          <w:color w:val="000000" w:themeColor="text1"/>
        </w:rPr>
        <w:t>АТ</w:t>
      </w:r>
      <w:r w:rsidR="00EF0323" w:rsidRPr="009E6E7F">
        <w:rPr>
          <w:color w:val="000000" w:themeColor="text1"/>
        </w:rPr>
        <w:t> </w:t>
      </w:r>
      <w:r w:rsidR="00961C83" w:rsidRPr="009E6E7F">
        <w:rPr>
          <w:color w:val="000000" w:themeColor="text1"/>
        </w:rPr>
        <w:t>“АЙБОКС БАНК”</w:t>
      </w:r>
      <w:r w:rsidR="005B026D" w:rsidRPr="009E6E7F">
        <w:rPr>
          <w:color w:val="000000" w:themeColor="text1"/>
        </w:rPr>
        <w:t xml:space="preserve"> під час встановлення ділових відносин </w:t>
      </w:r>
      <w:r w:rsidR="00EF0323" w:rsidRPr="009E6E7F">
        <w:rPr>
          <w:color w:val="000000" w:themeColor="text1"/>
        </w:rPr>
        <w:t>у</w:t>
      </w:r>
      <w:r w:rsidR="005B026D" w:rsidRPr="009E6E7F">
        <w:rPr>
          <w:color w:val="000000" w:themeColor="text1"/>
        </w:rPr>
        <w:t>станови</w:t>
      </w:r>
      <w:r w:rsidR="00EF0323" w:rsidRPr="009E6E7F">
        <w:rPr>
          <w:color w:val="000000" w:themeColor="text1"/>
        </w:rPr>
        <w:t>ло</w:t>
      </w:r>
      <w:r w:rsidR="005B026D" w:rsidRPr="009E6E7F">
        <w:rPr>
          <w:color w:val="000000" w:themeColor="text1"/>
        </w:rPr>
        <w:t xml:space="preserve"> високий рівень ризику</w:t>
      </w:r>
      <w:r w:rsidR="00961C83" w:rsidRPr="009E6E7F">
        <w:rPr>
          <w:color w:val="000000" w:themeColor="text1"/>
        </w:rPr>
        <w:t xml:space="preserve"> </w:t>
      </w:r>
      <w:r w:rsidR="00A00268" w:rsidRPr="009E6E7F">
        <w:rPr>
          <w:color w:val="000000" w:themeColor="text1"/>
        </w:rPr>
        <w:t>(далі – Клієнти)</w:t>
      </w:r>
      <w:r w:rsidR="005B026D" w:rsidRPr="009E6E7F">
        <w:rPr>
          <w:color w:val="000000" w:themeColor="text1"/>
        </w:rPr>
        <w:t xml:space="preserve">, </w:t>
      </w:r>
      <w:r w:rsidRPr="009E6E7F">
        <w:rPr>
          <w:color w:val="000000" w:themeColor="text1"/>
        </w:rPr>
        <w:t>за період з 21</w:t>
      </w:r>
      <w:r w:rsidR="005B026D" w:rsidRPr="009E6E7F">
        <w:rPr>
          <w:color w:val="000000" w:themeColor="text1"/>
        </w:rPr>
        <w:t xml:space="preserve"> лютого 2</w:t>
      </w:r>
      <w:r w:rsidRPr="009E6E7F">
        <w:rPr>
          <w:color w:val="000000" w:themeColor="text1"/>
        </w:rPr>
        <w:t xml:space="preserve">022 </w:t>
      </w:r>
      <w:r w:rsidR="005B026D" w:rsidRPr="009E6E7F">
        <w:rPr>
          <w:color w:val="000000" w:themeColor="text1"/>
        </w:rPr>
        <w:t xml:space="preserve">року </w:t>
      </w:r>
      <w:r w:rsidRPr="009E6E7F">
        <w:rPr>
          <w:color w:val="000000" w:themeColor="text1"/>
        </w:rPr>
        <w:t>до 01</w:t>
      </w:r>
      <w:r w:rsidR="00EF0323" w:rsidRPr="009E6E7F">
        <w:rPr>
          <w:color w:val="000000" w:themeColor="text1"/>
        </w:rPr>
        <w:t> </w:t>
      </w:r>
      <w:r w:rsidR="005B026D" w:rsidRPr="009E6E7F">
        <w:rPr>
          <w:color w:val="000000" w:themeColor="text1"/>
        </w:rPr>
        <w:t xml:space="preserve">грудня </w:t>
      </w:r>
      <w:r w:rsidRPr="009E6E7F">
        <w:rPr>
          <w:color w:val="000000" w:themeColor="text1"/>
        </w:rPr>
        <w:t xml:space="preserve">2022 </w:t>
      </w:r>
      <w:r w:rsidR="005B026D" w:rsidRPr="009E6E7F">
        <w:rPr>
          <w:color w:val="000000" w:themeColor="text1"/>
        </w:rPr>
        <w:t>року (</w:t>
      </w:r>
      <w:r w:rsidRPr="009E6E7F">
        <w:rPr>
          <w:color w:val="000000" w:themeColor="text1"/>
        </w:rPr>
        <w:t>включно</w:t>
      </w:r>
      <w:r w:rsidR="005B026D" w:rsidRPr="009E6E7F">
        <w:rPr>
          <w:color w:val="000000" w:themeColor="text1"/>
        </w:rPr>
        <w:t>)</w:t>
      </w:r>
      <w:r w:rsidRPr="009E6E7F">
        <w:rPr>
          <w:color w:val="000000" w:themeColor="text1"/>
        </w:rPr>
        <w:t xml:space="preserve"> отримали кошти за надання послуг через пункт приймання платежів, зокрема з організації та проведення змагань (турнірів) з кіберспорту та спортивного покеру </w:t>
      </w:r>
      <w:r w:rsidR="00A04EF8" w:rsidRPr="009E6E7F">
        <w:rPr>
          <w:color w:val="000000" w:themeColor="text1"/>
        </w:rPr>
        <w:t>в</w:t>
      </w:r>
      <w:r w:rsidRPr="009E6E7F">
        <w:rPr>
          <w:color w:val="000000" w:themeColor="text1"/>
        </w:rPr>
        <w:t xml:space="preserve"> загальній сумі</w:t>
      </w:r>
      <w:r w:rsidR="00D748EC" w:rsidRPr="009E6E7F">
        <w:rPr>
          <w:color w:val="000000" w:themeColor="text1"/>
        </w:rPr>
        <w:t xml:space="preserve"> більше ніж 3,5 млрд грн</w:t>
      </w:r>
      <w:r w:rsidRPr="009E6E7F">
        <w:rPr>
          <w:color w:val="000000" w:themeColor="text1"/>
        </w:rPr>
        <w:t>.</w:t>
      </w:r>
      <w:r w:rsidR="005202EC" w:rsidRPr="009E6E7F">
        <w:rPr>
          <w:color w:val="000000" w:themeColor="text1"/>
        </w:rPr>
        <w:t xml:space="preserve"> </w:t>
      </w:r>
    </w:p>
    <w:p w14:paraId="504DB6B1" w14:textId="16414A31" w:rsidR="00C2549B" w:rsidRPr="009E6E7F" w:rsidRDefault="005202EC" w:rsidP="009E6E7F">
      <w:pPr>
        <w:tabs>
          <w:tab w:val="left" w:pos="851"/>
        </w:tabs>
        <w:ind w:firstLine="567"/>
        <w:rPr>
          <w:color w:val="000000" w:themeColor="text1"/>
        </w:rPr>
      </w:pPr>
      <w:r w:rsidRPr="009E6E7F">
        <w:rPr>
          <w:color w:val="000000" w:themeColor="text1"/>
        </w:rPr>
        <w:t xml:space="preserve">Клієнти є новоствореними та лише </w:t>
      </w:r>
      <w:r w:rsidR="008D030E" w:rsidRPr="009E6E7F">
        <w:rPr>
          <w:color w:val="000000" w:themeColor="text1"/>
        </w:rPr>
        <w:t xml:space="preserve">в 2022 році </w:t>
      </w:r>
      <w:r w:rsidRPr="009E6E7F">
        <w:rPr>
          <w:color w:val="000000" w:themeColor="text1"/>
        </w:rPr>
        <w:t xml:space="preserve">розпочали здійснювати відповідну діяльність, </w:t>
      </w:r>
      <w:proofErr w:type="spellStart"/>
      <w:r w:rsidRPr="009E6E7F">
        <w:rPr>
          <w:color w:val="000000" w:themeColor="text1"/>
        </w:rPr>
        <w:t>вебсайти</w:t>
      </w:r>
      <w:proofErr w:type="spellEnd"/>
      <w:r w:rsidRPr="009E6E7F">
        <w:rPr>
          <w:color w:val="000000" w:themeColor="text1"/>
        </w:rPr>
        <w:t xml:space="preserve"> </w:t>
      </w:r>
      <w:r w:rsidR="00880511" w:rsidRPr="009E6E7F">
        <w:rPr>
          <w:color w:val="000000" w:themeColor="text1"/>
        </w:rPr>
        <w:t>К</w:t>
      </w:r>
      <w:r w:rsidRPr="009E6E7F">
        <w:rPr>
          <w:color w:val="000000" w:themeColor="text1"/>
        </w:rPr>
        <w:t xml:space="preserve">лієнтів фактично створені за кілька днів/в день встановлення ділових відносин з </w:t>
      </w:r>
      <w:r w:rsidR="008D030E" w:rsidRPr="009E6E7F">
        <w:rPr>
          <w:color w:val="000000" w:themeColor="text1"/>
        </w:rPr>
        <w:t>АТ “АЙБОКС БАНК”</w:t>
      </w:r>
      <w:r w:rsidRPr="009E6E7F">
        <w:rPr>
          <w:color w:val="000000" w:themeColor="text1"/>
        </w:rPr>
        <w:t xml:space="preserve">, </w:t>
      </w:r>
      <w:r w:rsidR="008B1962" w:rsidRPr="009E6E7F">
        <w:rPr>
          <w:color w:val="000000" w:themeColor="text1"/>
        </w:rPr>
        <w:t xml:space="preserve">немає </w:t>
      </w:r>
      <w:r w:rsidRPr="009E6E7F">
        <w:rPr>
          <w:color w:val="000000" w:themeColor="text1"/>
        </w:rPr>
        <w:t>витрат/будь-як</w:t>
      </w:r>
      <w:r w:rsidR="008B1962" w:rsidRPr="009E6E7F">
        <w:rPr>
          <w:color w:val="000000" w:themeColor="text1"/>
        </w:rPr>
        <w:t>ої</w:t>
      </w:r>
      <w:r w:rsidRPr="009E6E7F">
        <w:rPr>
          <w:color w:val="000000" w:themeColor="text1"/>
        </w:rPr>
        <w:t xml:space="preserve"> інформаці</w:t>
      </w:r>
      <w:r w:rsidR="008B1962" w:rsidRPr="009E6E7F">
        <w:rPr>
          <w:color w:val="000000" w:themeColor="text1"/>
        </w:rPr>
        <w:t>ї</w:t>
      </w:r>
      <w:r w:rsidRPr="009E6E7F">
        <w:rPr>
          <w:color w:val="000000" w:themeColor="text1"/>
        </w:rPr>
        <w:t xml:space="preserve"> про проведення </w:t>
      </w:r>
      <w:r w:rsidR="00880511" w:rsidRPr="009E6E7F">
        <w:rPr>
          <w:color w:val="000000" w:themeColor="text1"/>
        </w:rPr>
        <w:t>К</w:t>
      </w:r>
      <w:r w:rsidRPr="009E6E7F">
        <w:rPr>
          <w:color w:val="000000" w:themeColor="text1"/>
        </w:rPr>
        <w:t xml:space="preserve">лієнтами рекламних заходів із залучення учасників турнірів (змагань) тощо, </w:t>
      </w:r>
      <w:r w:rsidR="00880511" w:rsidRPr="009E6E7F">
        <w:rPr>
          <w:color w:val="000000" w:themeColor="text1"/>
        </w:rPr>
        <w:t>водночас</w:t>
      </w:r>
      <w:r w:rsidRPr="009E6E7F">
        <w:rPr>
          <w:color w:val="000000" w:themeColor="text1"/>
        </w:rPr>
        <w:t xml:space="preserve"> обсяги здійснених операцій у перші дні діяльності частини </w:t>
      </w:r>
      <w:r w:rsidR="00880511" w:rsidRPr="009E6E7F">
        <w:rPr>
          <w:color w:val="000000" w:themeColor="text1"/>
        </w:rPr>
        <w:t>К</w:t>
      </w:r>
      <w:r w:rsidRPr="009E6E7F">
        <w:rPr>
          <w:color w:val="000000" w:themeColor="text1"/>
        </w:rPr>
        <w:t xml:space="preserve">лієнтів </w:t>
      </w:r>
      <w:r w:rsidR="00880511" w:rsidRPr="009E6E7F">
        <w:rPr>
          <w:color w:val="000000" w:themeColor="text1"/>
        </w:rPr>
        <w:t xml:space="preserve">становили </w:t>
      </w:r>
      <w:r w:rsidRPr="009E6E7F">
        <w:rPr>
          <w:color w:val="000000" w:themeColor="text1"/>
        </w:rPr>
        <w:t>мільйони гривень.</w:t>
      </w:r>
    </w:p>
    <w:p w14:paraId="04B1E7BF" w14:textId="61C7F79D" w:rsidR="00A00268" w:rsidRPr="009E6E7F" w:rsidRDefault="00A00268" w:rsidP="009E6E7F">
      <w:pPr>
        <w:ind w:firstLine="567"/>
        <w:rPr>
          <w:bCs/>
          <w:color w:val="000000" w:themeColor="text1"/>
        </w:rPr>
      </w:pPr>
      <w:r w:rsidRPr="009E6E7F">
        <w:rPr>
          <w:bCs/>
          <w:color w:val="000000" w:themeColor="text1"/>
        </w:rPr>
        <w:t>К</w:t>
      </w:r>
      <w:r w:rsidR="005B026D" w:rsidRPr="009E6E7F">
        <w:rPr>
          <w:bCs/>
          <w:color w:val="000000" w:themeColor="text1"/>
        </w:rPr>
        <w:t xml:space="preserve">лієнти </w:t>
      </w:r>
      <w:r w:rsidRPr="009E6E7F">
        <w:rPr>
          <w:bCs/>
          <w:color w:val="000000" w:themeColor="text1"/>
        </w:rPr>
        <w:t>мали ознаки пов’язаності між собою</w:t>
      </w:r>
      <w:r w:rsidR="00FF75B2" w:rsidRPr="009E6E7F">
        <w:rPr>
          <w:bCs/>
          <w:color w:val="000000" w:themeColor="text1"/>
        </w:rPr>
        <w:t>,</w:t>
      </w:r>
      <w:r w:rsidRPr="009E6E7F">
        <w:rPr>
          <w:bCs/>
          <w:color w:val="000000" w:themeColor="text1"/>
        </w:rPr>
        <w:t xml:space="preserve"> </w:t>
      </w:r>
      <w:r w:rsidR="00FF75B2" w:rsidRPr="009E6E7F">
        <w:rPr>
          <w:bCs/>
          <w:color w:val="000000" w:themeColor="text1"/>
        </w:rPr>
        <w:t xml:space="preserve">проте </w:t>
      </w:r>
      <w:r w:rsidR="00FF75B2" w:rsidRPr="009E6E7F">
        <w:rPr>
          <w:color w:val="000000" w:themeColor="text1"/>
        </w:rPr>
        <w:t>АТ “АЙБОКС БАНК”</w:t>
      </w:r>
      <w:r w:rsidR="00FF75B2" w:rsidRPr="009E6E7F">
        <w:rPr>
          <w:bCs/>
          <w:color w:val="000000" w:themeColor="text1"/>
        </w:rPr>
        <w:t xml:space="preserve"> </w:t>
      </w:r>
      <w:r w:rsidR="005C4156" w:rsidRPr="009E6E7F">
        <w:rPr>
          <w:bCs/>
          <w:color w:val="000000" w:themeColor="text1"/>
        </w:rPr>
        <w:t xml:space="preserve">такі ознаки </w:t>
      </w:r>
      <w:r w:rsidR="00FF75B2" w:rsidRPr="009E6E7F">
        <w:rPr>
          <w:bCs/>
          <w:color w:val="000000" w:themeColor="text1"/>
        </w:rPr>
        <w:t xml:space="preserve">виявлені не були, </w:t>
      </w:r>
      <w:r w:rsidR="00A77303">
        <w:rPr>
          <w:bCs/>
          <w:color w:val="000000" w:themeColor="text1"/>
        </w:rPr>
        <w:t xml:space="preserve">а </w:t>
      </w:r>
      <w:r w:rsidRPr="009E6E7F">
        <w:rPr>
          <w:bCs/>
          <w:color w:val="000000" w:themeColor="text1"/>
        </w:rPr>
        <w:t>та</w:t>
      </w:r>
      <w:r w:rsidR="00A77303">
        <w:rPr>
          <w:bCs/>
          <w:color w:val="000000" w:themeColor="text1"/>
        </w:rPr>
        <w:t>кож</w:t>
      </w:r>
      <w:r w:rsidRPr="009E6E7F">
        <w:rPr>
          <w:bCs/>
          <w:color w:val="000000" w:themeColor="text1"/>
        </w:rPr>
        <w:t xml:space="preserve"> критерії ризику, визначені </w:t>
      </w:r>
      <w:r w:rsidR="00880511" w:rsidRPr="009E6E7F">
        <w:rPr>
          <w:bCs/>
          <w:color w:val="000000" w:themeColor="text1"/>
        </w:rPr>
        <w:t xml:space="preserve">в </w:t>
      </w:r>
      <w:r w:rsidRPr="009E6E7F">
        <w:rPr>
          <w:bCs/>
          <w:color w:val="000000" w:themeColor="text1"/>
        </w:rPr>
        <w:t>додатк</w:t>
      </w:r>
      <w:r w:rsidR="00880511" w:rsidRPr="009E6E7F">
        <w:rPr>
          <w:bCs/>
          <w:color w:val="000000" w:themeColor="text1"/>
        </w:rPr>
        <w:t>у</w:t>
      </w:r>
      <w:r w:rsidRPr="009E6E7F">
        <w:rPr>
          <w:bCs/>
          <w:color w:val="000000" w:themeColor="text1"/>
        </w:rPr>
        <w:t xml:space="preserve"> 19 до Положення № 65</w:t>
      </w:r>
      <w:r w:rsidR="00D748EC" w:rsidRPr="009E6E7F">
        <w:rPr>
          <w:bCs/>
          <w:color w:val="000000" w:themeColor="text1"/>
        </w:rPr>
        <w:t>,</w:t>
      </w:r>
      <w:r w:rsidR="00FF75B2" w:rsidRPr="009E6E7F">
        <w:rPr>
          <w:bCs/>
          <w:color w:val="000000" w:themeColor="text1"/>
        </w:rPr>
        <w:t xml:space="preserve"> що були виявлені </w:t>
      </w:r>
      <w:r w:rsidR="00FF75B2" w:rsidRPr="009E6E7F">
        <w:rPr>
          <w:color w:val="000000" w:themeColor="text1"/>
        </w:rPr>
        <w:t>АТ “АЙБОКС БАНК” частково</w:t>
      </w:r>
      <w:r w:rsidRPr="009E6E7F">
        <w:rPr>
          <w:bCs/>
          <w:color w:val="000000" w:themeColor="text1"/>
        </w:rPr>
        <w:t>.</w:t>
      </w:r>
    </w:p>
    <w:p w14:paraId="1BC1B20F" w14:textId="0A82C49F" w:rsidR="00961C83" w:rsidRPr="009E6E7F" w:rsidRDefault="00D748EC" w:rsidP="009E6E7F">
      <w:pPr>
        <w:ind w:firstLine="567"/>
        <w:rPr>
          <w:color w:val="000000" w:themeColor="text1"/>
        </w:rPr>
      </w:pPr>
      <w:r w:rsidRPr="009E6E7F">
        <w:rPr>
          <w:bCs/>
          <w:color w:val="000000" w:themeColor="text1"/>
        </w:rPr>
        <w:t xml:space="preserve">Крім того, </w:t>
      </w:r>
      <w:r w:rsidR="00505E6E" w:rsidRPr="009E6E7F">
        <w:rPr>
          <w:bCs/>
          <w:color w:val="000000" w:themeColor="text1"/>
        </w:rPr>
        <w:t>у</w:t>
      </w:r>
      <w:r w:rsidR="00961C83" w:rsidRPr="009E6E7F">
        <w:rPr>
          <w:bCs/>
          <w:color w:val="000000" w:themeColor="text1"/>
        </w:rPr>
        <w:t>раховуючи</w:t>
      </w:r>
      <w:r w:rsidR="008D030E" w:rsidRPr="009E6E7F">
        <w:rPr>
          <w:bCs/>
          <w:color w:val="000000" w:themeColor="text1"/>
        </w:rPr>
        <w:t xml:space="preserve"> визначені законодавством України вимоги</w:t>
      </w:r>
      <w:r w:rsidR="00961C83" w:rsidRPr="009E6E7F">
        <w:rPr>
          <w:bCs/>
          <w:color w:val="000000" w:themeColor="text1"/>
        </w:rPr>
        <w:t xml:space="preserve"> що</w:t>
      </w:r>
      <w:r w:rsidR="008D030E" w:rsidRPr="009E6E7F">
        <w:rPr>
          <w:bCs/>
          <w:color w:val="000000" w:themeColor="text1"/>
        </w:rPr>
        <w:t>до</w:t>
      </w:r>
      <w:r w:rsidR="00961C83" w:rsidRPr="009E6E7F">
        <w:rPr>
          <w:bCs/>
          <w:color w:val="000000" w:themeColor="text1"/>
        </w:rPr>
        <w:t xml:space="preserve"> організаці</w:t>
      </w:r>
      <w:r w:rsidR="008D030E" w:rsidRPr="009E6E7F">
        <w:rPr>
          <w:bCs/>
          <w:color w:val="000000" w:themeColor="text1"/>
        </w:rPr>
        <w:t>ї</w:t>
      </w:r>
      <w:r w:rsidR="00961C83" w:rsidRPr="009E6E7F">
        <w:rPr>
          <w:bCs/>
          <w:color w:val="000000" w:themeColor="text1"/>
        </w:rPr>
        <w:t xml:space="preserve"> та проведення змагань (турнірів) з кіберспорту,</w:t>
      </w:r>
      <w:r w:rsidR="008D030E" w:rsidRPr="009E6E7F">
        <w:rPr>
          <w:bCs/>
          <w:color w:val="000000" w:themeColor="text1"/>
        </w:rPr>
        <w:t xml:space="preserve"> </w:t>
      </w:r>
      <w:r w:rsidR="00961C83" w:rsidRPr="009E6E7F">
        <w:rPr>
          <w:color w:val="000000" w:themeColor="text1"/>
        </w:rPr>
        <w:t xml:space="preserve">АТ “АЙБОКС БАНК” не вжило </w:t>
      </w:r>
      <w:r w:rsidR="00F363E1">
        <w:rPr>
          <w:bCs/>
          <w:color w:val="000000" w:themeColor="text1"/>
        </w:rPr>
        <w:t xml:space="preserve">достатніх </w:t>
      </w:r>
      <w:r w:rsidRPr="009E6E7F">
        <w:rPr>
          <w:bCs/>
          <w:color w:val="000000" w:themeColor="text1"/>
        </w:rPr>
        <w:t xml:space="preserve">ПЗНП </w:t>
      </w:r>
      <w:r w:rsidR="00961C83" w:rsidRPr="009E6E7F">
        <w:rPr>
          <w:color w:val="000000" w:themeColor="text1"/>
        </w:rPr>
        <w:t xml:space="preserve">для </w:t>
      </w:r>
      <w:r w:rsidR="00961C83" w:rsidRPr="009E6E7F">
        <w:rPr>
          <w:bCs/>
          <w:color w:val="000000" w:themeColor="text1"/>
        </w:rPr>
        <w:t xml:space="preserve">підтвердження </w:t>
      </w:r>
      <w:r w:rsidR="008D030E" w:rsidRPr="009E6E7F">
        <w:rPr>
          <w:bCs/>
          <w:color w:val="000000" w:themeColor="text1"/>
        </w:rPr>
        <w:t xml:space="preserve">наявності </w:t>
      </w:r>
      <w:r w:rsidR="00505E6E" w:rsidRPr="009E6E7F">
        <w:rPr>
          <w:bCs/>
          <w:color w:val="000000" w:themeColor="text1"/>
        </w:rPr>
        <w:t>в</w:t>
      </w:r>
      <w:r w:rsidR="008D030E" w:rsidRPr="009E6E7F">
        <w:rPr>
          <w:bCs/>
          <w:color w:val="000000" w:themeColor="text1"/>
        </w:rPr>
        <w:t xml:space="preserve"> Клієнтів відповідного матеріально-технічного, професійного персоналу (суддів, технічного та обслуговуючого персоналу), </w:t>
      </w:r>
      <w:r w:rsidR="008D030E" w:rsidRPr="009E6E7F">
        <w:rPr>
          <w:color w:val="000000" w:themeColor="text1"/>
        </w:rPr>
        <w:t xml:space="preserve">порядку реєстрації учасників (спортсменів), створення </w:t>
      </w:r>
      <w:proofErr w:type="spellStart"/>
      <w:r w:rsidR="008D030E" w:rsidRPr="009E6E7F">
        <w:rPr>
          <w:color w:val="000000" w:themeColor="text1"/>
        </w:rPr>
        <w:t>акаунтів</w:t>
      </w:r>
      <w:proofErr w:type="spellEnd"/>
      <w:r w:rsidR="008D030E" w:rsidRPr="009E6E7F">
        <w:rPr>
          <w:color w:val="000000" w:themeColor="text1"/>
        </w:rPr>
        <w:t xml:space="preserve"> на </w:t>
      </w:r>
      <w:proofErr w:type="spellStart"/>
      <w:r w:rsidR="008D030E" w:rsidRPr="009E6E7F">
        <w:rPr>
          <w:color w:val="000000" w:themeColor="text1"/>
        </w:rPr>
        <w:t>вебсайтах</w:t>
      </w:r>
      <w:proofErr w:type="spellEnd"/>
      <w:r w:rsidR="008D030E" w:rsidRPr="009E6E7F">
        <w:rPr>
          <w:color w:val="000000" w:themeColor="text1"/>
        </w:rPr>
        <w:t xml:space="preserve"> </w:t>
      </w:r>
      <w:r w:rsidR="000C6EA4">
        <w:rPr>
          <w:color w:val="000000" w:themeColor="text1"/>
        </w:rPr>
        <w:t>К</w:t>
      </w:r>
      <w:r w:rsidR="008D030E" w:rsidRPr="009E6E7F">
        <w:rPr>
          <w:color w:val="000000" w:themeColor="text1"/>
        </w:rPr>
        <w:t xml:space="preserve">лієнтів для подальшого їх поповнення через </w:t>
      </w:r>
      <w:r w:rsidR="00112B11" w:rsidRPr="009E6E7F">
        <w:rPr>
          <w:color w:val="000000" w:themeColor="text1"/>
        </w:rPr>
        <w:t>програмно-технічні комплекси самообслуговування</w:t>
      </w:r>
      <w:r w:rsidR="008D030E" w:rsidRPr="009E6E7F">
        <w:rPr>
          <w:color w:val="000000" w:themeColor="text1"/>
        </w:rPr>
        <w:t>,</w:t>
      </w:r>
      <w:r w:rsidR="008D030E" w:rsidRPr="009E6E7F">
        <w:rPr>
          <w:bCs/>
          <w:color w:val="000000" w:themeColor="text1"/>
        </w:rPr>
        <w:t xml:space="preserve"> фактів </w:t>
      </w:r>
      <w:r w:rsidR="00961C83" w:rsidRPr="009E6E7F">
        <w:rPr>
          <w:bCs/>
          <w:color w:val="000000" w:themeColor="text1"/>
        </w:rPr>
        <w:t>проведення змагань з кіберспорту та спорт</w:t>
      </w:r>
      <w:r w:rsidR="00505E6E" w:rsidRPr="009E6E7F">
        <w:rPr>
          <w:bCs/>
          <w:color w:val="000000" w:themeColor="text1"/>
        </w:rPr>
        <w:t xml:space="preserve">ивного </w:t>
      </w:r>
      <w:r w:rsidR="00961C83" w:rsidRPr="009E6E7F">
        <w:rPr>
          <w:bCs/>
          <w:color w:val="000000" w:themeColor="text1"/>
        </w:rPr>
        <w:t xml:space="preserve">покеру з </w:t>
      </w:r>
      <w:r w:rsidR="00961C83" w:rsidRPr="009E6E7F">
        <w:rPr>
          <w:color w:val="000000" w:themeColor="text1"/>
        </w:rPr>
        <w:t xml:space="preserve">метою </w:t>
      </w:r>
      <w:r w:rsidR="00505E6E" w:rsidRPr="009E6E7F">
        <w:rPr>
          <w:color w:val="000000" w:themeColor="text1"/>
        </w:rPr>
        <w:t>зі</w:t>
      </w:r>
      <w:r w:rsidR="00961C83" w:rsidRPr="009E6E7F">
        <w:rPr>
          <w:color w:val="000000" w:themeColor="text1"/>
        </w:rPr>
        <w:t>ставлення (порівняння) інформації щодо сум прийнятих плате</w:t>
      </w:r>
      <w:r w:rsidR="008D030E" w:rsidRPr="009E6E7F">
        <w:rPr>
          <w:color w:val="000000" w:themeColor="text1"/>
        </w:rPr>
        <w:t>жів, кількості платників та сум</w:t>
      </w:r>
      <w:r w:rsidR="00961C83" w:rsidRPr="009E6E7F">
        <w:rPr>
          <w:color w:val="000000" w:themeColor="text1"/>
        </w:rPr>
        <w:t xml:space="preserve"> внесків для участі в турнірах/кількості учасників турнірів, призового фонду тощо та встановлення наявності/відсутності фактів провадження Клієнтами діяльності з організації та проведення азартних ігор.</w:t>
      </w:r>
    </w:p>
    <w:p w14:paraId="00D3D6C8" w14:textId="4DF64978" w:rsidR="008D030E" w:rsidRPr="009E6E7F" w:rsidRDefault="00F006EF" w:rsidP="009E6E7F">
      <w:pPr>
        <w:ind w:firstLine="567"/>
        <w:rPr>
          <w:color w:val="000000" w:themeColor="text1"/>
        </w:rPr>
      </w:pPr>
      <w:r w:rsidRPr="009E6E7F">
        <w:rPr>
          <w:color w:val="000000" w:themeColor="text1"/>
        </w:rPr>
        <w:t>АТ “АЙБОКС БАНК”</w:t>
      </w:r>
      <w:r w:rsidR="008D030E" w:rsidRPr="009E6E7F">
        <w:rPr>
          <w:color w:val="000000" w:themeColor="text1"/>
        </w:rPr>
        <w:t xml:space="preserve"> не нада</w:t>
      </w:r>
      <w:r w:rsidR="00505E6E" w:rsidRPr="009E6E7F">
        <w:rPr>
          <w:color w:val="000000" w:themeColor="text1"/>
        </w:rPr>
        <w:t>ло</w:t>
      </w:r>
      <w:r w:rsidR="008D030E" w:rsidRPr="009E6E7F">
        <w:rPr>
          <w:color w:val="000000" w:themeColor="text1"/>
        </w:rPr>
        <w:t xml:space="preserve"> документів</w:t>
      </w:r>
      <w:r w:rsidR="00FF75B2" w:rsidRPr="009E6E7F">
        <w:rPr>
          <w:color w:val="000000" w:themeColor="text1"/>
        </w:rPr>
        <w:t>,</w:t>
      </w:r>
      <w:r w:rsidR="008D030E" w:rsidRPr="009E6E7F">
        <w:rPr>
          <w:color w:val="000000" w:themeColor="text1"/>
        </w:rPr>
        <w:t xml:space="preserve"> </w:t>
      </w:r>
      <w:r w:rsidR="00505E6E" w:rsidRPr="009E6E7F">
        <w:rPr>
          <w:color w:val="000000" w:themeColor="text1"/>
        </w:rPr>
        <w:t>у</w:t>
      </w:r>
      <w:r w:rsidR="008D030E" w:rsidRPr="009E6E7F">
        <w:rPr>
          <w:color w:val="000000" w:themeColor="text1"/>
        </w:rPr>
        <w:t xml:space="preserve"> яких зафіксовані вжиті ПЗНП, </w:t>
      </w:r>
      <w:r w:rsidR="00FF75B2" w:rsidRPr="009E6E7F">
        <w:rPr>
          <w:color w:val="000000" w:themeColor="text1"/>
        </w:rPr>
        <w:t xml:space="preserve">а також </w:t>
      </w:r>
      <w:r w:rsidR="008D030E" w:rsidRPr="009E6E7F">
        <w:rPr>
          <w:color w:val="000000" w:themeColor="text1"/>
        </w:rPr>
        <w:t xml:space="preserve">документального підтвердження прийняття </w:t>
      </w:r>
      <w:r w:rsidR="00FF75B2" w:rsidRPr="009E6E7F">
        <w:rPr>
          <w:color w:val="000000" w:themeColor="text1"/>
        </w:rPr>
        <w:t xml:space="preserve">в установленому </w:t>
      </w:r>
      <w:r w:rsidR="008D030E" w:rsidRPr="009E6E7F">
        <w:rPr>
          <w:color w:val="000000" w:themeColor="text1"/>
        </w:rPr>
        <w:t>АТ</w:t>
      </w:r>
      <w:r w:rsidR="008D771F" w:rsidRPr="009E6E7F">
        <w:rPr>
          <w:color w:val="000000" w:themeColor="text1"/>
        </w:rPr>
        <w:t> </w:t>
      </w:r>
      <w:r w:rsidR="008D030E" w:rsidRPr="009E6E7F">
        <w:rPr>
          <w:color w:val="000000" w:themeColor="text1"/>
        </w:rPr>
        <w:t xml:space="preserve">“АЙБОКС БАНК” </w:t>
      </w:r>
      <w:r w:rsidR="00FF75B2" w:rsidRPr="009E6E7F">
        <w:rPr>
          <w:color w:val="000000" w:themeColor="text1"/>
        </w:rPr>
        <w:t xml:space="preserve">порядку </w:t>
      </w:r>
      <w:r w:rsidR="008D030E" w:rsidRPr="009E6E7F">
        <w:rPr>
          <w:color w:val="000000" w:themeColor="text1"/>
        </w:rPr>
        <w:t xml:space="preserve">рішень про достатність вжитих ПЗНП або визначених ПЗНП, яких </w:t>
      </w:r>
      <w:r w:rsidR="00275D5D" w:rsidRPr="009E6E7F">
        <w:rPr>
          <w:color w:val="000000" w:themeColor="text1"/>
        </w:rPr>
        <w:t xml:space="preserve">потрібно </w:t>
      </w:r>
      <w:r w:rsidR="008D030E" w:rsidRPr="009E6E7F">
        <w:rPr>
          <w:color w:val="000000" w:themeColor="text1"/>
        </w:rPr>
        <w:t xml:space="preserve">вжити працівникам </w:t>
      </w:r>
      <w:r w:rsidR="00FF75B2" w:rsidRPr="009E6E7F">
        <w:rPr>
          <w:color w:val="000000" w:themeColor="text1"/>
        </w:rPr>
        <w:t>АТ “АЙБОКС БАНК”</w:t>
      </w:r>
      <w:r w:rsidR="008D030E" w:rsidRPr="009E6E7F">
        <w:rPr>
          <w:color w:val="000000" w:themeColor="text1"/>
        </w:rPr>
        <w:t xml:space="preserve">, що передбачено вимогами пунктів 5.8 та 5.9 розділу 5 </w:t>
      </w:r>
      <w:r w:rsidR="00112B11" w:rsidRPr="009E6E7F">
        <w:rPr>
          <w:color w:val="000000" w:themeColor="text1"/>
        </w:rPr>
        <w:t xml:space="preserve">Програми </w:t>
      </w:r>
      <w:r w:rsidR="00112B11" w:rsidRPr="009E6E7F">
        <w:rPr>
          <w:bCs/>
          <w:color w:val="000000" w:themeColor="text1"/>
        </w:rPr>
        <w:t xml:space="preserve">здійснення належної перевірки клієнтів </w:t>
      </w:r>
      <w:r w:rsidRPr="009E6E7F">
        <w:rPr>
          <w:color w:val="000000" w:themeColor="text1"/>
        </w:rPr>
        <w:t>АТ “АЙБОКС БАНК”</w:t>
      </w:r>
      <w:r w:rsidR="00112B11" w:rsidRPr="009E6E7F">
        <w:rPr>
          <w:bCs/>
          <w:color w:val="000000" w:themeColor="text1"/>
        </w:rPr>
        <w:t xml:space="preserve">, затвердженої рішенням </w:t>
      </w:r>
      <w:r w:rsidR="00275D5D" w:rsidRPr="009E6E7F">
        <w:rPr>
          <w:bCs/>
          <w:color w:val="000000" w:themeColor="text1"/>
        </w:rPr>
        <w:t>п</w:t>
      </w:r>
      <w:r w:rsidR="00112B11" w:rsidRPr="009E6E7F">
        <w:rPr>
          <w:bCs/>
          <w:color w:val="000000" w:themeColor="text1"/>
        </w:rPr>
        <w:t xml:space="preserve">равління </w:t>
      </w:r>
      <w:r w:rsidRPr="009E6E7F">
        <w:rPr>
          <w:color w:val="000000" w:themeColor="text1"/>
        </w:rPr>
        <w:t xml:space="preserve">АТ “АЙБОКС БАНК” </w:t>
      </w:r>
      <w:r w:rsidR="00112B11" w:rsidRPr="009E6E7F">
        <w:rPr>
          <w:bCs/>
          <w:color w:val="000000" w:themeColor="text1"/>
        </w:rPr>
        <w:t>від 18</w:t>
      </w:r>
      <w:r w:rsidR="00BC76F4" w:rsidRPr="009E6E7F">
        <w:rPr>
          <w:bCs/>
          <w:color w:val="000000" w:themeColor="text1"/>
        </w:rPr>
        <w:t xml:space="preserve"> лютого </w:t>
      </w:r>
      <w:r w:rsidR="00112B11" w:rsidRPr="009E6E7F">
        <w:rPr>
          <w:bCs/>
          <w:color w:val="000000" w:themeColor="text1"/>
        </w:rPr>
        <w:t>2022</w:t>
      </w:r>
      <w:r w:rsidR="00BC76F4" w:rsidRPr="009E6E7F">
        <w:rPr>
          <w:bCs/>
          <w:color w:val="000000" w:themeColor="text1"/>
        </w:rPr>
        <w:t xml:space="preserve"> року</w:t>
      </w:r>
      <w:r w:rsidR="00112B11" w:rsidRPr="009E6E7F">
        <w:rPr>
          <w:bCs/>
          <w:color w:val="000000" w:themeColor="text1"/>
        </w:rPr>
        <w:t xml:space="preserve"> (протокол № 12)</w:t>
      </w:r>
      <w:r w:rsidR="00FF75B2" w:rsidRPr="009E6E7F">
        <w:rPr>
          <w:color w:val="000000" w:themeColor="text1"/>
        </w:rPr>
        <w:t>.</w:t>
      </w:r>
    </w:p>
    <w:p w14:paraId="6A8F9F37" w14:textId="229F9D4F" w:rsidR="00BF69A2" w:rsidRPr="009E6E7F" w:rsidRDefault="00C2549B" w:rsidP="009E6E7F">
      <w:pPr>
        <w:ind w:firstLine="567"/>
        <w:rPr>
          <w:rFonts w:eastAsia="Calibri"/>
          <w:color w:val="000000" w:themeColor="text1"/>
        </w:rPr>
      </w:pPr>
      <w:r w:rsidRPr="009E6E7F">
        <w:rPr>
          <w:rFonts w:eastAsia="Calibri"/>
          <w:color w:val="000000" w:themeColor="text1"/>
        </w:rPr>
        <w:t xml:space="preserve">Таким чином, </w:t>
      </w:r>
      <w:r w:rsidR="00B60DD8" w:rsidRPr="009E6E7F">
        <w:rPr>
          <w:color w:val="000000" w:themeColor="text1"/>
        </w:rPr>
        <w:t>АТ “АЙБОКС БАНК”</w:t>
      </w:r>
      <w:r w:rsidRPr="009E6E7F">
        <w:rPr>
          <w:rFonts w:eastAsia="Calibri"/>
          <w:color w:val="000000" w:themeColor="text1"/>
        </w:rPr>
        <w:t xml:space="preserve"> документально не підтверди</w:t>
      </w:r>
      <w:r w:rsidR="00961C83" w:rsidRPr="009E6E7F">
        <w:rPr>
          <w:rFonts w:eastAsia="Calibri"/>
          <w:color w:val="000000" w:themeColor="text1"/>
        </w:rPr>
        <w:t>ло</w:t>
      </w:r>
      <w:r w:rsidRPr="009E6E7F">
        <w:rPr>
          <w:rFonts w:eastAsia="Calibri"/>
          <w:color w:val="000000" w:themeColor="text1"/>
        </w:rPr>
        <w:t xml:space="preserve"> здійснення </w:t>
      </w:r>
      <w:r w:rsidR="00F363E1">
        <w:rPr>
          <w:rFonts w:eastAsia="Calibri"/>
          <w:color w:val="000000" w:themeColor="text1"/>
        </w:rPr>
        <w:t>достатніх</w:t>
      </w:r>
      <w:r w:rsidR="00275D5D" w:rsidRPr="009E6E7F">
        <w:rPr>
          <w:rFonts w:eastAsia="Calibri"/>
          <w:color w:val="000000" w:themeColor="text1"/>
        </w:rPr>
        <w:t xml:space="preserve"> </w:t>
      </w:r>
      <w:r w:rsidR="00AF1CCD" w:rsidRPr="009E6E7F">
        <w:rPr>
          <w:rFonts w:eastAsia="Calibri"/>
          <w:color w:val="000000" w:themeColor="text1"/>
        </w:rPr>
        <w:t>ПЗНП</w:t>
      </w:r>
      <w:r w:rsidR="00B60DD8" w:rsidRPr="009E6E7F">
        <w:rPr>
          <w:rFonts w:eastAsia="Calibri"/>
          <w:color w:val="000000" w:themeColor="text1"/>
        </w:rPr>
        <w:t xml:space="preserve"> Клієнтів </w:t>
      </w:r>
      <w:r w:rsidRPr="009E6E7F">
        <w:rPr>
          <w:rFonts w:eastAsia="Calibri"/>
          <w:color w:val="000000" w:themeColor="text1"/>
        </w:rPr>
        <w:t xml:space="preserve">та прийнятих рішень за результатами </w:t>
      </w:r>
      <w:r w:rsidRPr="009E6E7F">
        <w:rPr>
          <w:rFonts w:eastAsia="Calibri"/>
          <w:color w:val="000000" w:themeColor="text1"/>
        </w:rPr>
        <w:lastRenderedPageBreak/>
        <w:t>проведен</w:t>
      </w:r>
      <w:r w:rsidR="00275D5D" w:rsidRPr="009E6E7F">
        <w:rPr>
          <w:rFonts w:eastAsia="Calibri"/>
          <w:color w:val="000000" w:themeColor="text1"/>
        </w:rPr>
        <w:t>ня</w:t>
      </w:r>
      <w:r w:rsidR="00A44A11" w:rsidRPr="009E6E7F">
        <w:rPr>
          <w:rFonts w:eastAsia="Calibri"/>
          <w:color w:val="000000" w:themeColor="text1"/>
        </w:rPr>
        <w:t xml:space="preserve"> </w:t>
      </w:r>
      <w:r w:rsidR="00AF1CCD" w:rsidRPr="009E6E7F">
        <w:rPr>
          <w:rFonts w:eastAsia="Calibri"/>
          <w:color w:val="000000" w:themeColor="text1"/>
        </w:rPr>
        <w:t xml:space="preserve">таких </w:t>
      </w:r>
      <w:r w:rsidR="00B60DD8" w:rsidRPr="009E6E7F">
        <w:rPr>
          <w:rFonts w:eastAsia="Calibri"/>
          <w:color w:val="000000" w:themeColor="text1"/>
        </w:rPr>
        <w:t>заходів</w:t>
      </w:r>
      <w:r w:rsidRPr="009E6E7F">
        <w:rPr>
          <w:rFonts w:eastAsia="Calibri"/>
          <w:color w:val="000000" w:themeColor="text1"/>
        </w:rPr>
        <w:t xml:space="preserve">. </w:t>
      </w:r>
      <w:r w:rsidR="00AF1CCD" w:rsidRPr="009E6E7F">
        <w:rPr>
          <w:rFonts w:eastAsia="Calibri"/>
          <w:color w:val="000000" w:themeColor="text1"/>
        </w:rPr>
        <w:t>В</w:t>
      </w:r>
      <w:r w:rsidRPr="009E6E7F">
        <w:rPr>
          <w:rFonts w:eastAsia="Calibri"/>
          <w:color w:val="000000" w:themeColor="text1"/>
        </w:rPr>
        <w:t xml:space="preserve">житі </w:t>
      </w:r>
      <w:r w:rsidR="00B60DD8" w:rsidRPr="009E6E7F">
        <w:rPr>
          <w:color w:val="000000" w:themeColor="text1"/>
        </w:rPr>
        <w:t>АТ “АЙБОКС БАНК”</w:t>
      </w:r>
      <w:r w:rsidRPr="009E6E7F">
        <w:rPr>
          <w:rFonts w:eastAsia="Calibri"/>
          <w:color w:val="000000" w:themeColor="text1"/>
        </w:rPr>
        <w:t xml:space="preserve"> </w:t>
      </w:r>
      <w:r w:rsidR="00AF1CCD" w:rsidRPr="009E6E7F">
        <w:rPr>
          <w:rFonts w:eastAsia="Calibri"/>
          <w:color w:val="000000" w:themeColor="text1"/>
        </w:rPr>
        <w:t xml:space="preserve">заходи </w:t>
      </w:r>
      <w:r w:rsidRPr="009E6E7F">
        <w:rPr>
          <w:rFonts w:eastAsia="Calibri"/>
          <w:color w:val="000000" w:themeColor="text1"/>
        </w:rPr>
        <w:t>не мінімізували виявлен</w:t>
      </w:r>
      <w:r w:rsidR="00275D5D" w:rsidRPr="009E6E7F">
        <w:rPr>
          <w:rFonts w:eastAsia="Calibri"/>
          <w:color w:val="000000" w:themeColor="text1"/>
        </w:rPr>
        <w:t>их</w:t>
      </w:r>
      <w:r w:rsidRPr="009E6E7F">
        <w:rPr>
          <w:rFonts w:eastAsia="Calibri"/>
          <w:color w:val="000000" w:themeColor="text1"/>
        </w:rPr>
        <w:t xml:space="preserve"> ризик</w:t>
      </w:r>
      <w:r w:rsidR="00275D5D" w:rsidRPr="009E6E7F">
        <w:rPr>
          <w:rFonts w:eastAsia="Calibri"/>
          <w:color w:val="000000" w:themeColor="text1"/>
        </w:rPr>
        <w:t>ів</w:t>
      </w:r>
      <w:r w:rsidRPr="009E6E7F">
        <w:rPr>
          <w:rFonts w:eastAsia="Calibri"/>
          <w:color w:val="000000" w:themeColor="text1"/>
        </w:rPr>
        <w:t xml:space="preserve"> та </w:t>
      </w:r>
      <w:r w:rsidR="00BF69A2" w:rsidRPr="009E6E7F">
        <w:rPr>
          <w:rFonts w:eastAsia="Calibri"/>
          <w:color w:val="000000" w:themeColor="text1"/>
        </w:rPr>
        <w:t xml:space="preserve">не </w:t>
      </w:r>
      <w:r w:rsidRPr="009E6E7F">
        <w:rPr>
          <w:rFonts w:eastAsia="Calibri"/>
          <w:color w:val="000000" w:themeColor="text1"/>
        </w:rPr>
        <w:t xml:space="preserve">були пропорційними ризикам, притаманним діловим відносинам із </w:t>
      </w:r>
      <w:r w:rsidR="00B60DD8" w:rsidRPr="009E6E7F">
        <w:rPr>
          <w:rFonts w:eastAsia="Calibri"/>
          <w:color w:val="000000" w:themeColor="text1"/>
        </w:rPr>
        <w:t>К</w:t>
      </w:r>
      <w:r w:rsidRPr="009E6E7F">
        <w:rPr>
          <w:rFonts w:eastAsia="Calibri"/>
          <w:color w:val="000000" w:themeColor="text1"/>
        </w:rPr>
        <w:t>лієнтами</w:t>
      </w:r>
      <w:r w:rsidR="00D84ED2" w:rsidRPr="009E6E7F">
        <w:rPr>
          <w:rFonts w:eastAsia="Calibri"/>
          <w:color w:val="000000" w:themeColor="text1"/>
        </w:rPr>
        <w:t>.</w:t>
      </w:r>
    </w:p>
    <w:p w14:paraId="3871A23F" w14:textId="30090B71" w:rsidR="00C2549B" w:rsidRPr="009E6E7F" w:rsidRDefault="00275D5D" w:rsidP="009E6E7F">
      <w:pPr>
        <w:ind w:firstLine="567"/>
        <w:rPr>
          <w:rFonts w:eastAsiaTheme="minorHAnsi"/>
          <w:color w:val="000000" w:themeColor="text1"/>
          <w:lang w:eastAsia="en-US"/>
        </w:rPr>
      </w:pPr>
      <w:r w:rsidRPr="009E6E7F">
        <w:rPr>
          <w:rFonts w:eastAsia="Calibri"/>
          <w:color w:val="000000" w:themeColor="text1"/>
        </w:rPr>
        <w:t>Водночас</w:t>
      </w:r>
      <w:r w:rsidR="00BF69A2" w:rsidRPr="009E6E7F">
        <w:rPr>
          <w:rFonts w:eastAsia="Calibri"/>
          <w:color w:val="000000" w:themeColor="text1"/>
        </w:rPr>
        <w:t xml:space="preserve"> за інформацією, наданою </w:t>
      </w:r>
      <w:r w:rsidR="00BF69A2" w:rsidRPr="009E6E7F">
        <w:rPr>
          <w:bCs/>
          <w:iCs/>
          <w:color w:val="000000" w:themeColor="text1"/>
        </w:rPr>
        <w:t xml:space="preserve">Комісією з регулювання азартних ігор та лотерей, а також </w:t>
      </w:r>
      <w:r w:rsidR="00BF69A2" w:rsidRPr="009E6E7F">
        <w:rPr>
          <w:bCs/>
          <w:color w:val="000000" w:themeColor="text1"/>
        </w:rPr>
        <w:t xml:space="preserve">громадською організацією </w:t>
      </w:r>
      <w:r w:rsidR="00A44357" w:rsidRPr="009E6E7F">
        <w:rPr>
          <w:bCs/>
          <w:color w:val="000000" w:themeColor="text1"/>
        </w:rPr>
        <w:t>“</w:t>
      </w:r>
      <w:r w:rsidR="00BF69A2" w:rsidRPr="009E6E7F">
        <w:rPr>
          <w:bCs/>
          <w:color w:val="000000" w:themeColor="text1"/>
        </w:rPr>
        <w:t xml:space="preserve">Всеукраїнська організація </w:t>
      </w:r>
      <w:r w:rsidRPr="009E6E7F">
        <w:rPr>
          <w:bCs/>
          <w:color w:val="000000" w:themeColor="text1"/>
        </w:rPr>
        <w:t>“</w:t>
      </w:r>
      <w:r w:rsidR="00BF69A2" w:rsidRPr="009E6E7F">
        <w:rPr>
          <w:bCs/>
          <w:color w:val="000000" w:themeColor="text1"/>
        </w:rPr>
        <w:t>Федерація кіберспорту (електронного спорту) України</w:t>
      </w:r>
      <w:r w:rsidRPr="009E6E7F">
        <w:rPr>
          <w:bCs/>
          <w:color w:val="000000" w:themeColor="text1"/>
        </w:rPr>
        <w:t>”</w:t>
      </w:r>
      <w:r w:rsidR="00BF69A2" w:rsidRPr="009E6E7F">
        <w:rPr>
          <w:bCs/>
          <w:color w:val="000000" w:themeColor="text1"/>
        </w:rPr>
        <w:t xml:space="preserve">, яка має статус національної спортивної федерації за видом спорту </w:t>
      </w:r>
      <w:r w:rsidRPr="009E6E7F">
        <w:rPr>
          <w:bCs/>
          <w:color w:val="000000" w:themeColor="text1"/>
        </w:rPr>
        <w:t>“</w:t>
      </w:r>
      <w:proofErr w:type="spellStart"/>
      <w:r w:rsidR="00BF69A2" w:rsidRPr="009E6E7F">
        <w:rPr>
          <w:bCs/>
          <w:color w:val="000000" w:themeColor="text1"/>
        </w:rPr>
        <w:t>кіберспорт</w:t>
      </w:r>
      <w:proofErr w:type="spellEnd"/>
      <w:r w:rsidR="00BF69A2" w:rsidRPr="009E6E7F">
        <w:rPr>
          <w:bCs/>
          <w:color w:val="000000" w:themeColor="text1"/>
        </w:rPr>
        <w:t xml:space="preserve"> (електронний спорт)</w:t>
      </w:r>
      <w:r w:rsidRPr="009E6E7F">
        <w:rPr>
          <w:bCs/>
          <w:color w:val="000000" w:themeColor="text1"/>
        </w:rPr>
        <w:t>”</w:t>
      </w:r>
      <w:r w:rsidR="00BF69A2" w:rsidRPr="009E6E7F">
        <w:rPr>
          <w:bCs/>
          <w:color w:val="000000" w:themeColor="text1"/>
        </w:rPr>
        <w:t xml:space="preserve">, </w:t>
      </w:r>
      <w:r w:rsidR="00BF69A2" w:rsidRPr="009E6E7F">
        <w:rPr>
          <w:rFonts w:eastAsiaTheme="minorHAnsi"/>
          <w:color w:val="000000" w:themeColor="text1"/>
          <w:lang w:eastAsia="en-US"/>
        </w:rPr>
        <w:t>діяльність Клієнтів містить усі елементи провадження діяльності з організації та проведення азартної гри, зокрема покеру</w:t>
      </w:r>
      <w:r w:rsidR="00D865F9" w:rsidRPr="009E6E7F">
        <w:rPr>
          <w:rFonts w:eastAsiaTheme="minorHAnsi"/>
          <w:color w:val="000000" w:themeColor="text1"/>
          <w:lang w:eastAsia="en-US"/>
        </w:rPr>
        <w:t>,</w:t>
      </w:r>
      <w:r w:rsidR="00BF69A2" w:rsidRPr="009E6E7F">
        <w:rPr>
          <w:rFonts w:eastAsiaTheme="minorHAnsi"/>
          <w:color w:val="000000" w:themeColor="text1"/>
          <w:lang w:eastAsia="en-US"/>
        </w:rPr>
        <w:t xml:space="preserve"> </w:t>
      </w:r>
      <w:r w:rsidRPr="009E6E7F">
        <w:rPr>
          <w:rFonts w:eastAsiaTheme="minorHAnsi"/>
          <w:color w:val="000000" w:themeColor="text1"/>
          <w:lang w:eastAsia="en-US"/>
        </w:rPr>
        <w:t>в</w:t>
      </w:r>
      <w:r w:rsidR="00BF69A2" w:rsidRPr="009E6E7F">
        <w:rPr>
          <w:rFonts w:eastAsiaTheme="minorHAnsi"/>
          <w:color w:val="000000" w:themeColor="text1"/>
          <w:lang w:eastAsia="en-US"/>
        </w:rPr>
        <w:t xml:space="preserve"> мережі Інтернет та/або букмекерської діяльності</w:t>
      </w:r>
      <w:r w:rsidR="00961C83" w:rsidRPr="009E6E7F">
        <w:rPr>
          <w:rFonts w:eastAsia="Calibri"/>
          <w:color w:val="000000" w:themeColor="text1"/>
        </w:rPr>
        <w:t>;</w:t>
      </w:r>
    </w:p>
    <w:p w14:paraId="5D562B69" w14:textId="44300E23" w:rsidR="00C2549B" w:rsidRPr="009E6E7F" w:rsidRDefault="005C4156" w:rsidP="009E6E7F">
      <w:pPr>
        <w:ind w:firstLine="567"/>
        <w:contextualSpacing/>
        <w:rPr>
          <w:color w:val="000000" w:themeColor="text1"/>
        </w:rPr>
      </w:pPr>
      <w:r w:rsidRPr="009E6E7F">
        <w:rPr>
          <w:color w:val="000000" w:themeColor="text1"/>
        </w:rPr>
        <w:t xml:space="preserve">2) </w:t>
      </w:r>
      <w:r w:rsidR="00B60DD8" w:rsidRPr="009E6E7F">
        <w:rPr>
          <w:color w:val="000000" w:themeColor="text1"/>
        </w:rPr>
        <w:t>а</w:t>
      </w:r>
      <w:r w:rsidR="00C2549B" w:rsidRPr="009E6E7F">
        <w:rPr>
          <w:color w:val="000000" w:themeColor="text1"/>
        </w:rPr>
        <w:t xml:space="preserve">бзаців першого та другого частини першої статті 8 Закону </w:t>
      </w:r>
      <w:r w:rsidR="00492DA2">
        <w:rPr>
          <w:color w:val="000000" w:themeColor="text1"/>
        </w:rPr>
        <w:t>щодо</w:t>
      </w:r>
      <w:r w:rsidR="00C2549B" w:rsidRPr="009E6E7F">
        <w:rPr>
          <w:color w:val="000000" w:themeColor="text1"/>
        </w:rPr>
        <w:t xml:space="preserve"> неналежного виконання </w:t>
      </w:r>
      <w:r w:rsidR="002455D9" w:rsidRPr="009E6E7F">
        <w:rPr>
          <w:color w:val="000000" w:themeColor="text1"/>
        </w:rPr>
        <w:t xml:space="preserve">АТ “АЙБОКС БАНК” </w:t>
      </w:r>
      <w:r w:rsidR="00C2549B" w:rsidRPr="009E6E7F">
        <w:rPr>
          <w:color w:val="000000" w:themeColor="text1"/>
        </w:rPr>
        <w:t>обов’язку з урахуванням вимог законодавства, результатів національної оцінки ризиків та оцінки ризиків, притаманних його діяльності, розробляти та впроваджувати, зокрема</w:t>
      </w:r>
      <w:r w:rsidR="00D865F9" w:rsidRPr="009E6E7F">
        <w:rPr>
          <w:color w:val="000000" w:themeColor="text1"/>
        </w:rPr>
        <w:t>,</w:t>
      </w:r>
      <w:r w:rsidR="00C2549B" w:rsidRPr="009E6E7F">
        <w:rPr>
          <w:color w:val="000000" w:themeColor="text1"/>
        </w:rPr>
        <w:t xml:space="preserve"> окремі внутрішні документи з питань</w:t>
      </w:r>
      <w:r w:rsidR="00B60DD8" w:rsidRPr="009E6E7F">
        <w:rPr>
          <w:color w:val="000000" w:themeColor="text1"/>
        </w:rPr>
        <w:t xml:space="preserve"> запобігання та протидії</w:t>
      </w:r>
      <w:r w:rsidR="00C2549B" w:rsidRPr="009E6E7F">
        <w:rPr>
          <w:color w:val="000000" w:themeColor="text1"/>
        </w:rPr>
        <w:t xml:space="preserve">. </w:t>
      </w:r>
    </w:p>
    <w:p w14:paraId="4DCC52CE" w14:textId="029B2411" w:rsidR="00C2549B" w:rsidRPr="009E6E7F" w:rsidRDefault="00C2549B" w:rsidP="009E6E7F">
      <w:pPr>
        <w:ind w:firstLine="567"/>
        <w:rPr>
          <w:color w:val="000000" w:themeColor="text1"/>
        </w:rPr>
      </w:pPr>
      <w:r w:rsidRPr="009E6E7F">
        <w:rPr>
          <w:color w:val="000000" w:themeColor="text1"/>
        </w:rPr>
        <w:t xml:space="preserve">Згідно з вимогами абзаців першого та другого частини першої статті 8 Закону </w:t>
      </w:r>
      <w:r w:rsidR="00B60DD8" w:rsidRPr="009E6E7F">
        <w:rPr>
          <w:color w:val="000000" w:themeColor="text1"/>
        </w:rPr>
        <w:t xml:space="preserve">суб’єкт первинного фінансового моніторингу </w:t>
      </w:r>
      <w:r w:rsidRPr="009E6E7F">
        <w:rPr>
          <w:color w:val="000000" w:themeColor="text1"/>
        </w:rPr>
        <w:t xml:space="preserve">з урахуванням вимог законодавства, результатів національної оцінки ризиків та оцінки ризиків, притаманних його діяльності, розробляє, впроваджує та оновлює правила фінансового моніторингу, програми проведення первинного фінансового моніторингу та інші внутрішні документи з питань </w:t>
      </w:r>
      <w:r w:rsidR="00A44A11" w:rsidRPr="009E6E7F">
        <w:rPr>
          <w:color w:val="000000" w:themeColor="text1"/>
        </w:rPr>
        <w:t>запобігання та прот</w:t>
      </w:r>
      <w:r w:rsidR="00B60DD8" w:rsidRPr="009E6E7F">
        <w:rPr>
          <w:color w:val="000000" w:themeColor="text1"/>
        </w:rPr>
        <w:t>и</w:t>
      </w:r>
      <w:r w:rsidR="00A44A11" w:rsidRPr="009E6E7F">
        <w:rPr>
          <w:color w:val="000000" w:themeColor="text1"/>
        </w:rPr>
        <w:t>д</w:t>
      </w:r>
      <w:r w:rsidR="00B60DD8" w:rsidRPr="009E6E7F">
        <w:rPr>
          <w:color w:val="000000" w:themeColor="text1"/>
        </w:rPr>
        <w:t xml:space="preserve">ії </w:t>
      </w:r>
      <w:r w:rsidRPr="009E6E7F">
        <w:rPr>
          <w:color w:val="000000" w:themeColor="text1"/>
        </w:rPr>
        <w:t>і призначає працівника, відповідального за його проведення.</w:t>
      </w:r>
    </w:p>
    <w:p w14:paraId="53AB8BC5" w14:textId="7CFD2343" w:rsidR="00257A3D" w:rsidRPr="009E6E7F" w:rsidRDefault="00D865F9" w:rsidP="009E6E7F">
      <w:pPr>
        <w:pStyle w:val="tj"/>
        <w:shd w:val="clear" w:color="auto" w:fill="FFFFFF"/>
        <w:spacing w:before="0" w:beforeAutospacing="0" w:after="0" w:afterAutospacing="0"/>
        <w:ind w:firstLine="567"/>
        <w:jc w:val="both"/>
        <w:rPr>
          <w:color w:val="000000" w:themeColor="text1"/>
          <w:sz w:val="28"/>
          <w:szCs w:val="28"/>
          <w:shd w:val="clear" w:color="auto" w:fill="FFFFFF"/>
        </w:rPr>
      </w:pPr>
      <w:r w:rsidRPr="009E6E7F">
        <w:rPr>
          <w:color w:val="000000" w:themeColor="text1"/>
          <w:sz w:val="28"/>
          <w:szCs w:val="28"/>
          <w:shd w:val="clear" w:color="auto" w:fill="FFFFFF"/>
        </w:rPr>
        <w:t>У п</w:t>
      </w:r>
      <w:r w:rsidR="00257A3D" w:rsidRPr="009E6E7F">
        <w:rPr>
          <w:color w:val="000000" w:themeColor="text1"/>
          <w:sz w:val="28"/>
          <w:szCs w:val="28"/>
          <w:shd w:val="clear" w:color="auto" w:fill="FFFFFF"/>
        </w:rPr>
        <w:t>ункт</w:t>
      </w:r>
      <w:r w:rsidRPr="009E6E7F">
        <w:rPr>
          <w:color w:val="000000" w:themeColor="text1"/>
          <w:sz w:val="28"/>
          <w:szCs w:val="28"/>
          <w:shd w:val="clear" w:color="auto" w:fill="FFFFFF"/>
        </w:rPr>
        <w:t>і</w:t>
      </w:r>
      <w:r w:rsidR="00257A3D" w:rsidRPr="009E6E7F">
        <w:rPr>
          <w:color w:val="000000" w:themeColor="text1"/>
          <w:sz w:val="28"/>
          <w:szCs w:val="28"/>
          <w:shd w:val="clear" w:color="auto" w:fill="FFFFFF"/>
        </w:rPr>
        <w:t xml:space="preserve"> 26 розділу ІІІ Положення № 65 </w:t>
      </w:r>
      <w:r w:rsidRPr="009E6E7F">
        <w:rPr>
          <w:color w:val="000000" w:themeColor="text1"/>
          <w:sz w:val="28"/>
          <w:szCs w:val="28"/>
          <w:shd w:val="clear" w:color="auto" w:fill="FFFFFF"/>
        </w:rPr>
        <w:t xml:space="preserve">зазначено </w:t>
      </w:r>
      <w:r w:rsidR="00257A3D" w:rsidRPr="009E6E7F">
        <w:rPr>
          <w:color w:val="000000" w:themeColor="text1"/>
          <w:sz w:val="28"/>
          <w:szCs w:val="28"/>
          <w:shd w:val="clear" w:color="auto" w:fill="FFFFFF"/>
        </w:rPr>
        <w:t xml:space="preserve">перелік окремих порядків, що принаймні мають міститися у внутрішніх документах банку з питань запобігання та протидії. </w:t>
      </w:r>
    </w:p>
    <w:p w14:paraId="7AF24138" w14:textId="2E5A741E" w:rsidR="00C2549B" w:rsidRPr="009E6E7F" w:rsidRDefault="005B247D" w:rsidP="009E6E7F">
      <w:pPr>
        <w:ind w:firstLine="567"/>
        <w:rPr>
          <w:color w:val="000000" w:themeColor="text1"/>
        </w:rPr>
      </w:pPr>
      <w:r w:rsidRPr="009E6E7F">
        <w:rPr>
          <w:color w:val="000000" w:themeColor="text1"/>
        </w:rPr>
        <w:t>Однак за результатами безвиїзного нагляду встановлено, що окремі в</w:t>
      </w:r>
      <w:r w:rsidR="00C2549B" w:rsidRPr="009E6E7F">
        <w:rPr>
          <w:color w:val="000000" w:themeColor="text1"/>
        </w:rPr>
        <w:t xml:space="preserve">нутрішні документи </w:t>
      </w:r>
      <w:r w:rsidRPr="009E6E7F">
        <w:rPr>
          <w:color w:val="000000" w:themeColor="text1"/>
        </w:rPr>
        <w:t xml:space="preserve">АТ “АЙБОКС БАНК” </w:t>
      </w:r>
      <w:r w:rsidR="00C2549B" w:rsidRPr="009E6E7F">
        <w:rPr>
          <w:color w:val="000000" w:themeColor="text1"/>
        </w:rPr>
        <w:t xml:space="preserve">з питань </w:t>
      </w:r>
      <w:r w:rsidRPr="009E6E7F">
        <w:rPr>
          <w:color w:val="000000" w:themeColor="text1"/>
        </w:rPr>
        <w:t xml:space="preserve">запобігання та протидії, зокрема Програма здійснення належної перевірки клієнтів АТ “АЙБОКС БАНК”, затверджена рішенням </w:t>
      </w:r>
      <w:r w:rsidR="00D865F9" w:rsidRPr="009E6E7F">
        <w:rPr>
          <w:color w:val="000000" w:themeColor="text1"/>
        </w:rPr>
        <w:t>п</w:t>
      </w:r>
      <w:r w:rsidRPr="009E6E7F">
        <w:rPr>
          <w:color w:val="000000" w:themeColor="text1"/>
        </w:rPr>
        <w:t>равління АТ “АЙБОКС БАНК” від 31 жовтня 2022 року (</w:t>
      </w:r>
      <w:r w:rsidR="00624D9A" w:rsidRPr="009E6E7F">
        <w:rPr>
          <w:color w:val="000000" w:themeColor="text1"/>
        </w:rPr>
        <w:t>п</w:t>
      </w:r>
      <w:r w:rsidRPr="009E6E7F">
        <w:rPr>
          <w:color w:val="000000" w:themeColor="text1"/>
        </w:rPr>
        <w:t>ротокол № 64), Програма управління ризиками легалізації (відмивання) доходів, одержаних злочинним шляхом, фінансування тероризму та/або фінансування розповсюдження зброї масового знищення в АТ “АЙБОКС БАНК”, затверджен</w:t>
      </w:r>
      <w:r w:rsidR="00685FA3" w:rsidRPr="009E6E7F">
        <w:rPr>
          <w:color w:val="000000" w:themeColor="text1"/>
        </w:rPr>
        <w:t>а</w:t>
      </w:r>
      <w:r w:rsidRPr="009E6E7F">
        <w:rPr>
          <w:color w:val="000000" w:themeColor="text1"/>
        </w:rPr>
        <w:t xml:space="preserve"> рішенням </w:t>
      </w:r>
      <w:r w:rsidR="00624D9A" w:rsidRPr="009E6E7F">
        <w:rPr>
          <w:color w:val="000000" w:themeColor="text1"/>
        </w:rPr>
        <w:t>п</w:t>
      </w:r>
      <w:r w:rsidRPr="009E6E7F">
        <w:rPr>
          <w:color w:val="000000" w:themeColor="text1"/>
        </w:rPr>
        <w:t xml:space="preserve">равління АТ “АЙБОКС БАНК” </w:t>
      </w:r>
      <w:r w:rsidR="00A44357">
        <w:rPr>
          <w:color w:val="000000" w:themeColor="text1"/>
        </w:rPr>
        <w:br/>
      </w:r>
      <w:r w:rsidRPr="009E6E7F">
        <w:rPr>
          <w:color w:val="000000" w:themeColor="text1"/>
        </w:rPr>
        <w:t>від 24</w:t>
      </w:r>
      <w:r w:rsidR="00624D9A" w:rsidRPr="009E6E7F">
        <w:rPr>
          <w:color w:val="000000" w:themeColor="text1"/>
        </w:rPr>
        <w:t> </w:t>
      </w:r>
      <w:r w:rsidRPr="009E6E7F">
        <w:rPr>
          <w:color w:val="000000" w:themeColor="text1"/>
        </w:rPr>
        <w:t>листопада 2022 року (протокол № 70)</w:t>
      </w:r>
      <w:r w:rsidR="00685FA3" w:rsidRPr="009E6E7F">
        <w:rPr>
          <w:color w:val="000000" w:themeColor="text1"/>
        </w:rPr>
        <w:t>,</w:t>
      </w:r>
      <w:r w:rsidRPr="009E6E7F">
        <w:rPr>
          <w:color w:val="000000" w:themeColor="text1"/>
        </w:rPr>
        <w:t xml:space="preserve"> та Методика оцінки ризик-профілю АТ</w:t>
      </w:r>
      <w:r w:rsidR="00624D9A" w:rsidRPr="009E6E7F">
        <w:rPr>
          <w:color w:val="000000" w:themeColor="text1"/>
        </w:rPr>
        <w:t> </w:t>
      </w:r>
      <w:r w:rsidRPr="009E6E7F">
        <w:rPr>
          <w:color w:val="000000" w:themeColor="text1"/>
        </w:rPr>
        <w:t>“АЙБОКС БАНК”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затверджен</w:t>
      </w:r>
      <w:r w:rsidR="00685FA3" w:rsidRPr="009E6E7F">
        <w:rPr>
          <w:color w:val="000000" w:themeColor="text1"/>
        </w:rPr>
        <w:t>а</w:t>
      </w:r>
      <w:r w:rsidRPr="009E6E7F">
        <w:rPr>
          <w:color w:val="000000" w:themeColor="text1"/>
        </w:rPr>
        <w:t xml:space="preserve"> рішення</w:t>
      </w:r>
      <w:r w:rsidR="00685FA3" w:rsidRPr="009E6E7F">
        <w:rPr>
          <w:color w:val="000000" w:themeColor="text1"/>
        </w:rPr>
        <w:t>м</w:t>
      </w:r>
      <w:r w:rsidRPr="009E6E7F">
        <w:rPr>
          <w:color w:val="000000" w:themeColor="text1"/>
        </w:rPr>
        <w:t xml:space="preserve"> </w:t>
      </w:r>
      <w:r w:rsidR="004D3D0F" w:rsidRPr="009E6E7F">
        <w:rPr>
          <w:color w:val="000000" w:themeColor="text1"/>
        </w:rPr>
        <w:t>п</w:t>
      </w:r>
      <w:r w:rsidRPr="009E6E7F">
        <w:rPr>
          <w:color w:val="000000" w:themeColor="text1"/>
        </w:rPr>
        <w:t>равління АТ “АЙБОКС БАНК” від 24 листопада 2022 року (протокол № 70)</w:t>
      </w:r>
      <w:r w:rsidR="00685FA3" w:rsidRPr="009E6E7F">
        <w:rPr>
          <w:color w:val="000000" w:themeColor="text1"/>
        </w:rPr>
        <w:t>,</w:t>
      </w:r>
      <w:r w:rsidRPr="009E6E7F">
        <w:rPr>
          <w:color w:val="000000" w:themeColor="text1"/>
        </w:rPr>
        <w:t xml:space="preserve"> не відповідають вимогам законодавства у сфері запобігання та протидії</w:t>
      </w:r>
      <w:r w:rsidR="00961C83" w:rsidRPr="009E6E7F">
        <w:rPr>
          <w:color w:val="000000" w:themeColor="text1"/>
        </w:rPr>
        <w:t>.</w:t>
      </w:r>
      <w:r w:rsidR="00C2549B" w:rsidRPr="009E6E7F">
        <w:rPr>
          <w:color w:val="000000" w:themeColor="text1"/>
          <w:shd w:val="clear" w:color="auto" w:fill="FFFFFF"/>
        </w:rPr>
        <w:t xml:space="preserve"> </w:t>
      </w:r>
    </w:p>
    <w:p w14:paraId="5BC3334F" w14:textId="23285B87" w:rsidR="00257A3D" w:rsidRPr="009E6E7F" w:rsidRDefault="00257A3D" w:rsidP="009E6E7F">
      <w:pPr>
        <w:ind w:firstLine="567"/>
        <w:rPr>
          <w:rFonts w:eastAsiaTheme="minorHAnsi"/>
          <w:color w:val="000000" w:themeColor="text1"/>
          <w:spacing w:val="-4"/>
        </w:rPr>
      </w:pPr>
      <w:r w:rsidRPr="009E6E7F">
        <w:rPr>
          <w:color w:val="000000" w:themeColor="text1"/>
        </w:rPr>
        <w:t xml:space="preserve">Детальний опис порушень </w:t>
      </w:r>
      <w:r w:rsidRPr="009E6E7F">
        <w:rPr>
          <w:color w:val="000000" w:themeColor="text1"/>
          <w:shd w:val="clear" w:color="auto" w:fill="FFFFFF"/>
        </w:rPr>
        <w:t xml:space="preserve">вимог </w:t>
      </w:r>
      <w:r w:rsidRPr="009E6E7F">
        <w:rPr>
          <w:color w:val="000000" w:themeColor="text1"/>
        </w:rPr>
        <w:t xml:space="preserve">частини першої статті 12, абзаців першого та другого частини першої статті 8 Закону </w:t>
      </w:r>
      <w:r w:rsidRPr="009E6E7F">
        <w:rPr>
          <w:color w:val="000000" w:themeColor="text1"/>
          <w:shd w:val="clear" w:color="auto" w:fill="FFFFFF"/>
        </w:rPr>
        <w:t xml:space="preserve">зафіксовано в Акті. </w:t>
      </w:r>
    </w:p>
    <w:p w14:paraId="56B8718C" w14:textId="4D2BAF68" w:rsidR="00257A3D" w:rsidRPr="009E6E7F" w:rsidRDefault="005F2C6D" w:rsidP="009E6E7F">
      <w:pPr>
        <w:ind w:firstLine="567"/>
        <w:rPr>
          <w:color w:val="000000" w:themeColor="text1"/>
        </w:rPr>
      </w:pPr>
      <w:r>
        <w:rPr>
          <w:color w:val="000000" w:themeColor="text1"/>
        </w:rPr>
        <w:t xml:space="preserve">Разом з листом </w:t>
      </w:r>
      <w:r w:rsidR="00257A3D" w:rsidRPr="009E6E7F">
        <w:rPr>
          <w:rFonts w:eastAsia="Calibri"/>
          <w:color w:val="000000" w:themeColor="text1"/>
        </w:rPr>
        <w:t xml:space="preserve">від 16 січня 2023 року № 74 БТ/121-01 </w:t>
      </w:r>
      <w:r w:rsidR="00AF69BA" w:rsidRPr="009E6E7F">
        <w:rPr>
          <w:color w:val="000000" w:themeColor="text1"/>
        </w:rPr>
        <w:t>АТ “АЙБОКС БАНК”</w:t>
      </w:r>
      <w:r w:rsidR="00257A3D" w:rsidRPr="009E6E7F">
        <w:rPr>
          <w:color w:val="000000" w:themeColor="text1"/>
        </w:rPr>
        <w:t xml:space="preserve"> нада</w:t>
      </w:r>
      <w:r w:rsidR="00961C83" w:rsidRPr="009E6E7F">
        <w:rPr>
          <w:color w:val="000000" w:themeColor="text1"/>
        </w:rPr>
        <w:t>ло</w:t>
      </w:r>
      <w:r w:rsidR="00257A3D" w:rsidRPr="009E6E7F">
        <w:rPr>
          <w:color w:val="000000" w:themeColor="text1"/>
        </w:rPr>
        <w:t xml:space="preserve"> пояснення та заперечення щодо виявлених </w:t>
      </w:r>
      <w:r w:rsidR="006A2F8A" w:rsidRPr="009E6E7F">
        <w:rPr>
          <w:color w:val="000000" w:themeColor="text1"/>
        </w:rPr>
        <w:t>під час безвиїзного нагляду</w:t>
      </w:r>
      <w:r w:rsidR="00257A3D" w:rsidRPr="009E6E7F">
        <w:rPr>
          <w:color w:val="000000" w:themeColor="text1"/>
        </w:rPr>
        <w:t xml:space="preserve"> та </w:t>
      </w:r>
      <w:r w:rsidR="00257A3D" w:rsidRPr="009E6E7F">
        <w:rPr>
          <w:color w:val="000000" w:themeColor="text1"/>
        </w:rPr>
        <w:lastRenderedPageBreak/>
        <w:t>наведених у цьому рішенні порушень, за результатами аналізу яких встановлено, що вони не спростовують викладен</w:t>
      </w:r>
      <w:r w:rsidR="000F01D5" w:rsidRPr="009E6E7F">
        <w:rPr>
          <w:color w:val="000000" w:themeColor="text1"/>
        </w:rPr>
        <w:t>их</w:t>
      </w:r>
      <w:r w:rsidR="00257A3D" w:rsidRPr="009E6E7F">
        <w:rPr>
          <w:color w:val="000000" w:themeColor="text1"/>
        </w:rPr>
        <w:t xml:space="preserve"> в Акті обставин, а здебільшого в них наведено суб’єктивні твердження </w:t>
      </w:r>
      <w:r w:rsidR="00AF69BA" w:rsidRPr="009E6E7F">
        <w:rPr>
          <w:color w:val="000000" w:themeColor="text1"/>
        </w:rPr>
        <w:t>АТ “АЙБОКС БАНК”</w:t>
      </w:r>
      <w:r w:rsidR="00257A3D" w:rsidRPr="009E6E7F">
        <w:rPr>
          <w:color w:val="000000" w:themeColor="text1"/>
        </w:rPr>
        <w:t>, інформаці</w:t>
      </w:r>
      <w:r w:rsidR="008933EC">
        <w:rPr>
          <w:color w:val="000000" w:themeColor="text1"/>
        </w:rPr>
        <w:t>ю</w:t>
      </w:r>
      <w:r w:rsidR="00257A3D" w:rsidRPr="009E6E7F">
        <w:rPr>
          <w:color w:val="000000" w:themeColor="text1"/>
        </w:rPr>
        <w:t xml:space="preserve"> загального характеру стосовно відсутності порушень та зазначається інформація щодо вжитих ним заходів, які не є </w:t>
      </w:r>
      <w:r w:rsidR="00564946" w:rsidRPr="009E6E7F">
        <w:rPr>
          <w:color w:val="000000" w:themeColor="text1"/>
        </w:rPr>
        <w:t>належними</w:t>
      </w:r>
      <w:r w:rsidR="00257A3D" w:rsidRPr="009E6E7F">
        <w:rPr>
          <w:color w:val="000000" w:themeColor="text1"/>
        </w:rPr>
        <w:t>.</w:t>
      </w:r>
    </w:p>
    <w:p w14:paraId="7F0F4A83" w14:textId="1FF51342" w:rsidR="003829D4" w:rsidRPr="009E6E7F" w:rsidRDefault="00AF69BA" w:rsidP="009E6E7F">
      <w:pPr>
        <w:ind w:firstLine="567"/>
        <w:rPr>
          <w:color w:val="000000" w:themeColor="text1"/>
          <w:lang w:eastAsia="zh-CN"/>
        </w:rPr>
      </w:pPr>
      <w:r w:rsidRPr="009E6E7F">
        <w:rPr>
          <w:color w:val="000000" w:themeColor="text1"/>
          <w:lang w:eastAsia="zh-CN"/>
        </w:rPr>
        <w:t>За результатами попередніх перевірок</w:t>
      </w:r>
      <w:r w:rsidR="009359FF" w:rsidRPr="009E6E7F">
        <w:rPr>
          <w:color w:val="000000" w:themeColor="text1"/>
          <w:lang w:eastAsia="zh-CN"/>
        </w:rPr>
        <w:t xml:space="preserve"> </w:t>
      </w:r>
      <w:r w:rsidR="00D84ED2" w:rsidRPr="009E6E7F">
        <w:rPr>
          <w:color w:val="000000" w:themeColor="text1"/>
        </w:rPr>
        <w:t>АТ “АЙБОКС БАНК”</w:t>
      </w:r>
      <w:r w:rsidR="00D84ED2" w:rsidRPr="009E6E7F">
        <w:rPr>
          <w:color w:val="000000" w:themeColor="text1"/>
          <w:lang w:eastAsia="zh-CN"/>
        </w:rPr>
        <w:t xml:space="preserve"> протягом </w:t>
      </w:r>
      <w:r w:rsidR="00D84ED2" w:rsidRPr="009E6E7F">
        <w:rPr>
          <w:color w:val="000000" w:themeColor="text1"/>
          <w:lang w:eastAsia="ru-RU"/>
        </w:rPr>
        <w:t xml:space="preserve">двох років </w:t>
      </w:r>
      <w:r w:rsidR="007165D5" w:rsidRPr="009E6E7F">
        <w:rPr>
          <w:color w:val="000000" w:themeColor="text1"/>
          <w:lang w:eastAsia="zh-CN"/>
        </w:rPr>
        <w:t xml:space="preserve">було </w:t>
      </w:r>
      <w:r w:rsidR="00D84ED2" w:rsidRPr="009E6E7F">
        <w:rPr>
          <w:color w:val="000000" w:themeColor="text1"/>
          <w:lang w:eastAsia="zh-CN"/>
        </w:rPr>
        <w:t xml:space="preserve">об’єктом застосування Національним банком України </w:t>
      </w:r>
      <w:r w:rsidR="00D84ED2" w:rsidRPr="009E6E7F">
        <w:rPr>
          <w:color w:val="000000" w:themeColor="text1"/>
          <w:lang w:eastAsia="ru-RU"/>
        </w:rPr>
        <w:t xml:space="preserve">заходів впливу </w:t>
      </w:r>
      <w:r w:rsidRPr="009E6E7F">
        <w:rPr>
          <w:color w:val="000000" w:themeColor="text1"/>
          <w:lang w:eastAsia="zh-CN"/>
        </w:rPr>
        <w:t>за порушення законодавства з питань запобігання та протидії</w:t>
      </w:r>
      <w:r w:rsidR="00F022A8" w:rsidRPr="009E6E7F">
        <w:rPr>
          <w:color w:val="000000" w:themeColor="text1"/>
          <w:lang w:eastAsia="zh-CN"/>
        </w:rPr>
        <w:t>.</w:t>
      </w:r>
      <w:r w:rsidR="00F000B5" w:rsidRPr="009E6E7F">
        <w:rPr>
          <w:color w:val="000000" w:themeColor="text1"/>
          <w:lang w:eastAsia="zh-CN"/>
        </w:rPr>
        <w:t xml:space="preserve"> </w:t>
      </w:r>
    </w:p>
    <w:p w14:paraId="5FA62A21" w14:textId="5B05B3A6" w:rsidR="009C074D" w:rsidRPr="009E6E7F" w:rsidRDefault="00AF69BA" w:rsidP="009E6E7F">
      <w:pPr>
        <w:ind w:firstLine="567"/>
        <w:rPr>
          <w:color w:val="000000" w:themeColor="text1"/>
        </w:rPr>
      </w:pPr>
      <w:r w:rsidRPr="009E6E7F">
        <w:rPr>
          <w:color w:val="000000" w:themeColor="text1"/>
          <w:lang w:eastAsia="zh-CN"/>
        </w:rPr>
        <w:t xml:space="preserve">Так, </w:t>
      </w:r>
      <w:r w:rsidR="009C074D" w:rsidRPr="009E6E7F">
        <w:rPr>
          <w:color w:val="000000" w:themeColor="text1"/>
          <w:lang w:eastAsia="zh-CN"/>
        </w:rPr>
        <w:t xml:space="preserve">до </w:t>
      </w:r>
      <w:r w:rsidR="009C074D" w:rsidRPr="009E6E7F">
        <w:rPr>
          <w:color w:val="000000" w:themeColor="text1"/>
        </w:rPr>
        <w:t xml:space="preserve">АТ “АЙБОКС БАНК” застосовано заходи впливу </w:t>
      </w:r>
      <w:r w:rsidR="003829D4" w:rsidRPr="009E6E7F">
        <w:rPr>
          <w:color w:val="000000" w:themeColor="text1"/>
        </w:rPr>
        <w:t xml:space="preserve">згідно </w:t>
      </w:r>
      <w:r w:rsidR="00D748EC" w:rsidRPr="009E6E7F">
        <w:rPr>
          <w:color w:val="000000" w:themeColor="text1"/>
        </w:rPr>
        <w:t xml:space="preserve">з </w:t>
      </w:r>
      <w:r w:rsidR="003829D4" w:rsidRPr="009E6E7F">
        <w:rPr>
          <w:color w:val="000000" w:themeColor="text1"/>
        </w:rPr>
        <w:t>рішен</w:t>
      </w:r>
      <w:r w:rsidR="00D748EC" w:rsidRPr="009E6E7F">
        <w:rPr>
          <w:color w:val="000000" w:themeColor="text1"/>
        </w:rPr>
        <w:t xml:space="preserve">нями </w:t>
      </w:r>
      <w:r w:rsidR="003829D4" w:rsidRPr="009E6E7F">
        <w:rPr>
          <w:color w:val="000000" w:themeColor="text1"/>
        </w:rPr>
        <w:t>Комітету з питань нагляду та регулювання діяльності банків, нагляду (</w:t>
      </w:r>
      <w:proofErr w:type="spellStart"/>
      <w:r w:rsidR="003829D4" w:rsidRPr="009E6E7F">
        <w:rPr>
          <w:color w:val="000000" w:themeColor="text1"/>
        </w:rPr>
        <w:t>оверсайту</w:t>
      </w:r>
      <w:proofErr w:type="spellEnd"/>
      <w:r w:rsidR="003829D4" w:rsidRPr="009E6E7F">
        <w:rPr>
          <w:color w:val="000000" w:themeColor="text1"/>
        </w:rPr>
        <w:t xml:space="preserve">) платіжних систем Національного банку України від 09 вересня 2021 року </w:t>
      </w:r>
      <w:r w:rsidR="00873D82" w:rsidRPr="009E6E7F">
        <w:rPr>
          <w:color w:val="000000" w:themeColor="text1"/>
        </w:rPr>
        <w:br/>
      </w:r>
      <w:r w:rsidR="003829D4" w:rsidRPr="009E6E7F">
        <w:rPr>
          <w:color w:val="000000" w:themeColor="text1"/>
        </w:rPr>
        <w:t>№ 381/БТ</w:t>
      </w:r>
      <w:r w:rsidR="009C074D" w:rsidRPr="009E6E7F">
        <w:rPr>
          <w:color w:val="000000" w:themeColor="text1"/>
        </w:rPr>
        <w:t>, № 382/БТ, від 20 грудня 2021 року № 522/БТ, № 523/БТ, № 524/БТ, від 16</w:t>
      </w:r>
      <w:r w:rsidR="009359FF" w:rsidRPr="009E6E7F">
        <w:rPr>
          <w:color w:val="000000" w:themeColor="text1"/>
        </w:rPr>
        <w:t xml:space="preserve"> червня </w:t>
      </w:r>
      <w:r w:rsidR="009C074D" w:rsidRPr="009E6E7F">
        <w:rPr>
          <w:color w:val="000000" w:themeColor="text1"/>
        </w:rPr>
        <w:t>2022</w:t>
      </w:r>
      <w:r w:rsidR="009359FF" w:rsidRPr="009E6E7F">
        <w:rPr>
          <w:color w:val="000000" w:themeColor="text1"/>
        </w:rPr>
        <w:t xml:space="preserve"> року</w:t>
      </w:r>
      <w:r w:rsidR="009C074D" w:rsidRPr="009E6E7F">
        <w:rPr>
          <w:color w:val="000000" w:themeColor="text1"/>
        </w:rPr>
        <w:t xml:space="preserve"> № 20/810-рк/БТ, </w:t>
      </w:r>
      <w:r w:rsidR="001E6FFF" w:rsidRPr="009E6E7F">
        <w:rPr>
          <w:color w:val="000000" w:themeColor="text1"/>
        </w:rPr>
        <w:t>у</w:t>
      </w:r>
      <w:r w:rsidR="009C074D" w:rsidRPr="009E6E7F">
        <w:rPr>
          <w:color w:val="000000" w:themeColor="text1"/>
        </w:rPr>
        <w:t xml:space="preserve"> тому числі у вигляді </w:t>
      </w:r>
      <w:r w:rsidR="00873D82" w:rsidRPr="009E6E7F">
        <w:rPr>
          <w:color w:val="000000" w:themeColor="text1"/>
        </w:rPr>
        <w:t xml:space="preserve">письмових застережень </w:t>
      </w:r>
      <w:r w:rsidR="001E6FFF" w:rsidRPr="009E6E7F">
        <w:rPr>
          <w:color w:val="000000" w:themeColor="text1"/>
        </w:rPr>
        <w:t>(</w:t>
      </w:r>
      <w:r w:rsidR="00873D82" w:rsidRPr="009E6E7F">
        <w:rPr>
          <w:color w:val="000000" w:themeColor="text1"/>
        </w:rPr>
        <w:t>зокрема за порушення абзаців першого та другого частини першої статті 8 Закону, що полягало в неналежному виконанні АТ “АЙБОКС БАНК” обов’язку розробляти, впроваджувати та оновлювати внутрішні документи з питань запобігання та протидії</w:t>
      </w:r>
      <w:r w:rsidR="001E6FFF" w:rsidRPr="009E6E7F">
        <w:rPr>
          <w:color w:val="000000" w:themeColor="text1"/>
        </w:rPr>
        <w:t>)</w:t>
      </w:r>
      <w:r w:rsidR="00873D82" w:rsidRPr="009E6E7F">
        <w:rPr>
          <w:color w:val="000000" w:themeColor="text1"/>
        </w:rPr>
        <w:t xml:space="preserve">, </w:t>
      </w:r>
      <w:r w:rsidR="00F022A8" w:rsidRPr="009E6E7F">
        <w:rPr>
          <w:color w:val="000000" w:themeColor="text1"/>
        </w:rPr>
        <w:t xml:space="preserve">накладення </w:t>
      </w:r>
      <w:r w:rsidRPr="009E6E7F">
        <w:rPr>
          <w:color w:val="000000" w:themeColor="text1"/>
        </w:rPr>
        <w:t xml:space="preserve">штрафу </w:t>
      </w:r>
      <w:r w:rsidR="009E6E7F" w:rsidRPr="009E6E7F">
        <w:rPr>
          <w:color w:val="000000" w:themeColor="text1"/>
        </w:rPr>
        <w:t>в</w:t>
      </w:r>
      <w:r w:rsidRPr="009E6E7F">
        <w:rPr>
          <w:color w:val="000000" w:themeColor="text1"/>
        </w:rPr>
        <w:t xml:space="preserve"> розмірі 10 000 000,00</w:t>
      </w:r>
      <w:r w:rsidR="00F77B65">
        <w:rPr>
          <w:color w:val="000000" w:themeColor="text1"/>
        </w:rPr>
        <w:t> </w:t>
      </w:r>
      <w:r w:rsidRPr="009E6E7F">
        <w:rPr>
          <w:color w:val="000000" w:themeColor="text1"/>
        </w:rPr>
        <w:t>грн</w:t>
      </w:r>
      <w:r w:rsidR="00D748EC" w:rsidRPr="009E6E7F">
        <w:rPr>
          <w:color w:val="000000" w:themeColor="text1"/>
        </w:rPr>
        <w:t>,</w:t>
      </w:r>
      <w:r w:rsidR="00873D82" w:rsidRPr="009E6E7F">
        <w:rPr>
          <w:color w:val="000000" w:themeColor="text1"/>
        </w:rPr>
        <w:t xml:space="preserve"> відсторонення посадової особи АТ “АЙБОКС БАНК” від посади </w:t>
      </w:r>
      <w:r w:rsidR="009C074D" w:rsidRPr="009E6E7F">
        <w:rPr>
          <w:color w:val="000000" w:themeColor="text1"/>
        </w:rPr>
        <w:t>[</w:t>
      </w:r>
      <w:r w:rsidRPr="009E6E7F">
        <w:rPr>
          <w:color w:val="000000" w:themeColor="text1"/>
        </w:rPr>
        <w:t>за порушення пункту 4 частини другої статті 8 Закону, що поляга</w:t>
      </w:r>
      <w:r w:rsidR="00685FA3" w:rsidRPr="009E6E7F">
        <w:rPr>
          <w:color w:val="000000" w:themeColor="text1"/>
        </w:rPr>
        <w:t>ло</w:t>
      </w:r>
      <w:r w:rsidRPr="009E6E7F">
        <w:rPr>
          <w:color w:val="000000" w:themeColor="text1"/>
        </w:rPr>
        <w:t xml:space="preserve"> в неналежному виконанні </w:t>
      </w:r>
      <w:r w:rsidR="00F022A8" w:rsidRPr="009E6E7F">
        <w:rPr>
          <w:color w:val="000000" w:themeColor="text1"/>
        </w:rPr>
        <w:t>АТ “АЙБОКС БАНК”</w:t>
      </w:r>
      <w:r w:rsidRPr="009E6E7F">
        <w:rPr>
          <w:color w:val="000000" w:themeColor="text1"/>
        </w:rPr>
        <w:t xml:space="preserve"> обов’язку щодо здійснення належної перевірки клієнтів </w:t>
      </w:r>
      <w:r w:rsidR="00A44A11" w:rsidRPr="009E6E7F">
        <w:rPr>
          <w:color w:val="000000" w:themeColor="text1"/>
        </w:rPr>
        <w:t xml:space="preserve">(у тому числі щодо клієнтів, </w:t>
      </w:r>
      <w:r w:rsidR="003E65F0">
        <w:rPr>
          <w:color w:val="000000" w:themeColor="text1"/>
        </w:rPr>
        <w:t>які</w:t>
      </w:r>
      <w:r w:rsidR="003E65F0" w:rsidRPr="009E6E7F">
        <w:rPr>
          <w:color w:val="000000" w:themeColor="text1"/>
        </w:rPr>
        <w:t xml:space="preserve"> </w:t>
      </w:r>
      <w:r w:rsidR="00A44A11" w:rsidRPr="009E6E7F">
        <w:rPr>
          <w:color w:val="000000" w:themeColor="text1"/>
        </w:rPr>
        <w:t>здійснювали діяльність з надання послуг з організації та проведення змагань (турнірів) зі спортивного покеру)</w:t>
      </w:r>
      <w:r w:rsidR="009C074D" w:rsidRPr="009E6E7F">
        <w:rPr>
          <w:color w:val="000000" w:themeColor="text1"/>
        </w:rPr>
        <w:t>].</w:t>
      </w:r>
    </w:p>
    <w:p w14:paraId="4794DCC9" w14:textId="018DCEF5" w:rsidR="00AF69BA" w:rsidRPr="009E6E7F" w:rsidRDefault="00AF69BA" w:rsidP="009E6E7F">
      <w:pPr>
        <w:ind w:firstLine="567"/>
        <w:rPr>
          <w:color w:val="000000" w:themeColor="text1"/>
        </w:rPr>
      </w:pPr>
      <w:r w:rsidRPr="009E6E7F">
        <w:rPr>
          <w:color w:val="000000" w:themeColor="text1"/>
        </w:rPr>
        <w:t xml:space="preserve">Відповідно до статті 63 Закону України “Про банки і банківську діяльність” (далі – Закон про банки) </w:t>
      </w:r>
      <w:r w:rsidR="00A46E8E" w:rsidRPr="009E6E7F">
        <w:rPr>
          <w:color w:val="000000" w:themeColor="text1"/>
          <w:shd w:val="clear" w:color="auto" w:fill="FFFFFF"/>
        </w:rPr>
        <w:t>Національний банк України під час здійснення нагляду за діяльністю банків проводить перевірку банків з питань дотримання ними вимог законодавства, яке регулює відносини у сфері запобігання та протидії</w:t>
      </w:r>
      <w:r w:rsidR="003E65F0">
        <w:rPr>
          <w:color w:val="000000" w:themeColor="text1"/>
          <w:shd w:val="clear" w:color="auto" w:fill="FFFFFF"/>
        </w:rPr>
        <w:t>,</w:t>
      </w:r>
      <w:r w:rsidR="00A46E8E" w:rsidRPr="009E6E7F">
        <w:rPr>
          <w:color w:val="000000" w:themeColor="text1"/>
          <w:shd w:val="clear" w:color="auto" w:fill="FFFFFF"/>
        </w:rPr>
        <w:t xml:space="preserve"> та достатності заходів для запобігання та протидії легалізації (відмиванню) доходів, одержаних злочинним шляхом, та фінансуванню тероризму.</w:t>
      </w:r>
    </w:p>
    <w:p w14:paraId="173E1825" w14:textId="77777777" w:rsidR="00A46E8E" w:rsidRPr="009E6E7F" w:rsidRDefault="00A46E8E" w:rsidP="009E6E7F">
      <w:pPr>
        <w:autoSpaceDE w:val="0"/>
        <w:autoSpaceDN w:val="0"/>
        <w:adjustRightInd w:val="0"/>
        <w:ind w:firstLine="567"/>
        <w:rPr>
          <w:color w:val="000000" w:themeColor="text1"/>
        </w:rPr>
      </w:pPr>
      <w:r w:rsidRPr="009E6E7F">
        <w:rPr>
          <w:color w:val="000000" w:themeColor="text1"/>
        </w:rPr>
        <w:t xml:space="preserve">Згідно з абзацом другим частини дев’ятої статті 32 Закону у разі порушення банками, філіями іноземних банків вимог законодавства у сфері запобігання та протидії Національний банк України </w:t>
      </w:r>
      <w:proofErr w:type="spellStart"/>
      <w:r w:rsidRPr="009E6E7F">
        <w:rPr>
          <w:color w:val="000000" w:themeColor="text1"/>
        </w:rPr>
        <w:t>пропорційно</w:t>
      </w:r>
      <w:proofErr w:type="spellEnd"/>
      <w:r w:rsidRPr="009E6E7F">
        <w:rPr>
          <w:color w:val="000000" w:themeColor="text1"/>
        </w:rPr>
        <w:t xml:space="preserve"> до вчиненого порушення має право застосувати до них заходи впливу відповідно, у порядку та строки, визначені Законом про банки та нормативно-правовими актами Національного банку України.</w:t>
      </w:r>
    </w:p>
    <w:p w14:paraId="06815EA8" w14:textId="04C9C891" w:rsidR="00A46E8E" w:rsidRPr="009E6E7F" w:rsidRDefault="00AF69BA" w:rsidP="009E6E7F">
      <w:pPr>
        <w:autoSpaceDE w:val="0"/>
        <w:autoSpaceDN w:val="0"/>
        <w:adjustRightInd w:val="0"/>
        <w:ind w:firstLine="567"/>
        <w:rPr>
          <w:color w:val="000000" w:themeColor="text1"/>
        </w:rPr>
      </w:pPr>
      <w:r w:rsidRPr="009E6E7F">
        <w:rPr>
          <w:color w:val="000000" w:themeColor="text1"/>
        </w:rPr>
        <w:t xml:space="preserve">Статтею 73 Закону про банки встановлено, що </w:t>
      </w:r>
      <w:r w:rsidR="002A005E">
        <w:rPr>
          <w:color w:val="000000" w:themeColor="text1"/>
        </w:rPr>
        <w:t>в</w:t>
      </w:r>
      <w:r w:rsidRPr="009E6E7F">
        <w:rPr>
          <w:color w:val="000000" w:themeColor="text1"/>
        </w:rPr>
        <w:t xml:space="preserve"> разі порушення банками законодавства</w:t>
      </w:r>
      <w:r w:rsidR="00A46E8E" w:rsidRPr="009E6E7F">
        <w:rPr>
          <w:color w:val="000000" w:themeColor="text1"/>
        </w:rPr>
        <w:t xml:space="preserve"> у сфері запобігання та протидії</w:t>
      </w:r>
      <w:r w:rsidRPr="009E6E7F">
        <w:rPr>
          <w:color w:val="000000" w:themeColor="text1"/>
        </w:rPr>
        <w:t xml:space="preserve"> Національний банк </w:t>
      </w:r>
      <w:r w:rsidR="00A46E8E" w:rsidRPr="009E6E7F">
        <w:rPr>
          <w:color w:val="000000" w:themeColor="text1"/>
        </w:rPr>
        <w:t xml:space="preserve">України </w:t>
      </w:r>
      <w:r w:rsidRPr="009E6E7F">
        <w:rPr>
          <w:color w:val="000000" w:themeColor="text1"/>
        </w:rPr>
        <w:t>адекватно вчиненому порушенню має право застосувати передбачені цією статтею заходи впливу, зокрема у вигляді відкликання банківської ліцензії та ліквідації банку.</w:t>
      </w:r>
    </w:p>
    <w:p w14:paraId="6E37491C" w14:textId="4C200D4F" w:rsidR="006A20EB" w:rsidRPr="009E6E7F" w:rsidRDefault="006A20EB" w:rsidP="009E6E7F">
      <w:pPr>
        <w:pStyle w:val="tj"/>
        <w:shd w:val="clear" w:color="auto" w:fill="FFFFFF"/>
        <w:spacing w:before="0" w:beforeAutospacing="0" w:after="0" w:afterAutospacing="0"/>
        <w:ind w:firstLine="567"/>
        <w:jc w:val="both"/>
        <w:rPr>
          <w:color w:val="000000" w:themeColor="text1"/>
          <w:sz w:val="28"/>
          <w:szCs w:val="28"/>
        </w:rPr>
      </w:pPr>
      <w:r w:rsidRPr="009E6E7F">
        <w:rPr>
          <w:color w:val="000000" w:themeColor="text1"/>
          <w:sz w:val="28"/>
          <w:szCs w:val="28"/>
        </w:rPr>
        <w:t xml:space="preserve">Відповідно до пункту 3 частини другої статті 77 Закону про банки Національний банк України має право відкликати банківську ліцензію з власної ініціативи, якщо </w:t>
      </w:r>
      <w:hyperlink r:id="rId14" w:tgtFrame="_blank" w:history="1">
        <w:r w:rsidRPr="009E6E7F">
          <w:rPr>
            <w:color w:val="000000" w:themeColor="text1"/>
            <w:sz w:val="28"/>
            <w:szCs w:val="28"/>
          </w:rPr>
          <w:t>встановлено систематичне</w:t>
        </w:r>
      </w:hyperlink>
      <w:r w:rsidRPr="009E6E7F">
        <w:rPr>
          <w:color w:val="000000" w:themeColor="text1"/>
          <w:sz w:val="28"/>
          <w:szCs w:val="28"/>
        </w:rPr>
        <w:t xml:space="preserve"> порушення банком законодавства у сфері запобігання та протидії.</w:t>
      </w:r>
    </w:p>
    <w:p w14:paraId="428E7B4A" w14:textId="75142A6F" w:rsidR="006A20EB" w:rsidRPr="009E6E7F" w:rsidRDefault="003D7AE5" w:rsidP="000116F4">
      <w:pPr>
        <w:autoSpaceDE w:val="0"/>
        <w:autoSpaceDN w:val="0"/>
        <w:adjustRightInd w:val="0"/>
        <w:ind w:firstLine="567"/>
        <w:rPr>
          <w:color w:val="000000" w:themeColor="text1"/>
        </w:rPr>
      </w:pPr>
      <w:r>
        <w:rPr>
          <w:color w:val="000000" w:themeColor="text1"/>
        </w:rPr>
        <w:lastRenderedPageBreak/>
        <w:t>У п</w:t>
      </w:r>
      <w:r w:rsidR="00AF69BA" w:rsidRPr="009E6E7F">
        <w:rPr>
          <w:color w:val="000000" w:themeColor="text1"/>
        </w:rPr>
        <w:t>ункт</w:t>
      </w:r>
      <w:r>
        <w:rPr>
          <w:color w:val="000000" w:themeColor="text1"/>
        </w:rPr>
        <w:t>і</w:t>
      </w:r>
      <w:r w:rsidR="00AF69BA" w:rsidRPr="009E6E7F">
        <w:rPr>
          <w:color w:val="000000" w:themeColor="text1"/>
        </w:rPr>
        <w:t xml:space="preserve"> 1 глави </w:t>
      </w:r>
      <w:r w:rsidR="00A46E8E" w:rsidRPr="009E6E7F">
        <w:rPr>
          <w:color w:val="000000" w:themeColor="text1"/>
        </w:rPr>
        <w:t>1</w:t>
      </w:r>
      <w:r w:rsidR="00F66540">
        <w:rPr>
          <w:color w:val="000000" w:themeColor="text1"/>
        </w:rPr>
        <w:t>3</w:t>
      </w:r>
      <w:r w:rsidR="00AF69BA" w:rsidRPr="009E6E7F">
        <w:rPr>
          <w:color w:val="000000" w:themeColor="text1"/>
        </w:rPr>
        <w:t xml:space="preserve"> розділу ІІ Положення про застосування Національним банком України заходів впливу, затвердженого постановою Правління Національного банку України від 17</w:t>
      </w:r>
      <w:r w:rsidR="00A46E8E" w:rsidRPr="009E6E7F">
        <w:rPr>
          <w:color w:val="000000" w:themeColor="text1"/>
        </w:rPr>
        <w:t xml:space="preserve"> серпня </w:t>
      </w:r>
      <w:r w:rsidR="00AF69BA" w:rsidRPr="009E6E7F">
        <w:rPr>
          <w:color w:val="000000" w:themeColor="text1"/>
        </w:rPr>
        <w:t xml:space="preserve">2012 </w:t>
      </w:r>
      <w:r w:rsidR="00A46E8E" w:rsidRPr="009E6E7F">
        <w:rPr>
          <w:color w:val="000000" w:themeColor="text1"/>
        </w:rPr>
        <w:t xml:space="preserve">року </w:t>
      </w:r>
      <w:r w:rsidR="00AF69BA" w:rsidRPr="009E6E7F">
        <w:rPr>
          <w:color w:val="000000" w:themeColor="text1"/>
        </w:rPr>
        <w:t>№ 346</w:t>
      </w:r>
      <w:r w:rsidR="000116F4">
        <w:rPr>
          <w:color w:val="000000" w:themeColor="text1"/>
        </w:rPr>
        <w:t xml:space="preserve">, зареєстрованого </w:t>
      </w:r>
      <w:r w:rsidR="000116F4" w:rsidRPr="000116F4">
        <w:rPr>
          <w:color w:val="000000" w:themeColor="text1"/>
        </w:rPr>
        <w:t>в Міністерстві юстиції України</w:t>
      </w:r>
      <w:r w:rsidR="000116F4">
        <w:rPr>
          <w:color w:val="000000" w:themeColor="text1"/>
        </w:rPr>
        <w:t xml:space="preserve"> </w:t>
      </w:r>
      <w:r w:rsidR="000116F4" w:rsidRPr="000116F4">
        <w:rPr>
          <w:color w:val="000000" w:themeColor="text1"/>
        </w:rPr>
        <w:t>17 вересня 2012 року за №</w:t>
      </w:r>
      <w:r w:rsidR="000116F4">
        <w:rPr>
          <w:color w:val="000000" w:themeColor="text1"/>
        </w:rPr>
        <w:t> </w:t>
      </w:r>
      <w:r w:rsidR="000116F4" w:rsidRPr="000116F4">
        <w:rPr>
          <w:color w:val="000000" w:themeColor="text1"/>
        </w:rPr>
        <w:t xml:space="preserve"> 1590/21902</w:t>
      </w:r>
      <w:r w:rsidR="00AF69BA" w:rsidRPr="009E6E7F">
        <w:rPr>
          <w:color w:val="000000" w:themeColor="text1"/>
        </w:rPr>
        <w:t xml:space="preserve"> </w:t>
      </w:r>
      <w:r>
        <w:rPr>
          <w:color w:val="000000" w:themeColor="text1"/>
        </w:rPr>
        <w:t xml:space="preserve">(зі змінами) </w:t>
      </w:r>
      <w:r w:rsidR="00AF69BA" w:rsidRPr="009E6E7F">
        <w:rPr>
          <w:color w:val="000000" w:themeColor="text1"/>
        </w:rPr>
        <w:t xml:space="preserve">(далі – Положення № 346), визначено, що систематичним порушенням банком законодавства з питань </w:t>
      </w:r>
      <w:r w:rsidR="00A46E8E" w:rsidRPr="009E6E7F">
        <w:rPr>
          <w:color w:val="000000" w:themeColor="text1"/>
        </w:rPr>
        <w:t>запобігання та протидії</w:t>
      </w:r>
      <w:r w:rsidR="00AF69BA" w:rsidRPr="009E6E7F">
        <w:rPr>
          <w:color w:val="000000" w:themeColor="text1"/>
        </w:rPr>
        <w:t xml:space="preserve"> є порушення банком законодавства з питань </w:t>
      </w:r>
      <w:r w:rsidR="00A46E8E" w:rsidRPr="009E6E7F">
        <w:rPr>
          <w:color w:val="000000" w:themeColor="text1"/>
        </w:rPr>
        <w:t xml:space="preserve">запобігання та протидії </w:t>
      </w:r>
      <w:r w:rsidR="00AF69BA" w:rsidRPr="009E6E7F">
        <w:rPr>
          <w:color w:val="000000" w:themeColor="text1"/>
        </w:rPr>
        <w:t xml:space="preserve">після застосування Національним банком </w:t>
      </w:r>
      <w:r w:rsidR="00A46E8E" w:rsidRPr="009E6E7F">
        <w:rPr>
          <w:color w:val="000000" w:themeColor="text1"/>
        </w:rPr>
        <w:t xml:space="preserve">України </w:t>
      </w:r>
      <w:r w:rsidR="00AF69BA" w:rsidRPr="009E6E7F">
        <w:rPr>
          <w:color w:val="000000" w:themeColor="text1"/>
        </w:rPr>
        <w:t>до банку не менше двох заходів впливу (санкцій) протягом двох років та/або встановлення фактів здійснення ризикової діяльності</w:t>
      </w:r>
      <w:r w:rsidR="00A46E8E" w:rsidRPr="009E6E7F">
        <w:rPr>
          <w:color w:val="000000" w:themeColor="text1"/>
        </w:rPr>
        <w:t xml:space="preserve">, </w:t>
      </w:r>
      <w:r w:rsidR="00A46E8E" w:rsidRPr="009E6E7F">
        <w:rPr>
          <w:color w:val="000000" w:themeColor="text1"/>
          <w:shd w:val="clear" w:color="auto" w:fill="FFFFFF"/>
        </w:rPr>
        <w:t>що загрожує інтересам вкладників чи інших кредиторів банку</w:t>
      </w:r>
      <w:r w:rsidR="00AF69BA" w:rsidRPr="009E6E7F">
        <w:rPr>
          <w:color w:val="000000" w:themeColor="text1"/>
        </w:rPr>
        <w:t>.</w:t>
      </w:r>
    </w:p>
    <w:p w14:paraId="6E665F1D" w14:textId="07AA2FB4" w:rsidR="0098005E" w:rsidRPr="009E6E7F" w:rsidRDefault="0098005E" w:rsidP="009E6E7F">
      <w:pPr>
        <w:autoSpaceDE w:val="0"/>
        <w:autoSpaceDN w:val="0"/>
        <w:adjustRightInd w:val="0"/>
        <w:ind w:firstLine="567"/>
        <w:rPr>
          <w:color w:val="000000" w:themeColor="text1"/>
        </w:rPr>
      </w:pPr>
      <w:r w:rsidRPr="009E6E7F">
        <w:rPr>
          <w:color w:val="000000" w:themeColor="text1"/>
        </w:rPr>
        <w:t xml:space="preserve">Згідно з частиною третьою статті 67 Закону про банки </w:t>
      </w:r>
      <w:r w:rsidR="00DC67F1">
        <w:rPr>
          <w:color w:val="000000" w:themeColor="text1"/>
        </w:rPr>
        <w:t>під час</w:t>
      </w:r>
      <w:r w:rsidR="00DC67F1" w:rsidRPr="009E6E7F">
        <w:rPr>
          <w:color w:val="000000" w:themeColor="text1"/>
        </w:rPr>
        <w:t xml:space="preserve"> </w:t>
      </w:r>
      <w:r w:rsidRPr="009E6E7F">
        <w:rPr>
          <w:color w:val="000000" w:themeColor="text1"/>
        </w:rPr>
        <w:t>здійсненн</w:t>
      </w:r>
      <w:r w:rsidR="00DC67F1">
        <w:rPr>
          <w:color w:val="000000" w:themeColor="text1"/>
        </w:rPr>
        <w:t>я</w:t>
      </w:r>
      <w:r w:rsidRPr="009E6E7F">
        <w:rPr>
          <w:color w:val="000000" w:themeColor="text1"/>
        </w:rPr>
        <w:t xml:space="preserve"> нагляду у сфері запобігання та протидії Національний банк України має право застосовувати професійне судження.</w:t>
      </w:r>
    </w:p>
    <w:p w14:paraId="3E5D2BA0" w14:textId="15F2FF03" w:rsidR="00632DC0" w:rsidRPr="009E6E7F" w:rsidRDefault="00AF69BA" w:rsidP="009E6E7F">
      <w:pPr>
        <w:autoSpaceDE w:val="0"/>
        <w:autoSpaceDN w:val="0"/>
        <w:adjustRightInd w:val="0"/>
        <w:ind w:firstLine="567"/>
        <w:rPr>
          <w:color w:val="000000" w:themeColor="text1"/>
          <w:lang w:eastAsia="ru-RU"/>
        </w:rPr>
      </w:pPr>
      <w:r w:rsidRPr="009E6E7F">
        <w:rPr>
          <w:color w:val="000000" w:themeColor="text1"/>
        </w:rPr>
        <w:t>Таким чином, в</w:t>
      </w:r>
      <w:r w:rsidR="00685FA3" w:rsidRPr="009E6E7F">
        <w:rPr>
          <w:color w:val="000000" w:themeColor="text1"/>
        </w:rPr>
        <w:t>становлені за результат</w:t>
      </w:r>
      <w:r w:rsidR="00AF1CCD" w:rsidRPr="009E6E7F">
        <w:rPr>
          <w:color w:val="000000" w:themeColor="text1"/>
        </w:rPr>
        <w:t>а</w:t>
      </w:r>
      <w:r w:rsidR="00685FA3" w:rsidRPr="009E6E7F">
        <w:rPr>
          <w:color w:val="000000" w:themeColor="text1"/>
        </w:rPr>
        <w:t>м</w:t>
      </w:r>
      <w:r w:rsidR="00AF1CCD" w:rsidRPr="009E6E7F">
        <w:rPr>
          <w:color w:val="000000" w:themeColor="text1"/>
        </w:rPr>
        <w:t>и</w:t>
      </w:r>
      <w:r w:rsidR="00685FA3" w:rsidRPr="009E6E7F">
        <w:rPr>
          <w:color w:val="000000" w:themeColor="text1"/>
        </w:rPr>
        <w:t xml:space="preserve"> </w:t>
      </w:r>
      <w:r w:rsidR="006A20EB" w:rsidRPr="009E6E7F">
        <w:rPr>
          <w:color w:val="000000" w:themeColor="text1"/>
        </w:rPr>
        <w:t>безвиїзн</w:t>
      </w:r>
      <w:r w:rsidR="00685FA3" w:rsidRPr="009E6E7F">
        <w:rPr>
          <w:color w:val="000000" w:themeColor="text1"/>
        </w:rPr>
        <w:t>ого</w:t>
      </w:r>
      <w:r w:rsidR="006A20EB" w:rsidRPr="009E6E7F">
        <w:rPr>
          <w:color w:val="000000" w:themeColor="text1"/>
        </w:rPr>
        <w:t xml:space="preserve"> нагляд</w:t>
      </w:r>
      <w:r w:rsidR="00685FA3" w:rsidRPr="009E6E7F">
        <w:rPr>
          <w:color w:val="000000" w:themeColor="text1"/>
        </w:rPr>
        <w:t>у</w:t>
      </w:r>
      <w:r w:rsidR="00100B2A" w:rsidRPr="009E6E7F">
        <w:rPr>
          <w:color w:val="000000" w:themeColor="text1"/>
        </w:rPr>
        <w:t xml:space="preserve"> </w:t>
      </w:r>
      <w:r w:rsidR="00DC67F1">
        <w:rPr>
          <w:color w:val="000000" w:themeColor="text1"/>
        </w:rPr>
        <w:t>зазначені</w:t>
      </w:r>
      <w:r w:rsidR="00DC67F1" w:rsidRPr="009E6E7F">
        <w:rPr>
          <w:color w:val="000000" w:themeColor="text1"/>
        </w:rPr>
        <w:t xml:space="preserve"> </w:t>
      </w:r>
      <w:r w:rsidR="00100B2A" w:rsidRPr="009E6E7F">
        <w:rPr>
          <w:color w:val="000000" w:themeColor="text1"/>
        </w:rPr>
        <w:t>в цьому рішенні</w:t>
      </w:r>
      <w:r w:rsidR="006A20EB" w:rsidRPr="009E6E7F">
        <w:rPr>
          <w:color w:val="000000" w:themeColor="text1"/>
        </w:rPr>
        <w:t xml:space="preserve"> </w:t>
      </w:r>
      <w:r w:rsidRPr="009E6E7F">
        <w:rPr>
          <w:color w:val="000000" w:themeColor="text1"/>
        </w:rPr>
        <w:t xml:space="preserve">порушення </w:t>
      </w:r>
      <w:r w:rsidR="006A20EB" w:rsidRPr="009E6E7F">
        <w:rPr>
          <w:color w:val="000000" w:themeColor="text1"/>
        </w:rPr>
        <w:t xml:space="preserve">АТ “АЙБОКС БАНК” </w:t>
      </w:r>
      <w:r w:rsidRPr="009E6E7F">
        <w:rPr>
          <w:color w:val="000000" w:themeColor="text1"/>
        </w:rPr>
        <w:t xml:space="preserve">вимог </w:t>
      </w:r>
      <w:r w:rsidR="00100B2A" w:rsidRPr="009E6E7F">
        <w:rPr>
          <w:color w:val="000000" w:themeColor="text1"/>
        </w:rPr>
        <w:t xml:space="preserve">абзаців першого та другого частини першої статті 8, частини першої статті 12 </w:t>
      </w:r>
      <w:r w:rsidRPr="009E6E7F">
        <w:rPr>
          <w:color w:val="000000" w:themeColor="text1"/>
        </w:rPr>
        <w:t>Закону</w:t>
      </w:r>
      <w:r w:rsidRPr="009E6E7F">
        <w:rPr>
          <w:color w:val="000000" w:themeColor="text1"/>
          <w:lang w:eastAsia="ru-RU"/>
        </w:rPr>
        <w:t>, вчинені ним після застосування</w:t>
      </w:r>
      <w:r w:rsidR="00AF1CCD" w:rsidRPr="009E6E7F">
        <w:rPr>
          <w:color w:val="000000" w:themeColor="text1"/>
          <w:lang w:eastAsia="ru-RU"/>
        </w:rPr>
        <w:t xml:space="preserve"> Національним банком України</w:t>
      </w:r>
      <w:r w:rsidRPr="009E6E7F">
        <w:rPr>
          <w:color w:val="000000" w:themeColor="text1"/>
          <w:lang w:eastAsia="ru-RU"/>
        </w:rPr>
        <w:t xml:space="preserve"> до </w:t>
      </w:r>
      <w:r w:rsidR="006A20EB" w:rsidRPr="009E6E7F">
        <w:rPr>
          <w:color w:val="000000" w:themeColor="text1"/>
        </w:rPr>
        <w:t xml:space="preserve">АТ “АЙБОКС БАНК” </w:t>
      </w:r>
      <w:r w:rsidR="00AF1CCD" w:rsidRPr="009E6E7F">
        <w:rPr>
          <w:color w:val="000000" w:themeColor="text1"/>
        </w:rPr>
        <w:t xml:space="preserve">більше </w:t>
      </w:r>
      <w:r w:rsidRPr="009E6E7F">
        <w:rPr>
          <w:color w:val="000000" w:themeColor="text1"/>
          <w:lang w:eastAsia="ru-RU"/>
        </w:rPr>
        <w:t xml:space="preserve">двох заходів впливу протягом двох років, є систематичними порушеннями вимог законодавства з питань </w:t>
      </w:r>
      <w:r w:rsidR="006A20EB" w:rsidRPr="009E6E7F">
        <w:rPr>
          <w:color w:val="000000" w:themeColor="text1"/>
          <w:lang w:eastAsia="ru-RU"/>
        </w:rPr>
        <w:t>запобігання та протидії</w:t>
      </w:r>
      <w:r w:rsidRPr="009E6E7F">
        <w:rPr>
          <w:color w:val="000000" w:themeColor="text1"/>
          <w:lang w:eastAsia="ru-RU"/>
        </w:rPr>
        <w:t>.</w:t>
      </w:r>
    </w:p>
    <w:p w14:paraId="01DE9820" w14:textId="7E7240B3" w:rsidR="00632DC0" w:rsidRPr="009E6E7F" w:rsidRDefault="00632DC0" w:rsidP="009E6E7F">
      <w:pPr>
        <w:autoSpaceDE w:val="0"/>
        <w:autoSpaceDN w:val="0"/>
        <w:adjustRightInd w:val="0"/>
        <w:ind w:firstLine="567"/>
        <w:rPr>
          <w:color w:val="000000" w:themeColor="text1"/>
        </w:rPr>
      </w:pPr>
      <w:r w:rsidRPr="009E6E7F">
        <w:rPr>
          <w:color w:val="000000" w:themeColor="text1"/>
        </w:rPr>
        <w:t>Відповідно до частини другої статті 18 Закону суб</w:t>
      </w:r>
      <w:r w:rsidR="00DC67F1">
        <w:rPr>
          <w:color w:val="000000" w:themeColor="text1"/>
        </w:rPr>
        <w:t>’</w:t>
      </w:r>
      <w:r w:rsidRPr="009E6E7F">
        <w:rPr>
          <w:color w:val="000000" w:themeColor="text1"/>
        </w:rPr>
        <w:t>єкти державного фінансового моніторингу в межах їх повноважень зобов</w:t>
      </w:r>
      <w:r w:rsidR="00DC67F1">
        <w:rPr>
          <w:color w:val="000000" w:themeColor="text1"/>
        </w:rPr>
        <w:t>’</w:t>
      </w:r>
      <w:r w:rsidRPr="009E6E7F">
        <w:rPr>
          <w:color w:val="000000" w:themeColor="text1"/>
        </w:rPr>
        <w:t xml:space="preserve">язані здійснювати </w:t>
      </w:r>
      <w:r w:rsidRPr="009E6E7F">
        <w:rPr>
          <w:color w:val="000000" w:themeColor="text1"/>
          <w:shd w:val="clear" w:color="auto" w:fill="FFFFFF"/>
        </w:rPr>
        <w:t>з урахуванням ризик-орієнтованого підходу регулювання та нагляд у сфері запобігання та протидії з метою визначення відповідності заходів, що здійснюються суб</w:t>
      </w:r>
      <w:r w:rsidR="00DC67F1">
        <w:rPr>
          <w:color w:val="000000" w:themeColor="text1"/>
          <w:shd w:val="clear" w:color="auto" w:fill="FFFFFF"/>
        </w:rPr>
        <w:t>’</w:t>
      </w:r>
      <w:r w:rsidRPr="009E6E7F">
        <w:rPr>
          <w:color w:val="000000" w:themeColor="text1"/>
          <w:shd w:val="clear" w:color="auto" w:fill="FFFFFF"/>
        </w:rPr>
        <w:t>єктами первинного фінансового моніторингу, для мінімізації ризиків під час їх діяльності</w:t>
      </w:r>
      <w:r w:rsidRPr="009E6E7F">
        <w:rPr>
          <w:color w:val="000000" w:themeColor="text1"/>
        </w:rPr>
        <w:t>.</w:t>
      </w:r>
      <w:r w:rsidR="00D11D0C" w:rsidRPr="009E6E7F">
        <w:rPr>
          <w:color w:val="000000" w:themeColor="text1"/>
        </w:rPr>
        <w:t xml:space="preserve"> </w:t>
      </w:r>
    </w:p>
    <w:p w14:paraId="78A176D5" w14:textId="3C2D1EE5" w:rsidR="00F0544D" w:rsidRPr="009E6E7F" w:rsidRDefault="006A20EB" w:rsidP="009E6E7F">
      <w:pPr>
        <w:ind w:firstLine="567"/>
        <w:rPr>
          <w:color w:val="000000" w:themeColor="text1"/>
        </w:rPr>
      </w:pPr>
      <w:r w:rsidRPr="009E6E7F">
        <w:rPr>
          <w:color w:val="000000" w:themeColor="text1"/>
          <w:lang w:eastAsia="en-US"/>
        </w:rPr>
        <w:t xml:space="preserve">Зважаючи на </w:t>
      </w:r>
      <w:r w:rsidR="0090559B" w:rsidRPr="009E6E7F">
        <w:rPr>
          <w:color w:val="000000" w:themeColor="text1"/>
          <w:lang w:eastAsia="en-US"/>
        </w:rPr>
        <w:t>встановлен</w:t>
      </w:r>
      <w:r w:rsidR="00AF1952" w:rsidRPr="009E6E7F">
        <w:rPr>
          <w:color w:val="000000" w:themeColor="text1"/>
          <w:lang w:eastAsia="en-US"/>
        </w:rPr>
        <w:t xml:space="preserve">і за результатами безвиїзного нагляду факти </w:t>
      </w:r>
      <w:r w:rsidR="008F7B96" w:rsidRPr="009E6E7F">
        <w:rPr>
          <w:color w:val="000000" w:themeColor="text1"/>
          <w:lang w:eastAsia="en-US"/>
        </w:rPr>
        <w:t xml:space="preserve">вчинення </w:t>
      </w:r>
      <w:r w:rsidR="0090559B" w:rsidRPr="009E6E7F">
        <w:rPr>
          <w:color w:val="000000" w:themeColor="text1"/>
        </w:rPr>
        <w:t>АТ “АЙБОКС БАНК” систематичних порушень законодавства у сфері запобігання та протидії</w:t>
      </w:r>
      <w:r w:rsidR="0090559B" w:rsidRPr="009E6E7F">
        <w:rPr>
          <w:color w:val="000000" w:themeColor="text1"/>
          <w:lang w:eastAsia="en-US"/>
        </w:rPr>
        <w:t xml:space="preserve"> </w:t>
      </w:r>
      <w:r w:rsidR="00492DA2">
        <w:rPr>
          <w:color w:val="000000" w:themeColor="text1"/>
          <w:lang w:eastAsia="en-US"/>
        </w:rPr>
        <w:t>щодо</w:t>
      </w:r>
      <w:r w:rsidR="0090559B" w:rsidRPr="009E6E7F">
        <w:rPr>
          <w:color w:val="000000" w:themeColor="text1"/>
          <w:lang w:eastAsia="en-US"/>
        </w:rPr>
        <w:t xml:space="preserve"> неналежного </w:t>
      </w:r>
      <w:r w:rsidRPr="009E6E7F">
        <w:rPr>
          <w:color w:val="000000" w:themeColor="text1"/>
          <w:lang w:eastAsia="en-US"/>
        </w:rPr>
        <w:t xml:space="preserve">виконання </w:t>
      </w:r>
      <w:r w:rsidRPr="009E6E7F">
        <w:rPr>
          <w:color w:val="000000" w:themeColor="text1"/>
        </w:rPr>
        <w:t xml:space="preserve">АТ “АЙБОКС БАНК” </w:t>
      </w:r>
      <w:r w:rsidRPr="009E6E7F">
        <w:rPr>
          <w:color w:val="000000" w:themeColor="text1"/>
          <w:lang w:eastAsia="en-US"/>
        </w:rPr>
        <w:t>обов’язків, встановлених законодавством у сфері запобігання та протидії</w:t>
      </w:r>
      <w:r w:rsidR="009359FF" w:rsidRPr="009E6E7F">
        <w:rPr>
          <w:color w:val="000000" w:themeColor="text1"/>
          <w:lang w:eastAsia="en-US"/>
        </w:rPr>
        <w:t xml:space="preserve">, </w:t>
      </w:r>
      <w:r w:rsidR="008F7B96" w:rsidRPr="009E6E7F">
        <w:rPr>
          <w:color w:val="000000" w:themeColor="text1"/>
          <w:lang w:eastAsia="en-US"/>
        </w:rPr>
        <w:t>щодо</w:t>
      </w:r>
      <w:r w:rsidR="0059446E" w:rsidRPr="009E6E7F">
        <w:rPr>
          <w:color w:val="000000" w:themeColor="text1"/>
          <w:lang w:eastAsia="en-US"/>
        </w:rPr>
        <w:t xml:space="preserve"> невжиття </w:t>
      </w:r>
      <w:r w:rsidR="005F2C6D">
        <w:rPr>
          <w:color w:val="000000" w:themeColor="text1"/>
          <w:lang w:eastAsia="en-US"/>
        </w:rPr>
        <w:t xml:space="preserve">достатніх </w:t>
      </w:r>
      <w:r w:rsidR="0059446E" w:rsidRPr="009E6E7F">
        <w:rPr>
          <w:color w:val="000000" w:themeColor="text1"/>
          <w:lang w:eastAsia="en-US"/>
        </w:rPr>
        <w:t xml:space="preserve">ПЗНП, які дали б </w:t>
      </w:r>
      <w:r w:rsidR="0059446E" w:rsidRPr="009E6E7F">
        <w:rPr>
          <w:rFonts w:eastAsia="+mn-ea"/>
          <w:color w:val="000000" w:themeColor="text1"/>
          <w:kern w:val="24"/>
        </w:rPr>
        <w:t xml:space="preserve">розуміння спроможності проведення </w:t>
      </w:r>
      <w:r w:rsidR="00F0544D" w:rsidRPr="009E6E7F">
        <w:rPr>
          <w:rFonts w:eastAsia="+mn-ea"/>
          <w:color w:val="000000" w:themeColor="text1"/>
          <w:kern w:val="24"/>
        </w:rPr>
        <w:t xml:space="preserve">клієнтами </w:t>
      </w:r>
      <w:r w:rsidR="0059446E" w:rsidRPr="009E6E7F">
        <w:rPr>
          <w:rFonts w:eastAsia="+mn-ea"/>
          <w:color w:val="000000" w:themeColor="text1"/>
          <w:kern w:val="24"/>
        </w:rPr>
        <w:t xml:space="preserve">фінансових операцій у відповідних обсягах та їх відповідності діяльності клієнтів, </w:t>
      </w:r>
      <w:r w:rsidR="002455D9" w:rsidRPr="009E6E7F">
        <w:rPr>
          <w:color w:val="000000" w:themeColor="text1"/>
        </w:rPr>
        <w:t>невідповідність внутрішніх документів АТ</w:t>
      </w:r>
      <w:r w:rsidR="00054DDD">
        <w:rPr>
          <w:color w:val="000000" w:themeColor="text1"/>
        </w:rPr>
        <w:t> </w:t>
      </w:r>
      <w:r w:rsidR="002455D9" w:rsidRPr="009E6E7F">
        <w:rPr>
          <w:color w:val="000000" w:themeColor="text1"/>
        </w:rPr>
        <w:t>“АЙБОКС БАНК” з питань запобігання та протидії вимогам законодавства, невжиття дієвих заходів у сфері запобігання та протидії</w:t>
      </w:r>
      <w:r w:rsidR="00D748EC" w:rsidRPr="009E6E7F">
        <w:rPr>
          <w:color w:val="000000" w:themeColor="text1"/>
        </w:rPr>
        <w:t>,</w:t>
      </w:r>
      <w:r w:rsidR="002455D9" w:rsidRPr="009E6E7F">
        <w:rPr>
          <w:color w:val="000000" w:themeColor="text1"/>
        </w:rPr>
        <w:t xml:space="preserve"> </w:t>
      </w:r>
      <w:r w:rsidR="00873D82" w:rsidRPr="009E6E7F">
        <w:rPr>
          <w:color w:val="000000" w:themeColor="text1"/>
        </w:rPr>
        <w:t>до здійснення яких Національний банк</w:t>
      </w:r>
      <w:r w:rsidR="008D771F" w:rsidRPr="009E6E7F">
        <w:rPr>
          <w:color w:val="000000" w:themeColor="text1"/>
        </w:rPr>
        <w:t xml:space="preserve"> України</w:t>
      </w:r>
      <w:r w:rsidR="00873D82" w:rsidRPr="009E6E7F">
        <w:rPr>
          <w:color w:val="000000" w:themeColor="text1"/>
        </w:rPr>
        <w:t xml:space="preserve"> </w:t>
      </w:r>
      <w:r w:rsidR="00D748EC" w:rsidRPr="009E6E7F">
        <w:rPr>
          <w:color w:val="000000" w:themeColor="text1"/>
        </w:rPr>
        <w:t xml:space="preserve">неодноразово </w:t>
      </w:r>
      <w:r w:rsidR="00873D82" w:rsidRPr="009E6E7F">
        <w:rPr>
          <w:color w:val="000000" w:themeColor="text1"/>
        </w:rPr>
        <w:t xml:space="preserve">спонукав шляхом застосування інших заходів впливу, </w:t>
      </w:r>
      <w:r w:rsidR="00054DDD">
        <w:rPr>
          <w:color w:val="000000" w:themeColor="text1"/>
        </w:rPr>
        <w:t>у</w:t>
      </w:r>
      <w:r w:rsidR="00873D82" w:rsidRPr="009E6E7F">
        <w:rPr>
          <w:color w:val="000000" w:themeColor="text1"/>
        </w:rPr>
        <w:t xml:space="preserve"> тому числі за </w:t>
      </w:r>
      <w:r w:rsidR="00873D82" w:rsidRPr="009E6E7F">
        <w:rPr>
          <w:color w:val="000000" w:themeColor="text1"/>
          <w:shd w:val="clear" w:color="auto" w:fill="FFFFFF"/>
        </w:rPr>
        <w:t>не</w:t>
      </w:r>
      <w:r w:rsidR="00873D82" w:rsidRPr="009E6E7F">
        <w:rPr>
          <w:color w:val="000000" w:themeColor="text1"/>
        </w:rPr>
        <w:t xml:space="preserve">здійснення </w:t>
      </w:r>
      <w:r w:rsidR="00D748EC" w:rsidRPr="009E6E7F">
        <w:rPr>
          <w:color w:val="000000" w:themeColor="text1"/>
        </w:rPr>
        <w:t xml:space="preserve">АТ “АЙБОКС БАНК” </w:t>
      </w:r>
      <w:r w:rsidR="00873D82" w:rsidRPr="009E6E7F">
        <w:rPr>
          <w:color w:val="000000" w:themeColor="text1"/>
        </w:rPr>
        <w:t xml:space="preserve">належної перевірки клієнтів, що </w:t>
      </w:r>
      <w:r w:rsidR="00D748EC" w:rsidRPr="009E6E7F">
        <w:rPr>
          <w:color w:val="000000" w:themeColor="text1"/>
        </w:rPr>
        <w:t>пров</w:t>
      </w:r>
      <w:r w:rsidR="002A005E">
        <w:rPr>
          <w:color w:val="000000" w:themeColor="text1"/>
        </w:rPr>
        <w:t>а</w:t>
      </w:r>
      <w:r w:rsidR="00D748EC" w:rsidRPr="009E6E7F">
        <w:rPr>
          <w:color w:val="000000" w:themeColor="text1"/>
        </w:rPr>
        <w:t>дили</w:t>
      </w:r>
      <w:r w:rsidR="00873D82" w:rsidRPr="009E6E7F">
        <w:rPr>
          <w:color w:val="000000" w:themeColor="text1"/>
        </w:rPr>
        <w:t xml:space="preserve"> діяльність з надання послуг з організації та проведення змагань (турнірів) зі спортивного покеру</w:t>
      </w:r>
      <w:r w:rsidR="002455D9" w:rsidRPr="009E6E7F">
        <w:rPr>
          <w:color w:val="000000" w:themeColor="text1"/>
        </w:rPr>
        <w:t xml:space="preserve">, </w:t>
      </w:r>
      <w:r w:rsidR="00F0544D" w:rsidRPr="009E6E7F">
        <w:rPr>
          <w:color w:val="000000" w:themeColor="text1"/>
        </w:rPr>
        <w:t xml:space="preserve">ураховуючи характер виявлених </w:t>
      </w:r>
      <w:r w:rsidR="00054DDD">
        <w:rPr>
          <w:color w:val="000000" w:themeColor="text1"/>
        </w:rPr>
        <w:t>безвиїзним наглядом</w:t>
      </w:r>
      <w:r w:rsidR="00054DDD" w:rsidRPr="009E6E7F">
        <w:rPr>
          <w:color w:val="000000" w:themeColor="text1"/>
        </w:rPr>
        <w:t xml:space="preserve"> </w:t>
      </w:r>
      <w:r w:rsidR="00F0544D" w:rsidRPr="009E6E7F">
        <w:rPr>
          <w:color w:val="000000" w:themeColor="text1"/>
        </w:rPr>
        <w:t>і зазначених у цьому рішенні порушень (зокрема тривалість порушень, значний обсяг здійснен</w:t>
      </w:r>
      <w:r w:rsidR="00D748EC" w:rsidRPr="009E6E7F">
        <w:rPr>
          <w:color w:val="000000" w:themeColor="text1"/>
        </w:rPr>
        <w:t>их</w:t>
      </w:r>
      <w:r w:rsidR="00F0544D" w:rsidRPr="009E6E7F">
        <w:rPr>
          <w:color w:val="000000" w:themeColor="text1"/>
        </w:rPr>
        <w:t xml:space="preserve"> </w:t>
      </w:r>
      <w:r w:rsidR="009359FF" w:rsidRPr="009E6E7F">
        <w:rPr>
          <w:color w:val="000000" w:themeColor="text1"/>
        </w:rPr>
        <w:t>без вжиття АТ</w:t>
      </w:r>
      <w:r w:rsidR="005602B6">
        <w:rPr>
          <w:color w:val="000000" w:themeColor="text1"/>
        </w:rPr>
        <w:t> </w:t>
      </w:r>
      <w:r w:rsidR="009359FF" w:rsidRPr="009E6E7F">
        <w:rPr>
          <w:color w:val="000000" w:themeColor="text1"/>
        </w:rPr>
        <w:t xml:space="preserve">“АЙБОКС БАНК” достатніх ПЗНП </w:t>
      </w:r>
      <w:proofErr w:type="spellStart"/>
      <w:r w:rsidR="00F0544D" w:rsidRPr="009E6E7F">
        <w:rPr>
          <w:color w:val="000000" w:themeColor="text1"/>
        </w:rPr>
        <w:t>високоризикових</w:t>
      </w:r>
      <w:proofErr w:type="spellEnd"/>
      <w:r w:rsidR="00F0544D" w:rsidRPr="009E6E7F">
        <w:rPr>
          <w:color w:val="000000" w:themeColor="text1"/>
        </w:rPr>
        <w:t xml:space="preserve"> фінансових операцій</w:t>
      </w:r>
      <w:r w:rsidR="00F0544D" w:rsidRPr="009E6E7F">
        <w:rPr>
          <w:color w:val="000000" w:themeColor="text1"/>
          <w:shd w:val="clear" w:color="auto" w:fill="FFFFFF"/>
        </w:rPr>
        <w:t xml:space="preserve">), що створює репутаційні ризики для </w:t>
      </w:r>
      <w:r w:rsidR="00F0544D" w:rsidRPr="009E6E7F">
        <w:rPr>
          <w:color w:val="000000" w:themeColor="text1"/>
        </w:rPr>
        <w:t>АТ</w:t>
      </w:r>
      <w:r w:rsidR="007165D5">
        <w:rPr>
          <w:color w:val="000000" w:themeColor="text1"/>
        </w:rPr>
        <w:t> </w:t>
      </w:r>
      <w:r w:rsidR="00F0544D" w:rsidRPr="009E6E7F">
        <w:rPr>
          <w:color w:val="000000" w:themeColor="text1"/>
        </w:rPr>
        <w:t xml:space="preserve">“АЙБОКС БАНК”, – застосування заходу впливу у вигляді відкликання </w:t>
      </w:r>
      <w:r w:rsidR="00F0544D" w:rsidRPr="009E6E7F">
        <w:rPr>
          <w:color w:val="000000" w:themeColor="text1"/>
        </w:rPr>
        <w:lastRenderedPageBreak/>
        <w:t>банківської ліцензії та ліквідації АТ “АЙБОКС БАНК” є адекватним заходом впливу до АТ “АЙБОКС БАНК”.</w:t>
      </w:r>
    </w:p>
    <w:p w14:paraId="1156EFD7" w14:textId="2A06FE73" w:rsidR="00470271" w:rsidRPr="009E6E7F" w:rsidRDefault="00AF69BA" w:rsidP="003D7AE5">
      <w:pPr>
        <w:tabs>
          <w:tab w:val="left" w:pos="9923"/>
        </w:tabs>
        <w:suppressAutoHyphens/>
        <w:spacing w:after="120"/>
        <w:ind w:firstLine="567"/>
        <w:rPr>
          <w:b/>
          <w:color w:val="000000" w:themeColor="text1"/>
        </w:rPr>
      </w:pPr>
      <w:r w:rsidRPr="009E6E7F">
        <w:rPr>
          <w:color w:val="000000" w:themeColor="text1"/>
          <w:lang w:eastAsia="ru-RU"/>
        </w:rPr>
        <w:t>Ураховуючи вищезазначене, керуючись статтями 1</w:t>
      </w:r>
      <w:r w:rsidR="00632DC0" w:rsidRPr="009E6E7F">
        <w:rPr>
          <w:color w:val="000000" w:themeColor="text1"/>
          <w:lang w:eastAsia="ru-RU"/>
        </w:rPr>
        <w:t>8, 32</w:t>
      </w:r>
      <w:r w:rsidRPr="009E6E7F">
        <w:rPr>
          <w:color w:val="000000" w:themeColor="text1"/>
          <w:lang w:eastAsia="ru-RU"/>
        </w:rPr>
        <w:t xml:space="preserve"> </w:t>
      </w:r>
      <w:r w:rsidRPr="009E6E7F">
        <w:rPr>
          <w:color w:val="000000" w:themeColor="text1"/>
        </w:rPr>
        <w:t xml:space="preserve">Закону, </w:t>
      </w:r>
      <w:r w:rsidRPr="009E6E7F">
        <w:rPr>
          <w:color w:val="000000" w:themeColor="text1"/>
        </w:rPr>
        <w:br/>
        <w:t xml:space="preserve">статтями </w:t>
      </w:r>
      <w:r w:rsidRPr="009E6E7F">
        <w:rPr>
          <w:color w:val="000000" w:themeColor="text1"/>
          <w:lang w:eastAsia="ru-RU"/>
        </w:rPr>
        <w:t>7, 15 Закону України “Про Національний банк України”, статтями 63, 67, 73, 77 Закону про банки, статтею 44 Закону України “Про систему гарантування вкладів фізичних осіб”</w:t>
      </w:r>
      <w:r w:rsidR="00654C69" w:rsidRPr="009E6E7F">
        <w:rPr>
          <w:color w:val="000000" w:themeColor="text1"/>
          <w:lang w:eastAsia="ru-RU"/>
        </w:rPr>
        <w:t xml:space="preserve">, </w:t>
      </w:r>
      <w:r w:rsidRPr="009E6E7F">
        <w:rPr>
          <w:color w:val="000000" w:themeColor="text1"/>
          <w:lang w:eastAsia="ru-RU"/>
        </w:rPr>
        <w:t>главою 3 розділу І та главою 1</w:t>
      </w:r>
      <w:r w:rsidR="006B5C2E">
        <w:rPr>
          <w:color w:val="000000" w:themeColor="text1"/>
          <w:lang w:eastAsia="ru-RU"/>
        </w:rPr>
        <w:t>3</w:t>
      </w:r>
      <w:r w:rsidRPr="009E6E7F">
        <w:rPr>
          <w:color w:val="000000" w:themeColor="text1"/>
          <w:lang w:eastAsia="ru-RU"/>
        </w:rPr>
        <w:t xml:space="preserve"> розділу ІІ Положення № 346, Правління Національного банку України </w:t>
      </w:r>
      <w:r w:rsidR="00470271" w:rsidRPr="009E6E7F">
        <w:rPr>
          <w:b/>
          <w:color w:val="000000" w:themeColor="text1"/>
        </w:rPr>
        <w:t>вирішило:</w:t>
      </w:r>
    </w:p>
    <w:p w14:paraId="6386A28B" w14:textId="554B7B97" w:rsidR="00654C69" w:rsidRPr="009E6E7F" w:rsidRDefault="00654C69" w:rsidP="009E6E7F">
      <w:pPr>
        <w:pStyle w:val="af3"/>
        <w:spacing w:before="240" w:after="120"/>
        <w:ind w:left="0" w:firstLine="567"/>
        <w:contextualSpacing w:val="0"/>
        <w:rPr>
          <w:rFonts w:eastAsiaTheme="minorEastAsia"/>
          <w:noProof/>
          <w:color w:val="000000" w:themeColor="text1"/>
          <w:lang w:eastAsia="en-US"/>
        </w:rPr>
      </w:pPr>
      <w:r w:rsidRPr="009E6E7F">
        <w:rPr>
          <w:rFonts w:eastAsiaTheme="minorEastAsia"/>
          <w:noProof/>
          <w:color w:val="000000" w:themeColor="text1"/>
          <w:lang w:eastAsia="en-US"/>
        </w:rPr>
        <w:t>1.</w:t>
      </w:r>
      <w:r w:rsidRPr="009E6E7F">
        <w:rPr>
          <w:rFonts w:eastAsiaTheme="minorEastAsia"/>
          <w:noProof/>
          <w:color w:val="000000" w:themeColor="text1"/>
          <w:lang w:val="en-US" w:eastAsia="en-US"/>
        </w:rPr>
        <w:t> </w:t>
      </w:r>
      <w:r w:rsidRPr="009E6E7F">
        <w:rPr>
          <w:rFonts w:eastAsiaTheme="minorEastAsia"/>
          <w:noProof/>
          <w:color w:val="000000" w:themeColor="text1"/>
          <w:lang w:eastAsia="en-US"/>
        </w:rPr>
        <w:t xml:space="preserve">Відкликати банківську ліцензію та ліквідувати </w:t>
      </w:r>
      <w:r w:rsidRPr="009E6E7F">
        <w:rPr>
          <w:color w:val="000000" w:themeColor="text1"/>
        </w:rPr>
        <w:t>АТ “АЙБОКС БАНК”</w:t>
      </w:r>
      <w:r w:rsidRPr="009E6E7F">
        <w:rPr>
          <w:noProof/>
          <w:color w:val="000000" w:themeColor="text1"/>
        </w:rPr>
        <w:t>.</w:t>
      </w:r>
    </w:p>
    <w:p w14:paraId="3F16A063" w14:textId="0D908683" w:rsidR="00654C69" w:rsidRPr="009E6E7F" w:rsidRDefault="00654C69" w:rsidP="009E6E7F">
      <w:pPr>
        <w:pStyle w:val="af3"/>
        <w:spacing w:before="240" w:after="120"/>
        <w:ind w:left="0" w:firstLine="567"/>
        <w:contextualSpacing w:val="0"/>
        <w:rPr>
          <w:rFonts w:eastAsiaTheme="minorEastAsia"/>
          <w:noProof/>
          <w:color w:val="000000" w:themeColor="text1"/>
          <w:lang w:eastAsia="en-US"/>
        </w:rPr>
      </w:pPr>
      <w:r w:rsidRPr="009E6E7F">
        <w:rPr>
          <w:rFonts w:eastAsiaTheme="minorEastAsia"/>
          <w:noProof/>
          <w:color w:val="000000" w:themeColor="text1"/>
          <w:lang w:eastAsia="en-US"/>
        </w:rPr>
        <w:t>2.</w:t>
      </w:r>
      <w:r w:rsidRPr="009E6E7F">
        <w:rPr>
          <w:rFonts w:eastAsiaTheme="minorEastAsia"/>
          <w:noProof/>
          <w:color w:val="000000" w:themeColor="text1"/>
          <w:lang w:val="en-US" w:eastAsia="en-US"/>
        </w:rPr>
        <w:t> </w:t>
      </w:r>
      <w:r w:rsidRPr="009E6E7F">
        <w:rPr>
          <w:rFonts w:eastAsiaTheme="minorEastAsia"/>
          <w:noProof/>
          <w:color w:val="000000" w:themeColor="text1"/>
          <w:lang w:eastAsia="en-US"/>
        </w:rPr>
        <w:t xml:space="preserve">Департаменту фінансового моніторингу (Тетяна Рачинська) повідомити про це рішення </w:t>
      </w:r>
      <w:r w:rsidRPr="009E6E7F">
        <w:rPr>
          <w:color w:val="000000" w:themeColor="text1"/>
        </w:rPr>
        <w:t>АТ “АЙБОКС БАНК”</w:t>
      </w:r>
      <w:r w:rsidR="00462EF7" w:rsidRPr="009E6E7F">
        <w:rPr>
          <w:color w:val="000000" w:themeColor="text1"/>
        </w:rPr>
        <w:t xml:space="preserve"> </w:t>
      </w:r>
      <w:r w:rsidRPr="009E6E7F">
        <w:rPr>
          <w:rFonts w:eastAsiaTheme="minorEastAsia"/>
          <w:noProof/>
          <w:color w:val="000000" w:themeColor="text1"/>
          <w:lang w:eastAsia="en-US"/>
        </w:rPr>
        <w:t xml:space="preserve">та надіслати його Фонду </w:t>
      </w:r>
      <w:r w:rsidRPr="009E6E7F">
        <w:rPr>
          <w:color w:val="000000" w:themeColor="text1"/>
          <w:lang w:eastAsia="ru-RU"/>
        </w:rPr>
        <w:t>гарантування вкладів фізичних осіб</w:t>
      </w:r>
      <w:r w:rsidRPr="009E6E7F">
        <w:rPr>
          <w:noProof/>
          <w:color w:val="000000" w:themeColor="text1"/>
        </w:rPr>
        <w:t>.</w:t>
      </w:r>
    </w:p>
    <w:p w14:paraId="4098E2F4" w14:textId="695C51A6" w:rsidR="004618F1" w:rsidRPr="009E6E7F" w:rsidRDefault="004618F1" w:rsidP="009E6E7F">
      <w:pPr>
        <w:pStyle w:val="af3"/>
        <w:spacing w:before="240" w:after="120"/>
        <w:ind w:left="0" w:firstLine="567"/>
        <w:contextualSpacing w:val="0"/>
        <w:rPr>
          <w:rFonts w:eastAsiaTheme="minorEastAsia"/>
          <w:noProof/>
          <w:color w:val="000000" w:themeColor="text1"/>
          <w:lang w:eastAsia="en-US"/>
        </w:rPr>
      </w:pPr>
      <w:r w:rsidRPr="009E6E7F">
        <w:rPr>
          <w:rFonts w:eastAsiaTheme="minorEastAsia"/>
          <w:noProof/>
          <w:color w:val="000000" w:themeColor="text1"/>
          <w:lang w:eastAsia="en-US"/>
        </w:rPr>
        <w:t>3.</w:t>
      </w:r>
      <w:r w:rsidRPr="009E6E7F">
        <w:rPr>
          <w:rFonts w:eastAsiaTheme="minorEastAsia"/>
          <w:noProof/>
          <w:color w:val="000000" w:themeColor="text1"/>
          <w:lang w:val="en-US" w:eastAsia="en-US"/>
        </w:rPr>
        <w:t> </w:t>
      </w:r>
      <w:r w:rsidRPr="009E6E7F">
        <w:rPr>
          <w:rFonts w:eastAsiaTheme="minorEastAsia"/>
          <w:noProof/>
          <w:color w:val="000000" w:themeColor="text1"/>
          <w:lang w:eastAsia="en-US"/>
        </w:rPr>
        <w:t xml:space="preserve">Департаменту ліцензування (Михайло Федоренко) повідомити про це рішення учасників </w:t>
      </w:r>
      <w:r w:rsidRPr="009E6E7F">
        <w:rPr>
          <w:color w:val="000000" w:themeColor="text1"/>
        </w:rPr>
        <w:t>АТ “АЙБОКС БАНК”</w:t>
      </w:r>
      <w:r w:rsidRPr="009E6E7F">
        <w:rPr>
          <w:noProof/>
          <w:color w:val="000000" w:themeColor="text1"/>
        </w:rPr>
        <w:t>.</w:t>
      </w:r>
    </w:p>
    <w:p w14:paraId="6213D366" w14:textId="6EA47870" w:rsidR="00654C69" w:rsidRPr="009E6E7F" w:rsidRDefault="004618F1" w:rsidP="009E6E7F">
      <w:pPr>
        <w:pStyle w:val="af3"/>
        <w:spacing w:before="240" w:after="120"/>
        <w:ind w:left="0" w:firstLine="567"/>
        <w:contextualSpacing w:val="0"/>
        <w:rPr>
          <w:noProof/>
          <w:color w:val="000000" w:themeColor="text1"/>
        </w:rPr>
      </w:pPr>
      <w:r w:rsidRPr="009E6E7F">
        <w:rPr>
          <w:rFonts w:eastAsiaTheme="minorEastAsia"/>
          <w:noProof/>
          <w:color w:val="000000" w:themeColor="text1"/>
          <w:lang w:eastAsia="en-US"/>
        </w:rPr>
        <w:t>4</w:t>
      </w:r>
      <w:r w:rsidR="00654C69" w:rsidRPr="009E6E7F">
        <w:rPr>
          <w:rFonts w:eastAsiaTheme="minorEastAsia"/>
          <w:noProof/>
          <w:color w:val="000000" w:themeColor="text1"/>
          <w:lang w:eastAsia="en-US"/>
        </w:rPr>
        <w:t>. Департаменту комунікацій (Юлія Євтушенко) забезпечити оприлюднення повного тексту цього рішення з обґрунтуванням його прийняття на сторінках офіційного Інтернет-представництва Національного банку України з урахуванням вимог Закону України “Про захист персональних даних” та надати для опублікування в газеті “Голос України” або “Урядовий кур’єр” інформацію про оприлюднення повного тексту цього рішення</w:t>
      </w:r>
      <w:r w:rsidR="00654C69" w:rsidRPr="009E6E7F">
        <w:rPr>
          <w:noProof/>
          <w:color w:val="000000" w:themeColor="text1"/>
        </w:rPr>
        <w:t>.</w:t>
      </w:r>
    </w:p>
    <w:p w14:paraId="3A4E2FFC" w14:textId="06165435" w:rsidR="00D37547" w:rsidRPr="00E12916" w:rsidRDefault="00D37547" w:rsidP="003D7AE5">
      <w:pPr>
        <w:tabs>
          <w:tab w:val="left" w:pos="993"/>
        </w:tabs>
        <w:spacing w:before="240" w:after="120"/>
        <w:ind w:firstLine="567"/>
        <w:rPr>
          <w:rFonts w:eastAsiaTheme="minorEastAsia"/>
          <w:noProof/>
          <w:color w:val="000000" w:themeColor="text1"/>
          <w:lang w:val="ru-RU" w:eastAsia="en-US"/>
        </w:rPr>
      </w:pPr>
      <w:r w:rsidRPr="009E6E7F">
        <w:rPr>
          <w:rFonts w:eastAsiaTheme="minorEastAsia"/>
          <w:noProof/>
          <w:color w:val="000000" w:themeColor="text1"/>
          <w:lang w:eastAsia="en-US"/>
        </w:rPr>
        <w:t>5. Контроль за виконанням цього рішення покласти на заступника Голови Національного банку України Дмитра Олійника, заступника директора Департаменту фінансов</w:t>
      </w:r>
      <w:r w:rsidR="00D11D0C" w:rsidRPr="009E6E7F">
        <w:rPr>
          <w:rFonts w:eastAsiaTheme="minorEastAsia"/>
          <w:noProof/>
          <w:color w:val="000000" w:themeColor="text1"/>
          <w:lang w:eastAsia="en-US"/>
        </w:rPr>
        <w:t>о</w:t>
      </w:r>
      <w:r w:rsidRPr="009E6E7F">
        <w:rPr>
          <w:rFonts w:eastAsiaTheme="minorEastAsia"/>
          <w:noProof/>
          <w:color w:val="000000" w:themeColor="text1"/>
          <w:lang w:eastAsia="en-US"/>
        </w:rPr>
        <w:t>го моніторингу Тетяну Рачинськ</w:t>
      </w:r>
      <w:r w:rsidR="00D11D0C" w:rsidRPr="009E6E7F">
        <w:rPr>
          <w:rFonts w:eastAsiaTheme="minorEastAsia"/>
          <w:noProof/>
          <w:color w:val="000000" w:themeColor="text1"/>
          <w:lang w:eastAsia="en-US"/>
        </w:rPr>
        <w:t>у</w:t>
      </w:r>
      <w:r w:rsidRPr="009E6E7F">
        <w:rPr>
          <w:rFonts w:eastAsiaTheme="minorEastAsia"/>
          <w:noProof/>
          <w:color w:val="000000" w:themeColor="text1"/>
          <w:lang w:eastAsia="en-US"/>
        </w:rPr>
        <w:t xml:space="preserve"> та директора Департаменту ліцензування Михайла Федоренка.</w:t>
      </w:r>
    </w:p>
    <w:p w14:paraId="0A793418" w14:textId="25D0F398" w:rsidR="00D37547" w:rsidRPr="009E6E7F" w:rsidRDefault="00D37547" w:rsidP="003D7AE5">
      <w:pPr>
        <w:pStyle w:val="af3"/>
        <w:spacing w:before="240" w:after="120"/>
        <w:ind w:left="0" w:firstLine="567"/>
        <w:contextualSpacing w:val="0"/>
        <w:rPr>
          <w:noProof/>
          <w:color w:val="000000" w:themeColor="text1"/>
        </w:rPr>
      </w:pPr>
      <w:r w:rsidRPr="009E6E7F">
        <w:rPr>
          <w:rFonts w:eastAsiaTheme="minorEastAsia"/>
          <w:noProof/>
          <w:color w:val="000000" w:themeColor="text1"/>
          <w:lang w:eastAsia="en-US"/>
        </w:rPr>
        <w:t xml:space="preserve">6. </w:t>
      </w:r>
      <w:r w:rsidRPr="009E6E7F">
        <w:rPr>
          <w:color w:val="000000" w:themeColor="text1"/>
          <w:shd w:val="clear" w:color="auto" w:fill="FFFFFF"/>
        </w:rPr>
        <w:t>Рішення набирає чинності з дня прийняття.</w:t>
      </w:r>
    </w:p>
    <w:p w14:paraId="1156EFE2" w14:textId="2E1BC26A" w:rsidR="008B1A65" w:rsidRDefault="008B1A65" w:rsidP="009E6E7F">
      <w:pPr>
        <w:tabs>
          <w:tab w:val="left" w:pos="993"/>
        </w:tabs>
        <w:spacing w:after="120"/>
        <w:ind w:firstLine="567"/>
        <w:rPr>
          <w:rFonts w:eastAsiaTheme="minorEastAsia"/>
          <w:noProof/>
          <w:color w:val="000000" w:themeColor="text1"/>
          <w:lang w:eastAsia="en-US"/>
        </w:rPr>
      </w:pPr>
    </w:p>
    <w:p w14:paraId="79FE2E1A" w14:textId="77777777" w:rsidR="009E6E7F" w:rsidRPr="009E6E7F" w:rsidRDefault="009E6E7F" w:rsidP="009E6E7F">
      <w:pPr>
        <w:tabs>
          <w:tab w:val="left" w:pos="993"/>
        </w:tabs>
        <w:spacing w:after="120"/>
        <w:ind w:firstLine="567"/>
        <w:rPr>
          <w:rFonts w:eastAsiaTheme="minorEastAsia"/>
          <w:noProof/>
          <w:color w:val="000000" w:themeColor="text1"/>
          <w:lang w:eastAsia="en-U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5"/>
        <w:gridCol w:w="4252"/>
      </w:tblGrid>
      <w:tr w:rsidR="00DF771C" w:rsidRPr="00257A3D" w14:paraId="1DA29232" w14:textId="77777777" w:rsidTr="00CA003A">
        <w:tc>
          <w:tcPr>
            <w:tcW w:w="5495" w:type="dxa"/>
            <w:vAlign w:val="bottom"/>
            <w:hideMark/>
          </w:tcPr>
          <w:p w14:paraId="6DF1BEA5" w14:textId="10F57859" w:rsidR="00DF771C" w:rsidRPr="00257A3D" w:rsidRDefault="00485E6C" w:rsidP="00485E6C">
            <w:pPr>
              <w:autoSpaceDE w:val="0"/>
              <w:autoSpaceDN w:val="0"/>
              <w:jc w:val="left"/>
              <w:rPr>
                <w:lang w:eastAsia="en-US"/>
              </w:rPr>
            </w:pPr>
            <w:r w:rsidRPr="00257A3D">
              <w:rPr>
                <w:lang w:eastAsia="en-US"/>
              </w:rPr>
              <w:t>Голова</w:t>
            </w:r>
          </w:p>
        </w:tc>
        <w:tc>
          <w:tcPr>
            <w:tcW w:w="4252" w:type="dxa"/>
            <w:vAlign w:val="bottom"/>
            <w:hideMark/>
          </w:tcPr>
          <w:p w14:paraId="6E2BB3EE" w14:textId="6D817B2D" w:rsidR="00DF771C" w:rsidRPr="00257A3D" w:rsidRDefault="00485E6C" w:rsidP="00485E6C">
            <w:pPr>
              <w:tabs>
                <w:tab w:val="left" w:pos="7020"/>
                <w:tab w:val="left" w:pos="7200"/>
              </w:tabs>
              <w:autoSpaceDE w:val="0"/>
              <w:autoSpaceDN w:val="0"/>
              <w:ind w:left="32"/>
              <w:jc w:val="right"/>
              <w:rPr>
                <w:lang w:eastAsia="en-US"/>
              </w:rPr>
            </w:pPr>
            <w:r w:rsidRPr="00257A3D">
              <w:rPr>
                <w:lang w:eastAsia="en-US"/>
              </w:rPr>
              <w:t>Андрій ПИШНИЙ</w:t>
            </w:r>
          </w:p>
        </w:tc>
      </w:tr>
    </w:tbl>
    <w:p w14:paraId="18646170" w14:textId="22A0EB65" w:rsidR="00112B11" w:rsidRDefault="00112B11" w:rsidP="00FA508E">
      <w:pPr>
        <w:jc w:val="left"/>
        <w:rPr>
          <w:noProof/>
        </w:rPr>
      </w:pPr>
    </w:p>
    <w:p w14:paraId="12733DDD" w14:textId="77777777" w:rsidR="00112B11" w:rsidRPr="00257A3D" w:rsidRDefault="00112B11" w:rsidP="00FA508E">
      <w:pPr>
        <w:jc w:val="left"/>
        <w:rPr>
          <w:noProof/>
        </w:rPr>
      </w:pPr>
    </w:p>
    <w:p w14:paraId="1156EFEA" w14:textId="33620DDA" w:rsidR="00FA508E" w:rsidRPr="00257A3D" w:rsidRDefault="00FA508E" w:rsidP="00FA508E">
      <w:pPr>
        <w:jc w:val="left"/>
        <w:rPr>
          <w:noProof/>
        </w:rPr>
      </w:pPr>
      <w:r w:rsidRPr="00257A3D">
        <w:rPr>
          <w:noProof/>
        </w:rPr>
        <w:t>Інд.</w:t>
      </w:r>
      <w:r w:rsidRPr="00257A3D">
        <w:rPr>
          <w:noProof/>
          <w:sz w:val="22"/>
          <w:szCs w:val="22"/>
        </w:rPr>
        <w:t xml:space="preserve"> </w:t>
      </w:r>
      <w:r w:rsidR="00485E6C" w:rsidRPr="00257A3D">
        <w:rPr>
          <w:noProof/>
        </w:rPr>
        <w:t>25</w:t>
      </w:r>
    </w:p>
    <w:sectPr w:rsidR="00FA508E" w:rsidRPr="00257A3D" w:rsidSect="009162DE">
      <w:headerReference w:type="default" r:id="rId15"/>
      <w:footerReference w:type="first" r:id="rId16"/>
      <w:pgSz w:w="11906" w:h="16838" w:code="9"/>
      <w:pgMar w:top="567" w:right="567" w:bottom="1701" w:left="1701" w:header="567"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D209A0" w14:textId="77777777" w:rsidR="00D908ED" w:rsidRDefault="00D908ED" w:rsidP="00E53CCD">
      <w:r>
        <w:separator/>
      </w:r>
    </w:p>
  </w:endnote>
  <w:endnote w:type="continuationSeparator" w:id="0">
    <w:p w14:paraId="52034BFF" w14:textId="77777777" w:rsidR="00D908ED" w:rsidRDefault="00D908ED" w:rsidP="00E5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Cambria">
    <w:altName w:val="Palatino Linotype"/>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22A1F" w14:textId="0285B1F3" w:rsidR="00EF3001" w:rsidRPr="00EF3001" w:rsidRDefault="00EF3001" w:rsidP="00180821">
    <w:pPr>
      <w:pStyle w:val="a7"/>
      <w:tabs>
        <w:tab w:val="clear" w:pos="4819"/>
      </w:tabs>
      <w:jc w:val="right"/>
      <w:rPr>
        <w:color w:val="FFFFFF" w:themeColor="background1"/>
      </w:rPr>
    </w:pPr>
    <w:r w:rsidRPr="00EF3001">
      <w:rPr>
        <w:color w:val="FFFFFF" w:themeColor="background1"/>
      </w:rPr>
      <w:t>Шаблон</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4D2CB" w14:textId="77777777" w:rsidR="00D908ED" w:rsidRDefault="00D908ED" w:rsidP="00E53CCD">
      <w:r>
        <w:separator/>
      </w:r>
    </w:p>
  </w:footnote>
  <w:footnote w:type="continuationSeparator" w:id="0">
    <w:p w14:paraId="37FC9C56" w14:textId="77777777" w:rsidR="00D908ED" w:rsidRDefault="00D908ED" w:rsidP="00E53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19334"/>
      <w:docPartObj>
        <w:docPartGallery w:val="Page Numbers (Top of Page)"/>
        <w:docPartUnique/>
      </w:docPartObj>
    </w:sdtPr>
    <w:sdtEndPr/>
    <w:sdtContent>
      <w:p w14:paraId="1156EFF0" w14:textId="3A3735B5" w:rsidR="00460BA2" w:rsidRDefault="00FE0B90">
        <w:pPr>
          <w:pStyle w:val="a5"/>
          <w:jc w:val="center"/>
        </w:pPr>
        <w:r>
          <w:fldChar w:fldCharType="begin"/>
        </w:r>
        <w:r w:rsidR="00460BA2">
          <w:instrText xml:space="preserve"> PAGE   \* MERGEFORMAT </w:instrText>
        </w:r>
        <w:r>
          <w:fldChar w:fldCharType="separate"/>
        </w:r>
        <w:r w:rsidR="00702640">
          <w:rPr>
            <w:noProof/>
          </w:rPr>
          <w:t>6</w:t>
        </w:r>
        <w:r>
          <w:fldChar w:fldCharType="end"/>
        </w:r>
      </w:p>
    </w:sdtContent>
  </w:sdt>
  <w:p w14:paraId="1156EFF1" w14:textId="77777777" w:rsidR="00460BA2" w:rsidRDefault="00460BA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905DD"/>
    <w:multiLevelType w:val="hybridMultilevel"/>
    <w:tmpl w:val="4008ECA2"/>
    <w:lvl w:ilvl="0" w:tplc="0422000F">
      <w:start w:val="1"/>
      <w:numFmt w:val="decimal"/>
      <w:lvlText w:val="%1."/>
      <w:lvlJc w:val="left"/>
      <w:pPr>
        <w:ind w:left="3905" w:hanging="360"/>
      </w:p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12184D71"/>
    <w:multiLevelType w:val="hybridMultilevel"/>
    <w:tmpl w:val="3F109CD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 w15:restartNumberingAfterBreak="0">
    <w:nsid w:val="39745796"/>
    <w:multiLevelType w:val="hybridMultilevel"/>
    <w:tmpl w:val="D44AD2D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 w15:restartNumberingAfterBreak="0">
    <w:nsid w:val="5AD436CF"/>
    <w:multiLevelType w:val="hybridMultilevel"/>
    <w:tmpl w:val="E0DC1B66"/>
    <w:lvl w:ilvl="0" w:tplc="AF3E590A">
      <w:start w:val="1"/>
      <w:numFmt w:val="bullet"/>
      <w:lvlText w:val=""/>
      <w:lvlJc w:val="left"/>
      <w:pPr>
        <w:ind w:left="578" w:hanging="360"/>
      </w:pPr>
      <w:rPr>
        <w:rFonts w:ascii="Symbol" w:hAnsi="Symbol" w:hint="default"/>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F65"/>
    <w:rsid w:val="00002C42"/>
    <w:rsid w:val="000064FA"/>
    <w:rsid w:val="000069AF"/>
    <w:rsid w:val="00007592"/>
    <w:rsid w:val="000116F4"/>
    <w:rsid w:val="00015CF3"/>
    <w:rsid w:val="00015FDE"/>
    <w:rsid w:val="0003331E"/>
    <w:rsid w:val="00033D25"/>
    <w:rsid w:val="000342A5"/>
    <w:rsid w:val="0003793C"/>
    <w:rsid w:val="000422EA"/>
    <w:rsid w:val="000439AD"/>
    <w:rsid w:val="000543C6"/>
    <w:rsid w:val="00054DDD"/>
    <w:rsid w:val="00054DF2"/>
    <w:rsid w:val="000574CE"/>
    <w:rsid w:val="00057A5C"/>
    <w:rsid w:val="000600A8"/>
    <w:rsid w:val="00062C3E"/>
    <w:rsid w:val="00063480"/>
    <w:rsid w:val="000679F5"/>
    <w:rsid w:val="00073C85"/>
    <w:rsid w:val="00092116"/>
    <w:rsid w:val="000964F4"/>
    <w:rsid w:val="000B1FFE"/>
    <w:rsid w:val="000B2990"/>
    <w:rsid w:val="000C65C0"/>
    <w:rsid w:val="000C6EA4"/>
    <w:rsid w:val="000D778F"/>
    <w:rsid w:val="000E0CB3"/>
    <w:rsid w:val="000E5B8C"/>
    <w:rsid w:val="000F01D5"/>
    <w:rsid w:val="00100B2A"/>
    <w:rsid w:val="001039CA"/>
    <w:rsid w:val="00112B11"/>
    <w:rsid w:val="0012002E"/>
    <w:rsid w:val="001359C4"/>
    <w:rsid w:val="00144F95"/>
    <w:rsid w:val="001544E7"/>
    <w:rsid w:val="001631E2"/>
    <w:rsid w:val="0017149E"/>
    <w:rsid w:val="00173F37"/>
    <w:rsid w:val="001740C0"/>
    <w:rsid w:val="001742F1"/>
    <w:rsid w:val="00180821"/>
    <w:rsid w:val="00190E1A"/>
    <w:rsid w:val="001A0EE5"/>
    <w:rsid w:val="001A16FA"/>
    <w:rsid w:val="001A4CB9"/>
    <w:rsid w:val="001A6795"/>
    <w:rsid w:val="001C206C"/>
    <w:rsid w:val="001C40C8"/>
    <w:rsid w:val="001C5904"/>
    <w:rsid w:val="001D4193"/>
    <w:rsid w:val="001D487A"/>
    <w:rsid w:val="001E6FFF"/>
    <w:rsid w:val="001E785E"/>
    <w:rsid w:val="002104A1"/>
    <w:rsid w:val="0021777A"/>
    <w:rsid w:val="0022003C"/>
    <w:rsid w:val="002238D1"/>
    <w:rsid w:val="00241373"/>
    <w:rsid w:val="002436CF"/>
    <w:rsid w:val="002455D9"/>
    <w:rsid w:val="00253BF9"/>
    <w:rsid w:val="00257A3D"/>
    <w:rsid w:val="00260529"/>
    <w:rsid w:val="00264983"/>
    <w:rsid w:val="00266678"/>
    <w:rsid w:val="00275D5D"/>
    <w:rsid w:val="00276988"/>
    <w:rsid w:val="00280DCC"/>
    <w:rsid w:val="0028247F"/>
    <w:rsid w:val="00285DDA"/>
    <w:rsid w:val="00290F65"/>
    <w:rsid w:val="002A005E"/>
    <w:rsid w:val="002A49A6"/>
    <w:rsid w:val="002B351E"/>
    <w:rsid w:val="002B3F71"/>
    <w:rsid w:val="002B582B"/>
    <w:rsid w:val="002B6571"/>
    <w:rsid w:val="002C1FDB"/>
    <w:rsid w:val="002C2894"/>
    <w:rsid w:val="002C603E"/>
    <w:rsid w:val="002D1790"/>
    <w:rsid w:val="002F1696"/>
    <w:rsid w:val="002F48EF"/>
    <w:rsid w:val="00340D07"/>
    <w:rsid w:val="00345982"/>
    <w:rsid w:val="00356E34"/>
    <w:rsid w:val="00357676"/>
    <w:rsid w:val="00363171"/>
    <w:rsid w:val="003829D4"/>
    <w:rsid w:val="0038385E"/>
    <w:rsid w:val="00384F65"/>
    <w:rsid w:val="003856A6"/>
    <w:rsid w:val="00386AE7"/>
    <w:rsid w:val="0039725C"/>
    <w:rsid w:val="003A751F"/>
    <w:rsid w:val="003B0C60"/>
    <w:rsid w:val="003B12B2"/>
    <w:rsid w:val="003C3282"/>
    <w:rsid w:val="003C3985"/>
    <w:rsid w:val="003D5F66"/>
    <w:rsid w:val="003D7AE5"/>
    <w:rsid w:val="003E65F0"/>
    <w:rsid w:val="003F0441"/>
    <w:rsid w:val="003F28B5"/>
    <w:rsid w:val="003F7093"/>
    <w:rsid w:val="003F7960"/>
    <w:rsid w:val="00401EDB"/>
    <w:rsid w:val="00404C93"/>
    <w:rsid w:val="00407877"/>
    <w:rsid w:val="004130B9"/>
    <w:rsid w:val="00420F91"/>
    <w:rsid w:val="004222C8"/>
    <w:rsid w:val="00423068"/>
    <w:rsid w:val="00445DA2"/>
    <w:rsid w:val="00455B45"/>
    <w:rsid w:val="00460BA2"/>
    <w:rsid w:val="004618F1"/>
    <w:rsid w:val="00462EF7"/>
    <w:rsid w:val="00470271"/>
    <w:rsid w:val="00474BD4"/>
    <w:rsid w:val="00485E6C"/>
    <w:rsid w:val="0048784E"/>
    <w:rsid w:val="00487BC2"/>
    <w:rsid w:val="00492DA2"/>
    <w:rsid w:val="00493490"/>
    <w:rsid w:val="004A1CFC"/>
    <w:rsid w:val="004A7F75"/>
    <w:rsid w:val="004B1FE9"/>
    <w:rsid w:val="004B5574"/>
    <w:rsid w:val="004C39BD"/>
    <w:rsid w:val="004D3D0F"/>
    <w:rsid w:val="004E22E2"/>
    <w:rsid w:val="004F226E"/>
    <w:rsid w:val="004F2BC6"/>
    <w:rsid w:val="0050563F"/>
    <w:rsid w:val="00505B10"/>
    <w:rsid w:val="00505E6E"/>
    <w:rsid w:val="00513A40"/>
    <w:rsid w:val="0051774A"/>
    <w:rsid w:val="005202EC"/>
    <w:rsid w:val="00523C13"/>
    <w:rsid w:val="00523F5C"/>
    <w:rsid w:val="005257C2"/>
    <w:rsid w:val="00530E92"/>
    <w:rsid w:val="00532633"/>
    <w:rsid w:val="005403F1"/>
    <w:rsid w:val="00541FF8"/>
    <w:rsid w:val="00542533"/>
    <w:rsid w:val="005538D2"/>
    <w:rsid w:val="0055607C"/>
    <w:rsid w:val="005602B6"/>
    <w:rsid w:val="005624B6"/>
    <w:rsid w:val="00564946"/>
    <w:rsid w:val="005663FD"/>
    <w:rsid w:val="0057237F"/>
    <w:rsid w:val="00577402"/>
    <w:rsid w:val="005814F3"/>
    <w:rsid w:val="005869D9"/>
    <w:rsid w:val="00591801"/>
    <w:rsid w:val="0059446E"/>
    <w:rsid w:val="00597AB6"/>
    <w:rsid w:val="005A0F4B"/>
    <w:rsid w:val="005A1D3C"/>
    <w:rsid w:val="005A2D93"/>
    <w:rsid w:val="005A3F34"/>
    <w:rsid w:val="005B026D"/>
    <w:rsid w:val="005B247D"/>
    <w:rsid w:val="005B2D03"/>
    <w:rsid w:val="005C4156"/>
    <w:rsid w:val="005C5CBF"/>
    <w:rsid w:val="005C5DAC"/>
    <w:rsid w:val="005C6F8B"/>
    <w:rsid w:val="005D45F5"/>
    <w:rsid w:val="005E3FA8"/>
    <w:rsid w:val="005E6C19"/>
    <w:rsid w:val="005F2C6D"/>
    <w:rsid w:val="005F4CB4"/>
    <w:rsid w:val="00615E42"/>
    <w:rsid w:val="006215C8"/>
    <w:rsid w:val="00624863"/>
    <w:rsid w:val="00624D9A"/>
    <w:rsid w:val="00632DC0"/>
    <w:rsid w:val="00640612"/>
    <w:rsid w:val="0064227D"/>
    <w:rsid w:val="0064738A"/>
    <w:rsid w:val="0065179F"/>
    <w:rsid w:val="00654C69"/>
    <w:rsid w:val="00670C95"/>
    <w:rsid w:val="006754CA"/>
    <w:rsid w:val="0067647A"/>
    <w:rsid w:val="00685FA3"/>
    <w:rsid w:val="00686B35"/>
    <w:rsid w:val="006925CE"/>
    <w:rsid w:val="00692C8C"/>
    <w:rsid w:val="00696860"/>
    <w:rsid w:val="006A1A66"/>
    <w:rsid w:val="006A1B37"/>
    <w:rsid w:val="006A20EB"/>
    <w:rsid w:val="006A2F8A"/>
    <w:rsid w:val="006A7C7D"/>
    <w:rsid w:val="006B0729"/>
    <w:rsid w:val="006B1E90"/>
    <w:rsid w:val="006B2748"/>
    <w:rsid w:val="006B465F"/>
    <w:rsid w:val="006B5C2E"/>
    <w:rsid w:val="006C0F22"/>
    <w:rsid w:val="006C13B1"/>
    <w:rsid w:val="006C4176"/>
    <w:rsid w:val="006C66EF"/>
    <w:rsid w:val="006D2617"/>
    <w:rsid w:val="006D4908"/>
    <w:rsid w:val="006F06FF"/>
    <w:rsid w:val="00700AA3"/>
    <w:rsid w:val="00702640"/>
    <w:rsid w:val="00704A8B"/>
    <w:rsid w:val="00710D49"/>
    <w:rsid w:val="00713504"/>
    <w:rsid w:val="007165D5"/>
    <w:rsid w:val="0071789F"/>
    <w:rsid w:val="00730088"/>
    <w:rsid w:val="00751BA7"/>
    <w:rsid w:val="00754CED"/>
    <w:rsid w:val="0078127A"/>
    <w:rsid w:val="00783AF2"/>
    <w:rsid w:val="007A1752"/>
    <w:rsid w:val="007A3617"/>
    <w:rsid w:val="007A6609"/>
    <w:rsid w:val="007A7784"/>
    <w:rsid w:val="007A7FDF"/>
    <w:rsid w:val="007C2CED"/>
    <w:rsid w:val="007D1C2C"/>
    <w:rsid w:val="008020FB"/>
    <w:rsid w:val="00802988"/>
    <w:rsid w:val="0080704E"/>
    <w:rsid w:val="008244E7"/>
    <w:rsid w:val="00852852"/>
    <w:rsid w:val="0085364B"/>
    <w:rsid w:val="00853BE7"/>
    <w:rsid w:val="00864994"/>
    <w:rsid w:val="00866993"/>
    <w:rsid w:val="00873D82"/>
    <w:rsid w:val="00874366"/>
    <w:rsid w:val="008762D8"/>
    <w:rsid w:val="00880511"/>
    <w:rsid w:val="00885961"/>
    <w:rsid w:val="00886FEF"/>
    <w:rsid w:val="008933EC"/>
    <w:rsid w:val="00894D28"/>
    <w:rsid w:val="00895472"/>
    <w:rsid w:val="00897035"/>
    <w:rsid w:val="008A24AF"/>
    <w:rsid w:val="008B1962"/>
    <w:rsid w:val="008B1A65"/>
    <w:rsid w:val="008C1AAA"/>
    <w:rsid w:val="008D030E"/>
    <w:rsid w:val="008D10FD"/>
    <w:rsid w:val="008D122F"/>
    <w:rsid w:val="008D5F60"/>
    <w:rsid w:val="008D727F"/>
    <w:rsid w:val="008D771F"/>
    <w:rsid w:val="008F0210"/>
    <w:rsid w:val="008F2600"/>
    <w:rsid w:val="008F5D52"/>
    <w:rsid w:val="008F5FEC"/>
    <w:rsid w:val="008F68C1"/>
    <w:rsid w:val="008F762C"/>
    <w:rsid w:val="008F7B96"/>
    <w:rsid w:val="00901E57"/>
    <w:rsid w:val="00904F17"/>
    <w:rsid w:val="0090559B"/>
    <w:rsid w:val="009162DE"/>
    <w:rsid w:val="00921926"/>
    <w:rsid w:val="00922966"/>
    <w:rsid w:val="009359FF"/>
    <w:rsid w:val="00937AE3"/>
    <w:rsid w:val="00937D24"/>
    <w:rsid w:val="0094046D"/>
    <w:rsid w:val="00943175"/>
    <w:rsid w:val="0095741D"/>
    <w:rsid w:val="00961C83"/>
    <w:rsid w:val="00967711"/>
    <w:rsid w:val="00971720"/>
    <w:rsid w:val="0097288F"/>
    <w:rsid w:val="009739EE"/>
    <w:rsid w:val="0098005E"/>
    <w:rsid w:val="009812F4"/>
    <w:rsid w:val="0098207E"/>
    <w:rsid w:val="009A1BBA"/>
    <w:rsid w:val="009A74A8"/>
    <w:rsid w:val="009B6120"/>
    <w:rsid w:val="009C074D"/>
    <w:rsid w:val="009C2F76"/>
    <w:rsid w:val="009D6368"/>
    <w:rsid w:val="009E5BFD"/>
    <w:rsid w:val="009E6E7F"/>
    <w:rsid w:val="009E7642"/>
    <w:rsid w:val="009F097D"/>
    <w:rsid w:val="009F385A"/>
    <w:rsid w:val="009F5312"/>
    <w:rsid w:val="00A00268"/>
    <w:rsid w:val="00A01F95"/>
    <w:rsid w:val="00A02D59"/>
    <w:rsid w:val="00A04EF8"/>
    <w:rsid w:val="00A0594A"/>
    <w:rsid w:val="00A10F04"/>
    <w:rsid w:val="00A12C47"/>
    <w:rsid w:val="00A2037B"/>
    <w:rsid w:val="00A23E04"/>
    <w:rsid w:val="00A44357"/>
    <w:rsid w:val="00A44A11"/>
    <w:rsid w:val="00A46E8E"/>
    <w:rsid w:val="00A50C62"/>
    <w:rsid w:val="00A50DC0"/>
    <w:rsid w:val="00A52C4A"/>
    <w:rsid w:val="00A542E0"/>
    <w:rsid w:val="00A62D4F"/>
    <w:rsid w:val="00A64927"/>
    <w:rsid w:val="00A72F06"/>
    <w:rsid w:val="00A730F2"/>
    <w:rsid w:val="00A745A5"/>
    <w:rsid w:val="00A77303"/>
    <w:rsid w:val="00A77FFD"/>
    <w:rsid w:val="00A932BD"/>
    <w:rsid w:val="00AA3740"/>
    <w:rsid w:val="00AB4554"/>
    <w:rsid w:val="00AB55F5"/>
    <w:rsid w:val="00AC47B6"/>
    <w:rsid w:val="00AD0504"/>
    <w:rsid w:val="00AE2CAF"/>
    <w:rsid w:val="00AF1952"/>
    <w:rsid w:val="00AF1CCD"/>
    <w:rsid w:val="00AF3126"/>
    <w:rsid w:val="00AF33D9"/>
    <w:rsid w:val="00AF69BA"/>
    <w:rsid w:val="00B15347"/>
    <w:rsid w:val="00B25A7A"/>
    <w:rsid w:val="00B332B2"/>
    <w:rsid w:val="00B34CCC"/>
    <w:rsid w:val="00B34FF5"/>
    <w:rsid w:val="00B36EC7"/>
    <w:rsid w:val="00B36EDD"/>
    <w:rsid w:val="00B57576"/>
    <w:rsid w:val="00B60DD8"/>
    <w:rsid w:val="00B628C5"/>
    <w:rsid w:val="00B66EEA"/>
    <w:rsid w:val="00B71933"/>
    <w:rsid w:val="00B8078D"/>
    <w:rsid w:val="00B81DC9"/>
    <w:rsid w:val="00B836B8"/>
    <w:rsid w:val="00BC128A"/>
    <w:rsid w:val="00BC21BA"/>
    <w:rsid w:val="00BC41DB"/>
    <w:rsid w:val="00BC76F4"/>
    <w:rsid w:val="00BD12A3"/>
    <w:rsid w:val="00BD25A1"/>
    <w:rsid w:val="00BF3717"/>
    <w:rsid w:val="00BF47B0"/>
    <w:rsid w:val="00BF5224"/>
    <w:rsid w:val="00BF5327"/>
    <w:rsid w:val="00BF69A2"/>
    <w:rsid w:val="00C17809"/>
    <w:rsid w:val="00C21D33"/>
    <w:rsid w:val="00C2549B"/>
    <w:rsid w:val="00C32E1D"/>
    <w:rsid w:val="00C37498"/>
    <w:rsid w:val="00C42A45"/>
    <w:rsid w:val="00C4377C"/>
    <w:rsid w:val="00C46F29"/>
    <w:rsid w:val="00C47F0F"/>
    <w:rsid w:val="00C5099B"/>
    <w:rsid w:val="00C51D84"/>
    <w:rsid w:val="00C52506"/>
    <w:rsid w:val="00C7167B"/>
    <w:rsid w:val="00C76241"/>
    <w:rsid w:val="00C82259"/>
    <w:rsid w:val="00C94014"/>
    <w:rsid w:val="00CA003A"/>
    <w:rsid w:val="00CA1049"/>
    <w:rsid w:val="00CA174B"/>
    <w:rsid w:val="00CB0A99"/>
    <w:rsid w:val="00CC3E16"/>
    <w:rsid w:val="00CE3B9F"/>
    <w:rsid w:val="00CE4E9A"/>
    <w:rsid w:val="00CF0054"/>
    <w:rsid w:val="00CF2C65"/>
    <w:rsid w:val="00CF55AD"/>
    <w:rsid w:val="00D00D4F"/>
    <w:rsid w:val="00D0243F"/>
    <w:rsid w:val="00D11D0C"/>
    <w:rsid w:val="00D1605E"/>
    <w:rsid w:val="00D347A4"/>
    <w:rsid w:val="00D34DCC"/>
    <w:rsid w:val="00D34DF9"/>
    <w:rsid w:val="00D37547"/>
    <w:rsid w:val="00D37876"/>
    <w:rsid w:val="00D37F10"/>
    <w:rsid w:val="00D53DA4"/>
    <w:rsid w:val="00D748EC"/>
    <w:rsid w:val="00D75789"/>
    <w:rsid w:val="00D84439"/>
    <w:rsid w:val="00D84ED2"/>
    <w:rsid w:val="00D865F9"/>
    <w:rsid w:val="00D908ED"/>
    <w:rsid w:val="00DC1E60"/>
    <w:rsid w:val="00DC67F1"/>
    <w:rsid w:val="00DD1AC3"/>
    <w:rsid w:val="00DD60CC"/>
    <w:rsid w:val="00DF09AD"/>
    <w:rsid w:val="00DF771C"/>
    <w:rsid w:val="00E10AE2"/>
    <w:rsid w:val="00E12916"/>
    <w:rsid w:val="00E13BC3"/>
    <w:rsid w:val="00E200F5"/>
    <w:rsid w:val="00E21875"/>
    <w:rsid w:val="00E25407"/>
    <w:rsid w:val="00E32599"/>
    <w:rsid w:val="00E33B0E"/>
    <w:rsid w:val="00E417AB"/>
    <w:rsid w:val="00E446A6"/>
    <w:rsid w:val="00E53CB5"/>
    <w:rsid w:val="00E53CCD"/>
    <w:rsid w:val="00E670CF"/>
    <w:rsid w:val="00E71855"/>
    <w:rsid w:val="00E719A9"/>
    <w:rsid w:val="00E94E17"/>
    <w:rsid w:val="00EA1DE4"/>
    <w:rsid w:val="00EA60EA"/>
    <w:rsid w:val="00EB29BF"/>
    <w:rsid w:val="00EB3662"/>
    <w:rsid w:val="00EC358D"/>
    <w:rsid w:val="00EC4CF6"/>
    <w:rsid w:val="00EC7DB3"/>
    <w:rsid w:val="00ED3333"/>
    <w:rsid w:val="00EF0323"/>
    <w:rsid w:val="00EF0E80"/>
    <w:rsid w:val="00EF2367"/>
    <w:rsid w:val="00EF3001"/>
    <w:rsid w:val="00EF45BD"/>
    <w:rsid w:val="00F000B5"/>
    <w:rsid w:val="00F003D3"/>
    <w:rsid w:val="00F006EF"/>
    <w:rsid w:val="00F008AB"/>
    <w:rsid w:val="00F022A8"/>
    <w:rsid w:val="00F03E32"/>
    <w:rsid w:val="00F0544D"/>
    <w:rsid w:val="00F363E1"/>
    <w:rsid w:val="00F42E75"/>
    <w:rsid w:val="00F517FA"/>
    <w:rsid w:val="00F52D16"/>
    <w:rsid w:val="00F62D67"/>
    <w:rsid w:val="00F63BD9"/>
    <w:rsid w:val="00F64762"/>
    <w:rsid w:val="00F66540"/>
    <w:rsid w:val="00F6694C"/>
    <w:rsid w:val="00F700A0"/>
    <w:rsid w:val="00F73321"/>
    <w:rsid w:val="00F77B65"/>
    <w:rsid w:val="00F8145F"/>
    <w:rsid w:val="00F81D91"/>
    <w:rsid w:val="00F8349A"/>
    <w:rsid w:val="00F84E18"/>
    <w:rsid w:val="00F9283D"/>
    <w:rsid w:val="00F92AB8"/>
    <w:rsid w:val="00F95A0F"/>
    <w:rsid w:val="00F96F18"/>
    <w:rsid w:val="00FA508E"/>
    <w:rsid w:val="00FA5320"/>
    <w:rsid w:val="00FA7846"/>
    <w:rsid w:val="00FB70C0"/>
    <w:rsid w:val="00FC26E5"/>
    <w:rsid w:val="00FD19F1"/>
    <w:rsid w:val="00FD370F"/>
    <w:rsid w:val="00FD72DB"/>
    <w:rsid w:val="00FE0B90"/>
    <w:rsid w:val="00FF1D5C"/>
    <w:rsid w:val="00FF4C41"/>
    <w:rsid w:val="00FF75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56EFBE"/>
  <w15:docId w15:val="{2E968BEB-DBDD-45BD-9244-56F9F947C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CCD"/>
    <w:pPr>
      <w:spacing w:after="0" w:line="240" w:lineRule="auto"/>
      <w:jc w:val="both"/>
    </w:pPr>
    <w:rPr>
      <w:rFonts w:ascii="Times New Roman" w:hAnsi="Times New Roman" w:cs="Times New Roman"/>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rsid w:val="00E53CCD"/>
    <w:pPr>
      <w:keepNext/>
      <w:keepLines/>
      <w:spacing w:after="240"/>
      <w:ind w:left="3969"/>
      <w:jc w:val="center"/>
    </w:pPr>
    <w:rPr>
      <w:rFonts w:ascii="Antiqua" w:hAnsi="Antiqua"/>
      <w:sz w:val="26"/>
      <w:szCs w:val="20"/>
      <w:lang w:eastAsia="ru-RU"/>
    </w:rPr>
  </w:style>
  <w:style w:type="paragraph" w:styleId="a3">
    <w:name w:val="Title"/>
    <w:basedOn w:val="a"/>
    <w:link w:val="a4"/>
    <w:uiPriority w:val="10"/>
    <w:qFormat/>
    <w:rsid w:val="00E53CCD"/>
    <w:pPr>
      <w:ind w:left="5040" w:firstLine="720"/>
      <w:jc w:val="center"/>
    </w:pPr>
    <w:rPr>
      <w:b/>
      <w:sz w:val="24"/>
      <w:szCs w:val="20"/>
      <w:lang w:val="ru-RU" w:eastAsia="ru-RU"/>
    </w:rPr>
  </w:style>
  <w:style w:type="character" w:customStyle="1" w:styleId="a4">
    <w:name w:val="Назва Знак"/>
    <w:basedOn w:val="a0"/>
    <w:link w:val="a3"/>
    <w:uiPriority w:val="10"/>
    <w:locked/>
    <w:rsid w:val="00E53CCD"/>
    <w:rPr>
      <w:rFonts w:ascii="Times New Roman" w:hAnsi="Times New Roman" w:cs="Times New Roman"/>
      <w:b/>
      <w:sz w:val="20"/>
      <w:szCs w:val="20"/>
      <w:lang w:val="ru-RU" w:eastAsia="ru-RU"/>
    </w:rPr>
  </w:style>
  <w:style w:type="paragraph" w:styleId="a5">
    <w:name w:val="header"/>
    <w:basedOn w:val="a"/>
    <w:link w:val="a6"/>
    <w:uiPriority w:val="99"/>
    <w:unhideWhenUsed/>
    <w:rsid w:val="00E53CCD"/>
    <w:pPr>
      <w:tabs>
        <w:tab w:val="center" w:pos="4819"/>
        <w:tab w:val="right" w:pos="9639"/>
      </w:tabs>
    </w:pPr>
  </w:style>
  <w:style w:type="character" w:customStyle="1" w:styleId="a6">
    <w:name w:val="Верхній колонтитул Знак"/>
    <w:basedOn w:val="a0"/>
    <w:link w:val="a5"/>
    <w:uiPriority w:val="99"/>
    <w:locked/>
    <w:rsid w:val="00E53CCD"/>
    <w:rPr>
      <w:rFonts w:ascii="Times New Roman" w:hAnsi="Times New Roman" w:cs="Times New Roman"/>
      <w:sz w:val="28"/>
      <w:szCs w:val="28"/>
      <w:lang w:eastAsia="uk-UA"/>
    </w:rPr>
  </w:style>
  <w:style w:type="paragraph" w:styleId="a7">
    <w:name w:val="footer"/>
    <w:basedOn w:val="a"/>
    <w:link w:val="a8"/>
    <w:uiPriority w:val="99"/>
    <w:unhideWhenUsed/>
    <w:rsid w:val="00E53CCD"/>
    <w:pPr>
      <w:tabs>
        <w:tab w:val="center" w:pos="4819"/>
        <w:tab w:val="right" w:pos="9639"/>
      </w:tabs>
    </w:pPr>
  </w:style>
  <w:style w:type="character" w:customStyle="1" w:styleId="a8">
    <w:name w:val="Нижній колонтитул Знак"/>
    <w:basedOn w:val="a0"/>
    <w:link w:val="a7"/>
    <w:uiPriority w:val="99"/>
    <w:locked/>
    <w:rsid w:val="00E53CCD"/>
    <w:rPr>
      <w:rFonts w:ascii="Times New Roman" w:hAnsi="Times New Roman" w:cs="Times New Roman"/>
      <w:sz w:val="28"/>
      <w:szCs w:val="28"/>
      <w:lang w:eastAsia="uk-UA"/>
    </w:rPr>
  </w:style>
  <w:style w:type="table" w:styleId="a9">
    <w:name w:val="Table Grid"/>
    <w:basedOn w:val="a1"/>
    <w:uiPriority w:val="59"/>
    <w:rsid w:val="00904F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ратный адрес"/>
    <w:basedOn w:val="ab"/>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b">
    <w:name w:val="No Spacing"/>
    <w:link w:val="ac"/>
    <w:uiPriority w:val="99"/>
    <w:qFormat/>
    <w:rsid w:val="007A6609"/>
    <w:pPr>
      <w:spacing w:after="0" w:line="240" w:lineRule="auto"/>
      <w:jc w:val="both"/>
    </w:pPr>
    <w:rPr>
      <w:rFonts w:ascii="Times New Roman" w:hAnsi="Times New Roman" w:cs="Times New Roman"/>
      <w:sz w:val="28"/>
      <w:szCs w:val="28"/>
      <w:lang w:eastAsia="uk-UA"/>
    </w:rPr>
  </w:style>
  <w:style w:type="paragraph" w:styleId="ad">
    <w:name w:val="Balloon Text"/>
    <w:basedOn w:val="a"/>
    <w:link w:val="ae"/>
    <w:uiPriority w:val="99"/>
    <w:semiHidden/>
    <w:unhideWhenUsed/>
    <w:rsid w:val="007A6609"/>
    <w:rPr>
      <w:rFonts w:ascii="Tahoma" w:hAnsi="Tahoma" w:cs="Tahoma"/>
      <w:sz w:val="16"/>
      <w:szCs w:val="16"/>
    </w:rPr>
  </w:style>
  <w:style w:type="character" w:customStyle="1" w:styleId="ae">
    <w:name w:val="Текст у виносці Знак"/>
    <w:basedOn w:val="a0"/>
    <w:link w:val="ad"/>
    <w:uiPriority w:val="99"/>
    <w:semiHidden/>
    <w:locked/>
    <w:rsid w:val="007A6609"/>
    <w:rPr>
      <w:rFonts w:ascii="Tahoma" w:hAnsi="Tahoma" w:cs="Tahoma"/>
      <w:sz w:val="16"/>
      <w:szCs w:val="16"/>
      <w:lang w:eastAsia="uk-UA"/>
    </w:rPr>
  </w:style>
  <w:style w:type="character" w:styleId="af">
    <w:name w:val="Placeholder Text"/>
    <w:basedOn w:val="a0"/>
    <w:uiPriority w:val="99"/>
    <w:semiHidden/>
    <w:rsid w:val="00542533"/>
    <w:rPr>
      <w:rFonts w:cs="Times New Roman"/>
      <w:color w:val="808080"/>
    </w:rPr>
  </w:style>
  <w:style w:type="paragraph" w:customStyle="1" w:styleId="af0">
    <w:name w:val="Текст даты"/>
    <w:basedOn w:val="a"/>
    <w:uiPriority w:val="35"/>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1">
    <w:name w:val="Salutation"/>
    <w:basedOn w:val="ab"/>
    <w:next w:val="a"/>
    <w:link w:val="af2"/>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2">
    <w:name w:val="Привітання Знак"/>
    <w:basedOn w:val="a0"/>
    <w:link w:val="af1"/>
    <w:uiPriority w:val="6"/>
    <w:rsid w:val="00523C13"/>
    <w:rPr>
      <w:rFonts w:eastAsiaTheme="minorEastAsia" w:cstheme="minorBidi"/>
      <w:b/>
      <w:bCs/>
      <w:color w:val="000000" w:themeColor="text1"/>
      <w:lang w:val="ru-RU"/>
    </w:rPr>
  </w:style>
  <w:style w:type="paragraph" w:styleId="af3">
    <w:name w:val="List Paragraph"/>
    <w:basedOn w:val="a"/>
    <w:link w:val="af4"/>
    <w:uiPriority w:val="34"/>
    <w:qFormat/>
    <w:rsid w:val="001740C0"/>
    <w:pPr>
      <w:ind w:left="720"/>
      <w:contextualSpacing/>
    </w:pPr>
  </w:style>
  <w:style w:type="character" w:customStyle="1" w:styleId="ac">
    <w:name w:val="Без інтервалів Знак"/>
    <w:basedOn w:val="a0"/>
    <w:link w:val="ab"/>
    <w:uiPriority w:val="1"/>
    <w:rsid w:val="008D10FD"/>
    <w:rPr>
      <w:rFonts w:ascii="Times New Roman" w:hAnsi="Times New Roman" w:cs="Times New Roman"/>
      <w:sz w:val="28"/>
      <w:szCs w:val="28"/>
      <w:lang w:eastAsia="uk-UA"/>
    </w:rPr>
  </w:style>
  <w:style w:type="character" w:styleId="af5">
    <w:name w:val="Hyperlink"/>
    <w:basedOn w:val="a0"/>
    <w:uiPriority w:val="99"/>
    <w:semiHidden/>
    <w:unhideWhenUsed/>
    <w:rsid w:val="00485E6C"/>
    <w:rPr>
      <w:color w:val="0000FF"/>
      <w:u w:val="single"/>
    </w:rPr>
  </w:style>
  <w:style w:type="paragraph" w:styleId="af6">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 Знак,Знак Зна"/>
    <w:basedOn w:val="a"/>
    <w:link w:val="af7"/>
    <w:uiPriority w:val="99"/>
    <w:unhideWhenUsed/>
    <w:qFormat/>
    <w:rsid w:val="00C2549B"/>
    <w:pPr>
      <w:jc w:val="left"/>
    </w:pPr>
    <w:rPr>
      <w:sz w:val="20"/>
      <w:szCs w:val="20"/>
    </w:rPr>
  </w:style>
  <w:style w:type="character" w:customStyle="1" w:styleId="af7">
    <w:name w:val="Текст ви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Знак Знак Знак,Знак Зна Знак"/>
    <w:basedOn w:val="a0"/>
    <w:link w:val="af6"/>
    <w:uiPriority w:val="99"/>
    <w:qFormat/>
    <w:rsid w:val="00C2549B"/>
    <w:rPr>
      <w:rFonts w:ascii="Times New Roman" w:hAnsi="Times New Roman" w:cs="Times New Roman"/>
      <w:sz w:val="20"/>
      <w:szCs w:val="20"/>
      <w:lang w:eastAsia="uk-UA"/>
    </w:rPr>
  </w:style>
  <w:style w:type="character" w:styleId="af8">
    <w:name w:val="footnote reference"/>
    <w:aliases w:val="fr,Знак сноски1,Footnote Reference Number"/>
    <w:uiPriority w:val="99"/>
    <w:unhideWhenUsed/>
    <w:qFormat/>
    <w:rsid w:val="00C2549B"/>
    <w:rPr>
      <w:rFonts w:cs="Times New Roman"/>
      <w:vertAlign w:val="superscript"/>
    </w:rPr>
  </w:style>
  <w:style w:type="character" w:customStyle="1" w:styleId="af4">
    <w:name w:val="Абзац списку Знак"/>
    <w:link w:val="af3"/>
    <w:uiPriority w:val="34"/>
    <w:locked/>
    <w:rsid w:val="00C2549B"/>
    <w:rPr>
      <w:rFonts w:ascii="Times New Roman" w:hAnsi="Times New Roman" w:cs="Times New Roman"/>
      <w:sz w:val="28"/>
      <w:szCs w:val="28"/>
      <w:lang w:eastAsia="uk-UA"/>
    </w:rPr>
  </w:style>
  <w:style w:type="paragraph" w:customStyle="1" w:styleId="rvps2">
    <w:name w:val="rvps2"/>
    <w:basedOn w:val="a"/>
    <w:qFormat/>
    <w:rsid w:val="00C2549B"/>
    <w:pPr>
      <w:spacing w:before="100" w:beforeAutospacing="1" w:after="100" w:afterAutospacing="1"/>
      <w:jc w:val="left"/>
    </w:pPr>
    <w:rPr>
      <w:sz w:val="24"/>
      <w:szCs w:val="24"/>
    </w:rPr>
  </w:style>
  <w:style w:type="character" w:styleId="af9">
    <w:name w:val="annotation reference"/>
    <w:uiPriority w:val="99"/>
    <w:rsid w:val="00C2549B"/>
    <w:rPr>
      <w:rFonts w:cs="Times New Roman"/>
      <w:sz w:val="16"/>
      <w:szCs w:val="16"/>
    </w:rPr>
  </w:style>
  <w:style w:type="paragraph" w:customStyle="1" w:styleId="tj">
    <w:name w:val="tj"/>
    <w:basedOn w:val="a"/>
    <w:rsid w:val="00C2549B"/>
    <w:pPr>
      <w:spacing w:before="100" w:beforeAutospacing="1" w:after="100" w:afterAutospacing="1"/>
      <w:jc w:val="left"/>
    </w:pPr>
    <w:rPr>
      <w:sz w:val="24"/>
      <w:szCs w:val="24"/>
    </w:rPr>
  </w:style>
  <w:style w:type="paragraph" w:styleId="afa">
    <w:name w:val="annotation text"/>
    <w:basedOn w:val="a"/>
    <w:link w:val="afb"/>
    <w:uiPriority w:val="99"/>
    <w:unhideWhenUsed/>
    <w:rsid w:val="00257A3D"/>
    <w:pPr>
      <w:spacing w:after="160"/>
      <w:jc w:val="left"/>
    </w:pPr>
    <w:rPr>
      <w:rFonts w:ascii="Calibri" w:hAnsi="Calibri"/>
      <w:sz w:val="20"/>
      <w:szCs w:val="20"/>
      <w:lang w:eastAsia="en-US"/>
    </w:rPr>
  </w:style>
  <w:style w:type="character" w:customStyle="1" w:styleId="afb">
    <w:name w:val="Текст примітки Знак"/>
    <w:basedOn w:val="a0"/>
    <w:link w:val="afa"/>
    <w:uiPriority w:val="99"/>
    <w:rsid w:val="00257A3D"/>
    <w:rPr>
      <w:rFonts w:ascii="Calibri" w:hAnsi="Calibri" w:cs="Times New Roman"/>
      <w:sz w:val="20"/>
      <w:szCs w:val="20"/>
    </w:rPr>
  </w:style>
  <w:style w:type="paragraph" w:styleId="afc">
    <w:name w:val="Body Text"/>
    <w:aliases w:val="body text Знак,body text Char Знак,body text Char Char Знак,Body Text Char Знак,body text Char1 Знак,body text Char Char Char Знак,body text Char Char Char Char,body text Char,body text Char Char"/>
    <w:basedOn w:val="a"/>
    <w:link w:val="afd"/>
    <w:uiPriority w:val="99"/>
    <w:rsid w:val="00632DC0"/>
    <w:pPr>
      <w:spacing w:after="120"/>
      <w:jc w:val="left"/>
    </w:pPr>
    <w:rPr>
      <w:rFonts w:ascii="Calibri" w:hAnsi="Calibri"/>
      <w:sz w:val="24"/>
      <w:szCs w:val="20"/>
    </w:rPr>
  </w:style>
  <w:style w:type="character" w:customStyle="1" w:styleId="afd">
    <w:name w:val="Основний текст Знак"/>
    <w:aliases w:val="body text Знак Знак,body text Char Знак Знак,body text Char Char Знак Знак,Body Text Char Знак Знак,body text Char1 Знак Знак,body text Char Char Char Знак Знак,body text Char Char Char Char Знак,body text Char Знак1"/>
    <w:basedOn w:val="a0"/>
    <w:link w:val="afc"/>
    <w:uiPriority w:val="99"/>
    <w:rsid w:val="00632DC0"/>
    <w:rPr>
      <w:rFonts w:ascii="Calibri" w:hAnsi="Calibri" w:cs="Times New Roman"/>
      <w:sz w:val="24"/>
      <w:szCs w:val="20"/>
      <w:lang w:eastAsia="uk-UA"/>
    </w:rPr>
  </w:style>
  <w:style w:type="paragraph" w:styleId="afe">
    <w:name w:val="annotation subject"/>
    <w:basedOn w:val="afa"/>
    <w:next w:val="afa"/>
    <w:link w:val="aff"/>
    <w:uiPriority w:val="99"/>
    <w:semiHidden/>
    <w:unhideWhenUsed/>
    <w:rsid w:val="004F226E"/>
    <w:pPr>
      <w:spacing w:after="0"/>
      <w:jc w:val="both"/>
    </w:pPr>
    <w:rPr>
      <w:rFonts w:ascii="Times New Roman" w:hAnsi="Times New Roman"/>
      <w:b/>
      <w:bCs/>
      <w:lang w:eastAsia="uk-UA"/>
    </w:rPr>
  </w:style>
  <w:style w:type="character" w:customStyle="1" w:styleId="aff">
    <w:name w:val="Тема примітки Знак"/>
    <w:basedOn w:val="afb"/>
    <w:link w:val="afe"/>
    <w:uiPriority w:val="99"/>
    <w:semiHidden/>
    <w:rsid w:val="004F226E"/>
    <w:rPr>
      <w:rFonts w:ascii="Times New Roman" w:hAnsi="Times New Roman" w:cs="Times New Roman"/>
      <w:b/>
      <w:bCs/>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077217">
      <w:bodyDiv w:val="1"/>
      <w:marLeft w:val="0"/>
      <w:marRight w:val="0"/>
      <w:marTop w:val="0"/>
      <w:marBottom w:val="0"/>
      <w:divBdr>
        <w:top w:val="none" w:sz="0" w:space="0" w:color="auto"/>
        <w:left w:val="none" w:sz="0" w:space="0" w:color="auto"/>
        <w:bottom w:val="none" w:sz="0" w:space="0" w:color="auto"/>
        <w:right w:val="none" w:sz="0" w:space="0" w:color="auto"/>
      </w:divBdr>
      <w:divsChild>
        <w:div w:id="1166936235">
          <w:marLeft w:val="0"/>
          <w:marRight w:val="0"/>
          <w:marTop w:val="0"/>
          <w:marBottom w:val="0"/>
          <w:divBdr>
            <w:top w:val="none" w:sz="0" w:space="0" w:color="auto"/>
            <w:left w:val="none" w:sz="0" w:space="0" w:color="auto"/>
            <w:bottom w:val="none" w:sz="0" w:space="0" w:color="auto"/>
            <w:right w:val="none" w:sz="0" w:space="0" w:color="auto"/>
          </w:divBdr>
        </w:div>
        <w:div w:id="272903474">
          <w:marLeft w:val="0"/>
          <w:marRight w:val="0"/>
          <w:marTop w:val="0"/>
          <w:marBottom w:val="0"/>
          <w:divBdr>
            <w:top w:val="none" w:sz="0" w:space="0" w:color="auto"/>
            <w:left w:val="none" w:sz="0" w:space="0" w:color="auto"/>
            <w:bottom w:val="none" w:sz="0" w:space="0" w:color="auto"/>
            <w:right w:val="none" w:sz="0" w:space="0" w:color="auto"/>
          </w:divBdr>
        </w:div>
        <w:div w:id="1929344398">
          <w:marLeft w:val="0"/>
          <w:marRight w:val="0"/>
          <w:marTop w:val="0"/>
          <w:marBottom w:val="0"/>
          <w:divBdr>
            <w:top w:val="none" w:sz="0" w:space="0" w:color="auto"/>
            <w:left w:val="none" w:sz="0" w:space="0" w:color="auto"/>
            <w:bottom w:val="none" w:sz="0" w:space="0" w:color="auto"/>
            <w:right w:val="none" w:sz="0" w:space="0" w:color="auto"/>
          </w:divBdr>
        </w:div>
        <w:div w:id="1629968808">
          <w:marLeft w:val="0"/>
          <w:marRight w:val="0"/>
          <w:marTop w:val="0"/>
          <w:marBottom w:val="0"/>
          <w:divBdr>
            <w:top w:val="none" w:sz="0" w:space="0" w:color="auto"/>
            <w:left w:val="none" w:sz="0" w:space="0" w:color="auto"/>
            <w:bottom w:val="none" w:sz="0" w:space="0" w:color="auto"/>
            <w:right w:val="none" w:sz="0" w:space="0" w:color="auto"/>
          </w:divBdr>
        </w:div>
      </w:divsChild>
    </w:div>
    <w:div w:id="1008365596">
      <w:bodyDiv w:val="1"/>
      <w:marLeft w:val="0"/>
      <w:marRight w:val="0"/>
      <w:marTop w:val="0"/>
      <w:marBottom w:val="0"/>
      <w:divBdr>
        <w:top w:val="none" w:sz="0" w:space="0" w:color="auto"/>
        <w:left w:val="none" w:sz="0" w:space="0" w:color="auto"/>
        <w:bottom w:val="none" w:sz="0" w:space="0" w:color="auto"/>
        <w:right w:val="none" w:sz="0" w:space="0" w:color="auto"/>
      </w:divBdr>
      <w:divsChild>
        <w:div w:id="1405640138">
          <w:marLeft w:val="0"/>
          <w:marRight w:val="0"/>
          <w:marTop w:val="0"/>
          <w:marBottom w:val="0"/>
          <w:divBdr>
            <w:top w:val="none" w:sz="0" w:space="0" w:color="auto"/>
            <w:left w:val="none" w:sz="0" w:space="0" w:color="auto"/>
            <w:bottom w:val="none" w:sz="0" w:space="0" w:color="auto"/>
            <w:right w:val="none" w:sz="0" w:space="0" w:color="auto"/>
          </w:divBdr>
        </w:div>
        <w:div w:id="525944992">
          <w:marLeft w:val="0"/>
          <w:marRight w:val="0"/>
          <w:marTop w:val="0"/>
          <w:marBottom w:val="0"/>
          <w:divBdr>
            <w:top w:val="none" w:sz="0" w:space="0" w:color="auto"/>
            <w:left w:val="none" w:sz="0" w:space="0" w:color="auto"/>
            <w:bottom w:val="none" w:sz="0" w:space="0" w:color="auto"/>
            <w:right w:val="none" w:sz="0" w:space="0" w:color="auto"/>
          </w:divBdr>
        </w:div>
      </w:divsChild>
    </w:div>
    <w:div w:id="1497762521">
      <w:bodyDiv w:val="1"/>
      <w:marLeft w:val="0"/>
      <w:marRight w:val="0"/>
      <w:marTop w:val="0"/>
      <w:marBottom w:val="0"/>
      <w:divBdr>
        <w:top w:val="none" w:sz="0" w:space="0" w:color="auto"/>
        <w:left w:val="none" w:sz="0" w:space="0" w:color="auto"/>
        <w:bottom w:val="none" w:sz="0" w:space="0" w:color="auto"/>
        <w:right w:val="none" w:sz="0" w:space="0" w:color="auto"/>
      </w:divBdr>
    </w:div>
    <w:div w:id="164927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ps.ligazakon.net/document/view/t141702?ed=2014_12_28&amp;an=6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D38310B097A7C4A8F1284EA8FDC65F7" ma:contentTypeVersion="0" ma:contentTypeDescription="Створення нового документа." ma:contentTypeScope="" ma:versionID="0d7039b10725a13cd02235ce8b5b5f95">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3CD591-7252-4A4C-A2CF-13AFBF5C0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1A207D9-E9B2-4795-85D9-F103AECC912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3482A2-DF2C-4457-BE6A-2B6191A58F81}">
  <ds:schemaRefs>
    <ds:schemaRef ds:uri="http://schemas.microsoft.com/sharepoint/v3/contenttype/forms"/>
  </ds:schemaRefs>
</ds:datastoreItem>
</file>

<file path=customXml/itemProps5.xml><?xml version="1.0" encoding="utf-8"?>
<ds:datastoreItem xmlns:ds="http://schemas.openxmlformats.org/officeDocument/2006/customXml" ds:itemID="{58037190-AF58-4633-932C-1F9F05A8D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9884</Words>
  <Characters>5635</Characters>
  <Application>Microsoft Office Word</Application>
  <DocSecurity>0</DocSecurity>
  <Lines>46</Lines>
  <Paragraphs>30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National Bank of Ukraine</Company>
  <LinksUpToDate>false</LinksUpToDate>
  <CharactersWithSpaces>15489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1a4506</dc:creator>
  <cp:lastModifiedBy>Лєдок Дмитро Сергійович</cp:lastModifiedBy>
  <cp:revision>4</cp:revision>
  <cp:lastPrinted>2015-04-06T07:59:00Z</cp:lastPrinted>
  <dcterms:created xsi:type="dcterms:W3CDTF">2023-03-07T15:40:00Z</dcterms:created>
  <dcterms:modified xsi:type="dcterms:W3CDTF">2023-03-07T15:59:00Z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0x0101005D38310B097A7C4A8F1284EA8FDC65F7</vt:lpwstr>
  </property>
</Properties>
</file>