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3683" w14:textId="77777777" w:rsidR="00FA7846" w:rsidRPr="006B40B1" w:rsidRDefault="00FA7846" w:rsidP="00FA7846">
      <w:pPr>
        <w:rPr>
          <w:sz w:val="2"/>
          <w:szCs w:val="2"/>
          <w:lang w:val="en-US"/>
        </w:rPr>
      </w:pPr>
    </w:p>
    <w:p w14:paraId="2B6B2F4F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6E34FB3F" w14:textId="77777777" w:rsidTr="00E054A9">
        <w:trPr>
          <w:trHeight w:val="851"/>
        </w:trPr>
        <w:tc>
          <w:tcPr>
            <w:tcW w:w="3284" w:type="dxa"/>
          </w:tcPr>
          <w:p w14:paraId="4A02BCDF" w14:textId="77777777" w:rsidR="00657593" w:rsidRDefault="00657593" w:rsidP="00E054A9"/>
        </w:tc>
        <w:tc>
          <w:tcPr>
            <w:tcW w:w="3285" w:type="dxa"/>
            <w:vMerge w:val="restart"/>
          </w:tcPr>
          <w:p w14:paraId="66148250" w14:textId="77777777" w:rsidR="00657593" w:rsidRDefault="00657593" w:rsidP="00E054A9">
            <w:pPr>
              <w:jc w:val="center"/>
            </w:pPr>
            <w:r>
              <w:object w:dxaOrig="1595" w:dyaOrig="2201" w14:anchorId="56D003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00376596" r:id="rId13"/>
              </w:object>
            </w:r>
          </w:p>
        </w:tc>
        <w:tc>
          <w:tcPr>
            <w:tcW w:w="3285" w:type="dxa"/>
          </w:tcPr>
          <w:p w14:paraId="3BD825F5" w14:textId="77777777" w:rsidR="00657593" w:rsidRDefault="00657593" w:rsidP="00E054A9"/>
        </w:tc>
      </w:tr>
      <w:tr w:rsidR="00657593" w14:paraId="699B8EDA" w14:textId="77777777" w:rsidTr="00E054A9">
        <w:tc>
          <w:tcPr>
            <w:tcW w:w="3284" w:type="dxa"/>
          </w:tcPr>
          <w:p w14:paraId="01979887" w14:textId="77777777" w:rsidR="00657593" w:rsidRDefault="00657593" w:rsidP="00E054A9"/>
        </w:tc>
        <w:tc>
          <w:tcPr>
            <w:tcW w:w="3285" w:type="dxa"/>
            <w:vMerge/>
          </w:tcPr>
          <w:p w14:paraId="2FC3113E" w14:textId="77777777" w:rsidR="00657593" w:rsidRDefault="00657593" w:rsidP="00E054A9"/>
        </w:tc>
        <w:tc>
          <w:tcPr>
            <w:tcW w:w="3285" w:type="dxa"/>
          </w:tcPr>
          <w:p w14:paraId="697932B7" w14:textId="77777777" w:rsidR="00657593" w:rsidRDefault="00657593" w:rsidP="00E054A9"/>
        </w:tc>
      </w:tr>
      <w:tr w:rsidR="00657593" w14:paraId="78A95CC5" w14:textId="77777777" w:rsidTr="00E054A9">
        <w:tc>
          <w:tcPr>
            <w:tcW w:w="9854" w:type="dxa"/>
            <w:gridSpan w:val="3"/>
          </w:tcPr>
          <w:p w14:paraId="0FC426CD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31145A2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458FAC3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54B6A886" w14:textId="77777777" w:rsidTr="00AB062E">
        <w:tc>
          <w:tcPr>
            <w:tcW w:w="3510" w:type="dxa"/>
            <w:vAlign w:val="bottom"/>
          </w:tcPr>
          <w:p w14:paraId="3498D4CC" w14:textId="214DE6D5" w:rsidR="00657593" w:rsidRPr="00566BA2" w:rsidRDefault="00BA75F9" w:rsidP="00E054A9">
            <w:r>
              <w:t>07 грудня 2021 року</w:t>
            </w:r>
          </w:p>
        </w:tc>
        <w:tc>
          <w:tcPr>
            <w:tcW w:w="2694" w:type="dxa"/>
          </w:tcPr>
          <w:p w14:paraId="6628544C" w14:textId="72172D9A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436DEAC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38093803" w14:textId="29B13EAE" w:rsidR="00657593" w:rsidRDefault="00BA75F9" w:rsidP="00290169">
            <w:pPr>
              <w:jc w:val="left"/>
            </w:pPr>
            <w:r>
              <w:t>№ 137</w:t>
            </w:r>
          </w:p>
        </w:tc>
      </w:tr>
    </w:tbl>
    <w:p w14:paraId="7E6C09EC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44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B3F71" w:rsidRPr="00CD0CD4" w14:paraId="68B7F895" w14:textId="77777777" w:rsidTr="00CD76D1">
        <w:trPr>
          <w:jc w:val="center"/>
        </w:trPr>
        <w:tc>
          <w:tcPr>
            <w:tcW w:w="5000" w:type="pct"/>
          </w:tcPr>
          <w:p w14:paraId="65116E0E" w14:textId="77777777" w:rsidR="002B3F71" w:rsidRPr="008E26B4" w:rsidRDefault="008E26B4" w:rsidP="00CD76D1">
            <w:pPr>
              <w:tabs>
                <w:tab w:val="left" w:pos="840"/>
                <w:tab w:val="center" w:pos="3293"/>
              </w:tabs>
              <w:spacing w:before="120" w:after="120"/>
              <w:ind w:hanging="105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встановлення Національним банком України критеріїв </w:t>
            </w:r>
            <w:r w:rsidR="00EE521C">
              <w:rPr>
                <w:rFonts w:eastAsiaTheme="minorEastAsia"/>
                <w:color w:val="000000" w:themeColor="text1"/>
                <w:lang w:eastAsia="en-US"/>
              </w:rPr>
              <w:t>для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банків,</w:t>
            </w:r>
            <w:r w:rsidR="00867A5D">
              <w:rPr>
                <w:rFonts w:eastAsiaTheme="minorEastAsia"/>
                <w:color w:val="000000" w:themeColor="text1"/>
                <w:lang w:eastAsia="en-US"/>
              </w:rPr>
              <w:t xml:space="preserve"> у яких</w:t>
            </w:r>
            <w:r w:rsidR="00867A5D" w:rsidRPr="00867A5D">
              <w:rPr>
                <w:rFonts w:eastAsiaTheme="minorEastAsia"/>
                <w:color w:val="000000" w:themeColor="text1"/>
                <w:lang w:eastAsia="en-US"/>
              </w:rPr>
              <w:t xml:space="preserve"> мають право відкривати </w:t>
            </w:r>
            <w:r w:rsidR="00867A5D">
              <w:rPr>
                <w:rFonts w:eastAsiaTheme="minorEastAsia"/>
                <w:color w:val="000000" w:themeColor="text1"/>
                <w:lang w:eastAsia="en-US"/>
              </w:rPr>
              <w:t>рахунки</w:t>
            </w:r>
            <w:r w:rsidR="00867A5D" w:rsidRPr="00867A5D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867A5D">
              <w:rPr>
                <w:rFonts w:eastAsiaTheme="minorEastAsia"/>
                <w:color w:val="000000" w:themeColor="text1"/>
                <w:lang w:eastAsia="en-US"/>
              </w:rPr>
              <w:t xml:space="preserve">в іноземній валюті </w:t>
            </w:r>
            <w:r w:rsidR="002D7A2C" w:rsidRPr="00867A5D">
              <w:rPr>
                <w:rFonts w:eastAsiaTheme="minorEastAsia"/>
                <w:color w:val="000000" w:themeColor="text1"/>
                <w:lang w:eastAsia="en-US"/>
              </w:rPr>
              <w:t xml:space="preserve">Центральний депозитарій цінних паперів та </w:t>
            </w:r>
            <w:r w:rsidR="00867A5D" w:rsidRPr="00867A5D">
              <w:rPr>
                <w:rFonts w:eastAsiaTheme="minorEastAsia"/>
                <w:color w:val="000000" w:themeColor="text1"/>
                <w:lang w:eastAsia="en-US"/>
              </w:rPr>
              <w:t>клірингові установи відповідно до вимог законодавства</w:t>
            </w:r>
          </w:p>
        </w:tc>
      </w:tr>
    </w:tbl>
    <w:p w14:paraId="74C862BD" w14:textId="77777777" w:rsidR="00E53CCD" w:rsidRDefault="00867A5D" w:rsidP="00CD76D1">
      <w:pPr>
        <w:spacing w:before="120" w:after="120"/>
        <w:ind w:firstLine="567"/>
        <w:rPr>
          <w:b/>
        </w:rPr>
      </w:pPr>
      <w:r w:rsidRPr="000879EB">
        <w:t xml:space="preserve">Відповідно до статей 15, 42, 56 Закону України “Про Національний банк України”, </w:t>
      </w:r>
      <w:r w:rsidR="007A3AEE" w:rsidRPr="000879EB">
        <w:t>статей 9 та 20 Закону України “Про депоз</w:t>
      </w:r>
      <w:r w:rsidR="007A3AEE" w:rsidRPr="009B48A9">
        <w:t>итарну систему України</w:t>
      </w:r>
      <w:r w:rsidR="007A3AEE" w:rsidRPr="001C49D7">
        <w:t>”</w:t>
      </w:r>
      <w:r w:rsidR="007A3AEE">
        <w:t xml:space="preserve">, </w:t>
      </w:r>
      <w:r w:rsidRPr="000879EB">
        <w:t>статей 59 та 60 Закону України “Про ринки капіталу та організовані товарні ринки”</w:t>
      </w:r>
      <w:r w:rsidR="00D85B97">
        <w:t>,</w:t>
      </w:r>
      <w:r w:rsidR="009B48A9" w:rsidRPr="009B48A9">
        <w:t xml:space="preserve"> </w:t>
      </w:r>
      <w:r w:rsidRPr="001C49D7">
        <w:t xml:space="preserve">з метою </w:t>
      </w:r>
      <w:r>
        <w:t xml:space="preserve">підвищення надійності та збереження коштів клієнтів </w:t>
      </w:r>
      <w:r w:rsidR="00CB5672" w:rsidRPr="00867A5D">
        <w:t>Центральн</w:t>
      </w:r>
      <w:r w:rsidR="00CB5672">
        <w:t>ого</w:t>
      </w:r>
      <w:r w:rsidR="00CB5672" w:rsidRPr="00867A5D">
        <w:t xml:space="preserve"> депозитар</w:t>
      </w:r>
      <w:r w:rsidR="00CB5672">
        <w:t>ію</w:t>
      </w:r>
      <w:r w:rsidR="00CB5672" w:rsidRPr="00867A5D">
        <w:t xml:space="preserve"> цінних паперів</w:t>
      </w:r>
      <w:r w:rsidR="00CB5672">
        <w:t xml:space="preserve"> та</w:t>
      </w:r>
      <w:r w:rsidR="00CB5672" w:rsidRPr="00867A5D">
        <w:t xml:space="preserve"> </w:t>
      </w:r>
      <w:r>
        <w:t xml:space="preserve">клірингових установ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4680DB1B" w14:textId="77777777" w:rsidR="002D7A2C" w:rsidRDefault="00AD7DF9" w:rsidP="00296342">
      <w:pPr>
        <w:spacing w:before="240" w:after="240"/>
        <w:ind w:firstLine="567"/>
        <w:rPr>
          <w:color w:val="000000"/>
          <w:shd w:val="clear" w:color="auto" w:fill="FFFFFF"/>
        </w:rPr>
      </w:pPr>
      <w:r w:rsidRPr="009B48A9">
        <w:t>1.</w:t>
      </w:r>
      <w:r>
        <w:rPr>
          <w:lang w:val="en-US"/>
        </w:rPr>
        <w:t> </w:t>
      </w:r>
      <w:r w:rsidR="002D7A2C">
        <w:rPr>
          <w:color w:val="000000"/>
          <w:shd w:val="clear" w:color="auto" w:fill="FFFFFF"/>
        </w:rPr>
        <w:t xml:space="preserve">Центральний депозитарій цінних паперів </w:t>
      </w:r>
      <w:r w:rsidR="00FB3CC5">
        <w:rPr>
          <w:rFonts w:eastAsiaTheme="minorEastAsia"/>
          <w:noProof/>
          <w:color w:val="000000" w:themeColor="text1"/>
          <w:lang w:eastAsia="en-US"/>
        </w:rPr>
        <w:t>д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ля забезпечення виплати доходів за цінними паперами </w:t>
      </w:r>
      <w:r w:rsidR="00D85B97">
        <w:rPr>
          <w:rFonts w:eastAsiaTheme="minorEastAsia"/>
          <w:noProof/>
          <w:color w:val="000000" w:themeColor="text1"/>
          <w:lang w:eastAsia="en-US"/>
        </w:rPr>
        <w:t>під час</w:t>
      </w:r>
      <w:r w:rsidR="00D85B97" w:rsidRPr="0055412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>погашенн</w:t>
      </w:r>
      <w:r w:rsidR="00D85B97">
        <w:rPr>
          <w:rFonts w:eastAsiaTheme="minorEastAsia"/>
          <w:noProof/>
          <w:color w:val="000000" w:themeColor="text1"/>
          <w:lang w:eastAsia="en-US"/>
        </w:rPr>
        <w:t>я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боргових цінних паперів, у тому числі за цінними паперами, що розміщені та обертаються за межами України, чи </w:t>
      </w:r>
      <w:r w:rsidR="00D85B97">
        <w:rPr>
          <w:rFonts w:eastAsiaTheme="minorEastAsia"/>
          <w:noProof/>
          <w:color w:val="000000" w:themeColor="text1"/>
          <w:lang w:eastAsia="en-US"/>
        </w:rPr>
        <w:t>під час</w:t>
      </w:r>
      <w:r w:rsidR="00D85B97" w:rsidRPr="0055412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>здійсненн</w:t>
      </w:r>
      <w:r w:rsidR="00D85B97">
        <w:rPr>
          <w:rFonts w:eastAsiaTheme="minorEastAsia"/>
          <w:noProof/>
          <w:color w:val="000000" w:themeColor="text1"/>
          <w:lang w:eastAsia="en-US"/>
        </w:rPr>
        <w:t>я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емітентом інших корпоративних операцій,</w:t>
      </w:r>
      <w:r w:rsidR="00FB3CC5">
        <w:rPr>
          <w:rFonts w:eastAsiaTheme="minorEastAsia"/>
          <w:noProof/>
          <w:color w:val="000000" w:themeColor="text1"/>
          <w:lang w:eastAsia="en-US"/>
        </w:rPr>
        <w:t xml:space="preserve"> а також для обслуговування інших операцій, які передбачають виплату коштів через депозитарну систему України, якщо такі виплати здійснюються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в іноземній валюті</w:t>
      </w:r>
      <w:r w:rsidR="00FB3CC5">
        <w:rPr>
          <w:rFonts w:eastAsiaTheme="minorEastAsia"/>
          <w:noProof/>
          <w:color w:val="000000" w:themeColor="text1"/>
          <w:lang w:eastAsia="en-US"/>
        </w:rPr>
        <w:t>,</w:t>
      </w:r>
      <w:r w:rsidR="008F3CA5" w:rsidRPr="008F3CA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869A9">
        <w:rPr>
          <w:color w:val="000000"/>
          <w:shd w:val="clear" w:color="auto" w:fill="FFFFFF"/>
        </w:rPr>
        <w:t xml:space="preserve">використовує </w:t>
      </w:r>
      <w:r w:rsidR="002D7A2C" w:rsidRPr="00FB3CC5">
        <w:rPr>
          <w:color w:val="000000"/>
          <w:shd w:val="clear" w:color="auto" w:fill="FFFFFF"/>
        </w:rPr>
        <w:t>рахунки в іноземній валюті в банках (</w:t>
      </w:r>
      <w:r w:rsidR="00D85B97">
        <w:rPr>
          <w:color w:val="000000"/>
          <w:shd w:val="clear" w:color="auto" w:fill="FFFFFF"/>
        </w:rPr>
        <w:t>у</w:t>
      </w:r>
      <w:r w:rsidR="002D7A2C" w:rsidRPr="00FB3CC5">
        <w:rPr>
          <w:color w:val="000000"/>
          <w:shd w:val="clear" w:color="auto" w:fill="FFFFFF"/>
        </w:rPr>
        <w:t xml:space="preserve">ключаючи іноземні банки), які відповідають </w:t>
      </w:r>
      <w:r w:rsidR="00FB2408">
        <w:rPr>
          <w:color w:val="000000"/>
          <w:shd w:val="clear" w:color="auto" w:fill="FFFFFF"/>
        </w:rPr>
        <w:t xml:space="preserve">його </w:t>
      </w:r>
      <w:r w:rsidR="00980595" w:rsidRPr="00FB3CC5">
        <w:rPr>
          <w:color w:val="000000"/>
          <w:shd w:val="clear" w:color="auto" w:fill="FFFFFF"/>
        </w:rPr>
        <w:t xml:space="preserve">внутрішнім вимогам щодо оцінки ризиків, а також </w:t>
      </w:r>
      <w:r w:rsidR="002D7A2C" w:rsidRPr="00FB3CC5">
        <w:rPr>
          <w:color w:val="000000"/>
          <w:shd w:val="clear" w:color="auto" w:fill="FFFFFF"/>
        </w:rPr>
        <w:t>таким критеріям:</w:t>
      </w:r>
    </w:p>
    <w:p w14:paraId="58626AC2" w14:textId="25D10DCC" w:rsidR="007775E2" w:rsidRDefault="007775E2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021D28"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банк України, який має довгостроковий кредитний рейтинг за міжнародною шкалою за зобов</w:t>
      </w:r>
      <w:r w:rsidR="00304607">
        <w:rPr>
          <w:rFonts w:eastAsiaTheme="minorEastAsia"/>
          <w:noProof/>
          <w:color w:val="000000" w:themeColor="text1"/>
          <w:lang w:eastAsia="en-US"/>
        </w:rPr>
        <w:t>’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язаннями в іноземній валюті, визначений одним із таких рейтингових агентств, як “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Standard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 &amp;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Poor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'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s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”, “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Fitch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Ratings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” та “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Moody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'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s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Investors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>Service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”, на рівні не нижчому ніж довгостроковий кредитний рейтинг держави за зобов</w:t>
      </w:r>
      <w:r w:rsidR="00304607">
        <w:rPr>
          <w:rFonts w:eastAsiaTheme="minorEastAsia"/>
          <w:noProof/>
          <w:color w:val="000000" w:themeColor="text1"/>
          <w:lang w:eastAsia="en-US"/>
        </w:rPr>
        <w:t>’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язаннями в іноземній валюті</w:t>
      </w:r>
      <w:r w:rsidR="00296342">
        <w:rPr>
          <w:rFonts w:eastAsiaTheme="minorEastAsia"/>
          <w:noProof/>
          <w:color w:val="000000" w:themeColor="text1"/>
          <w:lang w:eastAsia="en-US"/>
        </w:rPr>
        <w:t>,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 визначений таким рейтинговим агентством на момент відкриття рахунку, крім банків, у статутному капіталі яких не менше </w:t>
      </w:r>
      <w:r w:rsidR="00296342">
        <w:rPr>
          <w:rFonts w:eastAsiaTheme="minorEastAsia"/>
          <w:noProof/>
          <w:color w:val="000000" w:themeColor="text1"/>
          <w:lang w:eastAsia="en-US"/>
        </w:rPr>
        <w:t xml:space="preserve">ніж 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>75 відсотків акцій належать особам (юрисдикція) реєстраці</w:t>
      </w:r>
      <w:r w:rsidR="00296342">
        <w:rPr>
          <w:rFonts w:eastAsiaTheme="minorEastAsia"/>
          <w:noProof/>
          <w:color w:val="000000" w:themeColor="text1"/>
          <w:lang w:eastAsia="en-US"/>
        </w:rPr>
        <w:t>я</w:t>
      </w:r>
      <w:r w:rsidR="008741B0" w:rsidRPr="00021D28">
        <w:rPr>
          <w:rFonts w:eastAsiaTheme="minorEastAsia"/>
          <w:noProof/>
          <w:color w:val="000000" w:themeColor="text1"/>
          <w:lang w:eastAsia="en-US"/>
        </w:rPr>
        <w:t xml:space="preserve">/місцезнаходження яких віднесена Кабінетом Міністрів України до переліку офшорних зон та/або визнана Верховною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 xml:space="preserve">Радою України державою-агресором/державою-окупантом, та/або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  крім банків, які порушують </w:t>
      </w:r>
      <w:r w:rsidR="00296342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t xml:space="preserve">становлені Національним </w:t>
      </w:r>
      <w:r w:rsidR="008741B0" w:rsidRPr="008741B0">
        <w:rPr>
          <w:rFonts w:eastAsiaTheme="minorEastAsia"/>
          <w:noProof/>
          <w:color w:val="000000" w:themeColor="text1"/>
          <w:lang w:val="ru-RU" w:eastAsia="en-US"/>
        </w:rPr>
        <w:lastRenderedPageBreak/>
        <w:t>банком України економічні нормативи два та більше разів протягом останніх трьох місяців;</w:t>
      </w:r>
    </w:p>
    <w:p w14:paraId="52A6670C" w14:textId="600B19DB" w:rsidR="001A6AB7" w:rsidRDefault="007775E2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9B48A9">
        <w:rPr>
          <w:rFonts w:eastAsiaTheme="minorEastAsia"/>
          <w:noProof/>
          <w:color w:val="000000" w:themeColor="text1"/>
          <w:lang w:eastAsia="en-US"/>
        </w:rPr>
        <w:t>)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B48A9">
        <w:rPr>
          <w:rFonts w:eastAsiaTheme="minorEastAsia"/>
          <w:noProof/>
          <w:color w:val="000000" w:themeColor="text1"/>
          <w:lang w:eastAsia="en-US"/>
        </w:rPr>
        <w:t>і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ноземний банк, який має мінімальний довгостроковий кредитний рейтинг за міжнародною шкалою, визначений одним із таких рейтингових агентств, як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Standard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&amp;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Poor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>'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</w:t>
      </w:r>
      <w:r w:rsidR="000879EB" w:rsidRPr="000879EB">
        <w:t>”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Fitch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Ratings</w:t>
      </w:r>
      <w:r w:rsidR="000879EB" w:rsidRPr="000879EB">
        <w:t>”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та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Moody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>'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Investors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Service</w:t>
      </w:r>
      <w:r w:rsidR="000879EB" w:rsidRPr="000879EB">
        <w:t>”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, не нижчий ніж рівень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BBB</w:t>
      </w:r>
      <w:r w:rsidR="000879EB" w:rsidRPr="000879EB">
        <w:t>”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за класифікацією рейтингового агентства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Standard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>&amp;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Poor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>'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s</w:t>
      </w:r>
      <w:r w:rsidR="000879EB" w:rsidRPr="000879EB">
        <w:t>”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або рейтингового агентства </w:t>
      </w:r>
      <w:r w:rsidR="000879EB" w:rsidRPr="000879EB">
        <w:t>“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Fitch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Ratings</w:t>
      </w:r>
      <w:r w:rsidR="000879EB" w:rsidRPr="000879EB">
        <w:t>”</w:t>
      </w:r>
      <w:r w:rsidR="000879EB">
        <w:t xml:space="preserve"> </w:t>
      </w:r>
      <w:r w:rsidR="000879EB" w:rsidRPr="001039FD">
        <w:t xml:space="preserve">та </w:t>
      </w:r>
      <w:r w:rsidR="00600E59" w:rsidRPr="001039FD">
        <w:rPr>
          <w:rFonts w:eastAsiaTheme="minorEastAsia"/>
          <w:noProof/>
          <w:lang w:eastAsia="en-US"/>
        </w:rPr>
        <w:t xml:space="preserve">рівень </w:t>
      </w:r>
      <w:r w:rsidR="000879EB" w:rsidRPr="001039FD">
        <w:t>“</w:t>
      </w:r>
      <w:r w:rsidR="00600E59" w:rsidRPr="001039FD">
        <w:rPr>
          <w:rFonts w:eastAsiaTheme="minorEastAsia"/>
          <w:noProof/>
          <w:lang w:val="ru-RU" w:eastAsia="en-US"/>
        </w:rPr>
        <w:t>Baa</w:t>
      </w:r>
      <w:r w:rsidR="00600E59" w:rsidRPr="001039FD">
        <w:rPr>
          <w:rFonts w:eastAsiaTheme="minorEastAsia"/>
          <w:noProof/>
          <w:lang w:eastAsia="en-US"/>
        </w:rPr>
        <w:t>2</w:t>
      </w:r>
      <w:r w:rsidR="000879EB" w:rsidRPr="001039FD">
        <w:t>”</w:t>
      </w:r>
      <w:r w:rsidR="00600E59" w:rsidRPr="001039FD">
        <w:rPr>
          <w:rFonts w:eastAsiaTheme="minorEastAsia"/>
          <w:noProof/>
          <w:lang w:eastAsia="en-US"/>
        </w:rPr>
        <w:t xml:space="preserve"> за класифікацією рейтингового агентства </w:t>
      </w:r>
      <w:r w:rsidR="000879EB" w:rsidRPr="001039FD">
        <w:t>“</w:t>
      </w:r>
      <w:r w:rsidR="00600E59" w:rsidRPr="001039FD">
        <w:rPr>
          <w:rFonts w:eastAsiaTheme="minorEastAsia"/>
          <w:noProof/>
          <w:lang w:val="ru-RU" w:eastAsia="en-US"/>
        </w:rPr>
        <w:t>Moody</w:t>
      </w:r>
      <w:r w:rsidR="00600E59" w:rsidRPr="001039FD">
        <w:rPr>
          <w:rFonts w:eastAsiaTheme="minorEastAsia"/>
          <w:noProof/>
          <w:lang w:eastAsia="en-US"/>
        </w:rPr>
        <w:t>'</w:t>
      </w:r>
      <w:r w:rsidR="00600E59" w:rsidRPr="001039FD">
        <w:rPr>
          <w:rFonts w:eastAsiaTheme="minorEastAsia"/>
          <w:noProof/>
          <w:lang w:val="ru-RU" w:eastAsia="en-US"/>
        </w:rPr>
        <w:t>s</w:t>
      </w:r>
      <w:r w:rsidR="00600E59" w:rsidRPr="001039FD">
        <w:rPr>
          <w:rFonts w:eastAsiaTheme="minorEastAsia"/>
          <w:noProof/>
          <w:lang w:eastAsia="en-US"/>
        </w:rPr>
        <w:t xml:space="preserve"> </w:t>
      </w:r>
      <w:r w:rsidR="00600E59" w:rsidRPr="001039FD">
        <w:rPr>
          <w:rFonts w:eastAsiaTheme="minorEastAsia"/>
          <w:noProof/>
          <w:lang w:val="ru-RU" w:eastAsia="en-US"/>
        </w:rPr>
        <w:t>Investors</w:t>
      </w:r>
      <w:r w:rsidR="00600E59" w:rsidRPr="001039FD">
        <w:rPr>
          <w:rFonts w:eastAsiaTheme="minorEastAsia"/>
          <w:noProof/>
          <w:lang w:eastAsia="en-US"/>
        </w:rPr>
        <w:t xml:space="preserve"> </w:t>
      </w:r>
      <w:r w:rsidR="00600E59" w:rsidRPr="001039FD">
        <w:rPr>
          <w:rFonts w:eastAsiaTheme="minorEastAsia"/>
          <w:noProof/>
          <w:lang w:val="ru-RU" w:eastAsia="en-US"/>
        </w:rPr>
        <w:t>Service</w:t>
      </w:r>
      <w:r w:rsidR="000879EB" w:rsidRPr="001039FD">
        <w:t>”,</w:t>
      </w:r>
      <w:r w:rsidR="00600E59" w:rsidRPr="001039FD">
        <w:rPr>
          <w:rFonts w:eastAsiaTheme="minorEastAsia"/>
          <w:noProof/>
          <w:lang w:eastAsia="en-US"/>
        </w:rPr>
        <w:t xml:space="preserve"> 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>крім банків, держава (юрисдикція) реєстраці</w:t>
      </w:r>
      <w:r w:rsidR="00304607">
        <w:rPr>
          <w:rFonts w:eastAsiaTheme="minorEastAsia"/>
          <w:noProof/>
          <w:color w:val="000000" w:themeColor="text1"/>
          <w:lang w:eastAsia="en-US"/>
        </w:rPr>
        <w:t>я</w:t>
      </w:r>
      <w:r w:rsidR="00600E59" w:rsidRPr="009B48A9">
        <w:rPr>
          <w:rFonts w:eastAsiaTheme="minorEastAsia"/>
          <w:noProof/>
          <w:color w:val="000000" w:themeColor="text1"/>
          <w:lang w:eastAsia="en-US"/>
        </w:rPr>
        <w:t xml:space="preserve">/місцезнаходження яких віднесена Кабінетом Міністрів України до переліку офшорних зон та/або визнана Верховною </w:t>
      </w:r>
      <w:r w:rsidR="00600E59" w:rsidRPr="00600E59">
        <w:rPr>
          <w:rFonts w:eastAsiaTheme="minorEastAsia"/>
          <w:noProof/>
          <w:color w:val="000000" w:themeColor="text1"/>
          <w:lang w:val="ru-RU" w:eastAsia="en-US"/>
        </w:rPr>
        <w:t>Радою України державою-агресором/державою-окупантом, та/або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  <w:r w:rsidR="0009229E" w:rsidRPr="0009229E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54CC17A4" w14:textId="77777777" w:rsidR="002D7A2C" w:rsidRDefault="002D7A2C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2.</w:t>
      </w:r>
      <w:r w:rsidRPr="002D7A2C">
        <w:t xml:space="preserve"> </w:t>
      </w:r>
      <w:r w:rsidR="00FB3CC5">
        <w:rPr>
          <w:rFonts w:eastAsiaTheme="minorEastAsia"/>
          <w:noProof/>
          <w:color w:val="000000" w:themeColor="text1"/>
          <w:lang w:eastAsia="en-US"/>
        </w:rPr>
        <w:t>Клірингові установи та Центральний депозитарій цінних паперів для</w:t>
      </w:r>
      <w:r w:rsidR="00FB3CC5" w:rsidRPr="009B48A9">
        <w:t xml:space="preserve"> 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>здійснення розрахунків у внутрішн</w:t>
      </w:r>
      <w:r w:rsidR="00FB3CC5">
        <w:rPr>
          <w:rFonts w:eastAsiaTheme="minorEastAsia"/>
          <w:noProof/>
          <w:color w:val="000000" w:themeColor="text1"/>
          <w:lang w:eastAsia="en-US"/>
        </w:rPr>
        <w:t>ій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систем</w:t>
      </w:r>
      <w:r w:rsidR="00FB3CC5">
        <w:rPr>
          <w:rFonts w:eastAsiaTheme="minorEastAsia"/>
          <w:noProof/>
          <w:color w:val="000000" w:themeColor="text1"/>
          <w:lang w:eastAsia="en-US"/>
        </w:rPr>
        <w:t>і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обліку особи, яка провадить клірингову діяльність</w:t>
      </w:r>
      <w:r w:rsidR="00FB3CC5">
        <w:rPr>
          <w:rFonts w:eastAsiaTheme="minorEastAsia"/>
          <w:noProof/>
          <w:color w:val="000000" w:themeColor="text1"/>
          <w:lang w:eastAsia="en-US"/>
        </w:rPr>
        <w:t>,</w:t>
      </w:r>
      <w:r w:rsidR="00FB3CC5" w:rsidRPr="00554125">
        <w:rPr>
          <w:rFonts w:eastAsiaTheme="minorEastAsia"/>
          <w:noProof/>
          <w:color w:val="000000" w:themeColor="text1"/>
          <w:lang w:eastAsia="en-US"/>
        </w:rPr>
        <w:t xml:space="preserve"> та/або організації проведення розрахунків</w:t>
      </w:r>
      <w:r w:rsidR="00FB3CC5">
        <w:rPr>
          <w:rFonts w:eastAsiaTheme="minorEastAsia"/>
          <w:noProof/>
          <w:color w:val="000000" w:themeColor="text1"/>
          <w:lang w:eastAsia="en-US"/>
        </w:rPr>
        <w:t>, та/або здійснення діяльності центрального контрагента в порядку та у випадках, передбачених законодавством з питань депозитарної та клірингової діяльності</w:t>
      </w:r>
      <w:r w:rsidR="00D85B97">
        <w:rPr>
          <w:rFonts w:eastAsiaTheme="minorEastAsia"/>
          <w:noProof/>
          <w:color w:val="000000" w:themeColor="text1"/>
          <w:lang w:eastAsia="en-US"/>
        </w:rPr>
        <w:t>,</w:t>
      </w:r>
      <w:r w:rsidR="00FB3CC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A6AB7">
        <w:rPr>
          <w:rFonts w:eastAsiaTheme="minorEastAsia"/>
          <w:noProof/>
          <w:color w:val="000000" w:themeColor="text1"/>
          <w:lang w:eastAsia="en-US"/>
        </w:rPr>
        <w:t>використовують</w:t>
      </w:r>
      <w:r w:rsidR="001A6AB7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2D7A2C">
        <w:rPr>
          <w:rFonts w:eastAsiaTheme="minorEastAsia"/>
          <w:noProof/>
          <w:color w:val="000000" w:themeColor="text1"/>
          <w:lang w:val="ru-RU" w:eastAsia="en-US"/>
        </w:rPr>
        <w:t xml:space="preserve">рахунки в іноземній валюті в іноземних банках, які відповідають </w:t>
      </w:r>
      <w:r w:rsidR="00FB2408">
        <w:rPr>
          <w:rFonts w:eastAsiaTheme="minorEastAsia"/>
          <w:noProof/>
          <w:color w:val="000000" w:themeColor="text1"/>
          <w:lang w:val="ru-RU" w:eastAsia="en-US"/>
        </w:rPr>
        <w:t xml:space="preserve">їх </w:t>
      </w:r>
      <w:r w:rsidR="00980595" w:rsidRPr="00980595">
        <w:rPr>
          <w:rFonts w:eastAsiaTheme="minorEastAsia"/>
          <w:noProof/>
          <w:color w:val="000000" w:themeColor="text1"/>
          <w:lang w:val="ru-RU" w:eastAsia="en-US"/>
        </w:rPr>
        <w:t>внутрішнім вимогам щодо оцінки ризиків, а також</w:t>
      </w:r>
      <w:r w:rsidR="0098059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2D7A2C">
        <w:rPr>
          <w:rFonts w:eastAsiaTheme="minorEastAsia"/>
          <w:noProof/>
          <w:color w:val="000000" w:themeColor="text1"/>
          <w:lang w:val="ru-RU" w:eastAsia="en-US"/>
        </w:rPr>
        <w:t>критеріям</w:t>
      </w:r>
      <w:r>
        <w:rPr>
          <w:rFonts w:eastAsiaTheme="minorEastAsia"/>
          <w:noProof/>
          <w:color w:val="000000" w:themeColor="text1"/>
          <w:lang w:val="ru-RU" w:eastAsia="en-US"/>
        </w:rPr>
        <w:t>,</w:t>
      </w:r>
      <w:r w:rsidRPr="002D7A2C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D85B97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D85B97" w:rsidRPr="002D7A2C">
        <w:rPr>
          <w:rFonts w:eastAsiaTheme="minorEastAsia"/>
          <w:noProof/>
          <w:color w:val="000000" w:themeColor="text1"/>
          <w:lang w:val="ru-RU" w:eastAsia="en-US"/>
        </w:rPr>
        <w:t xml:space="preserve">становленим </w:t>
      </w:r>
      <w:r w:rsidR="00D85B97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D85B97" w:rsidRPr="002D7A2C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2D7A2C">
        <w:rPr>
          <w:rFonts w:eastAsiaTheme="minorEastAsia"/>
          <w:noProof/>
          <w:color w:val="000000" w:themeColor="text1"/>
          <w:lang w:val="ru-RU" w:eastAsia="en-US"/>
        </w:rPr>
        <w:t>підпункті 2 пункту 1</w:t>
      </w:r>
      <w:r w:rsidR="00B33406" w:rsidRPr="00B33406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B33406">
        <w:rPr>
          <w:rFonts w:eastAsiaTheme="minorEastAsia"/>
          <w:noProof/>
          <w:color w:val="000000" w:themeColor="text1"/>
          <w:lang w:val="ru-RU" w:eastAsia="en-US"/>
        </w:rPr>
        <w:t xml:space="preserve">цієї </w:t>
      </w:r>
      <w:r w:rsidR="00D85B97">
        <w:rPr>
          <w:rFonts w:eastAsiaTheme="minorEastAsia"/>
          <w:noProof/>
          <w:color w:val="000000" w:themeColor="text1"/>
          <w:lang w:val="ru-RU" w:eastAsia="en-US"/>
        </w:rPr>
        <w:t>п</w:t>
      </w:r>
      <w:r w:rsidR="00B33406">
        <w:rPr>
          <w:rFonts w:eastAsiaTheme="minorEastAsia"/>
          <w:noProof/>
          <w:color w:val="000000" w:themeColor="text1"/>
          <w:lang w:val="ru-RU" w:eastAsia="en-US"/>
        </w:rPr>
        <w:t>останови</w:t>
      </w:r>
      <w:r w:rsidRPr="002D7A2C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4B3D814" w14:textId="24EBE317" w:rsidR="00296342" w:rsidRDefault="00172864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3.</w:t>
      </w:r>
      <w:r w:rsidRPr="00172864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A45412" w:rsidRPr="00A45412">
        <w:rPr>
          <w:rFonts w:eastAsiaTheme="minorEastAsia"/>
          <w:noProof/>
          <w:color w:val="000000" w:themeColor="text1"/>
          <w:lang w:val="ru-RU" w:eastAsia="en-US"/>
        </w:rPr>
        <w:t>Центральний депозитарій цінних паперів та клірингові установи</w:t>
      </w:r>
      <w:r w:rsidR="00296342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72754783" w14:textId="2AB139CC" w:rsidR="00172864" w:rsidRPr="00021D28" w:rsidRDefault="00296342" w:rsidP="00296342">
      <w:pPr>
        <w:spacing w:before="240" w:after="240"/>
        <w:ind w:firstLine="567"/>
        <w:rPr>
          <w:rFonts w:eastAsiaTheme="minorEastAsia"/>
          <w:strike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1) </w:t>
      </w:r>
      <w:r w:rsidR="00A45412">
        <w:rPr>
          <w:rFonts w:eastAsiaTheme="minorEastAsia"/>
          <w:noProof/>
          <w:color w:val="000000" w:themeColor="text1"/>
          <w:lang w:val="ru-RU" w:eastAsia="en-US"/>
        </w:rPr>
        <w:t>я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>кщо банк переста</w:t>
      </w:r>
      <w:r w:rsidR="00172864">
        <w:rPr>
          <w:rFonts w:eastAsiaTheme="minorEastAsia"/>
          <w:noProof/>
          <w:color w:val="000000" w:themeColor="text1"/>
          <w:lang w:val="ru-RU" w:eastAsia="en-US"/>
        </w:rPr>
        <w:t>є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 xml:space="preserve"> відповідати </w:t>
      </w:r>
      <w:r w:rsidR="00172864" w:rsidRPr="00172864">
        <w:rPr>
          <w:rFonts w:eastAsiaTheme="minorEastAsia"/>
          <w:noProof/>
          <w:color w:val="000000" w:themeColor="text1"/>
          <w:lang w:val="ru-RU" w:eastAsia="en-US"/>
        </w:rPr>
        <w:t>критеріям</w:t>
      </w:r>
      <w:r w:rsidR="00172864">
        <w:rPr>
          <w:rFonts w:eastAsiaTheme="minorEastAsia"/>
          <w:noProof/>
          <w:color w:val="000000" w:themeColor="text1"/>
          <w:lang w:val="ru-RU" w:eastAsia="en-US"/>
        </w:rPr>
        <w:t xml:space="preserve">, </w:t>
      </w:r>
      <w:r w:rsidR="00304607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>становленим</w:t>
      </w:r>
      <w:r w:rsidR="00172864">
        <w:rPr>
          <w:rFonts w:eastAsiaTheme="minorEastAsia"/>
          <w:noProof/>
          <w:color w:val="000000" w:themeColor="text1"/>
          <w:lang w:val="ru-RU" w:eastAsia="en-US"/>
        </w:rPr>
        <w:t xml:space="preserve"> у пункт</w:t>
      </w:r>
      <w:r w:rsidR="00473D6F">
        <w:rPr>
          <w:rFonts w:eastAsiaTheme="minorEastAsia"/>
          <w:noProof/>
          <w:color w:val="000000" w:themeColor="text1"/>
          <w:lang w:val="ru-RU" w:eastAsia="en-US"/>
        </w:rPr>
        <w:t>і</w:t>
      </w:r>
      <w:r w:rsidR="00172864">
        <w:rPr>
          <w:rFonts w:eastAsiaTheme="minorEastAsia"/>
          <w:noProof/>
          <w:color w:val="000000" w:themeColor="text1"/>
          <w:lang w:val="ru-RU" w:eastAsia="en-US"/>
        </w:rPr>
        <w:t xml:space="preserve"> 1 цієї постанови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 xml:space="preserve">, </w:t>
      </w:r>
      <w:r>
        <w:rPr>
          <w:rFonts w:eastAsiaTheme="minorEastAsia"/>
          <w:noProof/>
          <w:color w:val="000000" w:themeColor="text1"/>
          <w:lang w:eastAsia="en-US"/>
        </w:rPr>
        <w:t>повинні</w:t>
      </w:r>
      <w:r w:rsidRPr="001A6AB7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>припин</w:t>
      </w:r>
      <w:r w:rsidR="00A45412">
        <w:rPr>
          <w:rFonts w:eastAsiaTheme="minorEastAsia"/>
          <w:noProof/>
          <w:color w:val="000000" w:themeColor="text1"/>
          <w:lang w:val="ru-RU" w:eastAsia="en-US"/>
        </w:rPr>
        <w:t>ити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A45412" w:rsidRPr="001A6AB7">
        <w:rPr>
          <w:rFonts w:eastAsiaTheme="minorEastAsia"/>
          <w:noProof/>
          <w:color w:val="000000" w:themeColor="text1"/>
          <w:lang w:val="ru-RU" w:eastAsia="en-US"/>
        </w:rPr>
        <w:t xml:space="preserve">використання рахунку в такому банку </w:t>
      </w:r>
      <w:r w:rsidR="00172864" w:rsidRPr="001A6AB7">
        <w:rPr>
          <w:rFonts w:eastAsiaTheme="minorEastAsia"/>
          <w:noProof/>
          <w:color w:val="000000" w:themeColor="text1"/>
          <w:lang w:val="ru-RU" w:eastAsia="en-US"/>
        </w:rPr>
        <w:t>протягом шести місяців</w:t>
      </w:r>
      <w:r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18455B09" w14:textId="542CF6DF" w:rsidR="002D7A2C" w:rsidRPr="00DE2ADB" w:rsidRDefault="00296342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2) </w:t>
      </w:r>
      <w:r w:rsidR="002D7A2C" w:rsidRPr="002D7A2C">
        <w:rPr>
          <w:rFonts w:eastAsiaTheme="minorEastAsia"/>
          <w:noProof/>
          <w:color w:val="000000" w:themeColor="text1"/>
          <w:lang w:val="ru-RU" w:eastAsia="en-US"/>
        </w:rPr>
        <w:t xml:space="preserve">мають право </w:t>
      </w:r>
      <w:r w:rsidR="001A6AB7">
        <w:rPr>
          <w:rFonts w:eastAsiaTheme="minorEastAsia"/>
          <w:noProof/>
          <w:color w:val="000000" w:themeColor="text1"/>
          <w:lang w:val="ru-RU" w:eastAsia="en-US"/>
        </w:rPr>
        <w:t>використовувати</w:t>
      </w:r>
      <w:r w:rsidR="001A6AB7" w:rsidRPr="002D7A2C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2D7A2C" w:rsidRPr="002D7A2C">
        <w:rPr>
          <w:rFonts w:eastAsiaTheme="minorEastAsia"/>
          <w:noProof/>
          <w:color w:val="000000" w:themeColor="text1"/>
          <w:lang w:val="ru-RU" w:eastAsia="en-US"/>
        </w:rPr>
        <w:t>рахунки в різних банках</w:t>
      </w:r>
      <w:r w:rsidR="00D84C3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7A3AEE">
        <w:rPr>
          <w:rFonts w:eastAsiaTheme="minorEastAsia"/>
          <w:noProof/>
          <w:color w:val="000000" w:themeColor="text1"/>
          <w:lang w:val="ru-RU" w:eastAsia="en-US"/>
        </w:rPr>
        <w:t>(</w:t>
      </w:r>
      <w:r w:rsidR="00D85B97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8F3CA5">
        <w:rPr>
          <w:rFonts w:eastAsiaTheme="minorEastAsia"/>
          <w:noProof/>
          <w:color w:val="000000" w:themeColor="text1"/>
          <w:lang w:val="ru-RU" w:eastAsia="en-US"/>
        </w:rPr>
        <w:t>ключаючи</w:t>
      </w:r>
      <w:r w:rsidR="007A3AEE">
        <w:rPr>
          <w:rFonts w:eastAsiaTheme="minorEastAsia"/>
          <w:noProof/>
          <w:color w:val="000000" w:themeColor="text1"/>
          <w:lang w:val="ru-RU" w:eastAsia="en-US"/>
        </w:rPr>
        <w:t xml:space="preserve"> іноземн</w:t>
      </w:r>
      <w:r w:rsidR="008F3CA5">
        <w:rPr>
          <w:rFonts w:eastAsiaTheme="minorEastAsia"/>
          <w:noProof/>
          <w:color w:val="000000" w:themeColor="text1"/>
          <w:lang w:val="ru-RU" w:eastAsia="en-US"/>
        </w:rPr>
        <w:t>і</w:t>
      </w:r>
      <w:r w:rsidR="007A3AEE">
        <w:rPr>
          <w:rFonts w:eastAsiaTheme="minorEastAsia"/>
          <w:noProof/>
          <w:color w:val="000000" w:themeColor="text1"/>
          <w:lang w:val="ru-RU" w:eastAsia="en-US"/>
        </w:rPr>
        <w:t xml:space="preserve"> банк</w:t>
      </w:r>
      <w:r w:rsidR="008F3CA5">
        <w:rPr>
          <w:rFonts w:eastAsiaTheme="minorEastAsia"/>
          <w:noProof/>
          <w:color w:val="000000" w:themeColor="text1"/>
          <w:lang w:val="ru-RU" w:eastAsia="en-US"/>
        </w:rPr>
        <w:t>и</w:t>
      </w:r>
      <w:r w:rsidR="007A3AEE">
        <w:rPr>
          <w:rFonts w:eastAsiaTheme="minorEastAsia"/>
          <w:noProof/>
          <w:color w:val="000000" w:themeColor="text1"/>
          <w:lang w:val="ru-RU" w:eastAsia="en-US"/>
        </w:rPr>
        <w:t xml:space="preserve">) </w:t>
      </w:r>
      <w:r w:rsidR="002D7A2C">
        <w:rPr>
          <w:rFonts w:eastAsiaTheme="minorEastAsia"/>
          <w:noProof/>
          <w:color w:val="000000" w:themeColor="text1"/>
          <w:lang w:val="ru-RU" w:eastAsia="en-US"/>
        </w:rPr>
        <w:t>з</w:t>
      </w:r>
      <w:r w:rsidR="002D7A2C" w:rsidRPr="002D7A2C">
        <w:rPr>
          <w:rFonts w:eastAsiaTheme="minorEastAsia"/>
          <w:noProof/>
          <w:color w:val="000000" w:themeColor="text1"/>
          <w:lang w:val="ru-RU" w:eastAsia="en-US"/>
        </w:rPr>
        <w:t xml:space="preserve"> метою зниження ризиків.</w:t>
      </w:r>
    </w:p>
    <w:p w14:paraId="37C23838" w14:textId="5C07B7C1" w:rsidR="00AD7DF9" w:rsidRDefault="00296342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B5672" w:rsidRPr="001C49D7"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CB5672" w:rsidRPr="001C49D7">
        <w:t>Гелетія</w:t>
      </w:r>
      <w:proofErr w:type="spellEnd"/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0F38EEA" w14:textId="2F2152C9" w:rsidR="00AD7DF9" w:rsidRDefault="00296342" w:rsidP="0029634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B5672" w:rsidRPr="00CB5672">
        <w:t xml:space="preserve">Постанова набирає </w:t>
      </w:r>
      <w:r w:rsidR="00CB5672" w:rsidRPr="001039FD">
        <w:t>чинності з дня, наступного за днем її офіційного опублікування</w:t>
      </w:r>
      <w:r w:rsidR="00CB5672" w:rsidRPr="001039FD">
        <w:rPr>
          <w:rFonts w:eastAsiaTheme="minorEastAsia"/>
          <w:noProof/>
          <w:lang w:eastAsia="en-US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6D37AB9" w14:textId="77777777" w:rsidTr="00BD6D34">
        <w:tc>
          <w:tcPr>
            <w:tcW w:w="5495" w:type="dxa"/>
            <w:vAlign w:val="bottom"/>
          </w:tcPr>
          <w:p w14:paraId="5B0D3946" w14:textId="77777777" w:rsidR="00296342" w:rsidRDefault="00296342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255B2898" w14:textId="073E99EF" w:rsidR="00DD60CC" w:rsidRPr="00A66CBD" w:rsidRDefault="00A66CBD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В.</w:t>
            </w:r>
            <w:r>
              <w:rPr>
                <w:lang w:val="ru-RU"/>
              </w:rPr>
              <w:t> о. </w:t>
            </w:r>
            <w:r w:rsidR="00296342">
              <w:t>Г</w:t>
            </w:r>
            <w:r w:rsidR="00CB5672" w:rsidRPr="001C49D7">
              <w:t>олов</w:t>
            </w:r>
            <w:r>
              <w:t>и</w:t>
            </w:r>
          </w:p>
        </w:tc>
        <w:tc>
          <w:tcPr>
            <w:tcW w:w="4252" w:type="dxa"/>
            <w:vAlign w:val="bottom"/>
          </w:tcPr>
          <w:p w14:paraId="353113DB" w14:textId="1F720595" w:rsidR="00DD60CC" w:rsidRPr="00CD0CD4" w:rsidRDefault="00A66CBD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Юрій ГЕЛЕТІЙ</w:t>
            </w:r>
          </w:p>
        </w:tc>
      </w:tr>
    </w:tbl>
    <w:p w14:paraId="128DC785" w14:textId="77777777" w:rsidR="00296342" w:rsidRDefault="00296342" w:rsidP="00FA508E">
      <w:pPr>
        <w:jc w:val="left"/>
      </w:pPr>
    </w:p>
    <w:p w14:paraId="07D6CF01" w14:textId="2367226F" w:rsidR="00CB5672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B5672">
        <w:t>40</w:t>
      </w:r>
    </w:p>
    <w:sectPr w:rsidR="00CB5672" w:rsidSect="00CD76D1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53B3" w14:textId="77777777" w:rsidR="00BF332B" w:rsidRDefault="00BF332B" w:rsidP="00E53CCD">
      <w:r>
        <w:separator/>
      </w:r>
    </w:p>
  </w:endnote>
  <w:endnote w:type="continuationSeparator" w:id="0">
    <w:p w14:paraId="7E5A9D5F" w14:textId="77777777" w:rsidR="00BF332B" w:rsidRDefault="00BF332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776E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C869F2F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33BD" w14:textId="77777777" w:rsidR="00BF332B" w:rsidRDefault="00BF332B" w:rsidP="00E53CCD">
      <w:r>
        <w:separator/>
      </w:r>
    </w:p>
  </w:footnote>
  <w:footnote w:type="continuationSeparator" w:id="0">
    <w:p w14:paraId="653375FC" w14:textId="77777777" w:rsidR="00BF332B" w:rsidRDefault="00BF332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726C17E4" w14:textId="7777777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304607">
          <w:rPr>
            <w:noProof/>
          </w:rPr>
          <w:t>2</w:t>
        </w:r>
        <w:r>
          <w:fldChar w:fldCharType="end"/>
        </w:r>
      </w:p>
    </w:sdtContent>
  </w:sdt>
  <w:p w14:paraId="37DD846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585C" w14:textId="59942EFF" w:rsidR="00BA75F9" w:rsidRPr="00BA75F9" w:rsidRDefault="00BA75F9" w:rsidP="00BA75F9">
    <w:pPr>
      <w:pStyle w:val="a5"/>
      <w:jc w:val="right"/>
      <w:rPr>
        <w:sz w:val="24"/>
        <w:szCs w:val="24"/>
      </w:rPr>
    </w:pPr>
    <w:r w:rsidRPr="00BA75F9">
      <w:rPr>
        <w:sz w:val="24"/>
        <w:szCs w:val="24"/>
      </w:rPr>
      <w:t xml:space="preserve">Офіційно опубліковано </w:t>
    </w:r>
    <w:r>
      <w:rPr>
        <w:sz w:val="24"/>
        <w:szCs w:val="24"/>
      </w:rPr>
      <w:t>08</w:t>
    </w:r>
    <w:r w:rsidRPr="00BA75F9">
      <w:rPr>
        <w:sz w:val="24"/>
        <w:szCs w:val="24"/>
      </w:rPr>
      <w:t>.</w:t>
    </w:r>
    <w:r>
      <w:rPr>
        <w:sz w:val="24"/>
        <w:szCs w:val="24"/>
      </w:rPr>
      <w:t>12</w:t>
    </w:r>
    <w:r w:rsidRPr="00BA75F9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64FA"/>
    <w:rsid w:val="000069AF"/>
    <w:rsid w:val="00015CF3"/>
    <w:rsid w:val="00015FDE"/>
    <w:rsid w:val="00020057"/>
    <w:rsid w:val="00021D28"/>
    <w:rsid w:val="000271C0"/>
    <w:rsid w:val="00031271"/>
    <w:rsid w:val="0003331E"/>
    <w:rsid w:val="000342A5"/>
    <w:rsid w:val="0003793C"/>
    <w:rsid w:val="00051329"/>
    <w:rsid w:val="000543C6"/>
    <w:rsid w:val="000600A8"/>
    <w:rsid w:val="00061C52"/>
    <w:rsid w:val="00063480"/>
    <w:rsid w:val="000638F2"/>
    <w:rsid w:val="000879EB"/>
    <w:rsid w:val="0009229E"/>
    <w:rsid w:val="000A7FE0"/>
    <w:rsid w:val="000B2990"/>
    <w:rsid w:val="000D14CB"/>
    <w:rsid w:val="000D778F"/>
    <w:rsid w:val="000E0CB3"/>
    <w:rsid w:val="000E5B8C"/>
    <w:rsid w:val="000E7A13"/>
    <w:rsid w:val="001039FD"/>
    <w:rsid w:val="00106229"/>
    <w:rsid w:val="00113112"/>
    <w:rsid w:val="00115ECF"/>
    <w:rsid w:val="001467F7"/>
    <w:rsid w:val="0015617B"/>
    <w:rsid w:val="0016283E"/>
    <w:rsid w:val="001631E2"/>
    <w:rsid w:val="001716B0"/>
    <w:rsid w:val="00172864"/>
    <w:rsid w:val="001740C0"/>
    <w:rsid w:val="00174A32"/>
    <w:rsid w:val="00190E1A"/>
    <w:rsid w:val="001A0EE5"/>
    <w:rsid w:val="001A16FA"/>
    <w:rsid w:val="001A4257"/>
    <w:rsid w:val="001A4CB9"/>
    <w:rsid w:val="001A6795"/>
    <w:rsid w:val="001A6AB7"/>
    <w:rsid w:val="001B3F3C"/>
    <w:rsid w:val="001C206C"/>
    <w:rsid w:val="001D487A"/>
    <w:rsid w:val="0020111F"/>
    <w:rsid w:val="00201F97"/>
    <w:rsid w:val="002045E7"/>
    <w:rsid w:val="002119A6"/>
    <w:rsid w:val="00220C26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96342"/>
    <w:rsid w:val="002A2391"/>
    <w:rsid w:val="002B351E"/>
    <w:rsid w:val="002B3F71"/>
    <w:rsid w:val="002B582B"/>
    <w:rsid w:val="002C1FDB"/>
    <w:rsid w:val="002D1790"/>
    <w:rsid w:val="002D7A2C"/>
    <w:rsid w:val="002F48EF"/>
    <w:rsid w:val="00304607"/>
    <w:rsid w:val="00331332"/>
    <w:rsid w:val="00332701"/>
    <w:rsid w:val="00340D07"/>
    <w:rsid w:val="00344BC4"/>
    <w:rsid w:val="00345982"/>
    <w:rsid w:val="00356E34"/>
    <w:rsid w:val="00357676"/>
    <w:rsid w:val="00382EDE"/>
    <w:rsid w:val="0038385E"/>
    <w:rsid w:val="00384F65"/>
    <w:rsid w:val="0039725C"/>
    <w:rsid w:val="003A16E7"/>
    <w:rsid w:val="003A751F"/>
    <w:rsid w:val="003B6846"/>
    <w:rsid w:val="003C3282"/>
    <w:rsid w:val="003C3985"/>
    <w:rsid w:val="003D6B33"/>
    <w:rsid w:val="003E5149"/>
    <w:rsid w:val="003F0441"/>
    <w:rsid w:val="003F28B5"/>
    <w:rsid w:val="003F7093"/>
    <w:rsid w:val="00401EDB"/>
    <w:rsid w:val="00402482"/>
    <w:rsid w:val="00404C93"/>
    <w:rsid w:val="00407877"/>
    <w:rsid w:val="004130B9"/>
    <w:rsid w:val="00432DAF"/>
    <w:rsid w:val="0043496A"/>
    <w:rsid w:val="00446704"/>
    <w:rsid w:val="00455B45"/>
    <w:rsid w:val="00460BA2"/>
    <w:rsid w:val="004666D6"/>
    <w:rsid w:val="00472A63"/>
    <w:rsid w:val="00473D6F"/>
    <w:rsid w:val="004767F3"/>
    <w:rsid w:val="004811FD"/>
    <w:rsid w:val="004869A9"/>
    <w:rsid w:val="00495AD1"/>
    <w:rsid w:val="004A1CFC"/>
    <w:rsid w:val="004A7F75"/>
    <w:rsid w:val="004B1680"/>
    <w:rsid w:val="004B1FE9"/>
    <w:rsid w:val="004B5574"/>
    <w:rsid w:val="004D2B57"/>
    <w:rsid w:val="004E22E2"/>
    <w:rsid w:val="004F1F1A"/>
    <w:rsid w:val="00501179"/>
    <w:rsid w:val="0050563F"/>
    <w:rsid w:val="00506785"/>
    <w:rsid w:val="0051092A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0E59"/>
    <w:rsid w:val="006151FA"/>
    <w:rsid w:val="0063694E"/>
    <w:rsid w:val="00640612"/>
    <w:rsid w:val="0064227D"/>
    <w:rsid w:val="0065179F"/>
    <w:rsid w:val="00657593"/>
    <w:rsid w:val="00662782"/>
    <w:rsid w:val="00670C95"/>
    <w:rsid w:val="006723C9"/>
    <w:rsid w:val="006925CE"/>
    <w:rsid w:val="00692C8C"/>
    <w:rsid w:val="006942F8"/>
    <w:rsid w:val="006B2748"/>
    <w:rsid w:val="006B40B1"/>
    <w:rsid w:val="006B465F"/>
    <w:rsid w:val="006C06A1"/>
    <w:rsid w:val="006C0F22"/>
    <w:rsid w:val="006C13B1"/>
    <w:rsid w:val="006C4176"/>
    <w:rsid w:val="006C66EF"/>
    <w:rsid w:val="006D0332"/>
    <w:rsid w:val="006D2617"/>
    <w:rsid w:val="00700AA3"/>
    <w:rsid w:val="007142BA"/>
    <w:rsid w:val="00714823"/>
    <w:rsid w:val="007158D6"/>
    <w:rsid w:val="00717197"/>
    <w:rsid w:val="0071789F"/>
    <w:rsid w:val="00723A84"/>
    <w:rsid w:val="00730088"/>
    <w:rsid w:val="00747222"/>
    <w:rsid w:val="00750898"/>
    <w:rsid w:val="00773559"/>
    <w:rsid w:val="007775E2"/>
    <w:rsid w:val="0078127A"/>
    <w:rsid w:val="00783AF2"/>
    <w:rsid w:val="00787E46"/>
    <w:rsid w:val="007A2BCB"/>
    <w:rsid w:val="007A33EC"/>
    <w:rsid w:val="007A3AEE"/>
    <w:rsid w:val="007A6609"/>
    <w:rsid w:val="007B3538"/>
    <w:rsid w:val="007B7B73"/>
    <w:rsid w:val="007C2CED"/>
    <w:rsid w:val="007D4EA6"/>
    <w:rsid w:val="007D5A8E"/>
    <w:rsid w:val="007F4745"/>
    <w:rsid w:val="00802988"/>
    <w:rsid w:val="008415A0"/>
    <w:rsid w:val="00843B1A"/>
    <w:rsid w:val="0085364B"/>
    <w:rsid w:val="00866993"/>
    <w:rsid w:val="00867A5D"/>
    <w:rsid w:val="008741B0"/>
    <w:rsid w:val="00874366"/>
    <w:rsid w:val="008762D8"/>
    <w:rsid w:val="00876763"/>
    <w:rsid w:val="00897035"/>
    <w:rsid w:val="008B1589"/>
    <w:rsid w:val="008B74DD"/>
    <w:rsid w:val="008C72B5"/>
    <w:rsid w:val="008D10FD"/>
    <w:rsid w:val="008D122F"/>
    <w:rsid w:val="008D5F60"/>
    <w:rsid w:val="008D727F"/>
    <w:rsid w:val="008E26B4"/>
    <w:rsid w:val="008F0210"/>
    <w:rsid w:val="008F2600"/>
    <w:rsid w:val="008F3CA5"/>
    <w:rsid w:val="008F5D52"/>
    <w:rsid w:val="00904F17"/>
    <w:rsid w:val="0091113E"/>
    <w:rsid w:val="00922966"/>
    <w:rsid w:val="0092710A"/>
    <w:rsid w:val="00937AE3"/>
    <w:rsid w:val="00937D24"/>
    <w:rsid w:val="00943175"/>
    <w:rsid w:val="00954131"/>
    <w:rsid w:val="00956D26"/>
    <w:rsid w:val="0095741D"/>
    <w:rsid w:val="00967788"/>
    <w:rsid w:val="0097288F"/>
    <w:rsid w:val="00980595"/>
    <w:rsid w:val="0098207E"/>
    <w:rsid w:val="00990AAE"/>
    <w:rsid w:val="009A1270"/>
    <w:rsid w:val="009B48A9"/>
    <w:rsid w:val="009B6120"/>
    <w:rsid w:val="009C2F76"/>
    <w:rsid w:val="009F1D62"/>
    <w:rsid w:val="009F5312"/>
    <w:rsid w:val="00A02AEC"/>
    <w:rsid w:val="00A0594A"/>
    <w:rsid w:val="00A12C47"/>
    <w:rsid w:val="00A23E04"/>
    <w:rsid w:val="00A33C82"/>
    <w:rsid w:val="00A45412"/>
    <w:rsid w:val="00A46C15"/>
    <w:rsid w:val="00A50DC0"/>
    <w:rsid w:val="00A63695"/>
    <w:rsid w:val="00A66CBD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332B2"/>
    <w:rsid w:val="00B33406"/>
    <w:rsid w:val="00B34CCC"/>
    <w:rsid w:val="00B36EC7"/>
    <w:rsid w:val="00B36EDD"/>
    <w:rsid w:val="00B40B77"/>
    <w:rsid w:val="00B61C97"/>
    <w:rsid w:val="00B628C5"/>
    <w:rsid w:val="00B71933"/>
    <w:rsid w:val="00B74020"/>
    <w:rsid w:val="00B8078D"/>
    <w:rsid w:val="00BA75F9"/>
    <w:rsid w:val="00BD12A3"/>
    <w:rsid w:val="00BD12D4"/>
    <w:rsid w:val="00BD6D34"/>
    <w:rsid w:val="00BD7F6E"/>
    <w:rsid w:val="00BF2E60"/>
    <w:rsid w:val="00BF332B"/>
    <w:rsid w:val="00BF47B0"/>
    <w:rsid w:val="00BF5327"/>
    <w:rsid w:val="00BF73F2"/>
    <w:rsid w:val="00C21D33"/>
    <w:rsid w:val="00C259DB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2BC"/>
    <w:rsid w:val="00CB5672"/>
    <w:rsid w:val="00CB5A09"/>
    <w:rsid w:val="00CB69B4"/>
    <w:rsid w:val="00CD0CD4"/>
    <w:rsid w:val="00CD76D1"/>
    <w:rsid w:val="00CE3B9F"/>
    <w:rsid w:val="00CF1FB8"/>
    <w:rsid w:val="00CF2C65"/>
    <w:rsid w:val="00CF33DD"/>
    <w:rsid w:val="00D078B6"/>
    <w:rsid w:val="00D1022C"/>
    <w:rsid w:val="00D27115"/>
    <w:rsid w:val="00D34DCC"/>
    <w:rsid w:val="00D442C8"/>
    <w:rsid w:val="00D47C29"/>
    <w:rsid w:val="00D61D9B"/>
    <w:rsid w:val="00D84C30"/>
    <w:rsid w:val="00D85B97"/>
    <w:rsid w:val="00DA2F09"/>
    <w:rsid w:val="00DB2CA9"/>
    <w:rsid w:val="00DC164D"/>
    <w:rsid w:val="00DC1E60"/>
    <w:rsid w:val="00DD60CC"/>
    <w:rsid w:val="00DD7B23"/>
    <w:rsid w:val="00DE2802"/>
    <w:rsid w:val="00DE2ADB"/>
    <w:rsid w:val="00DF4D12"/>
    <w:rsid w:val="00E03C9D"/>
    <w:rsid w:val="00E10AE2"/>
    <w:rsid w:val="00E10F0A"/>
    <w:rsid w:val="00E21875"/>
    <w:rsid w:val="00E25407"/>
    <w:rsid w:val="00E32599"/>
    <w:rsid w:val="00E33B0E"/>
    <w:rsid w:val="00E3659D"/>
    <w:rsid w:val="00E4239F"/>
    <w:rsid w:val="00E42621"/>
    <w:rsid w:val="00E446A6"/>
    <w:rsid w:val="00E53CB5"/>
    <w:rsid w:val="00E53CCD"/>
    <w:rsid w:val="00E62607"/>
    <w:rsid w:val="00E71855"/>
    <w:rsid w:val="00E719A9"/>
    <w:rsid w:val="00E83A00"/>
    <w:rsid w:val="00E979DF"/>
    <w:rsid w:val="00EA1DE4"/>
    <w:rsid w:val="00EA60EA"/>
    <w:rsid w:val="00EB1981"/>
    <w:rsid w:val="00EB29BF"/>
    <w:rsid w:val="00EC73C9"/>
    <w:rsid w:val="00EC7C7F"/>
    <w:rsid w:val="00EE521C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56E33"/>
    <w:rsid w:val="00F62D67"/>
    <w:rsid w:val="00F63BD9"/>
    <w:rsid w:val="00F6694C"/>
    <w:rsid w:val="00F8145F"/>
    <w:rsid w:val="00F848E1"/>
    <w:rsid w:val="00F9283D"/>
    <w:rsid w:val="00F93C70"/>
    <w:rsid w:val="00F96F18"/>
    <w:rsid w:val="00FA508E"/>
    <w:rsid w:val="00FA5320"/>
    <w:rsid w:val="00FA7846"/>
    <w:rsid w:val="00FB2408"/>
    <w:rsid w:val="00FB3CC5"/>
    <w:rsid w:val="00FC26E5"/>
    <w:rsid w:val="00FC34B0"/>
    <w:rsid w:val="00FD0259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74201"/>
  <w15:docId w15:val="{EF36DFC8-9C84-466C-978F-44B1ABD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basedOn w:val="a0"/>
    <w:rsid w:val="00432DAF"/>
  </w:style>
  <w:style w:type="paragraph" w:customStyle="1" w:styleId="rvps2">
    <w:name w:val="rvps2"/>
    <w:basedOn w:val="a"/>
    <w:rsid w:val="00432DA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432DAF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4B16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B1680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4B1680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1680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4B1680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4869A9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5DEF9-BF32-4953-A6D0-A43DBEF2E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Юлія Лисенко</cp:lastModifiedBy>
  <cp:revision>3</cp:revision>
  <cp:lastPrinted>2015-04-06T07:59:00Z</cp:lastPrinted>
  <dcterms:created xsi:type="dcterms:W3CDTF">2021-12-07T07:50:00Z</dcterms:created>
  <dcterms:modified xsi:type="dcterms:W3CDTF">2021-12-07T08:03:00Z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