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46" w:rsidRPr="002C1729" w:rsidRDefault="00FA7846" w:rsidP="00FA7846">
      <w:pPr>
        <w:rPr>
          <w:sz w:val="2"/>
          <w:szCs w:val="2"/>
        </w:rPr>
      </w:pPr>
    </w:p>
    <w:p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210"/>
        <w:gridCol w:w="3240"/>
      </w:tblGrid>
      <w:tr w:rsidR="00501F58" w:rsidTr="00E054A9">
        <w:trPr>
          <w:trHeight w:val="851"/>
        </w:trPr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 w:val="restart"/>
          </w:tcPr>
          <w:p w:rsidR="00657593" w:rsidRDefault="009E3535" w:rsidP="00E054A9">
            <w:pPr>
              <w:jc w:val="center"/>
            </w:pPr>
            <w:r>
              <w:rPr>
                <w:noProof/>
              </w:rPr>
              <w:object w:dxaOrig="689" w:dyaOrig="950" w14:anchorId="450F3F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3pt;height:46.8pt;mso-width-percent:0;mso-height-percent:0;mso-width-percent:0;mso-height-percent:0" o:ole="">
                  <v:imagedata r:id="rId12" o:title=""/>
                </v:shape>
                <o:OLEObject Type="Embed" ProgID="CorelDraw.Graphic.16" ShapeID="_x0000_i1025" DrawAspect="Content" ObjectID="_1774159839" r:id="rId13"/>
              </w:object>
            </w:r>
          </w:p>
        </w:tc>
        <w:tc>
          <w:tcPr>
            <w:tcW w:w="3285" w:type="dxa"/>
          </w:tcPr>
          <w:p w:rsidR="00657593" w:rsidRPr="001C56BE" w:rsidRDefault="00207166" w:rsidP="00E054A9">
            <w:bookmarkStart w:id="0" w:name="_GoBack"/>
            <w:r>
              <w:t>Офіційно опубліковано 09.04.2024</w:t>
            </w:r>
            <w:bookmarkEnd w:id="0"/>
          </w:p>
        </w:tc>
      </w:tr>
      <w:tr w:rsidR="00501F58" w:rsidTr="00E054A9"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/>
          </w:tcPr>
          <w:p w:rsidR="00657593" w:rsidRDefault="00657593" w:rsidP="00E054A9"/>
        </w:tc>
        <w:tc>
          <w:tcPr>
            <w:tcW w:w="3285" w:type="dxa"/>
          </w:tcPr>
          <w:p w:rsidR="00657593" w:rsidRDefault="00657593" w:rsidP="00E054A9"/>
        </w:tc>
      </w:tr>
      <w:tr w:rsidR="00F22B0F" w:rsidTr="00E054A9">
        <w:tc>
          <w:tcPr>
            <w:tcW w:w="9854" w:type="dxa"/>
            <w:gridSpan w:val="3"/>
          </w:tcPr>
          <w:p w:rsidR="00657593" w:rsidRPr="00E10F0A" w:rsidRDefault="00937B48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657593" w:rsidRDefault="00937B48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8"/>
        <w:gridCol w:w="1670"/>
        <w:gridCol w:w="1895"/>
      </w:tblGrid>
      <w:tr w:rsidR="00F22B0F" w:rsidTr="00AB062E">
        <w:tc>
          <w:tcPr>
            <w:tcW w:w="3510" w:type="dxa"/>
            <w:vAlign w:val="bottom"/>
          </w:tcPr>
          <w:p w:rsidR="00657593" w:rsidRPr="00566BA2" w:rsidRDefault="00207166" w:rsidP="00E054A9">
            <w:r>
              <w:t>08 квітня 2024 року</w:t>
            </w:r>
          </w:p>
        </w:tc>
        <w:tc>
          <w:tcPr>
            <w:tcW w:w="2694" w:type="dxa"/>
          </w:tcPr>
          <w:p w:rsidR="00657593" w:rsidRDefault="00937B48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:rsidR="00657593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:rsidR="00657593" w:rsidRDefault="00207166" w:rsidP="00290169">
            <w:pPr>
              <w:jc w:val="left"/>
            </w:pPr>
            <w:r>
              <w:t>№ 40</w:t>
            </w:r>
          </w:p>
        </w:tc>
      </w:tr>
    </w:tbl>
    <w:p w:rsidR="00657593" w:rsidRPr="00CD0CD4" w:rsidRDefault="00657593" w:rsidP="00657593">
      <w:pPr>
        <w:rPr>
          <w:sz w:val="2"/>
          <w:szCs w:val="2"/>
        </w:rPr>
      </w:pPr>
    </w:p>
    <w:p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F22B0F" w:rsidTr="005212C5">
        <w:trPr>
          <w:jc w:val="center"/>
        </w:trPr>
        <w:tc>
          <w:tcPr>
            <w:tcW w:w="5000" w:type="pct"/>
          </w:tcPr>
          <w:p w:rsidR="00B668BD" w:rsidRPr="006B5B52" w:rsidRDefault="00E916C7" w:rsidP="00B668BD">
            <w:pPr>
              <w:tabs>
                <w:tab w:val="left" w:pos="840"/>
                <w:tab w:val="center" w:pos="3293"/>
              </w:tabs>
              <w:spacing w:before="240"/>
              <w:jc w:val="center"/>
              <w:rPr>
                <w:bCs/>
              </w:rPr>
            </w:pPr>
            <w:r w:rsidRPr="006B5B52">
              <w:rPr>
                <w:bCs/>
              </w:rPr>
              <w:t>Про</w:t>
            </w:r>
            <w:r w:rsidR="00B668BD" w:rsidRPr="006B5B52">
              <w:rPr>
                <w:bCs/>
              </w:rPr>
              <w:t xml:space="preserve"> внесення змін</w:t>
            </w:r>
            <w:r w:rsidR="00E56BDA">
              <w:rPr>
                <w:bCs/>
              </w:rPr>
              <w:t>и</w:t>
            </w:r>
            <w:r w:rsidR="00B668BD" w:rsidRPr="006B5B52">
              <w:rPr>
                <w:bCs/>
              </w:rPr>
              <w:t xml:space="preserve"> до постанови </w:t>
            </w:r>
          </w:p>
          <w:p w:rsidR="00B668BD" w:rsidRPr="006B5B52" w:rsidRDefault="00B668BD" w:rsidP="00B668BD">
            <w:pPr>
              <w:tabs>
                <w:tab w:val="left" w:pos="840"/>
                <w:tab w:val="center" w:pos="3293"/>
              </w:tabs>
              <w:jc w:val="center"/>
              <w:rPr>
                <w:bCs/>
              </w:rPr>
            </w:pPr>
            <w:r w:rsidRPr="006B5B52">
              <w:rPr>
                <w:bCs/>
              </w:rPr>
              <w:t>Правління Національного банку України</w:t>
            </w:r>
          </w:p>
          <w:p w:rsidR="002B3F71" w:rsidRPr="00CD0CD4" w:rsidRDefault="00B668BD" w:rsidP="00C97933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6B5B52">
              <w:rPr>
                <w:bCs/>
              </w:rPr>
              <w:t>від 24 лютого 2022 року № 22</w:t>
            </w:r>
            <w:r>
              <w:rPr>
                <w:bCs/>
              </w:rPr>
              <w:t xml:space="preserve"> </w:t>
            </w:r>
          </w:p>
        </w:tc>
      </w:tr>
    </w:tbl>
    <w:p w:rsidR="00E53CCD" w:rsidRPr="006B5B52" w:rsidRDefault="00D829C7" w:rsidP="00C97933">
      <w:pPr>
        <w:spacing w:before="240" w:after="240"/>
        <w:ind w:firstLine="567"/>
        <w:rPr>
          <w:b/>
        </w:rPr>
      </w:pPr>
      <w:r w:rsidRPr="006B5B52">
        <w:rPr>
          <w:lang w:eastAsia="ru-RU"/>
        </w:rPr>
        <w:t xml:space="preserve">Відповідно до статей </w:t>
      </w:r>
      <w:r w:rsidR="006959F7">
        <w:rPr>
          <w:lang w:val="ru-RU" w:eastAsia="ru-RU"/>
        </w:rPr>
        <w:t xml:space="preserve">7, </w:t>
      </w:r>
      <w:r w:rsidRPr="006B5B52">
        <w:rPr>
          <w:lang w:eastAsia="ru-RU"/>
        </w:rPr>
        <w:t xml:space="preserve">15, 56 Закону України “Про Національний банк України”, </w:t>
      </w:r>
      <w:r w:rsidRPr="006B5B52">
        <w:t>Указу Президента України від 24 лютого 2022 року №</w:t>
      </w:r>
      <w:r w:rsidRPr="006B5B52">
        <w:rPr>
          <w:lang w:val="en-US"/>
        </w:rPr>
        <w:t> </w:t>
      </w:r>
      <w:r w:rsidRPr="006B5B52">
        <w:t>64/2022 “Про введення воєнного стану в Україні”, затвердженого Законом України від 24</w:t>
      </w:r>
      <w:r w:rsidRPr="006B5B52">
        <w:rPr>
          <w:lang w:val="ru-RU"/>
        </w:rPr>
        <w:t xml:space="preserve"> лютого </w:t>
      </w:r>
      <w:r w:rsidRPr="006B5B52">
        <w:t>2022 року №</w:t>
      </w:r>
      <w:r w:rsidRPr="006B5B52">
        <w:rPr>
          <w:lang w:val="en-US"/>
        </w:rPr>
        <w:t> </w:t>
      </w:r>
      <w:r w:rsidRPr="006B5B52">
        <w:t xml:space="preserve">2102-ІХ «Про затвердження Указу Президента України “Про введення воєнного стану в Україні”», </w:t>
      </w:r>
      <w:r w:rsidRPr="006B5B52">
        <w:rPr>
          <w:lang w:eastAsia="ru-RU"/>
        </w:rPr>
        <w:t xml:space="preserve">Положення про регулювання Національним банком України грошово-кредитного та валютного ринків в умовах особливого періоду, затвердженого постановою Правління Національного банку України від 06 листопада 2019 року № 129/ДСК, </w:t>
      </w:r>
      <w:r w:rsidR="00EB1533">
        <w:rPr>
          <w:lang w:eastAsia="ru-RU"/>
        </w:rPr>
        <w:t xml:space="preserve">з метою </w:t>
      </w:r>
      <w:r w:rsidR="00BA5799">
        <w:rPr>
          <w:lang w:eastAsia="ru-RU"/>
        </w:rPr>
        <w:t>вдосконалення нормативно-правового акт</w:t>
      </w:r>
      <w:r w:rsidR="00C0692F">
        <w:rPr>
          <w:lang w:eastAsia="ru-RU"/>
        </w:rPr>
        <w:t>а</w:t>
      </w:r>
      <w:r w:rsidR="00BA5799">
        <w:rPr>
          <w:lang w:eastAsia="ru-RU"/>
        </w:rPr>
        <w:t xml:space="preserve"> Національного банку України </w:t>
      </w:r>
      <w:r w:rsidR="008F1633">
        <w:rPr>
          <w:lang w:eastAsia="ru-RU"/>
        </w:rPr>
        <w:t xml:space="preserve">про </w:t>
      </w:r>
      <w:r w:rsidR="00BA5799">
        <w:rPr>
          <w:lang w:eastAsia="ru-RU"/>
        </w:rPr>
        <w:t xml:space="preserve"> особливост</w:t>
      </w:r>
      <w:r w:rsidR="008F1633">
        <w:rPr>
          <w:lang w:eastAsia="ru-RU"/>
        </w:rPr>
        <w:t xml:space="preserve">і </w:t>
      </w:r>
      <w:r w:rsidR="00B67F74">
        <w:rPr>
          <w:lang w:eastAsia="ru-RU"/>
        </w:rPr>
        <w:t>регулювання</w:t>
      </w:r>
      <w:r w:rsidR="00BA5799">
        <w:rPr>
          <w:lang w:eastAsia="ru-RU"/>
        </w:rPr>
        <w:t xml:space="preserve"> ліквідності банків у</w:t>
      </w:r>
      <w:r w:rsidR="00420695">
        <w:rPr>
          <w:lang w:eastAsia="ru-RU"/>
        </w:rPr>
        <w:t xml:space="preserve"> </w:t>
      </w:r>
      <w:r w:rsidR="00EB1533">
        <w:rPr>
          <w:lang w:eastAsia="ru-RU"/>
        </w:rPr>
        <w:t>період воєнного стану</w:t>
      </w:r>
      <w:r w:rsidR="00FA508E" w:rsidRPr="006B5B52">
        <w:rPr>
          <w:b/>
        </w:rPr>
        <w:t xml:space="preserve"> </w:t>
      </w:r>
      <w:r w:rsidR="00115ECF" w:rsidRPr="006B5B52">
        <w:t xml:space="preserve">Правління Національного банку </w:t>
      </w:r>
      <w:r w:rsidR="00562C46" w:rsidRPr="006B5B52">
        <w:t>України</w:t>
      </w:r>
      <w:r w:rsidR="00562C46" w:rsidRPr="006B5B52">
        <w:rPr>
          <w:b/>
        </w:rPr>
        <w:t xml:space="preserve"> </w:t>
      </w:r>
      <w:r w:rsidR="00FA508E" w:rsidRPr="006B5B52">
        <w:rPr>
          <w:b/>
        </w:rPr>
        <w:t>постановляє:</w:t>
      </w:r>
    </w:p>
    <w:p w:rsidR="00B614B9" w:rsidRDefault="00B614B9" w:rsidP="00BC2CF4">
      <w:pPr>
        <w:ind w:firstLine="567"/>
      </w:pPr>
    </w:p>
    <w:p w:rsidR="00241948" w:rsidRDefault="00937B48" w:rsidP="0031428A">
      <w:pPr>
        <w:ind w:firstLine="567"/>
        <w:rPr>
          <w:lang w:eastAsia="ru-RU"/>
        </w:rPr>
      </w:pPr>
      <w:r w:rsidRPr="006B5B52">
        <w:t>1.</w:t>
      </w:r>
      <w:r w:rsidRPr="006B5B52">
        <w:rPr>
          <w:lang w:val="en-US"/>
        </w:rPr>
        <w:t> </w:t>
      </w:r>
      <w:r w:rsidR="00241948" w:rsidRPr="00241948">
        <w:t>П</w:t>
      </w:r>
      <w:r w:rsidR="00BC2CF4">
        <w:t>ункт</w:t>
      </w:r>
      <w:r w:rsidR="00B67F74">
        <w:t xml:space="preserve"> 5</w:t>
      </w:r>
      <w:r w:rsidR="00B67F74" w:rsidRPr="00B67F74">
        <w:rPr>
          <w:vertAlign w:val="superscript"/>
        </w:rPr>
        <w:t>2</w:t>
      </w:r>
      <w:r w:rsidR="00BC2CF4">
        <w:t xml:space="preserve"> </w:t>
      </w:r>
      <w:r w:rsidR="00BC2CF4">
        <w:rPr>
          <w:lang w:eastAsia="ru-RU"/>
        </w:rPr>
        <w:t>п</w:t>
      </w:r>
      <w:r w:rsidR="00F54149" w:rsidRPr="006B5B52">
        <w:rPr>
          <w:lang w:eastAsia="ru-RU"/>
        </w:rPr>
        <w:t>останов</w:t>
      </w:r>
      <w:r w:rsidR="00BC2CF4">
        <w:rPr>
          <w:lang w:eastAsia="ru-RU"/>
        </w:rPr>
        <w:t>и</w:t>
      </w:r>
      <w:r w:rsidR="00F54149" w:rsidRPr="006B5B52">
        <w:rPr>
          <w:lang w:eastAsia="ru-RU"/>
        </w:rPr>
        <w:t xml:space="preserve"> Правління Національного банку України від 24 лютого 2022 року № 22 “Про особливості </w:t>
      </w:r>
      <w:r w:rsidR="00B67F74">
        <w:rPr>
          <w:lang w:eastAsia="ru-RU"/>
        </w:rPr>
        <w:t>регулювання</w:t>
      </w:r>
      <w:r w:rsidR="00F54149" w:rsidRPr="006B5B52">
        <w:rPr>
          <w:lang w:eastAsia="ru-RU"/>
        </w:rPr>
        <w:t xml:space="preserve"> ліквідності банків у період дії воєнного стану” (зі змінами)</w:t>
      </w:r>
      <w:r w:rsidR="00F54149">
        <w:rPr>
          <w:lang w:eastAsia="ru-RU"/>
        </w:rPr>
        <w:t xml:space="preserve"> </w:t>
      </w:r>
      <w:r w:rsidR="00241948">
        <w:rPr>
          <w:lang w:eastAsia="ru-RU"/>
        </w:rPr>
        <w:t>викласти в такій редакції:</w:t>
      </w:r>
    </w:p>
    <w:p w:rsidR="009D2C07" w:rsidRPr="009D2C07" w:rsidRDefault="0031428A" w:rsidP="009D2C07">
      <w:pPr>
        <w:ind w:firstLine="567"/>
        <w:rPr>
          <w:bCs/>
        </w:rPr>
      </w:pPr>
      <w:r w:rsidRPr="00ED12AC">
        <w:rPr>
          <w:lang w:eastAsia="ru-RU"/>
        </w:rPr>
        <w:t>“</w:t>
      </w:r>
      <w:r w:rsidR="009D2C07" w:rsidRPr="009D2C07">
        <w:rPr>
          <w:bCs/>
        </w:rPr>
        <w:t>5</w:t>
      </w:r>
      <w:r w:rsidR="009D2C07" w:rsidRPr="009D2C07">
        <w:rPr>
          <w:bCs/>
          <w:vertAlign w:val="superscript"/>
        </w:rPr>
        <w:t>2</w:t>
      </w:r>
      <w:r w:rsidR="009D2C07" w:rsidRPr="009D2C07">
        <w:rPr>
          <w:bCs/>
        </w:rPr>
        <w:t>. Максимальний обсяг придбання банком лімітованих депозитних сертифікатів розраховується за такою формулою:</w:t>
      </w:r>
    </w:p>
    <w:p w:rsidR="009D2C07" w:rsidRPr="009D2C07" w:rsidRDefault="009D2C07" w:rsidP="009D2C07">
      <w:pPr>
        <w:ind w:firstLine="739"/>
        <w:rPr>
          <w:bCs/>
          <w:i/>
        </w:rPr>
      </w:pPr>
    </w:p>
    <w:p w:rsidR="009D2C07" w:rsidRPr="009D2C07" w:rsidRDefault="009D2C07" w:rsidP="009D2C07">
      <w:pPr>
        <w:ind w:firstLine="567"/>
        <w:rPr>
          <w:bCs/>
          <w:iCs/>
        </w:rPr>
      </w:pPr>
      <w:r w:rsidRPr="009D2C07">
        <w:rPr>
          <w:bCs/>
        </w:rPr>
        <w:t xml:space="preserve">Ліміт = </w:t>
      </w:r>
      <m:oMath>
        <m:d>
          <m:dPr>
            <m:begChr m:val="{"/>
            <m:endChr m:val="}"/>
            <m:ctrlPr>
              <w:rPr>
                <w:rFonts w:ascii="Cambria Math" w:hAnsi="Cambria Math"/>
                <w:bCs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Cs/>
                  </w:rPr>
                </m:ctrlPr>
              </m:eqArrPr>
              <m:e>
                <m:r>
                  <m:rPr>
                    <m:nor/>
                  </m:rPr>
                  <m:t>0, якщо ДовгРефін&gt;0</m:t>
                </m:r>
              </m:e>
              <m:e>
                <m:r>
                  <m:rPr>
                    <m:nor/>
                  </m:rPr>
                  <m:t>К •ОДеп + М</m:t>
                </m:r>
                <m:r>
                  <m:rPr>
                    <m:nor/>
                  </m:rPr>
                  <w:rPr>
                    <w:lang w:val="en-US"/>
                  </w:rPr>
                  <m:t> </m:t>
                </m:r>
                <m:r>
                  <m:rPr>
                    <m:nor/>
                  </m:rPr>
                  <m:t>•</m:t>
                </m:r>
                <m:r>
                  <m:rPr>
                    <m:nor/>
                  </m:rPr>
                  <w:rPr>
                    <w:lang w:val="en-US"/>
                  </w:rPr>
                  <m:t>MAX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Cs/>
                        <w:iCs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Cs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m:t>ОДеп – ОДепБаза</m:t>
                        </m:r>
                      </m:e>
                    </m:d>
                    <m:r>
                      <m:rPr>
                        <m:nor/>
                      </m:rPr>
                      <m:t>; 0</m:t>
                    </m:r>
                  </m:e>
                </m:d>
                <m:r>
                  <m:rPr>
                    <m:nor/>
                  </m:rPr>
                  <m:t>, якщо ДовгРефін=0</m:t>
                </m:r>
              </m:e>
            </m:eqArr>
          </m:e>
        </m:d>
      </m:oMath>
      <w:r w:rsidRPr="009D2C07">
        <w:rPr>
          <w:bCs/>
          <w:iCs/>
        </w:rPr>
        <w:t>,</w:t>
      </w:r>
    </w:p>
    <w:p w:rsidR="009D2C07" w:rsidRPr="009D2C07" w:rsidRDefault="009D2C07" w:rsidP="009D2C07">
      <w:pPr>
        <w:rPr>
          <w:bCs/>
        </w:rPr>
      </w:pPr>
    </w:p>
    <w:p w:rsidR="009D2C07" w:rsidRPr="009D2C07" w:rsidRDefault="009D2C07" w:rsidP="009D2C07">
      <w:pPr>
        <w:tabs>
          <w:tab w:val="left" w:pos="567"/>
        </w:tabs>
        <w:rPr>
          <w:bCs/>
        </w:rPr>
      </w:pPr>
      <w:r w:rsidRPr="009D2C07">
        <w:rPr>
          <w:bCs/>
        </w:rPr>
        <w:t xml:space="preserve">де    </w:t>
      </w:r>
      <w:proofErr w:type="spellStart"/>
      <w:r w:rsidRPr="009D2C07">
        <w:rPr>
          <w:bCs/>
        </w:rPr>
        <w:t>ДовгРефін</w:t>
      </w:r>
      <w:proofErr w:type="spellEnd"/>
      <w:r w:rsidRPr="009D2C07">
        <w:rPr>
          <w:bCs/>
        </w:rPr>
        <w:t xml:space="preserve"> − сукупний залишок основної суми боргу за довгостроковими кредитами рефінансування станом на дату придбання лімітованих депозитних сертифікатів;</w:t>
      </w:r>
    </w:p>
    <w:p w:rsidR="009D2C07" w:rsidRPr="009D2C07" w:rsidRDefault="009D2C07" w:rsidP="009D2C07">
      <w:pPr>
        <w:ind w:firstLine="567"/>
        <w:rPr>
          <w:color w:val="212121"/>
        </w:rPr>
      </w:pPr>
      <w:proofErr w:type="spellStart"/>
      <w:r w:rsidRPr="009D2C07">
        <w:rPr>
          <w:iCs/>
          <w:color w:val="212121"/>
        </w:rPr>
        <w:t>ОДеп</w:t>
      </w:r>
      <w:proofErr w:type="spellEnd"/>
      <w:r w:rsidRPr="009D2C07">
        <w:rPr>
          <w:i/>
          <w:iCs/>
          <w:color w:val="212121"/>
        </w:rPr>
        <w:t xml:space="preserve"> </w:t>
      </w:r>
      <w:r w:rsidRPr="009D2C07">
        <w:rPr>
          <w:color w:val="212121"/>
        </w:rPr>
        <w:t>–</w:t>
      </w:r>
      <w:r w:rsidRPr="009D2C07">
        <w:rPr>
          <w:i/>
          <w:iCs/>
          <w:color w:val="212121"/>
        </w:rPr>
        <w:t xml:space="preserve"> </w:t>
      </w:r>
      <w:r w:rsidRPr="009D2C07">
        <w:rPr>
          <w:iCs/>
        </w:rPr>
        <w:t xml:space="preserve">сукупний </w:t>
      </w:r>
      <w:r w:rsidRPr="009D2C07">
        <w:t xml:space="preserve">обсяг залишків строкових коштів і вкладів (депозитів) фізичних осіб у національній валюті </w:t>
      </w:r>
      <w:r w:rsidRPr="009D2C07">
        <w:rPr>
          <w:bCs/>
        </w:rPr>
        <w:t>без права дострокового розірвання</w:t>
      </w:r>
      <w:r w:rsidRPr="009D2C07">
        <w:t xml:space="preserve"> з початковим строком погашення 93 календарних дні та більше, а також залишків строкових коштів і вкладів (депозитів) фізичних осіб у </w:t>
      </w:r>
      <w:proofErr w:type="spellStart"/>
      <w:r w:rsidRPr="009D2C07">
        <w:t>національніи</w:t>
      </w:r>
      <w:proofErr w:type="spellEnd"/>
      <w:r w:rsidRPr="009D2C07">
        <w:t xml:space="preserve">̆ валюті з правом дострокового розірвання з мінімальним можливим строком погашення </w:t>
      </w:r>
      <w:r w:rsidRPr="009D2C07">
        <w:lastRenderedPageBreak/>
        <w:t>93 календарних дні та більше, інформація щодо яких береться</w:t>
      </w:r>
      <w:r w:rsidRPr="009D2C07">
        <w:rPr>
          <w:color w:val="212121"/>
        </w:rPr>
        <w:t xml:space="preserve"> станом на дату, що на три робочих дні передує даті придбання лімітованих депозитних  сертифікатів;</w:t>
      </w:r>
    </w:p>
    <w:p w:rsidR="009D2C07" w:rsidRPr="009D2C07" w:rsidRDefault="009D2C07" w:rsidP="009D2C07">
      <w:pPr>
        <w:ind w:firstLine="567"/>
        <w:rPr>
          <w:color w:val="212121"/>
        </w:rPr>
      </w:pPr>
      <w:proofErr w:type="spellStart"/>
      <w:r w:rsidRPr="009D2C07">
        <w:rPr>
          <w:iCs/>
          <w:color w:val="212121"/>
        </w:rPr>
        <w:t>ОДепБаза</w:t>
      </w:r>
      <w:proofErr w:type="spellEnd"/>
      <w:r w:rsidRPr="009D2C07">
        <w:rPr>
          <w:color w:val="212121"/>
        </w:rPr>
        <w:t xml:space="preserve"> – сукупний обсяг залишків строкових коштів і вкладів (депозитів) фізичних осіб у національній валюті з початковим строком погашення 93 календарних дні та більше, інформація щодо яких береться станом на дату, що на 263 робочих дні передує даті придбання лімітованих депозитних  сертифікатів;</w:t>
      </w:r>
    </w:p>
    <w:p w:rsidR="009D2C07" w:rsidRPr="009D2C07" w:rsidRDefault="009D2C07" w:rsidP="009D2C07">
      <w:pPr>
        <w:ind w:firstLine="567"/>
        <w:rPr>
          <w:color w:val="212121"/>
        </w:rPr>
      </w:pPr>
      <w:r w:rsidRPr="009D2C07">
        <w:rPr>
          <w:iCs/>
          <w:color w:val="212121"/>
        </w:rPr>
        <w:t xml:space="preserve">К </w:t>
      </w:r>
      <w:r w:rsidRPr="009D2C07">
        <w:rPr>
          <w:color w:val="212121"/>
        </w:rPr>
        <w:t xml:space="preserve">– частка </w:t>
      </w:r>
      <w:r w:rsidR="0018056B">
        <w:rPr>
          <w:color w:val="212121"/>
        </w:rPr>
        <w:t xml:space="preserve">сукупного </w:t>
      </w:r>
      <w:r w:rsidRPr="009D2C07">
        <w:rPr>
          <w:color w:val="212121"/>
        </w:rPr>
        <w:t>обсягу залишків строкових коштів і вкладів (депозитів) фізичних осіб у національній валюті з початковим строком погашення 93 календарних дні та більше,</w:t>
      </w:r>
      <w:r w:rsidR="005D7965" w:rsidRPr="005D7965">
        <w:t xml:space="preserve"> а також залишків строкових коштів і вкладів (депозитів) фізичних осіб у </w:t>
      </w:r>
      <w:proofErr w:type="spellStart"/>
      <w:r w:rsidR="005D7965" w:rsidRPr="005D7965">
        <w:t>національніи</w:t>
      </w:r>
      <w:proofErr w:type="spellEnd"/>
      <w:r w:rsidR="005D7965" w:rsidRPr="005D7965">
        <w:t>̆ валюті з правом дострокового розірвання з мінімальним можливим строком погашення 93 календарних дні та більше,</w:t>
      </w:r>
      <w:r w:rsidRPr="009D2C07">
        <w:rPr>
          <w:color w:val="212121"/>
        </w:rPr>
        <w:t xml:space="preserve"> що</w:t>
      </w:r>
      <w:r w:rsidRPr="009D2C07">
        <w:rPr>
          <w:iCs/>
        </w:rPr>
        <w:t xml:space="preserve"> </w:t>
      </w:r>
      <w:r w:rsidRPr="009D2C07">
        <w:rPr>
          <w:color w:val="212121"/>
        </w:rPr>
        <w:t>встановлюється рішенням Правління Національного банку;</w:t>
      </w:r>
    </w:p>
    <w:p w:rsidR="009D2C07" w:rsidRPr="009D2C07" w:rsidRDefault="009D2C07" w:rsidP="009D2C07">
      <w:pPr>
        <w:ind w:firstLine="567"/>
        <w:rPr>
          <w:color w:val="212121"/>
        </w:rPr>
      </w:pPr>
      <w:r w:rsidRPr="009D2C07">
        <w:rPr>
          <w:iCs/>
          <w:color w:val="212121"/>
        </w:rPr>
        <w:t>М</w:t>
      </w:r>
      <w:r w:rsidRPr="009D2C07">
        <w:rPr>
          <w:color w:val="212121"/>
        </w:rPr>
        <w:t xml:space="preserve"> – мультиплікатор, що встановлюється рішенням Правління Національного банку.</w:t>
      </w:r>
    </w:p>
    <w:p w:rsidR="009D2C07" w:rsidRPr="009D2C07" w:rsidRDefault="009D2C07" w:rsidP="009D2C07">
      <w:pPr>
        <w:ind w:firstLine="567"/>
        <w:rPr>
          <w:color w:val="212121"/>
        </w:rPr>
      </w:pPr>
      <w:r w:rsidRPr="009D2C07">
        <w:rPr>
          <w:color w:val="212121"/>
        </w:rPr>
        <w:t>Максимальний обсяг придбання банком лімітованих депозитних сертифікатів дорівнює нулю, якщо в Національного банку немає даних про:</w:t>
      </w:r>
    </w:p>
    <w:p w:rsidR="009D2C07" w:rsidRPr="009D2C07" w:rsidRDefault="009D2C07" w:rsidP="009D2C07">
      <w:pPr>
        <w:ind w:firstLine="567"/>
        <w:rPr>
          <w:color w:val="212121"/>
        </w:rPr>
      </w:pPr>
      <w:r w:rsidRPr="009D2C07">
        <w:rPr>
          <w:color w:val="212121"/>
        </w:rPr>
        <w:t xml:space="preserve">сукупний  обсяг залишків строкових коштів і вкладів (депозитів) фізичних осіб у національній валюті </w:t>
      </w:r>
      <w:r w:rsidRPr="009D2C07">
        <w:rPr>
          <w:bCs/>
        </w:rPr>
        <w:t>без права дострокового розірвання</w:t>
      </w:r>
      <w:r w:rsidRPr="009D2C07">
        <w:t xml:space="preserve"> з початковим строком погашення 93 календарних дні та більше, а також залишків строкових коштів і вкладів (депозитів) фізичних осіб у </w:t>
      </w:r>
      <w:proofErr w:type="spellStart"/>
      <w:r w:rsidRPr="009D2C07">
        <w:t>національніи</w:t>
      </w:r>
      <w:proofErr w:type="spellEnd"/>
      <w:r w:rsidRPr="009D2C07">
        <w:t>̆ валюті з правом дострокового розірвання з мінімальним можливим строком погашення 93 календарних дні та більше, які беруться</w:t>
      </w:r>
      <w:r w:rsidRPr="009D2C07">
        <w:rPr>
          <w:color w:val="212121"/>
        </w:rPr>
        <w:t xml:space="preserve"> станом на дату, що на три робочих дні передує даті придбання лімітованих депозитних сертифікатів;</w:t>
      </w:r>
    </w:p>
    <w:p w:rsidR="00F855A0" w:rsidRPr="00ED12AC" w:rsidRDefault="009D2C07" w:rsidP="009D2C07">
      <w:pPr>
        <w:ind w:firstLine="567"/>
        <w:rPr>
          <w:shd w:val="clear" w:color="auto" w:fill="FFFFFF"/>
        </w:rPr>
      </w:pPr>
      <w:r w:rsidRPr="009D2C07">
        <w:rPr>
          <w:bCs/>
          <w:color w:val="212121"/>
        </w:rPr>
        <w:t>сукупний обсяг залишків строкових коштів і вкладів (депозитів) фізичних осіб у національній валюті з початковим строком погашення 93 календарних дні та більше, інформація щодо яких береться станом на дату, що на 263 робочих дні передує даті придбання лімітованих депозитних  сертифікатів</w:t>
      </w:r>
      <w:r w:rsidRPr="009D2C07">
        <w:rPr>
          <w:color w:val="212121"/>
        </w:rPr>
        <w:t>.</w:t>
      </w:r>
      <w:r w:rsidR="004E0E3E" w:rsidRPr="00ED12AC">
        <w:rPr>
          <w:lang w:eastAsia="ru-RU"/>
        </w:rPr>
        <w:t>”</w:t>
      </w:r>
      <w:r w:rsidR="00BC2CF4" w:rsidRPr="00ED12AC">
        <w:rPr>
          <w:lang w:eastAsia="ru-RU"/>
        </w:rPr>
        <w:t>.</w:t>
      </w:r>
      <w:r w:rsidR="00F855A0" w:rsidRPr="00ED12AC">
        <w:rPr>
          <w:lang w:eastAsia="ru-RU"/>
        </w:rPr>
        <w:t xml:space="preserve"> </w:t>
      </w:r>
    </w:p>
    <w:p w:rsidR="00AD7DF9" w:rsidRPr="006B5B52" w:rsidRDefault="00823F21" w:rsidP="006B5B52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0926F3">
        <w:rPr>
          <w:rFonts w:eastAsiaTheme="minorEastAsia"/>
          <w:noProof/>
          <w:lang w:eastAsia="en-US"/>
        </w:rPr>
        <w:t>2</w:t>
      </w:r>
      <w:r w:rsidR="00937B48" w:rsidRPr="006B5B52">
        <w:rPr>
          <w:rFonts w:eastAsiaTheme="minorEastAsia"/>
          <w:noProof/>
          <w:lang w:eastAsia="en-US"/>
        </w:rPr>
        <w:t>. </w:t>
      </w:r>
      <w:r w:rsidR="00D829C7" w:rsidRPr="006B5B52">
        <w:rPr>
          <w:lang w:eastAsia="ru-RU"/>
        </w:rPr>
        <w:t>Департаменту відкритих ринків (Олексій Лупін) після офіційного опублікування довести до відома банків України інформацію про прийняття цієї постанови</w:t>
      </w:r>
      <w:r w:rsidR="00D829C7" w:rsidRPr="006B5B52">
        <w:rPr>
          <w:rFonts w:eastAsiaTheme="minorEastAsia"/>
          <w:noProof/>
          <w:lang w:eastAsia="en-US"/>
        </w:rPr>
        <w:t>.</w:t>
      </w:r>
    </w:p>
    <w:p w:rsidR="00AD7DF9" w:rsidRPr="006B5B52" w:rsidRDefault="00823F21" w:rsidP="006B5B52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0926F3">
        <w:rPr>
          <w:rFonts w:eastAsiaTheme="minorEastAsia"/>
          <w:noProof/>
          <w:lang w:val="ru-RU" w:eastAsia="en-US"/>
        </w:rPr>
        <w:t>3</w:t>
      </w:r>
      <w:r w:rsidR="00937B48" w:rsidRPr="006B5B52">
        <w:rPr>
          <w:rFonts w:eastAsiaTheme="minorEastAsia"/>
          <w:noProof/>
          <w:lang w:eastAsia="en-US"/>
        </w:rPr>
        <w:t>. </w:t>
      </w:r>
      <w:r w:rsidR="00D829C7" w:rsidRPr="006B5B52">
        <w:rPr>
          <w:lang w:eastAsia="ru-RU"/>
        </w:rPr>
        <w:t>Контроль за виконанням цієї постанови покласти на заступника Голови Національного банку України Юрія Гелетія</w:t>
      </w:r>
      <w:r w:rsidR="00D829C7" w:rsidRPr="006B5B52">
        <w:rPr>
          <w:rFonts w:eastAsiaTheme="minorEastAsia"/>
          <w:noProof/>
          <w:lang w:val="ru-RU" w:eastAsia="en-US"/>
        </w:rPr>
        <w:t>.</w:t>
      </w:r>
    </w:p>
    <w:p w:rsidR="001F642C" w:rsidRPr="006B5B52" w:rsidRDefault="00823F21" w:rsidP="00C97933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0926F3">
        <w:rPr>
          <w:rFonts w:eastAsiaTheme="minorEastAsia"/>
          <w:noProof/>
          <w:lang w:val="ru-RU" w:eastAsia="en-US"/>
        </w:rPr>
        <w:t>4</w:t>
      </w:r>
      <w:r w:rsidR="00937B48" w:rsidRPr="006B5B52">
        <w:rPr>
          <w:rFonts w:eastAsiaTheme="minorEastAsia"/>
          <w:noProof/>
          <w:lang w:eastAsia="en-US"/>
        </w:rPr>
        <w:t>. </w:t>
      </w:r>
      <w:r w:rsidR="00D829C7" w:rsidRPr="006B5B52">
        <w:rPr>
          <w:lang w:eastAsia="ru-RU"/>
        </w:rPr>
        <w:t xml:space="preserve">Постанова набирає чинності </w:t>
      </w:r>
      <w:r w:rsidR="005C72AA" w:rsidRPr="00BF6237">
        <w:rPr>
          <w:lang w:eastAsia="ru-RU"/>
        </w:rPr>
        <w:t xml:space="preserve">з </w:t>
      </w:r>
      <w:r w:rsidR="009D1D1B">
        <w:rPr>
          <w:lang w:eastAsia="ru-RU"/>
        </w:rPr>
        <w:t>19 квітня 2024 року.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F22B0F" w:rsidRPr="006B5B52" w:rsidTr="00CF2935">
        <w:tc>
          <w:tcPr>
            <w:tcW w:w="5495" w:type="dxa"/>
            <w:vAlign w:val="bottom"/>
          </w:tcPr>
          <w:p w:rsidR="00C0692F" w:rsidRDefault="00C0692F" w:rsidP="0095413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</w:p>
          <w:p w:rsidR="00DD60CC" w:rsidRPr="006B5B52" w:rsidRDefault="00D829C7" w:rsidP="0095413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6B5B52">
              <w:t>Голов</w:t>
            </w:r>
            <w:r w:rsidR="00090C3D">
              <w:t>а</w:t>
            </w:r>
          </w:p>
        </w:tc>
        <w:tc>
          <w:tcPr>
            <w:tcW w:w="4252" w:type="dxa"/>
            <w:vAlign w:val="bottom"/>
          </w:tcPr>
          <w:p w:rsidR="00DD60CC" w:rsidRPr="006B5B52" w:rsidRDefault="00090C3D" w:rsidP="00AC247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Андрій ПИШНИЙ</w:t>
            </w:r>
          </w:p>
        </w:tc>
      </w:tr>
    </w:tbl>
    <w:p w:rsidR="00C97933" w:rsidRDefault="00C97933" w:rsidP="00FA508E">
      <w:pPr>
        <w:jc w:val="left"/>
      </w:pPr>
    </w:p>
    <w:p w:rsidR="00FA508E" w:rsidRPr="006B5B52" w:rsidRDefault="00937B48" w:rsidP="00FA508E">
      <w:pPr>
        <w:jc w:val="left"/>
      </w:pPr>
      <w:r w:rsidRPr="006B5B52">
        <w:t>Інд.</w:t>
      </w:r>
      <w:r w:rsidRPr="006B5B52">
        <w:rPr>
          <w:sz w:val="22"/>
          <w:szCs w:val="22"/>
        </w:rPr>
        <w:t xml:space="preserve"> </w:t>
      </w:r>
      <w:r w:rsidR="00D829C7" w:rsidRPr="006B5B52">
        <w:rPr>
          <w:lang w:val="en-US"/>
        </w:rPr>
        <w:t>40</w:t>
      </w:r>
    </w:p>
    <w:sectPr w:rsidR="00FA508E" w:rsidRPr="006B5B52" w:rsidSect="00476E0F">
      <w:headerReference w:type="default" r:id="rId14"/>
      <w:footerReference w:type="first" r:id="rId15"/>
      <w:pgSz w:w="11906" w:h="16838" w:code="9"/>
      <w:pgMar w:top="567" w:right="567" w:bottom="198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0D" w:rsidRDefault="0008580D">
      <w:r>
        <w:separator/>
      </w:r>
    </w:p>
  </w:endnote>
  <w:endnote w:type="continuationSeparator" w:id="0">
    <w:p w:rsidR="0008580D" w:rsidRDefault="0008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70" w:rsidRPr="00AB062E" w:rsidRDefault="00937B48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:rsidR="00F93C70" w:rsidRPr="00F93C70" w:rsidRDefault="00937B48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0D" w:rsidRDefault="0008580D">
      <w:r>
        <w:separator/>
      </w:r>
    </w:p>
  </w:footnote>
  <w:footnote w:type="continuationSeparator" w:id="0">
    <w:p w:rsidR="0008580D" w:rsidRDefault="0008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:rsidR="00460BA2" w:rsidRDefault="00937B4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166">
          <w:rPr>
            <w:noProof/>
          </w:rPr>
          <w:t>2</w:t>
        </w:r>
        <w:r>
          <w:fldChar w:fldCharType="end"/>
        </w:r>
      </w:p>
    </w:sdtContent>
  </w:sdt>
  <w:p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0C6C"/>
    <w:multiLevelType w:val="hybridMultilevel"/>
    <w:tmpl w:val="4B601CB4"/>
    <w:lvl w:ilvl="0" w:tplc="0E123B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5905DD"/>
    <w:multiLevelType w:val="hybridMultilevel"/>
    <w:tmpl w:val="4008ECA2"/>
    <w:lvl w:ilvl="0" w:tplc="7562D15C">
      <w:start w:val="1"/>
      <w:numFmt w:val="decimal"/>
      <w:lvlText w:val="%1."/>
      <w:lvlJc w:val="left"/>
      <w:pPr>
        <w:ind w:left="3905" w:hanging="360"/>
      </w:pPr>
    </w:lvl>
    <w:lvl w:ilvl="1" w:tplc="462420DE">
      <w:start w:val="1"/>
      <w:numFmt w:val="lowerLetter"/>
      <w:lvlText w:val="%2."/>
      <w:lvlJc w:val="left"/>
      <w:pPr>
        <w:ind w:left="1789" w:hanging="360"/>
      </w:pPr>
    </w:lvl>
    <w:lvl w:ilvl="2" w:tplc="59185CC8">
      <w:start w:val="1"/>
      <w:numFmt w:val="lowerRoman"/>
      <w:lvlText w:val="%3."/>
      <w:lvlJc w:val="right"/>
      <w:pPr>
        <w:ind w:left="2509" w:hanging="180"/>
      </w:pPr>
    </w:lvl>
    <w:lvl w:ilvl="3" w:tplc="FBB4E0EA">
      <w:start w:val="1"/>
      <w:numFmt w:val="decimal"/>
      <w:lvlText w:val="%4."/>
      <w:lvlJc w:val="left"/>
      <w:pPr>
        <w:ind w:left="3229" w:hanging="360"/>
      </w:pPr>
    </w:lvl>
    <w:lvl w:ilvl="4" w:tplc="EE4C8278">
      <w:start w:val="1"/>
      <w:numFmt w:val="lowerLetter"/>
      <w:lvlText w:val="%5."/>
      <w:lvlJc w:val="left"/>
      <w:pPr>
        <w:ind w:left="3949" w:hanging="360"/>
      </w:pPr>
    </w:lvl>
    <w:lvl w:ilvl="5" w:tplc="92FE9058">
      <w:start w:val="1"/>
      <w:numFmt w:val="lowerRoman"/>
      <w:lvlText w:val="%6."/>
      <w:lvlJc w:val="right"/>
      <w:pPr>
        <w:ind w:left="4669" w:hanging="180"/>
      </w:pPr>
    </w:lvl>
    <w:lvl w:ilvl="6" w:tplc="0FA0CB64">
      <w:start w:val="1"/>
      <w:numFmt w:val="decimal"/>
      <w:lvlText w:val="%7."/>
      <w:lvlJc w:val="left"/>
      <w:pPr>
        <w:ind w:left="5389" w:hanging="360"/>
      </w:pPr>
    </w:lvl>
    <w:lvl w:ilvl="7" w:tplc="47BC5042">
      <w:start w:val="1"/>
      <w:numFmt w:val="lowerLetter"/>
      <w:lvlText w:val="%8."/>
      <w:lvlJc w:val="left"/>
      <w:pPr>
        <w:ind w:left="6109" w:hanging="360"/>
      </w:pPr>
    </w:lvl>
    <w:lvl w:ilvl="8" w:tplc="776E552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745796"/>
    <w:multiLevelType w:val="hybridMultilevel"/>
    <w:tmpl w:val="D44AD2DE"/>
    <w:lvl w:ilvl="0" w:tplc="9D5A093A">
      <w:start w:val="1"/>
      <w:numFmt w:val="decimal"/>
      <w:lvlText w:val="%1."/>
      <w:lvlJc w:val="left"/>
      <w:pPr>
        <w:ind w:left="1429" w:hanging="360"/>
      </w:pPr>
    </w:lvl>
    <w:lvl w:ilvl="1" w:tplc="5E486168" w:tentative="1">
      <w:start w:val="1"/>
      <w:numFmt w:val="lowerLetter"/>
      <w:lvlText w:val="%2."/>
      <w:lvlJc w:val="left"/>
      <w:pPr>
        <w:ind w:left="2149" w:hanging="360"/>
      </w:pPr>
    </w:lvl>
    <w:lvl w:ilvl="2" w:tplc="2F1CAAA2" w:tentative="1">
      <w:start w:val="1"/>
      <w:numFmt w:val="lowerRoman"/>
      <w:lvlText w:val="%3."/>
      <w:lvlJc w:val="right"/>
      <w:pPr>
        <w:ind w:left="2869" w:hanging="180"/>
      </w:pPr>
    </w:lvl>
    <w:lvl w:ilvl="3" w:tplc="78AAB78C" w:tentative="1">
      <w:start w:val="1"/>
      <w:numFmt w:val="decimal"/>
      <w:lvlText w:val="%4."/>
      <w:lvlJc w:val="left"/>
      <w:pPr>
        <w:ind w:left="3589" w:hanging="360"/>
      </w:pPr>
    </w:lvl>
    <w:lvl w:ilvl="4" w:tplc="1920264E" w:tentative="1">
      <w:start w:val="1"/>
      <w:numFmt w:val="lowerLetter"/>
      <w:lvlText w:val="%5."/>
      <w:lvlJc w:val="left"/>
      <w:pPr>
        <w:ind w:left="4309" w:hanging="360"/>
      </w:pPr>
    </w:lvl>
    <w:lvl w:ilvl="5" w:tplc="FBC410EA" w:tentative="1">
      <w:start w:val="1"/>
      <w:numFmt w:val="lowerRoman"/>
      <w:lvlText w:val="%6."/>
      <w:lvlJc w:val="right"/>
      <w:pPr>
        <w:ind w:left="5029" w:hanging="180"/>
      </w:pPr>
    </w:lvl>
    <w:lvl w:ilvl="6" w:tplc="2E4C6B08" w:tentative="1">
      <w:start w:val="1"/>
      <w:numFmt w:val="decimal"/>
      <w:lvlText w:val="%7."/>
      <w:lvlJc w:val="left"/>
      <w:pPr>
        <w:ind w:left="5749" w:hanging="360"/>
      </w:pPr>
    </w:lvl>
    <w:lvl w:ilvl="7" w:tplc="8118DD88" w:tentative="1">
      <w:start w:val="1"/>
      <w:numFmt w:val="lowerLetter"/>
      <w:lvlText w:val="%8."/>
      <w:lvlJc w:val="left"/>
      <w:pPr>
        <w:ind w:left="6469" w:hanging="360"/>
      </w:pPr>
    </w:lvl>
    <w:lvl w:ilvl="8" w:tplc="254E789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F1F3951"/>
    <w:multiLevelType w:val="hybridMultilevel"/>
    <w:tmpl w:val="33965596"/>
    <w:lvl w:ilvl="0" w:tplc="F5C082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13578F"/>
    <w:multiLevelType w:val="hybridMultilevel"/>
    <w:tmpl w:val="150237C4"/>
    <w:lvl w:ilvl="0" w:tplc="01322C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trackRevisions/>
  <w:defaultTabStop w:val="992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282B"/>
    <w:rsid w:val="000064FA"/>
    <w:rsid w:val="000069AF"/>
    <w:rsid w:val="00015CF3"/>
    <w:rsid w:val="00015FDE"/>
    <w:rsid w:val="00024D21"/>
    <w:rsid w:val="00026308"/>
    <w:rsid w:val="000271C0"/>
    <w:rsid w:val="0003331E"/>
    <w:rsid w:val="000342A5"/>
    <w:rsid w:val="00034BBB"/>
    <w:rsid w:val="0003793C"/>
    <w:rsid w:val="00040F2F"/>
    <w:rsid w:val="000543C6"/>
    <w:rsid w:val="00054495"/>
    <w:rsid w:val="000600A8"/>
    <w:rsid w:val="00061C52"/>
    <w:rsid w:val="00063480"/>
    <w:rsid w:val="000638F2"/>
    <w:rsid w:val="00071120"/>
    <w:rsid w:val="0008580D"/>
    <w:rsid w:val="00090C3D"/>
    <w:rsid w:val="000926F3"/>
    <w:rsid w:val="000B2990"/>
    <w:rsid w:val="000C20B7"/>
    <w:rsid w:val="000D51FD"/>
    <w:rsid w:val="000D75E4"/>
    <w:rsid w:val="000D778F"/>
    <w:rsid w:val="000E0877"/>
    <w:rsid w:val="000E0CB3"/>
    <w:rsid w:val="000E5B8C"/>
    <w:rsid w:val="000E7A13"/>
    <w:rsid w:val="000F27EB"/>
    <w:rsid w:val="000F2F8B"/>
    <w:rsid w:val="00105299"/>
    <w:rsid w:val="00106229"/>
    <w:rsid w:val="00115ECF"/>
    <w:rsid w:val="001215DF"/>
    <w:rsid w:val="001303A5"/>
    <w:rsid w:val="0013142D"/>
    <w:rsid w:val="00154C4C"/>
    <w:rsid w:val="00155A62"/>
    <w:rsid w:val="001564BA"/>
    <w:rsid w:val="00160AA0"/>
    <w:rsid w:val="001631E2"/>
    <w:rsid w:val="001639EC"/>
    <w:rsid w:val="001716B0"/>
    <w:rsid w:val="001740C0"/>
    <w:rsid w:val="0018056B"/>
    <w:rsid w:val="00190E1A"/>
    <w:rsid w:val="00196EC8"/>
    <w:rsid w:val="001A0EE5"/>
    <w:rsid w:val="001A16FA"/>
    <w:rsid w:val="001A1AD1"/>
    <w:rsid w:val="001A4CB9"/>
    <w:rsid w:val="001A6795"/>
    <w:rsid w:val="001B4D80"/>
    <w:rsid w:val="001B6467"/>
    <w:rsid w:val="001C206C"/>
    <w:rsid w:val="001C56BE"/>
    <w:rsid w:val="001C6FB7"/>
    <w:rsid w:val="001D487A"/>
    <w:rsid w:val="001E0BE5"/>
    <w:rsid w:val="001F2049"/>
    <w:rsid w:val="001F3B2A"/>
    <w:rsid w:val="001F642C"/>
    <w:rsid w:val="002057BC"/>
    <w:rsid w:val="00207166"/>
    <w:rsid w:val="002238D1"/>
    <w:rsid w:val="00233F37"/>
    <w:rsid w:val="00241373"/>
    <w:rsid w:val="00241948"/>
    <w:rsid w:val="00241FF5"/>
    <w:rsid w:val="00251030"/>
    <w:rsid w:val="002516E3"/>
    <w:rsid w:val="00253BF9"/>
    <w:rsid w:val="00264983"/>
    <w:rsid w:val="00266678"/>
    <w:rsid w:val="00276988"/>
    <w:rsid w:val="00280DCC"/>
    <w:rsid w:val="00285DDA"/>
    <w:rsid w:val="00290169"/>
    <w:rsid w:val="00291774"/>
    <w:rsid w:val="002A01FA"/>
    <w:rsid w:val="002A2391"/>
    <w:rsid w:val="002A50AA"/>
    <w:rsid w:val="002B18A7"/>
    <w:rsid w:val="002B351E"/>
    <w:rsid w:val="002B3F71"/>
    <w:rsid w:val="002B582B"/>
    <w:rsid w:val="002C1729"/>
    <w:rsid w:val="002C1FDB"/>
    <w:rsid w:val="002C3434"/>
    <w:rsid w:val="002D1790"/>
    <w:rsid w:val="002F39B6"/>
    <w:rsid w:val="002F48EF"/>
    <w:rsid w:val="002F77C1"/>
    <w:rsid w:val="0031428A"/>
    <w:rsid w:val="00320EDC"/>
    <w:rsid w:val="00325712"/>
    <w:rsid w:val="00331332"/>
    <w:rsid w:val="00332701"/>
    <w:rsid w:val="003372AA"/>
    <w:rsid w:val="00340D07"/>
    <w:rsid w:val="00341F2C"/>
    <w:rsid w:val="00342917"/>
    <w:rsid w:val="00343FDD"/>
    <w:rsid w:val="00345982"/>
    <w:rsid w:val="00345BF1"/>
    <w:rsid w:val="003519E8"/>
    <w:rsid w:val="00353FB6"/>
    <w:rsid w:val="00356E34"/>
    <w:rsid w:val="00357676"/>
    <w:rsid w:val="0037267B"/>
    <w:rsid w:val="003731E7"/>
    <w:rsid w:val="00376C3F"/>
    <w:rsid w:val="003808DC"/>
    <w:rsid w:val="0038385E"/>
    <w:rsid w:val="00384F65"/>
    <w:rsid w:val="0039725C"/>
    <w:rsid w:val="003A16E7"/>
    <w:rsid w:val="003A5DA4"/>
    <w:rsid w:val="003A751F"/>
    <w:rsid w:val="003C3282"/>
    <w:rsid w:val="003C3985"/>
    <w:rsid w:val="003C431F"/>
    <w:rsid w:val="003C7D0D"/>
    <w:rsid w:val="003D1404"/>
    <w:rsid w:val="003D6B33"/>
    <w:rsid w:val="003E253E"/>
    <w:rsid w:val="003F0441"/>
    <w:rsid w:val="003F28B5"/>
    <w:rsid w:val="003F7093"/>
    <w:rsid w:val="00401EDB"/>
    <w:rsid w:val="00404C93"/>
    <w:rsid w:val="00407877"/>
    <w:rsid w:val="00411174"/>
    <w:rsid w:val="004119F8"/>
    <w:rsid w:val="004130B9"/>
    <w:rsid w:val="00420695"/>
    <w:rsid w:val="00420A6E"/>
    <w:rsid w:val="00421C46"/>
    <w:rsid w:val="0043496A"/>
    <w:rsid w:val="004377F8"/>
    <w:rsid w:val="00445E37"/>
    <w:rsid w:val="00446704"/>
    <w:rsid w:val="00455B45"/>
    <w:rsid w:val="00460087"/>
    <w:rsid w:val="00460BA2"/>
    <w:rsid w:val="004625B1"/>
    <w:rsid w:val="00464FFE"/>
    <w:rsid w:val="004666D6"/>
    <w:rsid w:val="00466DC2"/>
    <w:rsid w:val="00476E0F"/>
    <w:rsid w:val="00480F60"/>
    <w:rsid w:val="00490864"/>
    <w:rsid w:val="004940E0"/>
    <w:rsid w:val="0049418A"/>
    <w:rsid w:val="00494903"/>
    <w:rsid w:val="004A1CFC"/>
    <w:rsid w:val="004A5DF3"/>
    <w:rsid w:val="004A7F75"/>
    <w:rsid w:val="004B1FE9"/>
    <w:rsid w:val="004B5574"/>
    <w:rsid w:val="004D096D"/>
    <w:rsid w:val="004D2B57"/>
    <w:rsid w:val="004E0CFE"/>
    <w:rsid w:val="004E0E3E"/>
    <w:rsid w:val="004E1E1B"/>
    <w:rsid w:val="004E22E2"/>
    <w:rsid w:val="004F7286"/>
    <w:rsid w:val="00501F58"/>
    <w:rsid w:val="0050563F"/>
    <w:rsid w:val="0051457D"/>
    <w:rsid w:val="005212A1"/>
    <w:rsid w:val="005212C5"/>
    <w:rsid w:val="00523C13"/>
    <w:rsid w:val="00524F07"/>
    <w:rsid w:val="005257C2"/>
    <w:rsid w:val="00532633"/>
    <w:rsid w:val="005403F1"/>
    <w:rsid w:val="00542533"/>
    <w:rsid w:val="00552618"/>
    <w:rsid w:val="005624B6"/>
    <w:rsid w:val="00562C46"/>
    <w:rsid w:val="00566BA2"/>
    <w:rsid w:val="005672BF"/>
    <w:rsid w:val="0057237F"/>
    <w:rsid w:val="0057325A"/>
    <w:rsid w:val="00577402"/>
    <w:rsid w:val="00581705"/>
    <w:rsid w:val="005822CB"/>
    <w:rsid w:val="00597AB6"/>
    <w:rsid w:val="005A0F4B"/>
    <w:rsid w:val="005A1D3C"/>
    <w:rsid w:val="005A39C3"/>
    <w:rsid w:val="005A3F34"/>
    <w:rsid w:val="005A77E1"/>
    <w:rsid w:val="005B16F2"/>
    <w:rsid w:val="005B2D03"/>
    <w:rsid w:val="005B33F3"/>
    <w:rsid w:val="005B398E"/>
    <w:rsid w:val="005B613A"/>
    <w:rsid w:val="005B6C93"/>
    <w:rsid w:val="005B798E"/>
    <w:rsid w:val="005C18C5"/>
    <w:rsid w:val="005C4DA1"/>
    <w:rsid w:val="005C5CBF"/>
    <w:rsid w:val="005C72AA"/>
    <w:rsid w:val="005C7C3F"/>
    <w:rsid w:val="005D0135"/>
    <w:rsid w:val="005D3B88"/>
    <w:rsid w:val="005D45F5"/>
    <w:rsid w:val="005D7965"/>
    <w:rsid w:val="005E3FA8"/>
    <w:rsid w:val="005F4CB4"/>
    <w:rsid w:val="005F6B35"/>
    <w:rsid w:val="00605292"/>
    <w:rsid w:val="006121C5"/>
    <w:rsid w:val="00640612"/>
    <w:rsid w:val="0064227D"/>
    <w:rsid w:val="0065179F"/>
    <w:rsid w:val="00657593"/>
    <w:rsid w:val="006619D9"/>
    <w:rsid w:val="00662034"/>
    <w:rsid w:val="006652C0"/>
    <w:rsid w:val="00670C95"/>
    <w:rsid w:val="00680D9F"/>
    <w:rsid w:val="00691E86"/>
    <w:rsid w:val="006925CE"/>
    <w:rsid w:val="00692C8C"/>
    <w:rsid w:val="006959F7"/>
    <w:rsid w:val="006A649C"/>
    <w:rsid w:val="006B2748"/>
    <w:rsid w:val="006B465F"/>
    <w:rsid w:val="006B5B52"/>
    <w:rsid w:val="006B7EF5"/>
    <w:rsid w:val="006C06A1"/>
    <w:rsid w:val="006C0F22"/>
    <w:rsid w:val="006C13B1"/>
    <w:rsid w:val="006C4176"/>
    <w:rsid w:val="006C66EF"/>
    <w:rsid w:val="006D2617"/>
    <w:rsid w:val="006D415A"/>
    <w:rsid w:val="006D4372"/>
    <w:rsid w:val="006E6C17"/>
    <w:rsid w:val="00700AA3"/>
    <w:rsid w:val="00707058"/>
    <w:rsid w:val="007142BA"/>
    <w:rsid w:val="00714823"/>
    <w:rsid w:val="00717197"/>
    <w:rsid w:val="0071789F"/>
    <w:rsid w:val="00730088"/>
    <w:rsid w:val="00745BD7"/>
    <w:rsid w:val="00747222"/>
    <w:rsid w:val="00750898"/>
    <w:rsid w:val="00753718"/>
    <w:rsid w:val="00753FAA"/>
    <w:rsid w:val="00766CC4"/>
    <w:rsid w:val="00766F5B"/>
    <w:rsid w:val="00773559"/>
    <w:rsid w:val="007810E6"/>
    <w:rsid w:val="0078127A"/>
    <w:rsid w:val="00783AF2"/>
    <w:rsid w:val="00784D5D"/>
    <w:rsid w:val="00787E46"/>
    <w:rsid w:val="007A2BCB"/>
    <w:rsid w:val="007A32DB"/>
    <w:rsid w:val="007A6609"/>
    <w:rsid w:val="007B2EB3"/>
    <w:rsid w:val="007B3538"/>
    <w:rsid w:val="007B7B73"/>
    <w:rsid w:val="007C2CED"/>
    <w:rsid w:val="007C337C"/>
    <w:rsid w:val="007C3B4D"/>
    <w:rsid w:val="007C56EC"/>
    <w:rsid w:val="007D47BF"/>
    <w:rsid w:val="007E40BA"/>
    <w:rsid w:val="007F32DA"/>
    <w:rsid w:val="00802988"/>
    <w:rsid w:val="00802DDB"/>
    <w:rsid w:val="00810345"/>
    <w:rsid w:val="00811CD6"/>
    <w:rsid w:val="008159D0"/>
    <w:rsid w:val="00823F21"/>
    <w:rsid w:val="00825BEB"/>
    <w:rsid w:val="00826AD1"/>
    <w:rsid w:val="008415A0"/>
    <w:rsid w:val="0085364B"/>
    <w:rsid w:val="00860646"/>
    <w:rsid w:val="008639DA"/>
    <w:rsid w:val="00866993"/>
    <w:rsid w:val="00870BC4"/>
    <w:rsid w:val="00874366"/>
    <w:rsid w:val="008762D8"/>
    <w:rsid w:val="008809A0"/>
    <w:rsid w:val="00882590"/>
    <w:rsid w:val="008851AC"/>
    <w:rsid w:val="00891C50"/>
    <w:rsid w:val="008934A9"/>
    <w:rsid w:val="00897035"/>
    <w:rsid w:val="008A502C"/>
    <w:rsid w:val="008B1589"/>
    <w:rsid w:val="008B74DD"/>
    <w:rsid w:val="008C4E63"/>
    <w:rsid w:val="008C72B5"/>
    <w:rsid w:val="008D10FD"/>
    <w:rsid w:val="008D122F"/>
    <w:rsid w:val="008D5F60"/>
    <w:rsid w:val="008D727F"/>
    <w:rsid w:val="008E0CBD"/>
    <w:rsid w:val="008E1B8E"/>
    <w:rsid w:val="008E5E0A"/>
    <w:rsid w:val="008F0210"/>
    <w:rsid w:val="008F1633"/>
    <w:rsid w:val="008F2600"/>
    <w:rsid w:val="008F2DCE"/>
    <w:rsid w:val="008F5D52"/>
    <w:rsid w:val="0090189A"/>
    <w:rsid w:val="00904F17"/>
    <w:rsid w:val="0090787B"/>
    <w:rsid w:val="00922966"/>
    <w:rsid w:val="0092710A"/>
    <w:rsid w:val="00927905"/>
    <w:rsid w:val="00932D83"/>
    <w:rsid w:val="009377AA"/>
    <w:rsid w:val="00937AE3"/>
    <w:rsid w:val="00937B48"/>
    <w:rsid w:val="00937D24"/>
    <w:rsid w:val="0094007A"/>
    <w:rsid w:val="00943175"/>
    <w:rsid w:val="00944111"/>
    <w:rsid w:val="009527C4"/>
    <w:rsid w:val="00953D66"/>
    <w:rsid w:val="00953EB3"/>
    <w:rsid w:val="00954131"/>
    <w:rsid w:val="00956D26"/>
    <w:rsid w:val="0095741D"/>
    <w:rsid w:val="00960362"/>
    <w:rsid w:val="0097288F"/>
    <w:rsid w:val="0098207E"/>
    <w:rsid w:val="009828C4"/>
    <w:rsid w:val="00990AAE"/>
    <w:rsid w:val="009A0C45"/>
    <w:rsid w:val="009A648B"/>
    <w:rsid w:val="009B6120"/>
    <w:rsid w:val="009C2F76"/>
    <w:rsid w:val="009C369D"/>
    <w:rsid w:val="009D1D1B"/>
    <w:rsid w:val="009D1E82"/>
    <w:rsid w:val="009D2C07"/>
    <w:rsid w:val="009E3535"/>
    <w:rsid w:val="009E47A8"/>
    <w:rsid w:val="009E69C3"/>
    <w:rsid w:val="009E7518"/>
    <w:rsid w:val="009F5312"/>
    <w:rsid w:val="00A02AEC"/>
    <w:rsid w:val="00A0594A"/>
    <w:rsid w:val="00A10B22"/>
    <w:rsid w:val="00A12C47"/>
    <w:rsid w:val="00A158E7"/>
    <w:rsid w:val="00A17B63"/>
    <w:rsid w:val="00A23E04"/>
    <w:rsid w:val="00A3014D"/>
    <w:rsid w:val="00A46C15"/>
    <w:rsid w:val="00A50DC0"/>
    <w:rsid w:val="00A63695"/>
    <w:rsid w:val="00A64552"/>
    <w:rsid w:val="00A72F06"/>
    <w:rsid w:val="00A730F2"/>
    <w:rsid w:val="00A75ECA"/>
    <w:rsid w:val="00A77FFD"/>
    <w:rsid w:val="00AB062E"/>
    <w:rsid w:val="00AB4554"/>
    <w:rsid w:val="00AC2472"/>
    <w:rsid w:val="00AC47B6"/>
    <w:rsid w:val="00AC4E5A"/>
    <w:rsid w:val="00AD7DF9"/>
    <w:rsid w:val="00AE29BB"/>
    <w:rsid w:val="00AE2CAF"/>
    <w:rsid w:val="00AE4B59"/>
    <w:rsid w:val="00AF33D9"/>
    <w:rsid w:val="00B002E4"/>
    <w:rsid w:val="00B1363C"/>
    <w:rsid w:val="00B20EB8"/>
    <w:rsid w:val="00B2130E"/>
    <w:rsid w:val="00B2530E"/>
    <w:rsid w:val="00B26285"/>
    <w:rsid w:val="00B31C96"/>
    <w:rsid w:val="00B332B2"/>
    <w:rsid w:val="00B34CCC"/>
    <w:rsid w:val="00B36EC7"/>
    <w:rsid w:val="00B36EDD"/>
    <w:rsid w:val="00B40B77"/>
    <w:rsid w:val="00B50992"/>
    <w:rsid w:val="00B614B9"/>
    <w:rsid w:val="00B61C97"/>
    <w:rsid w:val="00B628C5"/>
    <w:rsid w:val="00B668BD"/>
    <w:rsid w:val="00B67F74"/>
    <w:rsid w:val="00B71933"/>
    <w:rsid w:val="00B72E41"/>
    <w:rsid w:val="00B731AA"/>
    <w:rsid w:val="00B8078D"/>
    <w:rsid w:val="00B924CA"/>
    <w:rsid w:val="00BA5799"/>
    <w:rsid w:val="00BC2CF4"/>
    <w:rsid w:val="00BC7048"/>
    <w:rsid w:val="00BD12A3"/>
    <w:rsid w:val="00BD6D34"/>
    <w:rsid w:val="00BD7F6E"/>
    <w:rsid w:val="00BF47B0"/>
    <w:rsid w:val="00BF5327"/>
    <w:rsid w:val="00C04685"/>
    <w:rsid w:val="00C0692F"/>
    <w:rsid w:val="00C129AD"/>
    <w:rsid w:val="00C13400"/>
    <w:rsid w:val="00C163DA"/>
    <w:rsid w:val="00C17895"/>
    <w:rsid w:val="00C21D33"/>
    <w:rsid w:val="00C3382F"/>
    <w:rsid w:val="00C4377C"/>
    <w:rsid w:val="00C47F0F"/>
    <w:rsid w:val="00C51D84"/>
    <w:rsid w:val="00C52506"/>
    <w:rsid w:val="00C5393D"/>
    <w:rsid w:val="00C66ABC"/>
    <w:rsid w:val="00C82259"/>
    <w:rsid w:val="00C9297C"/>
    <w:rsid w:val="00C9389D"/>
    <w:rsid w:val="00C938D6"/>
    <w:rsid w:val="00C93B1B"/>
    <w:rsid w:val="00C94014"/>
    <w:rsid w:val="00C97933"/>
    <w:rsid w:val="00CB0A99"/>
    <w:rsid w:val="00CB5A09"/>
    <w:rsid w:val="00CB69B4"/>
    <w:rsid w:val="00CD0CD4"/>
    <w:rsid w:val="00CD64B0"/>
    <w:rsid w:val="00CD701A"/>
    <w:rsid w:val="00CD713B"/>
    <w:rsid w:val="00CE3B9F"/>
    <w:rsid w:val="00CF1FB8"/>
    <w:rsid w:val="00CF2935"/>
    <w:rsid w:val="00CF2C65"/>
    <w:rsid w:val="00CF482F"/>
    <w:rsid w:val="00CF4C21"/>
    <w:rsid w:val="00D033BB"/>
    <w:rsid w:val="00D0345C"/>
    <w:rsid w:val="00D078B6"/>
    <w:rsid w:val="00D1022C"/>
    <w:rsid w:val="00D27115"/>
    <w:rsid w:val="00D34DCC"/>
    <w:rsid w:val="00D35101"/>
    <w:rsid w:val="00D61D9B"/>
    <w:rsid w:val="00D77F03"/>
    <w:rsid w:val="00D829C7"/>
    <w:rsid w:val="00D83653"/>
    <w:rsid w:val="00D863F3"/>
    <w:rsid w:val="00D87851"/>
    <w:rsid w:val="00DA17E3"/>
    <w:rsid w:val="00DA2F09"/>
    <w:rsid w:val="00DB478A"/>
    <w:rsid w:val="00DC02E1"/>
    <w:rsid w:val="00DC1E60"/>
    <w:rsid w:val="00DD1736"/>
    <w:rsid w:val="00DD60CC"/>
    <w:rsid w:val="00DF4D12"/>
    <w:rsid w:val="00E0207E"/>
    <w:rsid w:val="00E054A9"/>
    <w:rsid w:val="00E10AE2"/>
    <w:rsid w:val="00E10F0A"/>
    <w:rsid w:val="00E21875"/>
    <w:rsid w:val="00E2262F"/>
    <w:rsid w:val="00E25407"/>
    <w:rsid w:val="00E32599"/>
    <w:rsid w:val="00E33B0E"/>
    <w:rsid w:val="00E42511"/>
    <w:rsid w:val="00E42621"/>
    <w:rsid w:val="00E432BE"/>
    <w:rsid w:val="00E446A6"/>
    <w:rsid w:val="00E53CB5"/>
    <w:rsid w:val="00E53CCD"/>
    <w:rsid w:val="00E5537C"/>
    <w:rsid w:val="00E56BDA"/>
    <w:rsid w:val="00E60721"/>
    <w:rsid w:val="00E62607"/>
    <w:rsid w:val="00E6300A"/>
    <w:rsid w:val="00E71855"/>
    <w:rsid w:val="00E719A9"/>
    <w:rsid w:val="00E916C7"/>
    <w:rsid w:val="00EA1DE4"/>
    <w:rsid w:val="00EA60EA"/>
    <w:rsid w:val="00EB1533"/>
    <w:rsid w:val="00EB22DA"/>
    <w:rsid w:val="00EB29BF"/>
    <w:rsid w:val="00EC0EEF"/>
    <w:rsid w:val="00EC324F"/>
    <w:rsid w:val="00EC7C7F"/>
    <w:rsid w:val="00ED12AC"/>
    <w:rsid w:val="00EE14EF"/>
    <w:rsid w:val="00EE4422"/>
    <w:rsid w:val="00EE4D7D"/>
    <w:rsid w:val="00EF0267"/>
    <w:rsid w:val="00EF4B42"/>
    <w:rsid w:val="00F0038B"/>
    <w:rsid w:val="00F003D3"/>
    <w:rsid w:val="00F008AB"/>
    <w:rsid w:val="00F01870"/>
    <w:rsid w:val="00F03E32"/>
    <w:rsid w:val="00F04C92"/>
    <w:rsid w:val="00F065E2"/>
    <w:rsid w:val="00F14F58"/>
    <w:rsid w:val="00F15C79"/>
    <w:rsid w:val="00F22B0F"/>
    <w:rsid w:val="00F2302B"/>
    <w:rsid w:val="00F35F43"/>
    <w:rsid w:val="00F42289"/>
    <w:rsid w:val="00F42E75"/>
    <w:rsid w:val="00F45D65"/>
    <w:rsid w:val="00F517FA"/>
    <w:rsid w:val="00F52D16"/>
    <w:rsid w:val="00F54149"/>
    <w:rsid w:val="00F55E14"/>
    <w:rsid w:val="00F62D67"/>
    <w:rsid w:val="00F63BD9"/>
    <w:rsid w:val="00F65D32"/>
    <w:rsid w:val="00F6694C"/>
    <w:rsid w:val="00F73BB3"/>
    <w:rsid w:val="00F8145F"/>
    <w:rsid w:val="00F844DC"/>
    <w:rsid w:val="00F855A0"/>
    <w:rsid w:val="00F9283D"/>
    <w:rsid w:val="00F93C70"/>
    <w:rsid w:val="00F96F18"/>
    <w:rsid w:val="00FA1924"/>
    <w:rsid w:val="00FA508E"/>
    <w:rsid w:val="00FA5320"/>
    <w:rsid w:val="00FA7846"/>
    <w:rsid w:val="00FB3449"/>
    <w:rsid w:val="00FC26E5"/>
    <w:rsid w:val="00FC34B0"/>
    <w:rsid w:val="00FD19F1"/>
    <w:rsid w:val="00FD3523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CBE97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f4">
    <w:name w:val="Normal (Web)"/>
    <w:basedOn w:val="a"/>
    <w:uiPriority w:val="99"/>
    <w:unhideWhenUsed/>
    <w:rsid w:val="00D829C7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af5">
    <w:name w:val="Revision"/>
    <w:hidden/>
    <w:uiPriority w:val="99"/>
    <w:semiHidden/>
    <w:rsid w:val="00480F60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pple-converted-space">
    <w:name w:val="apple-converted-space"/>
    <w:basedOn w:val="a0"/>
    <w:rsid w:val="006B7EF5"/>
  </w:style>
  <w:style w:type="character" w:styleId="af6">
    <w:name w:val="annotation reference"/>
    <w:basedOn w:val="a0"/>
    <w:uiPriority w:val="99"/>
    <w:semiHidden/>
    <w:unhideWhenUsed/>
    <w:rsid w:val="005D013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D0135"/>
    <w:rPr>
      <w:sz w:val="20"/>
      <w:szCs w:val="20"/>
    </w:rPr>
  </w:style>
  <w:style w:type="character" w:customStyle="1" w:styleId="af8">
    <w:name w:val="Текст примітки Знак"/>
    <w:basedOn w:val="a0"/>
    <w:link w:val="af7"/>
    <w:uiPriority w:val="99"/>
    <w:semiHidden/>
    <w:rsid w:val="005D0135"/>
    <w:rPr>
      <w:rFonts w:ascii="Times New Roman" w:hAnsi="Times New Roman" w:cs="Times New Roman"/>
      <w:sz w:val="20"/>
      <w:szCs w:val="20"/>
      <w:lang w:eastAsia="uk-U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D0135"/>
    <w:rPr>
      <w:b/>
      <w:bCs/>
    </w:rPr>
  </w:style>
  <w:style w:type="character" w:customStyle="1" w:styleId="afa">
    <w:name w:val="Тема примітки Знак"/>
    <w:basedOn w:val="af8"/>
    <w:link w:val="af9"/>
    <w:uiPriority w:val="99"/>
    <w:semiHidden/>
    <w:rsid w:val="005D0135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1961E67-2837-484C-B599-99F00F9F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2679</Words>
  <Characters>1528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Тарасюк Ніла Андріївна</cp:lastModifiedBy>
  <cp:revision>9</cp:revision>
  <cp:lastPrinted>2023-10-19T19:44:00Z</cp:lastPrinted>
  <dcterms:created xsi:type="dcterms:W3CDTF">2024-03-22T08:42:00Z</dcterms:created>
  <dcterms:modified xsi:type="dcterms:W3CDTF">2024-04-09T06:24:00Z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