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81" w:rsidRPr="001D1CDE" w:rsidRDefault="00046281" w:rsidP="00046281">
      <w:pPr>
        <w:ind w:firstLine="567"/>
        <w:jc w:val="right"/>
        <w:rPr>
          <w:color w:val="000000" w:themeColor="text1"/>
        </w:rPr>
      </w:pPr>
      <w:r>
        <w:t>Офіційно опубліковано 10.06.2024</w:t>
      </w:r>
    </w:p>
    <w:p w:rsidR="007E1A27" w:rsidRPr="00100569" w:rsidRDefault="007E1A27" w:rsidP="007E1A27">
      <w:pPr>
        <w:rPr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100569" w:rsidRPr="00100569" w:rsidTr="0026382F">
        <w:trPr>
          <w:trHeight w:val="851"/>
        </w:trPr>
        <w:tc>
          <w:tcPr>
            <w:tcW w:w="3207" w:type="dxa"/>
          </w:tcPr>
          <w:p w:rsidR="007E1A27" w:rsidRPr="00100569" w:rsidRDefault="007E1A27" w:rsidP="0026382F"/>
        </w:tc>
        <w:tc>
          <w:tcPr>
            <w:tcW w:w="3227" w:type="dxa"/>
            <w:vMerge w:val="restart"/>
          </w:tcPr>
          <w:p w:rsidR="007E1A27" w:rsidRPr="00100569" w:rsidRDefault="007E1A27" w:rsidP="0026382F">
            <w:pPr>
              <w:jc w:val="center"/>
            </w:pPr>
            <w:r w:rsidRPr="00100569">
              <w:object w:dxaOrig="1595" w:dyaOrig="2201" w14:anchorId="32DC6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8" o:title=""/>
                </v:shape>
                <o:OLEObject Type="Embed" ProgID="CorelDraw.Graphic.16" ShapeID="_x0000_i1025" DrawAspect="Content" ObjectID="_1779528860" r:id="rId9"/>
              </w:object>
            </w:r>
          </w:p>
        </w:tc>
        <w:tc>
          <w:tcPr>
            <w:tcW w:w="3204" w:type="dxa"/>
          </w:tcPr>
          <w:p w:rsidR="007E1A27" w:rsidRPr="00100569" w:rsidRDefault="007E1A27" w:rsidP="0026382F"/>
        </w:tc>
      </w:tr>
      <w:tr w:rsidR="00100569" w:rsidRPr="00100569" w:rsidTr="0026382F">
        <w:tc>
          <w:tcPr>
            <w:tcW w:w="3207" w:type="dxa"/>
          </w:tcPr>
          <w:p w:rsidR="007E1A27" w:rsidRPr="00100569" w:rsidRDefault="007E1A27" w:rsidP="0026382F"/>
        </w:tc>
        <w:tc>
          <w:tcPr>
            <w:tcW w:w="3227" w:type="dxa"/>
            <w:vMerge/>
          </w:tcPr>
          <w:p w:rsidR="007E1A27" w:rsidRPr="00100569" w:rsidRDefault="007E1A27" w:rsidP="0026382F"/>
        </w:tc>
        <w:tc>
          <w:tcPr>
            <w:tcW w:w="3204" w:type="dxa"/>
          </w:tcPr>
          <w:p w:rsidR="007E1A27" w:rsidRPr="00100569" w:rsidRDefault="007E1A27" w:rsidP="0026382F"/>
        </w:tc>
      </w:tr>
      <w:tr w:rsidR="00100569" w:rsidRPr="00100569" w:rsidTr="0026382F">
        <w:tc>
          <w:tcPr>
            <w:tcW w:w="9638" w:type="dxa"/>
            <w:gridSpan w:val="3"/>
          </w:tcPr>
          <w:p w:rsidR="00DF4DA6" w:rsidRPr="00555870" w:rsidRDefault="00DF4DA6" w:rsidP="00DF4DA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555870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7E1A27" w:rsidRPr="00100569" w:rsidRDefault="00DF4DA6" w:rsidP="00DF4DA6">
            <w:pPr>
              <w:jc w:val="center"/>
            </w:pPr>
            <w:r w:rsidRPr="00555870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7E1A27" w:rsidRPr="00100569" w:rsidRDefault="007E1A27" w:rsidP="007E1A27">
      <w:pPr>
        <w:rPr>
          <w:sz w:val="4"/>
          <w:szCs w:val="4"/>
        </w:rPr>
      </w:pPr>
    </w:p>
    <w:tbl>
      <w:tblPr>
        <w:tblStyle w:val="a3"/>
        <w:tblW w:w="11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26"/>
        <w:gridCol w:w="1961"/>
        <w:gridCol w:w="992"/>
        <w:gridCol w:w="1893"/>
      </w:tblGrid>
      <w:tr w:rsidR="00046281" w:rsidRPr="00100569" w:rsidTr="00046281">
        <w:tc>
          <w:tcPr>
            <w:tcW w:w="2835" w:type="dxa"/>
            <w:vAlign w:val="bottom"/>
          </w:tcPr>
          <w:p w:rsidR="00046281" w:rsidRPr="00566BA2" w:rsidRDefault="00046281" w:rsidP="00046281">
            <w:r>
              <w:t>08 червня 2024 року</w:t>
            </w:r>
          </w:p>
        </w:tc>
        <w:tc>
          <w:tcPr>
            <w:tcW w:w="3426" w:type="dxa"/>
          </w:tcPr>
          <w:p w:rsidR="00046281" w:rsidRDefault="00046281" w:rsidP="000A651B">
            <w:pPr>
              <w:spacing w:before="240"/>
              <w:ind w:firstLine="462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961" w:type="dxa"/>
            <w:vAlign w:val="bottom"/>
          </w:tcPr>
          <w:p w:rsidR="00046281" w:rsidRPr="00101D5A" w:rsidRDefault="00046281" w:rsidP="000A651B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992" w:type="dxa"/>
            <w:vAlign w:val="bottom"/>
          </w:tcPr>
          <w:p w:rsidR="00046281" w:rsidRDefault="00046281" w:rsidP="00046281">
            <w:pPr>
              <w:jc w:val="left"/>
            </w:pPr>
            <w:r>
              <w:t>№ 66</w:t>
            </w:r>
          </w:p>
        </w:tc>
        <w:tc>
          <w:tcPr>
            <w:tcW w:w="1893" w:type="dxa"/>
            <w:vAlign w:val="bottom"/>
          </w:tcPr>
          <w:p w:rsidR="00046281" w:rsidRPr="00100569" w:rsidRDefault="00046281" w:rsidP="000A651B">
            <w:pPr>
              <w:jc w:val="left"/>
            </w:pPr>
          </w:p>
        </w:tc>
      </w:tr>
    </w:tbl>
    <w:p w:rsidR="007E1A27" w:rsidRPr="00100569" w:rsidRDefault="007E1A27" w:rsidP="00662074">
      <w:pPr>
        <w:ind w:firstLine="709"/>
        <w:jc w:val="center"/>
        <w:rPr>
          <w:rFonts w:eastAsiaTheme="minorEastAsia"/>
          <w:lang w:eastAsia="en-US"/>
        </w:rPr>
      </w:pPr>
    </w:p>
    <w:tbl>
      <w:tblPr>
        <w:tblStyle w:val="a3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E1A27" w:rsidRPr="00100569" w:rsidTr="0026382F">
        <w:trPr>
          <w:jc w:val="center"/>
        </w:trPr>
        <w:tc>
          <w:tcPr>
            <w:tcW w:w="5000" w:type="pct"/>
          </w:tcPr>
          <w:p w:rsidR="007E1A27" w:rsidRPr="00100569" w:rsidRDefault="007E1A27" w:rsidP="00662074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lang w:eastAsia="en-US"/>
              </w:rPr>
            </w:pPr>
            <w:r w:rsidRPr="00100569">
              <w:rPr>
                <w:rFonts w:eastAsiaTheme="minorEastAsia"/>
                <w:lang w:eastAsia="en-US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:rsidR="00662074" w:rsidRPr="00100569" w:rsidRDefault="00662074" w:rsidP="00662074">
      <w:pPr>
        <w:ind w:firstLine="567"/>
        <w:rPr>
          <w:rFonts w:eastAsiaTheme="minorEastAsia"/>
          <w:lang w:eastAsia="en-US"/>
        </w:rPr>
      </w:pPr>
    </w:p>
    <w:p w:rsidR="007E1A27" w:rsidRPr="00100569" w:rsidRDefault="007E1A27" w:rsidP="00FE18F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100569">
        <w:rPr>
          <w:rFonts w:eastAsiaTheme="minorEastAsia"/>
          <w:color w:val="auto"/>
          <w:sz w:val="28"/>
          <w:szCs w:val="28"/>
        </w:rPr>
        <w:t xml:space="preserve">Відповідно до статей 7, 15, </w:t>
      </w:r>
      <w:r w:rsidR="00FE18F1" w:rsidRPr="00100569">
        <w:rPr>
          <w:rFonts w:eastAsiaTheme="minorEastAsia"/>
          <w:color w:val="auto"/>
          <w:sz w:val="28"/>
          <w:szCs w:val="28"/>
        </w:rPr>
        <w:t xml:space="preserve">55, </w:t>
      </w:r>
      <w:r w:rsidRPr="00100569">
        <w:rPr>
          <w:rFonts w:eastAsiaTheme="minorEastAsia"/>
          <w:color w:val="auto"/>
          <w:sz w:val="28"/>
          <w:szCs w:val="28"/>
        </w:rPr>
        <w:t>56 Закону України “Про Національний банк України”,</w:t>
      </w:r>
      <w:r w:rsidRPr="00100569">
        <w:rPr>
          <w:b/>
          <w:color w:val="auto"/>
          <w:sz w:val="28"/>
          <w:szCs w:val="28"/>
        </w:rPr>
        <w:t xml:space="preserve"> </w:t>
      </w:r>
      <w:r w:rsidRPr="00100569">
        <w:rPr>
          <w:color w:val="auto"/>
          <w:sz w:val="28"/>
          <w:szCs w:val="28"/>
        </w:rPr>
        <w:t xml:space="preserve">статей </w:t>
      </w:r>
      <w:r w:rsidR="00FE18F1" w:rsidRPr="00100569">
        <w:rPr>
          <w:color w:val="auto"/>
          <w:sz w:val="28"/>
          <w:szCs w:val="28"/>
        </w:rPr>
        <w:t>66, 67</w:t>
      </w:r>
      <w:r w:rsidRPr="00100569">
        <w:rPr>
          <w:color w:val="auto"/>
          <w:sz w:val="28"/>
          <w:szCs w:val="28"/>
        </w:rPr>
        <w:t xml:space="preserve"> Закону України </w:t>
      </w:r>
      <w:r w:rsidR="007E7DB9" w:rsidRPr="00100569">
        <w:rPr>
          <w:color w:val="auto"/>
          <w:sz w:val="28"/>
          <w:szCs w:val="28"/>
        </w:rPr>
        <w:t>“</w:t>
      </w:r>
      <w:r w:rsidRPr="00100569">
        <w:rPr>
          <w:color w:val="auto"/>
          <w:sz w:val="28"/>
          <w:szCs w:val="28"/>
        </w:rPr>
        <w:t>Про банки і банківську діяльність</w:t>
      </w:r>
      <w:r w:rsidR="007E7DB9" w:rsidRPr="00100569">
        <w:rPr>
          <w:color w:val="auto"/>
          <w:sz w:val="28"/>
          <w:szCs w:val="28"/>
        </w:rPr>
        <w:t>”</w:t>
      </w:r>
      <w:r w:rsidRPr="00100569">
        <w:rPr>
          <w:color w:val="auto"/>
          <w:sz w:val="28"/>
          <w:szCs w:val="28"/>
        </w:rPr>
        <w:t xml:space="preserve">, </w:t>
      </w:r>
      <w:r w:rsidR="00FE18F1" w:rsidRPr="00100569">
        <w:rPr>
          <w:color w:val="auto"/>
          <w:sz w:val="28"/>
          <w:szCs w:val="28"/>
        </w:rPr>
        <w:t>статті 9 Закону України “Про правовий режим воєнного стану”,</w:t>
      </w:r>
      <w:r w:rsidR="009E112A" w:rsidRPr="00100569">
        <w:rPr>
          <w:color w:val="auto"/>
          <w:sz w:val="28"/>
          <w:szCs w:val="28"/>
        </w:rPr>
        <w:t xml:space="preserve"> </w:t>
      </w:r>
      <w:r w:rsidRPr="00100569">
        <w:rPr>
          <w:color w:val="auto"/>
          <w:sz w:val="28"/>
          <w:szCs w:val="28"/>
        </w:rPr>
        <w:t xml:space="preserve">з метою </w:t>
      </w:r>
      <w:r w:rsidR="00FE18F1" w:rsidRPr="00100569">
        <w:rPr>
          <w:color w:val="auto"/>
          <w:sz w:val="28"/>
          <w:szCs w:val="28"/>
          <w:shd w:val="clear" w:color="auto" w:fill="FFFFFF"/>
        </w:rPr>
        <w:t>сприяння безпеці та стабільності банківської системи, запобігання кризовим явищам у період запровадження воєнного стану, підтримання розвитку кредитування галузей економіки</w:t>
      </w:r>
      <w:r w:rsidRPr="00100569">
        <w:rPr>
          <w:b/>
          <w:color w:val="auto"/>
          <w:sz w:val="28"/>
          <w:szCs w:val="28"/>
        </w:rPr>
        <w:t xml:space="preserve"> </w:t>
      </w:r>
      <w:r w:rsidRPr="00100569">
        <w:rPr>
          <w:color w:val="auto"/>
          <w:sz w:val="28"/>
          <w:szCs w:val="28"/>
        </w:rPr>
        <w:t>Правління Національного банку України</w:t>
      </w:r>
      <w:r w:rsidR="009E7AD6" w:rsidRPr="00100569">
        <w:rPr>
          <w:color w:val="auto"/>
          <w:sz w:val="28"/>
          <w:szCs w:val="28"/>
        </w:rPr>
        <w:t xml:space="preserve"> </w:t>
      </w:r>
      <w:r w:rsidRPr="00100569">
        <w:rPr>
          <w:b/>
          <w:color w:val="auto"/>
          <w:sz w:val="28"/>
          <w:szCs w:val="28"/>
        </w:rPr>
        <w:t>постановляє:</w:t>
      </w:r>
    </w:p>
    <w:p w:rsidR="00662074" w:rsidRPr="00100569" w:rsidRDefault="00662074" w:rsidP="001874D8">
      <w:pPr>
        <w:ind w:firstLine="567"/>
        <w:contextualSpacing/>
        <w:rPr>
          <w:sz w:val="22"/>
          <w:szCs w:val="22"/>
        </w:rPr>
      </w:pPr>
    </w:p>
    <w:p w:rsidR="002E5447" w:rsidRPr="00100569" w:rsidRDefault="007A0C32" w:rsidP="002E54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00569">
        <w:rPr>
          <w:color w:val="auto"/>
          <w:sz w:val="28"/>
          <w:szCs w:val="28"/>
        </w:rPr>
        <w:t>1</w:t>
      </w:r>
      <w:r w:rsidR="001A2AB5" w:rsidRPr="00100569">
        <w:rPr>
          <w:color w:val="auto"/>
          <w:sz w:val="28"/>
          <w:szCs w:val="28"/>
        </w:rPr>
        <w:t>. </w:t>
      </w:r>
      <w:r w:rsidR="002E5447">
        <w:rPr>
          <w:color w:val="auto"/>
          <w:sz w:val="28"/>
          <w:szCs w:val="28"/>
        </w:rPr>
        <w:t>П</w:t>
      </w:r>
      <w:r w:rsidRPr="00100569">
        <w:rPr>
          <w:color w:val="auto"/>
          <w:sz w:val="28"/>
          <w:szCs w:val="28"/>
        </w:rPr>
        <w:t>ункт</w:t>
      </w:r>
      <w:r w:rsidR="001A2AB5" w:rsidRPr="00100569">
        <w:rPr>
          <w:color w:val="auto"/>
          <w:sz w:val="28"/>
          <w:szCs w:val="28"/>
        </w:rPr>
        <w:t xml:space="preserve"> </w:t>
      </w:r>
      <w:r w:rsidR="00FE18F1" w:rsidRPr="00100569">
        <w:rPr>
          <w:color w:val="auto"/>
          <w:sz w:val="28"/>
          <w:szCs w:val="28"/>
          <w:shd w:val="clear" w:color="auto" w:fill="FFFFFF"/>
        </w:rPr>
        <w:t>4</w:t>
      </w:r>
      <w:r w:rsidR="00FE18F1" w:rsidRPr="00100569">
        <w:rPr>
          <w:color w:val="auto"/>
          <w:sz w:val="28"/>
          <w:szCs w:val="28"/>
          <w:shd w:val="clear" w:color="auto" w:fill="FFFFFF"/>
          <w:vertAlign w:val="superscript"/>
        </w:rPr>
        <w:t>1</w:t>
      </w:r>
      <w:r w:rsidRPr="00100569">
        <w:rPr>
          <w:color w:val="auto"/>
          <w:sz w:val="28"/>
          <w:szCs w:val="28"/>
          <w:shd w:val="clear" w:color="auto" w:fill="FFFFFF"/>
          <w:vertAlign w:val="superscript"/>
        </w:rPr>
        <w:t xml:space="preserve"> </w:t>
      </w:r>
      <w:r w:rsidR="00FE18F1" w:rsidRPr="00100569">
        <w:rPr>
          <w:color w:val="auto"/>
          <w:sz w:val="28"/>
          <w:szCs w:val="28"/>
        </w:rPr>
        <w:t xml:space="preserve"> постанови Правління Національного банку України від 25 лютого 2022 року № 23 “Про деякі питання діяльності банків України та банківських груп” (зі змінами)</w:t>
      </w:r>
      <w:r w:rsidR="002E5447">
        <w:rPr>
          <w:color w:val="auto"/>
          <w:sz w:val="28"/>
          <w:szCs w:val="28"/>
        </w:rPr>
        <w:t xml:space="preserve"> після підпункту 4 доповнити </w:t>
      </w:r>
      <w:r w:rsidR="002E5447" w:rsidRPr="00100569">
        <w:rPr>
          <w:color w:val="auto"/>
          <w:sz w:val="28"/>
          <w:szCs w:val="28"/>
        </w:rPr>
        <w:t>новим підпунктом 5 такого змісту:</w:t>
      </w:r>
    </w:p>
    <w:p w:rsidR="002E5447" w:rsidRPr="00100569" w:rsidRDefault="002E5447" w:rsidP="002E54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00569">
        <w:rPr>
          <w:color w:val="auto"/>
          <w:sz w:val="28"/>
          <w:szCs w:val="28"/>
        </w:rPr>
        <w:t xml:space="preserve">“5) надання банком кредитів </w:t>
      </w:r>
      <w:r w:rsidRPr="00100569">
        <w:rPr>
          <w:color w:val="auto"/>
          <w:sz w:val="28"/>
          <w:szCs w:val="28"/>
          <w:shd w:val="clear" w:color="auto" w:fill="FFFFFF"/>
        </w:rPr>
        <w:t>фінансовим компаніям, які на підставі відповідної ліцензії мають право надавати послугу фінансового лізингу та</w:t>
      </w:r>
      <w:r w:rsidRPr="00100569">
        <w:rPr>
          <w:color w:val="auto"/>
          <w:sz w:val="28"/>
          <w:szCs w:val="28"/>
        </w:rPr>
        <w:t xml:space="preserve"> входять до складу однієї з банком банківської групи</w:t>
      </w:r>
      <w:r>
        <w:rPr>
          <w:color w:val="auto"/>
          <w:sz w:val="28"/>
          <w:szCs w:val="28"/>
        </w:rPr>
        <w:t>.</w:t>
      </w:r>
      <w:r w:rsidRPr="00100569">
        <w:rPr>
          <w:color w:val="auto"/>
          <w:sz w:val="28"/>
          <w:szCs w:val="28"/>
        </w:rPr>
        <w:t>”.</w:t>
      </w:r>
    </w:p>
    <w:p w:rsidR="00BA6B0D" w:rsidRPr="00100569" w:rsidRDefault="00BA6B0D" w:rsidP="00FE18F1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7E1A27" w:rsidRPr="00100569" w:rsidRDefault="00BA6B0D" w:rsidP="001874D8">
      <w:pPr>
        <w:ind w:firstLine="567"/>
        <w:contextualSpacing/>
      </w:pPr>
      <w:r w:rsidRPr="00100569">
        <w:t>2</w:t>
      </w:r>
      <w:r w:rsidR="007E1A27" w:rsidRPr="00100569">
        <w:t xml:space="preserve">. Затвердити </w:t>
      </w:r>
      <w:r w:rsidR="00E45B7F" w:rsidRPr="00100569">
        <w:t>З</w:t>
      </w:r>
      <w:r w:rsidR="007E1A27" w:rsidRPr="00100569">
        <w:t>міни до</w:t>
      </w:r>
      <w:r w:rsidRPr="00100569">
        <w:t xml:space="preserve"> </w:t>
      </w:r>
      <w:r w:rsidRPr="00100569">
        <w:rPr>
          <w:bCs/>
        </w:rPr>
        <w:t>Правил роботи банків у зв’язку з введенням в Україні воєнного стану, затверджених</w:t>
      </w:r>
      <w:r w:rsidRPr="00100569">
        <w:rPr>
          <w:shd w:val="clear" w:color="auto" w:fill="FFFFFF"/>
        </w:rPr>
        <w:t xml:space="preserve"> постановою Правління Національного банку України від 25 лютого 2022 року № 23 “Про деякі питання діяльності банків України та банківських груп”(зі змінами), </w:t>
      </w:r>
      <w:r w:rsidRPr="00100569">
        <w:rPr>
          <w:rFonts w:eastAsiaTheme="minorEastAsia"/>
          <w:noProof/>
          <w:lang w:eastAsia="en-US"/>
        </w:rPr>
        <w:t>що додаються.</w:t>
      </w:r>
    </w:p>
    <w:p w:rsidR="00662074" w:rsidRPr="00100569" w:rsidRDefault="00662074" w:rsidP="001874D8">
      <w:pPr>
        <w:ind w:firstLine="567"/>
        <w:contextualSpacing/>
        <w:rPr>
          <w:sz w:val="22"/>
          <w:szCs w:val="22"/>
        </w:rPr>
      </w:pPr>
    </w:p>
    <w:p w:rsidR="007E1A27" w:rsidRPr="00100569" w:rsidRDefault="0021169F" w:rsidP="001874D8">
      <w:pPr>
        <w:ind w:firstLine="567"/>
        <w:contextualSpacing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3</w:t>
      </w:r>
      <w:r w:rsidR="007E1A27" w:rsidRPr="00100569">
        <w:rPr>
          <w:rFonts w:eastAsiaTheme="minorEastAsia"/>
          <w:noProof/>
          <w:lang w:eastAsia="en-US"/>
        </w:rPr>
        <w:t>. Департаменту методології регулювання діяльності банків (Оксана Присяженко) після офіційного опублікування довести до відома банків України інформацію про прийняття цієї постанови.</w:t>
      </w:r>
    </w:p>
    <w:p w:rsidR="00662074" w:rsidRPr="00100569" w:rsidRDefault="00662074" w:rsidP="001874D8">
      <w:pPr>
        <w:ind w:firstLine="567"/>
        <w:contextualSpacing/>
        <w:rPr>
          <w:rFonts w:eastAsiaTheme="minorEastAsia"/>
          <w:noProof/>
          <w:sz w:val="22"/>
          <w:szCs w:val="22"/>
          <w:lang w:eastAsia="en-US"/>
        </w:rPr>
      </w:pPr>
    </w:p>
    <w:p w:rsidR="000F02AE" w:rsidRPr="00100569" w:rsidRDefault="0021169F" w:rsidP="005426F2">
      <w:pPr>
        <w:ind w:firstLine="567"/>
        <w:contextualSpacing/>
        <w:rPr>
          <w:shd w:val="clear" w:color="auto" w:fill="FFFFFF"/>
        </w:rPr>
      </w:pPr>
      <w:r>
        <w:rPr>
          <w:rFonts w:eastAsiaTheme="minorEastAsia"/>
          <w:noProof/>
          <w:lang w:eastAsia="en-US"/>
        </w:rPr>
        <w:t>4</w:t>
      </w:r>
      <w:r w:rsidR="007E1A27" w:rsidRPr="00100569">
        <w:rPr>
          <w:rFonts w:eastAsiaTheme="minorEastAsia"/>
          <w:noProof/>
          <w:lang w:eastAsia="en-US"/>
        </w:rPr>
        <w:t>. Постанова набирає чинності з дня</w:t>
      </w:r>
      <w:r w:rsidR="007C5A75" w:rsidRPr="00100569">
        <w:rPr>
          <w:rFonts w:eastAsiaTheme="minorEastAsia"/>
          <w:noProof/>
          <w:lang w:eastAsia="en-US"/>
        </w:rPr>
        <w:t>,</w:t>
      </w:r>
      <w:r w:rsidR="007E1A27" w:rsidRPr="00100569">
        <w:rPr>
          <w:rFonts w:eastAsiaTheme="minorEastAsia"/>
          <w:noProof/>
          <w:lang w:eastAsia="en-US"/>
        </w:rPr>
        <w:t xml:space="preserve"> наступного за днем її офіційного опублікування</w:t>
      </w:r>
      <w:r w:rsidR="000F02AE" w:rsidRPr="00100569">
        <w:rPr>
          <w:shd w:val="clear" w:color="auto" w:fill="FFFFFF"/>
        </w:rPr>
        <w:t>.</w:t>
      </w:r>
    </w:p>
    <w:p w:rsidR="00822330" w:rsidRDefault="00822330" w:rsidP="00822330">
      <w:pPr>
        <w:rPr>
          <w:rFonts w:eastAsiaTheme="minorEastAsia"/>
          <w:noProof/>
          <w:lang w:eastAsia="en-US"/>
        </w:rPr>
      </w:pPr>
    </w:p>
    <w:p w:rsidR="00A770E3" w:rsidRPr="00100569" w:rsidRDefault="00A770E3" w:rsidP="00822330">
      <w:pPr>
        <w:rPr>
          <w:rFonts w:eastAsiaTheme="minorEastAsia"/>
          <w:noProof/>
          <w:lang w:eastAsia="en-US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7E1A27" w:rsidRPr="00100569" w:rsidTr="0026382F">
        <w:tc>
          <w:tcPr>
            <w:tcW w:w="5387" w:type="dxa"/>
            <w:vAlign w:val="bottom"/>
          </w:tcPr>
          <w:p w:rsidR="007E1A27" w:rsidRPr="00100569" w:rsidRDefault="007E1A27" w:rsidP="00662074">
            <w:pPr>
              <w:autoSpaceDE w:val="0"/>
              <w:autoSpaceDN w:val="0"/>
              <w:ind w:left="-111"/>
              <w:jc w:val="left"/>
            </w:pPr>
            <w:r w:rsidRPr="00100569">
              <w:t>Голова</w:t>
            </w:r>
          </w:p>
        </w:tc>
        <w:tc>
          <w:tcPr>
            <w:tcW w:w="4252" w:type="dxa"/>
            <w:vAlign w:val="bottom"/>
          </w:tcPr>
          <w:p w:rsidR="007E1A27" w:rsidRPr="00100569" w:rsidRDefault="007E1A27" w:rsidP="0066207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100569">
              <w:t>Андрій ПИШНИЙ</w:t>
            </w:r>
          </w:p>
        </w:tc>
      </w:tr>
    </w:tbl>
    <w:p w:rsidR="009E5856" w:rsidRPr="00100569" w:rsidRDefault="009E5856" w:rsidP="00662074">
      <w:pPr>
        <w:jc w:val="left"/>
      </w:pPr>
    </w:p>
    <w:p w:rsidR="007E1A27" w:rsidRPr="00100569" w:rsidRDefault="007E1A27" w:rsidP="00662074">
      <w:pPr>
        <w:jc w:val="left"/>
      </w:pPr>
      <w:r w:rsidRPr="00100569">
        <w:t>Інд.</w:t>
      </w:r>
      <w:r w:rsidRPr="00100569">
        <w:rPr>
          <w:sz w:val="22"/>
          <w:szCs w:val="22"/>
        </w:rPr>
        <w:t xml:space="preserve"> </w:t>
      </w:r>
      <w:r w:rsidRPr="00100569">
        <w:t>22</w:t>
      </w:r>
    </w:p>
    <w:p w:rsidR="00B812CD" w:rsidRPr="00100569" w:rsidRDefault="00B812CD" w:rsidP="00662074">
      <w:pPr>
        <w:sectPr w:rsidR="00B812CD" w:rsidRPr="00100569" w:rsidSect="00662C41">
          <w:headerReference w:type="default" r:id="rId10"/>
          <w:pgSz w:w="11906" w:h="16838" w:code="9"/>
          <w:pgMar w:top="567" w:right="567" w:bottom="1701" w:left="1701" w:header="567" w:footer="567" w:gutter="0"/>
          <w:cols w:space="708"/>
          <w:titlePg/>
          <w:docGrid w:linePitch="381"/>
        </w:sectPr>
      </w:pPr>
    </w:p>
    <w:p w:rsidR="008F621B" w:rsidRDefault="008F621B" w:rsidP="008F621B">
      <w:pPr>
        <w:spacing w:before="150" w:after="150"/>
        <w:ind w:left="5529"/>
        <w:jc w:val="left"/>
      </w:pPr>
      <w:r w:rsidRPr="00100569">
        <w:rPr>
          <w:bCs/>
        </w:rPr>
        <w:lastRenderedPageBreak/>
        <w:t>ЗАТВЕРДЖЕНО</w:t>
      </w:r>
      <w:r w:rsidRPr="00100569">
        <w:br/>
      </w:r>
      <w:r w:rsidRPr="00100569">
        <w:rPr>
          <w:bCs/>
        </w:rPr>
        <w:t>Постанова Правління</w:t>
      </w:r>
      <w:r w:rsidRPr="00100569">
        <w:br/>
      </w:r>
      <w:r w:rsidRPr="00100569">
        <w:rPr>
          <w:bCs/>
        </w:rPr>
        <w:t>Національного банку України</w:t>
      </w:r>
      <w:r w:rsidRPr="00100569">
        <w:br/>
      </w:r>
      <w:r w:rsidR="00A439B5">
        <w:t>0</w:t>
      </w:r>
      <w:r w:rsidR="00A439B5">
        <w:t>8</w:t>
      </w:r>
      <w:r w:rsidR="00A439B5">
        <w:t xml:space="preserve"> </w:t>
      </w:r>
      <w:r w:rsidR="00A439B5">
        <w:t>червня</w:t>
      </w:r>
      <w:r w:rsidR="00A439B5">
        <w:t xml:space="preserve"> 2024 року № </w:t>
      </w:r>
      <w:r w:rsidR="00A439B5">
        <w:t>66</w:t>
      </w:r>
    </w:p>
    <w:p w:rsidR="00A770E3" w:rsidRPr="00100569" w:rsidRDefault="00A770E3" w:rsidP="008F621B">
      <w:pPr>
        <w:spacing w:before="150" w:after="150"/>
        <w:ind w:left="5529"/>
        <w:jc w:val="left"/>
      </w:pPr>
    </w:p>
    <w:p w:rsidR="00BA6B0D" w:rsidRPr="00100569" w:rsidRDefault="008F621B" w:rsidP="002D6DDA">
      <w:pPr>
        <w:shd w:val="clear" w:color="auto" w:fill="FFFFFF"/>
        <w:ind w:left="450" w:right="450"/>
        <w:jc w:val="center"/>
        <w:rPr>
          <w:bCs/>
        </w:rPr>
      </w:pPr>
      <w:r w:rsidRPr="00100569">
        <w:rPr>
          <w:bCs/>
        </w:rPr>
        <w:t>З</w:t>
      </w:r>
      <w:r w:rsidR="002F02B8" w:rsidRPr="00100569">
        <w:rPr>
          <w:bCs/>
        </w:rPr>
        <w:t xml:space="preserve">міни </w:t>
      </w:r>
      <w:r w:rsidRPr="00100569">
        <w:rPr>
          <w:bCs/>
        </w:rPr>
        <w:t xml:space="preserve">до </w:t>
      </w:r>
      <w:r w:rsidR="00BA6B0D" w:rsidRPr="00100569">
        <w:rPr>
          <w:bCs/>
        </w:rPr>
        <w:t xml:space="preserve">Правил роботи банків </w:t>
      </w:r>
    </w:p>
    <w:p w:rsidR="008F621B" w:rsidRPr="00100569" w:rsidRDefault="00BA6B0D" w:rsidP="002D6DDA">
      <w:pPr>
        <w:shd w:val="clear" w:color="auto" w:fill="FFFFFF"/>
        <w:ind w:left="450" w:right="450"/>
        <w:jc w:val="center"/>
        <w:rPr>
          <w:bCs/>
        </w:rPr>
      </w:pPr>
      <w:r w:rsidRPr="00100569">
        <w:rPr>
          <w:bCs/>
        </w:rPr>
        <w:t>у зв’язку з введенням в Україні воєнного стану</w:t>
      </w:r>
      <w:bookmarkStart w:id="0" w:name="_GoBack"/>
      <w:bookmarkEnd w:id="0"/>
    </w:p>
    <w:p w:rsidR="002D6DDA" w:rsidRPr="002E0CEE" w:rsidRDefault="002D6DDA" w:rsidP="002D6DDA">
      <w:pPr>
        <w:pStyle w:val="a4"/>
        <w:ind w:left="567"/>
        <w:rPr>
          <w:sz w:val="24"/>
          <w:szCs w:val="24"/>
        </w:rPr>
      </w:pPr>
    </w:p>
    <w:p w:rsidR="002E0CEE" w:rsidRPr="002E0CEE" w:rsidRDefault="002E0CEE" w:rsidP="002D6DDA">
      <w:pPr>
        <w:pStyle w:val="a4"/>
        <w:ind w:left="567"/>
        <w:rPr>
          <w:sz w:val="24"/>
          <w:szCs w:val="24"/>
        </w:rPr>
      </w:pPr>
    </w:p>
    <w:p w:rsidR="00652D44" w:rsidRPr="00F52999" w:rsidRDefault="00894B52" w:rsidP="00894B52">
      <w:pPr>
        <w:pStyle w:val="a4"/>
        <w:ind w:left="0" w:firstLine="567"/>
        <w:rPr>
          <w:shd w:val="clear" w:color="auto" w:fill="FFFFFF"/>
        </w:rPr>
      </w:pPr>
      <w:r>
        <w:rPr>
          <w:shd w:val="clear" w:color="auto" w:fill="FFFFFF"/>
          <w:lang w:val="ru-RU"/>
        </w:rPr>
        <w:t>1. </w:t>
      </w:r>
      <w:r w:rsidR="00652D44" w:rsidRPr="00F52999">
        <w:rPr>
          <w:shd w:val="clear" w:color="auto" w:fill="FFFFFF"/>
          <w:lang w:val="ru-RU"/>
        </w:rPr>
        <w:t>Правила</w:t>
      </w:r>
      <w:r w:rsidR="0021169F" w:rsidRPr="00F52999">
        <w:rPr>
          <w:shd w:val="clear" w:color="auto" w:fill="FFFFFF"/>
        </w:rPr>
        <w:t xml:space="preserve"> </w:t>
      </w:r>
      <w:r w:rsidR="00652D44" w:rsidRPr="00F52999">
        <w:rPr>
          <w:shd w:val="clear" w:color="auto" w:fill="FFFFFF"/>
        </w:rPr>
        <w:t>після</w:t>
      </w:r>
      <w:r w:rsidR="0021169F" w:rsidRPr="00F52999">
        <w:rPr>
          <w:shd w:val="clear" w:color="auto" w:fill="FFFFFF"/>
        </w:rPr>
        <w:t xml:space="preserve"> </w:t>
      </w:r>
      <w:r w:rsidR="00652D44" w:rsidRPr="00F52999">
        <w:rPr>
          <w:shd w:val="clear" w:color="auto" w:fill="FFFFFF"/>
        </w:rPr>
        <w:t>пункту</w:t>
      </w:r>
      <w:r w:rsidR="0021169F" w:rsidRPr="00F52999">
        <w:rPr>
          <w:shd w:val="clear" w:color="auto" w:fill="FFFFFF"/>
        </w:rPr>
        <w:t xml:space="preserve"> </w:t>
      </w:r>
      <w:r w:rsidR="00652D44" w:rsidRPr="00F52999">
        <w:rPr>
          <w:shd w:val="clear" w:color="auto" w:fill="FFFFFF"/>
        </w:rPr>
        <w:t xml:space="preserve"> 2</w:t>
      </w:r>
      <w:r w:rsidR="00652D44" w:rsidRPr="00F52999">
        <w:rPr>
          <w:shd w:val="clear" w:color="auto" w:fill="FFFFFF"/>
          <w:vertAlign w:val="superscript"/>
        </w:rPr>
        <w:t>14</w:t>
      </w:r>
      <w:r w:rsidR="00652D44" w:rsidRPr="00F52999">
        <w:rPr>
          <w:shd w:val="clear" w:color="auto" w:fill="FFFFFF"/>
        </w:rPr>
        <w:t xml:space="preserve"> </w:t>
      </w:r>
      <w:r w:rsidR="0021169F" w:rsidRPr="00F52999">
        <w:rPr>
          <w:shd w:val="clear" w:color="auto" w:fill="FFFFFF"/>
        </w:rPr>
        <w:t xml:space="preserve"> </w:t>
      </w:r>
      <w:r w:rsidR="00652D44" w:rsidRPr="0021169F">
        <w:t xml:space="preserve">доповнити </w:t>
      </w:r>
      <w:r w:rsidR="0021169F">
        <w:t xml:space="preserve"> </w:t>
      </w:r>
      <w:r w:rsidR="00652D44" w:rsidRPr="0021169F">
        <w:t>двома</w:t>
      </w:r>
      <w:r w:rsidR="0021169F">
        <w:t xml:space="preserve">  </w:t>
      </w:r>
      <w:r w:rsidR="00652D44" w:rsidRPr="0021169F">
        <w:t>новими</w:t>
      </w:r>
      <w:r w:rsidR="0021169F">
        <w:t xml:space="preserve"> </w:t>
      </w:r>
      <w:r w:rsidR="00652D44" w:rsidRPr="0021169F">
        <w:t xml:space="preserve"> пунктами</w:t>
      </w:r>
      <w:r w:rsidR="0021169F">
        <w:t xml:space="preserve">  </w:t>
      </w:r>
      <w:r w:rsidR="00652D44" w:rsidRPr="0021169F">
        <w:t>2</w:t>
      </w:r>
      <w:r w:rsidR="00652D44" w:rsidRPr="00F52999">
        <w:rPr>
          <w:vertAlign w:val="superscript"/>
        </w:rPr>
        <w:t>15</w:t>
      </w:r>
      <w:r w:rsidR="00652D44" w:rsidRPr="0021169F">
        <w:t xml:space="preserve"> та 2</w:t>
      </w:r>
      <w:r w:rsidR="00652D44" w:rsidRPr="00F52999">
        <w:rPr>
          <w:vertAlign w:val="superscript"/>
        </w:rPr>
        <w:t>16</w:t>
      </w:r>
      <w:r w:rsidR="00652D44" w:rsidRPr="00F52999">
        <w:rPr>
          <w:shd w:val="clear" w:color="auto" w:fill="FFFFFF"/>
          <w:vertAlign w:val="superscript"/>
        </w:rPr>
        <w:t xml:space="preserve"> </w:t>
      </w:r>
      <w:r w:rsidR="00652D44" w:rsidRPr="00F52999">
        <w:rPr>
          <w:shd w:val="clear" w:color="auto" w:fill="FFFFFF"/>
        </w:rPr>
        <w:t>такого змісту:</w:t>
      </w:r>
    </w:p>
    <w:p w:rsidR="004E5226" w:rsidRPr="00100569" w:rsidRDefault="00652D44" w:rsidP="007459DF">
      <w:pPr>
        <w:pStyle w:val="a4"/>
        <w:tabs>
          <w:tab w:val="left" w:pos="993"/>
        </w:tabs>
        <w:ind w:left="0" w:firstLine="567"/>
        <w:outlineLvl w:val="0"/>
      </w:pPr>
      <w:r w:rsidRPr="00100569">
        <w:rPr>
          <w:shd w:val="clear" w:color="auto" w:fill="FFFFFF"/>
        </w:rPr>
        <w:t>“</w:t>
      </w:r>
      <w:r w:rsidR="004E5226" w:rsidRPr="00100569">
        <w:rPr>
          <w:shd w:val="clear" w:color="auto" w:fill="FFFFFF"/>
        </w:rPr>
        <w:t>2</w:t>
      </w:r>
      <w:r w:rsidR="004E5226" w:rsidRPr="00100569">
        <w:rPr>
          <w:shd w:val="clear" w:color="auto" w:fill="FFFFFF"/>
          <w:vertAlign w:val="superscript"/>
        </w:rPr>
        <w:t>15</w:t>
      </w:r>
      <w:r w:rsidR="004E5226" w:rsidRPr="00100569">
        <w:rPr>
          <w:shd w:val="clear" w:color="auto" w:fill="FFFFFF"/>
        </w:rPr>
        <w:t xml:space="preserve">. </w:t>
      </w:r>
      <w:r w:rsidR="004E5226" w:rsidRPr="00100569">
        <w:t xml:space="preserve">Банки України протягом періоду дії воєнного стану та 365 календарних днів після його припинення чи скасування під час застосування вимог Положення № 351 </w:t>
      </w:r>
      <w:r w:rsidR="007F3AEA">
        <w:t>у</w:t>
      </w:r>
      <w:r w:rsidR="004E5226" w:rsidRPr="00100569">
        <w:t xml:space="preserve"> частині визначення розміру кредитного ризику за спеціалізованими кредитами, наданими за напрямами проєктне, об’єктне фінансування (кредитування), мають право:</w:t>
      </w:r>
    </w:p>
    <w:p w:rsidR="007459DF" w:rsidRPr="00100569" w:rsidRDefault="007459DF" w:rsidP="007459DF">
      <w:pPr>
        <w:pStyle w:val="a4"/>
        <w:tabs>
          <w:tab w:val="left" w:pos="993"/>
        </w:tabs>
        <w:ind w:left="0" w:firstLine="567"/>
        <w:outlineLvl w:val="0"/>
        <w:rPr>
          <w:sz w:val="22"/>
          <w:szCs w:val="22"/>
        </w:rPr>
      </w:pPr>
    </w:p>
    <w:p w:rsidR="004E5226" w:rsidRPr="00100569" w:rsidRDefault="004E5226" w:rsidP="00F52999">
      <w:pPr>
        <w:pStyle w:val="af2"/>
        <w:spacing w:after="240"/>
        <w:ind w:firstLine="59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0569">
        <w:rPr>
          <w:rFonts w:ascii="Times New Roman" w:hAnsi="Times New Roman"/>
          <w:sz w:val="28"/>
          <w:szCs w:val="28"/>
        </w:rPr>
        <w:t>1) 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не застосовувати норму підпункту 15</w:t>
      </w:r>
      <w:r w:rsidR="007F3AE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пункту 5 розділу I Положення № 351 </w:t>
      </w:r>
      <w:r w:rsidR="007F3AE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частині неперевищення суми коштів, унесених ініціатором проєкту, за угодами, умовами яких передбачено повернення цих коштів після повного погашення боржником </w:t>
      </w:r>
      <w:r w:rsidR="007F3AEA">
        <w:rPr>
          <w:rFonts w:ascii="Times New Roman" w:hAnsi="Times New Roman"/>
          <w:sz w:val="28"/>
          <w:szCs w:val="28"/>
          <w:shd w:val="clear" w:color="auto" w:fill="FFFFFF"/>
        </w:rPr>
        <w:t>‒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юридичною особою зобов</w:t>
      </w:r>
      <w:r w:rsidR="007F3AEA" w:rsidRPr="00F5299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язань за спеціалізованим кредитом над сумою внесків, унесених на безповоротній основі, якщо джерелом походження таких коштів не є кредитні кошти банку;</w:t>
      </w:r>
    </w:p>
    <w:p w:rsidR="004E5226" w:rsidRPr="00100569" w:rsidRDefault="004E5226" w:rsidP="004E5226">
      <w:pPr>
        <w:pStyle w:val="af2"/>
        <w:ind w:firstLine="59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2) під час застосування норми підпункту 15</w:t>
      </w:r>
      <w:r w:rsidRPr="0010056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пункту </w:t>
      </w:r>
      <w:r w:rsidRPr="00100569">
        <w:rPr>
          <w:rFonts w:ascii="Times New Roman" w:hAnsi="Times New Roman"/>
          <w:sz w:val="28"/>
          <w:szCs w:val="28"/>
        </w:rPr>
        <w:t>5 розділу I Положення № 351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E5226" w:rsidRPr="00100569" w:rsidRDefault="004E5226" w:rsidP="004E5226">
      <w:pPr>
        <w:pStyle w:val="af2"/>
        <w:ind w:firstLine="59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0569">
        <w:rPr>
          <w:rFonts w:ascii="Times New Roman" w:hAnsi="Times New Roman"/>
          <w:sz w:val="28"/>
          <w:szCs w:val="28"/>
        </w:rPr>
        <w:t xml:space="preserve">визначати 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протягом передексплуатаційного етапу проєкту та до 365 (включно) календарного дня після початку дії експлуатаційного етапу проєкту значення питомої ваги доходу від діяльності за проєктом за спеціалізованим кредитом у загальному обсязі чистого доходу від реалізації продукції (товарів, робіт, послуг) за даними бізнес</w:t>
      </w:r>
      <w:r w:rsidR="007F3AEA" w:rsidRPr="00F5299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плану проєкту; </w:t>
      </w:r>
    </w:p>
    <w:p w:rsidR="004E5226" w:rsidRPr="00100569" w:rsidRDefault="004E5226" w:rsidP="00F52999">
      <w:pPr>
        <w:pStyle w:val="af2"/>
        <w:spacing w:after="240"/>
        <w:ind w:firstLine="59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застосовувати значення питомої ваги доходу від діяльності за проєктом за спеціалізованим кредитом у загальному обсязі чистого доходу від реалізації продукції (товарів, робіт, послуг) на рівні 80 та більше відсотків</w:t>
      </w:r>
      <w:r w:rsidR="00A20709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на всіх етапах проєкту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E5226" w:rsidRPr="00100569" w:rsidRDefault="004E5226" w:rsidP="004E5226">
      <w:pPr>
        <w:pStyle w:val="af2"/>
        <w:spacing w:before="120"/>
        <w:ind w:firstLine="595"/>
        <w:jc w:val="both"/>
        <w:rPr>
          <w:rFonts w:ascii="Times New Roman" w:hAnsi="Times New Roman"/>
          <w:sz w:val="28"/>
          <w:szCs w:val="28"/>
        </w:rPr>
      </w:pPr>
      <w:r w:rsidRPr="00100569">
        <w:rPr>
          <w:rFonts w:ascii="Times New Roman" w:hAnsi="Times New Roman"/>
          <w:sz w:val="28"/>
          <w:szCs w:val="28"/>
        </w:rPr>
        <w:t xml:space="preserve">3) не застосовувати норму абзацу </w:t>
      </w:r>
      <w:r w:rsidRPr="00100569">
        <w:rPr>
          <w:rFonts w:ascii="Times New Roman" w:hAnsi="Times New Roman"/>
          <w:sz w:val="28"/>
          <w:szCs w:val="28"/>
          <w:lang w:val="ru-RU"/>
        </w:rPr>
        <w:t>четвертого</w:t>
      </w:r>
      <w:r w:rsidRPr="00100569">
        <w:rPr>
          <w:rFonts w:ascii="Times New Roman" w:hAnsi="Times New Roman"/>
          <w:sz w:val="28"/>
          <w:szCs w:val="28"/>
        </w:rPr>
        <w:t xml:space="preserve"> підпункту 24</w:t>
      </w:r>
      <w:r w:rsidRPr="00100569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100569">
        <w:rPr>
          <w:rFonts w:ascii="Times New Roman" w:hAnsi="Times New Roman"/>
          <w:sz w:val="28"/>
          <w:szCs w:val="28"/>
        </w:rPr>
        <w:t xml:space="preserve"> пункту 5 розділу I Положення № 351 за умови, що зобов’язання боржника за таким кредитом не менше ніж на 50% забезпечені безумовними та безвідкличними гарантіями:</w:t>
      </w:r>
    </w:p>
    <w:p w:rsidR="004E5226" w:rsidRPr="00100569" w:rsidRDefault="004E5226" w:rsidP="004E5226">
      <w:pPr>
        <w:shd w:val="clear" w:color="auto" w:fill="FFFFFF"/>
        <w:tabs>
          <w:tab w:val="left" w:pos="851"/>
        </w:tabs>
        <w:ind w:firstLine="567"/>
      </w:pPr>
      <w:r w:rsidRPr="00100569">
        <w:t>Кабінету Міністрів України;</w:t>
      </w:r>
    </w:p>
    <w:p w:rsidR="004E5226" w:rsidRPr="00100569" w:rsidRDefault="004E5226" w:rsidP="004E5226">
      <w:pPr>
        <w:shd w:val="clear" w:color="auto" w:fill="FFFFFF"/>
        <w:tabs>
          <w:tab w:val="left" w:pos="851"/>
        </w:tabs>
        <w:ind w:firstLine="567"/>
      </w:pPr>
      <w:r w:rsidRPr="00100569">
        <w:t>урядів країн, що мають інвестиційний рівень кредитного рейтингу за міжнародною шкалою;</w:t>
      </w:r>
    </w:p>
    <w:p w:rsidR="004E5226" w:rsidRPr="00100569" w:rsidRDefault="004E5226" w:rsidP="004E5226">
      <w:pPr>
        <w:shd w:val="clear" w:color="auto" w:fill="FFFFFF"/>
        <w:tabs>
          <w:tab w:val="left" w:pos="851"/>
        </w:tabs>
        <w:ind w:firstLine="567"/>
      </w:pPr>
      <w:r w:rsidRPr="00100569">
        <w:lastRenderedPageBreak/>
        <w:t xml:space="preserve">банків та інших установ, </w:t>
      </w:r>
      <w:r w:rsidR="007F3AEA">
        <w:t>в</w:t>
      </w:r>
      <w:r w:rsidRPr="00100569">
        <w:t xml:space="preserve">ключаючи міжнародні компанії, що мають інвестиційний рівень кредитного рейтингу за міжнародною шкалою; </w:t>
      </w:r>
    </w:p>
    <w:p w:rsidR="004E5226" w:rsidRPr="00100569" w:rsidRDefault="004E5226" w:rsidP="004E5226">
      <w:pPr>
        <w:shd w:val="clear" w:color="auto" w:fill="FFFFFF"/>
        <w:tabs>
          <w:tab w:val="left" w:pos="851"/>
        </w:tabs>
        <w:ind w:firstLine="567"/>
      </w:pPr>
      <w:r w:rsidRPr="00100569">
        <w:t xml:space="preserve">міжнародних банків розвитку; </w:t>
      </w:r>
    </w:p>
    <w:p w:rsidR="004E5226" w:rsidRPr="00100569" w:rsidRDefault="004E5226" w:rsidP="004E5226">
      <w:pPr>
        <w:shd w:val="clear" w:color="auto" w:fill="FFFFFF"/>
        <w:tabs>
          <w:tab w:val="left" w:pos="851"/>
        </w:tabs>
        <w:ind w:firstLine="567"/>
      </w:pPr>
      <w:r w:rsidRPr="00100569">
        <w:t>Фонду часткового гарантування кредитів у сільському господарстві;</w:t>
      </w:r>
    </w:p>
    <w:p w:rsidR="004E5226" w:rsidRPr="00100569" w:rsidRDefault="004E5226" w:rsidP="004E5226">
      <w:pPr>
        <w:shd w:val="clear" w:color="auto" w:fill="FFFFFF"/>
        <w:tabs>
          <w:tab w:val="left" w:pos="851"/>
        </w:tabs>
        <w:ind w:firstLine="567"/>
      </w:pPr>
      <w:r w:rsidRPr="00100569">
        <w:t>ПрАТ</w:t>
      </w:r>
      <w:r w:rsidRPr="00100569">
        <w:rPr>
          <w:lang w:val="ru-RU"/>
        </w:rPr>
        <w:t xml:space="preserve"> “</w:t>
      </w:r>
      <w:r w:rsidRPr="00100569">
        <w:t>Експортно-кредитне агентство</w:t>
      </w:r>
      <w:r w:rsidRPr="00100569">
        <w:rPr>
          <w:lang w:val="ru-RU"/>
        </w:rPr>
        <w:t>”</w:t>
      </w:r>
      <w:r w:rsidRPr="00100569">
        <w:t>,  виконання боргових зобов</w:t>
      </w:r>
      <w:r w:rsidR="007F3AEA" w:rsidRPr="00F52999">
        <w:rPr>
          <w:lang w:val="ru-RU"/>
        </w:rPr>
        <w:t>’</w:t>
      </w:r>
      <w:r w:rsidRPr="00100569">
        <w:t>язань</w:t>
      </w:r>
      <w:r w:rsidR="007F3AEA">
        <w:t>,</w:t>
      </w:r>
      <w:r w:rsidRPr="00100569">
        <w:t xml:space="preserve"> за якими забезпечено державними гарантіями;</w:t>
      </w:r>
    </w:p>
    <w:p w:rsidR="004E5226" w:rsidRPr="00100569" w:rsidRDefault="004E5226" w:rsidP="004E5226">
      <w:pPr>
        <w:shd w:val="clear" w:color="auto" w:fill="FFFFFF"/>
        <w:tabs>
          <w:tab w:val="left" w:pos="851"/>
        </w:tabs>
        <w:ind w:firstLine="567"/>
      </w:pPr>
      <w:r w:rsidRPr="00100569">
        <w:t>Фонду розвитку підприємництва, виконання боргових зобов</w:t>
      </w:r>
      <w:r w:rsidR="007F3AEA" w:rsidRPr="00F52999">
        <w:rPr>
          <w:lang w:val="ru-RU"/>
        </w:rPr>
        <w:t>’</w:t>
      </w:r>
      <w:r w:rsidRPr="00100569">
        <w:t>язань</w:t>
      </w:r>
      <w:r w:rsidR="007F3AEA">
        <w:t>,</w:t>
      </w:r>
      <w:r w:rsidRPr="00100569">
        <w:t xml:space="preserve"> за якими забезпечено державними гарантіями.</w:t>
      </w:r>
    </w:p>
    <w:p w:rsidR="004E5226" w:rsidRPr="00100569" w:rsidRDefault="004E5226" w:rsidP="00F52999">
      <w:pPr>
        <w:shd w:val="clear" w:color="auto" w:fill="FFFFFF"/>
        <w:tabs>
          <w:tab w:val="left" w:pos="851"/>
        </w:tabs>
        <w:spacing w:after="240"/>
        <w:ind w:firstLine="601"/>
      </w:pPr>
      <w:r w:rsidRPr="00100569">
        <w:t>Банк у разі застосування вимог підпункту 3 пункту 2</w:t>
      </w:r>
      <w:r w:rsidRPr="00100569">
        <w:rPr>
          <w:vertAlign w:val="superscript"/>
        </w:rPr>
        <w:t>15</w:t>
      </w:r>
      <w:r w:rsidRPr="00100569">
        <w:t xml:space="preserve"> цих Правил визначає значення компонента субфактора С</w:t>
      </w:r>
      <w:r w:rsidRPr="00100569">
        <w:rPr>
          <w:vertAlign w:val="subscript"/>
        </w:rPr>
        <w:t>30</w:t>
      </w:r>
      <w:r w:rsidRPr="00100569">
        <w:t xml:space="preserve"> “Корпоративні права ініціатора проєкту” багатофакторної моделі оцінки фінансового стану боржника – юридичної особи за спеціалізованим кредитом, установлене </w:t>
      </w:r>
      <w:r w:rsidR="007F3AEA">
        <w:t>в</w:t>
      </w:r>
      <w:r w:rsidRPr="00100569">
        <w:t xml:space="preserve"> рядку 30 таблиці 3 додатк</w:t>
      </w:r>
      <w:r w:rsidR="007F3AEA">
        <w:t>а</w:t>
      </w:r>
      <w:r w:rsidRPr="00100569">
        <w:t xml:space="preserve"> 10 до Положення № 351 для першого класу;</w:t>
      </w:r>
    </w:p>
    <w:p w:rsidR="004E5226" w:rsidRPr="00100569" w:rsidRDefault="004E5226" w:rsidP="00F52999">
      <w:pPr>
        <w:pStyle w:val="af2"/>
        <w:spacing w:after="240"/>
        <w:ind w:firstLine="595"/>
        <w:jc w:val="both"/>
        <w:rPr>
          <w:rFonts w:ascii="Times New Roman" w:hAnsi="Times New Roman"/>
          <w:sz w:val="28"/>
          <w:szCs w:val="28"/>
        </w:rPr>
      </w:pPr>
      <w:r w:rsidRPr="00100569">
        <w:rPr>
          <w:rFonts w:ascii="Times New Roman" w:hAnsi="Times New Roman"/>
          <w:sz w:val="28"/>
          <w:szCs w:val="28"/>
        </w:rPr>
        <w:t>4) 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приймати</w:t>
      </w:r>
      <w:r w:rsidRPr="00100569">
        <w:rPr>
          <w:rFonts w:ascii="Times New Roman" w:hAnsi="Times New Roman"/>
          <w:sz w:val="28"/>
          <w:szCs w:val="28"/>
        </w:rPr>
        <w:t xml:space="preserve"> до розрахунку розміру кредитного ризику вартість 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у вигляді </w:t>
      </w:r>
      <w:r w:rsidRPr="00100569">
        <w:rPr>
          <w:rFonts w:ascii="Times New Roman" w:hAnsi="Times New Roman"/>
          <w:sz w:val="28"/>
          <w:szCs w:val="28"/>
        </w:rPr>
        <w:t>безумовних та безвідкличних гарантій Фонду розвитку підприємництва, виконання боргових зобов</w:t>
      </w:r>
      <w:r w:rsidR="007F3AEA" w:rsidRPr="00F52999">
        <w:rPr>
          <w:rFonts w:ascii="Times New Roman" w:hAnsi="Times New Roman"/>
          <w:sz w:val="28"/>
          <w:szCs w:val="28"/>
        </w:rPr>
        <w:t>’</w:t>
      </w:r>
      <w:r w:rsidRPr="00100569">
        <w:rPr>
          <w:rFonts w:ascii="Times New Roman" w:hAnsi="Times New Roman"/>
          <w:sz w:val="28"/>
          <w:szCs w:val="28"/>
        </w:rPr>
        <w:t>язань</w:t>
      </w:r>
      <w:r w:rsidR="007F3AEA">
        <w:rPr>
          <w:rFonts w:ascii="Times New Roman" w:hAnsi="Times New Roman"/>
          <w:sz w:val="28"/>
          <w:szCs w:val="28"/>
        </w:rPr>
        <w:t>,</w:t>
      </w:r>
      <w:r w:rsidRPr="00100569">
        <w:rPr>
          <w:rFonts w:ascii="Times New Roman" w:hAnsi="Times New Roman"/>
          <w:sz w:val="28"/>
          <w:szCs w:val="28"/>
        </w:rPr>
        <w:t xml:space="preserve"> за якими забезпечено державними гарантіями, з коефіцієнтом ліквідності “1”;</w:t>
      </w:r>
    </w:p>
    <w:p w:rsidR="004E5226" w:rsidRPr="00100569" w:rsidRDefault="004E5226" w:rsidP="00F52999">
      <w:pPr>
        <w:pStyle w:val="af2"/>
        <w:spacing w:before="120" w:after="240"/>
        <w:ind w:firstLine="59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n1690"/>
      <w:bookmarkEnd w:id="1"/>
      <w:r w:rsidRPr="00100569">
        <w:rPr>
          <w:rFonts w:ascii="Times New Roman" w:hAnsi="Times New Roman"/>
          <w:sz w:val="28"/>
          <w:szCs w:val="28"/>
        </w:rPr>
        <w:t xml:space="preserve">5) під час застосування  вимог пункту 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Pr="0010056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розділу IV</w:t>
      </w:r>
      <w:r w:rsidRPr="00100569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 Положення № 351 визначати клас боржника – юридичної особи за спеціалізованим кредитом із застосуванням багатофакторної моделі оцінки як на передексплуатаційному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так і на експлуатаційному етапах; </w:t>
      </w:r>
    </w:p>
    <w:p w:rsidR="00575AD7" w:rsidRPr="00100569" w:rsidRDefault="00575AD7" w:rsidP="00575AD7">
      <w:pPr>
        <w:ind w:firstLine="567"/>
        <w:rPr>
          <w:shd w:val="clear" w:color="auto" w:fill="FFFFFF"/>
        </w:rPr>
      </w:pPr>
      <w:r w:rsidRPr="00100569">
        <w:rPr>
          <w:shd w:val="clear" w:color="auto" w:fill="FFFFFF"/>
        </w:rPr>
        <w:t>6) під час застосування вимог підпункту 3 пункту 162 розділу XVII  Положення № 351 визначати клас боржника – юридичної особи за спеціалізованим кредитом не вище 4, якщо сукупний розмір власного капіталу боржника</w:t>
      </w:r>
      <w:r w:rsidR="00A770E3">
        <w:rPr>
          <w:shd w:val="clear" w:color="auto" w:fill="FFFFFF"/>
        </w:rPr>
        <w:t xml:space="preserve"> ‒ </w:t>
      </w:r>
      <w:r w:rsidRPr="00100569">
        <w:rPr>
          <w:shd w:val="clear" w:color="auto" w:fill="FFFFFF"/>
        </w:rPr>
        <w:t xml:space="preserve">юридичної особи та коштів, унесених ініціатором проєкту на поворотній основі, має від’ємне значення на кінець року протягом трьох останніх років поспіль (у разі належності боржника до групи </w:t>
      </w:r>
      <w:r w:rsidR="00A770E3">
        <w:rPr>
          <w:shd w:val="clear" w:color="auto" w:fill="FFFFFF"/>
        </w:rPr>
        <w:t>‒</w:t>
      </w:r>
      <w:r w:rsidRPr="00100569">
        <w:rPr>
          <w:shd w:val="clear" w:color="auto" w:fill="FFFFFF"/>
        </w:rPr>
        <w:t xml:space="preserve"> застосовується до групи);</w:t>
      </w:r>
    </w:p>
    <w:p w:rsidR="00575AD7" w:rsidRPr="00F52999" w:rsidRDefault="00575AD7" w:rsidP="00575AD7">
      <w:pPr>
        <w:ind w:firstLine="567"/>
        <w:rPr>
          <w:shd w:val="clear" w:color="auto" w:fill="FFFFFF"/>
        </w:rPr>
      </w:pPr>
    </w:p>
    <w:p w:rsidR="004E5226" w:rsidRPr="00100569" w:rsidRDefault="00575AD7" w:rsidP="004E5226">
      <w:pPr>
        <w:pStyle w:val="af2"/>
        <w:ind w:firstLine="59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4E5226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) під час визначення класу </w:t>
      </w:r>
      <w:r w:rsidR="004E5226" w:rsidRPr="00100569">
        <w:rPr>
          <w:rFonts w:ascii="Times New Roman" w:hAnsi="Times New Roman"/>
          <w:sz w:val="28"/>
          <w:szCs w:val="28"/>
        </w:rPr>
        <w:t xml:space="preserve">боржника </w:t>
      </w:r>
      <w:r w:rsidR="00A770E3">
        <w:rPr>
          <w:rFonts w:ascii="Times New Roman" w:hAnsi="Times New Roman"/>
          <w:sz w:val="28"/>
          <w:szCs w:val="28"/>
        </w:rPr>
        <w:t>‒</w:t>
      </w:r>
      <w:r w:rsidR="004E5226" w:rsidRPr="00100569">
        <w:rPr>
          <w:rFonts w:ascii="Times New Roman" w:hAnsi="Times New Roman"/>
          <w:sz w:val="28"/>
          <w:szCs w:val="28"/>
        </w:rPr>
        <w:t xml:space="preserve"> юридичної особи за спеціалізованим кредитом не застосовувати ознаки, визначені вимогами</w:t>
      </w:r>
      <w:r w:rsidR="004E5226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підпунктів 7 та 8 пункту 162 розділу XVII Положення № 351 у частині значень фінансових показників DSCRc, PLCR та DSCRi, якщо банк на підставі судження довів відсутність високого кредитного ризику боржника.</w:t>
      </w:r>
    </w:p>
    <w:p w:rsidR="004E5226" w:rsidRPr="00F52999" w:rsidRDefault="004E5226" w:rsidP="008F621B">
      <w:pPr>
        <w:pStyle w:val="a4"/>
        <w:ind w:left="927"/>
      </w:pPr>
    </w:p>
    <w:p w:rsidR="004E5226" w:rsidRDefault="004E5226" w:rsidP="004E5226">
      <w:pPr>
        <w:pStyle w:val="af2"/>
        <w:ind w:firstLine="595"/>
        <w:jc w:val="both"/>
        <w:rPr>
          <w:rFonts w:ascii="Times New Roman" w:hAnsi="Times New Roman"/>
          <w:sz w:val="28"/>
          <w:szCs w:val="28"/>
        </w:rPr>
      </w:pPr>
      <w:r w:rsidRPr="00100569">
        <w:rPr>
          <w:rFonts w:ascii="Times New Roman" w:hAnsi="Times New Roman"/>
          <w:sz w:val="28"/>
          <w:szCs w:val="28"/>
        </w:rPr>
        <w:t>2</w:t>
      </w:r>
      <w:r w:rsidRPr="00100569">
        <w:rPr>
          <w:rFonts w:ascii="Times New Roman" w:hAnsi="Times New Roman"/>
          <w:sz w:val="28"/>
          <w:szCs w:val="28"/>
          <w:vertAlign w:val="superscript"/>
        </w:rPr>
        <w:t>16</w:t>
      </w:r>
      <w:r w:rsidRPr="00100569">
        <w:rPr>
          <w:rFonts w:ascii="Times New Roman" w:hAnsi="Times New Roman"/>
          <w:sz w:val="28"/>
          <w:szCs w:val="28"/>
        </w:rPr>
        <w:t>.</w:t>
      </w:r>
      <w:r w:rsidRPr="0010056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Банки </w:t>
      </w:r>
      <w:r w:rsidRPr="00100569">
        <w:rPr>
          <w:rFonts w:ascii="Times New Roman" w:hAnsi="Times New Roman"/>
          <w:sz w:val="28"/>
          <w:szCs w:val="28"/>
        </w:rPr>
        <w:t xml:space="preserve">протягом періоду дії воєнного стану та 365 календарних днів після його припинення чи скасування 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мають право 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під час розрахунку розміру кредитного ризику за кредитами, наданими </w:t>
      </w:r>
      <w:r w:rsidR="00B21DCE" w:rsidRPr="00100569">
        <w:rPr>
          <w:rFonts w:ascii="Times New Roman" w:hAnsi="Times New Roman"/>
          <w:sz w:val="28"/>
          <w:szCs w:val="28"/>
        </w:rPr>
        <w:t>після 01 червня 2024 року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придбання обладнання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устаткування,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призначен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для використання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експлуатації у сферах енергетики</w:t>
      </w:r>
      <w:r w:rsidR="00B21DCE" w:rsidRPr="00100569">
        <w:rPr>
          <w:rFonts w:ascii="Times New Roman" w:hAnsi="Times New Roman"/>
          <w:sz w:val="28"/>
          <w:szCs w:val="28"/>
        </w:rPr>
        <w:t>, розподіленої генерації енергії,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приймати вартість застави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на підставі права довірчої власності у 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вигляді зазначеного обладнання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21DCE" w:rsidRPr="00100569">
        <w:rPr>
          <w:rFonts w:ascii="Times New Roman" w:hAnsi="Times New Roman"/>
          <w:sz w:val="28"/>
          <w:szCs w:val="28"/>
          <w:shd w:val="clear" w:color="auto" w:fill="FFFFFF"/>
        </w:rPr>
        <w:t>устаткування</w:t>
      </w:r>
      <w:r w:rsidRPr="00100569">
        <w:rPr>
          <w:rFonts w:ascii="Times New Roman" w:hAnsi="Times New Roman"/>
          <w:sz w:val="28"/>
          <w:szCs w:val="28"/>
        </w:rPr>
        <w:t xml:space="preserve"> із </w:t>
      </w:r>
      <w:r w:rsidRPr="00100569">
        <w:rPr>
          <w:rFonts w:ascii="Times New Roman" w:hAnsi="Times New Roman"/>
          <w:sz w:val="28"/>
          <w:szCs w:val="28"/>
          <w:shd w:val="clear" w:color="auto" w:fill="FFFFFF"/>
        </w:rPr>
        <w:t>застосовуванням таких коефіцієнтів ліквідності</w:t>
      </w:r>
      <w:r w:rsidRPr="00100569">
        <w:rPr>
          <w:rFonts w:ascii="Times New Roman" w:hAnsi="Times New Roman"/>
          <w:sz w:val="28"/>
          <w:szCs w:val="28"/>
        </w:rPr>
        <w:t>:</w:t>
      </w:r>
    </w:p>
    <w:p w:rsidR="002E5447" w:rsidRPr="00F52999" w:rsidRDefault="002E5447" w:rsidP="004E5226">
      <w:pPr>
        <w:pStyle w:val="af2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4E5226" w:rsidRDefault="002E5447" w:rsidP="002E0CEE">
      <w:pPr>
        <w:pStyle w:val="af2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4E5226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0,9 </w:t>
      </w:r>
      <w:r w:rsidR="00652D44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5226" w:rsidRPr="00100569">
        <w:rPr>
          <w:rFonts w:ascii="Times New Roman" w:hAnsi="Times New Roman"/>
          <w:sz w:val="28"/>
          <w:szCs w:val="28"/>
          <w:shd w:val="clear" w:color="auto" w:fill="FFFFFF"/>
        </w:rPr>
        <w:t>– у разі прийняття такого обладнання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5226" w:rsidRPr="00100569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E5226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устаткування </w:t>
      </w:r>
      <w:r w:rsidR="00A770E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E5226" w:rsidRPr="00100569">
        <w:rPr>
          <w:rFonts w:ascii="Times New Roman" w:hAnsi="Times New Roman"/>
          <w:sz w:val="28"/>
          <w:szCs w:val="28"/>
          <w:shd w:val="clear" w:color="auto" w:fill="FFFFFF"/>
        </w:rPr>
        <w:t xml:space="preserve"> забезпечення на підставі права довірчої власності;</w:t>
      </w:r>
    </w:p>
    <w:p w:rsidR="002E0CEE" w:rsidRPr="00F52999" w:rsidRDefault="002E0CEE" w:rsidP="00100569">
      <w:pPr>
        <w:ind w:firstLine="567"/>
        <w:rPr>
          <w:shd w:val="clear" w:color="auto" w:fill="FFFFFF"/>
        </w:rPr>
      </w:pPr>
    </w:p>
    <w:p w:rsidR="004E5226" w:rsidRPr="00100569" w:rsidRDefault="002E5447" w:rsidP="00100569">
      <w:pPr>
        <w:ind w:firstLine="567"/>
      </w:pPr>
      <w:r>
        <w:rPr>
          <w:shd w:val="clear" w:color="auto" w:fill="FFFFFF"/>
        </w:rPr>
        <w:t>2) </w:t>
      </w:r>
      <w:r w:rsidR="004E5226" w:rsidRPr="00100569">
        <w:rPr>
          <w:shd w:val="clear" w:color="auto" w:fill="FFFFFF"/>
        </w:rPr>
        <w:t>0,75 – у разі прийняття такого обладнання</w:t>
      </w:r>
      <w:r w:rsidR="00A770E3">
        <w:rPr>
          <w:shd w:val="clear" w:color="auto" w:fill="FFFFFF"/>
        </w:rPr>
        <w:t> </w:t>
      </w:r>
      <w:r w:rsidR="004E5226" w:rsidRPr="00100569">
        <w:rPr>
          <w:shd w:val="clear" w:color="auto" w:fill="FFFFFF"/>
        </w:rPr>
        <w:t>/</w:t>
      </w:r>
      <w:r w:rsidR="00A770E3">
        <w:rPr>
          <w:shd w:val="clear" w:color="auto" w:fill="FFFFFF"/>
        </w:rPr>
        <w:t> </w:t>
      </w:r>
      <w:r w:rsidR="004E5226" w:rsidRPr="00100569">
        <w:rPr>
          <w:shd w:val="clear" w:color="auto" w:fill="FFFFFF"/>
        </w:rPr>
        <w:t xml:space="preserve">устаткування </w:t>
      </w:r>
      <w:r w:rsidR="00A770E3">
        <w:rPr>
          <w:shd w:val="clear" w:color="auto" w:fill="FFFFFF"/>
        </w:rPr>
        <w:t>в</w:t>
      </w:r>
      <w:r w:rsidR="004E5226" w:rsidRPr="00100569">
        <w:rPr>
          <w:shd w:val="clear" w:color="auto" w:fill="FFFFFF"/>
        </w:rPr>
        <w:t xml:space="preserve"> заставу.</w:t>
      </w:r>
      <w:r w:rsidR="004E5226" w:rsidRPr="00100569">
        <w:rPr>
          <w:lang w:val="ru-RU"/>
        </w:rPr>
        <w:t>”</w:t>
      </w:r>
      <w:r w:rsidR="00A770E3">
        <w:rPr>
          <w:lang w:val="ru-RU"/>
        </w:rPr>
        <w:t>.</w:t>
      </w:r>
    </w:p>
    <w:sectPr w:rsidR="004E5226" w:rsidRPr="00100569" w:rsidSect="00A770E3">
      <w:headerReference w:type="default" r:id="rId11"/>
      <w:headerReference w:type="first" r:id="rId12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09" w:rsidRDefault="00F22E09" w:rsidP="00B812CD">
      <w:r>
        <w:separator/>
      </w:r>
    </w:p>
  </w:endnote>
  <w:endnote w:type="continuationSeparator" w:id="0">
    <w:p w:rsidR="00F22E09" w:rsidRDefault="00F22E09" w:rsidP="00B8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09" w:rsidRDefault="00F22E09" w:rsidP="00B812CD">
      <w:r>
        <w:separator/>
      </w:r>
    </w:p>
  </w:footnote>
  <w:footnote w:type="continuationSeparator" w:id="0">
    <w:p w:rsidR="00F22E09" w:rsidRDefault="00F22E09" w:rsidP="00B8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614547"/>
      <w:docPartObj>
        <w:docPartGallery w:val="Page Numbers (Top of Page)"/>
        <w:docPartUnique/>
      </w:docPartObj>
    </w:sdtPr>
    <w:sdtEndPr/>
    <w:sdtContent>
      <w:p w:rsidR="00C41288" w:rsidRDefault="00C41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81">
          <w:rPr>
            <w:noProof/>
          </w:rPr>
          <w:t>2</w:t>
        </w:r>
        <w:r>
          <w:fldChar w:fldCharType="end"/>
        </w:r>
      </w:p>
    </w:sdtContent>
  </w:sdt>
  <w:p w:rsidR="00C41288" w:rsidRDefault="00C412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116689"/>
      <w:docPartObj>
        <w:docPartGallery w:val="Page Numbers (Top of Page)"/>
        <w:docPartUnique/>
      </w:docPartObj>
    </w:sdtPr>
    <w:sdtEndPr/>
    <w:sdtContent>
      <w:p w:rsidR="00C41288" w:rsidRDefault="00C41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B5">
          <w:rPr>
            <w:noProof/>
          </w:rPr>
          <w:t>2</w:t>
        </w:r>
        <w:r>
          <w:fldChar w:fldCharType="end"/>
        </w:r>
      </w:p>
    </w:sdtContent>
  </w:sdt>
  <w:p w:rsidR="00C41288" w:rsidRDefault="00C412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88" w:rsidRPr="00A770E3" w:rsidRDefault="00C41288" w:rsidP="00A77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A1"/>
    <w:multiLevelType w:val="hybridMultilevel"/>
    <w:tmpl w:val="82EAA992"/>
    <w:lvl w:ilvl="0" w:tplc="8BEC7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785779"/>
    <w:multiLevelType w:val="hybridMultilevel"/>
    <w:tmpl w:val="5AE805B4"/>
    <w:lvl w:ilvl="0" w:tplc="57967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E7992"/>
    <w:multiLevelType w:val="hybridMultilevel"/>
    <w:tmpl w:val="CF327120"/>
    <w:lvl w:ilvl="0" w:tplc="F0663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07D2D"/>
    <w:multiLevelType w:val="hybridMultilevel"/>
    <w:tmpl w:val="EE548DC8"/>
    <w:lvl w:ilvl="0" w:tplc="7DACAC6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EE025D"/>
    <w:multiLevelType w:val="hybridMultilevel"/>
    <w:tmpl w:val="4EFA391A"/>
    <w:lvl w:ilvl="0" w:tplc="F87094A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5" w:hanging="360"/>
      </w:pPr>
    </w:lvl>
    <w:lvl w:ilvl="2" w:tplc="0422001B" w:tentative="1">
      <w:start w:val="1"/>
      <w:numFmt w:val="lowerRoman"/>
      <w:lvlText w:val="%3."/>
      <w:lvlJc w:val="right"/>
      <w:pPr>
        <w:ind w:left="2395" w:hanging="180"/>
      </w:pPr>
    </w:lvl>
    <w:lvl w:ilvl="3" w:tplc="0422000F" w:tentative="1">
      <w:start w:val="1"/>
      <w:numFmt w:val="decimal"/>
      <w:lvlText w:val="%4."/>
      <w:lvlJc w:val="left"/>
      <w:pPr>
        <w:ind w:left="3115" w:hanging="360"/>
      </w:pPr>
    </w:lvl>
    <w:lvl w:ilvl="4" w:tplc="04220019" w:tentative="1">
      <w:start w:val="1"/>
      <w:numFmt w:val="lowerLetter"/>
      <w:lvlText w:val="%5."/>
      <w:lvlJc w:val="left"/>
      <w:pPr>
        <w:ind w:left="3835" w:hanging="360"/>
      </w:pPr>
    </w:lvl>
    <w:lvl w:ilvl="5" w:tplc="0422001B" w:tentative="1">
      <w:start w:val="1"/>
      <w:numFmt w:val="lowerRoman"/>
      <w:lvlText w:val="%6."/>
      <w:lvlJc w:val="right"/>
      <w:pPr>
        <w:ind w:left="4555" w:hanging="180"/>
      </w:pPr>
    </w:lvl>
    <w:lvl w:ilvl="6" w:tplc="0422000F" w:tentative="1">
      <w:start w:val="1"/>
      <w:numFmt w:val="decimal"/>
      <w:lvlText w:val="%7."/>
      <w:lvlJc w:val="left"/>
      <w:pPr>
        <w:ind w:left="5275" w:hanging="360"/>
      </w:pPr>
    </w:lvl>
    <w:lvl w:ilvl="7" w:tplc="04220019" w:tentative="1">
      <w:start w:val="1"/>
      <w:numFmt w:val="lowerLetter"/>
      <w:lvlText w:val="%8."/>
      <w:lvlJc w:val="left"/>
      <w:pPr>
        <w:ind w:left="5995" w:hanging="360"/>
      </w:pPr>
    </w:lvl>
    <w:lvl w:ilvl="8" w:tplc="0422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392613A9"/>
    <w:multiLevelType w:val="hybridMultilevel"/>
    <w:tmpl w:val="5A5257D6"/>
    <w:lvl w:ilvl="0" w:tplc="DD8836D8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 w15:restartNumberingAfterBreak="0">
    <w:nsid w:val="3F86467D"/>
    <w:multiLevelType w:val="hybridMultilevel"/>
    <w:tmpl w:val="8FEE3392"/>
    <w:lvl w:ilvl="0" w:tplc="C1F21762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40C461E6"/>
    <w:multiLevelType w:val="hybridMultilevel"/>
    <w:tmpl w:val="6F743A32"/>
    <w:lvl w:ilvl="0" w:tplc="D3807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8220A"/>
    <w:multiLevelType w:val="hybridMultilevel"/>
    <w:tmpl w:val="DC6472F4"/>
    <w:lvl w:ilvl="0" w:tplc="6CF0B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E8341E"/>
    <w:multiLevelType w:val="hybridMultilevel"/>
    <w:tmpl w:val="92BA6D26"/>
    <w:lvl w:ilvl="0" w:tplc="8FB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6712B8"/>
    <w:multiLevelType w:val="hybridMultilevel"/>
    <w:tmpl w:val="1F2EAE12"/>
    <w:lvl w:ilvl="0" w:tplc="388CB3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F44BE1"/>
    <w:multiLevelType w:val="hybridMultilevel"/>
    <w:tmpl w:val="0F5C7D30"/>
    <w:lvl w:ilvl="0" w:tplc="0422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58" w:hanging="360"/>
      </w:pPr>
    </w:lvl>
    <w:lvl w:ilvl="2" w:tplc="0422001B" w:tentative="1">
      <w:start w:val="1"/>
      <w:numFmt w:val="lowerRoman"/>
      <w:lvlText w:val="%3."/>
      <w:lvlJc w:val="right"/>
      <w:pPr>
        <w:ind w:left="6478" w:hanging="180"/>
      </w:pPr>
    </w:lvl>
    <w:lvl w:ilvl="3" w:tplc="0422000F" w:tentative="1">
      <w:start w:val="1"/>
      <w:numFmt w:val="decimal"/>
      <w:lvlText w:val="%4."/>
      <w:lvlJc w:val="left"/>
      <w:pPr>
        <w:ind w:left="7198" w:hanging="360"/>
      </w:pPr>
    </w:lvl>
    <w:lvl w:ilvl="4" w:tplc="04220019" w:tentative="1">
      <w:start w:val="1"/>
      <w:numFmt w:val="lowerLetter"/>
      <w:lvlText w:val="%5."/>
      <w:lvlJc w:val="left"/>
      <w:pPr>
        <w:ind w:left="7918" w:hanging="360"/>
      </w:pPr>
    </w:lvl>
    <w:lvl w:ilvl="5" w:tplc="0422001B" w:tentative="1">
      <w:start w:val="1"/>
      <w:numFmt w:val="lowerRoman"/>
      <w:lvlText w:val="%6."/>
      <w:lvlJc w:val="right"/>
      <w:pPr>
        <w:ind w:left="8638" w:hanging="180"/>
      </w:pPr>
    </w:lvl>
    <w:lvl w:ilvl="6" w:tplc="0422000F" w:tentative="1">
      <w:start w:val="1"/>
      <w:numFmt w:val="decimal"/>
      <w:lvlText w:val="%7."/>
      <w:lvlJc w:val="left"/>
      <w:pPr>
        <w:ind w:left="9358" w:hanging="360"/>
      </w:pPr>
    </w:lvl>
    <w:lvl w:ilvl="7" w:tplc="04220019" w:tentative="1">
      <w:start w:val="1"/>
      <w:numFmt w:val="lowerLetter"/>
      <w:lvlText w:val="%8."/>
      <w:lvlJc w:val="left"/>
      <w:pPr>
        <w:ind w:left="10078" w:hanging="360"/>
      </w:pPr>
    </w:lvl>
    <w:lvl w:ilvl="8" w:tplc="0422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2" w15:restartNumberingAfterBreak="0">
    <w:nsid w:val="6F11410B"/>
    <w:multiLevelType w:val="hybridMultilevel"/>
    <w:tmpl w:val="9B269CB6"/>
    <w:lvl w:ilvl="0" w:tplc="7BCE0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5B3477"/>
    <w:multiLevelType w:val="hybridMultilevel"/>
    <w:tmpl w:val="A07085F4"/>
    <w:lvl w:ilvl="0" w:tplc="6A967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7F3566"/>
    <w:multiLevelType w:val="hybridMultilevel"/>
    <w:tmpl w:val="17020D2A"/>
    <w:lvl w:ilvl="0" w:tplc="3B28CBE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D6B47B3"/>
    <w:multiLevelType w:val="hybridMultilevel"/>
    <w:tmpl w:val="1152CE54"/>
    <w:lvl w:ilvl="0" w:tplc="1ED4F8CA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27"/>
    <w:rsid w:val="0000024D"/>
    <w:rsid w:val="00001925"/>
    <w:rsid w:val="00003A6A"/>
    <w:rsid w:val="00013C24"/>
    <w:rsid w:val="00021D8F"/>
    <w:rsid w:val="00024C81"/>
    <w:rsid w:val="00042248"/>
    <w:rsid w:val="00045B46"/>
    <w:rsid w:val="00046281"/>
    <w:rsid w:val="000558B2"/>
    <w:rsid w:val="00062F2D"/>
    <w:rsid w:val="00063C3A"/>
    <w:rsid w:val="00072374"/>
    <w:rsid w:val="000736C3"/>
    <w:rsid w:val="00084D4E"/>
    <w:rsid w:val="00084E24"/>
    <w:rsid w:val="000875CF"/>
    <w:rsid w:val="00093224"/>
    <w:rsid w:val="000977F9"/>
    <w:rsid w:val="000A0F06"/>
    <w:rsid w:val="000A7888"/>
    <w:rsid w:val="000B6D6C"/>
    <w:rsid w:val="000C0BC5"/>
    <w:rsid w:val="000C11F9"/>
    <w:rsid w:val="000D4834"/>
    <w:rsid w:val="000D797F"/>
    <w:rsid w:val="000E0194"/>
    <w:rsid w:val="000E01DF"/>
    <w:rsid w:val="000F02AE"/>
    <w:rsid w:val="000F0E4B"/>
    <w:rsid w:val="000F29D1"/>
    <w:rsid w:val="00100569"/>
    <w:rsid w:val="001078BB"/>
    <w:rsid w:val="001229A4"/>
    <w:rsid w:val="001237A4"/>
    <w:rsid w:val="00133E2E"/>
    <w:rsid w:val="001473FA"/>
    <w:rsid w:val="00152C31"/>
    <w:rsid w:val="001554D4"/>
    <w:rsid w:val="0017017A"/>
    <w:rsid w:val="00172ACE"/>
    <w:rsid w:val="001850A1"/>
    <w:rsid w:val="0018605D"/>
    <w:rsid w:val="001874D8"/>
    <w:rsid w:val="00192C8C"/>
    <w:rsid w:val="001959E8"/>
    <w:rsid w:val="001A2AB5"/>
    <w:rsid w:val="001A627B"/>
    <w:rsid w:val="001A680D"/>
    <w:rsid w:val="001B3093"/>
    <w:rsid w:val="001B53B4"/>
    <w:rsid w:val="001C1A2F"/>
    <w:rsid w:val="001C2E93"/>
    <w:rsid w:val="001D1F41"/>
    <w:rsid w:val="001E2DCF"/>
    <w:rsid w:val="001E37B3"/>
    <w:rsid w:val="001F7CE6"/>
    <w:rsid w:val="00200D08"/>
    <w:rsid w:val="0021075F"/>
    <w:rsid w:val="0021169F"/>
    <w:rsid w:val="00213714"/>
    <w:rsid w:val="002141F4"/>
    <w:rsid w:val="00225FF7"/>
    <w:rsid w:val="00227FAC"/>
    <w:rsid w:val="002322C6"/>
    <w:rsid w:val="0024068E"/>
    <w:rsid w:val="002576E4"/>
    <w:rsid w:val="00262415"/>
    <w:rsid w:val="0026382F"/>
    <w:rsid w:val="0027117F"/>
    <w:rsid w:val="002762CF"/>
    <w:rsid w:val="00280A9E"/>
    <w:rsid w:val="002913D4"/>
    <w:rsid w:val="002A551E"/>
    <w:rsid w:val="002B374B"/>
    <w:rsid w:val="002C6895"/>
    <w:rsid w:val="002D687D"/>
    <w:rsid w:val="002D6DDA"/>
    <w:rsid w:val="002D7334"/>
    <w:rsid w:val="002E0CEE"/>
    <w:rsid w:val="002E34AF"/>
    <w:rsid w:val="002E5447"/>
    <w:rsid w:val="002F02B8"/>
    <w:rsid w:val="002F1C7D"/>
    <w:rsid w:val="002F1CD7"/>
    <w:rsid w:val="003037F1"/>
    <w:rsid w:val="00316D63"/>
    <w:rsid w:val="0032404A"/>
    <w:rsid w:val="003253F6"/>
    <w:rsid w:val="00334484"/>
    <w:rsid w:val="00336444"/>
    <w:rsid w:val="00336E64"/>
    <w:rsid w:val="00343DD0"/>
    <w:rsid w:val="00347EEF"/>
    <w:rsid w:val="00367794"/>
    <w:rsid w:val="00373685"/>
    <w:rsid w:val="0039080C"/>
    <w:rsid w:val="00395029"/>
    <w:rsid w:val="00395612"/>
    <w:rsid w:val="00396A26"/>
    <w:rsid w:val="003B580F"/>
    <w:rsid w:val="003C1D93"/>
    <w:rsid w:val="003D25B9"/>
    <w:rsid w:val="003D443B"/>
    <w:rsid w:val="003E57AF"/>
    <w:rsid w:val="003E5FC2"/>
    <w:rsid w:val="003E6B7D"/>
    <w:rsid w:val="003F24BA"/>
    <w:rsid w:val="003F5BC0"/>
    <w:rsid w:val="003F74F3"/>
    <w:rsid w:val="00403CF2"/>
    <w:rsid w:val="00406E07"/>
    <w:rsid w:val="00410110"/>
    <w:rsid w:val="00412B1A"/>
    <w:rsid w:val="00417DEC"/>
    <w:rsid w:val="004337F4"/>
    <w:rsid w:val="00433C81"/>
    <w:rsid w:val="004470BA"/>
    <w:rsid w:val="004548AD"/>
    <w:rsid w:val="00465B38"/>
    <w:rsid w:val="0048387C"/>
    <w:rsid w:val="00487B19"/>
    <w:rsid w:val="004A0BDF"/>
    <w:rsid w:val="004A14BB"/>
    <w:rsid w:val="004B40ED"/>
    <w:rsid w:val="004B5686"/>
    <w:rsid w:val="004B6EFA"/>
    <w:rsid w:val="004C070B"/>
    <w:rsid w:val="004C34F6"/>
    <w:rsid w:val="004C537B"/>
    <w:rsid w:val="004D2B96"/>
    <w:rsid w:val="004E5226"/>
    <w:rsid w:val="004F291C"/>
    <w:rsid w:val="004F6641"/>
    <w:rsid w:val="004F6D6F"/>
    <w:rsid w:val="005104CF"/>
    <w:rsid w:val="00512504"/>
    <w:rsid w:val="005140B2"/>
    <w:rsid w:val="0051499D"/>
    <w:rsid w:val="00516755"/>
    <w:rsid w:val="00534696"/>
    <w:rsid w:val="00534C7E"/>
    <w:rsid w:val="00537C55"/>
    <w:rsid w:val="005426F2"/>
    <w:rsid w:val="00542AD8"/>
    <w:rsid w:val="00543817"/>
    <w:rsid w:val="00543C15"/>
    <w:rsid w:val="005468B4"/>
    <w:rsid w:val="00550D94"/>
    <w:rsid w:val="005578A5"/>
    <w:rsid w:val="005610A6"/>
    <w:rsid w:val="005629B4"/>
    <w:rsid w:val="00564059"/>
    <w:rsid w:val="0057203A"/>
    <w:rsid w:val="0057225B"/>
    <w:rsid w:val="005751AA"/>
    <w:rsid w:val="00575AD7"/>
    <w:rsid w:val="00586DFB"/>
    <w:rsid w:val="00595CC6"/>
    <w:rsid w:val="00597334"/>
    <w:rsid w:val="005A31D9"/>
    <w:rsid w:val="005B2161"/>
    <w:rsid w:val="005B46DF"/>
    <w:rsid w:val="005B510D"/>
    <w:rsid w:val="005C5E8D"/>
    <w:rsid w:val="005C7690"/>
    <w:rsid w:val="005C79D8"/>
    <w:rsid w:val="005D20A3"/>
    <w:rsid w:val="005F099C"/>
    <w:rsid w:val="005F4B11"/>
    <w:rsid w:val="006011EE"/>
    <w:rsid w:val="006108CC"/>
    <w:rsid w:val="00611A2C"/>
    <w:rsid w:val="00622367"/>
    <w:rsid w:val="006235F4"/>
    <w:rsid w:val="00623F97"/>
    <w:rsid w:val="00626D9F"/>
    <w:rsid w:val="00634936"/>
    <w:rsid w:val="00647B23"/>
    <w:rsid w:val="00652D44"/>
    <w:rsid w:val="00653BD1"/>
    <w:rsid w:val="00662074"/>
    <w:rsid w:val="00662C41"/>
    <w:rsid w:val="00681208"/>
    <w:rsid w:val="00693B2A"/>
    <w:rsid w:val="00694BEE"/>
    <w:rsid w:val="006A0217"/>
    <w:rsid w:val="006B194D"/>
    <w:rsid w:val="006B219E"/>
    <w:rsid w:val="006B3FA8"/>
    <w:rsid w:val="006C633E"/>
    <w:rsid w:val="006D28EB"/>
    <w:rsid w:val="006D58D6"/>
    <w:rsid w:val="006E49DC"/>
    <w:rsid w:val="006F23B3"/>
    <w:rsid w:val="006F59A6"/>
    <w:rsid w:val="006F788D"/>
    <w:rsid w:val="00724615"/>
    <w:rsid w:val="007246E3"/>
    <w:rsid w:val="0073055C"/>
    <w:rsid w:val="00735653"/>
    <w:rsid w:val="00737397"/>
    <w:rsid w:val="00744A89"/>
    <w:rsid w:val="007454B8"/>
    <w:rsid w:val="007459DF"/>
    <w:rsid w:val="007736A0"/>
    <w:rsid w:val="00774AC9"/>
    <w:rsid w:val="00775338"/>
    <w:rsid w:val="00792BFF"/>
    <w:rsid w:val="007A0C32"/>
    <w:rsid w:val="007C2290"/>
    <w:rsid w:val="007C5A75"/>
    <w:rsid w:val="007D21D9"/>
    <w:rsid w:val="007D4D17"/>
    <w:rsid w:val="007D59E2"/>
    <w:rsid w:val="007E1A27"/>
    <w:rsid w:val="007E542A"/>
    <w:rsid w:val="007E7DB9"/>
    <w:rsid w:val="007F3AEA"/>
    <w:rsid w:val="008047B3"/>
    <w:rsid w:val="00811D51"/>
    <w:rsid w:val="00812565"/>
    <w:rsid w:val="00813F32"/>
    <w:rsid w:val="00814094"/>
    <w:rsid w:val="00822330"/>
    <w:rsid w:val="00823008"/>
    <w:rsid w:val="00825A38"/>
    <w:rsid w:val="0083245E"/>
    <w:rsid w:val="00836CD3"/>
    <w:rsid w:val="00840830"/>
    <w:rsid w:val="00840AD0"/>
    <w:rsid w:val="0084124E"/>
    <w:rsid w:val="00841647"/>
    <w:rsid w:val="008419E2"/>
    <w:rsid w:val="00843DB1"/>
    <w:rsid w:val="00870B34"/>
    <w:rsid w:val="00870F34"/>
    <w:rsid w:val="008755CE"/>
    <w:rsid w:val="0087652B"/>
    <w:rsid w:val="00876E74"/>
    <w:rsid w:val="00885559"/>
    <w:rsid w:val="0089170F"/>
    <w:rsid w:val="00894B52"/>
    <w:rsid w:val="008D56B2"/>
    <w:rsid w:val="008E0C86"/>
    <w:rsid w:val="008E0D53"/>
    <w:rsid w:val="008E0D6B"/>
    <w:rsid w:val="008E47E2"/>
    <w:rsid w:val="008E5FE8"/>
    <w:rsid w:val="008E6350"/>
    <w:rsid w:val="008E7139"/>
    <w:rsid w:val="008F0792"/>
    <w:rsid w:val="008F621B"/>
    <w:rsid w:val="00916DFB"/>
    <w:rsid w:val="00917F8E"/>
    <w:rsid w:val="00925A79"/>
    <w:rsid w:val="009261AE"/>
    <w:rsid w:val="00930FF1"/>
    <w:rsid w:val="00940D77"/>
    <w:rsid w:val="00944319"/>
    <w:rsid w:val="00947BF9"/>
    <w:rsid w:val="00960DC2"/>
    <w:rsid w:val="009711C7"/>
    <w:rsid w:val="009739C4"/>
    <w:rsid w:val="0098684D"/>
    <w:rsid w:val="00990180"/>
    <w:rsid w:val="009A627B"/>
    <w:rsid w:val="009A79B5"/>
    <w:rsid w:val="009B2A34"/>
    <w:rsid w:val="009B2EA7"/>
    <w:rsid w:val="009B671E"/>
    <w:rsid w:val="009C1C85"/>
    <w:rsid w:val="009D2C84"/>
    <w:rsid w:val="009D540A"/>
    <w:rsid w:val="009E112A"/>
    <w:rsid w:val="009E177E"/>
    <w:rsid w:val="009E3394"/>
    <w:rsid w:val="009E5856"/>
    <w:rsid w:val="009E7AD6"/>
    <w:rsid w:val="009E7E0E"/>
    <w:rsid w:val="009F5EC7"/>
    <w:rsid w:val="00A0583E"/>
    <w:rsid w:val="00A10997"/>
    <w:rsid w:val="00A15DFA"/>
    <w:rsid w:val="00A17B0D"/>
    <w:rsid w:val="00A20709"/>
    <w:rsid w:val="00A22622"/>
    <w:rsid w:val="00A25AAA"/>
    <w:rsid w:val="00A278F1"/>
    <w:rsid w:val="00A331F4"/>
    <w:rsid w:val="00A3352A"/>
    <w:rsid w:val="00A439B5"/>
    <w:rsid w:val="00A4503D"/>
    <w:rsid w:val="00A4577B"/>
    <w:rsid w:val="00A47499"/>
    <w:rsid w:val="00A513DA"/>
    <w:rsid w:val="00A514A1"/>
    <w:rsid w:val="00A51A6A"/>
    <w:rsid w:val="00A6326D"/>
    <w:rsid w:val="00A66D2A"/>
    <w:rsid w:val="00A75ECA"/>
    <w:rsid w:val="00A770E3"/>
    <w:rsid w:val="00A77236"/>
    <w:rsid w:val="00A779F9"/>
    <w:rsid w:val="00A85F27"/>
    <w:rsid w:val="00A87620"/>
    <w:rsid w:val="00A91546"/>
    <w:rsid w:val="00A97CDC"/>
    <w:rsid w:val="00AA4BAC"/>
    <w:rsid w:val="00AA7622"/>
    <w:rsid w:val="00AD19F1"/>
    <w:rsid w:val="00AD2445"/>
    <w:rsid w:val="00AD3FDA"/>
    <w:rsid w:val="00AD611D"/>
    <w:rsid w:val="00AE38AA"/>
    <w:rsid w:val="00AE5AB0"/>
    <w:rsid w:val="00AF4B02"/>
    <w:rsid w:val="00AF538F"/>
    <w:rsid w:val="00B0188C"/>
    <w:rsid w:val="00B17511"/>
    <w:rsid w:val="00B21DCE"/>
    <w:rsid w:val="00B22A51"/>
    <w:rsid w:val="00B33537"/>
    <w:rsid w:val="00B33B50"/>
    <w:rsid w:val="00B367AE"/>
    <w:rsid w:val="00B42D76"/>
    <w:rsid w:val="00B5579F"/>
    <w:rsid w:val="00B642EC"/>
    <w:rsid w:val="00B64BDE"/>
    <w:rsid w:val="00B65187"/>
    <w:rsid w:val="00B72153"/>
    <w:rsid w:val="00B7295D"/>
    <w:rsid w:val="00B758AC"/>
    <w:rsid w:val="00B812CD"/>
    <w:rsid w:val="00B81399"/>
    <w:rsid w:val="00B83CFF"/>
    <w:rsid w:val="00B87216"/>
    <w:rsid w:val="00B905BD"/>
    <w:rsid w:val="00BA6B0D"/>
    <w:rsid w:val="00BB3882"/>
    <w:rsid w:val="00BD00E4"/>
    <w:rsid w:val="00BD4A4C"/>
    <w:rsid w:val="00BD6FAD"/>
    <w:rsid w:val="00BE3057"/>
    <w:rsid w:val="00BF1446"/>
    <w:rsid w:val="00BF4105"/>
    <w:rsid w:val="00BF606B"/>
    <w:rsid w:val="00C24D3D"/>
    <w:rsid w:val="00C3219D"/>
    <w:rsid w:val="00C41288"/>
    <w:rsid w:val="00C527B6"/>
    <w:rsid w:val="00C6120B"/>
    <w:rsid w:val="00C7024A"/>
    <w:rsid w:val="00C749D2"/>
    <w:rsid w:val="00C80C63"/>
    <w:rsid w:val="00CA0400"/>
    <w:rsid w:val="00CA0D6D"/>
    <w:rsid w:val="00CB5853"/>
    <w:rsid w:val="00CB63BA"/>
    <w:rsid w:val="00CD0C0A"/>
    <w:rsid w:val="00CE6440"/>
    <w:rsid w:val="00CE71B8"/>
    <w:rsid w:val="00CF604D"/>
    <w:rsid w:val="00CF60A5"/>
    <w:rsid w:val="00CF628D"/>
    <w:rsid w:val="00D070D0"/>
    <w:rsid w:val="00D1001C"/>
    <w:rsid w:val="00D1294F"/>
    <w:rsid w:val="00D14226"/>
    <w:rsid w:val="00D14885"/>
    <w:rsid w:val="00D17EC0"/>
    <w:rsid w:val="00D21DD6"/>
    <w:rsid w:val="00D23669"/>
    <w:rsid w:val="00D237F9"/>
    <w:rsid w:val="00D278E1"/>
    <w:rsid w:val="00D30941"/>
    <w:rsid w:val="00D30F33"/>
    <w:rsid w:val="00D34542"/>
    <w:rsid w:val="00D36863"/>
    <w:rsid w:val="00D4428B"/>
    <w:rsid w:val="00D45F6B"/>
    <w:rsid w:val="00D504AB"/>
    <w:rsid w:val="00D72C5B"/>
    <w:rsid w:val="00D748EB"/>
    <w:rsid w:val="00D81963"/>
    <w:rsid w:val="00D82F8D"/>
    <w:rsid w:val="00D9251B"/>
    <w:rsid w:val="00D97292"/>
    <w:rsid w:val="00DA58FF"/>
    <w:rsid w:val="00DA5C9D"/>
    <w:rsid w:val="00DA6750"/>
    <w:rsid w:val="00DB18F3"/>
    <w:rsid w:val="00DB2DA6"/>
    <w:rsid w:val="00DE0771"/>
    <w:rsid w:val="00DE3D44"/>
    <w:rsid w:val="00DF4DA6"/>
    <w:rsid w:val="00DF7AB5"/>
    <w:rsid w:val="00E02C37"/>
    <w:rsid w:val="00E06213"/>
    <w:rsid w:val="00E10C3C"/>
    <w:rsid w:val="00E11DDB"/>
    <w:rsid w:val="00E13FAA"/>
    <w:rsid w:val="00E22A97"/>
    <w:rsid w:val="00E30FAC"/>
    <w:rsid w:val="00E3438A"/>
    <w:rsid w:val="00E45B7F"/>
    <w:rsid w:val="00E46B3F"/>
    <w:rsid w:val="00E61CCA"/>
    <w:rsid w:val="00E80528"/>
    <w:rsid w:val="00EA418E"/>
    <w:rsid w:val="00EA4E84"/>
    <w:rsid w:val="00EB00B9"/>
    <w:rsid w:val="00EB0118"/>
    <w:rsid w:val="00EC0986"/>
    <w:rsid w:val="00EC1F0B"/>
    <w:rsid w:val="00ED29FF"/>
    <w:rsid w:val="00EF389F"/>
    <w:rsid w:val="00EF7266"/>
    <w:rsid w:val="00F02746"/>
    <w:rsid w:val="00F03FD9"/>
    <w:rsid w:val="00F06596"/>
    <w:rsid w:val="00F10C46"/>
    <w:rsid w:val="00F16C2C"/>
    <w:rsid w:val="00F22E09"/>
    <w:rsid w:val="00F3447B"/>
    <w:rsid w:val="00F42D48"/>
    <w:rsid w:val="00F477C8"/>
    <w:rsid w:val="00F47D78"/>
    <w:rsid w:val="00F52999"/>
    <w:rsid w:val="00F61710"/>
    <w:rsid w:val="00F627AD"/>
    <w:rsid w:val="00F7671A"/>
    <w:rsid w:val="00F768B5"/>
    <w:rsid w:val="00F92747"/>
    <w:rsid w:val="00FA0B59"/>
    <w:rsid w:val="00FA158E"/>
    <w:rsid w:val="00FB7F72"/>
    <w:rsid w:val="00FC01AC"/>
    <w:rsid w:val="00FC2848"/>
    <w:rsid w:val="00FC386A"/>
    <w:rsid w:val="00FD47D3"/>
    <w:rsid w:val="00FE123B"/>
    <w:rsid w:val="00FE18F1"/>
    <w:rsid w:val="00FE6616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9CE3"/>
  <w15:chartTrackingRefBased/>
  <w15:docId w15:val="{F8CDE077-9024-4C76-87CE-BBA8E4B2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2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"/>
    <w:basedOn w:val="a"/>
    <w:uiPriority w:val="34"/>
    <w:qFormat/>
    <w:rsid w:val="007E1A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2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2CD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B812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2CD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9">
    <w:name w:val="annotation reference"/>
    <w:basedOn w:val="a0"/>
    <w:uiPriority w:val="99"/>
    <w:semiHidden/>
    <w:unhideWhenUsed/>
    <w:rsid w:val="00024C8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024C81"/>
    <w:pPr>
      <w:jc w:val="left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024C8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024C81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24C81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73565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35653"/>
    <w:rPr>
      <w:color w:val="0000FF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F477C8"/>
    <w:pPr>
      <w:jc w:val="both"/>
    </w:pPr>
    <w:rPr>
      <w:b/>
      <w:bCs/>
    </w:rPr>
  </w:style>
  <w:style w:type="character" w:customStyle="1" w:styleId="af0">
    <w:name w:val="Тема примітки Знак"/>
    <w:basedOn w:val="ab"/>
    <w:link w:val="af"/>
    <w:uiPriority w:val="99"/>
    <w:semiHidden/>
    <w:rsid w:val="00F477C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1">
    <w:name w:val="Revision"/>
    <w:hidden/>
    <w:uiPriority w:val="99"/>
    <w:semiHidden/>
    <w:rsid w:val="000D48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FE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4E522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f3">
    <w:name w:val="Без інтервалів Знак"/>
    <w:basedOn w:val="a0"/>
    <w:link w:val="af2"/>
    <w:uiPriority w:val="1"/>
    <w:rsid w:val="004E5226"/>
    <w:rPr>
      <w:rFonts w:ascii="Calibri" w:eastAsia="Times New Roman" w:hAnsi="Calibri" w:cs="Times New Roman"/>
      <w:lang w:eastAsia="uk-UA"/>
    </w:rPr>
  </w:style>
  <w:style w:type="character" w:customStyle="1" w:styleId="rvts37">
    <w:name w:val="rvts37"/>
    <w:basedOn w:val="a0"/>
    <w:rsid w:val="004E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97C0-8300-4BCC-9864-FC78957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Марія Григорівна</dc:creator>
  <cp:keywords/>
  <dc:description/>
  <cp:lastModifiedBy>Кравчук Вікторія Петрівна</cp:lastModifiedBy>
  <cp:revision>4</cp:revision>
  <cp:lastPrinted>2024-03-20T07:54:00Z</cp:lastPrinted>
  <dcterms:created xsi:type="dcterms:W3CDTF">2024-06-05T10:04:00Z</dcterms:created>
  <dcterms:modified xsi:type="dcterms:W3CDTF">2024-06-10T09:48:00Z</dcterms:modified>
</cp:coreProperties>
</file>