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FE5A7" w14:textId="77777777" w:rsidR="00FA7846" w:rsidRPr="00575B56" w:rsidRDefault="00FA7846" w:rsidP="00FA7846">
      <w:pPr>
        <w:rPr>
          <w:sz w:val="2"/>
          <w:szCs w:val="2"/>
          <w:lang w:val="en-US"/>
        </w:rPr>
      </w:pPr>
      <w:bookmarkStart w:id="0" w:name="_GoBack"/>
      <w:bookmarkEnd w:id="0"/>
    </w:p>
    <w:p w14:paraId="40CA27D6" w14:textId="77777777" w:rsidR="00657593" w:rsidRPr="00566BA2" w:rsidRDefault="00657593" w:rsidP="00657593">
      <w:pPr>
        <w:rPr>
          <w:sz w:val="2"/>
          <w:szCs w:val="2"/>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8"/>
        <w:gridCol w:w="3226"/>
        <w:gridCol w:w="3204"/>
      </w:tblGrid>
      <w:tr w:rsidR="00646885" w14:paraId="2AD29BCB" w14:textId="77777777" w:rsidTr="00E054A9">
        <w:trPr>
          <w:trHeight w:val="851"/>
        </w:trPr>
        <w:tc>
          <w:tcPr>
            <w:tcW w:w="3284" w:type="dxa"/>
          </w:tcPr>
          <w:p w14:paraId="2667135C" w14:textId="77777777" w:rsidR="00657593" w:rsidRDefault="00657593" w:rsidP="00E054A9"/>
        </w:tc>
        <w:tc>
          <w:tcPr>
            <w:tcW w:w="3285" w:type="dxa"/>
            <w:vMerge w:val="restart"/>
          </w:tcPr>
          <w:p w14:paraId="5B5E895C" w14:textId="77777777" w:rsidR="00657593" w:rsidRDefault="000E6F14" w:rsidP="00E054A9">
            <w:pPr>
              <w:jc w:val="center"/>
            </w:pPr>
            <w:r>
              <w:object w:dxaOrig="689" w:dyaOrig="950" w14:anchorId="77A54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47.4pt" o:ole="">
                  <v:imagedata r:id="rId12" o:title=""/>
                </v:shape>
                <o:OLEObject Type="Embed" ProgID="CorelDraw.Graphic.16" ShapeID="_x0000_i1025" DrawAspect="Content" ObjectID="_1782071943" r:id="rId13"/>
              </w:object>
            </w:r>
          </w:p>
        </w:tc>
        <w:tc>
          <w:tcPr>
            <w:tcW w:w="3285" w:type="dxa"/>
          </w:tcPr>
          <w:p w14:paraId="54C87F90" w14:textId="77777777" w:rsidR="00657593" w:rsidRDefault="00657593" w:rsidP="00E054A9"/>
        </w:tc>
      </w:tr>
      <w:tr w:rsidR="00646885" w14:paraId="5C3DD6CE" w14:textId="77777777" w:rsidTr="00E054A9">
        <w:tc>
          <w:tcPr>
            <w:tcW w:w="3284" w:type="dxa"/>
          </w:tcPr>
          <w:p w14:paraId="6CAF8479" w14:textId="77777777" w:rsidR="00657593" w:rsidRDefault="00657593" w:rsidP="00E054A9"/>
        </w:tc>
        <w:tc>
          <w:tcPr>
            <w:tcW w:w="3285" w:type="dxa"/>
            <w:vMerge/>
          </w:tcPr>
          <w:p w14:paraId="247A0BF9" w14:textId="77777777" w:rsidR="00657593" w:rsidRDefault="00657593" w:rsidP="00E054A9"/>
        </w:tc>
        <w:tc>
          <w:tcPr>
            <w:tcW w:w="3285" w:type="dxa"/>
          </w:tcPr>
          <w:p w14:paraId="792A063A" w14:textId="77777777" w:rsidR="00657593" w:rsidRDefault="00657593" w:rsidP="00E054A9"/>
        </w:tc>
      </w:tr>
      <w:tr w:rsidR="00646885" w14:paraId="3060B4D6" w14:textId="77777777" w:rsidTr="00E054A9">
        <w:tc>
          <w:tcPr>
            <w:tcW w:w="9854" w:type="dxa"/>
            <w:gridSpan w:val="3"/>
          </w:tcPr>
          <w:p w14:paraId="4B6680DD" w14:textId="77777777" w:rsidR="00657593" w:rsidRPr="00E10F0A" w:rsidRDefault="000E6F14" w:rsidP="00E054A9">
            <w:pPr>
              <w:tabs>
                <w:tab w:val="left" w:pos="-3600"/>
              </w:tabs>
              <w:spacing w:before="120" w:after="120"/>
              <w:jc w:val="center"/>
              <w:rPr>
                <w:b/>
                <w:bCs/>
                <w:color w:val="006600"/>
                <w:spacing w:val="10"/>
              </w:rPr>
            </w:pPr>
            <w:r w:rsidRPr="00E10F0A">
              <w:rPr>
                <w:b/>
                <w:bCs/>
                <w:color w:val="006600"/>
                <w:spacing w:val="10"/>
              </w:rPr>
              <w:t>Правління Національного банку України</w:t>
            </w:r>
          </w:p>
          <w:p w14:paraId="366A8AEF" w14:textId="77777777" w:rsidR="00657593" w:rsidRDefault="000E6F14" w:rsidP="00E054A9">
            <w:pPr>
              <w:jc w:val="center"/>
            </w:pPr>
            <w:r w:rsidRPr="00E10F0A">
              <w:rPr>
                <w:b/>
                <w:bCs/>
                <w:color w:val="006600"/>
                <w:sz w:val="32"/>
                <w:szCs w:val="32"/>
              </w:rPr>
              <w:t>П О С Т А Н О В А</w:t>
            </w:r>
          </w:p>
        </w:tc>
      </w:tr>
    </w:tbl>
    <w:p w14:paraId="0906508F" w14:textId="77777777" w:rsidR="00657593" w:rsidRPr="00566BA2" w:rsidRDefault="00657593" w:rsidP="00657593">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2"/>
        <w:gridCol w:w="2636"/>
        <w:gridCol w:w="1676"/>
        <w:gridCol w:w="1894"/>
      </w:tblGrid>
      <w:tr w:rsidR="00646885" w14:paraId="741F5399" w14:textId="77777777" w:rsidTr="00AB062E">
        <w:tc>
          <w:tcPr>
            <w:tcW w:w="3510" w:type="dxa"/>
            <w:vAlign w:val="bottom"/>
          </w:tcPr>
          <w:p w14:paraId="524D371E" w14:textId="0C3C7B04" w:rsidR="00657593" w:rsidRPr="00566BA2" w:rsidRDefault="00C471BA" w:rsidP="00E054A9">
            <w:r>
              <w:t>09 липня 2024 року</w:t>
            </w:r>
          </w:p>
        </w:tc>
        <w:tc>
          <w:tcPr>
            <w:tcW w:w="2694" w:type="dxa"/>
          </w:tcPr>
          <w:p w14:paraId="77486A70" w14:textId="77777777" w:rsidR="00657593" w:rsidRDefault="000E6F14" w:rsidP="00E62607">
            <w:pPr>
              <w:spacing w:before="240"/>
              <w:jc w:val="center"/>
            </w:pPr>
            <w:r w:rsidRPr="00E10F0A">
              <w:rPr>
                <w:color w:val="006600"/>
              </w:rPr>
              <w:t>Київ</w:t>
            </w:r>
          </w:p>
        </w:tc>
        <w:tc>
          <w:tcPr>
            <w:tcW w:w="1713" w:type="dxa"/>
            <w:vAlign w:val="bottom"/>
          </w:tcPr>
          <w:p w14:paraId="30284426" w14:textId="0747F9FC" w:rsidR="00657593" w:rsidRDefault="00C471BA" w:rsidP="00E62607">
            <w:pPr>
              <w:jc w:val="right"/>
            </w:pPr>
            <w:r>
              <w:t>№</w:t>
            </w:r>
          </w:p>
        </w:tc>
        <w:tc>
          <w:tcPr>
            <w:tcW w:w="1937" w:type="dxa"/>
            <w:vAlign w:val="bottom"/>
          </w:tcPr>
          <w:p w14:paraId="13CB2A38" w14:textId="2FF83196" w:rsidR="00657593" w:rsidRDefault="00F963ED" w:rsidP="00290169">
            <w:pPr>
              <w:jc w:val="left"/>
            </w:pPr>
            <w:r>
              <w:t>84</w:t>
            </w:r>
          </w:p>
        </w:tc>
      </w:tr>
    </w:tbl>
    <w:p w14:paraId="70D709B1" w14:textId="77777777" w:rsidR="00657593" w:rsidRPr="00CD0CD4" w:rsidRDefault="00657593" w:rsidP="00657593">
      <w:pPr>
        <w:rPr>
          <w:sz w:val="2"/>
          <w:szCs w:val="2"/>
        </w:rPr>
      </w:pPr>
    </w:p>
    <w:tbl>
      <w:tblPr>
        <w:tblStyle w:val="a9"/>
        <w:tblW w:w="382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tblGrid>
      <w:tr w:rsidR="00646885" w14:paraId="3B7F5D47" w14:textId="77777777" w:rsidTr="009444C9">
        <w:trPr>
          <w:jc w:val="center"/>
        </w:trPr>
        <w:tc>
          <w:tcPr>
            <w:tcW w:w="5000" w:type="pct"/>
          </w:tcPr>
          <w:p w14:paraId="26739748" w14:textId="54CD4831" w:rsidR="002B3F71" w:rsidRPr="00CD0CD4" w:rsidRDefault="009444C9" w:rsidP="00575B56">
            <w:pPr>
              <w:tabs>
                <w:tab w:val="left" w:pos="840"/>
                <w:tab w:val="center" w:pos="3293"/>
              </w:tabs>
              <w:spacing w:before="240"/>
              <w:jc w:val="center"/>
              <w:rPr>
                <w:rFonts w:eastAsiaTheme="minorEastAsia"/>
                <w:color w:val="000000" w:themeColor="text1"/>
                <w:lang w:eastAsia="en-US"/>
              </w:rPr>
            </w:pPr>
            <w:r>
              <w:rPr>
                <w:rFonts w:eastAsiaTheme="minorEastAsia"/>
                <w:color w:val="000000" w:themeColor="text1"/>
                <w:lang w:eastAsia="en-US"/>
              </w:rPr>
              <w:t>Про внесення змін до постанови Правління Національного банку України від 14 травня 2019 року № 67</w:t>
            </w:r>
          </w:p>
        </w:tc>
      </w:tr>
    </w:tbl>
    <w:p w14:paraId="202A4882" w14:textId="1D146DC1" w:rsidR="00E53CCD" w:rsidRDefault="009444C9" w:rsidP="00171FDA">
      <w:pPr>
        <w:spacing w:before="240" w:after="240"/>
        <w:ind w:firstLine="567"/>
        <w:rPr>
          <w:b/>
        </w:rPr>
      </w:pPr>
      <w:r w:rsidRPr="00A316BB">
        <w:t>Відповідно до</w:t>
      </w:r>
      <w:r>
        <w:t xml:space="preserve"> </w:t>
      </w:r>
      <w:hyperlink r:id="rId14" w:anchor="n101" w:tgtFrame="_blank" w:history="1">
        <w:r>
          <w:t xml:space="preserve">статей </w:t>
        </w:r>
        <w:r w:rsidRPr="00E12E01">
          <w:t>6</w:t>
        </w:r>
      </w:hyperlink>
      <w:r w:rsidRPr="00E12E01">
        <w:t>,</w:t>
      </w:r>
      <w:r>
        <w:t xml:space="preserve"> </w:t>
      </w:r>
      <w:hyperlink r:id="rId15" w:anchor="n109" w:tgtFrame="_blank" w:history="1">
        <w:r w:rsidRPr="00E12E01">
          <w:t>7</w:t>
        </w:r>
      </w:hyperlink>
      <w:r w:rsidRPr="00E12E01">
        <w:t>,</w:t>
      </w:r>
      <w:r>
        <w:t xml:space="preserve"> </w:t>
      </w:r>
      <w:hyperlink r:id="rId16" w:anchor="n270" w:tgtFrame="_blank" w:history="1">
        <w:r w:rsidRPr="00E12E01">
          <w:t>15</w:t>
        </w:r>
      </w:hyperlink>
      <w:r w:rsidRPr="00E12E01">
        <w:t>,</w:t>
      </w:r>
      <w:r>
        <w:t xml:space="preserve"> </w:t>
      </w:r>
      <w:hyperlink r:id="rId17" w:anchor="n393" w:tgtFrame="_blank" w:history="1">
        <w:r w:rsidRPr="00E12E01">
          <w:t>25</w:t>
        </w:r>
      </w:hyperlink>
      <w:r w:rsidRPr="00E12E01">
        <w:t>,</w:t>
      </w:r>
      <w:r>
        <w:t xml:space="preserve"> </w:t>
      </w:r>
      <w:hyperlink r:id="rId18" w:anchor="n529" w:tgtFrame="_blank" w:history="1">
        <w:r w:rsidRPr="00E12E01">
          <w:t>44</w:t>
        </w:r>
      </w:hyperlink>
      <w:r w:rsidRPr="00E12E01">
        <w:t>,</w:t>
      </w:r>
      <w:r>
        <w:t xml:space="preserve"> </w:t>
      </w:r>
      <w:hyperlink r:id="rId19" w:anchor="n632" w:tgtFrame="_blank" w:history="1">
        <w:r w:rsidRPr="00E12E01">
          <w:t>56</w:t>
        </w:r>
      </w:hyperlink>
      <w:r>
        <w:t xml:space="preserve"> </w:t>
      </w:r>
      <w:r w:rsidRPr="00E12E01">
        <w:t xml:space="preserve">Закону України “Про Національний банк України”, </w:t>
      </w:r>
      <w:hyperlink r:id="rId20" w:anchor="n169" w:tgtFrame="_blank" w:history="1">
        <w:r w:rsidRPr="00E12E01">
          <w:t>статті 13</w:t>
        </w:r>
      </w:hyperlink>
      <w:r w:rsidRPr="00E12E01">
        <w:t> Закону України “Про валюту і валютні операції”</w:t>
      </w:r>
      <w:r>
        <w:t xml:space="preserve">, </w:t>
      </w:r>
      <w:r w:rsidRPr="00580085">
        <w:rPr>
          <w:shd w:val="clear" w:color="auto" w:fill="FFFFFF"/>
        </w:rPr>
        <w:t>розпорядження Кабінету Міністрів України від</w:t>
      </w:r>
      <w:r w:rsidRPr="00971C03">
        <w:rPr>
          <w:shd w:val="clear" w:color="auto" w:fill="FFFFFF"/>
        </w:rPr>
        <w:t xml:space="preserve"> 13 лютого 2019 року</w:t>
      </w:r>
      <w:r>
        <w:rPr>
          <w:shd w:val="clear" w:color="auto" w:fill="FFFFFF"/>
        </w:rPr>
        <w:t xml:space="preserve"> № 76-р  </w:t>
      </w:r>
      <w:r w:rsidRPr="00971C03">
        <w:rPr>
          <w:shd w:val="clear" w:color="auto" w:fill="FFFFFF"/>
        </w:rPr>
        <w:t xml:space="preserve">«Про затвердження переліку товарів та (або) галузей економіки, для яких Національний банк має право встановлювати винятки та (або) особливості запровадження заходу захисту, передбаченого абзацом першим частини першої статті 13 Закону України </w:t>
      </w:r>
      <w:r w:rsidRPr="00E12E01">
        <w:t>“</w:t>
      </w:r>
      <w:r w:rsidRPr="00971C03">
        <w:rPr>
          <w:shd w:val="clear" w:color="auto" w:fill="FFFFFF"/>
        </w:rPr>
        <w:t>Про валюту і валютні операції</w:t>
      </w:r>
      <w:r w:rsidRPr="00E12E01">
        <w:t>”</w:t>
      </w:r>
      <w:r w:rsidRPr="00971C03">
        <w:rPr>
          <w:shd w:val="clear" w:color="auto" w:fill="FFFFFF"/>
        </w:rPr>
        <w:t>»</w:t>
      </w:r>
      <w:r w:rsidR="00232448">
        <w:rPr>
          <w:shd w:val="clear" w:color="auto" w:fill="FFFFFF"/>
        </w:rPr>
        <w:t xml:space="preserve"> (зі змінами)</w:t>
      </w:r>
      <w:r w:rsidRPr="00971C03">
        <w:t xml:space="preserve">, </w:t>
      </w:r>
      <w:r w:rsidR="00575B56" w:rsidRPr="00826A9E">
        <w:t xml:space="preserve">з метою доповнення </w:t>
      </w:r>
      <w:r w:rsidR="00575B56" w:rsidRPr="006B27CC">
        <w:t>переліку операцій з імпорту товарів, на які не</w:t>
      </w:r>
      <w:r w:rsidR="00575B56" w:rsidRPr="00826A9E">
        <w:rPr>
          <w:color w:val="000000"/>
        </w:rPr>
        <w:t xml:space="preserve"> поширюються </w:t>
      </w:r>
      <w:r w:rsidR="00575B56" w:rsidRPr="00826A9E">
        <w:t>встановлені Національним банком України</w:t>
      </w:r>
      <w:r w:rsidR="00575B56" w:rsidRPr="00826A9E">
        <w:rPr>
          <w:color w:val="000000"/>
        </w:rPr>
        <w:t xml:space="preserve"> граничні строки розрахунків </w:t>
      </w:r>
      <w:r w:rsidR="00575B56" w:rsidRPr="00826A9E">
        <w:t>за операціями з експорту та імпорту товарів</w:t>
      </w:r>
      <w:r w:rsidR="00575B56">
        <w:t>,</w:t>
      </w:r>
      <w:r w:rsidR="00171FDA" w:rsidRPr="009A5156">
        <w:t xml:space="preserve"> </w:t>
      </w:r>
      <w:r w:rsidR="00575B56">
        <w:t xml:space="preserve">а також </w:t>
      </w:r>
      <w:r w:rsidR="00DF2B8A">
        <w:t>для</w:t>
      </w:r>
      <w:r w:rsidR="00575B56">
        <w:t xml:space="preserve"> </w:t>
      </w:r>
      <w:r w:rsidR="00171FDA" w:rsidRPr="009A5156">
        <w:t>визначення особливостей застосування встановлених Національним банком України граничн</w:t>
      </w:r>
      <w:r w:rsidR="00171FDA">
        <w:t>их</w:t>
      </w:r>
      <w:r w:rsidR="00171FDA" w:rsidRPr="009A5156">
        <w:t xml:space="preserve"> строк</w:t>
      </w:r>
      <w:r w:rsidR="00171FDA">
        <w:t>ів</w:t>
      </w:r>
      <w:r w:rsidR="00171FDA" w:rsidRPr="009A5156">
        <w:t xml:space="preserve"> розрахунків за </w:t>
      </w:r>
      <w:r w:rsidR="00943BA8">
        <w:t xml:space="preserve">окремими </w:t>
      </w:r>
      <w:r w:rsidR="00171FDA" w:rsidRPr="009A5156">
        <w:t>операціями з експорту</w:t>
      </w:r>
      <w:r w:rsidR="00575B56" w:rsidRPr="00575B56">
        <w:t xml:space="preserve"> </w:t>
      </w:r>
      <w:r w:rsidR="00171FDA" w:rsidRPr="009A5156">
        <w:t>товарів</w:t>
      </w:r>
      <w:r w:rsidRPr="00826A9E">
        <w:t xml:space="preserve"> Правління</w:t>
      </w:r>
      <w:r w:rsidRPr="003900D2">
        <w:t xml:space="preserve"> Національного банку України</w:t>
      </w:r>
      <w:r w:rsidRPr="003900D2">
        <w:rPr>
          <w:b/>
        </w:rPr>
        <w:t xml:space="preserve"> постановляє</w:t>
      </w:r>
      <w:r w:rsidR="00FA508E" w:rsidRPr="00CD0CD4">
        <w:rPr>
          <w:b/>
        </w:rPr>
        <w:t>:</w:t>
      </w:r>
    </w:p>
    <w:p w14:paraId="3FC48BD6" w14:textId="77777777" w:rsidR="00C8629D" w:rsidRDefault="000E6F14" w:rsidP="005C26BC">
      <w:pPr>
        <w:ind w:firstLine="562"/>
        <w:rPr>
          <w:rFonts w:eastAsiaTheme="minorEastAsia"/>
          <w:noProof/>
          <w:lang w:eastAsia="en-US"/>
        </w:rPr>
      </w:pPr>
      <w:r w:rsidRPr="00B41BF3">
        <w:t>1.</w:t>
      </w:r>
      <w:r>
        <w:rPr>
          <w:lang w:val="en-US"/>
        </w:rPr>
        <w:t> </w:t>
      </w:r>
      <w:r w:rsidR="00575B56">
        <w:rPr>
          <w:rFonts w:eastAsiaTheme="minorEastAsia"/>
          <w:noProof/>
          <w:color w:val="000000" w:themeColor="text1"/>
          <w:lang w:eastAsia="en-US"/>
        </w:rPr>
        <w:t xml:space="preserve"> </w:t>
      </w:r>
      <w:r w:rsidR="00C8629D">
        <w:rPr>
          <w:rFonts w:eastAsiaTheme="minorEastAsia"/>
          <w:noProof/>
          <w:color w:val="000000" w:themeColor="text1"/>
          <w:lang w:eastAsia="en-US"/>
        </w:rPr>
        <w:t xml:space="preserve">Унести до </w:t>
      </w:r>
      <w:r w:rsidR="00575B56" w:rsidRPr="00E12E01">
        <w:t>постанов</w:t>
      </w:r>
      <w:r w:rsidR="00C8629D">
        <w:t>и</w:t>
      </w:r>
      <w:r w:rsidR="00575B56" w:rsidRPr="00E12E01">
        <w:t xml:space="preserve"> Правління Національного</w:t>
      </w:r>
      <w:r w:rsidR="00575B56">
        <w:t xml:space="preserve"> банку України від 14</w:t>
      </w:r>
      <w:r w:rsidR="00575B56" w:rsidRPr="004477DD">
        <w:t xml:space="preserve"> травня </w:t>
      </w:r>
      <w:r w:rsidR="00575B56">
        <w:t>2019 року №</w:t>
      </w:r>
      <w:r w:rsidR="00575B56">
        <w:rPr>
          <w:lang w:val="en-US"/>
        </w:rPr>
        <w:t> </w:t>
      </w:r>
      <w:r w:rsidR="00575B56" w:rsidRPr="00E12E01">
        <w:t>67</w:t>
      </w:r>
      <w:r w:rsidR="00575B56">
        <w:t xml:space="preserve"> </w:t>
      </w:r>
      <w:r w:rsidR="00575B56" w:rsidRPr="004477DD">
        <w:t>“</w:t>
      </w:r>
      <w:r w:rsidR="00575B56" w:rsidRPr="00E12E01">
        <w:t>Про встановлення винятків та (або) особливостей запровадження граничних строків розрахунків за операціями з експорту та імпорту товарів і внесення змін до деяких нормативно-правових актів</w:t>
      </w:r>
      <w:r w:rsidR="00575B56" w:rsidRPr="00B41BF3">
        <w:t>”</w:t>
      </w:r>
      <w:r w:rsidR="00575B56">
        <w:t xml:space="preserve"> (зі змінами) (далі – Постанова №</w:t>
      </w:r>
      <w:r w:rsidR="00575B56" w:rsidRPr="00B41BF3">
        <w:t xml:space="preserve"> </w:t>
      </w:r>
      <w:r w:rsidR="00575B56">
        <w:t>67)</w:t>
      </w:r>
      <w:r w:rsidR="00C8629D">
        <w:t xml:space="preserve"> такі зміни:</w:t>
      </w:r>
      <w:r w:rsidR="00575B56" w:rsidRPr="00174994">
        <w:rPr>
          <w:rFonts w:eastAsiaTheme="minorEastAsia"/>
          <w:noProof/>
          <w:lang w:eastAsia="en-US"/>
        </w:rPr>
        <w:t xml:space="preserve"> </w:t>
      </w:r>
    </w:p>
    <w:p w14:paraId="0C679B82" w14:textId="77777777" w:rsidR="00C8629D" w:rsidRDefault="00C8629D" w:rsidP="005C26BC">
      <w:pPr>
        <w:ind w:firstLine="562"/>
      </w:pPr>
    </w:p>
    <w:p w14:paraId="2D21A3CD" w14:textId="6464DC63" w:rsidR="00575B56" w:rsidRPr="00174994" w:rsidRDefault="00C8629D" w:rsidP="005C26BC">
      <w:pPr>
        <w:ind w:firstLine="562"/>
        <w:rPr>
          <w:rFonts w:eastAsiaTheme="minorEastAsia"/>
          <w:noProof/>
          <w:lang w:val="ru-RU" w:eastAsia="en-US"/>
        </w:rPr>
      </w:pPr>
      <w:r>
        <w:t>1) п</w:t>
      </w:r>
      <w:r>
        <w:rPr>
          <w:rFonts w:eastAsiaTheme="minorEastAsia"/>
          <w:noProof/>
          <w:color w:val="000000" w:themeColor="text1"/>
          <w:lang w:eastAsia="en-US"/>
        </w:rPr>
        <w:t xml:space="preserve">ункт 1 </w:t>
      </w:r>
      <w:r w:rsidR="00575B56" w:rsidRPr="00174994">
        <w:rPr>
          <w:rFonts w:eastAsiaTheme="minorEastAsia"/>
          <w:noProof/>
          <w:lang w:eastAsia="en-US"/>
        </w:rPr>
        <w:t xml:space="preserve">доповнити </w:t>
      </w:r>
      <w:r w:rsidR="00575B56">
        <w:rPr>
          <w:rFonts w:eastAsiaTheme="minorEastAsia"/>
          <w:noProof/>
          <w:lang w:eastAsia="en-US"/>
        </w:rPr>
        <w:t>новим</w:t>
      </w:r>
      <w:r w:rsidR="00575B56" w:rsidRPr="00174994">
        <w:rPr>
          <w:rFonts w:eastAsiaTheme="minorEastAsia"/>
          <w:noProof/>
          <w:lang w:eastAsia="en-US"/>
        </w:rPr>
        <w:t xml:space="preserve"> підпункт</w:t>
      </w:r>
      <w:r w:rsidR="00575B56">
        <w:rPr>
          <w:rFonts w:eastAsiaTheme="minorEastAsia"/>
          <w:noProof/>
          <w:lang w:eastAsia="en-US"/>
        </w:rPr>
        <w:t>ом</w:t>
      </w:r>
      <w:r w:rsidR="00575B56" w:rsidRPr="00174994">
        <w:rPr>
          <w:rFonts w:eastAsiaTheme="minorEastAsia"/>
          <w:noProof/>
          <w:lang w:val="ru-RU" w:eastAsia="en-US"/>
        </w:rPr>
        <w:t xml:space="preserve"> такого змісту:</w:t>
      </w:r>
    </w:p>
    <w:p w14:paraId="628EABBD" w14:textId="1FEDF2F4" w:rsidR="005C26BC" w:rsidRPr="005C26BC" w:rsidRDefault="00575B56" w:rsidP="005C26BC">
      <w:pPr>
        <w:ind w:firstLine="461"/>
      </w:pPr>
      <w:r w:rsidRPr="00B41BF3">
        <w:rPr>
          <w:rFonts w:eastAsiaTheme="minorEastAsia"/>
          <w:noProof/>
          <w:lang w:eastAsia="en-US"/>
        </w:rPr>
        <w:t>“</w:t>
      </w:r>
      <w:r>
        <w:rPr>
          <w:rFonts w:eastAsiaTheme="minorEastAsia"/>
          <w:noProof/>
          <w:lang w:eastAsia="en-US"/>
        </w:rPr>
        <w:t>1</w:t>
      </w:r>
      <w:r w:rsidR="005C26BC">
        <w:rPr>
          <w:rFonts w:eastAsiaTheme="minorEastAsia"/>
          <w:noProof/>
          <w:lang w:eastAsia="en-US"/>
        </w:rPr>
        <w:t>4</w:t>
      </w:r>
      <w:r w:rsidRPr="00B41BF3">
        <w:rPr>
          <w:rFonts w:eastAsiaTheme="minorEastAsia"/>
          <w:noProof/>
          <w:lang w:eastAsia="en-US"/>
        </w:rPr>
        <w:t xml:space="preserve">) </w:t>
      </w:r>
      <w:r w:rsidR="005C26BC" w:rsidRPr="005C26BC">
        <w:t xml:space="preserve">товари військового та подвійного використання і обладнання, які імпортуються виконавцями державних контрактів з оборонних закупівель або із створення та/або розширення виробничих </w:t>
      </w:r>
      <w:proofErr w:type="spellStart"/>
      <w:r w:rsidR="005C26BC" w:rsidRPr="005C26BC">
        <w:t>потужностей</w:t>
      </w:r>
      <w:proofErr w:type="spellEnd"/>
      <w:r w:rsidR="005C26BC" w:rsidRPr="005C26BC">
        <w:t xml:space="preserve"> для виготовлення товарів оборонного призначення, для виконання таких контрактів із державними замовниками за умови, що такі виконавці державних контрактів включені до електронного реєстру учасників відбору та виконавців державних контрактів (договорів)</w:t>
      </w:r>
      <w:r w:rsidR="00742BE2">
        <w:t>.</w:t>
      </w:r>
      <w:r w:rsidR="005C26BC" w:rsidRPr="00B41BF3">
        <w:t>”</w:t>
      </w:r>
      <w:r w:rsidR="00C8629D">
        <w:t>;</w:t>
      </w:r>
    </w:p>
    <w:p w14:paraId="103EC76D" w14:textId="06FE3D9F" w:rsidR="00575B56" w:rsidRPr="005C26BC" w:rsidRDefault="00575B56" w:rsidP="00575B56">
      <w:pPr>
        <w:ind w:firstLine="567"/>
      </w:pPr>
    </w:p>
    <w:p w14:paraId="7AC5E9BD" w14:textId="16E6AB22" w:rsidR="00171FDA" w:rsidRDefault="005C26BC" w:rsidP="005C26BC">
      <w:pPr>
        <w:ind w:firstLine="567"/>
        <w:rPr>
          <w:rFonts w:eastAsiaTheme="minorEastAsia"/>
          <w:noProof/>
          <w:lang w:val="ru-RU" w:eastAsia="en-US"/>
        </w:rPr>
      </w:pPr>
      <w:r>
        <w:t>2</w:t>
      </w:r>
      <w:r w:rsidR="00C8629D">
        <w:t>) п</w:t>
      </w:r>
      <w:r w:rsidR="00171FDA" w:rsidRPr="00174994">
        <w:rPr>
          <w:rFonts w:eastAsiaTheme="minorEastAsia"/>
          <w:noProof/>
          <w:lang w:eastAsia="en-US"/>
        </w:rPr>
        <w:t>ункт</w:t>
      </w:r>
      <w:r w:rsidR="00171FDA">
        <w:rPr>
          <w:rFonts w:eastAsiaTheme="minorEastAsia"/>
          <w:noProof/>
          <w:lang w:eastAsia="en-US"/>
        </w:rPr>
        <w:t xml:space="preserve"> 1</w:t>
      </w:r>
      <w:r w:rsidR="00171FDA">
        <w:rPr>
          <w:rFonts w:eastAsiaTheme="minorEastAsia"/>
          <w:noProof/>
          <w:vertAlign w:val="superscript"/>
          <w:lang w:eastAsia="en-US"/>
        </w:rPr>
        <w:t>2</w:t>
      </w:r>
      <w:r w:rsidR="00171FDA" w:rsidRPr="00174994">
        <w:rPr>
          <w:rFonts w:eastAsiaTheme="minorEastAsia"/>
          <w:noProof/>
          <w:lang w:val="ru-RU" w:eastAsia="en-US"/>
        </w:rPr>
        <w:t xml:space="preserve"> </w:t>
      </w:r>
      <w:r>
        <w:rPr>
          <w:rFonts w:eastAsiaTheme="minorEastAsia"/>
          <w:noProof/>
          <w:lang w:val="ru-RU" w:eastAsia="en-US"/>
        </w:rPr>
        <w:t>викласти в такій редакції</w:t>
      </w:r>
      <w:r w:rsidR="00171FDA" w:rsidRPr="00174994">
        <w:rPr>
          <w:rFonts w:eastAsiaTheme="minorEastAsia"/>
          <w:noProof/>
          <w:lang w:val="ru-RU" w:eastAsia="en-US"/>
        </w:rPr>
        <w:t>:</w:t>
      </w:r>
    </w:p>
    <w:p w14:paraId="7551770C" w14:textId="1146A963" w:rsidR="005C26BC" w:rsidRDefault="00171FDA" w:rsidP="005C26BC">
      <w:pPr>
        <w:ind w:firstLine="567"/>
      </w:pPr>
      <w:r w:rsidRPr="00BF03A2">
        <w:rPr>
          <w:rFonts w:eastAsiaTheme="minorEastAsia"/>
          <w:noProof/>
        </w:rPr>
        <w:t>“</w:t>
      </w:r>
      <w:r w:rsidRPr="00717828">
        <w:t>1</w:t>
      </w:r>
      <w:r>
        <w:rPr>
          <w:vertAlign w:val="superscript"/>
        </w:rPr>
        <w:t>2</w:t>
      </w:r>
      <w:r w:rsidRPr="00717828">
        <w:t>.</w:t>
      </w:r>
      <w:r w:rsidR="00ED3663">
        <w:t> </w:t>
      </w:r>
      <w:r w:rsidR="00EE64A0">
        <w:t>Г</w:t>
      </w:r>
      <w:r w:rsidRPr="00223FBD">
        <w:t>раничні строки розрахунків</w:t>
      </w:r>
      <w:r>
        <w:t xml:space="preserve"> з</w:t>
      </w:r>
      <w:r w:rsidRPr="00C16EA0">
        <w:t>а операціями з експорт</w:t>
      </w:r>
      <w:r>
        <w:t>у</w:t>
      </w:r>
      <w:r w:rsidRPr="00223FBD">
        <w:t xml:space="preserve"> товарів, що класифікуються за кодами згідно з УКТ ЗЕД: 1001, 1002, 1003, 1004, 1005, 1201, 1205, 1206 00, 1507, 1512, 1514, 2306</w:t>
      </w:r>
      <w:r>
        <w:t>,</w:t>
      </w:r>
      <w:r w:rsidRPr="00223FBD">
        <w:t xml:space="preserve"> </w:t>
      </w:r>
      <w:r w:rsidR="00EE64A0">
        <w:t>становлять</w:t>
      </w:r>
      <w:r w:rsidR="005C26BC">
        <w:t>:</w:t>
      </w:r>
    </w:p>
    <w:p w14:paraId="61C7BB52" w14:textId="648645D1" w:rsidR="005C26BC" w:rsidRDefault="00644082" w:rsidP="005C26BC">
      <w:pPr>
        <w:ind w:firstLine="567"/>
      </w:pPr>
      <w:r>
        <w:lastRenderedPageBreak/>
        <w:t xml:space="preserve">1) </w:t>
      </w:r>
      <w:r w:rsidR="005C26BC" w:rsidRPr="005C26BC">
        <w:t xml:space="preserve">90 календарних днів та застосовуються до операцій, здійснених з 11 листопада 2023 року </w:t>
      </w:r>
      <w:r w:rsidR="001A6482">
        <w:t>д</w:t>
      </w:r>
      <w:r w:rsidR="001A6482" w:rsidRPr="005C26BC">
        <w:t xml:space="preserve">о </w:t>
      </w:r>
      <w:r w:rsidR="00BB668A">
        <w:t>1</w:t>
      </w:r>
      <w:r w:rsidR="001B3C68">
        <w:t>1</w:t>
      </w:r>
      <w:r w:rsidR="005C26BC" w:rsidRPr="005C26BC">
        <w:t xml:space="preserve"> липня 2024 року включно;</w:t>
      </w:r>
    </w:p>
    <w:p w14:paraId="6FC25923" w14:textId="77777777" w:rsidR="00A34C46" w:rsidRPr="005C26BC" w:rsidRDefault="00A34C46" w:rsidP="005C26BC">
      <w:pPr>
        <w:ind w:firstLine="567"/>
      </w:pPr>
    </w:p>
    <w:p w14:paraId="6EE9F355" w14:textId="4F9B02E2" w:rsidR="00174994" w:rsidRPr="00B41BF3" w:rsidRDefault="00A34C46" w:rsidP="00171FDA">
      <w:pPr>
        <w:ind w:firstLine="567"/>
      </w:pPr>
      <w:r>
        <w:t xml:space="preserve">2) </w:t>
      </w:r>
      <w:r w:rsidR="005C26BC" w:rsidRPr="005C26BC">
        <w:t xml:space="preserve">120 календарних днів та застосовуються до операцій, здійснених з </w:t>
      </w:r>
      <w:r w:rsidR="00BB668A">
        <w:t>1</w:t>
      </w:r>
      <w:r w:rsidR="001B3C68">
        <w:t>2</w:t>
      </w:r>
      <w:r w:rsidR="005C26BC" w:rsidRPr="005C26BC">
        <w:t xml:space="preserve"> липня 2024 року</w:t>
      </w:r>
      <w:r w:rsidR="00C42F11" w:rsidRPr="005C26BC">
        <w:t>.</w:t>
      </w:r>
      <w:r w:rsidR="00174994" w:rsidRPr="00B41BF3">
        <w:t>”.</w:t>
      </w:r>
    </w:p>
    <w:p w14:paraId="5AA84401" w14:textId="270D9B3F" w:rsidR="006F239E" w:rsidRPr="006F239E" w:rsidRDefault="00C8629D" w:rsidP="00171FDA">
      <w:pPr>
        <w:spacing w:before="240" w:after="240"/>
        <w:ind w:firstLine="567"/>
        <w:rPr>
          <w:lang w:val="ru-RU"/>
        </w:rPr>
      </w:pPr>
      <w:r>
        <w:rPr>
          <w:shd w:val="clear" w:color="auto" w:fill="FFFFFF"/>
        </w:rPr>
        <w:t>2</w:t>
      </w:r>
      <w:r w:rsidR="006F239E" w:rsidRPr="006F239E">
        <w:rPr>
          <w:shd w:val="clear" w:color="auto" w:fill="FFFFFF"/>
        </w:rPr>
        <w:t>. Банки завершують здійснення валютного нагляду за дотриманням резидентами граничних строків розрахунків за операціями, визначеними в </w:t>
      </w:r>
      <w:r w:rsidR="006F239E" w:rsidRPr="006F239E">
        <w:t xml:space="preserve">підпункті </w:t>
      </w:r>
      <w:r w:rsidR="006F239E" w:rsidRPr="006F239E">
        <w:rPr>
          <w:shd w:val="clear" w:color="auto" w:fill="FFFFFF"/>
        </w:rPr>
        <w:t>14 пункту 1 Постанови № 67, у день набрання чинності цією постановою.</w:t>
      </w:r>
    </w:p>
    <w:p w14:paraId="2BBC2D8D" w14:textId="1467548A" w:rsidR="00171FDA" w:rsidRDefault="00C8629D" w:rsidP="00171FDA">
      <w:pPr>
        <w:spacing w:before="240" w:after="240"/>
        <w:ind w:firstLine="567"/>
        <w:rPr>
          <w:rFonts w:eastAsiaTheme="minorEastAsia"/>
          <w:noProof/>
          <w:color w:val="000000" w:themeColor="text1"/>
          <w:lang w:eastAsia="en-US"/>
        </w:rPr>
      </w:pPr>
      <w:r>
        <w:rPr>
          <w:color w:val="000000" w:themeColor="text1"/>
          <w:lang w:val="ru-RU"/>
        </w:rPr>
        <w:t>3</w:t>
      </w:r>
      <w:r w:rsidR="00171FDA">
        <w:rPr>
          <w:color w:val="000000" w:themeColor="text1"/>
          <w:lang w:val="ru-RU"/>
        </w:rPr>
        <w:t>. </w:t>
      </w:r>
      <w:r w:rsidR="00171FDA" w:rsidRPr="00205C6C">
        <w:t xml:space="preserve">Контроль за виконанням цієї постанови </w:t>
      </w:r>
      <w:r w:rsidR="00171FDA">
        <w:t xml:space="preserve">покласти на заступника </w:t>
      </w:r>
      <w:r w:rsidR="00171FDA" w:rsidRPr="00205C6C">
        <w:t xml:space="preserve">Голови Національного банку України </w:t>
      </w:r>
      <w:r w:rsidR="00171FDA">
        <w:t xml:space="preserve">Юрія </w:t>
      </w:r>
      <w:proofErr w:type="spellStart"/>
      <w:r w:rsidR="00171FDA">
        <w:t>Гелетія</w:t>
      </w:r>
      <w:proofErr w:type="spellEnd"/>
      <w:r w:rsidR="00171FDA" w:rsidRPr="005212A1">
        <w:rPr>
          <w:rFonts w:eastAsiaTheme="minorEastAsia"/>
          <w:noProof/>
          <w:color w:val="000000" w:themeColor="text1"/>
          <w:lang w:val="ru-RU" w:eastAsia="en-US"/>
        </w:rPr>
        <w:t>.</w:t>
      </w:r>
    </w:p>
    <w:p w14:paraId="240829FA" w14:textId="708AA7AB" w:rsidR="0095741D" w:rsidRPr="002466CA" w:rsidRDefault="00C8629D" w:rsidP="00171FDA">
      <w:pPr>
        <w:tabs>
          <w:tab w:val="left" w:pos="993"/>
        </w:tabs>
        <w:spacing w:after="120"/>
        <w:ind w:firstLine="567"/>
        <w:rPr>
          <w:sz w:val="24"/>
          <w:szCs w:val="24"/>
        </w:rPr>
      </w:pPr>
      <w:r>
        <w:rPr>
          <w:rFonts w:eastAsiaTheme="minorEastAsia"/>
          <w:noProof/>
          <w:color w:val="000000" w:themeColor="text1"/>
          <w:lang w:val="ru-RU" w:eastAsia="en-US"/>
        </w:rPr>
        <w:t>4</w:t>
      </w:r>
      <w:r w:rsidR="00171FDA">
        <w:rPr>
          <w:rFonts w:eastAsiaTheme="minorEastAsia"/>
          <w:noProof/>
          <w:color w:val="000000" w:themeColor="text1"/>
          <w:lang w:val="ru-RU" w:eastAsia="en-US"/>
        </w:rPr>
        <w:t>.</w:t>
      </w:r>
      <w:r w:rsidR="00171FDA">
        <w:rPr>
          <w:rFonts w:eastAsiaTheme="minorEastAsia"/>
          <w:noProof/>
          <w:color w:val="000000" w:themeColor="text1"/>
          <w:lang w:val="en-US" w:eastAsia="en-US"/>
        </w:rPr>
        <w:t> </w:t>
      </w:r>
      <w:r w:rsidR="00171FDA" w:rsidRPr="002963A7">
        <w:rPr>
          <w:color w:val="000000" w:themeColor="text1"/>
        </w:rPr>
        <w:t>Постанова набирає чинності з дня</w:t>
      </w:r>
      <w:r w:rsidR="00171FDA">
        <w:rPr>
          <w:color w:val="000000" w:themeColor="text1"/>
        </w:rPr>
        <w:t xml:space="preserve">, наступного за днем </w:t>
      </w:r>
      <w:r w:rsidR="00171FDA" w:rsidRPr="002963A7">
        <w:rPr>
          <w:color w:val="000000" w:themeColor="text1"/>
        </w:rPr>
        <w:t>її офіційного опублікуванн</w:t>
      </w:r>
      <w:r w:rsidR="00171FDA">
        <w:rPr>
          <w:color w:val="000000" w:themeColor="text1"/>
        </w:rPr>
        <w:t>я</w:t>
      </w:r>
      <w:r w:rsidR="00231140">
        <w:rPr>
          <w:color w:val="000000" w:themeColor="text1"/>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4252"/>
      </w:tblGrid>
      <w:tr w:rsidR="00646885" w14:paraId="3C4E7A97" w14:textId="77777777" w:rsidTr="00BD6D34">
        <w:tc>
          <w:tcPr>
            <w:tcW w:w="5495" w:type="dxa"/>
            <w:vAlign w:val="bottom"/>
          </w:tcPr>
          <w:p w14:paraId="66EC8A9F" w14:textId="77777777" w:rsidR="00622AD2" w:rsidRDefault="00622AD2" w:rsidP="00D25EC8">
            <w:pPr>
              <w:tabs>
                <w:tab w:val="left" w:pos="7020"/>
                <w:tab w:val="left" w:pos="7200"/>
              </w:tabs>
              <w:autoSpaceDE w:val="0"/>
              <w:autoSpaceDN w:val="0"/>
              <w:ind w:left="-111"/>
              <w:jc w:val="left"/>
            </w:pPr>
          </w:p>
          <w:p w14:paraId="683F289F" w14:textId="664101BD" w:rsidR="00DD60CC" w:rsidRPr="00CD0CD4" w:rsidRDefault="002E07ED" w:rsidP="00D25EC8">
            <w:pPr>
              <w:tabs>
                <w:tab w:val="left" w:pos="7020"/>
                <w:tab w:val="left" w:pos="7200"/>
              </w:tabs>
              <w:autoSpaceDE w:val="0"/>
              <w:autoSpaceDN w:val="0"/>
              <w:ind w:left="-111"/>
              <w:jc w:val="left"/>
            </w:pPr>
            <w:r>
              <w:t>Голов</w:t>
            </w:r>
            <w:r w:rsidR="00D25EC8">
              <w:t>а</w:t>
            </w:r>
          </w:p>
        </w:tc>
        <w:tc>
          <w:tcPr>
            <w:tcW w:w="4252" w:type="dxa"/>
            <w:vAlign w:val="bottom"/>
          </w:tcPr>
          <w:p w14:paraId="5A063C91" w14:textId="46F189E4" w:rsidR="00DD60CC" w:rsidRPr="009B46E9" w:rsidRDefault="00D25EC8" w:rsidP="00B056AB">
            <w:pPr>
              <w:tabs>
                <w:tab w:val="left" w:pos="7020"/>
                <w:tab w:val="left" w:pos="7200"/>
              </w:tabs>
              <w:autoSpaceDE w:val="0"/>
              <w:autoSpaceDN w:val="0"/>
              <w:ind w:left="32"/>
              <w:jc w:val="right"/>
              <w:rPr>
                <w:lang w:val="ru-RU"/>
              </w:rPr>
            </w:pPr>
            <w:r>
              <w:rPr>
                <w:lang w:val="ru-RU"/>
              </w:rPr>
              <w:t>Андрій ПИШНИЙ</w:t>
            </w:r>
          </w:p>
        </w:tc>
      </w:tr>
    </w:tbl>
    <w:p w14:paraId="29C1CC9F" w14:textId="77777777" w:rsidR="003F61C1" w:rsidRPr="00CD0CD4" w:rsidRDefault="003F61C1" w:rsidP="00E53CCD"/>
    <w:p w14:paraId="0AD3BA78" w14:textId="77777777" w:rsidR="00FA508E" w:rsidRPr="00CD0CD4" w:rsidRDefault="000E6F14" w:rsidP="00FA508E">
      <w:pPr>
        <w:jc w:val="left"/>
      </w:pPr>
      <w:r w:rsidRPr="00CD0CD4">
        <w:t>Інд.</w:t>
      </w:r>
      <w:r w:rsidRPr="00CD0CD4">
        <w:rPr>
          <w:sz w:val="22"/>
          <w:szCs w:val="22"/>
        </w:rPr>
        <w:t xml:space="preserve"> </w:t>
      </w:r>
      <w:r w:rsidR="00B056AB">
        <w:t>40</w:t>
      </w:r>
    </w:p>
    <w:sectPr w:rsidR="00FA508E" w:rsidRPr="00CD0CD4" w:rsidSect="00F963ED">
      <w:headerReference w:type="default" r:id="rId21"/>
      <w:headerReference w:type="first" r:id="rId22"/>
      <w:footerReference w:type="first" r:id="rId23"/>
      <w:pgSz w:w="11906" w:h="16838" w:code="9"/>
      <w:pgMar w:top="360" w:right="567" w:bottom="1620" w:left="1701" w:header="450"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188E8" w14:textId="77777777" w:rsidR="004854B5" w:rsidRDefault="004854B5">
      <w:r>
        <w:separator/>
      </w:r>
    </w:p>
  </w:endnote>
  <w:endnote w:type="continuationSeparator" w:id="0">
    <w:p w14:paraId="21E412B8" w14:textId="77777777" w:rsidR="004854B5" w:rsidRDefault="0048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DE1DF" w14:textId="77777777" w:rsidR="00F93C70" w:rsidRPr="00AB062E" w:rsidRDefault="000E6F14" w:rsidP="00F93C70">
    <w:pPr>
      <w:pStyle w:val="a5"/>
      <w:jc w:val="right"/>
      <w:rPr>
        <w:color w:val="FFFFFF" w:themeColor="background1"/>
      </w:rPr>
    </w:pPr>
    <w:r w:rsidRPr="00AB062E">
      <w:rPr>
        <w:color w:val="FFFFFF" w:themeColor="background1"/>
      </w:rPr>
      <w:t>Шаблон</w:t>
    </w:r>
  </w:p>
  <w:p w14:paraId="06BEE814" w14:textId="77777777" w:rsidR="00F93C70" w:rsidRPr="00F93C70" w:rsidRDefault="000E6F14" w:rsidP="00F93C70">
    <w:pPr>
      <w:pStyle w:val="a7"/>
      <w:jc w:val="right"/>
      <w:rPr>
        <w:color w:val="FFFFFF" w:themeColor="background1"/>
      </w:rPr>
    </w:pPr>
    <w:r w:rsidRPr="00F93C70">
      <w:rPr>
        <w:color w:val="FFFFFF" w:themeColor="background1"/>
      </w:rPr>
      <w:t>Шаблон</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C50D8" w14:textId="77777777" w:rsidR="004854B5" w:rsidRDefault="004854B5">
      <w:r>
        <w:separator/>
      </w:r>
    </w:p>
  </w:footnote>
  <w:footnote w:type="continuationSeparator" w:id="0">
    <w:p w14:paraId="667788DE" w14:textId="77777777" w:rsidR="004854B5" w:rsidRDefault="00485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010588"/>
      <w:docPartObj>
        <w:docPartGallery w:val="Page Numbers (Top of Page)"/>
        <w:docPartUnique/>
      </w:docPartObj>
    </w:sdtPr>
    <w:sdtEndPr/>
    <w:sdtContent>
      <w:p w14:paraId="1DCCCE69" w14:textId="16D644D7" w:rsidR="00460BA2" w:rsidRDefault="000E6F14">
        <w:pPr>
          <w:pStyle w:val="a5"/>
          <w:jc w:val="center"/>
        </w:pPr>
        <w:r>
          <w:fldChar w:fldCharType="begin"/>
        </w:r>
        <w:r>
          <w:instrText xml:space="preserve"> PAGE   \* MERGEFORMAT </w:instrText>
        </w:r>
        <w:r>
          <w:fldChar w:fldCharType="separate"/>
        </w:r>
        <w:r w:rsidR="00F963ED">
          <w:rPr>
            <w:noProof/>
          </w:rPr>
          <w:t>2</w:t>
        </w:r>
        <w:r>
          <w:fldChar w:fldCharType="end"/>
        </w:r>
      </w:p>
    </w:sdtContent>
  </w:sdt>
  <w:p w14:paraId="551742C6" w14:textId="77777777" w:rsidR="00460BA2" w:rsidRDefault="00460BA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BE9C1" w14:textId="146107A1" w:rsidR="00F963ED" w:rsidRDefault="00F963ED" w:rsidP="00F963ED">
    <w:pPr>
      <w:pStyle w:val="a5"/>
      <w:jc w:val="right"/>
    </w:pPr>
    <w:r w:rsidRPr="00CF7968">
      <w:rPr>
        <w:sz w:val="24"/>
        <w:szCs w:val="24"/>
      </w:rPr>
      <w:t>Офіційно опубліковано</w:t>
    </w:r>
    <w:r>
      <w:rPr>
        <w:sz w:val="24"/>
        <w:szCs w:val="24"/>
      </w:rPr>
      <w:t xml:space="preserve"> 10.07.2024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905DD"/>
    <w:multiLevelType w:val="hybridMultilevel"/>
    <w:tmpl w:val="4008ECA2"/>
    <w:lvl w:ilvl="0" w:tplc="A10CE538">
      <w:start w:val="1"/>
      <w:numFmt w:val="decimal"/>
      <w:lvlText w:val="%1."/>
      <w:lvlJc w:val="left"/>
      <w:pPr>
        <w:ind w:left="3905" w:hanging="360"/>
      </w:pPr>
    </w:lvl>
    <w:lvl w:ilvl="1" w:tplc="39141EBC">
      <w:start w:val="1"/>
      <w:numFmt w:val="lowerLetter"/>
      <w:lvlText w:val="%2."/>
      <w:lvlJc w:val="left"/>
      <w:pPr>
        <w:ind w:left="1789" w:hanging="360"/>
      </w:pPr>
    </w:lvl>
    <w:lvl w:ilvl="2" w:tplc="5EDCA192">
      <w:start w:val="1"/>
      <w:numFmt w:val="lowerRoman"/>
      <w:lvlText w:val="%3."/>
      <w:lvlJc w:val="right"/>
      <w:pPr>
        <w:ind w:left="2509" w:hanging="180"/>
      </w:pPr>
    </w:lvl>
    <w:lvl w:ilvl="3" w:tplc="07BC2976">
      <w:start w:val="1"/>
      <w:numFmt w:val="decimal"/>
      <w:lvlText w:val="%4."/>
      <w:lvlJc w:val="left"/>
      <w:pPr>
        <w:ind w:left="3229" w:hanging="360"/>
      </w:pPr>
    </w:lvl>
    <w:lvl w:ilvl="4" w:tplc="1B48223C">
      <w:start w:val="1"/>
      <w:numFmt w:val="lowerLetter"/>
      <w:lvlText w:val="%5."/>
      <w:lvlJc w:val="left"/>
      <w:pPr>
        <w:ind w:left="3949" w:hanging="360"/>
      </w:pPr>
    </w:lvl>
    <w:lvl w:ilvl="5" w:tplc="D7B03020">
      <w:start w:val="1"/>
      <w:numFmt w:val="lowerRoman"/>
      <w:lvlText w:val="%6."/>
      <w:lvlJc w:val="right"/>
      <w:pPr>
        <w:ind w:left="4669" w:hanging="180"/>
      </w:pPr>
    </w:lvl>
    <w:lvl w:ilvl="6" w:tplc="B32C51C0">
      <w:start w:val="1"/>
      <w:numFmt w:val="decimal"/>
      <w:lvlText w:val="%7."/>
      <w:lvlJc w:val="left"/>
      <w:pPr>
        <w:ind w:left="5389" w:hanging="360"/>
      </w:pPr>
    </w:lvl>
    <w:lvl w:ilvl="7" w:tplc="AD90DBC8">
      <w:start w:val="1"/>
      <w:numFmt w:val="lowerLetter"/>
      <w:lvlText w:val="%8."/>
      <w:lvlJc w:val="left"/>
      <w:pPr>
        <w:ind w:left="6109" w:hanging="360"/>
      </w:pPr>
    </w:lvl>
    <w:lvl w:ilvl="8" w:tplc="4166536A">
      <w:start w:val="1"/>
      <w:numFmt w:val="lowerRoman"/>
      <w:lvlText w:val="%9."/>
      <w:lvlJc w:val="right"/>
      <w:pPr>
        <w:ind w:left="6829" w:hanging="180"/>
      </w:pPr>
    </w:lvl>
  </w:abstractNum>
  <w:abstractNum w:abstractNumId="1" w15:restartNumberingAfterBreak="0">
    <w:nsid w:val="39745796"/>
    <w:multiLevelType w:val="hybridMultilevel"/>
    <w:tmpl w:val="D44AD2DE"/>
    <w:lvl w:ilvl="0" w:tplc="26B8EDDE">
      <w:start w:val="1"/>
      <w:numFmt w:val="decimal"/>
      <w:lvlText w:val="%1."/>
      <w:lvlJc w:val="left"/>
      <w:pPr>
        <w:ind w:left="1429" w:hanging="360"/>
      </w:pPr>
    </w:lvl>
    <w:lvl w:ilvl="1" w:tplc="2744E7C2" w:tentative="1">
      <w:start w:val="1"/>
      <w:numFmt w:val="lowerLetter"/>
      <w:lvlText w:val="%2."/>
      <w:lvlJc w:val="left"/>
      <w:pPr>
        <w:ind w:left="2149" w:hanging="360"/>
      </w:pPr>
    </w:lvl>
    <w:lvl w:ilvl="2" w:tplc="982082A4" w:tentative="1">
      <w:start w:val="1"/>
      <w:numFmt w:val="lowerRoman"/>
      <w:lvlText w:val="%3."/>
      <w:lvlJc w:val="right"/>
      <w:pPr>
        <w:ind w:left="2869" w:hanging="180"/>
      </w:pPr>
    </w:lvl>
    <w:lvl w:ilvl="3" w:tplc="5358BB96" w:tentative="1">
      <w:start w:val="1"/>
      <w:numFmt w:val="decimal"/>
      <w:lvlText w:val="%4."/>
      <w:lvlJc w:val="left"/>
      <w:pPr>
        <w:ind w:left="3589" w:hanging="360"/>
      </w:pPr>
    </w:lvl>
    <w:lvl w:ilvl="4" w:tplc="23549C6A" w:tentative="1">
      <w:start w:val="1"/>
      <w:numFmt w:val="lowerLetter"/>
      <w:lvlText w:val="%5."/>
      <w:lvlJc w:val="left"/>
      <w:pPr>
        <w:ind w:left="4309" w:hanging="360"/>
      </w:pPr>
    </w:lvl>
    <w:lvl w:ilvl="5" w:tplc="2070B10A" w:tentative="1">
      <w:start w:val="1"/>
      <w:numFmt w:val="lowerRoman"/>
      <w:lvlText w:val="%6."/>
      <w:lvlJc w:val="right"/>
      <w:pPr>
        <w:ind w:left="5029" w:hanging="180"/>
      </w:pPr>
    </w:lvl>
    <w:lvl w:ilvl="6" w:tplc="74240332" w:tentative="1">
      <w:start w:val="1"/>
      <w:numFmt w:val="decimal"/>
      <w:lvlText w:val="%7."/>
      <w:lvlJc w:val="left"/>
      <w:pPr>
        <w:ind w:left="5749" w:hanging="360"/>
      </w:pPr>
    </w:lvl>
    <w:lvl w:ilvl="7" w:tplc="110ECB04" w:tentative="1">
      <w:start w:val="1"/>
      <w:numFmt w:val="lowerLetter"/>
      <w:lvlText w:val="%8."/>
      <w:lvlJc w:val="left"/>
      <w:pPr>
        <w:ind w:left="6469" w:hanging="360"/>
      </w:pPr>
    </w:lvl>
    <w:lvl w:ilvl="8" w:tplc="0D0276EE" w:tentative="1">
      <w:start w:val="1"/>
      <w:numFmt w:val="lowerRoman"/>
      <w:lvlText w:val="%9."/>
      <w:lvlJc w:val="right"/>
      <w:pPr>
        <w:ind w:left="718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F65"/>
    <w:rsid w:val="000064FA"/>
    <w:rsid w:val="000069AF"/>
    <w:rsid w:val="00015CF3"/>
    <w:rsid w:val="00015FDE"/>
    <w:rsid w:val="000271C0"/>
    <w:rsid w:val="0003331E"/>
    <w:rsid w:val="000342A5"/>
    <w:rsid w:val="0003793C"/>
    <w:rsid w:val="0004180E"/>
    <w:rsid w:val="00044B3F"/>
    <w:rsid w:val="0004628E"/>
    <w:rsid w:val="00054044"/>
    <w:rsid w:val="000543C6"/>
    <w:rsid w:val="000600A8"/>
    <w:rsid w:val="00061C52"/>
    <w:rsid w:val="00063480"/>
    <w:rsid w:val="000638F2"/>
    <w:rsid w:val="000722F4"/>
    <w:rsid w:val="000B2990"/>
    <w:rsid w:val="000D01A8"/>
    <w:rsid w:val="000D778F"/>
    <w:rsid w:val="000E0CB3"/>
    <w:rsid w:val="000E4583"/>
    <w:rsid w:val="000E5B8C"/>
    <w:rsid w:val="000E6F14"/>
    <w:rsid w:val="000E7A13"/>
    <w:rsid w:val="00106229"/>
    <w:rsid w:val="00115ECF"/>
    <w:rsid w:val="001564BA"/>
    <w:rsid w:val="001631E2"/>
    <w:rsid w:val="00163578"/>
    <w:rsid w:val="001716B0"/>
    <w:rsid w:val="00171FDA"/>
    <w:rsid w:val="001740C0"/>
    <w:rsid w:val="00174994"/>
    <w:rsid w:val="00190E1A"/>
    <w:rsid w:val="001A0EE5"/>
    <w:rsid w:val="001A16FA"/>
    <w:rsid w:val="001A4CB9"/>
    <w:rsid w:val="001A6482"/>
    <w:rsid w:val="001A6795"/>
    <w:rsid w:val="001B3C68"/>
    <w:rsid w:val="001C206C"/>
    <w:rsid w:val="001C2D0E"/>
    <w:rsid w:val="001D487A"/>
    <w:rsid w:val="001E0D3A"/>
    <w:rsid w:val="001F1217"/>
    <w:rsid w:val="001F3B2A"/>
    <w:rsid w:val="002238D1"/>
    <w:rsid w:val="00231140"/>
    <w:rsid w:val="00231B35"/>
    <w:rsid w:val="00232448"/>
    <w:rsid w:val="00233F37"/>
    <w:rsid w:val="0024118A"/>
    <w:rsid w:val="00241373"/>
    <w:rsid w:val="002466CA"/>
    <w:rsid w:val="00253BF9"/>
    <w:rsid w:val="002641D2"/>
    <w:rsid w:val="00264983"/>
    <w:rsid w:val="00266678"/>
    <w:rsid w:val="00276988"/>
    <w:rsid w:val="002806AD"/>
    <w:rsid w:val="00280DCC"/>
    <w:rsid w:val="00285DDA"/>
    <w:rsid w:val="00290169"/>
    <w:rsid w:val="00290FB6"/>
    <w:rsid w:val="0029311C"/>
    <w:rsid w:val="00297A1F"/>
    <w:rsid w:val="002A2391"/>
    <w:rsid w:val="002B351E"/>
    <w:rsid w:val="002B3F71"/>
    <w:rsid w:val="002B582B"/>
    <w:rsid w:val="002C1FDB"/>
    <w:rsid w:val="002C7A5A"/>
    <w:rsid w:val="002D1790"/>
    <w:rsid w:val="002D7601"/>
    <w:rsid w:val="002E07ED"/>
    <w:rsid w:val="002F48EF"/>
    <w:rsid w:val="0030421F"/>
    <w:rsid w:val="00317EDA"/>
    <w:rsid w:val="00331332"/>
    <w:rsid w:val="00332701"/>
    <w:rsid w:val="0033367F"/>
    <w:rsid w:val="00340D07"/>
    <w:rsid w:val="00345982"/>
    <w:rsid w:val="00356E34"/>
    <w:rsid w:val="00357676"/>
    <w:rsid w:val="00380F84"/>
    <w:rsid w:val="0038385E"/>
    <w:rsid w:val="00384F65"/>
    <w:rsid w:val="00393682"/>
    <w:rsid w:val="0039725C"/>
    <w:rsid w:val="003A16E7"/>
    <w:rsid w:val="003A47B5"/>
    <w:rsid w:val="003A751F"/>
    <w:rsid w:val="003C3282"/>
    <w:rsid w:val="003C3985"/>
    <w:rsid w:val="003D6783"/>
    <w:rsid w:val="003D6B33"/>
    <w:rsid w:val="003F0441"/>
    <w:rsid w:val="003F1F0B"/>
    <w:rsid w:val="003F28B5"/>
    <w:rsid w:val="003F61C1"/>
    <w:rsid w:val="003F6BC3"/>
    <w:rsid w:val="003F7093"/>
    <w:rsid w:val="00401EDB"/>
    <w:rsid w:val="00404C93"/>
    <w:rsid w:val="00407877"/>
    <w:rsid w:val="004130B9"/>
    <w:rsid w:val="00433916"/>
    <w:rsid w:val="004348A9"/>
    <w:rsid w:val="0043496A"/>
    <w:rsid w:val="004446E9"/>
    <w:rsid w:val="00446704"/>
    <w:rsid w:val="00446722"/>
    <w:rsid w:val="00455B45"/>
    <w:rsid w:val="00460BA2"/>
    <w:rsid w:val="004666D6"/>
    <w:rsid w:val="004854B5"/>
    <w:rsid w:val="004A1CFC"/>
    <w:rsid w:val="004A4F7D"/>
    <w:rsid w:val="004A7F75"/>
    <w:rsid w:val="004B1FE9"/>
    <w:rsid w:val="004B5574"/>
    <w:rsid w:val="004D2B57"/>
    <w:rsid w:val="004E22E2"/>
    <w:rsid w:val="004E4150"/>
    <w:rsid w:val="004F7286"/>
    <w:rsid w:val="0050563F"/>
    <w:rsid w:val="005212A1"/>
    <w:rsid w:val="005212C5"/>
    <w:rsid w:val="00523C13"/>
    <w:rsid w:val="00524F07"/>
    <w:rsid w:val="005257C2"/>
    <w:rsid w:val="00532633"/>
    <w:rsid w:val="005403F1"/>
    <w:rsid w:val="00542533"/>
    <w:rsid w:val="005624B6"/>
    <w:rsid w:val="00562C46"/>
    <w:rsid w:val="00566BA2"/>
    <w:rsid w:val="005713FF"/>
    <w:rsid w:val="0057237F"/>
    <w:rsid w:val="00575B56"/>
    <w:rsid w:val="00577402"/>
    <w:rsid w:val="00580085"/>
    <w:rsid w:val="005822CB"/>
    <w:rsid w:val="005913BB"/>
    <w:rsid w:val="00597AB6"/>
    <w:rsid w:val="005A0F4B"/>
    <w:rsid w:val="005A1D3C"/>
    <w:rsid w:val="005A3418"/>
    <w:rsid w:val="005A3F34"/>
    <w:rsid w:val="005B0E92"/>
    <w:rsid w:val="005B2D03"/>
    <w:rsid w:val="005C26BC"/>
    <w:rsid w:val="005C5CBF"/>
    <w:rsid w:val="005D3B88"/>
    <w:rsid w:val="005D45F5"/>
    <w:rsid w:val="005E3FA8"/>
    <w:rsid w:val="005F0DBC"/>
    <w:rsid w:val="005F4CB4"/>
    <w:rsid w:val="005F6B35"/>
    <w:rsid w:val="00602A36"/>
    <w:rsid w:val="00605379"/>
    <w:rsid w:val="006121C5"/>
    <w:rsid w:val="006163EB"/>
    <w:rsid w:val="00622AD2"/>
    <w:rsid w:val="00640612"/>
    <w:rsid w:val="0064227D"/>
    <w:rsid w:val="00644082"/>
    <w:rsid w:val="00646885"/>
    <w:rsid w:val="0065179F"/>
    <w:rsid w:val="0065579F"/>
    <w:rsid w:val="00657593"/>
    <w:rsid w:val="00670C95"/>
    <w:rsid w:val="0068517D"/>
    <w:rsid w:val="006925CE"/>
    <w:rsid w:val="00692C8C"/>
    <w:rsid w:val="006A1025"/>
    <w:rsid w:val="006A6BC3"/>
    <w:rsid w:val="006A78DE"/>
    <w:rsid w:val="006B2748"/>
    <w:rsid w:val="006B465F"/>
    <w:rsid w:val="006C06A1"/>
    <w:rsid w:val="006C0F22"/>
    <w:rsid w:val="006C13B1"/>
    <w:rsid w:val="006C4176"/>
    <w:rsid w:val="006C66EF"/>
    <w:rsid w:val="006D2617"/>
    <w:rsid w:val="006F239E"/>
    <w:rsid w:val="00700AA3"/>
    <w:rsid w:val="007142BA"/>
    <w:rsid w:val="00714823"/>
    <w:rsid w:val="00717197"/>
    <w:rsid w:val="0071789F"/>
    <w:rsid w:val="00730088"/>
    <w:rsid w:val="00742BE2"/>
    <w:rsid w:val="007450EA"/>
    <w:rsid w:val="00747222"/>
    <w:rsid w:val="00750898"/>
    <w:rsid w:val="0075567D"/>
    <w:rsid w:val="00755DED"/>
    <w:rsid w:val="0076276D"/>
    <w:rsid w:val="00765A92"/>
    <w:rsid w:val="00766870"/>
    <w:rsid w:val="00773559"/>
    <w:rsid w:val="0078127A"/>
    <w:rsid w:val="00783AF2"/>
    <w:rsid w:val="00787E46"/>
    <w:rsid w:val="00790F15"/>
    <w:rsid w:val="007A2BCB"/>
    <w:rsid w:val="007A6609"/>
    <w:rsid w:val="007B0B78"/>
    <w:rsid w:val="007B3538"/>
    <w:rsid w:val="007B7B73"/>
    <w:rsid w:val="007C2CED"/>
    <w:rsid w:val="007E38DC"/>
    <w:rsid w:val="00802988"/>
    <w:rsid w:val="008415A0"/>
    <w:rsid w:val="00851D4E"/>
    <w:rsid w:val="0085364B"/>
    <w:rsid w:val="00862B7D"/>
    <w:rsid w:val="00866993"/>
    <w:rsid w:val="00874366"/>
    <w:rsid w:val="008762D8"/>
    <w:rsid w:val="00876E13"/>
    <w:rsid w:val="00897035"/>
    <w:rsid w:val="008B1589"/>
    <w:rsid w:val="008B74DD"/>
    <w:rsid w:val="008C72B5"/>
    <w:rsid w:val="008D10FD"/>
    <w:rsid w:val="008D122F"/>
    <w:rsid w:val="008D5F60"/>
    <w:rsid w:val="008D727F"/>
    <w:rsid w:val="008E1B8E"/>
    <w:rsid w:val="008F0210"/>
    <w:rsid w:val="008F2600"/>
    <w:rsid w:val="008F5D52"/>
    <w:rsid w:val="00904F17"/>
    <w:rsid w:val="00905959"/>
    <w:rsid w:val="00906770"/>
    <w:rsid w:val="009166DA"/>
    <w:rsid w:val="0091695B"/>
    <w:rsid w:val="00922966"/>
    <w:rsid w:val="0092710A"/>
    <w:rsid w:val="00937AE3"/>
    <w:rsid w:val="00937D24"/>
    <w:rsid w:val="00943107"/>
    <w:rsid w:val="00943175"/>
    <w:rsid w:val="00943BA8"/>
    <w:rsid w:val="009444C9"/>
    <w:rsid w:val="00951245"/>
    <w:rsid w:val="00954131"/>
    <w:rsid w:val="00956D26"/>
    <w:rsid w:val="0095741D"/>
    <w:rsid w:val="0097288F"/>
    <w:rsid w:val="0098207E"/>
    <w:rsid w:val="00982D60"/>
    <w:rsid w:val="009903B6"/>
    <w:rsid w:val="00990AAE"/>
    <w:rsid w:val="009A7040"/>
    <w:rsid w:val="009B4428"/>
    <w:rsid w:val="009B46E9"/>
    <w:rsid w:val="009B6120"/>
    <w:rsid w:val="009B6DE9"/>
    <w:rsid w:val="009C2F76"/>
    <w:rsid w:val="009F5312"/>
    <w:rsid w:val="00A02AEC"/>
    <w:rsid w:val="00A0594A"/>
    <w:rsid w:val="00A06578"/>
    <w:rsid w:val="00A12C47"/>
    <w:rsid w:val="00A23E04"/>
    <w:rsid w:val="00A316BB"/>
    <w:rsid w:val="00A321B9"/>
    <w:rsid w:val="00A34C46"/>
    <w:rsid w:val="00A4099F"/>
    <w:rsid w:val="00A46C15"/>
    <w:rsid w:val="00A50DC0"/>
    <w:rsid w:val="00A63695"/>
    <w:rsid w:val="00A71F9F"/>
    <w:rsid w:val="00A72C1A"/>
    <w:rsid w:val="00A72F06"/>
    <w:rsid w:val="00A730F2"/>
    <w:rsid w:val="00A77FFD"/>
    <w:rsid w:val="00A84D3F"/>
    <w:rsid w:val="00AB062E"/>
    <w:rsid w:val="00AB1941"/>
    <w:rsid w:val="00AB4554"/>
    <w:rsid w:val="00AB7759"/>
    <w:rsid w:val="00AC2472"/>
    <w:rsid w:val="00AC47B6"/>
    <w:rsid w:val="00AD418C"/>
    <w:rsid w:val="00AD7DF9"/>
    <w:rsid w:val="00AE29BB"/>
    <w:rsid w:val="00AE2CAF"/>
    <w:rsid w:val="00AF1FE0"/>
    <w:rsid w:val="00AF33D9"/>
    <w:rsid w:val="00B002E4"/>
    <w:rsid w:val="00B0565C"/>
    <w:rsid w:val="00B056AB"/>
    <w:rsid w:val="00B13E15"/>
    <w:rsid w:val="00B14949"/>
    <w:rsid w:val="00B31120"/>
    <w:rsid w:val="00B332B2"/>
    <w:rsid w:val="00B34CCC"/>
    <w:rsid w:val="00B35486"/>
    <w:rsid w:val="00B36EC7"/>
    <w:rsid w:val="00B36EDD"/>
    <w:rsid w:val="00B40B77"/>
    <w:rsid w:val="00B41BF3"/>
    <w:rsid w:val="00B61C97"/>
    <w:rsid w:val="00B628C5"/>
    <w:rsid w:val="00B71933"/>
    <w:rsid w:val="00B8078D"/>
    <w:rsid w:val="00BA1F6E"/>
    <w:rsid w:val="00BA2D1B"/>
    <w:rsid w:val="00BB668A"/>
    <w:rsid w:val="00BD12A3"/>
    <w:rsid w:val="00BD6A3F"/>
    <w:rsid w:val="00BD6D34"/>
    <w:rsid w:val="00BD7F6E"/>
    <w:rsid w:val="00BE628A"/>
    <w:rsid w:val="00BF3962"/>
    <w:rsid w:val="00BF3A76"/>
    <w:rsid w:val="00BF47B0"/>
    <w:rsid w:val="00BF5327"/>
    <w:rsid w:val="00C016A6"/>
    <w:rsid w:val="00C21D33"/>
    <w:rsid w:val="00C306C6"/>
    <w:rsid w:val="00C3382F"/>
    <w:rsid w:val="00C42F11"/>
    <w:rsid w:val="00C4377C"/>
    <w:rsid w:val="00C471BA"/>
    <w:rsid w:val="00C47F0F"/>
    <w:rsid w:val="00C51D84"/>
    <w:rsid w:val="00C52506"/>
    <w:rsid w:val="00C82259"/>
    <w:rsid w:val="00C84168"/>
    <w:rsid w:val="00C8629D"/>
    <w:rsid w:val="00C906B5"/>
    <w:rsid w:val="00C9297C"/>
    <w:rsid w:val="00C94014"/>
    <w:rsid w:val="00CA23B7"/>
    <w:rsid w:val="00CB0A99"/>
    <w:rsid w:val="00CB5A09"/>
    <w:rsid w:val="00CB5E50"/>
    <w:rsid w:val="00CB69B4"/>
    <w:rsid w:val="00CC0C69"/>
    <w:rsid w:val="00CD0CD4"/>
    <w:rsid w:val="00CE3B9F"/>
    <w:rsid w:val="00CF1FB8"/>
    <w:rsid w:val="00CF2C65"/>
    <w:rsid w:val="00D06E84"/>
    <w:rsid w:val="00D078B6"/>
    <w:rsid w:val="00D1022C"/>
    <w:rsid w:val="00D25EC8"/>
    <w:rsid w:val="00D27115"/>
    <w:rsid w:val="00D275F3"/>
    <w:rsid w:val="00D34DCC"/>
    <w:rsid w:val="00D521AA"/>
    <w:rsid w:val="00D61D9B"/>
    <w:rsid w:val="00D64023"/>
    <w:rsid w:val="00D8079C"/>
    <w:rsid w:val="00DA2F09"/>
    <w:rsid w:val="00DA5DC7"/>
    <w:rsid w:val="00DC1E60"/>
    <w:rsid w:val="00DC6AC5"/>
    <w:rsid w:val="00DD1736"/>
    <w:rsid w:val="00DD60CC"/>
    <w:rsid w:val="00DF2B8A"/>
    <w:rsid w:val="00DF4D12"/>
    <w:rsid w:val="00E00E96"/>
    <w:rsid w:val="00E00FC8"/>
    <w:rsid w:val="00E054A9"/>
    <w:rsid w:val="00E10AE2"/>
    <w:rsid w:val="00E10F0A"/>
    <w:rsid w:val="00E21875"/>
    <w:rsid w:val="00E25407"/>
    <w:rsid w:val="00E309B9"/>
    <w:rsid w:val="00E32599"/>
    <w:rsid w:val="00E33B0E"/>
    <w:rsid w:val="00E42621"/>
    <w:rsid w:val="00E446A6"/>
    <w:rsid w:val="00E530C0"/>
    <w:rsid w:val="00E53CB5"/>
    <w:rsid w:val="00E53CCD"/>
    <w:rsid w:val="00E56E32"/>
    <w:rsid w:val="00E62607"/>
    <w:rsid w:val="00E62817"/>
    <w:rsid w:val="00E71855"/>
    <w:rsid w:val="00E719A9"/>
    <w:rsid w:val="00E9721E"/>
    <w:rsid w:val="00E97D44"/>
    <w:rsid w:val="00EA1DE4"/>
    <w:rsid w:val="00EA60EA"/>
    <w:rsid w:val="00EB29BF"/>
    <w:rsid w:val="00EC324F"/>
    <w:rsid w:val="00EC7C7F"/>
    <w:rsid w:val="00ED3663"/>
    <w:rsid w:val="00ED5E6D"/>
    <w:rsid w:val="00EE64A0"/>
    <w:rsid w:val="00EF1F1F"/>
    <w:rsid w:val="00EF4B42"/>
    <w:rsid w:val="00F003D3"/>
    <w:rsid w:val="00F008AB"/>
    <w:rsid w:val="00F03E32"/>
    <w:rsid w:val="00F16D4B"/>
    <w:rsid w:val="00F203E4"/>
    <w:rsid w:val="00F41D44"/>
    <w:rsid w:val="00F42289"/>
    <w:rsid w:val="00F424A3"/>
    <w:rsid w:val="00F42E75"/>
    <w:rsid w:val="00F4506A"/>
    <w:rsid w:val="00F45D65"/>
    <w:rsid w:val="00F517FA"/>
    <w:rsid w:val="00F52D16"/>
    <w:rsid w:val="00F56B2D"/>
    <w:rsid w:val="00F62D67"/>
    <w:rsid w:val="00F63BD9"/>
    <w:rsid w:val="00F6694C"/>
    <w:rsid w:val="00F73E60"/>
    <w:rsid w:val="00F8145F"/>
    <w:rsid w:val="00F8627A"/>
    <w:rsid w:val="00F9283D"/>
    <w:rsid w:val="00F93C70"/>
    <w:rsid w:val="00F963ED"/>
    <w:rsid w:val="00F96F18"/>
    <w:rsid w:val="00FA508E"/>
    <w:rsid w:val="00FA5320"/>
    <w:rsid w:val="00FA7846"/>
    <w:rsid w:val="00FB2815"/>
    <w:rsid w:val="00FB7E2F"/>
    <w:rsid w:val="00FC26E5"/>
    <w:rsid w:val="00FC34B0"/>
    <w:rsid w:val="00FC5C67"/>
    <w:rsid w:val="00FD19F1"/>
    <w:rsid w:val="00FD370F"/>
    <w:rsid w:val="00FD4D3B"/>
    <w:rsid w:val="00FE0B90"/>
    <w:rsid w:val="00FE650D"/>
    <w:rsid w:val="00FF4C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C93BFC"/>
  <w15:docId w15:val="{85EB722D-A2EB-444C-B71C-8614665A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basedOn w:val="a"/>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paragraph" w:customStyle="1" w:styleId="af4">
    <w:name w:val="Нормальний текст"/>
    <w:basedOn w:val="a"/>
    <w:rsid w:val="00174994"/>
    <w:pPr>
      <w:spacing w:before="120"/>
      <w:ind w:firstLine="567"/>
    </w:pPr>
    <w:rPr>
      <w:rFonts w:ascii="Antiqua" w:hAnsi="Antiqua"/>
      <w:sz w:val="26"/>
      <w:szCs w:val="20"/>
      <w:lang w:eastAsia="ru-RU"/>
    </w:rPr>
  </w:style>
  <w:style w:type="character" w:styleId="af5">
    <w:name w:val="annotation reference"/>
    <w:basedOn w:val="a0"/>
    <w:uiPriority w:val="99"/>
    <w:semiHidden/>
    <w:unhideWhenUsed/>
    <w:rsid w:val="00044B3F"/>
    <w:rPr>
      <w:sz w:val="16"/>
      <w:szCs w:val="16"/>
    </w:rPr>
  </w:style>
  <w:style w:type="paragraph" w:styleId="af6">
    <w:name w:val="annotation text"/>
    <w:basedOn w:val="a"/>
    <w:link w:val="af7"/>
    <w:uiPriority w:val="99"/>
    <w:semiHidden/>
    <w:unhideWhenUsed/>
    <w:rsid w:val="00044B3F"/>
    <w:rPr>
      <w:sz w:val="20"/>
      <w:szCs w:val="20"/>
    </w:rPr>
  </w:style>
  <w:style w:type="character" w:customStyle="1" w:styleId="af7">
    <w:name w:val="Текст примітки Знак"/>
    <w:basedOn w:val="a0"/>
    <w:link w:val="af6"/>
    <w:uiPriority w:val="99"/>
    <w:semiHidden/>
    <w:rsid w:val="00044B3F"/>
    <w:rPr>
      <w:rFonts w:ascii="Times New Roman" w:hAnsi="Times New Roman" w:cs="Times New Roman"/>
      <w:sz w:val="20"/>
      <w:szCs w:val="20"/>
      <w:lang w:eastAsia="uk-UA"/>
    </w:rPr>
  </w:style>
  <w:style w:type="paragraph" w:styleId="af8">
    <w:name w:val="annotation subject"/>
    <w:basedOn w:val="af6"/>
    <w:next w:val="af6"/>
    <w:link w:val="af9"/>
    <w:uiPriority w:val="99"/>
    <w:semiHidden/>
    <w:unhideWhenUsed/>
    <w:rsid w:val="00044B3F"/>
    <w:rPr>
      <w:b/>
      <w:bCs/>
    </w:rPr>
  </w:style>
  <w:style w:type="character" w:customStyle="1" w:styleId="af9">
    <w:name w:val="Тема примітки Знак"/>
    <w:basedOn w:val="af7"/>
    <w:link w:val="af8"/>
    <w:uiPriority w:val="99"/>
    <w:semiHidden/>
    <w:rsid w:val="00044B3F"/>
    <w:rPr>
      <w:rFonts w:ascii="Times New Roman" w:hAnsi="Times New Roman" w:cs="Times New Roman"/>
      <w:b/>
      <w:bCs/>
      <w:sz w:val="20"/>
      <w:szCs w:val="20"/>
      <w:lang w:eastAsia="uk-UA"/>
    </w:rPr>
  </w:style>
  <w:style w:type="character" w:customStyle="1" w:styleId="rvts37">
    <w:name w:val="rvts37"/>
    <w:basedOn w:val="a0"/>
    <w:rsid w:val="005C26BC"/>
  </w:style>
  <w:style w:type="character" w:styleId="afa">
    <w:name w:val="Hyperlink"/>
    <w:basedOn w:val="a0"/>
    <w:uiPriority w:val="99"/>
    <w:semiHidden/>
    <w:unhideWhenUsed/>
    <w:rsid w:val="006F23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s://zakon.rada.gov.ua/laws/show/679-14"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zakon.rada.gov.ua/laws/show/679-1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zakon.rada.gov.ua/laws/show/679-14" TargetMode="External"/><Relationship Id="rId20" Type="http://schemas.openxmlformats.org/officeDocument/2006/relationships/hyperlink" Target="https://zakon.rada.gov.ua/laws/show/2473-1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zakon.rada.gov.ua/laws/show/679-14"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zakon.rada.gov.ua/laws/show/679-1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zakon.rada.gov.ua/laws/show/679-14"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B9B379-7018-4A3A-A88B-F8671DED09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716753-10DB-42DA-B032-EC131FF1FA2F}">
  <ds:schemaRefs>
    <ds:schemaRef ds:uri="http://schemas.microsoft.com/sharepoint/v3/contenttype/forms"/>
  </ds:schemaRefs>
</ds:datastoreItem>
</file>

<file path=customXml/itemProps4.xml><?xml version="1.0" encoding="utf-8"?>
<ds:datastoreItem xmlns:ds="http://schemas.openxmlformats.org/officeDocument/2006/customXml" ds:itemID="{50F8E2A6-7223-457A-85E8-DEC307142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8510B94-26B4-4453-BDBD-603A29082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2194</Words>
  <Characters>1252</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1a4506</dc:creator>
  <cp:lastModifiedBy>Охріменко Наталія Олександрівна</cp:lastModifiedBy>
  <cp:revision>5</cp:revision>
  <cp:lastPrinted>2023-06-19T06:13:00Z</cp:lastPrinted>
  <dcterms:created xsi:type="dcterms:W3CDTF">2024-07-09T20:05:00Z</dcterms:created>
  <dcterms:modified xsi:type="dcterms:W3CDTF">2024-07-09T20:11:00Z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