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455C66EC" w:rsidR="00FA7846" w:rsidRPr="00CB6414" w:rsidRDefault="00FA7846" w:rsidP="00FA7846">
      <w:pPr>
        <w:rPr>
          <w:sz w:val="2"/>
          <w:szCs w:val="2"/>
          <w:lang w:val="en-US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6.9pt" o:ole="">
                  <v:imagedata r:id="rId12" o:title=""/>
                </v:shape>
                <o:OLEObject Type="Embed" ProgID="CorelDraw.Graphic.16" ShapeID="_x0000_i1025" DrawAspect="Content" ObjectID="_1729510918" r:id="rId13"/>
              </w:object>
            </w:r>
          </w:p>
        </w:tc>
        <w:tc>
          <w:tcPr>
            <w:tcW w:w="3285" w:type="dxa"/>
          </w:tcPr>
          <w:p w14:paraId="12D933A3" w14:textId="04E553AA" w:rsidR="00657593" w:rsidRDefault="00D72CCF" w:rsidP="00E054A9">
            <w:r w:rsidRPr="007505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9985" wp14:editId="79BE74E9">
                      <wp:simplePos x="0" y="0"/>
                      <wp:positionH relativeFrom="margin">
                        <wp:posOffset>-629861</wp:posOffset>
                      </wp:positionH>
                      <wp:positionV relativeFrom="paragraph">
                        <wp:posOffset>26345</wp:posOffset>
                      </wp:positionV>
                      <wp:extent cx="2796363" cy="340242"/>
                      <wp:effectExtent l="0" t="0" r="4445" b="3175"/>
                      <wp:wrapNone/>
                      <wp:docPr id="198" name="Прямокут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363" cy="340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78DCC" w14:textId="2FF92FA7" w:rsidR="00D72CCF" w:rsidRPr="008D230C" w:rsidRDefault="00D72CCF" w:rsidP="00D72CC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t xml:space="preserve">Офіційно </w:t>
                                  </w:r>
                                  <w:r w:rsidRPr="008D3EC7">
                                    <w:t xml:space="preserve">опубліковано </w:t>
                                  </w:r>
                                  <w:r>
                                    <w:t>10.11</w:t>
                                  </w:r>
                                  <w:r w:rsidRPr="008D3EC7">
                                    <w:t>.2022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C9985" id="Прямокутник 198" o:spid="_x0000_s1026" style="position:absolute;left:0;text-align:left;margin-left:-49.6pt;margin-top:2.05pt;width:220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niowIAABcFAAAOAAAAZHJzL2Uyb0RvYy54bWysVF2O0zAQfkfiDpbfu/nZ9CfRpqtllyKk&#10;BVZaOIBrO41FYgfbbbogJAQH4AhcA62AM6Q3Yuy03S7wgBB5cDz2+PM3M9/45HRdV2jFtRFK5jg6&#10;CjHikiom5CLHr17OBhOMjCWSkUpJnuMbbvDp9OGDk7bJeKxKVTGuEYBIk7VNjktrmywIDC15TcyR&#10;ariEzULpmlgw9SJgmrSAXldBHIajoFWaNVpRbgysXvSbeOrxi4JT+6IoDLeoyjFws37Ufpy7MZie&#10;kGyhSVMKuqVB/oFFTYSES/dQF8QStNTiN6haUK2MKuwRVXWgikJQ7mOAaKLwl2iuS9JwHwskxzT7&#10;NJn/B0ufr640Egxql0KpJKmhSN2XzYfN5+5b96O73XzafOy+d1+7W+Q8IF9tYzI4dt1caRexaS4V&#10;fW2QVOclkQt+prVqS04YsIycf3DvgDMMHEXz9plicBlZWuVTty507QAhKWjtK3SzrxBfW0RhMR6n&#10;o+PRMUYU9o6TME5ifwXJdqcbbewTrmrkJjnWoACPTlaXxjo2JNu5ePaqEmwmqsobejE/rzRaEVDL&#10;zH9bdHPoVknnLJU71iP2K0AS7nB7jq6v/rs0ipPwUZwOZqPJeJDMkuEgHYeTQRilj9JRmKTJxey9&#10;IxglWSkY4/JSSL5TYpT8XaW3PdFryGsRtTlOh/HQx36PvTkMMvTfn4KshYXGrESd48neiWSusI8l&#10;g7BJZomo+nlwn77PMuRg9/dZ8TJwle8VZNfzNaA4OcwVuwFBaAX1gh6F1wQmpdJvMWqhM3Ns3iyJ&#10;5hhVTyWIKo2SxLWyN5LhOAZDH+7MD3eIpACVY4tRPz23ffsvGy0WJdwU+RxJdQZCLITXyB2rrXyh&#10;+3ww25fCtfeh7b3u3rPpTwAAAP//AwBQSwMEFAAGAAgAAAAhAO5BpATeAAAACAEAAA8AAABkcnMv&#10;ZG93bnJldi54bWxMj0FPwkAUhO8m/ofNM/EG20IptnRLjAkn9SCYeH10H21Dd7d2t1D/vc+THCcz&#10;mfmm2E6mExcafOusgngegSBbOd3aWsHnYTd7AuEDWo2ds6Tghzxsy/u7AnPtrvaDLvtQCy6xPkcF&#10;TQh9LqWvGjLo564ny97JDQYDy6GWesArl5tOLqIolQZbywsN9vTSUHXej0YBpon+fj8t3w6vY4pZ&#10;PUW71Vek1OPD9LwBEWgK/2H4w2d0KJnp6EarvegUzLJswVEFSQyC/WUSsz4qWK3XIMtC3h4ofwEA&#10;AP//AwBQSwECLQAUAAYACAAAACEAtoM4kv4AAADhAQAAEwAAAAAAAAAAAAAAAAAAAAAAW0NvbnRl&#10;bnRfVHlwZXNdLnhtbFBLAQItABQABgAIAAAAIQA4/SH/1gAAAJQBAAALAAAAAAAAAAAAAAAAAC8B&#10;AABfcmVscy8ucmVsc1BLAQItABQABgAIAAAAIQDV3/niowIAABcFAAAOAAAAAAAAAAAAAAAAAC4C&#10;AABkcnMvZTJvRG9jLnhtbFBLAQItABQABgAIAAAAIQDuQaQE3gAAAAgBAAAPAAAAAAAAAAAAAAAA&#10;AP0EAABkcnMvZG93bnJldi54bWxQSwUGAAAAAAQABADzAAAACAYAAAAA&#10;" stroked="f">
                      <v:textbox>
                        <w:txbxContent>
                          <w:p w14:paraId="66178DCC" w14:textId="2FF92FA7" w:rsidR="00D72CCF" w:rsidRPr="008D230C" w:rsidRDefault="00D72CCF" w:rsidP="00D72C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 xml:space="preserve">Офіційно </w:t>
                            </w:r>
                            <w:r w:rsidRPr="008D3EC7">
                              <w:t xml:space="preserve">опубліковано </w:t>
                            </w:r>
                            <w:r>
                              <w:t>10.11</w:t>
                            </w:r>
                            <w:r w:rsidRPr="008D3EC7">
                              <w:t>.2022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630"/>
        <w:gridCol w:w="1672"/>
        <w:gridCol w:w="1894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5CE00795" w:rsidR="00657593" w:rsidRPr="00566BA2" w:rsidRDefault="005212BC" w:rsidP="00E054A9">
            <w:r>
              <w:rPr>
                <w:rFonts w:eastAsiaTheme="minorEastAsia"/>
                <w:color w:val="000000" w:themeColor="text1"/>
                <w:lang w:eastAsia="en-US"/>
              </w:rPr>
              <w:t>09 листопада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69941C0A" w:rsidR="00657593" w:rsidRDefault="005212BC" w:rsidP="00290169">
            <w:pPr>
              <w:jc w:val="left"/>
            </w:pPr>
            <w:r>
              <w:rPr>
                <w:rFonts w:eastAsiaTheme="minorEastAsia"/>
                <w:color w:val="000000" w:themeColor="text1"/>
                <w:lang w:eastAsia="en-US"/>
              </w:rPr>
              <w:t>№ 231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336A1A28" w:rsidR="00E42621" w:rsidRPr="00CD0CD4" w:rsidRDefault="00D72CCF" w:rsidP="00D72CCF">
      <w:pPr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                                                                            </w:t>
      </w: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A35215F" w:rsidR="002B3F71" w:rsidRPr="00CD0CD4" w:rsidRDefault="003E0FDF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E0FDF"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0B2329">
              <w:rPr>
                <w:rFonts w:eastAsiaTheme="minorEastAsia"/>
                <w:color w:val="000000" w:themeColor="text1"/>
                <w:lang w:eastAsia="en-US"/>
              </w:rPr>
              <w:t>и</w:t>
            </w:r>
            <w:r w:rsidRPr="003E0FDF">
              <w:rPr>
                <w:rFonts w:eastAsiaTheme="minorEastAsia"/>
                <w:color w:val="000000" w:themeColor="text1"/>
                <w:lang w:eastAsia="en-US"/>
              </w:rPr>
              <w:t xml:space="preserve"> до Правил організації 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32B2F6BD" w14:textId="383B3B08" w:rsidR="00E53CCD" w:rsidRDefault="003E0FDF" w:rsidP="003E0FDF">
      <w:pPr>
        <w:spacing w:before="240" w:after="240"/>
        <w:ind w:firstLine="567"/>
        <w:rPr>
          <w:b/>
        </w:rPr>
      </w:pPr>
      <w:r w:rsidRPr="003E0FDF">
        <w:rPr>
          <w:rFonts w:eastAsiaTheme="minorEastAsia"/>
          <w:color w:val="000000" w:themeColor="text1"/>
          <w:lang w:eastAsia="en-US"/>
        </w:rPr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 w:rsidRPr="003E0FDF">
        <w:rPr>
          <w:rFonts w:eastAsiaTheme="minorEastAsia"/>
          <w:color w:val="000000" w:themeColor="text1"/>
          <w:lang w:eastAsia="en-US"/>
        </w:rPr>
        <w:t>статей 6, 7, 16 Закону України “Про державну статистику” щодо складання грошово-кредитної та фінансової статистики, стат</w:t>
      </w:r>
      <w:bookmarkStart w:id="0" w:name="_GoBack"/>
      <w:bookmarkEnd w:id="0"/>
      <w:r w:rsidRPr="003E0FDF">
        <w:rPr>
          <w:rFonts w:eastAsiaTheme="minorEastAsia"/>
          <w:color w:val="000000" w:themeColor="text1"/>
          <w:lang w:eastAsia="en-US"/>
        </w:rPr>
        <w:t>истичної інформації фінансових установ, з метою забезпечення виконання Національним банком України регулятивних та наглядових функцій в умовах особливого періоду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3773F5AD" w14:textId="23A2AF41" w:rsidR="00005F65" w:rsidRDefault="00AD7DF9" w:rsidP="00005F65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3E0FDF">
        <w:rPr>
          <w:rFonts w:eastAsiaTheme="minorEastAsia"/>
          <w:noProof/>
          <w:color w:val="000000" w:themeColor="text1"/>
          <w:lang w:eastAsia="en-US"/>
        </w:rPr>
        <w:t xml:space="preserve">Таблицю додатка до </w:t>
      </w:r>
      <w:r w:rsidR="003E0FDF" w:rsidRPr="003E0FDF">
        <w:rPr>
          <w:rFonts w:eastAsiaTheme="minorEastAsia"/>
          <w:noProof/>
          <w:color w:val="000000" w:themeColor="text1"/>
          <w:lang w:eastAsia="en-US"/>
        </w:rPr>
        <w:t>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</w:t>
      </w:r>
      <w:r w:rsidR="00E84EA7">
        <w:rPr>
          <w:rFonts w:eastAsiaTheme="minorEastAsia"/>
          <w:noProof/>
          <w:color w:val="000000" w:themeColor="text1"/>
          <w:lang w:eastAsia="en-US"/>
        </w:rPr>
        <w:t> </w:t>
      </w:r>
      <w:r w:rsidR="003E0FDF" w:rsidRPr="003E0FDF">
        <w:rPr>
          <w:rFonts w:eastAsiaTheme="minorEastAsia"/>
          <w:noProof/>
          <w:color w:val="000000" w:themeColor="text1"/>
          <w:lang w:eastAsia="en-US"/>
        </w:rPr>
        <w:t>грудня 2018 року № 140 (зі змінами)</w:t>
      </w:r>
      <w:r w:rsidR="00005F65">
        <w:rPr>
          <w:rFonts w:eastAsiaTheme="minorEastAsia"/>
          <w:noProof/>
          <w:color w:val="000000" w:themeColor="text1"/>
          <w:lang w:eastAsia="en-US"/>
        </w:rPr>
        <w:t>,</w:t>
      </w:r>
      <w:r w:rsidR="003E0FDF">
        <w:rPr>
          <w:rFonts w:eastAsiaTheme="minorEastAsia"/>
          <w:noProof/>
          <w:color w:val="000000" w:themeColor="text1"/>
          <w:lang w:eastAsia="en-US"/>
        </w:rPr>
        <w:t xml:space="preserve"> після рядка </w:t>
      </w:r>
      <w:r w:rsidR="00CB6414" w:rsidRPr="00CB6414">
        <w:rPr>
          <w:rFonts w:eastAsiaTheme="minorEastAsia"/>
          <w:noProof/>
          <w:color w:val="000000" w:themeColor="text1"/>
          <w:lang w:val="ru-RU" w:eastAsia="en-US"/>
        </w:rPr>
        <w:t>4</w:t>
      </w:r>
      <w:r w:rsidR="00CB6414">
        <w:rPr>
          <w:rFonts w:eastAsiaTheme="minorEastAsia"/>
          <w:noProof/>
          <w:color w:val="000000" w:themeColor="text1"/>
          <w:lang w:eastAsia="en-US"/>
        </w:rPr>
        <w:t>1 доповнити новим рядком 4</w:t>
      </w:r>
      <w:r w:rsidR="00AD6425">
        <w:rPr>
          <w:rFonts w:eastAsiaTheme="minorEastAsia"/>
          <w:noProof/>
          <w:color w:val="000000" w:themeColor="text1"/>
          <w:lang w:eastAsia="en-US"/>
        </w:rPr>
        <w:t>2 такого змісту</w:t>
      </w:r>
      <w:r w:rsidR="00AD6425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72AB4814" w14:textId="0A7BAA90" w:rsidR="00005F65" w:rsidRPr="00005F65" w:rsidRDefault="00005F65" w:rsidP="00005F65">
      <w:pPr>
        <w:rPr>
          <w:lang w:val="ru-RU"/>
        </w:rPr>
      </w:pPr>
      <w:r w:rsidRPr="00593D3C">
        <w:rPr>
          <w:lang w:val="ru-RU"/>
        </w:rPr>
        <w:t>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1"/>
        <w:gridCol w:w="979"/>
        <w:gridCol w:w="2119"/>
        <w:gridCol w:w="1931"/>
        <w:gridCol w:w="2099"/>
        <w:gridCol w:w="1719"/>
      </w:tblGrid>
      <w:tr w:rsidR="00AD6425" w14:paraId="33575A80" w14:textId="77777777" w:rsidTr="00005F65">
        <w:trPr>
          <w:trHeight w:val="77"/>
          <w:tblHeader/>
        </w:trPr>
        <w:tc>
          <w:tcPr>
            <w:tcW w:w="781" w:type="dxa"/>
          </w:tcPr>
          <w:p w14:paraId="62AFEDF9" w14:textId="5D852345" w:rsidR="00AD6425" w:rsidRDefault="00AD6425" w:rsidP="00BD759E">
            <w:pPr>
              <w:jc w:val="center"/>
              <w:rPr>
                <w:lang w:val="ru-RU"/>
              </w:rPr>
            </w:pPr>
            <w:r w:rsidRPr="00593D3C">
              <w:rPr>
                <w:lang w:val="ru-RU"/>
              </w:rPr>
              <w:t>1</w:t>
            </w:r>
          </w:p>
        </w:tc>
        <w:tc>
          <w:tcPr>
            <w:tcW w:w="979" w:type="dxa"/>
          </w:tcPr>
          <w:p w14:paraId="12495402" w14:textId="77777777" w:rsidR="00AD6425" w:rsidRDefault="00AD6425" w:rsidP="00BD759E">
            <w:pPr>
              <w:jc w:val="center"/>
              <w:rPr>
                <w:lang w:val="ru-RU"/>
              </w:rPr>
            </w:pPr>
            <w:r w:rsidRPr="00593D3C">
              <w:rPr>
                <w:lang w:val="ru-RU"/>
              </w:rPr>
              <w:t>2</w:t>
            </w:r>
          </w:p>
        </w:tc>
        <w:tc>
          <w:tcPr>
            <w:tcW w:w="2119" w:type="dxa"/>
          </w:tcPr>
          <w:p w14:paraId="22288F72" w14:textId="77777777" w:rsidR="00AD6425" w:rsidRDefault="00AD6425" w:rsidP="00BD759E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931" w:type="dxa"/>
          </w:tcPr>
          <w:p w14:paraId="0913BD2B" w14:textId="77777777" w:rsidR="00AD6425" w:rsidRDefault="00AD6425" w:rsidP="00BD759E">
            <w:pPr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099" w:type="dxa"/>
          </w:tcPr>
          <w:p w14:paraId="554CC94D" w14:textId="77777777" w:rsidR="00AD6425" w:rsidRDefault="00AD6425" w:rsidP="00BD759E">
            <w:pPr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719" w:type="dxa"/>
          </w:tcPr>
          <w:p w14:paraId="7DD36F07" w14:textId="77777777" w:rsidR="00AD6425" w:rsidRDefault="00AD6425" w:rsidP="00BD759E">
            <w:pPr>
              <w:jc w:val="center"/>
              <w:rPr>
                <w:lang w:val="ru-RU"/>
              </w:rPr>
            </w:pPr>
            <w:r>
              <w:t>6</w:t>
            </w:r>
          </w:p>
        </w:tc>
      </w:tr>
      <w:tr w:rsidR="00AD6425" w14:paraId="4E7F4464" w14:textId="77777777" w:rsidTr="00BD759E">
        <w:tc>
          <w:tcPr>
            <w:tcW w:w="781" w:type="dxa"/>
          </w:tcPr>
          <w:p w14:paraId="3937BD30" w14:textId="06642C67" w:rsidR="00AD6425" w:rsidRDefault="00CB6414" w:rsidP="00BD75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D6425">
              <w:rPr>
                <w:lang w:val="ru-RU"/>
              </w:rPr>
              <w:t>2</w:t>
            </w:r>
          </w:p>
        </w:tc>
        <w:tc>
          <w:tcPr>
            <w:tcW w:w="979" w:type="dxa"/>
          </w:tcPr>
          <w:p w14:paraId="2A61A85D" w14:textId="2CD4D807" w:rsidR="00AD6425" w:rsidRDefault="00CB6414" w:rsidP="00BD759E">
            <w:pPr>
              <w:jc w:val="center"/>
              <w:rPr>
                <w:lang w:val="ru-RU"/>
              </w:rPr>
            </w:pPr>
            <w:r w:rsidRPr="00CB6414">
              <w:t>F5X</w:t>
            </w:r>
          </w:p>
        </w:tc>
        <w:tc>
          <w:tcPr>
            <w:tcW w:w="2119" w:type="dxa"/>
          </w:tcPr>
          <w:p w14:paraId="14DBACF9" w14:textId="77777777" w:rsidR="00CB6414" w:rsidRDefault="00CB6414" w:rsidP="00CB6414">
            <w:r>
              <w:t xml:space="preserve">Дані про збитки </w:t>
            </w:r>
          </w:p>
          <w:p w14:paraId="4A879403" w14:textId="77777777" w:rsidR="00CB6414" w:rsidRDefault="00CB6414" w:rsidP="00CB6414">
            <w:r>
              <w:t xml:space="preserve">банку, держателів </w:t>
            </w:r>
          </w:p>
          <w:p w14:paraId="4E4622D6" w14:textId="77777777" w:rsidR="00CB6414" w:rsidRDefault="00CB6414" w:rsidP="00CB6414">
            <w:r>
              <w:t xml:space="preserve">платіжних карток і </w:t>
            </w:r>
          </w:p>
          <w:p w14:paraId="73B34D39" w14:textId="77777777" w:rsidR="00CB6414" w:rsidRDefault="00CB6414" w:rsidP="00CB6414">
            <w:r>
              <w:t xml:space="preserve">торговців через </w:t>
            </w:r>
          </w:p>
          <w:p w14:paraId="40A6699C" w14:textId="77777777" w:rsidR="00CB6414" w:rsidRDefault="00CB6414" w:rsidP="00CB6414">
            <w:r>
              <w:t xml:space="preserve">незаконні </w:t>
            </w:r>
          </w:p>
          <w:p w14:paraId="4B2E60B6" w14:textId="77777777" w:rsidR="00CB6414" w:rsidRDefault="00CB6414" w:rsidP="00CB6414">
            <w:r>
              <w:t xml:space="preserve">дії/сумнівні </w:t>
            </w:r>
          </w:p>
          <w:p w14:paraId="4D40F431" w14:textId="77777777" w:rsidR="00CB6414" w:rsidRDefault="00CB6414" w:rsidP="00CB6414">
            <w:r>
              <w:t xml:space="preserve">операції з </w:t>
            </w:r>
          </w:p>
          <w:p w14:paraId="4FE4DFFB" w14:textId="77777777" w:rsidR="00CB6414" w:rsidRDefault="00CB6414" w:rsidP="00CB6414">
            <w:r>
              <w:t xml:space="preserve">платіжними </w:t>
            </w:r>
          </w:p>
          <w:p w14:paraId="7F84CE06" w14:textId="1A717468" w:rsidR="00AD6425" w:rsidRDefault="00CB6414" w:rsidP="00CB6414">
            <w:pPr>
              <w:rPr>
                <w:lang w:val="ru-RU"/>
              </w:rPr>
            </w:pPr>
            <w:r>
              <w:t>картками</w:t>
            </w:r>
          </w:p>
        </w:tc>
        <w:tc>
          <w:tcPr>
            <w:tcW w:w="1931" w:type="dxa"/>
          </w:tcPr>
          <w:p w14:paraId="24E0BF02" w14:textId="2EBD9545" w:rsidR="00AD6425" w:rsidRDefault="00CB6414" w:rsidP="00BD759E">
            <w:pPr>
              <w:rPr>
                <w:lang w:val="ru-RU"/>
              </w:rPr>
            </w:pPr>
            <w:r w:rsidRPr="00CB6414">
              <w:t>Річна</w:t>
            </w:r>
          </w:p>
        </w:tc>
        <w:tc>
          <w:tcPr>
            <w:tcW w:w="2099" w:type="dxa"/>
          </w:tcPr>
          <w:p w14:paraId="59FBFFBD" w14:textId="77777777" w:rsidR="00CB6414" w:rsidRDefault="00CB6414" w:rsidP="00CB6414">
            <w:r>
              <w:t xml:space="preserve">Не пізніше 12 </w:t>
            </w:r>
          </w:p>
          <w:p w14:paraId="338ED545" w14:textId="77777777" w:rsidR="00CB6414" w:rsidRDefault="00CB6414" w:rsidP="00CB6414">
            <w:r>
              <w:t xml:space="preserve">робочого дня </w:t>
            </w:r>
          </w:p>
          <w:p w14:paraId="09988938" w14:textId="77777777" w:rsidR="00CB6414" w:rsidRDefault="00CB6414" w:rsidP="00CB6414">
            <w:r>
              <w:t xml:space="preserve">місяця, </w:t>
            </w:r>
          </w:p>
          <w:p w14:paraId="3BD4D1F5" w14:textId="77777777" w:rsidR="00CB6414" w:rsidRDefault="00CB6414" w:rsidP="00CB6414">
            <w:r>
              <w:t xml:space="preserve">наступного за </w:t>
            </w:r>
          </w:p>
          <w:p w14:paraId="5D0C68E5" w14:textId="6E8768B6" w:rsidR="00AD6425" w:rsidRDefault="00CB6414" w:rsidP="00CB6414">
            <w:pPr>
              <w:rPr>
                <w:lang w:val="ru-RU"/>
              </w:rPr>
            </w:pPr>
            <w:r>
              <w:t>звітним роком</w:t>
            </w:r>
          </w:p>
        </w:tc>
        <w:tc>
          <w:tcPr>
            <w:tcW w:w="1719" w:type="dxa"/>
          </w:tcPr>
          <w:p w14:paraId="1F4E92FD" w14:textId="77777777" w:rsidR="00CB6414" w:rsidRDefault="00CB6414" w:rsidP="00CB6414">
            <w:r>
              <w:t xml:space="preserve">Банки, які є </w:t>
            </w:r>
          </w:p>
          <w:p w14:paraId="2469BFAB" w14:textId="77777777" w:rsidR="00CB6414" w:rsidRDefault="00CB6414" w:rsidP="00CB6414">
            <w:r>
              <w:t xml:space="preserve">учасниками </w:t>
            </w:r>
          </w:p>
          <w:p w14:paraId="402109BC" w14:textId="07EABFBE" w:rsidR="00AD6425" w:rsidRDefault="00CB6414" w:rsidP="00CB6414">
            <w:pPr>
              <w:rPr>
                <w:lang w:val="ru-RU"/>
              </w:rPr>
            </w:pPr>
            <w:r>
              <w:t>платіжних систем</w:t>
            </w:r>
          </w:p>
        </w:tc>
      </w:tr>
    </w:tbl>
    <w:p w14:paraId="342DAF0F" w14:textId="24EF3BF7" w:rsidR="00AD6425" w:rsidRPr="00005F65" w:rsidRDefault="00AD6425" w:rsidP="00005F65">
      <w:pPr>
        <w:tabs>
          <w:tab w:val="left" w:pos="9214"/>
        </w:tabs>
      </w:pPr>
      <w:r w:rsidRPr="00CB6414">
        <w:rPr>
          <w:rFonts w:eastAsiaTheme="minorEastAsia"/>
          <w:noProof/>
          <w:color w:val="000000" w:themeColor="text1"/>
          <w:lang w:val="ru-RU" w:eastAsia="en-US"/>
        </w:rPr>
        <w:t xml:space="preserve">                                                                                                                      </w:t>
      </w:r>
      <w:r w:rsidR="00005F65">
        <w:t xml:space="preserve">                </w:t>
      </w:r>
      <w:r w:rsidR="00005F65" w:rsidRPr="00005F65">
        <w:rPr>
          <w:lang w:val="ru-RU"/>
        </w:rPr>
        <w:t>”</w:t>
      </w:r>
      <w:r w:rsidR="00005F65">
        <w:t>.</w:t>
      </w:r>
      <w:r w:rsidR="00005F65" w:rsidRPr="001237D1">
        <w:t xml:space="preserve">                                                                                                           </w:t>
      </w:r>
      <w:r w:rsidR="00005F65">
        <w:t xml:space="preserve">      </w:t>
      </w:r>
      <w:r w:rsidR="00005F65" w:rsidRPr="001237D1">
        <w:t xml:space="preserve"> </w:t>
      </w:r>
      <w:r w:rsidRPr="00005F65">
        <w:rPr>
          <w:rFonts w:eastAsiaTheme="minorEastAsia"/>
          <w:noProof/>
          <w:color w:val="000000" w:themeColor="text1"/>
          <w:lang w:val="ru-RU" w:eastAsia="en-US"/>
        </w:rPr>
        <w:t xml:space="preserve">  </w:t>
      </w:r>
    </w:p>
    <w:p w14:paraId="2553FBF4" w14:textId="0F2FADCE" w:rsidR="00AD6425" w:rsidRPr="00AD6425" w:rsidRDefault="00005F65" w:rsidP="00AD6425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AD6425">
        <w:rPr>
          <w:rFonts w:eastAsiaTheme="minorEastAsia"/>
          <w:noProof/>
          <w:color w:val="000000" w:themeColor="text1"/>
          <w:lang w:eastAsia="en-US"/>
        </w:rPr>
        <w:t>зв</w:t>
      </w:r>
      <w:r w:rsidRPr="00663DCB">
        <w:rPr>
          <w:rFonts w:eastAsiaTheme="minorEastAsia"/>
          <w:noProof/>
          <w:color w:val="000000" w:themeColor="text1"/>
          <w:lang w:val="ru-RU" w:eastAsia="en-US"/>
        </w:rPr>
        <w:t>’</w:t>
      </w:r>
      <w:r w:rsidR="008A23C2">
        <w:rPr>
          <w:rFonts w:eastAsiaTheme="minorEastAsia"/>
          <w:noProof/>
          <w:color w:val="000000" w:themeColor="text1"/>
          <w:lang w:eastAsia="en-US"/>
        </w:rPr>
        <w:t>язку з цим рядки 4</w:t>
      </w:r>
      <w:r w:rsidR="00AD6425">
        <w:rPr>
          <w:rFonts w:eastAsiaTheme="minorEastAsia"/>
          <w:noProof/>
          <w:color w:val="000000" w:themeColor="text1"/>
          <w:lang w:eastAsia="en-US"/>
        </w:rPr>
        <w:t>2</w:t>
      </w:r>
      <w:r w:rsidR="00CC74FC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8A23C2">
        <w:rPr>
          <w:rFonts w:eastAsiaTheme="minorEastAsia"/>
          <w:noProof/>
          <w:color w:val="000000" w:themeColor="text1"/>
          <w:lang w:eastAsia="en-US"/>
        </w:rPr>
        <w:t>43 уважати відповідно рядками 4</w:t>
      </w:r>
      <w:r w:rsidR="00CC74FC">
        <w:rPr>
          <w:rFonts w:eastAsiaTheme="minorEastAsia"/>
          <w:noProof/>
          <w:color w:val="000000" w:themeColor="text1"/>
          <w:lang w:eastAsia="en-US"/>
        </w:rPr>
        <w:t xml:space="preserve">3, </w:t>
      </w:r>
      <w:r w:rsidR="00AD6425">
        <w:rPr>
          <w:rFonts w:eastAsiaTheme="minorEastAsia"/>
          <w:noProof/>
          <w:color w:val="000000" w:themeColor="text1"/>
          <w:lang w:eastAsia="en-US"/>
        </w:rPr>
        <w:t>44.</w:t>
      </w:r>
    </w:p>
    <w:p w14:paraId="28BCC703" w14:textId="10AAA5BA" w:rsidR="00DE28B6" w:rsidRPr="00735860" w:rsidRDefault="00AD7DF9" w:rsidP="00735860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2. </w:t>
      </w:r>
      <w:r w:rsidR="00DE28B6">
        <w:rPr>
          <w:rFonts w:eastAsiaTheme="minorEastAsia"/>
          <w:noProof/>
          <w:color w:val="000000" w:themeColor="text1"/>
          <w:lang w:eastAsia="en-US"/>
        </w:rPr>
        <w:t>Банки подають файл F5</w:t>
      </w:r>
      <w:r w:rsidR="00AD6425">
        <w:rPr>
          <w:rFonts w:eastAsiaTheme="minorEastAsia"/>
          <w:noProof/>
          <w:color w:val="000000" w:themeColor="text1"/>
          <w:lang w:val="en-US" w:eastAsia="en-US"/>
        </w:rPr>
        <w:t>X</w:t>
      </w:r>
      <w:r w:rsidR="00AD642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D6425" w:rsidRPr="00AD6425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DE28B6">
        <w:t>Дані про збитки банку, держателів платіжних карток і торговців через незаконні дії/сумнівні операції з платіжними картками</w:t>
      </w:r>
      <w:r w:rsidR="00AD6425" w:rsidRPr="00AD6425">
        <w:rPr>
          <w:rFonts w:eastAsiaTheme="minorEastAsia"/>
          <w:noProof/>
          <w:color w:val="000000" w:themeColor="text1"/>
          <w:lang w:val="ru-RU" w:eastAsia="en-US"/>
        </w:rPr>
        <w:t xml:space="preserve">” </w:t>
      </w:r>
      <w:r w:rsidR="00735860">
        <w:rPr>
          <w:rFonts w:eastAsiaTheme="minorEastAsia"/>
          <w:noProof/>
          <w:color w:val="000000" w:themeColor="text1"/>
          <w:lang w:eastAsia="en-US"/>
        </w:rPr>
        <w:t>станом на 01 січня 2023</w:t>
      </w:r>
      <w:r w:rsidR="00AD6425">
        <w:rPr>
          <w:rFonts w:eastAsiaTheme="minorEastAsia"/>
          <w:noProof/>
          <w:color w:val="000000" w:themeColor="text1"/>
          <w:lang w:eastAsia="en-US"/>
        </w:rPr>
        <w:t xml:space="preserve">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FAB7435" w14:textId="55484C1B" w:rsidR="00AD7DF9" w:rsidRDefault="00AD7DF9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F36F96" w:rsidRPr="00F36F9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</w:t>
      </w:r>
      <w:r w:rsidR="00F36F96">
        <w:rPr>
          <w:rFonts w:eastAsiaTheme="minorEastAsia"/>
          <w:noProof/>
          <w:color w:val="000000" w:themeColor="text1"/>
          <w:lang w:eastAsia="en-US"/>
        </w:rPr>
        <w:t>ку України Сергія Ніколайчука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EFACC14" w14:textId="7264BF2B" w:rsidR="00AD7DF9" w:rsidRPr="00F36F96" w:rsidRDefault="00AD7DF9" w:rsidP="00F36F9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F36F96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3226A4">
        <w:tc>
          <w:tcPr>
            <w:tcW w:w="5495" w:type="dxa"/>
            <w:vAlign w:val="bottom"/>
          </w:tcPr>
          <w:p w14:paraId="32B2F6C6" w14:textId="642C5F0C" w:rsidR="00DD60CC" w:rsidRPr="00CD0CD4" w:rsidRDefault="008831D8" w:rsidP="000913CC">
            <w:pPr>
              <w:autoSpaceDE w:val="0"/>
              <w:autoSpaceDN w:val="0"/>
              <w:ind w:left="-142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A8A8F2" w:rsidR="00DD60CC" w:rsidRPr="00CD0CD4" w:rsidRDefault="008831D8" w:rsidP="0089158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</w:t>
            </w:r>
            <w:r w:rsidR="00F36F96" w:rsidRPr="00F36F96">
              <w:t xml:space="preserve"> </w:t>
            </w:r>
            <w:r>
              <w:t>ПИШНИЙ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1C322745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36F96">
        <w:t>31</w:t>
      </w:r>
    </w:p>
    <w:sectPr w:rsidR="00FA508E" w:rsidRPr="00CD0CD4" w:rsidSect="0025455E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4A70" w14:textId="77777777" w:rsidR="00C43F5A" w:rsidRDefault="00C43F5A" w:rsidP="00E53CCD">
      <w:r>
        <w:separator/>
      </w:r>
    </w:p>
  </w:endnote>
  <w:endnote w:type="continuationSeparator" w:id="0">
    <w:p w14:paraId="7977D20B" w14:textId="77777777" w:rsidR="00C43F5A" w:rsidRDefault="00C43F5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434D" w14:textId="77777777" w:rsidR="00C43F5A" w:rsidRDefault="00C43F5A" w:rsidP="00E53CCD">
      <w:r>
        <w:separator/>
      </w:r>
    </w:p>
  </w:footnote>
  <w:footnote w:type="continuationSeparator" w:id="0">
    <w:p w14:paraId="29A3F3C3" w14:textId="77777777" w:rsidR="00C43F5A" w:rsidRDefault="00C43F5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93CA456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212BC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75377"/>
    <w:rsid w:val="00083333"/>
    <w:rsid w:val="000913CC"/>
    <w:rsid w:val="000A2144"/>
    <w:rsid w:val="000B2329"/>
    <w:rsid w:val="000B2990"/>
    <w:rsid w:val="000D778F"/>
    <w:rsid w:val="000E0CB3"/>
    <w:rsid w:val="000E5B8C"/>
    <w:rsid w:val="000E7A13"/>
    <w:rsid w:val="00106229"/>
    <w:rsid w:val="00115ECF"/>
    <w:rsid w:val="001631E2"/>
    <w:rsid w:val="00170144"/>
    <w:rsid w:val="001716B0"/>
    <w:rsid w:val="001740C0"/>
    <w:rsid w:val="00186C44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183A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226A4"/>
    <w:rsid w:val="003301A5"/>
    <w:rsid w:val="00332701"/>
    <w:rsid w:val="00340D07"/>
    <w:rsid w:val="00345982"/>
    <w:rsid w:val="00356E34"/>
    <w:rsid w:val="00357676"/>
    <w:rsid w:val="00367963"/>
    <w:rsid w:val="0038385E"/>
    <w:rsid w:val="00384F65"/>
    <w:rsid w:val="0039725C"/>
    <w:rsid w:val="003A16E7"/>
    <w:rsid w:val="003A751F"/>
    <w:rsid w:val="003B7783"/>
    <w:rsid w:val="003C10F1"/>
    <w:rsid w:val="003C3282"/>
    <w:rsid w:val="003C3985"/>
    <w:rsid w:val="003D6B33"/>
    <w:rsid w:val="003E0FDF"/>
    <w:rsid w:val="003F0441"/>
    <w:rsid w:val="003F28B5"/>
    <w:rsid w:val="003F7093"/>
    <w:rsid w:val="00401EDB"/>
    <w:rsid w:val="00404C93"/>
    <w:rsid w:val="00407877"/>
    <w:rsid w:val="004130B9"/>
    <w:rsid w:val="0041643E"/>
    <w:rsid w:val="00446704"/>
    <w:rsid w:val="00455B45"/>
    <w:rsid w:val="00460BA2"/>
    <w:rsid w:val="004666D6"/>
    <w:rsid w:val="00473EF2"/>
    <w:rsid w:val="004A1CFC"/>
    <w:rsid w:val="004A7F75"/>
    <w:rsid w:val="004B1FE9"/>
    <w:rsid w:val="004B5574"/>
    <w:rsid w:val="004D2B57"/>
    <w:rsid w:val="004E22E2"/>
    <w:rsid w:val="0050563F"/>
    <w:rsid w:val="005212A1"/>
    <w:rsid w:val="005212BC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7111"/>
    <w:rsid w:val="00567BDD"/>
    <w:rsid w:val="0057237F"/>
    <w:rsid w:val="00577402"/>
    <w:rsid w:val="00580E6A"/>
    <w:rsid w:val="005822CB"/>
    <w:rsid w:val="00597AB6"/>
    <w:rsid w:val="005A0F4B"/>
    <w:rsid w:val="005A1D3C"/>
    <w:rsid w:val="005A3F34"/>
    <w:rsid w:val="005B179B"/>
    <w:rsid w:val="005B2D03"/>
    <w:rsid w:val="005B67B0"/>
    <w:rsid w:val="005C5CBF"/>
    <w:rsid w:val="005D3B88"/>
    <w:rsid w:val="005D45F5"/>
    <w:rsid w:val="005E3FA8"/>
    <w:rsid w:val="005F4548"/>
    <w:rsid w:val="005F4CB4"/>
    <w:rsid w:val="005F6B35"/>
    <w:rsid w:val="006232BD"/>
    <w:rsid w:val="00640612"/>
    <w:rsid w:val="0064227D"/>
    <w:rsid w:val="0065179F"/>
    <w:rsid w:val="00652B38"/>
    <w:rsid w:val="00654EF2"/>
    <w:rsid w:val="00657593"/>
    <w:rsid w:val="00663DCB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6B58"/>
    <w:rsid w:val="007142BA"/>
    <w:rsid w:val="00714823"/>
    <w:rsid w:val="00717197"/>
    <w:rsid w:val="0071789F"/>
    <w:rsid w:val="00724D39"/>
    <w:rsid w:val="00725A20"/>
    <w:rsid w:val="00730088"/>
    <w:rsid w:val="00735860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54965"/>
    <w:rsid w:val="00866993"/>
    <w:rsid w:val="00874366"/>
    <w:rsid w:val="008762D8"/>
    <w:rsid w:val="00877A25"/>
    <w:rsid w:val="008831D8"/>
    <w:rsid w:val="00891585"/>
    <w:rsid w:val="00897035"/>
    <w:rsid w:val="008A23C2"/>
    <w:rsid w:val="008A328B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2028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67E9E"/>
    <w:rsid w:val="00A72F06"/>
    <w:rsid w:val="00A730F2"/>
    <w:rsid w:val="00A77411"/>
    <w:rsid w:val="00A77FFD"/>
    <w:rsid w:val="00AB0EC2"/>
    <w:rsid w:val="00AB4554"/>
    <w:rsid w:val="00AC47B6"/>
    <w:rsid w:val="00AD6425"/>
    <w:rsid w:val="00AD7DF9"/>
    <w:rsid w:val="00AE1811"/>
    <w:rsid w:val="00AE29BB"/>
    <w:rsid w:val="00AE2CAF"/>
    <w:rsid w:val="00AF09D9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162C"/>
    <w:rsid w:val="00BF47B0"/>
    <w:rsid w:val="00BF5327"/>
    <w:rsid w:val="00C21D33"/>
    <w:rsid w:val="00C319C2"/>
    <w:rsid w:val="00C3382F"/>
    <w:rsid w:val="00C33AAF"/>
    <w:rsid w:val="00C4377C"/>
    <w:rsid w:val="00C43F5A"/>
    <w:rsid w:val="00C47F0F"/>
    <w:rsid w:val="00C51D84"/>
    <w:rsid w:val="00C52506"/>
    <w:rsid w:val="00C53322"/>
    <w:rsid w:val="00C82259"/>
    <w:rsid w:val="00C86FDA"/>
    <w:rsid w:val="00C928C3"/>
    <w:rsid w:val="00C9297C"/>
    <w:rsid w:val="00C94014"/>
    <w:rsid w:val="00CB0A99"/>
    <w:rsid w:val="00CB5A09"/>
    <w:rsid w:val="00CB6414"/>
    <w:rsid w:val="00CC74FC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72CCF"/>
    <w:rsid w:val="00DA2F09"/>
    <w:rsid w:val="00DC1E60"/>
    <w:rsid w:val="00DD60CC"/>
    <w:rsid w:val="00DE1BC8"/>
    <w:rsid w:val="00DE28B6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84EA7"/>
    <w:rsid w:val="00E92C5E"/>
    <w:rsid w:val="00EA14D2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36F96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0150"/>
    <w:rsid w:val="00FD19F1"/>
    <w:rsid w:val="00FD370F"/>
    <w:rsid w:val="00FE0B90"/>
    <w:rsid w:val="00FF085B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AE181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181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E18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181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E1811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CD2BE2-E339-467C-89B2-0B2205B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Алєкєєва Алла Петрівна</cp:lastModifiedBy>
  <cp:revision>4</cp:revision>
  <cp:lastPrinted>2015-04-06T07:59:00Z</cp:lastPrinted>
  <dcterms:created xsi:type="dcterms:W3CDTF">2022-11-07T07:36:00Z</dcterms:created>
  <dcterms:modified xsi:type="dcterms:W3CDTF">2022-11-09T12:56:00Z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