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46" w:rsidRPr="007B4A79" w:rsidRDefault="00FA7846" w:rsidP="00EF34F2">
      <w:pPr>
        <w:ind w:firstLine="426"/>
        <w:rPr>
          <w:sz w:val="2"/>
          <w:szCs w:val="2"/>
        </w:rPr>
      </w:pPr>
    </w:p>
    <w:p w:rsidR="00657593" w:rsidRPr="00566BA2" w:rsidRDefault="00657593" w:rsidP="00EF34F2">
      <w:pPr>
        <w:ind w:firstLine="426"/>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657593" w:rsidTr="00E054A9">
        <w:trPr>
          <w:trHeight w:val="851"/>
        </w:trPr>
        <w:tc>
          <w:tcPr>
            <w:tcW w:w="3284" w:type="dxa"/>
          </w:tcPr>
          <w:p w:rsidR="00657593" w:rsidRDefault="00657593" w:rsidP="00EF34F2">
            <w:pPr>
              <w:ind w:firstLine="426"/>
            </w:pPr>
          </w:p>
        </w:tc>
        <w:tc>
          <w:tcPr>
            <w:tcW w:w="3285" w:type="dxa"/>
            <w:vMerge w:val="restart"/>
          </w:tcPr>
          <w:p w:rsidR="00657593" w:rsidRDefault="00657593" w:rsidP="00EF34F2">
            <w:pPr>
              <w:ind w:firstLine="426"/>
              <w:jc w:val="center"/>
            </w:pPr>
            <w:r>
              <w:object w:dxaOrig="1595"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6.8pt" o:ole="">
                  <v:imagedata r:id="rId12" o:title=""/>
                </v:shape>
                <o:OLEObject Type="Embed" ProgID="CorelDraw.Graphic.16" ShapeID="_x0000_i1025" DrawAspect="Content" ObjectID="_1703609283" r:id="rId13"/>
              </w:object>
            </w:r>
          </w:p>
        </w:tc>
        <w:tc>
          <w:tcPr>
            <w:tcW w:w="3285" w:type="dxa"/>
          </w:tcPr>
          <w:p w:rsidR="00657593" w:rsidRDefault="00657593" w:rsidP="00EF34F2">
            <w:pPr>
              <w:ind w:firstLine="426"/>
            </w:pPr>
          </w:p>
        </w:tc>
      </w:tr>
      <w:tr w:rsidR="00657593" w:rsidTr="00E054A9">
        <w:tc>
          <w:tcPr>
            <w:tcW w:w="3284" w:type="dxa"/>
          </w:tcPr>
          <w:p w:rsidR="00657593" w:rsidRDefault="00657593" w:rsidP="00EF34F2">
            <w:pPr>
              <w:ind w:firstLine="426"/>
            </w:pPr>
          </w:p>
        </w:tc>
        <w:tc>
          <w:tcPr>
            <w:tcW w:w="3285" w:type="dxa"/>
            <w:vMerge/>
          </w:tcPr>
          <w:p w:rsidR="00657593" w:rsidRDefault="00657593" w:rsidP="00EF34F2">
            <w:pPr>
              <w:ind w:firstLine="426"/>
            </w:pPr>
          </w:p>
        </w:tc>
        <w:tc>
          <w:tcPr>
            <w:tcW w:w="3285" w:type="dxa"/>
          </w:tcPr>
          <w:p w:rsidR="00657593" w:rsidRDefault="00657593" w:rsidP="00EF34F2">
            <w:pPr>
              <w:ind w:firstLine="426"/>
            </w:pPr>
          </w:p>
        </w:tc>
      </w:tr>
      <w:tr w:rsidR="00657593" w:rsidTr="00E054A9">
        <w:tc>
          <w:tcPr>
            <w:tcW w:w="9854" w:type="dxa"/>
            <w:gridSpan w:val="3"/>
          </w:tcPr>
          <w:p w:rsidR="00657593" w:rsidRPr="00E10F0A" w:rsidRDefault="00657593" w:rsidP="00EF34F2">
            <w:pPr>
              <w:tabs>
                <w:tab w:val="left" w:pos="-3600"/>
              </w:tabs>
              <w:spacing w:before="120" w:after="120"/>
              <w:ind w:firstLine="426"/>
              <w:jc w:val="center"/>
              <w:rPr>
                <w:b/>
                <w:bCs/>
                <w:color w:val="006600"/>
                <w:spacing w:val="10"/>
              </w:rPr>
            </w:pPr>
            <w:r w:rsidRPr="00E10F0A">
              <w:rPr>
                <w:b/>
                <w:bCs/>
                <w:color w:val="006600"/>
                <w:spacing w:val="10"/>
              </w:rPr>
              <w:t>Правління Національного банку України</w:t>
            </w:r>
          </w:p>
          <w:p w:rsidR="00657593" w:rsidRDefault="00657593" w:rsidP="00EF34F2">
            <w:pPr>
              <w:ind w:firstLine="426"/>
              <w:jc w:val="center"/>
            </w:pPr>
            <w:r w:rsidRPr="00E10F0A">
              <w:rPr>
                <w:b/>
                <w:bCs/>
                <w:color w:val="006600"/>
                <w:sz w:val="32"/>
                <w:szCs w:val="32"/>
              </w:rPr>
              <w:t>П О С Т А Н О В А</w:t>
            </w:r>
          </w:p>
        </w:tc>
      </w:tr>
    </w:tbl>
    <w:p w:rsidR="00657593" w:rsidRPr="00566BA2" w:rsidRDefault="00657593" w:rsidP="00EF34F2">
      <w:pPr>
        <w:ind w:firstLine="426"/>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694"/>
        <w:gridCol w:w="1713"/>
        <w:gridCol w:w="1937"/>
      </w:tblGrid>
      <w:tr w:rsidR="00657593" w:rsidTr="00AB062E">
        <w:tc>
          <w:tcPr>
            <w:tcW w:w="3510" w:type="dxa"/>
            <w:vAlign w:val="bottom"/>
          </w:tcPr>
          <w:p w:rsidR="00657593" w:rsidRPr="00566BA2" w:rsidRDefault="0070092D" w:rsidP="00EF34F2">
            <w:pPr>
              <w:ind w:firstLine="426"/>
            </w:pPr>
            <w:r>
              <w:t>13 січня 2022 року</w:t>
            </w:r>
          </w:p>
        </w:tc>
        <w:tc>
          <w:tcPr>
            <w:tcW w:w="2694" w:type="dxa"/>
          </w:tcPr>
          <w:p w:rsidR="00657593" w:rsidRDefault="00657593" w:rsidP="00EF34F2">
            <w:pPr>
              <w:spacing w:before="240"/>
              <w:ind w:firstLine="426"/>
              <w:jc w:val="center"/>
            </w:pPr>
            <w:r w:rsidRPr="00E10F0A">
              <w:rPr>
                <w:color w:val="006600"/>
              </w:rPr>
              <w:t>Київ</w:t>
            </w:r>
          </w:p>
        </w:tc>
        <w:tc>
          <w:tcPr>
            <w:tcW w:w="1713" w:type="dxa"/>
            <w:vAlign w:val="bottom"/>
          </w:tcPr>
          <w:p w:rsidR="00657593" w:rsidRDefault="00657593" w:rsidP="00EF34F2">
            <w:pPr>
              <w:ind w:firstLine="426"/>
              <w:jc w:val="right"/>
            </w:pPr>
          </w:p>
        </w:tc>
        <w:tc>
          <w:tcPr>
            <w:tcW w:w="1937" w:type="dxa"/>
            <w:vAlign w:val="bottom"/>
          </w:tcPr>
          <w:p w:rsidR="00657593" w:rsidRDefault="007636C8" w:rsidP="00EF34F2">
            <w:pPr>
              <w:ind w:firstLine="426"/>
              <w:jc w:val="left"/>
            </w:pPr>
            <w:r>
              <w:t>№ 3</w:t>
            </w:r>
          </w:p>
        </w:tc>
      </w:tr>
    </w:tbl>
    <w:p w:rsidR="00657593" w:rsidRPr="00CD0CD4" w:rsidRDefault="00657593" w:rsidP="00EF34F2">
      <w:pPr>
        <w:ind w:firstLine="426"/>
        <w:rPr>
          <w:sz w:val="2"/>
          <w:szCs w:val="2"/>
        </w:rPr>
      </w:pPr>
    </w:p>
    <w:p w:rsidR="002A4BA3" w:rsidRDefault="002A4BA3" w:rsidP="00EF34F2">
      <w:pPr>
        <w:ind w:firstLine="426"/>
        <w:jc w:val="center"/>
        <w:rPr>
          <w:rFonts w:eastAsiaTheme="minorEastAsia"/>
          <w:color w:val="000000" w:themeColor="text1"/>
          <w:lang w:eastAsia="en-US"/>
        </w:rPr>
      </w:pPr>
    </w:p>
    <w:p w:rsidR="00AB332C" w:rsidRPr="00CD0CD4" w:rsidRDefault="00AB332C" w:rsidP="00EF34F2">
      <w:pPr>
        <w:ind w:firstLine="426"/>
        <w:jc w:val="center"/>
        <w:rPr>
          <w:rFonts w:eastAsiaTheme="minorEastAsia"/>
          <w:color w:val="000000" w:themeColor="text1"/>
          <w:lang w:eastAsia="en-US"/>
        </w:rPr>
      </w:pPr>
    </w:p>
    <w:tbl>
      <w:tblPr>
        <w:tblStyle w:val="a9"/>
        <w:tblW w:w="35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9"/>
      </w:tblGrid>
      <w:tr w:rsidR="00872716" w:rsidRPr="00093943" w:rsidTr="00CA7AD0">
        <w:trPr>
          <w:trHeight w:val="823"/>
          <w:jc w:val="center"/>
        </w:trPr>
        <w:tc>
          <w:tcPr>
            <w:tcW w:w="5000" w:type="pct"/>
          </w:tcPr>
          <w:p w:rsidR="00872716" w:rsidRPr="00093943" w:rsidRDefault="00872716" w:rsidP="00EF34F2">
            <w:pPr>
              <w:tabs>
                <w:tab w:val="left" w:pos="0"/>
                <w:tab w:val="center" w:pos="3293"/>
              </w:tabs>
              <w:ind w:firstLine="426"/>
              <w:jc w:val="center"/>
              <w:rPr>
                <w:rFonts w:eastAsiaTheme="minorEastAsia"/>
                <w:lang w:eastAsia="en-US"/>
              </w:rPr>
            </w:pPr>
            <w:r w:rsidRPr="00093943">
              <w:rPr>
                <w:lang w:eastAsia="ru-RU"/>
              </w:rPr>
              <w:t>Про внесення змін до деяких нормативно-правових актів Національного банку України</w:t>
            </w:r>
          </w:p>
        </w:tc>
      </w:tr>
    </w:tbl>
    <w:p w:rsidR="00872716" w:rsidRPr="00093943" w:rsidRDefault="00872716" w:rsidP="00EF34F2">
      <w:pPr>
        <w:ind w:firstLine="426"/>
      </w:pPr>
    </w:p>
    <w:p w:rsidR="00872716" w:rsidRPr="00093943" w:rsidRDefault="00872716" w:rsidP="00EF34F2">
      <w:pPr>
        <w:ind w:firstLine="426"/>
      </w:pPr>
      <w:r w:rsidRPr="00093943">
        <w:t>Відповідно до статей 6, 7, 15, 44, 45, 56 Закону України “Про</w:t>
      </w:r>
      <w:r w:rsidRPr="00093943">
        <w:rPr>
          <w:lang w:val="en-US"/>
        </w:rPr>
        <w:t> </w:t>
      </w:r>
      <w:r w:rsidRPr="00093943">
        <w:t>Національний банк України”, статей 2, 4</w:t>
      </w:r>
      <w:r w:rsidR="00DF03B2">
        <w:t xml:space="preserve">, </w:t>
      </w:r>
      <w:r w:rsidR="00631A9E">
        <w:t xml:space="preserve">5, </w:t>
      </w:r>
      <w:r w:rsidRPr="00093943">
        <w:t>6</w:t>
      </w:r>
      <w:r w:rsidR="00DF03B2">
        <w:t>, 7</w:t>
      </w:r>
      <w:r w:rsidRPr="00093943">
        <w:t xml:space="preserve"> Закону України “Про валюту і валютні операції”, з метою </w:t>
      </w:r>
      <w:r w:rsidR="00C81390">
        <w:t>вдосконалення вимог</w:t>
      </w:r>
      <w:r w:rsidR="000B3730">
        <w:t>, установлених нормативно-правовими актами Національного банку України</w:t>
      </w:r>
      <w:r w:rsidR="0028078B">
        <w:t>,</w:t>
      </w:r>
      <w:r w:rsidR="00C81390">
        <w:t xml:space="preserve"> до </w:t>
      </w:r>
      <w:r w:rsidRPr="00093943">
        <w:rPr>
          <w:shd w:val="clear" w:color="auto" w:fill="FFFFFF"/>
        </w:rPr>
        <w:t>здійснення деяких валютних операцій</w:t>
      </w:r>
      <w:r w:rsidRPr="00093943">
        <w:rPr>
          <w:sz w:val="16"/>
          <w:szCs w:val="16"/>
          <w:shd w:val="clear" w:color="auto" w:fill="FFFFFF"/>
        </w:rPr>
        <w:t xml:space="preserve"> </w:t>
      </w:r>
      <w:r w:rsidRPr="00093943">
        <w:t xml:space="preserve">Правління Національного банку України </w:t>
      </w:r>
      <w:r w:rsidRPr="00093943">
        <w:rPr>
          <w:b/>
        </w:rPr>
        <w:t>постановляє</w:t>
      </w:r>
      <w:r w:rsidRPr="00093943">
        <w:t>:</w:t>
      </w:r>
    </w:p>
    <w:p w:rsidR="00872716" w:rsidRPr="00093943" w:rsidRDefault="00872716" w:rsidP="00EF34F2">
      <w:pPr>
        <w:ind w:firstLine="426"/>
        <w:rPr>
          <w:sz w:val="24"/>
          <w:szCs w:val="24"/>
        </w:rPr>
      </w:pPr>
    </w:p>
    <w:p w:rsidR="00872716" w:rsidRDefault="00872716" w:rsidP="00EF34F2">
      <w:pPr>
        <w:shd w:val="clear" w:color="auto" w:fill="FFFFFF"/>
        <w:ind w:firstLine="426"/>
        <w:rPr>
          <w:bCs/>
        </w:rPr>
      </w:pPr>
      <w:r w:rsidRPr="00093943">
        <w:t>1. </w:t>
      </w:r>
      <w:r w:rsidR="003B0A63">
        <w:t>Затвердити Зміни до</w:t>
      </w:r>
      <w:r w:rsidRPr="00093943">
        <w:t xml:space="preserve"> Положення про здійснення операцій із валютними цінностями, затвердженого постановою Правління Національного банку України від 02 січня 2019 року №</w:t>
      </w:r>
      <w:r w:rsidRPr="00093943">
        <w:rPr>
          <w:lang w:val="en-US"/>
        </w:rPr>
        <w:t> </w:t>
      </w:r>
      <w:r w:rsidRPr="00093943">
        <w:t>2 (зі змінами)</w:t>
      </w:r>
      <w:r w:rsidR="00442434">
        <w:t>,</w:t>
      </w:r>
      <w:r w:rsidRPr="00093943">
        <w:t xml:space="preserve"> </w:t>
      </w:r>
      <w:r w:rsidR="003B0A63">
        <w:t>що додаються.</w:t>
      </w:r>
    </w:p>
    <w:p w:rsidR="00480D89" w:rsidRPr="00093943" w:rsidRDefault="00480D89" w:rsidP="00EF34F2">
      <w:pPr>
        <w:shd w:val="clear" w:color="auto" w:fill="FFFFFF"/>
        <w:ind w:firstLine="426"/>
        <w:rPr>
          <w:rFonts w:eastAsiaTheme="minorEastAsia"/>
        </w:rPr>
      </w:pPr>
    </w:p>
    <w:p w:rsidR="00872716" w:rsidRPr="00093943" w:rsidRDefault="00872716" w:rsidP="00EF34F2">
      <w:pPr>
        <w:ind w:firstLine="426"/>
      </w:pPr>
      <w:r w:rsidRPr="00093943">
        <w:t>2. </w:t>
      </w:r>
      <w:r w:rsidR="006C3C1E" w:rsidRPr="00093943">
        <w:t xml:space="preserve">Унести </w:t>
      </w:r>
      <w:r w:rsidRPr="00093943">
        <w:t>до Положення про заходи захисту та визначення порядку здійснення окремих операцій в іноземній валюті, затвердженого постановою Правління Національного банку України від 02</w:t>
      </w:r>
      <w:r w:rsidRPr="00093943">
        <w:rPr>
          <w:lang w:val="en-US"/>
        </w:rPr>
        <w:t> </w:t>
      </w:r>
      <w:r w:rsidRPr="00093943">
        <w:t>січня 2019 року</w:t>
      </w:r>
      <w:r w:rsidRPr="00093943" w:rsidDel="00D828C4">
        <w:t xml:space="preserve"> </w:t>
      </w:r>
      <w:r w:rsidRPr="00093943">
        <w:t>№</w:t>
      </w:r>
      <w:r w:rsidR="00442434">
        <w:t> </w:t>
      </w:r>
      <w:r w:rsidRPr="00093943">
        <w:t>5 (зі змінами)</w:t>
      </w:r>
      <w:r w:rsidR="006C3C1E" w:rsidRPr="00093943">
        <w:t>, такі зміни:</w:t>
      </w:r>
      <w:r w:rsidRPr="00093943">
        <w:t xml:space="preserve"> </w:t>
      </w:r>
    </w:p>
    <w:p w:rsidR="006C3C1E" w:rsidRPr="00483186" w:rsidRDefault="006C3C1E" w:rsidP="00EF34F2">
      <w:pPr>
        <w:ind w:firstLine="426"/>
        <w:rPr>
          <w:color w:val="000000" w:themeColor="text1"/>
        </w:rPr>
      </w:pPr>
    </w:p>
    <w:p w:rsidR="005232D0" w:rsidRPr="00483186" w:rsidRDefault="005232D0" w:rsidP="00EF34F2">
      <w:pPr>
        <w:shd w:val="clear" w:color="auto" w:fill="FFFFFF"/>
        <w:ind w:firstLine="426"/>
        <w:rPr>
          <w:bCs/>
          <w:color w:val="000000" w:themeColor="text1"/>
        </w:rPr>
      </w:pPr>
      <w:r w:rsidRPr="00483186">
        <w:rPr>
          <w:bCs/>
          <w:color w:val="000000" w:themeColor="text1"/>
          <w:lang w:val="ru-RU"/>
        </w:rPr>
        <w:t>1)</w:t>
      </w:r>
      <w:r w:rsidRPr="00483186">
        <w:rPr>
          <w:bCs/>
          <w:color w:val="000000" w:themeColor="text1"/>
          <w:lang w:val="en-US"/>
        </w:rPr>
        <w:t> </w:t>
      </w:r>
      <w:r w:rsidR="00483186">
        <w:rPr>
          <w:bCs/>
          <w:color w:val="000000" w:themeColor="text1"/>
        </w:rPr>
        <w:t>в абзаці другому пункту 8</w:t>
      </w:r>
      <w:r w:rsidRPr="00483186">
        <w:rPr>
          <w:bCs/>
          <w:color w:val="000000" w:themeColor="text1"/>
        </w:rPr>
        <w:t xml:space="preserve"> розділу І слова </w:t>
      </w:r>
      <w:r w:rsidRPr="00483186">
        <w:rPr>
          <w:color w:val="000000" w:themeColor="text1"/>
        </w:rPr>
        <w:t>“</w:t>
      </w:r>
      <w:r w:rsidRPr="00483186">
        <w:rPr>
          <w:color w:val="000000" w:themeColor="text1"/>
          <w:lang w:eastAsia="ru-RU"/>
        </w:rPr>
        <w:t>Клієнти (резиденти та нерезиденти)</w:t>
      </w:r>
      <w:r w:rsidRPr="00483186">
        <w:rPr>
          <w:color w:val="000000" w:themeColor="text1"/>
          <w:shd w:val="clear" w:color="auto" w:fill="FFFFFF"/>
        </w:rPr>
        <w:t xml:space="preserve">” замінити словами </w:t>
      </w:r>
      <w:r w:rsidRPr="00483186">
        <w:rPr>
          <w:color w:val="000000" w:themeColor="text1"/>
        </w:rPr>
        <w:t>“</w:t>
      </w:r>
      <w:r w:rsidRPr="00483186">
        <w:rPr>
          <w:color w:val="000000" w:themeColor="text1"/>
          <w:lang w:eastAsia="ru-RU"/>
        </w:rPr>
        <w:t>Клієнти-резиденти</w:t>
      </w:r>
      <w:r w:rsidRPr="00483186">
        <w:rPr>
          <w:color w:val="000000" w:themeColor="text1"/>
          <w:shd w:val="clear" w:color="auto" w:fill="FFFFFF"/>
        </w:rPr>
        <w:t>”;</w:t>
      </w:r>
    </w:p>
    <w:p w:rsidR="005232D0" w:rsidRDefault="005232D0" w:rsidP="00EF34F2">
      <w:pPr>
        <w:shd w:val="clear" w:color="auto" w:fill="FFFFFF"/>
        <w:ind w:firstLine="426"/>
        <w:rPr>
          <w:bCs/>
        </w:rPr>
      </w:pPr>
    </w:p>
    <w:p w:rsidR="001631CB" w:rsidRPr="001631CB" w:rsidRDefault="004142FF" w:rsidP="00EF34F2">
      <w:pPr>
        <w:shd w:val="clear" w:color="auto" w:fill="FFFFFF"/>
        <w:ind w:firstLine="426"/>
        <w:rPr>
          <w:rFonts w:eastAsiaTheme="minorEastAsia"/>
        </w:rPr>
      </w:pPr>
      <w:r w:rsidRPr="00483186">
        <w:rPr>
          <w:bCs/>
          <w:color w:val="000000" w:themeColor="text1"/>
        </w:rPr>
        <w:t>2</w:t>
      </w:r>
      <w:r w:rsidR="00442434" w:rsidRPr="00483186">
        <w:rPr>
          <w:bCs/>
          <w:color w:val="000000" w:themeColor="text1"/>
        </w:rPr>
        <w:t>)</w:t>
      </w:r>
      <w:r w:rsidR="00442434" w:rsidRPr="001631CB">
        <w:rPr>
          <w:bCs/>
        </w:rPr>
        <w:t> </w:t>
      </w:r>
      <w:r w:rsidR="001631CB" w:rsidRPr="001631CB">
        <w:rPr>
          <w:bCs/>
        </w:rPr>
        <w:t xml:space="preserve">у розділі </w:t>
      </w:r>
      <w:r w:rsidR="001631CB" w:rsidRPr="00093943">
        <w:t>І</w:t>
      </w:r>
      <w:r w:rsidR="001631CB" w:rsidRPr="001631CB">
        <w:rPr>
          <w:lang w:val="en-US"/>
        </w:rPr>
        <w:t>V</w:t>
      </w:r>
      <w:r w:rsidR="001631CB" w:rsidRPr="00093943">
        <w:t>:</w:t>
      </w:r>
    </w:p>
    <w:p w:rsidR="006C3C1E" w:rsidRPr="00093943" w:rsidRDefault="006C3C1E" w:rsidP="00EF34F2">
      <w:pPr>
        <w:shd w:val="clear" w:color="auto" w:fill="FFFFFF"/>
        <w:ind w:firstLine="426"/>
        <w:rPr>
          <w:rFonts w:eastAsiaTheme="minorEastAsia"/>
        </w:rPr>
      </w:pPr>
      <w:r w:rsidRPr="00093943">
        <w:t xml:space="preserve">пункт 43 </w:t>
      </w:r>
      <w:r w:rsidR="00442434">
        <w:t xml:space="preserve">доповнити </w:t>
      </w:r>
      <w:r w:rsidRPr="00093943">
        <w:rPr>
          <w:bCs/>
        </w:rPr>
        <w:t>новим підпунктом такого змісту:</w:t>
      </w:r>
    </w:p>
    <w:p w:rsidR="006C3C1E" w:rsidRPr="001631CB" w:rsidRDefault="006C3C1E" w:rsidP="00EF34F2">
      <w:pPr>
        <w:pStyle w:val="rvps2"/>
        <w:shd w:val="clear" w:color="auto" w:fill="FFFFFF"/>
        <w:spacing w:before="0" w:beforeAutospacing="0" w:after="0" w:afterAutospacing="0"/>
        <w:ind w:firstLine="426"/>
        <w:jc w:val="both"/>
        <w:rPr>
          <w:sz w:val="28"/>
          <w:szCs w:val="28"/>
          <w:shd w:val="clear" w:color="auto" w:fill="FFFFFF"/>
          <w:lang w:val="uk-UA"/>
        </w:rPr>
      </w:pPr>
      <w:r w:rsidRPr="001631CB">
        <w:rPr>
          <w:sz w:val="28"/>
          <w:szCs w:val="28"/>
          <w:lang w:val="uk-UA"/>
        </w:rPr>
        <w:t xml:space="preserve">“4) за операціями фізичних осіб </w:t>
      </w:r>
      <w:r w:rsidR="0028078B">
        <w:rPr>
          <w:sz w:val="28"/>
          <w:szCs w:val="28"/>
          <w:lang w:val="uk-UA"/>
        </w:rPr>
        <w:t>у</w:t>
      </w:r>
      <w:r w:rsidRPr="001631CB">
        <w:rPr>
          <w:sz w:val="28"/>
          <w:szCs w:val="28"/>
          <w:lang w:val="uk-UA"/>
        </w:rPr>
        <w:t xml:space="preserve"> незначному розмірі з </w:t>
      </w:r>
      <w:r w:rsidRPr="001631CB">
        <w:rPr>
          <w:sz w:val="28"/>
          <w:szCs w:val="28"/>
          <w:shd w:val="clear" w:color="auto" w:fill="FFFFFF"/>
          <w:lang w:val="uk-UA"/>
        </w:rPr>
        <w:t>оплати продукції, робіт, послуг, що набуваються в нерезидентів за межами України для власного споживання.”;</w:t>
      </w:r>
    </w:p>
    <w:p w:rsidR="006C3C1E" w:rsidRDefault="008B20EE" w:rsidP="00EF34F2">
      <w:pPr>
        <w:pStyle w:val="rvps2"/>
        <w:shd w:val="clear" w:color="auto" w:fill="FFFFFF"/>
        <w:spacing w:before="0" w:beforeAutospacing="0" w:after="0" w:afterAutospacing="0"/>
        <w:ind w:firstLine="426"/>
        <w:jc w:val="both"/>
        <w:rPr>
          <w:sz w:val="28"/>
          <w:szCs w:val="28"/>
          <w:lang w:val="uk-UA"/>
        </w:rPr>
      </w:pPr>
      <w:r w:rsidRPr="00C81390">
        <w:rPr>
          <w:sz w:val="28"/>
          <w:szCs w:val="28"/>
          <w:lang w:val="uk-UA"/>
        </w:rPr>
        <w:t xml:space="preserve">абзац перший </w:t>
      </w:r>
      <w:r w:rsidR="006C3C1E" w:rsidRPr="00C81390">
        <w:rPr>
          <w:sz w:val="28"/>
          <w:szCs w:val="28"/>
          <w:lang w:val="uk-UA"/>
        </w:rPr>
        <w:t>пункт</w:t>
      </w:r>
      <w:r w:rsidRPr="00C81390">
        <w:rPr>
          <w:sz w:val="28"/>
          <w:szCs w:val="28"/>
          <w:lang w:val="uk-UA"/>
        </w:rPr>
        <w:t>у</w:t>
      </w:r>
      <w:r w:rsidR="006C3C1E" w:rsidRPr="00C81390">
        <w:rPr>
          <w:sz w:val="28"/>
          <w:szCs w:val="28"/>
          <w:lang w:val="uk-UA"/>
        </w:rPr>
        <w:t xml:space="preserve"> 46</w:t>
      </w:r>
      <w:r w:rsidR="006C3C1E" w:rsidRPr="001631CB">
        <w:rPr>
          <w:sz w:val="28"/>
          <w:szCs w:val="28"/>
          <w:lang w:val="uk-UA"/>
        </w:rPr>
        <w:t xml:space="preserve"> доповнити словами “та за операціями фізичних осіб </w:t>
      </w:r>
      <w:r w:rsidR="0028078B">
        <w:rPr>
          <w:sz w:val="28"/>
          <w:szCs w:val="28"/>
          <w:lang w:val="uk-UA"/>
        </w:rPr>
        <w:t>у</w:t>
      </w:r>
      <w:r w:rsidR="0028078B" w:rsidRPr="001631CB">
        <w:rPr>
          <w:sz w:val="28"/>
          <w:szCs w:val="28"/>
          <w:lang w:val="uk-UA"/>
        </w:rPr>
        <w:t xml:space="preserve"> </w:t>
      </w:r>
      <w:r w:rsidR="006C3C1E" w:rsidRPr="001631CB">
        <w:rPr>
          <w:sz w:val="28"/>
          <w:szCs w:val="28"/>
          <w:lang w:val="uk-UA"/>
        </w:rPr>
        <w:t xml:space="preserve">незначному розмірі з оплати продукції, робіт, послуг, що набуваються в нерезидентів за межами України для власного </w:t>
      </w:r>
      <w:proofErr w:type="spellStart"/>
      <w:r w:rsidR="006C3C1E" w:rsidRPr="001631CB">
        <w:rPr>
          <w:sz w:val="28"/>
          <w:szCs w:val="28"/>
          <w:lang w:val="uk-UA"/>
        </w:rPr>
        <w:t>споживання”</w:t>
      </w:r>
      <w:proofErr w:type="spellEnd"/>
      <w:r w:rsidR="001631CB">
        <w:rPr>
          <w:sz w:val="28"/>
          <w:szCs w:val="28"/>
          <w:lang w:val="uk-UA"/>
        </w:rPr>
        <w:t>;</w:t>
      </w:r>
    </w:p>
    <w:p w:rsidR="001631CB" w:rsidRDefault="001631CB" w:rsidP="00EF34F2">
      <w:pPr>
        <w:pStyle w:val="rvps2"/>
        <w:shd w:val="clear" w:color="auto" w:fill="FFFFFF"/>
        <w:spacing w:before="0" w:beforeAutospacing="0" w:after="0" w:afterAutospacing="0"/>
        <w:ind w:firstLine="426"/>
        <w:jc w:val="both"/>
        <w:rPr>
          <w:sz w:val="28"/>
          <w:szCs w:val="28"/>
          <w:lang w:val="uk-UA"/>
        </w:rPr>
      </w:pPr>
    </w:p>
    <w:p w:rsidR="001631CB" w:rsidRPr="00093943" w:rsidRDefault="004142FF" w:rsidP="00EF34F2">
      <w:pPr>
        <w:ind w:firstLine="426"/>
      </w:pPr>
      <w:r w:rsidRPr="00483186">
        <w:rPr>
          <w:color w:val="000000" w:themeColor="text1"/>
        </w:rPr>
        <w:t>3</w:t>
      </w:r>
      <w:r w:rsidR="001631CB" w:rsidRPr="00483186">
        <w:rPr>
          <w:color w:val="000000" w:themeColor="text1"/>
        </w:rPr>
        <w:t>)</w:t>
      </w:r>
      <w:r w:rsidR="001631CB" w:rsidRPr="001631CB">
        <w:rPr>
          <w:bCs/>
        </w:rPr>
        <w:t> </w:t>
      </w:r>
      <w:r w:rsidR="001631CB" w:rsidRPr="00093943">
        <w:t xml:space="preserve">підпункт </w:t>
      </w:r>
      <w:r w:rsidR="00AC311B">
        <w:t>3</w:t>
      </w:r>
      <w:r w:rsidR="001631CB" w:rsidRPr="00093943">
        <w:t> пункту 98 розділу ІХ викласти в такій редакції:</w:t>
      </w:r>
    </w:p>
    <w:p w:rsidR="001631CB" w:rsidRPr="001631CB" w:rsidRDefault="001631CB" w:rsidP="00EF34F2">
      <w:pPr>
        <w:autoSpaceDE w:val="0"/>
        <w:autoSpaceDN w:val="0"/>
        <w:adjustRightInd w:val="0"/>
        <w:ind w:firstLine="426"/>
        <w:rPr>
          <w:sz w:val="29"/>
          <w:szCs w:val="29"/>
          <w:lang w:eastAsia="en-US"/>
        </w:rPr>
      </w:pPr>
      <w:r w:rsidRPr="001631CB">
        <w:rPr>
          <w:sz w:val="29"/>
          <w:szCs w:val="29"/>
          <w:lang w:eastAsia="en-US"/>
        </w:rPr>
        <w:t>“3) відомості щодо суми Валютної операції:</w:t>
      </w:r>
    </w:p>
    <w:p w:rsidR="001631CB" w:rsidRPr="001631CB" w:rsidRDefault="001631CB" w:rsidP="00EF34F2">
      <w:pPr>
        <w:autoSpaceDE w:val="0"/>
        <w:autoSpaceDN w:val="0"/>
        <w:adjustRightInd w:val="0"/>
        <w:ind w:firstLine="426"/>
        <w:rPr>
          <w:lang w:eastAsia="en-US"/>
        </w:rPr>
      </w:pPr>
      <w:r w:rsidRPr="001631CB">
        <w:rPr>
          <w:lang w:eastAsia="en-US"/>
        </w:rPr>
        <w:lastRenderedPageBreak/>
        <w:t xml:space="preserve">найменування іноземної валюти/гривні, у якій здійснюється переказ </w:t>
      </w:r>
      <w:r w:rsidRPr="001631CB">
        <w:rPr>
          <w:bCs/>
          <w:lang w:eastAsia="en-US"/>
        </w:rPr>
        <w:t>(за операціями, визначеними в пунктах 88, 88</w:t>
      </w:r>
      <w:r w:rsidRPr="001631CB">
        <w:rPr>
          <w:bCs/>
          <w:vertAlign w:val="superscript"/>
          <w:lang w:eastAsia="en-US"/>
        </w:rPr>
        <w:t>1</w:t>
      </w:r>
      <w:r w:rsidRPr="001631CB">
        <w:rPr>
          <w:bCs/>
          <w:lang w:eastAsia="en-US"/>
        </w:rPr>
        <w:t>, 89 розділу IX цього Положення)</w:t>
      </w:r>
      <w:r w:rsidRPr="001631CB">
        <w:rPr>
          <w:lang w:eastAsia="en-US"/>
        </w:rPr>
        <w:t>;</w:t>
      </w:r>
    </w:p>
    <w:p w:rsidR="001631CB" w:rsidRPr="001631CB" w:rsidRDefault="001631CB" w:rsidP="00EF34F2">
      <w:pPr>
        <w:autoSpaceDE w:val="0"/>
        <w:autoSpaceDN w:val="0"/>
        <w:adjustRightInd w:val="0"/>
        <w:ind w:firstLine="426"/>
        <w:rPr>
          <w:bCs/>
          <w:lang w:eastAsia="en-US"/>
        </w:rPr>
      </w:pPr>
      <w:r w:rsidRPr="001631CB">
        <w:rPr>
          <w:lang w:eastAsia="en-US"/>
        </w:rPr>
        <w:t xml:space="preserve">найменування іноземної валюти, яка купується </w:t>
      </w:r>
      <w:r w:rsidRPr="001631CB">
        <w:rPr>
          <w:bCs/>
          <w:lang w:eastAsia="en-US"/>
        </w:rPr>
        <w:t>(за операціями, в</w:t>
      </w:r>
      <w:r w:rsidR="00483186">
        <w:rPr>
          <w:bCs/>
          <w:lang w:eastAsia="en-US"/>
        </w:rPr>
        <w:t>и</w:t>
      </w:r>
      <w:r w:rsidRPr="001631CB">
        <w:rPr>
          <w:bCs/>
          <w:lang w:eastAsia="en-US"/>
        </w:rPr>
        <w:t>значеними в пункті 90</w:t>
      </w:r>
      <w:r w:rsidRPr="001631CB">
        <w:rPr>
          <w:bCs/>
          <w:vertAlign w:val="superscript"/>
          <w:lang w:eastAsia="en-US"/>
        </w:rPr>
        <w:t>1</w:t>
      </w:r>
      <w:r w:rsidRPr="001631CB">
        <w:rPr>
          <w:bCs/>
          <w:lang w:eastAsia="en-US"/>
        </w:rPr>
        <w:t xml:space="preserve"> розділу IX цього Положення);</w:t>
      </w:r>
    </w:p>
    <w:p w:rsidR="001631CB" w:rsidRPr="001631CB" w:rsidRDefault="001631CB" w:rsidP="00EF34F2">
      <w:pPr>
        <w:pStyle w:val="rvps2"/>
        <w:shd w:val="clear" w:color="auto" w:fill="FFFFFF"/>
        <w:spacing w:before="0" w:beforeAutospacing="0" w:after="0" w:afterAutospacing="0"/>
        <w:ind w:firstLine="426"/>
        <w:jc w:val="both"/>
        <w:rPr>
          <w:sz w:val="28"/>
          <w:szCs w:val="28"/>
          <w:lang w:val="uk-UA"/>
        </w:rPr>
      </w:pPr>
      <w:r w:rsidRPr="001631CB">
        <w:rPr>
          <w:sz w:val="29"/>
          <w:szCs w:val="29"/>
          <w:lang w:val="uk-UA" w:eastAsia="en-US"/>
        </w:rPr>
        <w:t>сума операції в одиниці цієї іноземної валюти/гривні;”.</w:t>
      </w:r>
    </w:p>
    <w:p w:rsidR="006C3C1E" w:rsidRDefault="006C3C1E" w:rsidP="00EF34F2">
      <w:pPr>
        <w:ind w:left="709" w:firstLine="426"/>
        <w:rPr>
          <w:shd w:val="clear" w:color="auto" w:fill="FFFFFF"/>
          <w:lang w:val="ru-RU"/>
        </w:rPr>
      </w:pPr>
    </w:p>
    <w:p w:rsidR="00B61A39" w:rsidRPr="002C2797" w:rsidRDefault="00C8507C" w:rsidP="00EF34F2">
      <w:pPr>
        <w:ind w:firstLine="426"/>
      </w:pPr>
      <w:r>
        <w:rPr>
          <w:shd w:val="clear" w:color="auto" w:fill="FFFFFF"/>
          <w:lang w:val="ru-RU"/>
        </w:rPr>
        <w:t>3.</w:t>
      </w:r>
      <w:r w:rsidRPr="00093943">
        <w:rPr>
          <w:bCs/>
          <w:shd w:val="clear" w:color="auto" w:fill="FFFFFF"/>
          <w:lang w:eastAsia="ru-RU"/>
        </w:rPr>
        <w:t> </w:t>
      </w:r>
      <w:r w:rsidR="00B61A39">
        <w:t xml:space="preserve">Унести до </w:t>
      </w:r>
      <w:r w:rsidR="00B61A39">
        <w:rPr>
          <w:lang w:val="ru-RU"/>
        </w:rPr>
        <w:t xml:space="preserve">пункту 44 </w:t>
      </w:r>
      <w:r w:rsidR="00B61A39" w:rsidRPr="00C81390">
        <w:t xml:space="preserve">розділу </w:t>
      </w:r>
      <w:r w:rsidR="008B20EE" w:rsidRPr="00C81390">
        <w:t>І</w:t>
      </w:r>
      <w:r w:rsidR="00B61A39" w:rsidRPr="00C81390">
        <w:t>І</w:t>
      </w:r>
      <w:r w:rsidR="00B61A39" w:rsidRPr="002C2797">
        <w:t xml:space="preserve"> Положення про валютний нагляд, затвердженого постановою Правління Національного банку України від 03 січня 2019 року № 13 (зі змінами),</w:t>
      </w:r>
      <w:r w:rsidR="00B61A39">
        <w:t xml:space="preserve"> такі зміни</w:t>
      </w:r>
      <w:r w:rsidR="00B61A39" w:rsidRPr="002C2797">
        <w:t>:</w:t>
      </w:r>
    </w:p>
    <w:p w:rsidR="00B61A39" w:rsidRDefault="00B61A39" w:rsidP="00EF34F2">
      <w:pPr>
        <w:ind w:firstLine="426"/>
        <w:rPr>
          <w:highlight w:val="yellow"/>
        </w:rPr>
      </w:pPr>
    </w:p>
    <w:p w:rsidR="008B20EE" w:rsidRDefault="00B61A39" w:rsidP="00EF34F2">
      <w:pPr>
        <w:pStyle w:val="af3"/>
        <w:ind w:left="0" w:firstLine="426"/>
        <w:rPr>
          <w:bCs/>
          <w:shd w:val="clear" w:color="auto" w:fill="FFFFFF"/>
          <w:lang w:eastAsia="ru-RU"/>
        </w:rPr>
      </w:pPr>
      <w:r w:rsidRPr="00B61A39">
        <w:rPr>
          <w:color w:val="000000" w:themeColor="text1"/>
          <w:shd w:val="clear" w:color="auto" w:fill="FFFFFF"/>
        </w:rPr>
        <w:t>1)</w:t>
      </w:r>
      <w:r w:rsidRPr="00093943">
        <w:rPr>
          <w:bCs/>
          <w:shd w:val="clear" w:color="auto" w:fill="FFFFFF"/>
          <w:lang w:eastAsia="ru-RU"/>
        </w:rPr>
        <w:t> </w:t>
      </w:r>
      <w:r w:rsidR="00061D0D" w:rsidRPr="00061D0D">
        <w:rPr>
          <w:bCs/>
          <w:shd w:val="clear" w:color="auto" w:fill="FFFFFF"/>
          <w:lang w:eastAsia="ru-RU"/>
        </w:rPr>
        <w:t>п</w:t>
      </w:r>
      <w:r w:rsidR="00061D0D">
        <w:rPr>
          <w:bCs/>
          <w:shd w:val="clear" w:color="auto" w:fill="FFFFFF"/>
          <w:lang w:eastAsia="ru-RU"/>
        </w:rPr>
        <w:t>і</w:t>
      </w:r>
      <w:r w:rsidR="00061D0D" w:rsidRPr="00061D0D">
        <w:rPr>
          <w:bCs/>
          <w:shd w:val="clear" w:color="auto" w:fill="FFFFFF"/>
          <w:lang w:eastAsia="ru-RU"/>
        </w:rPr>
        <w:t>дпункт</w:t>
      </w:r>
      <w:r w:rsidR="00061D0D">
        <w:rPr>
          <w:bCs/>
          <w:shd w:val="clear" w:color="auto" w:fill="FFFFFF"/>
          <w:lang w:eastAsia="ru-RU"/>
        </w:rPr>
        <w:t xml:space="preserve"> </w:t>
      </w:r>
      <w:r w:rsidR="00AC311B">
        <w:rPr>
          <w:bCs/>
          <w:shd w:val="clear" w:color="auto" w:fill="FFFFFF"/>
          <w:lang w:eastAsia="ru-RU"/>
        </w:rPr>
        <w:t>1</w:t>
      </w:r>
      <w:r w:rsidR="00061D0D">
        <w:rPr>
          <w:bCs/>
          <w:shd w:val="clear" w:color="auto" w:fill="FFFFFF"/>
          <w:lang w:eastAsia="ru-RU"/>
        </w:rPr>
        <w:t xml:space="preserve"> </w:t>
      </w:r>
      <w:r w:rsidR="008B20EE">
        <w:rPr>
          <w:bCs/>
          <w:shd w:val="clear" w:color="auto" w:fill="FFFFFF"/>
          <w:lang w:eastAsia="ru-RU"/>
        </w:rPr>
        <w:t>викласти в такій редакції:</w:t>
      </w:r>
    </w:p>
    <w:p w:rsidR="00C8507C" w:rsidRDefault="0028078B" w:rsidP="00EF34F2">
      <w:pPr>
        <w:pStyle w:val="af3"/>
        <w:ind w:left="0" w:firstLine="426"/>
        <w:rPr>
          <w:color w:val="000000" w:themeColor="text1"/>
          <w:shd w:val="clear" w:color="auto" w:fill="FFFFFF"/>
        </w:rPr>
      </w:pPr>
      <w:r>
        <w:rPr>
          <w:bCs/>
          <w:shd w:val="clear" w:color="auto" w:fill="FFFFFF"/>
          <w:lang w:eastAsia="ru-RU"/>
        </w:rPr>
        <w:t>«</w:t>
      </w:r>
      <w:r w:rsidR="008B20EE" w:rsidRPr="00104B7A">
        <w:rPr>
          <w:color w:val="000000" w:themeColor="text1"/>
          <w:shd w:val="clear" w:color="auto" w:fill="FFFFFF"/>
        </w:rPr>
        <w:t xml:space="preserve">1) допущення помилки в будь-якому показнику, який виражений не в одиницях валют, в інформації (статистичній звітності) про валютні операції за звітний період за умови, що цей показник пов’язаний з конкретною сумою валютної операції та якщо ця </w:t>
      </w:r>
      <w:r w:rsidR="008B20EE" w:rsidRPr="008B20EE">
        <w:rPr>
          <w:color w:val="000000" w:themeColor="text1"/>
          <w:shd w:val="clear" w:color="auto" w:fill="FFFFFF"/>
        </w:rPr>
        <w:t>сума дорівнює чи перевищує розмір</w:t>
      </w:r>
      <w:r w:rsidR="008B20EE" w:rsidRPr="008B20EE">
        <w:rPr>
          <w:color w:val="000000" w:themeColor="text1"/>
          <w:shd w:val="clear" w:color="auto" w:fill="FFFFFF"/>
          <w:lang w:val="ru-RU"/>
        </w:rPr>
        <w:t xml:space="preserve"> </w:t>
      </w:r>
      <w:r w:rsidR="008B20EE" w:rsidRPr="008B20EE">
        <w:rPr>
          <w:color w:val="000000" w:themeColor="text1"/>
          <w:shd w:val="clear" w:color="auto" w:fill="FFFFFF"/>
        </w:rPr>
        <w:t xml:space="preserve">(в еквіваленті за офіційним курсом гривні до іноземних валют, установленим Національним банком на дату здійснення операції), передбачений статтею 20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w:t>
      </w:r>
      <w:r w:rsidR="00CC3678" w:rsidRPr="00CC3678">
        <w:rPr>
          <w:color w:val="000000" w:themeColor="text1"/>
          <w:shd w:val="clear" w:color="auto" w:fill="FFFFFF"/>
        </w:rPr>
        <w:t xml:space="preserve"> </w:t>
      </w:r>
      <w:r w:rsidR="008B20EE" w:rsidRPr="008B20EE">
        <w:rPr>
          <w:color w:val="000000" w:themeColor="text1"/>
          <w:shd w:val="clear" w:color="auto" w:fill="FFFFFF"/>
        </w:rPr>
        <w:t xml:space="preserve">масового </w:t>
      </w:r>
      <w:proofErr w:type="spellStart"/>
      <w:r w:rsidR="008B20EE" w:rsidRPr="008B20EE">
        <w:rPr>
          <w:color w:val="000000" w:themeColor="text1"/>
          <w:shd w:val="clear" w:color="auto" w:fill="FFFFFF"/>
        </w:rPr>
        <w:t>знищенняˮ</w:t>
      </w:r>
      <w:proofErr w:type="spellEnd"/>
      <w:r w:rsidR="008B20EE" w:rsidRPr="008B20EE">
        <w:rPr>
          <w:color w:val="000000" w:themeColor="text1"/>
          <w:shd w:val="clear" w:color="auto" w:fill="FFFFFF"/>
        </w:rPr>
        <w:t>;</w:t>
      </w:r>
      <w:r>
        <w:rPr>
          <w:color w:val="000000" w:themeColor="text1"/>
          <w:shd w:val="clear" w:color="auto" w:fill="FFFFFF"/>
        </w:rPr>
        <w:t>»</w:t>
      </w:r>
      <w:r w:rsidR="00061D0D">
        <w:rPr>
          <w:color w:val="000000" w:themeColor="text1"/>
          <w:shd w:val="clear" w:color="auto" w:fill="FFFFFF"/>
        </w:rPr>
        <w:t>;</w:t>
      </w:r>
    </w:p>
    <w:p w:rsidR="00061D0D" w:rsidRPr="00061D0D" w:rsidRDefault="00061D0D" w:rsidP="00EF34F2">
      <w:pPr>
        <w:pStyle w:val="af3"/>
        <w:ind w:left="0" w:firstLine="426"/>
        <w:rPr>
          <w:shd w:val="clear" w:color="auto" w:fill="FFFFFF"/>
        </w:rPr>
      </w:pPr>
    </w:p>
    <w:p w:rsidR="00C8507C" w:rsidRPr="00D370F7" w:rsidRDefault="00AC311B" w:rsidP="00EF34F2">
      <w:pPr>
        <w:ind w:firstLine="426"/>
        <w:rPr>
          <w:shd w:val="clear" w:color="auto" w:fill="FFFFFF"/>
        </w:rPr>
      </w:pPr>
      <w:r>
        <w:rPr>
          <w:color w:val="000000" w:themeColor="text1"/>
          <w:shd w:val="clear" w:color="auto" w:fill="FFFFFF"/>
        </w:rPr>
        <w:t>2</w:t>
      </w:r>
      <w:r w:rsidR="00061D0D" w:rsidRPr="00B61A39">
        <w:rPr>
          <w:color w:val="000000" w:themeColor="text1"/>
          <w:shd w:val="clear" w:color="auto" w:fill="FFFFFF"/>
        </w:rPr>
        <w:t>)</w:t>
      </w:r>
      <w:r w:rsidR="00061D0D" w:rsidRPr="00093943">
        <w:rPr>
          <w:bCs/>
          <w:shd w:val="clear" w:color="auto" w:fill="FFFFFF"/>
          <w:lang w:eastAsia="ru-RU"/>
        </w:rPr>
        <w:t> </w:t>
      </w:r>
      <w:r w:rsidR="00061D0D" w:rsidRPr="00061D0D">
        <w:rPr>
          <w:bCs/>
          <w:shd w:val="clear" w:color="auto" w:fill="FFFFFF"/>
          <w:lang w:eastAsia="ru-RU"/>
        </w:rPr>
        <w:t xml:space="preserve">у </w:t>
      </w:r>
      <w:r w:rsidR="00061D0D">
        <w:rPr>
          <w:bCs/>
          <w:shd w:val="clear" w:color="auto" w:fill="FFFFFF"/>
          <w:lang w:eastAsia="ru-RU"/>
        </w:rPr>
        <w:t xml:space="preserve">першому реченні </w:t>
      </w:r>
      <w:r w:rsidR="00061D0D" w:rsidRPr="00061D0D">
        <w:rPr>
          <w:bCs/>
          <w:shd w:val="clear" w:color="auto" w:fill="FFFFFF"/>
          <w:lang w:eastAsia="ru-RU"/>
        </w:rPr>
        <w:t>п</w:t>
      </w:r>
      <w:r w:rsidR="00061D0D">
        <w:rPr>
          <w:bCs/>
          <w:shd w:val="clear" w:color="auto" w:fill="FFFFFF"/>
          <w:lang w:eastAsia="ru-RU"/>
        </w:rPr>
        <w:t>і</w:t>
      </w:r>
      <w:r w:rsidR="00061D0D" w:rsidRPr="00061D0D">
        <w:rPr>
          <w:bCs/>
          <w:shd w:val="clear" w:color="auto" w:fill="FFFFFF"/>
          <w:lang w:eastAsia="ru-RU"/>
        </w:rPr>
        <w:t>дпункт</w:t>
      </w:r>
      <w:r w:rsidR="00061D0D">
        <w:rPr>
          <w:bCs/>
          <w:shd w:val="clear" w:color="auto" w:fill="FFFFFF"/>
          <w:lang w:eastAsia="ru-RU"/>
        </w:rPr>
        <w:t xml:space="preserve">у </w:t>
      </w:r>
      <w:r>
        <w:rPr>
          <w:bCs/>
          <w:shd w:val="clear" w:color="auto" w:fill="FFFFFF"/>
          <w:lang w:eastAsia="ru-RU"/>
        </w:rPr>
        <w:t>2</w:t>
      </w:r>
      <w:r w:rsidR="00061D0D">
        <w:rPr>
          <w:bCs/>
          <w:shd w:val="clear" w:color="auto" w:fill="FFFFFF"/>
          <w:lang w:eastAsia="ru-RU"/>
        </w:rPr>
        <w:t xml:space="preserve"> слова</w:t>
      </w:r>
      <w:r w:rsidR="008B20EE">
        <w:rPr>
          <w:bCs/>
          <w:shd w:val="clear" w:color="auto" w:fill="FFFFFF"/>
          <w:lang w:eastAsia="ru-RU"/>
        </w:rPr>
        <w:t xml:space="preserve"> </w:t>
      </w:r>
      <w:r w:rsidR="00061D0D">
        <w:rPr>
          <w:bCs/>
          <w:shd w:val="clear" w:color="auto" w:fill="FFFFFF"/>
          <w:lang w:eastAsia="ru-RU"/>
        </w:rPr>
        <w:t>“</w:t>
      </w:r>
      <w:r w:rsidRPr="00104B7A">
        <w:rPr>
          <w:color w:val="000000" w:themeColor="text1"/>
          <w:shd w:val="clear" w:color="auto" w:fill="FFFFFF"/>
        </w:rPr>
        <w:t xml:space="preserve">суму </w:t>
      </w:r>
      <w:r w:rsidRPr="00AC311B">
        <w:rPr>
          <w:color w:val="000000" w:themeColor="text1"/>
          <w:shd w:val="clear" w:color="auto" w:fill="FFFFFF"/>
        </w:rPr>
        <w:t>(в еквіваленті)</w:t>
      </w:r>
      <w:r w:rsidRPr="00104B7A">
        <w:rPr>
          <w:color w:val="000000" w:themeColor="text1"/>
          <w:shd w:val="clear" w:color="auto" w:fill="FFFFFF"/>
        </w:rPr>
        <w:t xml:space="preserve">, що дорівнює чи перевищує </w:t>
      </w:r>
      <w:r w:rsidRPr="00AC311B">
        <w:rPr>
          <w:color w:val="000000" w:themeColor="text1"/>
          <w:shd w:val="clear" w:color="auto" w:fill="FFFFFF"/>
        </w:rPr>
        <w:t xml:space="preserve">розмір, установлений для фінансових операцій, що підлягають обов’язковому фінансовому моніторингу відповідно до вимог законодавства з питань фінансового </w:t>
      </w:r>
      <w:proofErr w:type="spellStart"/>
      <w:r w:rsidRPr="00AC311B">
        <w:rPr>
          <w:color w:val="000000" w:themeColor="text1"/>
          <w:shd w:val="clear" w:color="auto" w:fill="FFFFFF"/>
        </w:rPr>
        <w:t>моніторингу</w:t>
      </w:r>
      <w:r>
        <w:rPr>
          <w:color w:val="000000" w:themeColor="text1"/>
          <w:shd w:val="clear" w:color="auto" w:fill="FFFFFF"/>
        </w:rPr>
        <w:t>ˮ</w:t>
      </w:r>
      <w:proofErr w:type="spellEnd"/>
      <w:r>
        <w:rPr>
          <w:color w:val="000000" w:themeColor="text1"/>
          <w:shd w:val="clear" w:color="auto" w:fill="FFFFFF"/>
        </w:rPr>
        <w:t xml:space="preserve"> замінити словами </w:t>
      </w:r>
      <w:r w:rsidR="007D18BE">
        <w:rPr>
          <w:color w:val="000000" w:themeColor="text1"/>
          <w:shd w:val="clear" w:color="auto" w:fill="FFFFFF"/>
        </w:rPr>
        <w:t>та цифр</w:t>
      </w:r>
      <w:r w:rsidR="003A12BF" w:rsidRPr="003A12BF">
        <w:rPr>
          <w:color w:val="000000" w:themeColor="text1"/>
          <w:shd w:val="clear" w:color="auto" w:fill="FFFFFF"/>
        </w:rPr>
        <w:t>ами</w:t>
      </w:r>
      <w:r w:rsidR="007D18BE">
        <w:rPr>
          <w:color w:val="000000" w:themeColor="text1"/>
          <w:shd w:val="clear" w:color="auto" w:fill="FFFFFF"/>
        </w:rPr>
        <w:t xml:space="preserve"> </w:t>
      </w:r>
      <w:r w:rsidR="002C54E4">
        <w:rPr>
          <w:bCs/>
          <w:shd w:val="clear" w:color="auto" w:fill="FFFFFF"/>
          <w:lang w:eastAsia="ru-RU"/>
        </w:rPr>
        <w:t>«</w:t>
      </w:r>
      <w:r w:rsidR="00D370F7" w:rsidRPr="00D370F7">
        <w:rPr>
          <w:color w:val="000000" w:themeColor="text1"/>
          <w:shd w:val="clear" w:color="auto" w:fill="FFFFFF"/>
        </w:rPr>
        <w:t>суму, що дорівнює чи перевищує розмір (в еквіваленті за офіційним курсом гривні до іноземних валют, установленим Національним банком на дату здійснення операції), передбачений</w:t>
      </w:r>
      <w:r w:rsidR="00D370F7" w:rsidRPr="00D370F7">
        <w:rPr>
          <w:color w:val="000000" w:themeColor="text1"/>
          <w:shd w:val="clear" w:color="auto" w:fill="FFFFFF"/>
          <w:lang w:eastAsia="en-US"/>
        </w:rPr>
        <w:t xml:space="preserve"> </w:t>
      </w:r>
      <w:r w:rsidR="00D370F7" w:rsidRPr="00D370F7">
        <w:rPr>
          <w:color w:val="000000" w:themeColor="text1"/>
          <w:shd w:val="clear" w:color="auto" w:fill="FFFFFF"/>
        </w:rPr>
        <w:t xml:space="preserve">статтею 20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00D370F7" w:rsidRPr="00D370F7">
        <w:rPr>
          <w:color w:val="000000" w:themeColor="text1"/>
          <w:shd w:val="clear" w:color="auto" w:fill="FFFFFF"/>
        </w:rPr>
        <w:t>знищенняˮ</w:t>
      </w:r>
      <w:proofErr w:type="spellEnd"/>
      <w:r w:rsidR="00D370F7" w:rsidRPr="00D370F7">
        <w:rPr>
          <w:color w:val="000000" w:themeColor="text1"/>
          <w:shd w:val="clear" w:color="auto" w:fill="FFFFFF"/>
        </w:rPr>
        <w:t>.</w:t>
      </w:r>
      <w:r w:rsidR="002C54E4">
        <w:rPr>
          <w:color w:val="000000" w:themeColor="text1"/>
          <w:shd w:val="clear" w:color="auto" w:fill="FFFFFF"/>
        </w:rPr>
        <w:t>».</w:t>
      </w:r>
    </w:p>
    <w:p w:rsidR="00061D0D" w:rsidRPr="00B61A39" w:rsidRDefault="00061D0D" w:rsidP="00EF34F2">
      <w:pPr>
        <w:ind w:left="709" w:firstLine="426"/>
        <w:rPr>
          <w:shd w:val="clear" w:color="auto" w:fill="FFFFFF"/>
        </w:rPr>
      </w:pPr>
    </w:p>
    <w:p w:rsidR="00872716" w:rsidRPr="00093943" w:rsidRDefault="00C8507C" w:rsidP="00EF34F2">
      <w:pPr>
        <w:ind w:firstLine="426"/>
      </w:pPr>
      <w:r>
        <w:rPr>
          <w:bCs/>
          <w:shd w:val="clear" w:color="auto" w:fill="FFFFFF"/>
          <w:lang w:val="ru-RU" w:eastAsia="ru-RU"/>
        </w:rPr>
        <w:t>4</w:t>
      </w:r>
      <w:r w:rsidR="00872716" w:rsidRPr="00093943">
        <w:rPr>
          <w:bCs/>
          <w:shd w:val="clear" w:color="auto" w:fill="FFFFFF"/>
          <w:lang w:eastAsia="ru-RU"/>
        </w:rPr>
        <w:t>. </w:t>
      </w:r>
      <w:r w:rsidR="00872716" w:rsidRPr="00093943">
        <w:t xml:space="preserve">Постанова набирає чинності з дня, наступного за днем її офіційного опублікування. </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4252"/>
      </w:tblGrid>
      <w:tr w:rsidR="00093943" w:rsidRPr="00093943" w:rsidTr="00CA7AD0">
        <w:tc>
          <w:tcPr>
            <w:tcW w:w="5495" w:type="dxa"/>
            <w:vAlign w:val="bottom"/>
          </w:tcPr>
          <w:p w:rsidR="00872716" w:rsidRDefault="00872716" w:rsidP="00EF34F2">
            <w:pPr>
              <w:tabs>
                <w:tab w:val="left" w:pos="7020"/>
                <w:tab w:val="left" w:pos="7200"/>
              </w:tabs>
              <w:autoSpaceDE w:val="0"/>
              <w:autoSpaceDN w:val="0"/>
              <w:jc w:val="left"/>
            </w:pPr>
          </w:p>
          <w:p w:rsidR="00480D89" w:rsidRDefault="00480D89" w:rsidP="00EF34F2">
            <w:pPr>
              <w:tabs>
                <w:tab w:val="left" w:pos="7020"/>
                <w:tab w:val="left" w:pos="7200"/>
              </w:tabs>
              <w:autoSpaceDE w:val="0"/>
              <w:autoSpaceDN w:val="0"/>
              <w:jc w:val="left"/>
            </w:pPr>
          </w:p>
          <w:p w:rsidR="00480D89" w:rsidRPr="00093943" w:rsidRDefault="00480D89" w:rsidP="00EF34F2">
            <w:pPr>
              <w:tabs>
                <w:tab w:val="left" w:pos="7020"/>
                <w:tab w:val="left" w:pos="7200"/>
              </w:tabs>
              <w:autoSpaceDE w:val="0"/>
              <w:autoSpaceDN w:val="0"/>
              <w:jc w:val="left"/>
            </w:pPr>
          </w:p>
          <w:p w:rsidR="00872716" w:rsidRPr="00093943" w:rsidRDefault="004A7285" w:rsidP="00EF34F2">
            <w:pPr>
              <w:tabs>
                <w:tab w:val="left" w:pos="7020"/>
                <w:tab w:val="left" w:pos="7200"/>
              </w:tabs>
              <w:autoSpaceDE w:val="0"/>
              <w:autoSpaceDN w:val="0"/>
              <w:jc w:val="left"/>
            </w:pPr>
            <w:r>
              <w:t xml:space="preserve">В. о. </w:t>
            </w:r>
            <w:r w:rsidR="00872716" w:rsidRPr="00093943">
              <w:t>Голов</w:t>
            </w:r>
            <w:r>
              <w:t>и</w:t>
            </w:r>
          </w:p>
        </w:tc>
        <w:tc>
          <w:tcPr>
            <w:tcW w:w="4252" w:type="dxa"/>
            <w:vAlign w:val="bottom"/>
          </w:tcPr>
          <w:p w:rsidR="00872716" w:rsidRPr="00093943" w:rsidRDefault="004A7285" w:rsidP="004A7285">
            <w:pPr>
              <w:tabs>
                <w:tab w:val="left" w:pos="7020"/>
                <w:tab w:val="left" w:pos="7200"/>
              </w:tabs>
              <w:autoSpaceDE w:val="0"/>
              <w:autoSpaceDN w:val="0"/>
              <w:jc w:val="left"/>
            </w:pPr>
            <w:r>
              <w:t xml:space="preserve">                  Юрій ГЕЛЕТІЙ   </w:t>
            </w:r>
          </w:p>
        </w:tc>
      </w:tr>
    </w:tbl>
    <w:p w:rsidR="00480D89" w:rsidRDefault="00480D89" w:rsidP="00EF34F2">
      <w:pPr>
        <w:spacing w:before="240"/>
      </w:pPr>
    </w:p>
    <w:p w:rsidR="003B0A63" w:rsidRDefault="00872716" w:rsidP="00EF34F2">
      <w:pPr>
        <w:spacing w:before="240"/>
        <w:sectPr w:rsidR="003B0A63" w:rsidSect="003B0A63">
          <w:headerReference w:type="default" r:id="rId14"/>
          <w:headerReference w:type="first" r:id="rId15"/>
          <w:pgSz w:w="11906" w:h="16838" w:code="9"/>
          <w:pgMar w:top="567" w:right="567" w:bottom="1701" w:left="1701" w:header="709" w:footer="709" w:gutter="0"/>
          <w:pgNumType w:start="1"/>
          <w:cols w:space="708"/>
          <w:titlePg/>
          <w:docGrid w:linePitch="381"/>
        </w:sectPr>
      </w:pPr>
      <w:r w:rsidRPr="00093943">
        <w:t>Інд.40</w:t>
      </w:r>
    </w:p>
    <w:p w:rsidR="00450278" w:rsidRPr="00F07EF2" w:rsidRDefault="00450278" w:rsidP="002C54E4">
      <w:pPr>
        <w:ind w:left="5529"/>
      </w:pPr>
      <w:r w:rsidRPr="00F07EF2">
        <w:lastRenderedPageBreak/>
        <w:t xml:space="preserve">ЗАТВЕРДЖЕНО </w:t>
      </w:r>
    </w:p>
    <w:p w:rsidR="00450278" w:rsidRPr="00F07EF2" w:rsidRDefault="00450278" w:rsidP="002C54E4">
      <w:pPr>
        <w:ind w:left="5529"/>
      </w:pPr>
      <w:r w:rsidRPr="00F07EF2">
        <w:t>Постанова</w:t>
      </w:r>
      <w:r>
        <w:t> </w:t>
      </w:r>
      <w:r w:rsidRPr="00F07EF2">
        <w:t xml:space="preserve">Правління </w:t>
      </w:r>
      <w:r w:rsidRPr="00000E8E">
        <w:t>Національного</w:t>
      </w:r>
      <w:r w:rsidRPr="00F07EF2">
        <w:t xml:space="preserve"> банку України</w:t>
      </w:r>
    </w:p>
    <w:p w:rsidR="00EF34F2" w:rsidRPr="00BF18EC" w:rsidRDefault="00450278" w:rsidP="00EF34F2">
      <w:pPr>
        <w:ind w:firstLine="426"/>
        <w:rPr>
          <w:lang w:val="ru-RU"/>
        </w:rPr>
      </w:pPr>
      <w:r w:rsidRPr="00BF18EC">
        <w:rPr>
          <w:lang w:val="ru-RU"/>
        </w:rPr>
        <w:tab/>
      </w:r>
      <w:r w:rsidRPr="00BF18EC">
        <w:rPr>
          <w:lang w:val="ru-RU"/>
        </w:rPr>
        <w:tab/>
      </w:r>
      <w:r w:rsidRPr="00BF18EC">
        <w:rPr>
          <w:lang w:val="ru-RU"/>
        </w:rPr>
        <w:tab/>
      </w:r>
      <w:r w:rsidRPr="00BF18EC">
        <w:rPr>
          <w:lang w:val="ru-RU"/>
        </w:rPr>
        <w:tab/>
      </w:r>
      <w:r w:rsidRPr="00BF18EC">
        <w:rPr>
          <w:lang w:val="ru-RU"/>
        </w:rPr>
        <w:tab/>
      </w:r>
      <w:r w:rsidRPr="00BF18EC">
        <w:rPr>
          <w:lang w:val="ru-RU"/>
        </w:rPr>
        <w:tab/>
        <w:t xml:space="preserve">        </w:t>
      </w:r>
      <w:r w:rsidR="00000E8E" w:rsidRPr="00BF18EC">
        <w:rPr>
          <w:lang w:val="ru-RU"/>
        </w:rPr>
        <w:t xml:space="preserve">          13 </w:t>
      </w:r>
      <w:proofErr w:type="spellStart"/>
      <w:r w:rsidR="00000E8E" w:rsidRPr="00BF18EC">
        <w:rPr>
          <w:lang w:val="ru-RU"/>
        </w:rPr>
        <w:t>січня</w:t>
      </w:r>
      <w:proofErr w:type="spellEnd"/>
      <w:r w:rsidR="00000E8E" w:rsidRPr="00BF18EC">
        <w:rPr>
          <w:lang w:val="ru-RU"/>
        </w:rPr>
        <w:t xml:space="preserve"> 2022 року № 3</w:t>
      </w:r>
    </w:p>
    <w:p w:rsidR="00EF34F2" w:rsidRPr="00BF18EC" w:rsidRDefault="00EF34F2" w:rsidP="00EF34F2">
      <w:pPr>
        <w:ind w:firstLine="426"/>
        <w:rPr>
          <w:lang w:val="ru-RU"/>
        </w:rPr>
      </w:pPr>
      <w:bookmarkStart w:id="0" w:name="_GoBack"/>
      <w:bookmarkEnd w:id="0"/>
    </w:p>
    <w:p w:rsidR="00000E8E" w:rsidRPr="00341EEB" w:rsidRDefault="00000E8E" w:rsidP="00EF34F2">
      <w:pPr>
        <w:ind w:firstLine="426"/>
        <w:rPr>
          <w:lang w:val="ru-RU"/>
        </w:rPr>
      </w:pPr>
    </w:p>
    <w:p w:rsidR="00450278" w:rsidRPr="00341EEB" w:rsidRDefault="00450278" w:rsidP="00EF34F2">
      <w:pPr>
        <w:ind w:firstLine="426"/>
        <w:rPr>
          <w:lang w:val="ru-RU"/>
        </w:rPr>
      </w:pPr>
    </w:p>
    <w:p w:rsidR="00450278" w:rsidRPr="00F07EF2" w:rsidRDefault="00450278" w:rsidP="00EF34F2">
      <w:pPr>
        <w:pStyle w:val="af3"/>
        <w:ind w:left="0" w:firstLine="426"/>
      </w:pPr>
      <w:r w:rsidRPr="00F07EF2">
        <w:t>Зміни до Положення про здійснення операцій із валютними цінностями</w:t>
      </w:r>
    </w:p>
    <w:p w:rsidR="00450278" w:rsidRDefault="00450278" w:rsidP="00EF34F2">
      <w:pPr>
        <w:pStyle w:val="af3"/>
        <w:ind w:left="0" w:firstLine="426"/>
      </w:pPr>
    </w:p>
    <w:p w:rsidR="00EF34F2" w:rsidRPr="00F07EF2" w:rsidRDefault="00EF34F2" w:rsidP="00EF34F2">
      <w:pPr>
        <w:pStyle w:val="af3"/>
        <w:ind w:left="0" w:firstLine="426"/>
      </w:pPr>
    </w:p>
    <w:p w:rsidR="00450278" w:rsidRPr="00093943" w:rsidRDefault="00450278" w:rsidP="00EF34F2">
      <w:pPr>
        <w:shd w:val="clear" w:color="auto" w:fill="FFFFFF"/>
        <w:ind w:firstLine="426"/>
        <w:rPr>
          <w:rFonts w:eastAsiaTheme="minorEastAsia"/>
        </w:rPr>
      </w:pPr>
      <w:r w:rsidRPr="00F07EF2">
        <w:t>1. </w:t>
      </w:r>
      <w:r w:rsidRPr="00093943">
        <w:t xml:space="preserve">Пункт </w:t>
      </w:r>
      <w:r w:rsidR="00663702">
        <w:t>2</w:t>
      </w:r>
      <w:r w:rsidRPr="00093943">
        <w:t xml:space="preserve">7 розділу </w:t>
      </w:r>
      <w:r w:rsidRPr="00093943">
        <w:rPr>
          <w:lang w:val="en-US"/>
        </w:rPr>
        <w:t>IV</w:t>
      </w:r>
      <w:r w:rsidRPr="00450278">
        <w:t xml:space="preserve"> </w:t>
      </w:r>
      <w:r w:rsidRPr="00093943">
        <w:t xml:space="preserve">після підпункту </w:t>
      </w:r>
      <w:r w:rsidRPr="00093943">
        <w:rPr>
          <w:bCs/>
          <w:shd w:val="clear" w:color="auto" w:fill="FFFFFF"/>
        </w:rPr>
        <w:t>2</w:t>
      </w:r>
      <w:r w:rsidRPr="00093943">
        <w:rPr>
          <w:shd w:val="clear" w:color="auto" w:fill="FFFFFF"/>
          <w:vertAlign w:val="superscript"/>
        </w:rPr>
        <w:t>1</w:t>
      </w:r>
      <w:r w:rsidRPr="00093943">
        <w:rPr>
          <w:bCs/>
        </w:rPr>
        <w:t xml:space="preserve"> доповнити </w:t>
      </w:r>
      <w:r w:rsidR="0042463F">
        <w:rPr>
          <w:bCs/>
        </w:rPr>
        <w:t xml:space="preserve">двома </w:t>
      </w:r>
      <w:r w:rsidRPr="00093943">
        <w:rPr>
          <w:bCs/>
        </w:rPr>
        <w:t xml:space="preserve">новими підпунктами </w:t>
      </w:r>
      <w:r w:rsidRPr="00093943">
        <w:rPr>
          <w:bCs/>
          <w:shd w:val="clear" w:color="auto" w:fill="FFFFFF"/>
        </w:rPr>
        <w:t>2</w:t>
      </w:r>
      <w:r w:rsidRPr="00093943">
        <w:rPr>
          <w:shd w:val="clear" w:color="auto" w:fill="FFFFFF"/>
          <w:vertAlign w:val="superscript"/>
        </w:rPr>
        <w:t>2</w:t>
      </w:r>
      <w:r w:rsidRPr="00B923E1">
        <w:rPr>
          <w:shd w:val="clear" w:color="auto" w:fill="FFFFFF"/>
        </w:rPr>
        <w:t xml:space="preserve">, </w:t>
      </w:r>
      <w:r w:rsidRPr="00093943">
        <w:rPr>
          <w:bCs/>
        </w:rPr>
        <w:t>2</w:t>
      </w:r>
      <w:r w:rsidRPr="00093943">
        <w:rPr>
          <w:bCs/>
          <w:vertAlign w:val="superscript"/>
        </w:rPr>
        <w:t>3</w:t>
      </w:r>
      <w:r w:rsidRPr="00093943">
        <w:rPr>
          <w:bCs/>
        </w:rPr>
        <w:t xml:space="preserve"> такого змісту:</w:t>
      </w:r>
    </w:p>
    <w:p w:rsidR="00450278" w:rsidRPr="00450278" w:rsidRDefault="00450278" w:rsidP="00EF34F2">
      <w:pPr>
        <w:pStyle w:val="rvps7"/>
        <w:spacing w:before="0" w:beforeAutospacing="0" w:after="0" w:afterAutospacing="0"/>
        <w:ind w:firstLine="426"/>
        <w:jc w:val="both"/>
        <w:rPr>
          <w:color w:val="000000" w:themeColor="text1"/>
          <w:sz w:val="28"/>
          <w:szCs w:val="28"/>
          <w:shd w:val="clear" w:color="auto" w:fill="FFFFFF"/>
          <w:lang w:val="uk-UA"/>
        </w:rPr>
      </w:pPr>
      <w:r w:rsidRPr="00E22EC1">
        <w:rPr>
          <w:color w:val="000000" w:themeColor="text1"/>
          <w:lang w:val="uk-UA"/>
        </w:rPr>
        <w:t>“</w:t>
      </w:r>
      <w:r w:rsidRPr="00450278">
        <w:rPr>
          <w:bCs/>
          <w:color w:val="000000" w:themeColor="text1"/>
          <w:sz w:val="28"/>
          <w:szCs w:val="28"/>
          <w:shd w:val="clear" w:color="auto" w:fill="FFFFFF"/>
          <w:lang w:val="uk-UA"/>
        </w:rPr>
        <w:t>2</w:t>
      </w:r>
      <w:r w:rsidRPr="00450278">
        <w:rPr>
          <w:bCs/>
          <w:color w:val="000000" w:themeColor="text1"/>
          <w:sz w:val="28"/>
          <w:szCs w:val="28"/>
          <w:shd w:val="clear" w:color="auto" w:fill="FFFFFF"/>
          <w:vertAlign w:val="superscript"/>
          <w:lang w:val="uk-UA"/>
        </w:rPr>
        <w:t>2</w:t>
      </w:r>
      <w:r w:rsidRPr="00450278">
        <w:rPr>
          <w:bCs/>
          <w:color w:val="000000" w:themeColor="text1"/>
          <w:sz w:val="28"/>
          <w:szCs w:val="28"/>
          <w:shd w:val="clear" w:color="auto" w:fill="FFFFFF"/>
          <w:lang w:val="uk-UA"/>
        </w:rPr>
        <w:t>)</w:t>
      </w:r>
      <w:r w:rsidR="003B0A63" w:rsidRPr="00F07EF2">
        <w:t> </w:t>
      </w:r>
      <w:r w:rsidRPr="00450278">
        <w:rPr>
          <w:color w:val="000000" w:themeColor="text1"/>
          <w:sz w:val="28"/>
          <w:szCs w:val="28"/>
          <w:shd w:val="clear" w:color="auto" w:fill="FFFFFF"/>
          <w:lang w:val="uk-UA"/>
        </w:rPr>
        <w:t xml:space="preserve">операціями з продажу інвестиційними фірмами </w:t>
      </w:r>
      <w:r w:rsidRPr="00E22EC1">
        <w:rPr>
          <w:rFonts w:hAnsi="Liberation Serif"/>
          <w:color w:val="000000" w:themeColor="text1"/>
          <w:kern w:val="1"/>
          <w:sz w:val="28"/>
          <w:szCs w:val="28"/>
          <w:lang w:val="uk-UA"/>
        </w:rPr>
        <w:t>–</w:t>
      </w:r>
      <w:r w:rsidRPr="00450278">
        <w:rPr>
          <w:rFonts w:hAnsi="Liberation Serif"/>
          <w:color w:val="000000" w:themeColor="text1"/>
          <w:kern w:val="1"/>
          <w:sz w:val="28"/>
          <w:szCs w:val="28"/>
          <w:lang w:val="uk-UA"/>
        </w:rPr>
        <w:t xml:space="preserve"> </w:t>
      </w:r>
      <w:r w:rsidRPr="00450278">
        <w:rPr>
          <w:color w:val="000000" w:themeColor="text1"/>
          <w:sz w:val="28"/>
          <w:szCs w:val="28"/>
          <w:shd w:val="clear" w:color="auto" w:fill="FFFFFF"/>
          <w:lang w:val="uk-UA"/>
        </w:rPr>
        <w:t>небанківськими фінансовими установами резидентам облігацій внутрішньої державної позики України, номінованих в іноземній валюті;</w:t>
      </w:r>
    </w:p>
    <w:p w:rsidR="00450278" w:rsidRPr="00450278" w:rsidRDefault="00450278" w:rsidP="00EF34F2">
      <w:pPr>
        <w:pStyle w:val="rvps7"/>
        <w:spacing w:before="0" w:beforeAutospacing="0" w:after="0" w:afterAutospacing="0"/>
        <w:ind w:firstLine="426"/>
        <w:jc w:val="both"/>
        <w:rPr>
          <w:b/>
          <w:color w:val="000000" w:themeColor="text1"/>
          <w:sz w:val="26"/>
          <w:szCs w:val="26"/>
          <w:shd w:val="clear" w:color="auto" w:fill="FFFFFF"/>
          <w:lang w:val="uk-UA"/>
        </w:rPr>
      </w:pPr>
    </w:p>
    <w:p w:rsidR="00450278" w:rsidRPr="00450278" w:rsidRDefault="00450278" w:rsidP="00EF34F2">
      <w:pPr>
        <w:pStyle w:val="rvps7"/>
        <w:shd w:val="clear" w:color="auto" w:fill="FFFFFF"/>
        <w:spacing w:before="0" w:beforeAutospacing="0" w:after="0" w:afterAutospacing="0"/>
        <w:ind w:firstLine="426"/>
        <w:jc w:val="both"/>
        <w:rPr>
          <w:color w:val="000000" w:themeColor="text1"/>
          <w:sz w:val="28"/>
          <w:szCs w:val="28"/>
          <w:shd w:val="clear" w:color="auto" w:fill="FFFFFF"/>
          <w:lang w:val="uk-UA"/>
        </w:rPr>
      </w:pPr>
      <w:r w:rsidRPr="00450278">
        <w:rPr>
          <w:bCs/>
          <w:color w:val="000000" w:themeColor="text1"/>
          <w:sz w:val="28"/>
          <w:szCs w:val="28"/>
          <w:shd w:val="clear" w:color="auto" w:fill="FFFFFF"/>
          <w:lang w:val="uk-UA"/>
        </w:rPr>
        <w:t>2</w:t>
      </w:r>
      <w:r w:rsidRPr="00450278">
        <w:rPr>
          <w:bCs/>
          <w:color w:val="000000" w:themeColor="text1"/>
          <w:sz w:val="28"/>
          <w:szCs w:val="28"/>
          <w:shd w:val="clear" w:color="auto" w:fill="FFFFFF"/>
          <w:vertAlign w:val="superscript"/>
          <w:lang w:val="uk-UA"/>
        </w:rPr>
        <w:t>3</w:t>
      </w:r>
      <w:r w:rsidRPr="00450278">
        <w:rPr>
          <w:bCs/>
          <w:color w:val="000000" w:themeColor="text1"/>
          <w:sz w:val="28"/>
          <w:szCs w:val="28"/>
          <w:shd w:val="clear" w:color="auto" w:fill="FFFFFF"/>
          <w:lang w:val="uk-UA"/>
        </w:rPr>
        <w:t>)</w:t>
      </w:r>
      <w:r w:rsidR="003B0A63" w:rsidRPr="00F07EF2">
        <w:t> </w:t>
      </w:r>
      <w:r w:rsidRPr="00450278">
        <w:rPr>
          <w:color w:val="000000" w:themeColor="text1"/>
          <w:sz w:val="28"/>
          <w:szCs w:val="28"/>
          <w:shd w:val="clear" w:color="auto" w:fill="FFFFFF"/>
          <w:lang w:val="uk-UA"/>
        </w:rPr>
        <w:t xml:space="preserve">операціями з купівлі інвестиційними фірмами </w:t>
      </w:r>
      <w:r w:rsidRPr="00450278">
        <w:rPr>
          <w:rFonts w:hAnsi="Liberation Serif"/>
          <w:color w:val="000000" w:themeColor="text1"/>
          <w:kern w:val="1"/>
          <w:sz w:val="28"/>
          <w:szCs w:val="28"/>
          <w:lang w:val="uk-UA"/>
        </w:rPr>
        <w:t>–</w:t>
      </w:r>
      <w:r w:rsidRPr="00450278">
        <w:rPr>
          <w:rFonts w:hAnsi="Liberation Serif"/>
          <w:color w:val="000000" w:themeColor="text1"/>
          <w:kern w:val="1"/>
          <w:sz w:val="28"/>
          <w:szCs w:val="28"/>
          <w:lang w:val="uk-UA"/>
        </w:rPr>
        <w:t xml:space="preserve"> </w:t>
      </w:r>
      <w:r w:rsidRPr="00450278">
        <w:rPr>
          <w:color w:val="000000" w:themeColor="text1"/>
          <w:sz w:val="28"/>
          <w:szCs w:val="28"/>
          <w:shd w:val="clear" w:color="auto" w:fill="FFFFFF"/>
          <w:lang w:val="uk-UA"/>
        </w:rPr>
        <w:t xml:space="preserve">небанківськими фінансовими установами </w:t>
      </w:r>
      <w:r w:rsidR="00EF34F2">
        <w:rPr>
          <w:color w:val="000000" w:themeColor="text1"/>
          <w:sz w:val="28"/>
          <w:szCs w:val="28"/>
          <w:shd w:val="clear" w:color="auto" w:fill="FFFFFF"/>
          <w:lang w:val="uk-UA"/>
        </w:rPr>
        <w:t>в</w:t>
      </w:r>
      <w:r w:rsidR="00EF34F2" w:rsidRPr="00450278">
        <w:rPr>
          <w:color w:val="000000" w:themeColor="text1"/>
          <w:sz w:val="28"/>
          <w:szCs w:val="28"/>
          <w:shd w:val="clear" w:color="auto" w:fill="FFFFFF"/>
          <w:lang w:val="uk-UA"/>
        </w:rPr>
        <w:t xml:space="preserve"> </w:t>
      </w:r>
      <w:r w:rsidRPr="00450278">
        <w:rPr>
          <w:color w:val="000000" w:themeColor="text1"/>
          <w:sz w:val="28"/>
          <w:szCs w:val="28"/>
          <w:shd w:val="clear" w:color="auto" w:fill="FFFFFF"/>
          <w:lang w:val="uk-UA"/>
        </w:rPr>
        <w:t>резидентів (банків, інвестиційних фірм та фізичних осіб) облігацій внутрішньої державної позики України, номінованих в іноземній валюті. Банки не здійснюють купівлю іноземної валюти за дорученням інвестиційних фірм</w:t>
      </w:r>
      <w:r w:rsidR="00EF34F2">
        <w:rPr>
          <w:color w:val="000000" w:themeColor="text1"/>
          <w:sz w:val="28"/>
          <w:szCs w:val="28"/>
          <w:shd w:val="clear" w:color="auto" w:fill="FFFFFF"/>
          <w:lang w:val="uk-UA"/>
        </w:rPr>
        <w:t xml:space="preserve"> − </w:t>
      </w:r>
      <w:r w:rsidRPr="00450278">
        <w:rPr>
          <w:color w:val="000000" w:themeColor="text1"/>
          <w:sz w:val="28"/>
          <w:szCs w:val="28"/>
          <w:shd w:val="clear" w:color="auto" w:fill="FFFFFF"/>
          <w:lang w:val="uk-UA"/>
        </w:rPr>
        <w:t xml:space="preserve">небанківських фінансових установ з метою проведення розрахунків за операціями з придбання цими інвестиційними фірмами </w:t>
      </w:r>
      <w:r w:rsidR="00EF34F2">
        <w:rPr>
          <w:color w:val="000000" w:themeColor="text1"/>
          <w:sz w:val="28"/>
          <w:szCs w:val="28"/>
          <w:shd w:val="clear" w:color="auto" w:fill="FFFFFF"/>
          <w:lang w:val="uk-UA"/>
        </w:rPr>
        <w:t>в</w:t>
      </w:r>
      <w:r w:rsidR="00EF34F2" w:rsidRPr="00450278">
        <w:rPr>
          <w:color w:val="000000" w:themeColor="text1"/>
          <w:sz w:val="28"/>
          <w:szCs w:val="28"/>
          <w:shd w:val="clear" w:color="auto" w:fill="FFFFFF"/>
          <w:lang w:val="uk-UA"/>
        </w:rPr>
        <w:t xml:space="preserve"> </w:t>
      </w:r>
      <w:r w:rsidRPr="00450278">
        <w:rPr>
          <w:color w:val="000000" w:themeColor="text1"/>
          <w:sz w:val="28"/>
          <w:szCs w:val="28"/>
          <w:shd w:val="clear" w:color="auto" w:fill="FFFFFF"/>
          <w:lang w:val="uk-UA"/>
        </w:rPr>
        <w:t xml:space="preserve">резидентів (крім банків) облігацій внутрішньої державної позики України, </w:t>
      </w:r>
      <w:proofErr w:type="spellStart"/>
      <w:r w:rsidRPr="00450278">
        <w:rPr>
          <w:color w:val="000000" w:themeColor="text1"/>
          <w:sz w:val="28"/>
          <w:szCs w:val="28"/>
          <w:shd w:val="clear" w:color="auto" w:fill="FFFFFF"/>
          <w:lang w:val="uk-UA"/>
        </w:rPr>
        <w:t>номінованих</w:t>
      </w:r>
      <w:proofErr w:type="spellEnd"/>
      <w:r w:rsidRPr="00450278">
        <w:rPr>
          <w:color w:val="000000" w:themeColor="text1"/>
          <w:sz w:val="28"/>
          <w:szCs w:val="28"/>
          <w:shd w:val="clear" w:color="auto" w:fill="FFFFFF"/>
          <w:lang w:val="uk-UA"/>
        </w:rPr>
        <w:t xml:space="preserve"> в іноземній валюті;</w:t>
      </w:r>
      <w:r>
        <w:rPr>
          <w:color w:val="000000" w:themeColor="text1"/>
          <w:sz w:val="28"/>
          <w:szCs w:val="28"/>
          <w:shd w:val="clear" w:color="auto" w:fill="FFFFFF"/>
          <w:lang w:val="uk-UA"/>
        </w:rPr>
        <w:t>ˮ.</w:t>
      </w:r>
    </w:p>
    <w:p w:rsidR="00450278" w:rsidRDefault="00450278" w:rsidP="00EF34F2">
      <w:pPr>
        <w:pStyle w:val="rvps7"/>
        <w:shd w:val="clear" w:color="auto" w:fill="FFFFFF"/>
        <w:spacing w:before="0" w:beforeAutospacing="0" w:after="0" w:afterAutospacing="0"/>
        <w:ind w:firstLine="426"/>
        <w:jc w:val="both"/>
        <w:rPr>
          <w:b/>
          <w:sz w:val="26"/>
          <w:szCs w:val="26"/>
          <w:shd w:val="clear" w:color="auto" w:fill="FFFFFF"/>
          <w:lang w:val="uk-UA"/>
        </w:rPr>
      </w:pPr>
    </w:p>
    <w:p w:rsidR="00450278" w:rsidRPr="003B0A63" w:rsidRDefault="003B0A63" w:rsidP="00EF34F2">
      <w:pPr>
        <w:tabs>
          <w:tab w:val="left" w:pos="0"/>
        </w:tabs>
        <w:ind w:firstLine="426"/>
      </w:pPr>
      <w:r>
        <w:t>2. У п</w:t>
      </w:r>
      <w:r w:rsidRPr="00093943">
        <w:t>ункт</w:t>
      </w:r>
      <w:r>
        <w:t>і</w:t>
      </w:r>
      <w:r w:rsidRPr="00093943">
        <w:t xml:space="preserve"> </w:t>
      </w:r>
      <w:r>
        <w:t>3</w:t>
      </w:r>
      <w:r w:rsidRPr="00093943">
        <w:t xml:space="preserve">7 розділу </w:t>
      </w:r>
      <w:r w:rsidRPr="00093943">
        <w:rPr>
          <w:lang w:val="en-US"/>
        </w:rPr>
        <w:t>V</w:t>
      </w:r>
      <w:r>
        <w:t>:</w:t>
      </w:r>
    </w:p>
    <w:p w:rsidR="00450278" w:rsidRDefault="00450278" w:rsidP="00EF34F2">
      <w:pPr>
        <w:tabs>
          <w:tab w:val="left" w:pos="0"/>
        </w:tabs>
        <w:ind w:firstLine="426"/>
      </w:pPr>
    </w:p>
    <w:p w:rsidR="00CD4251" w:rsidRDefault="003B0A63">
      <w:pPr>
        <w:pStyle w:val="rvps7"/>
        <w:numPr>
          <w:ilvl w:val="0"/>
          <w:numId w:val="14"/>
        </w:numPr>
        <w:shd w:val="clear" w:color="auto" w:fill="FFFFFF"/>
        <w:spacing w:before="0" w:beforeAutospacing="0" w:after="0" w:afterAutospacing="0"/>
        <w:ind w:left="0" w:firstLine="426"/>
        <w:jc w:val="both"/>
        <w:rPr>
          <w:bCs/>
          <w:color w:val="000000" w:themeColor="text1"/>
          <w:sz w:val="28"/>
          <w:szCs w:val="28"/>
          <w:lang w:val="uk-UA"/>
        </w:rPr>
      </w:pPr>
      <w:r>
        <w:rPr>
          <w:bCs/>
          <w:color w:val="000000" w:themeColor="text1"/>
          <w:sz w:val="28"/>
          <w:szCs w:val="28"/>
          <w:lang w:val="uk-UA"/>
        </w:rPr>
        <w:t xml:space="preserve">перше речення </w:t>
      </w:r>
      <w:r w:rsidRPr="00483186">
        <w:rPr>
          <w:bCs/>
          <w:color w:val="000000" w:themeColor="text1"/>
          <w:sz w:val="28"/>
          <w:szCs w:val="28"/>
          <w:lang w:val="uk-UA"/>
        </w:rPr>
        <w:t>абзац</w:t>
      </w:r>
      <w:r>
        <w:rPr>
          <w:bCs/>
          <w:color w:val="000000" w:themeColor="text1"/>
          <w:sz w:val="28"/>
          <w:szCs w:val="28"/>
          <w:lang w:val="uk-UA"/>
        </w:rPr>
        <w:t>у</w:t>
      </w:r>
      <w:r w:rsidRPr="00483186">
        <w:rPr>
          <w:bCs/>
          <w:color w:val="000000" w:themeColor="text1"/>
          <w:sz w:val="28"/>
          <w:szCs w:val="28"/>
          <w:lang w:val="uk-UA"/>
        </w:rPr>
        <w:t xml:space="preserve"> перш</w:t>
      </w:r>
      <w:r>
        <w:rPr>
          <w:bCs/>
          <w:color w:val="000000" w:themeColor="text1"/>
          <w:sz w:val="28"/>
          <w:szCs w:val="28"/>
          <w:lang w:val="uk-UA"/>
        </w:rPr>
        <w:t>ого</w:t>
      </w:r>
      <w:r w:rsidRPr="00483186">
        <w:rPr>
          <w:bCs/>
          <w:color w:val="000000" w:themeColor="text1"/>
          <w:sz w:val="28"/>
          <w:szCs w:val="28"/>
          <w:lang w:val="uk-UA"/>
        </w:rPr>
        <w:t xml:space="preserve"> викласти в такій редакції:</w:t>
      </w:r>
      <w:r>
        <w:rPr>
          <w:bCs/>
          <w:color w:val="000000" w:themeColor="text1"/>
          <w:sz w:val="28"/>
          <w:szCs w:val="28"/>
          <w:lang w:val="uk-UA"/>
        </w:rPr>
        <w:t xml:space="preserve"> </w:t>
      </w:r>
    </w:p>
    <w:p w:rsidR="00CD4251" w:rsidRDefault="00CD1FC9">
      <w:pPr>
        <w:pStyle w:val="rvps7"/>
        <w:shd w:val="clear" w:color="auto" w:fill="FFFFFF"/>
        <w:spacing w:before="0" w:beforeAutospacing="0" w:after="0" w:afterAutospacing="0"/>
        <w:ind w:firstLine="426"/>
        <w:jc w:val="both"/>
        <w:rPr>
          <w:bCs/>
          <w:color w:val="000000" w:themeColor="text1"/>
          <w:sz w:val="28"/>
          <w:szCs w:val="28"/>
          <w:shd w:val="clear" w:color="auto" w:fill="FFFFFF"/>
          <w:lang w:val="uk-UA"/>
        </w:rPr>
      </w:pPr>
      <w:r w:rsidRPr="00CD1FC9">
        <w:rPr>
          <w:color w:val="000000" w:themeColor="text1"/>
          <w:sz w:val="28"/>
          <w:szCs w:val="28"/>
          <w:lang w:val="uk-UA"/>
        </w:rPr>
        <w:t>“</w:t>
      </w:r>
      <w:r w:rsidR="003B0A63" w:rsidRPr="005D7D9B">
        <w:rPr>
          <w:color w:val="000000" w:themeColor="text1"/>
          <w:sz w:val="28"/>
          <w:szCs w:val="28"/>
          <w:shd w:val="clear" w:color="auto" w:fill="FFFFFF"/>
          <w:lang w:val="uk-UA"/>
        </w:rPr>
        <w:t>37. Переказ, що надійшов в іноземній валюті з-за меж України фізичній особі для виплати</w:t>
      </w:r>
      <w:r w:rsidR="003B0A63" w:rsidRPr="005D7D9B">
        <w:rPr>
          <w:b/>
          <w:color w:val="000000" w:themeColor="text1"/>
          <w:sz w:val="28"/>
          <w:szCs w:val="28"/>
          <w:shd w:val="clear" w:color="auto" w:fill="FFFFFF"/>
          <w:lang w:val="uk-UA"/>
        </w:rPr>
        <w:t xml:space="preserve"> </w:t>
      </w:r>
      <w:r w:rsidR="003B0A63" w:rsidRPr="005D7D9B">
        <w:rPr>
          <w:color w:val="000000" w:themeColor="text1"/>
          <w:sz w:val="28"/>
          <w:szCs w:val="28"/>
          <w:shd w:val="clear" w:color="auto" w:fill="FFFFFF"/>
          <w:lang w:val="uk-UA"/>
        </w:rPr>
        <w:t xml:space="preserve">готівкою без відкриття рахунку, може бути виплачений за бажанням </w:t>
      </w:r>
      <w:proofErr w:type="spellStart"/>
      <w:r w:rsidR="003B0A63" w:rsidRPr="005D7D9B">
        <w:rPr>
          <w:color w:val="000000" w:themeColor="text1"/>
          <w:sz w:val="28"/>
          <w:szCs w:val="28"/>
          <w:shd w:val="clear" w:color="auto" w:fill="FFFFFF"/>
          <w:lang w:val="uk-UA"/>
        </w:rPr>
        <w:t>отримувача</w:t>
      </w:r>
      <w:proofErr w:type="spellEnd"/>
      <w:r w:rsidR="00EF34F2">
        <w:rPr>
          <w:color w:val="000000" w:themeColor="text1"/>
          <w:sz w:val="28"/>
          <w:szCs w:val="28"/>
          <w:shd w:val="clear" w:color="auto" w:fill="FFFFFF"/>
          <w:lang w:val="uk-UA"/>
        </w:rPr>
        <w:t xml:space="preserve"> − </w:t>
      </w:r>
      <w:r w:rsidR="003B0A63" w:rsidRPr="005D7D9B">
        <w:rPr>
          <w:color w:val="000000" w:themeColor="text1"/>
          <w:sz w:val="28"/>
          <w:szCs w:val="28"/>
          <w:shd w:val="clear" w:color="auto" w:fill="FFFFFF"/>
          <w:lang w:val="uk-UA"/>
        </w:rPr>
        <w:t>фізичної особи (на підставі його заяви) у національній валюті.</w:t>
      </w:r>
      <w:r w:rsidR="003B0A63" w:rsidRPr="005D7D9B">
        <w:rPr>
          <w:bCs/>
          <w:color w:val="000000" w:themeColor="text1"/>
          <w:sz w:val="28"/>
          <w:szCs w:val="28"/>
          <w:shd w:val="clear" w:color="auto" w:fill="FFFFFF"/>
          <w:lang w:val="uk-UA"/>
        </w:rPr>
        <w:t>”;</w:t>
      </w:r>
    </w:p>
    <w:p w:rsidR="003B0A63" w:rsidRDefault="003B0A63" w:rsidP="00EF34F2">
      <w:pPr>
        <w:tabs>
          <w:tab w:val="left" w:pos="0"/>
        </w:tabs>
        <w:ind w:firstLine="426"/>
      </w:pPr>
    </w:p>
    <w:p w:rsidR="003B0A63" w:rsidRPr="00480D89" w:rsidRDefault="003B0A63" w:rsidP="00EF34F2">
      <w:pPr>
        <w:ind w:firstLine="426"/>
        <w:rPr>
          <w:bCs/>
          <w:shd w:val="clear" w:color="auto" w:fill="FFFFFF"/>
        </w:rPr>
      </w:pPr>
      <w:r>
        <w:rPr>
          <w:bCs/>
          <w:shd w:val="clear" w:color="auto" w:fill="FFFFFF"/>
        </w:rPr>
        <w:t>2) пункт після абзацу першого доповнити новим абзацом другим такого змісту:</w:t>
      </w:r>
    </w:p>
    <w:p w:rsidR="003B0A63" w:rsidRPr="00483186" w:rsidRDefault="003B0A63" w:rsidP="00EF34F2">
      <w:pPr>
        <w:pStyle w:val="rvps7"/>
        <w:shd w:val="clear" w:color="auto" w:fill="FFFFFF"/>
        <w:spacing w:before="0" w:beforeAutospacing="0" w:after="0" w:afterAutospacing="0"/>
        <w:ind w:firstLine="426"/>
        <w:jc w:val="both"/>
        <w:rPr>
          <w:color w:val="000000" w:themeColor="text1"/>
          <w:sz w:val="28"/>
          <w:szCs w:val="28"/>
          <w:shd w:val="clear" w:color="auto" w:fill="FFFFFF"/>
          <w:lang w:val="uk-UA"/>
        </w:rPr>
      </w:pPr>
      <w:r w:rsidRPr="00483186">
        <w:rPr>
          <w:color w:val="000000" w:themeColor="text1"/>
          <w:sz w:val="28"/>
          <w:szCs w:val="28"/>
          <w:lang w:val="uk-UA"/>
        </w:rPr>
        <w:t>“</w:t>
      </w:r>
      <w:r w:rsidRPr="00483186">
        <w:rPr>
          <w:color w:val="000000" w:themeColor="text1"/>
          <w:sz w:val="28"/>
          <w:szCs w:val="28"/>
          <w:shd w:val="clear" w:color="auto" w:fill="FFFFFF"/>
          <w:lang w:val="uk-UA"/>
        </w:rPr>
        <w:t xml:space="preserve">Переказ, </w:t>
      </w:r>
      <w:r w:rsidRPr="00483186">
        <w:rPr>
          <w:bCs/>
          <w:color w:val="000000" w:themeColor="text1"/>
          <w:sz w:val="28"/>
          <w:szCs w:val="28"/>
          <w:shd w:val="clear" w:color="auto" w:fill="FFFFFF"/>
          <w:lang w:val="uk-UA"/>
        </w:rPr>
        <w:t xml:space="preserve">що надійшов в іноземній валюті </w:t>
      </w:r>
      <w:r w:rsidRPr="00483186">
        <w:rPr>
          <w:color w:val="000000" w:themeColor="text1"/>
          <w:sz w:val="28"/>
          <w:szCs w:val="28"/>
          <w:shd w:val="clear" w:color="auto" w:fill="FFFFFF"/>
          <w:lang w:val="uk-UA"/>
        </w:rPr>
        <w:t xml:space="preserve">з-за меж України </w:t>
      </w:r>
      <w:r>
        <w:rPr>
          <w:color w:val="000000" w:themeColor="text1"/>
          <w:sz w:val="28"/>
          <w:szCs w:val="28"/>
          <w:shd w:val="clear" w:color="auto" w:fill="FFFFFF"/>
          <w:lang w:val="uk-UA"/>
        </w:rPr>
        <w:t>для зарахування на поточний рахунок фізичної особи</w:t>
      </w:r>
      <w:r w:rsidR="002C54E4">
        <w:rPr>
          <w:color w:val="000000" w:themeColor="text1"/>
          <w:sz w:val="28"/>
          <w:szCs w:val="28"/>
          <w:shd w:val="clear" w:color="auto" w:fill="FFFFFF"/>
          <w:lang w:val="uk-UA"/>
        </w:rPr>
        <w:t>,</w:t>
      </w:r>
      <w:r>
        <w:rPr>
          <w:color w:val="000000" w:themeColor="text1"/>
          <w:sz w:val="28"/>
          <w:szCs w:val="28"/>
          <w:shd w:val="clear" w:color="auto" w:fill="FFFFFF"/>
          <w:lang w:val="uk-UA"/>
        </w:rPr>
        <w:t xml:space="preserve"> </w:t>
      </w:r>
      <w:r w:rsidRPr="00483186">
        <w:rPr>
          <w:color w:val="000000" w:themeColor="text1"/>
          <w:sz w:val="28"/>
          <w:szCs w:val="28"/>
          <w:shd w:val="clear" w:color="auto" w:fill="FFFFFF"/>
          <w:lang w:val="uk-UA"/>
        </w:rPr>
        <w:t xml:space="preserve">може бути </w:t>
      </w:r>
      <w:r w:rsidRPr="00483186">
        <w:rPr>
          <w:color w:val="000000" w:themeColor="text1"/>
          <w:sz w:val="28"/>
          <w:szCs w:val="28"/>
          <w:lang w:val="uk-UA"/>
        </w:rPr>
        <w:t xml:space="preserve">за бажанням </w:t>
      </w:r>
      <w:proofErr w:type="spellStart"/>
      <w:r w:rsidRPr="00483186">
        <w:rPr>
          <w:color w:val="000000" w:themeColor="text1"/>
          <w:sz w:val="28"/>
          <w:szCs w:val="28"/>
          <w:lang w:val="uk-UA"/>
        </w:rPr>
        <w:t>отримувача</w:t>
      </w:r>
      <w:proofErr w:type="spellEnd"/>
      <w:r w:rsidR="00EF34F2">
        <w:rPr>
          <w:color w:val="000000" w:themeColor="text1"/>
          <w:sz w:val="28"/>
          <w:szCs w:val="28"/>
          <w:lang w:val="uk-UA"/>
        </w:rPr>
        <w:t xml:space="preserve"> − </w:t>
      </w:r>
      <w:r w:rsidRPr="00483186">
        <w:rPr>
          <w:color w:val="000000" w:themeColor="text1"/>
          <w:sz w:val="28"/>
          <w:szCs w:val="28"/>
          <w:lang w:val="uk-UA"/>
        </w:rPr>
        <w:t xml:space="preserve">фізичної особи на підставі його заяви/доручення (якщо порядок та умови такого зарахування визначені </w:t>
      </w:r>
      <w:r w:rsidR="00EF34F2">
        <w:rPr>
          <w:color w:val="000000" w:themeColor="text1"/>
          <w:sz w:val="28"/>
          <w:szCs w:val="28"/>
          <w:lang w:val="uk-UA"/>
        </w:rPr>
        <w:t>в</w:t>
      </w:r>
      <w:r w:rsidR="00EF34F2" w:rsidRPr="00483186">
        <w:rPr>
          <w:color w:val="000000" w:themeColor="text1"/>
          <w:sz w:val="28"/>
          <w:szCs w:val="28"/>
          <w:lang w:val="uk-UA"/>
        </w:rPr>
        <w:t xml:space="preserve"> </w:t>
      </w:r>
      <w:r w:rsidRPr="00483186">
        <w:rPr>
          <w:color w:val="000000" w:themeColor="text1"/>
          <w:sz w:val="28"/>
          <w:szCs w:val="28"/>
          <w:lang w:val="uk-UA"/>
        </w:rPr>
        <w:t xml:space="preserve">договорі між </w:t>
      </w:r>
      <w:r w:rsidR="00CC3678" w:rsidRPr="00CC3678">
        <w:rPr>
          <w:color w:val="000000" w:themeColor="text1"/>
          <w:sz w:val="28"/>
          <w:szCs w:val="28"/>
          <w:lang w:val="uk-UA"/>
        </w:rPr>
        <w:t xml:space="preserve"> </w:t>
      </w:r>
      <w:r w:rsidRPr="00483186">
        <w:rPr>
          <w:color w:val="000000" w:themeColor="text1"/>
          <w:sz w:val="28"/>
          <w:szCs w:val="28"/>
          <w:lang w:val="uk-UA"/>
        </w:rPr>
        <w:t>банком і клієнтом) або за дорученням платника (за умови згоди платника щодо курсу перерахунку</w:t>
      </w:r>
      <w:r>
        <w:rPr>
          <w:color w:val="000000" w:themeColor="text1"/>
          <w:sz w:val="28"/>
          <w:szCs w:val="28"/>
          <w:lang w:val="uk-UA"/>
        </w:rPr>
        <w:t xml:space="preserve"> іноземної валюти в гривню</w:t>
      </w:r>
      <w:r w:rsidRPr="00483186">
        <w:rPr>
          <w:color w:val="000000" w:themeColor="text1"/>
          <w:sz w:val="28"/>
          <w:szCs w:val="28"/>
          <w:lang w:val="uk-UA"/>
        </w:rPr>
        <w:t>) з</w:t>
      </w:r>
      <w:r w:rsidRPr="00483186">
        <w:rPr>
          <w:color w:val="000000" w:themeColor="text1"/>
          <w:sz w:val="28"/>
          <w:szCs w:val="28"/>
          <w:shd w:val="clear" w:color="auto" w:fill="FFFFFF"/>
          <w:lang w:val="uk-UA"/>
        </w:rPr>
        <w:t xml:space="preserve">арахований </w:t>
      </w:r>
      <w:r>
        <w:rPr>
          <w:color w:val="000000" w:themeColor="text1"/>
          <w:sz w:val="28"/>
          <w:szCs w:val="28"/>
          <w:shd w:val="clear" w:color="auto" w:fill="FFFFFF"/>
          <w:lang w:val="uk-UA"/>
        </w:rPr>
        <w:t xml:space="preserve">банком </w:t>
      </w:r>
      <w:r w:rsidRPr="00483186">
        <w:rPr>
          <w:color w:val="000000" w:themeColor="text1"/>
          <w:sz w:val="28"/>
          <w:szCs w:val="28"/>
          <w:shd w:val="clear" w:color="auto" w:fill="FFFFFF"/>
          <w:lang w:val="uk-UA"/>
        </w:rPr>
        <w:t xml:space="preserve">на поточний рахунок </w:t>
      </w:r>
      <w:proofErr w:type="spellStart"/>
      <w:r w:rsidRPr="00483186">
        <w:rPr>
          <w:color w:val="000000" w:themeColor="text1"/>
          <w:sz w:val="28"/>
          <w:szCs w:val="28"/>
          <w:shd w:val="clear" w:color="auto" w:fill="FFFFFF"/>
          <w:lang w:val="uk-UA"/>
        </w:rPr>
        <w:t>отримувача</w:t>
      </w:r>
      <w:proofErr w:type="spellEnd"/>
      <w:r w:rsidR="00EF34F2">
        <w:rPr>
          <w:color w:val="000000" w:themeColor="text1"/>
          <w:sz w:val="28"/>
          <w:szCs w:val="28"/>
          <w:shd w:val="clear" w:color="auto" w:fill="FFFFFF"/>
          <w:lang w:val="uk-UA"/>
        </w:rPr>
        <w:t xml:space="preserve"> − </w:t>
      </w:r>
      <w:r w:rsidRPr="00483186">
        <w:rPr>
          <w:color w:val="000000" w:themeColor="text1"/>
          <w:sz w:val="28"/>
          <w:szCs w:val="28"/>
          <w:shd w:val="clear" w:color="auto" w:fill="FFFFFF"/>
          <w:lang w:val="uk-UA"/>
        </w:rPr>
        <w:t>фізичної особи, відкритий у національній валюті</w:t>
      </w:r>
      <w:r>
        <w:rPr>
          <w:color w:val="000000" w:themeColor="text1"/>
          <w:sz w:val="28"/>
          <w:szCs w:val="28"/>
          <w:shd w:val="clear" w:color="auto" w:fill="FFFFFF"/>
          <w:lang w:val="uk-UA"/>
        </w:rPr>
        <w:t xml:space="preserve">, за умови </w:t>
      </w:r>
      <w:r w:rsidR="009A035A" w:rsidRPr="00142843">
        <w:rPr>
          <w:color w:val="000000" w:themeColor="text1"/>
          <w:sz w:val="28"/>
          <w:szCs w:val="28"/>
          <w:shd w:val="clear" w:color="auto" w:fill="FFFFFF"/>
          <w:lang w:val="uk-UA"/>
        </w:rPr>
        <w:t>супроводження переказу інформацією про платника та отримувача</w:t>
      </w:r>
      <w:r w:rsidR="009A035A" w:rsidRPr="00483186">
        <w:rPr>
          <w:color w:val="000000" w:themeColor="text1"/>
          <w:sz w:val="28"/>
          <w:szCs w:val="28"/>
          <w:shd w:val="clear" w:color="auto" w:fill="FFFFFF"/>
          <w:lang w:val="uk-UA"/>
        </w:rPr>
        <w:t>.</w:t>
      </w:r>
      <w:r w:rsidR="009A035A">
        <w:rPr>
          <w:color w:val="000000" w:themeColor="text1"/>
          <w:sz w:val="28"/>
          <w:szCs w:val="28"/>
          <w:shd w:val="clear" w:color="auto" w:fill="FFFFFF"/>
          <w:lang w:val="uk-UA"/>
        </w:rPr>
        <w:t xml:space="preserve"> </w:t>
      </w:r>
      <w:r w:rsidR="009A035A" w:rsidRPr="009A035A">
        <w:rPr>
          <w:color w:val="000000" w:themeColor="text1"/>
          <w:sz w:val="28"/>
          <w:szCs w:val="28"/>
          <w:shd w:val="clear" w:color="auto" w:fill="FFFFFF"/>
          <w:lang w:val="uk-UA"/>
        </w:rPr>
        <w:t xml:space="preserve">Обсяг </w:t>
      </w:r>
      <w:r w:rsidR="009A035A" w:rsidRPr="009A035A">
        <w:rPr>
          <w:color w:val="000000" w:themeColor="text1"/>
          <w:sz w:val="28"/>
          <w:szCs w:val="28"/>
          <w:shd w:val="clear" w:color="auto" w:fill="FFFFFF"/>
          <w:lang w:val="uk-UA"/>
        </w:rPr>
        <w:lastRenderedPageBreak/>
        <w:t>інформації про платника та отримувача має відповідати обсягу інформації, що передбачений частиною першою статті 14 Закону про ПВК/ФТ.</w:t>
      </w:r>
      <w:r w:rsidRPr="00483186">
        <w:rPr>
          <w:bCs/>
          <w:color w:val="000000" w:themeColor="text1"/>
          <w:sz w:val="28"/>
          <w:szCs w:val="28"/>
          <w:shd w:val="clear" w:color="auto" w:fill="FFFFFF"/>
          <w:lang w:val="uk-UA"/>
        </w:rPr>
        <w:t>”.</w:t>
      </w:r>
    </w:p>
    <w:p w:rsidR="003B0A63" w:rsidRDefault="003B0A63" w:rsidP="00EF34F2">
      <w:pPr>
        <w:ind w:firstLine="426"/>
        <w:rPr>
          <w:color w:val="000000" w:themeColor="text1"/>
        </w:rPr>
      </w:pPr>
      <w:r w:rsidRPr="00483186">
        <w:rPr>
          <w:color w:val="000000" w:themeColor="text1"/>
        </w:rPr>
        <w:t>У зв’язку з цим абзаци другий, третій уважати відповідно абзацами третім, четвертим.</w:t>
      </w:r>
    </w:p>
    <w:sectPr w:rsidR="003B0A63" w:rsidSect="003B0A63">
      <w:headerReference w:type="first" r:id="rId16"/>
      <w:pgSz w:w="11906" w:h="16838" w:code="9"/>
      <w:pgMar w:top="567" w:right="567" w:bottom="1701"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05" w:rsidRDefault="00E83405" w:rsidP="00E53CCD">
      <w:r>
        <w:separator/>
      </w:r>
    </w:p>
  </w:endnote>
  <w:endnote w:type="continuationSeparator" w:id="0">
    <w:p w:rsidR="00E83405" w:rsidRDefault="00E83405" w:rsidP="00E53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05" w:rsidRDefault="00E83405" w:rsidP="00E53CCD">
      <w:r>
        <w:separator/>
      </w:r>
    </w:p>
  </w:footnote>
  <w:footnote w:type="continuationSeparator" w:id="0">
    <w:p w:rsidR="00E83405" w:rsidRDefault="00E83405" w:rsidP="00E53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032199"/>
      <w:docPartObj>
        <w:docPartGallery w:val="Page Numbers (Top of Page)"/>
        <w:docPartUnique/>
      </w:docPartObj>
    </w:sdtPr>
    <w:sdtContent>
      <w:p w:rsidR="00460BA2" w:rsidRDefault="001B3C87">
        <w:pPr>
          <w:pStyle w:val="a5"/>
          <w:jc w:val="center"/>
        </w:pPr>
        <w:r>
          <w:fldChar w:fldCharType="begin"/>
        </w:r>
        <w:r w:rsidR="00460BA2">
          <w:instrText xml:space="preserve"> PAGE   \* MERGEFORMAT </w:instrText>
        </w:r>
        <w:r>
          <w:fldChar w:fldCharType="separate"/>
        </w:r>
        <w:r w:rsidR="006F6C83">
          <w:rPr>
            <w:noProof/>
          </w:rPr>
          <w:t>2</w:t>
        </w:r>
        <w:r>
          <w:fldChar w:fldCharType="end"/>
        </w:r>
      </w:p>
    </w:sdtContent>
  </w:sdt>
  <w:p w:rsidR="00460BA2" w:rsidRDefault="00460BA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2E" w:rsidRPr="007636C8" w:rsidRDefault="0070092D" w:rsidP="0070092D">
    <w:pPr>
      <w:pStyle w:val="a5"/>
      <w:jc w:val="right"/>
      <w:rPr>
        <w:color w:val="FFFFFF" w:themeColor="background1"/>
        <w:sz w:val="24"/>
        <w:szCs w:val="24"/>
      </w:rPr>
    </w:pPr>
    <w:r w:rsidRPr="007636C8">
      <w:rPr>
        <w:color w:val="000000" w:themeColor="text1"/>
        <w:sz w:val="24"/>
        <w:szCs w:val="24"/>
      </w:rPr>
      <w:t>Офіційно опубліковано 14.01.2022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8E" w:rsidRPr="007636C8" w:rsidRDefault="00000E8E" w:rsidP="0070092D">
    <w:pPr>
      <w:pStyle w:val="a5"/>
      <w:jc w:val="right"/>
      <w:rPr>
        <w:color w:val="FFFFFF" w:themeColor="background1"/>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A68"/>
    <w:multiLevelType w:val="hybridMultilevel"/>
    <w:tmpl w:val="B136E6AE"/>
    <w:lvl w:ilvl="0" w:tplc="1ADE16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6F54CA"/>
    <w:multiLevelType w:val="hybridMultilevel"/>
    <w:tmpl w:val="D408DF48"/>
    <w:lvl w:ilvl="0" w:tplc="526EA2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034B32"/>
    <w:multiLevelType w:val="hybridMultilevel"/>
    <w:tmpl w:val="C2943208"/>
    <w:lvl w:ilvl="0" w:tplc="1542D11C">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27813FAB"/>
    <w:multiLevelType w:val="hybridMultilevel"/>
    <w:tmpl w:val="C06094D8"/>
    <w:lvl w:ilvl="0" w:tplc="0B423F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8124A72"/>
    <w:multiLevelType w:val="hybridMultilevel"/>
    <w:tmpl w:val="81225F26"/>
    <w:lvl w:ilvl="0" w:tplc="038C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4DCA0800"/>
    <w:multiLevelType w:val="hybridMultilevel"/>
    <w:tmpl w:val="EEBC2458"/>
    <w:lvl w:ilvl="0" w:tplc="192E3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F4C3CD9"/>
    <w:multiLevelType w:val="hybridMultilevel"/>
    <w:tmpl w:val="590A4458"/>
    <w:lvl w:ilvl="0" w:tplc="3C26E272">
      <w:start w:val="1"/>
      <w:numFmt w:val="decimal"/>
      <w:lvlText w:val="%1)"/>
      <w:lvlJc w:val="left"/>
      <w:pPr>
        <w:ind w:left="1065" w:hanging="360"/>
      </w:pPr>
      <w:rPr>
        <w:rFonts w:hint="default"/>
        <w:color w:val="FF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6BA44D48"/>
    <w:multiLevelType w:val="hybridMultilevel"/>
    <w:tmpl w:val="B60EAE2A"/>
    <w:lvl w:ilvl="0" w:tplc="7FC63A22">
      <w:start w:val="1"/>
      <w:numFmt w:val="decimal"/>
      <w:lvlText w:val="%1)"/>
      <w:lvlJc w:val="left"/>
      <w:pPr>
        <w:ind w:left="1069" w:hanging="360"/>
      </w:pPr>
      <w:rPr>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6D44232C"/>
    <w:multiLevelType w:val="hybridMultilevel"/>
    <w:tmpl w:val="63121D44"/>
    <w:lvl w:ilvl="0" w:tplc="41FE1F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720501FA"/>
    <w:multiLevelType w:val="hybridMultilevel"/>
    <w:tmpl w:val="0DA603BA"/>
    <w:lvl w:ilvl="0" w:tplc="54EC75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40B0D5D"/>
    <w:multiLevelType w:val="hybridMultilevel"/>
    <w:tmpl w:val="D408DF48"/>
    <w:lvl w:ilvl="0" w:tplc="526EA2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C604530"/>
    <w:multiLevelType w:val="hybridMultilevel"/>
    <w:tmpl w:val="93746E74"/>
    <w:lvl w:ilvl="0" w:tplc="2626D576">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1"/>
  </w:num>
  <w:num w:numId="6">
    <w:abstractNumId w:val="7"/>
  </w:num>
  <w:num w:numId="7">
    <w:abstractNumId w:val="10"/>
  </w:num>
  <w:num w:numId="8">
    <w:abstractNumId w:val="4"/>
  </w:num>
  <w:num w:numId="9">
    <w:abstractNumId w:val="1"/>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еонтьєва Людмила Іванівна">
    <w15:presenceInfo w15:providerId="AD" w15:userId="S-1-5-21-4214254015-395971765-4003194269-432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384F65"/>
    <w:rsid w:val="00000E8E"/>
    <w:rsid w:val="000064FA"/>
    <w:rsid w:val="000069AF"/>
    <w:rsid w:val="0001295B"/>
    <w:rsid w:val="000130D6"/>
    <w:rsid w:val="00014176"/>
    <w:rsid w:val="00015CF3"/>
    <w:rsid w:val="00015FDE"/>
    <w:rsid w:val="00026DF2"/>
    <w:rsid w:val="000271C0"/>
    <w:rsid w:val="00031A89"/>
    <w:rsid w:val="0003331E"/>
    <w:rsid w:val="000342A5"/>
    <w:rsid w:val="00034B3E"/>
    <w:rsid w:val="0003514E"/>
    <w:rsid w:val="0003793C"/>
    <w:rsid w:val="00040C7F"/>
    <w:rsid w:val="000543B2"/>
    <w:rsid w:val="000543C6"/>
    <w:rsid w:val="000600A8"/>
    <w:rsid w:val="00061C52"/>
    <w:rsid w:val="00061D0D"/>
    <w:rsid w:val="00062D24"/>
    <w:rsid w:val="00063480"/>
    <w:rsid w:val="000638F2"/>
    <w:rsid w:val="0006646E"/>
    <w:rsid w:val="000675AE"/>
    <w:rsid w:val="00075CC7"/>
    <w:rsid w:val="00085379"/>
    <w:rsid w:val="0008770E"/>
    <w:rsid w:val="000877E5"/>
    <w:rsid w:val="00087C38"/>
    <w:rsid w:val="00093943"/>
    <w:rsid w:val="000A1363"/>
    <w:rsid w:val="000A3E45"/>
    <w:rsid w:val="000A7CB3"/>
    <w:rsid w:val="000B2990"/>
    <w:rsid w:val="000B3730"/>
    <w:rsid w:val="000C770F"/>
    <w:rsid w:val="000D07FF"/>
    <w:rsid w:val="000D68F0"/>
    <w:rsid w:val="000D778F"/>
    <w:rsid w:val="000E0CB3"/>
    <w:rsid w:val="000E5B8C"/>
    <w:rsid w:val="000E5BED"/>
    <w:rsid w:val="000E7A13"/>
    <w:rsid w:val="000F6BCD"/>
    <w:rsid w:val="001008B0"/>
    <w:rsid w:val="0010474C"/>
    <w:rsid w:val="00106229"/>
    <w:rsid w:val="00115ECF"/>
    <w:rsid w:val="00117D06"/>
    <w:rsid w:val="0012072A"/>
    <w:rsid w:val="00122A49"/>
    <w:rsid w:val="0012385B"/>
    <w:rsid w:val="001310C8"/>
    <w:rsid w:val="001346CC"/>
    <w:rsid w:val="00135353"/>
    <w:rsid w:val="00142843"/>
    <w:rsid w:val="00155174"/>
    <w:rsid w:val="001631CB"/>
    <w:rsid w:val="001631E2"/>
    <w:rsid w:val="001716B0"/>
    <w:rsid w:val="001740C0"/>
    <w:rsid w:val="001847A1"/>
    <w:rsid w:val="0018553E"/>
    <w:rsid w:val="00190E1A"/>
    <w:rsid w:val="001A0EE5"/>
    <w:rsid w:val="001A16FA"/>
    <w:rsid w:val="001A25F8"/>
    <w:rsid w:val="001A4CB9"/>
    <w:rsid w:val="001A6795"/>
    <w:rsid w:val="001A7797"/>
    <w:rsid w:val="001B2EAA"/>
    <w:rsid w:val="001B3C87"/>
    <w:rsid w:val="001C206C"/>
    <w:rsid w:val="001C2B26"/>
    <w:rsid w:val="001D2EB7"/>
    <w:rsid w:val="001D487A"/>
    <w:rsid w:val="001E6291"/>
    <w:rsid w:val="001F0EAF"/>
    <w:rsid w:val="002045FE"/>
    <w:rsid w:val="00206EC0"/>
    <w:rsid w:val="00214A39"/>
    <w:rsid w:val="002238D1"/>
    <w:rsid w:val="002245C6"/>
    <w:rsid w:val="00226FF5"/>
    <w:rsid w:val="0023332C"/>
    <w:rsid w:val="00233F37"/>
    <w:rsid w:val="0023657E"/>
    <w:rsid w:val="00241373"/>
    <w:rsid w:val="002414CE"/>
    <w:rsid w:val="002440E2"/>
    <w:rsid w:val="002451AE"/>
    <w:rsid w:val="002464A6"/>
    <w:rsid w:val="00247BC8"/>
    <w:rsid w:val="00250A4E"/>
    <w:rsid w:val="00250A61"/>
    <w:rsid w:val="00251F6C"/>
    <w:rsid w:val="00253BF9"/>
    <w:rsid w:val="002600A3"/>
    <w:rsid w:val="00264983"/>
    <w:rsid w:val="00266678"/>
    <w:rsid w:val="00276988"/>
    <w:rsid w:val="0028078B"/>
    <w:rsid w:val="00280DCC"/>
    <w:rsid w:val="0028347D"/>
    <w:rsid w:val="00285DDA"/>
    <w:rsid w:val="00290169"/>
    <w:rsid w:val="002933A0"/>
    <w:rsid w:val="0029730B"/>
    <w:rsid w:val="002A0F8A"/>
    <w:rsid w:val="002A1C9A"/>
    <w:rsid w:val="002A2391"/>
    <w:rsid w:val="002A49DE"/>
    <w:rsid w:val="002A4BA3"/>
    <w:rsid w:val="002B351E"/>
    <w:rsid w:val="002B3F71"/>
    <w:rsid w:val="002B5600"/>
    <w:rsid w:val="002B582B"/>
    <w:rsid w:val="002C0426"/>
    <w:rsid w:val="002C1FDB"/>
    <w:rsid w:val="002C3F54"/>
    <w:rsid w:val="002C54E4"/>
    <w:rsid w:val="002C706C"/>
    <w:rsid w:val="002D1790"/>
    <w:rsid w:val="002D5680"/>
    <w:rsid w:val="002D6086"/>
    <w:rsid w:val="002D6F9D"/>
    <w:rsid w:val="002E5D7E"/>
    <w:rsid w:val="002E7D81"/>
    <w:rsid w:val="002E7E6E"/>
    <w:rsid w:val="002F35BE"/>
    <w:rsid w:val="002F48EF"/>
    <w:rsid w:val="002F528D"/>
    <w:rsid w:val="00303AB7"/>
    <w:rsid w:val="00304F8D"/>
    <w:rsid w:val="00306945"/>
    <w:rsid w:val="00307733"/>
    <w:rsid w:val="00310CBB"/>
    <w:rsid w:val="00322472"/>
    <w:rsid w:val="003226C6"/>
    <w:rsid w:val="00324B1C"/>
    <w:rsid w:val="00331332"/>
    <w:rsid w:val="00332701"/>
    <w:rsid w:val="00340D07"/>
    <w:rsid w:val="00345982"/>
    <w:rsid w:val="00356E34"/>
    <w:rsid w:val="00357676"/>
    <w:rsid w:val="00361495"/>
    <w:rsid w:val="00363E29"/>
    <w:rsid w:val="00365898"/>
    <w:rsid w:val="0036650E"/>
    <w:rsid w:val="00373EAE"/>
    <w:rsid w:val="003756E5"/>
    <w:rsid w:val="0037618F"/>
    <w:rsid w:val="00377389"/>
    <w:rsid w:val="0038385E"/>
    <w:rsid w:val="00384F65"/>
    <w:rsid w:val="00391EFD"/>
    <w:rsid w:val="00394EC6"/>
    <w:rsid w:val="003960F5"/>
    <w:rsid w:val="0039725C"/>
    <w:rsid w:val="003A12BF"/>
    <w:rsid w:val="003A16E7"/>
    <w:rsid w:val="003A751F"/>
    <w:rsid w:val="003B084B"/>
    <w:rsid w:val="003B0A63"/>
    <w:rsid w:val="003B2821"/>
    <w:rsid w:val="003C2C93"/>
    <w:rsid w:val="003C3282"/>
    <w:rsid w:val="003C3985"/>
    <w:rsid w:val="003C66D0"/>
    <w:rsid w:val="003C6D9A"/>
    <w:rsid w:val="003D17CE"/>
    <w:rsid w:val="003D1DB0"/>
    <w:rsid w:val="003D4599"/>
    <w:rsid w:val="003D620B"/>
    <w:rsid w:val="003D6B33"/>
    <w:rsid w:val="003E6BE2"/>
    <w:rsid w:val="003F0441"/>
    <w:rsid w:val="003F28B5"/>
    <w:rsid w:val="003F430A"/>
    <w:rsid w:val="003F6727"/>
    <w:rsid w:val="003F7093"/>
    <w:rsid w:val="003F7A71"/>
    <w:rsid w:val="00401EDB"/>
    <w:rsid w:val="00404C93"/>
    <w:rsid w:val="00407877"/>
    <w:rsid w:val="004130B9"/>
    <w:rsid w:val="004142FF"/>
    <w:rsid w:val="00416E9D"/>
    <w:rsid w:val="004227DB"/>
    <w:rsid w:val="0042463F"/>
    <w:rsid w:val="00431346"/>
    <w:rsid w:val="0043496A"/>
    <w:rsid w:val="004408C9"/>
    <w:rsid w:val="00442434"/>
    <w:rsid w:val="00446704"/>
    <w:rsid w:val="00450278"/>
    <w:rsid w:val="00450D8B"/>
    <w:rsid w:val="00451CFD"/>
    <w:rsid w:val="00455176"/>
    <w:rsid w:val="00455B45"/>
    <w:rsid w:val="00460BA2"/>
    <w:rsid w:val="00461B68"/>
    <w:rsid w:val="00463CAD"/>
    <w:rsid w:val="00464DF4"/>
    <w:rsid w:val="004666D6"/>
    <w:rsid w:val="004770F4"/>
    <w:rsid w:val="00480D89"/>
    <w:rsid w:val="00483186"/>
    <w:rsid w:val="00486BE0"/>
    <w:rsid w:val="004921D3"/>
    <w:rsid w:val="004952CC"/>
    <w:rsid w:val="00496417"/>
    <w:rsid w:val="00496653"/>
    <w:rsid w:val="004A1CFC"/>
    <w:rsid w:val="004A7285"/>
    <w:rsid w:val="004A7F75"/>
    <w:rsid w:val="004B1FE9"/>
    <w:rsid w:val="004B47C8"/>
    <w:rsid w:val="004B5574"/>
    <w:rsid w:val="004B7178"/>
    <w:rsid w:val="004C6B1D"/>
    <w:rsid w:val="004D1686"/>
    <w:rsid w:val="004D2B57"/>
    <w:rsid w:val="004E1ED1"/>
    <w:rsid w:val="004E22E2"/>
    <w:rsid w:val="004E4C97"/>
    <w:rsid w:val="004E6D45"/>
    <w:rsid w:val="004E7993"/>
    <w:rsid w:val="004F0E3A"/>
    <w:rsid w:val="0050563F"/>
    <w:rsid w:val="00514135"/>
    <w:rsid w:val="00514F87"/>
    <w:rsid w:val="005203BF"/>
    <w:rsid w:val="005212A1"/>
    <w:rsid w:val="005212C5"/>
    <w:rsid w:val="005232D0"/>
    <w:rsid w:val="00523C13"/>
    <w:rsid w:val="00524F07"/>
    <w:rsid w:val="005257C2"/>
    <w:rsid w:val="00532633"/>
    <w:rsid w:val="005403F1"/>
    <w:rsid w:val="00542194"/>
    <w:rsid w:val="00542533"/>
    <w:rsid w:val="00547C18"/>
    <w:rsid w:val="005512A7"/>
    <w:rsid w:val="005624B6"/>
    <w:rsid w:val="00562C46"/>
    <w:rsid w:val="0057237F"/>
    <w:rsid w:val="005731D8"/>
    <w:rsid w:val="00577396"/>
    <w:rsid w:val="00577402"/>
    <w:rsid w:val="00580231"/>
    <w:rsid w:val="00580CB6"/>
    <w:rsid w:val="00580E52"/>
    <w:rsid w:val="005820F2"/>
    <w:rsid w:val="005822CB"/>
    <w:rsid w:val="00587DE3"/>
    <w:rsid w:val="00591EBE"/>
    <w:rsid w:val="00597AB6"/>
    <w:rsid w:val="005A0F4B"/>
    <w:rsid w:val="005A1D3C"/>
    <w:rsid w:val="005A3F34"/>
    <w:rsid w:val="005B11A6"/>
    <w:rsid w:val="005B2D03"/>
    <w:rsid w:val="005B7D8C"/>
    <w:rsid w:val="005C0A36"/>
    <w:rsid w:val="005C5CBF"/>
    <w:rsid w:val="005D3B88"/>
    <w:rsid w:val="005D4312"/>
    <w:rsid w:val="005D45F5"/>
    <w:rsid w:val="005D7D9B"/>
    <w:rsid w:val="005E3A06"/>
    <w:rsid w:val="005E3FA8"/>
    <w:rsid w:val="005F3A39"/>
    <w:rsid w:val="005F4053"/>
    <w:rsid w:val="005F46A4"/>
    <w:rsid w:val="005F4CB4"/>
    <w:rsid w:val="005F6B35"/>
    <w:rsid w:val="00610C86"/>
    <w:rsid w:val="0061795F"/>
    <w:rsid w:val="006219B5"/>
    <w:rsid w:val="0062503A"/>
    <w:rsid w:val="00631A9E"/>
    <w:rsid w:val="00634B31"/>
    <w:rsid w:val="00640612"/>
    <w:rsid w:val="0064227D"/>
    <w:rsid w:val="00643959"/>
    <w:rsid w:val="00645A5C"/>
    <w:rsid w:val="0065179F"/>
    <w:rsid w:val="00653AA6"/>
    <w:rsid w:val="006571F7"/>
    <w:rsid w:val="00657593"/>
    <w:rsid w:val="00663702"/>
    <w:rsid w:val="00670C95"/>
    <w:rsid w:val="00671CE8"/>
    <w:rsid w:val="00677B3C"/>
    <w:rsid w:val="00677CC2"/>
    <w:rsid w:val="006801D5"/>
    <w:rsid w:val="00687474"/>
    <w:rsid w:val="006925CE"/>
    <w:rsid w:val="00692C8C"/>
    <w:rsid w:val="006A4D91"/>
    <w:rsid w:val="006A6AB0"/>
    <w:rsid w:val="006B2748"/>
    <w:rsid w:val="006B3ADC"/>
    <w:rsid w:val="006B465F"/>
    <w:rsid w:val="006B53C1"/>
    <w:rsid w:val="006C03A5"/>
    <w:rsid w:val="006C06A1"/>
    <w:rsid w:val="006C0F22"/>
    <w:rsid w:val="006C13B1"/>
    <w:rsid w:val="006C27F0"/>
    <w:rsid w:val="006C3C1E"/>
    <w:rsid w:val="006C4176"/>
    <w:rsid w:val="006C66EF"/>
    <w:rsid w:val="006D2617"/>
    <w:rsid w:val="006D3165"/>
    <w:rsid w:val="006E4741"/>
    <w:rsid w:val="006E5F28"/>
    <w:rsid w:val="006E799C"/>
    <w:rsid w:val="006F22D4"/>
    <w:rsid w:val="006F6965"/>
    <w:rsid w:val="006F6C83"/>
    <w:rsid w:val="006F752E"/>
    <w:rsid w:val="0070092D"/>
    <w:rsid w:val="00700AA3"/>
    <w:rsid w:val="00711B38"/>
    <w:rsid w:val="007142BA"/>
    <w:rsid w:val="00714823"/>
    <w:rsid w:val="00717197"/>
    <w:rsid w:val="0071789F"/>
    <w:rsid w:val="007179B2"/>
    <w:rsid w:val="00717BF4"/>
    <w:rsid w:val="00722536"/>
    <w:rsid w:val="00727DD5"/>
    <w:rsid w:val="00727E22"/>
    <w:rsid w:val="00730088"/>
    <w:rsid w:val="007342BF"/>
    <w:rsid w:val="00743840"/>
    <w:rsid w:val="0074488B"/>
    <w:rsid w:val="00747222"/>
    <w:rsid w:val="00750898"/>
    <w:rsid w:val="007533A4"/>
    <w:rsid w:val="007636C8"/>
    <w:rsid w:val="00773559"/>
    <w:rsid w:val="00776AA0"/>
    <w:rsid w:val="0078079D"/>
    <w:rsid w:val="0078127A"/>
    <w:rsid w:val="00782FEB"/>
    <w:rsid w:val="00783AF2"/>
    <w:rsid w:val="007852B5"/>
    <w:rsid w:val="00787E46"/>
    <w:rsid w:val="007902E9"/>
    <w:rsid w:val="00791954"/>
    <w:rsid w:val="007A1E54"/>
    <w:rsid w:val="007A2BCB"/>
    <w:rsid w:val="007A5AEF"/>
    <w:rsid w:val="007A6609"/>
    <w:rsid w:val="007B3538"/>
    <w:rsid w:val="007B4A79"/>
    <w:rsid w:val="007B7B73"/>
    <w:rsid w:val="007C2CED"/>
    <w:rsid w:val="007C4442"/>
    <w:rsid w:val="007C58A5"/>
    <w:rsid w:val="007D1072"/>
    <w:rsid w:val="007D18BE"/>
    <w:rsid w:val="007D436C"/>
    <w:rsid w:val="007F4EC9"/>
    <w:rsid w:val="007F7754"/>
    <w:rsid w:val="00802988"/>
    <w:rsid w:val="00810FDE"/>
    <w:rsid w:val="00813A24"/>
    <w:rsid w:val="00814D01"/>
    <w:rsid w:val="00816838"/>
    <w:rsid w:val="00817443"/>
    <w:rsid w:val="0082166A"/>
    <w:rsid w:val="00840209"/>
    <w:rsid w:val="008415A0"/>
    <w:rsid w:val="00844959"/>
    <w:rsid w:val="008535DD"/>
    <w:rsid w:val="0085364B"/>
    <w:rsid w:val="00857F0C"/>
    <w:rsid w:val="00861D65"/>
    <w:rsid w:val="00866993"/>
    <w:rsid w:val="00872716"/>
    <w:rsid w:val="00874366"/>
    <w:rsid w:val="00874B8B"/>
    <w:rsid w:val="00875EF9"/>
    <w:rsid w:val="008762D8"/>
    <w:rsid w:val="00876715"/>
    <w:rsid w:val="00886149"/>
    <w:rsid w:val="008900CE"/>
    <w:rsid w:val="008937AF"/>
    <w:rsid w:val="00895B0E"/>
    <w:rsid w:val="00897035"/>
    <w:rsid w:val="008A1346"/>
    <w:rsid w:val="008A1721"/>
    <w:rsid w:val="008A694D"/>
    <w:rsid w:val="008B1586"/>
    <w:rsid w:val="008B1589"/>
    <w:rsid w:val="008B20EE"/>
    <w:rsid w:val="008B716E"/>
    <w:rsid w:val="008B74DD"/>
    <w:rsid w:val="008C6477"/>
    <w:rsid w:val="008C72B5"/>
    <w:rsid w:val="008D01D2"/>
    <w:rsid w:val="008D10FD"/>
    <w:rsid w:val="008D122F"/>
    <w:rsid w:val="008D48C3"/>
    <w:rsid w:val="008D5F60"/>
    <w:rsid w:val="008D622C"/>
    <w:rsid w:val="008D6285"/>
    <w:rsid w:val="008D727F"/>
    <w:rsid w:val="008E2D14"/>
    <w:rsid w:val="008F0210"/>
    <w:rsid w:val="008F2600"/>
    <w:rsid w:val="008F5D52"/>
    <w:rsid w:val="00904F17"/>
    <w:rsid w:val="00905751"/>
    <w:rsid w:val="00912847"/>
    <w:rsid w:val="00922966"/>
    <w:rsid w:val="0092323F"/>
    <w:rsid w:val="00924C95"/>
    <w:rsid w:val="0092710A"/>
    <w:rsid w:val="009304B8"/>
    <w:rsid w:val="00935960"/>
    <w:rsid w:val="00937AE3"/>
    <w:rsid w:val="00937D24"/>
    <w:rsid w:val="00943175"/>
    <w:rsid w:val="009518F8"/>
    <w:rsid w:val="00954131"/>
    <w:rsid w:val="00955A33"/>
    <w:rsid w:val="0095741D"/>
    <w:rsid w:val="00964ACC"/>
    <w:rsid w:val="0097275A"/>
    <w:rsid w:val="0097288F"/>
    <w:rsid w:val="009816DF"/>
    <w:rsid w:val="0098207E"/>
    <w:rsid w:val="00990AAE"/>
    <w:rsid w:val="0099209C"/>
    <w:rsid w:val="00995D6A"/>
    <w:rsid w:val="00997824"/>
    <w:rsid w:val="009A035A"/>
    <w:rsid w:val="009A3757"/>
    <w:rsid w:val="009A601D"/>
    <w:rsid w:val="009A67CE"/>
    <w:rsid w:val="009A6BF1"/>
    <w:rsid w:val="009B1B76"/>
    <w:rsid w:val="009B2270"/>
    <w:rsid w:val="009B4D39"/>
    <w:rsid w:val="009B6120"/>
    <w:rsid w:val="009C2F76"/>
    <w:rsid w:val="009D6CB6"/>
    <w:rsid w:val="009E00CB"/>
    <w:rsid w:val="009E2A5C"/>
    <w:rsid w:val="009E45B5"/>
    <w:rsid w:val="009E54AE"/>
    <w:rsid w:val="009F06A2"/>
    <w:rsid w:val="009F16D4"/>
    <w:rsid w:val="009F5312"/>
    <w:rsid w:val="00A02AEC"/>
    <w:rsid w:val="00A0594A"/>
    <w:rsid w:val="00A10493"/>
    <w:rsid w:val="00A12C47"/>
    <w:rsid w:val="00A23E04"/>
    <w:rsid w:val="00A417B6"/>
    <w:rsid w:val="00A43790"/>
    <w:rsid w:val="00A46C15"/>
    <w:rsid w:val="00A50DC0"/>
    <w:rsid w:val="00A51787"/>
    <w:rsid w:val="00A6174B"/>
    <w:rsid w:val="00A63695"/>
    <w:rsid w:val="00A669E8"/>
    <w:rsid w:val="00A7131A"/>
    <w:rsid w:val="00A72F06"/>
    <w:rsid w:val="00A730F2"/>
    <w:rsid w:val="00A74DB6"/>
    <w:rsid w:val="00A77FFD"/>
    <w:rsid w:val="00A92E07"/>
    <w:rsid w:val="00AA4B46"/>
    <w:rsid w:val="00AB062E"/>
    <w:rsid w:val="00AB332C"/>
    <w:rsid w:val="00AB3C0E"/>
    <w:rsid w:val="00AB4554"/>
    <w:rsid w:val="00AB4AB3"/>
    <w:rsid w:val="00AB5D28"/>
    <w:rsid w:val="00AB7797"/>
    <w:rsid w:val="00AC2472"/>
    <w:rsid w:val="00AC311B"/>
    <w:rsid w:val="00AC413A"/>
    <w:rsid w:val="00AC47B6"/>
    <w:rsid w:val="00AC6594"/>
    <w:rsid w:val="00AD0E0D"/>
    <w:rsid w:val="00AD3334"/>
    <w:rsid w:val="00AD7DF9"/>
    <w:rsid w:val="00AE29BB"/>
    <w:rsid w:val="00AE2CAF"/>
    <w:rsid w:val="00AE5750"/>
    <w:rsid w:val="00AF33D9"/>
    <w:rsid w:val="00AF5AB5"/>
    <w:rsid w:val="00B002E4"/>
    <w:rsid w:val="00B03DF3"/>
    <w:rsid w:val="00B13E8D"/>
    <w:rsid w:val="00B22220"/>
    <w:rsid w:val="00B332B2"/>
    <w:rsid w:val="00B34CCC"/>
    <w:rsid w:val="00B353CB"/>
    <w:rsid w:val="00B3665D"/>
    <w:rsid w:val="00B36EC7"/>
    <w:rsid w:val="00B36EDD"/>
    <w:rsid w:val="00B40674"/>
    <w:rsid w:val="00B40B77"/>
    <w:rsid w:val="00B4613D"/>
    <w:rsid w:val="00B559AE"/>
    <w:rsid w:val="00B61A39"/>
    <w:rsid w:val="00B61C97"/>
    <w:rsid w:val="00B628C5"/>
    <w:rsid w:val="00B67EAD"/>
    <w:rsid w:val="00B71933"/>
    <w:rsid w:val="00B8078D"/>
    <w:rsid w:val="00B923E1"/>
    <w:rsid w:val="00BA48A2"/>
    <w:rsid w:val="00BA7621"/>
    <w:rsid w:val="00BB7208"/>
    <w:rsid w:val="00BC0FD0"/>
    <w:rsid w:val="00BC2AE1"/>
    <w:rsid w:val="00BC5F0B"/>
    <w:rsid w:val="00BD12A3"/>
    <w:rsid w:val="00BD278A"/>
    <w:rsid w:val="00BD4D57"/>
    <w:rsid w:val="00BD6D34"/>
    <w:rsid w:val="00BD79DE"/>
    <w:rsid w:val="00BD7F6E"/>
    <w:rsid w:val="00BE00AB"/>
    <w:rsid w:val="00BE2F5F"/>
    <w:rsid w:val="00BF18EC"/>
    <w:rsid w:val="00BF2B58"/>
    <w:rsid w:val="00BF47B0"/>
    <w:rsid w:val="00BF5327"/>
    <w:rsid w:val="00C013E0"/>
    <w:rsid w:val="00C21D33"/>
    <w:rsid w:val="00C2286F"/>
    <w:rsid w:val="00C27D3E"/>
    <w:rsid w:val="00C3382F"/>
    <w:rsid w:val="00C35049"/>
    <w:rsid w:val="00C3627C"/>
    <w:rsid w:val="00C368A1"/>
    <w:rsid w:val="00C37890"/>
    <w:rsid w:val="00C37952"/>
    <w:rsid w:val="00C4377C"/>
    <w:rsid w:val="00C44D3D"/>
    <w:rsid w:val="00C47C9E"/>
    <w:rsid w:val="00C47F0F"/>
    <w:rsid w:val="00C51D84"/>
    <w:rsid w:val="00C52506"/>
    <w:rsid w:val="00C6501B"/>
    <w:rsid w:val="00C81390"/>
    <w:rsid w:val="00C82259"/>
    <w:rsid w:val="00C8507C"/>
    <w:rsid w:val="00C9297C"/>
    <w:rsid w:val="00C94014"/>
    <w:rsid w:val="00CA02CB"/>
    <w:rsid w:val="00CA1B8C"/>
    <w:rsid w:val="00CA7473"/>
    <w:rsid w:val="00CB0A99"/>
    <w:rsid w:val="00CB231A"/>
    <w:rsid w:val="00CB4355"/>
    <w:rsid w:val="00CB5A09"/>
    <w:rsid w:val="00CB69B4"/>
    <w:rsid w:val="00CB7C97"/>
    <w:rsid w:val="00CC3678"/>
    <w:rsid w:val="00CD0AAC"/>
    <w:rsid w:val="00CD0CD4"/>
    <w:rsid w:val="00CD1FC9"/>
    <w:rsid w:val="00CD4251"/>
    <w:rsid w:val="00CD7726"/>
    <w:rsid w:val="00CE3B9F"/>
    <w:rsid w:val="00CE487B"/>
    <w:rsid w:val="00CF103A"/>
    <w:rsid w:val="00CF1FB8"/>
    <w:rsid w:val="00CF2C65"/>
    <w:rsid w:val="00CF508D"/>
    <w:rsid w:val="00D078B6"/>
    <w:rsid w:val="00D1022C"/>
    <w:rsid w:val="00D177E9"/>
    <w:rsid w:val="00D1795D"/>
    <w:rsid w:val="00D21B38"/>
    <w:rsid w:val="00D2483E"/>
    <w:rsid w:val="00D27115"/>
    <w:rsid w:val="00D34DCC"/>
    <w:rsid w:val="00D370F7"/>
    <w:rsid w:val="00D431E0"/>
    <w:rsid w:val="00D50C04"/>
    <w:rsid w:val="00D5763F"/>
    <w:rsid w:val="00D61D9B"/>
    <w:rsid w:val="00D63305"/>
    <w:rsid w:val="00D64B4B"/>
    <w:rsid w:val="00D65797"/>
    <w:rsid w:val="00D74524"/>
    <w:rsid w:val="00D8221E"/>
    <w:rsid w:val="00D828C4"/>
    <w:rsid w:val="00D84DA0"/>
    <w:rsid w:val="00D945BF"/>
    <w:rsid w:val="00D96B3F"/>
    <w:rsid w:val="00DA2F09"/>
    <w:rsid w:val="00DA56FD"/>
    <w:rsid w:val="00DA6035"/>
    <w:rsid w:val="00DB2E73"/>
    <w:rsid w:val="00DB788E"/>
    <w:rsid w:val="00DC1E60"/>
    <w:rsid w:val="00DC3D29"/>
    <w:rsid w:val="00DD5BFA"/>
    <w:rsid w:val="00DD60CC"/>
    <w:rsid w:val="00DD752A"/>
    <w:rsid w:val="00DE0B7F"/>
    <w:rsid w:val="00DE1075"/>
    <w:rsid w:val="00DF03B2"/>
    <w:rsid w:val="00DF4D12"/>
    <w:rsid w:val="00E10AE2"/>
    <w:rsid w:val="00E10F0A"/>
    <w:rsid w:val="00E21875"/>
    <w:rsid w:val="00E22EC1"/>
    <w:rsid w:val="00E25407"/>
    <w:rsid w:val="00E32599"/>
    <w:rsid w:val="00E33B0E"/>
    <w:rsid w:val="00E34641"/>
    <w:rsid w:val="00E34CAB"/>
    <w:rsid w:val="00E37A87"/>
    <w:rsid w:val="00E42621"/>
    <w:rsid w:val="00E42CC3"/>
    <w:rsid w:val="00E43EDF"/>
    <w:rsid w:val="00E446A6"/>
    <w:rsid w:val="00E50E21"/>
    <w:rsid w:val="00E5388C"/>
    <w:rsid w:val="00E53CB5"/>
    <w:rsid w:val="00E53CCD"/>
    <w:rsid w:val="00E60E7E"/>
    <w:rsid w:val="00E62607"/>
    <w:rsid w:val="00E6282A"/>
    <w:rsid w:val="00E716E8"/>
    <w:rsid w:val="00E71855"/>
    <w:rsid w:val="00E719A9"/>
    <w:rsid w:val="00E72CD5"/>
    <w:rsid w:val="00E7659F"/>
    <w:rsid w:val="00E83405"/>
    <w:rsid w:val="00E90890"/>
    <w:rsid w:val="00E91129"/>
    <w:rsid w:val="00E911A5"/>
    <w:rsid w:val="00EA09D0"/>
    <w:rsid w:val="00EA1435"/>
    <w:rsid w:val="00EA1DE4"/>
    <w:rsid w:val="00EA60EA"/>
    <w:rsid w:val="00EB29BF"/>
    <w:rsid w:val="00EC1110"/>
    <w:rsid w:val="00EC3E44"/>
    <w:rsid w:val="00EC7C7F"/>
    <w:rsid w:val="00ED4964"/>
    <w:rsid w:val="00EE4030"/>
    <w:rsid w:val="00EF34F2"/>
    <w:rsid w:val="00EF4B42"/>
    <w:rsid w:val="00EF4F5D"/>
    <w:rsid w:val="00F003D3"/>
    <w:rsid w:val="00F008AB"/>
    <w:rsid w:val="00F02AAF"/>
    <w:rsid w:val="00F03E32"/>
    <w:rsid w:val="00F23B77"/>
    <w:rsid w:val="00F23EFD"/>
    <w:rsid w:val="00F243B0"/>
    <w:rsid w:val="00F42289"/>
    <w:rsid w:val="00F42E75"/>
    <w:rsid w:val="00F440E4"/>
    <w:rsid w:val="00F45D65"/>
    <w:rsid w:val="00F465C0"/>
    <w:rsid w:val="00F517FA"/>
    <w:rsid w:val="00F52D16"/>
    <w:rsid w:val="00F539EA"/>
    <w:rsid w:val="00F54EC2"/>
    <w:rsid w:val="00F573FD"/>
    <w:rsid w:val="00F62D67"/>
    <w:rsid w:val="00F63BD9"/>
    <w:rsid w:val="00F6694C"/>
    <w:rsid w:val="00F74EA5"/>
    <w:rsid w:val="00F776BD"/>
    <w:rsid w:val="00F8145F"/>
    <w:rsid w:val="00F9283D"/>
    <w:rsid w:val="00F95617"/>
    <w:rsid w:val="00F96F18"/>
    <w:rsid w:val="00FA508E"/>
    <w:rsid w:val="00FA5320"/>
    <w:rsid w:val="00FA74B0"/>
    <w:rsid w:val="00FA7846"/>
    <w:rsid w:val="00FB0F1D"/>
    <w:rsid w:val="00FB3DBB"/>
    <w:rsid w:val="00FB45E7"/>
    <w:rsid w:val="00FC26E5"/>
    <w:rsid w:val="00FC34B0"/>
    <w:rsid w:val="00FC4C1A"/>
    <w:rsid w:val="00FC6380"/>
    <w:rsid w:val="00FD19F1"/>
    <w:rsid w:val="00FD370F"/>
    <w:rsid w:val="00FE0B90"/>
    <w:rsid w:val="00FE7F09"/>
    <w:rsid w:val="00FF22A3"/>
    <w:rsid w:val="00FF4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ечания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ечания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83C1163-EB32-4680-985D-4A2BC459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864</Words>
  <Characters>4925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Elena</cp:lastModifiedBy>
  <cp:revision>3</cp:revision>
  <cp:lastPrinted>2021-06-23T07:40:00Z</cp:lastPrinted>
  <dcterms:created xsi:type="dcterms:W3CDTF">2022-01-13T17:23:00Z</dcterms:created>
  <dcterms:modified xsi:type="dcterms:W3CDTF">2022-01-13T18:02:00Z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