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F0DF1" w:rsidRDefault="00CF0DF1" w:rsidP="00FA7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Офіційно опубліковано 15.06.2022</w:t>
      </w:r>
    </w:p>
    <w:p w:rsidR="00CF0DF1" w:rsidRPr="00CD0CD4" w:rsidRDefault="00CF0DF1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4F38E6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1E7428" w:rsidP="00E054A9">
            <w:pPr>
              <w:jc w:val="center"/>
            </w:pPr>
            <w:r>
              <w:object w:dxaOrig="68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16647993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4F38E6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4F38E6" w:rsidTr="00E054A9">
        <w:tc>
          <w:tcPr>
            <w:tcW w:w="9854" w:type="dxa"/>
            <w:gridSpan w:val="3"/>
          </w:tcPr>
          <w:p w:rsidR="00657593" w:rsidRPr="00E10F0A" w:rsidRDefault="001E742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1E742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4F38E6" w:rsidTr="00AB062E">
        <w:tc>
          <w:tcPr>
            <w:tcW w:w="3510" w:type="dxa"/>
            <w:vAlign w:val="bottom"/>
          </w:tcPr>
          <w:p w:rsidR="00657593" w:rsidRPr="00566BA2" w:rsidRDefault="00CF0DF1" w:rsidP="00E054A9">
            <w:r>
              <w:t>13 червня 2022 року</w:t>
            </w:r>
          </w:p>
        </w:tc>
        <w:tc>
          <w:tcPr>
            <w:tcW w:w="2694" w:type="dxa"/>
          </w:tcPr>
          <w:p w:rsidR="00657593" w:rsidRDefault="001E742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Default="00CF0DF1" w:rsidP="00290169">
            <w:pPr>
              <w:jc w:val="left"/>
            </w:pPr>
            <w:r>
              <w:t>№ 117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F38E6" w:rsidTr="005212C5">
        <w:trPr>
          <w:jc w:val="center"/>
        </w:trPr>
        <w:tc>
          <w:tcPr>
            <w:tcW w:w="5000" w:type="pct"/>
          </w:tcPr>
          <w:p w:rsidR="002B3F71" w:rsidRPr="00CD0CD4" w:rsidRDefault="000F095F" w:rsidP="000F095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внесення зміни до Положення про організацію готівкового обігу і ведення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емісійно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>-касових операцій</w:t>
            </w:r>
            <w:bookmarkStart w:id="0" w:name="_GoBack"/>
            <w:bookmarkEnd w:id="0"/>
            <w:r>
              <w:rPr>
                <w:rFonts w:eastAsiaTheme="minorEastAsia"/>
                <w:color w:val="000000" w:themeColor="text1"/>
                <w:lang w:eastAsia="en-US"/>
              </w:rPr>
              <w:t xml:space="preserve"> у банківській системі в особливий період</w:t>
            </w:r>
          </w:p>
        </w:tc>
      </w:tr>
    </w:tbl>
    <w:p w:rsidR="00E53CCD" w:rsidRDefault="000F095F" w:rsidP="001F3B2A">
      <w:pPr>
        <w:spacing w:before="240" w:after="240"/>
        <w:ind w:firstLine="567"/>
        <w:rPr>
          <w:b/>
        </w:rPr>
      </w:pPr>
      <w:r>
        <w:rPr>
          <w:rFonts w:eastAsiaTheme="minorEastAsia"/>
          <w:color w:val="000000" w:themeColor="text1"/>
          <w:lang w:eastAsia="en-US"/>
        </w:rPr>
        <w:t xml:space="preserve">Відповідно до статей 7, 15, 33 та 56 Закону України </w:t>
      </w:r>
      <w:r w:rsidRPr="00E343D0">
        <w:t>“</w:t>
      </w:r>
      <w:r>
        <w:rPr>
          <w:rFonts w:eastAsiaTheme="minorEastAsia"/>
          <w:color w:val="000000" w:themeColor="text1"/>
          <w:lang w:eastAsia="en-US"/>
        </w:rPr>
        <w:t>Про Національний банк України</w:t>
      </w:r>
      <w:r w:rsidRPr="00E343D0">
        <w:t>”</w:t>
      </w:r>
      <w:r w:rsidRPr="00F55A8A">
        <w:t xml:space="preserve"> </w:t>
      </w:r>
      <w:r>
        <w:t xml:space="preserve">та з метою вдосконалення організації готівкового обігу і ведення </w:t>
      </w:r>
      <w:proofErr w:type="spellStart"/>
      <w:r>
        <w:t>емісійно</w:t>
      </w:r>
      <w:proofErr w:type="spellEnd"/>
      <w:r>
        <w:t>-касових операцій у банківській системі в особливий період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6C1705" w:rsidRDefault="001E7428" w:rsidP="001F3B2A">
      <w:pPr>
        <w:spacing w:before="240" w:after="240"/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0F095F">
        <w:rPr>
          <w:rFonts w:eastAsiaTheme="minorEastAsia"/>
          <w:noProof/>
          <w:color w:val="000000" w:themeColor="text1"/>
          <w:lang w:eastAsia="en-US"/>
        </w:rPr>
        <w:t xml:space="preserve">Підпункт </w:t>
      </w:r>
      <w:r w:rsidR="00C227B5">
        <w:rPr>
          <w:rFonts w:eastAsiaTheme="minorEastAsia"/>
          <w:noProof/>
          <w:color w:val="000000" w:themeColor="text1"/>
          <w:lang w:eastAsia="en-US"/>
        </w:rPr>
        <w:t xml:space="preserve">1 </w:t>
      </w:r>
      <w:r w:rsidR="000F095F">
        <w:rPr>
          <w:rFonts w:eastAsiaTheme="minorEastAsia"/>
          <w:noProof/>
          <w:color w:val="000000" w:themeColor="text1"/>
          <w:lang w:eastAsia="en-US"/>
        </w:rPr>
        <w:t xml:space="preserve">пункту 9 розділу І Положення про організацію готівкового обігу і ведення емісійно-касових операцій у банківській системі в особливий період, затвердженого постановою Правління </w:t>
      </w:r>
      <w:r w:rsidR="006C1705">
        <w:rPr>
          <w:rFonts w:eastAsiaTheme="minorEastAsia"/>
          <w:noProof/>
          <w:color w:val="000000" w:themeColor="text1"/>
          <w:lang w:eastAsia="en-US"/>
        </w:rPr>
        <w:t>Національного банку України від</w:t>
      </w:r>
      <w:r w:rsidR="006C1705">
        <w:t xml:space="preserve"> 05 травня 2018 року № 51 </w:t>
      </w:r>
      <w:r w:rsidR="00C227B5">
        <w:t>(</w:t>
      </w:r>
      <w:r w:rsidR="006C1705">
        <w:t>у редакції постанови Правління Національного банку України від 23 травня 2022 року № 104</w:t>
      </w:r>
      <w:r w:rsidR="00C227B5">
        <w:t>)</w:t>
      </w:r>
      <w:r w:rsidR="006C1705">
        <w:t>, викласти в такій редакції:</w:t>
      </w:r>
    </w:p>
    <w:p w:rsidR="003D6B33" w:rsidRDefault="006C1705" w:rsidP="005966B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E343D0">
        <w:t>“</w:t>
      </w:r>
      <w:r>
        <w:t xml:space="preserve">1) </w:t>
      </w:r>
      <w:r w:rsidRPr="00CB48C8">
        <w:rPr>
          <w:lang w:eastAsia="ru-RU"/>
        </w:rPr>
        <w:t xml:space="preserve">припиняють роботу з пам’ятними та інвестиційними монетами України, сувенірною </w:t>
      </w:r>
      <w:r>
        <w:rPr>
          <w:lang w:eastAsia="ru-RU"/>
        </w:rPr>
        <w:t xml:space="preserve">та супутньою </w:t>
      </w:r>
      <w:r w:rsidRPr="00CB48C8">
        <w:rPr>
          <w:lang w:eastAsia="ru-RU"/>
        </w:rPr>
        <w:t>продукцією</w:t>
      </w:r>
      <w:r>
        <w:rPr>
          <w:lang w:eastAsia="ru-RU"/>
        </w:rPr>
        <w:t xml:space="preserve">, </w:t>
      </w:r>
      <w:r w:rsidRPr="00041C15">
        <w:rPr>
          <w:lang w:eastAsia="ru-RU"/>
        </w:rPr>
        <w:t xml:space="preserve">крім </w:t>
      </w:r>
      <w:r>
        <w:rPr>
          <w:lang w:eastAsia="ru-RU"/>
        </w:rPr>
        <w:t>їх/її реалізації</w:t>
      </w:r>
      <w:r w:rsidRPr="00041C15">
        <w:rPr>
          <w:lang w:eastAsia="ru-RU"/>
        </w:rPr>
        <w:t xml:space="preserve"> згідно з окремими розпорядчими актами Національного банку, якщо немає прямої загрози життю та здоров’ю працівників та клієнтів, уключаючи реалізацію </w:t>
      </w:r>
      <w:r w:rsidR="00C227B5">
        <w:rPr>
          <w:lang w:eastAsia="ru-RU"/>
        </w:rPr>
        <w:t>в</w:t>
      </w:r>
      <w:r w:rsidR="00C227B5" w:rsidRPr="00041C15">
        <w:rPr>
          <w:lang w:eastAsia="ru-RU"/>
        </w:rPr>
        <w:t xml:space="preserve"> </w:t>
      </w:r>
      <w:r w:rsidRPr="00041C15">
        <w:rPr>
          <w:lang w:eastAsia="ru-RU"/>
        </w:rPr>
        <w:t xml:space="preserve">режимі реального часу через офіційне Інтернет-представництво Національного банку або інший </w:t>
      </w:r>
      <w:proofErr w:type="spellStart"/>
      <w:r w:rsidRPr="00041C15">
        <w:rPr>
          <w:lang w:eastAsia="ru-RU"/>
        </w:rPr>
        <w:t>вебсайт</w:t>
      </w:r>
      <w:proofErr w:type="spellEnd"/>
      <w:r w:rsidRPr="00041C15">
        <w:rPr>
          <w:lang w:eastAsia="ru-RU"/>
        </w:rPr>
        <w:t xml:space="preserve"> та функціональний сервіс Національ</w:t>
      </w:r>
      <w:r>
        <w:rPr>
          <w:lang w:eastAsia="ru-RU"/>
        </w:rPr>
        <w:t>ного банку в мережі Інтернет</w:t>
      </w:r>
      <w:r w:rsidRPr="00CB48C8">
        <w:rPr>
          <w:lang w:eastAsia="ru-RU"/>
        </w:rPr>
        <w:t>;</w:t>
      </w:r>
      <w:r w:rsidRPr="00E343D0">
        <w:t>”</w:t>
      </w:r>
      <w:r w:rsidR="005212A1" w:rsidRPr="006C1705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Pr="005966B0" w:rsidRDefault="005966B0" w:rsidP="005966B0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1E7428">
        <w:rPr>
          <w:rFonts w:eastAsiaTheme="minorEastAsia"/>
          <w:noProof/>
          <w:color w:val="000000" w:themeColor="text1"/>
          <w:lang w:eastAsia="en-US"/>
        </w:rPr>
        <w:t>. </w:t>
      </w:r>
      <w:r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E42621" w:rsidRPr="00CD0CD4" w:rsidRDefault="00E42621" w:rsidP="00E42621">
      <w:pPr>
        <w:tabs>
          <w:tab w:val="left" w:pos="993"/>
        </w:tabs>
        <w:spacing w:after="120"/>
      </w:pPr>
    </w:p>
    <w:p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F38E6" w:rsidTr="00BD6D34">
        <w:tc>
          <w:tcPr>
            <w:tcW w:w="5495" w:type="dxa"/>
            <w:vAlign w:val="bottom"/>
          </w:tcPr>
          <w:p w:rsidR="00DD60CC" w:rsidRPr="00CD0CD4" w:rsidRDefault="005966B0" w:rsidP="005966B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5966B0" w:rsidP="005966B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1E7428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5966B0">
        <w:t>50</w:t>
      </w:r>
    </w:p>
    <w:sectPr w:rsidR="00FA508E" w:rsidRPr="00CD0CD4" w:rsidSect="00C227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61" w:rsidRDefault="00A96D61">
      <w:r>
        <w:separator/>
      </w:r>
    </w:p>
  </w:endnote>
  <w:endnote w:type="continuationSeparator" w:id="0">
    <w:p w:rsidR="00A96D61" w:rsidRDefault="00A9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70" w:rsidRDefault="00F93C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70" w:rsidRDefault="00F93C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70" w:rsidRPr="00AB062E" w:rsidRDefault="001E742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1E742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61" w:rsidRDefault="00A96D61">
      <w:r>
        <w:separator/>
      </w:r>
    </w:p>
  </w:footnote>
  <w:footnote w:type="continuationSeparator" w:id="0">
    <w:p w:rsidR="00A96D61" w:rsidRDefault="00A9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70" w:rsidRDefault="00F93C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1E74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6B0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2E" w:rsidRPr="00F93C70" w:rsidRDefault="00AB062E" w:rsidP="00F93C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888280EA">
      <w:start w:val="1"/>
      <w:numFmt w:val="decimal"/>
      <w:lvlText w:val="%1."/>
      <w:lvlJc w:val="left"/>
      <w:pPr>
        <w:ind w:left="3905" w:hanging="360"/>
      </w:pPr>
    </w:lvl>
    <w:lvl w:ilvl="1" w:tplc="1E3641A6">
      <w:start w:val="1"/>
      <w:numFmt w:val="lowerLetter"/>
      <w:lvlText w:val="%2."/>
      <w:lvlJc w:val="left"/>
      <w:pPr>
        <w:ind w:left="1789" w:hanging="360"/>
      </w:pPr>
    </w:lvl>
    <w:lvl w:ilvl="2" w:tplc="CAA0D690">
      <w:start w:val="1"/>
      <w:numFmt w:val="lowerRoman"/>
      <w:lvlText w:val="%3."/>
      <w:lvlJc w:val="right"/>
      <w:pPr>
        <w:ind w:left="2509" w:hanging="180"/>
      </w:pPr>
    </w:lvl>
    <w:lvl w:ilvl="3" w:tplc="EB907DE8">
      <w:start w:val="1"/>
      <w:numFmt w:val="decimal"/>
      <w:lvlText w:val="%4."/>
      <w:lvlJc w:val="left"/>
      <w:pPr>
        <w:ind w:left="3229" w:hanging="360"/>
      </w:pPr>
    </w:lvl>
    <w:lvl w:ilvl="4" w:tplc="9B78DDAC">
      <w:start w:val="1"/>
      <w:numFmt w:val="lowerLetter"/>
      <w:lvlText w:val="%5."/>
      <w:lvlJc w:val="left"/>
      <w:pPr>
        <w:ind w:left="3949" w:hanging="360"/>
      </w:pPr>
    </w:lvl>
    <w:lvl w:ilvl="5" w:tplc="C0645E36">
      <w:start w:val="1"/>
      <w:numFmt w:val="lowerRoman"/>
      <w:lvlText w:val="%6."/>
      <w:lvlJc w:val="right"/>
      <w:pPr>
        <w:ind w:left="4669" w:hanging="180"/>
      </w:pPr>
    </w:lvl>
    <w:lvl w:ilvl="6" w:tplc="C1D22D2A">
      <w:start w:val="1"/>
      <w:numFmt w:val="decimal"/>
      <w:lvlText w:val="%7."/>
      <w:lvlJc w:val="left"/>
      <w:pPr>
        <w:ind w:left="5389" w:hanging="360"/>
      </w:pPr>
    </w:lvl>
    <w:lvl w:ilvl="7" w:tplc="01BAB764">
      <w:start w:val="1"/>
      <w:numFmt w:val="lowerLetter"/>
      <w:lvlText w:val="%8."/>
      <w:lvlJc w:val="left"/>
      <w:pPr>
        <w:ind w:left="6109" w:hanging="360"/>
      </w:pPr>
    </w:lvl>
    <w:lvl w:ilvl="8" w:tplc="18F285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8878D0F6">
      <w:start w:val="1"/>
      <w:numFmt w:val="decimal"/>
      <w:lvlText w:val="%1."/>
      <w:lvlJc w:val="left"/>
      <w:pPr>
        <w:ind w:left="1429" w:hanging="360"/>
      </w:pPr>
    </w:lvl>
    <w:lvl w:ilvl="1" w:tplc="1466D6D6" w:tentative="1">
      <w:start w:val="1"/>
      <w:numFmt w:val="lowerLetter"/>
      <w:lvlText w:val="%2."/>
      <w:lvlJc w:val="left"/>
      <w:pPr>
        <w:ind w:left="2149" w:hanging="360"/>
      </w:pPr>
    </w:lvl>
    <w:lvl w:ilvl="2" w:tplc="4B7C4E5A" w:tentative="1">
      <w:start w:val="1"/>
      <w:numFmt w:val="lowerRoman"/>
      <w:lvlText w:val="%3."/>
      <w:lvlJc w:val="right"/>
      <w:pPr>
        <w:ind w:left="2869" w:hanging="180"/>
      </w:pPr>
    </w:lvl>
    <w:lvl w:ilvl="3" w:tplc="20523E28" w:tentative="1">
      <w:start w:val="1"/>
      <w:numFmt w:val="decimal"/>
      <w:lvlText w:val="%4."/>
      <w:lvlJc w:val="left"/>
      <w:pPr>
        <w:ind w:left="3589" w:hanging="360"/>
      </w:pPr>
    </w:lvl>
    <w:lvl w:ilvl="4" w:tplc="FAB0E7D8" w:tentative="1">
      <w:start w:val="1"/>
      <w:numFmt w:val="lowerLetter"/>
      <w:lvlText w:val="%5."/>
      <w:lvlJc w:val="left"/>
      <w:pPr>
        <w:ind w:left="4309" w:hanging="360"/>
      </w:pPr>
    </w:lvl>
    <w:lvl w:ilvl="5" w:tplc="C6B22D44" w:tentative="1">
      <w:start w:val="1"/>
      <w:numFmt w:val="lowerRoman"/>
      <w:lvlText w:val="%6."/>
      <w:lvlJc w:val="right"/>
      <w:pPr>
        <w:ind w:left="5029" w:hanging="180"/>
      </w:pPr>
    </w:lvl>
    <w:lvl w:ilvl="6" w:tplc="D86C2BEE" w:tentative="1">
      <w:start w:val="1"/>
      <w:numFmt w:val="decimal"/>
      <w:lvlText w:val="%7."/>
      <w:lvlJc w:val="left"/>
      <w:pPr>
        <w:ind w:left="5749" w:hanging="360"/>
      </w:pPr>
    </w:lvl>
    <w:lvl w:ilvl="7" w:tplc="AE3E2D8A" w:tentative="1">
      <w:start w:val="1"/>
      <w:numFmt w:val="lowerLetter"/>
      <w:lvlText w:val="%8."/>
      <w:lvlJc w:val="left"/>
      <w:pPr>
        <w:ind w:left="6469" w:hanging="360"/>
      </w:pPr>
    </w:lvl>
    <w:lvl w:ilvl="8" w:tplc="92D44D0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0F095F"/>
    <w:rsid w:val="00106229"/>
    <w:rsid w:val="00115ECF"/>
    <w:rsid w:val="001564BA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E7428"/>
    <w:rsid w:val="001F3B2A"/>
    <w:rsid w:val="002238D1"/>
    <w:rsid w:val="00233F37"/>
    <w:rsid w:val="00241373"/>
    <w:rsid w:val="00253BF9"/>
    <w:rsid w:val="00264983"/>
    <w:rsid w:val="00266678"/>
    <w:rsid w:val="00276988"/>
    <w:rsid w:val="00280DCC"/>
    <w:rsid w:val="00283391"/>
    <w:rsid w:val="00284C3B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979C5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496A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4F38E6"/>
    <w:rsid w:val="004F7286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6BA2"/>
    <w:rsid w:val="0057237F"/>
    <w:rsid w:val="00577402"/>
    <w:rsid w:val="005822CB"/>
    <w:rsid w:val="005966B0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121C5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1705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7E46"/>
    <w:rsid w:val="007A2BCB"/>
    <w:rsid w:val="007A6609"/>
    <w:rsid w:val="007B3538"/>
    <w:rsid w:val="007B7B73"/>
    <w:rsid w:val="007C2CED"/>
    <w:rsid w:val="00802988"/>
    <w:rsid w:val="008415A0"/>
    <w:rsid w:val="0085364B"/>
    <w:rsid w:val="00866993"/>
    <w:rsid w:val="00874366"/>
    <w:rsid w:val="008762D8"/>
    <w:rsid w:val="00897035"/>
    <w:rsid w:val="008B1589"/>
    <w:rsid w:val="008B74DD"/>
    <w:rsid w:val="008C72B5"/>
    <w:rsid w:val="008D10FD"/>
    <w:rsid w:val="008D122F"/>
    <w:rsid w:val="008D5F60"/>
    <w:rsid w:val="008D727F"/>
    <w:rsid w:val="008E1B8E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7288F"/>
    <w:rsid w:val="0098207E"/>
    <w:rsid w:val="00990AAE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96D61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21D33"/>
    <w:rsid w:val="00C227B5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B69B4"/>
    <w:rsid w:val="00CD0CD4"/>
    <w:rsid w:val="00CE3B9F"/>
    <w:rsid w:val="00CF0DF1"/>
    <w:rsid w:val="00CF1FB8"/>
    <w:rsid w:val="00CF2C65"/>
    <w:rsid w:val="00D078B6"/>
    <w:rsid w:val="00D1022C"/>
    <w:rsid w:val="00D27115"/>
    <w:rsid w:val="00D34DCC"/>
    <w:rsid w:val="00D61D9B"/>
    <w:rsid w:val="00DA2F09"/>
    <w:rsid w:val="00DC1E60"/>
    <w:rsid w:val="00DD1736"/>
    <w:rsid w:val="00DD60CC"/>
    <w:rsid w:val="00DF4D12"/>
    <w:rsid w:val="00E054A9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324F"/>
    <w:rsid w:val="00EC7C7F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55A8A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1C6D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DD5DB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68C78D-573E-4032-BF3F-9AF0F985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Федірко Оксана Юріївна</cp:lastModifiedBy>
  <cp:revision>2</cp:revision>
  <cp:lastPrinted>2015-04-06T07:59:00Z</cp:lastPrinted>
  <dcterms:created xsi:type="dcterms:W3CDTF">2022-06-13T14:53:00Z</dcterms:created>
  <dcterms:modified xsi:type="dcterms:W3CDTF">2022-06-13T14:53:00Z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