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CE17C" w14:textId="77777777" w:rsidR="00967711" w:rsidRPr="00566BA2" w:rsidRDefault="00967711" w:rsidP="00967711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967711" w14:paraId="1A057476" w14:textId="77777777" w:rsidTr="00E054A9">
        <w:trPr>
          <w:trHeight w:val="851"/>
        </w:trPr>
        <w:tc>
          <w:tcPr>
            <w:tcW w:w="3284" w:type="dxa"/>
          </w:tcPr>
          <w:p w14:paraId="4A534416" w14:textId="77777777" w:rsidR="00967711" w:rsidRDefault="00967711" w:rsidP="00E054A9"/>
        </w:tc>
        <w:tc>
          <w:tcPr>
            <w:tcW w:w="3285" w:type="dxa"/>
            <w:vMerge w:val="restart"/>
          </w:tcPr>
          <w:p w14:paraId="7767EB83" w14:textId="77777777" w:rsidR="00967711" w:rsidRDefault="00967711" w:rsidP="00E054A9">
            <w:pPr>
              <w:jc w:val="center"/>
            </w:pPr>
            <w:r>
              <w:object w:dxaOrig="1595" w:dyaOrig="2201" w14:anchorId="6E5E2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8pt;height:48pt" o:ole="">
                  <v:imagedata r:id="rId12" o:title=""/>
                </v:shape>
                <o:OLEObject Type="Embed" ProgID="CorelDraw.Graphic.16" ShapeID="_x0000_i1025" DrawAspect="Content" ObjectID="_1775911347" r:id="rId13"/>
              </w:object>
            </w:r>
          </w:p>
        </w:tc>
        <w:tc>
          <w:tcPr>
            <w:tcW w:w="3285" w:type="dxa"/>
          </w:tcPr>
          <w:p w14:paraId="68C2F387" w14:textId="77777777" w:rsidR="00967711" w:rsidRDefault="00967711" w:rsidP="00E054A9"/>
        </w:tc>
      </w:tr>
      <w:tr w:rsidR="00967711" w14:paraId="2200313D" w14:textId="77777777" w:rsidTr="00E054A9">
        <w:tc>
          <w:tcPr>
            <w:tcW w:w="3284" w:type="dxa"/>
          </w:tcPr>
          <w:p w14:paraId="5E51945A" w14:textId="77777777" w:rsidR="00967711" w:rsidRDefault="00967711" w:rsidP="00E054A9"/>
        </w:tc>
        <w:tc>
          <w:tcPr>
            <w:tcW w:w="3285" w:type="dxa"/>
            <w:vMerge/>
          </w:tcPr>
          <w:p w14:paraId="7AB53774" w14:textId="77777777" w:rsidR="00967711" w:rsidRDefault="00967711" w:rsidP="00E054A9"/>
        </w:tc>
        <w:tc>
          <w:tcPr>
            <w:tcW w:w="3285" w:type="dxa"/>
          </w:tcPr>
          <w:p w14:paraId="151D5986" w14:textId="77777777" w:rsidR="00967711" w:rsidRDefault="00967711" w:rsidP="00E054A9"/>
        </w:tc>
      </w:tr>
      <w:tr w:rsidR="00967711" w14:paraId="72D103CC" w14:textId="77777777" w:rsidTr="00E054A9">
        <w:tc>
          <w:tcPr>
            <w:tcW w:w="9854" w:type="dxa"/>
            <w:gridSpan w:val="3"/>
          </w:tcPr>
          <w:p w14:paraId="7C6DB68A" w14:textId="77777777" w:rsidR="00967711" w:rsidRPr="00E10F0A" w:rsidRDefault="00967711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1800D3FB" w14:textId="77777777" w:rsidR="00967711" w:rsidRDefault="00967711" w:rsidP="00D75789">
            <w:pPr>
              <w:jc w:val="center"/>
            </w:pPr>
            <w:r w:rsidRPr="00BC128A">
              <w:rPr>
                <w:b/>
                <w:noProof/>
                <w:color w:val="006600"/>
                <w:sz w:val="32"/>
                <w:szCs w:val="32"/>
              </w:rPr>
              <w:t>Р І Ш Е Н Н Я</w:t>
            </w:r>
          </w:p>
        </w:tc>
      </w:tr>
    </w:tbl>
    <w:p w14:paraId="578B8B1D" w14:textId="77777777" w:rsidR="00967711" w:rsidRPr="00566BA2" w:rsidRDefault="00967711" w:rsidP="00967711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9"/>
        <w:gridCol w:w="2222"/>
        <w:gridCol w:w="1812"/>
        <w:gridCol w:w="1895"/>
      </w:tblGrid>
      <w:tr w:rsidR="00967711" w14:paraId="656600A4" w14:textId="77777777" w:rsidTr="00D37F10">
        <w:tc>
          <w:tcPr>
            <w:tcW w:w="3794" w:type="dxa"/>
            <w:vAlign w:val="bottom"/>
          </w:tcPr>
          <w:p w14:paraId="1F64C7DB" w14:textId="2783F6FA" w:rsidR="00967711" w:rsidRPr="00566BA2" w:rsidRDefault="00C40045" w:rsidP="00E054A9">
            <w:r>
              <w:t>14 березня 2024 року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7853DABF" w14:textId="77777777" w:rsidR="00967711" w:rsidRDefault="00967711" w:rsidP="00853BE7">
            <w:pPr>
              <w:spacing w:before="240"/>
              <w:ind w:firstLine="34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855" w:type="dxa"/>
            <w:vAlign w:val="bottom"/>
          </w:tcPr>
          <w:p w14:paraId="43FBC873" w14:textId="77777777" w:rsidR="00967711" w:rsidRPr="00BD25A1" w:rsidRDefault="00BD25A1" w:rsidP="001359C4">
            <w:pPr>
              <w:jc w:val="right"/>
              <w:rPr>
                <w:lang w:val="ru-RU"/>
              </w:rPr>
            </w:pPr>
            <w:r w:rsidRPr="00BD25A1">
              <w:rPr>
                <w:color w:val="FFFFFF" w:themeColor="background1"/>
                <w:lang w:val="ru-RU"/>
              </w:rPr>
              <w:t>№</w:t>
            </w:r>
          </w:p>
        </w:tc>
        <w:tc>
          <w:tcPr>
            <w:tcW w:w="1937" w:type="dxa"/>
            <w:vAlign w:val="bottom"/>
          </w:tcPr>
          <w:p w14:paraId="2D45AF62" w14:textId="30348842" w:rsidR="00967711" w:rsidRDefault="00C40045" w:rsidP="002C2894">
            <w:pPr>
              <w:jc w:val="left"/>
            </w:pPr>
            <w:r>
              <w:t>№ 86-рш</w:t>
            </w:r>
          </w:p>
        </w:tc>
      </w:tr>
    </w:tbl>
    <w:p w14:paraId="15337CB5" w14:textId="77777777" w:rsidR="00967711" w:rsidRPr="00CD0CD4" w:rsidRDefault="00967711" w:rsidP="00967711">
      <w:pPr>
        <w:rPr>
          <w:sz w:val="2"/>
          <w:szCs w:val="2"/>
        </w:rPr>
      </w:pPr>
    </w:p>
    <w:p w14:paraId="7343D928" w14:textId="77777777" w:rsidR="00967711" w:rsidRPr="00487BC2" w:rsidRDefault="00967711" w:rsidP="00967711">
      <w:pPr>
        <w:rPr>
          <w:noProof/>
          <w:sz w:val="2"/>
          <w:szCs w:val="2"/>
        </w:rPr>
      </w:pPr>
    </w:p>
    <w:tbl>
      <w:tblPr>
        <w:tblStyle w:val="a9"/>
        <w:tblW w:w="3452" w:type="pct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487BC2" w14:paraId="53652F33" w14:textId="77777777" w:rsidTr="0050563F">
        <w:tc>
          <w:tcPr>
            <w:tcW w:w="5000" w:type="pct"/>
          </w:tcPr>
          <w:p w14:paraId="0CEED696" w14:textId="77777777" w:rsidR="00C46621" w:rsidRDefault="00C46621" w:rsidP="009258D8">
            <w:pPr>
              <w:spacing w:before="240" w:after="120"/>
              <w:jc w:val="center"/>
              <w:rPr>
                <w:rFonts w:eastAsiaTheme="minorEastAsia"/>
                <w:noProof/>
                <w:color w:val="000000" w:themeColor="text1"/>
                <w:lang w:eastAsia="en-US"/>
              </w:rPr>
            </w:pPr>
          </w:p>
          <w:p w14:paraId="41AAE021" w14:textId="77777777" w:rsidR="002B3F71" w:rsidRPr="00487BC2" w:rsidRDefault="008B44E3" w:rsidP="009258D8">
            <w:pPr>
              <w:spacing w:before="240" w:after="120"/>
              <w:jc w:val="center"/>
              <w:rPr>
                <w:rFonts w:eastAsiaTheme="minorEastAsia"/>
                <w:noProof/>
                <w:color w:val="000000" w:themeColor="text1"/>
                <w:lang w:eastAsia="en-US"/>
              </w:rPr>
            </w:pPr>
            <w:r w:rsidRPr="008B44E3">
              <w:rPr>
                <w:rFonts w:eastAsiaTheme="minorEastAsia"/>
                <w:noProof/>
                <w:color w:val="000000" w:themeColor="text1"/>
                <w:lang w:eastAsia="en-US"/>
              </w:rPr>
              <w:t>Про затвердження сталої величини, яка  використовується для визначення процентної ставки за кредитами рефінансування понад 14 днів</w:t>
            </w:r>
          </w:p>
        </w:tc>
      </w:tr>
    </w:tbl>
    <w:p w14:paraId="6BD08FDE" w14:textId="77777777" w:rsidR="00470271" w:rsidRDefault="008B44E3" w:rsidP="009258D8">
      <w:pPr>
        <w:pStyle w:val="af3"/>
        <w:spacing w:before="480" w:after="120"/>
        <w:ind w:left="0" w:firstLine="567"/>
        <w:contextualSpacing w:val="0"/>
        <w:rPr>
          <w:b/>
        </w:rPr>
      </w:pPr>
      <w:r w:rsidRPr="008B44E3">
        <w:rPr>
          <w:rFonts w:eastAsiaTheme="minorEastAsia"/>
          <w:noProof/>
          <w:color w:val="000000" w:themeColor="text1"/>
          <w:lang w:eastAsia="en-US"/>
        </w:rPr>
        <w:t>Відповідно до статей 7, 15, 25, 27, 56 Закону України “Про Національний банк України”, пункт</w:t>
      </w:r>
      <w:r w:rsidR="00D54F30">
        <w:rPr>
          <w:rFonts w:eastAsiaTheme="minorEastAsia"/>
          <w:noProof/>
          <w:color w:val="000000" w:themeColor="text1"/>
          <w:lang w:eastAsia="en-US"/>
        </w:rPr>
        <w:t>у</w:t>
      </w:r>
      <w:r w:rsidRPr="008B44E3">
        <w:rPr>
          <w:rFonts w:eastAsiaTheme="minorEastAsia"/>
          <w:noProof/>
          <w:color w:val="000000" w:themeColor="text1"/>
          <w:lang w:eastAsia="en-US"/>
        </w:rPr>
        <w:t xml:space="preserve"> 18 розділу VІ Положення про процентну політику Національного банку України, затвердженого постановою Правління Національного банку України від 21 квітня 2016 року № 277 (</w:t>
      </w:r>
      <w:r w:rsidR="00E37D74" w:rsidRPr="00E37D74">
        <w:rPr>
          <w:rFonts w:eastAsiaTheme="minorEastAsia"/>
          <w:noProof/>
          <w:color w:val="000000" w:themeColor="text1"/>
          <w:lang w:eastAsia="en-US"/>
        </w:rPr>
        <w:t>у редакції постанови Правління Національного банку Ук</w:t>
      </w:r>
      <w:r w:rsidR="00E37D74">
        <w:rPr>
          <w:rFonts w:eastAsiaTheme="minorEastAsia"/>
          <w:noProof/>
          <w:color w:val="000000" w:themeColor="text1"/>
          <w:lang w:eastAsia="en-US"/>
        </w:rPr>
        <w:t xml:space="preserve">раїни </w:t>
      </w:r>
      <w:r w:rsidR="00E37D74" w:rsidRPr="00D45F45">
        <w:rPr>
          <w:rFonts w:eastAsiaTheme="minorEastAsia"/>
          <w:noProof/>
          <w:lang w:eastAsia="en-US"/>
        </w:rPr>
        <w:t>від 26 серпня 2021 року №</w:t>
      </w:r>
      <w:r w:rsidR="00E37D74" w:rsidRPr="00D45F45">
        <w:rPr>
          <w:rFonts w:eastAsiaTheme="minorEastAsia"/>
          <w:noProof/>
          <w:lang w:val="en-US" w:eastAsia="en-US"/>
        </w:rPr>
        <w:t> </w:t>
      </w:r>
      <w:r w:rsidR="00E37D74" w:rsidRPr="00D45F45">
        <w:rPr>
          <w:rFonts w:eastAsiaTheme="minorEastAsia"/>
          <w:noProof/>
          <w:lang w:eastAsia="en-US"/>
        </w:rPr>
        <w:t>90</w:t>
      </w:r>
      <w:r w:rsidRPr="00D45F45">
        <w:rPr>
          <w:rFonts w:eastAsiaTheme="minorEastAsia"/>
          <w:noProof/>
          <w:lang w:eastAsia="en-US"/>
        </w:rPr>
        <w:t>)</w:t>
      </w:r>
      <w:r w:rsidR="00B53C99">
        <w:rPr>
          <w:rFonts w:eastAsiaTheme="minorEastAsia"/>
          <w:noProof/>
          <w:lang w:eastAsia="en-US"/>
        </w:rPr>
        <w:t xml:space="preserve"> (зі змінами)</w:t>
      </w:r>
      <w:r w:rsidRPr="00D45F45">
        <w:rPr>
          <w:rFonts w:eastAsiaTheme="minorEastAsia"/>
          <w:noProof/>
          <w:lang w:eastAsia="en-US"/>
        </w:rPr>
        <w:t xml:space="preserve">, </w:t>
      </w:r>
      <w:r w:rsidRPr="008B44E3">
        <w:rPr>
          <w:rFonts w:eastAsiaTheme="minorEastAsia"/>
          <w:noProof/>
          <w:color w:val="000000" w:themeColor="text1"/>
          <w:lang w:eastAsia="en-US"/>
        </w:rPr>
        <w:t>пункт</w:t>
      </w:r>
      <w:r w:rsidR="00D54F30">
        <w:rPr>
          <w:rFonts w:eastAsiaTheme="minorEastAsia"/>
          <w:noProof/>
          <w:color w:val="000000" w:themeColor="text1"/>
          <w:lang w:eastAsia="en-US"/>
        </w:rPr>
        <w:t>у</w:t>
      </w:r>
      <w:r w:rsidRPr="008B44E3">
        <w:rPr>
          <w:rFonts w:eastAsiaTheme="minorEastAsia"/>
          <w:noProof/>
          <w:color w:val="000000" w:themeColor="text1"/>
          <w:lang w:eastAsia="en-US"/>
        </w:rPr>
        <w:t xml:space="preserve"> 31 глави 3 розділу ІІ Положення про застосування Національним банком України стандартних інструментів регулювання ліквідності банківської системи, затвердженого постановою Правління Національного банку України від 17 вересня 2015 року № 615 (зі змінами</w:t>
      </w:r>
      <w:r w:rsidRPr="008A5E6C">
        <w:rPr>
          <w:rFonts w:eastAsiaTheme="minorEastAsia"/>
          <w:noProof/>
          <w:color w:val="000000" w:themeColor="text1"/>
          <w:lang w:eastAsia="en-US"/>
        </w:rPr>
        <w:t>)</w:t>
      </w:r>
      <w:r w:rsidR="00D54F30">
        <w:rPr>
          <w:rFonts w:eastAsiaTheme="minorEastAsia"/>
          <w:noProof/>
          <w:color w:val="000000" w:themeColor="text1"/>
          <w:lang w:eastAsia="en-US"/>
        </w:rPr>
        <w:t>,</w:t>
      </w:r>
      <w:r w:rsidR="00964AAE" w:rsidRPr="008A5E6C">
        <w:rPr>
          <w:rFonts w:eastAsiaTheme="minorEastAsia"/>
          <w:noProof/>
          <w:color w:val="000000" w:themeColor="text1"/>
          <w:lang w:eastAsia="en-US"/>
        </w:rPr>
        <w:t xml:space="preserve"> та вимог постанови Правління Національного банку України від 24</w:t>
      </w:r>
      <w:r w:rsidR="00D54F30">
        <w:rPr>
          <w:rFonts w:eastAsiaTheme="minorEastAsia"/>
          <w:noProof/>
          <w:color w:val="000000" w:themeColor="text1"/>
          <w:lang w:eastAsia="en-US"/>
        </w:rPr>
        <w:t xml:space="preserve"> лютого </w:t>
      </w:r>
      <w:r w:rsidR="00964AAE" w:rsidRPr="008A5E6C">
        <w:rPr>
          <w:rFonts w:eastAsiaTheme="minorEastAsia"/>
          <w:noProof/>
          <w:color w:val="000000" w:themeColor="text1"/>
          <w:lang w:eastAsia="en-US"/>
        </w:rPr>
        <w:t>2022</w:t>
      </w:r>
      <w:r w:rsidR="00D54F30">
        <w:rPr>
          <w:rFonts w:eastAsiaTheme="minorEastAsia"/>
          <w:noProof/>
          <w:color w:val="000000" w:themeColor="text1"/>
          <w:lang w:eastAsia="en-US"/>
        </w:rPr>
        <w:t xml:space="preserve"> року</w:t>
      </w:r>
      <w:r w:rsidR="00964AAE" w:rsidRPr="008A5E6C">
        <w:rPr>
          <w:rFonts w:eastAsiaTheme="minorEastAsia"/>
          <w:noProof/>
          <w:color w:val="000000" w:themeColor="text1"/>
          <w:lang w:eastAsia="en-US"/>
        </w:rPr>
        <w:t xml:space="preserve"> №</w:t>
      </w:r>
      <w:r w:rsidR="00D54F30">
        <w:rPr>
          <w:rFonts w:eastAsiaTheme="minorEastAsia"/>
          <w:noProof/>
          <w:color w:val="000000" w:themeColor="text1"/>
          <w:lang w:eastAsia="en-US"/>
        </w:rPr>
        <w:t> </w:t>
      </w:r>
      <w:r w:rsidR="00964AAE" w:rsidRPr="008A5E6C">
        <w:rPr>
          <w:rFonts w:eastAsiaTheme="minorEastAsia"/>
          <w:noProof/>
          <w:color w:val="000000" w:themeColor="text1"/>
          <w:lang w:eastAsia="en-US"/>
        </w:rPr>
        <w:t xml:space="preserve">22 “Про особливості </w:t>
      </w:r>
      <w:r w:rsidR="00D54F30">
        <w:rPr>
          <w:rFonts w:eastAsiaTheme="minorEastAsia"/>
          <w:noProof/>
          <w:color w:val="000000" w:themeColor="text1"/>
          <w:lang w:eastAsia="en-US"/>
        </w:rPr>
        <w:t>регулювання</w:t>
      </w:r>
      <w:r w:rsidR="00D54F30" w:rsidRPr="008A5E6C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964AAE" w:rsidRPr="008A5E6C">
        <w:rPr>
          <w:rFonts w:eastAsiaTheme="minorEastAsia"/>
          <w:noProof/>
          <w:color w:val="000000" w:themeColor="text1"/>
          <w:lang w:eastAsia="en-US"/>
        </w:rPr>
        <w:t xml:space="preserve">ліквідності банків </w:t>
      </w:r>
      <w:r w:rsidR="00E53662">
        <w:rPr>
          <w:rFonts w:eastAsiaTheme="minorEastAsia"/>
          <w:noProof/>
          <w:color w:val="000000" w:themeColor="text1"/>
          <w:lang w:eastAsia="en-US"/>
        </w:rPr>
        <w:t>у</w:t>
      </w:r>
      <w:r w:rsidR="00964AAE" w:rsidRPr="008A5E6C">
        <w:rPr>
          <w:rFonts w:eastAsiaTheme="minorEastAsia"/>
          <w:noProof/>
          <w:color w:val="000000" w:themeColor="text1"/>
          <w:lang w:eastAsia="en-US"/>
        </w:rPr>
        <w:t xml:space="preserve"> період дії воєнного стану” (зі змінами)</w:t>
      </w:r>
      <w:r w:rsidR="00423068" w:rsidRPr="008A5E6C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470271" w:rsidRPr="008A5E6C">
        <w:rPr>
          <w:color w:val="000000" w:themeColor="text1"/>
        </w:rPr>
        <w:t xml:space="preserve">Правління </w:t>
      </w:r>
      <w:r w:rsidR="00470271" w:rsidRPr="00487BC2">
        <w:t>Національного банку України</w:t>
      </w:r>
      <w:r w:rsidR="00470271" w:rsidRPr="00487BC2">
        <w:rPr>
          <w:b/>
        </w:rPr>
        <w:t xml:space="preserve"> вирішило:</w:t>
      </w:r>
    </w:p>
    <w:p w14:paraId="3B2C1768" w14:textId="77777777" w:rsidR="0009302B" w:rsidRPr="008A5E6C" w:rsidRDefault="0009302B" w:rsidP="0009302B">
      <w:pPr>
        <w:pStyle w:val="af3"/>
        <w:spacing w:before="240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1. </w:t>
      </w:r>
      <w:r w:rsidR="008B44E3" w:rsidRPr="008B44E3">
        <w:rPr>
          <w:rFonts w:eastAsiaTheme="minorEastAsia"/>
          <w:noProof/>
          <w:color w:val="000000" w:themeColor="text1"/>
          <w:lang w:eastAsia="en-US"/>
        </w:rPr>
        <w:t xml:space="preserve">Установити, що розмір сталої величини, яка використовується для визначення процентної ставки за короткостроковими кредитами рефінансування строком понад </w:t>
      </w:r>
      <w:r w:rsidR="008B44E3" w:rsidRPr="008A5E6C">
        <w:rPr>
          <w:rFonts w:eastAsiaTheme="minorEastAsia"/>
          <w:noProof/>
          <w:color w:val="000000" w:themeColor="text1"/>
          <w:lang w:eastAsia="en-US"/>
        </w:rPr>
        <w:t>14 днів</w:t>
      </w:r>
      <w:r w:rsidR="002F060E" w:rsidRPr="008A5E6C">
        <w:rPr>
          <w:rFonts w:eastAsiaTheme="minorEastAsia"/>
          <w:noProof/>
          <w:color w:val="000000" w:themeColor="text1"/>
          <w:lang w:eastAsia="en-US"/>
        </w:rPr>
        <w:t>, строком до одного року</w:t>
      </w:r>
      <w:r w:rsidR="008B44E3" w:rsidRPr="008A5E6C">
        <w:rPr>
          <w:rFonts w:eastAsiaTheme="minorEastAsia"/>
          <w:noProof/>
          <w:color w:val="000000" w:themeColor="text1"/>
          <w:lang w:eastAsia="en-US"/>
        </w:rPr>
        <w:t xml:space="preserve"> та довгостроковими кредитами рефінансування, визначається:  </w:t>
      </w:r>
    </w:p>
    <w:p w14:paraId="258AD004" w14:textId="77777777" w:rsidR="0009302B" w:rsidRPr="008A5E6C" w:rsidRDefault="008B44E3" w:rsidP="0009302B">
      <w:pPr>
        <w:pStyle w:val="af3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</w:pPr>
      <w:r w:rsidRPr="008A5E6C">
        <w:rPr>
          <w:rFonts w:eastAsiaTheme="minorEastAsia"/>
          <w:noProof/>
          <w:color w:val="000000" w:themeColor="text1"/>
          <w:lang w:eastAsia="en-US"/>
        </w:rPr>
        <w:t xml:space="preserve">для кількісного тендера – </w:t>
      </w:r>
      <w:r w:rsidR="003F1362">
        <w:rPr>
          <w:rFonts w:eastAsiaTheme="minorEastAsia"/>
          <w:noProof/>
          <w:color w:val="000000" w:themeColor="text1"/>
          <w:lang w:eastAsia="en-US"/>
        </w:rPr>
        <w:t>п</w:t>
      </w:r>
      <w:r w:rsidR="003F1362" w:rsidRPr="003F1362">
        <w:rPr>
          <w:rFonts w:eastAsiaTheme="minorEastAsia"/>
          <w:noProof/>
          <w:color w:val="000000" w:themeColor="text1"/>
          <w:lang w:val="ru-RU" w:eastAsia="en-US"/>
        </w:rPr>
        <w:t>’</w:t>
      </w:r>
      <w:r w:rsidR="003F1362">
        <w:rPr>
          <w:rFonts w:eastAsiaTheme="minorEastAsia"/>
          <w:noProof/>
          <w:color w:val="000000" w:themeColor="text1"/>
          <w:lang w:eastAsia="en-US"/>
        </w:rPr>
        <w:t>ять</w:t>
      </w:r>
      <w:r w:rsidRPr="008A5E6C">
        <w:rPr>
          <w:rFonts w:eastAsiaTheme="minorEastAsia"/>
          <w:noProof/>
          <w:color w:val="000000" w:themeColor="text1"/>
          <w:lang w:eastAsia="en-US"/>
        </w:rPr>
        <w:t xml:space="preserve"> процентних пункт</w:t>
      </w:r>
      <w:r w:rsidR="003360F6" w:rsidRPr="008A5E6C">
        <w:rPr>
          <w:rFonts w:eastAsiaTheme="minorEastAsia"/>
          <w:noProof/>
          <w:color w:val="000000" w:themeColor="text1"/>
          <w:lang w:eastAsia="en-US"/>
        </w:rPr>
        <w:t>ів</w:t>
      </w:r>
      <w:r w:rsidRPr="008A5E6C">
        <w:rPr>
          <w:rFonts w:eastAsiaTheme="minorEastAsia"/>
          <w:noProof/>
          <w:color w:val="000000" w:themeColor="text1"/>
          <w:lang w:eastAsia="en-US"/>
        </w:rPr>
        <w:t xml:space="preserve">;  </w:t>
      </w:r>
    </w:p>
    <w:p w14:paraId="595AFE1F" w14:textId="77777777" w:rsidR="001D4193" w:rsidRPr="00487BC2" w:rsidRDefault="008B44E3" w:rsidP="0009302B">
      <w:pPr>
        <w:pStyle w:val="af3"/>
        <w:spacing w:after="240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</w:pPr>
      <w:r w:rsidRPr="008A5E6C">
        <w:rPr>
          <w:rFonts w:eastAsiaTheme="minorEastAsia"/>
          <w:noProof/>
          <w:color w:val="000000" w:themeColor="text1"/>
          <w:lang w:eastAsia="en-US"/>
        </w:rPr>
        <w:t xml:space="preserve">для процентного тендера – на рівні, що дорівнює різниці між процентною ставкою, яку пропонує банк у своїй заявці на участь у тендері, та розміром облікової ставки Національного банку України, що діє на момент проведення тендера, але не менше </w:t>
      </w:r>
      <w:r w:rsidR="003F1362">
        <w:rPr>
          <w:rFonts w:eastAsiaTheme="minorEastAsia"/>
          <w:noProof/>
          <w:color w:val="000000" w:themeColor="text1"/>
          <w:lang w:eastAsia="en-US"/>
        </w:rPr>
        <w:t>п</w:t>
      </w:r>
      <w:r w:rsidR="003F1362" w:rsidRPr="003F1362">
        <w:rPr>
          <w:rFonts w:eastAsiaTheme="minorEastAsia"/>
          <w:noProof/>
          <w:color w:val="000000" w:themeColor="text1"/>
          <w:lang w:val="ru-RU" w:eastAsia="en-US"/>
        </w:rPr>
        <w:t>’</w:t>
      </w:r>
      <w:r w:rsidR="003F1362">
        <w:rPr>
          <w:rFonts w:eastAsiaTheme="minorEastAsia"/>
          <w:noProof/>
          <w:color w:val="000000" w:themeColor="text1"/>
          <w:lang w:eastAsia="en-US"/>
        </w:rPr>
        <w:t>я</w:t>
      </w:r>
      <w:r w:rsidR="00EE587B" w:rsidRPr="008A5E6C">
        <w:rPr>
          <w:rFonts w:eastAsiaTheme="minorEastAsia"/>
          <w:noProof/>
          <w:color w:val="000000" w:themeColor="text1"/>
          <w:lang w:eastAsia="en-US"/>
        </w:rPr>
        <w:t>ти</w:t>
      </w:r>
      <w:r w:rsidR="00CC34D7" w:rsidRPr="008A5E6C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8A5E6C">
        <w:rPr>
          <w:rFonts w:eastAsiaTheme="minorEastAsia"/>
          <w:noProof/>
          <w:color w:val="000000" w:themeColor="text1"/>
          <w:lang w:eastAsia="en-US"/>
        </w:rPr>
        <w:t xml:space="preserve">процентних </w:t>
      </w:r>
      <w:r>
        <w:rPr>
          <w:rFonts w:eastAsiaTheme="minorEastAsia"/>
          <w:noProof/>
          <w:color w:val="000000" w:themeColor="text1"/>
          <w:lang w:eastAsia="en-US"/>
        </w:rPr>
        <w:t>пунктів</w:t>
      </w:r>
      <w:r w:rsidR="001742F1" w:rsidRPr="001742F1">
        <w:rPr>
          <w:noProof/>
          <w:lang w:val="ru-RU"/>
        </w:rPr>
        <w:t>.</w:t>
      </w:r>
    </w:p>
    <w:p w14:paraId="12D3CED8" w14:textId="77777777" w:rsidR="00A2037B" w:rsidRPr="00487BC2" w:rsidRDefault="00D75789" w:rsidP="0009302B">
      <w:pPr>
        <w:pStyle w:val="af3"/>
        <w:spacing w:before="240" w:after="240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</w:pPr>
      <w:r w:rsidRPr="00D75789">
        <w:rPr>
          <w:rFonts w:eastAsiaTheme="minorEastAsia"/>
          <w:noProof/>
          <w:color w:val="000000" w:themeColor="text1"/>
          <w:lang w:val="ru-RU" w:eastAsia="en-US"/>
        </w:rPr>
        <w:t>2.</w:t>
      </w:r>
      <w:r>
        <w:rPr>
          <w:rFonts w:eastAsiaTheme="minorEastAsia"/>
          <w:noProof/>
          <w:color w:val="000000" w:themeColor="text1"/>
          <w:lang w:val="en-US" w:eastAsia="en-US"/>
        </w:rPr>
        <w:t> </w:t>
      </w:r>
      <w:r w:rsidR="008B44E3" w:rsidRPr="008B44E3">
        <w:rPr>
          <w:rFonts w:eastAsiaTheme="minorEastAsia"/>
          <w:noProof/>
          <w:color w:val="000000" w:themeColor="text1"/>
          <w:lang w:eastAsia="en-US"/>
        </w:rPr>
        <w:t>Визнати таким, що втратило чинність, рішення Правління Н</w:t>
      </w:r>
      <w:r w:rsidR="003F1362">
        <w:rPr>
          <w:rFonts w:eastAsiaTheme="minorEastAsia"/>
          <w:noProof/>
          <w:color w:val="000000" w:themeColor="text1"/>
          <w:lang w:eastAsia="en-US"/>
        </w:rPr>
        <w:t xml:space="preserve">аціонального банку України від </w:t>
      </w:r>
      <w:r w:rsidR="008B44E3" w:rsidRPr="008B44E3">
        <w:rPr>
          <w:rFonts w:eastAsiaTheme="minorEastAsia"/>
          <w:noProof/>
          <w:color w:val="000000" w:themeColor="text1"/>
          <w:lang w:eastAsia="en-US"/>
        </w:rPr>
        <w:t>2</w:t>
      </w:r>
      <w:r w:rsidR="003F1362" w:rsidRPr="003F1362">
        <w:rPr>
          <w:rFonts w:eastAsiaTheme="minorEastAsia"/>
          <w:noProof/>
          <w:color w:val="000000" w:themeColor="text1"/>
          <w:lang w:val="ru-RU" w:eastAsia="en-US"/>
        </w:rPr>
        <w:t>6</w:t>
      </w:r>
      <w:r w:rsidR="008B44E3" w:rsidRPr="008B44E3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3F1362">
        <w:rPr>
          <w:rFonts w:eastAsiaTheme="minorEastAsia"/>
          <w:noProof/>
          <w:color w:val="000000" w:themeColor="text1"/>
          <w:lang w:eastAsia="en-US"/>
        </w:rPr>
        <w:t>жовтня 2023 року № 38</w:t>
      </w:r>
      <w:r w:rsidR="00EE587B">
        <w:rPr>
          <w:rFonts w:eastAsiaTheme="minorEastAsia"/>
          <w:noProof/>
          <w:color w:val="000000" w:themeColor="text1"/>
          <w:lang w:eastAsia="en-US"/>
        </w:rPr>
        <w:t>7</w:t>
      </w:r>
      <w:r w:rsidR="008B44E3" w:rsidRPr="008B44E3">
        <w:rPr>
          <w:rFonts w:eastAsiaTheme="minorEastAsia"/>
          <w:noProof/>
          <w:color w:val="000000" w:themeColor="text1"/>
          <w:lang w:eastAsia="en-US"/>
        </w:rPr>
        <w:t>-рш “</w:t>
      </w:r>
      <w:r w:rsidR="00EE587B" w:rsidRPr="00EE587B">
        <w:rPr>
          <w:rFonts w:eastAsiaTheme="minorEastAsia"/>
          <w:noProof/>
          <w:color w:val="000000" w:themeColor="text1"/>
          <w:lang w:eastAsia="en-US"/>
        </w:rPr>
        <w:t>Про затвердження сталої величини, яка використовується для визначення процентної ставки за кредитами рефінансування понад 14 днів</w:t>
      </w:r>
      <w:r w:rsidR="008B44E3" w:rsidRPr="008B44E3">
        <w:rPr>
          <w:rFonts w:eastAsiaTheme="minorEastAsia"/>
          <w:noProof/>
          <w:color w:val="000000" w:themeColor="text1"/>
          <w:lang w:eastAsia="en-US"/>
        </w:rPr>
        <w:t>”</w:t>
      </w:r>
      <w:r w:rsidR="001742F1" w:rsidRPr="001742F1">
        <w:rPr>
          <w:noProof/>
          <w:lang w:val="ru-RU"/>
        </w:rPr>
        <w:t>.</w:t>
      </w:r>
    </w:p>
    <w:p w14:paraId="62B2F74E" w14:textId="77777777" w:rsidR="00523F5C" w:rsidRDefault="00D75789" w:rsidP="00C46621">
      <w:pPr>
        <w:pStyle w:val="af3"/>
        <w:spacing w:before="240" w:after="240"/>
        <w:ind w:left="0" w:firstLine="567"/>
        <w:contextualSpacing w:val="0"/>
        <w:rPr>
          <w:noProof/>
          <w:lang w:val="ru-RU"/>
        </w:rPr>
      </w:pPr>
      <w:r w:rsidRPr="00D75789">
        <w:rPr>
          <w:rFonts w:eastAsiaTheme="minorEastAsia"/>
          <w:noProof/>
          <w:color w:val="000000" w:themeColor="text1"/>
          <w:lang w:val="ru-RU" w:eastAsia="en-US"/>
        </w:rPr>
        <w:lastRenderedPageBreak/>
        <w:t>3.</w:t>
      </w:r>
      <w:r>
        <w:rPr>
          <w:rFonts w:eastAsiaTheme="minorEastAsia"/>
          <w:noProof/>
          <w:color w:val="000000" w:themeColor="text1"/>
          <w:lang w:val="en-US" w:eastAsia="en-US"/>
        </w:rPr>
        <w:t> </w:t>
      </w:r>
      <w:r w:rsidR="008B44E3" w:rsidRPr="008B44E3">
        <w:rPr>
          <w:rFonts w:eastAsiaTheme="minorEastAsia"/>
          <w:noProof/>
          <w:color w:val="000000" w:themeColor="text1"/>
          <w:lang w:eastAsia="en-US"/>
        </w:rPr>
        <w:t>Департаменту відкритих ринків (Олексій Лупін) довести до відома банків України інформацію про прийняття цього рішення</w:t>
      </w:r>
      <w:r w:rsidR="001742F1" w:rsidRPr="001742F1">
        <w:rPr>
          <w:noProof/>
          <w:lang w:val="ru-RU"/>
        </w:rPr>
        <w:t>.</w:t>
      </w:r>
    </w:p>
    <w:p w14:paraId="06C64614" w14:textId="77777777" w:rsidR="006215C8" w:rsidRDefault="006215C8" w:rsidP="00C46621">
      <w:pPr>
        <w:pStyle w:val="af3"/>
        <w:spacing w:before="240" w:after="240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4. </w:t>
      </w:r>
      <w:r w:rsidR="008B44E3" w:rsidRPr="008B44E3">
        <w:rPr>
          <w:rFonts w:eastAsiaTheme="minorEastAsia"/>
          <w:noProof/>
          <w:color w:val="000000" w:themeColor="text1"/>
          <w:lang w:eastAsia="en-US"/>
        </w:rPr>
        <w:t>Контроль за виконанням цього рішення покласти на заступника Голови Національного банку України Юрія Гелетія</w:t>
      </w:r>
      <w:r w:rsidR="008B44E3">
        <w:rPr>
          <w:rFonts w:eastAsiaTheme="minorEastAsia"/>
          <w:noProof/>
          <w:color w:val="000000" w:themeColor="text1"/>
          <w:lang w:eastAsia="en-US"/>
        </w:rPr>
        <w:t>.</w:t>
      </w:r>
    </w:p>
    <w:p w14:paraId="7F7B1F77" w14:textId="77777777" w:rsidR="008B44E3" w:rsidRPr="00487BC2" w:rsidRDefault="008B44E3" w:rsidP="00C46621">
      <w:pPr>
        <w:pStyle w:val="af3"/>
        <w:spacing w:before="240" w:after="240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5. </w:t>
      </w:r>
      <w:r w:rsidRPr="008B44E3">
        <w:rPr>
          <w:rFonts w:eastAsiaTheme="minorEastAsia"/>
          <w:noProof/>
          <w:color w:val="000000" w:themeColor="text1"/>
          <w:lang w:eastAsia="en-US"/>
        </w:rPr>
        <w:t xml:space="preserve">Рішення набирає чинності з </w:t>
      </w:r>
      <w:r w:rsidR="003F1362">
        <w:rPr>
          <w:rFonts w:eastAsiaTheme="minorEastAsia"/>
          <w:noProof/>
          <w:color w:val="000000" w:themeColor="text1"/>
          <w:lang w:eastAsia="en-US"/>
        </w:rPr>
        <w:t>15 берез</w:t>
      </w:r>
      <w:r w:rsidRPr="008B44E3">
        <w:rPr>
          <w:rFonts w:eastAsiaTheme="minorEastAsia"/>
          <w:noProof/>
          <w:color w:val="000000" w:themeColor="text1"/>
          <w:lang w:eastAsia="en-US"/>
        </w:rPr>
        <w:t>ня 202</w:t>
      </w:r>
      <w:r w:rsidR="003F1362">
        <w:rPr>
          <w:rFonts w:eastAsiaTheme="minorEastAsia"/>
          <w:noProof/>
          <w:color w:val="000000" w:themeColor="text1"/>
          <w:lang w:eastAsia="en-US"/>
        </w:rPr>
        <w:t>4</w:t>
      </w:r>
      <w:r w:rsidRPr="008B44E3">
        <w:rPr>
          <w:rFonts w:eastAsiaTheme="minorEastAsia"/>
          <w:noProof/>
          <w:color w:val="000000" w:themeColor="text1"/>
          <w:lang w:eastAsia="en-US"/>
        </w:rPr>
        <w:t xml:space="preserve"> року</w:t>
      </w:r>
      <w:r>
        <w:rPr>
          <w:rFonts w:eastAsiaTheme="minorEastAsia"/>
          <w:noProof/>
          <w:color w:val="000000" w:themeColor="text1"/>
          <w:lang w:eastAsia="en-US"/>
        </w:rPr>
        <w:t>.</w:t>
      </w:r>
    </w:p>
    <w:p w14:paraId="31730CE5" w14:textId="77777777" w:rsidR="00DF771C" w:rsidRDefault="00DF771C" w:rsidP="00DF771C">
      <w:pPr>
        <w:tabs>
          <w:tab w:val="left" w:pos="993"/>
        </w:tabs>
        <w:spacing w:after="120"/>
      </w:pPr>
    </w:p>
    <w:p w14:paraId="25C27FFD" w14:textId="77777777" w:rsidR="00C46621" w:rsidRDefault="00C46621" w:rsidP="00DF771C">
      <w:pPr>
        <w:tabs>
          <w:tab w:val="left" w:pos="993"/>
        </w:tabs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F771C" w14:paraId="020AABB3" w14:textId="77777777" w:rsidTr="00CA003A">
        <w:tc>
          <w:tcPr>
            <w:tcW w:w="5495" w:type="dxa"/>
            <w:vAlign w:val="bottom"/>
            <w:hideMark/>
          </w:tcPr>
          <w:p w14:paraId="31B4DBBC" w14:textId="77777777" w:rsidR="00DF771C" w:rsidRDefault="008B44E3" w:rsidP="008B44E3">
            <w:pPr>
              <w:autoSpaceDE w:val="0"/>
              <w:autoSpaceDN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Голова</w:t>
            </w:r>
          </w:p>
        </w:tc>
        <w:tc>
          <w:tcPr>
            <w:tcW w:w="4252" w:type="dxa"/>
            <w:vAlign w:val="bottom"/>
            <w:hideMark/>
          </w:tcPr>
          <w:p w14:paraId="025E9870" w14:textId="77777777" w:rsidR="00DF771C" w:rsidRDefault="00EE587B" w:rsidP="0012002E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Андрій ПИШНИЙ</w:t>
            </w:r>
          </w:p>
        </w:tc>
      </w:tr>
    </w:tbl>
    <w:p w14:paraId="6E69AF8B" w14:textId="77777777" w:rsidR="008B44E3" w:rsidRDefault="008B44E3" w:rsidP="00FA508E">
      <w:pPr>
        <w:jc w:val="left"/>
        <w:rPr>
          <w:noProof/>
        </w:rPr>
      </w:pPr>
    </w:p>
    <w:p w14:paraId="67805D34" w14:textId="77777777" w:rsidR="00C46621" w:rsidRDefault="00C46621" w:rsidP="00FA508E">
      <w:pPr>
        <w:jc w:val="left"/>
        <w:rPr>
          <w:noProof/>
        </w:rPr>
      </w:pPr>
    </w:p>
    <w:p w14:paraId="428473E0" w14:textId="77777777" w:rsidR="00FA508E" w:rsidRPr="00487BC2" w:rsidRDefault="00FA508E" w:rsidP="00FA508E">
      <w:pPr>
        <w:jc w:val="left"/>
        <w:rPr>
          <w:noProof/>
        </w:rPr>
      </w:pPr>
      <w:r w:rsidRPr="00487BC2">
        <w:rPr>
          <w:noProof/>
        </w:rPr>
        <w:t>Інд.</w:t>
      </w:r>
      <w:r w:rsidRPr="00487BC2">
        <w:rPr>
          <w:noProof/>
          <w:sz w:val="22"/>
          <w:szCs w:val="22"/>
        </w:rPr>
        <w:t xml:space="preserve"> </w:t>
      </w:r>
      <w:r w:rsidR="008B44E3">
        <w:rPr>
          <w:noProof/>
        </w:rPr>
        <w:t>40</w:t>
      </w:r>
    </w:p>
    <w:sectPr w:rsidR="00FA508E" w:rsidRPr="00487BC2" w:rsidSect="00D54F30">
      <w:headerReference w:type="default" r:id="rId14"/>
      <w:footerReference w:type="first" r:id="rId15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AFBEB" w14:textId="77777777" w:rsidR="00EE36D3" w:rsidRDefault="00EE36D3" w:rsidP="00E53CCD">
      <w:r>
        <w:separator/>
      </w:r>
    </w:p>
  </w:endnote>
  <w:endnote w:type="continuationSeparator" w:id="0">
    <w:p w14:paraId="06AE36B0" w14:textId="77777777" w:rsidR="00EE36D3" w:rsidRDefault="00EE36D3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FA59" w14:textId="77777777" w:rsidR="00EF3001" w:rsidRPr="00EF3001" w:rsidRDefault="00EF3001" w:rsidP="00180821">
    <w:pPr>
      <w:pStyle w:val="a7"/>
      <w:tabs>
        <w:tab w:val="clear" w:pos="4819"/>
      </w:tabs>
      <w:jc w:val="right"/>
      <w:rPr>
        <w:color w:val="FFFFFF" w:themeColor="background1"/>
      </w:rPr>
    </w:pPr>
    <w:r w:rsidRPr="00EF3001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FDB75" w14:textId="77777777" w:rsidR="00EE36D3" w:rsidRDefault="00EE36D3" w:rsidP="00E53CCD">
      <w:r>
        <w:separator/>
      </w:r>
    </w:p>
  </w:footnote>
  <w:footnote w:type="continuationSeparator" w:id="0">
    <w:p w14:paraId="1B9E51AD" w14:textId="77777777" w:rsidR="00EE36D3" w:rsidRDefault="00EE36D3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4826436F" w14:textId="548802B2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C40045">
          <w:rPr>
            <w:noProof/>
          </w:rPr>
          <w:t>2</w:t>
        </w:r>
        <w:r>
          <w:fldChar w:fldCharType="end"/>
        </w:r>
      </w:p>
    </w:sdtContent>
  </w:sdt>
  <w:p w14:paraId="7EF5D230" w14:textId="77777777" w:rsidR="00460BA2" w:rsidRDefault="00460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184D71"/>
    <w:multiLevelType w:val="hybridMultilevel"/>
    <w:tmpl w:val="3F109C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C30088F"/>
    <w:multiLevelType w:val="hybridMultilevel"/>
    <w:tmpl w:val="2354A8BE"/>
    <w:lvl w:ilvl="0" w:tplc="34E0E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2C42"/>
    <w:rsid w:val="000064FA"/>
    <w:rsid w:val="000069AF"/>
    <w:rsid w:val="00007592"/>
    <w:rsid w:val="000146CA"/>
    <w:rsid w:val="00015CF3"/>
    <w:rsid w:val="00015FDE"/>
    <w:rsid w:val="0003331E"/>
    <w:rsid w:val="000342A5"/>
    <w:rsid w:val="0003793C"/>
    <w:rsid w:val="000422EA"/>
    <w:rsid w:val="000543C6"/>
    <w:rsid w:val="000574CE"/>
    <w:rsid w:val="00057A5C"/>
    <w:rsid w:val="000600A8"/>
    <w:rsid w:val="00062C3E"/>
    <w:rsid w:val="00063480"/>
    <w:rsid w:val="000679F5"/>
    <w:rsid w:val="00073C85"/>
    <w:rsid w:val="000815F8"/>
    <w:rsid w:val="0009302B"/>
    <w:rsid w:val="000B2990"/>
    <w:rsid w:val="000D778F"/>
    <w:rsid w:val="000E0CB3"/>
    <w:rsid w:val="000E5B8C"/>
    <w:rsid w:val="001039CA"/>
    <w:rsid w:val="0012002E"/>
    <w:rsid w:val="001359C4"/>
    <w:rsid w:val="001622C4"/>
    <w:rsid w:val="001631E2"/>
    <w:rsid w:val="001740C0"/>
    <w:rsid w:val="001742F1"/>
    <w:rsid w:val="00180821"/>
    <w:rsid w:val="00190E1A"/>
    <w:rsid w:val="001A0EE5"/>
    <w:rsid w:val="001A16FA"/>
    <w:rsid w:val="001A4CB9"/>
    <w:rsid w:val="001A6795"/>
    <w:rsid w:val="001C206C"/>
    <w:rsid w:val="001C5904"/>
    <w:rsid w:val="001D4193"/>
    <w:rsid w:val="001D487A"/>
    <w:rsid w:val="0022003C"/>
    <w:rsid w:val="002238D1"/>
    <w:rsid w:val="00241373"/>
    <w:rsid w:val="00253BF9"/>
    <w:rsid w:val="00264983"/>
    <w:rsid w:val="00266678"/>
    <w:rsid w:val="00276988"/>
    <w:rsid w:val="00280DCC"/>
    <w:rsid w:val="00285DDA"/>
    <w:rsid w:val="00290F65"/>
    <w:rsid w:val="002B351E"/>
    <w:rsid w:val="002B3F71"/>
    <w:rsid w:val="002B582B"/>
    <w:rsid w:val="002C1FDB"/>
    <w:rsid w:val="002C2894"/>
    <w:rsid w:val="002C5E1E"/>
    <w:rsid w:val="002D1790"/>
    <w:rsid w:val="002F060E"/>
    <w:rsid w:val="002F48EF"/>
    <w:rsid w:val="00327035"/>
    <w:rsid w:val="003360F6"/>
    <w:rsid w:val="00340D07"/>
    <w:rsid w:val="00345982"/>
    <w:rsid w:val="00356E34"/>
    <w:rsid w:val="00357676"/>
    <w:rsid w:val="00363171"/>
    <w:rsid w:val="0038385E"/>
    <w:rsid w:val="00384F65"/>
    <w:rsid w:val="0039725C"/>
    <w:rsid w:val="003A751F"/>
    <w:rsid w:val="003C3282"/>
    <w:rsid w:val="003C3985"/>
    <w:rsid w:val="003F0441"/>
    <w:rsid w:val="003F1362"/>
    <w:rsid w:val="003F28B5"/>
    <w:rsid w:val="003F7093"/>
    <w:rsid w:val="00401EDB"/>
    <w:rsid w:val="00404C93"/>
    <w:rsid w:val="00407877"/>
    <w:rsid w:val="004130B9"/>
    <w:rsid w:val="004222C8"/>
    <w:rsid w:val="00423068"/>
    <w:rsid w:val="00445DA2"/>
    <w:rsid w:val="00455B45"/>
    <w:rsid w:val="00460BA2"/>
    <w:rsid w:val="00470271"/>
    <w:rsid w:val="00487BC2"/>
    <w:rsid w:val="004A1CFC"/>
    <w:rsid w:val="004A7F75"/>
    <w:rsid w:val="004B1FE9"/>
    <w:rsid w:val="004B5574"/>
    <w:rsid w:val="004E22E2"/>
    <w:rsid w:val="004E74F5"/>
    <w:rsid w:val="004F2BC6"/>
    <w:rsid w:val="0050563F"/>
    <w:rsid w:val="00505B10"/>
    <w:rsid w:val="0051774A"/>
    <w:rsid w:val="00523C13"/>
    <w:rsid w:val="00523F5C"/>
    <w:rsid w:val="005257C2"/>
    <w:rsid w:val="00532633"/>
    <w:rsid w:val="005403F1"/>
    <w:rsid w:val="00542533"/>
    <w:rsid w:val="005538D2"/>
    <w:rsid w:val="005624B6"/>
    <w:rsid w:val="0057237F"/>
    <w:rsid w:val="00577402"/>
    <w:rsid w:val="00597AB6"/>
    <w:rsid w:val="005A0F4B"/>
    <w:rsid w:val="005A1D3C"/>
    <w:rsid w:val="005A2D93"/>
    <w:rsid w:val="005A3F34"/>
    <w:rsid w:val="005B2D03"/>
    <w:rsid w:val="005C5CBF"/>
    <w:rsid w:val="005D45F5"/>
    <w:rsid w:val="005E3FA8"/>
    <w:rsid w:val="005E6C19"/>
    <w:rsid w:val="005F4CB4"/>
    <w:rsid w:val="006017BA"/>
    <w:rsid w:val="006215C8"/>
    <w:rsid w:val="00624863"/>
    <w:rsid w:val="00640612"/>
    <w:rsid w:val="0064227D"/>
    <w:rsid w:val="0065179F"/>
    <w:rsid w:val="00670C95"/>
    <w:rsid w:val="006754CA"/>
    <w:rsid w:val="00686B35"/>
    <w:rsid w:val="006925CE"/>
    <w:rsid w:val="00692C8C"/>
    <w:rsid w:val="006A1B37"/>
    <w:rsid w:val="006B2748"/>
    <w:rsid w:val="006B465F"/>
    <w:rsid w:val="006C0F22"/>
    <w:rsid w:val="006C13B1"/>
    <w:rsid w:val="006C4176"/>
    <w:rsid w:val="006C66EF"/>
    <w:rsid w:val="006D2617"/>
    <w:rsid w:val="006D4908"/>
    <w:rsid w:val="006F06FF"/>
    <w:rsid w:val="00700AA3"/>
    <w:rsid w:val="0071789F"/>
    <w:rsid w:val="00730088"/>
    <w:rsid w:val="00746401"/>
    <w:rsid w:val="00751BA7"/>
    <w:rsid w:val="00755860"/>
    <w:rsid w:val="0078127A"/>
    <w:rsid w:val="00783AF2"/>
    <w:rsid w:val="007A1752"/>
    <w:rsid w:val="007A6609"/>
    <w:rsid w:val="007A7FDF"/>
    <w:rsid w:val="007C2CED"/>
    <w:rsid w:val="007D1C2C"/>
    <w:rsid w:val="008020FB"/>
    <w:rsid w:val="00802988"/>
    <w:rsid w:val="008244E7"/>
    <w:rsid w:val="0085364B"/>
    <w:rsid w:val="00853BE7"/>
    <w:rsid w:val="00864994"/>
    <w:rsid w:val="00866993"/>
    <w:rsid w:val="00874366"/>
    <w:rsid w:val="008762D8"/>
    <w:rsid w:val="00885961"/>
    <w:rsid w:val="00894D28"/>
    <w:rsid w:val="00897035"/>
    <w:rsid w:val="008A5E6C"/>
    <w:rsid w:val="008B1A65"/>
    <w:rsid w:val="008B44E3"/>
    <w:rsid w:val="008D10FD"/>
    <w:rsid w:val="008D122F"/>
    <w:rsid w:val="008D5F60"/>
    <w:rsid w:val="008D727F"/>
    <w:rsid w:val="008F0210"/>
    <w:rsid w:val="008F2600"/>
    <w:rsid w:val="008F5D52"/>
    <w:rsid w:val="008F5FEC"/>
    <w:rsid w:val="008F68C1"/>
    <w:rsid w:val="00904F17"/>
    <w:rsid w:val="00922966"/>
    <w:rsid w:val="009258D8"/>
    <w:rsid w:val="00937AE3"/>
    <w:rsid w:val="00937D24"/>
    <w:rsid w:val="0094046D"/>
    <w:rsid w:val="00943175"/>
    <w:rsid w:val="0095741D"/>
    <w:rsid w:val="00964AAE"/>
    <w:rsid w:val="00967711"/>
    <w:rsid w:val="0097288F"/>
    <w:rsid w:val="009812F4"/>
    <w:rsid w:val="0098207E"/>
    <w:rsid w:val="009B6120"/>
    <w:rsid w:val="009C2F76"/>
    <w:rsid w:val="009E5BFD"/>
    <w:rsid w:val="009F5312"/>
    <w:rsid w:val="00A01F95"/>
    <w:rsid w:val="00A0594A"/>
    <w:rsid w:val="00A12C47"/>
    <w:rsid w:val="00A2037B"/>
    <w:rsid w:val="00A23E04"/>
    <w:rsid w:val="00A50DC0"/>
    <w:rsid w:val="00A542E0"/>
    <w:rsid w:val="00A609BC"/>
    <w:rsid w:val="00A64927"/>
    <w:rsid w:val="00A72F06"/>
    <w:rsid w:val="00A730F2"/>
    <w:rsid w:val="00A755E8"/>
    <w:rsid w:val="00A77FFD"/>
    <w:rsid w:val="00AB4554"/>
    <w:rsid w:val="00AC47B6"/>
    <w:rsid w:val="00AD0504"/>
    <w:rsid w:val="00AE2CAF"/>
    <w:rsid w:val="00AF06D5"/>
    <w:rsid w:val="00AF33D9"/>
    <w:rsid w:val="00B332B2"/>
    <w:rsid w:val="00B34CCC"/>
    <w:rsid w:val="00B34FF5"/>
    <w:rsid w:val="00B36EC7"/>
    <w:rsid w:val="00B36EDD"/>
    <w:rsid w:val="00B53C99"/>
    <w:rsid w:val="00B628C5"/>
    <w:rsid w:val="00B632BD"/>
    <w:rsid w:val="00B71933"/>
    <w:rsid w:val="00B8078D"/>
    <w:rsid w:val="00BC128A"/>
    <w:rsid w:val="00BC41DB"/>
    <w:rsid w:val="00BD12A3"/>
    <w:rsid w:val="00BD25A1"/>
    <w:rsid w:val="00BF47B0"/>
    <w:rsid w:val="00BF5224"/>
    <w:rsid w:val="00BF5327"/>
    <w:rsid w:val="00C21D33"/>
    <w:rsid w:val="00C32E1D"/>
    <w:rsid w:val="00C37498"/>
    <w:rsid w:val="00C40045"/>
    <w:rsid w:val="00C4377C"/>
    <w:rsid w:val="00C46621"/>
    <w:rsid w:val="00C46F29"/>
    <w:rsid w:val="00C47F0F"/>
    <w:rsid w:val="00C5099B"/>
    <w:rsid w:val="00C51D84"/>
    <w:rsid w:val="00C52506"/>
    <w:rsid w:val="00C7167B"/>
    <w:rsid w:val="00C82259"/>
    <w:rsid w:val="00C94014"/>
    <w:rsid w:val="00CA003A"/>
    <w:rsid w:val="00CA174B"/>
    <w:rsid w:val="00CB0A99"/>
    <w:rsid w:val="00CC34D7"/>
    <w:rsid w:val="00CC3E16"/>
    <w:rsid w:val="00CE3B9F"/>
    <w:rsid w:val="00CF0054"/>
    <w:rsid w:val="00CF2C65"/>
    <w:rsid w:val="00D00D4F"/>
    <w:rsid w:val="00D0243F"/>
    <w:rsid w:val="00D1605E"/>
    <w:rsid w:val="00D34DCC"/>
    <w:rsid w:val="00D37F10"/>
    <w:rsid w:val="00D45F45"/>
    <w:rsid w:val="00D47347"/>
    <w:rsid w:val="00D54F30"/>
    <w:rsid w:val="00D75789"/>
    <w:rsid w:val="00D821E0"/>
    <w:rsid w:val="00DC1E60"/>
    <w:rsid w:val="00DD1AC3"/>
    <w:rsid w:val="00DD60CC"/>
    <w:rsid w:val="00DF771C"/>
    <w:rsid w:val="00E10AE2"/>
    <w:rsid w:val="00E13BC3"/>
    <w:rsid w:val="00E21875"/>
    <w:rsid w:val="00E25407"/>
    <w:rsid w:val="00E32599"/>
    <w:rsid w:val="00E33B0E"/>
    <w:rsid w:val="00E37D74"/>
    <w:rsid w:val="00E417AB"/>
    <w:rsid w:val="00E446A6"/>
    <w:rsid w:val="00E53662"/>
    <w:rsid w:val="00E53CB5"/>
    <w:rsid w:val="00E53CCD"/>
    <w:rsid w:val="00E670CF"/>
    <w:rsid w:val="00E71855"/>
    <w:rsid w:val="00E719A9"/>
    <w:rsid w:val="00E81D81"/>
    <w:rsid w:val="00E94E17"/>
    <w:rsid w:val="00EA1DE4"/>
    <w:rsid w:val="00EA60EA"/>
    <w:rsid w:val="00EB29BF"/>
    <w:rsid w:val="00EB3662"/>
    <w:rsid w:val="00EC0327"/>
    <w:rsid w:val="00EC358D"/>
    <w:rsid w:val="00EE36D3"/>
    <w:rsid w:val="00EE587B"/>
    <w:rsid w:val="00EF3001"/>
    <w:rsid w:val="00F003D3"/>
    <w:rsid w:val="00F008AB"/>
    <w:rsid w:val="00F03E32"/>
    <w:rsid w:val="00F21ACC"/>
    <w:rsid w:val="00F22D27"/>
    <w:rsid w:val="00F42E75"/>
    <w:rsid w:val="00F517FA"/>
    <w:rsid w:val="00F52D16"/>
    <w:rsid w:val="00F62D67"/>
    <w:rsid w:val="00F63BD9"/>
    <w:rsid w:val="00F64762"/>
    <w:rsid w:val="00F6694C"/>
    <w:rsid w:val="00F700A0"/>
    <w:rsid w:val="00F8145F"/>
    <w:rsid w:val="00F8349A"/>
    <w:rsid w:val="00F9283D"/>
    <w:rsid w:val="00F92AB8"/>
    <w:rsid w:val="00F96F18"/>
    <w:rsid w:val="00FA508E"/>
    <w:rsid w:val="00FA5320"/>
    <w:rsid w:val="00FA7846"/>
    <w:rsid w:val="00FC26E5"/>
    <w:rsid w:val="00FD19F1"/>
    <w:rsid w:val="00FD370F"/>
    <w:rsid w:val="00FD72DB"/>
    <w:rsid w:val="00FE0B90"/>
    <w:rsid w:val="00FF1D5C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0CBDCB5"/>
  <w15:docId w15:val="{2E968BEB-DBDD-45BD-9244-56F9F947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B53C9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53C99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B53C99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53C99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B53C99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3482A2-DF2C-4457-BE6A-2B6191A58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207D9-E9B2-4795-85D9-F103AECC9128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3CD591-7252-4A4C-A2CF-13AFBF5C0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9FC461C-FA04-4673-97BA-81115756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1441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Закренична Анна Володимирівна</cp:lastModifiedBy>
  <cp:revision>3</cp:revision>
  <cp:lastPrinted>2022-06-02T13:53:00Z</cp:lastPrinted>
  <dcterms:created xsi:type="dcterms:W3CDTF">2024-04-29T12:55:00Z</dcterms:created>
  <dcterms:modified xsi:type="dcterms:W3CDTF">2024-04-29T12:56:00Z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