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136407" w:rsidRDefault="00FA7846" w:rsidP="00FA7846">
      <w:pPr>
        <w:rPr>
          <w:sz w:val="2"/>
          <w:szCs w:val="2"/>
          <w:lang w:val="en-US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698672590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  <w:bookmarkStart w:id="0" w:name="_GoBack"/>
        <w:bookmarkEnd w:id="0"/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27"/>
        <w:gridCol w:w="1680"/>
        <w:gridCol w:w="1892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0D18D4F5" w:rsidR="00657593" w:rsidRPr="00566BA2" w:rsidRDefault="000A2CBA" w:rsidP="00E054A9">
            <w:r>
              <w:t>15 листопада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6B2B1CCA" w:rsidR="00657593" w:rsidRPr="008274C0" w:rsidRDefault="000A2CBA" w:rsidP="00E62607">
            <w:pPr>
              <w:jc w:val="right"/>
              <w:rPr>
                <w:lang w:val="en-US"/>
              </w:rPr>
            </w:pPr>
            <w:r>
              <w:rPr>
                <w:color w:val="FFFFFF" w:themeColor="background1"/>
              </w:rPr>
              <w:t>№ №</w:t>
            </w:r>
            <w:r w:rsidR="008274C0"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1C290F41" w:rsidR="00657593" w:rsidRDefault="000A2CBA" w:rsidP="00290169">
            <w:pPr>
              <w:jc w:val="left"/>
            </w:pPr>
            <w:r>
              <w:t>№ 119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4040A237" w14:textId="77777777" w:rsidR="002D7AAB" w:rsidRDefault="005756BE" w:rsidP="002D7AAB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визнання такими, що втратили чинність, </w:t>
            </w:r>
          </w:p>
          <w:p w14:paraId="068E5893" w14:textId="77777777" w:rsidR="002D7AAB" w:rsidRDefault="005756BE" w:rsidP="002D7AAB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деяких нормативно-правових актів </w:t>
            </w:r>
          </w:p>
          <w:p w14:paraId="32B2F6BB" w14:textId="554D038F" w:rsidR="002B3F71" w:rsidRPr="00CD0CD4" w:rsidRDefault="005756BE" w:rsidP="002D7AAB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Національного банку України</w:t>
            </w:r>
          </w:p>
        </w:tc>
      </w:tr>
    </w:tbl>
    <w:p w14:paraId="32B2F6BD" w14:textId="3D917CBB" w:rsidR="00E53CCD" w:rsidRDefault="005756BE" w:rsidP="00E62607">
      <w:pPr>
        <w:spacing w:before="240" w:after="240"/>
        <w:ind w:firstLine="709"/>
        <w:rPr>
          <w:b/>
        </w:rPr>
      </w:pPr>
      <w:r>
        <w:rPr>
          <w:rFonts w:eastAsiaTheme="minorEastAsia"/>
          <w:color w:val="000000" w:themeColor="text1"/>
          <w:lang w:eastAsia="en-US"/>
        </w:rPr>
        <w:t xml:space="preserve">Відповідно до статей 15, 56 Закону </w:t>
      </w:r>
      <w:r w:rsidR="006723D7">
        <w:rPr>
          <w:rFonts w:eastAsiaTheme="minorEastAsia"/>
          <w:color w:val="000000" w:themeColor="text1"/>
          <w:lang w:eastAsia="en-US"/>
        </w:rPr>
        <w:t>України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 w:rsidR="00147771" w:rsidRPr="00BA02F1">
        <w:rPr>
          <w:lang w:eastAsia="ru-RU"/>
        </w:rPr>
        <w:t>“</w:t>
      </w:r>
      <w:r>
        <w:rPr>
          <w:rFonts w:eastAsiaTheme="minorEastAsia"/>
          <w:color w:val="000000" w:themeColor="text1"/>
          <w:lang w:eastAsia="en-US"/>
        </w:rPr>
        <w:t>Про Національний банк України</w:t>
      </w:r>
      <w:r w:rsidR="00147771" w:rsidRPr="00147771">
        <w:t>”</w:t>
      </w:r>
      <w:r>
        <w:rPr>
          <w:rFonts w:eastAsiaTheme="minorEastAsia"/>
          <w:color w:val="000000" w:themeColor="text1"/>
          <w:lang w:eastAsia="en-US"/>
        </w:rPr>
        <w:t xml:space="preserve"> та з метою реалізації </w:t>
      </w:r>
      <w:r w:rsidRPr="0040271C">
        <w:rPr>
          <w:rFonts w:eastAsiaTheme="minorEastAsia"/>
          <w:color w:val="000000" w:themeColor="text1"/>
          <w:lang w:eastAsia="en-US"/>
        </w:rPr>
        <w:t xml:space="preserve">вимог Закону України </w:t>
      </w:r>
      <w:r w:rsidR="00606629" w:rsidRPr="0040271C">
        <w:rPr>
          <w:rFonts w:eastAsiaTheme="minorEastAsia"/>
          <w:color w:val="000000" w:themeColor="text1"/>
          <w:lang w:eastAsia="en-US"/>
        </w:rPr>
        <w:t>від 01 липня 2021 року №</w:t>
      </w:r>
      <w:r w:rsidR="00606629">
        <w:rPr>
          <w:rFonts w:eastAsiaTheme="minorEastAsia"/>
          <w:color w:val="000000" w:themeColor="text1"/>
          <w:lang w:eastAsia="en-US"/>
        </w:rPr>
        <w:t> </w:t>
      </w:r>
      <w:r w:rsidR="00606629" w:rsidRPr="0040271C">
        <w:rPr>
          <w:rFonts w:eastAsiaTheme="minorEastAsia"/>
          <w:color w:val="000000" w:themeColor="text1"/>
          <w:lang w:eastAsia="en-US"/>
        </w:rPr>
        <w:t>1618-ІХ</w:t>
      </w:r>
      <w:r w:rsidR="00606629" w:rsidRPr="0040271C">
        <w:rPr>
          <w:color w:val="000000"/>
          <w:sz w:val="24"/>
          <w:szCs w:val="24"/>
          <w:lang w:eastAsia="ru-RU"/>
        </w:rPr>
        <w:t xml:space="preserve"> </w:t>
      </w:r>
      <w:r w:rsidR="00147771" w:rsidRPr="0040271C">
        <w:rPr>
          <w:lang w:eastAsia="ru-RU"/>
        </w:rPr>
        <w:t>“</w:t>
      </w:r>
      <w:r w:rsidRPr="0040271C">
        <w:rPr>
          <w:rFonts w:eastAsiaTheme="minorEastAsia"/>
          <w:color w:val="000000" w:themeColor="text1"/>
          <w:lang w:eastAsia="en-US"/>
        </w:rPr>
        <w:t xml:space="preserve">Про </w:t>
      </w:r>
      <w:r w:rsidR="006723D7" w:rsidRPr="0040271C">
        <w:t xml:space="preserve">визнання таким, що втратив чинність, Закону України </w:t>
      </w:r>
      <w:r w:rsidR="00147771" w:rsidRPr="0040271C">
        <w:rPr>
          <w:lang w:eastAsia="ru-RU"/>
        </w:rPr>
        <w:t>“</w:t>
      </w:r>
      <w:r w:rsidR="006723D7" w:rsidRPr="0040271C">
        <w:t xml:space="preserve">Про створення вільної економічної зони </w:t>
      </w:r>
      <w:r w:rsidR="00147771" w:rsidRPr="0040271C">
        <w:rPr>
          <w:lang w:eastAsia="ru-RU"/>
        </w:rPr>
        <w:t>“</w:t>
      </w:r>
      <w:r w:rsidR="006723D7" w:rsidRPr="0040271C">
        <w:t>Крим</w:t>
      </w:r>
      <w:r w:rsidR="00147771" w:rsidRPr="0040271C">
        <w:t>”</w:t>
      </w:r>
      <w:r w:rsidR="006723D7" w:rsidRPr="0040271C">
        <w:t xml:space="preserve"> та про особливості здійснення</w:t>
      </w:r>
      <w:r w:rsidR="006723D7">
        <w:t xml:space="preserve"> економічної діяльності на тимчасово окупованій території України</w:t>
      </w:r>
      <w:r w:rsidR="00147771" w:rsidRPr="00147771">
        <w:t>”</w:t>
      </w:r>
      <w:r w:rsidR="006723D7">
        <w:t xml:space="preserve"> та внесення змін до деяких законодавчих актів України</w:t>
      </w:r>
      <w:r w:rsidR="00147771" w:rsidRPr="00147771">
        <w:t>”</w:t>
      </w:r>
      <w:r w:rsidR="00FA508E" w:rsidRPr="00E3421F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3FB34418" w14:textId="4B21786F" w:rsidR="004E3961" w:rsidRPr="00147771" w:rsidRDefault="002D7AAB" w:rsidP="002D7AAB">
      <w:pPr>
        <w:pStyle w:val="af3"/>
        <w:spacing w:before="240" w:after="240"/>
        <w:ind w:left="709"/>
      </w:pPr>
      <w:r>
        <w:t>1. </w:t>
      </w:r>
      <w:r w:rsidR="004E3961" w:rsidRPr="00147771">
        <w:t>Визнати такими, що втратили чинність:</w:t>
      </w:r>
    </w:p>
    <w:p w14:paraId="5664ACB0" w14:textId="77777777" w:rsidR="00147771" w:rsidRDefault="00147771" w:rsidP="002D7AAB">
      <w:pPr>
        <w:pStyle w:val="af3"/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23A9FBCE" w14:textId="0D9B7EA0" w:rsidR="00147771" w:rsidRDefault="00147771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>постанову Правління Національного банку України від 03 листопада 2014 року</w:t>
      </w:r>
      <w:r w:rsidR="00606629">
        <w:t xml:space="preserve"> </w:t>
      </w:r>
      <w:hyperlink r:id="rId14" w:tgtFrame="_blank" w:history="1">
        <w:r w:rsidRPr="00147771">
          <w:t>№</w:t>
        </w:r>
        <w:r w:rsidR="00606629">
          <w:t> </w:t>
        </w:r>
        <w:r w:rsidRPr="00147771">
          <w:t>699</w:t>
        </w:r>
      </w:hyperlink>
      <w:r w:rsidR="00606629">
        <w:t xml:space="preserve"> «</w:t>
      </w:r>
      <w:r w:rsidRPr="00147771">
        <w:t xml:space="preserve">Про застосування окремих норм валютного законодавства під час режиму тимчасової окупації на території вільної економічної зони </w:t>
      </w:r>
      <w:r w:rsidRPr="00BA02F1">
        <w:rPr>
          <w:lang w:eastAsia="ru-RU"/>
        </w:rPr>
        <w:t>“</w:t>
      </w:r>
      <w:r w:rsidRPr="00147771">
        <w:t>Крим”</w:t>
      </w:r>
      <w:r w:rsidR="00606629">
        <w:t>»</w:t>
      </w:r>
      <w:r w:rsidRPr="00147771">
        <w:t>;</w:t>
      </w:r>
    </w:p>
    <w:p w14:paraId="57B3BCED" w14:textId="77777777" w:rsidR="00147771" w:rsidRPr="00147771" w:rsidRDefault="00147771" w:rsidP="002D7AAB">
      <w:pPr>
        <w:pStyle w:val="af3"/>
        <w:widowControl w:val="0"/>
        <w:spacing w:before="240" w:after="240"/>
        <w:ind w:left="0" w:firstLine="709"/>
      </w:pPr>
    </w:p>
    <w:p w14:paraId="4B2DD491" w14:textId="44488978" w:rsidR="00147771" w:rsidRDefault="00147771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 xml:space="preserve">постанову Правління Національного банку України від 16 грудня 2014 року № 810 </w:t>
      </w:r>
      <w:r w:rsidRPr="00BA02F1">
        <w:rPr>
          <w:lang w:eastAsia="ru-RU"/>
        </w:rPr>
        <w:t>“</w:t>
      </w:r>
      <w:r w:rsidRPr="00147771">
        <w:t xml:space="preserve">Про внесення змін до постанови Правління Національного банку України від </w:t>
      </w:r>
      <w:r w:rsidR="00606629">
        <w:t>0</w:t>
      </w:r>
      <w:r w:rsidRPr="00147771">
        <w:t>3 листопада 2014 року № 699”;</w:t>
      </w:r>
    </w:p>
    <w:p w14:paraId="6C71ADBD" w14:textId="77777777" w:rsidR="00147771" w:rsidRDefault="00147771" w:rsidP="002D7AAB">
      <w:pPr>
        <w:pStyle w:val="af3"/>
        <w:spacing w:before="240" w:after="240"/>
        <w:ind w:left="0" w:firstLine="709"/>
      </w:pPr>
    </w:p>
    <w:p w14:paraId="3840AA80" w14:textId="317DF8A5" w:rsidR="00147771" w:rsidRDefault="00136407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>постанов</w:t>
      </w:r>
      <w:r>
        <w:rPr>
          <w:lang w:val="ru-RU"/>
        </w:rPr>
        <w:t>у</w:t>
      </w:r>
      <w:r w:rsidRPr="00147771">
        <w:t xml:space="preserve"> </w:t>
      </w:r>
      <w:r w:rsidR="00147771" w:rsidRPr="00147771">
        <w:t>Правління Національного банку України від 28</w:t>
      </w:r>
      <w:r w:rsidR="00606629">
        <w:t> </w:t>
      </w:r>
      <w:r w:rsidR="00147771" w:rsidRPr="00147771">
        <w:t>квітня 2016 року №</w:t>
      </w:r>
      <w:r w:rsidR="007A2AF0">
        <w:t> </w:t>
      </w:r>
      <w:r w:rsidR="00147771" w:rsidRPr="00147771">
        <w:t>303 “Про внесення змін до деяких нормативно-правових актів Національного банку України”;</w:t>
      </w:r>
    </w:p>
    <w:p w14:paraId="53827A1A" w14:textId="77777777" w:rsidR="00147771" w:rsidRDefault="00147771" w:rsidP="002D7AAB">
      <w:pPr>
        <w:pStyle w:val="af3"/>
        <w:spacing w:before="240" w:after="240"/>
        <w:ind w:left="0" w:firstLine="709"/>
      </w:pPr>
    </w:p>
    <w:p w14:paraId="23D9B297" w14:textId="60EE99DF" w:rsidR="00147771" w:rsidRDefault="00147771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>постанову Правління Національного банку України від 28 грудня 2017 року №</w:t>
      </w:r>
      <w:r w:rsidR="00E42A7D">
        <w:t> </w:t>
      </w:r>
      <w:r w:rsidRPr="00147771">
        <w:t>147 “Про внесення змін до деяких нормативно-правових актів Національного банку України”;</w:t>
      </w:r>
    </w:p>
    <w:p w14:paraId="2779F919" w14:textId="77777777" w:rsidR="00147771" w:rsidRDefault="00147771" w:rsidP="002D7AAB">
      <w:pPr>
        <w:pStyle w:val="af3"/>
        <w:spacing w:before="240" w:after="240"/>
        <w:ind w:left="0" w:firstLine="709"/>
      </w:pPr>
    </w:p>
    <w:p w14:paraId="71A50645" w14:textId="72E93245" w:rsidR="00147771" w:rsidRDefault="00147771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 xml:space="preserve">підпункт 3 пункту 1 постанови Правління Національного банку України від 05 лютого 2019 року № 32 </w:t>
      </w:r>
      <w:r w:rsidRPr="00BA02F1">
        <w:rPr>
          <w:lang w:eastAsia="ru-RU"/>
        </w:rPr>
        <w:t>“</w:t>
      </w:r>
      <w:r w:rsidRPr="00147771">
        <w:t>Про внесення змін до деяких нормативно-правових актів Національного банку України”;</w:t>
      </w:r>
    </w:p>
    <w:p w14:paraId="03DEF094" w14:textId="77777777" w:rsidR="00147771" w:rsidRDefault="00147771" w:rsidP="002D7AAB">
      <w:pPr>
        <w:pStyle w:val="af3"/>
        <w:spacing w:before="240" w:after="240"/>
        <w:ind w:left="0" w:firstLine="709"/>
      </w:pPr>
    </w:p>
    <w:p w14:paraId="62EE86D7" w14:textId="0AC3114E" w:rsidR="00147771" w:rsidRPr="00147771" w:rsidRDefault="00147771" w:rsidP="002D7AAB">
      <w:pPr>
        <w:pStyle w:val="af3"/>
        <w:widowControl w:val="0"/>
        <w:numPr>
          <w:ilvl w:val="0"/>
          <w:numId w:val="5"/>
        </w:numPr>
        <w:spacing w:before="240" w:after="240"/>
        <w:ind w:left="0" w:firstLine="709"/>
      </w:pPr>
      <w:r w:rsidRPr="00147771">
        <w:t xml:space="preserve">постанову Правління Національного банку України від 17 березня 2020 року № 31 </w:t>
      </w:r>
      <w:r w:rsidRPr="00BA02F1">
        <w:rPr>
          <w:lang w:eastAsia="ru-RU"/>
        </w:rPr>
        <w:t>“</w:t>
      </w:r>
      <w:r w:rsidRPr="00147771">
        <w:t>Про внесення змін до постанови Правління Національного банку України від 03 листопада 2014 року № 699”.</w:t>
      </w:r>
    </w:p>
    <w:p w14:paraId="78E16F03" w14:textId="4FA4F2EA" w:rsidR="00147771" w:rsidRDefault="00AD7DF9" w:rsidP="002D7AAB">
      <w:pPr>
        <w:spacing w:before="240" w:after="240"/>
        <w:ind w:firstLine="709"/>
        <w:rPr>
          <w:lang w:eastAsia="ru-RU"/>
        </w:rPr>
      </w:pPr>
      <w:r>
        <w:rPr>
          <w:rFonts w:eastAsiaTheme="minorEastAsia"/>
          <w:noProof/>
          <w:color w:val="000000" w:themeColor="text1"/>
          <w:lang w:eastAsia="en-US"/>
        </w:rPr>
        <w:t>2.</w:t>
      </w:r>
      <w:r w:rsidR="002D7AAB">
        <w:rPr>
          <w:rFonts w:eastAsiaTheme="minorEastAsia"/>
          <w:noProof/>
          <w:color w:val="000000" w:themeColor="text1"/>
          <w:lang w:eastAsia="en-US"/>
        </w:rPr>
        <w:t> </w:t>
      </w:r>
      <w:r w:rsidR="00147771" w:rsidRPr="00BA02F1">
        <w:rPr>
          <w:lang w:eastAsia="ru-RU"/>
        </w:rPr>
        <w:t xml:space="preserve">Департаменту відкритих ринків (Олексій </w:t>
      </w:r>
      <w:proofErr w:type="spellStart"/>
      <w:r w:rsidR="00147771" w:rsidRPr="00BA02F1">
        <w:rPr>
          <w:lang w:eastAsia="ru-RU"/>
        </w:rPr>
        <w:t>Лупін</w:t>
      </w:r>
      <w:proofErr w:type="spellEnd"/>
      <w:r w:rsidR="00147771" w:rsidRPr="00BA02F1">
        <w:rPr>
          <w:lang w:eastAsia="ru-RU"/>
        </w:rPr>
        <w:t>) після офіційного опублікування довести до відома банків України інформацію про прийняття цієї постанови.</w:t>
      </w:r>
    </w:p>
    <w:p w14:paraId="2FAB7435" w14:textId="711D2CFF" w:rsidR="00AD7DF9" w:rsidRDefault="00AD7DF9" w:rsidP="002D7AAB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147771" w:rsidRPr="00BA02F1">
        <w:rPr>
          <w:lang w:eastAsia="ru-RU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147771" w:rsidRPr="00BA02F1">
        <w:rPr>
          <w:lang w:eastAsia="ru-RU"/>
        </w:rPr>
        <w:t>Гелетія</w:t>
      </w:r>
      <w:proofErr w:type="spellEnd"/>
      <w:r w:rsidR="00147771" w:rsidRPr="00BA02F1">
        <w:rPr>
          <w:lang w:eastAsia="ru-RU"/>
        </w:rPr>
        <w:t>.</w:t>
      </w:r>
    </w:p>
    <w:p w14:paraId="77405064" w14:textId="61204B4D" w:rsidR="00AD7DF9" w:rsidRDefault="00AD7DF9" w:rsidP="002D7AAB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497467" w:rsidRPr="00BA02F1">
        <w:rPr>
          <w:lang w:eastAsia="ru-RU"/>
        </w:rPr>
        <w:t xml:space="preserve">Постанова набирає чинності з </w:t>
      </w:r>
      <w:r w:rsidR="00497467">
        <w:rPr>
          <w:lang w:eastAsia="ru-RU"/>
        </w:rPr>
        <w:t>21</w:t>
      </w:r>
      <w:r w:rsidR="00497467" w:rsidRPr="00BA02F1">
        <w:rPr>
          <w:lang w:eastAsia="ru-RU"/>
        </w:rPr>
        <w:t xml:space="preserve"> </w:t>
      </w:r>
      <w:r w:rsidR="00497467">
        <w:rPr>
          <w:lang w:eastAsia="ru-RU"/>
        </w:rPr>
        <w:t>листопада</w:t>
      </w:r>
      <w:r w:rsidR="00497467" w:rsidRPr="00BA02F1">
        <w:rPr>
          <w:lang w:eastAsia="ru-RU"/>
        </w:rPr>
        <w:t xml:space="preserve">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2D7AAB">
      <w:pPr>
        <w:tabs>
          <w:tab w:val="left" w:pos="993"/>
        </w:tabs>
        <w:spacing w:before="240" w:after="240"/>
      </w:pPr>
    </w:p>
    <w:p w14:paraId="32B2F6C5" w14:textId="77777777" w:rsidR="0095741D" w:rsidRPr="00CD0CD4" w:rsidRDefault="0095741D" w:rsidP="002D7AAB">
      <w:pPr>
        <w:tabs>
          <w:tab w:val="left" w:pos="993"/>
        </w:tabs>
        <w:spacing w:before="240" w:after="24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64A86090" w:rsidR="00DD60CC" w:rsidRPr="00CD0CD4" w:rsidRDefault="00147771" w:rsidP="00147771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BA43F41" w:rsidR="00DD60CC" w:rsidRPr="00CD0CD4" w:rsidRDefault="00147771" w:rsidP="0014777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0C8D35B3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147771">
        <w:t>40</w:t>
      </w:r>
    </w:p>
    <w:p w14:paraId="2051D717" w14:textId="77777777" w:rsidR="002D7AAB" w:rsidRPr="00CD0CD4" w:rsidRDefault="002D7AAB" w:rsidP="00FA508E">
      <w:pPr>
        <w:jc w:val="left"/>
      </w:pPr>
    </w:p>
    <w:sectPr w:rsidR="002D7AAB" w:rsidRPr="00CD0CD4" w:rsidSect="002D7AAB">
      <w:headerReference w:type="default" r:id="rId15"/>
      <w:headerReference w:type="first" r:id="rId16"/>
      <w:footerReference w:type="first" r:id="rId17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74C2" w14:textId="77777777" w:rsidR="00F57D46" w:rsidRDefault="00F57D46" w:rsidP="00E53CCD">
      <w:r>
        <w:separator/>
      </w:r>
    </w:p>
  </w:endnote>
  <w:endnote w:type="continuationSeparator" w:id="0">
    <w:p w14:paraId="0434F2A0" w14:textId="77777777" w:rsidR="00F57D46" w:rsidRDefault="00F57D4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72E4" w14:textId="77777777" w:rsidR="00F57D46" w:rsidRDefault="00F57D46" w:rsidP="00E53CCD">
      <w:r>
        <w:separator/>
      </w:r>
    </w:p>
  </w:footnote>
  <w:footnote w:type="continuationSeparator" w:id="0">
    <w:p w14:paraId="374B15D5" w14:textId="77777777" w:rsidR="00F57D46" w:rsidRDefault="00F57D4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A55DB2F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711AF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1591" w14:textId="54425CBF" w:rsidR="000A2CBA" w:rsidRPr="000A2CBA" w:rsidRDefault="000A2CBA" w:rsidP="000A2CBA">
    <w:pPr>
      <w:pStyle w:val="a5"/>
      <w:jc w:val="right"/>
      <w:rPr>
        <w:sz w:val="24"/>
        <w:szCs w:val="24"/>
      </w:rPr>
    </w:pPr>
    <w:r>
      <w:rPr>
        <w:sz w:val="24"/>
        <w:szCs w:val="24"/>
      </w:rPr>
      <w:t>Офіційно опубліковано 1</w:t>
    </w:r>
    <w:r w:rsidR="00F711AF">
      <w:rPr>
        <w:sz w:val="24"/>
        <w:szCs w:val="24"/>
        <w:lang w:val="en-US"/>
      </w:rPr>
      <w:t>8</w:t>
    </w:r>
    <w:r>
      <w:rPr>
        <w:sz w:val="24"/>
        <w:szCs w:val="24"/>
      </w:rPr>
      <w:t>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0E"/>
    <w:multiLevelType w:val="hybridMultilevel"/>
    <w:tmpl w:val="C5F014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610"/>
    <w:multiLevelType w:val="hybridMultilevel"/>
    <w:tmpl w:val="0E263800"/>
    <w:lvl w:ilvl="0" w:tplc="8ADC9A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8555E0"/>
    <w:multiLevelType w:val="hybridMultilevel"/>
    <w:tmpl w:val="63D8B1C6"/>
    <w:lvl w:ilvl="0" w:tplc="1406688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A2CBA"/>
    <w:rsid w:val="000A37AE"/>
    <w:rsid w:val="000B2990"/>
    <w:rsid w:val="000D778F"/>
    <w:rsid w:val="000E0CB3"/>
    <w:rsid w:val="000E5B8C"/>
    <w:rsid w:val="000E7A13"/>
    <w:rsid w:val="00106229"/>
    <w:rsid w:val="00115ECF"/>
    <w:rsid w:val="00136407"/>
    <w:rsid w:val="001409FB"/>
    <w:rsid w:val="00146D97"/>
    <w:rsid w:val="00147771"/>
    <w:rsid w:val="001631E2"/>
    <w:rsid w:val="00171301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D7AAB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B6E65"/>
    <w:rsid w:val="003C10F1"/>
    <w:rsid w:val="003C3282"/>
    <w:rsid w:val="003C3985"/>
    <w:rsid w:val="003D6B33"/>
    <w:rsid w:val="003F0441"/>
    <w:rsid w:val="003F28B5"/>
    <w:rsid w:val="003F7093"/>
    <w:rsid w:val="00401EDB"/>
    <w:rsid w:val="0040271C"/>
    <w:rsid w:val="00404C93"/>
    <w:rsid w:val="00407877"/>
    <w:rsid w:val="004130B9"/>
    <w:rsid w:val="00446704"/>
    <w:rsid w:val="00455B45"/>
    <w:rsid w:val="00460BA2"/>
    <w:rsid w:val="004666D6"/>
    <w:rsid w:val="00497467"/>
    <w:rsid w:val="004A1CFC"/>
    <w:rsid w:val="004A7F75"/>
    <w:rsid w:val="004B1FE9"/>
    <w:rsid w:val="004B5574"/>
    <w:rsid w:val="004D2B57"/>
    <w:rsid w:val="004E22E2"/>
    <w:rsid w:val="004E3961"/>
    <w:rsid w:val="0050563F"/>
    <w:rsid w:val="00520F42"/>
    <w:rsid w:val="005212A1"/>
    <w:rsid w:val="005212C5"/>
    <w:rsid w:val="00523C13"/>
    <w:rsid w:val="005240E2"/>
    <w:rsid w:val="00524F07"/>
    <w:rsid w:val="005257C2"/>
    <w:rsid w:val="00532633"/>
    <w:rsid w:val="005403F1"/>
    <w:rsid w:val="00542533"/>
    <w:rsid w:val="005624B6"/>
    <w:rsid w:val="00562C46"/>
    <w:rsid w:val="0057237F"/>
    <w:rsid w:val="005756BE"/>
    <w:rsid w:val="00577402"/>
    <w:rsid w:val="005822CB"/>
    <w:rsid w:val="00597AB6"/>
    <w:rsid w:val="005A0F4B"/>
    <w:rsid w:val="005A1D3C"/>
    <w:rsid w:val="005A3F34"/>
    <w:rsid w:val="005B2D03"/>
    <w:rsid w:val="005B7FB8"/>
    <w:rsid w:val="005C5CBF"/>
    <w:rsid w:val="005D3B88"/>
    <w:rsid w:val="005D45F5"/>
    <w:rsid w:val="005E3FA8"/>
    <w:rsid w:val="005F4CB4"/>
    <w:rsid w:val="005F6B35"/>
    <w:rsid w:val="00606629"/>
    <w:rsid w:val="00640612"/>
    <w:rsid w:val="0064227D"/>
    <w:rsid w:val="0065179F"/>
    <w:rsid w:val="00657593"/>
    <w:rsid w:val="00670C95"/>
    <w:rsid w:val="006723D7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E46"/>
    <w:rsid w:val="007A2AF0"/>
    <w:rsid w:val="007A6609"/>
    <w:rsid w:val="007B7B73"/>
    <w:rsid w:val="007C2CED"/>
    <w:rsid w:val="007D1B6E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111E"/>
    <w:rsid w:val="00937807"/>
    <w:rsid w:val="00937AE3"/>
    <w:rsid w:val="00937D24"/>
    <w:rsid w:val="00943175"/>
    <w:rsid w:val="0095741D"/>
    <w:rsid w:val="0097288F"/>
    <w:rsid w:val="00974D45"/>
    <w:rsid w:val="0098207E"/>
    <w:rsid w:val="00990AAE"/>
    <w:rsid w:val="009B6120"/>
    <w:rsid w:val="009C2F76"/>
    <w:rsid w:val="009F1D8E"/>
    <w:rsid w:val="009F5312"/>
    <w:rsid w:val="00A02655"/>
    <w:rsid w:val="00A02AEC"/>
    <w:rsid w:val="00A0594A"/>
    <w:rsid w:val="00A12C47"/>
    <w:rsid w:val="00A150E5"/>
    <w:rsid w:val="00A23E04"/>
    <w:rsid w:val="00A46C15"/>
    <w:rsid w:val="00A50DC0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37F5B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1552D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A2F09"/>
    <w:rsid w:val="00DB6D98"/>
    <w:rsid w:val="00DC1E60"/>
    <w:rsid w:val="00DD60CC"/>
    <w:rsid w:val="00DE1BC8"/>
    <w:rsid w:val="00DF10D9"/>
    <w:rsid w:val="00DF4D12"/>
    <w:rsid w:val="00E10AE2"/>
    <w:rsid w:val="00E10F0A"/>
    <w:rsid w:val="00E21875"/>
    <w:rsid w:val="00E25407"/>
    <w:rsid w:val="00E32599"/>
    <w:rsid w:val="00E33B0E"/>
    <w:rsid w:val="00E3421F"/>
    <w:rsid w:val="00E42621"/>
    <w:rsid w:val="00E42A7D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16C18"/>
    <w:rsid w:val="00F42289"/>
    <w:rsid w:val="00F42E75"/>
    <w:rsid w:val="00F45D65"/>
    <w:rsid w:val="00F517FA"/>
    <w:rsid w:val="00F52D16"/>
    <w:rsid w:val="00F57D46"/>
    <w:rsid w:val="00F62D67"/>
    <w:rsid w:val="00F63BD9"/>
    <w:rsid w:val="00F6694C"/>
    <w:rsid w:val="00F66EC4"/>
    <w:rsid w:val="00F711AF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147771"/>
    <w:rPr>
      <w:color w:val="000000"/>
      <w:u w:val="single"/>
    </w:rPr>
  </w:style>
  <w:style w:type="character" w:styleId="af5">
    <w:name w:val="annotation reference"/>
    <w:basedOn w:val="a0"/>
    <w:uiPriority w:val="99"/>
    <w:semiHidden/>
    <w:unhideWhenUsed/>
    <w:rsid w:val="00974D4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4D45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974D45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4D45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974D45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69950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1AAA39-32DF-443E-B973-789F6A7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Гевель Світлана Василівна</cp:lastModifiedBy>
  <cp:revision>4</cp:revision>
  <cp:lastPrinted>2021-11-11T14:30:00Z</cp:lastPrinted>
  <dcterms:created xsi:type="dcterms:W3CDTF">2021-11-17T07:01:00Z</dcterms:created>
  <dcterms:modified xsi:type="dcterms:W3CDTF">2021-11-17T14:43:00Z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