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CDF1" w14:textId="28348C25" w:rsidR="00143AC9" w:rsidRPr="00936CE1" w:rsidRDefault="00936CE1" w:rsidP="00936CE1">
      <w:pPr>
        <w:jc w:val="right"/>
        <w:rPr>
          <w:sz w:val="24"/>
          <w:szCs w:val="24"/>
        </w:rPr>
      </w:pPr>
      <w:r>
        <w:t>Офіційно опубліковано 16.12.2021</w:t>
      </w:r>
    </w:p>
    <w:p w14:paraId="75EF4D18" w14:textId="77777777" w:rsidR="00143AC9" w:rsidRDefault="00143AC9">
      <w:pPr>
        <w:rPr>
          <w:sz w:val="2"/>
          <w:szCs w:val="2"/>
          <w:lang w:val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4"/>
        <w:gridCol w:w="3207"/>
      </w:tblGrid>
      <w:tr w:rsidR="00E81DC3" w:rsidRPr="00E81DC3" w14:paraId="34B35851" w14:textId="77777777" w:rsidTr="005B6EE6">
        <w:trPr>
          <w:trHeight w:val="851"/>
        </w:trPr>
        <w:tc>
          <w:tcPr>
            <w:tcW w:w="3284" w:type="dxa"/>
          </w:tcPr>
          <w:p w14:paraId="4A00373D" w14:textId="77777777" w:rsidR="00E81DC3" w:rsidRPr="00E81DC3" w:rsidRDefault="00E81DC3" w:rsidP="00E81DC3"/>
        </w:tc>
        <w:tc>
          <w:tcPr>
            <w:tcW w:w="3285" w:type="dxa"/>
            <w:vMerge w:val="restart"/>
          </w:tcPr>
          <w:p w14:paraId="0554024B" w14:textId="77777777" w:rsidR="00E81DC3" w:rsidRPr="00E81DC3" w:rsidRDefault="00E81DC3" w:rsidP="00E81DC3">
            <w:pPr>
              <w:jc w:val="center"/>
            </w:pPr>
            <w:r w:rsidRPr="00E81DC3">
              <w:object w:dxaOrig="1595" w:dyaOrig="2201" w14:anchorId="305BB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6.95pt" o:ole="">
                  <v:imagedata r:id="rId12" o:title=""/>
                </v:shape>
                <o:OLEObject Type="Embed" ProgID="CorelDraw.Graphic.16" ShapeID="_x0000_i1025" DrawAspect="Content" ObjectID="_1701079707" r:id="rId13"/>
              </w:object>
            </w:r>
          </w:p>
        </w:tc>
        <w:tc>
          <w:tcPr>
            <w:tcW w:w="3285" w:type="dxa"/>
          </w:tcPr>
          <w:p w14:paraId="02E8B6A4" w14:textId="77777777" w:rsidR="00E81DC3" w:rsidRPr="00E81DC3" w:rsidRDefault="00E81DC3" w:rsidP="00E81DC3"/>
        </w:tc>
      </w:tr>
      <w:tr w:rsidR="00E81DC3" w:rsidRPr="00E81DC3" w14:paraId="24D468D5" w14:textId="77777777" w:rsidTr="005B6EE6">
        <w:tc>
          <w:tcPr>
            <w:tcW w:w="3284" w:type="dxa"/>
          </w:tcPr>
          <w:p w14:paraId="5F4FF1BE" w14:textId="77777777" w:rsidR="00E81DC3" w:rsidRPr="00E81DC3" w:rsidRDefault="00E81DC3" w:rsidP="00E81DC3"/>
        </w:tc>
        <w:tc>
          <w:tcPr>
            <w:tcW w:w="3285" w:type="dxa"/>
            <w:vMerge/>
          </w:tcPr>
          <w:p w14:paraId="18FA0075" w14:textId="77777777" w:rsidR="00E81DC3" w:rsidRPr="00E81DC3" w:rsidRDefault="00E81DC3" w:rsidP="00E81DC3"/>
        </w:tc>
        <w:tc>
          <w:tcPr>
            <w:tcW w:w="3285" w:type="dxa"/>
          </w:tcPr>
          <w:p w14:paraId="49F05AB3" w14:textId="77777777" w:rsidR="00E81DC3" w:rsidRPr="00E81DC3" w:rsidRDefault="00E81DC3" w:rsidP="00E81DC3"/>
        </w:tc>
      </w:tr>
      <w:tr w:rsidR="00E81DC3" w:rsidRPr="00E81DC3" w14:paraId="481030E7" w14:textId="77777777" w:rsidTr="005B6EE6">
        <w:tc>
          <w:tcPr>
            <w:tcW w:w="9854" w:type="dxa"/>
            <w:gridSpan w:val="3"/>
          </w:tcPr>
          <w:p w14:paraId="03C68B20" w14:textId="77777777" w:rsidR="00E81DC3" w:rsidRPr="00E81DC3" w:rsidRDefault="00E81DC3" w:rsidP="00E81DC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81DC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2D3F2A2" w14:textId="77777777" w:rsidR="00E81DC3" w:rsidRPr="00E81DC3" w:rsidRDefault="00E81DC3" w:rsidP="00E81DC3">
            <w:pPr>
              <w:jc w:val="center"/>
            </w:pPr>
            <w:r w:rsidRPr="00E81DC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030F818" w14:textId="77777777" w:rsidR="00E81DC3" w:rsidRPr="00E81DC3" w:rsidRDefault="00E81DC3" w:rsidP="00E81DC3">
      <w:pPr>
        <w:suppressAutoHyphens w:val="0"/>
        <w:rPr>
          <w:sz w:val="4"/>
          <w:szCs w:val="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8"/>
        <w:gridCol w:w="1670"/>
        <w:gridCol w:w="1899"/>
      </w:tblGrid>
      <w:tr w:rsidR="00E81DC3" w:rsidRPr="00E81DC3" w14:paraId="53C5F536" w14:textId="77777777" w:rsidTr="005B6EE6">
        <w:tc>
          <w:tcPr>
            <w:tcW w:w="3510" w:type="dxa"/>
            <w:vAlign w:val="bottom"/>
          </w:tcPr>
          <w:p w14:paraId="61AA72F4" w14:textId="3071DAF2" w:rsidR="00E81DC3" w:rsidRPr="00E81DC3" w:rsidRDefault="00880BE5" w:rsidP="00AB5DBD">
            <w:r>
              <w:t>1</w:t>
            </w:r>
            <w:r w:rsidR="00AB5DBD">
              <w:t>5</w:t>
            </w:r>
            <w:r>
              <w:t xml:space="preserve"> грудня 2021 року</w:t>
            </w:r>
          </w:p>
        </w:tc>
        <w:tc>
          <w:tcPr>
            <w:tcW w:w="2694" w:type="dxa"/>
          </w:tcPr>
          <w:p w14:paraId="6308EA5B" w14:textId="77777777" w:rsidR="00E81DC3" w:rsidRPr="00E81DC3" w:rsidRDefault="00E81DC3" w:rsidP="00E81DC3">
            <w:pPr>
              <w:spacing w:before="240"/>
              <w:jc w:val="center"/>
            </w:pPr>
            <w:r w:rsidRPr="00E81DC3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8139E97" w14:textId="77777777" w:rsidR="00E81DC3" w:rsidRPr="00E81DC3" w:rsidRDefault="00E81DC3" w:rsidP="00E81DC3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53B7F885" w14:textId="597C7751" w:rsidR="00E81DC3" w:rsidRPr="00E81DC3" w:rsidRDefault="00880BE5" w:rsidP="00E81DC3">
            <w:pPr>
              <w:jc w:val="left"/>
            </w:pPr>
            <w:r>
              <w:t>№ 141</w:t>
            </w:r>
          </w:p>
        </w:tc>
      </w:tr>
    </w:tbl>
    <w:p w14:paraId="4AE2A1AC" w14:textId="77777777" w:rsidR="00143AC9" w:rsidRDefault="00143AC9">
      <w:pPr>
        <w:rPr>
          <w:sz w:val="2"/>
          <w:szCs w:val="2"/>
        </w:rPr>
      </w:pPr>
    </w:p>
    <w:p w14:paraId="73612843" w14:textId="7AE3D680" w:rsidR="00143AC9" w:rsidRPr="00936CE1" w:rsidRDefault="00143AC9">
      <w:pPr>
        <w:spacing w:line="264" w:lineRule="auto"/>
        <w:ind w:firstLine="709"/>
        <w:jc w:val="center"/>
        <w:rPr>
          <w:rFonts w:eastAsiaTheme="minorEastAsia"/>
          <w:color w:val="000000" w:themeColor="text1"/>
          <w:sz w:val="24"/>
          <w:lang w:eastAsia="en-US"/>
        </w:rPr>
      </w:pPr>
    </w:p>
    <w:p w14:paraId="11A8ED9B" w14:textId="77777777" w:rsidR="00B21717" w:rsidRPr="00936CE1" w:rsidRDefault="00B21717">
      <w:pPr>
        <w:spacing w:line="264" w:lineRule="auto"/>
        <w:ind w:firstLine="709"/>
        <w:jc w:val="center"/>
        <w:rPr>
          <w:rFonts w:eastAsiaTheme="minorEastAsia"/>
          <w:color w:val="000000" w:themeColor="text1"/>
          <w:sz w:val="24"/>
          <w:lang w:eastAsia="en-US"/>
        </w:rPr>
      </w:pPr>
    </w:p>
    <w:tbl>
      <w:tblPr>
        <w:tblStyle w:val="afd"/>
        <w:tblW w:w="3450" w:type="pct"/>
        <w:jc w:val="center"/>
        <w:tblLayout w:type="fixed"/>
        <w:tblLook w:val="04A0" w:firstRow="1" w:lastRow="0" w:firstColumn="1" w:lastColumn="0" w:noHBand="0" w:noVBand="1"/>
      </w:tblPr>
      <w:tblGrid>
        <w:gridCol w:w="6650"/>
      </w:tblGrid>
      <w:tr w:rsidR="00143AC9" w14:paraId="03D03E15" w14:textId="77777777">
        <w:trPr>
          <w:jc w:val="center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715277F1" w14:textId="77777777" w:rsidR="00143AC9" w:rsidRDefault="001F01BB" w:rsidP="003E2AF6">
            <w:pPr>
              <w:widowControl w:val="0"/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394E21F4" w14:textId="573C61FC" w:rsidR="00B21717" w:rsidRPr="00936CE1" w:rsidRDefault="00B21717" w:rsidP="003E2AF6">
      <w:pPr>
        <w:spacing w:before="240" w:after="240"/>
        <w:ind w:firstLine="567"/>
        <w:rPr>
          <w:sz w:val="24"/>
        </w:rPr>
      </w:pPr>
    </w:p>
    <w:p w14:paraId="4287EA45" w14:textId="77777777" w:rsidR="00B21717" w:rsidRPr="00936CE1" w:rsidRDefault="00B21717" w:rsidP="003E2AF6">
      <w:pPr>
        <w:spacing w:before="240" w:after="240"/>
        <w:ind w:firstLine="567"/>
        <w:rPr>
          <w:sz w:val="24"/>
        </w:rPr>
      </w:pPr>
    </w:p>
    <w:p w14:paraId="66EA63E6" w14:textId="5927AE9D" w:rsidR="00143AC9" w:rsidRDefault="001F01BB" w:rsidP="003E2AF6">
      <w:pPr>
        <w:spacing w:before="240" w:after="240"/>
        <w:ind w:firstLine="567"/>
        <w:rPr>
          <w:b/>
        </w:rPr>
      </w:pPr>
      <w:r>
        <w:t>Відповідно</w:t>
      </w:r>
      <w:r>
        <w:rPr>
          <w:sz w:val="24"/>
          <w:szCs w:val="24"/>
        </w:rPr>
        <w:t xml:space="preserve"> </w:t>
      </w:r>
      <w:r>
        <w:t>до статей 7, 15, 56 Закону України “Про Національний банк України”, статей 7, 39 Закону України “Про банки і банківську діяльність”, Закону України від 30 червня 2021 року № 1587</w:t>
      </w:r>
      <w:r w:rsidR="00872D5D" w:rsidRPr="003E2AF6">
        <w:t>-</w:t>
      </w:r>
      <w:r>
        <w:rPr>
          <w:lang w:val="en-US"/>
        </w:rPr>
        <w:t>IX</w:t>
      </w:r>
      <w:r>
        <w:t xml:space="preserve"> “Про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системи”, з метою встановлення вимог до політики винагороди, а також до положень і звітів про винагороду членів наглядової ради та правління банку, керівника підрозділу внутрішнього аудиту, головного ризик-менеджера, головного </w:t>
      </w:r>
      <w:proofErr w:type="spellStart"/>
      <w:r>
        <w:t>комплаєнс</w:t>
      </w:r>
      <w:proofErr w:type="spellEnd"/>
      <w:r>
        <w:t>-менеджера, інших осіб, професійна діяльність яких має значний вплив на профіль ризику банку,</w:t>
      </w:r>
      <w:r>
        <w:rPr>
          <w:b/>
        </w:rPr>
        <w:t xml:space="preserve"> </w:t>
      </w:r>
      <w:r>
        <w:t>Правління Національного банку України</w:t>
      </w:r>
      <w:r>
        <w:rPr>
          <w:b/>
        </w:rPr>
        <w:t xml:space="preserve"> постановляє:</w:t>
      </w:r>
    </w:p>
    <w:p w14:paraId="49075834" w14:textId="77777777" w:rsidR="00143AC9" w:rsidRPr="003E2AF6" w:rsidRDefault="001F01BB" w:rsidP="003E2AF6">
      <w:pPr>
        <w:spacing w:before="240" w:after="240"/>
        <w:ind w:firstLine="567"/>
        <w:rPr>
          <w:lang w:val="ru-RU"/>
        </w:rPr>
      </w:pPr>
      <w:r>
        <w:rPr>
          <w:lang w:val="ru-RU"/>
        </w:rPr>
        <w:t>1.</w:t>
      </w:r>
      <w:r>
        <w:rPr>
          <w:lang w:val="en-US"/>
        </w:rPr>
        <w:t> </w:t>
      </w:r>
      <w:proofErr w:type="spellStart"/>
      <w:r>
        <w:rPr>
          <w:rFonts w:eastAsiaTheme="minorEastAsia"/>
          <w:color w:val="000000" w:themeColor="text1"/>
          <w:lang w:eastAsia="en-US"/>
        </w:rPr>
        <w:t>Унести</w:t>
      </w:r>
      <w:proofErr w:type="spellEnd"/>
      <w:r>
        <w:rPr>
          <w:rFonts w:eastAsiaTheme="minorEastAsia"/>
          <w:color w:val="000000" w:themeColor="text1"/>
          <w:lang w:eastAsia="en-US"/>
        </w:rPr>
        <w:t xml:space="preserve"> до </w:t>
      </w:r>
      <w:r>
        <w:rPr>
          <w:color w:val="000000"/>
        </w:rPr>
        <w:t xml:space="preserve">постанови Правління Національного банку України від 30 листопада 2020 року № 153 </w:t>
      </w:r>
      <w:r>
        <w:t>“</w:t>
      </w:r>
      <w:r>
        <w:rPr>
          <w:color w:val="000000"/>
        </w:rPr>
        <w:t>Про затвердження Положення про вимоги до положень і звітів про винагороду членів наглядової ради та правління банку</w:t>
      </w:r>
      <w:r>
        <w:t>” такі зміни:</w:t>
      </w:r>
    </w:p>
    <w:p w14:paraId="39CFA114" w14:textId="77777777" w:rsidR="00143AC9" w:rsidRDefault="001F01BB" w:rsidP="003E2AF6">
      <w:pPr>
        <w:ind w:firstLine="567"/>
      </w:pPr>
      <w:r>
        <w:t>1) заголовок постанови викласти в такій редакції:</w:t>
      </w:r>
    </w:p>
    <w:p w14:paraId="6D633C1A" w14:textId="77777777" w:rsidR="00143AC9" w:rsidRDefault="001F01BB" w:rsidP="003E2AF6">
      <w:pPr>
        <w:ind w:firstLine="567"/>
        <w:jc w:val="center"/>
      </w:pPr>
      <w:r>
        <w:t>“</w:t>
      </w:r>
      <w:r>
        <w:rPr>
          <w:rFonts w:eastAsiaTheme="minorEastAsia"/>
          <w:color w:val="000000" w:themeColor="text1"/>
        </w:rPr>
        <w:t xml:space="preserve">Про затвердження </w:t>
      </w:r>
      <w:r>
        <w:t>Положення про політику винагороди в</w:t>
      </w:r>
      <w:r>
        <w:rPr>
          <w:b/>
        </w:rPr>
        <w:t xml:space="preserve"> </w:t>
      </w:r>
      <w:r>
        <w:t>банку”;</w:t>
      </w:r>
    </w:p>
    <w:p w14:paraId="1305A85C" w14:textId="77777777" w:rsidR="00143AC9" w:rsidRPr="00936CE1" w:rsidRDefault="00143AC9" w:rsidP="003E2AF6">
      <w:pPr>
        <w:ind w:firstLine="567"/>
        <w:rPr>
          <w:sz w:val="24"/>
        </w:rPr>
      </w:pPr>
      <w:bookmarkStart w:id="0" w:name="_GoBack"/>
    </w:p>
    <w:bookmarkEnd w:id="0"/>
    <w:p w14:paraId="5B188F16" w14:textId="77777777" w:rsidR="00143AC9" w:rsidRDefault="001F01BB" w:rsidP="003E2AF6">
      <w:pPr>
        <w:ind w:firstLine="567"/>
      </w:pPr>
      <w:r>
        <w:t>2) пункт 1 викласти в такій редакції:</w:t>
      </w:r>
    </w:p>
    <w:p w14:paraId="58362BA3" w14:textId="77777777" w:rsidR="00143AC9" w:rsidRDefault="001F01BB" w:rsidP="003E2AF6">
      <w:pPr>
        <w:ind w:firstLine="567"/>
      </w:pPr>
      <w:r>
        <w:t>“1. </w:t>
      </w:r>
      <w:r>
        <w:rPr>
          <w:rFonts w:eastAsiaTheme="minorEastAsia"/>
          <w:color w:val="000000" w:themeColor="text1"/>
        </w:rPr>
        <w:t>Затвердити Положення про політику винагороди в банку, що додається.</w:t>
      </w:r>
      <w:r>
        <w:t>”.</w:t>
      </w:r>
    </w:p>
    <w:p w14:paraId="3134F497" w14:textId="77777777" w:rsidR="00143AC9" w:rsidRDefault="001F01BB" w:rsidP="003E2AF6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lang w:val="ru-RU"/>
        </w:rPr>
        <w:t>2.</w:t>
      </w:r>
      <w:r>
        <w:rPr>
          <w:lang w:val="en-US"/>
        </w:rPr>
        <w:t> </w:t>
      </w:r>
      <w:r>
        <w:t>З</w:t>
      </w:r>
      <w:r>
        <w:rPr>
          <w:color w:val="000000"/>
        </w:rPr>
        <w:t xml:space="preserve">атвердити Зміни до Положення про вимоги до положень і звітів про винагороду членів наглядової ради та правління банку, затвердженого </w:t>
      </w:r>
      <w:r>
        <w:rPr>
          <w:color w:val="000000"/>
        </w:rPr>
        <w:lastRenderedPageBreak/>
        <w:t>постановою Правління Національного банку України від 30 листопада 2020 року № 153, що додаються</w:t>
      </w:r>
      <w:r>
        <w:rPr>
          <w:rFonts w:eastAsiaTheme="minorEastAsia"/>
          <w:color w:val="000000" w:themeColor="text1"/>
          <w:lang w:val="ru-RU" w:eastAsia="en-US"/>
        </w:rPr>
        <w:t>.</w:t>
      </w:r>
    </w:p>
    <w:p w14:paraId="57981FAB" w14:textId="77777777" w:rsidR="00143AC9" w:rsidRDefault="001F01BB" w:rsidP="003E2AF6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3. </w:t>
      </w:r>
      <w:r>
        <w:t>Постанова набирає чинності з дня, наступного за днем її офіційного опублікування</w:t>
      </w:r>
      <w:r>
        <w:rPr>
          <w:rFonts w:eastAsiaTheme="minorEastAsia"/>
          <w:color w:val="000000" w:themeColor="text1"/>
          <w:lang w:val="ru-RU" w:eastAsia="en-US"/>
        </w:rPr>
        <w:t>.</w:t>
      </w:r>
    </w:p>
    <w:p w14:paraId="0203C2A9" w14:textId="77777777" w:rsidR="00143AC9" w:rsidRDefault="00143AC9">
      <w:pPr>
        <w:tabs>
          <w:tab w:val="left" w:pos="993"/>
        </w:tabs>
        <w:spacing w:after="120"/>
      </w:pPr>
    </w:p>
    <w:p w14:paraId="654F7135" w14:textId="77777777" w:rsidR="00143AC9" w:rsidRDefault="00143AC9">
      <w:pPr>
        <w:tabs>
          <w:tab w:val="left" w:pos="993"/>
        </w:tabs>
        <w:spacing w:after="120"/>
      </w:pPr>
    </w:p>
    <w:tbl>
      <w:tblPr>
        <w:tblStyle w:val="afd"/>
        <w:tblW w:w="9747" w:type="dxa"/>
        <w:tblLayout w:type="fixed"/>
        <w:tblLook w:val="04A0" w:firstRow="1" w:lastRow="0" w:firstColumn="1" w:lastColumn="0" w:noHBand="0" w:noVBand="1"/>
      </w:tblPr>
      <w:tblGrid>
        <w:gridCol w:w="5497"/>
        <w:gridCol w:w="4250"/>
      </w:tblGrid>
      <w:tr w:rsidR="00143AC9" w14:paraId="6B5AF5DF" w14:textId="77777777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6F7B7" w14:textId="77777777" w:rsidR="00143AC9" w:rsidRDefault="001F01BB">
            <w:pPr>
              <w:widowControl w:val="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Голова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02D2" w14:textId="77777777" w:rsidR="00143AC9" w:rsidRDefault="001F01BB">
            <w:pPr>
              <w:widowControl w:val="0"/>
              <w:tabs>
                <w:tab w:val="left" w:pos="7020"/>
                <w:tab w:val="left" w:pos="7200"/>
              </w:tabs>
              <w:ind w:left="3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Кирило ШЕВЧЕНКО</w:t>
            </w:r>
          </w:p>
        </w:tc>
      </w:tr>
    </w:tbl>
    <w:p w14:paraId="1B976613" w14:textId="77777777" w:rsidR="00143AC9" w:rsidRDefault="00143AC9"/>
    <w:p w14:paraId="1A339656" w14:textId="77777777" w:rsidR="00143AC9" w:rsidRDefault="00143AC9"/>
    <w:p w14:paraId="481B13E5" w14:textId="77777777" w:rsidR="00143AC9" w:rsidRDefault="00143AC9"/>
    <w:p w14:paraId="51D709F0" w14:textId="77777777" w:rsidR="00143AC9" w:rsidRDefault="00143AC9"/>
    <w:p w14:paraId="41A51C8C" w14:textId="77777777" w:rsidR="00143AC9" w:rsidRDefault="00143AC9"/>
    <w:p w14:paraId="7644F0F6" w14:textId="77777777" w:rsidR="00143AC9" w:rsidRDefault="00143AC9"/>
    <w:p w14:paraId="4DDCFFDB" w14:textId="77777777" w:rsidR="00143AC9" w:rsidRDefault="00143AC9"/>
    <w:p w14:paraId="32506361" w14:textId="77777777" w:rsidR="00143AC9" w:rsidRDefault="00143AC9"/>
    <w:p w14:paraId="51014C84" w14:textId="77777777" w:rsidR="00143AC9" w:rsidRDefault="001F01BB">
      <w:pPr>
        <w:jc w:val="left"/>
        <w:sectPr w:rsidR="00143AC9" w:rsidSect="003E2AF6">
          <w:headerReference w:type="default" r:id="rId14"/>
          <w:footerReference w:type="first" r:id="rId15"/>
          <w:pgSz w:w="11906" w:h="16838"/>
          <w:pgMar w:top="851" w:right="567" w:bottom="1701" w:left="1701" w:header="709" w:footer="0" w:gutter="0"/>
          <w:cols w:space="720"/>
          <w:formProt w:val="0"/>
          <w:titlePg/>
          <w:docGrid w:linePitch="381"/>
        </w:sectPr>
      </w:pPr>
      <w:r>
        <w:t>Інд.</w:t>
      </w:r>
      <w:r>
        <w:rPr>
          <w:sz w:val="22"/>
          <w:szCs w:val="22"/>
        </w:rPr>
        <w:t xml:space="preserve"> </w:t>
      </w:r>
      <w:r>
        <w:t>22</w:t>
      </w:r>
    </w:p>
    <w:p w14:paraId="39E13A59" w14:textId="77777777" w:rsidR="00143AC9" w:rsidRDefault="001F01BB">
      <w:pPr>
        <w:ind w:left="5664"/>
      </w:pPr>
      <w:r>
        <w:lastRenderedPageBreak/>
        <w:t xml:space="preserve">ЗАТВЕРДЖЕНО </w:t>
      </w:r>
    </w:p>
    <w:p w14:paraId="10882C5F" w14:textId="77777777" w:rsidR="00143AC9" w:rsidRDefault="001F01BB">
      <w:pPr>
        <w:ind w:left="5664"/>
      </w:pPr>
      <w:r>
        <w:t xml:space="preserve">Постанова Правління </w:t>
      </w:r>
    </w:p>
    <w:p w14:paraId="531AE94A" w14:textId="77777777" w:rsidR="00143AC9" w:rsidRDefault="001F01BB">
      <w:pPr>
        <w:ind w:left="5664"/>
      </w:pPr>
      <w:r>
        <w:t xml:space="preserve">Національного банку України </w:t>
      </w:r>
    </w:p>
    <w:p w14:paraId="4A749F3D" w14:textId="37DF0775" w:rsidR="00143AC9" w:rsidRDefault="00880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DBD">
        <w:t>15</w:t>
      </w:r>
      <w:r>
        <w:t xml:space="preserve"> грудня 2021 року № 141</w:t>
      </w:r>
    </w:p>
    <w:p w14:paraId="770DBB74" w14:textId="77777777" w:rsidR="00143AC9" w:rsidRDefault="00143AC9"/>
    <w:p w14:paraId="64DD383D" w14:textId="77777777" w:rsidR="00143AC9" w:rsidRDefault="00143AC9"/>
    <w:p w14:paraId="15C379F8" w14:textId="77777777" w:rsidR="00143AC9" w:rsidRDefault="00143AC9"/>
    <w:p w14:paraId="072AD199" w14:textId="77777777" w:rsidR="00143AC9" w:rsidRDefault="00143AC9"/>
    <w:p w14:paraId="10B79E65" w14:textId="77777777" w:rsidR="00143AC9" w:rsidRDefault="001F01BB">
      <w:pPr>
        <w:jc w:val="center"/>
      </w:pPr>
      <w:r>
        <w:t xml:space="preserve">Зміни до </w:t>
      </w:r>
      <w:r>
        <w:rPr>
          <w:color w:val="000000"/>
        </w:rPr>
        <w:t>Положення про вимоги до положень і звітів про винагороду членів наглядової ради та правління банку</w:t>
      </w:r>
    </w:p>
    <w:p w14:paraId="6F444AED" w14:textId="77777777" w:rsidR="00143AC9" w:rsidRDefault="00143AC9"/>
    <w:p w14:paraId="29FB55D1" w14:textId="77777777" w:rsidR="00143AC9" w:rsidRDefault="00143AC9"/>
    <w:p w14:paraId="2A18062C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 xml:space="preserve">Заголовок Положення викласти в такій редакції: </w:t>
      </w:r>
    </w:p>
    <w:p w14:paraId="76B19841" w14:textId="77777777" w:rsidR="00143AC9" w:rsidRDefault="001F01BB" w:rsidP="00AA1350">
      <w:pPr>
        <w:ind w:firstLine="567"/>
      </w:pPr>
      <w:r>
        <w:t>“Положення про політику винагороди в банку”.</w:t>
      </w:r>
    </w:p>
    <w:p w14:paraId="162AE064" w14:textId="77777777" w:rsidR="00143AC9" w:rsidRDefault="00143AC9" w:rsidP="00AA1350">
      <w:pPr>
        <w:pStyle w:val="afb"/>
        <w:ind w:left="0" w:firstLine="567"/>
      </w:pPr>
    </w:p>
    <w:p w14:paraId="05EF09AA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>У розділі І:</w:t>
      </w:r>
    </w:p>
    <w:p w14:paraId="3E526E1D" w14:textId="77777777" w:rsidR="00143AC9" w:rsidRDefault="00143AC9" w:rsidP="00AA1350">
      <w:pPr>
        <w:pStyle w:val="afb"/>
        <w:ind w:left="0" w:firstLine="567"/>
      </w:pPr>
    </w:p>
    <w:p w14:paraId="7B572094" w14:textId="77777777" w:rsidR="00143AC9" w:rsidRDefault="001F01BB" w:rsidP="00AA1350">
      <w:pPr>
        <w:pStyle w:val="afb"/>
        <w:numPr>
          <w:ilvl w:val="0"/>
          <w:numId w:val="2"/>
        </w:numPr>
        <w:ind w:left="0" w:firstLine="567"/>
      </w:pPr>
      <w:r>
        <w:t>пункт 1 викласти в такій редакції:</w:t>
      </w:r>
    </w:p>
    <w:p w14:paraId="5889C9FF" w14:textId="2ED12678" w:rsidR="00143AC9" w:rsidRDefault="001F01BB" w:rsidP="00AA1350">
      <w:pPr>
        <w:ind w:firstLine="567"/>
      </w:pPr>
      <w:r>
        <w:t xml:space="preserve">“1. Це Положення розроблене відповідно до Законів України “Про Національний банк України”, “Про банки і банківську діяльність”, “Про акціонерні товариства”, “Про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системи” та встановлює вимоги до політики винагороди, а також вимоги до положень і звітів про винагороду членів наглядової ради (далі – рада) та правління банку (далі – правління), керівника підрозділу внутрішнього аудиту, головного ризик-менеджера, головного </w:t>
      </w:r>
      <w:proofErr w:type="spellStart"/>
      <w:r>
        <w:t>комплаєнс</w:t>
      </w:r>
      <w:proofErr w:type="spellEnd"/>
      <w:r>
        <w:t>-менеджера, керівника окремого підрозділу із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якщо керівник/менеджер не є членом правління, інших осіб, професійна діяльність яких має значний вплив на профіль ризику банку.”;</w:t>
      </w:r>
    </w:p>
    <w:p w14:paraId="39171BC5" w14:textId="77777777" w:rsidR="00143AC9" w:rsidRDefault="00143AC9" w:rsidP="00AA1350">
      <w:pPr>
        <w:ind w:firstLine="567"/>
      </w:pPr>
    </w:p>
    <w:p w14:paraId="46913021" w14:textId="77777777" w:rsidR="00143AC9" w:rsidRDefault="001F01BB" w:rsidP="00AA1350">
      <w:pPr>
        <w:pStyle w:val="afb"/>
        <w:numPr>
          <w:ilvl w:val="0"/>
          <w:numId w:val="2"/>
        </w:numPr>
        <w:ind w:left="0" w:firstLine="567"/>
      </w:pPr>
      <w:r>
        <w:t>у пункті 2:</w:t>
      </w:r>
    </w:p>
    <w:p w14:paraId="4AF03A7A" w14:textId="77777777" w:rsidR="00143AC9" w:rsidRDefault="001F01BB" w:rsidP="00AA1350">
      <w:pPr>
        <w:ind w:firstLine="567"/>
      </w:pPr>
      <w:r>
        <w:t>підпункт 1 викласти в такій редакції:</w:t>
      </w:r>
    </w:p>
    <w:p w14:paraId="7D004803" w14:textId="0F127DE3" w:rsidR="00143AC9" w:rsidRDefault="001F01BB" w:rsidP="00AA1350">
      <w:pPr>
        <w:ind w:firstLine="567"/>
      </w:pPr>
      <w:r>
        <w:t>“1) винагорода – матеріальна виплата в грошовій формі та/або захід негрошового стимулювання члена ради чи правління (далі – орган управління), впливової особи за виконання покладених на нього (неї) посадових обов’язків, яка включає всі фіксовані та/або змінні складові винагороди, передбачені умовами укладеного між таким членом органу управління, такою впливовою особою та банком договору (контракту)/рішенням загальних зборів учасників (акціонерів) банку (далі – загальні збори)/вищого органу державного банку (для членів ради) або рішенням ради/правління (для членів правління, впливових осіб);”;</w:t>
      </w:r>
    </w:p>
    <w:p w14:paraId="0ED7984C" w14:textId="019DCCF5" w:rsidR="00143AC9" w:rsidRDefault="007E7F26" w:rsidP="00AA1350">
      <w:pPr>
        <w:ind w:firstLine="567"/>
      </w:pPr>
      <w:r>
        <w:t xml:space="preserve">підпункт 2 після </w:t>
      </w:r>
      <w:r w:rsidR="00651ED0">
        <w:t>сл</w:t>
      </w:r>
      <w:r w:rsidR="00C644C3">
        <w:t>ова</w:t>
      </w:r>
      <w:r w:rsidR="00651ED0">
        <w:t xml:space="preserve"> </w:t>
      </w:r>
      <w:r w:rsidR="001F01BB">
        <w:t xml:space="preserve">“його” доповнити </w:t>
      </w:r>
      <w:r w:rsidR="00651ED0">
        <w:t>слов</w:t>
      </w:r>
      <w:r w:rsidR="00C644C3">
        <w:t>ом</w:t>
      </w:r>
      <w:r w:rsidR="00651ED0">
        <w:t xml:space="preserve"> </w:t>
      </w:r>
      <w:r w:rsidR="001F01BB">
        <w:t>“(її)”;</w:t>
      </w:r>
    </w:p>
    <w:p w14:paraId="7FFA632A" w14:textId="77777777" w:rsidR="00143AC9" w:rsidRDefault="001F01BB" w:rsidP="00AA1350">
      <w:pPr>
        <w:ind w:firstLine="567"/>
      </w:pPr>
      <w:r>
        <w:t>пункт після підпункту 3 доповнити новим підпунктом 3</w:t>
      </w:r>
      <w:r>
        <w:rPr>
          <w:vertAlign w:val="superscript"/>
        </w:rPr>
        <w:t>1</w:t>
      </w:r>
      <w:r>
        <w:t xml:space="preserve"> такого змісту:</w:t>
      </w:r>
    </w:p>
    <w:p w14:paraId="43BB2E01" w14:textId="77777777" w:rsidR="00143AC9" w:rsidRDefault="001F01BB" w:rsidP="00AA1350">
      <w:pPr>
        <w:tabs>
          <w:tab w:val="left" w:pos="674"/>
          <w:tab w:val="left" w:pos="2386"/>
        </w:tabs>
        <w:ind w:firstLine="567"/>
      </w:pPr>
      <w:r>
        <w:lastRenderedPageBreak/>
        <w:t>“3</w:t>
      </w:r>
      <w:r>
        <w:rPr>
          <w:vertAlign w:val="superscript"/>
        </w:rPr>
        <w:t>1</w:t>
      </w:r>
      <w:r>
        <w:t xml:space="preserve">) впливова особа – керівник підрозділу внутрішнього аудиту, головний ризик-менеджер, головний </w:t>
      </w:r>
      <w:proofErr w:type="spellStart"/>
      <w:r>
        <w:t>комплаєнс</w:t>
      </w:r>
      <w:proofErr w:type="spellEnd"/>
      <w:r>
        <w:t>-менеджер, керівник окремого підрозділу із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якщо керівник/менеджер не є членом правління, інша особа, професійна діяльність якої має значний вплив на профіль ризику банку (крім члена органу управління);”;</w:t>
      </w:r>
    </w:p>
    <w:p w14:paraId="7EE0BDFE" w14:textId="24F528B7" w:rsidR="00244E63" w:rsidRDefault="00244E63" w:rsidP="00AA1350">
      <w:pPr>
        <w:ind w:firstLine="567"/>
      </w:pPr>
      <w:r>
        <w:t xml:space="preserve">підпункт 5 викласти </w:t>
      </w:r>
      <w:r w:rsidR="00BD30EB">
        <w:t>в</w:t>
      </w:r>
      <w:r>
        <w:t xml:space="preserve"> такій редакції:</w:t>
      </w:r>
    </w:p>
    <w:p w14:paraId="0EE5AD1E" w14:textId="64467B04" w:rsidR="00244E63" w:rsidRDefault="00244E63" w:rsidP="00AA1350">
      <w:pPr>
        <w:ind w:firstLine="567"/>
      </w:pPr>
      <w:r>
        <w:t>“</w:t>
      </w:r>
      <w:r w:rsidRPr="00244E63">
        <w:t>5) комітет з винагороди – комітет ради з питань визначення винагороди посадовим особам банку або комітет із питань призначень і винагород посадовим особам банку</w:t>
      </w:r>
      <w:r w:rsidR="00BD30EB">
        <w:t>,</w:t>
      </w:r>
      <w:r w:rsidRPr="00244E63">
        <w:t xml:space="preserve"> або комітет з питань винагород;</w:t>
      </w:r>
      <w:r>
        <w:t>”;</w:t>
      </w:r>
    </w:p>
    <w:p w14:paraId="1C2F047C" w14:textId="5E95C4B5" w:rsidR="00143AC9" w:rsidRDefault="001F01BB" w:rsidP="00AA1350">
      <w:pPr>
        <w:ind w:firstLine="567"/>
      </w:pPr>
      <w:r>
        <w:t>пункт після підпункту 5 доповнити трьома новими підпунктами 5</w:t>
      </w:r>
      <w:r>
        <w:rPr>
          <w:vertAlign w:val="superscript"/>
        </w:rPr>
        <w:t>1</w:t>
      </w:r>
      <w:r>
        <w:t>–5</w:t>
      </w:r>
      <w:r>
        <w:rPr>
          <w:vertAlign w:val="superscript"/>
        </w:rPr>
        <w:t xml:space="preserve">3 </w:t>
      </w:r>
      <w:r>
        <w:t>такого змісту:</w:t>
      </w:r>
    </w:p>
    <w:p w14:paraId="52CBBF72" w14:textId="188613C3" w:rsidR="00143AC9" w:rsidRDefault="001F01BB" w:rsidP="00AA1350">
      <w:pPr>
        <w:ind w:firstLine="567"/>
      </w:pPr>
      <w:r>
        <w:t>“5</w:t>
      </w:r>
      <w:r>
        <w:rPr>
          <w:vertAlign w:val="superscript"/>
        </w:rPr>
        <w:t>1</w:t>
      </w:r>
      <w:r>
        <w:t>) особа, професійна діяльність якої має значний вплив на профіль ризику банку</w:t>
      </w:r>
      <w:r w:rsidR="00BD30EB">
        <w:t>,</w:t>
      </w:r>
      <w:r>
        <w:t xml:space="preserve"> – особа, яка визначається на підставі якісних і кількісних критеріїв згідно з політикою винагороди банку;</w:t>
      </w:r>
    </w:p>
    <w:p w14:paraId="6D7C4D4E" w14:textId="77777777" w:rsidR="00143AC9" w:rsidRDefault="00143AC9" w:rsidP="00AA1350">
      <w:pPr>
        <w:ind w:firstLine="567"/>
      </w:pPr>
    </w:p>
    <w:p w14:paraId="54AEA1D2" w14:textId="77777777" w:rsidR="00143AC9" w:rsidRDefault="001F01BB" w:rsidP="00AA1350">
      <w:pPr>
        <w:ind w:firstLine="567"/>
      </w:pPr>
      <w:r>
        <w:t>5</w:t>
      </w:r>
      <w:r>
        <w:rPr>
          <w:vertAlign w:val="superscript"/>
        </w:rPr>
        <w:t>2</w:t>
      </w:r>
      <w:r>
        <w:t>) підрозділи контролю – підрозділ з управління ризиками, підрозділ контролю за дотриманням норм (</w:t>
      </w:r>
      <w:proofErr w:type="spellStart"/>
      <w:r>
        <w:t>комплаєнс</w:t>
      </w:r>
      <w:proofErr w:type="spellEnd"/>
      <w:r>
        <w:t>) і підрозділ внутрішнього аудиту;</w:t>
      </w:r>
    </w:p>
    <w:p w14:paraId="4A82D220" w14:textId="77777777" w:rsidR="00143AC9" w:rsidRDefault="00143AC9" w:rsidP="00AA1350">
      <w:pPr>
        <w:ind w:firstLine="567"/>
      </w:pPr>
    </w:p>
    <w:p w14:paraId="17C3F17D" w14:textId="77777777" w:rsidR="00143AC9" w:rsidRDefault="001F01BB" w:rsidP="00AA1350">
      <w:pPr>
        <w:ind w:firstLine="567"/>
      </w:pPr>
      <w:r>
        <w:t>5</w:t>
      </w:r>
      <w:r>
        <w:rPr>
          <w:vertAlign w:val="superscript"/>
        </w:rPr>
        <w:t>3</w:t>
      </w:r>
      <w:r>
        <w:t>) політика винагороди – система загальних підходів, принципів і способів формування управлінських рішень у сфері оплати праці (винагороди) членів органів управління та впливових осіб;”;</w:t>
      </w:r>
    </w:p>
    <w:p w14:paraId="53141669" w14:textId="77777777" w:rsidR="00143AC9" w:rsidRDefault="001F01BB" w:rsidP="00AA1350">
      <w:pPr>
        <w:ind w:firstLine="567"/>
      </w:pPr>
      <w:r>
        <w:t>підпункт 7 після слова “правління” доповнити словами “, впливових осіб”;</w:t>
      </w:r>
    </w:p>
    <w:p w14:paraId="44AC975B" w14:textId="749824B7" w:rsidR="00143AC9" w:rsidRDefault="00D97F07" w:rsidP="00AA1350">
      <w:pPr>
        <w:ind w:firstLine="567"/>
      </w:pPr>
      <w:r>
        <w:t xml:space="preserve">абзаци третій, сьомий підпункту 9 після </w:t>
      </w:r>
      <w:r w:rsidR="004B78F2">
        <w:t>сл</w:t>
      </w:r>
      <w:r w:rsidR="001C2367">
        <w:t>ова</w:t>
      </w:r>
      <w:r w:rsidR="004B78F2">
        <w:t xml:space="preserve"> </w:t>
      </w:r>
      <w:r>
        <w:t xml:space="preserve">“його” доповнити </w:t>
      </w:r>
      <w:r w:rsidR="004B78F2">
        <w:t>слов</w:t>
      </w:r>
      <w:r w:rsidR="001C2367">
        <w:t>ом</w:t>
      </w:r>
      <w:r w:rsidR="004B78F2">
        <w:t xml:space="preserve"> </w:t>
      </w:r>
      <w:r w:rsidR="001F01BB">
        <w:t>“(її)”.</w:t>
      </w:r>
    </w:p>
    <w:p w14:paraId="2C375667" w14:textId="77777777" w:rsidR="00143AC9" w:rsidRDefault="00143AC9" w:rsidP="00AA1350">
      <w:pPr>
        <w:ind w:firstLine="567"/>
      </w:pPr>
    </w:p>
    <w:p w14:paraId="61FA66D0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>Положення після розділу І доповнити новим розділом І</w:t>
      </w:r>
      <w:r>
        <w:rPr>
          <w:vertAlign w:val="superscript"/>
        </w:rPr>
        <w:t>1</w:t>
      </w:r>
      <w:r>
        <w:t xml:space="preserve"> такого змісту:</w:t>
      </w:r>
    </w:p>
    <w:p w14:paraId="5E4718A5" w14:textId="1C0BA3C2" w:rsidR="00143AC9" w:rsidRDefault="001F01BB" w:rsidP="00AA1350">
      <w:pPr>
        <w:ind w:firstLine="567"/>
        <w:jc w:val="center"/>
      </w:pPr>
      <w:r>
        <w:t>“</w:t>
      </w:r>
      <w:r>
        <w:rPr>
          <w:lang w:val="en-US"/>
        </w:rPr>
        <w:t>I</w:t>
      </w:r>
      <w:r>
        <w:rPr>
          <w:vertAlign w:val="superscript"/>
        </w:rPr>
        <w:t>1</w:t>
      </w:r>
      <w:r>
        <w:rPr>
          <w:lang w:val="ru-RU"/>
        </w:rPr>
        <w:t xml:space="preserve">. </w:t>
      </w:r>
      <w:r>
        <w:t>Основні принципи формування політики винагороди</w:t>
      </w:r>
    </w:p>
    <w:p w14:paraId="68895F09" w14:textId="77777777" w:rsidR="00143AC9" w:rsidRDefault="00143AC9" w:rsidP="00AA1350">
      <w:pPr>
        <w:ind w:firstLine="567"/>
      </w:pPr>
    </w:p>
    <w:p w14:paraId="790FC817" w14:textId="77777777" w:rsidR="00D11414" w:rsidRDefault="001F01BB" w:rsidP="00AA1350">
      <w:pPr>
        <w:ind w:firstLine="567"/>
      </w:pPr>
      <w:r>
        <w:t>2</w:t>
      </w:r>
      <w:r>
        <w:rPr>
          <w:vertAlign w:val="superscript"/>
        </w:rPr>
        <w:t>1</w:t>
      </w:r>
      <w:r>
        <w:t xml:space="preserve">. </w:t>
      </w:r>
      <w:r w:rsidR="00D11414">
        <w:t xml:space="preserve">Визначення та реалізація політики винагороди в банку здійснюється з урахуванням розміру, особливостей діяльності банку, характеру й обсягів банківських та інших фінансових послуг, профілю ризику банку, системної важливості банку та діяльності банківської групи, до складу якої входить банк, дотримання/виконання стратегії банку, бізнес-плану, бюджету та декларації схильності до ризиків. </w:t>
      </w:r>
    </w:p>
    <w:p w14:paraId="6D7C02CE" w14:textId="77777777" w:rsidR="00143AC9" w:rsidRDefault="00D11414" w:rsidP="00AA1350">
      <w:pPr>
        <w:ind w:firstLine="567"/>
      </w:pPr>
      <w:r>
        <w:t>Процедури, визначені політикою винагороди банку, мають бути чіткими, задокументованими та прозорими, легкими для розуміння та моніторингу дотримання</w:t>
      </w:r>
      <w:r w:rsidR="001F01BB">
        <w:t>.</w:t>
      </w:r>
    </w:p>
    <w:p w14:paraId="49847AC4" w14:textId="77777777" w:rsidR="00143AC9" w:rsidRDefault="00143AC9" w:rsidP="00AA1350">
      <w:pPr>
        <w:ind w:firstLine="567"/>
      </w:pPr>
    </w:p>
    <w:p w14:paraId="7A669AA0" w14:textId="77777777" w:rsidR="00143AC9" w:rsidRDefault="001F01BB" w:rsidP="00AA1350">
      <w:pPr>
        <w:ind w:firstLine="567"/>
      </w:pPr>
      <w:r>
        <w:lastRenderedPageBreak/>
        <w:t>2</w:t>
      </w:r>
      <w:r>
        <w:rPr>
          <w:vertAlign w:val="superscript"/>
        </w:rPr>
        <w:t>2</w:t>
      </w:r>
      <w:r>
        <w:t xml:space="preserve">. Політика винагороди </w:t>
      </w:r>
      <w:r w:rsidR="00B10506" w:rsidRPr="00B10506">
        <w:t xml:space="preserve">видається у формі внутрішнього документа банку </w:t>
      </w:r>
      <w:r w:rsidR="00B10506">
        <w:t xml:space="preserve">та </w:t>
      </w:r>
      <w:r>
        <w:t>визначає застосування банком:</w:t>
      </w:r>
    </w:p>
    <w:p w14:paraId="4D46DBC5" w14:textId="77777777" w:rsidR="00143AC9" w:rsidRDefault="00143AC9" w:rsidP="00AA1350">
      <w:pPr>
        <w:ind w:firstLine="567"/>
      </w:pPr>
    </w:p>
    <w:p w14:paraId="3269E0EB" w14:textId="77777777" w:rsidR="00143AC9" w:rsidRDefault="001F01BB" w:rsidP="00AA1350">
      <w:pPr>
        <w:ind w:firstLine="567"/>
      </w:pPr>
      <w:r>
        <w:t xml:space="preserve">1) практики фіксованої винагороди, яка не залежить від фінансового результату банку, досягнення цілей, виконання повноважень (уключаючи таку практику щодо нових працівників); </w:t>
      </w:r>
    </w:p>
    <w:p w14:paraId="22E674BC" w14:textId="77777777" w:rsidR="00143AC9" w:rsidRDefault="00143AC9" w:rsidP="00AA1350">
      <w:pPr>
        <w:ind w:firstLine="567"/>
      </w:pPr>
    </w:p>
    <w:p w14:paraId="7E191035" w14:textId="77777777" w:rsidR="00143AC9" w:rsidRDefault="001F01BB" w:rsidP="00AA1350">
      <w:pPr>
        <w:ind w:firstLine="567"/>
      </w:pPr>
      <w:r>
        <w:t>2) практики змінної винагороди за потенційні надходження (доходи), строки та ймовірність отримання яких є невизначеними;</w:t>
      </w:r>
    </w:p>
    <w:p w14:paraId="228FBF23" w14:textId="77777777" w:rsidR="00143AC9" w:rsidRDefault="00143AC9" w:rsidP="00AA1350">
      <w:pPr>
        <w:ind w:firstLine="567"/>
      </w:pPr>
    </w:p>
    <w:p w14:paraId="7FA45B2E" w14:textId="23710491" w:rsidR="00143AC9" w:rsidRDefault="001F01BB" w:rsidP="00AA1350">
      <w:pPr>
        <w:ind w:firstLine="567"/>
      </w:pPr>
      <w:r>
        <w:t xml:space="preserve">3) </w:t>
      </w:r>
      <w:r w:rsidR="00FD6E28">
        <w:t xml:space="preserve">виплати </w:t>
      </w:r>
      <w:r>
        <w:t>в разі звільнення до з’ясування ефективності діяльності, досягнення цілей, виконання повноважень.</w:t>
      </w:r>
    </w:p>
    <w:p w14:paraId="5F4B0020" w14:textId="77777777" w:rsidR="00143AC9" w:rsidRDefault="00143AC9" w:rsidP="00AA1350">
      <w:pPr>
        <w:ind w:firstLine="567"/>
      </w:pPr>
    </w:p>
    <w:p w14:paraId="5B50B4C0" w14:textId="77777777" w:rsidR="00D11414" w:rsidRDefault="001F01BB" w:rsidP="00AA1350">
      <w:pPr>
        <w:ind w:firstLine="567"/>
      </w:pPr>
      <w:r>
        <w:t>2</w:t>
      </w:r>
      <w:r>
        <w:rPr>
          <w:vertAlign w:val="superscript"/>
        </w:rPr>
        <w:t>3</w:t>
      </w:r>
      <w:r>
        <w:t xml:space="preserve">. </w:t>
      </w:r>
      <w:r w:rsidR="00D11414">
        <w:t>Рада визначає, затверджує, за потреби  переглядає та у визначеному нею порядку здійснює оцінку та контроль за  реалізацією політики винагороди, яка має визначати критерії для встановлення:</w:t>
      </w:r>
    </w:p>
    <w:p w14:paraId="4232FD85" w14:textId="77777777" w:rsidR="00D11414" w:rsidRDefault="00D11414" w:rsidP="00AA1350">
      <w:pPr>
        <w:ind w:firstLine="567"/>
      </w:pPr>
    </w:p>
    <w:p w14:paraId="3934B401" w14:textId="4F3CCD0F" w:rsidR="00D11414" w:rsidRDefault="00D11414" w:rsidP="00AA1350">
      <w:pPr>
        <w:ind w:firstLine="567"/>
      </w:pPr>
      <w:r>
        <w:t xml:space="preserve">1) фіксованої винагороди, яка відображає рівень професійного досвіду </w:t>
      </w:r>
      <w:r w:rsidR="00BD30EB">
        <w:t>та</w:t>
      </w:r>
      <w:r>
        <w:t xml:space="preserve"> організаційної відповідальності з огляду на посадові обов’язки працівника;</w:t>
      </w:r>
    </w:p>
    <w:p w14:paraId="35EA584A" w14:textId="77777777" w:rsidR="00D11414" w:rsidRDefault="00D11414" w:rsidP="00AA1350">
      <w:pPr>
        <w:ind w:firstLine="567"/>
      </w:pPr>
    </w:p>
    <w:p w14:paraId="7A49E51F" w14:textId="77777777" w:rsidR="00143AC9" w:rsidRDefault="00D11414" w:rsidP="00AA1350">
      <w:pPr>
        <w:ind w:firstLine="567"/>
      </w:pPr>
      <w:r>
        <w:t>2) змінної винагороди, яка відображає послідовне та виважене з урахуванням ризиків банку виконання обов’язків, а також результат, що перевищує вимоги посадових обов’язків працівника</w:t>
      </w:r>
      <w:r w:rsidR="001F01BB">
        <w:t>.</w:t>
      </w:r>
    </w:p>
    <w:p w14:paraId="7FE7D915" w14:textId="77777777" w:rsidR="00143AC9" w:rsidRDefault="00143AC9" w:rsidP="00AA1350">
      <w:pPr>
        <w:ind w:firstLine="567"/>
      </w:pPr>
    </w:p>
    <w:p w14:paraId="7C800086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4</w:t>
      </w:r>
      <w:r>
        <w:t>. Політика винагороди має містити порядок визначення осіб, професійна діяльність яких має значний вплив на профіль ризику банку, та включати такі питання:</w:t>
      </w:r>
    </w:p>
    <w:p w14:paraId="55A1054C" w14:textId="77777777" w:rsidR="00143AC9" w:rsidRDefault="00143AC9" w:rsidP="00AA1350">
      <w:pPr>
        <w:ind w:firstLine="567"/>
      </w:pPr>
    </w:p>
    <w:p w14:paraId="1D550EC0" w14:textId="77777777" w:rsidR="00143AC9" w:rsidRDefault="001F01BB" w:rsidP="00AA1350">
      <w:pPr>
        <w:ind w:firstLine="567"/>
      </w:pPr>
      <w:r>
        <w:t>1) визначення органів управління/підрозділів/посадових осіб, відповідальних за визначення осіб, професійна діяльність яких має значний вплив на профіль ризику банку;</w:t>
      </w:r>
    </w:p>
    <w:p w14:paraId="6323A2EE" w14:textId="77777777" w:rsidR="00143AC9" w:rsidRDefault="00143AC9" w:rsidP="00AA1350">
      <w:pPr>
        <w:ind w:firstLine="567"/>
      </w:pPr>
    </w:p>
    <w:p w14:paraId="692E73BA" w14:textId="001E47E7" w:rsidR="00143AC9" w:rsidRDefault="001F01BB" w:rsidP="00AA1350">
      <w:pPr>
        <w:ind w:firstLine="567"/>
      </w:pPr>
      <w:r>
        <w:t xml:space="preserve">2) визначення якісних і кількісних критеріїв для визначення осіб, професійна діяльність яких має значний вплив на профіль ризику банку. Такі критерії можуть ураховувати потенційний вплив професійної діяльності особи з урахуванням її повноважень і обов’язків на профіль ризику банку, показники ризику та ефективність діяльності банку. Критерії враховують усі суттєві види ризиків, на які може наражатися банк. Одним із кількісних критеріїв є </w:t>
      </w:r>
      <w:r w:rsidRPr="000C74F5">
        <w:t>перевищення розмір</w:t>
      </w:r>
      <w:r w:rsidR="000C74F5" w:rsidRPr="000C74F5">
        <w:t>у</w:t>
      </w:r>
      <w:r w:rsidRPr="000C74F5">
        <w:t xml:space="preserve"> виплаченої</w:t>
      </w:r>
      <w:r>
        <w:t xml:space="preserve"> за рік змінної винагороди в два та більше разів розміру річної фіксованої винагороди;</w:t>
      </w:r>
    </w:p>
    <w:p w14:paraId="361A9CA9" w14:textId="77777777" w:rsidR="00143AC9" w:rsidRDefault="00143AC9" w:rsidP="00AA1350">
      <w:pPr>
        <w:ind w:firstLine="567"/>
      </w:pPr>
    </w:p>
    <w:p w14:paraId="35F8BD10" w14:textId="77777777" w:rsidR="00143AC9" w:rsidRDefault="001F01BB" w:rsidP="00AA1350">
      <w:pPr>
        <w:ind w:firstLine="567"/>
      </w:pPr>
      <w:r>
        <w:lastRenderedPageBreak/>
        <w:t>3) оформлення результатів визначення осіб, професійна діяльність яких має значний вплив на профіль ризику банку, затвердження переліку цих осіб;</w:t>
      </w:r>
    </w:p>
    <w:p w14:paraId="2279D519" w14:textId="77777777" w:rsidR="00143AC9" w:rsidRDefault="00143AC9" w:rsidP="00AA1350">
      <w:pPr>
        <w:ind w:firstLine="567"/>
      </w:pPr>
    </w:p>
    <w:p w14:paraId="36F0E218" w14:textId="77777777" w:rsidR="00143AC9" w:rsidRDefault="001F01BB" w:rsidP="00AA1350">
      <w:pPr>
        <w:ind w:firstLine="567"/>
      </w:pPr>
      <w:r>
        <w:t>4) періодичність (не рідше одного разу на рік) перегляду переліку осіб, професійна діяльність яких має значний вплив на профіль ризику банку;</w:t>
      </w:r>
    </w:p>
    <w:p w14:paraId="521E8D88" w14:textId="77777777" w:rsidR="00143AC9" w:rsidRDefault="00143AC9" w:rsidP="00AA1350">
      <w:pPr>
        <w:ind w:firstLine="567"/>
      </w:pPr>
    </w:p>
    <w:p w14:paraId="792879F0" w14:textId="77777777" w:rsidR="00143AC9" w:rsidRDefault="001F01BB" w:rsidP="00AA1350">
      <w:pPr>
        <w:ind w:firstLine="567"/>
      </w:pPr>
      <w:r>
        <w:t xml:space="preserve">5) повідомлення </w:t>
      </w:r>
      <w:r w:rsidR="00534E29">
        <w:t>акціонерам</w:t>
      </w:r>
      <w:r w:rsidR="00982D63">
        <w:t xml:space="preserve"> банку</w:t>
      </w:r>
      <w:r>
        <w:t xml:space="preserve"> та Національному банку (не рідше одного разу на рік) про осіб, професійна діяльність яких має значний вплив на профіль ризику банку.</w:t>
      </w:r>
    </w:p>
    <w:p w14:paraId="20DADCBB" w14:textId="77777777" w:rsidR="0017186F" w:rsidRDefault="0017186F" w:rsidP="00AA1350">
      <w:pPr>
        <w:ind w:firstLine="567"/>
      </w:pPr>
    </w:p>
    <w:p w14:paraId="0752C52F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5</w:t>
      </w:r>
      <w:r>
        <w:t>. Банк надає інформацію щодо визначення осіб, професійна діяльність яких має значний вплив на профіль ризику банку, та перелік таких осіб Національному банку на його вимогу.</w:t>
      </w:r>
    </w:p>
    <w:p w14:paraId="0D6347FC" w14:textId="77777777" w:rsidR="00143AC9" w:rsidRDefault="00143AC9" w:rsidP="00AA1350">
      <w:pPr>
        <w:ind w:firstLine="567"/>
      </w:pPr>
    </w:p>
    <w:p w14:paraId="34CD52F5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6</w:t>
      </w:r>
      <w:r>
        <w:t>. Політика винагороди має стимулювати членів органів управління, впливових осіб діяти в інтересах банку та не приймати надмірних ризиків.</w:t>
      </w:r>
    </w:p>
    <w:p w14:paraId="43F454A0" w14:textId="77777777" w:rsidR="00143AC9" w:rsidRDefault="00143AC9" w:rsidP="00AA1350">
      <w:pPr>
        <w:ind w:firstLine="567"/>
      </w:pPr>
    </w:p>
    <w:p w14:paraId="0F5F4CE1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7</w:t>
      </w:r>
      <w:r>
        <w:t>. Політика винагороди має визначати порядок прийняття рішень про виплату/відстрочення/зменшення/скасування/повернення змінної винагороди, а також може визначати форми виплати змінної винагороди.</w:t>
      </w:r>
    </w:p>
    <w:p w14:paraId="5615038B" w14:textId="77777777" w:rsidR="00143AC9" w:rsidRDefault="00143AC9" w:rsidP="00AA1350">
      <w:pPr>
        <w:ind w:firstLine="567"/>
      </w:pPr>
    </w:p>
    <w:p w14:paraId="7F35C0FC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8</w:t>
      </w:r>
      <w:r>
        <w:t>. Банк приймає рішення щодо виплати змінної винагороди з урахуванням прийнятих банком ризиків і результатів такого прийняття, фінансового результату діяльності банку, дотримання вимог до капіталу банку, підтримання належного рівня ліквідності.</w:t>
      </w:r>
    </w:p>
    <w:p w14:paraId="4C398D6A" w14:textId="77777777" w:rsidR="00143AC9" w:rsidRDefault="00143AC9" w:rsidP="00AA1350">
      <w:pPr>
        <w:ind w:firstLine="567"/>
      </w:pPr>
    </w:p>
    <w:p w14:paraId="56F2FDBD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9</w:t>
      </w:r>
      <w:r>
        <w:t xml:space="preserve">. Політика винагороди повинна бути </w:t>
      </w:r>
      <w:proofErr w:type="spellStart"/>
      <w:r>
        <w:t>гендерно</w:t>
      </w:r>
      <w:proofErr w:type="spellEnd"/>
      <w:r>
        <w:t xml:space="preserve"> нейтральною та визначатися з урахуванням необхідності дотримання принципу рівної оплати праці працівників чоловічої та жіночої статі за рівну роботу або роботу однакової цінності.</w:t>
      </w:r>
    </w:p>
    <w:p w14:paraId="42FD1A85" w14:textId="77777777" w:rsidR="00143AC9" w:rsidRDefault="00143AC9" w:rsidP="00AA1350">
      <w:pPr>
        <w:ind w:firstLine="567"/>
      </w:pPr>
      <w:bookmarkStart w:id="1" w:name="n531"/>
      <w:bookmarkEnd w:id="1"/>
    </w:p>
    <w:p w14:paraId="02EF3883" w14:textId="1F529BB4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10</w:t>
      </w:r>
      <w:r>
        <w:t xml:space="preserve">. </w:t>
      </w:r>
      <w:r w:rsidR="0017186F" w:rsidRPr="0017186F">
        <w:t xml:space="preserve">Політика винагороди визначає з урахуванням установлених цим Положенням вимог  обсяг інформації про виплату винагороди, </w:t>
      </w:r>
      <w:r w:rsidR="00BD30EB">
        <w:t>що</w:t>
      </w:r>
      <w:r w:rsidR="0017186F" w:rsidRPr="0017186F">
        <w:t xml:space="preserve"> включається до річного звіту банку. Обсяг інформації про винагороду, що підлягає включенню до річного звіту банку, не може бути меншим, ніж установлено цим Положенням.</w:t>
      </w:r>
    </w:p>
    <w:p w14:paraId="2E57A50D" w14:textId="77777777" w:rsidR="00143AC9" w:rsidRDefault="00143AC9" w:rsidP="00AA1350">
      <w:pPr>
        <w:ind w:firstLine="567"/>
      </w:pPr>
    </w:p>
    <w:p w14:paraId="7363A4AF" w14:textId="77777777" w:rsidR="00143AC9" w:rsidRDefault="001F01BB" w:rsidP="00AA1350">
      <w:pPr>
        <w:ind w:firstLine="567"/>
      </w:pPr>
      <w:r>
        <w:t>2</w:t>
      </w:r>
      <w:r>
        <w:rPr>
          <w:vertAlign w:val="superscript"/>
        </w:rPr>
        <w:t>11</w:t>
      </w:r>
      <w:r>
        <w:t>. Загальні збори/вищий орган державного банку встановлюють</w:t>
      </w:r>
      <w:r w:rsidR="00E633B2">
        <w:t>(</w:t>
      </w:r>
      <w:r>
        <w:t>є</w:t>
      </w:r>
      <w:r w:rsidR="00E633B2">
        <w:t>)</w:t>
      </w:r>
      <w:r>
        <w:t xml:space="preserve"> розмір винагороди голови та членів ради.</w:t>
      </w:r>
    </w:p>
    <w:p w14:paraId="50B1D0EC" w14:textId="77777777" w:rsidR="00143AC9" w:rsidRDefault="001F01BB" w:rsidP="00AA1350">
      <w:pPr>
        <w:ind w:firstLine="567"/>
      </w:pPr>
      <w:r>
        <w:t xml:space="preserve">Рада встановлює розмір винагороди голови та членів правління, керівника та працівників підрозділу внутрішнього аудиту, головного ризик-менеджера, головного </w:t>
      </w:r>
      <w:proofErr w:type="spellStart"/>
      <w:r>
        <w:t>комплаєнс</w:t>
      </w:r>
      <w:proofErr w:type="spellEnd"/>
      <w:r>
        <w:t>-менеджера.</w:t>
      </w:r>
    </w:p>
    <w:p w14:paraId="50A8D79B" w14:textId="48E68169" w:rsidR="00143AC9" w:rsidRDefault="0017186F" w:rsidP="00AA1350">
      <w:pPr>
        <w:ind w:firstLine="567"/>
      </w:pPr>
      <w:r w:rsidRPr="0017186F">
        <w:lastRenderedPageBreak/>
        <w:t xml:space="preserve">Правління встановлює розмір винагороди інших працівників банку, якщо інше не передбачено законодавством </w:t>
      </w:r>
      <w:r w:rsidR="00BD30EB">
        <w:t xml:space="preserve">України </w:t>
      </w:r>
      <w:r w:rsidRPr="0017186F">
        <w:t>і/або статутом банку.</w:t>
      </w:r>
      <w:r w:rsidR="001F01BB">
        <w:t>”.</w:t>
      </w:r>
    </w:p>
    <w:p w14:paraId="78644865" w14:textId="77777777" w:rsidR="00143AC9" w:rsidRDefault="00143AC9" w:rsidP="00AA1350">
      <w:pPr>
        <w:ind w:firstLine="567"/>
      </w:pPr>
    </w:p>
    <w:p w14:paraId="3A3A4AE5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 xml:space="preserve">У розділі </w:t>
      </w:r>
      <w:r>
        <w:rPr>
          <w:lang w:val="en-US"/>
        </w:rPr>
        <w:t>II</w:t>
      </w:r>
      <w:r>
        <w:t>:</w:t>
      </w:r>
    </w:p>
    <w:p w14:paraId="695804F0" w14:textId="77777777" w:rsidR="00143AC9" w:rsidRDefault="00143AC9" w:rsidP="00AA1350">
      <w:pPr>
        <w:ind w:firstLine="567"/>
      </w:pPr>
    </w:p>
    <w:p w14:paraId="07914DEB" w14:textId="5367BE99" w:rsidR="009606CB" w:rsidRDefault="001F01BB" w:rsidP="00AA1350">
      <w:pPr>
        <w:pStyle w:val="afb"/>
        <w:numPr>
          <w:ilvl w:val="0"/>
          <w:numId w:val="3"/>
        </w:numPr>
        <w:ind w:left="0" w:firstLine="567"/>
      </w:pPr>
      <w:r>
        <w:t xml:space="preserve">у </w:t>
      </w:r>
      <w:r w:rsidR="009606CB">
        <w:t>пункті 4:</w:t>
      </w:r>
    </w:p>
    <w:p w14:paraId="70C24B8B" w14:textId="612B97DC" w:rsidR="00143AC9" w:rsidRDefault="00B21717" w:rsidP="003E2AF6">
      <w:pPr>
        <w:ind w:firstLine="567"/>
      </w:pPr>
      <w:r>
        <w:t xml:space="preserve">у </w:t>
      </w:r>
      <w:r w:rsidR="001F01BB">
        <w:t>підпункті 2 слова “частиною винагороди” замінити словом “винагородою”;</w:t>
      </w:r>
    </w:p>
    <w:p w14:paraId="6879E6EE" w14:textId="557A3BB2" w:rsidR="00143AC9" w:rsidRDefault="001F01BB" w:rsidP="003E2AF6">
      <w:pPr>
        <w:pStyle w:val="afb"/>
        <w:ind w:left="567"/>
      </w:pPr>
      <w:r>
        <w:t xml:space="preserve">підпункт 12 викласти </w:t>
      </w:r>
      <w:r w:rsidR="00B21717">
        <w:t>в</w:t>
      </w:r>
      <w:r>
        <w:t xml:space="preserve"> такій редакції:</w:t>
      </w:r>
    </w:p>
    <w:p w14:paraId="279D2E40" w14:textId="17209830" w:rsidR="00143AC9" w:rsidRDefault="001F01BB" w:rsidP="00AA1350">
      <w:pPr>
        <w:ind w:firstLine="567"/>
      </w:pPr>
      <w:r>
        <w:t>“12) визначає з урахуванням установлених цим Положенням вимог обсяг відомостей, що містяться у звіті про винагороду, та обсяг відомостей про винагороду, що можуть бути оприлюднені. Обсяг відомостей про винагороду, що підлягає оприлюдненню, не може бути меншим, ніж установлено цим Положенням.”;</w:t>
      </w:r>
    </w:p>
    <w:p w14:paraId="54041568" w14:textId="77777777" w:rsidR="00143AC9" w:rsidRDefault="00143AC9" w:rsidP="00AA1350">
      <w:pPr>
        <w:ind w:firstLine="567"/>
      </w:pPr>
    </w:p>
    <w:p w14:paraId="3BB60D8C" w14:textId="77777777" w:rsidR="00143AC9" w:rsidRDefault="001F01BB" w:rsidP="00AA1350">
      <w:pPr>
        <w:pStyle w:val="afb"/>
        <w:numPr>
          <w:ilvl w:val="0"/>
          <w:numId w:val="3"/>
        </w:numPr>
        <w:ind w:left="0" w:firstLine="567"/>
      </w:pPr>
      <w:r>
        <w:t>підпункти 9, 11 пункт</w:t>
      </w:r>
      <w:r>
        <w:rPr>
          <w:lang w:val="ru-RU"/>
        </w:rPr>
        <w:t>у</w:t>
      </w:r>
      <w:r>
        <w:t xml:space="preserve"> 5</w:t>
      </w:r>
      <w:r>
        <w:rPr>
          <w:lang w:val="ru-RU"/>
        </w:rPr>
        <w:t xml:space="preserve"> </w:t>
      </w:r>
      <w:r w:rsidR="003F1E44">
        <w:t>після слів</w:t>
      </w:r>
      <w:r>
        <w:t xml:space="preserve"> “правління” доповнити словами “, впливових осіб”.</w:t>
      </w:r>
    </w:p>
    <w:p w14:paraId="52329ABC" w14:textId="77777777" w:rsidR="00143AC9" w:rsidRDefault="00143AC9" w:rsidP="00AA1350">
      <w:pPr>
        <w:pStyle w:val="afb"/>
        <w:ind w:left="0" w:firstLine="567"/>
      </w:pPr>
    </w:p>
    <w:p w14:paraId="7A670731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 xml:space="preserve">У розділі </w:t>
      </w:r>
      <w:r>
        <w:rPr>
          <w:lang w:val="en-US"/>
        </w:rPr>
        <w:t>III</w:t>
      </w:r>
      <w:r>
        <w:t>:</w:t>
      </w:r>
    </w:p>
    <w:p w14:paraId="5D8BEE64" w14:textId="77777777" w:rsidR="00143AC9" w:rsidRDefault="00143AC9" w:rsidP="00AA1350">
      <w:pPr>
        <w:ind w:firstLine="567"/>
      </w:pPr>
    </w:p>
    <w:p w14:paraId="5C455B73" w14:textId="77777777" w:rsidR="00143AC9" w:rsidRDefault="001F01BB" w:rsidP="00AA1350">
      <w:pPr>
        <w:pStyle w:val="afb"/>
        <w:numPr>
          <w:ilvl w:val="0"/>
          <w:numId w:val="4"/>
        </w:numPr>
        <w:ind w:left="0" w:firstLine="567"/>
      </w:pPr>
      <w:r>
        <w:t>підпункт 3 пункт</w:t>
      </w:r>
      <w:r>
        <w:rPr>
          <w:lang w:val="ru-RU"/>
        </w:rPr>
        <w:t>у</w:t>
      </w:r>
      <w:r>
        <w:t xml:space="preserve"> 6</w:t>
      </w:r>
      <w:r>
        <w:rPr>
          <w:lang w:val="ru-RU"/>
        </w:rPr>
        <w:t xml:space="preserve"> </w:t>
      </w:r>
      <w:r>
        <w:t>доповнити словами “, впливовим особам”;</w:t>
      </w:r>
    </w:p>
    <w:p w14:paraId="6BD244E8" w14:textId="77777777" w:rsidR="00143AC9" w:rsidRDefault="00143AC9" w:rsidP="00AA1350">
      <w:pPr>
        <w:ind w:firstLine="567"/>
      </w:pPr>
    </w:p>
    <w:p w14:paraId="7CAA7B54" w14:textId="77777777" w:rsidR="00143AC9" w:rsidRDefault="002473F8" w:rsidP="00AA1350">
      <w:pPr>
        <w:pStyle w:val="afb"/>
        <w:numPr>
          <w:ilvl w:val="0"/>
          <w:numId w:val="4"/>
        </w:numPr>
        <w:ind w:left="0" w:firstLine="567"/>
      </w:pPr>
      <w:r>
        <w:t xml:space="preserve">пункт 7 </w:t>
      </w:r>
      <w:r w:rsidR="001F01BB">
        <w:t>доповнити новим підпунктом такого змісту:</w:t>
      </w:r>
    </w:p>
    <w:p w14:paraId="334A39E1" w14:textId="77777777" w:rsidR="00143AC9" w:rsidRDefault="001F01BB" w:rsidP="00AA1350">
      <w:pPr>
        <w:ind w:firstLine="567"/>
      </w:pPr>
      <w:r>
        <w:t>“3) наявності/відсутності обґрунтованих підстав щодо виплати/відстрочення/зменшення/повернення змінної винагороди члена ради.”;</w:t>
      </w:r>
    </w:p>
    <w:p w14:paraId="419B4A06" w14:textId="77777777" w:rsidR="00143AC9" w:rsidRDefault="00143AC9" w:rsidP="00AA1350">
      <w:pPr>
        <w:ind w:firstLine="567"/>
      </w:pPr>
    </w:p>
    <w:p w14:paraId="7D73A77C" w14:textId="77777777" w:rsidR="00143AC9" w:rsidRDefault="00D53A31" w:rsidP="00AA1350">
      <w:pPr>
        <w:ind w:firstLine="567"/>
      </w:pPr>
      <w:r>
        <w:t>3</w:t>
      </w:r>
      <w:r w:rsidR="001F01BB">
        <w:t>) розділ після пункту 8 доповнити новим пунктом 8</w:t>
      </w:r>
      <w:r w:rsidR="001F01BB">
        <w:rPr>
          <w:vertAlign w:val="superscript"/>
        </w:rPr>
        <w:t>1</w:t>
      </w:r>
      <w:r w:rsidR="001F01BB">
        <w:t xml:space="preserve"> такого змісту:</w:t>
      </w:r>
    </w:p>
    <w:p w14:paraId="58ED420C" w14:textId="77777777" w:rsidR="00143AC9" w:rsidRDefault="001F01BB" w:rsidP="00AA1350">
      <w:pPr>
        <w:tabs>
          <w:tab w:val="left" w:pos="2386"/>
        </w:tabs>
        <w:ind w:firstLine="567"/>
      </w:pPr>
      <w:r>
        <w:t>“8</w:t>
      </w:r>
      <w:r>
        <w:rPr>
          <w:vertAlign w:val="superscript"/>
        </w:rPr>
        <w:t>1</w:t>
      </w:r>
      <w:r>
        <w:t>. Звіт про винагороду впливових осіб додатково має містити інформацію щодо:</w:t>
      </w:r>
    </w:p>
    <w:p w14:paraId="210BA5E5" w14:textId="77777777" w:rsidR="00143AC9" w:rsidRDefault="00143AC9" w:rsidP="00AA1350">
      <w:pPr>
        <w:tabs>
          <w:tab w:val="left" w:pos="2386"/>
        </w:tabs>
        <w:ind w:firstLine="567"/>
      </w:pPr>
    </w:p>
    <w:p w14:paraId="56E80C5F" w14:textId="21FECCF6" w:rsidR="00143AC9" w:rsidRDefault="001F01BB" w:rsidP="00AA1350">
      <w:pPr>
        <w:tabs>
          <w:tab w:val="left" w:pos="2386"/>
        </w:tabs>
        <w:ind w:firstLine="567"/>
      </w:pPr>
      <w:r>
        <w:t xml:space="preserve">1) підтверджених фактів неприйнятної поведінки впливової особи (уключаючи ті, що повідомлені </w:t>
      </w:r>
      <w:r w:rsidR="00504E0C">
        <w:rPr>
          <w:color w:val="333333"/>
          <w:shd w:val="clear" w:color="auto" w:fill="FFFFFF"/>
        </w:rPr>
        <w:t>конфіденційним шляхом</w:t>
      </w:r>
      <w:r>
        <w:t>) і вжитих за результатами розслідування заходів у разі наявності впливу таких фактів/заходів на виплату винагороди впливовій особі;</w:t>
      </w:r>
    </w:p>
    <w:p w14:paraId="1F2F6B9C" w14:textId="77777777" w:rsidR="00143AC9" w:rsidRDefault="00143AC9" w:rsidP="00AA1350">
      <w:pPr>
        <w:tabs>
          <w:tab w:val="left" w:pos="2386"/>
        </w:tabs>
        <w:ind w:firstLine="567"/>
      </w:pPr>
    </w:p>
    <w:p w14:paraId="79400401" w14:textId="77777777" w:rsidR="00143AC9" w:rsidRDefault="001F01BB" w:rsidP="00AA1350">
      <w:pPr>
        <w:tabs>
          <w:tab w:val="left" w:pos="2386"/>
        </w:tabs>
        <w:ind w:firstLine="567"/>
      </w:pPr>
      <w:r>
        <w:t>2) наявності/відсутності обґрунтованих підстав щодо виплати/відстрочення/зменшення/повернення змінної винаг</w:t>
      </w:r>
      <w:r w:rsidR="007D11A3">
        <w:t>ороди впливовій(</w:t>
      </w:r>
      <w:proofErr w:type="spellStart"/>
      <w:r w:rsidR="007D11A3">
        <w:t>ою</w:t>
      </w:r>
      <w:proofErr w:type="spellEnd"/>
      <w:r w:rsidR="007D11A3">
        <w:t>) особі(</w:t>
      </w:r>
      <w:proofErr w:type="spellStart"/>
      <w:r w:rsidR="007D11A3">
        <w:t>ою</w:t>
      </w:r>
      <w:proofErr w:type="spellEnd"/>
      <w:r w:rsidR="007D11A3">
        <w:t>).”;</w:t>
      </w:r>
    </w:p>
    <w:p w14:paraId="27E68D61" w14:textId="77777777" w:rsidR="007D11A3" w:rsidRDefault="007D11A3" w:rsidP="00AA1350">
      <w:pPr>
        <w:tabs>
          <w:tab w:val="left" w:pos="2386"/>
        </w:tabs>
        <w:ind w:firstLine="567"/>
      </w:pPr>
    </w:p>
    <w:p w14:paraId="52CA952F" w14:textId="77777777" w:rsidR="003F1E44" w:rsidRDefault="003F1E44" w:rsidP="00AA1350">
      <w:pPr>
        <w:tabs>
          <w:tab w:val="left" w:pos="2386"/>
        </w:tabs>
        <w:ind w:firstLine="567"/>
      </w:pPr>
      <w:r>
        <w:t xml:space="preserve">4) </w:t>
      </w:r>
      <w:r w:rsidR="00014E13">
        <w:t>підпункт 5 пункту 9 виключити;</w:t>
      </w:r>
    </w:p>
    <w:p w14:paraId="40CA08D6" w14:textId="77777777" w:rsidR="003F1E44" w:rsidRDefault="003F1E44" w:rsidP="00AA1350">
      <w:pPr>
        <w:tabs>
          <w:tab w:val="left" w:pos="2386"/>
        </w:tabs>
        <w:ind w:firstLine="567"/>
      </w:pPr>
    </w:p>
    <w:p w14:paraId="21C1CEA3" w14:textId="77777777" w:rsidR="007D11A3" w:rsidRDefault="003F1E44" w:rsidP="00AA1350">
      <w:pPr>
        <w:tabs>
          <w:tab w:val="left" w:pos="2386"/>
        </w:tabs>
        <w:ind w:firstLine="567"/>
      </w:pPr>
      <w:r>
        <w:t>5</w:t>
      </w:r>
      <w:r w:rsidR="007D11A3">
        <w:t>) у пункті 11 слова “</w:t>
      </w:r>
      <w:r w:rsidR="007D11A3" w:rsidRPr="007D11A3">
        <w:t>та/або пов’язаними з банком особами</w:t>
      </w:r>
      <w:r w:rsidR="007D11A3">
        <w:t>” виключити.</w:t>
      </w:r>
    </w:p>
    <w:p w14:paraId="23211557" w14:textId="77777777" w:rsidR="00143AC9" w:rsidRDefault="00143AC9" w:rsidP="00AA1350">
      <w:pPr>
        <w:ind w:firstLine="567"/>
      </w:pPr>
    </w:p>
    <w:p w14:paraId="473C6114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 xml:space="preserve">У розділі </w:t>
      </w:r>
      <w:r>
        <w:rPr>
          <w:lang w:val="en-US"/>
        </w:rPr>
        <w:t>IV</w:t>
      </w:r>
      <w:r>
        <w:t>:</w:t>
      </w:r>
    </w:p>
    <w:p w14:paraId="72651820" w14:textId="77777777" w:rsidR="00143AC9" w:rsidRDefault="00143AC9" w:rsidP="00AA1350">
      <w:pPr>
        <w:pStyle w:val="afb"/>
        <w:ind w:left="0" w:firstLine="567"/>
      </w:pPr>
    </w:p>
    <w:p w14:paraId="2B5B77FD" w14:textId="77777777" w:rsidR="00143AC9" w:rsidRDefault="001F01BB" w:rsidP="00AA1350">
      <w:pPr>
        <w:pStyle w:val="afb"/>
        <w:numPr>
          <w:ilvl w:val="0"/>
          <w:numId w:val="5"/>
        </w:numPr>
        <w:ind w:left="0" w:firstLine="567"/>
      </w:pPr>
      <w:r>
        <w:t>у пункті 13:</w:t>
      </w:r>
    </w:p>
    <w:p w14:paraId="6F170231" w14:textId="77777777" w:rsidR="00143AC9" w:rsidRDefault="00740058" w:rsidP="00AA1350">
      <w:pPr>
        <w:ind w:firstLine="567"/>
      </w:pPr>
      <w:r>
        <w:t xml:space="preserve">пункт </w:t>
      </w:r>
      <w:r w:rsidR="001F01BB">
        <w:t>після слова “правління” доповнити словами “, впливових осіб”;</w:t>
      </w:r>
    </w:p>
    <w:p w14:paraId="60BC1779" w14:textId="77777777" w:rsidR="00143AC9" w:rsidRDefault="001F01BB" w:rsidP="00AA1350">
      <w:pPr>
        <w:ind w:firstLine="567"/>
      </w:pPr>
      <w:r>
        <w:t>слово “його” замінити словом “їх”;</w:t>
      </w:r>
    </w:p>
    <w:p w14:paraId="2ADD5899" w14:textId="77777777" w:rsidR="00143AC9" w:rsidRDefault="00143AC9" w:rsidP="00AA1350">
      <w:pPr>
        <w:ind w:firstLine="567"/>
      </w:pPr>
    </w:p>
    <w:p w14:paraId="089C9EAE" w14:textId="74B5E224" w:rsidR="00143AC9" w:rsidRDefault="001F01BB" w:rsidP="00AA1350">
      <w:pPr>
        <w:pStyle w:val="afb"/>
        <w:numPr>
          <w:ilvl w:val="0"/>
          <w:numId w:val="5"/>
        </w:numPr>
        <w:ind w:left="0" w:firstLine="567"/>
      </w:pPr>
      <w:r>
        <w:t>абзац перший пункту 17 після слів “членам ради та правління</w:t>
      </w:r>
      <w:r w:rsidR="000331AA">
        <w:t>,</w:t>
      </w:r>
      <w:r>
        <w:t>”</w:t>
      </w:r>
      <w:r w:rsidR="00B21717">
        <w:t xml:space="preserve">, </w:t>
      </w:r>
      <w:r>
        <w:t xml:space="preserve">“щодо ради та правління” доповнити відповідно словами “впливовим особам,”, “, впливових осіб”. </w:t>
      </w:r>
    </w:p>
    <w:p w14:paraId="7B803C6B" w14:textId="77777777" w:rsidR="00143AC9" w:rsidRDefault="00143AC9" w:rsidP="00AA1350">
      <w:pPr>
        <w:ind w:firstLine="567"/>
      </w:pPr>
    </w:p>
    <w:p w14:paraId="019AD274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 xml:space="preserve">У розділі </w:t>
      </w:r>
      <w:r>
        <w:rPr>
          <w:lang w:val="en-US"/>
        </w:rPr>
        <w:t>V</w:t>
      </w:r>
      <w:r>
        <w:t>:</w:t>
      </w:r>
    </w:p>
    <w:p w14:paraId="2B88701A" w14:textId="77777777" w:rsidR="00143AC9" w:rsidRDefault="00143AC9" w:rsidP="00AA1350">
      <w:pPr>
        <w:ind w:firstLine="567"/>
      </w:pPr>
    </w:p>
    <w:p w14:paraId="2C41659F" w14:textId="77777777" w:rsidR="00143AC9" w:rsidRDefault="001F01BB" w:rsidP="00AA1350">
      <w:pPr>
        <w:pStyle w:val="afb"/>
        <w:numPr>
          <w:ilvl w:val="0"/>
          <w:numId w:val="6"/>
        </w:numPr>
        <w:ind w:left="0" w:firstLine="567"/>
        <w:rPr>
          <w:lang w:val="ru-RU"/>
        </w:rPr>
      </w:pPr>
      <w:r>
        <w:t>у пункті 19:</w:t>
      </w:r>
    </w:p>
    <w:p w14:paraId="63E45160" w14:textId="45380FEB" w:rsidR="00740058" w:rsidRPr="00E6415A" w:rsidRDefault="001F01BB" w:rsidP="00AA1350">
      <w:pPr>
        <w:ind w:firstLine="567"/>
        <w:rPr>
          <w:lang w:val="ru-RU"/>
        </w:rPr>
      </w:pPr>
      <w:r>
        <w:t>слов</w:t>
      </w:r>
      <w:r w:rsidR="00740058">
        <w:t>о</w:t>
      </w:r>
      <w:r>
        <w:t xml:space="preserve"> “звіт”</w:t>
      </w:r>
      <w:r w:rsidR="00740058">
        <w:t xml:space="preserve"> замінити словом </w:t>
      </w:r>
      <w:r w:rsidR="00740058" w:rsidRPr="00E6415A">
        <w:rPr>
          <w:lang w:val="ru-RU"/>
        </w:rPr>
        <w:t>“</w:t>
      </w:r>
      <w:r w:rsidR="00740058">
        <w:t>звіт</w:t>
      </w:r>
      <w:r w:rsidR="00B21717">
        <w:t>и</w:t>
      </w:r>
      <w:r w:rsidR="00740058" w:rsidRPr="00E6415A">
        <w:rPr>
          <w:lang w:val="ru-RU"/>
        </w:rPr>
        <w:t>”</w:t>
      </w:r>
      <w:r w:rsidR="00740058">
        <w:rPr>
          <w:lang w:val="ru-RU"/>
        </w:rPr>
        <w:t>;</w:t>
      </w:r>
    </w:p>
    <w:p w14:paraId="4912B271" w14:textId="77777777" w:rsidR="00143AC9" w:rsidRDefault="001F01BB" w:rsidP="00AA1350">
      <w:pPr>
        <w:ind w:firstLine="567"/>
      </w:pPr>
      <w:r>
        <w:t>пункт після слова “правління” доповнити словами “, впливових осіб”;</w:t>
      </w:r>
    </w:p>
    <w:p w14:paraId="6D54840C" w14:textId="77777777" w:rsidR="005F3E7D" w:rsidRDefault="00FE18AE" w:rsidP="00AA1350">
      <w:pPr>
        <w:ind w:firstLine="567"/>
      </w:pPr>
      <w:r>
        <w:t xml:space="preserve">слово </w:t>
      </w:r>
      <w:r w:rsidR="005F3E7D">
        <w:t>“його” замінити слов</w:t>
      </w:r>
      <w:r>
        <w:t>ом</w:t>
      </w:r>
      <w:r w:rsidR="005F3E7D">
        <w:t xml:space="preserve"> “їх”;</w:t>
      </w:r>
    </w:p>
    <w:p w14:paraId="5E5AA8E2" w14:textId="77777777" w:rsidR="00143AC9" w:rsidRDefault="00143AC9" w:rsidP="00AA1350">
      <w:pPr>
        <w:ind w:firstLine="567"/>
      </w:pPr>
    </w:p>
    <w:p w14:paraId="570DCEED" w14:textId="77777777" w:rsidR="00143AC9" w:rsidRDefault="001F01BB" w:rsidP="00AA1350">
      <w:pPr>
        <w:ind w:firstLine="567"/>
      </w:pPr>
      <w:r>
        <w:t>2) пункт 20 після слова “правління” доповнити словами “, впливовим особам”.</w:t>
      </w:r>
    </w:p>
    <w:p w14:paraId="47C8385B" w14:textId="77777777" w:rsidR="00143AC9" w:rsidRDefault="00143AC9" w:rsidP="00AA1350">
      <w:pPr>
        <w:pStyle w:val="afb"/>
        <w:ind w:left="0" w:firstLine="567"/>
      </w:pPr>
    </w:p>
    <w:p w14:paraId="6726E83A" w14:textId="77777777" w:rsidR="00143AC9" w:rsidRDefault="001F01BB" w:rsidP="00AA1350">
      <w:pPr>
        <w:pStyle w:val="afb"/>
        <w:numPr>
          <w:ilvl w:val="0"/>
          <w:numId w:val="1"/>
        </w:numPr>
        <w:ind w:left="0" w:firstLine="567"/>
      </w:pPr>
      <w:r>
        <w:t>Текст Положення після слів “член органу управління” у всіх відмінках та числах доповнити словами “, впливова особа” у відповідних відмінках та числах.</w:t>
      </w:r>
    </w:p>
    <w:sectPr w:rsidR="00143AC9" w:rsidSect="003E2AF6">
      <w:headerReference w:type="default" r:id="rId16"/>
      <w:footerReference w:type="first" r:id="rId17"/>
      <w:pgSz w:w="11906" w:h="16838"/>
      <w:pgMar w:top="567" w:right="567" w:bottom="1701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DBA1" w14:textId="77777777" w:rsidR="006C2CC2" w:rsidRDefault="006C2CC2">
      <w:r>
        <w:separator/>
      </w:r>
    </w:p>
  </w:endnote>
  <w:endnote w:type="continuationSeparator" w:id="0">
    <w:p w14:paraId="08F8FE77" w14:textId="77777777" w:rsidR="006C2CC2" w:rsidRDefault="006C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CB74" w14:textId="77777777" w:rsidR="00143AC9" w:rsidRDefault="001F01BB">
    <w:pPr>
      <w:pStyle w:val="af4"/>
      <w:tabs>
        <w:tab w:val="clear" w:pos="4819"/>
      </w:tabs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  <w:p w14:paraId="567EE9F8" w14:textId="77777777" w:rsidR="00143AC9" w:rsidRDefault="001F01BB">
    <w:pPr>
      <w:pStyle w:val="af5"/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4F9D" w14:textId="77777777" w:rsidR="00143AC9" w:rsidRDefault="001F01BB">
    <w:pPr>
      <w:pStyle w:val="af4"/>
      <w:tabs>
        <w:tab w:val="clear" w:pos="4819"/>
      </w:tabs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  <w:p w14:paraId="0F2617B3" w14:textId="77777777" w:rsidR="00143AC9" w:rsidRDefault="001F01BB">
    <w:pPr>
      <w:pStyle w:val="af5"/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0279" w14:textId="77777777" w:rsidR="006C2CC2" w:rsidRDefault="006C2CC2">
      <w:r>
        <w:separator/>
      </w:r>
    </w:p>
  </w:footnote>
  <w:footnote w:type="continuationSeparator" w:id="0">
    <w:p w14:paraId="24B342D8" w14:textId="77777777" w:rsidR="006C2CC2" w:rsidRDefault="006C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518175"/>
      <w:docPartObj>
        <w:docPartGallery w:val="Page Numbers (Top of Page)"/>
        <w:docPartUnique/>
      </w:docPartObj>
    </w:sdtPr>
    <w:sdtEndPr/>
    <w:sdtContent>
      <w:p w14:paraId="37851714" w14:textId="3D4A3B7C" w:rsidR="00143AC9" w:rsidRDefault="001F01BB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6CE1">
          <w:rPr>
            <w:noProof/>
          </w:rPr>
          <w:t>2</w:t>
        </w:r>
        <w:r>
          <w:fldChar w:fldCharType="end"/>
        </w:r>
      </w:p>
      <w:p w14:paraId="07D33AB4" w14:textId="77777777" w:rsidR="00143AC9" w:rsidRDefault="006C2CC2">
        <w:pPr>
          <w:pStyle w:val="af4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404316"/>
      <w:docPartObj>
        <w:docPartGallery w:val="Page Numbers (Top of Page)"/>
        <w:docPartUnique/>
      </w:docPartObj>
    </w:sdtPr>
    <w:sdtEndPr/>
    <w:sdtContent>
      <w:p w14:paraId="5EA805C4" w14:textId="52CAD4AB" w:rsidR="00143AC9" w:rsidRDefault="001F01BB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6CE1">
          <w:rPr>
            <w:noProof/>
          </w:rPr>
          <w:t>6</w:t>
        </w:r>
        <w:r>
          <w:fldChar w:fldCharType="end"/>
        </w:r>
      </w:p>
      <w:p w14:paraId="6EF21C79" w14:textId="77777777" w:rsidR="00143AC9" w:rsidRDefault="006C2CC2">
        <w:pPr>
          <w:pStyle w:val="af4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6A"/>
    <w:multiLevelType w:val="multilevel"/>
    <w:tmpl w:val="00D8AB90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1" w15:restartNumberingAfterBreak="0">
    <w:nsid w:val="0D883BF7"/>
    <w:multiLevelType w:val="multilevel"/>
    <w:tmpl w:val="57BA0712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2" w15:restartNumberingAfterBreak="0">
    <w:nsid w:val="11EB23A5"/>
    <w:multiLevelType w:val="multilevel"/>
    <w:tmpl w:val="5DCA7F04"/>
    <w:lvl w:ilvl="0">
      <w:start w:val="1"/>
      <w:numFmt w:val="decimal"/>
      <w:lvlText w:val="%1)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3" w15:restartNumberingAfterBreak="0">
    <w:nsid w:val="2B69145E"/>
    <w:multiLevelType w:val="multilevel"/>
    <w:tmpl w:val="179C3F18"/>
    <w:lvl w:ilvl="0">
      <w:start w:val="1"/>
      <w:numFmt w:val="decimal"/>
      <w:lvlText w:val="%1."/>
      <w:lvlJc w:val="left"/>
      <w:pPr>
        <w:tabs>
          <w:tab w:val="num" w:pos="720"/>
        </w:tabs>
        <w:ind w:left="1143" w:hanging="43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4" w15:restartNumberingAfterBreak="0">
    <w:nsid w:val="3013764F"/>
    <w:multiLevelType w:val="multilevel"/>
    <w:tmpl w:val="18386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2772BC3"/>
    <w:multiLevelType w:val="multilevel"/>
    <w:tmpl w:val="3D1CECE2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6" w15:restartNumberingAfterBreak="0">
    <w:nsid w:val="448868FB"/>
    <w:multiLevelType w:val="multilevel"/>
    <w:tmpl w:val="7E54B94E"/>
    <w:lvl w:ilvl="0">
      <w:start w:val="1"/>
      <w:numFmt w:val="decimal"/>
      <w:lvlText w:val="%1)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9"/>
    <w:rsid w:val="00014E13"/>
    <w:rsid w:val="000331AA"/>
    <w:rsid w:val="0009228C"/>
    <w:rsid w:val="000C06A3"/>
    <w:rsid w:val="000C74F5"/>
    <w:rsid w:val="000E4C79"/>
    <w:rsid w:val="000F45FA"/>
    <w:rsid w:val="00100E37"/>
    <w:rsid w:val="00143AC9"/>
    <w:rsid w:val="00163520"/>
    <w:rsid w:val="00163FA3"/>
    <w:rsid w:val="0017186F"/>
    <w:rsid w:val="001B78FA"/>
    <w:rsid w:val="001C2367"/>
    <w:rsid w:val="001F01BB"/>
    <w:rsid w:val="00244E63"/>
    <w:rsid w:val="002473F8"/>
    <w:rsid w:val="002574D1"/>
    <w:rsid w:val="002676E0"/>
    <w:rsid w:val="00284E46"/>
    <w:rsid w:val="0031736E"/>
    <w:rsid w:val="00363D9F"/>
    <w:rsid w:val="00385DEA"/>
    <w:rsid w:val="003E2AF6"/>
    <w:rsid w:val="003F1E44"/>
    <w:rsid w:val="004B78F2"/>
    <w:rsid w:val="00504E0C"/>
    <w:rsid w:val="00530F73"/>
    <w:rsid w:val="00534E29"/>
    <w:rsid w:val="0057130C"/>
    <w:rsid w:val="005B03E2"/>
    <w:rsid w:val="005D0884"/>
    <w:rsid w:val="005E66AB"/>
    <w:rsid w:val="005F3E7D"/>
    <w:rsid w:val="00617049"/>
    <w:rsid w:val="00617853"/>
    <w:rsid w:val="00651ED0"/>
    <w:rsid w:val="00687F73"/>
    <w:rsid w:val="006A3CFE"/>
    <w:rsid w:val="006C2CC2"/>
    <w:rsid w:val="006D1F4D"/>
    <w:rsid w:val="00717CDD"/>
    <w:rsid w:val="00740058"/>
    <w:rsid w:val="007758B4"/>
    <w:rsid w:val="00792685"/>
    <w:rsid w:val="007D021C"/>
    <w:rsid w:val="007D11A3"/>
    <w:rsid w:val="007E7F26"/>
    <w:rsid w:val="00806085"/>
    <w:rsid w:val="008675CD"/>
    <w:rsid w:val="00872D5D"/>
    <w:rsid w:val="00880BE5"/>
    <w:rsid w:val="008B5D93"/>
    <w:rsid w:val="00936CE1"/>
    <w:rsid w:val="009606CB"/>
    <w:rsid w:val="00982D63"/>
    <w:rsid w:val="009A1A54"/>
    <w:rsid w:val="00A56E69"/>
    <w:rsid w:val="00AA0FDE"/>
    <w:rsid w:val="00AA1350"/>
    <w:rsid w:val="00AB5DBD"/>
    <w:rsid w:val="00B10506"/>
    <w:rsid w:val="00B21717"/>
    <w:rsid w:val="00BC06D1"/>
    <w:rsid w:val="00BC4383"/>
    <w:rsid w:val="00BD30EB"/>
    <w:rsid w:val="00BE5E65"/>
    <w:rsid w:val="00BF00A6"/>
    <w:rsid w:val="00C644C3"/>
    <w:rsid w:val="00C72C41"/>
    <w:rsid w:val="00CC0DF0"/>
    <w:rsid w:val="00CD7551"/>
    <w:rsid w:val="00CE5176"/>
    <w:rsid w:val="00CF781D"/>
    <w:rsid w:val="00D11414"/>
    <w:rsid w:val="00D52F30"/>
    <w:rsid w:val="00D53A31"/>
    <w:rsid w:val="00D55A4B"/>
    <w:rsid w:val="00D97F07"/>
    <w:rsid w:val="00DD7C21"/>
    <w:rsid w:val="00E57876"/>
    <w:rsid w:val="00E633B2"/>
    <w:rsid w:val="00E6415A"/>
    <w:rsid w:val="00E81DC3"/>
    <w:rsid w:val="00E82FE5"/>
    <w:rsid w:val="00F24636"/>
    <w:rsid w:val="00F43157"/>
    <w:rsid w:val="00FD6E28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9065"/>
  <w15:docId w15:val="{DD8A44DC-4C4A-496D-9455-104CB467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и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етствие Знак"/>
    <w:basedOn w:val="a0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character" w:customStyle="1" w:styleId="a9">
    <w:name w:val="Без интервала Знак"/>
    <w:basedOn w:val="a0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a">
    <w:name w:val="annotation reference"/>
    <w:basedOn w:val="a0"/>
    <w:uiPriority w:val="99"/>
    <w:semiHidden/>
    <w:unhideWhenUsed/>
    <w:qFormat/>
    <w:rsid w:val="00F65A8C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qFormat/>
    <w:rsid w:val="00F65A8C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1">
    <w:name w:val="Текст примечания Знак1"/>
    <w:basedOn w:val="a0"/>
    <w:link w:val="ac"/>
    <w:uiPriority w:val="99"/>
    <w:qFormat/>
    <w:rsid w:val="00CE2099"/>
    <w:rPr>
      <w:rFonts w:ascii="Times New Roman" w:hAnsi="Times New Roman" w:cs="Times New Roman"/>
      <w:szCs w:val="20"/>
      <w:lang w:eastAsia="uk-UA"/>
    </w:rPr>
  </w:style>
  <w:style w:type="character" w:customStyle="1" w:styleId="ad">
    <w:name w:val="Тема примечания Знак"/>
    <w:basedOn w:val="1"/>
    <w:uiPriority w:val="99"/>
    <w:semiHidden/>
    <w:qFormat/>
    <w:rsid w:val="00CE2099"/>
    <w:rPr>
      <w:rFonts w:ascii="Times New Roman" w:hAnsi="Times New Roman" w:cs="Times New Roman"/>
      <w:b/>
      <w:bCs/>
      <w:szCs w:val="20"/>
      <w:lang w:eastAsia="uk-UA"/>
    </w:rPr>
  </w:style>
  <w:style w:type="character" w:customStyle="1" w:styleId="ae">
    <w:name w:val="Нумерация строк"/>
  </w:style>
  <w:style w:type="paragraph" w:customStyle="1" w:styleId="10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2">
    <w:name w:val="Title"/>
    <w:basedOn w:val="a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5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6">
    <w:name w:val="Обратный адрес"/>
    <w:basedOn w:val="af7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7">
    <w:name w:val="No Spacing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8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9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a">
    <w:name w:val="Salutation"/>
    <w:basedOn w:val="af7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b">
    <w:name w:val="List Paragraph"/>
    <w:basedOn w:val="a"/>
    <w:uiPriority w:val="34"/>
    <w:qFormat/>
    <w:rsid w:val="001740C0"/>
    <w:pPr>
      <w:ind w:left="720"/>
      <w:contextualSpacing/>
    </w:pPr>
  </w:style>
  <w:style w:type="paragraph" w:styleId="ac">
    <w:name w:val="annotation text"/>
    <w:basedOn w:val="a"/>
    <w:link w:val="1"/>
    <w:uiPriority w:val="99"/>
    <w:unhideWhenUsed/>
    <w:qFormat/>
    <w:rsid w:val="00F65A8C"/>
    <w:rPr>
      <w:sz w:val="20"/>
      <w:szCs w:val="20"/>
    </w:rPr>
  </w:style>
  <w:style w:type="paragraph" w:customStyle="1" w:styleId="rvps2">
    <w:name w:val="rvps2"/>
    <w:basedOn w:val="a"/>
    <w:qFormat/>
    <w:rsid w:val="00425579"/>
    <w:pPr>
      <w:spacing w:beforeAutospacing="1" w:afterAutospacing="1"/>
      <w:jc w:val="left"/>
    </w:pPr>
    <w:rPr>
      <w:sz w:val="24"/>
      <w:szCs w:val="24"/>
      <w:lang w:val="ru-RU" w:eastAsia="ru-RU"/>
    </w:rPr>
  </w:style>
  <w:style w:type="paragraph" w:styleId="afc">
    <w:name w:val="annotation subject"/>
    <w:basedOn w:val="ac"/>
    <w:next w:val="ac"/>
    <w:uiPriority w:val="99"/>
    <w:semiHidden/>
    <w:unhideWhenUsed/>
    <w:qFormat/>
    <w:rsid w:val="00CE2099"/>
    <w:rPr>
      <w:b/>
      <w:bCs/>
    </w:rPr>
  </w:style>
  <w:style w:type="table" w:styleId="afd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fd"/>
    <w:uiPriority w:val="59"/>
    <w:rsid w:val="00E81DC3"/>
    <w:pPr>
      <w:suppressAutoHyphens w:val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AA1350"/>
    <w:pPr>
      <w:suppressAutoHyphens w:val="0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199915-EAF4-4187-98D3-DB489C0D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Олександр Твердий</cp:lastModifiedBy>
  <cp:revision>9</cp:revision>
  <cp:lastPrinted>2021-12-08T09:39:00Z</cp:lastPrinted>
  <dcterms:created xsi:type="dcterms:W3CDTF">2021-12-13T10:22:00Z</dcterms:created>
  <dcterms:modified xsi:type="dcterms:W3CDTF">2021-12-15T11:22:00Z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