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2F6B9" w14:textId="77777777" w:rsidR="00FA7846" w:rsidRPr="00CD0CD4" w:rsidRDefault="00FA7846" w:rsidP="00B358F5">
      <w:pPr>
        <w:tabs>
          <w:tab w:val="left" w:pos="6379"/>
        </w:tabs>
        <w:rPr>
          <w:sz w:val="2"/>
          <w:szCs w:val="2"/>
        </w:rPr>
      </w:pPr>
    </w:p>
    <w:p w14:paraId="01AE50EB" w14:textId="77777777" w:rsidR="00657593" w:rsidRPr="00566BA2" w:rsidRDefault="00657593" w:rsidP="00657593">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14:paraId="319EB3FB" w14:textId="77777777" w:rsidTr="00E054A9">
        <w:trPr>
          <w:trHeight w:val="851"/>
        </w:trPr>
        <w:tc>
          <w:tcPr>
            <w:tcW w:w="3284" w:type="dxa"/>
          </w:tcPr>
          <w:p w14:paraId="17630171" w14:textId="77777777" w:rsidR="00657593" w:rsidRDefault="00657593" w:rsidP="00E054A9"/>
        </w:tc>
        <w:tc>
          <w:tcPr>
            <w:tcW w:w="3285" w:type="dxa"/>
            <w:vMerge w:val="restart"/>
          </w:tcPr>
          <w:p w14:paraId="4C3B1D20" w14:textId="77777777" w:rsidR="00657593" w:rsidRDefault="00657593" w:rsidP="00E054A9">
            <w:pPr>
              <w:jc w:val="center"/>
            </w:pPr>
            <w:r>
              <w:object w:dxaOrig="1595" w:dyaOrig="2201" w14:anchorId="7C4BC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v:imagedata r:id="rId12" o:title=""/>
                </v:shape>
                <o:OLEObject Type="Embed" ProgID="CorelDraw.Graphic.16" ShapeID="_x0000_i1025" DrawAspect="Content" ObjectID="_1735471700" r:id="rId13"/>
              </w:object>
            </w:r>
          </w:p>
        </w:tc>
        <w:tc>
          <w:tcPr>
            <w:tcW w:w="3285" w:type="dxa"/>
          </w:tcPr>
          <w:p w14:paraId="12D933A3" w14:textId="5B7D88CF" w:rsidR="00657593" w:rsidRPr="00BC61D4" w:rsidRDefault="00657593" w:rsidP="00B358F5">
            <w:pPr>
              <w:tabs>
                <w:tab w:val="left" w:pos="-132"/>
              </w:tabs>
              <w:ind w:left="-145"/>
              <w:jc w:val="left"/>
              <w:rPr>
                <w:sz w:val="24"/>
                <w:szCs w:val="24"/>
                <w:u w:val="single"/>
              </w:rPr>
            </w:pPr>
          </w:p>
        </w:tc>
      </w:tr>
      <w:tr w:rsidR="00657593" w14:paraId="1DFD65B8" w14:textId="77777777" w:rsidTr="00E054A9">
        <w:tc>
          <w:tcPr>
            <w:tcW w:w="3284" w:type="dxa"/>
          </w:tcPr>
          <w:p w14:paraId="306B6DC4" w14:textId="77777777" w:rsidR="00657593" w:rsidRDefault="00657593" w:rsidP="00E054A9"/>
        </w:tc>
        <w:tc>
          <w:tcPr>
            <w:tcW w:w="3285" w:type="dxa"/>
            <w:vMerge/>
          </w:tcPr>
          <w:p w14:paraId="245EB9EB" w14:textId="77777777" w:rsidR="00657593" w:rsidRDefault="00657593" w:rsidP="00E054A9"/>
        </w:tc>
        <w:tc>
          <w:tcPr>
            <w:tcW w:w="3285" w:type="dxa"/>
          </w:tcPr>
          <w:p w14:paraId="610F2B4F" w14:textId="77777777" w:rsidR="00657593" w:rsidRDefault="00657593" w:rsidP="00E054A9"/>
        </w:tc>
      </w:tr>
      <w:tr w:rsidR="00657593" w14:paraId="293E5551" w14:textId="77777777" w:rsidTr="00E054A9">
        <w:tc>
          <w:tcPr>
            <w:tcW w:w="9854" w:type="dxa"/>
            <w:gridSpan w:val="3"/>
          </w:tcPr>
          <w:p w14:paraId="1D340C87" w14:textId="77777777" w:rsidR="00657593" w:rsidRPr="00E10F0A" w:rsidRDefault="00657593" w:rsidP="00E054A9">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70D151DC" w14:textId="77777777" w:rsidR="00657593" w:rsidRDefault="00657593" w:rsidP="00E054A9">
            <w:pPr>
              <w:jc w:val="center"/>
            </w:pPr>
            <w:r w:rsidRPr="00E10F0A">
              <w:rPr>
                <w:b/>
                <w:bCs/>
                <w:color w:val="006600"/>
                <w:sz w:val="32"/>
                <w:szCs w:val="32"/>
              </w:rPr>
              <w:t>П О С Т А Н О В А</w:t>
            </w:r>
          </w:p>
        </w:tc>
      </w:tr>
    </w:tbl>
    <w:p w14:paraId="575BC995" w14:textId="77777777" w:rsidR="00657593" w:rsidRPr="00566BA2"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2635"/>
        <w:gridCol w:w="1675"/>
        <w:gridCol w:w="1899"/>
      </w:tblGrid>
      <w:tr w:rsidR="00657593" w14:paraId="6AE0F1AB" w14:textId="77777777" w:rsidTr="0076356A">
        <w:tc>
          <w:tcPr>
            <w:tcW w:w="3510" w:type="dxa"/>
            <w:vAlign w:val="bottom"/>
          </w:tcPr>
          <w:p w14:paraId="77514C11" w14:textId="0652916D" w:rsidR="00657593" w:rsidRPr="00647EA4" w:rsidRDefault="00647EA4" w:rsidP="00E054A9">
            <w:r>
              <w:rPr>
                <w:lang w:val="en-US"/>
              </w:rPr>
              <w:t xml:space="preserve">16 </w:t>
            </w:r>
            <w:r>
              <w:t>січня 2023 року</w:t>
            </w:r>
          </w:p>
        </w:tc>
        <w:tc>
          <w:tcPr>
            <w:tcW w:w="2694" w:type="dxa"/>
          </w:tcPr>
          <w:p w14:paraId="04E01A72" w14:textId="65CB1ABE" w:rsidR="00657593" w:rsidRDefault="00657593" w:rsidP="007712EF">
            <w:pPr>
              <w:spacing w:before="240"/>
              <w:jc w:val="center"/>
            </w:pPr>
            <w:r w:rsidRPr="00E10F0A">
              <w:rPr>
                <w:color w:val="006600"/>
              </w:rPr>
              <w:t>Київ</w:t>
            </w:r>
          </w:p>
        </w:tc>
        <w:tc>
          <w:tcPr>
            <w:tcW w:w="1713" w:type="dxa"/>
            <w:vAlign w:val="bottom"/>
          </w:tcPr>
          <w:p w14:paraId="24633B0B" w14:textId="11E94B2D" w:rsidR="00657593" w:rsidRPr="008274C0" w:rsidRDefault="008274C0" w:rsidP="00E62607">
            <w:pPr>
              <w:jc w:val="right"/>
              <w:rPr>
                <w:lang w:val="en-US"/>
              </w:rPr>
            </w:pPr>
            <w:r w:rsidRPr="008274C0">
              <w:rPr>
                <w:color w:val="FFFFFF" w:themeColor="background1"/>
              </w:rPr>
              <w:t>№</w:t>
            </w:r>
          </w:p>
        </w:tc>
        <w:tc>
          <w:tcPr>
            <w:tcW w:w="1937" w:type="dxa"/>
            <w:vAlign w:val="bottom"/>
          </w:tcPr>
          <w:p w14:paraId="0DDCCE3F" w14:textId="64B5C53D" w:rsidR="00657593" w:rsidRPr="00647EA4" w:rsidRDefault="00647EA4" w:rsidP="00647EA4">
            <w:pPr>
              <w:jc w:val="left"/>
              <w:rPr>
                <w:lang w:val="en-US"/>
              </w:rPr>
            </w:pPr>
            <w:r>
              <w:t>№ </w:t>
            </w:r>
            <w:r>
              <w:rPr>
                <w:lang w:val="en-US"/>
              </w:rPr>
              <w:t>3</w:t>
            </w:r>
          </w:p>
        </w:tc>
      </w:tr>
    </w:tbl>
    <w:p w14:paraId="52A42275" w14:textId="77777777" w:rsidR="00657593" w:rsidRPr="00CD0CD4" w:rsidRDefault="00657593" w:rsidP="00657593">
      <w:pPr>
        <w:rPr>
          <w:sz w:val="2"/>
          <w:szCs w:val="2"/>
        </w:rPr>
      </w:pPr>
    </w:p>
    <w:p w14:paraId="32B2F6BA" w14:textId="77777777" w:rsidR="00E42621" w:rsidRPr="00CD0CD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CD0CD4" w14:paraId="32B2F6BC" w14:textId="77777777" w:rsidTr="005212C5">
        <w:trPr>
          <w:jc w:val="center"/>
        </w:trPr>
        <w:tc>
          <w:tcPr>
            <w:tcW w:w="5000" w:type="pct"/>
          </w:tcPr>
          <w:p w14:paraId="32B2F6BB" w14:textId="64D98282" w:rsidR="002B3F71" w:rsidRPr="00CD0CD4" w:rsidRDefault="00BA6F36" w:rsidP="005950DA">
            <w:pPr>
              <w:tabs>
                <w:tab w:val="left" w:pos="840"/>
                <w:tab w:val="center" w:pos="3293"/>
              </w:tabs>
              <w:spacing w:before="240" w:after="240"/>
              <w:jc w:val="center"/>
              <w:rPr>
                <w:rFonts w:eastAsiaTheme="minorEastAsia"/>
                <w:color w:val="000000" w:themeColor="text1"/>
                <w:lang w:eastAsia="en-US"/>
              </w:rPr>
            </w:pPr>
            <w:r>
              <w:rPr>
                <w:rFonts w:eastAsiaTheme="minorEastAsia"/>
                <w:color w:val="000000" w:themeColor="text1"/>
                <w:lang w:eastAsia="en-US"/>
              </w:rPr>
              <w:t xml:space="preserve">Про </w:t>
            </w:r>
            <w:r w:rsidR="00DB1F0F">
              <w:rPr>
                <w:rFonts w:eastAsiaTheme="minorEastAsia"/>
                <w:color w:val="000000" w:themeColor="text1"/>
                <w:lang w:eastAsia="en-US"/>
              </w:rPr>
              <w:t xml:space="preserve">внесення </w:t>
            </w:r>
            <w:r>
              <w:rPr>
                <w:rFonts w:eastAsiaTheme="minorEastAsia"/>
                <w:color w:val="000000" w:themeColor="text1"/>
                <w:lang w:eastAsia="en-US"/>
              </w:rPr>
              <w:t xml:space="preserve">зміни до </w:t>
            </w:r>
            <w:r w:rsidR="005950DA">
              <w:rPr>
                <w:rFonts w:eastAsiaTheme="minorEastAsia"/>
                <w:color w:val="000000" w:themeColor="text1"/>
                <w:lang w:eastAsia="en-US"/>
              </w:rPr>
              <w:t>Т</w:t>
            </w:r>
            <w:r>
              <w:rPr>
                <w:rFonts w:eastAsiaTheme="minorEastAsia"/>
                <w:color w:val="000000" w:themeColor="text1"/>
                <w:lang w:eastAsia="en-US"/>
              </w:rPr>
              <w:t>арифів на послуги (операції), що надаються (здійснюються) Національним банком України</w:t>
            </w:r>
            <w:r w:rsidR="004567EA">
              <w:rPr>
                <w:rFonts w:eastAsiaTheme="minorEastAsia"/>
                <w:color w:val="000000" w:themeColor="text1"/>
                <w:lang w:eastAsia="en-US"/>
              </w:rPr>
              <w:t xml:space="preserve"> в системі електронних платежів та у сфері розрахунково-касового обслуговування</w:t>
            </w:r>
          </w:p>
        </w:tc>
      </w:tr>
    </w:tbl>
    <w:p w14:paraId="32B2F6BD" w14:textId="478F985D" w:rsidR="00E53CCD" w:rsidRDefault="00BA6F36" w:rsidP="005F4548">
      <w:pPr>
        <w:spacing w:before="240" w:after="240"/>
        <w:ind w:firstLine="567"/>
        <w:rPr>
          <w:b/>
        </w:rPr>
      </w:pPr>
      <w:r w:rsidRPr="00BA6F36">
        <w:rPr>
          <w:rFonts w:eastAsiaTheme="minorEastAsia"/>
          <w:color w:val="000000" w:themeColor="text1"/>
          <w:lang w:eastAsia="en-US"/>
        </w:rPr>
        <w:t xml:space="preserve">Відповідно до статей 7, 15, 42, 56 Закону України “Про Національний банк України”, </w:t>
      </w:r>
      <w:r w:rsidR="004E6589">
        <w:rPr>
          <w:rFonts w:eastAsiaTheme="minorEastAsia"/>
          <w:color w:val="000000" w:themeColor="text1"/>
          <w:lang w:eastAsia="en-US"/>
        </w:rPr>
        <w:t>постанови Кабінету Міністрів України від 27 грудня 2022 року №</w:t>
      </w:r>
      <w:r w:rsidR="004E6589">
        <w:rPr>
          <w:rFonts w:eastAsiaTheme="minorEastAsia"/>
          <w:color w:val="000000" w:themeColor="text1"/>
          <w:lang w:val="en-US" w:eastAsia="en-US"/>
        </w:rPr>
        <w:t> </w:t>
      </w:r>
      <w:r w:rsidR="004E6589">
        <w:rPr>
          <w:rFonts w:eastAsiaTheme="minorEastAsia"/>
          <w:color w:val="000000" w:themeColor="text1"/>
          <w:lang w:eastAsia="en-US"/>
        </w:rPr>
        <w:t xml:space="preserve">1465 </w:t>
      </w:r>
      <w:r w:rsidR="004E6589" w:rsidRPr="00DE20A6">
        <w:rPr>
          <w:rFonts w:eastAsiaTheme="minorEastAsia"/>
          <w:color w:val="000000" w:themeColor="text1"/>
          <w:lang w:eastAsia="en-US"/>
        </w:rPr>
        <w:t>“</w:t>
      </w:r>
      <w:r w:rsidR="004E6589" w:rsidRPr="004E6589">
        <w:rPr>
          <w:rFonts w:eastAsiaTheme="minorEastAsia"/>
          <w:color w:val="000000" w:themeColor="text1"/>
          <w:lang w:eastAsia="en-US"/>
        </w:rPr>
        <w:t>Про затвердження Порядку казначейського обслуговування коштів загальнообов’язкового державного пенсійного страхування, загальнообов’язкового державного соціального страхування у зв’язку з тимчасовою втратою працездатності та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та Порядку казначейського обслуговування коштів Фонду загальнообов’язкового державного соціального страхування на випадок безробіття</w:t>
      </w:r>
      <w:r w:rsidR="004E6589" w:rsidRPr="00DE20A6">
        <w:rPr>
          <w:rFonts w:eastAsiaTheme="minorEastAsia"/>
          <w:color w:val="000000" w:themeColor="text1"/>
          <w:lang w:eastAsia="en-US"/>
        </w:rPr>
        <w:t>”</w:t>
      </w:r>
      <w:r w:rsidRPr="00BA6F36">
        <w:rPr>
          <w:rFonts w:eastAsiaTheme="minorEastAsia"/>
          <w:color w:val="000000" w:themeColor="text1"/>
          <w:lang w:eastAsia="en-US"/>
        </w:rPr>
        <w:t>,</w:t>
      </w:r>
      <w:r w:rsidR="00DE20A6">
        <w:rPr>
          <w:rFonts w:eastAsiaTheme="minorEastAsia"/>
          <w:color w:val="000000" w:themeColor="text1"/>
          <w:lang w:eastAsia="en-US"/>
        </w:rPr>
        <w:t xml:space="preserve"> із метою  врегулювання питань щодо забезпечення здійснення виплат </w:t>
      </w:r>
      <w:r w:rsidR="00DE20A6" w:rsidRPr="00BA6F36">
        <w:rPr>
          <w:rFonts w:eastAsiaTheme="minorEastAsia"/>
          <w:color w:val="000000" w:themeColor="text1"/>
          <w:lang w:eastAsia="en-US"/>
        </w:rPr>
        <w:t>з</w:t>
      </w:r>
      <w:r w:rsidR="00DE20A6">
        <w:rPr>
          <w:rFonts w:eastAsiaTheme="minorEastAsia"/>
          <w:color w:val="000000" w:themeColor="text1"/>
          <w:lang w:eastAsia="en-US"/>
        </w:rPr>
        <w:t>а рахунок коштів загальнообов’язкового державного пенсійного страхування</w:t>
      </w:r>
      <w:r w:rsidRPr="00BA6F36">
        <w:rPr>
          <w:rFonts w:eastAsiaTheme="minorEastAsia"/>
          <w:color w:val="000000" w:themeColor="text1"/>
          <w:lang w:eastAsia="en-US"/>
        </w:rPr>
        <w:t xml:space="preserve"> </w:t>
      </w:r>
      <w:r w:rsidR="00115ECF" w:rsidRPr="00CD0CD4">
        <w:t xml:space="preserve">Правління Національного банку </w:t>
      </w:r>
      <w:r w:rsidR="00562C46" w:rsidRPr="00CD0CD4">
        <w:t>України</w:t>
      </w:r>
      <w:r w:rsidR="00562C46" w:rsidRPr="00CD0CD4">
        <w:rPr>
          <w:b/>
        </w:rPr>
        <w:t xml:space="preserve"> </w:t>
      </w:r>
      <w:r w:rsidR="00FA508E" w:rsidRPr="00CD0CD4">
        <w:rPr>
          <w:b/>
        </w:rPr>
        <w:t>постановляє:</w:t>
      </w:r>
    </w:p>
    <w:p w14:paraId="7D35A737" w14:textId="6BB9AC18" w:rsidR="00AD7DF9" w:rsidRDefault="00375C12" w:rsidP="005F4548">
      <w:pPr>
        <w:spacing w:before="240" w:after="240"/>
        <w:ind w:firstLine="567"/>
        <w:rPr>
          <w:rFonts w:eastAsiaTheme="minorEastAsia"/>
          <w:noProof/>
          <w:color w:val="000000" w:themeColor="text1"/>
          <w:lang w:eastAsia="en-US"/>
        </w:rPr>
      </w:pPr>
      <w:r>
        <w:rPr>
          <w:noProof/>
        </w:rPr>
        <mc:AlternateContent>
          <mc:Choice Requires="wps">
            <w:drawing>
              <wp:anchor distT="0" distB="0" distL="114300" distR="114300" simplePos="0" relativeHeight="251660288" behindDoc="0" locked="0" layoutInCell="1" allowOverlap="1" wp14:anchorId="4BC964AE" wp14:editId="2D388C5A">
                <wp:simplePos x="0" y="0"/>
                <wp:positionH relativeFrom="column">
                  <wp:posOffset>-81915</wp:posOffset>
                </wp:positionH>
                <wp:positionV relativeFrom="paragraph">
                  <wp:posOffset>1297940</wp:posOffset>
                </wp:positionV>
                <wp:extent cx="190500" cy="335280"/>
                <wp:effectExtent l="0" t="0" r="0" b="7620"/>
                <wp:wrapNone/>
                <wp:docPr id="2" name="Поле 2"/>
                <wp:cNvGraphicFramePr/>
                <a:graphic xmlns:a="http://schemas.openxmlformats.org/drawingml/2006/main">
                  <a:graphicData uri="http://schemas.microsoft.com/office/word/2010/wordprocessingShape">
                    <wps:wsp>
                      <wps:cNvSpPr txBox="1"/>
                      <wps:spPr>
                        <a:xfrm>
                          <a:off x="0" y="0"/>
                          <a:ext cx="190500" cy="335280"/>
                        </a:xfrm>
                        <a:prstGeom prst="rect">
                          <a:avLst/>
                        </a:prstGeom>
                        <a:solidFill>
                          <a:schemeClr val="lt1"/>
                        </a:solidFill>
                        <a:ln w="6350">
                          <a:noFill/>
                        </a:ln>
                      </wps:spPr>
                      <wps:txbx>
                        <w:txbxContent>
                          <w:p w14:paraId="3D041ACE" w14:textId="1AF88496" w:rsidR="00375C12" w:rsidRPr="00375C12" w:rsidRDefault="00375C12">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C964AE" id="_x0000_t202" coordsize="21600,21600" o:spt="202" path="m,l,21600r21600,l21600,xe">
                <v:stroke joinstyle="miter"/>
                <v:path gradientshapeok="t" o:connecttype="rect"/>
              </v:shapetype>
              <v:shape id="Поле 2" o:spid="_x0000_s1026" type="#_x0000_t202" style="position:absolute;left:0;text-align:left;margin-left:-6.45pt;margin-top:102.2pt;width:1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" fillcolor="white [3201]" stroked="f" strokeweight=".5pt">
                <v:textbox>
                  <w:txbxContent>
                    <w:p w14:paraId="3D041ACE" w14:textId="1AF88496" w:rsidR="00375C12" w:rsidRPr="00375C12" w:rsidRDefault="00375C12">
                      <w:pPr>
                        <w:rPr>
                          <w:lang w:val="en-US"/>
                        </w:rPr>
                      </w:pPr>
                      <w:r>
                        <w:rPr>
                          <w:lang w:val="en-US"/>
                        </w:rPr>
                        <w:t>“</w:t>
                      </w:r>
                    </w:p>
                  </w:txbxContent>
                </v:textbox>
              </v:shape>
            </w:pict>
          </mc:Fallback>
        </mc:AlternateContent>
      </w:r>
      <w:r w:rsidR="00AD7DF9" w:rsidRPr="00533083">
        <w:t>1.</w:t>
      </w:r>
      <w:r w:rsidR="00AD7DF9">
        <w:rPr>
          <w:lang w:val="en-US"/>
        </w:rPr>
        <w:t> </w:t>
      </w:r>
      <w:r w:rsidR="00886369">
        <w:rPr>
          <w:rFonts w:eastAsiaTheme="minorEastAsia"/>
          <w:noProof/>
          <w:color w:val="000000" w:themeColor="text1"/>
          <w:lang w:eastAsia="en-US"/>
        </w:rPr>
        <w:t>Т</w:t>
      </w:r>
      <w:r w:rsidR="00533083" w:rsidRPr="00533083">
        <w:rPr>
          <w:rFonts w:eastAsiaTheme="minorEastAsia"/>
          <w:noProof/>
          <w:color w:val="000000" w:themeColor="text1"/>
          <w:lang w:eastAsia="en-US"/>
        </w:rPr>
        <w:t>аблиц</w:t>
      </w:r>
      <w:r w:rsidR="00886369">
        <w:rPr>
          <w:rFonts w:eastAsiaTheme="minorEastAsia"/>
          <w:noProof/>
          <w:color w:val="000000" w:themeColor="text1"/>
          <w:lang w:eastAsia="en-US"/>
        </w:rPr>
        <w:t>ю</w:t>
      </w:r>
      <w:r w:rsidR="00533083" w:rsidRPr="00533083">
        <w:rPr>
          <w:rFonts w:eastAsiaTheme="minorEastAsia"/>
          <w:noProof/>
          <w:color w:val="000000" w:themeColor="text1"/>
          <w:lang w:eastAsia="en-US"/>
        </w:rPr>
        <w:t xml:space="preserve"> Тарифів на </w:t>
      </w:r>
      <w:r w:rsidR="00533083">
        <w:rPr>
          <w:rFonts w:eastAsiaTheme="minorEastAsia"/>
          <w:noProof/>
          <w:color w:val="000000" w:themeColor="text1"/>
          <w:lang w:eastAsia="en-US"/>
        </w:rPr>
        <w:t xml:space="preserve">послуги (операції), що надаються (здійснюються) </w:t>
      </w:r>
      <w:r w:rsidR="004E1391">
        <w:rPr>
          <w:rFonts w:eastAsiaTheme="minorEastAsia"/>
          <w:noProof/>
          <w:color w:val="000000" w:themeColor="text1"/>
          <w:lang w:eastAsia="en-US"/>
        </w:rPr>
        <w:t xml:space="preserve">Національним банком України </w:t>
      </w:r>
      <w:r w:rsidR="00533083">
        <w:rPr>
          <w:rFonts w:eastAsiaTheme="minorEastAsia"/>
          <w:noProof/>
          <w:color w:val="000000" w:themeColor="text1"/>
          <w:lang w:eastAsia="en-US"/>
        </w:rPr>
        <w:t>в системі електронних платежів</w:t>
      </w:r>
      <w:r w:rsidR="004567EA">
        <w:rPr>
          <w:rFonts w:eastAsiaTheme="minorEastAsia"/>
          <w:noProof/>
          <w:color w:val="000000" w:themeColor="text1"/>
          <w:lang w:eastAsia="en-US"/>
        </w:rPr>
        <w:t xml:space="preserve"> та у сфері розрахунково-касового обслуговування</w:t>
      </w:r>
      <w:r w:rsidR="00533083" w:rsidRPr="00533083">
        <w:rPr>
          <w:rFonts w:eastAsiaTheme="minorEastAsia"/>
          <w:noProof/>
          <w:color w:val="000000" w:themeColor="text1"/>
          <w:lang w:eastAsia="en-US"/>
        </w:rPr>
        <w:t>, затверджених постановою Правління Національного банку України від 12</w:t>
      </w:r>
      <w:r w:rsidR="004567EA">
        <w:rPr>
          <w:rFonts w:eastAsiaTheme="minorEastAsia"/>
          <w:noProof/>
          <w:color w:val="000000" w:themeColor="text1"/>
          <w:lang w:eastAsia="en-US"/>
        </w:rPr>
        <w:t> </w:t>
      </w:r>
      <w:r w:rsidR="00533083" w:rsidRPr="00533083">
        <w:rPr>
          <w:rFonts w:eastAsiaTheme="minorEastAsia"/>
          <w:noProof/>
          <w:color w:val="000000" w:themeColor="text1"/>
          <w:lang w:eastAsia="en-US"/>
        </w:rPr>
        <w:t>серпня</w:t>
      </w:r>
      <w:r w:rsidR="004567EA">
        <w:rPr>
          <w:rFonts w:eastAsiaTheme="minorEastAsia"/>
          <w:noProof/>
          <w:color w:val="000000" w:themeColor="text1"/>
          <w:lang w:eastAsia="en-US"/>
        </w:rPr>
        <w:t> </w:t>
      </w:r>
      <w:r w:rsidR="00533083" w:rsidRPr="00533083">
        <w:rPr>
          <w:rFonts w:eastAsiaTheme="minorEastAsia"/>
          <w:noProof/>
          <w:color w:val="000000" w:themeColor="text1"/>
          <w:lang w:eastAsia="en-US"/>
        </w:rPr>
        <w:t>2003</w:t>
      </w:r>
      <w:r w:rsidR="004567EA">
        <w:rPr>
          <w:rFonts w:eastAsiaTheme="minorEastAsia"/>
          <w:noProof/>
          <w:color w:val="000000" w:themeColor="text1"/>
          <w:lang w:eastAsia="en-US"/>
        </w:rPr>
        <w:t> р</w:t>
      </w:r>
      <w:r w:rsidR="00533083" w:rsidRPr="00533083">
        <w:rPr>
          <w:rFonts w:eastAsiaTheme="minorEastAsia"/>
          <w:noProof/>
          <w:color w:val="000000" w:themeColor="text1"/>
          <w:lang w:eastAsia="en-US"/>
        </w:rPr>
        <w:t xml:space="preserve">оку </w:t>
      </w:r>
      <w:r w:rsidR="00713619" w:rsidRPr="00D21814">
        <w:rPr>
          <w:lang w:eastAsia="ru-RU"/>
        </w:rPr>
        <w:t>№ 333, зареєстрованих у Міністерстві юстиції України 10</w:t>
      </w:r>
      <w:r w:rsidR="00713619">
        <w:rPr>
          <w:lang w:eastAsia="ru-RU"/>
        </w:rPr>
        <w:t xml:space="preserve"> вересня </w:t>
      </w:r>
      <w:r w:rsidR="00713619" w:rsidRPr="00D21814">
        <w:rPr>
          <w:lang w:eastAsia="ru-RU"/>
        </w:rPr>
        <w:t>2003</w:t>
      </w:r>
      <w:r w:rsidR="00713619">
        <w:rPr>
          <w:lang w:eastAsia="ru-RU"/>
        </w:rPr>
        <w:t> року</w:t>
      </w:r>
      <w:r w:rsidR="00713619" w:rsidRPr="00D21814">
        <w:rPr>
          <w:lang w:eastAsia="ru-RU"/>
        </w:rPr>
        <w:t xml:space="preserve"> </w:t>
      </w:r>
      <w:r w:rsidR="00533083" w:rsidRPr="00533083">
        <w:rPr>
          <w:rFonts w:eastAsiaTheme="minorEastAsia"/>
          <w:noProof/>
          <w:color w:val="000000" w:themeColor="text1"/>
          <w:lang w:eastAsia="en-US"/>
        </w:rPr>
        <w:t>за № 78</w:t>
      </w:r>
      <w:r w:rsidR="004567EA">
        <w:rPr>
          <w:rFonts w:eastAsiaTheme="minorEastAsia"/>
          <w:noProof/>
          <w:color w:val="000000" w:themeColor="text1"/>
          <w:lang w:eastAsia="en-US"/>
        </w:rPr>
        <w:t>4</w:t>
      </w:r>
      <w:r w:rsidR="00533083" w:rsidRPr="00533083">
        <w:rPr>
          <w:rFonts w:eastAsiaTheme="minorEastAsia"/>
          <w:noProof/>
          <w:color w:val="000000" w:themeColor="text1"/>
          <w:lang w:eastAsia="en-US"/>
        </w:rPr>
        <w:t>/810</w:t>
      </w:r>
      <w:r w:rsidR="004567EA">
        <w:rPr>
          <w:rFonts w:eastAsiaTheme="minorEastAsia"/>
          <w:noProof/>
          <w:color w:val="000000" w:themeColor="text1"/>
          <w:lang w:eastAsia="en-US"/>
        </w:rPr>
        <w:t>5</w:t>
      </w:r>
      <w:r w:rsidR="00533083" w:rsidRPr="00533083">
        <w:rPr>
          <w:rFonts w:eastAsiaTheme="minorEastAsia"/>
          <w:noProof/>
          <w:color w:val="000000" w:themeColor="text1"/>
          <w:lang w:eastAsia="en-US"/>
        </w:rPr>
        <w:t xml:space="preserve"> (зі змінами),  доповни</w:t>
      </w:r>
      <w:r w:rsidR="00886369">
        <w:rPr>
          <w:rFonts w:eastAsiaTheme="minorEastAsia"/>
          <w:noProof/>
          <w:color w:val="000000" w:themeColor="text1"/>
          <w:lang w:eastAsia="en-US"/>
        </w:rPr>
        <w:t xml:space="preserve">ти </w:t>
      </w:r>
      <w:r w:rsidR="00533083" w:rsidRPr="00533083">
        <w:rPr>
          <w:rFonts w:eastAsiaTheme="minorEastAsia"/>
          <w:noProof/>
          <w:color w:val="000000" w:themeColor="text1"/>
          <w:lang w:eastAsia="en-US"/>
        </w:rPr>
        <w:t>нов</w:t>
      </w:r>
      <w:r w:rsidR="00886369">
        <w:rPr>
          <w:rFonts w:eastAsiaTheme="minorEastAsia"/>
          <w:noProof/>
          <w:color w:val="000000" w:themeColor="text1"/>
          <w:lang w:eastAsia="en-US"/>
        </w:rPr>
        <w:t>им рядком</w:t>
      </w:r>
      <w:r w:rsidR="004567EA">
        <w:rPr>
          <w:rFonts w:eastAsiaTheme="minorEastAsia"/>
          <w:noProof/>
          <w:color w:val="000000" w:themeColor="text1"/>
          <w:lang w:eastAsia="en-US"/>
        </w:rPr>
        <w:t xml:space="preserve"> </w:t>
      </w:r>
      <w:r w:rsidR="00533083" w:rsidRPr="00533083">
        <w:rPr>
          <w:rFonts w:eastAsiaTheme="minorEastAsia"/>
          <w:noProof/>
          <w:color w:val="000000" w:themeColor="text1"/>
          <w:lang w:eastAsia="en-US"/>
        </w:rPr>
        <w:t>такого змісту:</w:t>
      </w:r>
    </w:p>
    <w:tbl>
      <w:tblPr>
        <w:tblStyle w:val="1"/>
        <w:tblW w:w="9355" w:type="dxa"/>
        <w:tblInd w:w="279" w:type="dxa"/>
        <w:tblBorders>
          <w:bottom w:val="none" w:sz="0" w:space="0" w:color="auto"/>
          <w:insideH w:val="none" w:sz="0" w:space="0" w:color="auto"/>
        </w:tblBorders>
        <w:tblLayout w:type="fixed"/>
        <w:tblLook w:val="04A0" w:firstRow="1" w:lastRow="0" w:firstColumn="1" w:lastColumn="0" w:noHBand="0" w:noVBand="1"/>
      </w:tblPr>
      <w:tblGrid>
        <w:gridCol w:w="567"/>
        <w:gridCol w:w="7229"/>
        <w:gridCol w:w="1559"/>
      </w:tblGrid>
      <w:tr w:rsidR="00C421FE" w:rsidRPr="004567EA" w14:paraId="78644C54" w14:textId="77777777" w:rsidTr="00C421FE">
        <w:trPr>
          <w:tblHeader/>
        </w:trPr>
        <w:tc>
          <w:tcPr>
            <w:tcW w:w="567" w:type="dxa"/>
            <w:shd w:val="clear" w:color="auto" w:fill="auto"/>
          </w:tcPr>
          <w:p w14:paraId="5798B67E" w14:textId="77777777" w:rsidR="004567EA" w:rsidRPr="004567EA" w:rsidRDefault="004567EA" w:rsidP="004567EA">
            <w:pPr>
              <w:jc w:val="center"/>
            </w:pPr>
            <w:r w:rsidRPr="004567EA">
              <w:t>1</w:t>
            </w:r>
          </w:p>
        </w:tc>
        <w:tc>
          <w:tcPr>
            <w:tcW w:w="7229" w:type="dxa"/>
          </w:tcPr>
          <w:p w14:paraId="7EB73F68" w14:textId="3F65948F" w:rsidR="004567EA" w:rsidRPr="004567EA" w:rsidRDefault="004567EA" w:rsidP="004567EA">
            <w:pPr>
              <w:jc w:val="center"/>
            </w:pPr>
            <w:r w:rsidRPr="004567EA">
              <w:t>2</w:t>
            </w:r>
          </w:p>
        </w:tc>
        <w:tc>
          <w:tcPr>
            <w:tcW w:w="1559" w:type="dxa"/>
            <w:shd w:val="clear" w:color="auto" w:fill="auto"/>
          </w:tcPr>
          <w:p w14:paraId="57086700" w14:textId="0FC2CDFA" w:rsidR="004567EA" w:rsidRPr="004567EA" w:rsidRDefault="004567EA" w:rsidP="004567EA">
            <w:pPr>
              <w:ind w:left="-108" w:right="-108"/>
              <w:jc w:val="center"/>
            </w:pPr>
            <w:r>
              <w:t>3</w:t>
            </w:r>
          </w:p>
        </w:tc>
      </w:tr>
      <w:tr w:rsidR="004567EA" w:rsidRPr="004567EA" w14:paraId="246A5719" w14:textId="77777777" w:rsidTr="005C09A0">
        <w:tblPrEx>
          <w:tblBorders>
            <w:bottom w:val="single" w:sz="4" w:space="0" w:color="auto"/>
            <w:insideH w:val="single" w:sz="4" w:space="0" w:color="auto"/>
          </w:tblBorders>
        </w:tblPrEx>
        <w:trPr>
          <w:trHeight w:val="654"/>
        </w:trPr>
        <w:tc>
          <w:tcPr>
            <w:tcW w:w="567" w:type="dxa"/>
            <w:shd w:val="clear" w:color="auto" w:fill="auto"/>
          </w:tcPr>
          <w:p w14:paraId="3AD130D8" w14:textId="4AF0449E" w:rsidR="004567EA" w:rsidRPr="004567EA" w:rsidRDefault="004567EA" w:rsidP="004567EA">
            <w:pPr>
              <w:jc w:val="center"/>
            </w:pPr>
            <w:r>
              <w:t>90</w:t>
            </w:r>
          </w:p>
        </w:tc>
        <w:tc>
          <w:tcPr>
            <w:tcW w:w="7229" w:type="dxa"/>
          </w:tcPr>
          <w:p w14:paraId="20F49FD2" w14:textId="490ED775" w:rsidR="004567EA" w:rsidRPr="004567EA" w:rsidRDefault="006172D2" w:rsidP="008771E3">
            <w:r>
              <w:rPr>
                <w:lang w:eastAsia="ru-RU"/>
              </w:rPr>
              <w:t xml:space="preserve">Оброблення платіжних інструкцій </w:t>
            </w:r>
            <w:r w:rsidR="008771E3" w:rsidRPr="00612123">
              <w:rPr>
                <w:lang w:eastAsia="ru-RU"/>
              </w:rPr>
              <w:t>у</w:t>
            </w:r>
            <w:r w:rsidR="008771E3" w:rsidRPr="00A37337">
              <w:rPr>
                <w:lang w:eastAsia="ru-RU"/>
              </w:rPr>
              <w:t xml:space="preserve"> </w:t>
            </w:r>
            <w:r>
              <w:rPr>
                <w:lang w:eastAsia="ru-RU"/>
              </w:rPr>
              <w:t xml:space="preserve">системі електронних платежів Національного банку, сформованих </w:t>
            </w:r>
            <w:r w:rsidRPr="00A37337">
              <w:rPr>
                <w:lang w:eastAsia="ru-RU"/>
              </w:rPr>
              <w:t xml:space="preserve">за операціями з виплат із метою фінансування </w:t>
            </w:r>
            <w:r w:rsidRPr="006172D2">
              <w:rPr>
                <w:lang w:eastAsia="ru-RU"/>
              </w:rPr>
              <w:t xml:space="preserve">Пенсійним фондом України </w:t>
            </w:r>
            <w:r w:rsidR="00375C12" w:rsidRPr="006172D2">
              <w:rPr>
                <w:lang w:eastAsia="ru-RU"/>
              </w:rPr>
              <w:t>страхувальників для здійснення</w:t>
            </w:r>
            <w:r w:rsidR="00375C12" w:rsidRPr="00A37337">
              <w:rPr>
                <w:lang w:eastAsia="ru-RU"/>
              </w:rPr>
              <w:t xml:space="preserve"> страхових виплат за загальнообов’язковим державним соціальним страхуванням у зв’язку з тимчасовою втратою </w:t>
            </w:r>
            <w:r w:rsidR="00375C12" w:rsidRPr="00A37337">
              <w:rPr>
                <w:lang w:eastAsia="ru-RU"/>
              </w:rPr>
              <w:lastRenderedPageBreak/>
              <w:t xml:space="preserve">працездатності та загальнообов’язковим державним соціальним страхуванням від нещасного випадку на виробництві та професійного захворювання, які спричинили втрату працездатності, що </w:t>
            </w:r>
            <w:r w:rsidR="00375C12">
              <w:rPr>
                <w:lang w:eastAsia="ru-RU"/>
              </w:rPr>
              <w:t xml:space="preserve">здійснюються </w:t>
            </w:r>
            <w:r w:rsidR="00375C12" w:rsidRPr="00A37337">
              <w:rPr>
                <w:lang w:eastAsia="ru-RU"/>
              </w:rPr>
              <w:t>відповідно до</w:t>
            </w:r>
            <w:r w:rsidR="00375C12">
              <w:rPr>
                <w:lang w:eastAsia="ru-RU"/>
              </w:rPr>
              <w:t xml:space="preserve"> постанови </w:t>
            </w:r>
            <w:r w:rsidR="00375C12" w:rsidRPr="00375C12">
              <w:rPr>
                <w:lang w:eastAsia="ru-RU"/>
              </w:rPr>
              <w:t>Кабінету Міністрів України від 27</w:t>
            </w:r>
            <w:r w:rsidR="00375C12">
              <w:rPr>
                <w:lang w:eastAsia="ru-RU"/>
              </w:rPr>
              <w:t> </w:t>
            </w:r>
            <w:r w:rsidR="00375C12" w:rsidRPr="00375C12">
              <w:rPr>
                <w:lang w:eastAsia="ru-RU"/>
              </w:rPr>
              <w:t>грудня 2022 року № 1465 “Про затвердження Порядку казначейського обслуговування коштів загальнообов’язкового державного пенсійного страхування, загальнообов’язкового державного соціального страхування у зв’язку з тимчасовою втратою працездатності та загальнообов’язкового державного соціального страхування від нещасного випадку на виробництві та професійного захворювання, які спричинили втрату працездатності, та Порядку казначейського обслуговування коштів Фонду загальнообов’язкового державного соціального страхування на випадок безробіття”</w:t>
            </w:r>
          </w:p>
        </w:tc>
        <w:tc>
          <w:tcPr>
            <w:tcW w:w="1559" w:type="dxa"/>
            <w:shd w:val="clear" w:color="auto" w:fill="auto"/>
          </w:tcPr>
          <w:p w14:paraId="63A3F7E7" w14:textId="77777777" w:rsidR="004567EA" w:rsidRPr="004567EA" w:rsidRDefault="004567EA" w:rsidP="004567EA">
            <w:pPr>
              <w:ind w:left="-108" w:right="-108"/>
              <w:jc w:val="center"/>
            </w:pPr>
            <w:r w:rsidRPr="004567EA">
              <w:lastRenderedPageBreak/>
              <w:t>Безплатно</w:t>
            </w:r>
          </w:p>
        </w:tc>
      </w:tr>
    </w:tbl>
    <w:p w14:paraId="35060D55" w14:textId="29C1F309" w:rsidR="00AD7DF9" w:rsidRDefault="00E3700C" w:rsidP="005F4548">
      <w:pPr>
        <w:spacing w:before="240" w:after="240"/>
        <w:ind w:firstLine="567"/>
        <w:rPr>
          <w:rFonts w:eastAsiaTheme="minorEastAsia"/>
          <w:noProof/>
          <w:color w:val="000000" w:themeColor="text1"/>
          <w:lang w:eastAsia="en-US"/>
        </w:rPr>
      </w:pPr>
      <w:r>
        <w:rPr>
          <w:noProof/>
        </w:rPr>
        <mc:AlternateContent>
          <mc:Choice Requires="wps">
            <w:drawing>
              <wp:anchor distT="0" distB="0" distL="114300" distR="114300" simplePos="0" relativeHeight="251659263" behindDoc="1" locked="0" layoutInCell="1" allowOverlap="1" wp14:anchorId="6683295F" wp14:editId="3A4EFE00">
                <wp:simplePos x="0" y="0"/>
                <wp:positionH relativeFrom="margin">
                  <wp:posOffset>6050280</wp:posOffset>
                </wp:positionH>
                <wp:positionV relativeFrom="paragraph">
                  <wp:posOffset>-220345</wp:posOffset>
                </wp:positionV>
                <wp:extent cx="381000" cy="381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381000" cy="381000"/>
                        </a:xfrm>
                        <a:prstGeom prst="rect">
                          <a:avLst/>
                        </a:prstGeom>
                        <a:solidFill>
                          <a:sysClr val="window" lastClr="FFFFFF"/>
                        </a:solidFill>
                        <a:ln w="6350">
                          <a:noFill/>
                        </a:ln>
                      </wps:spPr>
                      <wps:txbx>
                        <w:txbxContent>
                          <w:p w14:paraId="7C88326B" w14:textId="767DAC0F" w:rsidR="00E3700C" w:rsidRPr="00375C12" w:rsidRDefault="00E3700C" w:rsidP="00E3700C">
                            <w:pPr>
                              <w:rPr>
                                <w:lang w:val="en-US"/>
                              </w:rPr>
                            </w:pPr>
                            <w:r>
                              <w:rPr>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3295F" id="Поле 3" o:spid="_x0000_s1027" type="#_x0000_t202" style="position:absolute;left:0;text-align:left;margin-left:476.4pt;margin-top:-17.35pt;width:30pt;height:30pt;z-index:-2516572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" fillcolor="window" stroked="f" strokeweight=".5pt">
                <v:textbox>
                  <w:txbxContent>
                    <w:p w14:paraId="7C88326B" w14:textId="767DAC0F" w:rsidR="00E3700C" w:rsidRPr="00375C12" w:rsidRDefault="00E3700C" w:rsidP="00E3700C">
                      <w:pPr>
                        <w:rPr>
                          <w:lang w:val="en-US"/>
                        </w:rPr>
                      </w:pPr>
                      <w:r>
                        <w:rPr>
                          <w:lang w:val="en-US"/>
                        </w:rPr>
                        <w:t>”.</w:t>
                      </w:r>
                    </w:p>
                  </w:txbxContent>
                </v:textbox>
                <w10:wrap anchorx="margin"/>
              </v:shape>
            </w:pict>
          </mc:Fallback>
        </mc:AlternateContent>
      </w:r>
      <w:r w:rsidR="00AD7DF9">
        <w:rPr>
          <w:rFonts w:eastAsiaTheme="minorEastAsia"/>
          <w:noProof/>
          <w:color w:val="000000" w:themeColor="text1"/>
          <w:lang w:eastAsia="en-US"/>
        </w:rPr>
        <w:t>2. </w:t>
      </w:r>
      <w:r w:rsidR="00375C12">
        <w:rPr>
          <w:rFonts w:eastAsiaTheme="minorEastAsia"/>
          <w:noProof/>
          <w:color w:val="000000" w:themeColor="text1"/>
          <w:lang w:eastAsia="en-US"/>
        </w:rPr>
        <w:t>Постанова набирає чинності з дня</w:t>
      </w:r>
      <w:r w:rsidR="00DE20A6">
        <w:rPr>
          <w:rFonts w:eastAsiaTheme="minorEastAsia"/>
          <w:noProof/>
          <w:color w:val="000000" w:themeColor="text1"/>
          <w:lang w:eastAsia="en-US"/>
        </w:rPr>
        <w:t xml:space="preserve">, наступного за днем </w:t>
      </w:r>
      <w:r w:rsidR="00375C12">
        <w:rPr>
          <w:rFonts w:eastAsiaTheme="minorEastAsia"/>
          <w:noProof/>
          <w:color w:val="000000" w:themeColor="text1"/>
          <w:lang w:eastAsia="en-US"/>
        </w:rPr>
        <w:t>її офіційного опублікування.</w:t>
      </w:r>
    </w:p>
    <w:p w14:paraId="473BC172" w14:textId="77777777" w:rsidR="00375C12" w:rsidRPr="00DE20A6" w:rsidRDefault="00375C12" w:rsidP="005F4548">
      <w:pPr>
        <w:spacing w:before="240" w:after="240"/>
        <w:ind w:firstLine="567"/>
        <w:rPr>
          <w:rFonts w:eastAsiaTheme="minorEastAsia"/>
          <w:noProof/>
          <w:color w:val="000000" w:themeColor="text1"/>
          <w:lang w:val="ru-RU" w:eastAsia="en-US"/>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D60CC" w:rsidRPr="00CD0CD4" w14:paraId="32B2F6C8" w14:textId="77777777" w:rsidTr="00B73DE9">
        <w:tc>
          <w:tcPr>
            <w:tcW w:w="5495" w:type="dxa"/>
            <w:vAlign w:val="bottom"/>
          </w:tcPr>
          <w:p w14:paraId="32B2F6C6" w14:textId="7AA81ED3" w:rsidR="00DD60CC" w:rsidRPr="00CD0CD4" w:rsidRDefault="00B73DE9" w:rsidP="00886369">
            <w:pPr>
              <w:autoSpaceDE w:val="0"/>
              <w:autoSpaceDN w:val="0"/>
              <w:jc w:val="left"/>
            </w:pPr>
            <w:r>
              <w:t xml:space="preserve">Голова </w:t>
            </w:r>
          </w:p>
        </w:tc>
        <w:tc>
          <w:tcPr>
            <w:tcW w:w="4252" w:type="dxa"/>
            <w:vAlign w:val="bottom"/>
          </w:tcPr>
          <w:p w14:paraId="32B2F6C7" w14:textId="29FD981E" w:rsidR="00DD60CC" w:rsidRPr="00CD0CD4" w:rsidRDefault="00B73DE9" w:rsidP="00B73DE9">
            <w:pPr>
              <w:tabs>
                <w:tab w:val="left" w:pos="7020"/>
                <w:tab w:val="left" w:pos="7200"/>
              </w:tabs>
              <w:autoSpaceDE w:val="0"/>
              <w:autoSpaceDN w:val="0"/>
              <w:ind w:left="32"/>
              <w:jc w:val="right"/>
            </w:pPr>
            <w:r>
              <w:t>Андрій ПИШНИЙ</w:t>
            </w:r>
          </w:p>
        </w:tc>
      </w:tr>
    </w:tbl>
    <w:p w14:paraId="32B2F6C9" w14:textId="77777777" w:rsidR="008D10FD" w:rsidRPr="00CD0CD4" w:rsidRDefault="008D10FD" w:rsidP="00E53CCD"/>
    <w:p w14:paraId="32B2F6CA" w14:textId="77777777" w:rsidR="00FA508E" w:rsidRPr="00CD0CD4" w:rsidRDefault="00FA508E" w:rsidP="00E53CCD"/>
    <w:p w14:paraId="32B2F6CB" w14:textId="39909443" w:rsidR="00FA508E" w:rsidRPr="00CD0CD4" w:rsidRDefault="00FA508E" w:rsidP="00FA508E">
      <w:pPr>
        <w:jc w:val="left"/>
      </w:pPr>
      <w:r w:rsidRPr="00CD0CD4">
        <w:t>Інд.</w:t>
      </w:r>
      <w:r w:rsidRPr="00CD0CD4">
        <w:rPr>
          <w:sz w:val="22"/>
          <w:szCs w:val="22"/>
        </w:rPr>
        <w:t xml:space="preserve"> </w:t>
      </w:r>
      <w:r w:rsidR="00B73DE9">
        <w:t>62</w:t>
      </w:r>
    </w:p>
    <w:sectPr w:rsidR="00FA508E" w:rsidRPr="00CD0CD4" w:rsidSect="00982EFD">
      <w:headerReference w:type="default" r:id="rId14"/>
      <w:headerReference w:type="first" r:id="rId15"/>
      <w:footerReference w:type="first" r:id="rId16"/>
      <w:pgSz w:w="11906" w:h="16838" w:code="9"/>
      <w:pgMar w:top="567" w:right="567"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942D" w14:textId="77777777" w:rsidR="00240DFE" w:rsidRDefault="00240DFE" w:rsidP="00E53CCD">
      <w:r>
        <w:separator/>
      </w:r>
    </w:p>
  </w:endnote>
  <w:endnote w:type="continuationSeparator" w:id="0">
    <w:p w14:paraId="2AEC9BA8" w14:textId="77777777" w:rsidR="00240DFE" w:rsidRDefault="00240DF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58B0" w14:textId="77777777" w:rsidR="00A02655" w:rsidRPr="0076356A" w:rsidRDefault="00A02655" w:rsidP="003C10F1">
    <w:pPr>
      <w:pStyle w:val="a5"/>
      <w:tabs>
        <w:tab w:val="clear" w:pos="4819"/>
      </w:tabs>
      <w:jc w:val="right"/>
      <w:rPr>
        <w:color w:val="FFFFFF" w:themeColor="background1"/>
      </w:rPr>
    </w:pPr>
    <w:r w:rsidRPr="0076356A">
      <w:rPr>
        <w:color w:val="FFFFFF" w:themeColor="background1"/>
      </w:rPr>
      <w:t>Шаблон</w:t>
    </w:r>
  </w:p>
  <w:p w14:paraId="4975EC60" w14:textId="1C6E52A3" w:rsidR="00A02655" w:rsidRPr="00A02655" w:rsidRDefault="00A02655" w:rsidP="00A02655">
    <w:pPr>
      <w:pStyle w:val="a7"/>
      <w:jc w:val="right"/>
      <w:rPr>
        <w:color w:val="FFFFFF" w:themeColor="background1"/>
      </w:rPr>
    </w:pPr>
    <w:r w:rsidRPr="00A02655">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C9F6" w14:textId="77777777" w:rsidR="00240DFE" w:rsidRDefault="00240DFE" w:rsidP="00E53CCD">
      <w:r>
        <w:separator/>
      </w:r>
    </w:p>
  </w:footnote>
  <w:footnote w:type="continuationSeparator" w:id="0">
    <w:p w14:paraId="6CF98B3F" w14:textId="77777777" w:rsidR="00240DFE" w:rsidRDefault="00240DFE"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9334"/>
      <w:docPartObj>
        <w:docPartGallery w:val="Page Numbers (Top of Page)"/>
        <w:docPartUnique/>
      </w:docPartObj>
    </w:sdtPr>
    <w:sdtEndPr/>
    <w:sdtContent>
      <w:p w14:paraId="32B2F6D1" w14:textId="29EA667F" w:rsidR="00460BA2" w:rsidRDefault="00FE0B90">
        <w:pPr>
          <w:pStyle w:val="a5"/>
          <w:jc w:val="center"/>
        </w:pPr>
        <w:r>
          <w:fldChar w:fldCharType="begin"/>
        </w:r>
        <w:r w:rsidR="00460BA2">
          <w:instrText xml:space="preserve"> PAGE   \* MERGEFORMAT </w:instrText>
        </w:r>
        <w:r>
          <w:fldChar w:fldCharType="separate"/>
        </w:r>
        <w:r w:rsidR="00982EFD">
          <w:rPr>
            <w:noProof/>
          </w:rPr>
          <w:t>2</w:t>
        </w:r>
        <w:r>
          <w:fldChar w:fldCharType="end"/>
        </w:r>
      </w:p>
    </w:sdtContent>
  </w:sdt>
  <w:p w14:paraId="32B2F6D2" w14:textId="5F7689E1" w:rsidR="00460BA2" w:rsidRPr="00506A42" w:rsidRDefault="00506A42" w:rsidP="00506A42">
    <w:pPr>
      <w:pStyle w:val="a5"/>
      <w:jc w:val="right"/>
    </w:pPr>
    <w:r w:rsidRPr="00506A42">
      <w:t>Продовження таблиці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0253" w14:textId="25A6159E" w:rsidR="00B358F5" w:rsidRPr="00B358F5" w:rsidRDefault="00B358F5" w:rsidP="00B358F5">
    <w:pPr>
      <w:pStyle w:val="a5"/>
      <w:jc w:val="right"/>
      <w:rPr>
        <w:sz w:val="24"/>
        <w:szCs w:val="24"/>
      </w:rPr>
    </w:pPr>
    <w:r w:rsidRPr="00B358F5">
      <w:rPr>
        <w:sz w:val="24"/>
        <w:szCs w:val="24"/>
      </w:rPr>
      <w:t>Офіційно опубліковано 1</w:t>
    </w:r>
    <w:r w:rsidR="004827E0">
      <w:rPr>
        <w:sz w:val="24"/>
        <w:szCs w:val="24"/>
        <w:lang w:val="en-US"/>
      </w:rPr>
      <w:t>7</w:t>
    </w:r>
    <w:r w:rsidRPr="00B358F5">
      <w:rPr>
        <w:sz w:val="24"/>
        <w:szCs w:val="24"/>
      </w:rPr>
      <w:t>.01.2023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16cid:durableId="881669439">
    <w:abstractNumId w:val="1"/>
  </w:num>
  <w:num w:numId="2" w16cid:durableId="3067098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65"/>
    <w:rsid w:val="000064FA"/>
    <w:rsid w:val="000069AF"/>
    <w:rsid w:val="00015CF3"/>
    <w:rsid w:val="00015FDE"/>
    <w:rsid w:val="0003331E"/>
    <w:rsid w:val="000342A5"/>
    <w:rsid w:val="0003793C"/>
    <w:rsid w:val="000543C6"/>
    <w:rsid w:val="000600A8"/>
    <w:rsid w:val="00061C52"/>
    <w:rsid w:val="00063480"/>
    <w:rsid w:val="000638F2"/>
    <w:rsid w:val="000913CC"/>
    <w:rsid w:val="000B2990"/>
    <w:rsid w:val="000D778F"/>
    <w:rsid w:val="000E0CB3"/>
    <w:rsid w:val="000E5B8C"/>
    <w:rsid w:val="000E7A13"/>
    <w:rsid w:val="001022BE"/>
    <w:rsid w:val="00106229"/>
    <w:rsid w:val="00115ECF"/>
    <w:rsid w:val="001631E2"/>
    <w:rsid w:val="001716B0"/>
    <w:rsid w:val="001740C0"/>
    <w:rsid w:val="00190E1A"/>
    <w:rsid w:val="001A0EE5"/>
    <w:rsid w:val="001A16FA"/>
    <w:rsid w:val="001A4CB9"/>
    <w:rsid w:val="001A6795"/>
    <w:rsid w:val="001C206C"/>
    <w:rsid w:val="001D487A"/>
    <w:rsid w:val="002238D1"/>
    <w:rsid w:val="00233F37"/>
    <w:rsid w:val="00240DFE"/>
    <w:rsid w:val="00241373"/>
    <w:rsid w:val="00241AD5"/>
    <w:rsid w:val="00253BF9"/>
    <w:rsid w:val="0025455E"/>
    <w:rsid w:val="00264983"/>
    <w:rsid w:val="00266678"/>
    <w:rsid w:val="00276988"/>
    <w:rsid w:val="00280DCC"/>
    <w:rsid w:val="00285DDA"/>
    <w:rsid w:val="00290169"/>
    <w:rsid w:val="002A2391"/>
    <w:rsid w:val="002B351E"/>
    <w:rsid w:val="002B3F71"/>
    <w:rsid w:val="002B582B"/>
    <w:rsid w:val="002C01D9"/>
    <w:rsid w:val="002C1FDB"/>
    <w:rsid w:val="002D1790"/>
    <w:rsid w:val="002F48EF"/>
    <w:rsid w:val="00332701"/>
    <w:rsid w:val="00340D07"/>
    <w:rsid w:val="00345982"/>
    <w:rsid w:val="00356E34"/>
    <w:rsid w:val="00357676"/>
    <w:rsid w:val="00375C12"/>
    <w:rsid w:val="0038385E"/>
    <w:rsid w:val="00384F65"/>
    <w:rsid w:val="0039725C"/>
    <w:rsid w:val="003A16E7"/>
    <w:rsid w:val="003A751F"/>
    <w:rsid w:val="003C10F1"/>
    <w:rsid w:val="003C3282"/>
    <w:rsid w:val="003C3985"/>
    <w:rsid w:val="003D6B33"/>
    <w:rsid w:val="003F0441"/>
    <w:rsid w:val="003F28B5"/>
    <w:rsid w:val="003F7093"/>
    <w:rsid w:val="00401EDB"/>
    <w:rsid w:val="00404C93"/>
    <w:rsid w:val="00407877"/>
    <w:rsid w:val="004130B9"/>
    <w:rsid w:val="00446704"/>
    <w:rsid w:val="00455B45"/>
    <w:rsid w:val="004567EA"/>
    <w:rsid w:val="00460BA2"/>
    <w:rsid w:val="004666D6"/>
    <w:rsid w:val="00473EF2"/>
    <w:rsid w:val="004827E0"/>
    <w:rsid w:val="004A1CFC"/>
    <w:rsid w:val="004A7F75"/>
    <w:rsid w:val="004B1FE9"/>
    <w:rsid w:val="004B5574"/>
    <w:rsid w:val="004D2B57"/>
    <w:rsid w:val="004E1391"/>
    <w:rsid w:val="004E22E2"/>
    <w:rsid w:val="004E6589"/>
    <w:rsid w:val="0050563F"/>
    <w:rsid w:val="00506A42"/>
    <w:rsid w:val="005212A1"/>
    <w:rsid w:val="005212C5"/>
    <w:rsid w:val="00523C13"/>
    <w:rsid w:val="00524F07"/>
    <w:rsid w:val="005257C2"/>
    <w:rsid w:val="00532633"/>
    <w:rsid w:val="00533083"/>
    <w:rsid w:val="005403F1"/>
    <w:rsid w:val="00542533"/>
    <w:rsid w:val="005624B6"/>
    <w:rsid w:val="00562C46"/>
    <w:rsid w:val="0057237F"/>
    <w:rsid w:val="00577402"/>
    <w:rsid w:val="005822CB"/>
    <w:rsid w:val="005950DA"/>
    <w:rsid w:val="00597AB6"/>
    <w:rsid w:val="005A0F4B"/>
    <w:rsid w:val="005A1D3C"/>
    <w:rsid w:val="005A3F34"/>
    <w:rsid w:val="005B2D03"/>
    <w:rsid w:val="005C5CBF"/>
    <w:rsid w:val="005D3B88"/>
    <w:rsid w:val="005D45F5"/>
    <w:rsid w:val="005E3FA8"/>
    <w:rsid w:val="005F4548"/>
    <w:rsid w:val="005F4CB4"/>
    <w:rsid w:val="005F6B35"/>
    <w:rsid w:val="00612123"/>
    <w:rsid w:val="006172D2"/>
    <w:rsid w:val="00640612"/>
    <w:rsid w:val="0064227D"/>
    <w:rsid w:val="00647EA4"/>
    <w:rsid w:val="0065179F"/>
    <w:rsid w:val="00656807"/>
    <w:rsid w:val="00657593"/>
    <w:rsid w:val="00670C95"/>
    <w:rsid w:val="006925CE"/>
    <w:rsid w:val="00692C8C"/>
    <w:rsid w:val="006B2748"/>
    <w:rsid w:val="006B465F"/>
    <w:rsid w:val="006C06A1"/>
    <w:rsid w:val="006C0F22"/>
    <w:rsid w:val="006C13B1"/>
    <w:rsid w:val="006C4176"/>
    <w:rsid w:val="006C6067"/>
    <w:rsid w:val="006C66EF"/>
    <w:rsid w:val="006D2617"/>
    <w:rsid w:val="00700AA3"/>
    <w:rsid w:val="007042AB"/>
    <w:rsid w:val="00713619"/>
    <w:rsid w:val="007142BA"/>
    <w:rsid w:val="00714823"/>
    <w:rsid w:val="00717197"/>
    <w:rsid w:val="0071789F"/>
    <w:rsid w:val="00730088"/>
    <w:rsid w:val="00747222"/>
    <w:rsid w:val="00750898"/>
    <w:rsid w:val="0076356A"/>
    <w:rsid w:val="007712EF"/>
    <w:rsid w:val="00773559"/>
    <w:rsid w:val="0078127A"/>
    <w:rsid w:val="00783AF2"/>
    <w:rsid w:val="00787E46"/>
    <w:rsid w:val="007A6609"/>
    <w:rsid w:val="007B7B73"/>
    <w:rsid w:val="007C2CED"/>
    <w:rsid w:val="007F16F3"/>
    <w:rsid w:val="00802988"/>
    <w:rsid w:val="008274C0"/>
    <w:rsid w:val="00831127"/>
    <w:rsid w:val="008415A0"/>
    <w:rsid w:val="0085364B"/>
    <w:rsid w:val="00866993"/>
    <w:rsid w:val="00874366"/>
    <w:rsid w:val="008762D8"/>
    <w:rsid w:val="008771E3"/>
    <w:rsid w:val="00886369"/>
    <w:rsid w:val="00897035"/>
    <w:rsid w:val="008B1589"/>
    <w:rsid w:val="008B5CF2"/>
    <w:rsid w:val="008B74DD"/>
    <w:rsid w:val="008C72B5"/>
    <w:rsid w:val="008D10FD"/>
    <w:rsid w:val="008D122F"/>
    <w:rsid w:val="008D5F60"/>
    <w:rsid w:val="008D727F"/>
    <w:rsid w:val="008F0210"/>
    <w:rsid w:val="008F2600"/>
    <w:rsid w:val="008F5D52"/>
    <w:rsid w:val="00904F17"/>
    <w:rsid w:val="00922966"/>
    <w:rsid w:val="0092710A"/>
    <w:rsid w:val="00937AE3"/>
    <w:rsid w:val="00937D24"/>
    <w:rsid w:val="00943175"/>
    <w:rsid w:val="0095741D"/>
    <w:rsid w:val="0097288F"/>
    <w:rsid w:val="0098207E"/>
    <w:rsid w:val="00982EFD"/>
    <w:rsid w:val="00990AAE"/>
    <w:rsid w:val="009B6120"/>
    <w:rsid w:val="009C2F76"/>
    <w:rsid w:val="009F5312"/>
    <w:rsid w:val="00A02655"/>
    <w:rsid w:val="00A02AEC"/>
    <w:rsid w:val="00A0594A"/>
    <w:rsid w:val="00A12C47"/>
    <w:rsid w:val="00A23E04"/>
    <w:rsid w:val="00A46C15"/>
    <w:rsid w:val="00A50DC0"/>
    <w:rsid w:val="00A6076B"/>
    <w:rsid w:val="00A63695"/>
    <w:rsid w:val="00A72F06"/>
    <w:rsid w:val="00A730F2"/>
    <w:rsid w:val="00A77FFD"/>
    <w:rsid w:val="00AB4554"/>
    <w:rsid w:val="00AC47B6"/>
    <w:rsid w:val="00AD7DF9"/>
    <w:rsid w:val="00AE0178"/>
    <w:rsid w:val="00AE29BB"/>
    <w:rsid w:val="00AE2CAF"/>
    <w:rsid w:val="00AF33D9"/>
    <w:rsid w:val="00B002E4"/>
    <w:rsid w:val="00B332B2"/>
    <w:rsid w:val="00B34CCC"/>
    <w:rsid w:val="00B358F5"/>
    <w:rsid w:val="00B36EC7"/>
    <w:rsid w:val="00B36EDD"/>
    <w:rsid w:val="00B61C97"/>
    <w:rsid w:val="00B628C5"/>
    <w:rsid w:val="00B71933"/>
    <w:rsid w:val="00B73DE9"/>
    <w:rsid w:val="00B8078D"/>
    <w:rsid w:val="00BA6F36"/>
    <w:rsid w:val="00BC61D4"/>
    <w:rsid w:val="00BD12A3"/>
    <w:rsid w:val="00BD6D34"/>
    <w:rsid w:val="00BD7F6E"/>
    <w:rsid w:val="00BF47B0"/>
    <w:rsid w:val="00BF5327"/>
    <w:rsid w:val="00C21D33"/>
    <w:rsid w:val="00C32C05"/>
    <w:rsid w:val="00C3382F"/>
    <w:rsid w:val="00C421FE"/>
    <w:rsid w:val="00C4377C"/>
    <w:rsid w:val="00C47F0F"/>
    <w:rsid w:val="00C51D84"/>
    <w:rsid w:val="00C52506"/>
    <w:rsid w:val="00C82259"/>
    <w:rsid w:val="00C9297C"/>
    <w:rsid w:val="00C94014"/>
    <w:rsid w:val="00CB0A99"/>
    <w:rsid w:val="00CB5A09"/>
    <w:rsid w:val="00CD0CD4"/>
    <w:rsid w:val="00CE3B9F"/>
    <w:rsid w:val="00CF1FB8"/>
    <w:rsid w:val="00CF2C65"/>
    <w:rsid w:val="00D078B6"/>
    <w:rsid w:val="00D1022C"/>
    <w:rsid w:val="00D27115"/>
    <w:rsid w:val="00D34DCC"/>
    <w:rsid w:val="00D37EB4"/>
    <w:rsid w:val="00D61D9B"/>
    <w:rsid w:val="00DA2F09"/>
    <w:rsid w:val="00DB1F0F"/>
    <w:rsid w:val="00DC1E60"/>
    <w:rsid w:val="00DD60CC"/>
    <w:rsid w:val="00DE1BC8"/>
    <w:rsid w:val="00DE20A6"/>
    <w:rsid w:val="00DF4D12"/>
    <w:rsid w:val="00E10AE2"/>
    <w:rsid w:val="00E10F0A"/>
    <w:rsid w:val="00E21875"/>
    <w:rsid w:val="00E25407"/>
    <w:rsid w:val="00E32599"/>
    <w:rsid w:val="00E33B0E"/>
    <w:rsid w:val="00E3700C"/>
    <w:rsid w:val="00E42621"/>
    <w:rsid w:val="00E446A6"/>
    <w:rsid w:val="00E53CB5"/>
    <w:rsid w:val="00E53CCD"/>
    <w:rsid w:val="00E62607"/>
    <w:rsid w:val="00E71855"/>
    <w:rsid w:val="00E719A9"/>
    <w:rsid w:val="00EA1DE4"/>
    <w:rsid w:val="00EA60EA"/>
    <w:rsid w:val="00EB29BF"/>
    <w:rsid w:val="00EC7C7F"/>
    <w:rsid w:val="00EE1B30"/>
    <w:rsid w:val="00EF4B42"/>
    <w:rsid w:val="00F003D3"/>
    <w:rsid w:val="00F008AB"/>
    <w:rsid w:val="00F03E32"/>
    <w:rsid w:val="00F42289"/>
    <w:rsid w:val="00F42E75"/>
    <w:rsid w:val="00F45D65"/>
    <w:rsid w:val="00F517FA"/>
    <w:rsid w:val="00F52D16"/>
    <w:rsid w:val="00F62D67"/>
    <w:rsid w:val="00F63BD9"/>
    <w:rsid w:val="00F6694C"/>
    <w:rsid w:val="00F8145F"/>
    <w:rsid w:val="00F9283D"/>
    <w:rsid w:val="00F96F18"/>
    <w:rsid w:val="00FA508E"/>
    <w:rsid w:val="00FA5320"/>
    <w:rsid w:val="00FA7846"/>
    <w:rsid w:val="00FC26E5"/>
    <w:rsid w:val="00FD09F4"/>
    <w:rsid w:val="00FD19F1"/>
    <w:rsid w:val="00FD370F"/>
    <w:rsid w:val="00FE0B90"/>
    <w:rsid w:val="00FF4C41"/>
    <w:rsid w:val="00FF6D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B2F6A4"/>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1">
    <w:name w:val="Сетка таблицы1"/>
    <w:basedOn w:val="a1"/>
    <w:next w:val="a9"/>
    <w:uiPriority w:val="39"/>
    <w:rsid w:val="004567EA"/>
    <w:pPr>
      <w:spacing w:after="0" w:line="240" w:lineRule="auto"/>
      <w:jc w:val="righ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886369"/>
    <w:rPr>
      <w:sz w:val="16"/>
      <w:szCs w:val="16"/>
    </w:rPr>
  </w:style>
  <w:style w:type="paragraph" w:styleId="af5">
    <w:name w:val="annotation text"/>
    <w:basedOn w:val="a"/>
    <w:link w:val="af6"/>
    <w:uiPriority w:val="99"/>
    <w:semiHidden/>
    <w:unhideWhenUsed/>
    <w:rsid w:val="00886369"/>
    <w:rPr>
      <w:sz w:val="20"/>
      <w:szCs w:val="20"/>
    </w:rPr>
  </w:style>
  <w:style w:type="character" w:customStyle="1" w:styleId="af6">
    <w:name w:val="Текст примітки Знак"/>
    <w:basedOn w:val="a0"/>
    <w:link w:val="af5"/>
    <w:uiPriority w:val="99"/>
    <w:semiHidden/>
    <w:rsid w:val="00886369"/>
    <w:rPr>
      <w:rFonts w:ascii="Times New Roman" w:hAnsi="Times New Roman" w:cs="Times New Roman"/>
      <w:sz w:val="20"/>
      <w:szCs w:val="20"/>
      <w:lang w:eastAsia="uk-UA"/>
    </w:rPr>
  </w:style>
  <w:style w:type="paragraph" w:styleId="af7">
    <w:name w:val="annotation subject"/>
    <w:basedOn w:val="af5"/>
    <w:next w:val="af5"/>
    <w:link w:val="af8"/>
    <w:uiPriority w:val="99"/>
    <w:semiHidden/>
    <w:unhideWhenUsed/>
    <w:rsid w:val="00886369"/>
    <w:rPr>
      <w:b/>
      <w:bCs/>
    </w:rPr>
  </w:style>
  <w:style w:type="character" w:customStyle="1" w:styleId="af8">
    <w:name w:val="Тема примітки Знак"/>
    <w:basedOn w:val="af6"/>
    <w:link w:val="af7"/>
    <w:uiPriority w:val="99"/>
    <w:semiHidden/>
    <w:rsid w:val="00886369"/>
    <w:rPr>
      <w:rFonts w:ascii="Times New Roman" w:hAnsi="Times New Roman" w:cs="Times New Roman"/>
      <w:b/>
      <w:bCs/>
      <w:sz w:val="20"/>
      <w:szCs w:val="20"/>
      <w:lang w:eastAsia="uk-UA"/>
    </w:rPr>
  </w:style>
  <w:style w:type="paragraph" w:styleId="af9">
    <w:name w:val="Revision"/>
    <w:hidden/>
    <w:uiPriority w:val="99"/>
    <w:semiHidden/>
    <w:rsid w:val="00886369"/>
    <w:pPr>
      <w:spacing w:after="0" w:line="240" w:lineRule="auto"/>
    </w:pPr>
    <w:rPr>
      <w:rFonts w:ascii="Times New Roman" w:hAnsi="Times New Roman" w:cs="Times New Roman"/>
      <w:sz w:val="28"/>
      <w:szCs w:val="2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93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 ds:uri="http://purl.org/dc/dcmitype/"/>
    <ds:schemaRef ds:uri="http://purl.org/dc/elements/1.1/"/>
  </ds:schemaRefs>
</ds:datastoreItem>
</file>

<file path=customXml/itemProps3.xml><?xml version="1.0" encoding="utf-8"?>
<ds:datastoreItem xmlns:ds="http://schemas.openxmlformats.org/officeDocument/2006/customXml" ds:itemID="{58F7BD6B-00C8-44E8-A8CF-47C4AE07B3DD}">
  <ds:schemaRefs>
    <ds:schemaRef ds:uri="http://schemas.openxmlformats.org/officeDocument/2006/bibliography"/>
  </ds:schemaRefs>
</ds:datastoreItem>
</file>

<file path=customXml/itemProps4.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7716753-10DB-42DA-B032-EC131FF1FA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331</Words>
  <Characters>2504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Наргис</cp:lastModifiedBy>
  <cp:revision>8</cp:revision>
  <cp:lastPrinted>2015-04-06T07:59:00Z</cp:lastPrinted>
  <dcterms:created xsi:type="dcterms:W3CDTF">2023-01-11T13:37:00Z</dcterms:created>
  <dcterms:modified xsi:type="dcterms:W3CDTF">2023-01-17T12:42:00Z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