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AC14D" w14:textId="4AC3CD93" w:rsidR="002D44B5" w:rsidRPr="0042088A" w:rsidRDefault="007036DD" w:rsidP="002D44B5">
      <w:pPr>
        <w:rPr>
          <w:sz w:val="2"/>
          <w:szCs w:val="2"/>
        </w:rPr>
      </w:pPr>
      <w:r>
        <w:rPr>
          <w:noProof/>
          <w:sz w:val="2"/>
          <w:szCs w:val="2"/>
        </w:rPr>
        <mc:AlternateContent>
          <mc:Choice Requires="wps">
            <w:drawing>
              <wp:anchor distT="0" distB="0" distL="114300" distR="114300" simplePos="0" relativeHeight="251662336" behindDoc="0" locked="0" layoutInCell="1" allowOverlap="1" wp14:anchorId="54B25033" wp14:editId="535FC0E7">
                <wp:simplePos x="0" y="0"/>
                <wp:positionH relativeFrom="column">
                  <wp:posOffset>3703405</wp:posOffset>
                </wp:positionH>
                <wp:positionV relativeFrom="paragraph">
                  <wp:posOffset>-244039</wp:posOffset>
                </wp:positionV>
                <wp:extent cx="2499957" cy="295275"/>
                <wp:effectExtent l="0" t="0" r="0" b="9525"/>
                <wp:wrapNone/>
                <wp:docPr id="2" name="Поле 2"/>
                <wp:cNvGraphicFramePr/>
                <a:graphic xmlns:a="http://schemas.openxmlformats.org/drawingml/2006/main">
                  <a:graphicData uri="http://schemas.microsoft.com/office/word/2010/wordprocessingShape">
                    <wps:wsp>
                      <wps:cNvSpPr txBox="1"/>
                      <wps:spPr>
                        <a:xfrm>
                          <a:off x="0" y="0"/>
                          <a:ext cx="2499957" cy="295275"/>
                        </a:xfrm>
                        <a:prstGeom prst="rect">
                          <a:avLst/>
                        </a:prstGeom>
                        <a:solidFill>
                          <a:schemeClr val="lt1"/>
                        </a:solidFill>
                        <a:ln w="6350">
                          <a:noFill/>
                        </a:ln>
                      </wps:spPr>
                      <wps:txbx>
                        <w:txbxContent>
                          <w:p w14:paraId="46CE31DF" w14:textId="7337B033" w:rsidR="007036DD" w:rsidRPr="0055230B" w:rsidRDefault="007036DD">
                            <w:pPr>
                              <w:rPr>
                                <w:sz w:val="24"/>
                                <w:szCs w:val="24"/>
                              </w:rPr>
                            </w:pPr>
                            <w:r w:rsidRPr="0055230B">
                              <w:rPr>
                                <w:sz w:val="24"/>
                                <w:szCs w:val="24"/>
                              </w:rPr>
                              <w:t>Офіційно опубліковано 1</w:t>
                            </w:r>
                            <w:r w:rsidR="00040D1D">
                              <w:rPr>
                                <w:sz w:val="24"/>
                                <w:szCs w:val="24"/>
                                <w:lang w:val="en-US"/>
                              </w:rPr>
                              <w:t>8</w:t>
                            </w:r>
                            <w:r w:rsidRPr="0055230B">
                              <w:rPr>
                                <w:sz w:val="24"/>
                                <w:szCs w:val="24"/>
                              </w:rPr>
                              <w:t xml:space="preserve">.07.2024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25033" id="_x0000_t202" coordsize="21600,21600" o:spt="202" path="m,l,21600r21600,l21600,xe">
                <v:stroke joinstyle="miter"/>
                <v:path gradientshapeok="t" o:connecttype="rect"/>
              </v:shapetype>
              <v:shape id="Поле 2" o:spid="_x0000_s1026" type="#_x0000_t202" style="position:absolute;left:0;text-align:left;margin-left:291.6pt;margin-top:-19.2pt;width:196.8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JsTwIAAHkEAAAOAAAAZHJzL2Uyb0RvYy54bWysVMGO2jAQvVfqP1i+l0AKuyUirCgrqkpo&#10;dyW22rNxHBLJ9ri2IaE/06/oaaV+A5/UsQMs3fZU9eKMPePneW9mMrlplSQ7YV0NOqeDXp8SoTkU&#10;td7k9Mvj4t0HSpxnumAStMjpXjh6M337ZtKYTKRQgSyEJQiiXdaYnFbemyxJHK+EYq4HRmh0lmAV&#10;87i1m6SwrEF0JZO0379KGrCFscCFc3h62znpNOKXpeD+viyd8ETmFHPzcbVxXYc1mU5YtrHMVDU/&#10;psH+IQvFao2PnqFumWdka+s/oFTNLTgofY+DSqAsay4iB2Qz6L9is6qYEZELiuPMWSb3/2D53e7B&#10;krrIaUqJZgpLdPh++Hl4PvwgaVCnMS7DoJXBMN9+hBarfDp3eBhIt6VV4Yt0CPpR5/1ZW9F6wvEw&#10;HY7H49E1JRx96XiUXo8CTPJy21jnPwlQJBg5tVi7KCnbLZ3vQk8h4TEHsi4WtZRxE/pFzKUlO4aV&#10;lj7miOC/RUlNmpxevR/1I7CGcL1DlhpzCVw7TsHy7bo9CrCGYo/8LXT94wxf1Jjkkjn/wCw2DFLG&#10;IfD3uJQS8BE4WpRUYL/97TzEYx3RS0mDDZhT93XLrKBEftZY4fFgOAwdGzfD0XWKG3vpWV969FbN&#10;AZkPcNwMj2aI9/JklhbUE87KLLyKLqY5vp1TfzLnvhsLnDUuZrMYhD1qmF/qleEBOigdSvDYPjFr&#10;jnXyWOE7OLUqy16Vq4sNNzXMth7KOtYyCNypetQd+zt2w3EWwwBd7mPUyx9j+gsAAP//AwBQSwME&#10;FAAGAAgAAAAhAMIdGsbiAAAACQEAAA8AAABkcnMvZG93bnJldi54bWxMj8tOwzAQRfdI/IM1SGxQ&#10;67ShbRoyqRACKrGj4SF2bjwkEfE4it0k/D1mBcvRPbr3TLabTCsG6l1jGWExj0AQl1Y3XCG8FA+z&#10;BITzirVqLRPCNznY5ednmUq1HfmZhoOvRChhlyqE2vsuldKVNRnl5rYjDtmn7Y3y4ewrqXs1hnLT&#10;ymUUraVRDYeFWnV0V1P5dTgZhI+r6v3JTY+vY7yKu/v9UGzedIF4eTHd3oDwNPk/GH71gzrkwelo&#10;T6ydaBFWSbwMKMIsTq5BBGK7WW9BHBGSBcg8k/8/yH8AAAD//wMAUEsBAi0AFAAGAAgAAAAhALaD&#10;OJL+AAAA4QEAABMAAAAAAAAAAAAAAAAAAAAAAFtDb250ZW50X1R5cGVzXS54bWxQSwECLQAUAAYA&#10;CAAAACEAOP0h/9YAAACUAQAACwAAAAAAAAAAAAAAAAAvAQAAX3JlbHMvLnJlbHNQSwECLQAUAAYA&#10;CAAAACEAym7ibE8CAAB5BAAADgAAAAAAAAAAAAAAAAAuAgAAZHJzL2Uyb0RvYy54bWxQSwECLQAU&#10;AAYACAAAACEAwh0axuIAAAAJAQAADwAAAAAAAAAAAAAAAACpBAAAZHJzL2Rvd25yZXYueG1sUEsF&#10;BgAAAAAEAAQA8wAAALgFAAAAAA==&#10;" fillcolor="white [3201]" stroked="f" strokeweight=".5pt">
                <v:textbox>
                  <w:txbxContent>
                    <w:p w14:paraId="46CE31DF" w14:textId="7337B033" w:rsidR="007036DD" w:rsidRPr="0055230B" w:rsidRDefault="007036DD">
                      <w:pPr>
                        <w:rPr>
                          <w:sz w:val="24"/>
                          <w:szCs w:val="24"/>
                        </w:rPr>
                      </w:pPr>
                      <w:r w:rsidRPr="0055230B">
                        <w:rPr>
                          <w:sz w:val="24"/>
                          <w:szCs w:val="24"/>
                        </w:rPr>
                        <w:t>Офіційно опубліковано 1</w:t>
                      </w:r>
                      <w:r w:rsidR="00040D1D">
                        <w:rPr>
                          <w:sz w:val="24"/>
                          <w:szCs w:val="24"/>
                          <w:lang w:val="en-US"/>
                        </w:rPr>
                        <w:t>8</w:t>
                      </w:r>
                      <w:bookmarkStart w:id="1" w:name="_GoBack"/>
                      <w:bookmarkEnd w:id="1"/>
                      <w:r w:rsidRPr="0055230B">
                        <w:rPr>
                          <w:sz w:val="24"/>
                          <w:szCs w:val="24"/>
                        </w:rPr>
                        <w:t xml:space="preserve">.07.2024 </w:t>
                      </w:r>
                    </w:p>
                  </w:txbxContent>
                </v:textbox>
              </v:shape>
            </w:pict>
          </mc:Fallback>
        </mc:AlternateConten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2D44B5" w14:paraId="1E22CF68" w14:textId="77777777" w:rsidTr="00790D2B">
        <w:trPr>
          <w:trHeight w:val="851"/>
        </w:trPr>
        <w:tc>
          <w:tcPr>
            <w:tcW w:w="3207" w:type="dxa"/>
          </w:tcPr>
          <w:p w14:paraId="7EF67D4A" w14:textId="77777777" w:rsidR="002D44B5" w:rsidRDefault="002D44B5" w:rsidP="00790D2B"/>
        </w:tc>
        <w:tc>
          <w:tcPr>
            <w:tcW w:w="3227" w:type="dxa"/>
            <w:vMerge w:val="restart"/>
          </w:tcPr>
          <w:p w14:paraId="51316EC7" w14:textId="77777777" w:rsidR="002D44B5" w:rsidRDefault="002D44B5" w:rsidP="00790D2B">
            <w:pPr>
              <w:jc w:val="center"/>
            </w:pPr>
            <w:r>
              <w:object w:dxaOrig="1595" w:dyaOrig="2201" w14:anchorId="017DB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7.8pt" o:ole="">
                  <v:imagedata r:id="rId12" o:title=""/>
                </v:shape>
                <o:OLEObject Type="Embed" ProgID="CorelDraw.Graphic.16" ShapeID="_x0000_i1025" DrawAspect="Content" ObjectID="_1782820681" r:id="rId13"/>
              </w:object>
            </w:r>
          </w:p>
        </w:tc>
        <w:tc>
          <w:tcPr>
            <w:tcW w:w="3204" w:type="dxa"/>
          </w:tcPr>
          <w:p w14:paraId="70739B89" w14:textId="77777777" w:rsidR="002D44B5" w:rsidRDefault="002D44B5" w:rsidP="00790D2B"/>
        </w:tc>
      </w:tr>
      <w:tr w:rsidR="002D44B5" w14:paraId="5C07A732" w14:textId="77777777" w:rsidTr="00790D2B">
        <w:tc>
          <w:tcPr>
            <w:tcW w:w="3207" w:type="dxa"/>
          </w:tcPr>
          <w:p w14:paraId="387B8D57" w14:textId="77777777" w:rsidR="002D44B5" w:rsidRDefault="002D44B5" w:rsidP="00790D2B"/>
        </w:tc>
        <w:tc>
          <w:tcPr>
            <w:tcW w:w="3227" w:type="dxa"/>
            <w:vMerge/>
          </w:tcPr>
          <w:p w14:paraId="76EA2429" w14:textId="77777777" w:rsidR="002D44B5" w:rsidRDefault="002D44B5" w:rsidP="00790D2B"/>
        </w:tc>
        <w:tc>
          <w:tcPr>
            <w:tcW w:w="3204" w:type="dxa"/>
          </w:tcPr>
          <w:p w14:paraId="0F7A25C5" w14:textId="77777777" w:rsidR="002D44B5" w:rsidRDefault="002D44B5" w:rsidP="00790D2B"/>
        </w:tc>
      </w:tr>
      <w:tr w:rsidR="002D44B5" w14:paraId="4CE93E1C" w14:textId="77777777" w:rsidTr="00790D2B">
        <w:tc>
          <w:tcPr>
            <w:tcW w:w="9638" w:type="dxa"/>
            <w:gridSpan w:val="3"/>
          </w:tcPr>
          <w:p w14:paraId="2CA5FE95" w14:textId="77777777" w:rsidR="002D44B5" w:rsidRPr="00E10F0A" w:rsidRDefault="002D44B5" w:rsidP="00790D2B">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772476AA" w14:textId="77777777" w:rsidR="002D44B5" w:rsidRDefault="002D44B5" w:rsidP="00790D2B">
            <w:pPr>
              <w:jc w:val="center"/>
            </w:pPr>
            <w:r w:rsidRPr="00E10F0A">
              <w:rPr>
                <w:b/>
                <w:bCs/>
                <w:color w:val="006600"/>
                <w:sz w:val="32"/>
                <w:szCs w:val="32"/>
              </w:rPr>
              <w:t>П О С Т А Н О В А</w:t>
            </w:r>
          </w:p>
        </w:tc>
      </w:tr>
    </w:tbl>
    <w:p w14:paraId="2B0096CF" w14:textId="77777777" w:rsidR="002D44B5" w:rsidRPr="00566BA2" w:rsidRDefault="002D44B5" w:rsidP="002D44B5">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2633"/>
        <w:gridCol w:w="1674"/>
        <w:gridCol w:w="1902"/>
      </w:tblGrid>
      <w:tr w:rsidR="002D44B5" w14:paraId="32B80FDF" w14:textId="77777777" w:rsidTr="00790D2B">
        <w:tc>
          <w:tcPr>
            <w:tcW w:w="3510" w:type="dxa"/>
            <w:vAlign w:val="bottom"/>
          </w:tcPr>
          <w:p w14:paraId="50A6467C" w14:textId="6C46F614" w:rsidR="002D44B5" w:rsidRPr="00566BA2" w:rsidRDefault="007036DD" w:rsidP="007036DD">
            <w:r>
              <w:t>17 липня 2024 року</w:t>
            </w:r>
          </w:p>
        </w:tc>
        <w:tc>
          <w:tcPr>
            <w:tcW w:w="2694" w:type="dxa"/>
          </w:tcPr>
          <w:p w14:paraId="15EAE13C" w14:textId="77777777" w:rsidR="002D44B5" w:rsidRDefault="002D44B5" w:rsidP="00790D2B">
            <w:pPr>
              <w:spacing w:before="240"/>
              <w:jc w:val="center"/>
            </w:pPr>
            <w:r w:rsidRPr="00E10F0A">
              <w:rPr>
                <w:color w:val="006600"/>
              </w:rPr>
              <w:t>Київ</w:t>
            </w:r>
          </w:p>
        </w:tc>
        <w:tc>
          <w:tcPr>
            <w:tcW w:w="1713" w:type="dxa"/>
            <w:vAlign w:val="bottom"/>
          </w:tcPr>
          <w:p w14:paraId="6ECF7AA2" w14:textId="77777777" w:rsidR="002D44B5" w:rsidRPr="00101D5A" w:rsidRDefault="002D44B5" w:rsidP="00790D2B">
            <w:pPr>
              <w:jc w:val="right"/>
            </w:pPr>
            <w:r w:rsidRPr="00101D5A">
              <w:rPr>
                <w:color w:val="FFFFFF" w:themeColor="background1"/>
              </w:rPr>
              <w:t>№</w:t>
            </w:r>
          </w:p>
        </w:tc>
        <w:tc>
          <w:tcPr>
            <w:tcW w:w="1937" w:type="dxa"/>
            <w:vAlign w:val="bottom"/>
          </w:tcPr>
          <w:p w14:paraId="28A08FC4" w14:textId="76D6A95C" w:rsidR="002D44B5" w:rsidRDefault="007036DD" w:rsidP="00517BAF">
            <w:pPr>
              <w:jc w:val="left"/>
            </w:pPr>
            <w:r>
              <w:t>№</w:t>
            </w:r>
            <w:r w:rsidR="00517BAF">
              <w:t> 86</w:t>
            </w:r>
          </w:p>
        </w:tc>
      </w:tr>
    </w:tbl>
    <w:p w14:paraId="5A45A44B" w14:textId="77777777" w:rsidR="002D44B5" w:rsidRPr="00CD0CD4" w:rsidRDefault="002D44B5" w:rsidP="002D44B5">
      <w:pPr>
        <w:rPr>
          <w:sz w:val="2"/>
          <w:szCs w:val="2"/>
        </w:rPr>
      </w:pPr>
    </w:p>
    <w:p w14:paraId="0E417CD9" w14:textId="77777777" w:rsidR="0014455D" w:rsidRPr="002D44B5" w:rsidRDefault="0014455D" w:rsidP="002D44B5">
      <w:pPr>
        <w:ind w:firstLine="720"/>
        <w:jc w:val="cente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14455D" w:rsidRPr="00CD0CD4" w14:paraId="270FCA01" w14:textId="77777777" w:rsidTr="009F3E12">
        <w:trPr>
          <w:jc w:val="center"/>
        </w:trPr>
        <w:tc>
          <w:tcPr>
            <w:tcW w:w="5000" w:type="pct"/>
          </w:tcPr>
          <w:p w14:paraId="40D784D6" w14:textId="0F9293FF" w:rsidR="0014455D" w:rsidRPr="006F7CEF" w:rsidRDefault="0012625D" w:rsidP="00511220">
            <w:pPr>
              <w:tabs>
                <w:tab w:val="left" w:pos="840"/>
                <w:tab w:val="center" w:pos="3293"/>
              </w:tabs>
              <w:spacing w:before="240" w:after="240"/>
              <w:jc w:val="center"/>
              <w:rPr>
                <w:rFonts w:eastAsiaTheme="minorEastAsia"/>
                <w:color w:val="000000" w:themeColor="text1"/>
                <w:lang w:eastAsia="en-US"/>
              </w:rPr>
            </w:pPr>
            <w:r>
              <w:rPr>
                <w:rFonts w:eastAsiaTheme="minorEastAsia"/>
                <w:color w:val="000000" w:themeColor="text1"/>
                <w:lang w:eastAsia="en-US"/>
              </w:rPr>
              <w:t>П</w:t>
            </w:r>
            <w:r w:rsidRPr="0012625D">
              <w:rPr>
                <w:rFonts w:eastAsiaTheme="minorEastAsia"/>
                <w:color w:val="000000" w:themeColor="text1"/>
                <w:lang w:eastAsia="en-US"/>
              </w:rPr>
              <w:t xml:space="preserve">ро </w:t>
            </w:r>
            <w:r w:rsidR="00511220">
              <w:rPr>
                <w:rFonts w:eastAsiaTheme="minorEastAsia"/>
                <w:color w:val="000000" w:themeColor="text1"/>
                <w:lang w:eastAsia="en-US"/>
              </w:rPr>
              <w:t>затвердження</w:t>
            </w:r>
            <w:r w:rsidR="00511220" w:rsidRPr="0012625D">
              <w:rPr>
                <w:rFonts w:eastAsiaTheme="minorEastAsia"/>
                <w:color w:val="000000" w:themeColor="text1"/>
                <w:lang w:eastAsia="en-US"/>
              </w:rPr>
              <w:t xml:space="preserve"> </w:t>
            </w:r>
            <w:r w:rsidR="00511220">
              <w:rPr>
                <w:rFonts w:eastAsiaTheme="minorEastAsia"/>
                <w:color w:val="000000" w:themeColor="text1"/>
                <w:lang w:eastAsia="en-US"/>
              </w:rPr>
              <w:t>З</w:t>
            </w:r>
            <w:r w:rsidRPr="0012625D">
              <w:rPr>
                <w:rFonts w:eastAsiaTheme="minorEastAsia"/>
                <w:color w:val="000000" w:themeColor="text1"/>
                <w:lang w:eastAsia="en-US"/>
              </w:rPr>
              <w:t>мін до деяких нормативно-правових актів Національного банку України щодо регулювання діяльності банківських груп</w:t>
            </w:r>
            <w:r w:rsidR="0014455D" w:rsidRPr="00DD770D">
              <w:rPr>
                <w:rFonts w:eastAsiaTheme="minorEastAsia"/>
                <w:color w:val="000000" w:themeColor="text1"/>
                <w:lang w:eastAsia="en-US"/>
              </w:rPr>
              <w:t xml:space="preserve"> </w:t>
            </w:r>
          </w:p>
        </w:tc>
      </w:tr>
    </w:tbl>
    <w:p w14:paraId="23C55983" w14:textId="77777777" w:rsidR="00170792" w:rsidRPr="001F15B7" w:rsidRDefault="00170792" w:rsidP="00534006">
      <w:pPr>
        <w:ind w:firstLine="567"/>
        <w:rPr>
          <w:rFonts w:eastAsiaTheme="minorEastAsia"/>
          <w:color w:val="000000" w:themeColor="text1"/>
          <w:lang w:eastAsia="en-US"/>
        </w:rPr>
      </w:pPr>
    </w:p>
    <w:p w14:paraId="20086F19" w14:textId="05444FD8" w:rsidR="0014455D" w:rsidRPr="001F15B7" w:rsidRDefault="0014455D" w:rsidP="00534006">
      <w:pPr>
        <w:ind w:firstLine="567"/>
      </w:pPr>
      <w:r w:rsidRPr="001F15B7">
        <w:rPr>
          <w:rFonts w:eastAsiaTheme="minorEastAsia"/>
          <w:color w:val="000000" w:themeColor="text1"/>
          <w:lang w:eastAsia="en-US"/>
        </w:rPr>
        <w:t xml:space="preserve">Відповідно до статей </w:t>
      </w:r>
      <w:r w:rsidRPr="001F15B7">
        <w:rPr>
          <w:rFonts w:eastAsiaTheme="minorEastAsia"/>
          <w:color w:val="000000" w:themeColor="text1"/>
          <w:shd w:val="clear" w:color="auto" w:fill="FFFFFF" w:themeFill="background1"/>
          <w:lang w:eastAsia="en-US"/>
        </w:rPr>
        <w:t>7, 15, 55, 56, 58 Закону України “Про Національний банк України”</w:t>
      </w:r>
      <w:r w:rsidRPr="001F15B7">
        <w:rPr>
          <w:shd w:val="clear" w:color="auto" w:fill="FFFFFF" w:themeFill="background1"/>
        </w:rPr>
        <w:t xml:space="preserve">, статей </w:t>
      </w:r>
      <w:r w:rsidR="007949E9" w:rsidRPr="001F15B7">
        <w:rPr>
          <w:shd w:val="clear" w:color="auto" w:fill="FFFFFF" w:themeFill="background1"/>
        </w:rPr>
        <w:t xml:space="preserve">9, </w:t>
      </w:r>
      <w:r w:rsidRPr="001F15B7">
        <w:rPr>
          <w:shd w:val="clear" w:color="auto" w:fill="FFFFFF" w:themeFill="background1"/>
        </w:rPr>
        <w:t>66, 67, 69, 73</w:t>
      </w:r>
      <w:r w:rsidRPr="001F15B7">
        <w:t xml:space="preserve"> Закону України “Про банки і банківську діяльність”, пункту 10 розділу II Закону України від 30 червня 2021 року </w:t>
      </w:r>
      <w:r w:rsidR="00217F71">
        <w:br/>
      </w:r>
      <w:r w:rsidRPr="00217F71">
        <w:t>№ 1587-IX “Про внесення змін до деяких законодавчих актів України щодо вдосконалення питань організації корпоративного управління в банках та і</w:t>
      </w:r>
      <w:r w:rsidRPr="001F15B7">
        <w:t>нших питань функціонування банківської системи”,</w:t>
      </w:r>
      <w:r w:rsidR="00964881" w:rsidRPr="001F15B7">
        <w:t xml:space="preserve"> </w:t>
      </w:r>
      <w:r w:rsidR="00F00228" w:rsidRPr="001F15B7">
        <w:t xml:space="preserve">Директиви Європейського Парламенту і Ради 2013/36/ЄС від 26 червня 2013 року про доступ до діяльності кредитних установ та </w:t>
      </w:r>
      <w:proofErr w:type="spellStart"/>
      <w:r w:rsidR="00F00228" w:rsidRPr="001F15B7">
        <w:t>пруденційний</w:t>
      </w:r>
      <w:proofErr w:type="spellEnd"/>
      <w:r w:rsidR="00F00228" w:rsidRPr="001F15B7">
        <w:t xml:space="preserve"> нагляд за кредитними установами та інвестиційними фірмами, про внесення змін до Директиви 2002/87/ЄС та про скасування директив 2006/48/ЄС і 2006/49/ЄС, </w:t>
      </w:r>
      <w:r w:rsidR="00F00228" w:rsidRPr="001F15B7">
        <w:rPr>
          <w:rStyle w:val="rvts44"/>
          <w:bCs/>
          <w:shd w:val="clear" w:color="auto" w:fill="FFFFFF"/>
        </w:rPr>
        <w:t xml:space="preserve">Директиви Європейського Парламенту і Ради 2002/87/ЄС від 16 грудня 2002 року про додатковий нагляд за кредитними установами, страховими компаніями та інвестиційними фірмами, що належать до фінансового конгломерату, та про внесення змін до директив Ради 73/239/ЄЕС, 79/267/ЄЕС, 92/49/ЄЕС, 92/96/ЄЕС, 93/6/ЄЕС та 93/22/ЄЕС, а також до директив Європейського Парламенту і Ради 98/78/ЄC та 2000/12/ЄС та </w:t>
      </w:r>
      <w:r w:rsidR="00F00228" w:rsidRPr="001F15B7">
        <w:rPr>
          <w:bCs/>
        </w:rPr>
        <w:t>Регламенту Європейського Парламенту і Ради (ЄС) №</w:t>
      </w:r>
      <w:r w:rsidR="005A71B2" w:rsidRPr="001F15B7">
        <w:rPr>
          <w:bCs/>
        </w:rPr>
        <w:t> </w:t>
      </w:r>
      <w:r w:rsidR="00F00228" w:rsidRPr="001F15B7">
        <w:rPr>
          <w:bCs/>
        </w:rPr>
        <w:t>575/2013 від 26 червня 2013 року про пруденційні вимоги для кредитних установ та про внесення змін до Регламенту (ЄС) №</w:t>
      </w:r>
      <w:r w:rsidR="005A71B2" w:rsidRPr="001F15B7">
        <w:rPr>
          <w:bCs/>
        </w:rPr>
        <w:t> </w:t>
      </w:r>
      <w:r w:rsidR="00F00228" w:rsidRPr="001F15B7">
        <w:rPr>
          <w:bCs/>
        </w:rPr>
        <w:t xml:space="preserve">648/2012 </w:t>
      </w:r>
      <w:r w:rsidR="00073BB8" w:rsidRPr="001F15B7">
        <w:rPr>
          <w:bCs/>
        </w:rPr>
        <w:t>[</w:t>
      </w:r>
      <w:r w:rsidR="00F00228" w:rsidRPr="001F15B7">
        <w:rPr>
          <w:bCs/>
        </w:rPr>
        <w:t>зі змінами</w:t>
      </w:r>
      <w:r w:rsidR="00073BB8" w:rsidRPr="001F15B7">
        <w:rPr>
          <w:bCs/>
        </w:rPr>
        <w:t>,</w:t>
      </w:r>
      <w:r w:rsidR="00F00228" w:rsidRPr="001F15B7">
        <w:rPr>
          <w:bCs/>
        </w:rPr>
        <w:t xml:space="preserve"> внесеними Регламентом Європейського Парламенту і Ради (ЄС) 2019/876 від 20 травня 2019 року</w:t>
      </w:r>
      <w:r w:rsidR="00073BB8" w:rsidRPr="001F15B7">
        <w:rPr>
          <w:bCs/>
        </w:rPr>
        <w:t>]</w:t>
      </w:r>
      <w:r w:rsidR="00896666" w:rsidRPr="001F15B7">
        <w:rPr>
          <w:bCs/>
        </w:rPr>
        <w:t>,</w:t>
      </w:r>
      <w:r w:rsidR="00F00228" w:rsidRPr="001F15B7">
        <w:rPr>
          <w:bCs/>
        </w:rPr>
        <w:t xml:space="preserve"> </w:t>
      </w:r>
      <w:r w:rsidR="006D28BB" w:rsidRPr="001F15B7">
        <w:rPr>
          <w:bCs/>
        </w:rPr>
        <w:t xml:space="preserve">з метою </w:t>
      </w:r>
      <w:r w:rsidR="00FA7343" w:rsidRPr="001F15B7">
        <w:rPr>
          <w:bCs/>
        </w:rPr>
        <w:t xml:space="preserve">приведення </w:t>
      </w:r>
      <w:r w:rsidR="006D28BB" w:rsidRPr="001F15B7">
        <w:rPr>
          <w:bCs/>
        </w:rPr>
        <w:t xml:space="preserve">вимог </w:t>
      </w:r>
      <w:r w:rsidR="00126641" w:rsidRPr="001F15B7">
        <w:rPr>
          <w:bCs/>
        </w:rPr>
        <w:t>до банківських груп та/або підгруп банківської груп</w:t>
      </w:r>
      <w:r w:rsidR="007A5AE7" w:rsidRPr="001F15B7">
        <w:rPr>
          <w:bCs/>
        </w:rPr>
        <w:t>и</w:t>
      </w:r>
      <w:r w:rsidR="00126641" w:rsidRPr="001F15B7">
        <w:rPr>
          <w:bCs/>
        </w:rPr>
        <w:t xml:space="preserve"> </w:t>
      </w:r>
      <w:r w:rsidR="004F595A">
        <w:rPr>
          <w:bCs/>
        </w:rPr>
        <w:t>в</w:t>
      </w:r>
      <w:r w:rsidR="00FA7343" w:rsidRPr="001F15B7">
        <w:rPr>
          <w:bCs/>
        </w:rPr>
        <w:t xml:space="preserve"> частині</w:t>
      </w:r>
      <w:r w:rsidR="006D28BB" w:rsidRPr="001F15B7">
        <w:rPr>
          <w:bCs/>
        </w:rPr>
        <w:t xml:space="preserve"> розрахунку капіталу, </w:t>
      </w:r>
      <w:proofErr w:type="spellStart"/>
      <w:r w:rsidR="00FA7343" w:rsidRPr="001F15B7">
        <w:rPr>
          <w:bCs/>
        </w:rPr>
        <w:t>пруденційних</w:t>
      </w:r>
      <w:proofErr w:type="spellEnd"/>
      <w:r w:rsidR="00FA7343" w:rsidRPr="001F15B7">
        <w:rPr>
          <w:bCs/>
        </w:rPr>
        <w:t xml:space="preserve"> нормативів, мінімальних </w:t>
      </w:r>
      <w:r w:rsidR="006D28BB" w:rsidRPr="001F15B7">
        <w:rPr>
          <w:bCs/>
        </w:rPr>
        <w:t>вимог щодо достатності капіталу,</w:t>
      </w:r>
      <w:r w:rsidR="00D239E7" w:rsidRPr="001F15B7">
        <w:rPr>
          <w:bCs/>
        </w:rPr>
        <w:t xml:space="preserve"> </w:t>
      </w:r>
      <w:r w:rsidR="006D28BB" w:rsidRPr="001F15B7">
        <w:rPr>
          <w:bCs/>
        </w:rPr>
        <w:t xml:space="preserve">формування буферів капіталу </w:t>
      </w:r>
      <w:r w:rsidR="00FA7343" w:rsidRPr="001F15B7">
        <w:rPr>
          <w:bCs/>
        </w:rPr>
        <w:t xml:space="preserve">до </w:t>
      </w:r>
      <w:r w:rsidR="00126641" w:rsidRPr="001F15B7">
        <w:rPr>
          <w:bCs/>
        </w:rPr>
        <w:t>вимог європейського законодавства</w:t>
      </w:r>
      <w:r w:rsidRPr="001F15B7">
        <w:t xml:space="preserve"> Правління Національного банку України</w:t>
      </w:r>
      <w:r w:rsidRPr="001F15B7">
        <w:rPr>
          <w:b/>
        </w:rPr>
        <w:t xml:space="preserve"> постановляє</w:t>
      </w:r>
      <w:r w:rsidRPr="001F15B7">
        <w:t>:</w:t>
      </w:r>
    </w:p>
    <w:p w14:paraId="6BB31599" w14:textId="77777777" w:rsidR="00F00228" w:rsidRPr="001F15B7" w:rsidRDefault="00F00228" w:rsidP="00534006">
      <w:pPr>
        <w:pStyle w:val="af3"/>
        <w:ind w:left="0" w:firstLine="567"/>
        <w:rPr>
          <w:rFonts w:eastAsiaTheme="minorEastAsia"/>
          <w:noProof/>
          <w:lang w:eastAsia="en-US"/>
        </w:rPr>
      </w:pPr>
    </w:p>
    <w:p w14:paraId="31464F8B" w14:textId="5A69AD96" w:rsidR="005B556F" w:rsidRPr="001F15B7" w:rsidRDefault="005B556F" w:rsidP="00534006">
      <w:pPr>
        <w:pStyle w:val="af3"/>
        <w:ind w:left="0" w:firstLine="567"/>
        <w:rPr>
          <w:rFonts w:eastAsiaTheme="minorEastAsia"/>
          <w:noProof/>
          <w:lang w:eastAsia="en-US"/>
        </w:rPr>
      </w:pPr>
      <w:r w:rsidRPr="001F15B7">
        <w:rPr>
          <w:rFonts w:eastAsiaTheme="minorEastAsia"/>
          <w:noProof/>
          <w:lang w:eastAsia="en-US"/>
        </w:rPr>
        <w:t>1</w:t>
      </w:r>
      <w:r w:rsidR="0014455D" w:rsidRPr="001F15B7">
        <w:rPr>
          <w:rFonts w:eastAsiaTheme="minorEastAsia"/>
          <w:noProof/>
          <w:lang w:eastAsia="en-US"/>
        </w:rPr>
        <w:t>. Затвердити Зміни до</w:t>
      </w:r>
      <w:r w:rsidRPr="001F15B7">
        <w:rPr>
          <w:rFonts w:eastAsiaTheme="minorEastAsia"/>
          <w:noProof/>
          <w:lang w:eastAsia="en-US"/>
        </w:rPr>
        <w:t>:</w:t>
      </w:r>
    </w:p>
    <w:p w14:paraId="59CB76EC" w14:textId="77777777" w:rsidR="005B556F" w:rsidRPr="001F15B7" w:rsidRDefault="005B556F" w:rsidP="00534006">
      <w:pPr>
        <w:pStyle w:val="af3"/>
        <w:ind w:left="0" w:firstLine="567"/>
        <w:rPr>
          <w:rFonts w:eastAsiaTheme="minorEastAsia"/>
          <w:noProof/>
          <w:lang w:eastAsia="en-US"/>
        </w:rPr>
      </w:pPr>
    </w:p>
    <w:p w14:paraId="15FEA1DD" w14:textId="28B7B968" w:rsidR="005B556F" w:rsidRPr="001F15B7" w:rsidRDefault="005B556F" w:rsidP="00534006">
      <w:pPr>
        <w:pStyle w:val="af3"/>
        <w:ind w:left="0" w:firstLine="567"/>
        <w:rPr>
          <w:color w:val="000000" w:themeColor="text1"/>
          <w:shd w:val="clear" w:color="auto" w:fill="FFFFFF"/>
        </w:rPr>
      </w:pPr>
      <w:r w:rsidRPr="001F15B7">
        <w:rPr>
          <w:rFonts w:eastAsiaTheme="minorEastAsia"/>
          <w:noProof/>
          <w:lang w:eastAsia="en-US"/>
        </w:rPr>
        <w:t xml:space="preserve">1) </w:t>
      </w:r>
      <w:r w:rsidRPr="001F15B7">
        <w:rPr>
          <w:color w:val="000000" w:themeColor="text1"/>
          <w:shd w:val="clear" w:color="auto" w:fill="FFFFFF"/>
        </w:rPr>
        <w:t>Положення про порядок ідентифікації та визнання банківських груп, затвердженого постановою Правління Національного банку України від 09</w:t>
      </w:r>
      <w:r w:rsidR="00217F71">
        <w:rPr>
          <w:color w:val="000000" w:themeColor="text1"/>
          <w:shd w:val="clear" w:color="auto" w:fill="FFFFFF"/>
        </w:rPr>
        <w:t> </w:t>
      </w:r>
      <w:r w:rsidRPr="00217F71">
        <w:rPr>
          <w:color w:val="000000" w:themeColor="text1"/>
          <w:shd w:val="clear" w:color="auto" w:fill="FFFFFF"/>
        </w:rPr>
        <w:t>квітня 2012 року № 134, зареєстрованого в Міністерстві юстиції України 28</w:t>
      </w:r>
      <w:r w:rsidRPr="001F15B7">
        <w:rPr>
          <w:color w:val="000000" w:themeColor="text1"/>
          <w:shd w:val="clear" w:color="auto" w:fill="FFFFFF"/>
        </w:rPr>
        <w:t> квітня 2012 року за № 708/21021 (зі змінами), що додаються;</w:t>
      </w:r>
    </w:p>
    <w:p w14:paraId="07BDB580" w14:textId="77777777" w:rsidR="005B556F" w:rsidRPr="001F15B7" w:rsidRDefault="005B556F" w:rsidP="00534006">
      <w:pPr>
        <w:pStyle w:val="af3"/>
        <w:ind w:left="0" w:firstLine="567"/>
        <w:rPr>
          <w:rFonts w:eastAsiaTheme="minorEastAsia"/>
          <w:noProof/>
          <w:lang w:eastAsia="en-US"/>
        </w:rPr>
      </w:pPr>
    </w:p>
    <w:p w14:paraId="1437BE00" w14:textId="0838598B" w:rsidR="0014455D" w:rsidRPr="001F15B7" w:rsidRDefault="005B556F" w:rsidP="00534006">
      <w:pPr>
        <w:pStyle w:val="af3"/>
        <w:ind w:left="0" w:firstLine="567"/>
        <w:rPr>
          <w:rFonts w:eastAsiaTheme="minorEastAsia"/>
          <w:noProof/>
          <w:lang w:eastAsia="en-US"/>
        </w:rPr>
      </w:pPr>
      <w:r w:rsidRPr="001F15B7">
        <w:rPr>
          <w:rFonts w:eastAsiaTheme="minorEastAsia"/>
          <w:noProof/>
          <w:lang w:eastAsia="en-US"/>
        </w:rPr>
        <w:t>2)</w:t>
      </w:r>
      <w:r w:rsidR="007949E9" w:rsidRPr="001F15B7">
        <w:rPr>
          <w:rFonts w:eastAsiaTheme="minorEastAsia"/>
          <w:noProof/>
          <w:lang w:eastAsia="en-US"/>
        </w:rPr>
        <w:t xml:space="preserve"> </w:t>
      </w:r>
      <w:r w:rsidR="007949E9" w:rsidRPr="001F15B7">
        <w:rPr>
          <w:rFonts w:eastAsiaTheme="minorEastAsia"/>
          <w:color w:val="000000" w:themeColor="text1"/>
          <w:lang w:eastAsia="en-US"/>
        </w:rPr>
        <w:t xml:space="preserve">Положення про порядок регулювання діяльності банківських груп, </w:t>
      </w:r>
      <w:r w:rsidR="0014455D" w:rsidRPr="001F15B7">
        <w:rPr>
          <w:rFonts w:eastAsiaTheme="minorEastAsia"/>
          <w:noProof/>
          <w:lang w:eastAsia="en-US"/>
        </w:rPr>
        <w:t>затверджено</w:t>
      </w:r>
      <w:r w:rsidR="00DD1566" w:rsidRPr="001F15B7">
        <w:rPr>
          <w:rFonts w:eastAsiaTheme="minorEastAsia"/>
          <w:noProof/>
          <w:lang w:eastAsia="en-US"/>
        </w:rPr>
        <w:t>го</w:t>
      </w:r>
      <w:r w:rsidR="0014455D" w:rsidRPr="001F15B7">
        <w:rPr>
          <w:rFonts w:eastAsiaTheme="minorEastAsia"/>
          <w:noProof/>
          <w:lang w:eastAsia="en-US"/>
        </w:rPr>
        <w:t xml:space="preserve"> постановою Правління </w:t>
      </w:r>
      <w:r w:rsidR="007949E9" w:rsidRPr="001F15B7">
        <w:rPr>
          <w:rFonts w:eastAsiaTheme="minorEastAsia"/>
          <w:noProof/>
          <w:lang w:eastAsia="en-US"/>
        </w:rPr>
        <w:t xml:space="preserve">Національного банку України від </w:t>
      </w:r>
      <w:r w:rsidR="0014455D" w:rsidRPr="001F15B7">
        <w:rPr>
          <w:rFonts w:eastAsiaTheme="minorEastAsia"/>
          <w:noProof/>
          <w:lang w:eastAsia="en-US"/>
        </w:rPr>
        <w:t>2</w:t>
      </w:r>
      <w:r w:rsidR="007949E9" w:rsidRPr="001F15B7">
        <w:rPr>
          <w:rFonts w:eastAsiaTheme="minorEastAsia"/>
          <w:noProof/>
          <w:lang w:eastAsia="en-US"/>
        </w:rPr>
        <w:t>0</w:t>
      </w:r>
      <w:r w:rsidR="0014455D" w:rsidRPr="001F15B7">
        <w:rPr>
          <w:rFonts w:eastAsiaTheme="minorEastAsia"/>
          <w:noProof/>
          <w:lang w:eastAsia="en-US"/>
        </w:rPr>
        <w:t> </w:t>
      </w:r>
      <w:r w:rsidR="007949E9" w:rsidRPr="001F15B7">
        <w:rPr>
          <w:rFonts w:eastAsiaTheme="minorEastAsia"/>
          <w:noProof/>
          <w:lang w:eastAsia="en-US"/>
        </w:rPr>
        <w:t>червня</w:t>
      </w:r>
      <w:r w:rsidR="0014455D" w:rsidRPr="001F15B7">
        <w:rPr>
          <w:rFonts w:eastAsiaTheme="minorEastAsia"/>
          <w:noProof/>
          <w:lang w:eastAsia="en-US"/>
        </w:rPr>
        <w:t> 201</w:t>
      </w:r>
      <w:r w:rsidR="007949E9" w:rsidRPr="001F15B7">
        <w:rPr>
          <w:rFonts w:eastAsiaTheme="minorEastAsia"/>
          <w:noProof/>
          <w:lang w:eastAsia="en-US"/>
        </w:rPr>
        <w:t>2</w:t>
      </w:r>
      <w:r w:rsidR="0014455D" w:rsidRPr="001F15B7">
        <w:rPr>
          <w:rFonts w:eastAsiaTheme="minorEastAsia"/>
          <w:noProof/>
          <w:lang w:eastAsia="en-US"/>
        </w:rPr>
        <w:t xml:space="preserve"> року № </w:t>
      </w:r>
      <w:r w:rsidR="007949E9" w:rsidRPr="001F15B7">
        <w:rPr>
          <w:rFonts w:eastAsiaTheme="minorEastAsia"/>
          <w:noProof/>
          <w:lang w:eastAsia="en-US"/>
        </w:rPr>
        <w:t>254</w:t>
      </w:r>
      <w:r w:rsidR="0014455D" w:rsidRPr="001F15B7">
        <w:rPr>
          <w:rFonts w:eastAsiaTheme="minorEastAsia"/>
          <w:noProof/>
          <w:lang w:eastAsia="en-US"/>
        </w:rPr>
        <w:t>, зареєстровано</w:t>
      </w:r>
      <w:r w:rsidR="007949E9" w:rsidRPr="001F15B7">
        <w:rPr>
          <w:rFonts w:eastAsiaTheme="minorEastAsia"/>
          <w:noProof/>
          <w:lang w:eastAsia="en-US"/>
        </w:rPr>
        <w:t>го</w:t>
      </w:r>
      <w:r w:rsidR="0014455D" w:rsidRPr="001F15B7">
        <w:rPr>
          <w:rFonts w:eastAsiaTheme="minorEastAsia"/>
          <w:noProof/>
          <w:lang w:eastAsia="en-US"/>
        </w:rPr>
        <w:t xml:space="preserve"> в Міністерстві юстиції України </w:t>
      </w:r>
      <w:r w:rsidR="007949E9" w:rsidRPr="001F15B7">
        <w:rPr>
          <w:rFonts w:eastAsiaTheme="minorEastAsia"/>
          <w:noProof/>
          <w:lang w:eastAsia="en-US"/>
        </w:rPr>
        <w:t>1</w:t>
      </w:r>
      <w:r w:rsidR="0014455D" w:rsidRPr="001F15B7">
        <w:rPr>
          <w:rFonts w:eastAsiaTheme="minorEastAsia"/>
          <w:noProof/>
          <w:lang w:eastAsia="en-US"/>
        </w:rPr>
        <w:t>2 </w:t>
      </w:r>
      <w:r w:rsidR="007949E9" w:rsidRPr="001F15B7">
        <w:rPr>
          <w:rFonts w:eastAsiaTheme="minorEastAsia"/>
          <w:noProof/>
          <w:lang w:eastAsia="en-US"/>
        </w:rPr>
        <w:t>липня</w:t>
      </w:r>
      <w:r w:rsidR="0014455D" w:rsidRPr="001F15B7">
        <w:rPr>
          <w:rFonts w:eastAsiaTheme="minorEastAsia"/>
          <w:noProof/>
          <w:lang w:eastAsia="en-US"/>
        </w:rPr>
        <w:t xml:space="preserve"> 201</w:t>
      </w:r>
      <w:r w:rsidR="007949E9" w:rsidRPr="001F15B7">
        <w:rPr>
          <w:rFonts w:eastAsiaTheme="minorEastAsia"/>
          <w:noProof/>
          <w:lang w:eastAsia="en-US"/>
        </w:rPr>
        <w:t>2</w:t>
      </w:r>
      <w:r w:rsidR="0014455D" w:rsidRPr="001F15B7">
        <w:rPr>
          <w:rFonts w:eastAsiaTheme="minorEastAsia"/>
          <w:noProof/>
          <w:lang w:eastAsia="en-US"/>
        </w:rPr>
        <w:t xml:space="preserve"> року за № </w:t>
      </w:r>
      <w:r w:rsidR="007949E9" w:rsidRPr="001F15B7">
        <w:rPr>
          <w:rFonts w:eastAsiaTheme="minorEastAsia"/>
          <w:noProof/>
          <w:lang w:eastAsia="en-US"/>
        </w:rPr>
        <w:t>1178</w:t>
      </w:r>
      <w:r w:rsidR="0014455D" w:rsidRPr="001F15B7">
        <w:rPr>
          <w:rFonts w:eastAsiaTheme="minorEastAsia"/>
          <w:noProof/>
          <w:lang w:eastAsia="en-US"/>
        </w:rPr>
        <w:t>/</w:t>
      </w:r>
      <w:r w:rsidR="007949E9" w:rsidRPr="001F15B7">
        <w:rPr>
          <w:rFonts w:eastAsiaTheme="minorEastAsia"/>
          <w:noProof/>
          <w:lang w:eastAsia="en-US"/>
        </w:rPr>
        <w:t>21490</w:t>
      </w:r>
      <w:r w:rsidR="0014455D" w:rsidRPr="001F15B7">
        <w:rPr>
          <w:rFonts w:eastAsiaTheme="minorEastAsia"/>
          <w:noProof/>
          <w:lang w:eastAsia="en-US"/>
        </w:rPr>
        <w:t xml:space="preserve"> (зі змінами) (далі – </w:t>
      </w:r>
      <w:r w:rsidR="0093111F" w:rsidRPr="001F15B7">
        <w:rPr>
          <w:rFonts w:eastAsiaTheme="minorEastAsia"/>
          <w:noProof/>
          <w:lang w:eastAsia="en-US"/>
        </w:rPr>
        <w:t>Зміни</w:t>
      </w:r>
      <w:r w:rsidR="0014455D" w:rsidRPr="001F15B7">
        <w:rPr>
          <w:rFonts w:eastAsiaTheme="minorEastAsia"/>
          <w:noProof/>
          <w:lang w:eastAsia="en-US"/>
        </w:rPr>
        <w:t>), що додаються</w:t>
      </w:r>
      <w:r w:rsidR="00C35F8F" w:rsidRPr="001F15B7">
        <w:rPr>
          <w:rFonts w:eastAsiaTheme="minorEastAsia"/>
          <w:noProof/>
          <w:lang w:eastAsia="en-US"/>
        </w:rPr>
        <w:t>.</w:t>
      </w:r>
    </w:p>
    <w:p w14:paraId="3980CD8F" w14:textId="77777777" w:rsidR="0014455D" w:rsidRPr="001F15B7" w:rsidRDefault="0014455D" w:rsidP="00534006">
      <w:pPr>
        <w:ind w:firstLine="567"/>
        <w:rPr>
          <w:rFonts w:eastAsiaTheme="minorEastAsia"/>
          <w:noProof/>
          <w:lang w:eastAsia="en-US"/>
        </w:rPr>
      </w:pPr>
    </w:p>
    <w:p w14:paraId="1D5AAC56" w14:textId="37CAAF8F" w:rsidR="00C35F8F" w:rsidRPr="001F15B7" w:rsidRDefault="005B556F" w:rsidP="00534006">
      <w:pPr>
        <w:ind w:firstLine="567"/>
        <w:contextualSpacing/>
        <w:rPr>
          <w:shd w:val="clear" w:color="auto" w:fill="FFFFFF"/>
        </w:rPr>
      </w:pPr>
      <w:r w:rsidRPr="001F15B7">
        <w:rPr>
          <w:noProof/>
        </w:rPr>
        <w:t>2</w:t>
      </w:r>
      <w:r w:rsidR="00C35F8F" w:rsidRPr="001F15B7">
        <w:rPr>
          <w:noProof/>
        </w:rPr>
        <w:t>. Відповідальним особам банкі</w:t>
      </w:r>
      <w:r w:rsidR="00665372" w:rsidRPr="001F15B7">
        <w:rPr>
          <w:noProof/>
        </w:rPr>
        <w:t>в</w:t>
      </w:r>
      <w:r w:rsidR="00C35F8F" w:rsidRPr="001F15B7">
        <w:rPr>
          <w:noProof/>
        </w:rPr>
        <w:t>ських груп (далі – відповідальні особи)</w:t>
      </w:r>
      <w:r w:rsidR="00C35F8F" w:rsidRPr="001F15B7">
        <w:rPr>
          <w:shd w:val="clear" w:color="auto" w:fill="FFFFFF"/>
        </w:rPr>
        <w:t>:</w:t>
      </w:r>
    </w:p>
    <w:p w14:paraId="3A921A5C" w14:textId="77777777" w:rsidR="00C35F8F" w:rsidRPr="001F15B7" w:rsidRDefault="00C35F8F" w:rsidP="00534006">
      <w:pPr>
        <w:ind w:firstLine="567"/>
      </w:pPr>
    </w:p>
    <w:p w14:paraId="29AD4831" w14:textId="2290DC66" w:rsidR="00C35F8F" w:rsidRPr="001F15B7" w:rsidRDefault="00C35F8F" w:rsidP="00534006">
      <w:pPr>
        <w:ind w:firstLine="567"/>
        <w:rPr>
          <w:shd w:val="clear" w:color="auto" w:fill="FFFFFF"/>
        </w:rPr>
      </w:pPr>
      <w:r w:rsidRPr="001F15B7">
        <w:rPr>
          <w:shd w:val="clear" w:color="auto" w:fill="FFFFFF"/>
        </w:rPr>
        <w:t xml:space="preserve">1) розробити, затвердити та запровадити </w:t>
      </w:r>
      <w:r w:rsidR="00E238D6" w:rsidRPr="001F15B7">
        <w:rPr>
          <w:shd w:val="clear" w:color="auto" w:fill="FFFFFF"/>
        </w:rPr>
        <w:t>до 01</w:t>
      </w:r>
      <w:r w:rsidR="005A71B2" w:rsidRPr="001F15B7">
        <w:rPr>
          <w:shd w:val="clear" w:color="auto" w:fill="FFFFFF"/>
        </w:rPr>
        <w:t> </w:t>
      </w:r>
      <w:r w:rsidR="00E238D6" w:rsidRPr="001F15B7">
        <w:rPr>
          <w:shd w:val="clear" w:color="auto" w:fill="FFFFFF"/>
        </w:rPr>
        <w:t xml:space="preserve">жовтня 2024 року </w:t>
      </w:r>
      <w:proofErr w:type="spellStart"/>
      <w:r w:rsidRPr="001F15B7">
        <w:rPr>
          <w:shd w:val="clear" w:color="auto" w:fill="FFFFFF"/>
        </w:rPr>
        <w:t>внутрішн</w:t>
      </w:r>
      <w:r w:rsidR="00082608" w:rsidRPr="001F15B7">
        <w:rPr>
          <w:shd w:val="clear" w:color="auto" w:fill="FFFFFF"/>
        </w:rPr>
        <w:t>ьогрупові</w:t>
      </w:r>
      <w:proofErr w:type="spellEnd"/>
      <w:r w:rsidR="00082608" w:rsidRPr="001F15B7">
        <w:rPr>
          <w:shd w:val="clear" w:color="auto" w:fill="FFFFFF"/>
        </w:rPr>
        <w:t xml:space="preserve"> документи щ</w:t>
      </w:r>
      <w:r w:rsidRPr="001F15B7">
        <w:rPr>
          <w:shd w:val="clear" w:color="auto" w:fill="FFFFFF"/>
        </w:rPr>
        <w:t xml:space="preserve">одо визначення розміру регулятивного капіталу та розрахунку </w:t>
      </w:r>
      <w:r w:rsidR="0036393B" w:rsidRPr="001F15B7">
        <w:rPr>
          <w:shd w:val="clear" w:color="auto" w:fill="FFFFFF"/>
        </w:rPr>
        <w:t xml:space="preserve">достатності регулятивного капіталу, </w:t>
      </w:r>
      <w:proofErr w:type="spellStart"/>
      <w:r w:rsidRPr="001F15B7">
        <w:rPr>
          <w:shd w:val="clear" w:color="auto" w:fill="FFFFFF"/>
        </w:rPr>
        <w:t>пруденційних</w:t>
      </w:r>
      <w:proofErr w:type="spellEnd"/>
      <w:r w:rsidRPr="001F15B7">
        <w:rPr>
          <w:shd w:val="clear" w:color="auto" w:fill="FFFFFF"/>
        </w:rPr>
        <w:t xml:space="preserve"> нормативів банківської групи, підгруп банківської групи згідно з вимогами Положення </w:t>
      </w:r>
      <w:r w:rsidR="0093111F" w:rsidRPr="001F15B7">
        <w:rPr>
          <w:rFonts w:eastAsiaTheme="minorEastAsia"/>
          <w:color w:val="000000" w:themeColor="text1"/>
          <w:lang w:eastAsia="en-US"/>
        </w:rPr>
        <w:t xml:space="preserve">про порядок регулювання діяльності банківських груп, </w:t>
      </w:r>
      <w:r w:rsidR="0093111F" w:rsidRPr="001F15B7">
        <w:rPr>
          <w:rFonts w:eastAsiaTheme="minorEastAsia"/>
          <w:noProof/>
          <w:lang w:eastAsia="en-US"/>
        </w:rPr>
        <w:t>затвердженого постановою Правління Національного банку України від 20 червня</w:t>
      </w:r>
      <w:r w:rsidR="005A71B2" w:rsidRPr="001F15B7">
        <w:rPr>
          <w:rFonts w:eastAsiaTheme="minorEastAsia"/>
          <w:noProof/>
          <w:lang w:eastAsia="en-US"/>
        </w:rPr>
        <w:t xml:space="preserve"> </w:t>
      </w:r>
      <w:r w:rsidR="0093111F" w:rsidRPr="001F15B7">
        <w:rPr>
          <w:rFonts w:eastAsiaTheme="minorEastAsia"/>
          <w:noProof/>
          <w:lang w:eastAsia="en-US"/>
        </w:rPr>
        <w:t>2012 року № 254, зареєстрованого в Міністерстві юстиції України 12 липня</w:t>
      </w:r>
      <w:r w:rsidR="005A71B2" w:rsidRPr="001F15B7">
        <w:rPr>
          <w:rFonts w:eastAsiaTheme="minorEastAsia"/>
          <w:noProof/>
          <w:lang w:eastAsia="en-US"/>
        </w:rPr>
        <w:t xml:space="preserve"> </w:t>
      </w:r>
      <w:r w:rsidR="0093111F" w:rsidRPr="001F15B7">
        <w:rPr>
          <w:rFonts w:eastAsiaTheme="minorEastAsia"/>
          <w:noProof/>
          <w:lang w:eastAsia="en-US"/>
        </w:rPr>
        <w:t xml:space="preserve">2012 року за № 1178/21490 (зі змінами) </w:t>
      </w:r>
      <w:r w:rsidR="00B8608E" w:rsidRPr="001F15B7">
        <w:rPr>
          <w:rFonts w:eastAsiaTheme="minorEastAsia"/>
          <w:noProof/>
          <w:lang w:eastAsia="en-US"/>
        </w:rPr>
        <w:t xml:space="preserve">(далі – Положення </w:t>
      </w:r>
      <w:r w:rsidRPr="001F15B7">
        <w:rPr>
          <w:shd w:val="clear" w:color="auto" w:fill="FFFFFF"/>
        </w:rPr>
        <w:t>№ 254</w:t>
      </w:r>
      <w:r w:rsidR="00B8608E" w:rsidRPr="001F15B7">
        <w:rPr>
          <w:shd w:val="clear" w:color="auto" w:fill="FFFFFF"/>
        </w:rPr>
        <w:t>)</w:t>
      </w:r>
      <w:r w:rsidR="006F040C" w:rsidRPr="001F15B7">
        <w:rPr>
          <w:shd w:val="clear" w:color="auto" w:fill="FFFFFF"/>
        </w:rPr>
        <w:t>,</w:t>
      </w:r>
      <w:r w:rsidRPr="001F15B7">
        <w:rPr>
          <w:shd w:val="clear" w:color="auto" w:fill="FFFFFF"/>
        </w:rPr>
        <w:t xml:space="preserve"> з урахуванням </w:t>
      </w:r>
      <w:r w:rsidR="00B8608E" w:rsidRPr="001F15B7">
        <w:rPr>
          <w:shd w:val="clear" w:color="auto" w:fill="FFFFFF"/>
        </w:rPr>
        <w:t>З</w:t>
      </w:r>
      <w:r w:rsidRPr="001F15B7">
        <w:rPr>
          <w:shd w:val="clear" w:color="auto" w:fill="FFFFFF"/>
        </w:rPr>
        <w:t>мін</w:t>
      </w:r>
      <w:r w:rsidR="00D239E7" w:rsidRPr="001F15B7">
        <w:rPr>
          <w:shd w:val="clear" w:color="auto" w:fill="FFFFFF"/>
        </w:rPr>
        <w:t>;</w:t>
      </w:r>
    </w:p>
    <w:p w14:paraId="4A5C694F" w14:textId="77777777" w:rsidR="00B8608E" w:rsidRPr="001F15B7" w:rsidRDefault="00B8608E" w:rsidP="00534006">
      <w:pPr>
        <w:ind w:firstLine="567"/>
        <w:rPr>
          <w:shd w:val="clear" w:color="auto" w:fill="FFFFFF"/>
        </w:rPr>
      </w:pPr>
    </w:p>
    <w:p w14:paraId="4E336E8E" w14:textId="53132F81" w:rsidR="00DD1566" w:rsidRPr="001F15B7" w:rsidRDefault="00DD1566" w:rsidP="00534006">
      <w:pPr>
        <w:pStyle w:val="rvps2"/>
        <w:shd w:val="clear" w:color="auto" w:fill="FFFFFF"/>
        <w:spacing w:before="0" w:beforeAutospacing="0" w:after="0" w:afterAutospacing="0"/>
        <w:ind w:firstLine="567"/>
        <w:jc w:val="both"/>
        <w:rPr>
          <w:sz w:val="28"/>
          <w:szCs w:val="28"/>
          <w:lang w:val="uk-UA"/>
        </w:rPr>
      </w:pPr>
      <w:r w:rsidRPr="001F15B7">
        <w:rPr>
          <w:sz w:val="28"/>
          <w:szCs w:val="28"/>
          <w:lang w:val="uk-UA"/>
        </w:rPr>
        <w:t>2</w:t>
      </w:r>
      <w:r w:rsidR="00C35F8F" w:rsidRPr="001F15B7">
        <w:rPr>
          <w:sz w:val="28"/>
          <w:szCs w:val="28"/>
          <w:lang w:val="uk-UA"/>
        </w:rPr>
        <w:t>) починаючи зі звітності станом на 01</w:t>
      </w:r>
      <w:r w:rsidR="005A71B2" w:rsidRPr="001F15B7">
        <w:rPr>
          <w:sz w:val="28"/>
          <w:szCs w:val="28"/>
          <w:lang w:val="uk-UA"/>
        </w:rPr>
        <w:t> </w:t>
      </w:r>
      <w:r w:rsidR="00C35F8F" w:rsidRPr="001F15B7">
        <w:rPr>
          <w:sz w:val="28"/>
          <w:szCs w:val="28"/>
          <w:lang w:val="uk-UA"/>
        </w:rPr>
        <w:t>жовтня 2024 року</w:t>
      </w:r>
      <w:r w:rsidR="00217F71">
        <w:rPr>
          <w:sz w:val="28"/>
          <w:szCs w:val="28"/>
          <w:lang w:val="uk-UA"/>
        </w:rPr>
        <w:t xml:space="preserve"> </w:t>
      </w:r>
      <w:r w:rsidRPr="00217F71">
        <w:rPr>
          <w:sz w:val="28"/>
          <w:szCs w:val="28"/>
          <w:lang w:val="uk-UA"/>
        </w:rPr>
        <w:t>здійснювати розрахунок регулятивного капіталу,</w:t>
      </w:r>
      <w:r w:rsidR="0036393B" w:rsidRPr="001F15B7">
        <w:rPr>
          <w:sz w:val="28"/>
          <w:szCs w:val="28"/>
          <w:lang w:val="uk-UA"/>
        </w:rPr>
        <w:t xml:space="preserve"> достатності регулятивного капіталу,</w:t>
      </w:r>
      <w:r w:rsidRPr="001F15B7">
        <w:rPr>
          <w:sz w:val="28"/>
          <w:szCs w:val="28"/>
          <w:lang w:val="uk-UA"/>
        </w:rPr>
        <w:t xml:space="preserve"> </w:t>
      </w:r>
      <w:proofErr w:type="spellStart"/>
      <w:r w:rsidRPr="001F15B7">
        <w:rPr>
          <w:sz w:val="28"/>
          <w:szCs w:val="28"/>
          <w:lang w:val="uk-UA"/>
        </w:rPr>
        <w:t>пруденційних</w:t>
      </w:r>
      <w:proofErr w:type="spellEnd"/>
      <w:r w:rsidRPr="001F15B7">
        <w:rPr>
          <w:sz w:val="28"/>
          <w:szCs w:val="28"/>
          <w:lang w:val="uk-UA"/>
        </w:rPr>
        <w:t xml:space="preserve"> нормативів відповідно до Положення №</w:t>
      </w:r>
      <w:r w:rsidR="0036393B" w:rsidRPr="001F15B7">
        <w:rPr>
          <w:sz w:val="28"/>
          <w:szCs w:val="28"/>
          <w:lang w:val="uk-UA"/>
        </w:rPr>
        <w:t> </w:t>
      </w:r>
      <w:r w:rsidRPr="001F15B7">
        <w:rPr>
          <w:sz w:val="28"/>
          <w:szCs w:val="28"/>
          <w:lang w:val="uk-UA"/>
        </w:rPr>
        <w:t xml:space="preserve">254 з урахуванням </w:t>
      </w:r>
      <w:r w:rsidR="00B8608E" w:rsidRPr="001F15B7">
        <w:rPr>
          <w:sz w:val="28"/>
          <w:szCs w:val="28"/>
          <w:lang w:val="uk-UA"/>
        </w:rPr>
        <w:t>З</w:t>
      </w:r>
      <w:r w:rsidRPr="001F15B7">
        <w:rPr>
          <w:sz w:val="28"/>
          <w:szCs w:val="28"/>
          <w:lang w:val="uk-UA"/>
        </w:rPr>
        <w:t>мін</w:t>
      </w:r>
      <w:r w:rsidR="00B8608E" w:rsidRPr="001F15B7">
        <w:rPr>
          <w:sz w:val="28"/>
          <w:szCs w:val="28"/>
          <w:lang w:val="uk-UA"/>
        </w:rPr>
        <w:t>;</w:t>
      </w:r>
      <w:r w:rsidRPr="001F15B7">
        <w:rPr>
          <w:sz w:val="28"/>
          <w:szCs w:val="28"/>
          <w:lang w:val="uk-UA"/>
        </w:rPr>
        <w:t xml:space="preserve"> </w:t>
      </w:r>
    </w:p>
    <w:p w14:paraId="4C9917F2" w14:textId="77777777" w:rsidR="005B556F" w:rsidRPr="001F15B7" w:rsidRDefault="005B556F" w:rsidP="00534006">
      <w:pPr>
        <w:pStyle w:val="rvps2"/>
        <w:shd w:val="clear" w:color="auto" w:fill="FFFFFF"/>
        <w:spacing w:before="0" w:beforeAutospacing="0" w:after="0" w:afterAutospacing="0"/>
        <w:ind w:firstLine="567"/>
        <w:jc w:val="both"/>
        <w:rPr>
          <w:sz w:val="28"/>
          <w:szCs w:val="28"/>
          <w:lang w:val="uk-UA"/>
        </w:rPr>
      </w:pPr>
    </w:p>
    <w:p w14:paraId="262511E2" w14:textId="4F0D72FB" w:rsidR="00C35F8F" w:rsidRPr="001F15B7" w:rsidRDefault="005B556F" w:rsidP="00534006">
      <w:pPr>
        <w:pStyle w:val="rvps2"/>
        <w:shd w:val="clear" w:color="auto" w:fill="FFFFFF"/>
        <w:spacing w:before="0" w:beforeAutospacing="0" w:after="0" w:afterAutospacing="0"/>
        <w:ind w:firstLine="567"/>
        <w:jc w:val="both"/>
        <w:rPr>
          <w:noProof/>
          <w:sz w:val="28"/>
          <w:szCs w:val="28"/>
          <w:lang w:val="uk-UA"/>
        </w:rPr>
      </w:pPr>
      <w:r w:rsidRPr="001F15B7">
        <w:rPr>
          <w:sz w:val="28"/>
          <w:szCs w:val="28"/>
          <w:lang w:val="uk-UA"/>
        </w:rPr>
        <w:t xml:space="preserve">3) </w:t>
      </w:r>
      <w:r w:rsidR="00C35F8F" w:rsidRPr="001F15B7">
        <w:rPr>
          <w:sz w:val="28"/>
          <w:szCs w:val="28"/>
          <w:lang w:val="uk-UA"/>
        </w:rPr>
        <w:t xml:space="preserve">подати дані </w:t>
      </w:r>
      <w:r w:rsidR="006F040C" w:rsidRPr="001F15B7">
        <w:rPr>
          <w:sz w:val="28"/>
          <w:szCs w:val="28"/>
          <w:lang w:val="uk-UA"/>
        </w:rPr>
        <w:t xml:space="preserve">про </w:t>
      </w:r>
      <w:r w:rsidR="00C35F8F" w:rsidRPr="001F15B7">
        <w:rPr>
          <w:sz w:val="28"/>
          <w:szCs w:val="28"/>
          <w:lang w:val="uk-UA"/>
        </w:rPr>
        <w:t xml:space="preserve">дотримання </w:t>
      </w:r>
      <w:r w:rsidR="0036393B" w:rsidRPr="001F15B7">
        <w:rPr>
          <w:sz w:val="28"/>
          <w:szCs w:val="28"/>
          <w:lang w:val="uk-UA"/>
        </w:rPr>
        <w:t xml:space="preserve">вимог щодо достатності регулятивного капіталу, </w:t>
      </w:r>
      <w:proofErr w:type="spellStart"/>
      <w:r w:rsidR="00C35F8F" w:rsidRPr="001F15B7">
        <w:rPr>
          <w:sz w:val="28"/>
          <w:szCs w:val="28"/>
          <w:lang w:val="uk-UA"/>
        </w:rPr>
        <w:t>пруденційних</w:t>
      </w:r>
      <w:proofErr w:type="spellEnd"/>
      <w:r w:rsidR="00C35F8F" w:rsidRPr="001F15B7">
        <w:rPr>
          <w:sz w:val="28"/>
          <w:szCs w:val="28"/>
          <w:lang w:val="uk-UA"/>
        </w:rPr>
        <w:t xml:space="preserve"> нормативів </w:t>
      </w:r>
      <w:r w:rsidR="00C35F8F" w:rsidRPr="001F15B7">
        <w:rPr>
          <w:color w:val="000000"/>
          <w:sz w:val="28"/>
          <w:szCs w:val="28"/>
          <w:shd w:val="clear" w:color="auto" w:fill="FFFFFF"/>
          <w:lang w:val="uk-UA"/>
        </w:rPr>
        <w:t xml:space="preserve">банківською групою та її підгрупами </w:t>
      </w:r>
      <w:r w:rsidRPr="001F15B7">
        <w:rPr>
          <w:color w:val="000000"/>
          <w:sz w:val="28"/>
          <w:szCs w:val="28"/>
          <w:shd w:val="clear" w:color="auto" w:fill="FFFFFF"/>
          <w:lang w:val="uk-UA"/>
        </w:rPr>
        <w:t xml:space="preserve">станом на 01 жовтня 2024 року </w:t>
      </w:r>
      <w:r w:rsidR="00C35F8F" w:rsidRPr="001F15B7">
        <w:rPr>
          <w:sz w:val="28"/>
          <w:szCs w:val="28"/>
          <w:lang w:val="uk-UA"/>
        </w:rPr>
        <w:t xml:space="preserve">згідно </w:t>
      </w:r>
      <w:r w:rsidR="00C35F8F" w:rsidRPr="001F15B7">
        <w:rPr>
          <w:noProof/>
          <w:sz w:val="28"/>
          <w:szCs w:val="28"/>
          <w:lang w:val="uk-UA"/>
        </w:rPr>
        <w:t>з порядком формування показників статистичної звітності, розміщеним на сторінці офіційного Інтернет-представництва Національного банку України в розділі “Статистика</w:t>
      </w:r>
      <w:r w:rsidR="005A71B2" w:rsidRPr="001F15B7">
        <w:rPr>
          <w:noProof/>
          <w:sz w:val="28"/>
          <w:szCs w:val="28"/>
          <w:lang w:val="uk-UA"/>
        </w:rPr>
        <w:t> </w:t>
      </w:r>
      <w:r w:rsidR="00C35F8F" w:rsidRPr="001F15B7">
        <w:rPr>
          <w:noProof/>
          <w:sz w:val="28"/>
          <w:szCs w:val="28"/>
          <w:lang w:val="uk-UA"/>
        </w:rPr>
        <w:t>/</w:t>
      </w:r>
      <w:r w:rsidR="005A71B2" w:rsidRPr="001F15B7">
        <w:rPr>
          <w:noProof/>
          <w:sz w:val="28"/>
          <w:szCs w:val="28"/>
          <w:lang w:val="uk-UA"/>
        </w:rPr>
        <w:t> </w:t>
      </w:r>
      <w:r w:rsidR="00C35F8F" w:rsidRPr="001F15B7">
        <w:rPr>
          <w:noProof/>
          <w:sz w:val="28"/>
          <w:szCs w:val="28"/>
          <w:lang w:val="uk-UA"/>
        </w:rPr>
        <w:t>Організація статистичної звітності</w:t>
      </w:r>
      <w:r w:rsidR="005A71B2" w:rsidRPr="001F15B7">
        <w:rPr>
          <w:noProof/>
          <w:sz w:val="28"/>
          <w:szCs w:val="28"/>
          <w:lang w:val="uk-UA"/>
        </w:rPr>
        <w:t> </w:t>
      </w:r>
      <w:r w:rsidR="00C35F8F" w:rsidRPr="001F15B7">
        <w:rPr>
          <w:noProof/>
          <w:sz w:val="28"/>
          <w:szCs w:val="28"/>
          <w:lang w:val="uk-UA"/>
        </w:rPr>
        <w:t>/</w:t>
      </w:r>
      <w:r w:rsidR="005A71B2" w:rsidRPr="001F15B7">
        <w:rPr>
          <w:noProof/>
          <w:sz w:val="28"/>
          <w:szCs w:val="28"/>
          <w:lang w:val="uk-UA"/>
        </w:rPr>
        <w:t> </w:t>
      </w:r>
      <w:r w:rsidR="00C35F8F" w:rsidRPr="001F15B7">
        <w:rPr>
          <w:noProof/>
          <w:sz w:val="28"/>
          <w:szCs w:val="28"/>
          <w:lang w:val="uk-UA"/>
        </w:rPr>
        <w:t>Реєстр показників статистичної звітності”, та з урахуванням інформації про подання таких даних, розміщеної на вебпорталі Національного банку України (далі – Національний банк).</w:t>
      </w:r>
    </w:p>
    <w:p w14:paraId="7F4BDDFC" w14:textId="77777777" w:rsidR="0036393B" w:rsidRPr="001F15B7" w:rsidRDefault="0036393B" w:rsidP="00534006">
      <w:pPr>
        <w:pStyle w:val="rvps2"/>
        <w:shd w:val="clear" w:color="auto" w:fill="FFFFFF"/>
        <w:spacing w:before="0" w:beforeAutospacing="0" w:after="0" w:afterAutospacing="0"/>
        <w:ind w:firstLine="567"/>
        <w:jc w:val="both"/>
        <w:rPr>
          <w:noProof/>
          <w:sz w:val="28"/>
          <w:szCs w:val="28"/>
          <w:lang w:val="uk-UA"/>
        </w:rPr>
      </w:pPr>
    </w:p>
    <w:p w14:paraId="05FBA9CE" w14:textId="029F775F" w:rsidR="00C35F8F" w:rsidRPr="001F15B7" w:rsidRDefault="005B556F" w:rsidP="00534006">
      <w:pPr>
        <w:ind w:firstLine="567"/>
      </w:pPr>
      <w:r w:rsidRPr="001F15B7">
        <w:t>3</w:t>
      </w:r>
      <w:r w:rsidR="00C35F8F" w:rsidRPr="001F15B7">
        <w:t xml:space="preserve">. Відповідальні особи під час застосування вимог Положення № 254 </w:t>
      </w:r>
      <w:r w:rsidR="0036393B" w:rsidRPr="001F15B7">
        <w:t>з урахуванням Змін</w:t>
      </w:r>
      <w:r w:rsidR="00E238D6" w:rsidRPr="001F15B7">
        <w:t xml:space="preserve"> </w:t>
      </w:r>
      <w:r w:rsidR="00C35F8F" w:rsidRPr="001F15B7">
        <w:t xml:space="preserve">мають право: </w:t>
      </w:r>
    </w:p>
    <w:p w14:paraId="22ADE841" w14:textId="77777777" w:rsidR="00C35F8F" w:rsidRPr="001F15B7" w:rsidRDefault="00C35F8F" w:rsidP="00534006">
      <w:pPr>
        <w:ind w:firstLine="567"/>
      </w:pPr>
    </w:p>
    <w:p w14:paraId="11B05FBB" w14:textId="6D34462E" w:rsidR="0036393B" w:rsidRPr="001F15B7" w:rsidRDefault="00C35F8F" w:rsidP="00534006">
      <w:pPr>
        <w:ind w:firstLine="567"/>
        <w:rPr>
          <w:noProof/>
        </w:rPr>
      </w:pPr>
      <w:r w:rsidRPr="001F15B7">
        <w:t xml:space="preserve">1) </w:t>
      </w:r>
      <w:r w:rsidR="003F6D11" w:rsidRPr="000B7F95">
        <w:rPr>
          <w:rFonts w:eastAsiaTheme="minorEastAsia"/>
          <w:noProof/>
          <w:lang w:eastAsia="en-US"/>
        </w:rPr>
        <w:t xml:space="preserve">до 31 грудня 2024 року </w:t>
      </w:r>
      <w:r w:rsidR="008D3601">
        <w:rPr>
          <w:rFonts w:eastAsiaTheme="minorEastAsia"/>
          <w:noProof/>
          <w:lang w:eastAsia="en-US"/>
        </w:rPr>
        <w:t xml:space="preserve">(включно) </w:t>
      </w:r>
      <w:r w:rsidRPr="0028508B">
        <w:t>включати</w:t>
      </w:r>
      <w:r w:rsidRPr="001F15B7">
        <w:t xml:space="preserve"> до складових о</w:t>
      </w:r>
      <w:r w:rsidRPr="001F15B7">
        <w:rPr>
          <w:noProof/>
        </w:rPr>
        <w:t>сновного капіталу 1 рівня кредитно-інвестиційної підгрупи (далі – ОК1</w:t>
      </w:r>
      <w:r w:rsidRPr="001F15B7">
        <w:rPr>
          <w:noProof/>
          <w:vertAlign w:val="subscript"/>
        </w:rPr>
        <w:t>КІП</w:t>
      </w:r>
      <w:r w:rsidRPr="001F15B7">
        <w:rPr>
          <w:noProof/>
        </w:rPr>
        <w:t>)</w:t>
      </w:r>
      <w:r w:rsidR="0036393B" w:rsidRPr="001F15B7">
        <w:rPr>
          <w:noProof/>
        </w:rPr>
        <w:t xml:space="preserve"> в</w:t>
      </w:r>
      <w:proofErr w:type="spellStart"/>
      <w:r w:rsidR="0036393B" w:rsidRPr="001F15B7">
        <w:rPr>
          <w:shd w:val="clear" w:color="auto" w:fill="FFFFFF"/>
        </w:rPr>
        <w:t>нески</w:t>
      </w:r>
      <w:proofErr w:type="spellEnd"/>
      <w:r w:rsidR="0036393B" w:rsidRPr="001F15B7">
        <w:rPr>
          <w:shd w:val="clear" w:color="auto" w:fill="FFFFFF"/>
        </w:rPr>
        <w:t xml:space="preserve"> до незареєстрованого статутного капіталу, </w:t>
      </w:r>
      <w:r w:rsidR="0036393B" w:rsidRPr="001F15B7">
        <w:rPr>
          <w:noProof/>
        </w:rPr>
        <w:t>отримані</w:t>
      </w:r>
      <w:r w:rsidR="00C043B1" w:rsidRPr="001F15B7">
        <w:rPr>
          <w:noProof/>
        </w:rPr>
        <w:t xml:space="preserve"> </w:t>
      </w:r>
      <w:r w:rsidR="000E37FB" w:rsidRPr="001F15B7">
        <w:rPr>
          <w:noProof/>
        </w:rPr>
        <w:t>як</w:t>
      </w:r>
      <w:r w:rsidR="0036393B" w:rsidRPr="001F15B7">
        <w:rPr>
          <w:noProof/>
        </w:rPr>
        <w:t xml:space="preserve"> оплат</w:t>
      </w:r>
      <w:r w:rsidR="000E37FB" w:rsidRPr="001F15B7">
        <w:rPr>
          <w:noProof/>
        </w:rPr>
        <w:t>а</w:t>
      </w:r>
      <w:r w:rsidR="0036393B" w:rsidRPr="001F15B7">
        <w:rPr>
          <w:noProof/>
        </w:rPr>
        <w:t xml:space="preserve"> простих акцій</w:t>
      </w:r>
      <w:r w:rsidR="005A71B2" w:rsidRPr="001F15B7">
        <w:rPr>
          <w:noProof/>
        </w:rPr>
        <w:t> </w:t>
      </w:r>
      <w:r w:rsidR="0036393B" w:rsidRPr="001F15B7">
        <w:rPr>
          <w:noProof/>
        </w:rPr>
        <w:t>/</w:t>
      </w:r>
      <w:r w:rsidR="005A71B2" w:rsidRPr="001F15B7">
        <w:rPr>
          <w:noProof/>
        </w:rPr>
        <w:t> </w:t>
      </w:r>
      <w:r w:rsidR="0036393B" w:rsidRPr="001F15B7">
        <w:rPr>
          <w:noProof/>
        </w:rPr>
        <w:t>спрямован</w:t>
      </w:r>
      <w:r w:rsidR="00D170EB" w:rsidRPr="001F15B7">
        <w:rPr>
          <w:noProof/>
        </w:rPr>
        <w:t>і</w:t>
      </w:r>
      <w:r w:rsidR="0036393B" w:rsidRPr="001F15B7">
        <w:rPr>
          <w:noProof/>
        </w:rPr>
        <w:t xml:space="preserve"> на підвищення номінальної вартості простих акцій, </w:t>
      </w:r>
      <w:r w:rsidR="00D170EB" w:rsidRPr="001F15B7">
        <w:rPr>
          <w:noProof/>
        </w:rPr>
        <w:t>станом на день набрання чинності цією п</w:t>
      </w:r>
      <w:r w:rsidR="007E1CAC" w:rsidRPr="001F15B7">
        <w:rPr>
          <w:noProof/>
        </w:rPr>
        <w:t>о</w:t>
      </w:r>
      <w:r w:rsidR="00D170EB" w:rsidRPr="001F15B7">
        <w:rPr>
          <w:noProof/>
        </w:rPr>
        <w:t>становою, якщо відповідальна особа сформувала судження про те,</w:t>
      </w:r>
      <w:r w:rsidR="00700240" w:rsidRPr="001F15B7">
        <w:t xml:space="preserve"> що немає підстав уважати, що державна реєстрація відповідних змін до статуту учасника банківської групи не відбудеться;</w:t>
      </w:r>
      <w:r w:rsidRPr="001F15B7">
        <w:rPr>
          <w:noProof/>
        </w:rPr>
        <w:t xml:space="preserve"> </w:t>
      </w:r>
    </w:p>
    <w:p w14:paraId="1ECA0259" w14:textId="77777777" w:rsidR="0036393B" w:rsidRPr="001F15B7" w:rsidRDefault="0036393B" w:rsidP="00534006">
      <w:pPr>
        <w:ind w:firstLine="567"/>
        <w:rPr>
          <w:noProof/>
        </w:rPr>
      </w:pPr>
    </w:p>
    <w:p w14:paraId="04B3C3BC" w14:textId="2B509D81" w:rsidR="00C35F8F" w:rsidRPr="001F15B7" w:rsidRDefault="00700240" w:rsidP="00534006">
      <w:pPr>
        <w:ind w:firstLine="567"/>
        <w:rPr>
          <w:b/>
          <w:shd w:val="clear" w:color="auto" w:fill="FFFFFF"/>
        </w:rPr>
      </w:pPr>
      <w:r w:rsidRPr="001F15B7">
        <w:rPr>
          <w:noProof/>
        </w:rPr>
        <w:t>2) в</w:t>
      </w:r>
      <w:r w:rsidR="00503C49" w:rsidRPr="001F15B7">
        <w:rPr>
          <w:noProof/>
        </w:rPr>
        <w:t>к</w:t>
      </w:r>
      <w:r w:rsidRPr="001F15B7">
        <w:rPr>
          <w:noProof/>
        </w:rPr>
        <w:t xml:space="preserve">лючати до складових </w:t>
      </w:r>
      <w:r w:rsidR="00C35F8F" w:rsidRPr="001F15B7">
        <w:rPr>
          <w:noProof/>
        </w:rPr>
        <w:t>додаткового капіталу 1 рівня, капіталу 2 рівня кредитно-інвестиційної підгрупи складові, визначені</w:t>
      </w:r>
      <w:r w:rsidR="00C35F8F" w:rsidRPr="001F15B7">
        <w:t xml:space="preserve"> </w:t>
      </w:r>
      <w:r w:rsidR="004F595A">
        <w:t>в</w:t>
      </w:r>
      <w:r w:rsidR="00C35F8F" w:rsidRPr="001F15B7">
        <w:t xml:space="preserve"> підпункт</w:t>
      </w:r>
      <w:r w:rsidR="00C043B1" w:rsidRPr="001F15B7">
        <w:t xml:space="preserve">і </w:t>
      </w:r>
      <w:r w:rsidR="00C35F8F" w:rsidRPr="001F15B7">
        <w:t xml:space="preserve">3 пункту 3 </w:t>
      </w:r>
      <w:r w:rsidR="00C35F8F" w:rsidRPr="001F15B7">
        <w:rPr>
          <w:noProof/>
        </w:rPr>
        <w:lastRenderedPageBreak/>
        <w:t>постанови Правління Національного банку України “Про затвердження Змін до деяких нормативно-правових актів Національного банку України та встановлення перехідних положень щодо запровадження оновлених вимог до капіталу банків” від 07</w:t>
      </w:r>
      <w:r w:rsidR="00AB1B1E" w:rsidRPr="001F15B7">
        <w:rPr>
          <w:noProof/>
        </w:rPr>
        <w:t xml:space="preserve"> червня </w:t>
      </w:r>
      <w:r w:rsidR="00C35F8F" w:rsidRPr="001F15B7">
        <w:rPr>
          <w:noProof/>
        </w:rPr>
        <w:t>2024</w:t>
      </w:r>
      <w:r w:rsidR="00D14E6E" w:rsidRPr="001F15B7">
        <w:rPr>
          <w:noProof/>
        </w:rPr>
        <w:t xml:space="preserve"> року</w:t>
      </w:r>
      <w:r w:rsidR="00C35F8F" w:rsidRPr="001F15B7">
        <w:rPr>
          <w:noProof/>
        </w:rPr>
        <w:t xml:space="preserve"> № 65 (далі – Постанова № 65);</w:t>
      </w:r>
    </w:p>
    <w:p w14:paraId="7F68A6A9" w14:textId="77777777" w:rsidR="00C35F8F" w:rsidRPr="001F15B7" w:rsidRDefault="00C35F8F" w:rsidP="00534006">
      <w:pPr>
        <w:ind w:firstLine="567"/>
        <w:rPr>
          <w:rFonts w:eastAsiaTheme="minorEastAsia"/>
          <w:noProof/>
          <w:lang w:eastAsia="en-US"/>
        </w:rPr>
      </w:pPr>
    </w:p>
    <w:p w14:paraId="6CCE9767" w14:textId="5C1C9528" w:rsidR="00C35F8F" w:rsidRPr="001F15B7" w:rsidRDefault="00D239E7" w:rsidP="00534006">
      <w:pPr>
        <w:ind w:firstLine="567"/>
      </w:pPr>
      <w:r w:rsidRPr="001F15B7">
        <w:t>3</w:t>
      </w:r>
      <w:r w:rsidR="00C35F8F" w:rsidRPr="001F15B7">
        <w:t>)</w:t>
      </w:r>
      <w:r w:rsidR="00700240" w:rsidRPr="001F15B7">
        <w:t xml:space="preserve"> до </w:t>
      </w:r>
      <w:r w:rsidR="008D3601">
        <w:t xml:space="preserve">30 червня </w:t>
      </w:r>
      <w:r w:rsidR="00700240" w:rsidRPr="001F15B7">
        <w:t>2025 року</w:t>
      </w:r>
      <w:r w:rsidR="008D3601">
        <w:t xml:space="preserve"> (включно)</w:t>
      </w:r>
      <w:r w:rsidR="00C35F8F" w:rsidRPr="001F15B7">
        <w:t xml:space="preserve"> </w:t>
      </w:r>
      <w:r w:rsidR="00C35F8F" w:rsidRPr="001F15B7">
        <w:rPr>
          <w:noProof/>
        </w:rPr>
        <w:t xml:space="preserve">під час застосування </w:t>
      </w:r>
      <w:r w:rsidR="00C35F8F" w:rsidRPr="001F15B7">
        <w:t xml:space="preserve">вимог пункту 3 глави 4 розділу </w:t>
      </w:r>
      <w:r w:rsidR="00C35F8F" w:rsidRPr="001F15B7">
        <w:rPr>
          <w:lang w:val="ru-RU"/>
        </w:rPr>
        <w:t>II</w:t>
      </w:r>
      <w:r w:rsidR="00C35F8F" w:rsidRPr="001F15B7">
        <w:t xml:space="preserve"> Положення №</w:t>
      </w:r>
      <w:r w:rsidR="00DD1566" w:rsidRPr="001F15B7">
        <w:t> </w:t>
      </w:r>
      <w:r w:rsidR="00C35F8F" w:rsidRPr="001F15B7">
        <w:t xml:space="preserve">254 </w:t>
      </w:r>
      <w:r w:rsidR="00AB3179" w:rsidRPr="001F15B7">
        <w:t>в</w:t>
      </w:r>
      <w:r w:rsidR="00C35F8F" w:rsidRPr="001F15B7">
        <w:t>ключати до ОК1</w:t>
      </w:r>
      <w:r w:rsidR="00C35F8F" w:rsidRPr="001F15B7">
        <w:rPr>
          <w:vertAlign w:val="subscript"/>
        </w:rPr>
        <w:t>КІП</w:t>
      </w:r>
      <w:r w:rsidR="00C35F8F" w:rsidRPr="001F15B7">
        <w:t xml:space="preserve"> прибуток за проміжний звітний період без погодження його включення Національним банком та без проведення огляду проміжної консолідованої</w:t>
      </w:r>
      <w:r w:rsidR="005A71B2" w:rsidRPr="001F15B7">
        <w:t> </w:t>
      </w:r>
      <w:r w:rsidR="00700240" w:rsidRPr="001F15B7">
        <w:t>/</w:t>
      </w:r>
      <w:r w:rsidR="005A71B2" w:rsidRPr="001F15B7">
        <w:t> </w:t>
      </w:r>
      <w:proofErr w:type="spellStart"/>
      <w:r w:rsidR="00700240" w:rsidRPr="001F15B7">
        <w:t>субконсолідованої</w:t>
      </w:r>
      <w:proofErr w:type="spellEnd"/>
      <w:r w:rsidR="00C35F8F" w:rsidRPr="001F15B7">
        <w:t xml:space="preserve"> фінансової звітності банківської групи</w:t>
      </w:r>
      <w:r w:rsidR="005A71B2" w:rsidRPr="001F15B7">
        <w:t> </w:t>
      </w:r>
      <w:r w:rsidR="00700240" w:rsidRPr="001F15B7">
        <w:t>/</w:t>
      </w:r>
      <w:r w:rsidR="005A71B2" w:rsidRPr="001F15B7">
        <w:t> </w:t>
      </w:r>
      <w:r w:rsidR="00700240" w:rsidRPr="001F15B7">
        <w:t>підгрупи банківської групи</w:t>
      </w:r>
      <w:r w:rsidR="00C35F8F" w:rsidRPr="001F15B7">
        <w:t xml:space="preserve"> в сумі, що не перевищує сукупн</w:t>
      </w:r>
      <w:r w:rsidR="00AB3179" w:rsidRPr="001F15B7">
        <w:t>ого</w:t>
      </w:r>
      <w:r w:rsidR="00C35F8F" w:rsidRPr="001F15B7">
        <w:t xml:space="preserve"> розмір</w:t>
      </w:r>
      <w:r w:rsidR="00AB3179" w:rsidRPr="001F15B7">
        <w:t>у</w:t>
      </w:r>
      <w:r w:rsidR="00C35F8F" w:rsidRPr="001F15B7">
        <w:t xml:space="preserve"> прибутків банків – учасників банківської групи за відповідний проміжний звітний період, які було включено до основного капіталу 1 рівня цих банків згідно з вимогами Положення про порядок визначення банками України розміру регулятивного капіталу, затвердженого постановою Правління Національного банку України від 28 грудня 2023 року №</w:t>
      </w:r>
      <w:r w:rsidR="00E17EA6" w:rsidRPr="001F15B7">
        <w:t> </w:t>
      </w:r>
      <w:r w:rsidR="00C35F8F" w:rsidRPr="001F15B7">
        <w:t>196 (зі змінами), з урахуванням підпункту 2 пункту 3 Постанови №</w:t>
      </w:r>
      <w:r w:rsidR="00E17EA6" w:rsidRPr="001F15B7">
        <w:rPr>
          <w:lang w:val="ru-RU"/>
        </w:rPr>
        <w:t> </w:t>
      </w:r>
      <w:r w:rsidR="00C35F8F" w:rsidRPr="001F15B7">
        <w:t>65.</w:t>
      </w:r>
    </w:p>
    <w:p w14:paraId="4C934DEB" w14:textId="77777777" w:rsidR="00C35F8F" w:rsidRPr="001F15B7" w:rsidRDefault="00C35F8F" w:rsidP="00534006">
      <w:pPr>
        <w:ind w:firstLine="567"/>
      </w:pPr>
    </w:p>
    <w:p w14:paraId="4A2101D1" w14:textId="2144081A" w:rsidR="00C35F8F" w:rsidRPr="001F15B7" w:rsidRDefault="005B556F" w:rsidP="00534006">
      <w:pPr>
        <w:ind w:firstLine="567"/>
      </w:pPr>
      <w:r w:rsidRPr="001F15B7">
        <w:t>4</w:t>
      </w:r>
      <w:r w:rsidR="00C35F8F" w:rsidRPr="001F15B7">
        <w:t>. Національний банк не застосовує до відповідальних осіб заходів впливу за:</w:t>
      </w:r>
    </w:p>
    <w:p w14:paraId="6F4F99C5" w14:textId="77777777" w:rsidR="00E17EA6" w:rsidRPr="001F15B7" w:rsidRDefault="00E17EA6" w:rsidP="00534006">
      <w:pPr>
        <w:ind w:firstLine="567"/>
      </w:pPr>
    </w:p>
    <w:p w14:paraId="5BCB1B84" w14:textId="0A88684F" w:rsidR="00C35F8F" w:rsidRPr="001F15B7" w:rsidRDefault="00C35F8F" w:rsidP="00534006">
      <w:pPr>
        <w:ind w:firstLine="567"/>
      </w:pPr>
      <w:r w:rsidRPr="001F15B7">
        <w:t xml:space="preserve">1) подання до Національного банку статистичної звітності </w:t>
      </w:r>
      <w:r w:rsidR="00C232F9" w:rsidRPr="001F15B7">
        <w:t xml:space="preserve">про </w:t>
      </w:r>
      <w:r w:rsidRPr="001F15B7">
        <w:t xml:space="preserve">дотримання </w:t>
      </w:r>
      <w:r w:rsidR="00503C49" w:rsidRPr="001F15B7">
        <w:t xml:space="preserve">вимог щодо достатності регулятивного капіталу, </w:t>
      </w:r>
      <w:proofErr w:type="spellStart"/>
      <w:r w:rsidR="00E17EA6" w:rsidRPr="001F15B7">
        <w:t>пруденційних</w:t>
      </w:r>
      <w:proofErr w:type="spellEnd"/>
      <w:r w:rsidR="00E17EA6" w:rsidRPr="001F15B7">
        <w:t xml:space="preserve"> нормативів </w:t>
      </w:r>
      <w:r w:rsidR="00E17EA6" w:rsidRPr="001F15B7">
        <w:rPr>
          <w:color w:val="000000"/>
          <w:shd w:val="clear" w:color="auto" w:fill="FFFFFF"/>
        </w:rPr>
        <w:t>банківською групою та її підгрупами</w:t>
      </w:r>
      <w:r w:rsidR="00E17EA6" w:rsidRPr="001F15B7">
        <w:t xml:space="preserve"> </w:t>
      </w:r>
      <w:r w:rsidRPr="001F15B7">
        <w:t>зі звітними датами з 01 жовтня 2024 року до 01 липня 2025 року, у якій виявлено помилки, пов’язані з переходом на розрахунок розміру капіталу згідно з вимогами Положення № 254</w:t>
      </w:r>
      <w:r w:rsidR="00643FD6" w:rsidRPr="001F15B7">
        <w:t xml:space="preserve"> з урахуванням </w:t>
      </w:r>
      <w:r w:rsidR="00503C49" w:rsidRPr="001F15B7">
        <w:t>З</w:t>
      </w:r>
      <w:r w:rsidR="00643FD6" w:rsidRPr="001F15B7">
        <w:t>мін</w:t>
      </w:r>
      <w:r w:rsidRPr="001F15B7">
        <w:t>;</w:t>
      </w:r>
    </w:p>
    <w:p w14:paraId="19EB8806" w14:textId="77777777" w:rsidR="00C35F8F" w:rsidRPr="001F15B7" w:rsidRDefault="00C35F8F" w:rsidP="00534006">
      <w:pPr>
        <w:ind w:firstLine="567"/>
      </w:pPr>
    </w:p>
    <w:p w14:paraId="7BCE0553" w14:textId="4B1EA03D" w:rsidR="00C35F8F" w:rsidRPr="001F15B7" w:rsidRDefault="00C35F8F" w:rsidP="00534006">
      <w:pPr>
        <w:ind w:firstLine="567"/>
      </w:pPr>
      <w:r w:rsidRPr="001F15B7">
        <w:t xml:space="preserve">2) порушення в період з 01 жовтня 2024 року до 01 липня 2025 року </w:t>
      </w:r>
      <w:r w:rsidR="00503C49" w:rsidRPr="001F15B7">
        <w:t xml:space="preserve">банківською групою та/або підгрупою банківської групи вимог щодо достатності регулятивного капіталу, </w:t>
      </w:r>
      <w:r w:rsidRPr="001F15B7">
        <w:t>значень нормативів капіталу, кредитного ризику, інвестування (далі – пруденційні нормативи), установлених Положенням № 254, що пов’язані із запровадженням</w:t>
      </w:r>
      <w:r w:rsidR="00E17EA6" w:rsidRPr="001F15B7">
        <w:t xml:space="preserve"> </w:t>
      </w:r>
      <w:r w:rsidR="00503C49" w:rsidRPr="001F15B7">
        <w:t>З</w:t>
      </w:r>
      <w:r w:rsidR="00E17EA6" w:rsidRPr="001F15B7">
        <w:t>мін</w:t>
      </w:r>
      <w:r w:rsidR="00C043B1" w:rsidRPr="001F15B7">
        <w:t>,</w:t>
      </w:r>
      <w:r w:rsidR="00E17EA6" w:rsidRPr="001F15B7">
        <w:t xml:space="preserve"> </w:t>
      </w:r>
      <w:r w:rsidRPr="001F15B7">
        <w:t xml:space="preserve">за умови, що відповідальна особа упродовж </w:t>
      </w:r>
      <w:r w:rsidR="00503C49" w:rsidRPr="001F15B7">
        <w:t>45</w:t>
      </w:r>
      <w:r w:rsidRPr="001F15B7">
        <w:t xml:space="preserve"> календарних днів із дня порушення подала до Національного банку програму капіталізації</w:t>
      </w:r>
      <w:r w:rsidR="00503C49" w:rsidRPr="001F15B7">
        <w:t xml:space="preserve"> банківської групи</w:t>
      </w:r>
      <w:r w:rsidRPr="001F15B7">
        <w:t xml:space="preserve"> (далі – Програма) та забезпечує виконання Програми, погодженої Національним банком, у визначені в ній строки.</w:t>
      </w:r>
    </w:p>
    <w:p w14:paraId="29AF355E" w14:textId="77777777" w:rsidR="00434771" w:rsidRPr="001F15B7" w:rsidRDefault="00434771" w:rsidP="00534006">
      <w:pPr>
        <w:pStyle w:val="rvps2"/>
        <w:shd w:val="clear" w:color="auto" w:fill="FFFFFF"/>
        <w:spacing w:before="0" w:beforeAutospacing="0" w:after="0" w:afterAutospacing="0"/>
        <w:ind w:firstLine="567"/>
        <w:jc w:val="both"/>
        <w:rPr>
          <w:sz w:val="28"/>
          <w:szCs w:val="28"/>
          <w:lang w:val="uk-UA" w:eastAsia="uk-UA"/>
        </w:rPr>
      </w:pPr>
    </w:p>
    <w:p w14:paraId="419F267F" w14:textId="45D6E973" w:rsidR="00C35F8F" w:rsidRPr="001F15B7" w:rsidRDefault="005B556F" w:rsidP="00534006">
      <w:pPr>
        <w:ind w:firstLine="567"/>
        <w:contextualSpacing/>
      </w:pPr>
      <w:r w:rsidRPr="001F15B7">
        <w:t>5</w:t>
      </w:r>
      <w:r w:rsidR="00C35F8F" w:rsidRPr="001F15B7">
        <w:t xml:space="preserve">. Відповідальна особа, на яку поширюються вимоги підпункту 2 пункту </w:t>
      </w:r>
      <w:r w:rsidRPr="001F15B7">
        <w:t>4</w:t>
      </w:r>
      <w:r w:rsidR="00C35F8F" w:rsidRPr="001F15B7">
        <w:t xml:space="preserve"> цієї постанови, складає Програму відповідно до вимог розділу III Положення про застосування Національним банком України заходів впливу, затвердженого постановою Правління Національного банку України від 17 серпня 2012 року № 346, зареєстрованого в Міністерстві юстиції України 17 вересня 2012 року за № 1590/21902 (зі змінами), яка має </w:t>
      </w:r>
      <w:r w:rsidR="00C232F9" w:rsidRPr="001F15B7">
        <w:t xml:space="preserve">містити </w:t>
      </w:r>
      <w:r w:rsidR="00C35F8F" w:rsidRPr="001F15B7">
        <w:t xml:space="preserve">перелік заходів з капіталізації, які </w:t>
      </w:r>
      <w:r w:rsidR="00C35F8F" w:rsidRPr="001F15B7">
        <w:lastRenderedPageBreak/>
        <w:t xml:space="preserve">забезпечуватимуть дотримання </w:t>
      </w:r>
      <w:r w:rsidR="00503C49" w:rsidRPr="001F15B7">
        <w:t xml:space="preserve">банківською групою та/або підгрупою банківської групи </w:t>
      </w:r>
      <w:proofErr w:type="spellStart"/>
      <w:r w:rsidR="00C35F8F" w:rsidRPr="001F15B7">
        <w:t>пруденційних</w:t>
      </w:r>
      <w:proofErr w:type="spellEnd"/>
      <w:r w:rsidR="00C35F8F" w:rsidRPr="001F15B7">
        <w:t xml:space="preserve"> нормативів, що визначені відповідальною особою з урахуванням стратегії та бізнес-плану</w:t>
      </w:r>
      <w:r w:rsidR="002C53E7" w:rsidRPr="001F15B7">
        <w:t xml:space="preserve"> банківської групи</w:t>
      </w:r>
      <w:r w:rsidR="009A72D8" w:rsidRPr="001F15B7">
        <w:t> </w:t>
      </w:r>
      <w:r w:rsidR="002C53E7" w:rsidRPr="001F15B7">
        <w:t>/</w:t>
      </w:r>
      <w:r w:rsidR="009A72D8" w:rsidRPr="001F15B7">
        <w:t> </w:t>
      </w:r>
      <w:r w:rsidR="002C53E7" w:rsidRPr="001F15B7">
        <w:t>учасників банківської групи</w:t>
      </w:r>
      <w:r w:rsidR="00C35F8F" w:rsidRPr="001F15B7">
        <w:t>, обґрунтовані строки виконання кожного заходу та розрахунки економічного ефекту від їх упровадження, а також документальне підтвердження можливості реалізації запланованих заходів.</w:t>
      </w:r>
      <w:r w:rsidR="00E17EA6" w:rsidRPr="001F15B7">
        <w:t xml:space="preserve"> </w:t>
      </w:r>
    </w:p>
    <w:p w14:paraId="1194BDB1" w14:textId="6747A411" w:rsidR="00C35F8F" w:rsidRPr="001F15B7" w:rsidRDefault="00C35F8F" w:rsidP="00534006">
      <w:pPr>
        <w:pStyle w:val="rvps2"/>
        <w:shd w:val="clear" w:color="auto" w:fill="FFFFFF"/>
        <w:spacing w:before="0" w:beforeAutospacing="0" w:after="0" w:afterAutospacing="0"/>
        <w:ind w:firstLine="567"/>
        <w:jc w:val="both"/>
        <w:rPr>
          <w:sz w:val="28"/>
          <w:szCs w:val="28"/>
          <w:lang w:val="uk-UA"/>
        </w:rPr>
      </w:pPr>
      <w:r w:rsidRPr="001F15B7">
        <w:rPr>
          <w:sz w:val="28"/>
          <w:szCs w:val="28"/>
          <w:lang w:val="uk-UA"/>
        </w:rPr>
        <w:t xml:space="preserve">Відповідальна особа </w:t>
      </w:r>
      <w:r w:rsidR="00C232F9" w:rsidRPr="001F15B7">
        <w:rPr>
          <w:sz w:val="28"/>
          <w:szCs w:val="28"/>
          <w:lang w:val="uk-UA"/>
        </w:rPr>
        <w:t>в</w:t>
      </w:r>
      <w:r w:rsidRPr="001F15B7">
        <w:rPr>
          <w:sz w:val="28"/>
          <w:szCs w:val="28"/>
          <w:lang w:val="uk-UA"/>
        </w:rPr>
        <w:t xml:space="preserve"> разі отримання зауважень від Національного банку до Програми згідно з підпунктом 1 пункту </w:t>
      </w:r>
      <w:r w:rsidR="005B556F" w:rsidRPr="001F15B7">
        <w:rPr>
          <w:sz w:val="28"/>
          <w:szCs w:val="28"/>
          <w:lang w:val="uk-UA"/>
        </w:rPr>
        <w:t>6</w:t>
      </w:r>
      <w:r w:rsidRPr="001F15B7">
        <w:rPr>
          <w:sz w:val="28"/>
          <w:szCs w:val="28"/>
          <w:lang w:val="uk-UA"/>
        </w:rPr>
        <w:t xml:space="preserve"> цієї постанови </w:t>
      </w:r>
      <w:r w:rsidR="00C232F9" w:rsidRPr="001F15B7">
        <w:rPr>
          <w:sz w:val="28"/>
          <w:szCs w:val="28"/>
          <w:lang w:val="uk-UA"/>
        </w:rPr>
        <w:t>в</w:t>
      </w:r>
      <w:r w:rsidRPr="001F15B7">
        <w:rPr>
          <w:sz w:val="28"/>
          <w:szCs w:val="28"/>
          <w:lang w:val="uk-UA"/>
        </w:rPr>
        <w:t xml:space="preserve">раховує надані зауваження та подає доопрацьовану Програму до Національного банку протягом </w:t>
      </w:r>
      <w:r w:rsidR="007E1CAC" w:rsidRPr="001F15B7">
        <w:rPr>
          <w:sz w:val="28"/>
          <w:szCs w:val="28"/>
          <w:lang w:val="uk-UA"/>
        </w:rPr>
        <w:t>45</w:t>
      </w:r>
      <w:r w:rsidRPr="001F15B7">
        <w:rPr>
          <w:sz w:val="28"/>
          <w:szCs w:val="28"/>
          <w:lang w:val="uk-UA"/>
        </w:rPr>
        <w:t xml:space="preserve"> календарних днів із дня отримання таких зауважень. </w:t>
      </w:r>
    </w:p>
    <w:p w14:paraId="123DE3D4" w14:textId="77777777" w:rsidR="00E17EA6" w:rsidRPr="001F15B7" w:rsidRDefault="00E17EA6" w:rsidP="00534006">
      <w:pPr>
        <w:pStyle w:val="rvps2"/>
        <w:shd w:val="clear" w:color="auto" w:fill="FFFFFF"/>
        <w:spacing w:before="0" w:beforeAutospacing="0" w:after="0" w:afterAutospacing="0"/>
        <w:ind w:firstLine="567"/>
        <w:jc w:val="both"/>
        <w:rPr>
          <w:sz w:val="28"/>
          <w:szCs w:val="28"/>
          <w:lang w:val="uk-UA"/>
        </w:rPr>
      </w:pPr>
    </w:p>
    <w:p w14:paraId="6B59FC27" w14:textId="27BE6F04" w:rsidR="00C35F8F" w:rsidRPr="001F15B7" w:rsidRDefault="005B556F" w:rsidP="00534006">
      <w:pPr>
        <w:pStyle w:val="rvps2"/>
        <w:shd w:val="clear" w:color="auto" w:fill="FFFFFF"/>
        <w:spacing w:before="0" w:beforeAutospacing="0" w:after="0" w:afterAutospacing="0"/>
        <w:ind w:firstLine="567"/>
        <w:jc w:val="both"/>
        <w:rPr>
          <w:sz w:val="28"/>
          <w:szCs w:val="28"/>
          <w:lang w:val="uk-UA"/>
        </w:rPr>
      </w:pPr>
      <w:r w:rsidRPr="001F15B7">
        <w:rPr>
          <w:sz w:val="28"/>
          <w:szCs w:val="28"/>
          <w:lang w:val="uk-UA"/>
        </w:rPr>
        <w:t>6</w:t>
      </w:r>
      <w:r w:rsidR="00C35F8F" w:rsidRPr="001F15B7">
        <w:rPr>
          <w:sz w:val="28"/>
          <w:szCs w:val="28"/>
          <w:lang w:val="uk-UA"/>
        </w:rPr>
        <w:t xml:space="preserve">. Комітет з питань нагляду та регулювання діяльності банків, </w:t>
      </w:r>
      <w:proofErr w:type="spellStart"/>
      <w:r w:rsidR="00C35F8F" w:rsidRPr="001F15B7">
        <w:rPr>
          <w:sz w:val="28"/>
          <w:szCs w:val="28"/>
          <w:lang w:val="uk-UA"/>
        </w:rPr>
        <w:t>оверсайту</w:t>
      </w:r>
      <w:proofErr w:type="spellEnd"/>
      <w:r w:rsidR="00C35F8F" w:rsidRPr="001F15B7">
        <w:rPr>
          <w:sz w:val="28"/>
          <w:szCs w:val="28"/>
          <w:lang w:val="uk-UA"/>
        </w:rPr>
        <w:t xml:space="preserve"> платіжної інфраструктури (далі – Комітет з питань нагляду)</w:t>
      </w:r>
      <w:r w:rsidR="0028508B">
        <w:rPr>
          <w:sz w:val="28"/>
          <w:szCs w:val="28"/>
          <w:lang w:val="uk-UA"/>
        </w:rPr>
        <w:t xml:space="preserve"> </w:t>
      </w:r>
      <w:r w:rsidR="0028508B" w:rsidRPr="001F15B7">
        <w:rPr>
          <w:sz w:val="28"/>
          <w:szCs w:val="28"/>
          <w:lang w:val="uk-UA"/>
        </w:rPr>
        <w:t>протягом 45 календарних днів із дня отримання Національним банком</w:t>
      </w:r>
      <w:r w:rsidR="00C35F8F" w:rsidRPr="001F15B7">
        <w:rPr>
          <w:sz w:val="28"/>
          <w:szCs w:val="28"/>
          <w:lang w:val="uk-UA"/>
        </w:rPr>
        <w:t>:</w:t>
      </w:r>
    </w:p>
    <w:p w14:paraId="762B5096" w14:textId="77777777" w:rsidR="00273DFD" w:rsidRPr="001F15B7" w:rsidRDefault="00273DFD" w:rsidP="00534006">
      <w:pPr>
        <w:pStyle w:val="rvps2"/>
        <w:shd w:val="clear" w:color="auto" w:fill="FFFFFF"/>
        <w:spacing w:before="0" w:beforeAutospacing="0" w:after="0" w:afterAutospacing="0"/>
        <w:ind w:firstLine="567"/>
        <w:jc w:val="both"/>
        <w:rPr>
          <w:sz w:val="28"/>
          <w:szCs w:val="28"/>
          <w:lang w:val="uk-UA"/>
        </w:rPr>
      </w:pPr>
    </w:p>
    <w:p w14:paraId="76BF8466" w14:textId="0C5631BA" w:rsidR="00C35F8F" w:rsidRPr="001F15B7" w:rsidRDefault="00C35F8F" w:rsidP="00534006">
      <w:pPr>
        <w:pStyle w:val="rvps2"/>
        <w:shd w:val="clear" w:color="auto" w:fill="FFFFFF"/>
        <w:spacing w:before="0" w:beforeAutospacing="0" w:after="0" w:afterAutospacing="0"/>
        <w:ind w:firstLine="567"/>
        <w:jc w:val="both"/>
        <w:rPr>
          <w:sz w:val="28"/>
          <w:szCs w:val="28"/>
          <w:lang w:val="uk-UA"/>
        </w:rPr>
      </w:pPr>
      <w:r w:rsidRPr="001F15B7">
        <w:rPr>
          <w:sz w:val="28"/>
          <w:szCs w:val="28"/>
          <w:lang w:val="uk-UA"/>
        </w:rPr>
        <w:t>1) Програми розглядає її та:</w:t>
      </w:r>
    </w:p>
    <w:p w14:paraId="2C472B47" w14:textId="3974C68D" w:rsidR="002C53E7" w:rsidRPr="001F15B7" w:rsidRDefault="00C35F8F" w:rsidP="00534006">
      <w:pPr>
        <w:shd w:val="clear" w:color="auto" w:fill="FFFFFF"/>
        <w:ind w:firstLine="567"/>
      </w:pPr>
      <w:r w:rsidRPr="001F15B7">
        <w:t>подає Правлінню Національного банку пропозицію про погодження Програми за умови, що немає обґрунтованих зауважень</w:t>
      </w:r>
      <w:r w:rsidR="005B556F" w:rsidRPr="001F15B7">
        <w:t>;</w:t>
      </w:r>
    </w:p>
    <w:p w14:paraId="4153FDC3" w14:textId="4FF1DD86" w:rsidR="00C35F8F" w:rsidRPr="001F15B7" w:rsidRDefault="00C35F8F" w:rsidP="00534006">
      <w:pPr>
        <w:shd w:val="clear" w:color="auto" w:fill="FFFFFF"/>
        <w:ind w:firstLine="567"/>
      </w:pPr>
      <w:r w:rsidRPr="001F15B7">
        <w:t xml:space="preserve">приймає рішення про невідповідність поданої відповідальною особою Програми вимогам, установленим у пункті </w:t>
      </w:r>
      <w:r w:rsidR="005B556F" w:rsidRPr="001F15B7">
        <w:t>5</w:t>
      </w:r>
      <w:r w:rsidRPr="001F15B7">
        <w:t xml:space="preserve"> цієї постанови, та про надання </w:t>
      </w:r>
      <w:r w:rsidR="002C53E7" w:rsidRPr="001F15B7">
        <w:t xml:space="preserve">відповідальній особі </w:t>
      </w:r>
      <w:r w:rsidRPr="001F15B7">
        <w:t>обґрунтованих зауважень;</w:t>
      </w:r>
    </w:p>
    <w:p w14:paraId="4E3AF9CE" w14:textId="77777777" w:rsidR="00C35F8F" w:rsidRPr="001F15B7" w:rsidRDefault="00C35F8F" w:rsidP="00534006">
      <w:pPr>
        <w:pStyle w:val="ParagraphNumbering"/>
        <w:tabs>
          <w:tab w:val="left" w:pos="851"/>
        </w:tabs>
        <w:spacing w:after="0"/>
        <w:ind w:firstLine="567"/>
        <w:jc w:val="both"/>
        <w:rPr>
          <w:sz w:val="28"/>
          <w:szCs w:val="28"/>
          <w:lang w:val="uk-UA" w:eastAsia="uk-UA"/>
        </w:rPr>
      </w:pPr>
    </w:p>
    <w:p w14:paraId="478E371E" w14:textId="7F46704C" w:rsidR="00C35F8F" w:rsidRPr="001F15B7" w:rsidRDefault="00C35F8F" w:rsidP="00534006">
      <w:pPr>
        <w:pStyle w:val="ParagraphNumbering"/>
        <w:tabs>
          <w:tab w:val="left" w:pos="851"/>
        </w:tabs>
        <w:spacing w:after="0"/>
        <w:ind w:firstLine="567"/>
        <w:jc w:val="both"/>
        <w:rPr>
          <w:sz w:val="28"/>
          <w:szCs w:val="28"/>
          <w:lang w:val="uk-UA" w:eastAsia="uk-UA"/>
        </w:rPr>
      </w:pPr>
      <w:r w:rsidRPr="001F15B7">
        <w:rPr>
          <w:sz w:val="28"/>
          <w:szCs w:val="28"/>
          <w:lang w:val="uk-UA" w:eastAsia="uk-UA"/>
        </w:rPr>
        <w:t>2) доопрацьованої Програми розглядає її та</w:t>
      </w:r>
      <w:r w:rsidR="00E238D6" w:rsidRPr="001F15B7">
        <w:rPr>
          <w:sz w:val="28"/>
          <w:szCs w:val="28"/>
          <w:lang w:val="uk-UA" w:eastAsia="uk-UA"/>
        </w:rPr>
        <w:t xml:space="preserve"> подає Правлінню Національного банку пропозицію</w:t>
      </w:r>
      <w:r w:rsidR="001D3943" w:rsidRPr="001F15B7">
        <w:rPr>
          <w:sz w:val="28"/>
          <w:szCs w:val="28"/>
          <w:lang w:val="uk-UA" w:eastAsia="uk-UA"/>
        </w:rPr>
        <w:t xml:space="preserve"> про</w:t>
      </w:r>
      <w:r w:rsidRPr="001F15B7">
        <w:rPr>
          <w:sz w:val="28"/>
          <w:szCs w:val="28"/>
          <w:lang w:val="uk-UA" w:eastAsia="uk-UA"/>
        </w:rPr>
        <w:t>:</w:t>
      </w:r>
    </w:p>
    <w:p w14:paraId="35E5473A" w14:textId="1069A747" w:rsidR="002C53E7" w:rsidRPr="001F15B7" w:rsidRDefault="00C35F8F" w:rsidP="00534006">
      <w:pPr>
        <w:pStyle w:val="ParagraphNumbering"/>
        <w:tabs>
          <w:tab w:val="left" w:pos="709"/>
          <w:tab w:val="left" w:pos="851"/>
        </w:tabs>
        <w:spacing w:after="0"/>
        <w:ind w:firstLine="567"/>
        <w:jc w:val="both"/>
        <w:rPr>
          <w:sz w:val="28"/>
          <w:szCs w:val="28"/>
          <w:lang w:val="uk-UA"/>
        </w:rPr>
      </w:pPr>
      <w:r w:rsidRPr="001F15B7">
        <w:rPr>
          <w:sz w:val="28"/>
          <w:szCs w:val="28"/>
          <w:lang w:val="uk-UA" w:eastAsia="uk-UA"/>
        </w:rPr>
        <w:t>погодження доопрацьованої Програми, якщо немає обґрунтованих зауважень до Програми</w:t>
      </w:r>
      <w:r w:rsidR="005B556F" w:rsidRPr="001F15B7">
        <w:rPr>
          <w:sz w:val="28"/>
          <w:szCs w:val="28"/>
          <w:lang w:val="uk-UA" w:eastAsia="uk-UA"/>
        </w:rPr>
        <w:t>;</w:t>
      </w:r>
    </w:p>
    <w:p w14:paraId="37EA40EE" w14:textId="25309F03" w:rsidR="00C35F8F" w:rsidRPr="001F15B7" w:rsidRDefault="00C35F8F" w:rsidP="00534006">
      <w:pPr>
        <w:pStyle w:val="ParagraphNumbering"/>
        <w:tabs>
          <w:tab w:val="left" w:pos="709"/>
          <w:tab w:val="left" w:pos="851"/>
        </w:tabs>
        <w:spacing w:after="0"/>
        <w:ind w:firstLine="567"/>
        <w:jc w:val="both"/>
        <w:rPr>
          <w:sz w:val="28"/>
          <w:szCs w:val="28"/>
          <w:lang w:val="uk-UA"/>
        </w:rPr>
      </w:pPr>
      <w:r w:rsidRPr="001F15B7">
        <w:rPr>
          <w:sz w:val="28"/>
          <w:szCs w:val="28"/>
          <w:lang w:val="uk-UA"/>
        </w:rPr>
        <w:t xml:space="preserve">невідповідність доопрацьованої </w:t>
      </w:r>
      <w:r w:rsidR="002C53E7" w:rsidRPr="001F15B7">
        <w:rPr>
          <w:sz w:val="28"/>
          <w:szCs w:val="28"/>
          <w:lang w:val="uk-UA"/>
        </w:rPr>
        <w:t xml:space="preserve">відповідальною особою </w:t>
      </w:r>
      <w:r w:rsidRPr="001F15B7">
        <w:rPr>
          <w:sz w:val="28"/>
          <w:szCs w:val="28"/>
          <w:lang w:val="uk-UA"/>
        </w:rPr>
        <w:t xml:space="preserve">Програми вимогам, установленим у пункті </w:t>
      </w:r>
      <w:r w:rsidR="005B556F" w:rsidRPr="001F15B7">
        <w:rPr>
          <w:sz w:val="28"/>
          <w:szCs w:val="28"/>
          <w:lang w:val="uk-UA"/>
        </w:rPr>
        <w:t>5</w:t>
      </w:r>
      <w:r w:rsidRPr="001F15B7">
        <w:rPr>
          <w:sz w:val="28"/>
          <w:szCs w:val="28"/>
          <w:lang w:val="uk-UA"/>
        </w:rPr>
        <w:t xml:space="preserve"> цієї постанови, </w:t>
      </w:r>
      <w:r w:rsidRPr="0056537B">
        <w:rPr>
          <w:sz w:val="28"/>
          <w:szCs w:val="28"/>
          <w:lang w:val="uk-UA"/>
        </w:rPr>
        <w:t xml:space="preserve">та </w:t>
      </w:r>
      <w:r w:rsidR="0056537B">
        <w:rPr>
          <w:sz w:val="28"/>
          <w:szCs w:val="28"/>
          <w:lang w:val="uk-UA"/>
        </w:rPr>
        <w:t xml:space="preserve">щодо </w:t>
      </w:r>
      <w:r w:rsidRPr="0056537B">
        <w:rPr>
          <w:sz w:val="28"/>
          <w:szCs w:val="28"/>
          <w:lang w:val="uk-UA"/>
        </w:rPr>
        <w:t>застосування до відповідальної особи заходу впливу.</w:t>
      </w:r>
    </w:p>
    <w:p w14:paraId="30C9C187" w14:textId="77777777" w:rsidR="00C35F8F" w:rsidRPr="001F15B7" w:rsidRDefault="00C35F8F" w:rsidP="00534006">
      <w:pPr>
        <w:pStyle w:val="rvps2"/>
        <w:shd w:val="clear" w:color="auto" w:fill="FFFFFF"/>
        <w:spacing w:before="0" w:beforeAutospacing="0" w:after="0" w:afterAutospacing="0"/>
        <w:ind w:firstLine="567"/>
        <w:jc w:val="both"/>
        <w:rPr>
          <w:sz w:val="28"/>
          <w:szCs w:val="28"/>
          <w:lang w:val="uk-UA"/>
        </w:rPr>
      </w:pPr>
    </w:p>
    <w:p w14:paraId="4712346E" w14:textId="1693C746" w:rsidR="00C35F8F" w:rsidRPr="001F15B7" w:rsidRDefault="005B556F" w:rsidP="00534006">
      <w:pPr>
        <w:pStyle w:val="rvps2"/>
        <w:shd w:val="clear" w:color="auto" w:fill="FFFFFF"/>
        <w:spacing w:before="0" w:beforeAutospacing="0" w:after="0" w:afterAutospacing="0"/>
        <w:ind w:firstLine="567"/>
        <w:jc w:val="both"/>
        <w:rPr>
          <w:sz w:val="28"/>
          <w:szCs w:val="28"/>
          <w:lang w:val="uk-UA"/>
        </w:rPr>
      </w:pPr>
      <w:r w:rsidRPr="001F15B7">
        <w:rPr>
          <w:sz w:val="28"/>
          <w:szCs w:val="28"/>
          <w:lang w:val="uk-UA"/>
        </w:rPr>
        <w:t>7</w:t>
      </w:r>
      <w:r w:rsidR="00C35F8F" w:rsidRPr="001F15B7">
        <w:rPr>
          <w:sz w:val="28"/>
          <w:szCs w:val="28"/>
          <w:lang w:val="uk-UA"/>
        </w:rPr>
        <w:t xml:space="preserve">. Правління Національного банку за пропозицією Комітету з питань нагляду, </w:t>
      </w:r>
      <w:r w:rsidR="001B7B51" w:rsidRPr="001F15B7">
        <w:rPr>
          <w:sz w:val="28"/>
          <w:szCs w:val="28"/>
          <w:lang w:val="uk-UA"/>
        </w:rPr>
        <w:t>по</w:t>
      </w:r>
      <w:r w:rsidR="00C35F8F" w:rsidRPr="001F15B7">
        <w:rPr>
          <w:sz w:val="28"/>
          <w:szCs w:val="28"/>
          <w:lang w:val="uk-UA"/>
        </w:rPr>
        <w:t xml:space="preserve">даною згідно з пунктом </w:t>
      </w:r>
      <w:r w:rsidRPr="001F15B7">
        <w:rPr>
          <w:sz w:val="28"/>
          <w:szCs w:val="28"/>
          <w:lang w:val="uk-UA"/>
        </w:rPr>
        <w:t>6</w:t>
      </w:r>
      <w:r w:rsidR="00C35F8F" w:rsidRPr="001F15B7">
        <w:rPr>
          <w:sz w:val="28"/>
          <w:szCs w:val="28"/>
          <w:lang w:val="uk-UA"/>
        </w:rPr>
        <w:t xml:space="preserve"> цієї постанови</w:t>
      </w:r>
      <w:r w:rsidR="00D239E7" w:rsidRPr="001F15B7">
        <w:rPr>
          <w:sz w:val="28"/>
          <w:szCs w:val="28"/>
          <w:lang w:val="uk-UA"/>
        </w:rPr>
        <w:t>, приймає</w:t>
      </w:r>
      <w:r w:rsidR="00E238D6" w:rsidRPr="001F15B7">
        <w:rPr>
          <w:sz w:val="28"/>
          <w:szCs w:val="28"/>
          <w:lang w:val="uk-UA"/>
        </w:rPr>
        <w:t xml:space="preserve"> одне з</w:t>
      </w:r>
      <w:r w:rsidR="00D239E7" w:rsidRPr="001F15B7">
        <w:rPr>
          <w:sz w:val="28"/>
          <w:szCs w:val="28"/>
          <w:lang w:val="uk-UA"/>
        </w:rPr>
        <w:t xml:space="preserve"> рішень</w:t>
      </w:r>
      <w:r w:rsidR="00C35F8F" w:rsidRPr="001F15B7">
        <w:rPr>
          <w:sz w:val="28"/>
          <w:szCs w:val="28"/>
          <w:lang w:val="uk-UA"/>
        </w:rPr>
        <w:t>:</w:t>
      </w:r>
    </w:p>
    <w:p w14:paraId="6EE4FD8D" w14:textId="77777777" w:rsidR="00D239E7" w:rsidRPr="001F15B7" w:rsidRDefault="00D239E7" w:rsidP="00534006">
      <w:pPr>
        <w:pStyle w:val="rvps2"/>
        <w:shd w:val="clear" w:color="auto" w:fill="FFFFFF"/>
        <w:tabs>
          <w:tab w:val="left" w:pos="851"/>
        </w:tabs>
        <w:spacing w:before="0" w:beforeAutospacing="0" w:after="0" w:afterAutospacing="0"/>
        <w:ind w:firstLine="567"/>
        <w:jc w:val="both"/>
        <w:rPr>
          <w:sz w:val="28"/>
          <w:szCs w:val="28"/>
          <w:lang w:val="uk-UA"/>
        </w:rPr>
      </w:pPr>
    </w:p>
    <w:p w14:paraId="20723861" w14:textId="3E50947B" w:rsidR="002C53E7" w:rsidRPr="001F15B7" w:rsidRDefault="00E238D6" w:rsidP="00534006">
      <w:pPr>
        <w:pStyle w:val="rvps2"/>
        <w:shd w:val="clear" w:color="auto" w:fill="FFFFFF"/>
        <w:tabs>
          <w:tab w:val="left" w:pos="851"/>
        </w:tabs>
        <w:spacing w:before="0" w:beforeAutospacing="0" w:after="0" w:afterAutospacing="0"/>
        <w:ind w:firstLine="567"/>
        <w:jc w:val="both"/>
        <w:rPr>
          <w:sz w:val="28"/>
          <w:szCs w:val="28"/>
          <w:lang w:val="uk-UA"/>
        </w:rPr>
      </w:pPr>
      <w:r w:rsidRPr="001F15B7">
        <w:rPr>
          <w:sz w:val="28"/>
          <w:szCs w:val="28"/>
          <w:lang w:val="uk-UA"/>
        </w:rPr>
        <w:t xml:space="preserve">1) </w:t>
      </w:r>
      <w:r w:rsidR="00D239E7" w:rsidRPr="001F15B7">
        <w:rPr>
          <w:sz w:val="28"/>
          <w:szCs w:val="28"/>
          <w:lang w:val="uk-UA"/>
        </w:rPr>
        <w:t xml:space="preserve">про </w:t>
      </w:r>
      <w:r w:rsidR="00C35F8F" w:rsidRPr="001F15B7">
        <w:rPr>
          <w:sz w:val="28"/>
          <w:szCs w:val="28"/>
          <w:lang w:val="uk-UA"/>
        </w:rPr>
        <w:t>погодж</w:t>
      </w:r>
      <w:r w:rsidR="00D239E7" w:rsidRPr="001F15B7">
        <w:rPr>
          <w:sz w:val="28"/>
          <w:szCs w:val="28"/>
          <w:lang w:val="uk-UA"/>
        </w:rPr>
        <w:t>ення</w:t>
      </w:r>
      <w:r w:rsidR="00C35F8F" w:rsidRPr="001F15B7">
        <w:rPr>
          <w:sz w:val="28"/>
          <w:szCs w:val="28"/>
          <w:lang w:val="uk-UA"/>
        </w:rPr>
        <w:t xml:space="preserve"> Програм</w:t>
      </w:r>
      <w:r w:rsidR="00D239E7" w:rsidRPr="001F15B7">
        <w:rPr>
          <w:sz w:val="28"/>
          <w:szCs w:val="28"/>
          <w:lang w:val="uk-UA"/>
        </w:rPr>
        <w:t>и</w:t>
      </w:r>
      <w:r w:rsidR="00AB1B1E" w:rsidRPr="001F15B7">
        <w:rPr>
          <w:sz w:val="28"/>
          <w:szCs w:val="28"/>
          <w:lang w:val="uk-UA"/>
        </w:rPr>
        <w:t> </w:t>
      </w:r>
      <w:r w:rsidR="00C35F8F" w:rsidRPr="001F15B7">
        <w:rPr>
          <w:sz w:val="28"/>
          <w:szCs w:val="28"/>
          <w:lang w:val="uk-UA"/>
        </w:rPr>
        <w:t>/</w:t>
      </w:r>
      <w:r w:rsidR="00AB1B1E" w:rsidRPr="001F15B7">
        <w:rPr>
          <w:sz w:val="28"/>
          <w:szCs w:val="28"/>
          <w:lang w:val="uk-UA"/>
        </w:rPr>
        <w:t> </w:t>
      </w:r>
      <w:r w:rsidR="00C35F8F" w:rsidRPr="001F15B7">
        <w:rPr>
          <w:sz w:val="28"/>
          <w:szCs w:val="28"/>
          <w:lang w:val="uk-UA"/>
        </w:rPr>
        <w:t>доопрацьован</w:t>
      </w:r>
      <w:r w:rsidR="00D239E7" w:rsidRPr="001F15B7">
        <w:rPr>
          <w:sz w:val="28"/>
          <w:szCs w:val="28"/>
          <w:lang w:val="uk-UA"/>
        </w:rPr>
        <w:t>ої</w:t>
      </w:r>
      <w:r w:rsidR="00C35F8F" w:rsidRPr="001F15B7">
        <w:rPr>
          <w:sz w:val="28"/>
          <w:szCs w:val="28"/>
          <w:lang w:val="uk-UA"/>
        </w:rPr>
        <w:t xml:space="preserve"> Програм</w:t>
      </w:r>
      <w:r w:rsidR="00D239E7" w:rsidRPr="001F15B7">
        <w:rPr>
          <w:sz w:val="28"/>
          <w:szCs w:val="28"/>
          <w:lang w:val="uk-UA"/>
        </w:rPr>
        <w:t>и</w:t>
      </w:r>
      <w:r w:rsidR="00C35F8F" w:rsidRPr="001F15B7">
        <w:rPr>
          <w:sz w:val="28"/>
          <w:szCs w:val="28"/>
          <w:lang w:val="uk-UA"/>
        </w:rPr>
        <w:t xml:space="preserve"> в разі її відповідності вимогам, установленим у пункті </w:t>
      </w:r>
      <w:r w:rsidR="005B556F" w:rsidRPr="001F15B7">
        <w:rPr>
          <w:sz w:val="28"/>
          <w:szCs w:val="28"/>
          <w:lang w:val="uk-UA"/>
        </w:rPr>
        <w:t>5</w:t>
      </w:r>
      <w:r w:rsidR="00C35F8F" w:rsidRPr="001F15B7">
        <w:rPr>
          <w:sz w:val="28"/>
          <w:szCs w:val="28"/>
          <w:lang w:val="uk-UA"/>
        </w:rPr>
        <w:t xml:space="preserve"> цієї постанови</w:t>
      </w:r>
      <w:r w:rsidR="007E1CAC" w:rsidRPr="001F15B7">
        <w:rPr>
          <w:sz w:val="28"/>
          <w:szCs w:val="28"/>
          <w:lang w:val="uk-UA"/>
        </w:rPr>
        <w:t>;</w:t>
      </w:r>
    </w:p>
    <w:p w14:paraId="5D885B36" w14:textId="77777777" w:rsidR="00D239E7" w:rsidRPr="001F15B7" w:rsidRDefault="00D239E7" w:rsidP="00534006">
      <w:pPr>
        <w:pStyle w:val="rvps2"/>
        <w:shd w:val="clear" w:color="auto" w:fill="FFFFFF"/>
        <w:tabs>
          <w:tab w:val="left" w:pos="851"/>
        </w:tabs>
        <w:spacing w:before="0" w:beforeAutospacing="0" w:after="0" w:afterAutospacing="0"/>
        <w:ind w:firstLine="567"/>
        <w:jc w:val="both"/>
        <w:rPr>
          <w:sz w:val="28"/>
          <w:szCs w:val="28"/>
          <w:lang w:val="uk-UA"/>
        </w:rPr>
      </w:pPr>
    </w:p>
    <w:p w14:paraId="58E9A19A" w14:textId="345D1A89" w:rsidR="00C35F8F" w:rsidRPr="001F15B7" w:rsidRDefault="00D239E7" w:rsidP="00534006">
      <w:pPr>
        <w:pStyle w:val="rvps2"/>
        <w:shd w:val="clear" w:color="auto" w:fill="FFFFFF"/>
        <w:tabs>
          <w:tab w:val="left" w:pos="851"/>
        </w:tabs>
        <w:spacing w:before="0" w:beforeAutospacing="0" w:after="0" w:afterAutospacing="0"/>
        <w:ind w:firstLine="567"/>
        <w:jc w:val="both"/>
        <w:rPr>
          <w:sz w:val="28"/>
          <w:szCs w:val="28"/>
          <w:lang w:val="uk-UA"/>
        </w:rPr>
      </w:pPr>
      <w:r w:rsidRPr="001F15B7">
        <w:rPr>
          <w:sz w:val="28"/>
          <w:szCs w:val="28"/>
          <w:lang w:val="uk-UA"/>
        </w:rPr>
        <w:t xml:space="preserve">2) </w:t>
      </w:r>
      <w:r w:rsidR="00C35F8F" w:rsidRPr="001F15B7">
        <w:rPr>
          <w:sz w:val="28"/>
          <w:szCs w:val="28"/>
          <w:lang w:val="uk-UA"/>
        </w:rPr>
        <w:t xml:space="preserve">про невідповідність доопрацьованої </w:t>
      </w:r>
      <w:r w:rsidR="00273DFD" w:rsidRPr="001F15B7">
        <w:rPr>
          <w:sz w:val="28"/>
          <w:szCs w:val="28"/>
          <w:lang w:val="uk-UA"/>
        </w:rPr>
        <w:t>відповідальною особою</w:t>
      </w:r>
      <w:r w:rsidR="00C35F8F" w:rsidRPr="001F15B7">
        <w:rPr>
          <w:sz w:val="28"/>
          <w:szCs w:val="28"/>
          <w:lang w:val="uk-UA"/>
        </w:rPr>
        <w:t xml:space="preserve"> Програми вимогам, установленим у пункті </w:t>
      </w:r>
      <w:r w:rsidR="007D3C4A" w:rsidRPr="001F15B7">
        <w:rPr>
          <w:sz w:val="28"/>
          <w:szCs w:val="28"/>
          <w:lang w:val="uk-UA"/>
        </w:rPr>
        <w:t>5</w:t>
      </w:r>
      <w:r w:rsidR="00C35F8F" w:rsidRPr="001F15B7">
        <w:rPr>
          <w:sz w:val="28"/>
          <w:szCs w:val="28"/>
          <w:lang w:val="uk-UA"/>
        </w:rPr>
        <w:t xml:space="preserve"> цієї постанови.</w:t>
      </w:r>
    </w:p>
    <w:p w14:paraId="15E96BE9" w14:textId="77777777" w:rsidR="00C35F8F" w:rsidRPr="001F15B7" w:rsidRDefault="00C35F8F" w:rsidP="00534006">
      <w:pPr>
        <w:pStyle w:val="rvps2"/>
        <w:shd w:val="clear" w:color="auto" w:fill="FFFFFF"/>
        <w:spacing w:before="0" w:beforeAutospacing="0" w:after="0" w:afterAutospacing="0"/>
        <w:ind w:firstLine="567"/>
        <w:jc w:val="both"/>
        <w:rPr>
          <w:sz w:val="28"/>
          <w:szCs w:val="28"/>
          <w:lang w:val="uk-UA"/>
        </w:rPr>
      </w:pPr>
    </w:p>
    <w:p w14:paraId="36DD90C1" w14:textId="72CFCA2A" w:rsidR="002C53E7" w:rsidRPr="001F15B7" w:rsidRDefault="007D3C4A" w:rsidP="00534006">
      <w:pPr>
        <w:shd w:val="clear" w:color="auto" w:fill="FFFFFF"/>
        <w:ind w:firstLine="567"/>
        <w:rPr>
          <w:color w:val="000000" w:themeColor="text1"/>
        </w:rPr>
      </w:pPr>
      <w:r w:rsidRPr="001F15B7">
        <w:rPr>
          <w:color w:val="000000" w:themeColor="text1"/>
        </w:rPr>
        <w:t>8</w:t>
      </w:r>
      <w:r w:rsidR="00C35F8F" w:rsidRPr="001F15B7">
        <w:rPr>
          <w:color w:val="000000" w:themeColor="text1"/>
        </w:rPr>
        <w:t>. Відповідальна особа забезпечує виконання погодженої Національним банком Програми та подає до Національного банку детальні звіти про її виконання станом на</w:t>
      </w:r>
      <w:r w:rsidR="002C53E7" w:rsidRPr="001F15B7">
        <w:rPr>
          <w:color w:val="000000" w:themeColor="text1"/>
        </w:rPr>
        <w:t>:</w:t>
      </w:r>
    </w:p>
    <w:p w14:paraId="66194726" w14:textId="77777777" w:rsidR="00D239E7" w:rsidRPr="001F15B7" w:rsidRDefault="00D239E7" w:rsidP="00534006">
      <w:pPr>
        <w:shd w:val="clear" w:color="auto" w:fill="FFFFFF"/>
        <w:ind w:firstLine="567"/>
        <w:rPr>
          <w:color w:val="000000" w:themeColor="text1"/>
        </w:rPr>
      </w:pPr>
    </w:p>
    <w:p w14:paraId="6D06FE0C" w14:textId="0E0FB5B2" w:rsidR="002C53E7" w:rsidRPr="001F15B7" w:rsidRDefault="00E238D6" w:rsidP="00534006">
      <w:pPr>
        <w:shd w:val="clear" w:color="auto" w:fill="FFFFFF"/>
        <w:ind w:firstLine="567"/>
        <w:rPr>
          <w:color w:val="000000" w:themeColor="text1"/>
        </w:rPr>
      </w:pPr>
      <w:r w:rsidRPr="001F15B7">
        <w:rPr>
          <w:color w:val="000000" w:themeColor="text1"/>
        </w:rPr>
        <w:lastRenderedPageBreak/>
        <w:t xml:space="preserve">1) </w:t>
      </w:r>
      <w:r w:rsidR="00C35F8F" w:rsidRPr="001F15B7">
        <w:rPr>
          <w:color w:val="000000" w:themeColor="text1"/>
        </w:rPr>
        <w:t xml:space="preserve">перше число кожного кварталу протягом строку виконання програми до </w:t>
      </w:r>
      <w:r w:rsidR="00283495" w:rsidRPr="001F15B7">
        <w:rPr>
          <w:color w:val="000000" w:themeColor="text1"/>
        </w:rPr>
        <w:t xml:space="preserve">першого </w:t>
      </w:r>
      <w:r w:rsidR="00C35F8F" w:rsidRPr="001F15B7">
        <w:rPr>
          <w:color w:val="000000" w:themeColor="text1"/>
        </w:rPr>
        <w:t>числа другого місяця, наступного за звітним кварталом</w:t>
      </w:r>
      <w:r w:rsidR="002C53E7" w:rsidRPr="001F15B7">
        <w:rPr>
          <w:color w:val="000000" w:themeColor="text1"/>
        </w:rPr>
        <w:t>;</w:t>
      </w:r>
    </w:p>
    <w:p w14:paraId="510AFE97" w14:textId="77777777" w:rsidR="00D239E7" w:rsidRPr="001F15B7" w:rsidRDefault="00D239E7" w:rsidP="00534006">
      <w:pPr>
        <w:shd w:val="clear" w:color="auto" w:fill="FFFFFF"/>
        <w:ind w:firstLine="567"/>
        <w:rPr>
          <w:color w:val="000000" w:themeColor="text1"/>
        </w:rPr>
      </w:pPr>
    </w:p>
    <w:p w14:paraId="404D0C91" w14:textId="446425CD" w:rsidR="00C35F8F" w:rsidRPr="001F15B7" w:rsidRDefault="00E238D6" w:rsidP="00534006">
      <w:pPr>
        <w:shd w:val="clear" w:color="auto" w:fill="FFFFFF"/>
        <w:ind w:firstLine="567"/>
        <w:rPr>
          <w:color w:val="000000" w:themeColor="text1"/>
        </w:rPr>
      </w:pPr>
      <w:r w:rsidRPr="001F15B7">
        <w:rPr>
          <w:color w:val="000000" w:themeColor="text1"/>
        </w:rPr>
        <w:t xml:space="preserve">2) </w:t>
      </w:r>
      <w:r w:rsidR="00C35F8F" w:rsidRPr="001F15B7">
        <w:rPr>
          <w:color w:val="000000" w:themeColor="text1"/>
        </w:rPr>
        <w:t xml:space="preserve">станом на 01 січня року, наступного за </w:t>
      </w:r>
      <w:r w:rsidR="002C53E7" w:rsidRPr="001F15B7">
        <w:rPr>
          <w:color w:val="000000" w:themeColor="text1"/>
        </w:rPr>
        <w:t>звітним</w:t>
      </w:r>
      <w:r w:rsidR="00C35F8F" w:rsidRPr="001F15B7">
        <w:rPr>
          <w:color w:val="000000" w:themeColor="text1"/>
        </w:rPr>
        <w:t xml:space="preserve">, </w:t>
      </w:r>
      <w:r w:rsidR="00273DFD" w:rsidRPr="001F15B7">
        <w:t>–</w:t>
      </w:r>
      <w:r w:rsidR="00C35F8F" w:rsidRPr="001F15B7">
        <w:rPr>
          <w:color w:val="000000" w:themeColor="text1"/>
        </w:rPr>
        <w:t xml:space="preserve"> до 01 червня.</w:t>
      </w:r>
    </w:p>
    <w:p w14:paraId="66E7FA67" w14:textId="77777777" w:rsidR="00170792" w:rsidRPr="001F15B7" w:rsidRDefault="00170792" w:rsidP="00534006">
      <w:pPr>
        <w:shd w:val="clear" w:color="auto" w:fill="FFFFFF"/>
        <w:ind w:firstLine="567"/>
        <w:rPr>
          <w:color w:val="000000" w:themeColor="text1"/>
        </w:rPr>
      </w:pPr>
    </w:p>
    <w:p w14:paraId="6C7E388D" w14:textId="0BBA20FE" w:rsidR="00434771" w:rsidRPr="001F15B7" w:rsidRDefault="007D3C4A" w:rsidP="00534006">
      <w:pPr>
        <w:ind w:firstLine="567"/>
      </w:pPr>
      <w:r w:rsidRPr="001F15B7">
        <w:rPr>
          <w:rFonts w:eastAsiaTheme="minorEastAsia"/>
          <w:noProof/>
          <w:lang w:eastAsia="en-US"/>
        </w:rPr>
        <w:t>9</w:t>
      </w:r>
      <w:r w:rsidR="00434771" w:rsidRPr="001F15B7">
        <w:rPr>
          <w:rFonts w:eastAsiaTheme="minorEastAsia"/>
          <w:noProof/>
          <w:lang w:eastAsia="en-US"/>
        </w:rPr>
        <w:t>.</w:t>
      </w:r>
      <w:r w:rsidR="00434771" w:rsidRPr="001F15B7">
        <w:rPr>
          <w:rFonts w:eastAsiaTheme="minorEastAsia"/>
          <w:noProof/>
          <w:lang w:val="ru-RU" w:eastAsia="en-US"/>
        </w:rPr>
        <w:t> </w:t>
      </w:r>
      <w:r w:rsidR="00434771" w:rsidRPr="001F15B7">
        <w:t>Департаменту методології регулювання діяльності банків (Оксана Присяженко) після офіційного опублікування довести до відома банків України інформацію про прийняття цієї постанови.</w:t>
      </w:r>
    </w:p>
    <w:p w14:paraId="414C7215" w14:textId="77777777" w:rsidR="00434771" w:rsidRPr="001F15B7" w:rsidRDefault="00434771" w:rsidP="00534006">
      <w:pPr>
        <w:ind w:firstLine="567"/>
      </w:pPr>
    </w:p>
    <w:p w14:paraId="2CC16905" w14:textId="06BF525D" w:rsidR="00434771" w:rsidRPr="001F15B7" w:rsidRDefault="007D3C4A" w:rsidP="00534006">
      <w:pPr>
        <w:ind w:firstLine="567"/>
        <w:rPr>
          <w:rFonts w:eastAsiaTheme="minorEastAsia"/>
          <w:noProof/>
          <w:lang w:eastAsia="en-US"/>
        </w:rPr>
      </w:pPr>
      <w:r w:rsidRPr="001F15B7">
        <w:rPr>
          <w:rFonts w:eastAsiaTheme="minorEastAsia"/>
          <w:noProof/>
          <w:lang w:eastAsia="en-US"/>
        </w:rPr>
        <w:t>10</w:t>
      </w:r>
      <w:r w:rsidR="00434771" w:rsidRPr="001F15B7">
        <w:rPr>
          <w:rFonts w:eastAsiaTheme="minorEastAsia"/>
          <w:noProof/>
          <w:lang w:eastAsia="en-US"/>
        </w:rPr>
        <w:t>.</w:t>
      </w:r>
      <w:r w:rsidR="00434771" w:rsidRPr="001F15B7">
        <w:rPr>
          <w:rFonts w:eastAsiaTheme="minorEastAsia"/>
          <w:noProof/>
          <w:lang w:val="ru-RU" w:eastAsia="en-US"/>
        </w:rPr>
        <w:t> </w:t>
      </w:r>
      <w:r w:rsidR="00434771" w:rsidRPr="001F15B7">
        <w:rPr>
          <w:rFonts w:eastAsiaTheme="minorEastAsia"/>
          <w:noProof/>
          <w:lang w:eastAsia="en-US"/>
        </w:rPr>
        <w:t>Постанова набирає чинності з дня</w:t>
      </w:r>
      <w:r w:rsidR="00C30C67" w:rsidRPr="001F15B7">
        <w:rPr>
          <w:rFonts w:eastAsiaTheme="minorEastAsia"/>
          <w:noProof/>
          <w:lang w:eastAsia="en-US"/>
        </w:rPr>
        <w:t>, наступного за днем</w:t>
      </w:r>
      <w:r w:rsidR="00434771" w:rsidRPr="001F15B7">
        <w:rPr>
          <w:rFonts w:eastAsiaTheme="minorEastAsia"/>
          <w:noProof/>
          <w:lang w:eastAsia="en-US"/>
        </w:rPr>
        <w:t xml:space="preserve"> її офіційного опублікування, крім </w:t>
      </w:r>
      <w:r w:rsidRPr="001F15B7">
        <w:rPr>
          <w:rFonts w:eastAsiaTheme="minorEastAsia"/>
          <w:noProof/>
          <w:lang w:eastAsia="en-US"/>
        </w:rPr>
        <w:t xml:space="preserve">підпункту 2 </w:t>
      </w:r>
      <w:r w:rsidR="00434771" w:rsidRPr="001F15B7">
        <w:rPr>
          <w:rFonts w:eastAsiaTheme="minorEastAsia"/>
          <w:noProof/>
          <w:lang w:eastAsia="en-US"/>
        </w:rPr>
        <w:t xml:space="preserve">пункту </w:t>
      </w:r>
      <w:r w:rsidRPr="001F15B7">
        <w:rPr>
          <w:rFonts w:eastAsiaTheme="minorEastAsia"/>
          <w:noProof/>
          <w:lang w:eastAsia="en-US"/>
        </w:rPr>
        <w:t>1</w:t>
      </w:r>
      <w:r w:rsidR="00434771" w:rsidRPr="001F15B7">
        <w:rPr>
          <w:rFonts w:eastAsiaTheme="minorEastAsia"/>
          <w:noProof/>
          <w:lang w:eastAsia="en-US"/>
        </w:rPr>
        <w:t>, який набирає чинності з 05 серпня 2024 року.</w:t>
      </w:r>
    </w:p>
    <w:p w14:paraId="12E6B30B" w14:textId="55EEDB6D" w:rsidR="00E837D5" w:rsidRPr="001F15B7" w:rsidRDefault="00E837D5" w:rsidP="00534006">
      <w:pPr>
        <w:ind w:firstLine="567"/>
      </w:pPr>
    </w:p>
    <w:p w14:paraId="4764D7D6" w14:textId="77777777" w:rsidR="00D239E7" w:rsidRPr="001F15B7" w:rsidRDefault="00D239E7" w:rsidP="00534006">
      <w:pPr>
        <w:ind w:firstLine="567"/>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14455D" w:rsidRPr="00CD0CD4" w14:paraId="7EE5A573" w14:textId="77777777" w:rsidTr="009F3E12">
        <w:tc>
          <w:tcPr>
            <w:tcW w:w="5387" w:type="dxa"/>
            <w:vAlign w:val="bottom"/>
          </w:tcPr>
          <w:p w14:paraId="376F78C0" w14:textId="77777777" w:rsidR="0014455D" w:rsidRPr="00CD0CD4" w:rsidRDefault="0014455D" w:rsidP="00D64DF7">
            <w:pPr>
              <w:autoSpaceDE w:val="0"/>
              <w:autoSpaceDN w:val="0"/>
              <w:jc w:val="left"/>
            </w:pPr>
            <w:r>
              <w:t>Голова</w:t>
            </w:r>
          </w:p>
        </w:tc>
        <w:tc>
          <w:tcPr>
            <w:tcW w:w="4252" w:type="dxa"/>
            <w:vAlign w:val="bottom"/>
          </w:tcPr>
          <w:p w14:paraId="4A7829BA" w14:textId="77777777" w:rsidR="0014455D" w:rsidRPr="00CD0CD4" w:rsidRDefault="0014455D" w:rsidP="00D64DF7">
            <w:pPr>
              <w:tabs>
                <w:tab w:val="left" w:pos="7020"/>
                <w:tab w:val="left" w:pos="7200"/>
              </w:tabs>
              <w:autoSpaceDE w:val="0"/>
              <w:autoSpaceDN w:val="0"/>
              <w:jc w:val="right"/>
            </w:pPr>
            <w:r>
              <w:t>Андрій ПИШНИЙ</w:t>
            </w:r>
          </w:p>
        </w:tc>
      </w:tr>
    </w:tbl>
    <w:p w14:paraId="218FB64D" w14:textId="77777777" w:rsidR="00D239E7" w:rsidRDefault="00D239E7" w:rsidP="00D64DF7">
      <w:pPr>
        <w:jc w:val="left"/>
      </w:pPr>
    </w:p>
    <w:p w14:paraId="79D59780" w14:textId="77777777" w:rsidR="005B556F" w:rsidRDefault="0014455D">
      <w:pPr>
        <w:jc w:val="left"/>
        <w:sectPr w:rsidR="005B556F" w:rsidSect="001F15B7">
          <w:headerReference w:type="default" r:id="rId14"/>
          <w:pgSz w:w="11906" w:h="16838" w:code="9"/>
          <w:pgMar w:top="567" w:right="567" w:bottom="1701" w:left="1701" w:header="567" w:footer="709" w:gutter="0"/>
          <w:cols w:space="708"/>
          <w:titlePg/>
          <w:docGrid w:linePitch="381"/>
        </w:sectPr>
      </w:pPr>
      <w:r w:rsidRPr="00CD0CD4">
        <w:t>Інд.</w:t>
      </w:r>
      <w:r>
        <w:t xml:space="preserve"> 22</w:t>
      </w:r>
    </w:p>
    <w:p w14:paraId="5BA3E7FB" w14:textId="77777777" w:rsidR="005B556F" w:rsidRDefault="005B556F" w:rsidP="005B556F">
      <w:pPr>
        <w:ind w:left="5954"/>
      </w:pPr>
      <w:r>
        <w:lastRenderedPageBreak/>
        <w:t>ЗАТВЕРДЖЕНО</w:t>
      </w:r>
    </w:p>
    <w:p w14:paraId="3A0763F9" w14:textId="0FEBA558" w:rsidR="005B556F" w:rsidRDefault="005B556F" w:rsidP="005B556F">
      <w:pPr>
        <w:ind w:left="5954"/>
        <w:jc w:val="left"/>
      </w:pPr>
      <w:r>
        <w:t>Постанова Правління  Національного банку України</w:t>
      </w:r>
    </w:p>
    <w:p w14:paraId="5E32D9C3" w14:textId="184DF5DF" w:rsidR="004F595A" w:rsidRDefault="00517BAF" w:rsidP="005B556F">
      <w:pPr>
        <w:ind w:left="5954"/>
        <w:jc w:val="left"/>
      </w:pPr>
      <w:r>
        <w:t>17 липня 2024 року</w:t>
      </w:r>
      <w:r w:rsidR="00C93A78">
        <w:t xml:space="preserve"> №</w:t>
      </w:r>
      <w:r w:rsidR="00A50D3D">
        <w:t> </w:t>
      </w:r>
      <w:bookmarkStart w:id="0" w:name="_GoBack"/>
      <w:bookmarkEnd w:id="0"/>
      <w:r w:rsidR="00C93A78">
        <w:t>86</w:t>
      </w:r>
    </w:p>
    <w:p w14:paraId="48930E7D" w14:textId="77777777" w:rsidR="005B556F" w:rsidRDefault="005B556F" w:rsidP="005B556F">
      <w:pPr>
        <w:ind w:left="5954"/>
      </w:pPr>
    </w:p>
    <w:p w14:paraId="250694EA" w14:textId="77777777" w:rsidR="0088060D" w:rsidRDefault="005B556F" w:rsidP="005B556F">
      <w:pPr>
        <w:jc w:val="center"/>
      </w:pPr>
      <w:r>
        <w:t xml:space="preserve">Зміни до </w:t>
      </w:r>
      <w:r w:rsidRPr="007949E9">
        <w:t xml:space="preserve">Положення </w:t>
      </w:r>
    </w:p>
    <w:p w14:paraId="4C9FB2BE" w14:textId="6321DC20" w:rsidR="005B556F" w:rsidRDefault="005B556F" w:rsidP="005B556F">
      <w:pPr>
        <w:jc w:val="center"/>
        <w:rPr>
          <w:color w:val="000000" w:themeColor="text1"/>
          <w:shd w:val="clear" w:color="auto" w:fill="FFFFFF"/>
        </w:rPr>
      </w:pPr>
      <w:r w:rsidRPr="007949E9">
        <w:t>про</w:t>
      </w:r>
      <w:r w:rsidRPr="00AA2CE1">
        <w:rPr>
          <w:color w:val="000000" w:themeColor="text1"/>
          <w:shd w:val="clear" w:color="auto" w:fill="FFFFFF"/>
        </w:rPr>
        <w:t xml:space="preserve"> порядок ідентифікації та визнання банківських груп</w:t>
      </w:r>
    </w:p>
    <w:p w14:paraId="2598FAFE" w14:textId="77777777" w:rsidR="005B556F" w:rsidRDefault="005B556F" w:rsidP="005B556F">
      <w:pPr>
        <w:pStyle w:val="af3"/>
        <w:ind w:left="0" w:firstLine="720"/>
        <w:rPr>
          <w:color w:val="000000" w:themeColor="text1"/>
          <w:shd w:val="clear" w:color="auto" w:fill="FFFFFF"/>
          <w:lang w:val="ru-RU"/>
        </w:rPr>
      </w:pPr>
    </w:p>
    <w:p w14:paraId="78E19F30" w14:textId="77777777" w:rsidR="005B556F" w:rsidRDefault="005B556F" w:rsidP="005B556F">
      <w:pPr>
        <w:pStyle w:val="af3"/>
        <w:ind w:left="0" w:firstLine="720"/>
        <w:rPr>
          <w:color w:val="000000" w:themeColor="text1"/>
          <w:shd w:val="clear" w:color="auto" w:fill="FFFFFF"/>
        </w:rPr>
      </w:pPr>
      <w:r w:rsidRPr="00AA2CE1">
        <w:rPr>
          <w:color w:val="000000" w:themeColor="text1"/>
          <w:shd w:val="clear" w:color="auto" w:fill="FFFFFF"/>
          <w:lang w:val="ru-RU"/>
        </w:rPr>
        <w:t>1</w:t>
      </w:r>
      <w:r>
        <w:rPr>
          <w:color w:val="000000" w:themeColor="text1"/>
          <w:shd w:val="clear" w:color="auto" w:fill="FFFFFF"/>
          <w:lang w:val="ru-RU"/>
        </w:rPr>
        <w:t>.</w:t>
      </w:r>
      <w:r w:rsidRPr="00AA2CE1">
        <w:rPr>
          <w:color w:val="000000" w:themeColor="text1"/>
          <w:shd w:val="clear" w:color="auto" w:fill="FFFFFF"/>
          <w:lang w:val="ru-RU"/>
        </w:rPr>
        <w:t xml:space="preserve"> </w:t>
      </w:r>
      <w:r>
        <w:rPr>
          <w:color w:val="000000" w:themeColor="text1"/>
          <w:shd w:val="clear" w:color="auto" w:fill="FFFFFF"/>
          <w:lang w:val="ru-RU"/>
        </w:rPr>
        <w:t>У</w:t>
      </w:r>
      <w:r w:rsidRPr="00AA2CE1">
        <w:rPr>
          <w:color w:val="000000" w:themeColor="text1"/>
          <w:shd w:val="clear" w:color="auto" w:fill="FFFFFF"/>
          <w:lang w:val="ru-RU"/>
        </w:rPr>
        <w:t xml:space="preserve"> </w:t>
      </w:r>
      <w:proofErr w:type="spellStart"/>
      <w:r w:rsidRPr="00AA2CE1">
        <w:rPr>
          <w:color w:val="000000" w:themeColor="text1"/>
          <w:shd w:val="clear" w:color="auto" w:fill="FFFFFF"/>
          <w:lang w:val="ru-RU"/>
        </w:rPr>
        <w:t>пункті</w:t>
      </w:r>
      <w:proofErr w:type="spellEnd"/>
      <w:r w:rsidRPr="00AA2CE1">
        <w:rPr>
          <w:color w:val="000000" w:themeColor="text1"/>
          <w:shd w:val="clear" w:color="auto" w:fill="FFFFFF"/>
          <w:lang w:val="ru-RU"/>
        </w:rPr>
        <w:t xml:space="preserve"> 2.2 </w:t>
      </w:r>
      <w:proofErr w:type="spellStart"/>
      <w:r w:rsidRPr="00AA2CE1">
        <w:rPr>
          <w:color w:val="000000" w:themeColor="text1"/>
          <w:shd w:val="clear" w:color="auto" w:fill="FFFFFF"/>
          <w:lang w:val="ru-RU"/>
        </w:rPr>
        <w:t>глави</w:t>
      </w:r>
      <w:proofErr w:type="spellEnd"/>
      <w:r w:rsidRPr="00AA2CE1">
        <w:rPr>
          <w:color w:val="000000" w:themeColor="text1"/>
          <w:shd w:val="clear" w:color="auto" w:fill="FFFFFF"/>
          <w:lang w:val="ru-RU"/>
        </w:rPr>
        <w:t xml:space="preserve"> 2 </w:t>
      </w:r>
      <w:proofErr w:type="spellStart"/>
      <w:r w:rsidRPr="00AA2CE1">
        <w:rPr>
          <w:color w:val="000000" w:themeColor="text1"/>
          <w:shd w:val="clear" w:color="auto" w:fill="FFFFFF"/>
          <w:lang w:val="ru-RU"/>
        </w:rPr>
        <w:t>розділу</w:t>
      </w:r>
      <w:proofErr w:type="spellEnd"/>
      <w:r w:rsidRPr="00AA2CE1">
        <w:rPr>
          <w:color w:val="000000" w:themeColor="text1"/>
          <w:shd w:val="clear" w:color="auto" w:fill="FFFFFF"/>
          <w:lang w:val="ru-RU"/>
        </w:rPr>
        <w:t xml:space="preserve"> </w:t>
      </w:r>
      <w:r w:rsidRPr="00AA2CE1">
        <w:rPr>
          <w:color w:val="000000" w:themeColor="text1"/>
          <w:shd w:val="clear" w:color="auto" w:fill="FFFFFF"/>
          <w:lang w:val="en-US"/>
        </w:rPr>
        <w:t>III</w:t>
      </w:r>
      <w:r w:rsidRPr="00AA2CE1">
        <w:rPr>
          <w:color w:val="000000" w:themeColor="text1"/>
          <w:shd w:val="clear" w:color="auto" w:fill="FFFFFF"/>
        </w:rPr>
        <w:t>:</w:t>
      </w:r>
    </w:p>
    <w:p w14:paraId="02A4E821" w14:textId="77777777" w:rsidR="005B556F" w:rsidRPr="00AA2CE1" w:rsidRDefault="005B556F" w:rsidP="005B556F">
      <w:pPr>
        <w:pStyle w:val="af3"/>
        <w:ind w:left="0" w:firstLine="720"/>
        <w:rPr>
          <w:color w:val="000000" w:themeColor="text1"/>
          <w:shd w:val="clear" w:color="auto" w:fill="FFFFFF"/>
        </w:rPr>
      </w:pPr>
    </w:p>
    <w:p w14:paraId="0B69FEDA" w14:textId="77777777" w:rsidR="005B556F" w:rsidRDefault="005B556F" w:rsidP="005B556F">
      <w:pPr>
        <w:pStyle w:val="af3"/>
        <w:ind w:left="0" w:firstLine="720"/>
        <w:rPr>
          <w:color w:val="000000" w:themeColor="text1"/>
          <w:shd w:val="clear" w:color="auto" w:fill="FFFFFF"/>
        </w:rPr>
      </w:pPr>
      <w:r>
        <w:rPr>
          <w:color w:val="000000" w:themeColor="text1"/>
          <w:shd w:val="clear" w:color="auto" w:fill="FFFFFF"/>
        </w:rPr>
        <w:t xml:space="preserve">1) </w:t>
      </w:r>
      <w:r w:rsidRPr="00AA2CE1">
        <w:rPr>
          <w:color w:val="000000" w:themeColor="text1"/>
          <w:shd w:val="clear" w:color="auto" w:fill="FFFFFF"/>
        </w:rPr>
        <w:t>в абзаці другому слова “страхових компаній” замінити словом “страховиків”</w:t>
      </w:r>
      <w:r w:rsidRPr="006B6FA3">
        <w:rPr>
          <w:color w:val="000000" w:themeColor="text1"/>
          <w:shd w:val="clear" w:color="auto" w:fill="FFFFFF"/>
        </w:rPr>
        <w:t>;</w:t>
      </w:r>
    </w:p>
    <w:p w14:paraId="7C62A1E6" w14:textId="77777777" w:rsidR="005B556F" w:rsidRPr="006B6FA3" w:rsidRDefault="005B556F" w:rsidP="005B556F">
      <w:pPr>
        <w:pStyle w:val="af3"/>
        <w:ind w:left="0" w:firstLine="720"/>
        <w:rPr>
          <w:color w:val="000000" w:themeColor="text1"/>
          <w:shd w:val="clear" w:color="auto" w:fill="FFFFFF"/>
        </w:rPr>
      </w:pPr>
    </w:p>
    <w:p w14:paraId="6EE9E7EF" w14:textId="2C5E9101" w:rsidR="005B556F" w:rsidRPr="006B6FA3" w:rsidRDefault="005B556F" w:rsidP="005B556F">
      <w:pPr>
        <w:pStyle w:val="af3"/>
        <w:ind w:left="0" w:firstLine="720"/>
        <w:rPr>
          <w:color w:val="000000" w:themeColor="text1"/>
          <w:shd w:val="clear" w:color="auto" w:fill="FFFFFF"/>
        </w:rPr>
      </w:pPr>
      <w:r>
        <w:rPr>
          <w:color w:val="000000" w:themeColor="text1"/>
          <w:shd w:val="clear" w:color="auto" w:fill="FFFFFF"/>
        </w:rPr>
        <w:t xml:space="preserve">2) </w:t>
      </w:r>
      <w:r w:rsidRPr="00AA2CE1">
        <w:rPr>
          <w:color w:val="000000" w:themeColor="text1"/>
          <w:shd w:val="clear" w:color="auto" w:fill="FFFFFF"/>
        </w:rPr>
        <w:t>в абзаці третьому слова “</w:t>
      </w:r>
      <w:r w:rsidRPr="006B6FA3">
        <w:rPr>
          <w:color w:val="000000" w:themeColor="text1"/>
          <w:shd w:val="clear" w:color="auto" w:fill="FFFFFF"/>
        </w:rPr>
        <w:t>дві і більше страхових компаній</w:t>
      </w:r>
      <w:r w:rsidRPr="00AA2CE1">
        <w:rPr>
          <w:color w:val="000000" w:themeColor="text1"/>
          <w:shd w:val="clear" w:color="auto" w:fill="FFFFFF"/>
          <w:lang w:val="ru-RU"/>
        </w:rPr>
        <w:t>”</w:t>
      </w:r>
      <w:r w:rsidRPr="00AA2CE1">
        <w:rPr>
          <w:color w:val="000000" w:themeColor="text1"/>
          <w:shd w:val="clear" w:color="auto" w:fill="FFFFFF"/>
        </w:rPr>
        <w:t xml:space="preserve"> замінити словами “два і більше страховик</w:t>
      </w:r>
      <w:r>
        <w:rPr>
          <w:color w:val="000000" w:themeColor="text1"/>
          <w:shd w:val="clear" w:color="auto" w:fill="FFFFFF"/>
        </w:rPr>
        <w:t>ів</w:t>
      </w:r>
      <w:r w:rsidRPr="00AA2CE1">
        <w:rPr>
          <w:color w:val="000000" w:themeColor="text1"/>
          <w:shd w:val="clear" w:color="auto" w:fill="FFFFFF"/>
        </w:rPr>
        <w:t>”</w:t>
      </w:r>
      <w:r w:rsidR="00DB2C84">
        <w:rPr>
          <w:color w:val="000000" w:themeColor="text1"/>
          <w:shd w:val="clear" w:color="auto" w:fill="FFFFFF"/>
        </w:rPr>
        <w:t>.</w:t>
      </w:r>
    </w:p>
    <w:p w14:paraId="1E73A267" w14:textId="77777777" w:rsidR="005B556F" w:rsidRPr="00AA2CE1" w:rsidRDefault="005B556F" w:rsidP="005B556F">
      <w:pPr>
        <w:pStyle w:val="af3"/>
        <w:ind w:left="0" w:firstLine="720"/>
        <w:rPr>
          <w:rFonts w:eastAsiaTheme="minorEastAsia"/>
          <w:noProof/>
          <w:lang w:eastAsia="en-US"/>
        </w:rPr>
      </w:pPr>
    </w:p>
    <w:p w14:paraId="552A1685" w14:textId="0D29F2A4" w:rsidR="005B556F" w:rsidRDefault="00DB2C84" w:rsidP="005B556F">
      <w:pPr>
        <w:pStyle w:val="af3"/>
        <w:ind w:left="0" w:firstLine="720"/>
        <w:rPr>
          <w:color w:val="000000" w:themeColor="text1"/>
          <w:shd w:val="clear" w:color="auto" w:fill="FFFFFF"/>
        </w:rPr>
      </w:pPr>
      <w:r>
        <w:rPr>
          <w:rFonts w:eastAsiaTheme="minorEastAsia"/>
          <w:noProof/>
          <w:lang w:eastAsia="en-US"/>
        </w:rPr>
        <w:t>2. У</w:t>
      </w:r>
      <w:r w:rsidR="005B556F" w:rsidRPr="00AA2CE1">
        <w:rPr>
          <w:color w:val="000000" w:themeColor="text1"/>
          <w:shd w:val="clear" w:color="auto" w:fill="FFFFFF"/>
        </w:rPr>
        <w:t xml:space="preserve"> </w:t>
      </w:r>
      <w:r w:rsidR="005B556F" w:rsidRPr="00AA2CE1">
        <w:rPr>
          <w:color w:val="000000" w:themeColor="text1"/>
        </w:rPr>
        <w:t>додатках 6, 7, 9, 10</w:t>
      </w:r>
      <w:r w:rsidR="005B556F" w:rsidRPr="00AA2CE1">
        <w:rPr>
          <w:color w:val="000000" w:themeColor="text1"/>
          <w:shd w:val="clear" w:color="auto" w:fill="FFFFFF"/>
        </w:rPr>
        <w:t xml:space="preserve"> до Положення слова “страхові компанії” у всіх відмінках замінити відповідно словом “страховики” у відповідних відмінках.</w:t>
      </w:r>
    </w:p>
    <w:p w14:paraId="4AAEC2A2" w14:textId="77777777" w:rsidR="005B556F" w:rsidRDefault="005B556F" w:rsidP="005B556F">
      <w:pPr>
        <w:jc w:val="center"/>
        <w:rPr>
          <w:color w:val="000000" w:themeColor="text1"/>
          <w:shd w:val="clear" w:color="auto" w:fill="FFFFFF"/>
        </w:rPr>
      </w:pPr>
    </w:p>
    <w:p w14:paraId="4B0927A9" w14:textId="3EA5CDD1" w:rsidR="0014455D" w:rsidRDefault="0014455D" w:rsidP="00D64DF7">
      <w:pPr>
        <w:jc w:val="left"/>
      </w:pPr>
    </w:p>
    <w:p w14:paraId="3943540A" w14:textId="77777777" w:rsidR="00E837D5" w:rsidRDefault="00E837D5" w:rsidP="00C35528">
      <w:pPr>
        <w:jc w:val="left"/>
        <w:sectPr w:rsidR="00E837D5" w:rsidSect="004F595A">
          <w:pgSz w:w="11906" w:h="16838" w:code="9"/>
          <w:pgMar w:top="567" w:right="567" w:bottom="1701" w:left="1701" w:header="567" w:footer="709" w:gutter="0"/>
          <w:cols w:space="708"/>
          <w:titlePg/>
          <w:docGrid w:linePitch="381"/>
        </w:sectPr>
      </w:pPr>
    </w:p>
    <w:p w14:paraId="66FBCEB5" w14:textId="77777777" w:rsidR="00791ADA" w:rsidRDefault="00791ADA" w:rsidP="00893AE7">
      <w:pPr>
        <w:ind w:left="5670"/>
      </w:pPr>
      <w:r>
        <w:lastRenderedPageBreak/>
        <w:t>ЗАТВЕРДЖЕНО</w:t>
      </w:r>
    </w:p>
    <w:p w14:paraId="6535F61B" w14:textId="77777777" w:rsidR="00791ADA" w:rsidRDefault="00791ADA" w:rsidP="00893AE7">
      <w:pPr>
        <w:ind w:left="5670"/>
        <w:jc w:val="left"/>
      </w:pPr>
      <w:r>
        <w:t>Постанова Правління Національного банку України</w:t>
      </w:r>
    </w:p>
    <w:p w14:paraId="35D3B8D9" w14:textId="390D3B9D" w:rsidR="00517BAF" w:rsidRDefault="00517BAF" w:rsidP="00517BAF">
      <w:pPr>
        <w:ind w:left="5670"/>
        <w:jc w:val="left"/>
      </w:pPr>
      <w:r>
        <w:t>17 липня 2024 року</w:t>
      </w:r>
      <w:r w:rsidR="00C93A78">
        <w:t xml:space="preserve"> № 86</w:t>
      </w:r>
    </w:p>
    <w:p w14:paraId="4B205F05" w14:textId="77777777" w:rsidR="00791ADA" w:rsidRDefault="00791ADA" w:rsidP="00AA2CE1">
      <w:pPr>
        <w:ind w:left="5954" w:firstLine="720"/>
      </w:pPr>
    </w:p>
    <w:p w14:paraId="35B95D75" w14:textId="1A110A77" w:rsidR="00791ADA" w:rsidRDefault="00791ADA" w:rsidP="00E21FE2">
      <w:pPr>
        <w:jc w:val="center"/>
      </w:pPr>
      <w:r>
        <w:t xml:space="preserve">Зміни до </w:t>
      </w:r>
      <w:r w:rsidR="007949E9" w:rsidRPr="007949E9">
        <w:t xml:space="preserve">Положення про порядок регулювання </w:t>
      </w:r>
      <w:r w:rsidR="00E21FE2">
        <w:br/>
      </w:r>
      <w:r w:rsidR="007949E9" w:rsidRPr="007949E9">
        <w:t xml:space="preserve">діяльності банківських груп </w:t>
      </w:r>
    </w:p>
    <w:p w14:paraId="23431AA3" w14:textId="77777777" w:rsidR="007949E9" w:rsidRDefault="007949E9" w:rsidP="00AA2CE1">
      <w:pPr>
        <w:ind w:firstLine="720"/>
        <w:jc w:val="center"/>
      </w:pPr>
    </w:p>
    <w:p w14:paraId="60619D7B" w14:textId="77777777" w:rsidR="00791ADA" w:rsidRPr="008007E3" w:rsidRDefault="00791ADA" w:rsidP="00E21FE2">
      <w:pPr>
        <w:ind w:firstLine="567"/>
      </w:pPr>
      <w:r w:rsidRPr="00E21FE2">
        <w:t xml:space="preserve">1. У </w:t>
      </w:r>
      <w:r w:rsidRPr="008007E3">
        <w:t>розділі І:</w:t>
      </w:r>
    </w:p>
    <w:p w14:paraId="1BE34F5A" w14:textId="4CC985B5" w:rsidR="00791ADA" w:rsidRPr="008007E3" w:rsidRDefault="00791ADA" w:rsidP="00E21FE2">
      <w:pPr>
        <w:ind w:firstLine="567"/>
      </w:pPr>
    </w:p>
    <w:p w14:paraId="65E46DAD" w14:textId="573CB050" w:rsidR="001D3943" w:rsidRPr="008007E3" w:rsidRDefault="006B6FA3" w:rsidP="00E21FE2">
      <w:pPr>
        <w:ind w:firstLine="567"/>
      </w:pPr>
      <w:r w:rsidRPr="008007E3">
        <w:t xml:space="preserve">1) пункт </w:t>
      </w:r>
      <w:r w:rsidR="00DF5B4C">
        <w:t>2</w:t>
      </w:r>
      <w:r w:rsidRPr="008007E3">
        <w:t xml:space="preserve"> доповнити словами та цифрами </w:t>
      </w:r>
      <w:r w:rsidRPr="008007E3">
        <w:rPr>
          <w:lang w:val="ru-RU"/>
        </w:rPr>
        <w:t>“</w:t>
      </w:r>
      <w:r w:rsidR="00DF5B4C">
        <w:rPr>
          <w:lang w:val="ru-RU"/>
        </w:rPr>
        <w:t>(</w:t>
      </w:r>
      <w:r w:rsidRPr="008007E3">
        <w:t>далі – Положення № 134)</w:t>
      </w:r>
      <w:r w:rsidR="00DF5B4C">
        <w:t>”</w:t>
      </w:r>
      <w:r w:rsidR="001D3943" w:rsidRPr="008007E3">
        <w:t>;</w:t>
      </w:r>
    </w:p>
    <w:p w14:paraId="6A1B4D23" w14:textId="5ED3294E" w:rsidR="006B6FA3" w:rsidRPr="008007E3" w:rsidRDefault="006B6FA3" w:rsidP="00E21FE2">
      <w:pPr>
        <w:ind w:firstLine="567"/>
        <w:rPr>
          <w:lang w:val="ru-RU"/>
        </w:rPr>
      </w:pPr>
      <w:r w:rsidRPr="008007E3">
        <w:rPr>
          <w:lang w:val="ru-RU"/>
        </w:rPr>
        <w:t xml:space="preserve"> </w:t>
      </w:r>
    </w:p>
    <w:p w14:paraId="7A67F719" w14:textId="3B92758C" w:rsidR="000F170A" w:rsidRPr="008007E3" w:rsidRDefault="001D3943" w:rsidP="00E21FE2">
      <w:pPr>
        <w:ind w:firstLine="567"/>
      </w:pPr>
      <w:r w:rsidRPr="008007E3">
        <w:t>2</w:t>
      </w:r>
      <w:r w:rsidR="00791ADA" w:rsidRPr="008007E3">
        <w:t>) </w:t>
      </w:r>
      <w:r w:rsidR="000F170A" w:rsidRPr="008007E3">
        <w:t>пункти 3–8 замінити сімома новими пунктами 3–9 такого змісту:</w:t>
      </w:r>
    </w:p>
    <w:p w14:paraId="017F7E42" w14:textId="4276286D" w:rsidR="000F170A" w:rsidRPr="008007E3" w:rsidRDefault="00193581" w:rsidP="00E21FE2">
      <w:pPr>
        <w:ind w:firstLine="567"/>
      </w:pPr>
      <w:r w:rsidRPr="008007E3">
        <w:rPr>
          <w:lang w:val="ru-RU"/>
        </w:rPr>
        <w:t>“</w:t>
      </w:r>
      <w:r w:rsidR="000F170A" w:rsidRPr="008007E3">
        <w:t>3. Терміни та скорочення в цьому Положенні</w:t>
      </w:r>
      <w:r w:rsidR="0051196C">
        <w:t xml:space="preserve"> вживаються</w:t>
      </w:r>
      <w:r w:rsidR="000F170A" w:rsidRPr="008007E3">
        <w:t xml:space="preserve"> в таких значеннях:</w:t>
      </w:r>
    </w:p>
    <w:p w14:paraId="131B6D57" w14:textId="77777777" w:rsidR="000F170A" w:rsidRPr="008007E3" w:rsidRDefault="000F170A" w:rsidP="00E21FE2">
      <w:pPr>
        <w:ind w:firstLine="567"/>
      </w:pPr>
    </w:p>
    <w:p w14:paraId="490DF173" w14:textId="49F9B424" w:rsidR="006B6245" w:rsidRPr="008007E3" w:rsidRDefault="000F170A" w:rsidP="00E21FE2">
      <w:pPr>
        <w:ind w:firstLine="567"/>
      </w:pPr>
      <w:r w:rsidRPr="008007E3">
        <w:t xml:space="preserve">1) </w:t>
      </w:r>
      <w:r w:rsidR="006B6245" w:rsidRPr="008007E3">
        <w:t>аудитор – аудиторська фірма, яка здійснює перевірку консолідованої річної фінансової звітності банківської групи та/або огляд консолідованої/</w:t>
      </w:r>
      <w:proofErr w:type="spellStart"/>
      <w:r w:rsidR="006B6245" w:rsidRPr="008007E3">
        <w:t>субконсолідованої</w:t>
      </w:r>
      <w:proofErr w:type="spellEnd"/>
      <w:r w:rsidR="006B6245" w:rsidRPr="008007E3">
        <w:t xml:space="preserve"> проміжної звітності банківської групи/підгрупи банківської групи відповідно до укладеного з відповідальною особою банківської групи договору про надання аудиторських послуг;</w:t>
      </w:r>
    </w:p>
    <w:p w14:paraId="5A2B4D46" w14:textId="77777777" w:rsidR="000F170A" w:rsidRPr="008007E3" w:rsidRDefault="000F170A" w:rsidP="00E21FE2">
      <w:pPr>
        <w:ind w:firstLine="567"/>
      </w:pPr>
    </w:p>
    <w:p w14:paraId="25DE136D" w14:textId="2FDFEB64" w:rsidR="006B6245" w:rsidRPr="008007E3" w:rsidRDefault="000F170A" w:rsidP="00E21FE2">
      <w:pPr>
        <w:ind w:firstLine="567"/>
      </w:pPr>
      <w:r w:rsidRPr="008007E3">
        <w:t xml:space="preserve">2) </w:t>
      </w:r>
      <w:r w:rsidR="006B6245" w:rsidRPr="008007E3">
        <w:t>виплати, передбачувані до сплати з прибутку</w:t>
      </w:r>
      <w:r w:rsidR="0051196C">
        <w:t>,</w:t>
      </w:r>
      <w:r w:rsidR="006B6245" w:rsidRPr="008007E3">
        <w:t xml:space="preserve"> – сума виплат з прибутку звітного року/прибутку за проміжний звітний період, визначена </w:t>
      </w:r>
      <w:r w:rsidR="0051196C">
        <w:t>в</w:t>
      </w:r>
      <w:r w:rsidR="006B6245" w:rsidRPr="008007E3">
        <w:t xml:space="preserve"> примітці до консолідованої звітності банківської групи, до складу якої не входить страховик/</w:t>
      </w:r>
      <w:proofErr w:type="spellStart"/>
      <w:r w:rsidR="006B6245" w:rsidRPr="008007E3">
        <w:t>субконсолідованої</w:t>
      </w:r>
      <w:proofErr w:type="spellEnd"/>
      <w:r w:rsidR="006B6245" w:rsidRPr="008007E3">
        <w:t xml:space="preserve"> звітності кредитно-інвестиційної підгрупи банківської групи “Події після звітної дати”, крім суми дивідендів, оголошених до сплати з цього прибутку;</w:t>
      </w:r>
    </w:p>
    <w:p w14:paraId="21301ECF" w14:textId="77777777" w:rsidR="000F170A" w:rsidRPr="008007E3" w:rsidRDefault="000F170A" w:rsidP="00E21FE2">
      <w:pPr>
        <w:ind w:firstLine="567"/>
      </w:pPr>
    </w:p>
    <w:p w14:paraId="31EE0913" w14:textId="4EFE09ED" w:rsidR="00171153" w:rsidRPr="008007E3" w:rsidRDefault="000F170A" w:rsidP="00E21FE2">
      <w:pPr>
        <w:ind w:firstLine="567"/>
      </w:pPr>
      <w:r w:rsidRPr="008007E3">
        <w:t xml:space="preserve">3) </w:t>
      </w:r>
      <w:r w:rsidR="00171153" w:rsidRPr="008007E3">
        <w:t>дивідендна політика учасника кредитно-інвестиційної підгрупи – дивідендна політика банку/дивідендна політика учасника кредитно-інвестиційної підгрупи, який не є банком;</w:t>
      </w:r>
    </w:p>
    <w:p w14:paraId="2258024B" w14:textId="77777777" w:rsidR="00171153" w:rsidRPr="008007E3" w:rsidRDefault="00171153" w:rsidP="00E21FE2">
      <w:pPr>
        <w:ind w:firstLine="567"/>
      </w:pPr>
    </w:p>
    <w:p w14:paraId="02EBA738" w14:textId="48FC5C94" w:rsidR="00171153" w:rsidRPr="008007E3" w:rsidRDefault="00171153" w:rsidP="00E21FE2">
      <w:pPr>
        <w:ind w:firstLine="567"/>
      </w:pPr>
      <w:r w:rsidRPr="008007E3">
        <w:t>4) дивідендна політика учасника кредитно-інвестиційної підгрупи, який не є банком</w:t>
      </w:r>
      <w:r w:rsidR="007A1BC8">
        <w:t>,</w:t>
      </w:r>
      <w:r w:rsidRPr="008007E3">
        <w:t xml:space="preserve"> – затверджений уповноваженим органом учасника кредитно-інвестиційної підгрупи внутрішній документ про наміри розподілу прогнозної суми чистого прибутку/нерозподілених прибутків минулих років, складений на відповідний прогнозний рік з урахуванням стратегії, бізнес-плану, програми капіталізації/реструктуризації, </w:t>
      </w:r>
      <w:r w:rsidR="007A1BC8">
        <w:t>у</w:t>
      </w:r>
      <w:r w:rsidRPr="008007E3">
        <w:t xml:space="preserve"> якому визначені щонайменше прогнозна сума/відсоток чистого прибутку/нерозподілених прибутків минулих років, що планується спрямувати на виплату дивідендів/виплату на паї/часток з прибутку (далі – дивіденди) та/або залишити в капіталі у вигляді нерозподілених прибутків минулих років чи фондів/резервів, створених за рахунок прибутку;</w:t>
      </w:r>
    </w:p>
    <w:p w14:paraId="6EA9B767" w14:textId="77777777" w:rsidR="00171153" w:rsidRPr="008007E3" w:rsidRDefault="00171153" w:rsidP="00E21FE2">
      <w:pPr>
        <w:ind w:firstLine="567"/>
      </w:pPr>
    </w:p>
    <w:p w14:paraId="00AF194C" w14:textId="4AFBFF35" w:rsidR="000F170A" w:rsidRPr="008007E3" w:rsidRDefault="00171153" w:rsidP="00E21FE2">
      <w:pPr>
        <w:ind w:firstLine="567"/>
      </w:pPr>
      <w:r w:rsidRPr="008007E3">
        <w:t>5</w:t>
      </w:r>
      <w:r w:rsidR="000F170A" w:rsidRPr="008007E3">
        <w:t>) ДК1 – додатковий капітал 1 рівня;</w:t>
      </w:r>
    </w:p>
    <w:p w14:paraId="586A245E" w14:textId="77777777" w:rsidR="000F170A" w:rsidRPr="008007E3" w:rsidRDefault="000F170A" w:rsidP="00E21FE2">
      <w:pPr>
        <w:ind w:firstLine="567"/>
      </w:pPr>
    </w:p>
    <w:p w14:paraId="3C9DEBF8" w14:textId="0939112F" w:rsidR="00171153" w:rsidRPr="008007E3" w:rsidRDefault="00171153" w:rsidP="00E21FE2">
      <w:pPr>
        <w:ind w:firstLine="567"/>
      </w:pPr>
      <w:r w:rsidRPr="008007E3">
        <w:t>6) інвестори</w:t>
      </w:r>
      <w:r w:rsidR="00284661">
        <w:t xml:space="preserve"> – </w:t>
      </w:r>
      <w:r w:rsidRPr="008007E3">
        <w:t xml:space="preserve">треті особи – особи, яким належать складові основного капіталу 1 рівня/ДК1/капіталу 2 рівня дочірньої </w:t>
      </w:r>
      <w:r w:rsidRPr="00330674">
        <w:t>компанії учасника</w:t>
      </w:r>
      <w:r w:rsidRPr="008007E3">
        <w:t xml:space="preserve"> банківської групи та які не є учасниками кредитно-інвестиційної підгрупи;</w:t>
      </w:r>
    </w:p>
    <w:p w14:paraId="3CE839D7" w14:textId="77777777" w:rsidR="00171153" w:rsidRPr="008007E3" w:rsidRDefault="00171153" w:rsidP="00E21FE2">
      <w:pPr>
        <w:ind w:firstLine="567"/>
      </w:pPr>
    </w:p>
    <w:p w14:paraId="02B85AED" w14:textId="2FDD09A5" w:rsidR="000F170A" w:rsidRPr="008007E3" w:rsidRDefault="00171153" w:rsidP="00E21FE2">
      <w:pPr>
        <w:ind w:firstLine="567"/>
      </w:pPr>
      <w:r w:rsidRPr="008007E3">
        <w:rPr>
          <w:lang w:val="ru-RU"/>
        </w:rPr>
        <w:t>7</w:t>
      </w:r>
      <w:r w:rsidR="000F170A" w:rsidRPr="008007E3">
        <w:t>) К1 – капітал 1 рівня;</w:t>
      </w:r>
    </w:p>
    <w:p w14:paraId="7584EE24" w14:textId="77777777" w:rsidR="000F170A" w:rsidRPr="008007E3" w:rsidRDefault="000F170A" w:rsidP="00E21FE2">
      <w:pPr>
        <w:ind w:firstLine="567"/>
      </w:pPr>
    </w:p>
    <w:p w14:paraId="07B0D631" w14:textId="4DC7BDCE" w:rsidR="000F170A" w:rsidRPr="008007E3" w:rsidRDefault="00171153" w:rsidP="00E21FE2">
      <w:pPr>
        <w:ind w:firstLine="567"/>
      </w:pPr>
      <w:r w:rsidRPr="008007E3">
        <w:rPr>
          <w:lang w:val="ru-RU"/>
        </w:rPr>
        <w:t>8</w:t>
      </w:r>
      <w:r w:rsidR="000F170A" w:rsidRPr="008007E3">
        <w:t>) К2 – капітал 2 рівня;</w:t>
      </w:r>
    </w:p>
    <w:p w14:paraId="2615CAA1" w14:textId="77777777" w:rsidR="000F170A" w:rsidRPr="008007E3" w:rsidRDefault="000F170A" w:rsidP="00E21FE2">
      <w:pPr>
        <w:ind w:firstLine="567"/>
      </w:pPr>
    </w:p>
    <w:p w14:paraId="2D0B3823" w14:textId="02C970E4" w:rsidR="000F170A" w:rsidRPr="008007E3" w:rsidRDefault="00171153" w:rsidP="00E21FE2">
      <w:pPr>
        <w:ind w:firstLine="567"/>
      </w:pPr>
      <w:r w:rsidRPr="008007E3">
        <w:rPr>
          <w:lang w:val="ru-RU"/>
        </w:rPr>
        <w:t>9</w:t>
      </w:r>
      <w:r w:rsidR="000F170A" w:rsidRPr="008007E3">
        <w:t xml:space="preserve">) ОК1 – основний капітал 1 рівня; </w:t>
      </w:r>
    </w:p>
    <w:p w14:paraId="227572A7" w14:textId="77777777" w:rsidR="000F170A" w:rsidRPr="008007E3" w:rsidRDefault="000F170A" w:rsidP="00E21FE2">
      <w:pPr>
        <w:ind w:firstLine="567"/>
      </w:pPr>
    </w:p>
    <w:p w14:paraId="0EBC45A4" w14:textId="025FA131" w:rsidR="000F170A" w:rsidRPr="008007E3" w:rsidRDefault="00171153" w:rsidP="00E21FE2">
      <w:pPr>
        <w:ind w:firstLine="567"/>
      </w:pPr>
      <w:r w:rsidRPr="008007E3">
        <w:rPr>
          <w:lang w:val="ru-RU"/>
        </w:rPr>
        <w:t>10</w:t>
      </w:r>
      <w:r w:rsidR="000F170A" w:rsidRPr="008007E3">
        <w:t>) Положення №</w:t>
      </w:r>
      <w:r w:rsidR="00AA2CE1" w:rsidRPr="008007E3">
        <w:t> </w:t>
      </w:r>
      <w:r w:rsidR="000F170A" w:rsidRPr="008007E3">
        <w:t>196 – Положення про порядок визначення банками України розміру регулятивного капіталу</w:t>
      </w:r>
      <w:r w:rsidR="00284661">
        <w:t>,</w:t>
      </w:r>
      <w:r w:rsidR="000F170A" w:rsidRPr="008007E3">
        <w:t xml:space="preserve"> затверджене постановою Правління Національного банку</w:t>
      </w:r>
      <w:r w:rsidR="00284661">
        <w:t xml:space="preserve"> України</w:t>
      </w:r>
      <w:r w:rsidR="000F170A" w:rsidRPr="008007E3">
        <w:t xml:space="preserve"> від 28 грудня 2023 року №</w:t>
      </w:r>
      <w:r w:rsidR="00284661">
        <w:t> </w:t>
      </w:r>
      <w:r w:rsidR="000F170A" w:rsidRPr="008007E3">
        <w:t>196</w:t>
      </w:r>
      <w:r w:rsidRPr="008007E3">
        <w:t xml:space="preserve"> (зі змінами)</w:t>
      </w:r>
      <w:r w:rsidR="000F170A" w:rsidRPr="008007E3">
        <w:t xml:space="preserve">; </w:t>
      </w:r>
    </w:p>
    <w:p w14:paraId="33EDE9E6" w14:textId="52F32E9B" w:rsidR="00171153" w:rsidRPr="008007E3" w:rsidRDefault="00171153" w:rsidP="00E21FE2">
      <w:pPr>
        <w:ind w:firstLine="567"/>
      </w:pPr>
    </w:p>
    <w:p w14:paraId="39144467" w14:textId="69BEF86B" w:rsidR="00171153" w:rsidRPr="008007E3" w:rsidRDefault="00171153" w:rsidP="00E21FE2">
      <w:pPr>
        <w:ind w:firstLine="567"/>
      </w:pPr>
      <w:r w:rsidRPr="008007E3">
        <w:t>11) Регулятор – Національний банк України</w:t>
      </w:r>
      <w:r w:rsidR="00284661">
        <w:t xml:space="preserve"> (далі – Національний банк)</w:t>
      </w:r>
      <w:r w:rsidRPr="008007E3">
        <w:t xml:space="preserve"> або Національна комісія з цінних паперів та фондового ринку згідно з розподілом повноважень, визначеним Законом України “Про фінансові послуги та фінансові компанії”;</w:t>
      </w:r>
    </w:p>
    <w:p w14:paraId="564FD53C" w14:textId="77777777" w:rsidR="00171153" w:rsidRPr="008007E3" w:rsidRDefault="00171153" w:rsidP="00E21FE2">
      <w:pPr>
        <w:ind w:firstLine="567"/>
      </w:pPr>
    </w:p>
    <w:p w14:paraId="0BCA240E" w14:textId="65F7EE83" w:rsidR="000F170A" w:rsidRPr="008007E3" w:rsidRDefault="000F170A" w:rsidP="00E21FE2">
      <w:pPr>
        <w:ind w:firstLine="567"/>
      </w:pPr>
      <w:r w:rsidRPr="008007E3">
        <w:t>1</w:t>
      </w:r>
      <w:r w:rsidR="00171153" w:rsidRPr="008007E3">
        <w:t>2</w:t>
      </w:r>
      <w:r w:rsidRPr="008007E3">
        <w:t>) РК – регулятивний капітал;</w:t>
      </w:r>
    </w:p>
    <w:p w14:paraId="64D5E2F5" w14:textId="77777777" w:rsidR="000F170A" w:rsidRPr="008007E3" w:rsidRDefault="000F170A" w:rsidP="00E21FE2">
      <w:pPr>
        <w:ind w:firstLine="567"/>
      </w:pPr>
    </w:p>
    <w:p w14:paraId="7C70C1D8" w14:textId="11A0A69B" w:rsidR="000F170A" w:rsidRPr="008007E3" w:rsidRDefault="000F170A" w:rsidP="00E21FE2">
      <w:pPr>
        <w:ind w:firstLine="567"/>
      </w:pPr>
      <w:r w:rsidRPr="008007E3">
        <w:t>1</w:t>
      </w:r>
      <w:r w:rsidR="00171153" w:rsidRPr="008007E3">
        <w:t>3</w:t>
      </w:r>
      <w:r w:rsidRPr="008007E3">
        <w:t>) сума дивідендів, передбачуваних до сплати з прибутку</w:t>
      </w:r>
      <w:r w:rsidR="00686F23">
        <w:t>,</w:t>
      </w:r>
      <w:r w:rsidRPr="008007E3">
        <w:t xml:space="preserve"> – сума дивідендів, передбачуваних до сплати з нерозподілених прибутків минулих років/прибутку звітного року/прибутку за проміжний звітний період;</w:t>
      </w:r>
    </w:p>
    <w:p w14:paraId="0CC96A71" w14:textId="77777777" w:rsidR="000F170A" w:rsidRPr="008007E3" w:rsidRDefault="000F170A" w:rsidP="00E21FE2">
      <w:pPr>
        <w:ind w:firstLine="567"/>
      </w:pPr>
    </w:p>
    <w:p w14:paraId="260524FA" w14:textId="4E61E40C" w:rsidR="000F170A" w:rsidRPr="008007E3" w:rsidRDefault="000F170A" w:rsidP="00E21FE2">
      <w:pPr>
        <w:ind w:firstLine="567"/>
      </w:pPr>
      <w:r w:rsidRPr="008007E3">
        <w:t>1</w:t>
      </w:r>
      <w:r w:rsidR="00D64DF7">
        <w:t>4</w:t>
      </w:r>
      <w:r w:rsidRPr="008007E3">
        <w:t>) частка меншості в ОК1/ДК1/К1/К2/РК – сума основного капіталу 1 рівня/додаткового капіталу 1 рівня/капіталу 1 рівня/капіталу 2 рівня/</w:t>
      </w:r>
      <w:r w:rsidR="00171153" w:rsidRPr="008007E3">
        <w:t xml:space="preserve"> </w:t>
      </w:r>
      <w:r w:rsidRPr="008007E3">
        <w:t xml:space="preserve">регулятивного капіталу дочірньої компанії </w:t>
      </w:r>
      <w:r w:rsidR="00B05468">
        <w:t xml:space="preserve">– </w:t>
      </w:r>
      <w:r w:rsidRPr="008007E3">
        <w:t>учасника банківської групи, яка належить інвесторам</w:t>
      </w:r>
      <w:r w:rsidR="00686F23">
        <w:t xml:space="preserve"> – </w:t>
      </w:r>
      <w:r w:rsidRPr="008007E3">
        <w:t>третім особам.</w:t>
      </w:r>
    </w:p>
    <w:p w14:paraId="75356136" w14:textId="079C587B" w:rsidR="000F170A" w:rsidRPr="008007E3" w:rsidRDefault="000F170A" w:rsidP="00E21FE2">
      <w:pPr>
        <w:ind w:firstLine="567"/>
      </w:pPr>
      <w:r w:rsidRPr="008007E3">
        <w:t xml:space="preserve">Інші терміни, які вживаються в цьому Положенні, застосовуються в значеннях, визначених Законом про банки, іншими законами України та нормативно-правовими актами Національного банку. </w:t>
      </w:r>
    </w:p>
    <w:p w14:paraId="1BDF4B75" w14:textId="77777777" w:rsidR="000F170A" w:rsidRPr="008007E3" w:rsidRDefault="000F170A" w:rsidP="00E21FE2">
      <w:pPr>
        <w:ind w:firstLine="567"/>
      </w:pPr>
    </w:p>
    <w:p w14:paraId="5A8B4BE7" w14:textId="77777777" w:rsidR="002316F1" w:rsidRPr="008007E3" w:rsidRDefault="002316F1" w:rsidP="00E21FE2">
      <w:pPr>
        <w:ind w:firstLine="567"/>
      </w:pPr>
      <w:r w:rsidRPr="008007E3">
        <w:t xml:space="preserve">4. Це Положення встановлює порядок розрахунку розміру регулятивного капіталу, капіталу 1 рівня, основного капіталу 1 рівня, мінімальні вимоги щодо достатності регулятивного капіталу, вимоги щодо формування буферів капіталу та порядку розрахунку буферів капіталу/комбінованого буфера капіталу, значення буферів капіталу, мінімальні значення та порядок розрахунку таких </w:t>
      </w:r>
      <w:proofErr w:type="spellStart"/>
      <w:r w:rsidRPr="008007E3">
        <w:t>пруденційних</w:t>
      </w:r>
      <w:proofErr w:type="spellEnd"/>
      <w:r w:rsidRPr="008007E3">
        <w:t xml:space="preserve"> нормативів банківської групи та/або підгруп банківської групи:</w:t>
      </w:r>
    </w:p>
    <w:p w14:paraId="241F3B2B" w14:textId="77777777" w:rsidR="000F170A" w:rsidRPr="008007E3" w:rsidRDefault="000F170A" w:rsidP="00E21FE2">
      <w:pPr>
        <w:ind w:firstLine="567"/>
      </w:pPr>
    </w:p>
    <w:p w14:paraId="5D2D9E23" w14:textId="77777777" w:rsidR="000F170A" w:rsidRPr="008007E3" w:rsidRDefault="000F170A" w:rsidP="00E21FE2">
      <w:pPr>
        <w:ind w:firstLine="567"/>
      </w:pPr>
      <w:r w:rsidRPr="008007E3">
        <w:t>1) нормативи капіталу:</w:t>
      </w:r>
    </w:p>
    <w:p w14:paraId="3A18836D" w14:textId="77777777" w:rsidR="000F170A" w:rsidRPr="008007E3" w:rsidRDefault="000F170A" w:rsidP="00E21FE2">
      <w:pPr>
        <w:ind w:firstLine="567"/>
      </w:pPr>
      <w:r w:rsidRPr="008007E3">
        <w:t>достатності основного капіталу 1 рівня</w:t>
      </w:r>
      <w:r w:rsidR="001F5346" w:rsidRPr="008007E3">
        <w:t xml:space="preserve"> </w:t>
      </w:r>
      <w:r w:rsidR="001F5346" w:rsidRPr="008007E3">
        <w:rPr>
          <w:bCs/>
          <w:lang w:eastAsia="ru-RU"/>
        </w:rPr>
        <w:t>(Н</w:t>
      </w:r>
      <w:r w:rsidR="001F5346" w:rsidRPr="008007E3">
        <w:rPr>
          <w:bCs/>
          <w:vertAlign w:val="subscript"/>
          <w:lang w:eastAsia="ru-RU"/>
        </w:rPr>
        <w:t>ОК</w:t>
      </w:r>
      <w:r w:rsidR="00D6159E" w:rsidRPr="008007E3">
        <w:rPr>
          <w:bCs/>
          <w:vertAlign w:val="subscript"/>
          <w:lang w:eastAsia="ru-RU"/>
        </w:rPr>
        <w:t>1</w:t>
      </w:r>
      <w:r w:rsidR="001F5346" w:rsidRPr="008007E3">
        <w:rPr>
          <w:bCs/>
          <w:vertAlign w:val="subscript"/>
          <w:lang w:eastAsia="ru-RU"/>
        </w:rPr>
        <w:t>к</w:t>
      </w:r>
      <w:r w:rsidR="001F5346" w:rsidRPr="008007E3">
        <w:rPr>
          <w:bCs/>
          <w:lang w:eastAsia="ru-RU"/>
        </w:rPr>
        <w:t>);</w:t>
      </w:r>
    </w:p>
    <w:p w14:paraId="5976B6DA" w14:textId="77777777" w:rsidR="000F170A" w:rsidRPr="008007E3" w:rsidRDefault="000F170A" w:rsidP="00E21FE2">
      <w:pPr>
        <w:ind w:firstLine="567"/>
      </w:pPr>
      <w:r w:rsidRPr="008007E3">
        <w:t>достатності капіталу 1 рівня</w:t>
      </w:r>
      <w:r w:rsidR="001F5346" w:rsidRPr="008007E3">
        <w:t xml:space="preserve"> </w:t>
      </w:r>
      <w:r w:rsidR="001F5346" w:rsidRPr="008007E3">
        <w:rPr>
          <w:bCs/>
          <w:lang w:eastAsia="ru-RU"/>
        </w:rPr>
        <w:t>(Н</w:t>
      </w:r>
      <w:r w:rsidR="001F5346" w:rsidRPr="008007E3">
        <w:rPr>
          <w:bCs/>
          <w:vertAlign w:val="subscript"/>
          <w:lang w:eastAsia="ru-RU"/>
        </w:rPr>
        <w:t>К1к</w:t>
      </w:r>
      <w:r w:rsidR="001F5346" w:rsidRPr="008007E3">
        <w:rPr>
          <w:bCs/>
          <w:lang w:eastAsia="ru-RU"/>
        </w:rPr>
        <w:t>)</w:t>
      </w:r>
      <w:r w:rsidRPr="008007E3">
        <w:t>;</w:t>
      </w:r>
    </w:p>
    <w:p w14:paraId="3A51A343" w14:textId="77777777" w:rsidR="000F170A" w:rsidRPr="008007E3" w:rsidRDefault="000F170A" w:rsidP="00E21FE2">
      <w:pPr>
        <w:ind w:firstLine="567"/>
      </w:pPr>
      <w:r w:rsidRPr="008007E3">
        <w:lastRenderedPageBreak/>
        <w:t xml:space="preserve">достатності регулятивного капіталу </w:t>
      </w:r>
      <w:r w:rsidR="001F5346" w:rsidRPr="008007E3">
        <w:rPr>
          <w:bCs/>
          <w:lang w:eastAsia="ru-RU"/>
        </w:rPr>
        <w:t>(</w:t>
      </w:r>
      <w:proofErr w:type="spellStart"/>
      <w:r w:rsidR="001F5346" w:rsidRPr="008007E3">
        <w:rPr>
          <w:bCs/>
          <w:lang w:eastAsia="ru-RU"/>
        </w:rPr>
        <w:t>Н</w:t>
      </w:r>
      <w:r w:rsidR="001F5346" w:rsidRPr="008007E3">
        <w:rPr>
          <w:bCs/>
          <w:vertAlign w:val="subscript"/>
          <w:lang w:eastAsia="ru-RU"/>
        </w:rPr>
        <w:t>РКк</w:t>
      </w:r>
      <w:proofErr w:type="spellEnd"/>
      <w:r w:rsidR="001F5346" w:rsidRPr="008007E3">
        <w:rPr>
          <w:bCs/>
          <w:lang w:eastAsia="ru-RU"/>
        </w:rPr>
        <w:t>)</w:t>
      </w:r>
      <w:r w:rsidRPr="008007E3">
        <w:t>;</w:t>
      </w:r>
    </w:p>
    <w:p w14:paraId="68F1018D" w14:textId="77777777" w:rsidR="000F170A" w:rsidRPr="008007E3" w:rsidRDefault="000F170A" w:rsidP="00E21FE2">
      <w:pPr>
        <w:ind w:firstLine="567"/>
      </w:pPr>
    </w:p>
    <w:p w14:paraId="00D5719E" w14:textId="77777777" w:rsidR="000F170A" w:rsidRPr="008007E3" w:rsidRDefault="000F170A" w:rsidP="00E21FE2">
      <w:pPr>
        <w:ind w:firstLine="567"/>
      </w:pPr>
      <w:r w:rsidRPr="008007E3">
        <w:t>2) нормативи ліквідності:</w:t>
      </w:r>
    </w:p>
    <w:p w14:paraId="17746363" w14:textId="77777777" w:rsidR="000F170A" w:rsidRPr="008007E3" w:rsidRDefault="000F170A" w:rsidP="00E21FE2">
      <w:pPr>
        <w:ind w:firstLine="567"/>
      </w:pPr>
      <w:r w:rsidRPr="008007E3">
        <w:t>поточної ліквідності (Н5к);</w:t>
      </w:r>
    </w:p>
    <w:p w14:paraId="67158E27" w14:textId="77777777" w:rsidR="000F170A" w:rsidRPr="008007E3" w:rsidRDefault="000F170A" w:rsidP="00E21FE2">
      <w:pPr>
        <w:ind w:firstLine="567"/>
      </w:pPr>
      <w:r w:rsidRPr="008007E3">
        <w:t>короткострокової ліквідності (Н6к);</w:t>
      </w:r>
    </w:p>
    <w:p w14:paraId="40FB548F" w14:textId="77777777" w:rsidR="000F170A" w:rsidRPr="008007E3" w:rsidRDefault="000F170A" w:rsidP="00E21FE2">
      <w:pPr>
        <w:ind w:firstLine="567"/>
      </w:pPr>
      <w:r w:rsidRPr="008007E3">
        <w:t>коефіцієнт покриття ліквідністю за всіма валютами (</w:t>
      </w:r>
      <w:proofErr w:type="spellStart"/>
      <w:r w:rsidRPr="008007E3">
        <w:t>LCR</w:t>
      </w:r>
      <w:r w:rsidRPr="008007E3">
        <w:rPr>
          <w:vertAlign w:val="subscript"/>
        </w:rPr>
        <w:t>ВВ</w:t>
      </w:r>
      <w:r w:rsidRPr="008007E3">
        <w:t>к</w:t>
      </w:r>
      <w:proofErr w:type="spellEnd"/>
      <w:r w:rsidRPr="008007E3">
        <w:t xml:space="preserve">); </w:t>
      </w:r>
    </w:p>
    <w:p w14:paraId="04E7C0C7" w14:textId="77777777" w:rsidR="000F170A" w:rsidRPr="008007E3" w:rsidRDefault="000F170A" w:rsidP="00E21FE2">
      <w:pPr>
        <w:ind w:firstLine="567"/>
      </w:pPr>
      <w:r w:rsidRPr="008007E3">
        <w:t>коефіцієнт покриття ліквідністю в іноземній валюті (</w:t>
      </w:r>
      <w:proofErr w:type="spellStart"/>
      <w:r w:rsidRPr="008007E3">
        <w:t>LCR</w:t>
      </w:r>
      <w:r w:rsidRPr="008007E3">
        <w:rPr>
          <w:vertAlign w:val="subscript"/>
        </w:rPr>
        <w:t>ІВ</w:t>
      </w:r>
      <w:r w:rsidRPr="008007E3">
        <w:t>к</w:t>
      </w:r>
      <w:proofErr w:type="spellEnd"/>
      <w:r w:rsidRPr="008007E3">
        <w:t>);</w:t>
      </w:r>
    </w:p>
    <w:p w14:paraId="49DB4911" w14:textId="77777777" w:rsidR="000F170A" w:rsidRPr="008007E3" w:rsidRDefault="000F170A" w:rsidP="00E21FE2">
      <w:pPr>
        <w:ind w:firstLine="567"/>
      </w:pPr>
      <w:r w:rsidRPr="008007E3">
        <w:t>коефіцієнт чистого стабільного фінансування (</w:t>
      </w:r>
      <w:proofErr w:type="spellStart"/>
      <w:r w:rsidRPr="008007E3">
        <w:t>NSFRк</w:t>
      </w:r>
      <w:proofErr w:type="spellEnd"/>
      <w:r w:rsidRPr="008007E3">
        <w:t>);</w:t>
      </w:r>
    </w:p>
    <w:p w14:paraId="7C8EE28B" w14:textId="77777777" w:rsidR="000F170A" w:rsidRPr="008007E3" w:rsidRDefault="000F170A" w:rsidP="00E21FE2">
      <w:pPr>
        <w:ind w:firstLine="567"/>
      </w:pPr>
    </w:p>
    <w:p w14:paraId="1095F8BE" w14:textId="77777777" w:rsidR="000F170A" w:rsidRPr="008007E3" w:rsidRDefault="000F170A" w:rsidP="00E21FE2">
      <w:pPr>
        <w:ind w:firstLine="567"/>
      </w:pPr>
      <w:r w:rsidRPr="008007E3">
        <w:t>3) нормативи кредитного ризику:</w:t>
      </w:r>
    </w:p>
    <w:p w14:paraId="64744971" w14:textId="77777777" w:rsidR="000F170A" w:rsidRPr="008007E3" w:rsidRDefault="000F170A" w:rsidP="00E21FE2">
      <w:pPr>
        <w:ind w:firstLine="567"/>
      </w:pPr>
      <w:r w:rsidRPr="008007E3">
        <w:t>максимального розміру кредитного ризику на одного контрагента (Н7к);</w:t>
      </w:r>
    </w:p>
    <w:p w14:paraId="5C326BA3" w14:textId="77777777" w:rsidR="000F170A" w:rsidRPr="008007E3" w:rsidRDefault="000F170A" w:rsidP="00E21FE2">
      <w:pPr>
        <w:ind w:firstLine="567"/>
      </w:pPr>
      <w:r w:rsidRPr="008007E3">
        <w:t>великих кредитних ризиків (Н8к);</w:t>
      </w:r>
    </w:p>
    <w:p w14:paraId="15582229" w14:textId="77777777" w:rsidR="000F170A" w:rsidRPr="008007E3" w:rsidRDefault="000F170A" w:rsidP="00E21FE2">
      <w:pPr>
        <w:ind w:firstLine="567"/>
      </w:pPr>
      <w:r w:rsidRPr="008007E3">
        <w:t>максимального розміру кредитного ризику за операціями з пов’язаними особами (Н9к);</w:t>
      </w:r>
    </w:p>
    <w:p w14:paraId="71233F7B" w14:textId="77777777" w:rsidR="000F170A" w:rsidRPr="008007E3" w:rsidRDefault="000F170A" w:rsidP="00E21FE2">
      <w:pPr>
        <w:ind w:firstLine="567"/>
      </w:pPr>
    </w:p>
    <w:p w14:paraId="7047418D" w14:textId="77777777" w:rsidR="000F170A" w:rsidRPr="008007E3" w:rsidRDefault="000F170A" w:rsidP="00E21FE2">
      <w:pPr>
        <w:ind w:firstLine="567"/>
      </w:pPr>
      <w:r w:rsidRPr="008007E3">
        <w:t>4) нормативи участі (інвестування):</w:t>
      </w:r>
    </w:p>
    <w:p w14:paraId="78AA9F67" w14:textId="77777777" w:rsidR="000F170A" w:rsidRPr="008007E3" w:rsidRDefault="000F170A" w:rsidP="00E21FE2">
      <w:pPr>
        <w:ind w:firstLine="567"/>
      </w:pPr>
      <w:r w:rsidRPr="008007E3">
        <w:t>участі (інвестування) у капіталі юридичної особи, що не є фінансовою установою (Н11к);</w:t>
      </w:r>
    </w:p>
    <w:p w14:paraId="44B222E3" w14:textId="77777777" w:rsidR="000F170A" w:rsidRPr="008007E3" w:rsidRDefault="000F170A" w:rsidP="00E21FE2">
      <w:pPr>
        <w:ind w:firstLine="567"/>
      </w:pPr>
      <w:r w:rsidRPr="008007E3">
        <w:t>загальної суми участі (інвестування) (Н12к).</w:t>
      </w:r>
    </w:p>
    <w:p w14:paraId="00F12AAC" w14:textId="77777777" w:rsidR="000F170A" w:rsidRPr="008007E3" w:rsidRDefault="000F170A" w:rsidP="00E21FE2">
      <w:pPr>
        <w:ind w:firstLine="567"/>
      </w:pPr>
    </w:p>
    <w:p w14:paraId="37BB2C47" w14:textId="28D78A8F" w:rsidR="002316F1" w:rsidRPr="008007E3" w:rsidRDefault="002316F1" w:rsidP="00E21FE2">
      <w:pPr>
        <w:ind w:firstLine="567"/>
      </w:pPr>
      <w:r w:rsidRPr="008007E3">
        <w:t xml:space="preserve">5. Відповідальна особа банківської групи зобов’язана забезпечити дотримання на постійній основі банківською групою, до складу якої  входить </w:t>
      </w:r>
      <w:r w:rsidR="007D3C4A">
        <w:t xml:space="preserve">принаймні один </w:t>
      </w:r>
      <w:r w:rsidRPr="008007E3">
        <w:t xml:space="preserve">страховик: </w:t>
      </w:r>
    </w:p>
    <w:p w14:paraId="229E6D32" w14:textId="77777777" w:rsidR="002316F1" w:rsidRPr="008007E3" w:rsidRDefault="002316F1" w:rsidP="00E21FE2">
      <w:pPr>
        <w:ind w:firstLine="567"/>
      </w:pPr>
    </w:p>
    <w:p w14:paraId="44BB4AC7" w14:textId="77777777" w:rsidR="002316F1" w:rsidRPr="008007E3" w:rsidRDefault="002316F1" w:rsidP="00E21FE2">
      <w:pPr>
        <w:ind w:firstLine="567"/>
      </w:pPr>
      <w:r w:rsidRPr="008007E3">
        <w:t>1) мінімальних вимог щодо достатності регулятивного капіталу;</w:t>
      </w:r>
    </w:p>
    <w:p w14:paraId="3F09576F" w14:textId="77777777" w:rsidR="000F170A" w:rsidRPr="008007E3" w:rsidRDefault="000F170A" w:rsidP="00E21FE2">
      <w:pPr>
        <w:ind w:firstLine="567"/>
      </w:pPr>
    </w:p>
    <w:p w14:paraId="646C1583" w14:textId="77777777" w:rsidR="000F170A" w:rsidRPr="008007E3" w:rsidRDefault="000F170A" w:rsidP="00E21FE2">
      <w:pPr>
        <w:ind w:firstLine="567"/>
      </w:pPr>
      <w:r w:rsidRPr="008007E3">
        <w:t xml:space="preserve">2) нормативів кредитного ризику; </w:t>
      </w:r>
    </w:p>
    <w:p w14:paraId="21823AC7" w14:textId="77777777" w:rsidR="000F170A" w:rsidRPr="008007E3" w:rsidRDefault="000F170A" w:rsidP="00E21FE2">
      <w:pPr>
        <w:ind w:firstLine="567"/>
      </w:pPr>
    </w:p>
    <w:p w14:paraId="1C15A542" w14:textId="77777777" w:rsidR="000F170A" w:rsidRPr="008007E3" w:rsidRDefault="000F170A" w:rsidP="00E21FE2">
      <w:pPr>
        <w:ind w:firstLine="567"/>
      </w:pPr>
      <w:r w:rsidRPr="008007E3">
        <w:t>3) нормативів участі (інвестування).</w:t>
      </w:r>
    </w:p>
    <w:p w14:paraId="05719AF7" w14:textId="77777777" w:rsidR="000F170A" w:rsidRPr="008007E3" w:rsidRDefault="000F170A" w:rsidP="00E21FE2">
      <w:pPr>
        <w:ind w:firstLine="567"/>
      </w:pPr>
    </w:p>
    <w:p w14:paraId="1AD309E0" w14:textId="6BE71F19" w:rsidR="002316F1" w:rsidRPr="008007E3" w:rsidRDefault="002316F1" w:rsidP="00E21FE2">
      <w:pPr>
        <w:ind w:firstLine="567"/>
      </w:pPr>
      <w:r w:rsidRPr="008007E3">
        <w:t>6. Відповідальна особа банківської групи зобов’язана забезпечити дотримання на постійній основі кредитно-інвестиційною підгрупою, банківською групою, до складу якої не входить страховик (далі – кредитно-інвестиційна підгрупа):</w:t>
      </w:r>
    </w:p>
    <w:p w14:paraId="2D2E99D0" w14:textId="77777777" w:rsidR="002316F1" w:rsidRPr="008007E3" w:rsidRDefault="002316F1" w:rsidP="00E21FE2">
      <w:pPr>
        <w:ind w:firstLine="567"/>
      </w:pPr>
    </w:p>
    <w:p w14:paraId="6FCF8651" w14:textId="77777777" w:rsidR="002316F1" w:rsidRPr="008007E3" w:rsidRDefault="002316F1" w:rsidP="00E21FE2">
      <w:pPr>
        <w:ind w:firstLine="567"/>
      </w:pPr>
      <w:r w:rsidRPr="008007E3">
        <w:t xml:space="preserve">1) мінімальних значень нормативів капіталу; </w:t>
      </w:r>
    </w:p>
    <w:p w14:paraId="0760D5C1" w14:textId="77777777" w:rsidR="002316F1" w:rsidRPr="008007E3" w:rsidRDefault="002316F1" w:rsidP="00E21FE2">
      <w:pPr>
        <w:ind w:firstLine="567"/>
      </w:pPr>
    </w:p>
    <w:p w14:paraId="28F4F833" w14:textId="1CA0FA45" w:rsidR="002316F1" w:rsidRPr="008007E3" w:rsidRDefault="002316F1" w:rsidP="00E21FE2">
      <w:pPr>
        <w:ind w:firstLine="567"/>
      </w:pPr>
      <w:r w:rsidRPr="008007E3">
        <w:t>2) комбінованого буфер</w:t>
      </w:r>
      <w:r w:rsidR="00EB206E">
        <w:t>а</w:t>
      </w:r>
      <w:r w:rsidRPr="008007E3">
        <w:t xml:space="preserve"> капіталу; </w:t>
      </w:r>
    </w:p>
    <w:p w14:paraId="58E28103" w14:textId="77777777" w:rsidR="002316F1" w:rsidRPr="008007E3" w:rsidRDefault="002316F1" w:rsidP="00E21FE2">
      <w:pPr>
        <w:ind w:firstLine="567"/>
      </w:pPr>
    </w:p>
    <w:p w14:paraId="047C2AAF" w14:textId="77777777" w:rsidR="002316F1" w:rsidRPr="008007E3" w:rsidRDefault="002316F1" w:rsidP="00E21FE2">
      <w:pPr>
        <w:ind w:firstLine="567"/>
      </w:pPr>
      <w:r w:rsidRPr="008007E3">
        <w:t>3) мінімальних значень нормативів ліквідності;</w:t>
      </w:r>
    </w:p>
    <w:p w14:paraId="2A7E1FD7" w14:textId="77777777" w:rsidR="002316F1" w:rsidRPr="008007E3" w:rsidRDefault="002316F1" w:rsidP="00E21FE2">
      <w:pPr>
        <w:ind w:firstLine="567"/>
      </w:pPr>
    </w:p>
    <w:p w14:paraId="439851A6" w14:textId="66ADEA07" w:rsidR="002316F1" w:rsidRPr="008007E3" w:rsidRDefault="002316F1" w:rsidP="00E21FE2">
      <w:pPr>
        <w:ind w:firstLine="567"/>
      </w:pPr>
      <w:r w:rsidRPr="008007E3">
        <w:t xml:space="preserve">4) нормативів кредитного ризику; </w:t>
      </w:r>
    </w:p>
    <w:p w14:paraId="45811F47" w14:textId="77777777" w:rsidR="002316F1" w:rsidRPr="008007E3" w:rsidRDefault="002316F1" w:rsidP="00E21FE2">
      <w:pPr>
        <w:ind w:firstLine="567"/>
      </w:pPr>
    </w:p>
    <w:p w14:paraId="42944905" w14:textId="65EA551F" w:rsidR="002316F1" w:rsidRPr="008007E3" w:rsidRDefault="002316F1" w:rsidP="00E21FE2">
      <w:pPr>
        <w:ind w:firstLine="567"/>
      </w:pPr>
      <w:r w:rsidRPr="008007E3">
        <w:t xml:space="preserve">5) нормативів участі (інвестування). </w:t>
      </w:r>
    </w:p>
    <w:p w14:paraId="2440C497" w14:textId="77777777" w:rsidR="002316F1" w:rsidRPr="008007E3" w:rsidRDefault="002316F1" w:rsidP="00E21FE2">
      <w:pPr>
        <w:ind w:firstLine="567"/>
      </w:pPr>
    </w:p>
    <w:p w14:paraId="54432F25" w14:textId="7F5207F3" w:rsidR="002316F1" w:rsidRPr="008007E3" w:rsidRDefault="002316F1" w:rsidP="00E21FE2">
      <w:pPr>
        <w:ind w:firstLine="567"/>
      </w:pPr>
      <w:r w:rsidRPr="008007E3">
        <w:t>7. Відповідальна особа банківської групи зобов’язана забезпечити дотримання на постійній основі страховою підгрупою мінімальних вимог щодо достатності регулятивного капіталу.</w:t>
      </w:r>
    </w:p>
    <w:p w14:paraId="28C62C01" w14:textId="77777777" w:rsidR="002316F1" w:rsidRPr="008007E3" w:rsidRDefault="002316F1" w:rsidP="00E21FE2">
      <w:pPr>
        <w:ind w:firstLine="567"/>
      </w:pPr>
    </w:p>
    <w:p w14:paraId="40F66D1F" w14:textId="0DB83CAB" w:rsidR="002316F1" w:rsidRPr="008007E3" w:rsidRDefault="002316F1" w:rsidP="00E21FE2">
      <w:pPr>
        <w:ind w:firstLine="567"/>
      </w:pPr>
      <w:r w:rsidRPr="008007E3">
        <w:t>8. Відповідальна особа банківської групи зобов’язана забезпечити дотримання на постійній основі підгрупою банківської групи, визначеною за географічним критерієм:</w:t>
      </w:r>
    </w:p>
    <w:p w14:paraId="260AF257" w14:textId="77777777" w:rsidR="000F170A" w:rsidRPr="008007E3" w:rsidRDefault="000F170A" w:rsidP="00E21FE2">
      <w:pPr>
        <w:ind w:firstLine="567"/>
      </w:pPr>
    </w:p>
    <w:p w14:paraId="1EBE81D1" w14:textId="69D0778E" w:rsidR="002316F1" w:rsidRPr="008007E3" w:rsidRDefault="002316F1" w:rsidP="00E21FE2">
      <w:pPr>
        <w:ind w:firstLine="567"/>
      </w:pPr>
      <w:r w:rsidRPr="008007E3">
        <w:t xml:space="preserve">1) мінімальних вимог щодо достатності регулятивного капіталу [якщо до складу підгрупи входить </w:t>
      </w:r>
      <w:r w:rsidR="00807E90">
        <w:t xml:space="preserve">принаймні один </w:t>
      </w:r>
      <w:r w:rsidRPr="008007E3">
        <w:t>страховик];</w:t>
      </w:r>
    </w:p>
    <w:p w14:paraId="0D86F3F0" w14:textId="77777777" w:rsidR="002316F1" w:rsidRPr="008007E3" w:rsidRDefault="002316F1" w:rsidP="00E21FE2">
      <w:pPr>
        <w:ind w:firstLine="567"/>
      </w:pPr>
    </w:p>
    <w:p w14:paraId="0D48FCD5" w14:textId="77777777" w:rsidR="002316F1" w:rsidRPr="008007E3" w:rsidRDefault="002316F1" w:rsidP="00E21FE2">
      <w:pPr>
        <w:ind w:firstLine="567"/>
      </w:pPr>
      <w:r w:rsidRPr="008007E3">
        <w:t>2) мінімальних значень нормативів капіталу (за учасниками підгрупи в цілому, крім страховиків);</w:t>
      </w:r>
    </w:p>
    <w:p w14:paraId="44182529" w14:textId="77777777" w:rsidR="002316F1" w:rsidRPr="008007E3" w:rsidRDefault="002316F1" w:rsidP="00E21FE2">
      <w:pPr>
        <w:ind w:firstLine="567"/>
      </w:pPr>
    </w:p>
    <w:p w14:paraId="6D566F0F" w14:textId="7D8765A3" w:rsidR="002316F1" w:rsidRPr="008007E3" w:rsidRDefault="002316F1" w:rsidP="00E21FE2">
      <w:pPr>
        <w:ind w:firstLine="567"/>
      </w:pPr>
      <w:r w:rsidRPr="008007E3">
        <w:t>3) комбінованого буфер</w:t>
      </w:r>
      <w:r w:rsidR="00EB206E">
        <w:t>а</w:t>
      </w:r>
      <w:r w:rsidRPr="008007E3">
        <w:t xml:space="preserve"> капіталу (за учасниками підгрупи в цілому, крім страховиків);</w:t>
      </w:r>
    </w:p>
    <w:p w14:paraId="27EF7222" w14:textId="77777777" w:rsidR="002316F1" w:rsidRPr="008007E3" w:rsidRDefault="002316F1" w:rsidP="00E21FE2">
      <w:pPr>
        <w:ind w:firstLine="567"/>
      </w:pPr>
    </w:p>
    <w:p w14:paraId="27FA5A8B" w14:textId="77777777" w:rsidR="002316F1" w:rsidRPr="008007E3" w:rsidRDefault="002316F1" w:rsidP="00E21FE2">
      <w:pPr>
        <w:ind w:firstLine="567"/>
      </w:pPr>
      <w:r w:rsidRPr="008007E3">
        <w:t>4) мінімальних значень нормативів ліквідності (за учасниками підгрупи в цілому, крім страховиків);</w:t>
      </w:r>
    </w:p>
    <w:p w14:paraId="4A705851" w14:textId="77777777" w:rsidR="002316F1" w:rsidRPr="008007E3" w:rsidRDefault="002316F1" w:rsidP="00E21FE2">
      <w:pPr>
        <w:ind w:firstLine="567"/>
      </w:pPr>
    </w:p>
    <w:p w14:paraId="52F902C0" w14:textId="46646BC9" w:rsidR="002316F1" w:rsidRPr="008007E3" w:rsidRDefault="002316F1" w:rsidP="00E21FE2">
      <w:pPr>
        <w:ind w:firstLine="567"/>
      </w:pPr>
      <w:r w:rsidRPr="008007E3">
        <w:t xml:space="preserve">5) нормативів кредитного ризику; </w:t>
      </w:r>
    </w:p>
    <w:p w14:paraId="35EB6C19" w14:textId="77777777" w:rsidR="002316F1" w:rsidRPr="008007E3" w:rsidRDefault="002316F1" w:rsidP="00E21FE2">
      <w:pPr>
        <w:ind w:firstLine="567"/>
      </w:pPr>
    </w:p>
    <w:p w14:paraId="239EC796" w14:textId="48751F5E" w:rsidR="002316F1" w:rsidRPr="008007E3" w:rsidRDefault="002316F1" w:rsidP="00E21FE2">
      <w:pPr>
        <w:ind w:firstLine="567"/>
      </w:pPr>
      <w:r w:rsidRPr="008007E3">
        <w:t xml:space="preserve">6) нормативів участі (інвестування). </w:t>
      </w:r>
    </w:p>
    <w:p w14:paraId="3AF2D646" w14:textId="77777777" w:rsidR="002316F1" w:rsidRPr="008007E3" w:rsidRDefault="002316F1" w:rsidP="00E21FE2">
      <w:pPr>
        <w:ind w:firstLine="567"/>
      </w:pPr>
    </w:p>
    <w:p w14:paraId="63F6484F" w14:textId="527E00BA" w:rsidR="002316F1" w:rsidRPr="008007E3" w:rsidRDefault="002316F1" w:rsidP="00E21FE2">
      <w:pPr>
        <w:ind w:firstLine="567"/>
      </w:pPr>
      <w:r w:rsidRPr="008007E3">
        <w:t xml:space="preserve">9. Відповідальна особа банківської групи здійснює розрахунок достатності регулятивного капіталу, </w:t>
      </w:r>
      <w:proofErr w:type="spellStart"/>
      <w:r w:rsidRPr="008007E3">
        <w:t>пруденційних</w:t>
      </w:r>
      <w:proofErr w:type="spellEnd"/>
      <w:r w:rsidRPr="008007E3">
        <w:t xml:space="preserve"> нормативів банківської групи/підгрупи банківської групи, буферів капіталу/комбінованого буфера капіталу відповідно до порядку, визначеного цим Положенням.</w:t>
      </w:r>
      <w:r w:rsidR="001D3943" w:rsidRPr="008007E3">
        <w:t>”.</w:t>
      </w:r>
    </w:p>
    <w:p w14:paraId="01107CAB" w14:textId="51E3C4F1" w:rsidR="000F170A" w:rsidRPr="008007E3" w:rsidRDefault="000B301B" w:rsidP="00E21FE2">
      <w:pPr>
        <w:ind w:firstLine="567"/>
      </w:pPr>
      <w:r w:rsidRPr="008007E3">
        <w:t>У зв’язку з цим пункти 9</w:t>
      </w:r>
      <w:r w:rsidR="0042088A">
        <w:t>–</w:t>
      </w:r>
      <w:r w:rsidRPr="008007E3">
        <w:t>18 уважати відповідно пунктами 10</w:t>
      </w:r>
      <w:r w:rsidR="0042088A">
        <w:t>–</w:t>
      </w:r>
      <w:r w:rsidRPr="008007E3">
        <w:t>19;</w:t>
      </w:r>
    </w:p>
    <w:p w14:paraId="708B600B" w14:textId="77777777" w:rsidR="000B301B" w:rsidRPr="008007E3" w:rsidRDefault="000B301B" w:rsidP="00E21FE2">
      <w:pPr>
        <w:ind w:firstLine="567"/>
      </w:pPr>
    </w:p>
    <w:p w14:paraId="78352EE3" w14:textId="7118417D" w:rsidR="000F170A" w:rsidRPr="008007E3" w:rsidRDefault="001D3943" w:rsidP="00E21FE2">
      <w:pPr>
        <w:ind w:firstLine="567"/>
        <w:rPr>
          <w:lang w:val="ru-RU"/>
        </w:rPr>
      </w:pPr>
      <w:r w:rsidRPr="008007E3">
        <w:rPr>
          <w:lang w:val="ru-RU"/>
        </w:rPr>
        <w:t>3</w:t>
      </w:r>
      <w:r w:rsidR="00193581" w:rsidRPr="008007E3">
        <w:rPr>
          <w:lang w:val="ru-RU"/>
        </w:rPr>
        <w:t xml:space="preserve">) </w:t>
      </w:r>
      <w:r w:rsidR="00193581" w:rsidRPr="008007E3">
        <w:t>у пункті 10</w:t>
      </w:r>
      <w:r w:rsidR="00425E94">
        <w:t xml:space="preserve"> </w:t>
      </w:r>
      <w:r w:rsidR="00193581" w:rsidRPr="008007E3">
        <w:t xml:space="preserve">слово </w:t>
      </w:r>
      <w:r w:rsidR="00193581" w:rsidRPr="008007E3">
        <w:rPr>
          <w:lang w:val="ru-RU"/>
        </w:rPr>
        <w:t>“</w:t>
      </w:r>
      <w:r w:rsidR="00193581" w:rsidRPr="008007E3">
        <w:t>інструменти</w:t>
      </w:r>
      <w:r w:rsidR="00193581" w:rsidRPr="008007E3">
        <w:rPr>
          <w:lang w:val="ru-RU"/>
        </w:rPr>
        <w:t>”</w:t>
      </w:r>
      <w:r w:rsidR="00193581" w:rsidRPr="008007E3">
        <w:t xml:space="preserve"> замінити словом </w:t>
      </w:r>
      <w:r w:rsidR="00193581" w:rsidRPr="008007E3">
        <w:rPr>
          <w:lang w:val="ru-RU"/>
        </w:rPr>
        <w:t>“</w:t>
      </w:r>
      <w:r w:rsidR="00193581" w:rsidRPr="008007E3">
        <w:t>зобов’язання</w:t>
      </w:r>
      <w:r w:rsidR="00193581" w:rsidRPr="008007E3">
        <w:rPr>
          <w:lang w:val="ru-RU"/>
        </w:rPr>
        <w:t>”;</w:t>
      </w:r>
    </w:p>
    <w:p w14:paraId="69E3A263" w14:textId="5E9F6580" w:rsidR="00193581" w:rsidRPr="008007E3" w:rsidRDefault="00193581" w:rsidP="00E21FE2">
      <w:pPr>
        <w:ind w:firstLine="567"/>
        <w:rPr>
          <w:lang w:val="ru-RU"/>
        </w:rPr>
      </w:pPr>
    </w:p>
    <w:p w14:paraId="5CD99DCF" w14:textId="7B68F21C" w:rsidR="00D70791" w:rsidRPr="008007E3" w:rsidRDefault="001D3943" w:rsidP="00E21FE2">
      <w:pPr>
        <w:ind w:firstLine="567"/>
      </w:pPr>
      <w:r w:rsidRPr="008007E3">
        <w:t>4</w:t>
      </w:r>
      <w:r w:rsidR="000B301B" w:rsidRPr="008007E3">
        <w:t>) у пункті 11</w:t>
      </w:r>
      <w:r w:rsidR="00D70791" w:rsidRPr="008007E3">
        <w:t>:</w:t>
      </w:r>
    </w:p>
    <w:p w14:paraId="2387F2FB" w14:textId="77777777" w:rsidR="00193581" w:rsidRPr="008007E3" w:rsidRDefault="000B301B" w:rsidP="00E21FE2">
      <w:pPr>
        <w:ind w:firstLine="567"/>
      </w:pPr>
      <w:r w:rsidRPr="008007E3">
        <w:t xml:space="preserve">слова “банківської групи або підгрупи банківської групи (далі </w:t>
      </w:r>
      <w:r w:rsidR="00D70791" w:rsidRPr="008007E3">
        <w:t xml:space="preserve">– </w:t>
      </w:r>
      <w:r w:rsidRPr="008007E3">
        <w:t xml:space="preserve">банківська група/підгрупа банківської групи)” замінити словами </w:t>
      </w:r>
      <w:r w:rsidR="00D70791" w:rsidRPr="008007E3">
        <w:t>“банківської групи/підгрупи банківської групи”;</w:t>
      </w:r>
    </w:p>
    <w:p w14:paraId="3181466D" w14:textId="0F417B21" w:rsidR="00D70791" w:rsidRPr="008007E3" w:rsidRDefault="00D70791" w:rsidP="00E21FE2">
      <w:pPr>
        <w:ind w:firstLine="567"/>
      </w:pPr>
      <w:r w:rsidRPr="008007E3">
        <w:t xml:space="preserve">слова та цифри </w:t>
      </w:r>
      <w:r w:rsidRPr="008007E3">
        <w:rPr>
          <w:lang w:val="ru-RU"/>
        </w:rPr>
        <w:t>“</w:t>
      </w:r>
      <w:r w:rsidRPr="008007E3">
        <w:t>глави 1 розділу II</w:t>
      </w:r>
      <w:r w:rsidRPr="008007E3">
        <w:rPr>
          <w:lang w:val="ru-RU"/>
        </w:rPr>
        <w:t xml:space="preserve">” </w:t>
      </w:r>
      <w:r w:rsidRPr="008007E3">
        <w:t>виключити;</w:t>
      </w:r>
    </w:p>
    <w:p w14:paraId="477782C3" w14:textId="77777777" w:rsidR="00D70791" w:rsidRPr="008007E3" w:rsidRDefault="00D70791" w:rsidP="00E21FE2">
      <w:pPr>
        <w:ind w:firstLine="567"/>
      </w:pPr>
    </w:p>
    <w:p w14:paraId="4EE05166" w14:textId="041D0C32" w:rsidR="00D70791" w:rsidRPr="008007E3" w:rsidRDefault="001D3943" w:rsidP="00E21FE2">
      <w:pPr>
        <w:ind w:firstLine="567"/>
      </w:pPr>
      <w:r w:rsidRPr="008007E3">
        <w:t>5</w:t>
      </w:r>
      <w:r w:rsidR="00D70791" w:rsidRPr="008007E3">
        <w:t>) пункт 12 викласти в такій редакції:</w:t>
      </w:r>
    </w:p>
    <w:p w14:paraId="0E9F98BD" w14:textId="4C459D8B" w:rsidR="00D70791" w:rsidRPr="008007E3" w:rsidRDefault="00D70791" w:rsidP="00E21FE2">
      <w:pPr>
        <w:pStyle w:val="rvps2"/>
        <w:shd w:val="clear" w:color="auto" w:fill="FFFFFF"/>
        <w:spacing w:before="0" w:beforeAutospacing="0" w:after="0" w:afterAutospacing="0"/>
        <w:ind w:firstLine="567"/>
        <w:jc w:val="both"/>
        <w:rPr>
          <w:sz w:val="28"/>
          <w:szCs w:val="28"/>
          <w:lang w:val="uk-UA"/>
        </w:rPr>
      </w:pPr>
      <w:r w:rsidRPr="008007E3">
        <w:rPr>
          <w:sz w:val="28"/>
          <w:szCs w:val="28"/>
          <w:lang w:val="uk-UA"/>
        </w:rPr>
        <w:t xml:space="preserve">“12. Активи (частини активів), які включені до </w:t>
      </w:r>
      <w:proofErr w:type="spellStart"/>
      <w:r w:rsidRPr="008007E3">
        <w:rPr>
          <w:sz w:val="28"/>
          <w:szCs w:val="28"/>
          <w:lang w:val="uk-UA"/>
        </w:rPr>
        <w:t>вирахувань</w:t>
      </w:r>
      <w:proofErr w:type="spellEnd"/>
      <w:r w:rsidRPr="008007E3">
        <w:rPr>
          <w:sz w:val="28"/>
          <w:szCs w:val="28"/>
          <w:lang w:val="uk-UA"/>
        </w:rPr>
        <w:t xml:space="preserve"> з основного капіталу 1 рівня/додаткового капіталу 1 рівня/капіталу 2 рівня/регулятивного капіталу банківської групи/підгрупи банківської групи, не включаються до розрахунку сукупної експозиції під ризиком</w:t>
      </w:r>
      <w:r w:rsidR="002316F1" w:rsidRPr="008007E3">
        <w:rPr>
          <w:sz w:val="28"/>
          <w:szCs w:val="28"/>
          <w:lang w:val="uk-UA"/>
        </w:rPr>
        <w:t>,</w:t>
      </w:r>
      <w:r w:rsidRPr="008007E3">
        <w:rPr>
          <w:sz w:val="28"/>
          <w:szCs w:val="28"/>
          <w:lang w:val="uk-UA"/>
        </w:rPr>
        <w:t xml:space="preserve"> а також </w:t>
      </w:r>
      <w:proofErr w:type="spellStart"/>
      <w:r w:rsidRPr="008007E3">
        <w:rPr>
          <w:sz w:val="28"/>
          <w:szCs w:val="28"/>
          <w:lang w:val="uk-UA"/>
        </w:rPr>
        <w:t>пруденційних</w:t>
      </w:r>
      <w:proofErr w:type="spellEnd"/>
      <w:r w:rsidRPr="008007E3">
        <w:rPr>
          <w:sz w:val="28"/>
          <w:szCs w:val="28"/>
          <w:lang w:val="uk-UA"/>
        </w:rPr>
        <w:t xml:space="preserve"> нормативів </w:t>
      </w:r>
      <w:r w:rsidRPr="008007E3">
        <w:rPr>
          <w:sz w:val="28"/>
          <w:szCs w:val="28"/>
          <w:lang w:val="uk-UA"/>
        </w:rPr>
        <w:lastRenderedPageBreak/>
        <w:t>банківської групи/підгрупи банківської групи, базою для розрахунку яких є регулятивний капітал банківської групи/підгрупи банківської групи.”;</w:t>
      </w:r>
    </w:p>
    <w:p w14:paraId="1BB3469B" w14:textId="77777777" w:rsidR="00D70791" w:rsidRPr="008007E3" w:rsidRDefault="00D70791" w:rsidP="00E21FE2">
      <w:pPr>
        <w:pStyle w:val="rvps2"/>
        <w:shd w:val="clear" w:color="auto" w:fill="FFFFFF"/>
        <w:spacing w:before="0" w:beforeAutospacing="0" w:after="0" w:afterAutospacing="0"/>
        <w:ind w:firstLine="567"/>
        <w:jc w:val="both"/>
        <w:rPr>
          <w:sz w:val="28"/>
          <w:szCs w:val="28"/>
          <w:lang w:val="uk-UA"/>
        </w:rPr>
      </w:pPr>
    </w:p>
    <w:p w14:paraId="37DBB7D6" w14:textId="1D46CE76" w:rsidR="00672D8A" w:rsidRPr="008007E3" w:rsidRDefault="001D3943" w:rsidP="00E21FE2">
      <w:pPr>
        <w:ind w:firstLine="567"/>
      </w:pPr>
      <w:r w:rsidRPr="008007E3">
        <w:t>6</w:t>
      </w:r>
      <w:r w:rsidR="00672D8A" w:rsidRPr="008007E3">
        <w:t xml:space="preserve">) у пункті 15: </w:t>
      </w:r>
    </w:p>
    <w:p w14:paraId="11664441" w14:textId="316F3336" w:rsidR="00566BA2" w:rsidRPr="008007E3" w:rsidRDefault="00672D8A" w:rsidP="00E21FE2">
      <w:pPr>
        <w:pStyle w:val="rvps2"/>
        <w:spacing w:before="0" w:beforeAutospacing="0" w:after="0" w:afterAutospacing="0"/>
        <w:ind w:firstLine="567"/>
        <w:rPr>
          <w:sz w:val="28"/>
          <w:szCs w:val="28"/>
        </w:rPr>
      </w:pPr>
      <w:r w:rsidRPr="008007E3">
        <w:rPr>
          <w:sz w:val="28"/>
          <w:szCs w:val="28"/>
        </w:rPr>
        <w:t xml:space="preserve">у </w:t>
      </w:r>
      <w:proofErr w:type="spellStart"/>
      <w:r w:rsidRPr="008007E3">
        <w:rPr>
          <w:sz w:val="28"/>
          <w:szCs w:val="28"/>
        </w:rPr>
        <w:t>підпункті</w:t>
      </w:r>
      <w:proofErr w:type="spellEnd"/>
      <w:r w:rsidRPr="008007E3">
        <w:rPr>
          <w:sz w:val="28"/>
          <w:szCs w:val="28"/>
        </w:rPr>
        <w:t xml:space="preserve"> 1</w:t>
      </w:r>
      <w:r w:rsidR="00566BA2" w:rsidRPr="008007E3">
        <w:rPr>
          <w:sz w:val="28"/>
          <w:szCs w:val="28"/>
        </w:rPr>
        <w:t xml:space="preserve"> </w:t>
      </w:r>
      <w:proofErr w:type="spellStart"/>
      <w:r w:rsidRPr="008007E3">
        <w:rPr>
          <w:sz w:val="28"/>
          <w:szCs w:val="28"/>
        </w:rPr>
        <w:t>цифри</w:t>
      </w:r>
      <w:proofErr w:type="spellEnd"/>
      <w:r w:rsidRPr="008007E3">
        <w:rPr>
          <w:sz w:val="28"/>
          <w:szCs w:val="28"/>
        </w:rPr>
        <w:t xml:space="preserve"> </w:t>
      </w:r>
      <w:r w:rsidRPr="008007E3">
        <w:rPr>
          <w:sz w:val="28"/>
          <w:szCs w:val="28"/>
          <w:lang w:val="uk-UA"/>
        </w:rPr>
        <w:t xml:space="preserve">“13” </w:t>
      </w:r>
      <w:proofErr w:type="spellStart"/>
      <w:r w:rsidRPr="008007E3">
        <w:rPr>
          <w:sz w:val="28"/>
          <w:szCs w:val="28"/>
        </w:rPr>
        <w:t>замінити</w:t>
      </w:r>
      <w:proofErr w:type="spellEnd"/>
      <w:r w:rsidRPr="008007E3">
        <w:rPr>
          <w:sz w:val="28"/>
          <w:szCs w:val="28"/>
        </w:rPr>
        <w:t xml:space="preserve"> цифр</w:t>
      </w:r>
      <w:proofErr w:type="spellStart"/>
      <w:r w:rsidR="003449B0">
        <w:rPr>
          <w:sz w:val="28"/>
          <w:szCs w:val="28"/>
          <w:lang w:val="uk-UA"/>
        </w:rPr>
        <w:t>ами</w:t>
      </w:r>
      <w:proofErr w:type="spellEnd"/>
      <w:r w:rsidRPr="008007E3">
        <w:rPr>
          <w:sz w:val="28"/>
          <w:szCs w:val="28"/>
        </w:rPr>
        <w:t xml:space="preserve"> </w:t>
      </w:r>
      <w:r w:rsidRPr="008007E3">
        <w:rPr>
          <w:sz w:val="28"/>
          <w:szCs w:val="28"/>
          <w:lang w:val="uk-UA"/>
        </w:rPr>
        <w:t>“14”</w:t>
      </w:r>
      <w:r w:rsidRPr="008007E3">
        <w:rPr>
          <w:sz w:val="28"/>
          <w:szCs w:val="28"/>
        </w:rPr>
        <w:t>;</w:t>
      </w:r>
    </w:p>
    <w:p w14:paraId="064ECC7E" w14:textId="6419891D" w:rsidR="00672D8A" w:rsidRPr="008007E3" w:rsidRDefault="00672D8A" w:rsidP="00E21FE2">
      <w:pPr>
        <w:pStyle w:val="rvps2"/>
        <w:spacing w:before="0" w:beforeAutospacing="0" w:after="0" w:afterAutospacing="0"/>
        <w:ind w:firstLine="567"/>
        <w:rPr>
          <w:sz w:val="28"/>
          <w:szCs w:val="28"/>
        </w:rPr>
      </w:pPr>
      <w:r w:rsidRPr="008007E3">
        <w:rPr>
          <w:sz w:val="28"/>
          <w:szCs w:val="28"/>
          <w:lang w:val="uk-UA"/>
        </w:rPr>
        <w:t>у підпункті 2 цифри “14”, “13” замінити відповідно цифр</w:t>
      </w:r>
      <w:r w:rsidR="00FC14D9">
        <w:rPr>
          <w:sz w:val="28"/>
          <w:szCs w:val="28"/>
          <w:lang w:val="uk-UA"/>
        </w:rPr>
        <w:t>ам</w:t>
      </w:r>
      <w:r w:rsidRPr="008007E3">
        <w:rPr>
          <w:sz w:val="28"/>
          <w:szCs w:val="28"/>
          <w:lang w:val="uk-UA"/>
        </w:rPr>
        <w:t>и “15”, “14”;</w:t>
      </w:r>
    </w:p>
    <w:p w14:paraId="1807C230" w14:textId="77777777" w:rsidR="00672D8A" w:rsidRPr="008007E3" w:rsidRDefault="00672D8A" w:rsidP="00E21FE2">
      <w:pPr>
        <w:ind w:firstLine="567"/>
      </w:pPr>
    </w:p>
    <w:p w14:paraId="51EC7FC0" w14:textId="2B58FD1D" w:rsidR="00865D53" w:rsidRPr="008007E3" w:rsidRDefault="001D3943" w:rsidP="00E21FE2">
      <w:pPr>
        <w:ind w:firstLine="567"/>
      </w:pPr>
      <w:r w:rsidRPr="008007E3">
        <w:t>7</w:t>
      </w:r>
      <w:r w:rsidR="00672D8A" w:rsidRPr="008007E3">
        <w:t xml:space="preserve">) у </w:t>
      </w:r>
      <w:r w:rsidR="00865D53" w:rsidRPr="008007E3">
        <w:t>пункті 16</w:t>
      </w:r>
      <w:r w:rsidR="00566BA2" w:rsidRPr="008007E3">
        <w:t xml:space="preserve"> </w:t>
      </w:r>
      <w:r w:rsidR="00865D53" w:rsidRPr="008007E3">
        <w:t xml:space="preserve">цифри </w:t>
      </w:r>
      <w:r w:rsidR="00865D53" w:rsidRPr="008007E3">
        <w:rPr>
          <w:lang w:val="ru-RU"/>
        </w:rPr>
        <w:t xml:space="preserve">“13” </w:t>
      </w:r>
      <w:r w:rsidR="00865D53" w:rsidRPr="008007E3">
        <w:t>замінити цифр</w:t>
      </w:r>
      <w:r w:rsidR="0042088A">
        <w:t>ам</w:t>
      </w:r>
      <w:r w:rsidR="00865D53" w:rsidRPr="008007E3">
        <w:t xml:space="preserve">и </w:t>
      </w:r>
      <w:r w:rsidR="00865D53" w:rsidRPr="008007E3">
        <w:rPr>
          <w:lang w:val="ru-RU"/>
        </w:rPr>
        <w:t>“14”</w:t>
      </w:r>
      <w:r w:rsidR="00865D53" w:rsidRPr="008007E3">
        <w:t>;</w:t>
      </w:r>
    </w:p>
    <w:p w14:paraId="78EDC535" w14:textId="77777777" w:rsidR="00D70791" w:rsidRPr="008007E3" w:rsidRDefault="00D70791" w:rsidP="00E21FE2">
      <w:pPr>
        <w:ind w:firstLine="567"/>
      </w:pPr>
    </w:p>
    <w:p w14:paraId="54B38800" w14:textId="28BEFD44" w:rsidR="00D70791" w:rsidRPr="008007E3" w:rsidRDefault="001D3943" w:rsidP="00E21FE2">
      <w:pPr>
        <w:ind w:firstLine="567"/>
      </w:pPr>
      <w:r w:rsidRPr="008007E3">
        <w:t>8</w:t>
      </w:r>
      <w:r w:rsidR="00865D53" w:rsidRPr="008007E3">
        <w:t xml:space="preserve">) у пункті 18 слова </w:t>
      </w:r>
      <w:r w:rsidR="00865D53" w:rsidRPr="008007E3">
        <w:rPr>
          <w:lang w:val="ru-RU"/>
        </w:rPr>
        <w:t>“</w:t>
      </w:r>
      <w:proofErr w:type="spellStart"/>
      <w:r w:rsidR="00865D53" w:rsidRPr="008007E3">
        <w:rPr>
          <w:lang w:val="ru-RU"/>
        </w:rPr>
        <w:t>України</w:t>
      </w:r>
      <w:proofErr w:type="spellEnd"/>
      <w:r w:rsidR="00865D53" w:rsidRPr="008007E3">
        <w:rPr>
          <w:lang w:val="ru-RU"/>
        </w:rPr>
        <w:t xml:space="preserve"> (</w:t>
      </w:r>
      <w:proofErr w:type="spellStart"/>
      <w:r w:rsidR="00865D53" w:rsidRPr="008007E3">
        <w:rPr>
          <w:lang w:val="ru-RU"/>
        </w:rPr>
        <w:t>далі</w:t>
      </w:r>
      <w:proofErr w:type="spellEnd"/>
      <w:r w:rsidR="00865D53" w:rsidRPr="008007E3">
        <w:rPr>
          <w:lang w:val="ru-RU"/>
        </w:rPr>
        <w:t xml:space="preserve"> – </w:t>
      </w:r>
      <w:proofErr w:type="spellStart"/>
      <w:r w:rsidR="00865D53" w:rsidRPr="008007E3">
        <w:rPr>
          <w:lang w:val="ru-RU"/>
        </w:rPr>
        <w:t>Національний</w:t>
      </w:r>
      <w:proofErr w:type="spellEnd"/>
      <w:r w:rsidR="00865D53" w:rsidRPr="008007E3">
        <w:rPr>
          <w:lang w:val="ru-RU"/>
        </w:rPr>
        <w:t xml:space="preserve"> банк)” </w:t>
      </w:r>
      <w:r w:rsidR="00865D53" w:rsidRPr="008007E3">
        <w:t>виключити;</w:t>
      </w:r>
    </w:p>
    <w:p w14:paraId="06754AAF" w14:textId="77777777" w:rsidR="00865D53" w:rsidRPr="008007E3" w:rsidRDefault="00865D53" w:rsidP="00E21FE2">
      <w:pPr>
        <w:ind w:firstLine="567"/>
      </w:pPr>
    </w:p>
    <w:p w14:paraId="5CBED784" w14:textId="4206DF9D" w:rsidR="00865D53" w:rsidRPr="008007E3" w:rsidRDefault="001D3943" w:rsidP="00E21FE2">
      <w:pPr>
        <w:ind w:firstLine="567"/>
      </w:pPr>
      <w:r w:rsidRPr="008007E3">
        <w:t>9</w:t>
      </w:r>
      <w:r w:rsidR="00865D53" w:rsidRPr="008007E3">
        <w:t>) пункт 19 викласти в такій редакції:</w:t>
      </w:r>
    </w:p>
    <w:p w14:paraId="205EC8C8" w14:textId="10F78666" w:rsidR="00865D53" w:rsidRPr="008007E3" w:rsidRDefault="00865D53" w:rsidP="00E21FE2">
      <w:pPr>
        <w:pStyle w:val="rvps7"/>
        <w:shd w:val="clear" w:color="auto" w:fill="FFFFFF"/>
        <w:spacing w:before="0" w:beforeAutospacing="0" w:after="0" w:afterAutospacing="0"/>
        <w:ind w:firstLine="567"/>
        <w:jc w:val="both"/>
        <w:rPr>
          <w:sz w:val="28"/>
          <w:szCs w:val="28"/>
          <w:shd w:val="clear" w:color="auto" w:fill="FFFFFF"/>
          <w:lang w:val="ru-RU"/>
        </w:rPr>
      </w:pPr>
      <w:r w:rsidRPr="008007E3">
        <w:rPr>
          <w:sz w:val="28"/>
          <w:szCs w:val="28"/>
          <w:shd w:val="clear" w:color="auto" w:fill="FFFFFF"/>
          <w:lang w:val="ru-RU"/>
        </w:rPr>
        <w:t>“</w:t>
      </w:r>
      <w:r w:rsidRPr="008007E3">
        <w:rPr>
          <w:sz w:val="28"/>
          <w:szCs w:val="28"/>
          <w:shd w:val="clear" w:color="auto" w:fill="FFFFFF"/>
        </w:rPr>
        <w:t xml:space="preserve">19. Відповідальна особа банківської групи подає до Національного банку документи та інформацію відповідно до вимог цього Положення в порядку, визначеному </w:t>
      </w:r>
      <w:r w:rsidR="00E14AEB">
        <w:rPr>
          <w:sz w:val="28"/>
          <w:szCs w:val="28"/>
          <w:shd w:val="clear" w:color="auto" w:fill="FFFFFF"/>
        </w:rPr>
        <w:t>в</w:t>
      </w:r>
      <w:r w:rsidRPr="008007E3">
        <w:rPr>
          <w:sz w:val="28"/>
          <w:szCs w:val="28"/>
          <w:shd w:val="clear" w:color="auto" w:fill="FFFFFF"/>
        </w:rPr>
        <w:t xml:space="preserve"> розділі I Положення №</w:t>
      </w:r>
      <w:r w:rsidR="00566BA2" w:rsidRPr="008007E3">
        <w:rPr>
          <w:sz w:val="28"/>
          <w:szCs w:val="28"/>
          <w:shd w:val="clear" w:color="auto" w:fill="FFFFFF"/>
        </w:rPr>
        <w:t> </w:t>
      </w:r>
      <w:r w:rsidRPr="008007E3">
        <w:rPr>
          <w:sz w:val="28"/>
          <w:szCs w:val="28"/>
          <w:shd w:val="clear" w:color="auto" w:fill="FFFFFF"/>
        </w:rPr>
        <w:t>134.</w:t>
      </w:r>
      <w:r w:rsidRPr="008007E3">
        <w:rPr>
          <w:sz w:val="28"/>
          <w:szCs w:val="28"/>
          <w:shd w:val="clear" w:color="auto" w:fill="FFFFFF"/>
          <w:lang w:val="ru-RU"/>
        </w:rPr>
        <w:t>”.</w:t>
      </w:r>
    </w:p>
    <w:p w14:paraId="6F4974B9" w14:textId="77777777" w:rsidR="00865D53" w:rsidRPr="008007E3" w:rsidRDefault="00865D53" w:rsidP="00E21FE2">
      <w:pPr>
        <w:ind w:firstLine="567"/>
        <w:rPr>
          <w:lang w:val="ru-RU"/>
        </w:rPr>
      </w:pPr>
    </w:p>
    <w:p w14:paraId="700FD5C4" w14:textId="77777777" w:rsidR="00865D53" w:rsidRPr="008007E3" w:rsidRDefault="00865D53" w:rsidP="00E21FE2">
      <w:pPr>
        <w:ind w:firstLine="567"/>
      </w:pPr>
      <w:r w:rsidRPr="008007E3">
        <w:t xml:space="preserve">2. Розділ </w:t>
      </w:r>
      <w:r w:rsidRPr="008007E3">
        <w:rPr>
          <w:lang w:val="en-US"/>
        </w:rPr>
        <w:t>II</w:t>
      </w:r>
      <w:r w:rsidRPr="008007E3">
        <w:t xml:space="preserve"> викласти в такій редакції:</w:t>
      </w:r>
    </w:p>
    <w:p w14:paraId="2A88A416" w14:textId="7FA2DA60" w:rsidR="00B641B7" w:rsidRPr="008007E3" w:rsidRDefault="00B641B7" w:rsidP="00E21FE2">
      <w:pPr>
        <w:pStyle w:val="rvps7"/>
        <w:shd w:val="clear" w:color="auto" w:fill="FFFFFF"/>
        <w:spacing w:before="0" w:beforeAutospacing="0" w:after="0" w:afterAutospacing="0"/>
        <w:ind w:firstLine="567"/>
        <w:jc w:val="center"/>
        <w:rPr>
          <w:rStyle w:val="rvts15"/>
          <w:bCs/>
          <w:sz w:val="28"/>
          <w:szCs w:val="28"/>
        </w:rPr>
      </w:pPr>
      <w:r w:rsidRPr="008007E3">
        <w:rPr>
          <w:sz w:val="28"/>
          <w:szCs w:val="28"/>
          <w:lang w:val="ru-RU"/>
        </w:rPr>
        <w:t>“</w:t>
      </w:r>
      <w:r w:rsidRPr="008007E3">
        <w:rPr>
          <w:rStyle w:val="rvts15"/>
          <w:bCs/>
          <w:sz w:val="28"/>
          <w:szCs w:val="28"/>
        </w:rPr>
        <w:t>Розділ II. Регулятивний капітал банківської групи</w:t>
      </w:r>
    </w:p>
    <w:p w14:paraId="25A08AAA" w14:textId="77777777" w:rsidR="00F2683B" w:rsidRPr="008007E3" w:rsidRDefault="00F2683B" w:rsidP="00E21FE2">
      <w:pPr>
        <w:pStyle w:val="rvps7"/>
        <w:shd w:val="clear" w:color="auto" w:fill="FFFFFF"/>
        <w:spacing w:before="0" w:beforeAutospacing="0" w:after="0" w:afterAutospacing="0"/>
        <w:ind w:firstLine="567"/>
        <w:jc w:val="center"/>
        <w:rPr>
          <w:sz w:val="28"/>
          <w:szCs w:val="28"/>
        </w:rPr>
      </w:pPr>
    </w:p>
    <w:p w14:paraId="570B986A" w14:textId="77777777" w:rsidR="00B641B7" w:rsidRPr="008007E3" w:rsidRDefault="00B641B7" w:rsidP="00E21FE2">
      <w:pPr>
        <w:pStyle w:val="rvps7"/>
        <w:shd w:val="clear" w:color="auto" w:fill="FFFFFF"/>
        <w:spacing w:before="0" w:beforeAutospacing="0" w:after="0" w:afterAutospacing="0"/>
        <w:ind w:firstLine="567"/>
        <w:jc w:val="center"/>
        <w:rPr>
          <w:sz w:val="28"/>
          <w:szCs w:val="28"/>
        </w:rPr>
      </w:pPr>
      <w:r w:rsidRPr="008007E3">
        <w:rPr>
          <w:rStyle w:val="rvts15"/>
          <w:bCs/>
          <w:sz w:val="28"/>
          <w:szCs w:val="28"/>
        </w:rPr>
        <w:t>Глава 1. Порядок розрахунку регулятивного капіталу банківської групи</w:t>
      </w:r>
    </w:p>
    <w:p w14:paraId="72E2EBBA" w14:textId="77777777" w:rsidR="00B641B7" w:rsidRPr="008007E3" w:rsidRDefault="00B641B7" w:rsidP="00E21FE2">
      <w:pPr>
        <w:ind w:firstLine="567"/>
      </w:pPr>
    </w:p>
    <w:p w14:paraId="289C5EDC" w14:textId="120C5A30" w:rsidR="00566BA2" w:rsidRPr="008007E3" w:rsidRDefault="00566BA2" w:rsidP="00E21FE2">
      <w:pPr>
        <w:pStyle w:val="rvps2"/>
        <w:shd w:val="clear" w:color="auto" w:fill="FFFFFF"/>
        <w:spacing w:before="0" w:beforeAutospacing="0" w:after="0" w:afterAutospacing="0"/>
        <w:ind w:firstLine="567"/>
        <w:jc w:val="both"/>
        <w:rPr>
          <w:sz w:val="28"/>
          <w:szCs w:val="28"/>
          <w:lang w:val="uk-UA"/>
        </w:rPr>
      </w:pPr>
      <w:r w:rsidRPr="008007E3">
        <w:rPr>
          <w:sz w:val="28"/>
          <w:szCs w:val="28"/>
          <w:lang w:val="uk-UA"/>
        </w:rPr>
        <w:t xml:space="preserve">1. Основним призначенням регулятивного капіталу банківської групи є покриття збитків, спричинених ризиками, на які наражаються учасники банківської групи в процесі здійснення діяльності з надання фінансових послуг, </w:t>
      </w:r>
      <w:r w:rsidR="00E14AEB">
        <w:rPr>
          <w:sz w:val="28"/>
          <w:szCs w:val="28"/>
          <w:lang w:val="uk-UA"/>
        </w:rPr>
        <w:t>в</w:t>
      </w:r>
      <w:r w:rsidRPr="008007E3">
        <w:rPr>
          <w:sz w:val="28"/>
          <w:szCs w:val="28"/>
          <w:lang w:val="uk-UA"/>
        </w:rPr>
        <w:t>ключаючи ризики, які виникають унаслідок участі в банківській групі.</w:t>
      </w:r>
    </w:p>
    <w:p w14:paraId="11EFF84A" w14:textId="77777777" w:rsidR="00566BA2" w:rsidRPr="008007E3" w:rsidRDefault="00566BA2" w:rsidP="00E21FE2">
      <w:pPr>
        <w:ind w:firstLine="567"/>
      </w:pPr>
    </w:p>
    <w:p w14:paraId="3E14E49B" w14:textId="2214841C" w:rsidR="00566BA2" w:rsidRPr="008007E3" w:rsidRDefault="00566BA2" w:rsidP="00E21FE2">
      <w:pPr>
        <w:ind w:firstLine="567"/>
      </w:pPr>
      <w:r w:rsidRPr="008007E3">
        <w:t xml:space="preserve">2. Відповідальна особа банківської групи визначає розмір регулятивного капіталу банківської групи за </w:t>
      </w:r>
      <w:r w:rsidR="00E14AEB">
        <w:t xml:space="preserve">такою </w:t>
      </w:r>
      <w:r w:rsidRPr="008007E3">
        <w:t>формулою:</w:t>
      </w:r>
    </w:p>
    <w:p w14:paraId="4292F137" w14:textId="77777777" w:rsidR="00566BA2" w:rsidRPr="008007E3" w:rsidRDefault="00566BA2" w:rsidP="00E21FE2">
      <w:pPr>
        <w:ind w:firstLine="567"/>
      </w:pPr>
    </w:p>
    <w:p w14:paraId="1A3C9BD5" w14:textId="7EECA66B" w:rsidR="00566BA2" w:rsidRPr="008007E3" w:rsidRDefault="00566BA2" w:rsidP="00E21FE2">
      <w:pPr>
        <w:ind w:firstLine="567"/>
        <w:jc w:val="center"/>
      </w:pPr>
      <w:r w:rsidRPr="008007E3">
        <w:t>РК</w:t>
      </w:r>
      <w:r w:rsidRPr="008007E3">
        <w:rPr>
          <w:vertAlign w:val="subscript"/>
        </w:rPr>
        <w:t>БГ</w:t>
      </w:r>
      <w:r w:rsidR="004449D8">
        <w:t xml:space="preserve"> </w:t>
      </w:r>
      <w:r w:rsidRPr="008007E3">
        <w:t>= РК</w:t>
      </w:r>
      <w:r w:rsidRPr="008007E3">
        <w:rPr>
          <w:vertAlign w:val="subscript"/>
        </w:rPr>
        <w:t>КІП</w:t>
      </w:r>
      <w:r w:rsidRPr="008007E3">
        <w:t xml:space="preserve"> + РК</w:t>
      </w:r>
      <w:r w:rsidRPr="008007E3">
        <w:rPr>
          <w:vertAlign w:val="subscript"/>
        </w:rPr>
        <w:t>СП</w:t>
      </w:r>
      <w:r w:rsidRPr="008007E3">
        <w:t xml:space="preserve"> </w:t>
      </w:r>
      <w:r w:rsidR="00DD08FE">
        <w:t>‒</w:t>
      </w:r>
      <w:r w:rsidRPr="008007E3">
        <w:t xml:space="preserve"> В,</w:t>
      </w:r>
    </w:p>
    <w:p w14:paraId="2232ED7B" w14:textId="77777777" w:rsidR="00566BA2" w:rsidRPr="008007E3" w:rsidRDefault="00566BA2" w:rsidP="00E21FE2">
      <w:pPr>
        <w:ind w:firstLine="567"/>
      </w:pPr>
    </w:p>
    <w:p w14:paraId="16CD5CE1" w14:textId="7BAFA84F" w:rsidR="00566BA2" w:rsidRPr="008007E3" w:rsidRDefault="00566BA2" w:rsidP="00D64DF7">
      <w:r w:rsidRPr="008007E3">
        <w:t xml:space="preserve">де </w:t>
      </w:r>
      <w:r w:rsidR="00AB07A0" w:rsidRPr="008007E3">
        <w:tab/>
      </w:r>
      <w:r w:rsidRPr="008007E3">
        <w:t>РК</w:t>
      </w:r>
      <w:r w:rsidRPr="008007E3">
        <w:rPr>
          <w:vertAlign w:val="subscript"/>
        </w:rPr>
        <w:t>БГ</w:t>
      </w:r>
      <w:r w:rsidRPr="008007E3">
        <w:t xml:space="preserve"> – розмір регулятивного капіталу банківської групи;</w:t>
      </w:r>
    </w:p>
    <w:p w14:paraId="0A0267DE" w14:textId="77777777" w:rsidR="00566BA2" w:rsidRPr="008007E3" w:rsidRDefault="00566BA2" w:rsidP="00D64DF7">
      <w:pPr>
        <w:shd w:val="clear" w:color="auto" w:fill="FFFFFF" w:themeFill="background1"/>
        <w:ind w:firstLine="567"/>
      </w:pPr>
      <w:r w:rsidRPr="008007E3">
        <w:t>РК</w:t>
      </w:r>
      <w:r w:rsidRPr="008007E3">
        <w:rPr>
          <w:vertAlign w:val="subscript"/>
        </w:rPr>
        <w:t>КІП</w:t>
      </w:r>
      <w:r w:rsidRPr="008007E3">
        <w:t xml:space="preserve"> – розмір регулятивного капіталу кредитно-інвестиційної підгрупи, визначений згідно з главою 2 розділу II цього Положення, або розмір регулятивного капіталу банку – учасника банківської групи, визначений згідно з главою 2 розділу I Положення № 196, якщо кредитно-інвестиційної підгрупи немає;</w:t>
      </w:r>
    </w:p>
    <w:p w14:paraId="4909AE38" w14:textId="77777777" w:rsidR="00566BA2" w:rsidRPr="008007E3" w:rsidRDefault="00566BA2" w:rsidP="00E21FE2">
      <w:pPr>
        <w:ind w:firstLine="567"/>
      </w:pPr>
      <w:r w:rsidRPr="008007E3">
        <w:t>РК</w:t>
      </w:r>
      <w:r w:rsidRPr="008007E3">
        <w:rPr>
          <w:vertAlign w:val="subscript"/>
        </w:rPr>
        <w:t>СП</w:t>
      </w:r>
      <w:r w:rsidRPr="008007E3">
        <w:t xml:space="preserve"> – розмір регулятивного капіталу страхової підгрупи або страховика – учасника банківської групи, якщо страхової підгрупи немає, визначений згідно з Положенням про порядок нагляду на консолідованій основі за небанківськими фінансовими групами, затвердженим постановою Правління Національного банку України від 29 грудня 2023 року № 202 (зі змінами);</w:t>
      </w:r>
    </w:p>
    <w:p w14:paraId="68B5E4C1" w14:textId="77777777" w:rsidR="00566BA2" w:rsidRPr="008007E3" w:rsidRDefault="00566BA2" w:rsidP="00E21FE2">
      <w:pPr>
        <w:ind w:firstLine="567"/>
      </w:pPr>
      <w:r w:rsidRPr="008007E3">
        <w:t xml:space="preserve">В – вирахування, яке визначається як сукупна сума вкладень (акції, частки, паї) учасників банківської групи в статутний капітал інших учасників </w:t>
      </w:r>
      <w:r w:rsidRPr="008007E3">
        <w:lastRenderedPageBreak/>
        <w:t xml:space="preserve">банківської групи та/або в інші інструменти капіталу інших учасників банківської групи (включаючи інструмент з умовами списання/конверсії, </w:t>
      </w:r>
      <w:proofErr w:type="spellStart"/>
      <w:r w:rsidRPr="008007E3">
        <w:t>субординований</w:t>
      </w:r>
      <w:proofErr w:type="spellEnd"/>
      <w:r w:rsidRPr="008007E3">
        <w:t xml:space="preserve"> борг), що були включені до складових регулятивного капіталу підгруп банківської групи, включаючи частку меншості.</w:t>
      </w:r>
    </w:p>
    <w:p w14:paraId="4A94823B" w14:textId="77777777" w:rsidR="00566BA2" w:rsidRPr="008007E3" w:rsidRDefault="00566BA2" w:rsidP="00E21FE2">
      <w:pPr>
        <w:ind w:firstLine="567"/>
      </w:pPr>
    </w:p>
    <w:p w14:paraId="3E54FDA1" w14:textId="77777777" w:rsidR="00566BA2" w:rsidRPr="008007E3" w:rsidRDefault="00566BA2" w:rsidP="00E21FE2">
      <w:pPr>
        <w:pStyle w:val="rvps2"/>
        <w:shd w:val="clear" w:color="auto" w:fill="FFFFFF"/>
        <w:spacing w:before="0" w:beforeAutospacing="0" w:after="0" w:afterAutospacing="0"/>
        <w:ind w:firstLine="567"/>
        <w:jc w:val="both"/>
        <w:rPr>
          <w:sz w:val="28"/>
          <w:szCs w:val="28"/>
          <w:lang w:val="uk-UA"/>
        </w:rPr>
      </w:pPr>
      <w:r w:rsidRPr="008007E3">
        <w:rPr>
          <w:sz w:val="28"/>
          <w:szCs w:val="28"/>
          <w:lang w:val="uk-UA"/>
        </w:rPr>
        <w:t>3. Неодноразове врахування елементів капіталу не допускається під час розрахунку регулятивного капіталу банківської групи, підгруп банківської групи.</w:t>
      </w:r>
    </w:p>
    <w:p w14:paraId="5D92EE6A" w14:textId="31336346" w:rsidR="00566BA2" w:rsidRPr="008007E3" w:rsidRDefault="00566BA2" w:rsidP="00E21FE2">
      <w:pPr>
        <w:pStyle w:val="rvps2"/>
        <w:shd w:val="clear" w:color="auto" w:fill="FFFFFF"/>
        <w:spacing w:before="0" w:beforeAutospacing="0" w:after="0" w:afterAutospacing="0"/>
        <w:ind w:firstLine="567"/>
        <w:jc w:val="both"/>
        <w:rPr>
          <w:bCs/>
          <w:sz w:val="28"/>
          <w:szCs w:val="28"/>
          <w:shd w:val="clear" w:color="auto" w:fill="FFFFFF"/>
          <w:lang w:val="uk-UA"/>
        </w:rPr>
      </w:pPr>
      <w:r w:rsidRPr="008007E3">
        <w:rPr>
          <w:sz w:val="28"/>
          <w:szCs w:val="28"/>
          <w:lang w:val="uk-UA"/>
        </w:rPr>
        <w:t xml:space="preserve">Відповідальна особа банківської групи, якщо є поточні </w:t>
      </w:r>
      <w:r w:rsidRPr="008007E3">
        <w:rPr>
          <w:bCs/>
          <w:sz w:val="28"/>
          <w:szCs w:val="28"/>
          <w:shd w:val="clear" w:color="auto" w:fill="FFFFFF"/>
          <w:lang w:val="uk-UA"/>
        </w:rPr>
        <w:t xml:space="preserve">або прогнозовані </w:t>
      </w:r>
      <w:r w:rsidRPr="008007E3">
        <w:rPr>
          <w:bCs/>
          <w:sz w:val="28"/>
          <w:szCs w:val="28"/>
          <w:lang w:val="uk-UA"/>
        </w:rPr>
        <w:t>юридичні, контрактні/договірні, регуляторні, податкові або інші перешкоди/обмеження</w:t>
      </w:r>
      <w:r w:rsidRPr="008007E3">
        <w:rPr>
          <w:bCs/>
          <w:sz w:val="28"/>
          <w:szCs w:val="28"/>
          <w:shd w:val="clear" w:color="auto" w:fill="FFFFFF"/>
          <w:lang w:val="uk-UA"/>
        </w:rPr>
        <w:t xml:space="preserve"> на передавання коштів від учасників </w:t>
      </w:r>
      <w:r w:rsidRPr="008007E3">
        <w:rPr>
          <w:sz w:val="28"/>
          <w:szCs w:val="28"/>
          <w:lang w:val="uk-UA"/>
        </w:rPr>
        <w:t xml:space="preserve">кредитно-інвестиційної підгрупи до учасників страхової </w:t>
      </w:r>
      <w:r w:rsidRPr="008007E3">
        <w:rPr>
          <w:bCs/>
          <w:sz w:val="28"/>
          <w:szCs w:val="28"/>
          <w:shd w:val="clear" w:color="auto" w:fill="FFFFFF"/>
          <w:lang w:val="uk-UA"/>
        </w:rPr>
        <w:t>підгрупи (та/або навпаки),</w:t>
      </w:r>
      <w:r w:rsidRPr="008007E3">
        <w:rPr>
          <w:sz w:val="28"/>
          <w:szCs w:val="28"/>
          <w:lang w:val="uk-UA"/>
        </w:rPr>
        <w:t xml:space="preserve"> включає до розрахунку регулятивного капіталу банківської групи регулятивний капітал кредитно-інвестиційної підгрупи в розмірі, </w:t>
      </w:r>
      <w:r w:rsidR="0031505F">
        <w:rPr>
          <w:sz w:val="28"/>
          <w:szCs w:val="28"/>
          <w:lang w:val="uk-UA"/>
        </w:rPr>
        <w:t>що</w:t>
      </w:r>
      <w:r w:rsidR="0031505F" w:rsidRPr="008007E3">
        <w:rPr>
          <w:sz w:val="28"/>
          <w:szCs w:val="28"/>
          <w:lang w:val="uk-UA"/>
        </w:rPr>
        <w:t xml:space="preserve"> </w:t>
      </w:r>
      <w:r w:rsidRPr="008007E3">
        <w:rPr>
          <w:sz w:val="28"/>
          <w:szCs w:val="28"/>
          <w:lang w:val="uk-UA"/>
        </w:rPr>
        <w:t>не перевищує необхідн</w:t>
      </w:r>
      <w:r w:rsidR="0031505F">
        <w:rPr>
          <w:sz w:val="28"/>
          <w:szCs w:val="28"/>
          <w:lang w:val="uk-UA"/>
        </w:rPr>
        <w:t>ого</w:t>
      </w:r>
      <w:r w:rsidRPr="008007E3">
        <w:rPr>
          <w:sz w:val="28"/>
          <w:szCs w:val="28"/>
          <w:lang w:val="uk-UA"/>
        </w:rPr>
        <w:t xml:space="preserve"> розмір</w:t>
      </w:r>
      <w:r w:rsidR="0031505F">
        <w:rPr>
          <w:sz w:val="28"/>
          <w:szCs w:val="28"/>
          <w:lang w:val="uk-UA"/>
        </w:rPr>
        <w:t>у</w:t>
      </w:r>
      <w:r w:rsidRPr="008007E3">
        <w:rPr>
          <w:sz w:val="28"/>
          <w:szCs w:val="28"/>
          <w:lang w:val="uk-UA"/>
        </w:rPr>
        <w:t xml:space="preserve"> регулятивного капіталу кредитно-інвестиційної підгрупи</w:t>
      </w:r>
      <w:r w:rsidR="00B726C0">
        <w:rPr>
          <w:sz w:val="28"/>
          <w:szCs w:val="28"/>
          <w:lang w:val="uk-UA"/>
        </w:rPr>
        <w:t>,</w:t>
      </w:r>
      <w:r w:rsidRPr="008007E3">
        <w:rPr>
          <w:sz w:val="28"/>
          <w:szCs w:val="28"/>
          <w:lang w:val="uk-UA"/>
        </w:rPr>
        <w:t xml:space="preserve"> та/або регулятивний капітал страхової підгрупи в розмірі, </w:t>
      </w:r>
      <w:r w:rsidR="0018462C">
        <w:rPr>
          <w:sz w:val="28"/>
          <w:szCs w:val="28"/>
          <w:lang w:val="uk-UA"/>
        </w:rPr>
        <w:t>що</w:t>
      </w:r>
      <w:r w:rsidR="0018462C" w:rsidRPr="008007E3">
        <w:rPr>
          <w:sz w:val="28"/>
          <w:szCs w:val="28"/>
          <w:lang w:val="uk-UA"/>
        </w:rPr>
        <w:t xml:space="preserve"> </w:t>
      </w:r>
      <w:r w:rsidRPr="008007E3">
        <w:rPr>
          <w:sz w:val="28"/>
          <w:szCs w:val="28"/>
          <w:lang w:val="uk-UA"/>
        </w:rPr>
        <w:t>не перевищує необхідн</w:t>
      </w:r>
      <w:r w:rsidR="0018462C">
        <w:rPr>
          <w:sz w:val="28"/>
          <w:szCs w:val="28"/>
          <w:lang w:val="uk-UA"/>
        </w:rPr>
        <w:t>ого</w:t>
      </w:r>
      <w:r w:rsidRPr="008007E3">
        <w:rPr>
          <w:sz w:val="28"/>
          <w:szCs w:val="28"/>
          <w:lang w:val="uk-UA"/>
        </w:rPr>
        <w:t xml:space="preserve"> розмір</w:t>
      </w:r>
      <w:r w:rsidR="0018462C">
        <w:rPr>
          <w:sz w:val="28"/>
          <w:szCs w:val="28"/>
          <w:lang w:val="uk-UA"/>
        </w:rPr>
        <w:t>у</w:t>
      </w:r>
      <w:r w:rsidRPr="008007E3">
        <w:rPr>
          <w:sz w:val="28"/>
          <w:szCs w:val="28"/>
          <w:lang w:val="uk-UA"/>
        </w:rPr>
        <w:t xml:space="preserve"> регулятивного капіталу страхової підгрупи</w:t>
      </w:r>
      <w:r w:rsidRPr="008007E3">
        <w:rPr>
          <w:bCs/>
          <w:sz w:val="28"/>
          <w:szCs w:val="28"/>
          <w:shd w:val="clear" w:color="auto" w:fill="FFFFFF"/>
          <w:lang w:val="uk-UA"/>
        </w:rPr>
        <w:t>.</w:t>
      </w:r>
    </w:p>
    <w:p w14:paraId="58796565" w14:textId="77777777" w:rsidR="00566BA2" w:rsidRPr="008007E3" w:rsidRDefault="00566BA2" w:rsidP="00E21FE2">
      <w:pPr>
        <w:pStyle w:val="rvps2"/>
        <w:shd w:val="clear" w:color="auto" w:fill="FFFFFF"/>
        <w:spacing w:before="0" w:beforeAutospacing="0" w:after="0" w:afterAutospacing="0"/>
        <w:ind w:firstLine="567"/>
        <w:jc w:val="both"/>
        <w:rPr>
          <w:sz w:val="28"/>
          <w:szCs w:val="28"/>
          <w:lang w:val="uk-UA"/>
        </w:rPr>
      </w:pPr>
    </w:p>
    <w:p w14:paraId="4B72A5C0" w14:textId="331A92E6" w:rsidR="00B641B7" w:rsidRPr="008007E3" w:rsidRDefault="00B641B7" w:rsidP="00E21FE2">
      <w:pPr>
        <w:pStyle w:val="rvps2"/>
        <w:shd w:val="clear" w:color="auto" w:fill="FFFFFF"/>
        <w:spacing w:before="0" w:beforeAutospacing="0" w:after="0" w:afterAutospacing="0"/>
        <w:jc w:val="center"/>
        <w:rPr>
          <w:sz w:val="28"/>
          <w:szCs w:val="28"/>
          <w:lang w:val="uk-UA"/>
        </w:rPr>
      </w:pPr>
      <w:r w:rsidRPr="008007E3">
        <w:rPr>
          <w:sz w:val="28"/>
          <w:szCs w:val="28"/>
          <w:lang w:val="uk-UA"/>
        </w:rPr>
        <w:t xml:space="preserve">Глава 2. Порядок розрахунку регулятивного капіталу </w:t>
      </w:r>
      <w:r w:rsidR="00E21FE2" w:rsidRPr="008007E3">
        <w:rPr>
          <w:sz w:val="28"/>
          <w:szCs w:val="28"/>
          <w:lang w:val="uk-UA"/>
        </w:rPr>
        <w:br/>
      </w:r>
      <w:r w:rsidRPr="008007E3">
        <w:rPr>
          <w:sz w:val="28"/>
          <w:szCs w:val="28"/>
          <w:lang w:val="uk-UA"/>
        </w:rPr>
        <w:t>кредитно-інвестиційної підгрупи</w:t>
      </w:r>
    </w:p>
    <w:p w14:paraId="084D8E7F" w14:textId="77777777" w:rsidR="00B641B7" w:rsidRPr="008007E3" w:rsidRDefault="00B641B7" w:rsidP="008E6349">
      <w:pPr>
        <w:ind w:firstLine="567"/>
      </w:pPr>
    </w:p>
    <w:p w14:paraId="524BCB00" w14:textId="77777777" w:rsidR="00566BA2" w:rsidRPr="008007E3" w:rsidRDefault="00566BA2" w:rsidP="008E6349">
      <w:pPr>
        <w:ind w:firstLine="567"/>
      </w:pPr>
      <w:r w:rsidRPr="008007E3">
        <w:t>1. Відповідальна особа банківської групи визначає розмір регулятивного капіталу кредитно-інвестиційної підгрупи (далі – РК</w:t>
      </w:r>
      <w:r w:rsidRPr="008007E3">
        <w:rPr>
          <w:vertAlign w:val="subscript"/>
        </w:rPr>
        <w:t>КІП</w:t>
      </w:r>
      <w:r w:rsidRPr="008007E3">
        <w:t xml:space="preserve">), його складові та вирахування за даними </w:t>
      </w:r>
      <w:proofErr w:type="spellStart"/>
      <w:r w:rsidRPr="008007E3">
        <w:t>субконсолідованої</w:t>
      </w:r>
      <w:proofErr w:type="spellEnd"/>
      <w:r w:rsidRPr="008007E3">
        <w:t xml:space="preserve"> звітності кредитно-інвестиційної підгрупи та іншої інформації, необхідної для їх розрахунку.</w:t>
      </w:r>
    </w:p>
    <w:p w14:paraId="6C10CE61" w14:textId="77777777" w:rsidR="00566BA2" w:rsidRPr="008007E3" w:rsidRDefault="00566BA2" w:rsidP="008E6349">
      <w:pPr>
        <w:ind w:firstLine="567"/>
      </w:pPr>
    </w:p>
    <w:p w14:paraId="7CC340DE" w14:textId="77777777" w:rsidR="00B641B7" w:rsidRPr="008007E3" w:rsidRDefault="00B641B7" w:rsidP="008E6349">
      <w:pPr>
        <w:ind w:firstLine="567"/>
      </w:pPr>
      <w:r w:rsidRPr="008007E3">
        <w:t>2. Відповідальна особа банківської групи визначає розмір РК</w:t>
      </w:r>
      <w:r w:rsidRPr="008007E3">
        <w:rPr>
          <w:vertAlign w:val="subscript"/>
        </w:rPr>
        <w:t>КІП</w:t>
      </w:r>
      <w:r w:rsidRPr="008007E3">
        <w:t xml:space="preserve"> як суму таких величин:</w:t>
      </w:r>
    </w:p>
    <w:p w14:paraId="699C8CA4" w14:textId="77777777" w:rsidR="00B641B7" w:rsidRPr="008007E3" w:rsidRDefault="00B641B7" w:rsidP="008E6349">
      <w:pPr>
        <w:ind w:firstLine="567"/>
      </w:pPr>
    </w:p>
    <w:p w14:paraId="35CC637E" w14:textId="77777777" w:rsidR="00B641B7" w:rsidRPr="008007E3" w:rsidRDefault="00B641B7" w:rsidP="008E6349">
      <w:pPr>
        <w:ind w:firstLine="567"/>
      </w:pPr>
      <w:r w:rsidRPr="008007E3">
        <w:t>1) розміру капіталу 1 рівня кредитно-інвестиційної підгрупи (далі – К1</w:t>
      </w:r>
      <w:r w:rsidRPr="008007E3">
        <w:rPr>
          <w:vertAlign w:val="subscript"/>
        </w:rPr>
        <w:t>КІП</w:t>
      </w:r>
      <w:r w:rsidRPr="008007E3">
        <w:t>), визначеного згідно з главою 2 розділу II цього Положення;</w:t>
      </w:r>
    </w:p>
    <w:p w14:paraId="7D11B289" w14:textId="77777777" w:rsidR="00B641B7" w:rsidRPr="008007E3" w:rsidRDefault="00B641B7" w:rsidP="008E6349">
      <w:pPr>
        <w:ind w:firstLine="567"/>
      </w:pPr>
    </w:p>
    <w:p w14:paraId="2AFB22D7" w14:textId="77777777" w:rsidR="00B641B7" w:rsidRPr="008007E3" w:rsidRDefault="00B641B7" w:rsidP="008E6349">
      <w:pPr>
        <w:ind w:firstLine="567"/>
      </w:pPr>
      <w:r w:rsidRPr="008007E3">
        <w:t>2) розміру капіталу 2 рівня кредитно-інвестиційної підгрупи (далі – К2</w:t>
      </w:r>
      <w:r w:rsidRPr="008007E3">
        <w:rPr>
          <w:vertAlign w:val="subscript"/>
        </w:rPr>
        <w:t>КІП</w:t>
      </w:r>
      <w:r w:rsidRPr="008007E3">
        <w:t>), визначеного згідно з главою 11 розділу II цього Положення.</w:t>
      </w:r>
    </w:p>
    <w:p w14:paraId="7F744953" w14:textId="77777777" w:rsidR="00B641B7" w:rsidRPr="008007E3" w:rsidRDefault="00B641B7" w:rsidP="008E6349">
      <w:pPr>
        <w:ind w:firstLine="567"/>
      </w:pPr>
    </w:p>
    <w:p w14:paraId="2B2DF056" w14:textId="124B41C9" w:rsidR="00B641B7" w:rsidRPr="008007E3" w:rsidRDefault="00B641B7" w:rsidP="008E6349">
      <w:pPr>
        <w:shd w:val="clear" w:color="auto" w:fill="FFFFFF"/>
        <w:tabs>
          <w:tab w:val="left" w:pos="284"/>
          <w:tab w:val="left" w:pos="709"/>
          <w:tab w:val="left" w:pos="851"/>
        </w:tabs>
        <w:ind w:firstLine="567"/>
      </w:pPr>
      <w:r w:rsidRPr="008007E3">
        <w:t>3. Відповідальна особа банківської групи визначає розмір К1</w:t>
      </w:r>
      <w:r w:rsidRPr="008007E3">
        <w:rPr>
          <w:vertAlign w:val="subscript"/>
        </w:rPr>
        <w:t>КІП</w:t>
      </w:r>
      <w:r w:rsidRPr="008007E3">
        <w:t xml:space="preserve"> як суму таких величин:</w:t>
      </w:r>
    </w:p>
    <w:p w14:paraId="1C69DE66" w14:textId="77777777" w:rsidR="00B641B7" w:rsidRPr="008007E3" w:rsidRDefault="00B641B7" w:rsidP="008E6349">
      <w:pPr>
        <w:shd w:val="clear" w:color="auto" w:fill="FFFFFF"/>
        <w:tabs>
          <w:tab w:val="left" w:pos="284"/>
          <w:tab w:val="left" w:pos="709"/>
          <w:tab w:val="left" w:pos="851"/>
        </w:tabs>
        <w:ind w:firstLine="567"/>
      </w:pPr>
    </w:p>
    <w:p w14:paraId="2485A9A7" w14:textId="77777777" w:rsidR="00B641B7" w:rsidRPr="008007E3" w:rsidRDefault="00B641B7" w:rsidP="008E6349">
      <w:pPr>
        <w:shd w:val="clear" w:color="auto" w:fill="FFFFFF"/>
        <w:tabs>
          <w:tab w:val="left" w:pos="284"/>
          <w:tab w:val="left" w:pos="709"/>
          <w:tab w:val="left" w:pos="851"/>
        </w:tabs>
        <w:ind w:firstLine="567"/>
      </w:pPr>
      <w:r w:rsidRPr="008007E3">
        <w:t>1) розміру основного капіталу 1 рівня кредитно-інвестиційної підгрупи (далі</w:t>
      </w:r>
      <w:r w:rsidRPr="008007E3">
        <w:rPr>
          <w:lang w:val="en-US"/>
        </w:rPr>
        <w:t> </w:t>
      </w:r>
      <w:r w:rsidRPr="008007E3">
        <w:t>– ОК1</w:t>
      </w:r>
      <w:r w:rsidRPr="008007E3">
        <w:rPr>
          <w:vertAlign w:val="subscript"/>
        </w:rPr>
        <w:t>КІП</w:t>
      </w:r>
      <w:r w:rsidRPr="008007E3">
        <w:t>), визначеного згідно з главою 3 розділу ІІ цього Положення;</w:t>
      </w:r>
    </w:p>
    <w:p w14:paraId="36CA20CB" w14:textId="77777777" w:rsidR="00B641B7" w:rsidRPr="008007E3" w:rsidRDefault="00B641B7" w:rsidP="008E6349">
      <w:pPr>
        <w:shd w:val="clear" w:color="auto" w:fill="FFFFFF"/>
        <w:tabs>
          <w:tab w:val="left" w:pos="284"/>
          <w:tab w:val="left" w:pos="709"/>
          <w:tab w:val="left" w:pos="851"/>
        </w:tabs>
        <w:ind w:firstLine="567"/>
      </w:pPr>
    </w:p>
    <w:p w14:paraId="0358DD46" w14:textId="076FDCF5" w:rsidR="00B641B7" w:rsidRPr="008007E3" w:rsidRDefault="00B641B7" w:rsidP="008E6349">
      <w:pPr>
        <w:ind w:firstLine="567"/>
      </w:pPr>
      <w:r w:rsidRPr="008007E3">
        <w:t>2) розміру додаткового капіталу 1 рівня кредитно-інвестиційної підгрупи (далі – ДК1</w:t>
      </w:r>
      <w:r w:rsidRPr="008007E3">
        <w:rPr>
          <w:vertAlign w:val="subscript"/>
        </w:rPr>
        <w:t>КІП</w:t>
      </w:r>
      <w:r w:rsidR="00B24C9C" w:rsidRPr="008007E3">
        <w:t xml:space="preserve">), визначеного згідно з </w:t>
      </w:r>
      <w:r w:rsidRPr="008007E3">
        <w:t>главою 9 розділу ІІ цього Положення.</w:t>
      </w:r>
    </w:p>
    <w:p w14:paraId="032D6B86" w14:textId="77777777" w:rsidR="00B641B7" w:rsidRPr="008007E3" w:rsidRDefault="00B641B7" w:rsidP="008E6349">
      <w:pPr>
        <w:ind w:firstLine="567"/>
      </w:pPr>
    </w:p>
    <w:p w14:paraId="0082A3CA" w14:textId="77777777" w:rsidR="00B641B7" w:rsidRPr="008007E3" w:rsidRDefault="00B641B7" w:rsidP="00D64DF7">
      <w:pPr>
        <w:keepNext/>
        <w:jc w:val="center"/>
      </w:pPr>
      <w:r w:rsidRPr="008007E3">
        <w:lastRenderedPageBreak/>
        <w:t>Глава 3. Розрахунок ОК1</w:t>
      </w:r>
      <w:r w:rsidRPr="008007E3">
        <w:rPr>
          <w:vertAlign w:val="subscript"/>
        </w:rPr>
        <w:t>КІП</w:t>
      </w:r>
    </w:p>
    <w:p w14:paraId="2ED22107" w14:textId="77777777" w:rsidR="00B641B7" w:rsidRPr="008007E3" w:rsidRDefault="00B641B7" w:rsidP="00D64DF7">
      <w:pPr>
        <w:keepNext/>
        <w:ind w:firstLine="720"/>
        <w:jc w:val="center"/>
      </w:pPr>
    </w:p>
    <w:p w14:paraId="137FC5C0" w14:textId="77777777" w:rsidR="003A5F45" w:rsidRPr="008007E3" w:rsidRDefault="003A5F45" w:rsidP="00B128BC">
      <w:pPr>
        <w:ind w:firstLine="567"/>
      </w:pPr>
      <w:r w:rsidRPr="008007E3">
        <w:t>1. Відповідальна особа банківської групи визначає розмір ОК1</w:t>
      </w:r>
      <w:r w:rsidRPr="008007E3">
        <w:rPr>
          <w:vertAlign w:val="subscript"/>
        </w:rPr>
        <w:t>КІП</w:t>
      </w:r>
      <w:r w:rsidRPr="008007E3">
        <w:t xml:space="preserve"> як суму складових ОК1</w:t>
      </w:r>
      <w:r w:rsidRPr="008007E3">
        <w:rPr>
          <w:vertAlign w:val="subscript"/>
        </w:rPr>
        <w:t>КІП</w:t>
      </w:r>
      <w:r w:rsidRPr="008007E3">
        <w:t xml:space="preserve">, зменшену на суму </w:t>
      </w:r>
      <w:proofErr w:type="spellStart"/>
      <w:r w:rsidRPr="008007E3">
        <w:t>вирахувань</w:t>
      </w:r>
      <w:proofErr w:type="spellEnd"/>
      <w:r w:rsidRPr="008007E3">
        <w:t xml:space="preserve"> з ОК1</w:t>
      </w:r>
      <w:r w:rsidRPr="008007E3">
        <w:rPr>
          <w:vertAlign w:val="subscript"/>
        </w:rPr>
        <w:t>КІП</w:t>
      </w:r>
      <w:r w:rsidRPr="008007E3">
        <w:t xml:space="preserve">. </w:t>
      </w:r>
    </w:p>
    <w:p w14:paraId="27D21B89" w14:textId="77777777" w:rsidR="003A5F45" w:rsidRPr="008007E3" w:rsidRDefault="003A5F45" w:rsidP="00B128BC">
      <w:pPr>
        <w:ind w:firstLine="567"/>
      </w:pPr>
    </w:p>
    <w:p w14:paraId="427726DE" w14:textId="77777777" w:rsidR="003A5F45" w:rsidRPr="008007E3" w:rsidRDefault="003A5F45" w:rsidP="00B128BC">
      <w:pPr>
        <w:ind w:firstLine="567"/>
      </w:pPr>
      <w:r w:rsidRPr="008007E3">
        <w:t>2. Відповідальна особа банківської групи включає до складових ОК1</w:t>
      </w:r>
      <w:r w:rsidRPr="008007E3">
        <w:rPr>
          <w:vertAlign w:val="subscript"/>
        </w:rPr>
        <w:t>КІП</w:t>
      </w:r>
      <w:r w:rsidRPr="008007E3">
        <w:t>:</w:t>
      </w:r>
    </w:p>
    <w:p w14:paraId="701AF327" w14:textId="77777777" w:rsidR="003A5F45" w:rsidRPr="008007E3" w:rsidRDefault="003A5F45" w:rsidP="00B128BC">
      <w:pPr>
        <w:ind w:firstLine="567"/>
      </w:pPr>
    </w:p>
    <w:p w14:paraId="54EF1D92" w14:textId="6C277470" w:rsidR="003A5F45" w:rsidRPr="008007E3" w:rsidRDefault="003A5F45" w:rsidP="00B128BC">
      <w:pPr>
        <w:pStyle w:val="af3"/>
        <w:ind w:left="0" w:firstLine="567"/>
      </w:pPr>
      <w:r w:rsidRPr="008007E3">
        <w:t xml:space="preserve">1) складові ОК1, визначені </w:t>
      </w:r>
      <w:r w:rsidR="00F7715C">
        <w:t>в</w:t>
      </w:r>
      <w:r w:rsidRPr="008007E3">
        <w:t xml:space="preserve"> главі 4 розділу II Положення № 196, з урахуванням вимог глави 4 розділу II цього Положення щодо включення прибутку до ОК1</w:t>
      </w:r>
      <w:r w:rsidRPr="008007E3">
        <w:rPr>
          <w:vertAlign w:val="subscript"/>
        </w:rPr>
        <w:t>КІП</w:t>
      </w:r>
      <w:r w:rsidRPr="008007E3">
        <w:t xml:space="preserve">; </w:t>
      </w:r>
    </w:p>
    <w:p w14:paraId="744E545C" w14:textId="77777777" w:rsidR="003A5F45" w:rsidRPr="008007E3" w:rsidRDefault="003A5F45" w:rsidP="00B128BC">
      <w:pPr>
        <w:ind w:firstLine="567"/>
      </w:pPr>
    </w:p>
    <w:p w14:paraId="7C0743F5" w14:textId="40AAE446" w:rsidR="003A5F45" w:rsidRPr="008007E3" w:rsidRDefault="003A5F45" w:rsidP="00B128BC">
      <w:pPr>
        <w:ind w:firstLine="567"/>
      </w:pPr>
      <w:r w:rsidRPr="008007E3">
        <w:t>2) інші інструменти капіталу, які відповідають вимогам глави 14 розділу ІV Положення № 196 до власних інструментів ОК1, за номінальною вартістю;</w:t>
      </w:r>
    </w:p>
    <w:p w14:paraId="3DC6F5A1" w14:textId="77777777" w:rsidR="003A5F45" w:rsidRPr="008007E3" w:rsidRDefault="003A5F45" w:rsidP="00B128BC">
      <w:pPr>
        <w:ind w:firstLine="567"/>
      </w:pPr>
    </w:p>
    <w:p w14:paraId="14CA036C" w14:textId="7704275F" w:rsidR="003A5F45" w:rsidRPr="008007E3" w:rsidRDefault="003A5F45" w:rsidP="00B128BC">
      <w:pPr>
        <w:ind w:firstLine="567"/>
      </w:pPr>
      <w:r w:rsidRPr="008007E3">
        <w:t xml:space="preserve">3) </w:t>
      </w:r>
      <w:r w:rsidRPr="008007E3">
        <w:rPr>
          <w:rFonts w:eastAsia="Calibri"/>
        </w:rPr>
        <w:t xml:space="preserve">частки меншості в ОК1 </w:t>
      </w:r>
      <w:r w:rsidRPr="00B05468">
        <w:rPr>
          <w:rFonts w:eastAsia="Calibri"/>
        </w:rPr>
        <w:t>дочірніх компаній – учасників</w:t>
      </w:r>
      <w:r w:rsidRPr="008007E3">
        <w:rPr>
          <w:rFonts w:eastAsia="Calibri"/>
        </w:rPr>
        <w:t xml:space="preserve"> кредитно-інвестиційної підгрупи, розраховані </w:t>
      </w:r>
      <w:r w:rsidRPr="008007E3">
        <w:t xml:space="preserve">в порядку, визначеному </w:t>
      </w:r>
      <w:r w:rsidR="00F7715C">
        <w:t>в</w:t>
      </w:r>
      <w:r w:rsidRPr="008007E3">
        <w:t xml:space="preserve"> главі 7 розділу II цього Положення. </w:t>
      </w:r>
    </w:p>
    <w:p w14:paraId="24F20939" w14:textId="1739F4E3" w:rsidR="003A5F45" w:rsidRPr="008007E3" w:rsidRDefault="003A5F45" w:rsidP="00B128BC">
      <w:pPr>
        <w:ind w:firstLine="567"/>
      </w:pPr>
      <w:r w:rsidRPr="008007E3">
        <w:t>Відповідальна особа банківської групи має право прийняти рішення не здійснювати розрахун</w:t>
      </w:r>
      <w:r w:rsidR="00CA42E7">
        <w:t>ку</w:t>
      </w:r>
      <w:r w:rsidRPr="008007E3">
        <w:t xml:space="preserve"> розміру частки меншості в ОК1 дочірньої компанії </w:t>
      </w:r>
      <w:r w:rsidR="00CA42E7">
        <w:t>–</w:t>
      </w:r>
      <w:r w:rsidRPr="008007E3">
        <w:t xml:space="preserve"> учасника кредитно-інвестиційної підгрупи та не включати її до розрахунку ОК1</w:t>
      </w:r>
      <w:r w:rsidRPr="008007E3">
        <w:rPr>
          <w:vertAlign w:val="subscript"/>
        </w:rPr>
        <w:t>КІП</w:t>
      </w:r>
      <w:r w:rsidRPr="008007E3">
        <w:t xml:space="preserve">. </w:t>
      </w:r>
    </w:p>
    <w:p w14:paraId="04AD1053" w14:textId="77777777" w:rsidR="003A5F45" w:rsidRPr="008007E3" w:rsidRDefault="003A5F45" w:rsidP="00B128BC">
      <w:pPr>
        <w:ind w:firstLine="567"/>
      </w:pPr>
    </w:p>
    <w:p w14:paraId="79808B42" w14:textId="77777777" w:rsidR="00B641B7" w:rsidRPr="008007E3" w:rsidRDefault="00B641B7" w:rsidP="00B128BC">
      <w:pPr>
        <w:ind w:firstLine="567"/>
      </w:pPr>
      <w:r w:rsidRPr="008007E3">
        <w:t xml:space="preserve">3. Відповідальна особа банківської групи включає до </w:t>
      </w:r>
      <w:proofErr w:type="spellStart"/>
      <w:r w:rsidRPr="008007E3">
        <w:t>вирахувань</w:t>
      </w:r>
      <w:proofErr w:type="spellEnd"/>
      <w:r w:rsidRPr="008007E3">
        <w:t xml:space="preserve"> з ОК1</w:t>
      </w:r>
      <w:r w:rsidRPr="008007E3">
        <w:rPr>
          <w:vertAlign w:val="subscript"/>
        </w:rPr>
        <w:t>КІП</w:t>
      </w:r>
      <w:r w:rsidRPr="008007E3">
        <w:t>:</w:t>
      </w:r>
    </w:p>
    <w:p w14:paraId="536B52C5" w14:textId="77777777" w:rsidR="00B641B7" w:rsidRPr="008007E3" w:rsidRDefault="00B641B7" w:rsidP="00B128BC">
      <w:pPr>
        <w:ind w:firstLine="567"/>
      </w:pPr>
    </w:p>
    <w:p w14:paraId="575329B4" w14:textId="25747139" w:rsidR="00B641B7" w:rsidRPr="008007E3" w:rsidRDefault="00B641B7" w:rsidP="00B128BC">
      <w:pPr>
        <w:pStyle w:val="af3"/>
        <w:ind w:left="0" w:firstLine="567"/>
      </w:pPr>
      <w:r w:rsidRPr="008007E3">
        <w:t xml:space="preserve">1) вирахування, визначені </w:t>
      </w:r>
      <w:r w:rsidR="00F7715C">
        <w:t>в</w:t>
      </w:r>
      <w:r w:rsidRPr="008007E3">
        <w:t xml:space="preserve"> главі 7 розділу II Положення № 196, з урахуванням вимог глави 8 розділу II цього Положення щодо включення відстрочених податкових активів до </w:t>
      </w:r>
      <w:proofErr w:type="spellStart"/>
      <w:r w:rsidRPr="008007E3">
        <w:t>вирахувань</w:t>
      </w:r>
      <w:proofErr w:type="spellEnd"/>
      <w:r w:rsidRPr="008007E3">
        <w:t xml:space="preserve"> з ОК1</w:t>
      </w:r>
      <w:r w:rsidRPr="008007E3">
        <w:rPr>
          <w:vertAlign w:val="subscript"/>
        </w:rPr>
        <w:t>КІП</w:t>
      </w:r>
      <w:r w:rsidRPr="008007E3">
        <w:t xml:space="preserve">; </w:t>
      </w:r>
    </w:p>
    <w:p w14:paraId="2C73CBF0" w14:textId="77777777" w:rsidR="00B641B7" w:rsidRPr="008007E3" w:rsidRDefault="00B641B7" w:rsidP="00B128BC">
      <w:pPr>
        <w:ind w:firstLine="567"/>
      </w:pPr>
    </w:p>
    <w:p w14:paraId="6B3A84CF" w14:textId="1A8DFBA3" w:rsidR="003A5F45" w:rsidRPr="008007E3" w:rsidRDefault="003A5F45" w:rsidP="00B128BC">
      <w:pPr>
        <w:shd w:val="clear" w:color="auto" w:fill="FFFFFF"/>
        <w:ind w:firstLine="567"/>
      </w:pPr>
      <w:r w:rsidRPr="008007E3">
        <w:t xml:space="preserve">2) величину непокритого кредитного ризику учасника кредитно-інвестиційної підгрупи (крім банку), операції якого включаються до розрахунку нормативів кредитного ризику банку з урахуванням </w:t>
      </w:r>
      <w:hyperlink r:id="rId15" w:anchor="n2559" w:tgtFrame="_blank" w:history="1">
        <w:r w:rsidRPr="008007E3">
          <w:t>пункту 21</w:t>
        </w:r>
      </w:hyperlink>
      <w:r w:rsidRPr="008007E3">
        <w:t xml:space="preserve"> глави 1 розділу VI Інструкції № 368, яка визначається таким чином:</w:t>
      </w:r>
    </w:p>
    <w:p w14:paraId="3F05E3E6" w14:textId="7F28597E" w:rsidR="003A5F45" w:rsidRPr="008007E3" w:rsidRDefault="003A5F45" w:rsidP="00B128BC">
      <w:pPr>
        <w:shd w:val="clear" w:color="auto" w:fill="FFFFFF"/>
        <w:ind w:firstLine="567"/>
      </w:pPr>
      <w:r w:rsidRPr="008007E3">
        <w:t xml:space="preserve">визначається розмір кредитного ризику за активними операціями учасника кредитно-інвестиційної підгрупи згідно з порядком, </w:t>
      </w:r>
      <w:r w:rsidR="002068D4">
        <w:t>установленим</w:t>
      </w:r>
      <w:r w:rsidR="002068D4" w:rsidRPr="008007E3">
        <w:t xml:space="preserve"> </w:t>
      </w:r>
      <w:r w:rsidRPr="008007E3">
        <w:t>Положенням про визначення банками України розміру кредитного ризику за активними банківськими операціями, затвердженим постановою Правління Національного банку України від 30 че</w:t>
      </w:r>
      <w:r w:rsidR="007E1CAC" w:rsidRPr="008007E3">
        <w:t>рвня 2016 року № </w:t>
      </w:r>
      <w:r w:rsidRPr="008007E3">
        <w:t>351 (зі змінами) (далі – Положення № 351);</w:t>
      </w:r>
    </w:p>
    <w:p w14:paraId="6004BB34" w14:textId="49FE230B" w:rsidR="003A5F45" w:rsidRPr="008007E3" w:rsidRDefault="003A5F45" w:rsidP="00B128BC">
      <w:pPr>
        <w:shd w:val="clear" w:color="auto" w:fill="FFFFFF"/>
        <w:ind w:firstLine="567"/>
      </w:pPr>
      <w:r w:rsidRPr="008007E3">
        <w:t xml:space="preserve">якщо сукупний розмір кредитного ризику за активними операціями є меншим або дорівнює сумі сукупного розміру резервів за такими операціями, сформованих відповідно до вимог міжнародних стандартів фінансової звітності (далі </w:t>
      </w:r>
      <w:r w:rsidR="004F6770">
        <w:t>–</w:t>
      </w:r>
      <w:r w:rsidRPr="008007E3">
        <w:t xml:space="preserve"> розмір резервів за МСФЗ), та розміру уцінки фінансових активів, що оцінюються за справедливою вартістю, а також очікуваних кредитних збитків за </w:t>
      </w:r>
      <w:r w:rsidRPr="008007E3">
        <w:lastRenderedPageBreak/>
        <w:t>придбаними кредитно-знеціненими фінансовими активами, то величина непокритого кредитного ризику дорівнює нулю;</w:t>
      </w:r>
    </w:p>
    <w:p w14:paraId="308EB320" w14:textId="77777777" w:rsidR="003A5F45" w:rsidRPr="008007E3" w:rsidRDefault="003A5F45" w:rsidP="00B128BC">
      <w:pPr>
        <w:shd w:val="clear" w:color="auto" w:fill="FFFFFF"/>
        <w:ind w:firstLine="567"/>
      </w:pPr>
      <w:r w:rsidRPr="008007E3">
        <w:t>якщо сукупний розмір кредитного ризику за активними операціями перевищує суму розміру резервів за МСФЗ та розміру уцінки фінансових активів, а також очікуваних кредитних збитків за придбаними кредитно-знеціненими фінансовими активами, що оцінюються за справедливою вартістю, то величина непокритого кредитного ризику дорівнює сумі такого перевищення.</w:t>
      </w:r>
    </w:p>
    <w:p w14:paraId="6D7AA86A" w14:textId="77777777" w:rsidR="003A5F45" w:rsidRPr="008007E3" w:rsidRDefault="003A5F45" w:rsidP="00B128BC">
      <w:pPr>
        <w:shd w:val="clear" w:color="auto" w:fill="FFFFFF"/>
        <w:ind w:firstLine="567"/>
      </w:pPr>
    </w:p>
    <w:p w14:paraId="159BE9E4" w14:textId="5EEC49EA" w:rsidR="003A5F45" w:rsidRDefault="003A5F45" w:rsidP="00B128BC">
      <w:pPr>
        <w:shd w:val="clear" w:color="auto" w:fill="FFFFFF"/>
        <w:ind w:firstLine="567"/>
      </w:pPr>
      <w:r w:rsidRPr="008007E3">
        <w:t xml:space="preserve">4. Розмір кредитного ризику за активними операціями учасника кредитно-інвестиційної підгрупи, операції якого включаються до розрахунку нормативів кредитного ризику банку з урахуванням </w:t>
      </w:r>
      <w:hyperlink r:id="rId16" w:anchor="n2559" w:tgtFrame="_blank" w:history="1">
        <w:r w:rsidRPr="008007E3">
          <w:t>пункту 21</w:t>
        </w:r>
      </w:hyperlink>
      <w:r w:rsidRPr="008007E3">
        <w:t xml:space="preserve"> глави 1 розділу VI Інструкції № 368, визначається:</w:t>
      </w:r>
    </w:p>
    <w:p w14:paraId="29DC8AAC" w14:textId="77777777" w:rsidR="00807E90" w:rsidRPr="008007E3" w:rsidRDefault="00807E90" w:rsidP="00B128BC">
      <w:pPr>
        <w:shd w:val="clear" w:color="auto" w:fill="FFFFFF"/>
        <w:ind w:firstLine="567"/>
      </w:pPr>
    </w:p>
    <w:p w14:paraId="19687B37" w14:textId="329B0863" w:rsidR="003A5F45" w:rsidRDefault="00807E90" w:rsidP="00B128BC">
      <w:pPr>
        <w:shd w:val="clear" w:color="auto" w:fill="FFFFFF"/>
        <w:ind w:firstLine="567"/>
      </w:pPr>
      <w:r>
        <w:t xml:space="preserve">1) </w:t>
      </w:r>
      <w:r w:rsidR="003A5F45" w:rsidRPr="008007E3">
        <w:t>станом на перше число місяця, наступного за звітним кварталом;</w:t>
      </w:r>
    </w:p>
    <w:p w14:paraId="009D8E98" w14:textId="77777777" w:rsidR="00807E90" w:rsidRPr="008007E3" w:rsidRDefault="00807E90" w:rsidP="00B128BC">
      <w:pPr>
        <w:shd w:val="clear" w:color="auto" w:fill="FFFFFF"/>
        <w:ind w:firstLine="567"/>
      </w:pPr>
    </w:p>
    <w:p w14:paraId="584BA6F9" w14:textId="2F6AF829" w:rsidR="003A5F45" w:rsidRPr="008007E3" w:rsidRDefault="00807E90" w:rsidP="00B128BC">
      <w:pPr>
        <w:shd w:val="clear" w:color="auto" w:fill="FFFFFF"/>
        <w:ind w:firstLine="567"/>
      </w:pPr>
      <w:r>
        <w:t xml:space="preserve">2) </w:t>
      </w:r>
      <w:r w:rsidR="003A5F45" w:rsidRPr="008007E3">
        <w:t xml:space="preserve">згідно з внутрішнім положенням учасника кредитно-інвестиційної підгрупи щодо оцінки кредитного ризику за активними операціями, розробленим згідно з вимогами </w:t>
      </w:r>
      <w:hyperlink r:id="rId17" w:anchor="n33" w:tgtFrame="_blank" w:history="1">
        <w:r w:rsidR="003A5F45" w:rsidRPr="008007E3">
          <w:t>Положення №  351</w:t>
        </w:r>
      </w:hyperlink>
      <w:r w:rsidR="003A5F45" w:rsidRPr="008007E3">
        <w:t xml:space="preserve"> та погодженим відповідальною особою банківської групи.</w:t>
      </w:r>
    </w:p>
    <w:p w14:paraId="69518EEC" w14:textId="77777777" w:rsidR="003A5F45" w:rsidRPr="008007E3" w:rsidRDefault="003A5F45" w:rsidP="00B128BC">
      <w:pPr>
        <w:shd w:val="clear" w:color="auto" w:fill="FFFFFF"/>
        <w:ind w:firstLine="567"/>
      </w:pPr>
    </w:p>
    <w:p w14:paraId="78E4E639" w14:textId="00B2EA13" w:rsidR="003A5F45" w:rsidRPr="008007E3" w:rsidRDefault="003A5F45" w:rsidP="00B128BC">
      <w:pPr>
        <w:shd w:val="clear" w:color="auto" w:fill="FFFFFF"/>
        <w:ind w:firstLine="567"/>
      </w:pPr>
      <w:r w:rsidRPr="008007E3">
        <w:t xml:space="preserve">5. Відповідальна особа банківської групи забезпечує належний контроль за дотриманням учасником кредитно-інвестиційної підгрупи, операції якого включаються до розрахунку нормативів кредитного ризику банку з урахуванням </w:t>
      </w:r>
      <w:hyperlink r:id="rId18" w:anchor="n2559" w:tgtFrame="_blank" w:history="1">
        <w:r w:rsidRPr="008007E3">
          <w:t>пункту 21</w:t>
        </w:r>
      </w:hyperlink>
      <w:r w:rsidRPr="008007E3">
        <w:t xml:space="preserve"> глави 1 розділу VI Інструкції № 368, погодженого нею внутрішнього положення щодо оцінки кредитного ризику за активними операціями.</w:t>
      </w:r>
    </w:p>
    <w:p w14:paraId="18C466E4" w14:textId="77777777" w:rsidR="003A5F45" w:rsidRPr="008007E3" w:rsidRDefault="003A5F45" w:rsidP="00B128BC">
      <w:pPr>
        <w:pStyle w:val="rvps2"/>
        <w:shd w:val="clear" w:color="auto" w:fill="FFFFFF"/>
        <w:spacing w:before="0" w:beforeAutospacing="0" w:after="0" w:afterAutospacing="0"/>
        <w:ind w:firstLine="567"/>
        <w:jc w:val="both"/>
        <w:rPr>
          <w:sz w:val="28"/>
          <w:szCs w:val="28"/>
          <w:lang w:val="uk-UA"/>
        </w:rPr>
      </w:pPr>
    </w:p>
    <w:p w14:paraId="7BE72FD0" w14:textId="462A8F7B" w:rsidR="00B641B7" w:rsidRPr="008007E3" w:rsidRDefault="00B641B7" w:rsidP="00D64DF7">
      <w:pPr>
        <w:keepNext/>
        <w:jc w:val="center"/>
      </w:pPr>
      <w:r w:rsidRPr="008007E3">
        <w:t>Глава 4. Порядок включення прибутку до ОК1</w:t>
      </w:r>
      <w:r w:rsidRPr="008007E3">
        <w:rPr>
          <w:vertAlign w:val="subscript"/>
        </w:rPr>
        <w:t>КІП</w:t>
      </w:r>
    </w:p>
    <w:p w14:paraId="6F22291C" w14:textId="77777777" w:rsidR="00B641B7" w:rsidRPr="008007E3" w:rsidRDefault="00B641B7" w:rsidP="00D64DF7">
      <w:pPr>
        <w:keepNext/>
        <w:ind w:firstLine="720"/>
        <w:jc w:val="center"/>
      </w:pPr>
    </w:p>
    <w:p w14:paraId="0C8FFC67" w14:textId="69CF44BD" w:rsidR="00B641B7" w:rsidRPr="008007E3" w:rsidRDefault="00B641B7" w:rsidP="00DF05E2">
      <w:pPr>
        <w:ind w:firstLine="567"/>
      </w:pPr>
      <w:r w:rsidRPr="008007E3">
        <w:t>1. Відповідальна особа банківської групи включає до складових ОК1</w:t>
      </w:r>
      <w:r w:rsidRPr="008007E3">
        <w:rPr>
          <w:vertAlign w:val="subscript"/>
        </w:rPr>
        <w:t>КІП</w:t>
      </w:r>
      <w:r w:rsidRPr="008007E3">
        <w:t xml:space="preserve"> нерозподілені прибутки минулих років у сумі, розрахованій за формулою:</w:t>
      </w:r>
    </w:p>
    <w:p w14:paraId="0AD2BE2F" w14:textId="77777777" w:rsidR="00B641B7" w:rsidRPr="008007E3" w:rsidRDefault="00B641B7" w:rsidP="00DF05E2">
      <w:pPr>
        <w:ind w:firstLine="567"/>
      </w:pPr>
    </w:p>
    <w:p w14:paraId="51D6BE7B" w14:textId="6EF910F1" w:rsidR="00B641B7" w:rsidRPr="008007E3" w:rsidRDefault="00B641B7" w:rsidP="007E1CAC">
      <w:pPr>
        <w:ind w:firstLine="720"/>
        <w:jc w:val="center"/>
      </w:pPr>
      <w:r w:rsidRPr="008007E3">
        <w:t>Прибутки МР ОК1</w:t>
      </w:r>
      <w:r w:rsidRPr="008007E3">
        <w:rPr>
          <w:vertAlign w:val="subscript"/>
        </w:rPr>
        <w:t>КІП</w:t>
      </w:r>
      <w:r w:rsidRPr="008007E3">
        <w:t xml:space="preserve"> = Прибутки МР</w:t>
      </w:r>
      <w:r w:rsidRPr="008007E3">
        <w:rPr>
          <w:vertAlign w:val="subscript"/>
        </w:rPr>
        <w:t>КІП</w:t>
      </w:r>
      <w:r w:rsidRPr="008007E3">
        <w:t xml:space="preserve"> – Дивіденди МР</w:t>
      </w:r>
      <w:r w:rsidRPr="008007E3">
        <w:rPr>
          <w:vertAlign w:val="subscript"/>
        </w:rPr>
        <w:t>КІП</w:t>
      </w:r>
      <w:r w:rsidRPr="008007E3">
        <w:t>,</w:t>
      </w:r>
    </w:p>
    <w:p w14:paraId="640BD972" w14:textId="77777777" w:rsidR="007E1CAC" w:rsidRPr="008007E3" w:rsidRDefault="007E1CAC" w:rsidP="007E1CAC">
      <w:pPr>
        <w:ind w:firstLine="720"/>
        <w:jc w:val="center"/>
      </w:pPr>
    </w:p>
    <w:p w14:paraId="287C7770" w14:textId="6F51AD2F" w:rsidR="00B641B7" w:rsidRPr="008007E3" w:rsidRDefault="00B641B7" w:rsidP="007E1CAC">
      <w:r w:rsidRPr="008007E3">
        <w:t xml:space="preserve">де </w:t>
      </w:r>
      <w:r w:rsidR="00DF05E2" w:rsidRPr="008007E3">
        <w:tab/>
      </w:r>
      <w:r w:rsidRPr="008007E3">
        <w:t>Прибутки МР ОК1</w:t>
      </w:r>
      <w:r w:rsidRPr="008007E3">
        <w:rPr>
          <w:vertAlign w:val="subscript"/>
        </w:rPr>
        <w:t>КІП</w:t>
      </w:r>
      <w:r w:rsidRPr="00D64DF7">
        <w:t xml:space="preserve"> </w:t>
      </w:r>
      <w:r w:rsidRPr="008007E3">
        <w:t>– сума нерозподілених прибутків минулих років, що включається до складових ОК1</w:t>
      </w:r>
      <w:r w:rsidRPr="008007E3">
        <w:rPr>
          <w:vertAlign w:val="subscript"/>
        </w:rPr>
        <w:t>КІП</w:t>
      </w:r>
      <w:r w:rsidRPr="008007E3">
        <w:t xml:space="preserve"> згідно з підпунктом 1 пункту 2 глави 3 розділу II цього Положення;</w:t>
      </w:r>
    </w:p>
    <w:p w14:paraId="50FB5BEC" w14:textId="4F8CE572" w:rsidR="00B641B7" w:rsidRPr="008007E3" w:rsidRDefault="00B641B7" w:rsidP="00DF05E2">
      <w:pPr>
        <w:ind w:firstLine="567"/>
      </w:pPr>
      <w:r w:rsidRPr="008007E3">
        <w:t>Прибутки МР</w:t>
      </w:r>
      <w:r w:rsidRPr="008007E3">
        <w:rPr>
          <w:vertAlign w:val="subscript"/>
        </w:rPr>
        <w:t>КІП</w:t>
      </w:r>
      <w:r w:rsidRPr="00D64DF7">
        <w:t xml:space="preserve"> </w:t>
      </w:r>
      <w:r w:rsidRPr="008007E3">
        <w:t xml:space="preserve">– сума нерозподілених прибутків минулих років, що відображена </w:t>
      </w:r>
      <w:r w:rsidR="00AF2340">
        <w:t>в</w:t>
      </w:r>
      <w:r w:rsidRPr="008007E3">
        <w:t xml:space="preserve"> </w:t>
      </w:r>
      <w:proofErr w:type="spellStart"/>
      <w:r w:rsidRPr="008007E3">
        <w:t>субконсолідованій</w:t>
      </w:r>
      <w:proofErr w:type="spellEnd"/>
      <w:r w:rsidRPr="008007E3">
        <w:t xml:space="preserve"> звітності кредитно-інвестиційної підгрупи;</w:t>
      </w:r>
    </w:p>
    <w:p w14:paraId="312EFD81" w14:textId="7AC22C02" w:rsidR="00B641B7" w:rsidRPr="008007E3" w:rsidRDefault="00B641B7" w:rsidP="00DF05E2">
      <w:pPr>
        <w:ind w:firstLine="567"/>
      </w:pPr>
      <w:r w:rsidRPr="008007E3">
        <w:t>Дивіденди МР</w:t>
      </w:r>
      <w:r w:rsidRPr="008007E3">
        <w:rPr>
          <w:vertAlign w:val="subscript"/>
        </w:rPr>
        <w:t>КІП</w:t>
      </w:r>
      <w:r w:rsidRPr="00D64DF7">
        <w:t xml:space="preserve"> </w:t>
      </w:r>
      <w:r w:rsidRPr="008007E3">
        <w:t>– сукупна сума дивідендів, передбачуваних до сплати з нерозподілених прибутків минулих років, розрахована згідно з главою 5 розділу II цього Положення.</w:t>
      </w:r>
    </w:p>
    <w:p w14:paraId="72C01933" w14:textId="77777777" w:rsidR="00B641B7" w:rsidRPr="008007E3" w:rsidRDefault="00B641B7" w:rsidP="00DF05E2">
      <w:pPr>
        <w:ind w:firstLine="567"/>
      </w:pPr>
    </w:p>
    <w:p w14:paraId="4E93A37A" w14:textId="7B0F4F41" w:rsidR="00B641B7" w:rsidRPr="008007E3" w:rsidRDefault="00B641B7" w:rsidP="00DF05E2">
      <w:pPr>
        <w:ind w:firstLine="567"/>
      </w:pPr>
      <w:r w:rsidRPr="008007E3">
        <w:t xml:space="preserve">2. Відповідальна особа банківської групи </w:t>
      </w:r>
      <w:r w:rsidR="007B50B5">
        <w:t>в</w:t>
      </w:r>
      <w:r w:rsidRPr="008007E3">
        <w:t>ключає прибуток звітного року до складових ОК1</w:t>
      </w:r>
      <w:r w:rsidRPr="008007E3">
        <w:rPr>
          <w:vertAlign w:val="subscript"/>
        </w:rPr>
        <w:t>КІП</w:t>
      </w:r>
      <w:r w:rsidRPr="00D64DF7">
        <w:t xml:space="preserve"> </w:t>
      </w:r>
      <w:r w:rsidRPr="008007E3">
        <w:t xml:space="preserve">за умови погодження його включення Національним </w:t>
      </w:r>
      <w:r w:rsidRPr="008007E3">
        <w:lastRenderedPageBreak/>
        <w:t xml:space="preserve">банком згідно з главою 6 розділу II цього Положення </w:t>
      </w:r>
      <w:r w:rsidR="007B50B5">
        <w:t>в</w:t>
      </w:r>
      <w:r w:rsidRPr="008007E3">
        <w:t xml:space="preserve"> сумі, розрахованій за </w:t>
      </w:r>
      <w:r w:rsidR="007B50B5">
        <w:t xml:space="preserve">такою </w:t>
      </w:r>
      <w:r w:rsidRPr="008007E3">
        <w:t>формулою:</w:t>
      </w:r>
    </w:p>
    <w:p w14:paraId="10F3532B" w14:textId="77777777" w:rsidR="00B641B7" w:rsidRPr="008007E3" w:rsidRDefault="00B641B7" w:rsidP="00DF05E2">
      <w:pPr>
        <w:ind w:firstLine="567"/>
      </w:pPr>
    </w:p>
    <w:p w14:paraId="61CA55E9" w14:textId="63654669" w:rsidR="00B641B7" w:rsidRPr="008007E3" w:rsidRDefault="00B641B7" w:rsidP="00DF05E2">
      <w:pPr>
        <w:ind w:firstLine="567"/>
      </w:pPr>
      <w:r w:rsidRPr="008007E3">
        <w:t>Прибуток ЗР ОК1</w:t>
      </w:r>
      <w:r w:rsidRPr="008007E3">
        <w:rPr>
          <w:vertAlign w:val="subscript"/>
        </w:rPr>
        <w:t>КІП</w:t>
      </w:r>
      <w:r w:rsidRPr="008007E3">
        <w:t xml:space="preserve"> = Прибуток ЗР</w:t>
      </w:r>
      <w:r w:rsidRPr="008007E3">
        <w:rPr>
          <w:vertAlign w:val="subscript"/>
        </w:rPr>
        <w:t>КІП</w:t>
      </w:r>
      <w:r w:rsidRPr="00D64DF7">
        <w:t xml:space="preserve"> </w:t>
      </w:r>
      <w:r w:rsidRPr="008007E3">
        <w:t>– Виплати ЗР</w:t>
      </w:r>
      <w:r w:rsidRPr="008007E3">
        <w:rPr>
          <w:vertAlign w:val="subscript"/>
        </w:rPr>
        <w:t>КІП</w:t>
      </w:r>
      <w:r w:rsidRPr="008007E3">
        <w:t xml:space="preserve"> – Дивіденди ЗР</w:t>
      </w:r>
      <w:r w:rsidRPr="008007E3">
        <w:rPr>
          <w:vertAlign w:val="subscript"/>
        </w:rPr>
        <w:t>КІП</w:t>
      </w:r>
      <w:r w:rsidRPr="008007E3">
        <w:t>,</w:t>
      </w:r>
    </w:p>
    <w:p w14:paraId="3F4B10B9" w14:textId="77777777" w:rsidR="003E6844" w:rsidRPr="008007E3" w:rsidRDefault="003E6844" w:rsidP="00DF05E2">
      <w:pPr>
        <w:ind w:firstLine="567"/>
      </w:pPr>
    </w:p>
    <w:p w14:paraId="2987F12E" w14:textId="156067E7" w:rsidR="00B641B7" w:rsidRPr="008007E3" w:rsidRDefault="00B641B7" w:rsidP="00DF05E2">
      <w:r w:rsidRPr="008007E3">
        <w:t>де</w:t>
      </w:r>
      <w:r w:rsidRPr="008007E3">
        <w:tab/>
        <w:t>Прибуток ЗР ОК1</w:t>
      </w:r>
      <w:r w:rsidRPr="008007E3">
        <w:rPr>
          <w:vertAlign w:val="subscript"/>
        </w:rPr>
        <w:t>КІП</w:t>
      </w:r>
      <w:r w:rsidRPr="008007E3">
        <w:t xml:space="preserve"> – сума прибутку звітного року, що включається до складових ОК1</w:t>
      </w:r>
      <w:r w:rsidRPr="008007E3">
        <w:rPr>
          <w:vertAlign w:val="subscript"/>
        </w:rPr>
        <w:t>КІП</w:t>
      </w:r>
      <w:r w:rsidRPr="00D64DF7">
        <w:t xml:space="preserve"> </w:t>
      </w:r>
      <w:r w:rsidRPr="008007E3">
        <w:t>згідно з підпунктом 1 пункту 2 глави 3 розділу II цього Положення;</w:t>
      </w:r>
    </w:p>
    <w:p w14:paraId="2708B373" w14:textId="5CE356FA" w:rsidR="00B641B7" w:rsidRPr="008007E3" w:rsidRDefault="00B641B7" w:rsidP="00DF05E2">
      <w:pPr>
        <w:ind w:firstLine="567"/>
      </w:pPr>
      <w:r w:rsidRPr="008007E3">
        <w:t>Прибуток ЗР</w:t>
      </w:r>
      <w:r w:rsidRPr="008007E3">
        <w:rPr>
          <w:vertAlign w:val="subscript"/>
        </w:rPr>
        <w:t>КІП</w:t>
      </w:r>
      <w:r w:rsidRPr="008007E3">
        <w:t xml:space="preserve"> – сума прибутку звітного року, що відображена </w:t>
      </w:r>
      <w:r w:rsidR="007B50B5">
        <w:t>в</w:t>
      </w:r>
      <w:r w:rsidRPr="008007E3">
        <w:t xml:space="preserve"> річній </w:t>
      </w:r>
      <w:proofErr w:type="spellStart"/>
      <w:r w:rsidRPr="008007E3">
        <w:t>субконсолідованій</w:t>
      </w:r>
      <w:proofErr w:type="spellEnd"/>
      <w:r w:rsidRPr="008007E3">
        <w:t xml:space="preserve"> звітності кредитно-інвестиційної підгрупи;</w:t>
      </w:r>
    </w:p>
    <w:p w14:paraId="07041AED" w14:textId="77777777" w:rsidR="00B641B7" w:rsidRPr="008007E3" w:rsidRDefault="00B641B7" w:rsidP="00DF05E2">
      <w:pPr>
        <w:ind w:firstLine="567"/>
      </w:pPr>
      <w:r w:rsidRPr="008007E3">
        <w:t>Виплати ЗР</w:t>
      </w:r>
      <w:r w:rsidRPr="008007E3">
        <w:rPr>
          <w:vertAlign w:val="subscript"/>
        </w:rPr>
        <w:t>КІП</w:t>
      </w:r>
      <w:r w:rsidRPr="008007E3">
        <w:t xml:space="preserve"> – сума виплат, передбачуваних до сплати з прибутку звітного року, які належать до річного звітного періоду;</w:t>
      </w:r>
    </w:p>
    <w:p w14:paraId="11B44FAA" w14:textId="188C92B5" w:rsidR="00B641B7" w:rsidRPr="008007E3" w:rsidRDefault="00B641B7" w:rsidP="00DF05E2">
      <w:pPr>
        <w:ind w:firstLine="567"/>
      </w:pPr>
      <w:r w:rsidRPr="008007E3">
        <w:t>Дивіденди ЗР</w:t>
      </w:r>
      <w:r w:rsidRPr="008007E3">
        <w:rPr>
          <w:vertAlign w:val="subscript"/>
        </w:rPr>
        <w:t>КІП</w:t>
      </w:r>
      <w:r w:rsidRPr="008007E3">
        <w:t xml:space="preserve"> – сукупна сума дивідендів, передбачуваних до сплати з прибутку звітного року, розрахована згідно з главою 5 розділу II цього Положення.</w:t>
      </w:r>
    </w:p>
    <w:p w14:paraId="4D60F729" w14:textId="77777777" w:rsidR="00B641B7" w:rsidRPr="008007E3" w:rsidRDefault="00B641B7" w:rsidP="00C3030B">
      <w:pPr>
        <w:ind w:firstLine="567"/>
      </w:pPr>
    </w:p>
    <w:p w14:paraId="3BBAE041" w14:textId="6174AAA9" w:rsidR="003A5F45" w:rsidRPr="008007E3" w:rsidRDefault="003A5F45" w:rsidP="00C3030B">
      <w:pPr>
        <w:ind w:firstLine="567"/>
        <w:rPr>
          <w:rFonts w:eastAsia="Calibri"/>
          <w:lang w:eastAsia="en-US"/>
        </w:rPr>
      </w:pPr>
      <w:r w:rsidRPr="008007E3">
        <w:rPr>
          <w:rFonts w:eastAsia="Calibri"/>
          <w:lang w:eastAsia="en-US"/>
        </w:rPr>
        <w:t xml:space="preserve">3. Відповідальна особа банківської групи </w:t>
      </w:r>
      <w:r w:rsidR="00BD208F">
        <w:rPr>
          <w:rFonts w:eastAsia="Calibri"/>
          <w:lang w:eastAsia="en-US"/>
        </w:rPr>
        <w:t>в</w:t>
      </w:r>
      <w:r w:rsidRPr="008007E3">
        <w:rPr>
          <w:rFonts w:eastAsia="Calibri"/>
          <w:lang w:eastAsia="en-US"/>
        </w:rPr>
        <w:t>ключає прибуток за проміжний звітний період до складових ОК1</w:t>
      </w:r>
      <w:r w:rsidRPr="008007E3">
        <w:rPr>
          <w:rFonts w:eastAsia="Calibri"/>
          <w:vertAlign w:val="subscript"/>
          <w:lang w:eastAsia="en-US"/>
        </w:rPr>
        <w:t>КІП</w:t>
      </w:r>
      <w:r w:rsidRPr="00D64DF7">
        <w:rPr>
          <w:rFonts w:eastAsia="Calibri"/>
          <w:lang w:eastAsia="en-US"/>
        </w:rPr>
        <w:t xml:space="preserve"> </w:t>
      </w:r>
      <w:r w:rsidRPr="008007E3">
        <w:rPr>
          <w:rFonts w:eastAsia="Calibri"/>
          <w:lang w:eastAsia="en-US"/>
        </w:rPr>
        <w:t xml:space="preserve">за умови погодження його включення Національним банком згідно з главою 6 розділу II цього Положення </w:t>
      </w:r>
      <w:r w:rsidR="007B50B5">
        <w:rPr>
          <w:rFonts w:eastAsia="Calibri"/>
          <w:lang w:eastAsia="en-US"/>
        </w:rPr>
        <w:t>в</w:t>
      </w:r>
      <w:r w:rsidRPr="008007E3">
        <w:rPr>
          <w:rFonts w:eastAsia="Calibri"/>
          <w:lang w:eastAsia="en-US"/>
        </w:rPr>
        <w:t xml:space="preserve"> сумі, розрахованій за такою формулою:</w:t>
      </w:r>
    </w:p>
    <w:p w14:paraId="57FFFCA4" w14:textId="77777777" w:rsidR="002E23EA" w:rsidRPr="008007E3" w:rsidRDefault="002E23EA" w:rsidP="00C3030B">
      <w:pPr>
        <w:ind w:firstLine="567"/>
        <w:rPr>
          <w:rFonts w:eastAsia="Calibri"/>
          <w:lang w:eastAsia="en-US"/>
        </w:rPr>
      </w:pPr>
    </w:p>
    <w:tbl>
      <w:tblPr>
        <w:tblStyle w:val="2"/>
        <w:tblW w:w="99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284"/>
        <w:gridCol w:w="567"/>
        <w:gridCol w:w="283"/>
        <w:gridCol w:w="7359"/>
        <w:gridCol w:w="235"/>
      </w:tblGrid>
      <w:tr w:rsidR="00964881" w:rsidRPr="008007E3" w14:paraId="64D4CB03" w14:textId="77777777" w:rsidTr="00DD1CD9">
        <w:trPr>
          <w:trHeight w:val="1701"/>
          <w:jc w:val="center"/>
        </w:trPr>
        <w:tc>
          <w:tcPr>
            <w:tcW w:w="1271" w:type="dxa"/>
            <w:tcMar>
              <w:left w:w="0" w:type="dxa"/>
              <w:right w:w="0" w:type="dxa"/>
            </w:tcMar>
            <w:vAlign w:val="center"/>
          </w:tcPr>
          <w:p w14:paraId="391C9954" w14:textId="77777777" w:rsidR="003A5F45" w:rsidRPr="008007E3" w:rsidRDefault="003A5F45" w:rsidP="007E1CAC">
            <w:pPr>
              <w:rPr>
                <w:lang w:eastAsia="en-US"/>
              </w:rPr>
            </w:pPr>
            <w:r w:rsidRPr="008007E3">
              <w:rPr>
                <w:lang w:eastAsia="en-US"/>
              </w:rPr>
              <w:t>Прибуток ПЗП ОК1</w:t>
            </w:r>
            <w:r w:rsidRPr="008007E3">
              <w:rPr>
                <w:vertAlign w:val="subscript"/>
                <w:lang w:eastAsia="en-US"/>
              </w:rPr>
              <w:t>КІП</w:t>
            </w:r>
          </w:p>
        </w:tc>
        <w:tc>
          <w:tcPr>
            <w:tcW w:w="284" w:type="dxa"/>
            <w:tcMar>
              <w:left w:w="0" w:type="dxa"/>
              <w:right w:w="0" w:type="dxa"/>
            </w:tcMar>
            <w:vAlign w:val="center"/>
          </w:tcPr>
          <w:p w14:paraId="1932F373" w14:textId="77777777" w:rsidR="003A5F45" w:rsidRPr="008007E3" w:rsidRDefault="003A5F45" w:rsidP="007E1CAC">
            <w:pPr>
              <w:rPr>
                <w:lang w:eastAsia="en-US"/>
              </w:rPr>
            </w:pPr>
            <w:r w:rsidRPr="008007E3">
              <w:rPr>
                <w:lang w:eastAsia="en-US"/>
              </w:rPr>
              <w:t>=</w:t>
            </w:r>
          </w:p>
        </w:tc>
        <w:tc>
          <w:tcPr>
            <w:tcW w:w="567" w:type="dxa"/>
            <w:tcMar>
              <w:left w:w="0" w:type="dxa"/>
              <w:right w:w="0" w:type="dxa"/>
            </w:tcMar>
            <w:vAlign w:val="center"/>
          </w:tcPr>
          <w:p w14:paraId="52B244A3" w14:textId="77777777" w:rsidR="003A5F45" w:rsidRPr="008007E3" w:rsidRDefault="003A5F45" w:rsidP="007E1CAC">
            <w:pPr>
              <w:rPr>
                <w:lang w:eastAsia="en-US"/>
              </w:rPr>
            </w:pPr>
            <w:proofErr w:type="spellStart"/>
            <w:r w:rsidRPr="008007E3">
              <w:rPr>
                <w:lang w:eastAsia="en-US"/>
              </w:rPr>
              <w:t>Min</w:t>
            </w:r>
            <w:proofErr w:type="spellEnd"/>
          </w:p>
        </w:tc>
        <w:tc>
          <w:tcPr>
            <w:tcW w:w="283" w:type="dxa"/>
            <w:tcMar>
              <w:left w:w="0" w:type="dxa"/>
              <w:right w:w="0" w:type="dxa"/>
            </w:tcMar>
          </w:tcPr>
          <w:p w14:paraId="1C001475" w14:textId="77777777" w:rsidR="003A5F45" w:rsidRPr="008007E3" w:rsidRDefault="003A5F45" w:rsidP="00AA2CE1">
            <w:pPr>
              <w:ind w:firstLine="720"/>
              <w:rPr>
                <w:lang w:eastAsia="en-US"/>
              </w:rPr>
            </w:pPr>
            <w:r w:rsidRPr="008007E3">
              <w:rPr>
                <w:noProof/>
              </w:rPr>
              <mc:AlternateContent>
                <mc:Choice Requires="wps">
                  <w:drawing>
                    <wp:anchor distT="0" distB="0" distL="114300" distR="114300" simplePos="0" relativeHeight="251661312" behindDoc="0" locked="0" layoutInCell="1" allowOverlap="1" wp14:anchorId="5794D98D" wp14:editId="0BFBAFCA">
                      <wp:simplePos x="0" y="0"/>
                      <wp:positionH relativeFrom="column">
                        <wp:posOffset>6350</wp:posOffset>
                      </wp:positionH>
                      <wp:positionV relativeFrom="paragraph">
                        <wp:posOffset>36195</wp:posOffset>
                      </wp:positionV>
                      <wp:extent cx="75156" cy="945715"/>
                      <wp:effectExtent l="38100" t="0" r="20320" b="26035"/>
                      <wp:wrapNone/>
                      <wp:docPr id="1" name="Ліва фігурна дужка 1"/>
                      <wp:cNvGraphicFramePr/>
                      <a:graphic xmlns:a="http://schemas.openxmlformats.org/drawingml/2006/main">
                        <a:graphicData uri="http://schemas.microsoft.com/office/word/2010/wordprocessingShape">
                          <wps:wsp>
                            <wps:cNvSpPr/>
                            <wps:spPr>
                              <a:xfrm>
                                <a:off x="0" y="0"/>
                                <a:ext cx="75156" cy="945715"/>
                              </a:xfrm>
                              <a:prstGeom prst="leftBrace">
                                <a:avLst>
                                  <a:gd name="adj1" fmla="val 8333"/>
                                  <a:gd name="adj2" fmla="val 5222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D9ED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іва фігурна дужка 1" o:spid="_x0000_s1026" type="#_x0000_t87" style="position:absolute;margin-left:.5pt;margin-top:2.85pt;width:5.9pt;height:7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OZvgIAAEcFAAAOAAAAZHJzL2Uyb0RvYy54bWysVMtuEzEU3SPxD5b3dPLsI+qkCq2KkKq2&#10;Uou6dj2eZJBf2E4mZYVUvoENP4EAsUDiH5I/4tgzTcNjhcjCuXfu9X2ce64Pj5ZKkoVwvjI6p92d&#10;DiVCc1NUeprTV9enz/Yp8YHpgkmjRU7vhKdH46dPDms7Ej0zM7IQjiCI9qPa5nQWgh1lmeczoZjf&#10;MVZoGEvjFAtQ3TQrHKsRXcms1+nsZrVxhXWGC+/x9aQx0nGKX5aCh4uy9CIQmVPUFtLp0nkbz2x8&#10;yEZTx+ys4m0Z7B+qUKzSSLoJdcICI3NX/RFKVdwZb8qww43KTFlWXKQe0E2381s3VzNmReoF4Hi7&#10;gcn/v7D8fHHpSFVgdpRopjCi1cf1h9Xn1Seyfg/hy/p+/W71A+rq6/p+9W31HWI34lZbP8L1K3vp&#10;Ws1DjCAsS6fiP9ojy4T13QZrsQyE4+PesDvcpYTDcjAY7nWHMWT2eNc6H14Io0gUcipFGZ47xiMc&#10;bMQWZz4kuIu2aFa8RgOlkpjegkmy3+/32+FuufS2XYa9Xm/QZm0DIv9D3hhdm9NKykQRqUmd093+&#10;ECTiDEQtJQsQlQV0Xk8pYXKKDeDBpQq9kVURb8c4/s4fS0dQV07B3cLU14CBEsl8gAHYpF9byy9X&#10;YzknzM+ay8nUtKWqgMWRlcrp/vZtqWNGkagPkCKocVDNaKJ0a4o7jNyZZhe85acVkpyhlkvmAB86&#10;xEKHCxylNOjatBIlM+Pe/u179AcnYaWkxjIBkjdz5gRafKnB1oPuYBC3LymYdg+K27bcblv0XB0b&#10;QIWBorokRv8gH8TSGXWDvZ/ErDAxzZG7Ab9VjkOz5Hg5uJhMkhs2zrJwpq8sj8EjThHe6+UNc7bl&#10;WcBgzs3D4rVMa5j56NtwYzIPpqw2CDe4tnBjWxOb25clPgfbevJ6fP/GPwEAAP//AwBQSwMEFAAG&#10;AAgAAAAhAIxHUxDbAAAABgEAAA8AAABkcnMvZG93bnJldi54bWxMj0FLw0AQhe+C/2EZwZudWG0t&#10;MZsShJxEwajgcZOdJtHsbMxu2/jvnZ70NDze4833su3sBnWgKfSeNVwvElDEjbc9txreXsurDagQ&#10;DVszeCYNPxRgm5+fZSa1/sgvdKhiq6SEQ2o0dDGOKWJoOnImLPxILN7OT85EkVOLdjJHKXcDLpNk&#10;jc70LB86M9JDR81XtXcaqs17wLEo6s/np6L8/njclTeIWl9ezMU9qEhz/AvDCV/QIRem2u/ZBjWI&#10;liVRw+oO1Mldyo5a7up2DZhn+B8//wUAAP//AwBQSwECLQAUAAYACAAAACEAtoM4kv4AAADhAQAA&#10;EwAAAAAAAAAAAAAAAAAAAAAAW0NvbnRlbnRfVHlwZXNdLnhtbFBLAQItABQABgAIAAAAIQA4/SH/&#10;1gAAAJQBAAALAAAAAAAAAAAAAAAAAC8BAABfcmVscy8ucmVsc1BLAQItABQABgAIAAAAIQBLHQOZ&#10;vgIAAEcFAAAOAAAAAAAAAAAAAAAAAC4CAABkcnMvZTJvRG9jLnhtbFBLAQItABQABgAIAAAAIQCM&#10;R1MQ2wAAAAYBAAAPAAAAAAAAAAAAAAAAABgFAABkcnMvZG93bnJldi54bWxQSwUGAAAAAAQABADz&#10;AAAAIAYAAAAA&#10;" adj="143,11280" strokecolor="windowText" strokeweight=".5pt">
                      <v:stroke joinstyle="miter"/>
                    </v:shape>
                  </w:pict>
                </mc:Fallback>
              </mc:AlternateContent>
            </w:r>
          </w:p>
        </w:tc>
        <w:tc>
          <w:tcPr>
            <w:tcW w:w="7359" w:type="dxa"/>
            <w:tcMar>
              <w:left w:w="0" w:type="dxa"/>
              <w:right w:w="0" w:type="dxa"/>
            </w:tcMar>
          </w:tcPr>
          <w:p w14:paraId="6FF3DEF0" w14:textId="77777777" w:rsidR="00DD1CD9" w:rsidRPr="008007E3" w:rsidRDefault="00DD1CD9" w:rsidP="00AA2CE1">
            <w:pPr>
              <w:ind w:firstLine="720"/>
              <w:rPr>
                <w:lang w:eastAsia="en-US"/>
              </w:rPr>
            </w:pPr>
          </w:p>
          <w:p w14:paraId="4A1D8DEB" w14:textId="29FD27FD" w:rsidR="003A5F45" w:rsidRPr="008007E3" w:rsidRDefault="003A5F45" w:rsidP="007E1CAC">
            <w:pPr>
              <w:rPr>
                <w:vertAlign w:val="subscript"/>
                <w:lang w:eastAsia="en-US"/>
              </w:rPr>
            </w:pPr>
            <w:r w:rsidRPr="008007E3">
              <w:rPr>
                <w:lang w:eastAsia="en-US"/>
              </w:rPr>
              <w:t>(Прибуток ПЗП</w:t>
            </w:r>
            <w:r w:rsidRPr="008007E3">
              <w:rPr>
                <w:vertAlign w:val="subscript"/>
                <w:lang w:eastAsia="en-US"/>
              </w:rPr>
              <w:t>КІП</w:t>
            </w:r>
            <w:r w:rsidRPr="008007E3">
              <w:rPr>
                <w:lang w:eastAsia="en-US"/>
              </w:rPr>
              <w:t xml:space="preserve"> – Виплати ПЗП</w:t>
            </w:r>
            <w:r w:rsidRPr="008007E3">
              <w:rPr>
                <w:vertAlign w:val="subscript"/>
                <w:lang w:eastAsia="en-US"/>
              </w:rPr>
              <w:t>КІП</w:t>
            </w:r>
            <w:r w:rsidRPr="008007E3">
              <w:rPr>
                <w:lang w:eastAsia="en-US"/>
              </w:rPr>
              <w:t xml:space="preserve"> – Дивіденди ПЗП</w:t>
            </w:r>
            <w:r w:rsidRPr="008007E3">
              <w:rPr>
                <w:vertAlign w:val="subscript"/>
                <w:lang w:eastAsia="en-US"/>
              </w:rPr>
              <w:t>КІП</w:t>
            </w:r>
            <w:r w:rsidRPr="008007E3">
              <w:rPr>
                <w:lang w:eastAsia="en-US"/>
              </w:rPr>
              <w:t>);</w:t>
            </w:r>
          </w:p>
          <w:p w14:paraId="6ADA39CC" w14:textId="77777777" w:rsidR="003A5F45" w:rsidRPr="008007E3" w:rsidRDefault="003A5F45" w:rsidP="007E1CAC">
            <w:pPr>
              <w:rPr>
                <w:vertAlign w:val="subscript"/>
                <w:lang w:eastAsia="en-US"/>
              </w:rPr>
            </w:pPr>
          </w:p>
          <w:p w14:paraId="50E8479C" w14:textId="5D113B69" w:rsidR="003A5F45" w:rsidRPr="008007E3" w:rsidRDefault="003A5F45" w:rsidP="007E1CAC">
            <w:pPr>
              <w:rPr>
                <w:lang w:eastAsia="en-US"/>
              </w:rPr>
            </w:pPr>
            <w:r w:rsidRPr="008007E3">
              <w:rPr>
                <w:lang w:eastAsia="en-US"/>
              </w:rPr>
              <w:t xml:space="preserve">(Прибуток </w:t>
            </w:r>
            <w:proofErr w:type="spellStart"/>
            <w:r w:rsidRPr="008007E3">
              <w:rPr>
                <w:lang w:eastAsia="en-US"/>
              </w:rPr>
              <w:t>ПЗПо</w:t>
            </w:r>
            <w:r w:rsidRPr="008007E3">
              <w:rPr>
                <w:vertAlign w:val="subscript"/>
                <w:lang w:eastAsia="en-US"/>
              </w:rPr>
              <w:t>КІП</w:t>
            </w:r>
            <w:proofErr w:type="spellEnd"/>
            <w:r w:rsidRPr="008007E3">
              <w:rPr>
                <w:lang w:eastAsia="en-US"/>
              </w:rPr>
              <w:t xml:space="preserve"> – Виплати </w:t>
            </w:r>
            <w:proofErr w:type="spellStart"/>
            <w:r w:rsidRPr="008007E3">
              <w:rPr>
                <w:lang w:eastAsia="en-US"/>
              </w:rPr>
              <w:t>ПЗПо</w:t>
            </w:r>
            <w:r w:rsidRPr="008007E3">
              <w:rPr>
                <w:vertAlign w:val="subscript"/>
                <w:lang w:eastAsia="en-US"/>
              </w:rPr>
              <w:t>КІП</w:t>
            </w:r>
            <w:proofErr w:type="spellEnd"/>
            <w:r w:rsidRPr="008007E3">
              <w:rPr>
                <w:lang w:eastAsia="en-US"/>
              </w:rPr>
              <w:t xml:space="preserve"> – Дивіденди </w:t>
            </w:r>
            <w:proofErr w:type="spellStart"/>
            <w:r w:rsidRPr="008007E3">
              <w:rPr>
                <w:lang w:eastAsia="en-US"/>
              </w:rPr>
              <w:t>ПЗПо</w:t>
            </w:r>
            <w:r w:rsidRPr="008007E3">
              <w:rPr>
                <w:vertAlign w:val="subscript"/>
                <w:lang w:eastAsia="en-US"/>
              </w:rPr>
              <w:t>КІП</w:t>
            </w:r>
            <w:proofErr w:type="spellEnd"/>
            <w:r w:rsidRPr="008007E3">
              <w:rPr>
                <w:lang w:eastAsia="en-US"/>
              </w:rPr>
              <w:t>)</w:t>
            </w:r>
            <w:r w:rsidR="00205F8D">
              <w:rPr>
                <w:lang w:eastAsia="en-US"/>
              </w:rPr>
              <w:t>,</w:t>
            </w:r>
          </w:p>
          <w:p w14:paraId="7A10194A" w14:textId="77777777" w:rsidR="003A5F45" w:rsidRPr="008007E3" w:rsidRDefault="003A5F45" w:rsidP="00AA2CE1">
            <w:pPr>
              <w:ind w:firstLine="720"/>
              <w:rPr>
                <w:lang w:eastAsia="en-US"/>
              </w:rPr>
            </w:pPr>
          </w:p>
        </w:tc>
        <w:tc>
          <w:tcPr>
            <w:tcW w:w="235" w:type="dxa"/>
            <w:tcMar>
              <w:left w:w="0" w:type="dxa"/>
              <w:right w:w="0" w:type="dxa"/>
            </w:tcMar>
            <w:vAlign w:val="bottom"/>
          </w:tcPr>
          <w:p w14:paraId="56A7221E" w14:textId="77777777" w:rsidR="003A5F45" w:rsidRPr="008007E3" w:rsidRDefault="003A5F45" w:rsidP="00AA2CE1">
            <w:pPr>
              <w:ind w:firstLine="720"/>
              <w:rPr>
                <w:lang w:eastAsia="en-US"/>
              </w:rPr>
            </w:pPr>
            <w:r w:rsidRPr="008007E3">
              <w:rPr>
                <w:lang w:eastAsia="en-US"/>
              </w:rPr>
              <w:t>,</w:t>
            </w:r>
          </w:p>
        </w:tc>
      </w:tr>
    </w:tbl>
    <w:p w14:paraId="527D246E" w14:textId="77777777" w:rsidR="003A5F45" w:rsidRPr="008007E3" w:rsidRDefault="003A5F45" w:rsidP="00AA2CE1">
      <w:pPr>
        <w:ind w:firstLine="720"/>
        <w:rPr>
          <w:rFonts w:eastAsia="Calibri"/>
          <w:lang w:eastAsia="en-US"/>
        </w:rPr>
      </w:pPr>
    </w:p>
    <w:p w14:paraId="25EB70D8" w14:textId="77777777" w:rsidR="003A5F45" w:rsidRPr="008007E3" w:rsidRDefault="003A5F45" w:rsidP="007E1CAC">
      <w:pPr>
        <w:rPr>
          <w:rFonts w:eastAsia="Calibri"/>
          <w:lang w:eastAsia="en-US"/>
        </w:rPr>
      </w:pPr>
      <w:r w:rsidRPr="008007E3">
        <w:rPr>
          <w:rFonts w:eastAsia="Calibri"/>
          <w:lang w:eastAsia="en-US"/>
        </w:rPr>
        <w:t>де</w:t>
      </w:r>
      <w:r w:rsidRPr="008007E3">
        <w:rPr>
          <w:rFonts w:eastAsia="Calibri"/>
          <w:lang w:eastAsia="en-US"/>
        </w:rPr>
        <w:tab/>
        <w:t>Прибуток ПЗП ОК1</w:t>
      </w:r>
      <w:r w:rsidRPr="008007E3">
        <w:rPr>
          <w:rFonts w:eastAsia="Calibri"/>
          <w:vertAlign w:val="subscript"/>
          <w:lang w:eastAsia="en-US"/>
        </w:rPr>
        <w:t>КІП</w:t>
      </w:r>
      <w:r w:rsidRPr="00D64DF7">
        <w:rPr>
          <w:rFonts w:eastAsia="Calibri"/>
          <w:lang w:eastAsia="en-US"/>
        </w:rPr>
        <w:t xml:space="preserve"> </w:t>
      </w:r>
      <w:r w:rsidRPr="008007E3">
        <w:rPr>
          <w:rFonts w:eastAsia="Calibri"/>
          <w:lang w:eastAsia="en-US"/>
        </w:rPr>
        <w:t>– сума прибутку за проміжний звітний період, що включається до складових ОК1</w:t>
      </w:r>
      <w:r w:rsidRPr="008007E3">
        <w:rPr>
          <w:rFonts w:eastAsia="Calibri"/>
          <w:vertAlign w:val="subscript"/>
          <w:lang w:eastAsia="en-US"/>
        </w:rPr>
        <w:t>КІП</w:t>
      </w:r>
      <w:r w:rsidRPr="00D64DF7">
        <w:rPr>
          <w:rFonts w:eastAsia="Calibri"/>
          <w:lang w:eastAsia="en-US"/>
        </w:rPr>
        <w:t xml:space="preserve"> </w:t>
      </w:r>
      <w:r w:rsidRPr="008007E3">
        <w:rPr>
          <w:rFonts w:eastAsia="Calibri"/>
          <w:lang w:eastAsia="en-US"/>
        </w:rPr>
        <w:t>згідно з підпунктом 1 пункту 2 глави 3 розділу II цього Положення;</w:t>
      </w:r>
    </w:p>
    <w:p w14:paraId="5454E2FD" w14:textId="2F34808A" w:rsidR="003A5F45" w:rsidRPr="008007E3" w:rsidRDefault="003A5F45" w:rsidP="00704476">
      <w:pPr>
        <w:ind w:firstLine="567"/>
        <w:rPr>
          <w:rFonts w:eastAsia="Calibri"/>
          <w:lang w:eastAsia="en-US"/>
        </w:rPr>
      </w:pPr>
      <w:r w:rsidRPr="008007E3">
        <w:rPr>
          <w:rFonts w:eastAsia="Calibri"/>
          <w:lang w:eastAsia="en-US"/>
        </w:rPr>
        <w:t>Прибуток ПЗП</w:t>
      </w:r>
      <w:r w:rsidRPr="008007E3">
        <w:rPr>
          <w:rFonts w:eastAsia="Calibri"/>
          <w:vertAlign w:val="subscript"/>
          <w:lang w:eastAsia="en-US"/>
        </w:rPr>
        <w:t>КІП</w:t>
      </w:r>
      <w:r w:rsidRPr="00D64DF7">
        <w:rPr>
          <w:rFonts w:eastAsia="Calibri"/>
          <w:lang w:eastAsia="en-US"/>
        </w:rPr>
        <w:t xml:space="preserve"> </w:t>
      </w:r>
      <w:r w:rsidRPr="008007E3">
        <w:rPr>
          <w:rFonts w:eastAsia="Calibri"/>
          <w:lang w:eastAsia="en-US"/>
        </w:rPr>
        <w:t xml:space="preserve">– сума прибутку за проміжний звітний період, що відображена </w:t>
      </w:r>
      <w:r w:rsidR="000271EF">
        <w:rPr>
          <w:rFonts w:eastAsia="Calibri"/>
          <w:lang w:eastAsia="en-US"/>
        </w:rPr>
        <w:t>в</w:t>
      </w:r>
      <w:r w:rsidRPr="008007E3">
        <w:rPr>
          <w:rFonts w:eastAsia="Calibri"/>
          <w:lang w:eastAsia="en-US"/>
        </w:rPr>
        <w:t xml:space="preserve"> проміжній/річній </w:t>
      </w:r>
      <w:proofErr w:type="spellStart"/>
      <w:r w:rsidRPr="008007E3">
        <w:rPr>
          <w:rFonts w:eastAsia="Calibri"/>
          <w:lang w:eastAsia="en-US"/>
        </w:rPr>
        <w:t>субконсолідованій</w:t>
      </w:r>
      <w:proofErr w:type="spellEnd"/>
      <w:r w:rsidRPr="008007E3">
        <w:rPr>
          <w:rFonts w:eastAsia="Calibri"/>
          <w:lang w:eastAsia="en-US"/>
        </w:rPr>
        <w:t xml:space="preserve"> звітності, включення якого до ОК1 погоджено Національним банком згідно з главою 6 розділу II цього Положення; </w:t>
      </w:r>
    </w:p>
    <w:p w14:paraId="73A7CD2B" w14:textId="77777777" w:rsidR="00B641B7" w:rsidRPr="008007E3" w:rsidRDefault="00B641B7" w:rsidP="00704476">
      <w:pPr>
        <w:ind w:firstLine="567"/>
      </w:pPr>
      <w:r w:rsidRPr="008007E3">
        <w:t>Виплати ПЗП</w:t>
      </w:r>
      <w:r w:rsidRPr="008007E3">
        <w:rPr>
          <w:vertAlign w:val="subscript"/>
        </w:rPr>
        <w:t>КІП</w:t>
      </w:r>
      <w:r w:rsidRPr="008007E3">
        <w:t xml:space="preserve"> – сума виплат, передбачуваних до сплати з прибутку за проміжний звітний період;</w:t>
      </w:r>
    </w:p>
    <w:p w14:paraId="74CE586B" w14:textId="0C33FE62" w:rsidR="00B641B7" w:rsidRPr="008007E3" w:rsidRDefault="00B641B7" w:rsidP="00704476">
      <w:pPr>
        <w:ind w:firstLine="567"/>
      </w:pPr>
      <w:r w:rsidRPr="008007E3">
        <w:t>Дивіденди ПЗП</w:t>
      </w:r>
      <w:r w:rsidRPr="008007E3">
        <w:rPr>
          <w:vertAlign w:val="subscript"/>
        </w:rPr>
        <w:t>КІП</w:t>
      </w:r>
      <w:r w:rsidRPr="008007E3">
        <w:t xml:space="preserve"> – сукупна сума дивідендів, передбачуваних до сплати з прибутку за проміжний звітний період, розрахована згідно з главою 5 розділу II цього Положення.</w:t>
      </w:r>
    </w:p>
    <w:p w14:paraId="777FF7FF" w14:textId="093850C2" w:rsidR="00B641B7" w:rsidRPr="008007E3" w:rsidRDefault="00B641B7" w:rsidP="00704476">
      <w:pPr>
        <w:ind w:firstLine="567"/>
      </w:pPr>
      <w:r w:rsidRPr="008007E3">
        <w:t xml:space="preserve">Прибуток </w:t>
      </w:r>
      <w:proofErr w:type="spellStart"/>
      <w:r w:rsidRPr="008007E3">
        <w:t>ПЗПо</w:t>
      </w:r>
      <w:r w:rsidRPr="008007E3">
        <w:rPr>
          <w:vertAlign w:val="subscript"/>
        </w:rPr>
        <w:t>КІП</w:t>
      </w:r>
      <w:proofErr w:type="spellEnd"/>
      <w:r w:rsidR="007B50B5">
        <w:t xml:space="preserve"> –</w:t>
      </w:r>
      <w:r w:rsidRPr="008007E3">
        <w:t xml:space="preserve"> сума прибутку за останній проміжний звітний період, відображена </w:t>
      </w:r>
      <w:r w:rsidR="00B85918">
        <w:t>в</w:t>
      </w:r>
      <w:r w:rsidRPr="008007E3">
        <w:t xml:space="preserve"> проміжній </w:t>
      </w:r>
      <w:proofErr w:type="spellStart"/>
      <w:r w:rsidRPr="008007E3">
        <w:t>субконсолідованій</w:t>
      </w:r>
      <w:proofErr w:type="spellEnd"/>
      <w:r w:rsidRPr="008007E3">
        <w:t xml:space="preserve"> звітності, який належить до того самого звітного року, що і Прибуток ПЗП</w:t>
      </w:r>
      <w:r w:rsidRPr="008007E3">
        <w:rPr>
          <w:vertAlign w:val="subscript"/>
        </w:rPr>
        <w:t>КІП</w:t>
      </w:r>
      <w:r w:rsidRPr="008007E3">
        <w:t>;</w:t>
      </w:r>
    </w:p>
    <w:p w14:paraId="2A804F5F" w14:textId="77777777" w:rsidR="00B641B7" w:rsidRPr="008007E3" w:rsidRDefault="00B641B7" w:rsidP="00704476">
      <w:pPr>
        <w:ind w:firstLine="567"/>
      </w:pPr>
      <w:r w:rsidRPr="008007E3">
        <w:lastRenderedPageBreak/>
        <w:t xml:space="preserve">Виплати </w:t>
      </w:r>
      <w:proofErr w:type="spellStart"/>
      <w:r w:rsidRPr="008007E3">
        <w:t>ПЗПо</w:t>
      </w:r>
      <w:r w:rsidRPr="008007E3">
        <w:rPr>
          <w:vertAlign w:val="subscript"/>
        </w:rPr>
        <w:t>КІП</w:t>
      </w:r>
      <w:proofErr w:type="spellEnd"/>
      <w:r w:rsidRPr="008007E3">
        <w:t xml:space="preserve"> – сума виплат, передбачуваних до сплати з прибутку за останній проміжний звітний період;</w:t>
      </w:r>
    </w:p>
    <w:p w14:paraId="01498A43" w14:textId="1C6B0D28" w:rsidR="00B641B7" w:rsidRPr="008007E3" w:rsidRDefault="00B641B7" w:rsidP="00704476">
      <w:pPr>
        <w:ind w:firstLine="567"/>
      </w:pPr>
      <w:r w:rsidRPr="008007E3">
        <w:t xml:space="preserve">Дивіденди </w:t>
      </w:r>
      <w:proofErr w:type="spellStart"/>
      <w:r w:rsidRPr="008007E3">
        <w:t>ПЗПо</w:t>
      </w:r>
      <w:r w:rsidRPr="008007E3">
        <w:rPr>
          <w:vertAlign w:val="subscript"/>
        </w:rPr>
        <w:t>КІП</w:t>
      </w:r>
      <w:proofErr w:type="spellEnd"/>
      <w:r w:rsidRPr="008007E3">
        <w:t xml:space="preserve"> – сукупна сума дивідендів, передбачуваних до сплати з прибутку за останній проміжний звітний період, розрахована згідно з главою 5 розділу II цього Положення.</w:t>
      </w:r>
    </w:p>
    <w:p w14:paraId="7D49DFE3" w14:textId="77777777" w:rsidR="00C20361" w:rsidRPr="008007E3" w:rsidRDefault="00C20361" w:rsidP="00704476">
      <w:pPr>
        <w:ind w:firstLine="567"/>
      </w:pPr>
    </w:p>
    <w:p w14:paraId="62D4055E" w14:textId="5323AFE4" w:rsidR="002E23EA" w:rsidRPr="008007E3" w:rsidRDefault="00C20361" w:rsidP="00704476">
      <w:pPr>
        <w:ind w:firstLine="567"/>
      </w:pPr>
      <w:r w:rsidRPr="008007E3">
        <w:t xml:space="preserve">4. </w:t>
      </w:r>
      <w:r w:rsidR="002E23EA" w:rsidRPr="008007E3">
        <w:t xml:space="preserve">Відповідальна особа банківської групи </w:t>
      </w:r>
      <w:r w:rsidR="00CA5986">
        <w:t>в</w:t>
      </w:r>
      <w:r w:rsidR="002E23EA" w:rsidRPr="008007E3">
        <w:t xml:space="preserve"> разі погодження Національним банком включення до капіталу прибутку звітного року/прибутку за проміжний звітний</w:t>
      </w:r>
      <w:r w:rsidR="00CA5986">
        <w:t xml:space="preserve"> період</w:t>
      </w:r>
      <w:r w:rsidR="002E23EA" w:rsidRPr="008007E3">
        <w:t xml:space="preserve"> має право включати до складових ОК1</w:t>
      </w:r>
      <w:r w:rsidR="002E23EA" w:rsidRPr="008007E3">
        <w:rPr>
          <w:vertAlign w:val="subscript"/>
        </w:rPr>
        <w:t>КІП</w:t>
      </w:r>
      <w:r w:rsidR="002E23EA" w:rsidRPr="00D64DF7">
        <w:t xml:space="preserve"> </w:t>
      </w:r>
      <w:r w:rsidR="002E23EA" w:rsidRPr="008007E3">
        <w:t>прибуток звітного року/прибуток за проміжний звітний період з 21-го робочого дня після подання документів до Національного банку до дати прийняття відповідним органом управління відповідальної особи банківської групи, визначеним законодавством</w:t>
      </w:r>
      <w:r w:rsidR="00CA5986">
        <w:t xml:space="preserve"> України</w:t>
      </w:r>
      <w:r w:rsidR="002E23EA" w:rsidRPr="008007E3">
        <w:t xml:space="preserve"> та/або </w:t>
      </w:r>
      <w:proofErr w:type="spellStart"/>
      <w:r w:rsidR="002E23EA" w:rsidRPr="008007E3">
        <w:t>внутрішньогруповим</w:t>
      </w:r>
      <w:proofErr w:type="spellEnd"/>
      <w:r w:rsidR="002E23EA" w:rsidRPr="008007E3">
        <w:t xml:space="preserve"> положенням, рішення щодо затвердження прибутку звітного року/прибутку звітного року, до якого </w:t>
      </w:r>
      <w:r w:rsidR="00EB67C2">
        <w:t>належить</w:t>
      </w:r>
      <w:r w:rsidR="00EB67C2" w:rsidRPr="008007E3">
        <w:t xml:space="preserve"> </w:t>
      </w:r>
      <w:r w:rsidR="002E23EA" w:rsidRPr="008007E3">
        <w:t>проміжний прибуток.</w:t>
      </w:r>
    </w:p>
    <w:p w14:paraId="7ADEC9FA" w14:textId="25CDEF83" w:rsidR="002E23EA" w:rsidRPr="008007E3" w:rsidRDefault="002E23EA" w:rsidP="00704476">
      <w:pPr>
        <w:ind w:firstLine="567"/>
      </w:pPr>
      <w:r w:rsidRPr="008007E3">
        <w:t>Включення відповідальною особою до ОК1</w:t>
      </w:r>
      <w:r w:rsidRPr="008007E3">
        <w:rPr>
          <w:vertAlign w:val="subscript"/>
        </w:rPr>
        <w:t>КІП</w:t>
      </w:r>
      <w:r w:rsidRPr="008007E3">
        <w:t xml:space="preserve"> одночасно суми прибутку звітного року/суми прибутку за проміжний звітний період, які належать до одного звітного року, не допускається.</w:t>
      </w:r>
    </w:p>
    <w:p w14:paraId="2881C609" w14:textId="77777777" w:rsidR="002E23EA" w:rsidRPr="008007E3" w:rsidRDefault="002E23EA" w:rsidP="00704476">
      <w:pPr>
        <w:ind w:firstLine="567"/>
      </w:pPr>
    </w:p>
    <w:p w14:paraId="7E1E503F" w14:textId="4334D647" w:rsidR="002E23EA" w:rsidRPr="008007E3" w:rsidRDefault="002E23EA" w:rsidP="00704476">
      <w:pPr>
        <w:jc w:val="center"/>
      </w:pPr>
      <w:r w:rsidRPr="008007E3">
        <w:t xml:space="preserve">Глава 5. Порядок розрахунку сукупної суми дивідендів, </w:t>
      </w:r>
      <w:r w:rsidR="00704476" w:rsidRPr="008007E3">
        <w:br/>
      </w:r>
      <w:r w:rsidRPr="008007E3">
        <w:t>передбачуваних до сплати з прибутку</w:t>
      </w:r>
    </w:p>
    <w:p w14:paraId="6BF9764C" w14:textId="77777777" w:rsidR="002E23EA" w:rsidRPr="008007E3" w:rsidRDefault="002E23EA" w:rsidP="00704476">
      <w:pPr>
        <w:ind w:firstLine="567"/>
      </w:pPr>
    </w:p>
    <w:p w14:paraId="5C3C33B9" w14:textId="09B96107" w:rsidR="002E23EA" w:rsidRPr="008007E3" w:rsidRDefault="002E23EA" w:rsidP="00704476">
      <w:pPr>
        <w:ind w:firstLine="567"/>
      </w:pPr>
      <w:r w:rsidRPr="008007E3">
        <w:t xml:space="preserve">1. Відповідальна особа банківської групи здійснює розрахунок сукупної суми дивідендів, передбачуваних до сплати з прибутку, </w:t>
      </w:r>
      <w:r w:rsidR="00CA5986">
        <w:t xml:space="preserve">на підставі </w:t>
      </w:r>
      <w:r w:rsidRPr="008007E3">
        <w:t>суми дивідендів, передбачуваних до сплати з прибутку кожного з учасників кредитно-інвестиційної підгрупи, прибуток якого включено до суми нерозподіленого прибутку минулих років/звітного року/проміжного звітного періоду</w:t>
      </w:r>
      <w:r w:rsidR="00CA5986">
        <w:t>,</w:t>
      </w:r>
      <w:r w:rsidRPr="008007E3">
        <w:t xml:space="preserve"> згідно з додатком 1 до цього Положення з урахуванням наявності/відсутності в учасника кредитно-інвестиційної підгрупи таких документів:</w:t>
      </w:r>
    </w:p>
    <w:p w14:paraId="0C9932A0" w14:textId="77777777" w:rsidR="002E23EA" w:rsidRPr="008007E3" w:rsidRDefault="002E23EA" w:rsidP="00704476">
      <w:pPr>
        <w:ind w:firstLine="567"/>
      </w:pPr>
    </w:p>
    <w:p w14:paraId="6C37E59C" w14:textId="376EEC2F" w:rsidR="002E23EA" w:rsidRPr="008007E3" w:rsidRDefault="002E23EA" w:rsidP="00704476">
      <w:pPr>
        <w:ind w:firstLine="567"/>
      </w:pPr>
      <w:r w:rsidRPr="008007E3">
        <w:t>1) пропозиції виконавчого органу учасника кредитно-інвестиційної підгрупи щодо суми дивідендів до сплати, що задокументована та погоджена радою учасника банківської групи (за наявності) для розгляду загальними зборами акціонерів/учасників/єдиного акціонера учасника кредитно-інвестиційної підгрупи (далі – пропозиції виконавчого органу);</w:t>
      </w:r>
    </w:p>
    <w:p w14:paraId="3770886F" w14:textId="77777777" w:rsidR="002E23EA" w:rsidRPr="008007E3" w:rsidRDefault="002E23EA" w:rsidP="00704476">
      <w:pPr>
        <w:ind w:firstLine="567"/>
      </w:pPr>
    </w:p>
    <w:p w14:paraId="732EE06A" w14:textId="329217CD" w:rsidR="002E23EA" w:rsidRPr="008007E3" w:rsidRDefault="002E23EA" w:rsidP="00704476">
      <w:pPr>
        <w:tabs>
          <w:tab w:val="left" w:pos="1025"/>
        </w:tabs>
        <w:ind w:firstLine="567"/>
      </w:pPr>
      <w:r w:rsidRPr="008007E3">
        <w:t>2) рішення загальних зборів акціонерів/учасників/</w:t>
      </w:r>
      <w:r w:rsidRPr="008007E3">
        <w:br/>
        <w:t xml:space="preserve">єдиного акціонера учасника кредитно-інвестиційної підгрупи щодо суми дивідендів до сплати (далі – рішення загальних зборів); </w:t>
      </w:r>
    </w:p>
    <w:p w14:paraId="68643765" w14:textId="77777777" w:rsidR="002E23EA" w:rsidRPr="008007E3" w:rsidRDefault="002E23EA" w:rsidP="00704476">
      <w:pPr>
        <w:ind w:firstLine="567"/>
      </w:pPr>
    </w:p>
    <w:p w14:paraId="67AE0551" w14:textId="262EB6F1" w:rsidR="002E23EA" w:rsidRPr="008007E3" w:rsidRDefault="002E23EA" w:rsidP="00704476">
      <w:pPr>
        <w:ind w:firstLine="567"/>
      </w:pPr>
      <w:r w:rsidRPr="008007E3">
        <w:t>3) програми капіталізації/реструктуризації учасника кредитно-інвестиційної підгрупи, складеної відповідно до вимог нормативно-правових актів Національного банку (далі – програма капіталізації);</w:t>
      </w:r>
    </w:p>
    <w:p w14:paraId="1A0ED649" w14:textId="671AF518" w:rsidR="002E23EA" w:rsidRDefault="002E23EA" w:rsidP="00704476">
      <w:pPr>
        <w:ind w:firstLine="567"/>
      </w:pPr>
    </w:p>
    <w:p w14:paraId="10398FBC" w14:textId="549E0534" w:rsidR="00880F8F" w:rsidRDefault="00880F8F" w:rsidP="00704476">
      <w:pPr>
        <w:ind w:firstLine="567"/>
      </w:pPr>
      <w:r w:rsidRPr="008007E3">
        <w:lastRenderedPageBreak/>
        <w:t xml:space="preserve">4) дивідендної політики учасника кредитно-інвестиційної підгрупи (далі – дивідендна політика). </w:t>
      </w:r>
    </w:p>
    <w:p w14:paraId="460D1E40" w14:textId="77777777" w:rsidR="00880F8F" w:rsidRPr="008007E3" w:rsidRDefault="00880F8F" w:rsidP="00704476">
      <w:pPr>
        <w:ind w:firstLine="567"/>
      </w:pPr>
    </w:p>
    <w:p w14:paraId="72D6B220" w14:textId="7957CECC" w:rsidR="002E23EA" w:rsidRPr="008007E3" w:rsidRDefault="002E23EA" w:rsidP="00704476">
      <w:pPr>
        <w:shd w:val="clear" w:color="auto" w:fill="FFFFFF" w:themeFill="background1"/>
        <w:tabs>
          <w:tab w:val="left" w:pos="851"/>
        </w:tabs>
        <w:ind w:firstLine="567"/>
        <w:rPr>
          <w:lang w:eastAsia="ru-RU"/>
        </w:rPr>
      </w:pPr>
      <w:r w:rsidRPr="008007E3">
        <w:t>2. Відповідальна особа банківської групи для розрахунку суми дивідендів, передбачуваних до сплати з прибутку учасника кредитно-інвестиційної підгрупи, із застосуванням показників дивідендної політики на поточний рік</w:t>
      </w:r>
      <w:r w:rsidRPr="008007E3">
        <w:rPr>
          <w:lang w:eastAsia="ru-RU"/>
        </w:rPr>
        <w:t xml:space="preserve"> визначає такі показники:</w:t>
      </w:r>
    </w:p>
    <w:p w14:paraId="317C712F" w14:textId="77777777" w:rsidR="002E23EA" w:rsidRPr="008007E3" w:rsidRDefault="002E23EA" w:rsidP="00704476">
      <w:pPr>
        <w:shd w:val="clear" w:color="auto" w:fill="FFFFFF" w:themeFill="background1"/>
        <w:tabs>
          <w:tab w:val="left" w:pos="851"/>
        </w:tabs>
        <w:ind w:firstLine="567"/>
        <w:rPr>
          <w:lang w:eastAsia="ru-RU"/>
        </w:rPr>
      </w:pPr>
    </w:p>
    <w:p w14:paraId="0E0EDFC9" w14:textId="77777777" w:rsidR="002E23EA" w:rsidRPr="008007E3" w:rsidRDefault="002E23EA" w:rsidP="00704476">
      <w:pPr>
        <w:shd w:val="clear" w:color="auto" w:fill="FFFFFF" w:themeFill="background1"/>
        <w:tabs>
          <w:tab w:val="left" w:pos="851"/>
        </w:tabs>
        <w:ind w:firstLine="567"/>
        <w:rPr>
          <w:lang w:eastAsia="ru-RU"/>
        </w:rPr>
      </w:pPr>
      <w:r w:rsidRPr="008007E3">
        <w:rPr>
          <w:lang w:eastAsia="ru-RU"/>
        </w:rPr>
        <w:t>1) прийнятними – у разі одночасного дотримання таких умов:</w:t>
      </w:r>
    </w:p>
    <w:p w14:paraId="6BABCEF9" w14:textId="38A5676A" w:rsidR="002E23EA" w:rsidRPr="008007E3" w:rsidRDefault="002E23EA" w:rsidP="00704476">
      <w:pPr>
        <w:shd w:val="clear" w:color="auto" w:fill="FFFFFF" w:themeFill="background1"/>
        <w:tabs>
          <w:tab w:val="left" w:pos="851"/>
        </w:tabs>
        <w:ind w:firstLine="567"/>
        <w:rPr>
          <w:lang w:eastAsia="ru-RU"/>
        </w:rPr>
      </w:pPr>
      <w:r w:rsidRPr="008007E3">
        <w:rPr>
          <w:lang w:eastAsia="ru-RU"/>
        </w:rPr>
        <w:t>протягом останніх трьох років поспіль, що передують поточному року, величина дивідендів до сплати, що зазначалась у пропозиціях виконавчого органу учасника кредитно-інвестиційної підгрупи</w:t>
      </w:r>
      <w:r w:rsidRPr="008007E3">
        <w:rPr>
          <w:iCs/>
        </w:rPr>
        <w:t xml:space="preserve">, </w:t>
      </w:r>
      <w:r w:rsidRPr="008007E3">
        <w:rPr>
          <w:lang w:eastAsia="ru-RU"/>
        </w:rPr>
        <w:t>визначалас</w:t>
      </w:r>
      <w:r w:rsidR="00175E71">
        <w:rPr>
          <w:lang w:eastAsia="ru-RU"/>
        </w:rPr>
        <w:t>я</w:t>
      </w:r>
      <w:r w:rsidRPr="008007E3">
        <w:rPr>
          <w:lang w:eastAsia="ru-RU"/>
        </w:rPr>
        <w:t xml:space="preserve"> на підставі дивідендної політики на відповідний рік; </w:t>
      </w:r>
    </w:p>
    <w:p w14:paraId="39302610" w14:textId="261C6CDF" w:rsidR="002E23EA" w:rsidRPr="008007E3" w:rsidRDefault="002E23EA" w:rsidP="00704476">
      <w:pPr>
        <w:shd w:val="clear" w:color="auto" w:fill="FFFFFF" w:themeFill="background1"/>
        <w:tabs>
          <w:tab w:val="left" w:pos="851"/>
        </w:tabs>
        <w:ind w:firstLine="567"/>
        <w:rPr>
          <w:lang w:eastAsia="ru-RU"/>
        </w:rPr>
      </w:pPr>
      <w:r w:rsidRPr="008007E3">
        <w:rPr>
          <w:lang w:eastAsia="ru-RU"/>
        </w:rPr>
        <w:t>протягом останніх трьох років, що передують поточному року, до дивідендної політики на відповідний рік не вносилис</w:t>
      </w:r>
      <w:r w:rsidR="00175E71">
        <w:rPr>
          <w:lang w:eastAsia="ru-RU"/>
        </w:rPr>
        <w:t>я</w:t>
      </w:r>
      <w:r w:rsidRPr="008007E3">
        <w:rPr>
          <w:lang w:eastAsia="ru-RU"/>
        </w:rPr>
        <w:t xml:space="preserve"> зміни, внаслідок яких прогнозна величина дивідендів збільшувалас</w:t>
      </w:r>
      <w:r w:rsidR="00175E71">
        <w:rPr>
          <w:lang w:eastAsia="ru-RU"/>
        </w:rPr>
        <w:t>я</w:t>
      </w:r>
      <w:r w:rsidRPr="008007E3">
        <w:rPr>
          <w:lang w:eastAsia="ru-RU"/>
        </w:rPr>
        <w:t>;</w:t>
      </w:r>
    </w:p>
    <w:p w14:paraId="0730F42E" w14:textId="0DB8791D" w:rsidR="002E23EA" w:rsidRPr="008007E3" w:rsidRDefault="002E23EA" w:rsidP="00704476">
      <w:pPr>
        <w:shd w:val="clear" w:color="auto" w:fill="FFFFFF" w:themeFill="background1"/>
        <w:tabs>
          <w:tab w:val="left" w:pos="851"/>
        </w:tabs>
        <w:ind w:firstLine="567"/>
        <w:rPr>
          <w:lang w:eastAsia="ru-RU"/>
        </w:rPr>
      </w:pPr>
      <w:r w:rsidRPr="008007E3">
        <w:rPr>
          <w:lang w:eastAsia="ru-RU"/>
        </w:rPr>
        <w:t>дивіденди, сплачені учасником кредитно-інвестиційної підгрупи за кожен рік з останніх трьох років, що передують поточному року, не перевищують прогнозн</w:t>
      </w:r>
      <w:r w:rsidR="00175E71">
        <w:rPr>
          <w:lang w:eastAsia="ru-RU"/>
        </w:rPr>
        <w:t>ої</w:t>
      </w:r>
      <w:r w:rsidRPr="008007E3">
        <w:rPr>
          <w:lang w:eastAsia="ru-RU"/>
        </w:rPr>
        <w:t xml:space="preserve"> величин</w:t>
      </w:r>
      <w:r w:rsidR="00175E71">
        <w:rPr>
          <w:lang w:eastAsia="ru-RU"/>
        </w:rPr>
        <w:t>и</w:t>
      </w:r>
      <w:r w:rsidRPr="008007E3">
        <w:rPr>
          <w:lang w:eastAsia="ru-RU"/>
        </w:rPr>
        <w:t xml:space="preserve"> дивідендів, визначен</w:t>
      </w:r>
      <w:r w:rsidR="00175E71">
        <w:rPr>
          <w:lang w:eastAsia="ru-RU"/>
        </w:rPr>
        <w:t>ої в</w:t>
      </w:r>
      <w:r w:rsidRPr="008007E3">
        <w:rPr>
          <w:lang w:eastAsia="ru-RU"/>
        </w:rPr>
        <w:t xml:space="preserve"> дивідендній політиці на відповідний рік у вигляді відсотк</w:t>
      </w:r>
      <w:r w:rsidR="00577BE4">
        <w:rPr>
          <w:lang w:eastAsia="ru-RU"/>
        </w:rPr>
        <w:t>а</w:t>
      </w:r>
      <w:r w:rsidRPr="008007E3">
        <w:rPr>
          <w:lang w:eastAsia="ru-RU"/>
        </w:rPr>
        <w:t xml:space="preserve"> або суми прибутку, з якого здійснюватиметься така сплата;</w:t>
      </w:r>
    </w:p>
    <w:p w14:paraId="7C143D4F" w14:textId="790B110B" w:rsidR="002E23EA" w:rsidRPr="008007E3" w:rsidRDefault="002E23EA" w:rsidP="00704476">
      <w:pPr>
        <w:shd w:val="clear" w:color="auto" w:fill="FFFFFF" w:themeFill="background1"/>
        <w:tabs>
          <w:tab w:val="left" w:pos="851"/>
        </w:tabs>
        <w:ind w:firstLine="567"/>
        <w:rPr>
          <w:lang w:eastAsia="ru-RU"/>
        </w:rPr>
      </w:pPr>
      <w:r w:rsidRPr="008007E3">
        <w:rPr>
          <w:lang w:eastAsia="ru-RU"/>
        </w:rPr>
        <w:t xml:space="preserve">сплата учасником кредитно-інвестиційної підгрупи прогнозної величини дивідендів, визначеної </w:t>
      </w:r>
      <w:r w:rsidR="000D49DD">
        <w:rPr>
          <w:lang w:eastAsia="ru-RU"/>
        </w:rPr>
        <w:t>в</w:t>
      </w:r>
      <w:r w:rsidRPr="008007E3">
        <w:rPr>
          <w:lang w:eastAsia="ru-RU"/>
        </w:rPr>
        <w:t xml:space="preserve"> дивідендній політиці, не призведе до зниження рівня капіталу учасника кредитно-інвестиційної підгрупи нижче граничного рівня, необхідного для забезпечення дотримання учасником кредитно-інвестиційної підгрупи регулятивних вимог </w:t>
      </w:r>
      <w:r w:rsidR="000D49DD">
        <w:rPr>
          <w:lang w:eastAsia="ru-RU"/>
        </w:rPr>
        <w:t>що</w:t>
      </w:r>
      <w:r w:rsidRPr="008007E3">
        <w:rPr>
          <w:lang w:eastAsia="ru-RU"/>
        </w:rPr>
        <w:t>до достатності капіталу;</w:t>
      </w:r>
    </w:p>
    <w:p w14:paraId="2F80ED2C" w14:textId="77777777" w:rsidR="002E23EA" w:rsidRPr="008007E3" w:rsidRDefault="002E23EA" w:rsidP="00704476">
      <w:pPr>
        <w:shd w:val="clear" w:color="auto" w:fill="FFFFFF" w:themeFill="background1"/>
        <w:tabs>
          <w:tab w:val="left" w:pos="851"/>
        </w:tabs>
        <w:ind w:firstLine="567"/>
        <w:rPr>
          <w:i/>
          <w:iCs/>
          <w:lang w:eastAsia="ru-RU"/>
        </w:rPr>
      </w:pPr>
    </w:p>
    <w:p w14:paraId="00177300" w14:textId="77777777" w:rsidR="002E23EA" w:rsidRPr="008007E3" w:rsidRDefault="002E23EA" w:rsidP="00704476">
      <w:pPr>
        <w:shd w:val="clear" w:color="auto" w:fill="FFFFFF" w:themeFill="background1"/>
        <w:tabs>
          <w:tab w:val="left" w:pos="851"/>
        </w:tabs>
        <w:ind w:firstLine="567"/>
        <w:rPr>
          <w:i/>
          <w:iCs/>
          <w:lang w:eastAsia="ru-RU"/>
        </w:rPr>
      </w:pPr>
      <w:r w:rsidRPr="008007E3">
        <w:rPr>
          <w:lang w:eastAsia="ru-RU"/>
        </w:rPr>
        <w:t>2) неприйнятними – в інших випадках</w:t>
      </w:r>
      <w:r w:rsidRPr="008007E3">
        <w:rPr>
          <w:i/>
          <w:iCs/>
          <w:lang w:eastAsia="ru-RU"/>
        </w:rPr>
        <w:t>.</w:t>
      </w:r>
    </w:p>
    <w:p w14:paraId="65390EA5" w14:textId="77777777" w:rsidR="002E23EA" w:rsidRPr="008007E3" w:rsidRDefault="002E23EA" w:rsidP="00704476">
      <w:pPr>
        <w:ind w:firstLine="567"/>
      </w:pPr>
    </w:p>
    <w:p w14:paraId="3FEFDA01" w14:textId="0DD2A582" w:rsidR="00AD02AB" w:rsidRPr="008007E3" w:rsidRDefault="00AD02AB" w:rsidP="00B806D2">
      <w:pPr>
        <w:keepNext/>
        <w:ind w:firstLine="567"/>
        <w:jc w:val="center"/>
        <w:rPr>
          <w:vertAlign w:val="subscript"/>
        </w:rPr>
      </w:pPr>
      <w:r w:rsidRPr="008007E3">
        <w:t>Глава 6. Порядок та умови погодження включення прибутку до ОК1</w:t>
      </w:r>
      <w:r w:rsidRPr="008007E3">
        <w:rPr>
          <w:vertAlign w:val="subscript"/>
        </w:rPr>
        <w:t>КІП</w:t>
      </w:r>
    </w:p>
    <w:p w14:paraId="6F8B37F8" w14:textId="77777777" w:rsidR="00AD02AB" w:rsidRPr="008007E3" w:rsidRDefault="00AD02AB" w:rsidP="00B806D2">
      <w:pPr>
        <w:keepNext/>
        <w:ind w:firstLine="567"/>
      </w:pPr>
    </w:p>
    <w:p w14:paraId="4AEF1C9B" w14:textId="652428C4" w:rsidR="00AD02AB" w:rsidRPr="008007E3" w:rsidRDefault="00AD02AB" w:rsidP="00704476">
      <w:pPr>
        <w:ind w:firstLine="567"/>
      </w:pPr>
      <w:r w:rsidRPr="008007E3">
        <w:t>1. Відповідальна особа банківської групи для погодження включення прибутку звітного року/прибутку за проміжний звітний період до складових ОК1</w:t>
      </w:r>
      <w:r w:rsidRPr="008007E3">
        <w:rPr>
          <w:vertAlign w:val="subscript"/>
        </w:rPr>
        <w:t>КІП</w:t>
      </w:r>
      <w:r w:rsidRPr="008007E3">
        <w:t xml:space="preserve"> подає до Національного банку такі документи:</w:t>
      </w:r>
    </w:p>
    <w:p w14:paraId="5229355B" w14:textId="77777777" w:rsidR="00AD02AB" w:rsidRPr="008007E3" w:rsidRDefault="00AD02AB" w:rsidP="00704476">
      <w:pPr>
        <w:ind w:firstLine="567"/>
      </w:pPr>
    </w:p>
    <w:p w14:paraId="6396DE41" w14:textId="352D61F9" w:rsidR="00FA349D" w:rsidRPr="008007E3" w:rsidRDefault="00FA349D" w:rsidP="00704476">
      <w:pPr>
        <w:ind w:firstLine="567"/>
      </w:pPr>
      <w:r w:rsidRPr="008007E3">
        <w:t>1) клопотання про включення прибутку звітного року/прибутку за проміжний звітний період до ОК1</w:t>
      </w:r>
      <w:r w:rsidRPr="008007E3">
        <w:rPr>
          <w:vertAlign w:val="subscript"/>
        </w:rPr>
        <w:t>КІП</w:t>
      </w:r>
      <w:r w:rsidRPr="008007E3">
        <w:t>;</w:t>
      </w:r>
    </w:p>
    <w:p w14:paraId="2DD94C24" w14:textId="77777777" w:rsidR="00FA349D" w:rsidRPr="008007E3" w:rsidRDefault="00FA349D" w:rsidP="00704476">
      <w:pPr>
        <w:ind w:firstLine="567"/>
      </w:pPr>
    </w:p>
    <w:p w14:paraId="044AC378" w14:textId="02CF4359" w:rsidR="00FA349D" w:rsidRPr="008007E3" w:rsidRDefault="00FA349D" w:rsidP="00704476">
      <w:pPr>
        <w:ind w:firstLine="567"/>
      </w:pPr>
      <w:r w:rsidRPr="008007E3">
        <w:t>2) аудиторський звіт, складений за результатами аудиту річної консолідованої фінансової звітності банківської групи/звіт (висновок) щодо огляду проміжної консолідованої/</w:t>
      </w:r>
      <w:proofErr w:type="spellStart"/>
      <w:r w:rsidRPr="008007E3">
        <w:t>субконсолідованої</w:t>
      </w:r>
      <w:proofErr w:type="spellEnd"/>
      <w:r w:rsidRPr="008007E3">
        <w:t xml:space="preserve"> фінансової звітності банківської групи/підгрупи банківської групи; </w:t>
      </w:r>
    </w:p>
    <w:p w14:paraId="3A17D296" w14:textId="77777777" w:rsidR="00AD02AB" w:rsidRPr="008007E3" w:rsidRDefault="00AD02AB" w:rsidP="00704476">
      <w:pPr>
        <w:ind w:firstLine="567"/>
      </w:pPr>
    </w:p>
    <w:p w14:paraId="3EF69DBB" w14:textId="4F072886" w:rsidR="00AD02AB" w:rsidRPr="008007E3" w:rsidRDefault="00AD02AB" w:rsidP="00704476">
      <w:pPr>
        <w:ind w:firstLine="567"/>
      </w:pPr>
      <w:r w:rsidRPr="008007E3">
        <w:lastRenderedPageBreak/>
        <w:t>3) письмове запевнення відповідальної особи банківської групи про достовірність розрахунку суми прибутку звітного року/прибутку за проміжний звітний період для включення до складових ОК1</w:t>
      </w:r>
      <w:r w:rsidRPr="008007E3">
        <w:rPr>
          <w:vertAlign w:val="subscript"/>
        </w:rPr>
        <w:t>КІП</w:t>
      </w:r>
      <w:r w:rsidRPr="008007E3">
        <w:t xml:space="preserve"> за формою, визначеною </w:t>
      </w:r>
      <w:r w:rsidR="002276DE">
        <w:t>в</w:t>
      </w:r>
      <w:r w:rsidRPr="008007E3">
        <w:t xml:space="preserve"> додатку 2 до цього Положення;</w:t>
      </w:r>
    </w:p>
    <w:p w14:paraId="160DF597" w14:textId="77777777" w:rsidR="00AD02AB" w:rsidRPr="008007E3" w:rsidRDefault="00AD02AB" w:rsidP="00704476">
      <w:pPr>
        <w:ind w:firstLine="567"/>
      </w:pPr>
    </w:p>
    <w:p w14:paraId="30934F7D" w14:textId="07ED6E58" w:rsidR="00AD02AB" w:rsidRPr="008007E3" w:rsidRDefault="00AD02AB" w:rsidP="00704476">
      <w:pPr>
        <w:ind w:firstLine="567"/>
      </w:pPr>
      <w:r w:rsidRPr="008007E3">
        <w:t>4) інші документи, що підтверджують дані, на підставі яких здійснено розрахунок суми прибутку звітного року/прибутку за проміжний звітний період для включення до ОК1</w:t>
      </w:r>
      <w:r w:rsidRPr="008007E3">
        <w:rPr>
          <w:vertAlign w:val="subscript"/>
        </w:rPr>
        <w:t>КІП</w:t>
      </w:r>
      <w:r w:rsidRPr="008007E3">
        <w:t>.</w:t>
      </w:r>
    </w:p>
    <w:p w14:paraId="1E5D39A4" w14:textId="77777777" w:rsidR="00AD02AB" w:rsidRPr="008007E3" w:rsidRDefault="00AD02AB" w:rsidP="00704476">
      <w:pPr>
        <w:shd w:val="clear" w:color="auto" w:fill="FFFFFF" w:themeFill="background1"/>
        <w:tabs>
          <w:tab w:val="left" w:pos="121"/>
          <w:tab w:val="left" w:pos="851"/>
        </w:tabs>
        <w:ind w:firstLine="567"/>
      </w:pPr>
    </w:p>
    <w:p w14:paraId="79790A23" w14:textId="60CA5CBB" w:rsidR="00AD02AB" w:rsidRPr="008007E3" w:rsidRDefault="00AD02AB" w:rsidP="00704476">
      <w:pPr>
        <w:shd w:val="clear" w:color="auto" w:fill="FFFFFF" w:themeFill="background1"/>
        <w:tabs>
          <w:tab w:val="left" w:pos="121"/>
          <w:tab w:val="left" w:pos="851"/>
        </w:tabs>
        <w:ind w:firstLine="567"/>
      </w:pPr>
      <w:r w:rsidRPr="008007E3">
        <w:t>2. Національний банк протягом 20 робочих днів із дня отримання повного пакета документів, поданого відповідальною особою банківської групи згідно з пунктом 1 глави 6 розділу II цього Положення з метою погодження включення прибутку звітного року/прибутку за проміжний звітний період до ОК1</w:t>
      </w:r>
      <w:r w:rsidRPr="008007E3">
        <w:rPr>
          <w:vertAlign w:val="subscript"/>
        </w:rPr>
        <w:t>КІП</w:t>
      </w:r>
      <w:r w:rsidRPr="008007E3">
        <w:t xml:space="preserve">, перевіряє дотримання таких умов:  </w:t>
      </w:r>
    </w:p>
    <w:p w14:paraId="3386DE72" w14:textId="77777777" w:rsidR="00AD02AB" w:rsidRPr="008007E3" w:rsidRDefault="00AD02AB" w:rsidP="00704476">
      <w:pPr>
        <w:shd w:val="clear" w:color="auto" w:fill="FFFFFF" w:themeFill="background1"/>
        <w:tabs>
          <w:tab w:val="left" w:pos="121"/>
          <w:tab w:val="left" w:pos="851"/>
        </w:tabs>
        <w:ind w:firstLine="567"/>
      </w:pPr>
    </w:p>
    <w:p w14:paraId="7EE2B712" w14:textId="54D3A0F5" w:rsidR="00FA349D" w:rsidRPr="008007E3" w:rsidRDefault="00AD02AB" w:rsidP="00704476">
      <w:pPr>
        <w:shd w:val="clear" w:color="auto" w:fill="FFFFFF" w:themeFill="background1"/>
        <w:tabs>
          <w:tab w:val="left" w:pos="121"/>
          <w:tab w:val="left" w:pos="851"/>
        </w:tabs>
        <w:ind w:firstLine="567"/>
      </w:pPr>
      <w:r w:rsidRPr="008007E3">
        <w:t>1)</w:t>
      </w:r>
      <w:r w:rsidR="00FA349D" w:rsidRPr="008007E3">
        <w:t xml:space="preserve"> аудиторський звіт (висновок), складений аудитором за результатами:</w:t>
      </w:r>
    </w:p>
    <w:p w14:paraId="5A962BDE" w14:textId="15FB5D31" w:rsidR="00FA349D" w:rsidRPr="008007E3" w:rsidRDefault="00FA349D" w:rsidP="00704476">
      <w:pPr>
        <w:shd w:val="clear" w:color="auto" w:fill="FFFFFF" w:themeFill="background1"/>
        <w:tabs>
          <w:tab w:val="left" w:pos="121"/>
          <w:tab w:val="left" w:pos="851"/>
        </w:tabs>
        <w:ind w:firstLine="567"/>
      </w:pPr>
      <w:r w:rsidRPr="008007E3">
        <w:t>обов’язкового аудиту річної консолідованої фінансової звітності банківської групи</w:t>
      </w:r>
      <w:r w:rsidR="002276DE">
        <w:t>,</w:t>
      </w:r>
      <w:r w:rsidRPr="008007E3">
        <w:t xml:space="preserve"> – містить немодифіковану думку аудитора;</w:t>
      </w:r>
    </w:p>
    <w:p w14:paraId="4E1DC714" w14:textId="3EF7CF0B" w:rsidR="00FA349D" w:rsidRPr="008007E3" w:rsidRDefault="00FA349D" w:rsidP="00704476">
      <w:pPr>
        <w:shd w:val="clear" w:color="auto" w:fill="FFFFFF" w:themeFill="background1"/>
        <w:tabs>
          <w:tab w:val="left" w:pos="121"/>
          <w:tab w:val="left" w:pos="851"/>
        </w:tabs>
        <w:ind w:firstLine="567"/>
      </w:pPr>
      <w:r w:rsidRPr="008007E3">
        <w:t>огляду проміжної консолідованої/</w:t>
      </w:r>
      <w:proofErr w:type="spellStart"/>
      <w:r w:rsidRPr="008007E3">
        <w:t>субконсолідованої</w:t>
      </w:r>
      <w:proofErr w:type="spellEnd"/>
      <w:r w:rsidRPr="008007E3">
        <w:t xml:space="preserve"> фінансової звітності банківської групи/підгрупи банківської групи</w:t>
      </w:r>
      <w:r w:rsidR="002276DE">
        <w:t>,</w:t>
      </w:r>
      <w:r w:rsidRPr="008007E3">
        <w:t xml:space="preserve"> – містить висновок про те, що немає будь-якого факту, що привернув увагу аудитора та дав йому підстави вважати, що проміжна консолідована/</w:t>
      </w:r>
      <w:proofErr w:type="spellStart"/>
      <w:r w:rsidRPr="008007E3">
        <w:t>субконсолідована</w:t>
      </w:r>
      <w:proofErr w:type="spellEnd"/>
      <w:r w:rsidRPr="008007E3">
        <w:t xml:space="preserve"> фінансова звітність банківської групи/підгрупи банківської групи не складена в усіх суттєвих аспектах відповідно до МСФЗ;</w:t>
      </w:r>
    </w:p>
    <w:p w14:paraId="3CAD58C8" w14:textId="77777777" w:rsidR="00AD02AB" w:rsidRPr="008007E3" w:rsidRDefault="00AD02AB" w:rsidP="00704476">
      <w:pPr>
        <w:shd w:val="clear" w:color="auto" w:fill="FFFFFF" w:themeFill="background1"/>
        <w:tabs>
          <w:tab w:val="left" w:pos="121"/>
          <w:tab w:val="left" w:pos="851"/>
        </w:tabs>
        <w:ind w:firstLine="567"/>
      </w:pPr>
    </w:p>
    <w:p w14:paraId="6133D163" w14:textId="1DDEB11E" w:rsidR="00AD02AB" w:rsidRPr="008007E3" w:rsidRDefault="00AD02AB" w:rsidP="00704476">
      <w:pPr>
        <w:shd w:val="clear" w:color="auto" w:fill="FFFFFF" w:themeFill="background1"/>
        <w:tabs>
          <w:tab w:val="left" w:pos="121"/>
          <w:tab w:val="left" w:pos="851"/>
        </w:tabs>
        <w:ind w:firstLine="567"/>
      </w:pPr>
      <w:r w:rsidRPr="008007E3">
        <w:t>2) розрахунок суми прибутку звітного року/прибутку за проміжний звітний період для включення до ОК1</w:t>
      </w:r>
      <w:r w:rsidRPr="008007E3">
        <w:rPr>
          <w:vertAlign w:val="subscript"/>
        </w:rPr>
        <w:t>КІП</w:t>
      </w:r>
      <w:r w:rsidRPr="008007E3">
        <w:t xml:space="preserve"> відповідає вимогам, установленим у главах 4, 5 розділу ІІ цього Положення;</w:t>
      </w:r>
    </w:p>
    <w:p w14:paraId="1BF4AFEA" w14:textId="77777777" w:rsidR="00AD02AB" w:rsidRPr="008007E3" w:rsidRDefault="00AD02AB" w:rsidP="00704476">
      <w:pPr>
        <w:shd w:val="clear" w:color="auto" w:fill="FFFFFF" w:themeFill="background1"/>
        <w:tabs>
          <w:tab w:val="left" w:pos="121"/>
          <w:tab w:val="left" w:pos="851"/>
        </w:tabs>
        <w:ind w:firstLine="567"/>
      </w:pPr>
    </w:p>
    <w:p w14:paraId="150D5B88" w14:textId="4644D462" w:rsidR="00AD02AB" w:rsidRPr="008007E3" w:rsidRDefault="00AD02AB" w:rsidP="00704476">
      <w:pPr>
        <w:shd w:val="clear" w:color="auto" w:fill="FFFFFF" w:themeFill="background1"/>
        <w:tabs>
          <w:tab w:val="left" w:pos="121"/>
          <w:tab w:val="left" w:pos="851"/>
        </w:tabs>
        <w:ind w:firstLine="567"/>
      </w:pPr>
      <w:r w:rsidRPr="008007E3">
        <w:t xml:space="preserve">3) </w:t>
      </w:r>
      <w:r w:rsidR="00280769">
        <w:t>по</w:t>
      </w:r>
      <w:r w:rsidRPr="008007E3">
        <w:t>дані відповідальною особою банківської групи документи підтверджують дані, на підставі яких здійснено розрахунок суми прибутку звітного року/прибутку за проміжний звітний період для включення до ОК1</w:t>
      </w:r>
      <w:r w:rsidRPr="008007E3">
        <w:rPr>
          <w:vertAlign w:val="subscript"/>
        </w:rPr>
        <w:t>КІП</w:t>
      </w:r>
      <w:r w:rsidRPr="008007E3">
        <w:t>.</w:t>
      </w:r>
    </w:p>
    <w:p w14:paraId="3C7D3ABC" w14:textId="77777777" w:rsidR="00AD02AB" w:rsidRPr="008007E3" w:rsidRDefault="00AD02AB" w:rsidP="00704476">
      <w:pPr>
        <w:shd w:val="clear" w:color="auto" w:fill="FFFFFF" w:themeFill="background1"/>
        <w:tabs>
          <w:tab w:val="left" w:pos="121"/>
          <w:tab w:val="left" w:pos="851"/>
        </w:tabs>
        <w:ind w:firstLine="567"/>
      </w:pPr>
    </w:p>
    <w:p w14:paraId="2B431F55" w14:textId="59948187" w:rsidR="00AD02AB" w:rsidRPr="008007E3" w:rsidRDefault="00AD02AB" w:rsidP="00704476">
      <w:pPr>
        <w:ind w:firstLine="567"/>
      </w:pPr>
      <w:r w:rsidRPr="008007E3">
        <w:t>3. Національний банк у разі встановлення недотримання вимог пункту 2 глави 6 розділу IІ цього Положення за результатами розгляду пакета документів</w:t>
      </w:r>
      <w:r w:rsidR="00922595">
        <w:t xml:space="preserve">, </w:t>
      </w:r>
      <w:r w:rsidR="00922595" w:rsidRPr="008007E3">
        <w:t>поданих відповідальною особою банківської групи</w:t>
      </w:r>
      <w:r w:rsidR="00922595">
        <w:t>,</w:t>
      </w:r>
      <w:r w:rsidRPr="008007E3">
        <w:t xml:space="preserve"> повертає поданий пакет документів із обґрунтованими зауваженнями.</w:t>
      </w:r>
    </w:p>
    <w:p w14:paraId="4915BBF9" w14:textId="77777777" w:rsidR="00AD02AB" w:rsidRPr="008007E3" w:rsidRDefault="00AD02AB" w:rsidP="00704476">
      <w:pPr>
        <w:ind w:firstLine="567"/>
      </w:pPr>
      <w:r w:rsidRPr="008007E3">
        <w:t>Національний банк не повертає документів, поданих відповідальною особою банківської групи у формі електронних документів, електронних копій документів, та про наявні зауваження повідомляє відповідальну особу банківської групи письмово.</w:t>
      </w:r>
    </w:p>
    <w:p w14:paraId="61D90CDB" w14:textId="2CFE0F76" w:rsidR="00AD02AB" w:rsidRPr="008007E3" w:rsidRDefault="00AD02AB" w:rsidP="00704476">
      <w:pPr>
        <w:ind w:firstLine="567"/>
      </w:pPr>
      <w:r w:rsidRPr="008007E3">
        <w:t xml:space="preserve">Відповідальна особа банківської групи </w:t>
      </w:r>
      <w:r w:rsidR="00B32517">
        <w:t>в</w:t>
      </w:r>
      <w:r w:rsidRPr="008007E3">
        <w:t xml:space="preserve"> разі повторного подання до Національного банку пакета документів, подання додаткових документів у </w:t>
      </w:r>
      <w:r w:rsidRPr="008007E3">
        <w:lastRenderedPageBreak/>
        <w:t>формі електронного документа, електронних копій документів разом з документами надає інформацію про усунення зауважень Національного банку.</w:t>
      </w:r>
    </w:p>
    <w:p w14:paraId="5ECF1FBF" w14:textId="29A3FC9B" w:rsidR="00AD02AB" w:rsidRPr="008007E3" w:rsidRDefault="00AD02AB" w:rsidP="00704476">
      <w:pPr>
        <w:shd w:val="clear" w:color="auto" w:fill="FFFFFF" w:themeFill="background1"/>
        <w:tabs>
          <w:tab w:val="left" w:pos="121"/>
          <w:tab w:val="left" w:pos="851"/>
        </w:tabs>
        <w:ind w:firstLine="567"/>
      </w:pPr>
      <w:r w:rsidRPr="008007E3">
        <w:t xml:space="preserve">Національний банк розглядає повторно поданий пакет документів, додатково подані документи протягом 20 робочих днів із дня їх отримання. </w:t>
      </w:r>
    </w:p>
    <w:p w14:paraId="4B01DBB2" w14:textId="77777777" w:rsidR="00AD02AB" w:rsidRPr="008007E3" w:rsidRDefault="00AD02AB" w:rsidP="00704476">
      <w:pPr>
        <w:shd w:val="clear" w:color="auto" w:fill="FFFFFF" w:themeFill="background1"/>
        <w:tabs>
          <w:tab w:val="left" w:pos="121"/>
          <w:tab w:val="left" w:pos="851"/>
        </w:tabs>
        <w:ind w:firstLine="567"/>
      </w:pPr>
    </w:p>
    <w:p w14:paraId="2156186D" w14:textId="18C1C5AE" w:rsidR="00AD02AB" w:rsidRPr="008007E3" w:rsidRDefault="00AD02AB" w:rsidP="00704476">
      <w:pPr>
        <w:shd w:val="clear" w:color="auto" w:fill="FFFFFF" w:themeFill="background1"/>
        <w:tabs>
          <w:tab w:val="left" w:pos="121"/>
          <w:tab w:val="left" w:pos="851"/>
        </w:tabs>
        <w:ind w:firstLine="567"/>
      </w:pPr>
      <w:r w:rsidRPr="008007E3">
        <w:rPr>
          <w:lang w:eastAsia="ru-RU"/>
        </w:rPr>
        <w:t xml:space="preserve">4. </w:t>
      </w:r>
      <w:r w:rsidRPr="008007E3">
        <w:t>Включення до ОК1</w:t>
      </w:r>
      <w:r w:rsidRPr="008007E3">
        <w:rPr>
          <w:vertAlign w:val="subscript"/>
        </w:rPr>
        <w:t>КІП</w:t>
      </w:r>
      <w:r w:rsidRPr="008007E3">
        <w:t xml:space="preserve"> прибутку звітного року/прибутку за проміжний звітний період вважається погодженим, якщо до поданих відповідальною особою банківської групи документів немає письмових зауважень Національного банку згідно з пунктом 3 глави 6 розділу II цього Положення. </w:t>
      </w:r>
    </w:p>
    <w:p w14:paraId="7EF3E27D" w14:textId="77777777" w:rsidR="00AD02AB" w:rsidRPr="008007E3" w:rsidRDefault="00AD02AB" w:rsidP="00704476">
      <w:pPr>
        <w:ind w:firstLine="567"/>
      </w:pPr>
    </w:p>
    <w:p w14:paraId="1E6DA9C8" w14:textId="5CC95091" w:rsidR="00FA349D" w:rsidRPr="008007E3" w:rsidRDefault="00FA349D" w:rsidP="00704476">
      <w:pPr>
        <w:ind w:firstLine="567"/>
        <w:jc w:val="center"/>
        <w:rPr>
          <w:rFonts w:eastAsia="Calibri"/>
          <w:lang w:eastAsia="en-US"/>
        </w:rPr>
      </w:pPr>
      <w:r w:rsidRPr="008007E3">
        <w:rPr>
          <w:rFonts w:eastAsia="Calibri"/>
          <w:lang w:eastAsia="en-US"/>
        </w:rPr>
        <w:t xml:space="preserve">Глава 7. Розрахунок частки меншості в ОК1 дочірньої компанії </w:t>
      </w:r>
      <w:r w:rsidR="00F13CBD">
        <w:rPr>
          <w:rFonts w:eastAsia="Calibri"/>
          <w:lang w:eastAsia="en-US"/>
        </w:rPr>
        <w:t>–</w:t>
      </w:r>
      <w:r w:rsidRPr="008007E3">
        <w:rPr>
          <w:rFonts w:eastAsia="Calibri"/>
          <w:lang w:eastAsia="en-US"/>
        </w:rPr>
        <w:t xml:space="preserve"> учасника кредитно-інвестиційної підгрупи, що включається до ОК1</w:t>
      </w:r>
      <w:r w:rsidRPr="008007E3">
        <w:rPr>
          <w:rFonts w:eastAsia="Calibri"/>
          <w:vertAlign w:val="subscript"/>
          <w:lang w:eastAsia="en-US"/>
        </w:rPr>
        <w:t>КІП</w:t>
      </w:r>
    </w:p>
    <w:p w14:paraId="70171A0C" w14:textId="77777777" w:rsidR="00FA349D" w:rsidRPr="008007E3" w:rsidRDefault="00FA349D" w:rsidP="00704476">
      <w:pPr>
        <w:ind w:firstLine="567"/>
        <w:rPr>
          <w:rFonts w:eastAsia="Calibri"/>
          <w:lang w:eastAsia="en-US"/>
        </w:rPr>
      </w:pPr>
    </w:p>
    <w:p w14:paraId="414F27A2" w14:textId="45D60A73" w:rsidR="00FA349D" w:rsidRPr="008007E3" w:rsidRDefault="00FA349D" w:rsidP="00704476">
      <w:pPr>
        <w:ind w:firstLine="567"/>
        <w:rPr>
          <w:rFonts w:eastAsia="Calibri"/>
          <w:lang w:eastAsia="en-US"/>
        </w:rPr>
      </w:pPr>
      <w:r w:rsidRPr="008007E3">
        <w:rPr>
          <w:rFonts w:eastAsia="Calibri"/>
          <w:lang w:eastAsia="en-US"/>
        </w:rPr>
        <w:t xml:space="preserve">1. Відповідальна особа банківської групи визначає розмір частки меншості в ОК1 дочірньої компанії </w:t>
      </w:r>
      <w:r w:rsidR="0022213A">
        <w:rPr>
          <w:rFonts w:eastAsia="Calibri"/>
          <w:lang w:eastAsia="en-US"/>
        </w:rPr>
        <w:t>–</w:t>
      </w:r>
      <w:r w:rsidRPr="008007E3">
        <w:rPr>
          <w:rFonts w:eastAsia="Calibri"/>
          <w:lang w:eastAsia="en-US"/>
        </w:rPr>
        <w:t xml:space="preserve"> учасника кредитно-інвестиційної підгрупи, що включається до ОК1</w:t>
      </w:r>
      <w:r w:rsidRPr="008007E3">
        <w:rPr>
          <w:rFonts w:eastAsia="Calibri"/>
          <w:vertAlign w:val="subscript"/>
          <w:lang w:eastAsia="en-US"/>
        </w:rPr>
        <w:t>КІП</w:t>
      </w:r>
      <w:r w:rsidRPr="008007E3">
        <w:rPr>
          <w:rFonts w:eastAsia="Calibri"/>
          <w:lang w:eastAsia="en-US"/>
        </w:rPr>
        <w:t>,</w:t>
      </w:r>
      <w:r w:rsidRPr="00B806D2">
        <w:rPr>
          <w:rFonts w:eastAsia="Calibri"/>
          <w:lang w:eastAsia="en-US"/>
        </w:rPr>
        <w:t xml:space="preserve"> </w:t>
      </w:r>
      <w:r w:rsidRPr="008007E3">
        <w:rPr>
          <w:rFonts w:eastAsia="Calibri"/>
          <w:lang w:eastAsia="en-US"/>
        </w:rPr>
        <w:t>за</w:t>
      </w:r>
      <w:r w:rsidR="00F13CBD">
        <w:rPr>
          <w:rFonts w:eastAsia="Calibri"/>
          <w:lang w:eastAsia="en-US"/>
        </w:rPr>
        <w:t xml:space="preserve"> такою</w:t>
      </w:r>
      <w:r w:rsidRPr="008007E3">
        <w:rPr>
          <w:rFonts w:eastAsia="Calibri"/>
          <w:lang w:eastAsia="en-US"/>
        </w:rPr>
        <w:t xml:space="preserve"> формулою:</w:t>
      </w:r>
    </w:p>
    <w:p w14:paraId="14B053A3" w14:textId="77777777" w:rsidR="00FA349D" w:rsidRPr="008007E3" w:rsidRDefault="00FA349D" w:rsidP="00704476">
      <w:pPr>
        <w:ind w:firstLine="567"/>
        <w:rPr>
          <w:rFonts w:eastAsia="Calibri"/>
          <w:lang w:eastAsia="en-US"/>
        </w:rPr>
      </w:pPr>
    </w:p>
    <w:p w14:paraId="4B854944" w14:textId="29387CF1" w:rsidR="00FA349D" w:rsidRPr="008007E3" w:rsidRDefault="00FA349D" w:rsidP="00704476">
      <w:pPr>
        <w:jc w:val="center"/>
        <w:rPr>
          <w:rFonts w:eastAsia="Calibri"/>
          <w:lang w:eastAsia="en-US"/>
        </w:rPr>
      </w:pPr>
      <w:r w:rsidRPr="008007E3">
        <w:rPr>
          <w:rFonts w:eastAsia="Calibri"/>
          <w:lang w:eastAsia="en-US"/>
        </w:rPr>
        <w:t>ЧМвОК1</w:t>
      </w:r>
      <w:r w:rsidRPr="008007E3">
        <w:rPr>
          <w:rFonts w:eastAsia="Calibri"/>
          <w:vertAlign w:val="subscript"/>
          <w:lang w:eastAsia="en-US"/>
        </w:rPr>
        <w:t>КІП</w:t>
      </w:r>
      <w:r w:rsidRPr="00B806D2">
        <w:rPr>
          <w:rFonts w:eastAsia="Calibri"/>
          <w:lang w:eastAsia="en-US"/>
        </w:rPr>
        <w:t xml:space="preserve"> </w:t>
      </w:r>
      <w:r w:rsidRPr="008007E3">
        <w:rPr>
          <w:rFonts w:eastAsia="Calibri"/>
          <w:lang w:eastAsia="en-US"/>
        </w:rPr>
        <w:t>= ЧМвОК1д – [(ОК1</w:t>
      </w:r>
      <w:r w:rsidRPr="008007E3">
        <w:rPr>
          <w:rFonts w:eastAsia="Calibri"/>
          <w:vertAlign w:val="subscript"/>
          <w:lang w:eastAsia="en-US"/>
        </w:rPr>
        <w:t>Д</w:t>
      </w:r>
      <w:r w:rsidRPr="00B806D2">
        <w:rPr>
          <w:rFonts w:eastAsia="Calibri"/>
          <w:lang w:eastAsia="en-US"/>
        </w:rPr>
        <w:t xml:space="preserve"> </w:t>
      </w:r>
      <w:r w:rsidRPr="008007E3">
        <w:rPr>
          <w:rFonts w:eastAsia="Calibri"/>
          <w:lang w:eastAsia="en-US"/>
        </w:rPr>
        <w:t xml:space="preserve">– </w:t>
      </w:r>
      <w:proofErr w:type="spellStart"/>
      <w:r w:rsidRPr="008007E3">
        <w:rPr>
          <w:rFonts w:eastAsia="Calibri"/>
          <w:lang w:eastAsia="en-US"/>
        </w:rPr>
        <w:t>min</w:t>
      </w:r>
      <w:proofErr w:type="spellEnd"/>
      <w:r w:rsidRPr="008007E3">
        <w:rPr>
          <w:rFonts w:eastAsia="Calibri"/>
          <w:lang w:eastAsia="en-US"/>
        </w:rPr>
        <w:t>{НОК1</w:t>
      </w:r>
      <w:r w:rsidRPr="008007E3">
        <w:rPr>
          <w:rFonts w:eastAsia="Calibri"/>
          <w:vertAlign w:val="subscript"/>
          <w:lang w:eastAsia="en-US"/>
        </w:rPr>
        <w:t>Д</w:t>
      </w:r>
      <w:r w:rsidRPr="008007E3">
        <w:rPr>
          <w:rFonts w:eastAsia="Calibri"/>
          <w:lang w:eastAsia="en-US"/>
        </w:rPr>
        <w:t>; НОК1</w:t>
      </w:r>
      <w:r w:rsidRPr="008007E3">
        <w:rPr>
          <w:rFonts w:eastAsia="Calibri"/>
          <w:vertAlign w:val="subscript"/>
          <w:lang w:eastAsia="en-US"/>
        </w:rPr>
        <w:t>Д</w:t>
      </w:r>
      <w:r w:rsidRPr="008007E3">
        <w:rPr>
          <w:rFonts w:eastAsia="Calibri"/>
          <w:vertAlign w:val="superscript"/>
          <w:lang w:eastAsia="en-US"/>
        </w:rPr>
        <w:t>к</w:t>
      </w:r>
      <w:r w:rsidRPr="008007E3">
        <w:rPr>
          <w:rFonts w:eastAsia="Calibri"/>
          <w:lang w:eastAsia="en-US"/>
        </w:rPr>
        <w:t>})</w:t>
      </w:r>
      <w:r w:rsidR="00EB206E">
        <w:rPr>
          <w:rFonts w:eastAsia="Calibri"/>
          <w:lang w:eastAsia="en-US"/>
        </w:rPr>
        <w:t xml:space="preserve"> </w:t>
      </w:r>
      <w:r w:rsidRPr="008007E3">
        <w:rPr>
          <w:rFonts w:eastAsia="Calibri"/>
          <w:lang w:eastAsia="en-US"/>
        </w:rPr>
        <w:t>х В</w:t>
      </w:r>
      <w:r w:rsidRPr="008007E3">
        <w:rPr>
          <w:rFonts w:eastAsia="Calibri"/>
          <w:vertAlign w:val="subscript"/>
          <w:lang w:eastAsia="en-US"/>
        </w:rPr>
        <w:t>ЧМвОК1</w:t>
      </w:r>
      <w:r w:rsidRPr="008007E3">
        <w:rPr>
          <w:rFonts w:eastAsia="Calibri"/>
          <w:lang w:eastAsia="en-US"/>
        </w:rPr>
        <w:t>],</w:t>
      </w:r>
    </w:p>
    <w:p w14:paraId="53588042" w14:textId="77777777" w:rsidR="00FA349D" w:rsidRPr="008007E3" w:rsidRDefault="00FA349D" w:rsidP="00704476">
      <w:pPr>
        <w:ind w:firstLine="567"/>
        <w:rPr>
          <w:rFonts w:eastAsia="Calibri"/>
          <w:lang w:eastAsia="en-US"/>
        </w:rPr>
      </w:pPr>
    </w:p>
    <w:p w14:paraId="053D338E" w14:textId="0331C2B8" w:rsidR="00FA349D" w:rsidRPr="008007E3" w:rsidRDefault="00FA349D" w:rsidP="007E1CAC">
      <w:pPr>
        <w:rPr>
          <w:rFonts w:eastAsia="Calibri"/>
          <w:lang w:eastAsia="en-US"/>
        </w:rPr>
      </w:pPr>
      <w:r w:rsidRPr="008007E3">
        <w:rPr>
          <w:rFonts w:eastAsia="Calibri"/>
          <w:lang w:eastAsia="en-US"/>
        </w:rPr>
        <w:t xml:space="preserve">де </w:t>
      </w:r>
      <w:r w:rsidR="00EC10D0">
        <w:rPr>
          <w:rFonts w:eastAsia="Calibri"/>
          <w:lang w:eastAsia="en-US"/>
        </w:rPr>
        <w:tab/>
      </w:r>
      <w:r w:rsidRPr="008007E3">
        <w:rPr>
          <w:rFonts w:eastAsia="Calibri"/>
          <w:lang w:eastAsia="en-US"/>
        </w:rPr>
        <w:t>ЧМвОК1</w:t>
      </w:r>
      <w:r w:rsidRPr="008007E3">
        <w:rPr>
          <w:rFonts w:eastAsia="Calibri"/>
          <w:vertAlign w:val="subscript"/>
          <w:lang w:eastAsia="en-US"/>
        </w:rPr>
        <w:t>КІП</w:t>
      </w:r>
      <w:r w:rsidRPr="008007E3">
        <w:rPr>
          <w:rFonts w:eastAsia="Calibri"/>
          <w:lang w:eastAsia="en-US"/>
        </w:rPr>
        <w:t xml:space="preserve"> – розмір частки меншості в ОК1 дочірньої компанії </w:t>
      </w:r>
      <w:r w:rsidR="00EC10D0">
        <w:rPr>
          <w:rFonts w:eastAsia="Calibri"/>
          <w:lang w:eastAsia="en-US"/>
        </w:rPr>
        <w:t>–</w:t>
      </w:r>
      <w:r w:rsidRPr="008007E3">
        <w:rPr>
          <w:rFonts w:eastAsia="Calibri"/>
          <w:lang w:eastAsia="en-US"/>
        </w:rPr>
        <w:t xml:space="preserve"> учасника кредитно-інвестиційної підгрупи, що включається до ОК1</w:t>
      </w:r>
      <w:r w:rsidRPr="008007E3">
        <w:rPr>
          <w:rFonts w:eastAsia="Calibri"/>
          <w:vertAlign w:val="subscript"/>
          <w:lang w:eastAsia="en-US"/>
        </w:rPr>
        <w:t>КІП</w:t>
      </w:r>
      <w:r w:rsidRPr="008007E3">
        <w:rPr>
          <w:rFonts w:eastAsia="Calibri"/>
          <w:lang w:eastAsia="en-US"/>
        </w:rPr>
        <w:t>;</w:t>
      </w:r>
    </w:p>
    <w:p w14:paraId="59CDB7F3" w14:textId="77777777" w:rsidR="00FA349D" w:rsidRPr="008007E3" w:rsidRDefault="00FA349D" w:rsidP="00704476">
      <w:pPr>
        <w:ind w:firstLine="567"/>
        <w:rPr>
          <w:rFonts w:eastAsia="Calibri"/>
          <w:lang w:eastAsia="en-US"/>
        </w:rPr>
      </w:pPr>
      <w:r w:rsidRPr="008007E3">
        <w:rPr>
          <w:rFonts w:eastAsia="Calibri"/>
          <w:lang w:eastAsia="en-US"/>
        </w:rPr>
        <w:t>ЧМвОК1д – розмір частки меншості в ОК1 дочірньої компанії – учасника кредитно-інвестиційної підгрупи, визначений відповідно до пункту 2 глави 7 розділу II цього Положення;</w:t>
      </w:r>
    </w:p>
    <w:p w14:paraId="39BF9BC6" w14:textId="10F3A116" w:rsidR="00FA349D" w:rsidRPr="008007E3" w:rsidRDefault="00FA349D" w:rsidP="00704476">
      <w:pPr>
        <w:ind w:firstLine="567"/>
        <w:rPr>
          <w:rFonts w:eastAsia="Calibri"/>
          <w:lang w:eastAsia="en-US"/>
        </w:rPr>
      </w:pPr>
      <w:r w:rsidRPr="008007E3">
        <w:rPr>
          <w:rFonts w:eastAsia="Calibri"/>
          <w:lang w:eastAsia="en-US"/>
        </w:rPr>
        <w:t>ОК1</w:t>
      </w:r>
      <w:r w:rsidRPr="008007E3">
        <w:rPr>
          <w:rFonts w:eastAsia="Calibri"/>
          <w:vertAlign w:val="subscript"/>
          <w:lang w:eastAsia="en-US"/>
        </w:rPr>
        <w:t>Д</w:t>
      </w:r>
      <w:r w:rsidRPr="008007E3">
        <w:rPr>
          <w:rFonts w:eastAsia="Calibri"/>
          <w:lang w:eastAsia="en-US"/>
        </w:rPr>
        <w:t xml:space="preserve"> – фактичний розмір ОК1 дочірньої компанії </w:t>
      </w:r>
      <w:r w:rsidR="003468EC">
        <w:rPr>
          <w:rFonts w:eastAsia="Calibri"/>
          <w:lang w:eastAsia="en-US"/>
        </w:rPr>
        <w:t>–</w:t>
      </w:r>
      <w:r w:rsidRPr="008007E3">
        <w:rPr>
          <w:rFonts w:eastAsia="Calibri"/>
          <w:lang w:eastAsia="en-US"/>
        </w:rPr>
        <w:t xml:space="preserve"> учасника кредитно-інвестиційної підгрупи, який визначається як сума складових капіталу дочірньої компанії, що відповідають вимогам глави 3 розділу II цього Положення, зменшена на суму </w:t>
      </w:r>
      <w:proofErr w:type="spellStart"/>
      <w:r w:rsidRPr="008007E3">
        <w:rPr>
          <w:rFonts w:eastAsia="Calibri"/>
          <w:lang w:eastAsia="en-US"/>
        </w:rPr>
        <w:t>вирахувань</w:t>
      </w:r>
      <w:proofErr w:type="spellEnd"/>
      <w:r w:rsidRPr="008007E3">
        <w:rPr>
          <w:rFonts w:eastAsia="Calibri"/>
          <w:lang w:eastAsia="en-US"/>
        </w:rPr>
        <w:t>, що відповідають вимогам глави 3 розділу II цього Положення;</w:t>
      </w:r>
    </w:p>
    <w:p w14:paraId="3C820C7F" w14:textId="5F6B58EF" w:rsidR="00FA349D" w:rsidRPr="008007E3" w:rsidRDefault="00FA349D" w:rsidP="00704476">
      <w:pPr>
        <w:ind w:firstLine="567"/>
        <w:rPr>
          <w:rFonts w:eastAsia="Calibri"/>
          <w:lang w:eastAsia="en-US"/>
        </w:rPr>
      </w:pPr>
      <w:r w:rsidRPr="008007E3">
        <w:rPr>
          <w:rFonts w:eastAsia="Calibri"/>
          <w:lang w:eastAsia="en-US"/>
        </w:rPr>
        <w:t>НОК1</w:t>
      </w:r>
      <w:r w:rsidRPr="008007E3">
        <w:rPr>
          <w:rFonts w:eastAsia="Calibri"/>
          <w:vertAlign w:val="subscript"/>
          <w:lang w:eastAsia="en-US"/>
        </w:rPr>
        <w:t>Д</w:t>
      </w:r>
      <w:r w:rsidRPr="008007E3">
        <w:rPr>
          <w:rFonts w:eastAsia="Calibri"/>
          <w:lang w:eastAsia="en-US"/>
        </w:rPr>
        <w:t xml:space="preserve"> – необхідний розмір ОК1 дочірньої компанії </w:t>
      </w:r>
      <w:r w:rsidR="004D3DD9">
        <w:rPr>
          <w:rFonts w:eastAsia="Calibri"/>
          <w:lang w:eastAsia="en-US"/>
        </w:rPr>
        <w:t>–</w:t>
      </w:r>
      <w:r w:rsidRPr="008007E3">
        <w:rPr>
          <w:rFonts w:eastAsia="Calibri"/>
          <w:lang w:eastAsia="en-US"/>
        </w:rPr>
        <w:t xml:space="preserve"> учасника кредитно-інвестиційної підгрупи для виконання вимог </w:t>
      </w:r>
      <w:r w:rsidR="004D3DD9">
        <w:rPr>
          <w:rFonts w:eastAsia="Calibri"/>
          <w:lang w:eastAsia="en-US"/>
        </w:rPr>
        <w:t>що</w:t>
      </w:r>
      <w:r w:rsidRPr="008007E3">
        <w:rPr>
          <w:rFonts w:eastAsia="Calibri"/>
          <w:lang w:eastAsia="en-US"/>
        </w:rPr>
        <w:t>до достатності ОК1 цією дочірньою компанією, визначених у пункті 3 глави 7 розділу II цього Положення;</w:t>
      </w:r>
    </w:p>
    <w:p w14:paraId="28A90291" w14:textId="2C44F473" w:rsidR="00FA349D" w:rsidRPr="008007E3" w:rsidRDefault="00FA349D" w:rsidP="00704476">
      <w:pPr>
        <w:ind w:firstLine="567"/>
        <w:rPr>
          <w:rFonts w:eastAsia="Calibri"/>
          <w:lang w:eastAsia="en-US"/>
        </w:rPr>
      </w:pPr>
      <w:r w:rsidRPr="008007E3">
        <w:rPr>
          <w:rFonts w:eastAsia="Calibri"/>
          <w:lang w:eastAsia="en-US"/>
        </w:rPr>
        <w:t>НОК1</w:t>
      </w:r>
      <w:r w:rsidRPr="00B806D2">
        <w:rPr>
          <w:rFonts w:eastAsia="Calibri"/>
          <w:color w:val="000000" w:themeColor="text1"/>
          <w:vertAlign w:val="subscript"/>
          <w:lang w:eastAsia="en-US"/>
        </w:rPr>
        <w:t>Д</w:t>
      </w:r>
      <w:r w:rsidRPr="00B806D2">
        <w:rPr>
          <w:rFonts w:eastAsia="Calibri"/>
          <w:color w:val="000000" w:themeColor="text1"/>
          <w:vertAlign w:val="superscript"/>
          <w:lang w:eastAsia="en-US"/>
        </w:rPr>
        <w:t>к</w:t>
      </w:r>
      <w:r w:rsidRPr="00B806D2">
        <w:rPr>
          <w:rFonts w:eastAsia="Calibri"/>
          <w:lang w:eastAsia="en-US"/>
        </w:rPr>
        <w:t xml:space="preserve"> </w:t>
      </w:r>
      <w:r w:rsidRPr="008007E3">
        <w:rPr>
          <w:rFonts w:eastAsia="Calibri"/>
          <w:lang w:eastAsia="en-US"/>
        </w:rPr>
        <w:t xml:space="preserve">– необхідний розмір ОК1 дочірньої компанії </w:t>
      </w:r>
      <w:r w:rsidR="00EC10D0">
        <w:rPr>
          <w:rFonts w:eastAsia="Calibri"/>
          <w:lang w:eastAsia="en-US"/>
        </w:rPr>
        <w:t>–</w:t>
      </w:r>
      <w:r w:rsidRPr="008007E3">
        <w:rPr>
          <w:rFonts w:eastAsia="Calibri"/>
          <w:lang w:eastAsia="en-US"/>
        </w:rPr>
        <w:t xml:space="preserve"> учасника кредитно-інвестиційної підгрупи для виконання вимог щодо достатності ОК1 цією дочірньою компанією, визначених у пункті 3 глави 7 розділу II цього Положення, розрахований </w:t>
      </w:r>
      <w:r w:rsidR="00C35528">
        <w:rPr>
          <w:rFonts w:eastAsia="Calibri"/>
          <w:lang w:eastAsia="en-US"/>
        </w:rPr>
        <w:t>на основі</w:t>
      </w:r>
      <w:r w:rsidR="00522207">
        <w:rPr>
          <w:rFonts w:eastAsia="Calibri"/>
          <w:lang w:eastAsia="en-US"/>
        </w:rPr>
        <w:t xml:space="preserve"> </w:t>
      </w:r>
      <w:r w:rsidRPr="008007E3">
        <w:rPr>
          <w:rFonts w:eastAsia="Calibri"/>
          <w:lang w:eastAsia="en-US"/>
        </w:rPr>
        <w:t xml:space="preserve">сукупної експозиції під ризиком кредитно-інвестиційної підгрупи в частині, що стосується такої компанії. Розрахунок здійснюється з урахуванням процедури виключення </w:t>
      </w:r>
      <w:proofErr w:type="spellStart"/>
      <w:r w:rsidRPr="008007E3">
        <w:rPr>
          <w:rFonts w:eastAsia="Calibri"/>
          <w:lang w:eastAsia="en-US"/>
        </w:rPr>
        <w:t>внутрішньогрупових</w:t>
      </w:r>
      <w:proofErr w:type="spellEnd"/>
      <w:r w:rsidRPr="008007E3">
        <w:rPr>
          <w:rFonts w:eastAsia="Calibri"/>
          <w:lang w:eastAsia="en-US"/>
        </w:rPr>
        <w:t xml:space="preserve"> операцій між учасниками кредитно-інвестиційної підгрупи;</w:t>
      </w:r>
    </w:p>
    <w:p w14:paraId="450C66B8" w14:textId="26ED0D04" w:rsidR="00FA349D" w:rsidRPr="008007E3" w:rsidRDefault="00FA349D" w:rsidP="00704476">
      <w:pPr>
        <w:ind w:firstLine="567"/>
        <w:rPr>
          <w:rFonts w:eastAsia="Calibri"/>
          <w:lang w:eastAsia="en-US"/>
        </w:rPr>
      </w:pPr>
      <w:r w:rsidRPr="008007E3">
        <w:rPr>
          <w:rFonts w:eastAsia="Calibri"/>
          <w:lang w:eastAsia="en-US"/>
        </w:rPr>
        <w:t>В</w:t>
      </w:r>
      <w:r w:rsidRPr="008007E3">
        <w:rPr>
          <w:rFonts w:eastAsia="Calibri"/>
          <w:vertAlign w:val="subscript"/>
          <w:lang w:eastAsia="en-US"/>
        </w:rPr>
        <w:t>ЧМ</w:t>
      </w:r>
      <w:r w:rsidRPr="00B806D2">
        <w:rPr>
          <w:rFonts w:eastAsia="Calibri"/>
          <w:lang w:eastAsia="en-US"/>
        </w:rPr>
        <w:t xml:space="preserve"> </w:t>
      </w:r>
      <w:r w:rsidRPr="008007E3">
        <w:rPr>
          <w:rFonts w:eastAsia="Calibri"/>
          <w:lang w:eastAsia="en-US"/>
        </w:rPr>
        <w:t>– відсоток частки меншості в ОК1 дочірньої компанії – учасника кредитно-інвестиційної підгрупи, розрахований як відношення розміру частки меншості в ОК1 цієї дочірньої компанії (ЧМвОК1д), визначен</w:t>
      </w:r>
      <w:r w:rsidR="00646306" w:rsidRPr="008007E3">
        <w:rPr>
          <w:rFonts w:eastAsia="Calibri"/>
          <w:lang w:eastAsia="en-US"/>
        </w:rPr>
        <w:t>ої</w:t>
      </w:r>
      <w:r w:rsidRPr="008007E3">
        <w:rPr>
          <w:rFonts w:eastAsia="Calibri"/>
          <w:lang w:eastAsia="en-US"/>
        </w:rPr>
        <w:t xml:space="preserve"> відповідно до пункту 2 глави 7 розділу II цього Положення, до загальної суми складових ОК1 </w:t>
      </w:r>
      <w:r w:rsidRPr="008007E3">
        <w:rPr>
          <w:rFonts w:eastAsia="Calibri"/>
          <w:lang w:eastAsia="en-US"/>
        </w:rPr>
        <w:lastRenderedPageBreak/>
        <w:t>цієї дочірньої компанії, що відповідають вимогам глави 3 розділу II цього Положення.</w:t>
      </w:r>
    </w:p>
    <w:p w14:paraId="0A0CC7B0" w14:textId="77777777" w:rsidR="00AD02AB" w:rsidRPr="008007E3" w:rsidRDefault="00AD02AB" w:rsidP="00704476">
      <w:pPr>
        <w:ind w:firstLine="567"/>
        <w:rPr>
          <w:rFonts w:eastAsia="Calibri"/>
        </w:rPr>
      </w:pPr>
    </w:p>
    <w:p w14:paraId="2FB48CCB" w14:textId="3F66037D" w:rsidR="00FA349D" w:rsidRPr="008007E3" w:rsidRDefault="00FA349D" w:rsidP="00704476">
      <w:pPr>
        <w:ind w:firstLine="567"/>
        <w:rPr>
          <w:rFonts w:eastAsia="Calibri"/>
        </w:rPr>
      </w:pPr>
      <w:r w:rsidRPr="008007E3">
        <w:rPr>
          <w:rFonts w:eastAsia="Calibri"/>
        </w:rPr>
        <w:t>2. Відповідальна особа банківської групи визначає розмір частки меншості в ОК1 дочірньої компанії – учасника кредитно-інвестиційної підгрупи (ЧМвОК1д) як суму складових ОК1 цієї компанії за одночасного дотримання таких умов:</w:t>
      </w:r>
    </w:p>
    <w:p w14:paraId="3C8A0CFB" w14:textId="77777777" w:rsidR="00FA349D" w:rsidRPr="008007E3" w:rsidRDefault="00FA349D" w:rsidP="00704476">
      <w:pPr>
        <w:ind w:firstLine="567"/>
        <w:rPr>
          <w:rFonts w:eastAsia="Calibri"/>
        </w:rPr>
      </w:pPr>
    </w:p>
    <w:p w14:paraId="1720CCBB" w14:textId="77777777" w:rsidR="00FA349D" w:rsidRPr="008007E3" w:rsidRDefault="00FA349D" w:rsidP="00704476">
      <w:pPr>
        <w:ind w:firstLine="567"/>
        <w:rPr>
          <w:rFonts w:eastAsia="Calibri"/>
        </w:rPr>
      </w:pPr>
      <w:r w:rsidRPr="008007E3">
        <w:rPr>
          <w:rFonts w:eastAsia="Calibri"/>
        </w:rPr>
        <w:t>1) до дочірньої компанії встановлені вимоги щодо достатності ОК1;</w:t>
      </w:r>
    </w:p>
    <w:p w14:paraId="605AE9B7" w14:textId="77777777" w:rsidR="00FA349D" w:rsidRPr="008007E3" w:rsidRDefault="00FA349D" w:rsidP="00704476">
      <w:pPr>
        <w:ind w:firstLine="567"/>
        <w:rPr>
          <w:rFonts w:eastAsia="Calibri"/>
        </w:rPr>
      </w:pPr>
    </w:p>
    <w:p w14:paraId="1AC4EBC6" w14:textId="77777777" w:rsidR="00FA349D" w:rsidRPr="008007E3" w:rsidRDefault="00FA349D" w:rsidP="00704476">
      <w:pPr>
        <w:ind w:firstLine="567"/>
        <w:rPr>
          <w:rFonts w:eastAsia="Calibri"/>
        </w:rPr>
      </w:pPr>
      <w:r w:rsidRPr="008007E3">
        <w:rPr>
          <w:rFonts w:eastAsia="Calibri"/>
        </w:rPr>
        <w:t>2) показники звітності дочірньої компанії включаються до консолідованої звітності банківської групи з використанням методу повної консолідації відповідно до цього Положення;</w:t>
      </w:r>
    </w:p>
    <w:p w14:paraId="0F95B9B0" w14:textId="77777777" w:rsidR="00FA349D" w:rsidRPr="008007E3" w:rsidRDefault="00FA349D" w:rsidP="00704476">
      <w:pPr>
        <w:ind w:firstLine="567"/>
        <w:rPr>
          <w:rFonts w:eastAsia="Calibri"/>
        </w:rPr>
      </w:pPr>
    </w:p>
    <w:p w14:paraId="7E015599" w14:textId="58DA5965" w:rsidR="00FA349D" w:rsidRPr="008007E3" w:rsidRDefault="00FA349D" w:rsidP="00704476">
      <w:pPr>
        <w:ind w:firstLine="567"/>
        <w:rPr>
          <w:rFonts w:eastAsia="Calibri"/>
        </w:rPr>
      </w:pPr>
      <w:r w:rsidRPr="008007E3">
        <w:rPr>
          <w:rFonts w:eastAsia="Calibri"/>
        </w:rPr>
        <w:t>3) складові ОК1, зазначені в абзаці першому пункту 2 глави 7 розділу II цього Положення, належать інвесторам</w:t>
      </w:r>
      <w:r w:rsidR="00E141FE">
        <w:rPr>
          <w:rFonts w:eastAsia="Calibri"/>
        </w:rPr>
        <w:t xml:space="preserve"> – </w:t>
      </w:r>
      <w:r w:rsidRPr="008007E3">
        <w:rPr>
          <w:rFonts w:eastAsia="Calibri"/>
        </w:rPr>
        <w:t>третім особам;</w:t>
      </w:r>
    </w:p>
    <w:p w14:paraId="143DC56C" w14:textId="77777777" w:rsidR="00FA349D" w:rsidRPr="008007E3" w:rsidRDefault="00FA349D" w:rsidP="00704476">
      <w:pPr>
        <w:ind w:firstLine="567"/>
        <w:rPr>
          <w:rFonts w:eastAsia="Calibri"/>
        </w:rPr>
      </w:pPr>
    </w:p>
    <w:p w14:paraId="20CB7702" w14:textId="4BA46011" w:rsidR="00FA349D" w:rsidRPr="008007E3" w:rsidRDefault="00FA349D" w:rsidP="00704476">
      <w:pPr>
        <w:ind w:firstLine="567"/>
        <w:rPr>
          <w:rFonts w:eastAsia="Calibri"/>
        </w:rPr>
      </w:pPr>
      <w:r w:rsidRPr="008007E3">
        <w:rPr>
          <w:rFonts w:eastAsia="Calibri"/>
        </w:rPr>
        <w:t xml:space="preserve">4) складові ОК1, зазначені в абзаці першому пункту 2 глави 7 розділу II цього Положення, не профінансовані прямо чи опосередковано </w:t>
      </w:r>
      <w:r w:rsidRPr="00C07D01">
        <w:rPr>
          <w:rFonts w:eastAsia="Calibri"/>
        </w:rPr>
        <w:t>учасниками банківської групи або їх</w:t>
      </w:r>
      <w:r w:rsidR="003E3A07" w:rsidRPr="00C07D01">
        <w:rPr>
          <w:rFonts w:eastAsia="Calibri"/>
        </w:rPr>
        <w:t>німи</w:t>
      </w:r>
      <w:r w:rsidRPr="00C07D01">
        <w:rPr>
          <w:rFonts w:eastAsia="Calibri"/>
        </w:rPr>
        <w:t xml:space="preserve"> дочірніми компаніями</w:t>
      </w:r>
      <w:r w:rsidRPr="008007E3">
        <w:rPr>
          <w:rFonts w:eastAsia="Calibri"/>
        </w:rPr>
        <w:t>. Складові ОК1 вважаються такими, що прямо чи опосередковано профінансовані учасниками банківської групи або їх</w:t>
      </w:r>
      <w:r w:rsidR="003E3A07">
        <w:rPr>
          <w:rFonts w:eastAsia="Calibri"/>
        </w:rPr>
        <w:t>німи</w:t>
      </w:r>
      <w:r w:rsidRPr="008007E3">
        <w:rPr>
          <w:rFonts w:eastAsia="Calibri"/>
        </w:rPr>
        <w:t xml:space="preserve"> дочірніми компаніями, якщо кошти вважаються прямо чи опосередковано залученими згідно з пунктами 84</w:t>
      </w:r>
      <w:r w:rsidR="003A5BEC">
        <w:rPr>
          <w:rFonts w:eastAsia="Calibri"/>
        </w:rPr>
        <w:t>–</w:t>
      </w:r>
      <w:r w:rsidRPr="008007E3">
        <w:rPr>
          <w:rFonts w:eastAsia="Calibri"/>
        </w:rPr>
        <w:t xml:space="preserve">87 глави 14 розділу ІV Положення № 196.  </w:t>
      </w:r>
    </w:p>
    <w:p w14:paraId="3C219D68" w14:textId="77777777" w:rsidR="00FA349D" w:rsidRPr="008007E3" w:rsidRDefault="00FA349D" w:rsidP="00704476">
      <w:pPr>
        <w:ind w:firstLine="567"/>
        <w:rPr>
          <w:rFonts w:eastAsia="Calibri"/>
        </w:rPr>
      </w:pPr>
    </w:p>
    <w:p w14:paraId="0A86A674" w14:textId="17DE3772" w:rsidR="00FA349D" w:rsidRPr="008007E3" w:rsidRDefault="00FA349D" w:rsidP="00704476">
      <w:pPr>
        <w:ind w:firstLine="567"/>
        <w:rPr>
          <w:rFonts w:eastAsia="Calibri"/>
        </w:rPr>
      </w:pPr>
      <w:r w:rsidRPr="008007E3">
        <w:rPr>
          <w:rFonts w:eastAsia="Calibri"/>
        </w:rPr>
        <w:t xml:space="preserve">3. Відповідальна особа банківської групи під час розрахунку частки меншості в ОК1 дочірньої компанії </w:t>
      </w:r>
      <w:r w:rsidR="00F03097">
        <w:rPr>
          <w:rFonts w:eastAsia="Calibri"/>
        </w:rPr>
        <w:t>–</w:t>
      </w:r>
      <w:r w:rsidRPr="008007E3">
        <w:rPr>
          <w:rFonts w:eastAsia="Calibri"/>
        </w:rPr>
        <w:t xml:space="preserve"> учасника кредитно-інвестиційної підгрупи, що включається до ОК1</w:t>
      </w:r>
      <w:r w:rsidRPr="008007E3">
        <w:rPr>
          <w:rFonts w:eastAsia="Calibri"/>
          <w:vertAlign w:val="subscript"/>
        </w:rPr>
        <w:t>КІП</w:t>
      </w:r>
      <w:r w:rsidRPr="008007E3">
        <w:rPr>
          <w:rFonts w:eastAsia="Calibri"/>
        </w:rPr>
        <w:t xml:space="preserve"> (ЧМвОК1</w:t>
      </w:r>
      <w:r w:rsidRPr="008007E3">
        <w:rPr>
          <w:rFonts w:eastAsia="Calibri"/>
          <w:vertAlign w:val="subscript"/>
        </w:rPr>
        <w:t>КІП</w:t>
      </w:r>
      <w:r w:rsidRPr="008007E3">
        <w:rPr>
          <w:rFonts w:eastAsia="Calibri"/>
        </w:rPr>
        <w:t>)</w:t>
      </w:r>
      <w:r w:rsidR="00A60035">
        <w:rPr>
          <w:rFonts w:eastAsia="Calibri"/>
        </w:rPr>
        <w:t>,</w:t>
      </w:r>
      <w:r w:rsidRPr="008007E3">
        <w:rPr>
          <w:rFonts w:eastAsia="Calibri"/>
        </w:rPr>
        <w:t xml:space="preserve"> визначає необхідний розмір ОК1 цієї дочірньої компанії, який є необхідним для дотримання:</w:t>
      </w:r>
    </w:p>
    <w:p w14:paraId="6AAC78E5" w14:textId="77777777" w:rsidR="00FA349D" w:rsidRPr="008007E3" w:rsidRDefault="00FA349D" w:rsidP="00704476">
      <w:pPr>
        <w:ind w:firstLine="567"/>
        <w:rPr>
          <w:rFonts w:eastAsia="Calibri"/>
        </w:rPr>
      </w:pPr>
    </w:p>
    <w:p w14:paraId="75A6D157" w14:textId="25A3B69F" w:rsidR="00FA349D" w:rsidRPr="008007E3" w:rsidRDefault="00FA349D" w:rsidP="00704476">
      <w:pPr>
        <w:ind w:firstLine="567"/>
        <w:contextualSpacing/>
        <w:rPr>
          <w:rFonts w:eastAsia="Calibri"/>
        </w:rPr>
      </w:pPr>
      <w:r w:rsidRPr="008007E3">
        <w:rPr>
          <w:rFonts w:eastAsia="Calibri"/>
        </w:rPr>
        <w:t>1) українською дочірньою компанією, яка є банком</w:t>
      </w:r>
      <w:r w:rsidR="00F03097">
        <w:rPr>
          <w:rFonts w:eastAsia="Calibri"/>
        </w:rPr>
        <w:t>,</w:t>
      </w:r>
      <w:r w:rsidRPr="008007E3">
        <w:rPr>
          <w:rFonts w:eastAsia="Calibri"/>
        </w:rPr>
        <w:t xml:space="preserve"> – одночасно вимог до: </w:t>
      </w:r>
    </w:p>
    <w:p w14:paraId="1BB9E2E1" w14:textId="77777777" w:rsidR="00FA349D" w:rsidRPr="008007E3" w:rsidRDefault="00FA349D" w:rsidP="00704476">
      <w:pPr>
        <w:ind w:firstLine="567"/>
        <w:contextualSpacing/>
        <w:rPr>
          <w:rFonts w:eastAsia="Calibri"/>
        </w:rPr>
      </w:pPr>
      <w:r w:rsidRPr="008007E3">
        <w:rPr>
          <w:rFonts w:eastAsia="Calibri"/>
        </w:rPr>
        <w:t>мінімального значення нормативу достатності ОК1, встановленого Національним банком;</w:t>
      </w:r>
    </w:p>
    <w:p w14:paraId="45419759" w14:textId="77777777" w:rsidR="00FA349D" w:rsidRPr="008007E3" w:rsidRDefault="00FA349D" w:rsidP="00704476">
      <w:pPr>
        <w:ind w:firstLine="567"/>
        <w:contextualSpacing/>
        <w:rPr>
          <w:rFonts w:eastAsia="Calibri"/>
        </w:rPr>
      </w:pPr>
      <w:r w:rsidRPr="008007E3">
        <w:rPr>
          <w:rFonts w:eastAsia="Calibri"/>
        </w:rPr>
        <w:t>підвищеного значення нормативу достатності ОК1, встановленого Національним банком згідно з частиною десятою статті 67 Закону про банки;</w:t>
      </w:r>
    </w:p>
    <w:p w14:paraId="0058015C" w14:textId="77777777" w:rsidR="00FA349D" w:rsidRPr="008007E3" w:rsidRDefault="00FA349D" w:rsidP="00704476">
      <w:pPr>
        <w:ind w:firstLine="567"/>
        <w:contextualSpacing/>
      </w:pPr>
      <w:r w:rsidRPr="008007E3">
        <w:t>комбінованого буфера капіталу;</w:t>
      </w:r>
    </w:p>
    <w:p w14:paraId="4B38D999" w14:textId="77777777" w:rsidR="00FA349D" w:rsidRPr="008007E3" w:rsidRDefault="00FA349D" w:rsidP="00704476">
      <w:pPr>
        <w:ind w:firstLine="567"/>
        <w:contextualSpacing/>
        <w:rPr>
          <w:rFonts w:eastAsia="Calibri"/>
        </w:rPr>
      </w:pPr>
    </w:p>
    <w:p w14:paraId="5F009EBE" w14:textId="7B2DAEA0" w:rsidR="00FA349D" w:rsidRPr="008007E3" w:rsidRDefault="00FA349D" w:rsidP="00704476">
      <w:pPr>
        <w:ind w:firstLine="567"/>
        <w:contextualSpacing/>
        <w:rPr>
          <w:rFonts w:eastAsia="Calibri"/>
        </w:rPr>
      </w:pPr>
      <w:r w:rsidRPr="008007E3">
        <w:rPr>
          <w:rFonts w:eastAsia="Calibri"/>
        </w:rPr>
        <w:t>2) українською дочірньою компанією, яка є небанківською фінансовою установою</w:t>
      </w:r>
      <w:r w:rsidR="00F03097">
        <w:rPr>
          <w:rFonts w:eastAsia="Calibri"/>
        </w:rPr>
        <w:t>,</w:t>
      </w:r>
      <w:r w:rsidRPr="008007E3">
        <w:rPr>
          <w:rFonts w:eastAsia="Calibri"/>
        </w:rPr>
        <w:t xml:space="preserve"> – вимог </w:t>
      </w:r>
      <w:r w:rsidR="004D3DD9">
        <w:rPr>
          <w:rFonts w:eastAsia="Calibri"/>
        </w:rPr>
        <w:t>що</w:t>
      </w:r>
      <w:r w:rsidRPr="008007E3">
        <w:rPr>
          <w:rFonts w:eastAsia="Calibri"/>
        </w:rPr>
        <w:t>до достатності ОК1, встановлених Регулятором;</w:t>
      </w:r>
    </w:p>
    <w:p w14:paraId="35D6D749" w14:textId="77777777" w:rsidR="00FA349D" w:rsidRPr="008007E3" w:rsidRDefault="00FA349D" w:rsidP="00704476">
      <w:pPr>
        <w:ind w:firstLine="567"/>
        <w:contextualSpacing/>
        <w:rPr>
          <w:rFonts w:eastAsia="Calibri"/>
        </w:rPr>
      </w:pPr>
    </w:p>
    <w:p w14:paraId="0E0DD374" w14:textId="38F1A8F6" w:rsidR="00FA349D" w:rsidRPr="008007E3" w:rsidRDefault="00FA349D" w:rsidP="00704476">
      <w:pPr>
        <w:ind w:firstLine="567"/>
        <w:contextualSpacing/>
        <w:rPr>
          <w:rFonts w:eastAsia="Calibri"/>
        </w:rPr>
      </w:pPr>
      <w:r w:rsidRPr="008007E3">
        <w:rPr>
          <w:rFonts w:eastAsia="Calibri"/>
        </w:rPr>
        <w:t xml:space="preserve">3) іноземною дочірньою компанією – вимог </w:t>
      </w:r>
      <w:r w:rsidR="004D3DD9">
        <w:rPr>
          <w:rFonts w:eastAsia="Calibri"/>
        </w:rPr>
        <w:t>що</w:t>
      </w:r>
      <w:r w:rsidRPr="008007E3">
        <w:rPr>
          <w:rFonts w:eastAsia="Calibri"/>
        </w:rPr>
        <w:t>до достатності ОК1, встановлених відповідним державним органом іноземної держави.</w:t>
      </w:r>
    </w:p>
    <w:p w14:paraId="4F5A2466" w14:textId="77777777" w:rsidR="00AD02AB" w:rsidRPr="008007E3" w:rsidRDefault="00AD02AB" w:rsidP="00704476">
      <w:pPr>
        <w:ind w:firstLine="567"/>
        <w:rPr>
          <w:rFonts w:eastAsia="Calibri"/>
        </w:rPr>
      </w:pPr>
    </w:p>
    <w:p w14:paraId="5B9B145D" w14:textId="2219F5CB" w:rsidR="00FA349D" w:rsidRPr="008007E3" w:rsidRDefault="00FA349D" w:rsidP="00704476">
      <w:pPr>
        <w:ind w:firstLine="567"/>
        <w:rPr>
          <w:rFonts w:eastAsia="Calibri"/>
        </w:rPr>
      </w:pPr>
      <w:r w:rsidRPr="008007E3">
        <w:rPr>
          <w:rFonts w:eastAsia="Calibri"/>
        </w:rPr>
        <w:lastRenderedPageBreak/>
        <w:t xml:space="preserve">4. Відповідальна особа банківської групи, якщо дочірня компанія </w:t>
      </w:r>
      <w:r w:rsidR="00F03097">
        <w:rPr>
          <w:rFonts w:eastAsia="Calibri"/>
        </w:rPr>
        <w:t>–</w:t>
      </w:r>
      <w:r w:rsidRPr="008007E3">
        <w:rPr>
          <w:rFonts w:eastAsia="Calibri"/>
        </w:rPr>
        <w:t xml:space="preserve"> учасник кредитно-інвестиційної підгрупи має власні дочірні компанії, які також є учасниками цієї кредитно-інвестиційної підгрупи, здійснює розрахунок частки меншості в ОК1 дочірньої компанії </w:t>
      </w:r>
      <w:r w:rsidR="00F03097">
        <w:rPr>
          <w:rFonts w:eastAsia="Calibri"/>
        </w:rPr>
        <w:t>–</w:t>
      </w:r>
      <w:r w:rsidRPr="008007E3">
        <w:rPr>
          <w:rFonts w:eastAsia="Calibri"/>
        </w:rPr>
        <w:t xml:space="preserve"> учасника кредитно-інвестиційної підгрупи, що включається до ОК1</w:t>
      </w:r>
      <w:r w:rsidRPr="008007E3">
        <w:rPr>
          <w:rFonts w:eastAsia="Calibri"/>
          <w:vertAlign w:val="subscript"/>
        </w:rPr>
        <w:t>КІП</w:t>
      </w:r>
      <w:r w:rsidRPr="008007E3">
        <w:rPr>
          <w:rFonts w:eastAsia="Calibri"/>
        </w:rPr>
        <w:t xml:space="preserve"> (ЧМвОК1</w:t>
      </w:r>
      <w:r w:rsidRPr="008007E3">
        <w:rPr>
          <w:rFonts w:eastAsia="Calibri"/>
          <w:vertAlign w:val="subscript"/>
        </w:rPr>
        <w:t>КІП</w:t>
      </w:r>
      <w:r w:rsidRPr="008007E3">
        <w:rPr>
          <w:rFonts w:eastAsia="Calibri"/>
        </w:rPr>
        <w:t>), згідно з главою 7 розділу II цього Положення.</w:t>
      </w:r>
    </w:p>
    <w:p w14:paraId="67690827" w14:textId="36C23D4A" w:rsidR="00FA349D" w:rsidRPr="008007E3" w:rsidRDefault="00FA349D" w:rsidP="00704476">
      <w:pPr>
        <w:ind w:firstLine="567"/>
        <w:rPr>
          <w:rFonts w:eastAsia="Calibri"/>
        </w:rPr>
      </w:pPr>
      <w:r w:rsidRPr="008007E3">
        <w:rPr>
          <w:rFonts w:eastAsia="Calibri"/>
        </w:rPr>
        <w:t xml:space="preserve">Розрахунок частки меншості в ОК1 дочірньої компанії </w:t>
      </w:r>
      <w:r w:rsidR="00F03097">
        <w:rPr>
          <w:rFonts w:eastAsia="Calibri"/>
        </w:rPr>
        <w:t>–</w:t>
      </w:r>
      <w:r w:rsidRPr="008007E3">
        <w:rPr>
          <w:rFonts w:eastAsia="Calibri"/>
        </w:rPr>
        <w:t xml:space="preserve"> учасника кредитно-інвестиційної підгрупи, що включається до ОК1</w:t>
      </w:r>
      <w:r w:rsidRPr="008007E3">
        <w:rPr>
          <w:rFonts w:eastAsia="Calibri"/>
          <w:vertAlign w:val="subscript"/>
        </w:rPr>
        <w:t>КІП</w:t>
      </w:r>
      <w:r w:rsidRPr="008007E3">
        <w:rPr>
          <w:rFonts w:eastAsia="Calibri"/>
        </w:rPr>
        <w:t xml:space="preserve"> (ЧМвОК1</w:t>
      </w:r>
      <w:r w:rsidRPr="008007E3">
        <w:rPr>
          <w:rFonts w:eastAsia="Calibri"/>
          <w:vertAlign w:val="subscript"/>
        </w:rPr>
        <w:t>КІП</w:t>
      </w:r>
      <w:r w:rsidRPr="008007E3">
        <w:rPr>
          <w:rFonts w:eastAsia="Calibri"/>
        </w:rPr>
        <w:t xml:space="preserve">), здійснюється на </w:t>
      </w:r>
      <w:proofErr w:type="spellStart"/>
      <w:r w:rsidRPr="008007E3">
        <w:rPr>
          <w:rFonts w:eastAsia="Calibri"/>
        </w:rPr>
        <w:t>субконсолідованій</w:t>
      </w:r>
      <w:proofErr w:type="spellEnd"/>
      <w:r w:rsidRPr="008007E3">
        <w:rPr>
          <w:rFonts w:eastAsia="Calibri"/>
        </w:rPr>
        <w:t xml:space="preserve"> основі.</w:t>
      </w:r>
    </w:p>
    <w:p w14:paraId="436AAE3D" w14:textId="6F4F8466" w:rsidR="00FA349D" w:rsidRPr="008007E3" w:rsidRDefault="00FA349D" w:rsidP="00704476">
      <w:pPr>
        <w:ind w:firstLine="567"/>
        <w:rPr>
          <w:rFonts w:eastAsia="Calibri"/>
        </w:rPr>
      </w:pPr>
      <w:r w:rsidRPr="008007E3">
        <w:rPr>
          <w:rFonts w:eastAsia="Calibri"/>
        </w:rPr>
        <w:t xml:space="preserve">До розрахунку ОК1 дочірньої компанії </w:t>
      </w:r>
      <w:r w:rsidR="00F03097">
        <w:rPr>
          <w:rFonts w:eastAsia="Calibri"/>
        </w:rPr>
        <w:t>–</w:t>
      </w:r>
      <w:r w:rsidRPr="008007E3">
        <w:rPr>
          <w:rFonts w:eastAsia="Calibri"/>
        </w:rPr>
        <w:t xml:space="preserve"> учасника кредитно-інвестиційної підгрупи можуть включатися частки меншості в ОК1 її дочірніх компаній, розмір яких визначається в порядку, </w:t>
      </w:r>
      <w:r w:rsidR="003A5BEC">
        <w:rPr>
          <w:rFonts w:eastAsia="Calibri"/>
        </w:rPr>
        <w:t xml:space="preserve">встановленому в </w:t>
      </w:r>
      <w:r w:rsidRPr="008007E3">
        <w:rPr>
          <w:rFonts w:eastAsia="Calibri"/>
        </w:rPr>
        <w:t>глав</w:t>
      </w:r>
      <w:r w:rsidR="003A5BEC">
        <w:rPr>
          <w:rFonts w:eastAsia="Calibri"/>
        </w:rPr>
        <w:t>і</w:t>
      </w:r>
      <w:r w:rsidRPr="008007E3">
        <w:rPr>
          <w:rFonts w:eastAsia="Calibri"/>
        </w:rPr>
        <w:t xml:space="preserve"> 7 розділу II цього Положення.</w:t>
      </w:r>
    </w:p>
    <w:p w14:paraId="6EAB2D7A" w14:textId="77777777" w:rsidR="00FA349D" w:rsidRPr="008007E3" w:rsidRDefault="00FA349D" w:rsidP="00704476">
      <w:pPr>
        <w:ind w:firstLine="567"/>
        <w:rPr>
          <w:rFonts w:eastAsia="Calibri"/>
        </w:rPr>
      </w:pPr>
    </w:p>
    <w:p w14:paraId="195E0D8B" w14:textId="5A45D74C" w:rsidR="00FA349D" w:rsidRPr="008007E3" w:rsidRDefault="00FA349D" w:rsidP="00704476">
      <w:pPr>
        <w:ind w:firstLine="567"/>
        <w:rPr>
          <w:rFonts w:eastAsia="Calibri"/>
        </w:rPr>
      </w:pPr>
      <w:r w:rsidRPr="008007E3">
        <w:rPr>
          <w:rFonts w:eastAsia="Calibri"/>
        </w:rPr>
        <w:t xml:space="preserve">5. Відповідальна особа банківської групи </w:t>
      </w:r>
      <w:r w:rsidR="00F03097">
        <w:rPr>
          <w:rFonts w:eastAsia="Calibri"/>
        </w:rPr>
        <w:t>в</w:t>
      </w:r>
      <w:r w:rsidRPr="008007E3">
        <w:rPr>
          <w:rFonts w:eastAsia="Calibri"/>
        </w:rPr>
        <w:t xml:space="preserve"> разі включення до розрахунку ОК1</w:t>
      </w:r>
      <w:r w:rsidRPr="008007E3">
        <w:rPr>
          <w:rFonts w:eastAsia="Calibri"/>
          <w:vertAlign w:val="subscript"/>
        </w:rPr>
        <w:t>КІП</w:t>
      </w:r>
      <w:r w:rsidRPr="008007E3">
        <w:rPr>
          <w:rFonts w:eastAsia="Calibri"/>
        </w:rPr>
        <w:t xml:space="preserve"> частки меншості в ОК1 іноземної дочірньої компанії забезпечує документування та підтримання в актуальному стані інформації про вимоги </w:t>
      </w:r>
      <w:r w:rsidR="004D3DD9">
        <w:rPr>
          <w:rFonts w:eastAsia="Calibri"/>
        </w:rPr>
        <w:t>що</w:t>
      </w:r>
      <w:r w:rsidRPr="008007E3">
        <w:rPr>
          <w:rFonts w:eastAsia="Calibri"/>
        </w:rPr>
        <w:t>до достатності ОК1, встановлені відповідним державним органом іноземної держави.</w:t>
      </w:r>
    </w:p>
    <w:p w14:paraId="58447304" w14:textId="77777777" w:rsidR="00AD02AB" w:rsidRPr="008007E3" w:rsidRDefault="00AD02AB" w:rsidP="00704476">
      <w:pPr>
        <w:ind w:firstLine="567"/>
        <w:rPr>
          <w:rFonts w:eastAsia="Calibri"/>
        </w:rPr>
      </w:pPr>
    </w:p>
    <w:p w14:paraId="6866B31D" w14:textId="77777777" w:rsidR="00704476" w:rsidRPr="008007E3" w:rsidRDefault="00AD02AB" w:rsidP="00704476">
      <w:pPr>
        <w:ind w:firstLine="567"/>
        <w:jc w:val="center"/>
        <w:rPr>
          <w:szCs w:val="24"/>
        </w:rPr>
      </w:pPr>
      <w:r w:rsidRPr="008007E3">
        <w:rPr>
          <w:szCs w:val="24"/>
        </w:rPr>
        <w:t xml:space="preserve">Глава 8. Порядок включення відстрочених податкових активів </w:t>
      </w:r>
    </w:p>
    <w:p w14:paraId="73557308" w14:textId="509C935F" w:rsidR="00AD02AB" w:rsidRPr="008007E3" w:rsidRDefault="00AD02AB" w:rsidP="00704476">
      <w:pPr>
        <w:ind w:firstLine="567"/>
        <w:jc w:val="center"/>
        <w:rPr>
          <w:szCs w:val="24"/>
        </w:rPr>
      </w:pPr>
      <w:r w:rsidRPr="008007E3">
        <w:rPr>
          <w:szCs w:val="24"/>
        </w:rPr>
        <w:t xml:space="preserve">до </w:t>
      </w:r>
      <w:proofErr w:type="spellStart"/>
      <w:r w:rsidRPr="008007E3">
        <w:rPr>
          <w:szCs w:val="24"/>
        </w:rPr>
        <w:t>вирахувань</w:t>
      </w:r>
      <w:proofErr w:type="spellEnd"/>
      <w:r w:rsidRPr="008007E3">
        <w:rPr>
          <w:szCs w:val="24"/>
        </w:rPr>
        <w:t xml:space="preserve"> з ОК1</w:t>
      </w:r>
      <w:r w:rsidRPr="008007E3">
        <w:rPr>
          <w:szCs w:val="24"/>
          <w:vertAlign w:val="subscript"/>
        </w:rPr>
        <w:t>КІП</w:t>
      </w:r>
    </w:p>
    <w:p w14:paraId="302AF311" w14:textId="77777777" w:rsidR="00AD02AB" w:rsidRPr="008007E3" w:rsidRDefault="00AD02AB" w:rsidP="006E784C">
      <w:pPr>
        <w:ind w:firstLine="567"/>
        <w:rPr>
          <w:szCs w:val="24"/>
        </w:rPr>
      </w:pPr>
    </w:p>
    <w:p w14:paraId="7ABBA212" w14:textId="2892B9BA" w:rsidR="00AD02AB" w:rsidRPr="008007E3" w:rsidRDefault="00AD02AB" w:rsidP="006E784C">
      <w:pPr>
        <w:ind w:firstLine="567"/>
        <w:rPr>
          <w:szCs w:val="24"/>
        </w:rPr>
      </w:pPr>
      <w:r w:rsidRPr="008007E3">
        <w:rPr>
          <w:szCs w:val="24"/>
        </w:rPr>
        <w:t xml:space="preserve">1. Відповідальна особа банківської групи включає до </w:t>
      </w:r>
      <w:proofErr w:type="spellStart"/>
      <w:r w:rsidRPr="008007E3">
        <w:rPr>
          <w:szCs w:val="24"/>
        </w:rPr>
        <w:t>вирахувань</w:t>
      </w:r>
      <w:proofErr w:type="spellEnd"/>
      <w:r w:rsidRPr="008007E3">
        <w:rPr>
          <w:szCs w:val="24"/>
        </w:rPr>
        <w:t xml:space="preserve"> з ОК1</w:t>
      </w:r>
      <w:r w:rsidRPr="008007E3">
        <w:rPr>
          <w:szCs w:val="24"/>
          <w:vertAlign w:val="subscript"/>
        </w:rPr>
        <w:t>КІП</w:t>
      </w:r>
      <w:r w:rsidRPr="008007E3">
        <w:rPr>
          <w:szCs w:val="24"/>
        </w:rPr>
        <w:t xml:space="preserve"> відстрочені податкові активи без зменшення на величину відстроченого податкового зобов’язання</w:t>
      </w:r>
      <w:r w:rsidR="00891CFD">
        <w:rPr>
          <w:szCs w:val="24"/>
        </w:rPr>
        <w:t>,</w:t>
      </w:r>
      <w:r w:rsidRPr="008007E3">
        <w:rPr>
          <w:szCs w:val="24"/>
        </w:rPr>
        <w:t xml:space="preserve"> крім випадків, коли дотримані умови, визначені </w:t>
      </w:r>
      <w:r w:rsidR="000E62F1">
        <w:rPr>
          <w:szCs w:val="24"/>
        </w:rPr>
        <w:t>в</w:t>
      </w:r>
      <w:r w:rsidRPr="008007E3">
        <w:rPr>
          <w:szCs w:val="24"/>
        </w:rPr>
        <w:t xml:space="preserve"> пункті 2 глави 8 розділу II цього Положення.</w:t>
      </w:r>
    </w:p>
    <w:p w14:paraId="0B459703" w14:textId="77777777" w:rsidR="00AD02AB" w:rsidRPr="008007E3" w:rsidRDefault="00AD02AB" w:rsidP="006E784C">
      <w:pPr>
        <w:ind w:firstLine="567"/>
        <w:rPr>
          <w:szCs w:val="24"/>
        </w:rPr>
      </w:pPr>
      <w:r w:rsidRPr="008007E3">
        <w:rPr>
          <w:szCs w:val="24"/>
        </w:rPr>
        <w:t xml:space="preserve"> </w:t>
      </w:r>
    </w:p>
    <w:p w14:paraId="07BEF4FB" w14:textId="1FEBDD07" w:rsidR="00AD02AB" w:rsidRPr="008007E3" w:rsidRDefault="00AD02AB" w:rsidP="006E784C">
      <w:pPr>
        <w:ind w:firstLine="567"/>
        <w:rPr>
          <w:szCs w:val="24"/>
        </w:rPr>
      </w:pPr>
      <w:r w:rsidRPr="008007E3">
        <w:rPr>
          <w:szCs w:val="24"/>
        </w:rPr>
        <w:t xml:space="preserve">2. Відповідальна особа банківської групи зменшує відстрочені податкові активи на величину відстрочених податкових зобов’язань за одночасного дотримання </w:t>
      </w:r>
      <w:r w:rsidR="00C072D2" w:rsidRPr="008007E3">
        <w:rPr>
          <w:szCs w:val="24"/>
        </w:rPr>
        <w:t xml:space="preserve">таких </w:t>
      </w:r>
      <w:r w:rsidRPr="008007E3">
        <w:rPr>
          <w:szCs w:val="24"/>
        </w:rPr>
        <w:t>умов:</w:t>
      </w:r>
    </w:p>
    <w:p w14:paraId="43C8FF13" w14:textId="77777777" w:rsidR="00AD02AB" w:rsidRPr="008007E3" w:rsidRDefault="00AD02AB" w:rsidP="006E784C">
      <w:pPr>
        <w:ind w:firstLine="567"/>
        <w:rPr>
          <w:szCs w:val="24"/>
        </w:rPr>
      </w:pPr>
    </w:p>
    <w:p w14:paraId="5916A179" w14:textId="376D3C9C" w:rsidR="00C072D2" w:rsidRPr="008007E3" w:rsidRDefault="00C072D2" w:rsidP="006E784C">
      <w:pPr>
        <w:ind w:firstLine="567"/>
      </w:pPr>
      <w:r w:rsidRPr="008007E3">
        <w:t>1) учасник кредитно-інвестиційної підгрупи має юридичне право згортати поточні податкові активи та поточні податкові зобов’язан</w:t>
      </w:r>
      <w:r w:rsidR="00891CFD">
        <w:t>ня</w:t>
      </w:r>
      <w:r w:rsidRPr="008007E3">
        <w:t xml:space="preserve"> згідно із законодавством держави, </w:t>
      </w:r>
      <w:r w:rsidR="00891CFD">
        <w:t>у</w:t>
      </w:r>
      <w:r w:rsidRPr="008007E3">
        <w:t xml:space="preserve"> якій зареєстрований такий учасник;</w:t>
      </w:r>
    </w:p>
    <w:p w14:paraId="543D8D53" w14:textId="77777777" w:rsidR="00C072D2" w:rsidRPr="008007E3" w:rsidRDefault="00C072D2" w:rsidP="006E784C">
      <w:pPr>
        <w:ind w:firstLine="567"/>
      </w:pPr>
    </w:p>
    <w:p w14:paraId="58639858" w14:textId="77777777" w:rsidR="00C072D2" w:rsidRPr="008007E3" w:rsidRDefault="00C072D2" w:rsidP="006E784C">
      <w:pPr>
        <w:ind w:firstLine="567"/>
      </w:pPr>
      <w:r w:rsidRPr="008007E3">
        <w:t>2) відстрочені податкові активи та відстрочені податкові зобов’язання стосуються податків, які стягуються одним і тим самим податковим органом з одного і того самого оподатковуваного учасника кредитно-інвестиційної підгрупи.</w:t>
      </w:r>
    </w:p>
    <w:p w14:paraId="7FD85715" w14:textId="77777777" w:rsidR="00C072D2" w:rsidRPr="008007E3" w:rsidRDefault="00C072D2" w:rsidP="006E784C">
      <w:pPr>
        <w:ind w:firstLine="567"/>
      </w:pPr>
    </w:p>
    <w:p w14:paraId="2991CF25" w14:textId="5E506915" w:rsidR="00C072D2" w:rsidRPr="008007E3" w:rsidRDefault="00C072D2" w:rsidP="006E784C">
      <w:pPr>
        <w:ind w:firstLine="567"/>
      </w:pPr>
      <w:r w:rsidRPr="008007E3">
        <w:t xml:space="preserve">3. Відповідальна особа банківської групи визначає відстрочені податкові активи з метою </w:t>
      </w:r>
      <w:proofErr w:type="spellStart"/>
      <w:r w:rsidRPr="008007E3">
        <w:t>вирахувань</w:t>
      </w:r>
      <w:proofErr w:type="spellEnd"/>
      <w:r w:rsidRPr="008007E3">
        <w:t xml:space="preserve"> з ОК1</w:t>
      </w:r>
      <w:r w:rsidRPr="008007E3">
        <w:rPr>
          <w:vertAlign w:val="subscript"/>
        </w:rPr>
        <w:t>КІП</w:t>
      </w:r>
      <w:r w:rsidRPr="008007E3">
        <w:t xml:space="preserve"> за кожним учасником кредитно-інвестиційної підгрупи – платником податку. Під час зменшення величини </w:t>
      </w:r>
      <w:r w:rsidRPr="008007E3">
        <w:lastRenderedPageBreak/>
        <w:t xml:space="preserve">відстрочених податкових активів на величину відстрочених податкових зобов’язань </w:t>
      </w:r>
      <w:r w:rsidR="003F6816">
        <w:t>у</w:t>
      </w:r>
      <w:r w:rsidRPr="008007E3">
        <w:t xml:space="preserve">раховуються відстрочені податкові зобов’язання, які визначені податковим законодавством тієї </w:t>
      </w:r>
      <w:r w:rsidR="003F6816">
        <w:t xml:space="preserve">самої </w:t>
      </w:r>
      <w:r w:rsidRPr="008007E3">
        <w:t>юрисдикції, що і відстрочені податкові активи.</w:t>
      </w:r>
    </w:p>
    <w:p w14:paraId="59C48480" w14:textId="77777777" w:rsidR="00C072D2" w:rsidRPr="008007E3" w:rsidRDefault="00C072D2" w:rsidP="006E784C">
      <w:pPr>
        <w:ind w:firstLine="567"/>
      </w:pPr>
    </w:p>
    <w:p w14:paraId="13EF4A95" w14:textId="5ED93CF9" w:rsidR="00AD02AB" w:rsidRPr="008007E3" w:rsidRDefault="00AD02AB" w:rsidP="006E784C">
      <w:pPr>
        <w:ind w:firstLine="567"/>
        <w:rPr>
          <w:szCs w:val="24"/>
        </w:rPr>
      </w:pPr>
      <w:r w:rsidRPr="008007E3">
        <w:rPr>
          <w:szCs w:val="24"/>
        </w:rPr>
        <w:t xml:space="preserve">4. Відповідальна особа банківської групи зменшує відстрочені податкові активи на величину відстрочених податкових зобов’язань учасника кредитно-інвестиційної підгрупи </w:t>
      </w:r>
      <w:r w:rsidR="003F6816">
        <w:rPr>
          <w:szCs w:val="24"/>
        </w:rPr>
        <w:t>в</w:t>
      </w:r>
      <w:r w:rsidRPr="008007E3">
        <w:rPr>
          <w:szCs w:val="24"/>
        </w:rPr>
        <w:t xml:space="preserve"> порядку, визначеному </w:t>
      </w:r>
      <w:r w:rsidR="000E62F1">
        <w:rPr>
          <w:szCs w:val="24"/>
        </w:rPr>
        <w:t>в</w:t>
      </w:r>
      <w:r w:rsidRPr="008007E3">
        <w:rPr>
          <w:szCs w:val="24"/>
        </w:rPr>
        <w:t xml:space="preserve"> главі 9 розділу II Положення №</w:t>
      </w:r>
      <w:r w:rsidRPr="008007E3">
        <w:rPr>
          <w:szCs w:val="24"/>
          <w:lang w:val="en-US"/>
        </w:rPr>
        <w:t> </w:t>
      </w:r>
      <w:r w:rsidRPr="008007E3">
        <w:rPr>
          <w:szCs w:val="24"/>
        </w:rPr>
        <w:t>196</w:t>
      </w:r>
      <w:r w:rsidR="00C072D2" w:rsidRPr="008007E3">
        <w:rPr>
          <w:szCs w:val="24"/>
        </w:rPr>
        <w:t>,</w:t>
      </w:r>
      <w:r w:rsidRPr="008007E3">
        <w:rPr>
          <w:szCs w:val="24"/>
        </w:rPr>
        <w:t xml:space="preserve"> з урахуванням особливостей, визначених </w:t>
      </w:r>
      <w:r w:rsidR="003F6816">
        <w:rPr>
          <w:szCs w:val="24"/>
        </w:rPr>
        <w:t xml:space="preserve">у </w:t>
      </w:r>
      <w:r w:rsidRPr="008007E3">
        <w:rPr>
          <w:szCs w:val="24"/>
        </w:rPr>
        <w:t>глав</w:t>
      </w:r>
      <w:r w:rsidR="003F6816">
        <w:rPr>
          <w:szCs w:val="24"/>
        </w:rPr>
        <w:t>і</w:t>
      </w:r>
      <w:r w:rsidRPr="008007E3">
        <w:rPr>
          <w:szCs w:val="24"/>
        </w:rPr>
        <w:t xml:space="preserve"> 8 розділу II цього Положення.</w:t>
      </w:r>
    </w:p>
    <w:p w14:paraId="5E0D009B" w14:textId="77777777" w:rsidR="00AD02AB" w:rsidRPr="008007E3" w:rsidRDefault="00AD02AB" w:rsidP="006E784C">
      <w:pPr>
        <w:ind w:firstLine="567"/>
        <w:rPr>
          <w:sz w:val="32"/>
        </w:rPr>
      </w:pPr>
    </w:p>
    <w:p w14:paraId="33DD2947" w14:textId="77777777" w:rsidR="00AD02AB" w:rsidRPr="008007E3" w:rsidRDefault="00AD02AB" w:rsidP="00790D2B">
      <w:pPr>
        <w:jc w:val="center"/>
        <w:rPr>
          <w:rFonts w:eastAsia="Calibri"/>
        </w:rPr>
      </w:pPr>
      <w:r w:rsidRPr="008007E3">
        <w:rPr>
          <w:rFonts w:eastAsia="Calibri"/>
        </w:rPr>
        <w:t>Глава 9. Розрахунок ДК1</w:t>
      </w:r>
      <w:r w:rsidRPr="008007E3">
        <w:rPr>
          <w:rFonts w:eastAsia="Calibri"/>
          <w:vertAlign w:val="subscript"/>
        </w:rPr>
        <w:t>КІП</w:t>
      </w:r>
    </w:p>
    <w:p w14:paraId="46856302" w14:textId="77777777" w:rsidR="00AD02AB" w:rsidRPr="008007E3" w:rsidRDefault="00AD02AB" w:rsidP="00790D2B">
      <w:pPr>
        <w:ind w:firstLine="567"/>
        <w:jc w:val="center"/>
        <w:rPr>
          <w:rFonts w:eastAsia="Calibri"/>
        </w:rPr>
      </w:pPr>
    </w:p>
    <w:p w14:paraId="063411E1" w14:textId="77777777" w:rsidR="00AD02AB" w:rsidRPr="008007E3" w:rsidRDefault="00AD02AB" w:rsidP="00790D2B">
      <w:pPr>
        <w:ind w:firstLine="567"/>
        <w:rPr>
          <w:rFonts w:eastAsia="Calibri"/>
        </w:rPr>
      </w:pPr>
      <w:r w:rsidRPr="008007E3">
        <w:rPr>
          <w:rFonts w:eastAsia="Calibri"/>
        </w:rPr>
        <w:t>1. Відповідальна особа банківської групи визначає розмір ДК1</w:t>
      </w:r>
      <w:r w:rsidRPr="008007E3">
        <w:rPr>
          <w:rFonts w:eastAsia="Calibri"/>
          <w:vertAlign w:val="subscript"/>
        </w:rPr>
        <w:t>КІП</w:t>
      </w:r>
      <w:r w:rsidRPr="008007E3">
        <w:rPr>
          <w:rFonts w:eastAsia="Calibri"/>
        </w:rPr>
        <w:t xml:space="preserve"> як суму складових ДК1</w:t>
      </w:r>
      <w:r w:rsidRPr="008007E3">
        <w:rPr>
          <w:rFonts w:eastAsia="Calibri"/>
          <w:vertAlign w:val="subscript"/>
        </w:rPr>
        <w:t>КІП</w:t>
      </w:r>
      <w:r w:rsidRPr="008007E3">
        <w:rPr>
          <w:rFonts w:eastAsia="Calibri"/>
        </w:rPr>
        <w:t xml:space="preserve">, зменшену на суму </w:t>
      </w:r>
      <w:proofErr w:type="spellStart"/>
      <w:r w:rsidRPr="008007E3">
        <w:rPr>
          <w:rFonts w:eastAsia="Calibri"/>
        </w:rPr>
        <w:t>вирахувань</w:t>
      </w:r>
      <w:proofErr w:type="spellEnd"/>
      <w:r w:rsidRPr="008007E3">
        <w:rPr>
          <w:rFonts w:eastAsia="Calibri"/>
        </w:rPr>
        <w:t xml:space="preserve"> з ДК1</w:t>
      </w:r>
      <w:r w:rsidRPr="008007E3">
        <w:rPr>
          <w:rFonts w:eastAsia="Calibri"/>
          <w:vertAlign w:val="subscript"/>
        </w:rPr>
        <w:t>КІП</w:t>
      </w:r>
      <w:r w:rsidRPr="008007E3">
        <w:rPr>
          <w:rFonts w:eastAsia="Calibri"/>
        </w:rPr>
        <w:t>.</w:t>
      </w:r>
    </w:p>
    <w:p w14:paraId="169EA986" w14:textId="77777777" w:rsidR="00AD02AB" w:rsidRPr="008007E3" w:rsidRDefault="00AD02AB" w:rsidP="00790D2B">
      <w:pPr>
        <w:ind w:firstLine="567"/>
        <w:rPr>
          <w:rFonts w:eastAsia="Calibri"/>
        </w:rPr>
      </w:pPr>
    </w:p>
    <w:p w14:paraId="5FDA49C7" w14:textId="77777777" w:rsidR="00AD02AB" w:rsidRPr="008007E3" w:rsidRDefault="00AD02AB" w:rsidP="00790D2B">
      <w:pPr>
        <w:ind w:firstLine="567"/>
        <w:rPr>
          <w:rFonts w:eastAsia="Calibri"/>
        </w:rPr>
      </w:pPr>
      <w:r w:rsidRPr="008007E3">
        <w:rPr>
          <w:rFonts w:eastAsia="Calibri"/>
        </w:rPr>
        <w:t>2. Відповідальна особа банківської групи до складових ДК1</w:t>
      </w:r>
      <w:r w:rsidRPr="008007E3">
        <w:rPr>
          <w:rFonts w:eastAsia="Calibri"/>
          <w:vertAlign w:val="subscript"/>
        </w:rPr>
        <w:t>КІП</w:t>
      </w:r>
      <w:r w:rsidRPr="008007E3">
        <w:rPr>
          <w:rFonts w:eastAsia="Calibri"/>
        </w:rPr>
        <w:t xml:space="preserve"> включає:</w:t>
      </w:r>
    </w:p>
    <w:p w14:paraId="544D37CD" w14:textId="77777777" w:rsidR="00AD02AB" w:rsidRPr="008007E3" w:rsidRDefault="00AD02AB" w:rsidP="00790D2B">
      <w:pPr>
        <w:ind w:firstLine="567"/>
        <w:rPr>
          <w:rFonts w:eastAsia="Calibri"/>
        </w:rPr>
      </w:pPr>
    </w:p>
    <w:p w14:paraId="31628B84" w14:textId="0F800FB8" w:rsidR="00AD02AB" w:rsidRPr="008007E3" w:rsidRDefault="00AD02AB" w:rsidP="00790D2B">
      <w:pPr>
        <w:ind w:firstLine="567"/>
        <w:rPr>
          <w:rFonts w:eastAsia="Calibri"/>
        </w:rPr>
      </w:pPr>
      <w:r w:rsidRPr="008007E3">
        <w:rPr>
          <w:rFonts w:eastAsia="Calibri"/>
        </w:rPr>
        <w:t xml:space="preserve">1) складові ДК1, визначені </w:t>
      </w:r>
      <w:r w:rsidR="000E62F1">
        <w:rPr>
          <w:rFonts w:eastAsia="Calibri"/>
        </w:rPr>
        <w:t>в</w:t>
      </w:r>
      <w:r w:rsidRPr="008007E3">
        <w:rPr>
          <w:rFonts w:eastAsia="Calibri"/>
        </w:rPr>
        <w:t xml:space="preserve"> главі 11 розділу II Положення № 196;</w:t>
      </w:r>
    </w:p>
    <w:p w14:paraId="2C8F0AD7" w14:textId="77777777" w:rsidR="00AD02AB" w:rsidRPr="008007E3" w:rsidRDefault="00AD02AB" w:rsidP="00790D2B">
      <w:pPr>
        <w:ind w:firstLine="567"/>
        <w:rPr>
          <w:rFonts w:eastAsia="Calibri"/>
        </w:rPr>
      </w:pPr>
    </w:p>
    <w:p w14:paraId="14D4F0F4" w14:textId="3EE7CA7A" w:rsidR="00C072D2" w:rsidRPr="008007E3" w:rsidRDefault="00C072D2" w:rsidP="00790D2B">
      <w:pPr>
        <w:ind w:firstLine="567"/>
        <w:rPr>
          <w:rFonts w:eastAsia="Calibri"/>
        </w:rPr>
      </w:pPr>
      <w:r w:rsidRPr="008007E3">
        <w:rPr>
          <w:rFonts w:eastAsia="Calibri"/>
        </w:rPr>
        <w:t xml:space="preserve">2) частки меншості в ДК1 </w:t>
      </w:r>
      <w:r w:rsidRPr="00B373B7">
        <w:rPr>
          <w:rFonts w:eastAsia="Calibri"/>
        </w:rPr>
        <w:t xml:space="preserve">дочірніх компаній </w:t>
      </w:r>
      <w:r w:rsidR="005B1873" w:rsidRPr="00B373B7">
        <w:rPr>
          <w:rFonts w:eastAsia="Calibri"/>
        </w:rPr>
        <w:t>–</w:t>
      </w:r>
      <w:r w:rsidRPr="00B373B7">
        <w:rPr>
          <w:rFonts w:eastAsia="Calibri"/>
        </w:rPr>
        <w:t xml:space="preserve"> учасників</w:t>
      </w:r>
      <w:r w:rsidRPr="008007E3">
        <w:rPr>
          <w:rFonts w:eastAsia="Calibri"/>
        </w:rPr>
        <w:t xml:space="preserve"> кредитно-інвестиційної підгрупи, розраховані в порядку, визначеному в</w:t>
      </w:r>
      <w:r w:rsidRPr="008007E3">
        <w:t xml:space="preserve"> </w:t>
      </w:r>
      <w:r w:rsidRPr="008007E3">
        <w:rPr>
          <w:rFonts w:eastAsia="Calibri"/>
        </w:rPr>
        <w:t>главі 10 розділу II цього Положення.</w:t>
      </w:r>
    </w:p>
    <w:p w14:paraId="482C87BF" w14:textId="50C15138" w:rsidR="00C072D2" w:rsidRPr="008007E3" w:rsidRDefault="00C072D2" w:rsidP="00790D2B">
      <w:pPr>
        <w:ind w:firstLine="567"/>
        <w:rPr>
          <w:rFonts w:eastAsia="Calibri"/>
          <w:vertAlign w:val="subscript"/>
        </w:rPr>
      </w:pPr>
      <w:r w:rsidRPr="008007E3">
        <w:rPr>
          <w:rFonts w:eastAsia="Calibri"/>
        </w:rPr>
        <w:t>Відповідальна особа банківської групи має право прийняти рішення не здійснювати розрахун</w:t>
      </w:r>
      <w:r w:rsidR="00F1649E">
        <w:rPr>
          <w:rFonts w:eastAsia="Calibri"/>
        </w:rPr>
        <w:t>ку</w:t>
      </w:r>
      <w:r w:rsidRPr="008007E3">
        <w:rPr>
          <w:rFonts w:eastAsia="Calibri"/>
        </w:rPr>
        <w:t xml:space="preserve"> розміру частки меншості в ДК1 </w:t>
      </w:r>
      <w:r w:rsidRPr="00B373B7">
        <w:rPr>
          <w:rFonts w:eastAsia="Calibri"/>
        </w:rPr>
        <w:t xml:space="preserve">дочірньої компанії </w:t>
      </w:r>
      <w:r w:rsidR="005B1873"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та не включати її до розрахунку ДК1</w:t>
      </w:r>
      <w:r w:rsidRPr="008007E3">
        <w:rPr>
          <w:rFonts w:eastAsia="Calibri"/>
          <w:vertAlign w:val="subscript"/>
        </w:rPr>
        <w:t>КІП</w:t>
      </w:r>
      <w:r w:rsidRPr="00B806D2">
        <w:rPr>
          <w:rFonts w:eastAsia="Calibri"/>
        </w:rPr>
        <w:t>.</w:t>
      </w:r>
    </w:p>
    <w:p w14:paraId="7F8EA736" w14:textId="77777777" w:rsidR="00C072D2" w:rsidRPr="008007E3" w:rsidRDefault="00C072D2" w:rsidP="00790D2B">
      <w:pPr>
        <w:ind w:firstLine="567"/>
        <w:rPr>
          <w:rFonts w:eastAsia="Calibri"/>
        </w:rPr>
      </w:pPr>
    </w:p>
    <w:p w14:paraId="4B90AC27" w14:textId="77777777" w:rsidR="00B641B7" w:rsidRPr="008007E3" w:rsidRDefault="00AD02AB" w:rsidP="00790D2B">
      <w:pPr>
        <w:ind w:firstLine="567"/>
      </w:pPr>
      <w:r w:rsidRPr="008007E3">
        <w:rPr>
          <w:rFonts w:eastAsia="Calibri"/>
        </w:rPr>
        <w:t>3. Відповідальна особа банківської групи здійснює вирахування з ДК1</w:t>
      </w:r>
      <w:r w:rsidRPr="008007E3">
        <w:rPr>
          <w:rFonts w:eastAsia="Calibri"/>
          <w:vertAlign w:val="subscript"/>
        </w:rPr>
        <w:t>КІП</w:t>
      </w:r>
      <w:r w:rsidRPr="008007E3">
        <w:rPr>
          <w:rFonts w:eastAsia="Calibri"/>
        </w:rPr>
        <w:t xml:space="preserve"> згідно з главою 11 розділу II Положення № 196.</w:t>
      </w:r>
    </w:p>
    <w:p w14:paraId="08294251" w14:textId="77777777" w:rsidR="00F96F9C" w:rsidRPr="008007E3" w:rsidRDefault="00F96F9C" w:rsidP="00790D2B">
      <w:pPr>
        <w:ind w:firstLine="567"/>
        <w:rPr>
          <w:rFonts w:eastAsia="Calibri"/>
        </w:rPr>
      </w:pPr>
    </w:p>
    <w:p w14:paraId="054C7699" w14:textId="28334025" w:rsidR="00C072D2" w:rsidRPr="008007E3" w:rsidRDefault="00C072D2" w:rsidP="00790D2B">
      <w:pPr>
        <w:jc w:val="center"/>
        <w:rPr>
          <w:rFonts w:eastAsia="Calibri"/>
        </w:rPr>
      </w:pPr>
      <w:r w:rsidRPr="008007E3">
        <w:rPr>
          <w:rFonts w:eastAsia="Calibri"/>
        </w:rPr>
        <w:t xml:space="preserve">Глава 10. Розрахунок частки меншості в ДК1 </w:t>
      </w:r>
      <w:r w:rsidRPr="00B373B7">
        <w:rPr>
          <w:rFonts w:eastAsia="Calibri"/>
        </w:rPr>
        <w:t xml:space="preserve">дочірньої компанії </w:t>
      </w:r>
      <w:r w:rsidR="00826511"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що включається до ДК1</w:t>
      </w:r>
      <w:r w:rsidRPr="008007E3">
        <w:rPr>
          <w:rFonts w:eastAsia="Calibri"/>
          <w:vertAlign w:val="subscript"/>
        </w:rPr>
        <w:t>КІП</w:t>
      </w:r>
    </w:p>
    <w:p w14:paraId="616E819B" w14:textId="77777777" w:rsidR="00C072D2" w:rsidRPr="008007E3" w:rsidRDefault="00C072D2" w:rsidP="00790D2B">
      <w:pPr>
        <w:ind w:firstLine="567"/>
        <w:jc w:val="center"/>
        <w:rPr>
          <w:rFonts w:eastAsia="Calibri"/>
        </w:rPr>
      </w:pPr>
    </w:p>
    <w:p w14:paraId="676EEFB9" w14:textId="5130977E" w:rsidR="00C072D2" w:rsidRPr="008007E3" w:rsidRDefault="00C072D2" w:rsidP="00790D2B">
      <w:pPr>
        <w:ind w:firstLine="567"/>
        <w:rPr>
          <w:rFonts w:eastAsia="Calibri"/>
        </w:rPr>
      </w:pPr>
      <w:r w:rsidRPr="008007E3">
        <w:rPr>
          <w:rFonts w:eastAsia="Calibri"/>
        </w:rPr>
        <w:t xml:space="preserve">1. Відповідальна особа банківської групи визначає розмір частки меншості в ДК1 </w:t>
      </w:r>
      <w:r w:rsidRPr="00B373B7">
        <w:rPr>
          <w:rFonts w:eastAsia="Calibri"/>
        </w:rPr>
        <w:t xml:space="preserve">дочірньої компанії </w:t>
      </w:r>
      <w:r w:rsidR="003468EC"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що включається до ДК1</w:t>
      </w:r>
      <w:r w:rsidRPr="008007E3">
        <w:rPr>
          <w:rFonts w:eastAsia="Calibri"/>
          <w:vertAlign w:val="subscript"/>
        </w:rPr>
        <w:t>КІП</w:t>
      </w:r>
      <w:r w:rsidRPr="008007E3">
        <w:rPr>
          <w:rFonts w:eastAsia="Calibri"/>
        </w:rPr>
        <w:t>,</w:t>
      </w:r>
      <w:r w:rsidRPr="00B806D2">
        <w:rPr>
          <w:rFonts w:eastAsia="Calibri"/>
        </w:rPr>
        <w:t xml:space="preserve"> </w:t>
      </w:r>
      <w:r w:rsidRPr="008007E3">
        <w:rPr>
          <w:rFonts w:eastAsia="Calibri"/>
        </w:rPr>
        <w:t>за</w:t>
      </w:r>
      <w:r w:rsidR="003468EC">
        <w:rPr>
          <w:rFonts w:eastAsia="Calibri"/>
        </w:rPr>
        <w:t xml:space="preserve"> такою</w:t>
      </w:r>
      <w:r w:rsidRPr="008007E3">
        <w:rPr>
          <w:rFonts w:eastAsia="Calibri"/>
        </w:rPr>
        <w:t xml:space="preserve"> формулою:</w:t>
      </w:r>
    </w:p>
    <w:p w14:paraId="25EF72F0" w14:textId="77777777" w:rsidR="00C072D2" w:rsidRPr="008007E3" w:rsidRDefault="00C072D2" w:rsidP="00790D2B">
      <w:pPr>
        <w:ind w:firstLine="567"/>
        <w:rPr>
          <w:rFonts w:eastAsia="Calibri"/>
        </w:rPr>
      </w:pPr>
    </w:p>
    <w:p w14:paraId="6E1915C9" w14:textId="77777777" w:rsidR="00C072D2" w:rsidRPr="008007E3" w:rsidRDefault="00C072D2" w:rsidP="00790D2B">
      <w:pPr>
        <w:jc w:val="center"/>
        <w:rPr>
          <w:rFonts w:eastAsia="Calibri"/>
        </w:rPr>
      </w:pPr>
      <w:r w:rsidRPr="008007E3">
        <w:rPr>
          <w:rFonts w:eastAsia="Calibri"/>
        </w:rPr>
        <w:t>ЧМвДК1</w:t>
      </w:r>
      <w:r w:rsidRPr="008007E3">
        <w:rPr>
          <w:rFonts w:eastAsia="Calibri"/>
          <w:vertAlign w:val="subscript"/>
        </w:rPr>
        <w:t>КІП</w:t>
      </w:r>
      <w:r w:rsidRPr="00B806D2">
        <w:rPr>
          <w:rFonts w:eastAsia="Calibri"/>
        </w:rPr>
        <w:t xml:space="preserve"> </w:t>
      </w:r>
      <w:r w:rsidRPr="008007E3">
        <w:rPr>
          <w:rFonts w:eastAsia="Calibri"/>
        </w:rPr>
        <w:t>= ЧМвК1</w:t>
      </w:r>
      <w:r w:rsidRPr="008007E3">
        <w:rPr>
          <w:rFonts w:eastAsia="Calibri"/>
          <w:vertAlign w:val="subscript"/>
        </w:rPr>
        <w:t>КІП</w:t>
      </w:r>
      <w:r w:rsidRPr="00B806D2">
        <w:rPr>
          <w:rFonts w:eastAsia="Calibri"/>
        </w:rPr>
        <w:t xml:space="preserve"> </w:t>
      </w:r>
      <w:r w:rsidRPr="008007E3">
        <w:rPr>
          <w:rFonts w:eastAsia="Calibri"/>
        </w:rPr>
        <w:t>– ЧМвОК1</w:t>
      </w:r>
      <w:r w:rsidRPr="008007E3">
        <w:rPr>
          <w:rFonts w:eastAsia="Calibri"/>
          <w:vertAlign w:val="subscript"/>
        </w:rPr>
        <w:t>КІП</w:t>
      </w:r>
      <w:r w:rsidRPr="008007E3">
        <w:rPr>
          <w:rFonts w:eastAsia="Calibri"/>
        </w:rPr>
        <w:t>,</w:t>
      </w:r>
    </w:p>
    <w:p w14:paraId="5365AD7D" w14:textId="77777777" w:rsidR="00C072D2" w:rsidRPr="008007E3" w:rsidRDefault="00C072D2" w:rsidP="00790D2B">
      <w:pPr>
        <w:ind w:firstLine="567"/>
        <w:rPr>
          <w:rFonts w:eastAsia="Calibri"/>
        </w:rPr>
      </w:pPr>
    </w:p>
    <w:p w14:paraId="7EBD7CC8" w14:textId="5030A4A0" w:rsidR="00C072D2" w:rsidRPr="008007E3" w:rsidRDefault="00C072D2" w:rsidP="007E1CAC">
      <w:pPr>
        <w:rPr>
          <w:rFonts w:eastAsia="Calibri"/>
        </w:rPr>
      </w:pPr>
      <w:r w:rsidRPr="008007E3">
        <w:rPr>
          <w:rFonts w:eastAsia="Calibri"/>
        </w:rPr>
        <w:t xml:space="preserve">де </w:t>
      </w:r>
      <w:r w:rsidR="00790D2B" w:rsidRPr="008007E3">
        <w:rPr>
          <w:rFonts w:eastAsia="Calibri"/>
        </w:rPr>
        <w:tab/>
      </w:r>
      <w:r w:rsidRPr="008007E3">
        <w:rPr>
          <w:rFonts w:eastAsia="Calibri"/>
        </w:rPr>
        <w:t>ЧМвДК1</w:t>
      </w:r>
      <w:r w:rsidRPr="008007E3">
        <w:rPr>
          <w:rFonts w:eastAsia="Calibri"/>
          <w:vertAlign w:val="subscript"/>
        </w:rPr>
        <w:t>КІП</w:t>
      </w:r>
      <w:r w:rsidRPr="00B806D2">
        <w:rPr>
          <w:rFonts w:eastAsia="Calibri"/>
        </w:rPr>
        <w:t xml:space="preserve"> </w:t>
      </w:r>
      <w:r w:rsidRPr="008007E3">
        <w:rPr>
          <w:rFonts w:eastAsia="Calibri"/>
        </w:rPr>
        <w:t xml:space="preserve">– розмір частки меншості в ДК1 </w:t>
      </w:r>
      <w:r w:rsidRPr="00B373B7">
        <w:rPr>
          <w:rFonts w:eastAsia="Calibri"/>
        </w:rPr>
        <w:t xml:space="preserve">дочірньої компанії </w:t>
      </w:r>
      <w:r w:rsidR="007F70E0"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що включається до ДК1</w:t>
      </w:r>
      <w:r w:rsidRPr="008007E3">
        <w:rPr>
          <w:rFonts w:eastAsia="Calibri"/>
          <w:vertAlign w:val="subscript"/>
        </w:rPr>
        <w:t>КІП</w:t>
      </w:r>
      <w:r w:rsidRPr="008007E3">
        <w:rPr>
          <w:rFonts w:eastAsia="Calibri"/>
        </w:rPr>
        <w:t>;</w:t>
      </w:r>
    </w:p>
    <w:p w14:paraId="466905D5" w14:textId="27249ED9" w:rsidR="00C072D2" w:rsidRPr="008007E3" w:rsidRDefault="00C072D2" w:rsidP="00790D2B">
      <w:pPr>
        <w:ind w:firstLine="567"/>
        <w:rPr>
          <w:rFonts w:eastAsia="Calibri"/>
        </w:rPr>
      </w:pPr>
      <w:r w:rsidRPr="008007E3">
        <w:rPr>
          <w:rFonts w:eastAsia="Calibri"/>
        </w:rPr>
        <w:lastRenderedPageBreak/>
        <w:t>ЧМвК1</w:t>
      </w:r>
      <w:r w:rsidRPr="008007E3">
        <w:rPr>
          <w:rFonts w:eastAsia="Calibri"/>
          <w:vertAlign w:val="subscript"/>
        </w:rPr>
        <w:t>КІП</w:t>
      </w:r>
      <w:r w:rsidRPr="008007E3">
        <w:rPr>
          <w:rFonts w:eastAsia="Calibri"/>
        </w:rPr>
        <w:t xml:space="preserve"> </w:t>
      </w:r>
      <w:r w:rsidR="00E0293A">
        <w:rPr>
          <w:rFonts w:eastAsia="Calibri"/>
        </w:rPr>
        <w:t>–</w:t>
      </w:r>
      <w:r w:rsidRPr="008007E3">
        <w:rPr>
          <w:rFonts w:eastAsia="Calibri"/>
        </w:rPr>
        <w:t xml:space="preserve"> розмір частки меншості в К1 </w:t>
      </w:r>
      <w:r w:rsidRPr="00B373B7">
        <w:rPr>
          <w:rFonts w:eastAsia="Calibri"/>
        </w:rPr>
        <w:t xml:space="preserve">дочірньої компанії </w:t>
      </w:r>
      <w:r w:rsidR="00E0293A"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що включається до К1</w:t>
      </w:r>
      <w:r w:rsidRPr="008007E3">
        <w:rPr>
          <w:rFonts w:eastAsia="Calibri"/>
          <w:vertAlign w:val="subscript"/>
        </w:rPr>
        <w:t>КІП</w:t>
      </w:r>
      <w:r w:rsidRPr="008007E3">
        <w:rPr>
          <w:rFonts w:eastAsia="Calibri"/>
        </w:rPr>
        <w:t>, визначений згідно з пунктом 2 глави 10 розділу II цього Положення;</w:t>
      </w:r>
    </w:p>
    <w:p w14:paraId="46119BEA" w14:textId="3EBA4F01" w:rsidR="00C072D2" w:rsidRPr="00A74D80" w:rsidRDefault="00C072D2" w:rsidP="00790D2B">
      <w:pPr>
        <w:ind w:firstLine="567"/>
        <w:rPr>
          <w:rFonts w:eastAsia="Calibri"/>
        </w:rPr>
      </w:pPr>
      <w:r w:rsidRPr="008007E3">
        <w:rPr>
          <w:rFonts w:eastAsia="Calibri"/>
        </w:rPr>
        <w:t>ЧМвОК1</w:t>
      </w:r>
      <w:r w:rsidRPr="008007E3">
        <w:rPr>
          <w:rFonts w:eastAsia="Calibri"/>
          <w:vertAlign w:val="subscript"/>
        </w:rPr>
        <w:t>КІП</w:t>
      </w:r>
      <w:r w:rsidRPr="008007E3">
        <w:rPr>
          <w:rFonts w:eastAsia="Calibri"/>
        </w:rPr>
        <w:t xml:space="preserve"> – розмір частки меншості в ОК1 </w:t>
      </w:r>
      <w:r w:rsidRPr="00B373B7">
        <w:rPr>
          <w:rFonts w:eastAsia="Calibri"/>
        </w:rPr>
        <w:t xml:space="preserve">дочірньої компанії </w:t>
      </w:r>
      <w:r w:rsidR="00E0293A"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що включається до ОК1</w:t>
      </w:r>
      <w:r w:rsidRPr="008007E3">
        <w:rPr>
          <w:rFonts w:eastAsia="Calibri"/>
          <w:vertAlign w:val="subscript"/>
        </w:rPr>
        <w:t>КІП</w:t>
      </w:r>
      <w:r w:rsidRPr="00B806D2">
        <w:rPr>
          <w:rFonts w:eastAsia="Calibri"/>
        </w:rPr>
        <w:t xml:space="preserve">, </w:t>
      </w:r>
      <w:r w:rsidRPr="008007E3">
        <w:rPr>
          <w:rFonts w:eastAsia="Calibri"/>
        </w:rPr>
        <w:t>визначений згідно з главою 7 розділу II цього Положення</w:t>
      </w:r>
      <w:r w:rsidR="00A74D80">
        <w:rPr>
          <w:rFonts w:eastAsia="Calibri"/>
        </w:rPr>
        <w:t>.</w:t>
      </w:r>
    </w:p>
    <w:p w14:paraId="2C972A30" w14:textId="77777777" w:rsidR="00C072D2" w:rsidRPr="008007E3" w:rsidRDefault="00C072D2" w:rsidP="00790D2B">
      <w:pPr>
        <w:ind w:firstLine="567"/>
        <w:rPr>
          <w:rFonts w:eastAsia="Calibri"/>
        </w:rPr>
      </w:pPr>
    </w:p>
    <w:p w14:paraId="3E3A4689" w14:textId="57A94975" w:rsidR="00C072D2" w:rsidRPr="008007E3" w:rsidRDefault="00C072D2" w:rsidP="00790D2B">
      <w:pPr>
        <w:ind w:firstLine="567"/>
        <w:rPr>
          <w:rFonts w:eastAsia="Calibri"/>
        </w:rPr>
      </w:pPr>
      <w:r w:rsidRPr="008007E3">
        <w:rPr>
          <w:rFonts w:eastAsia="Calibri"/>
        </w:rPr>
        <w:t xml:space="preserve">2. Відповідальна особа банківської групи визначає розмір частки меншості в К1 </w:t>
      </w:r>
      <w:r w:rsidRPr="00B373B7">
        <w:rPr>
          <w:rFonts w:eastAsia="Calibri"/>
        </w:rPr>
        <w:t xml:space="preserve">дочірньої компанії </w:t>
      </w:r>
      <w:r w:rsidR="00872718"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що включається до К1</w:t>
      </w:r>
      <w:r w:rsidRPr="008007E3">
        <w:rPr>
          <w:rFonts w:eastAsia="Calibri"/>
          <w:vertAlign w:val="subscript"/>
        </w:rPr>
        <w:t>КІП</w:t>
      </w:r>
      <w:r w:rsidRPr="008007E3">
        <w:rPr>
          <w:rFonts w:eastAsia="Calibri"/>
        </w:rPr>
        <w:t>,</w:t>
      </w:r>
      <w:r w:rsidRPr="00B806D2">
        <w:rPr>
          <w:rFonts w:eastAsia="Calibri"/>
        </w:rPr>
        <w:t xml:space="preserve"> </w:t>
      </w:r>
      <w:r w:rsidRPr="008007E3">
        <w:rPr>
          <w:rFonts w:eastAsia="Calibri"/>
        </w:rPr>
        <w:t>за</w:t>
      </w:r>
      <w:r w:rsidR="007B6B60">
        <w:rPr>
          <w:rFonts w:eastAsia="Calibri"/>
        </w:rPr>
        <w:t xml:space="preserve"> такою</w:t>
      </w:r>
      <w:r w:rsidRPr="008007E3">
        <w:rPr>
          <w:rFonts w:eastAsia="Calibri"/>
        </w:rPr>
        <w:t xml:space="preserve"> формулою:</w:t>
      </w:r>
    </w:p>
    <w:p w14:paraId="5CB0BA1A" w14:textId="77777777" w:rsidR="00C072D2" w:rsidRPr="008007E3" w:rsidRDefault="00C072D2" w:rsidP="00790D2B">
      <w:pPr>
        <w:ind w:firstLine="567"/>
        <w:rPr>
          <w:rFonts w:eastAsia="Calibri"/>
        </w:rPr>
      </w:pPr>
    </w:p>
    <w:p w14:paraId="02E06A77" w14:textId="1473E3C0" w:rsidR="00C072D2" w:rsidRPr="008007E3" w:rsidRDefault="00C072D2" w:rsidP="00790D2B">
      <w:pPr>
        <w:jc w:val="center"/>
        <w:rPr>
          <w:rFonts w:eastAsia="Calibri"/>
        </w:rPr>
      </w:pPr>
      <w:r w:rsidRPr="008007E3">
        <w:rPr>
          <w:rFonts w:eastAsia="Calibri"/>
        </w:rPr>
        <w:t>ЧМвК1</w:t>
      </w:r>
      <w:r w:rsidRPr="008007E3">
        <w:rPr>
          <w:rFonts w:eastAsia="Calibri"/>
          <w:vertAlign w:val="subscript"/>
        </w:rPr>
        <w:t>КІП</w:t>
      </w:r>
      <w:r w:rsidRPr="00B806D2">
        <w:rPr>
          <w:rFonts w:eastAsia="Calibri"/>
        </w:rPr>
        <w:t xml:space="preserve"> </w:t>
      </w:r>
      <w:r w:rsidRPr="008007E3">
        <w:rPr>
          <w:rFonts w:eastAsia="Calibri"/>
        </w:rPr>
        <w:t xml:space="preserve">= ЧМвК1д </w:t>
      </w:r>
      <w:r w:rsidR="00EB206E">
        <w:rPr>
          <w:rFonts w:eastAsia="Calibri"/>
        </w:rPr>
        <w:t>‒</w:t>
      </w:r>
      <w:r w:rsidRPr="008007E3">
        <w:rPr>
          <w:rFonts w:eastAsia="Calibri"/>
        </w:rPr>
        <w:t xml:space="preserve"> [(К1</w:t>
      </w:r>
      <w:r w:rsidRPr="008007E3">
        <w:rPr>
          <w:rFonts w:eastAsia="Calibri"/>
          <w:vertAlign w:val="subscript"/>
        </w:rPr>
        <w:t>Д</w:t>
      </w:r>
      <w:r w:rsidRPr="00B806D2">
        <w:rPr>
          <w:rFonts w:eastAsia="Calibri"/>
        </w:rPr>
        <w:t xml:space="preserve"> </w:t>
      </w:r>
      <w:r w:rsidRPr="008007E3">
        <w:rPr>
          <w:rFonts w:eastAsia="Calibri"/>
        </w:rPr>
        <w:t xml:space="preserve">– </w:t>
      </w:r>
      <w:proofErr w:type="spellStart"/>
      <w:r w:rsidRPr="008007E3">
        <w:rPr>
          <w:rFonts w:eastAsia="Calibri"/>
        </w:rPr>
        <w:t>min</w:t>
      </w:r>
      <w:proofErr w:type="spellEnd"/>
      <w:r w:rsidRPr="008007E3">
        <w:rPr>
          <w:rFonts w:eastAsia="Calibri"/>
        </w:rPr>
        <w:t>{НК1</w:t>
      </w:r>
      <w:r w:rsidRPr="008007E3">
        <w:rPr>
          <w:rFonts w:eastAsia="Calibri"/>
          <w:vertAlign w:val="subscript"/>
        </w:rPr>
        <w:t>Д</w:t>
      </w:r>
      <w:r w:rsidRPr="008007E3">
        <w:rPr>
          <w:rFonts w:eastAsia="Calibri"/>
        </w:rPr>
        <w:t>; НК1</w:t>
      </w:r>
      <w:r w:rsidRPr="008007E3">
        <w:rPr>
          <w:rFonts w:eastAsia="Calibri"/>
          <w:vertAlign w:val="subscript"/>
        </w:rPr>
        <w:t>Д</w:t>
      </w:r>
      <w:r w:rsidRPr="008007E3">
        <w:rPr>
          <w:rFonts w:eastAsia="Calibri"/>
          <w:vertAlign w:val="superscript"/>
        </w:rPr>
        <w:t>к</w:t>
      </w:r>
      <w:r w:rsidRPr="008007E3">
        <w:rPr>
          <w:rFonts w:eastAsia="Calibri"/>
        </w:rPr>
        <w:t>})</w:t>
      </w:r>
      <w:r w:rsidR="00EB206E">
        <w:rPr>
          <w:rFonts w:eastAsia="Calibri"/>
        </w:rPr>
        <w:t xml:space="preserve"> </w:t>
      </w:r>
      <w:r w:rsidRPr="008007E3">
        <w:rPr>
          <w:rFonts w:eastAsia="Calibri"/>
        </w:rPr>
        <w:t>х В</w:t>
      </w:r>
      <w:r w:rsidRPr="008007E3">
        <w:rPr>
          <w:rFonts w:eastAsia="Calibri"/>
          <w:vertAlign w:val="subscript"/>
        </w:rPr>
        <w:t>КвК1</w:t>
      </w:r>
      <w:r w:rsidRPr="008007E3">
        <w:rPr>
          <w:rFonts w:eastAsia="Calibri"/>
        </w:rPr>
        <w:t>],</w:t>
      </w:r>
    </w:p>
    <w:p w14:paraId="766103BC" w14:textId="77777777" w:rsidR="00C072D2" w:rsidRPr="008007E3" w:rsidRDefault="00C072D2" w:rsidP="00790D2B">
      <w:pPr>
        <w:ind w:firstLine="567"/>
        <w:rPr>
          <w:rFonts w:eastAsia="Calibri"/>
        </w:rPr>
      </w:pPr>
    </w:p>
    <w:p w14:paraId="02D93F76" w14:textId="3CF4F2D9" w:rsidR="00C072D2" w:rsidRPr="008007E3" w:rsidRDefault="00C072D2" w:rsidP="007E1CAC">
      <w:pPr>
        <w:rPr>
          <w:rFonts w:eastAsia="Calibri"/>
        </w:rPr>
      </w:pPr>
      <w:r w:rsidRPr="008007E3">
        <w:rPr>
          <w:rFonts w:eastAsia="Calibri"/>
        </w:rPr>
        <w:t xml:space="preserve">де </w:t>
      </w:r>
      <w:r w:rsidR="00790D2B" w:rsidRPr="008007E3">
        <w:rPr>
          <w:rFonts w:eastAsia="Calibri"/>
        </w:rPr>
        <w:tab/>
      </w:r>
      <w:r w:rsidRPr="008007E3">
        <w:rPr>
          <w:rFonts w:eastAsia="Calibri"/>
        </w:rPr>
        <w:t>ЧМвК1</w:t>
      </w:r>
      <w:r w:rsidRPr="008007E3">
        <w:rPr>
          <w:rFonts w:eastAsia="Calibri"/>
          <w:vertAlign w:val="subscript"/>
        </w:rPr>
        <w:t>КІП</w:t>
      </w:r>
      <w:r w:rsidRPr="008007E3">
        <w:rPr>
          <w:rFonts w:eastAsia="Calibri"/>
        </w:rPr>
        <w:t xml:space="preserve"> – розмір частки меншості в К1 </w:t>
      </w:r>
      <w:r w:rsidRPr="00B373B7">
        <w:rPr>
          <w:rFonts w:eastAsia="Calibri"/>
        </w:rPr>
        <w:t xml:space="preserve">дочірньої компанії </w:t>
      </w:r>
      <w:r w:rsidR="007B6B60"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що включається до К1</w:t>
      </w:r>
      <w:r w:rsidRPr="008007E3">
        <w:rPr>
          <w:rFonts w:eastAsia="Calibri"/>
          <w:vertAlign w:val="subscript"/>
        </w:rPr>
        <w:t>КІП</w:t>
      </w:r>
      <w:r w:rsidRPr="008007E3">
        <w:rPr>
          <w:rFonts w:eastAsia="Calibri"/>
        </w:rPr>
        <w:t>;</w:t>
      </w:r>
    </w:p>
    <w:p w14:paraId="63643528" w14:textId="1C154E38" w:rsidR="00C072D2" w:rsidRPr="008007E3" w:rsidRDefault="00C072D2" w:rsidP="00790D2B">
      <w:pPr>
        <w:ind w:firstLine="567"/>
        <w:rPr>
          <w:rFonts w:eastAsia="Calibri"/>
        </w:rPr>
      </w:pPr>
      <w:r w:rsidRPr="008007E3">
        <w:rPr>
          <w:rFonts w:eastAsia="Calibri"/>
        </w:rPr>
        <w:t xml:space="preserve">ЧМвК1д – розмір частки меншості в К1 </w:t>
      </w:r>
      <w:r w:rsidRPr="00B373B7">
        <w:rPr>
          <w:rFonts w:eastAsia="Calibri"/>
        </w:rPr>
        <w:t xml:space="preserve">дочірньої компанії </w:t>
      </w:r>
      <w:r w:rsidR="007B6B60"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визначений відповідно до пункту 3 глави 10 розділу II цього Положення;</w:t>
      </w:r>
    </w:p>
    <w:p w14:paraId="16582E95" w14:textId="78667695" w:rsidR="00C072D2" w:rsidRPr="008007E3" w:rsidRDefault="00C072D2" w:rsidP="00790D2B">
      <w:pPr>
        <w:ind w:firstLine="567"/>
        <w:rPr>
          <w:rFonts w:eastAsia="Calibri"/>
        </w:rPr>
      </w:pPr>
      <w:r w:rsidRPr="008007E3">
        <w:rPr>
          <w:rFonts w:eastAsia="Calibri"/>
        </w:rPr>
        <w:t>К1</w:t>
      </w:r>
      <w:r w:rsidRPr="008007E3">
        <w:rPr>
          <w:rFonts w:eastAsia="Calibri"/>
          <w:vertAlign w:val="subscript"/>
        </w:rPr>
        <w:t>Д</w:t>
      </w:r>
      <w:r w:rsidRPr="008007E3">
        <w:rPr>
          <w:rFonts w:eastAsia="Calibri"/>
        </w:rPr>
        <w:t xml:space="preserve"> – фактичний розмір капіталу 1 рівня (далі – К1) </w:t>
      </w:r>
      <w:r w:rsidRPr="00B373B7">
        <w:rPr>
          <w:rFonts w:eastAsia="Calibri"/>
        </w:rPr>
        <w:t xml:space="preserve">дочірньої компанії </w:t>
      </w:r>
      <w:r w:rsidR="007B6B60"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який визначається як сума складових капіталу дочірньої компанії, що відповідають вимогам глав 3 та 9 розділу II цього Положення для включення до складових ОК1</w:t>
      </w:r>
      <w:r w:rsidRPr="008007E3">
        <w:rPr>
          <w:rFonts w:eastAsia="Calibri"/>
          <w:vertAlign w:val="subscript"/>
        </w:rPr>
        <w:t>КІП</w:t>
      </w:r>
      <w:r w:rsidRPr="008007E3">
        <w:rPr>
          <w:rFonts w:eastAsia="Calibri"/>
        </w:rPr>
        <w:t>, ДК1</w:t>
      </w:r>
      <w:r w:rsidRPr="008007E3">
        <w:rPr>
          <w:rFonts w:eastAsia="Calibri"/>
          <w:vertAlign w:val="subscript"/>
        </w:rPr>
        <w:t>КІП</w:t>
      </w:r>
      <w:r w:rsidRPr="00B806D2">
        <w:rPr>
          <w:rFonts w:eastAsia="Calibri"/>
        </w:rPr>
        <w:t xml:space="preserve"> </w:t>
      </w:r>
      <w:r w:rsidRPr="008007E3">
        <w:rPr>
          <w:rFonts w:eastAsia="Calibri"/>
        </w:rPr>
        <w:t>відповідно</w:t>
      </w:r>
      <w:r w:rsidRPr="00B806D2">
        <w:rPr>
          <w:rFonts w:eastAsia="Calibri"/>
        </w:rPr>
        <w:t>,</w:t>
      </w:r>
      <w:r w:rsidRPr="008007E3">
        <w:rPr>
          <w:rFonts w:eastAsia="Calibri"/>
        </w:rPr>
        <w:t xml:space="preserve"> зменшена на суму </w:t>
      </w:r>
      <w:proofErr w:type="spellStart"/>
      <w:r w:rsidRPr="008007E3">
        <w:rPr>
          <w:rFonts w:eastAsia="Calibri"/>
        </w:rPr>
        <w:t>вирахувань</w:t>
      </w:r>
      <w:proofErr w:type="spellEnd"/>
      <w:r w:rsidRPr="008007E3">
        <w:rPr>
          <w:rFonts w:eastAsia="Calibri"/>
        </w:rPr>
        <w:t xml:space="preserve">, що відповідають вимогам глав 3 та 9 розділу II цього Положення щодо </w:t>
      </w:r>
      <w:proofErr w:type="spellStart"/>
      <w:r w:rsidRPr="008007E3">
        <w:rPr>
          <w:rFonts w:eastAsia="Calibri"/>
        </w:rPr>
        <w:t>вирахувань</w:t>
      </w:r>
      <w:proofErr w:type="spellEnd"/>
      <w:r w:rsidRPr="008007E3">
        <w:rPr>
          <w:rFonts w:eastAsia="Calibri"/>
        </w:rPr>
        <w:t xml:space="preserve"> з ОК1</w:t>
      </w:r>
      <w:r w:rsidRPr="008007E3">
        <w:rPr>
          <w:rFonts w:eastAsia="Calibri"/>
          <w:vertAlign w:val="subscript"/>
        </w:rPr>
        <w:t>КІП</w:t>
      </w:r>
      <w:r w:rsidRPr="008007E3">
        <w:rPr>
          <w:rFonts w:eastAsia="Calibri"/>
        </w:rPr>
        <w:t>, ДК1</w:t>
      </w:r>
      <w:r w:rsidRPr="008007E3">
        <w:rPr>
          <w:rFonts w:eastAsia="Calibri"/>
          <w:vertAlign w:val="subscript"/>
        </w:rPr>
        <w:t>КІП</w:t>
      </w:r>
      <w:r w:rsidRPr="008007E3">
        <w:rPr>
          <w:rFonts w:eastAsia="Calibri"/>
        </w:rPr>
        <w:t>;</w:t>
      </w:r>
    </w:p>
    <w:p w14:paraId="4FFFB596" w14:textId="0DE033D5" w:rsidR="00C072D2" w:rsidRPr="008007E3" w:rsidRDefault="00C072D2" w:rsidP="00790D2B">
      <w:pPr>
        <w:ind w:firstLine="567"/>
        <w:rPr>
          <w:rFonts w:eastAsia="Calibri"/>
        </w:rPr>
      </w:pPr>
      <w:r w:rsidRPr="008007E3">
        <w:rPr>
          <w:rFonts w:eastAsia="Calibri"/>
        </w:rPr>
        <w:t>НК1</w:t>
      </w:r>
      <w:r w:rsidRPr="008007E3">
        <w:rPr>
          <w:rFonts w:eastAsia="Calibri"/>
          <w:vertAlign w:val="subscript"/>
        </w:rPr>
        <w:t>Д</w:t>
      </w:r>
      <w:r w:rsidRPr="008007E3">
        <w:rPr>
          <w:rFonts w:eastAsia="Calibri"/>
        </w:rPr>
        <w:t xml:space="preserve"> – необхідний розмір К1 </w:t>
      </w:r>
      <w:r w:rsidRPr="00B373B7">
        <w:rPr>
          <w:rFonts w:eastAsia="Calibri"/>
        </w:rPr>
        <w:t xml:space="preserve">дочірньої компанії </w:t>
      </w:r>
      <w:r w:rsidR="004D3DD9"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для виконання вимог </w:t>
      </w:r>
      <w:r w:rsidR="004D3DD9">
        <w:rPr>
          <w:rFonts w:eastAsia="Calibri"/>
        </w:rPr>
        <w:t>що</w:t>
      </w:r>
      <w:r w:rsidRPr="008007E3">
        <w:rPr>
          <w:rFonts w:eastAsia="Calibri"/>
        </w:rPr>
        <w:t>до достатності К1 цією дочірньою компанією, визначених у пункті 4 глави 10 розділу II цього Положення;</w:t>
      </w:r>
    </w:p>
    <w:p w14:paraId="1FE622D2" w14:textId="3867F076" w:rsidR="00C072D2" w:rsidRPr="008007E3" w:rsidRDefault="00C072D2" w:rsidP="00790D2B">
      <w:pPr>
        <w:ind w:firstLine="567"/>
        <w:rPr>
          <w:rFonts w:eastAsia="Calibri"/>
        </w:rPr>
      </w:pPr>
      <w:r w:rsidRPr="008007E3">
        <w:rPr>
          <w:rFonts w:eastAsia="Calibri"/>
        </w:rPr>
        <w:t>НК1</w:t>
      </w:r>
      <w:r w:rsidRPr="008007E3">
        <w:rPr>
          <w:rFonts w:eastAsia="Calibri"/>
          <w:vertAlign w:val="subscript"/>
        </w:rPr>
        <w:t>Д</w:t>
      </w:r>
      <w:r w:rsidRPr="008007E3">
        <w:rPr>
          <w:rFonts w:eastAsia="Calibri"/>
          <w:vertAlign w:val="superscript"/>
        </w:rPr>
        <w:t>к</w:t>
      </w:r>
      <w:r w:rsidRPr="00B806D2">
        <w:rPr>
          <w:rFonts w:eastAsia="Calibri"/>
        </w:rPr>
        <w:t xml:space="preserve"> </w:t>
      </w:r>
      <w:r w:rsidRPr="008007E3">
        <w:rPr>
          <w:rFonts w:eastAsia="Calibri"/>
        </w:rPr>
        <w:t xml:space="preserve">– необхідний розмір К1 </w:t>
      </w:r>
      <w:r w:rsidRPr="00B373B7">
        <w:rPr>
          <w:rFonts w:eastAsia="Calibri"/>
        </w:rPr>
        <w:t xml:space="preserve">дочірньої компанії </w:t>
      </w:r>
      <w:r w:rsidR="005E5E27"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для виконання вимог щодо достатності К1 цією дочірньою компанією, визначених у пункті 4 глави 10 розділу II цього Положення, розрахований </w:t>
      </w:r>
      <w:r w:rsidR="00C35528">
        <w:rPr>
          <w:rFonts w:eastAsia="Calibri"/>
        </w:rPr>
        <w:t>на основі</w:t>
      </w:r>
      <w:r w:rsidR="00A83959">
        <w:rPr>
          <w:rFonts w:eastAsia="Calibri"/>
        </w:rPr>
        <w:t xml:space="preserve"> </w:t>
      </w:r>
      <w:r w:rsidRPr="008007E3">
        <w:rPr>
          <w:rFonts w:eastAsia="Calibri"/>
        </w:rPr>
        <w:t>сукупн</w:t>
      </w:r>
      <w:r w:rsidR="00554E92" w:rsidRPr="00554E92">
        <w:rPr>
          <w:rFonts w:eastAsia="Calibri"/>
        </w:rPr>
        <w:t>о</w:t>
      </w:r>
      <w:r w:rsidR="00554E92">
        <w:rPr>
          <w:rFonts w:eastAsia="Calibri"/>
        </w:rPr>
        <w:t>ї</w:t>
      </w:r>
      <w:r w:rsidRPr="008007E3">
        <w:rPr>
          <w:rFonts w:eastAsia="Calibri"/>
        </w:rPr>
        <w:t xml:space="preserve"> експозиці</w:t>
      </w:r>
      <w:r w:rsidR="00554E92">
        <w:rPr>
          <w:rFonts w:eastAsia="Calibri"/>
        </w:rPr>
        <w:t>ї</w:t>
      </w:r>
      <w:r w:rsidRPr="008007E3">
        <w:rPr>
          <w:rFonts w:eastAsia="Calibri"/>
        </w:rPr>
        <w:t xml:space="preserve"> під ризиком кредитно-інвестиційної підгрупи в частині, що стосується такої дочірньої компанії. Розрахунок здійснюється з урахуванням процедури виключення </w:t>
      </w:r>
      <w:proofErr w:type="spellStart"/>
      <w:r w:rsidRPr="008007E3">
        <w:rPr>
          <w:rFonts w:eastAsia="Calibri"/>
        </w:rPr>
        <w:t>внутрішньогрупових</w:t>
      </w:r>
      <w:proofErr w:type="spellEnd"/>
      <w:r w:rsidRPr="008007E3">
        <w:rPr>
          <w:rFonts w:eastAsia="Calibri"/>
        </w:rPr>
        <w:t xml:space="preserve"> операцій між учасниками кредитно-інвестиційної підгрупи;</w:t>
      </w:r>
    </w:p>
    <w:p w14:paraId="5AD29845" w14:textId="602FEC3E" w:rsidR="00C072D2" w:rsidRPr="008007E3" w:rsidRDefault="00C072D2" w:rsidP="00790D2B">
      <w:pPr>
        <w:ind w:firstLine="567"/>
        <w:rPr>
          <w:rFonts w:eastAsia="Calibri"/>
        </w:rPr>
      </w:pPr>
      <w:r w:rsidRPr="008007E3">
        <w:rPr>
          <w:rFonts w:eastAsia="Calibri"/>
        </w:rPr>
        <w:t>В</w:t>
      </w:r>
      <w:r w:rsidRPr="008007E3">
        <w:rPr>
          <w:rFonts w:eastAsia="Calibri"/>
          <w:vertAlign w:val="subscript"/>
        </w:rPr>
        <w:t>КвК1</w:t>
      </w:r>
      <w:r w:rsidRPr="00B806D2">
        <w:rPr>
          <w:rFonts w:eastAsia="Calibri"/>
        </w:rPr>
        <w:t xml:space="preserve"> </w:t>
      </w:r>
      <w:r w:rsidRPr="008007E3">
        <w:rPr>
          <w:rFonts w:eastAsia="Calibri"/>
        </w:rPr>
        <w:t xml:space="preserve">– відсоток частки меншості в К1 </w:t>
      </w:r>
      <w:r w:rsidRPr="00B373B7">
        <w:rPr>
          <w:rFonts w:eastAsia="Calibri"/>
        </w:rPr>
        <w:t>дочірньої компанії</w:t>
      </w:r>
      <w:r w:rsidR="00766D4B" w:rsidRPr="00B373B7">
        <w:rPr>
          <w:rFonts w:eastAsia="Calibri"/>
        </w:rPr>
        <w:t xml:space="preserve"> –</w:t>
      </w:r>
      <w:r w:rsidRPr="00B373B7">
        <w:rPr>
          <w:rFonts w:eastAsia="Calibri"/>
        </w:rPr>
        <w:t xml:space="preserve"> учасника</w:t>
      </w:r>
      <w:r w:rsidRPr="008007E3">
        <w:rPr>
          <w:rFonts w:eastAsia="Calibri"/>
        </w:rPr>
        <w:t xml:space="preserve"> кредитно-інвестиційної підгрупи, розрахований як відношення розміру частки меншості в К1 цієї дочірньої компанії (ЧМвК1д), визначено</w:t>
      </w:r>
      <w:r w:rsidR="00646306" w:rsidRPr="008007E3">
        <w:rPr>
          <w:rFonts w:eastAsia="Calibri"/>
        </w:rPr>
        <w:t>ї</w:t>
      </w:r>
      <w:r w:rsidRPr="008007E3">
        <w:rPr>
          <w:rFonts w:eastAsia="Calibri"/>
        </w:rPr>
        <w:t xml:space="preserve"> відповідно до пункту 3 глави 10 розділу II цього Положення, до загальної суми складових ОК1 та ДК1 цієї дочірньої компанії, що відповідають вимогам глав 3 та 9 розділу II цього Положення для включення до складових ОК1</w:t>
      </w:r>
      <w:r w:rsidRPr="008007E3">
        <w:rPr>
          <w:rFonts w:eastAsia="Calibri"/>
          <w:vertAlign w:val="subscript"/>
        </w:rPr>
        <w:t>КІП</w:t>
      </w:r>
      <w:r w:rsidRPr="008007E3">
        <w:rPr>
          <w:rFonts w:eastAsia="Calibri"/>
        </w:rPr>
        <w:t>, ДК1</w:t>
      </w:r>
      <w:r w:rsidRPr="008007E3">
        <w:rPr>
          <w:rFonts w:eastAsia="Calibri"/>
          <w:vertAlign w:val="subscript"/>
        </w:rPr>
        <w:t>КІП</w:t>
      </w:r>
      <w:r w:rsidRPr="008007E3">
        <w:rPr>
          <w:rFonts w:eastAsia="Calibri"/>
        </w:rPr>
        <w:t>.</w:t>
      </w:r>
    </w:p>
    <w:p w14:paraId="5C2881EE" w14:textId="77777777" w:rsidR="00C072D2" w:rsidRPr="008007E3" w:rsidRDefault="00C072D2" w:rsidP="00790D2B">
      <w:pPr>
        <w:ind w:firstLine="567"/>
        <w:rPr>
          <w:rFonts w:eastAsia="Calibri"/>
        </w:rPr>
      </w:pPr>
    </w:p>
    <w:p w14:paraId="190D72C3" w14:textId="793EB5E1" w:rsidR="00C072D2" w:rsidRPr="008007E3" w:rsidRDefault="00C072D2" w:rsidP="00790D2B">
      <w:pPr>
        <w:ind w:firstLine="567"/>
        <w:rPr>
          <w:rFonts w:eastAsia="Calibri"/>
        </w:rPr>
      </w:pPr>
      <w:r w:rsidRPr="008007E3">
        <w:rPr>
          <w:rFonts w:eastAsia="Calibri"/>
        </w:rPr>
        <w:lastRenderedPageBreak/>
        <w:t xml:space="preserve">3. Відповідальна особа банківської групи визначає частку меншості в К1 </w:t>
      </w:r>
      <w:r w:rsidRPr="00B373B7">
        <w:rPr>
          <w:rFonts w:eastAsia="Calibri"/>
        </w:rPr>
        <w:t xml:space="preserve">дочірньої компанії </w:t>
      </w:r>
      <w:r w:rsidR="007E1CAC"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(ЧМвК1д) як суму складових ОК1, ДК1 цієї дочірньої компанії за одночасного дотримання таких умов:</w:t>
      </w:r>
    </w:p>
    <w:p w14:paraId="33F85A83" w14:textId="77777777" w:rsidR="00C072D2" w:rsidRPr="008007E3" w:rsidRDefault="00C072D2" w:rsidP="00790D2B">
      <w:pPr>
        <w:ind w:firstLine="567"/>
        <w:rPr>
          <w:rFonts w:eastAsia="Calibri"/>
        </w:rPr>
      </w:pPr>
    </w:p>
    <w:p w14:paraId="59B52BDB" w14:textId="75D478B6" w:rsidR="00C072D2" w:rsidRPr="008007E3" w:rsidRDefault="00C072D2" w:rsidP="00790D2B">
      <w:pPr>
        <w:ind w:firstLine="567"/>
        <w:rPr>
          <w:rFonts w:eastAsia="Calibri"/>
        </w:rPr>
      </w:pPr>
      <w:r w:rsidRPr="008007E3">
        <w:rPr>
          <w:rFonts w:eastAsia="Calibri"/>
        </w:rPr>
        <w:t>1) до дочірньої компанії встановлені вимоги щодо достатності ОК1, К1;</w:t>
      </w:r>
    </w:p>
    <w:p w14:paraId="1660495A" w14:textId="77777777" w:rsidR="00C072D2" w:rsidRPr="008007E3" w:rsidRDefault="00C072D2" w:rsidP="00790D2B">
      <w:pPr>
        <w:ind w:firstLine="567"/>
        <w:rPr>
          <w:rFonts w:eastAsia="Calibri"/>
        </w:rPr>
      </w:pPr>
    </w:p>
    <w:p w14:paraId="06EABE8A" w14:textId="77777777" w:rsidR="00C072D2" w:rsidRPr="008007E3" w:rsidRDefault="00C072D2" w:rsidP="00790D2B">
      <w:pPr>
        <w:ind w:firstLine="567"/>
        <w:rPr>
          <w:rFonts w:eastAsia="Calibri"/>
        </w:rPr>
      </w:pPr>
      <w:r w:rsidRPr="008007E3">
        <w:rPr>
          <w:rFonts w:eastAsia="Calibri"/>
        </w:rPr>
        <w:t>2) показники звітності дочірньої компанії включаються до консолідованої звітності банківської групи з використанням методу повної консолідації відповідно до цього Положення;</w:t>
      </w:r>
    </w:p>
    <w:p w14:paraId="769C7A7D" w14:textId="77777777" w:rsidR="00C072D2" w:rsidRPr="008007E3" w:rsidRDefault="00C072D2" w:rsidP="00790D2B">
      <w:pPr>
        <w:ind w:firstLine="567"/>
        <w:rPr>
          <w:rFonts w:eastAsia="Calibri"/>
        </w:rPr>
      </w:pPr>
    </w:p>
    <w:p w14:paraId="6C13FCC0" w14:textId="24B4EC59" w:rsidR="00C072D2" w:rsidRPr="008007E3" w:rsidRDefault="00C072D2" w:rsidP="00790D2B">
      <w:pPr>
        <w:ind w:firstLine="567"/>
        <w:rPr>
          <w:rFonts w:eastAsia="Calibri"/>
        </w:rPr>
      </w:pPr>
      <w:r w:rsidRPr="008007E3">
        <w:rPr>
          <w:rFonts w:eastAsia="Calibri"/>
        </w:rPr>
        <w:t>3) складові ОК1, ДК1, зазначені в абзаці першому пункту 3 глави 10 розділу II цього Положення, належать інвесторам</w:t>
      </w:r>
      <w:r w:rsidR="00A83959">
        <w:rPr>
          <w:rFonts w:eastAsia="Calibri"/>
        </w:rPr>
        <w:t xml:space="preserve"> – </w:t>
      </w:r>
      <w:r w:rsidRPr="008007E3">
        <w:rPr>
          <w:rFonts w:eastAsia="Calibri"/>
        </w:rPr>
        <w:t>третім особам;</w:t>
      </w:r>
    </w:p>
    <w:p w14:paraId="55D44EF4" w14:textId="77777777" w:rsidR="00C072D2" w:rsidRPr="008007E3" w:rsidRDefault="00C072D2" w:rsidP="00790D2B">
      <w:pPr>
        <w:ind w:firstLine="567"/>
        <w:rPr>
          <w:rFonts w:eastAsia="Calibri"/>
        </w:rPr>
      </w:pPr>
    </w:p>
    <w:p w14:paraId="4CE5D48F" w14:textId="4CE69DD7" w:rsidR="00C072D2" w:rsidRPr="008007E3" w:rsidRDefault="00C072D2" w:rsidP="00790D2B">
      <w:pPr>
        <w:ind w:firstLine="567"/>
        <w:rPr>
          <w:rFonts w:eastAsia="Calibri"/>
        </w:rPr>
      </w:pPr>
      <w:r w:rsidRPr="008007E3">
        <w:rPr>
          <w:rFonts w:eastAsia="Calibri"/>
        </w:rPr>
        <w:t xml:space="preserve">4) складові ОК1, ДК1, зазначені в абзаці першому пункту 3 глави 10 розділу II цього Положення, не </w:t>
      </w:r>
      <w:proofErr w:type="spellStart"/>
      <w:r w:rsidRPr="008007E3">
        <w:rPr>
          <w:rFonts w:eastAsia="Calibri"/>
        </w:rPr>
        <w:t>профінасовані</w:t>
      </w:r>
      <w:proofErr w:type="spellEnd"/>
      <w:r w:rsidRPr="008007E3">
        <w:rPr>
          <w:rFonts w:eastAsia="Calibri"/>
        </w:rPr>
        <w:t xml:space="preserve"> прямо чи опосередковано учасниками банківської групи або їх</w:t>
      </w:r>
      <w:r w:rsidR="00686524">
        <w:rPr>
          <w:rFonts w:eastAsia="Calibri"/>
        </w:rPr>
        <w:t>німи</w:t>
      </w:r>
      <w:r w:rsidRPr="008007E3">
        <w:rPr>
          <w:rFonts w:eastAsia="Calibri"/>
        </w:rPr>
        <w:t xml:space="preserve"> дочірніми компаніями. Складові ОК1, ДК1 вважаються такими, що профінансовані прямо чи опосередковано учасниками банківської групи або їх</w:t>
      </w:r>
      <w:r w:rsidR="006D3ED7">
        <w:rPr>
          <w:rFonts w:eastAsia="Calibri"/>
        </w:rPr>
        <w:t>німи</w:t>
      </w:r>
      <w:r w:rsidRPr="008007E3">
        <w:rPr>
          <w:rFonts w:eastAsia="Calibri"/>
        </w:rPr>
        <w:t xml:space="preserve"> дочірніми компаніями, якщо кошти вважаються прямо чи опосередковано залученими згідно з пунктами 84</w:t>
      </w:r>
      <w:r w:rsidR="000E62F1">
        <w:rPr>
          <w:rFonts w:eastAsia="Calibri"/>
        </w:rPr>
        <w:t>–</w:t>
      </w:r>
      <w:r w:rsidRPr="008007E3">
        <w:rPr>
          <w:rFonts w:eastAsia="Calibri"/>
        </w:rPr>
        <w:t xml:space="preserve">87 глави 14 розділу ІV Положення № 196. </w:t>
      </w:r>
    </w:p>
    <w:p w14:paraId="28185DB3" w14:textId="77777777" w:rsidR="00C072D2" w:rsidRPr="008007E3" w:rsidRDefault="00C072D2" w:rsidP="00790D2B">
      <w:pPr>
        <w:ind w:firstLine="567"/>
        <w:rPr>
          <w:rFonts w:eastAsia="Calibri"/>
        </w:rPr>
      </w:pPr>
    </w:p>
    <w:p w14:paraId="49CF5725" w14:textId="3F0D0061" w:rsidR="00C072D2" w:rsidRPr="008007E3" w:rsidRDefault="00C072D2" w:rsidP="00790D2B">
      <w:pPr>
        <w:ind w:firstLine="567"/>
        <w:rPr>
          <w:rFonts w:eastAsia="Calibri"/>
        </w:rPr>
      </w:pPr>
      <w:r w:rsidRPr="008007E3">
        <w:rPr>
          <w:rFonts w:eastAsia="Calibri"/>
        </w:rPr>
        <w:t xml:space="preserve">4. Відповідальна особа банківської групи під час розрахунку частки меншості в К1 </w:t>
      </w:r>
      <w:r w:rsidRPr="00B373B7">
        <w:rPr>
          <w:rFonts w:eastAsia="Calibri"/>
        </w:rPr>
        <w:t xml:space="preserve">дочірньої компанії </w:t>
      </w:r>
      <w:r w:rsidR="006D3ED7"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що включається до К1</w:t>
      </w:r>
      <w:r w:rsidRPr="008007E3">
        <w:rPr>
          <w:rFonts w:eastAsia="Calibri"/>
          <w:vertAlign w:val="subscript"/>
        </w:rPr>
        <w:t>КІП</w:t>
      </w:r>
      <w:r w:rsidRPr="008007E3">
        <w:rPr>
          <w:rFonts w:eastAsia="Calibri"/>
        </w:rPr>
        <w:t xml:space="preserve"> (ЧМвК1</w:t>
      </w:r>
      <w:r w:rsidRPr="008007E3">
        <w:rPr>
          <w:rFonts w:eastAsia="Calibri"/>
          <w:vertAlign w:val="subscript"/>
        </w:rPr>
        <w:t>КІП</w:t>
      </w:r>
      <w:r w:rsidRPr="008007E3">
        <w:rPr>
          <w:rFonts w:eastAsia="Calibri"/>
        </w:rPr>
        <w:t>)</w:t>
      </w:r>
      <w:r w:rsidR="006D3ED7" w:rsidRPr="006D3ED7">
        <w:rPr>
          <w:rFonts w:eastAsia="Calibri"/>
        </w:rPr>
        <w:t>,</w:t>
      </w:r>
      <w:r w:rsidRPr="00B806D2">
        <w:rPr>
          <w:rFonts w:eastAsia="Calibri"/>
        </w:rPr>
        <w:t xml:space="preserve"> </w:t>
      </w:r>
      <w:r w:rsidRPr="008007E3">
        <w:rPr>
          <w:rFonts w:eastAsia="Calibri"/>
        </w:rPr>
        <w:t>визначає необхідний розмір К1 цієї дочірньої компанії, який необхідний для дотримання:</w:t>
      </w:r>
    </w:p>
    <w:p w14:paraId="324F0C58" w14:textId="77777777" w:rsidR="00C072D2" w:rsidRPr="008007E3" w:rsidRDefault="00C072D2" w:rsidP="00790D2B">
      <w:pPr>
        <w:ind w:firstLine="567"/>
        <w:rPr>
          <w:rFonts w:eastAsia="Calibri"/>
        </w:rPr>
      </w:pPr>
    </w:p>
    <w:p w14:paraId="1D996702" w14:textId="77777777" w:rsidR="00C072D2" w:rsidRPr="008007E3" w:rsidRDefault="00C072D2" w:rsidP="00790D2B">
      <w:pPr>
        <w:ind w:firstLine="567"/>
        <w:rPr>
          <w:rFonts w:eastAsia="Calibri"/>
        </w:rPr>
      </w:pPr>
      <w:r w:rsidRPr="008007E3">
        <w:rPr>
          <w:rFonts w:eastAsia="Calibri"/>
        </w:rPr>
        <w:t xml:space="preserve">1) українською дочірньою компанією, яка є банком, – одночасно вимог до: </w:t>
      </w:r>
    </w:p>
    <w:p w14:paraId="211185CE" w14:textId="77777777" w:rsidR="00C072D2" w:rsidRPr="008007E3" w:rsidRDefault="00C072D2" w:rsidP="00790D2B">
      <w:pPr>
        <w:ind w:firstLine="567"/>
        <w:contextualSpacing/>
        <w:rPr>
          <w:rFonts w:eastAsia="Calibri"/>
        </w:rPr>
      </w:pPr>
      <w:r w:rsidRPr="008007E3">
        <w:rPr>
          <w:rFonts w:eastAsia="Calibri"/>
        </w:rPr>
        <w:t>мінімального значення нормативу достатності К1, встановленого Національним банком;</w:t>
      </w:r>
    </w:p>
    <w:p w14:paraId="3846EDA7" w14:textId="77777777" w:rsidR="00C072D2" w:rsidRPr="008007E3" w:rsidRDefault="00C072D2" w:rsidP="00790D2B">
      <w:pPr>
        <w:ind w:firstLine="567"/>
        <w:contextualSpacing/>
        <w:rPr>
          <w:rFonts w:eastAsia="Calibri"/>
        </w:rPr>
      </w:pPr>
      <w:r w:rsidRPr="008007E3">
        <w:rPr>
          <w:rFonts w:eastAsia="Calibri"/>
        </w:rPr>
        <w:t>підвищеного значення нормативу достатності К1, встановленого Національним банком згідно з частиною десятою статті 67 Закону про банки;</w:t>
      </w:r>
    </w:p>
    <w:p w14:paraId="1417F3E4" w14:textId="77777777" w:rsidR="00C072D2" w:rsidRPr="008007E3" w:rsidRDefault="00C072D2" w:rsidP="00790D2B">
      <w:pPr>
        <w:ind w:firstLine="567"/>
        <w:contextualSpacing/>
      </w:pPr>
      <w:r w:rsidRPr="008007E3">
        <w:t>комбінованого буфера капіталу;</w:t>
      </w:r>
    </w:p>
    <w:p w14:paraId="75F42B98" w14:textId="77777777" w:rsidR="00C072D2" w:rsidRPr="008007E3" w:rsidRDefault="00C072D2" w:rsidP="00790D2B">
      <w:pPr>
        <w:ind w:firstLine="567"/>
        <w:contextualSpacing/>
        <w:rPr>
          <w:rFonts w:eastAsia="Calibri"/>
        </w:rPr>
      </w:pPr>
    </w:p>
    <w:p w14:paraId="33396825" w14:textId="17B824DD" w:rsidR="00C072D2" w:rsidRPr="008007E3" w:rsidRDefault="00C072D2" w:rsidP="00790D2B">
      <w:pPr>
        <w:ind w:firstLine="567"/>
        <w:contextualSpacing/>
        <w:rPr>
          <w:rFonts w:eastAsia="Calibri"/>
        </w:rPr>
      </w:pPr>
      <w:r w:rsidRPr="008007E3">
        <w:rPr>
          <w:rFonts w:eastAsia="Calibri"/>
        </w:rPr>
        <w:t>2) українською дочірньою компанією, яка є небанківською фінансовою установою</w:t>
      </w:r>
      <w:r w:rsidR="009E75D3">
        <w:rPr>
          <w:rFonts w:eastAsia="Calibri"/>
        </w:rPr>
        <w:t>,</w:t>
      </w:r>
      <w:r w:rsidRPr="008007E3">
        <w:rPr>
          <w:rFonts w:eastAsia="Calibri"/>
        </w:rPr>
        <w:t xml:space="preserve"> – вимог </w:t>
      </w:r>
      <w:r w:rsidR="00C72190">
        <w:rPr>
          <w:rFonts w:eastAsia="Calibri"/>
        </w:rPr>
        <w:t>що</w:t>
      </w:r>
      <w:r w:rsidRPr="008007E3">
        <w:rPr>
          <w:rFonts w:eastAsia="Calibri"/>
        </w:rPr>
        <w:t>до достатності К1, встановлених Регулятором;</w:t>
      </w:r>
    </w:p>
    <w:p w14:paraId="3C5D2C15" w14:textId="77777777" w:rsidR="00C072D2" w:rsidRPr="008007E3" w:rsidRDefault="00C072D2" w:rsidP="00790D2B">
      <w:pPr>
        <w:ind w:firstLine="567"/>
        <w:contextualSpacing/>
        <w:rPr>
          <w:rFonts w:eastAsia="Calibri"/>
        </w:rPr>
      </w:pPr>
    </w:p>
    <w:p w14:paraId="5D70F6E5" w14:textId="78720634" w:rsidR="00C072D2" w:rsidRPr="008007E3" w:rsidRDefault="00C072D2" w:rsidP="00790D2B">
      <w:pPr>
        <w:ind w:firstLine="567"/>
        <w:contextualSpacing/>
        <w:rPr>
          <w:rFonts w:eastAsia="Calibri"/>
        </w:rPr>
      </w:pPr>
      <w:r w:rsidRPr="008007E3">
        <w:rPr>
          <w:rFonts w:eastAsia="Calibri"/>
        </w:rPr>
        <w:t xml:space="preserve">3) іноземною дочірньою компанією – вимог </w:t>
      </w:r>
      <w:r w:rsidR="00C72190">
        <w:rPr>
          <w:rFonts w:eastAsia="Calibri"/>
        </w:rPr>
        <w:t>що</w:t>
      </w:r>
      <w:r w:rsidRPr="008007E3">
        <w:rPr>
          <w:rFonts w:eastAsia="Calibri"/>
        </w:rPr>
        <w:t>до достатності К1, встановлених відповідним державним органом іноземної держави.</w:t>
      </w:r>
    </w:p>
    <w:p w14:paraId="51BCA427" w14:textId="77777777" w:rsidR="00C072D2" w:rsidRPr="008007E3" w:rsidRDefault="00C072D2" w:rsidP="00790D2B">
      <w:pPr>
        <w:ind w:firstLine="567"/>
        <w:rPr>
          <w:rFonts w:eastAsia="Calibri"/>
        </w:rPr>
      </w:pPr>
    </w:p>
    <w:p w14:paraId="4CF25AC3" w14:textId="65FA35B8" w:rsidR="00C072D2" w:rsidRPr="008007E3" w:rsidRDefault="00C072D2" w:rsidP="00790D2B">
      <w:pPr>
        <w:ind w:firstLine="567"/>
        <w:rPr>
          <w:rFonts w:eastAsia="Calibri"/>
        </w:rPr>
      </w:pPr>
      <w:r w:rsidRPr="008007E3">
        <w:rPr>
          <w:rFonts w:eastAsia="Calibri"/>
        </w:rPr>
        <w:t xml:space="preserve">5. Відповідальна особа банківської групи, якщо </w:t>
      </w:r>
      <w:r w:rsidRPr="00B373B7">
        <w:rPr>
          <w:rFonts w:eastAsia="Calibri"/>
        </w:rPr>
        <w:t xml:space="preserve">дочірня компанія </w:t>
      </w:r>
      <w:r w:rsidR="006D3ED7" w:rsidRPr="00B373B7">
        <w:rPr>
          <w:rFonts w:eastAsia="Calibri"/>
        </w:rPr>
        <w:t>–</w:t>
      </w:r>
      <w:r w:rsidRPr="00B373B7">
        <w:rPr>
          <w:rFonts w:eastAsia="Calibri"/>
        </w:rPr>
        <w:t xml:space="preserve"> учасник</w:t>
      </w:r>
      <w:r w:rsidRPr="008007E3">
        <w:rPr>
          <w:rFonts w:eastAsia="Calibri"/>
        </w:rPr>
        <w:t xml:space="preserve"> кредитно-інвестиційної підгрупи має власні дочірні компанії, які також є учасниками цієї кредитно-інвестиційної підгрупи, здійснює розрахунок частки меншості в К1 </w:t>
      </w:r>
      <w:r w:rsidRPr="00B373B7">
        <w:rPr>
          <w:rFonts w:eastAsia="Calibri"/>
        </w:rPr>
        <w:t xml:space="preserve">дочірньої компанії </w:t>
      </w:r>
      <w:r w:rsidR="006D3ED7" w:rsidRPr="00B373B7">
        <w:rPr>
          <w:rFonts w:eastAsia="Calibri"/>
        </w:rPr>
        <w:t>–</w:t>
      </w:r>
      <w:r w:rsidRPr="002D60C1">
        <w:rPr>
          <w:rFonts w:eastAsia="Calibri"/>
        </w:rPr>
        <w:t xml:space="preserve"> учасника</w:t>
      </w:r>
      <w:r w:rsidRPr="008007E3">
        <w:rPr>
          <w:rFonts w:eastAsia="Calibri"/>
        </w:rPr>
        <w:t xml:space="preserve"> кредитно-інвестиційної підгрупи, </w:t>
      </w:r>
      <w:r w:rsidRPr="008007E3">
        <w:rPr>
          <w:rFonts w:eastAsia="Calibri"/>
        </w:rPr>
        <w:lastRenderedPageBreak/>
        <w:t>що включається до К1</w:t>
      </w:r>
      <w:r w:rsidRPr="008007E3">
        <w:rPr>
          <w:rFonts w:eastAsia="Calibri"/>
          <w:vertAlign w:val="subscript"/>
        </w:rPr>
        <w:t>КІП</w:t>
      </w:r>
      <w:r w:rsidRPr="008007E3">
        <w:rPr>
          <w:rFonts w:eastAsia="Calibri"/>
        </w:rPr>
        <w:t xml:space="preserve"> (ЧМвК1</w:t>
      </w:r>
      <w:r w:rsidRPr="008007E3">
        <w:rPr>
          <w:rFonts w:eastAsia="Calibri"/>
          <w:vertAlign w:val="subscript"/>
        </w:rPr>
        <w:t>КІП</w:t>
      </w:r>
      <w:r w:rsidRPr="008007E3">
        <w:rPr>
          <w:rFonts w:eastAsia="Calibri"/>
        </w:rPr>
        <w:t xml:space="preserve">) згідно з главою 10 розділу II цього Положення. </w:t>
      </w:r>
    </w:p>
    <w:p w14:paraId="0890C894" w14:textId="42438907" w:rsidR="00C072D2" w:rsidRPr="008007E3" w:rsidRDefault="00C072D2" w:rsidP="00790D2B">
      <w:pPr>
        <w:ind w:firstLine="567"/>
        <w:rPr>
          <w:rFonts w:eastAsia="Calibri"/>
        </w:rPr>
      </w:pPr>
      <w:r w:rsidRPr="008007E3">
        <w:rPr>
          <w:rFonts w:eastAsia="Calibri"/>
        </w:rPr>
        <w:t xml:space="preserve">Розрахунок частки меншості в К1 </w:t>
      </w:r>
      <w:r w:rsidRPr="00B373B7">
        <w:rPr>
          <w:rFonts w:eastAsia="Calibri"/>
        </w:rPr>
        <w:t xml:space="preserve">дочірньої компанії </w:t>
      </w:r>
      <w:r w:rsidR="006D3ED7"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що включається до К1</w:t>
      </w:r>
      <w:r w:rsidRPr="008007E3">
        <w:rPr>
          <w:rFonts w:eastAsia="Calibri"/>
          <w:vertAlign w:val="subscript"/>
        </w:rPr>
        <w:t>КІП</w:t>
      </w:r>
      <w:r w:rsidRPr="008007E3">
        <w:rPr>
          <w:rFonts w:eastAsia="Calibri"/>
        </w:rPr>
        <w:t xml:space="preserve"> (ЧМвК1</w:t>
      </w:r>
      <w:r w:rsidRPr="008007E3">
        <w:rPr>
          <w:rFonts w:eastAsia="Calibri"/>
          <w:vertAlign w:val="subscript"/>
        </w:rPr>
        <w:t>КІП</w:t>
      </w:r>
      <w:r w:rsidRPr="008007E3">
        <w:rPr>
          <w:rFonts w:eastAsia="Calibri"/>
        </w:rPr>
        <w:t xml:space="preserve">), здійснюється на </w:t>
      </w:r>
      <w:proofErr w:type="spellStart"/>
      <w:r w:rsidRPr="008007E3">
        <w:rPr>
          <w:rFonts w:eastAsia="Calibri"/>
        </w:rPr>
        <w:t>субконсолідованій</w:t>
      </w:r>
      <w:proofErr w:type="spellEnd"/>
      <w:r w:rsidRPr="008007E3">
        <w:rPr>
          <w:rFonts w:eastAsia="Calibri"/>
        </w:rPr>
        <w:t xml:space="preserve"> основі.</w:t>
      </w:r>
    </w:p>
    <w:p w14:paraId="356B9229" w14:textId="705E519A" w:rsidR="00C072D2" w:rsidRPr="008007E3" w:rsidRDefault="00C072D2" w:rsidP="00790D2B">
      <w:pPr>
        <w:ind w:firstLine="567"/>
        <w:rPr>
          <w:rFonts w:eastAsia="Calibri"/>
        </w:rPr>
      </w:pPr>
      <w:r w:rsidRPr="008007E3">
        <w:rPr>
          <w:rFonts w:eastAsia="Calibri"/>
        </w:rPr>
        <w:t xml:space="preserve">До розрахунку К1 </w:t>
      </w:r>
      <w:r w:rsidRPr="00B373B7">
        <w:rPr>
          <w:rFonts w:eastAsia="Calibri"/>
        </w:rPr>
        <w:t xml:space="preserve">дочірньої компанії </w:t>
      </w:r>
      <w:r w:rsidR="006D3ED7"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можуть включатися частки меншості в К1 її дочірніх компаній, розмір яких визначається в порядку, </w:t>
      </w:r>
      <w:r w:rsidR="00C05876">
        <w:rPr>
          <w:rFonts w:eastAsia="Calibri"/>
        </w:rPr>
        <w:t>у</w:t>
      </w:r>
      <w:r w:rsidR="006D3ED7">
        <w:rPr>
          <w:rFonts w:eastAsia="Calibri"/>
        </w:rPr>
        <w:t>становленому в</w:t>
      </w:r>
      <w:r w:rsidR="006D3ED7" w:rsidRPr="008007E3">
        <w:rPr>
          <w:rFonts w:eastAsia="Calibri"/>
        </w:rPr>
        <w:t xml:space="preserve"> </w:t>
      </w:r>
      <w:r w:rsidRPr="008007E3">
        <w:rPr>
          <w:rFonts w:eastAsia="Calibri"/>
        </w:rPr>
        <w:t>глав</w:t>
      </w:r>
      <w:r w:rsidR="006D3ED7">
        <w:rPr>
          <w:rFonts w:eastAsia="Calibri"/>
        </w:rPr>
        <w:t>і</w:t>
      </w:r>
      <w:r w:rsidRPr="008007E3">
        <w:rPr>
          <w:rFonts w:eastAsia="Calibri"/>
        </w:rPr>
        <w:t xml:space="preserve"> 10 розділу II цього Положення.</w:t>
      </w:r>
    </w:p>
    <w:p w14:paraId="7AD2F1CD" w14:textId="77777777" w:rsidR="00C072D2" w:rsidRPr="008007E3" w:rsidRDefault="00C072D2" w:rsidP="00790D2B">
      <w:pPr>
        <w:ind w:firstLine="567"/>
        <w:rPr>
          <w:rFonts w:eastAsia="Calibri"/>
        </w:rPr>
      </w:pPr>
    </w:p>
    <w:p w14:paraId="09934D8C" w14:textId="5E56BA47" w:rsidR="00C072D2" w:rsidRPr="008007E3" w:rsidRDefault="00C072D2" w:rsidP="00790D2B">
      <w:pPr>
        <w:ind w:firstLine="567"/>
        <w:rPr>
          <w:rFonts w:eastAsia="Calibri"/>
        </w:rPr>
      </w:pPr>
      <w:r w:rsidRPr="008007E3">
        <w:rPr>
          <w:rFonts w:eastAsia="Calibri"/>
        </w:rPr>
        <w:t xml:space="preserve">6. Відповідальна особа банківської групи </w:t>
      </w:r>
      <w:r w:rsidR="00A83959">
        <w:rPr>
          <w:rFonts w:eastAsia="Calibri"/>
        </w:rPr>
        <w:t>в</w:t>
      </w:r>
      <w:r w:rsidRPr="008007E3">
        <w:rPr>
          <w:rFonts w:eastAsia="Calibri"/>
        </w:rPr>
        <w:t xml:space="preserve"> разі включення до розрахунку ДК1</w:t>
      </w:r>
      <w:r w:rsidRPr="008007E3">
        <w:rPr>
          <w:rFonts w:eastAsia="Calibri"/>
          <w:vertAlign w:val="subscript"/>
        </w:rPr>
        <w:t>КІП</w:t>
      </w:r>
      <w:r w:rsidRPr="008007E3">
        <w:rPr>
          <w:rFonts w:eastAsia="Calibri"/>
        </w:rPr>
        <w:t xml:space="preserve"> частки меншості в ДК1 іноземної </w:t>
      </w:r>
      <w:r w:rsidRPr="00B373B7">
        <w:rPr>
          <w:rFonts w:eastAsia="Calibri"/>
        </w:rPr>
        <w:t xml:space="preserve">дочірньої компанії </w:t>
      </w:r>
      <w:r w:rsidR="00A83959"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забезпечує документування та підтримання в актуальному стані інформації про вимоги </w:t>
      </w:r>
      <w:r w:rsidR="00C72190">
        <w:rPr>
          <w:rFonts w:eastAsia="Calibri"/>
        </w:rPr>
        <w:t>що</w:t>
      </w:r>
      <w:r w:rsidRPr="008007E3">
        <w:rPr>
          <w:rFonts w:eastAsia="Calibri"/>
        </w:rPr>
        <w:t>до достатності К1, встановлені відповідним державним органом іноземної держави.</w:t>
      </w:r>
    </w:p>
    <w:p w14:paraId="55FD4A53" w14:textId="77777777" w:rsidR="007E1CAC" w:rsidRPr="008007E3" w:rsidRDefault="007E1CAC" w:rsidP="00790D2B">
      <w:pPr>
        <w:ind w:firstLine="567"/>
        <w:rPr>
          <w:rFonts w:eastAsia="Calibri"/>
        </w:rPr>
      </w:pPr>
    </w:p>
    <w:p w14:paraId="6BA46339" w14:textId="77777777" w:rsidR="00C072D2" w:rsidRPr="008007E3" w:rsidRDefault="00C072D2" w:rsidP="00790D2B">
      <w:pPr>
        <w:jc w:val="center"/>
        <w:rPr>
          <w:rFonts w:eastAsia="Calibri"/>
        </w:rPr>
      </w:pPr>
      <w:r w:rsidRPr="008007E3">
        <w:rPr>
          <w:rFonts w:eastAsia="Calibri"/>
        </w:rPr>
        <w:t>Глава 11. Розрахунок К2</w:t>
      </w:r>
      <w:r w:rsidRPr="008007E3">
        <w:rPr>
          <w:rFonts w:eastAsia="Calibri"/>
          <w:vertAlign w:val="subscript"/>
        </w:rPr>
        <w:t>КІП</w:t>
      </w:r>
    </w:p>
    <w:p w14:paraId="1C7F84E9" w14:textId="77777777" w:rsidR="00C072D2" w:rsidRPr="008007E3" w:rsidRDefault="00C072D2" w:rsidP="00790D2B">
      <w:pPr>
        <w:ind w:firstLine="567"/>
        <w:jc w:val="center"/>
        <w:rPr>
          <w:rFonts w:eastAsia="Calibri"/>
        </w:rPr>
      </w:pPr>
    </w:p>
    <w:p w14:paraId="631A9437" w14:textId="7D29F596" w:rsidR="00C072D2" w:rsidRPr="008007E3" w:rsidRDefault="00C072D2" w:rsidP="00790D2B">
      <w:pPr>
        <w:ind w:firstLine="567"/>
        <w:rPr>
          <w:rFonts w:eastAsia="Calibri"/>
        </w:rPr>
      </w:pPr>
      <w:r w:rsidRPr="008007E3">
        <w:rPr>
          <w:rFonts w:eastAsia="Calibri"/>
        </w:rPr>
        <w:t>1. Відповідальна особа банківської групи визначає розмір К2</w:t>
      </w:r>
      <w:r w:rsidRPr="008007E3">
        <w:rPr>
          <w:rFonts w:eastAsia="Calibri"/>
          <w:vertAlign w:val="subscript"/>
        </w:rPr>
        <w:t>КІП</w:t>
      </w:r>
      <w:r w:rsidRPr="008007E3">
        <w:rPr>
          <w:rFonts w:eastAsia="Calibri"/>
        </w:rPr>
        <w:t xml:space="preserve"> як суму складових К2</w:t>
      </w:r>
      <w:r w:rsidRPr="008007E3">
        <w:rPr>
          <w:rFonts w:eastAsia="Calibri"/>
          <w:vertAlign w:val="subscript"/>
        </w:rPr>
        <w:t>КІП</w:t>
      </w:r>
      <w:r w:rsidRPr="008007E3">
        <w:rPr>
          <w:rFonts w:eastAsia="Calibri"/>
        </w:rPr>
        <w:t xml:space="preserve">, зменшену на суму </w:t>
      </w:r>
      <w:proofErr w:type="spellStart"/>
      <w:r w:rsidRPr="008007E3">
        <w:rPr>
          <w:rFonts w:eastAsia="Calibri"/>
        </w:rPr>
        <w:t>вирахувань</w:t>
      </w:r>
      <w:proofErr w:type="spellEnd"/>
      <w:r w:rsidRPr="008007E3">
        <w:rPr>
          <w:rFonts w:eastAsia="Calibri"/>
        </w:rPr>
        <w:t xml:space="preserve"> </w:t>
      </w:r>
      <w:r w:rsidR="008007E3">
        <w:rPr>
          <w:rFonts w:eastAsia="Calibri"/>
        </w:rPr>
        <w:t>і</w:t>
      </w:r>
      <w:r w:rsidRPr="008007E3">
        <w:rPr>
          <w:rFonts w:eastAsia="Calibri"/>
        </w:rPr>
        <w:t>з К2</w:t>
      </w:r>
      <w:r w:rsidRPr="008007E3">
        <w:rPr>
          <w:rFonts w:eastAsia="Calibri"/>
          <w:vertAlign w:val="subscript"/>
        </w:rPr>
        <w:t>КІП</w:t>
      </w:r>
      <w:r w:rsidRPr="008007E3">
        <w:rPr>
          <w:rFonts w:eastAsia="Calibri"/>
        </w:rPr>
        <w:t>.</w:t>
      </w:r>
    </w:p>
    <w:p w14:paraId="0DB4FD51" w14:textId="77777777" w:rsidR="00C072D2" w:rsidRPr="008007E3" w:rsidRDefault="00C072D2" w:rsidP="00790D2B">
      <w:pPr>
        <w:ind w:firstLine="567"/>
        <w:rPr>
          <w:rFonts w:eastAsia="Calibri"/>
        </w:rPr>
      </w:pPr>
    </w:p>
    <w:p w14:paraId="7366BF26" w14:textId="77777777" w:rsidR="00C072D2" w:rsidRPr="008007E3" w:rsidRDefault="00C072D2" w:rsidP="00790D2B">
      <w:pPr>
        <w:ind w:firstLine="567"/>
        <w:rPr>
          <w:rFonts w:eastAsia="Calibri"/>
        </w:rPr>
      </w:pPr>
      <w:r w:rsidRPr="008007E3">
        <w:rPr>
          <w:rFonts w:eastAsia="Calibri"/>
        </w:rPr>
        <w:t>2. Відповідальна особа банківської групи до складових К2</w:t>
      </w:r>
      <w:r w:rsidRPr="008007E3">
        <w:rPr>
          <w:rFonts w:eastAsia="Calibri"/>
          <w:vertAlign w:val="subscript"/>
        </w:rPr>
        <w:t>КІП</w:t>
      </w:r>
      <w:r w:rsidRPr="008007E3">
        <w:rPr>
          <w:rFonts w:eastAsia="Calibri"/>
        </w:rPr>
        <w:t xml:space="preserve"> включає:</w:t>
      </w:r>
    </w:p>
    <w:p w14:paraId="47C013E2" w14:textId="77777777" w:rsidR="00C072D2" w:rsidRPr="008007E3" w:rsidRDefault="00C072D2" w:rsidP="00790D2B">
      <w:pPr>
        <w:ind w:firstLine="567"/>
        <w:rPr>
          <w:rFonts w:eastAsia="Calibri"/>
        </w:rPr>
      </w:pPr>
    </w:p>
    <w:p w14:paraId="2EC7A157" w14:textId="027D3D2C" w:rsidR="00C072D2" w:rsidRPr="008007E3" w:rsidRDefault="00C072D2" w:rsidP="00790D2B">
      <w:pPr>
        <w:ind w:firstLine="567"/>
        <w:rPr>
          <w:rFonts w:eastAsia="Calibri"/>
        </w:rPr>
      </w:pPr>
      <w:r w:rsidRPr="008007E3">
        <w:rPr>
          <w:rFonts w:eastAsia="Calibri"/>
        </w:rPr>
        <w:t xml:space="preserve">1) складові К2, визначені </w:t>
      </w:r>
      <w:r w:rsidR="009F118E">
        <w:rPr>
          <w:rFonts w:eastAsia="Calibri"/>
        </w:rPr>
        <w:t xml:space="preserve">в </w:t>
      </w:r>
      <w:r w:rsidRPr="008007E3">
        <w:rPr>
          <w:rFonts w:eastAsia="Calibri"/>
        </w:rPr>
        <w:t>глав</w:t>
      </w:r>
      <w:r w:rsidR="009F118E">
        <w:rPr>
          <w:rFonts w:eastAsia="Calibri"/>
        </w:rPr>
        <w:t>і</w:t>
      </w:r>
      <w:r w:rsidRPr="008007E3">
        <w:rPr>
          <w:rFonts w:eastAsia="Calibri"/>
        </w:rPr>
        <w:t xml:space="preserve"> 12 розділу III Положення № 196;</w:t>
      </w:r>
    </w:p>
    <w:p w14:paraId="3B855116" w14:textId="77777777" w:rsidR="00C072D2" w:rsidRPr="008007E3" w:rsidRDefault="00C072D2" w:rsidP="00790D2B">
      <w:pPr>
        <w:ind w:firstLine="567"/>
        <w:rPr>
          <w:rFonts w:eastAsia="Calibri"/>
        </w:rPr>
      </w:pPr>
    </w:p>
    <w:p w14:paraId="0484819A" w14:textId="19A062C8" w:rsidR="00C072D2" w:rsidRPr="008007E3" w:rsidRDefault="00C072D2" w:rsidP="00790D2B">
      <w:pPr>
        <w:ind w:firstLine="567"/>
        <w:rPr>
          <w:rFonts w:eastAsia="Calibri"/>
        </w:rPr>
      </w:pPr>
      <w:r w:rsidRPr="008007E3">
        <w:rPr>
          <w:rFonts w:eastAsia="Calibri"/>
        </w:rPr>
        <w:t xml:space="preserve">2) частки меншості в К2 </w:t>
      </w:r>
      <w:r w:rsidRPr="00B373B7">
        <w:rPr>
          <w:rFonts w:eastAsia="Calibri"/>
        </w:rPr>
        <w:t xml:space="preserve">дочірніх компаній </w:t>
      </w:r>
      <w:r w:rsidR="009F118E" w:rsidRPr="00B373B7">
        <w:rPr>
          <w:rFonts w:eastAsia="Calibri"/>
        </w:rPr>
        <w:t>‒</w:t>
      </w:r>
      <w:r w:rsidRPr="00B373B7">
        <w:rPr>
          <w:rFonts w:eastAsia="Calibri"/>
        </w:rPr>
        <w:t xml:space="preserve"> учасників</w:t>
      </w:r>
      <w:r w:rsidRPr="008007E3">
        <w:rPr>
          <w:rFonts w:eastAsia="Calibri"/>
        </w:rPr>
        <w:t xml:space="preserve"> кредитно-інвестиційної підгрупи, розраховані в порядку, визначеному в главі 12 розділу II цього Положення. </w:t>
      </w:r>
    </w:p>
    <w:p w14:paraId="6A6CA4CB" w14:textId="73EB9453" w:rsidR="00C072D2" w:rsidRPr="008007E3" w:rsidRDefault="00C072D2" w:rsidP="00790D2B">
      <w:pPr>
        <w:ind w:firstLine="567"/>
        <w:rPr>
          <w:rFonts w:eastAsia="Calibri"/>
        </w:rPr>
      </w:pPr>
      <w:r w:rsidRPr="008007E3">
        <w:rPr>
          <w:rFonts w:eastAsia="Calibri"/>
        </w:rPr>
        <w:t>Відповідальна особа банківської групи має право прийняти рішення не здійснювати розрахун</w:t>
      </w:r>
      <w:r w:rsidR="009F118E">
        <w:rPr>
          <w:rFonts w:eastAsia="Calibri"/>
        </w:rPr>
        <w:t>ку</w:t>
      </w:r>
      <w:r w:rsidRPr="008007E3">
        <w:rPr>
          <w:rFonts w:eastAsia="Calibri"/>
        </w:rPr>
        <w:t xml:space="preserve"> розміру частки меншості в К2 </w:t>
      </w:r>
      <w:r w:rsidRPr="00B373B7">
        <w:rPr>
          <w:rFonts w:eastAsia="Calibri"/>
        </w:rPr>
        <w:t xml:space="preserve">дочірньої компанії </w:t>
      </w:r>
      <w:r w:rsidR="009F118E"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та не включати </w:t>
      </w:r>
      <w:r w:rsidRPr="008007E3">
        <w:t xml:space="preserve">її </w:t>
      </w:r>
      <w:r w:rsidRPr="008007E3">
        <w:rPr>
          <w:rFonts w:eastAsia="Calibri"/>
        </w:rPr>
        <w:t>до розрахунку К2</w:t>
      </w:r>
      <w:r w:rsidRPr="008007E3">
        <w:rPr>
          <w:rFonts w:eastAsia="Calibri"/>
          <w:vertAlign w:val="subscript"/>
        </w:rPr>
        <w:t>КІП</w:t>
      </w:r>
      <w:r w:rsidRPr="008007E3">
        <w:rPr>
          <w:rFonts w:eastAsia="Calibri"/>
        </w:rPr>
        <w:t xml:space="preserve">. </w:t>
      </w:r>
    </w:p>
    <w:p w14:paraId="202CBB71" w14:textId="77777777" w:rsidR="00C072D2" w:rsidRPr="008007E3" w:rsidRDefault="00C072D2" w:rsidP="00790D2B">
      <w:pPr>
        <w:ind w:firstLine="567"/>
      </w:pPr>
    </w:p>
    <w:p w14:paraId="284902DA" w14:textId="4C9235F4" w:rsidR="00C072D2" w:rsidRPr="008007E3" w:rsidRDefault="00C072D2" w:rsidP="00790D2B">
      <w:pPr>
        <w:ind w:firstLine="567"/>
      </w:pPr>
      <w:r w:rsidRPr="008007E3">
        <w:t>3. Відповідальна особа банківської групи здійснює вирахування з К2</w:t>
      </w:r>
      <w:r w:rsidRPr="008007E3">
        <w:rPr>
          <w:vertAlign w:val="subscript"/>
        </w:rPr>
        <w:t>КІП</w:t>
      </w:r>
      <w:r w:rsidRPr="008007E3">
        <w:t xml:space="preserve"> згідно з главою 13 розділу III Положення № 196.</w:t>
      </w:r>
    </w:p>
    <w:p w14:paraId="07504D6D" w14:textId="77777777" w:rsidR="00AD02AB" w:rsidRPr="008007E3" w:rsidRDefault="00AD02AB" w:rsidP="00790D2B">
      <w:pPr>
        <w:ind w:firstLine="567"/>
      </w:pPr>
    </w:p>
    <w:p w14:paraId="451A7D62" w14:textId="17194E76" w:rsidR="00C072D2" w:rsidRPr="008007E3" w:rsidRDefault="00C072D2" w:rsidP="00790D2B">
      <w:pPr>
        <w:jc w:val="center"/>
        <w:rPr>
          <w:rFonts w:eastAsia="Calibri"/>
        </w:rPr>
      </w:pPr>
      <w:r w:rsidRPr="008007E3">
        <w:rPr>
          <w:rFonts w:eastAsia="Calibri"/>
        </w:rPr>
        <w:t xml:space="preserve">Глава 12. Розрахунок частки меншості в К2 </w:t>
      </w:r>
      <w:r w:rsidRPr="00B373B7">
        <w:rPr>
          <w:rFonts w:eastAsia="Calibri"/>
        </w:rPr>
        <w:t xml:space="preserve">дочірньої компанії </w:t>
      </w:r>
      <w:r w:rsidR="009F118E"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що включається до К2</w:t>
      </w:r>
      <w:r w:rsidRPr="008007E3">
        <w:rPr>
          <w:rFonts w:eastAsia="Calibri"/>
          <w:vertAlign w:val="subscript"/>
        </w:rPr>
        <w:t>КІП</w:t>
      </w:r>
    </w:p>
    <w:p w14:paraId="2448E2C8" w14:textId="77777777" w:rsidR="00C072D2" w:rsidRPr="008007E3" w:rsidRDefault="00C072D2" w:rsidP="0039775B">
      <w:pPr>
        <w:ind w:firstLine="567"/>
        <w:rPr>
          <w:rFonts w:eastAsia="Calibri"/>
        </w:rPr>
      </w:pPr>
    </w:p>
    <w:p w14:paraId="1B30E5C1" w14:textId="11461ED7" w:rsidR="00C072D2" w:rsidRPr="008007E3" w:rsidRDefault="00C072D2" w:rsidP="0039775B">
      <w:pPr>
        <w:ind w:firstLine="567"/>
        <w:rPr>
          <w:rFonts w:eastAsia="Calibri"/>
        </w:rPr>
      </w:pPr>
      <w:r w:rsidRPr="008007E3">
        <w:rPr>
          <w:rFonts w:eastAsia="Calibri"/>
        </w:rPr>
        <w:t xml:space="preserve">1. Відповідальна особа банківської групи визначає розмір частки меншості в К2 </w:t>
      </w:r>
      <w:r w:rsidRPr="00B373B7">
        <w:rPr>
          <w:rFonts w:eastAsia="Calibri"/>
        </w:rPr>
        <w:t xml:space="preserve">дочірньої компанії </w:t>
      </w:r>
      <w:r w:rsidR="003E6844"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що включається до К2</w:t>
      </w:r>
      <w:r w:rsidRPr="008007E3">
        <w:rPr>
          <w:rFonts w:eastAsia="Calibri"/>
          <w:vertAlign w:val="subscript"/>
        </w:rPr>
        <w:t>КІП</w:t>
      </w:r>
      <w:r w:rsidRPr="008007E3">
        <w:rPr>
          <w:rFonts w:eastAsia="Calibri"/>
        </w:rPr>
        <w:t>,</w:t>
      </w:r>
      <w:r w:rsidRPr="00B806D2">
        <w:rPr>
          <w:rFonts w:eastAsia="Calibri"/>
        </w:rPr>
        <w:t xml:space="preserve"> </w:t>
      </w:r>
      <w:r w:rsidRPr="008007E3">
        <w:rPr>
          <w:rFonts w:eastAsia="Calibri"/>
        </w:rPr>
        <w:t xml:space="preserve">за </w:t>
      </w:r>
      <w:r w:rsidR="009F118E">
        <w:rPr>
          <w:rFonts w:eastAsia="Calibri"/>
        </w:rPr>
        <w:t xml:space="preserve">такою </w:t>
      </w:r>
      <w:r w:rsidRPr="008007E3">
        <w:rPr>
          <w:rFonts w:eastAsia="Calibri"/>
        </w:rPr>
        <w:t>формулою:</w:t>
      </w:r>
    </w:p>
    <w:p w14:paraId="3DEAE173" w14:textId="77777777" w:rsidR="00C072D2" w:rsidRPr="008007E3" w:rsidRDefault="00C072D2" w:rsidP="0039775B">
      <w:pPr>
        <w:ind w:firstLine="567"/>
        <w:rPr>
          <w:rFonts w:eastAsia="Calibri"/>
        </w:rPr>
      </w:pPr>
    </w:p>
    <w:p w14:paraId="76D7C56D" w14:textId="373569BB" w:rsidR="00C072D2" w:rsidRPr="008007E3" w:rsidRDefault="00C072D2" w:rsidP="0039775B">
      <w:pPr>
        <w:jc w:val="center"/>
        <w:rPr>
          <w:rFonts w:eastAsia="Calibri"/>
        </w:rPr>
      </w:pPr>
      <w:r w:rsidRPr="008007E3">
        <w:rPr>
          <w:rFonts w:eastAsia="Calibri"/>
        </w:rPr>
        <w:t>ЧМвК2</w:t>
      </w:r>
      <w:r w:rsidRPr="008007E3">
        <w:rPr>
          <w:rFonts w:eastAsia="Calibri"/>
          <w:vertAlign w:val="subscript"/>
        </w:rPr>
        <w:t>КІП</w:t>
      </w:r>
      <w:r w:rsidRPr="00B806D2">
        <w:rPr>
          <w:rFonts w:eastAsia="Calibri"/>
        </w:rPr>
        <w:t xml:space="preserve"> </w:t>
      </w:r>
      <w:r w:rsidRPr="008007E3">
        <w:rPr>
          <w:rFonts w:eastAsia="Calibri"/>
        </w:rPr>
        <w:t xml:space="preserve">= </w:t>
      </w:r>
      <w:proofErr w:type="spellStart"/>
      <w:r w:rsidRPr="008007E3">
        <w:rPr>
          <w:rFonts w:eastAsia="Calibri"/>
        </w:rPr>
        <w:t>ЧМвРК</w:t>
      </w:r>
      <w:r w:rsidRPr="008007E3">
        <w:rPr>
          <w:rFonts w:eastAsia="Calibri"/>
          <w:vertAlign w:val="subscript"/>
        </w:rPr>
        <w:t>КІП</w:t>
      </w:r>
      <w:proofErr w:type="spellEnd"/>
      <w:r w:rsidRPr="00B806D2">
        <w:rPr>
          <w:rFonts w:eastAsia="Calibri"/>
        </w:rPr>
        <w:t xml:space="preserve"> </w:t>
      </w:r>
      <w:r w:rsidRPr="008007E3">
        <w:rPr>
          <w:rFonts w:eastAsia="Calibri"/>
        </w:rPr>
        <w:t>– ЧМвК1</w:t>
      </w:r>
      <w:r w:rsidRPr="008007E3">
        <w:rPr>
          <w:rFonts w:eastAsia="Calibri"/>
          <w:vertAlign w:val="subscript"/>
        </w:rPr>
        <w:t>КІП</w:t>
      </w:r>
      <w:r w:rsidRPr="008007E3">
        <w:rPr>
          <w:rFonts w:eastAsia="Calibri"/>
        </w:rPr>
        <w:t>,</w:t>
      </w:r>
    </w:p>
    <w:p w14:paraId="4EBDDFD5" w14:textId="77777777" w:rsidR="00C072D2" w:rsidRPr="008007E3" w:rsidRDefault="00C072D2" w:rsidP="0039775B">
      <w:pPr>
        <w:ind w:firstLine="567"/>
        <w:rPr>
          <w:rFonts w:eastAsia="Calibri"/>
        </w:rPr>
      </w:pPr>
    </w:p>
    <w:p w14:paraId="6540C452" w14:textId="70C2E5DD" w:rsidR="00C072D2" w:rsidRPr="008007E3" w:rsidRDefault="00C072D2" w:rsidP="0039775B">
      <w:pPr>
        <w:rPr>
          <w:rFonts w:eastAsia="Calibri"/>
        </w:rPr>
      </w:pPr>
      <w:r w:rsidRPr="008007E3">
        <w:rPr>
          <w:rFonts w:eastAsia="Calibri"/>
        </w:rPr>
        <w:lastRenderedPageBreak/>
        <w:t xml:space="preserve">де </w:t>
      </w:r>
      <w:r w:rsidR="0039775B" w:rsidRPr="008007E3">
        <w:rPr>
          <w:rFonts w:eastAsia="Calibri"/>
        </w:rPr>
        <w:tab/>
      </w:r>
      <w:r w:rsidRPr="008007E3">
        <w:rPr>
          <w:rFonts w:eastAsia="Calibri"/>
        </w:rPr>
        <w:t>ЧМвК2</w:t>
      </w:r>
      <w:r w:rsidRPr="008007E3">
        <w:rPr>
          <w:rFonts w:eastAsia="Calibri"/>
          <w:vertAlign w:val="subscript"/>
        </w:rPr>
        <w:t>КІП</w:t>
      </w:r>
      <w:r w:rsidRPr="00534006">
        <w:rPr>
          <w:rFonts w:eastAsia="Calibri"/>
        </w:rPr>
        <w:t xml:space="preserve"> </w:t>
      </w:r>
      <w:r w:rsidRPr="008007E3">
        <w:rPr>
          <w:rFonts w:eastAsia="Calibri"/>
        </w:rPr>
        <w:t xml:space="preserve">– розмір частки меншості в К2 </w:t>
      </w:r>
      <w:r w:rsidRPr="00B373B7">
        <w:rPr>
          <w:rFonts w:eastAsia="Calibri"/>
        </w:rPr>
        <w:t xml:space="preserve">дочірньої компанії </w:t>
      </w:r>
      <w:r w:rsidR="009F118E"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що включається до К2</w:t>
      </w:r>
      <w:r w:rsidRPr="008007E3">
        <w:rPr>
          <w:rFonts w:eastAsia="Calibri"/>
          <w:vertAlign w:val="subscript"/>
        </w:rPr>
        <w:t>КІП</w:t>
      </w:r>
      <w:r w:rsidRPr="008007E3">
        <w:rPr>
          <w:rFonts w:eastAsia="Calibri"/>
        </w:rPr>
        <w:t>;</w:t>
      </w:r>
    </w:p>
    <w:p w14:paraId="00B864BF" w14:textId="1899951C" w:rsidR="00C072D2" w:rsidRPr="008007E3" w:rsidRDefault="00C072D2" w:rsidP="0039775B">
      <w:pPr>
        <w:ind w:firstLine="567"/>
        <w:rPr>
          <w:rFonts w:eastAsia="Calibri"/>
        </w:rPr>
      </w:pPr>
      <w:proofErr w:type="spellStart"/>
      <w:r w:rsidRPr="008007E3">
        <w:rPr>
          <w:rFonts w:eastAsia="Calibri"/>
        </w:rPr>
        <w:t>ЧМвРК</w:t>
      </w:r>
      <w:r w:rsidRPr="008007E3">
        <w:rPr>
          <w:rFonts w:eastAsia="Calibri"/>
          <w:vertAlign w:val="subscript"/>
        </w:rPr>
        <w:t>КІП</w:t>
      </w:r>
      <w:proofErr w:type="spellEnd"/>
      <w:r w:rsidRPr="008007E3">
        <w:rPr>
          <w:rFonts w:eastAsia="Calibri"/>
        </w:rPr>
        <w:t xml:space="preserve"> </w:t>
      </w:r>
      <w:r w:rsidR="009F118E">
        <w:rPr>
          <w:rFonts w:eastAsia="Calibri"/>
        </w:rPr>
        <w:t>‒</w:t>
      </w:r>
      <w:r w:rsidRPr="008007E3">
        <w:rPr>
          <w:rFonts w:eastAsia="Calibri"/>
        </w:rPr>
        <w:t xml:space="preserve"> розмір частки меншості в РК </w:t>
      </w:r>
      <w:r w:rsidRPr="00B373B7">
        <w:rPr>
          <w:rFonts w:eastAsia="Calibri"/>
        </w:rPr>
        <w:t xml:space="preserve">дочірньої компанії </w:t>
      </w:r>
      <w:r w:rsidR="009F118E"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що включається до РК</w:t>
      </w:r>
      <w:r w:rsidRPr="008007E3">
        <w:rPr>
          <w:rFonts w:eastAsia="Calibri"/>
          <w:vertAlign w:val="subscript"/>
        </w:rPr>
        <w:t>КІП</w:t>
      </w:r>
      <w:r w:rsidRPr="008007E3">
        <w:rPr>
          <w:rFonts w:eastAsia="Calibri"/>
        </w:rPr>
        <w:t>, визначений згідно з пунктом 2 глави 12 розділу II цього Положення;</w:t>
      </w:r>
    </w:p>
    <w:p w14:paraId="3CFD9687" w14:textId="0FC3EF11" w:rsidR="00C072D2" w:rsidRPr="008007E3" w:rsidRDefault="00C072D2" w:rsidP="0039775B">
      <w:pPr>
        <w:ind w:firstLine="567"/>
        <w:rPr>
          <w:rFonts w:eastAsia="Calibri"/>
        </w:rPr>
      </w:pPr>
      <w:r w:rsidRPr="008007E3">
        <w:rPr>
          <w:rFonts w:eastAsia="Calibri"/>
        </w:rPr>
        <w:t>ЧМвК1</w:t>
      </w:r>
      <w:r w:rsidRPr="008007E3">
        <w:rPr>
          <w:rFonts w:eastAsia="Calibri"/>
          <w:vertAlign w:val="subscript"/>
        </w:rPr>
        <w:t>КІП</w:t>
      </w:r>
      <w:r w:rsidRPr="008007E3">
        <w:rPr>
          <w:rFonts w:eastAsia="Calibri"/>
        </w:rPr>
        <w:t xml:space="preserve"> </w:t>
      </w:r>
      <w:r w:rsidR="009F118E">
        <w:rPr>
          <w:rFonts w:eastAsia="Calibri"/>
        </w:rPr>
        <w:t>‒</w:t>
      </w:r>
      <w:r w:rsidRPr="008007E3">
        <w:rPr>
          <w:rFonts w:eastAsia="Calibri"/>
        </w:rPr>
        <w:t xml:space="preserve"> розмір частки меншості в К1 </w:t>
      </w:r>
      <w:r w:rsidRPr="00B373B7">
        <w:rPr>
          <w:rFonts w:eastAsia="Calibri"/>
        </w:rPr>
        <w:t xml:space="preserve">дочірньої компанії </w:t>
      </w:r>
      <w:r w:rsidR="009F118E"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що включається до К1</w:t>
      </w:r>
      <w:r w:rsidRPr="008007E3">
        <w:rPr>
          <w:rFonts w:eastAsia="Calibri"/>
          <w:vertAlign w:val="subscript"/>
        </w:rPr>
        <w:t>КІП</w:t>
      </w:r>
      <w:r w:rsidRPr="008007E3">
        <w:rPr>
          <w:rFonts w:eastAsia="Calibri"/>
        </w:rPr>
        <w:t>, визначений згідно з пунктом 2 глави 10 розділу II цього Положення</w:t>
      </w:r>
      <w:r w:rsidR="009F118E">
        <w:rPr>
          <w:rFonts w:eastAsia="Calibri"/>
        </w:rPr>
        <w:t>.</w:t>
      </w:r>
    </w:p>
    <w:p w14:paraId="67849A26" w14:textId="77777777" w:rsidR="00C072D2" w:rsidRPr="008007E3" w:rsidRDefault="00C072D2" w:rsidP="00204F53">
      <w:pPr>
        <w:ind w:firstLine="567"/>
        <w:rPr>
          <w:rFonts w:eastAsia="Calibri"/>
        </w:rPr>
      </w:pPr>
    </w:p>
    <w:p w14:paraId="651A98B1" w14:textId="0F97DCB6" w:rsidR="00C072D2" w:rsidRPr="008007E3" w:rsidRDefault="00C072D2" w:rsidP="00204F53">
      <w:pPr>
        <w:ind w:firstLine="567"/>
        <w:rPr>
          <w:rFonts w:eastAsia="Calibri"/>
        </w:rPr>
      </w:pPr>
      <w:r w:rsidRPr="008007E3">
        <w:rPr>
          <w:rFonts w:eastAsia="Calibri"/>
        </w:rPr>
        <w:t xml:space="preserve">2. Відповідальна особа банківської групи визначає розмір частки меншості в РК </w:t>
      </w:r>
      <w:r w:rsidRPr="00B373B7">
        <w:rPr>
          <w:rFonts w:eastAsia="Calibri"/>
        </w:rPr>
        <w:t xml:space="preserve">дочірньої компанії </w:t>
      </w:r>
      <w:r w:rsidR="009F118E"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що включається до РК</w:t>
      </w:r>
      <w:r w:rsidRPr="008007E3">
        <w:rPr>
          <w:rFonts w:eastAsia="Calibri"/>
          <w:vertAlign w:val="subscript"/>
        </w:rPr>
        <w:t>КІП</w:t>
      </w:r>
      <w:r w:rsidRPr="008007E3">
        <w:rPr>
          <w:rFonts w:eastAsia="Calibri"/>
        </w:rPr>
        <w:t>,</w:t>
      </w:r>
      <w:r w:rsidRPr="00B806D2">
        <w:rPr>
          <w:rFonts w:eastAsia="Calibri"/>
        </w:rPr>
        <w:t xml:space="preserve"> </w:t>
      </w:r>
      <w:r w:rsidRPr="008007E3">
        <w:rPr>
          <w:rFonts w:eastAsia="Calibri"/>
        </w:rPr>
        <w:t xml:space="preserve">за </w:t>
      </w:r>
      <w:r w:rsidR="009F118E">
        <w:rPr>
          <w:rFonts w:eastAsia="Calibri"/>
        </w:rPr>
        <w:t xml:space="preserve">такою </w:t>
      </w:r>
      <w:r w:rsidRPr="008007E3">
        <w:rPr>
          <w:rFonts w:eastAsia="Calibri"/>
        </w:rPr>
        <w:t>формулою:</w:t>
      </w:r>
    </w:p>
    <w:p w14:paraId="4860A5ED" w14:textId="77777777" w:rsidR="00C072D2" w:rsidRPr="008007E3" w:rsidRDefault="00C072D2" w:rsidP="00204F53">
      <w:pPr>
        <w:ind w:firstLine="567"/>
        <w:rPr>
          <w:rFonts w:eastAsia="Calibri"/>
        </w:rPr>
      </w:pPr>
    </w:p>
    <w:p w14:paraId="3ECA56F4" w14:textId="291E1160" w:rsidR="00C072D2" w:rsidRPr="008007E3" w:rsidRDefault="00C072D2" w:rsidP="00C07CDC">
      <w:pPr>
        <w:jc w:val="center"/>
        <w:rPr>
          <w:rFonts w:eastAsia="Calibri"/>
        </w:rPr>
      </w:pPr>
      <w:proofErr w:type="spellStart"/>
      <w:r w:rsidRPr="008007E3">
        <w:rPr>
          <w:rFonts w:eastAsia="Calibri"/>
        </w:rPr>
        <w:t>ЧМвРК</w:t>
      </w:r>
      <w:r w:rsidRPr="008007E3">
        <w:rPr>
          <w:rFonts w:eastAsia="Calibri"/>
          <w:vertAlign w:val="subscript"/>
        </w:rPr>
        <w:t>КІП</w:t>
      </w:r>
      <w:proofErr w:type="spellEnd"/>
      <w:r w:rsidRPr="00B806D2">
        <w:rPr>
          <w:rFonts w:eastAsia="Calibri"/>
        </w:rPr>
        <w:t xml:space="preserve"> </w:t>
      </w:r>
      <w:r w:rsidRPr="008007E3">
        <w:rPr>
          <w:rFonts w:eastAsia="Calibri"/>
        </w:rPr>
        <w:t xml:space="preserve">= </w:t>
      </w:r>
      <w:proofErr w:type="spellStart"/>
      <w:r w:rsidRPr="008007E3">
        <w:rPr>
          <w:rFonts w:eastAsia="Calibri"/>
        </w:rPr>
        <w:t>ЧМвРКд</w:t>
      </w:r>
      <w:proofErr w:type="spellEnd"/>
      <w:r w:rsidRPr="008007E3">
        <w:rPr>
          <w:rFonts w:eastAsia="Calibri"/>
        </w:rPr>
        <w:t xml:space="preserve"> </w:t>
      </w:r>
      <w:r w:rsidR="00DD08FE">
        <w:rPr>
          <w:rFonts w:eastAsia="Calibri"/>
        </w:rPr>
        <w:t>‒</w:t>
      </w:r>
      <w:r w:rsidRPr="008007E3">
        <w:rPr>
          <w:rFonts w:eastAsia="Calibri"/>
        </w:rPr>
        <w:t xml:space="preserve"> [(РК</w:t>
      </w:r>
      <w:r w:rsidRPr="008007E3">
        <w:rPr>
          <w:rFonts w:eastAsia="Calibri"/>
          <w:vertAlign w:val="subscript"/>
        </w:rPr>
        <w:t>Д</w:t>
      </w:r>
      <w:r w:rsidRPr="00B806D2">
        <w:rPr>
          <w:rFonts w:eastAsia="Calibri"/>
        </w:rPr>
        <w:t xml:space="preserve"> </w:t>
      </w:r>
      <w:r w:rsidRPr="008007E3">
        <w:rPr>
          <w:rFonts w:eastAsia="Calibri"/>
        </w:rPr>
        <w:t xml:space="preserve">– </w:t>
      </w:r>
      <w:proofErr w:type="spellStart"/>
      <w:r w:rsidRPr="008007E3">
        <w:rPr>
          <w:rFonts w:eastAsia="Calibri"/>
        </w:rPr>
        <w:t>min</w:t>
      </w:r>
      <w:proofErr w:type="spellEnd"/>
      <w:r w:rsidRPr="008007E3">
        <w:rPr>
          <w:rFonts w:eastAsia="Calibri"/>
        </w:rPr>
        <w:t>{НРК</w:t>
      </w:r>
      <w:r w:rsidRPr="008007E3">
        <w:rPr>
          <w:rFonts w:eastAsia="Calibri"/>
          <w:vertAlign w:val="subscript"/>
        </w:rPr>
        <w:t>Д</w:t>
      </w:r>
      <w:r w:rsidRPr="008007E3">
        <w:rPr>
          <w:rFonts w:eastAsia="Calibri"/>
        </w:rPr>
        <w:t xml:space="preserve">; </w:t>
      </w:r>
      <w:proofErr w:type="spellStart"/>
      <w:r w:rsidRPr="008007E3">
        <w:rPr>
          <w:rFonts w:eastAsia="Calibri"/>
        </w:rPr>
        <w:t>НРК</w:t>
      </w:r>
      <w:r w:rsidRPr="008007E3">
        <w:rPr>
          <w:rFonts w:eastAsia="Calibri"/>
          <w:vertAlign w:val="subscript"/>
        </w:rPr>
        <w:t>Д</w:t>
      </w:r>
      <w:r w:rsidRPr="008007E3">
        <w:rPr>
          <w:rFonts w:eastAsia="Calibri"/>
          <w:vertAlign w:val="superscript"/>
        </w:rPr>
        <w:t>к</w:t>
      </w:r>
      <w:proofErr w:type="spellEnd"/>
      <w:r w:rsidRPr="008007E3">
        <w:rPr>
          <w:rFonts w:eastAsia="Calibri"/>
        </w:rPr>
        <w:t>})</w:t>
      </w:r>
      <w:r w:rsidR="009F118E">
        <w:rPr>
          <w:rFonts w:eastAsia="Calibri"/>
        </w:rPr>
        <w:t xml:space="preserve"> </w:t>
      </w:r>
      <w:r w:rsidRPr="008007E3">
        <w:rPr>
          <w:rFonts w:eastAsia="Calibri"/>
        </w:rPr>
        <w:t xml:space="preserve">х </w:t>
      </w:r>
      <w:proofErr w:type="spellStart"/>
      <w:r w:rsidRPr="008007E3">
        <w:rPr>
          <w:rFonts w:eastAsia="Calibri"/>
        </w:rPr>
        <w:t>В</w:t>
      </w:r>
      <w:r w:rsidRPr="001F6E0C">
        <w:rPr>
          <w:rFonts w:eastAsia="Calibri"/>
          <w:vertAlign w:val="subscript"/>
        </w:rPr>
        <w:t>ЧМвРК</w:t>
      </w:r>
      <w:proofErr w:type="spellEnd"/>
      <w:r w:rsidRPr="008007E3">
        <w:rPr>
          <w:rFonts w:eastAsia="Calibri"/>
        </w:rPr>
        <w:t>],</w:t>
      </w:r>
    </w:p>
    <w:p w14:paraId="7376B105" w14:textId="77777777" w:rsidR="00C072D2" w:rsidRPr="008007E3" w:rsidRDefault="00C072D2" w:rsidP="00C07CDC">
      <w:pPr>
        <w:ind w:firstLine="567"/>
        <w:rPr>
          <w:rFonts w:eastAsia="Calibri"/>
        </w:rPr>
      </w:pPr>
    </w:p>
    <w:p w14:paraId="4E81CBFC" w14:textId="394BF3D6" w:rsidR="00C072D2" w:rsidRPr="008007E3" w:rsidRDefault="00DB0287" w:rsidP="003E6844">
      <w:pPr>
        <w:rPr>
          <w:rFonts w:eastAsia="Calibri"/>
        </w:rPr>
      </w:pPr>
      <w:r w:rsidRPr="008007E3">
        <w:rPr>
          <w:rFonts w:eastAsia="Calibri"/>
        </w:rPr>
        <w:t xml:space="preserve">де </w:t>
      </w:r>
      <w:r w:rsidR="00C07CDC" w:rsidRPr="008007E3">
        <w:rPr>
          <w:rFonts w:eastAsia="Calibri"/>
        </w:rPr>
        <w:tab/>
      </w:r>
      <w:proofErr w:type="spellStart"/>
      <w:r w:rsidR="00C072D2" w:rsidRPr="008007E3">
        <w:rPr>
          <w:rFonts w:eastAsia="Calibri"/>
        </w:rPr>
        <w:t>ЧМвРК</w:t>
      </w:r>
      <w:r w:rsidR="00C072D2" w:rsidRPr="008007E3">
        <w:rPr>
          <w:rFonts w:eastAsia="Calibri"/>
          <w:vertAlign w:val="subscript"/>
        </w:rPr>
        <w:t>КІП</w:t>
      </w:r>
      <w:proofErr w:type="spellEnd"/>
      <w:r w:rsidR="00C072D2" w:rsidRPr="008007E3">
        <w:rPr>
          <w:rFonts w:eastAsia="Calibri"/>
        </w:rPr>
        <w:t xml:space="preserve"> – розмір частки меншості в РК </w:t>
      </w:r>
      <w:r w:rsidR="00C072D2" w:rsidRPr="00B373B7">
        <w:rPr>
          <w:rFonts w:eastAsia="Calibri"/>
        </w:rPr>
        <w:t xml:space="preserve">дочірньої компанії </w:t>
      </w:r>
      <w:r w:rsidR="009F118E" w:rsidRPr="00B373B7">
        <w:rPr>
          <w:rFonts w:eastAsia="Calibri"/>
        </w:rPr>
        <w:t>‒</w:t>
      </w:r>
      <w:r w:rsidR="00C072D2" w:rsidRPr="00B373B7">
        <w:rPr>
          <w:rFonts w:eastAsia="Calibri"/>
        </w:rPr>
        <w:t xml:space="preserve"> учасника</w:t>
      </w:r>
      <w:r w:rsidR="00C072D2" w:rsidRPr="008007E3">
        <w:rPr>
          <w:rFonts w:eastAsia="Calibri"/>
        </w:rPr>
        <w:t xml:space="preserve"> кредитно-інвестиційної підгрупи, що включається до РК</w:t>
      </w:r>
      <w:r w:rsidR="00C072D2" w:rsidRPr="008007E3">
        <w:rPr>
          <w:rFonts w:eastAsia="Calibri"/>
          <w:vertAlign w:val="subscript"/>
        </w:rPr>
        <w:t>КІП</w:t>
      </w:r>
      <w:r w:rsidR="00C072D2" w:rsidRPr="008007E3">
        <w:rPr>
          <w:rFonts w:eastAsia="Calibri"/>
        </w:rPr>
        <w:t>;</w:t>
      </w:r>
    </w:p>
    <w:p w14:paraId="647B551E" w14:textId="31D637FA" w:rsidR="00C072D2" w:rsidRPr="008007E3" w:rsidRDefault="00C072D2" w:rsidP="00C07CDC">
      <w:pPr>
        <w:ind w:firstLine="567"/>
        <w:rPr>
          <w:rFonts w:eastAsia="Calibri"/>
        </w:rPr>
      </w:pPr>
      <w:proofErr w:type="spellStart"/>
      <w:r w:rsidRPr="008007E3">
        <w:rPr>
          <w:rFonts w:eastAsia="Calibri"/>
        </w:rPr>
        <w:t>ЧМвРКд</w:t>
      </w:r>
      <w:proofErr w:type="spellEnd"/>
      <w:r w:rsidRPr="008007E3">
        <w:rPr>
          <w:rFonts w:eastAsia="Calibri"/>
        </w:rPr>
        <w:t xml:space="preserve"> – розмір частки меншості в РК </w:t>
      </w:r>
      <w:r w:rsidRPr="00B373B7">
        <w:rPr>
          <w:rFonts w:eastAsia="Calibri"/>
        </w:rPr>
        <w:t xml:space="preserve">дочірньої компанії </w:t>
      </w:r>
      <w:r w:rsidR="009F118E" w:rsidRPr="00B373B7">
        <w:rPr>
          <w:rFonts w:eastAsia="Calibri"/>
        </w:rPr>
        <w:t>‒</w:t>
      </w:r>
      <w:r w:rsidRPr="00B373B7">
        <w:rPr>
          <w:rFonts w:eastAsia="Calibri"/>
        </w:rPr>
        <w:t xml:space="preserve"> учасника</w:t>
      </w:r>
      <w:r w:rsidRPr="008007E3">
        <w:rPr>
          <w:rFonts w:eastAsia="Calibri"/>
        </w:rPr>
        <w:t xml:space="preserve"> кредитно-інвестиційної підгрупи, визначений відповідно до пункту 3 глави 12 розділу II цього Положення;</w:t>
      </w:r>
    </w:p>
    <w:p w14:paraId="6A7D402E" w14:textId="5E4A7DF9" w:rsidR="00C072D2" w:rsidRPr="008007E3" w:rsidRDefault="00C072D2" w:rsidP="00C07CDC">
      <w:pPr>
        <w:ind w:firstLine="567"/>
        <w:rPr>
          <w:rFonts w:eastAsia="Calibri"/>
        </w:rPr>
      </w:pPr>
      <w:r w:rsidRPr="008007E3">
        <w:rPr>
          <w:rFonts w:eastAsia="Calibri"/>
        </w:rPr>
        <w:t>РК</w:t>
      </w:r>
      <w:r w:rsidRPr="008007E3">
        <w:rPr>
          <w:rFonts w:eastAsia="Calibri"/>
          <w:vertAlign w:val="subscript"/>
        </w:rPr>
        <w:t>Д</w:t>
      </w:r>
      <w:r w:rsidRPr="008007E3">
        <w:rPr>
          <w:rFonts w:eastAsia="Calibri"/>
        </w:rPr>
        <w:t xml:space="preserve"> – фактичний розмір регулятивного капіталу дочірньої компанії </w:t>
      </w:r>
      <w:r w:rsidR="00DD08FE">
        <w:rPr>
          <w:rFonts w:eastAsia="Calibri"/>
        </w:rPr>
        <w:t>‒</w:t>
      </w:r>
      <w:r w:rsidRPr="008007E3">
        <w:rPr>
          <w:rFonts w:eastAsia="Calibri"/>
        </w:rPr>
        <w:t xml:space="preserve"> учасника кредитно-інвестиційної підгрупи, який визначається як сума складових капіталу цієї дочірньої компанії, що відповідають вимогам глав 3, 9, 11 розділу II цього Положення для включення до складових ОК1</w:t>
      </w:r>
      <w:r w:rsidRPr="008007E3">
        <w:rPr>
          <w:rFonts w:eastAsia="Calibri"/>
          <w:vertAlign w:val="subscript"/>
        </w:rPr>
        <w:t>КІП</w:t>
      </w:r>
      <w:r w:rsidRPr="008007E3">
        <w:rPr>
          <w:rFonts w:eastAsia="Calibri"/>
        </w:rPr>
        <w:t>, ДК1</w:t>
      </w:r>
      <w:r w:rsidRPr="008007E3">
        <w:rPr>
          <w:rFonts w:eastAsia="Calibri"/>
          <w:vertAlign w:val="subscript"/>
        </w:rPr>
        <w:t>КІП</w:t>
      </w:r>
      <w:r w:rsidRPr="008007E3">
        <w:rPr>
          <w:rFonts w:eastAsia="Calibri"/>
        </w:rPr>
        <w:t>, К2</w:t>
      </w:r>
      <w:r w:rsidRPr="008007E3">
        <w:rPr>
          <w:rFonts w:eastAsia="Calibri"/>
          <w:vertAlign w:val="subscript"/>
        </w:rPr>
        <w:t>КІП</w:t>
      </w:r>
      <w:r w:rsidRPr="008007E3">
        <w:rPr>
          <w:rFonts w:eastAsia="Calibri"/>
        </w:rPr>
        <w:t xml:space="preserve">, зменшена на суму </w:t>
      </w:r>
      <w:proofErr w:type="spellStart"/>
      <w:r w:rsidRPr="008007E3">
        <w:rPr>
          <w:rFonts w:eastAsia="Calibri"/>
        </w:rPr>
        <w:t>вирахувань</w:t>
      </w:r>
      <w:proofErr w:type="spellEnd"/>
      <w:r w:rsidRPr="008007E3">
        <w:rPr>
          <w:rFonts w:eastAsia="Calibri"/>
        </w:rPr>
        <w:t xml:space="preserve">, що відповідають вимогам глав 3, 9, 11 розділу II цього Положення щодо </w:t>
      </w:r>
      <w:proofErr w:type="spellStart"/>
      <w:r w:rsidRPr="008007E3">
        <w:rPr>
          <w:rFonts w:eastAsia="Calibri"/>
        </w:rPr>
        <w:t>вирахувань</w:t>
      </w:r>
      <w:proofErr w:type="spellEnd"/>
      <w:r w:rsidRPr="008007E3">
        <w:rPr>
          <w:rFonts w:eastAsia="Calibri"/>
        </w:rPr>
        <w:t xml:space="preserve"> з ОК1</w:t>
      </w:r>
      <w:r w:rsidRPr="008007E3">
        <w:rPr>
          <w:rFonts w:eastAsia="Calibri"/>
          <w:vertAlign w:val="subscript"/>
        </w:rPr>
        <w:t>КІП</w:t>
      </w:r>
      <w:r w:rsidRPr="008007E3">
        <w:rPr>
          <w:rFonts w:eastAsia="Calibri"/>
        </w:rPr>
        <w:t>, ДК1</w:t>
      </w:r>
      <w:r w:rsidRPr="008007E3">
        <w:rPr>
          <w:rFonts w:eastAsia="Calibri"/>
          <w:vertAlign w:val="subscript"/>
        </w:rPr>
        <w:t>КІП</w:t>
      </w:r>
      <w:r w:rsidRPr="008007E3">
        <w:rPr>
          <w:rFonts w:eastAsia="Calibri"/>
        </w:rPr>
        <w:t>, К2</w:t>
      </w:r>
      <w:r w:rsidRPr="008007E3">
        <w:rPr>
          <w:rFonts w:eastAsia="Calibri"/>
          <w:vertAlign w:val="subscript"/>
        </w:rPr>
        <w:t>КІП</w:t>
      </w:r>
      <w:r w:rsidRPr="008007E3">
        <w:rPr>
          <w:rFonts w:eastAsia="Calibri"/>
        </w:rPr>
        <w:t>;</w:t>
      </w:r>
    </w:p>
    <w:p w14:paraId="62140E35" w14:textId="6ACF9CBC" w:rsidR="00C072D2" w:rsidRPr="008007E3" w:rsidRDefault="00C072D2" w:rsidP="00C07CDC">
      <w:pPr>
        <w:ind w:firstLine="567"/>
        <w:rPr>
          <w:rFonts w:eastAsia="Calibri"/>
        </w:rPr>
      </w:pPr>
      <w:r w:rsidRPr="008007E3">
        <w:rPr>
          <w:rFonts w:eastAsia="Calibri"/>
        </w:rPr>
        <w:t>НРК</w:t>
      </w:r>
      <w:r w:rsidRPr="008007E3">
        <w:rPr>
          <w:rFonts w:eastAsia="Calibri"/>
          <w:vertAlign w:val="subscript"/>
        </w:rPr>
        <w:t>Д</w:t>
      </w:r>
      <w:r w:rsidRPr="008007E3">
        <w:rPr>
          <w:rFonts w:eastAsia="Calibri"/>
        </w:rPr>
        <w:t xml:space="preserve"> – необхідний розмір РК дочірньої компанії </w:t>
      </w:r>
      <w:r w:rsidR="007A2257">
        <w:rPr>
          <w:rFonts w:eastAsia="Calibri"/>
        </w:rPr>
        <w:t>‒</w:t>
      </w:r>
      <w:r w:rsidRPr="008007E3">
        <w:rPr>
          <w:rFonts w:eastAsia="Calibri"/>
        </w:rPr>
        <w:t xml:space="preserve"> учасника кредитно-інвестиційної підгрупи для виконання вимог </w:t>
      </w:r>
      <w:r w:rsidR="007A2257">
        <w:rPr>
          <w:rFonts w:eastAsia="Calibri"/>
        </w:rPr>
        <w:t>що</w:t>
      </w:r>
      <w:r w:rsidRPr="008007E3">
        <w:rPr>
          <w:rFonts w:eastAsia="Calibri"/>
        </w:rPr>
        <w:t>до достатності РК цією дочірньою компанією, визначених у пункті 4 глави 11 розділу II цього Положення;</w:t>
      </w:r>
    </w:p>
    <w:p w14:paraId="3671FDDE" w14:textId="2D80B31F" w:rsidR="00C072D2" w:rsidRPr="008007E3" w:rsidRDefault="00C072D2" w:rsidP="00C07CDC">
      <w:pPr>
        <w:ind w:firstLine="567"/>
        <w:rPr>
          <w:rFonts w:eastAsia="Calibri"/>
        </w:rPr>
      </w:pPr>
      <w:r w:rsidRPr="008007E3">
        <w:rPr>
          <w:rFonts w:eastAsia="Calibri"/>
        </w:rPr>
        <w:t>НРК1</w:t>
      </w:r>
      <w:r w:rsidRPr="008007E3">
        <w:rPr>
          <w:rFonts w:eastAsia="Calibri"/>
          <w:vertAlign w:val="subscript"/>
        </w:rPr>
        <w:t>Д</w:t>
      </w:r>
      <w:r w:rsidRPr="008007E3">
        <w:rPr>
          <w:rFonts w:eastAsia="Calibri"/>
          <w:vertAlign w:val="superscript"/>
        </w:rPr>
        <w:t>к</w:t>
      </w:r>
      <w:r w:rsidRPr="00A62A4D">
        <w:rPr>
          <w:rFonts w:eastAsia="Calibri"/>
        </w:rPr>
        <w:t xml:space="preserve"> </w:t>
      </w:r>
      <w:r w:rsidRPr="008007E3">
        <w:rPr>
          <w:rFonts w:eastAsia="Calibri"/>
        </w:rPr>
        <w:t>– необхідний розмір РК дочірньої компанії</w:t>
      </w:r>
      <w:r w:rsidR="007A2257">
        <w:rPr>
          <w:rFonts w:eastAsia="Calibri"/>
        </w:rPr>
        <w:t xml:space="preserve"> ‒</w:t>
      </w:r>
      <w:r w:rsidRPr="008007E3">
        <w:rPr>
          <w:rFonts w:eastAsia="Calibri"/>
        </w:rPr>
        <w:t xml:space="preserve"> учасника кредитно-інвестиційної підгрупи для виконання вимог щодо достатності РК цією дочірньою компанією, визначених у пункті 4 глави 12 розділу II цього Положення, розрахований </w:t>
      </w:r>
      <w:r w:rsidR="00C35528">
        <w:rPr>
          <w:rFonts w:eastAsia="Calibri"/>
        </w:rPr>
        <w:t>на основі</w:t>
      </w:r>
      <w:r w:rsidR="00554E92">
        <w:rPr>
          <w:rFonts w:eastAsia="Calibri"/>
        </w:rPr>
        <w:t xml:space="preserve"> </w:t>
      </w:r>
      <w:r w:rsidRPr="008007E3">
        <w:rPr>
          <w:rFonts w:eastAsia="Calibri"/>
        </w:rPr>
        <w:t>сукупн</w:t>
      </w:r>
      <w:r w:rsidR="00554E92">
        <w:rPr>
          <w:rFonts w:eastAsia="Calibri"/>
        </w:rPr>
        <w:t>ої</w:t>
      </w:r>
      <w:r w:rsidRPr="008007E3">
        <w:rPr>
          <w:rFonts w:eastAsia="Calibri"/>
        </w:rPr>
        <w:t xml:space="preserve"> експозиці</w:t>
      </w:r>
      <w:r w:rsidR="00554E92">
        <w:rPr>
          <w:rFonts w:eastAsia="Calibri"/>
        </w:rPr>
        <w:t>ї</w:t>
      </w:r>
      <w:r w:rsidRPr="008007E3">
        <w:rPr>
          <w:rFonts w:eastAsia="Calibri"/>
        </w:rPr>
        <w:t xml:space="preserve"> під ризиком кредитно-інвестиційної підгрупи в частині, що стосується такої дочірньої компанії. Розрахунок здійснюється з урахуванням процедури виключення </w:t>
      </w:r>
      <w:proofErr w:type="spellStart"/>
      <w:r w:rsidRPr="008007E3">
        <w:rPr>
          <w:rFonts w:eastAsia="Calibri"/>
        </w:rPr>
        <w:t>внутрішньогрупових</w:t>
      </w:r>
      <w:proofErr w:type="spellEnd"/>
      <w:r w:rsidRPr="008007E3">
        <w:rPr>
          <w:rFonts w:eastAsia="Calibri"/>
        </w:rPr>
        <w:t xml:space="preserve"> операцій між учасниками кредитно-інвестиційної підгрупи;</w:t>
      </w:r>
    </w:p>
    <w:p w14:paraId="4E24F5BB" w14:textId="640A0A14" w:rsidR="00C072D2" w:rsidRPr="008007E3" w:rsidRDefault="00C072D2" w:rsidP="00C07CDC">
      <w:pPr>
        <w:ind w:firstLine="567"/>
        <w:rPr>
          <w:rFonts w:eastAsia="Calibri"/>
        </w:rPr>
      </w:pPr>
      <w:proofErr w:type="spellStart"/>
      <w:r w:rsidRPr="008007E3">
        <w:rPr>
          <w:rFonts w:eastAsia="Calibri"/>
        </w:rPr>
        <w:t>В</w:t>
      </w:r>
      <w:r w:rsidRPr="008007E3">
        <w:rPr>
          <w:rFonts w:eastAsia="Calibri"/>
          <w:vertAlign w:val="subscript"/>
        </w:rPr>
        <w:t>ЧМвРК</w:t>
      </w:r>
      <w:proofErr w:type="spellEnd"/>
      <w:r w:rsidRPr="00B806D2">
        <w:rPr>
          <w:rFonts w:eastAsia="Calibri"/>
        </w:rPr>
        <w:t xml:space="preserve"> </w:t>
      </w:r>
      <w:r w:rsidRPr="008007E3">
        <w:rPr>
          <w:rFonts w:eastAsia="Calibri"/>
        </w:rPr>
        <w:t>– відсоток частки меншості в РК дочірньої компанії</w:t>
      </w:r>
      <w:r w:rsidR="00CC1E3E">
        <w:rPr>
          <w:rFonts w:eastAsia="Calibri"/>
        </w:rPr>
        <w:t xml:space="preserve"> ‒</w:t>
      </w:r>
      <w:r w:rsidRPr="008007E3">
        <w:rPr>
          <w:rFonts w:eastAsia="Calibri"/>
        </w:rPr>
        <w:t xml:space="preserve"> учасника кредитно-інвестиційної підгрупи, розрахований як відношення частки меншості в РК цієї дочірньої компанії (</w:t>
      </w:r>
      <w:proofErr w:type="spellStart"/>
      <w:r w:rsidRPr="008007E3">
        <w:rPr>
          <w:rFonts w:eastAsia="Calibri"/>
        </w:rPr>
        <w:t>ЧМвРКд</w:t>
      </w:r>
      <w:proofErr w:type="spellEnd"/>
      <w:r w:rsidRPr="008007E3">
        <w:rPr>
          <w:rFonts w:eastAsia="Calibri"/>
        </w:rPr>
        <w:t>), визначеної відповідно до пункту 3 глави 12 розділу II цього Положення, до загальної суми складових ОК1, ДК1, К2 дочірньої компанії, що відповідають вимогам глав 3, 9, 11 розділу II цього Положення для включення до складових ОК1</w:t>
      </w:r>
      <w:r w:rsidRPr="008007E3">
        <w:rPr>
          <w:rFonts w:eastAsia="Calibri"/>
          <w:vertAlign w:val="subscript"/>
        </w:rPr>
        <w:t>КІП</w:t>
      </w:r>
      <w:r w:rsidRPr="008007E3">
        <w:rPr>
          <w:rFonts w:eastAsia="Calibri"/>
        </w:rPr>
        <w:t>, ДК1</w:t>
      </w:r>
      <w:r w:rsidRPr="008007E3">
        <w:rPr>
          <w:rFonts w:eastAsia="Calibri"/>
          <w:vertAlign w:val="subscript"/>
        </w:rPr>
        <w:t>КІП</w:t>
      </w:r>
      <w:r w:rsidRPr="008007E3">
        <w:rPr>
          <w:rFonts w:eastAsia="Calibri"/>
        </w:rPr>
        <w:t>, К2</w:t>
      </w:r>
      <w:r w:rsidRPr="008007E3">
        <w:rPr>
          <w:rFonts w:eastAsia="Calibri"/>
          <w:vertAlign w:val="subscript"/>
        </w:rPr>
        <w:t>КІП</w:t>
      </w:r>
      <w:r w:rsidRPr="008007E3">
        <w:rPr>
          <w:rFonts w:eastAsia="Calibri"/>
        </w:rPr>
        <w:t>.</w:t>
      </w:r>
    </w:p>
    <w:p w14:paraId="7AF3D6BB" w14:textId="77777777" w:rsidR="00C072D2" w:rsidRPr="008007E3" w:rsidRDefault="00C072D2" w:rsidP="00C07CDC">
      <w:pPr>
        <w:ind w:firstLine="567"/>
        <w:rPr>
          <w:rFonts w:eastAsia="Calibri"/>
        </w:rPr>
      </w:pPr>
    </w:p>
    <w:p w14:paraId="7781AEEE" w14:textId="2EA119A1" w:rsidR="00C072D2" w:rsidRPr="008007E3" w:rsidRDefault="00C072D2" w:rsidP="00C07CDC">
      <w:pPr>
        <w:ind w:firstLine="567"/>
        <w:rPr>
          <w:rFonts w:eastAsia="Calibri"/>
        </w:rPr>
      </w:pPr>
      <w:r w:rsidRPr="008007E3">
        <w:rPr>
          <w:rFonts w:eastAsia="Calibri"/>
        </w:rPr>
        <w:t xml:space="preserve">3. Відповідальна особа банківської групи визначає частку меншості в РК дочірньої компанії </w:t>
      </w:r>
      <w:r w:rsidR="00EC353B">
        <w:rPr>
          <w:rFonts w:eastAsia="Calibri"/>
        </w:rPr>
        <w:t>‒</w:t>
      </w:r>
      <w:r w:rsidRPr="008007E3">
        <w:rPr>
          <w:rFonts w:eastAsia="Calibri"/>
        </w:rPr>
        <w:t xml:space="preserve"> учасника кредитно-інвестиційної підгрупи (</w:t>
      </w:r>
      <w:proofErr w:type="spellStart"/>
      <w:r w:rsidRPr="008007E3">
        <w:rPr>
          <w:rFonts w:eastAsia="Calibri"/>
        </w:rPr>
        <w:t>ЧМвРКд</w:t>
      </w:r>
      <w:proofErr w:type="spellEnd"/>
      <w:r w:rsidRPr="008007E3">
        <w:rPr>
          <w:rFonts w:eastAsia="Calibri"/>
        </w:rPr>
        <w:t xml:space="preserve">) як суму складових ОК1, ДК1, К2 дочірньої компанії </w:t>
      </w:r>
      <w:r w:rsidR="00EC353B">
        <w:rPr>
          <w:rFonts w:eastAsia="Calibri"/>
        </w:rPr>
        <w:t>‒</w:t>
      </w:r>
      <w:r w:rsidRPr="008007E3">
        <w:rPr>
          <w:rFonts w:eastAsia="Calibri"/>
        </w:rPr>
        <w:t xml:space="preserve"> учасника кредитно-інвестиційної підгрупи за одночасного дотримання таких умов:</w:t>
      </w:r>
    </w:p>
    <w:p w14:paraId="7BA6CEFF" w14:textId="77777777" w:rsidR="00DB0287" w:rsidRPr="008007E3" w:rsidRDefault="00DB0287" w:rsidP="00C07CDC">
      <w:pPr>
        <w:ind w:firstLine="567"/>
      </w:pPr>
    </w:p>
    <w:p w14:paraId="6929C448" w14:textId="77777777" w:rsidR="00DB0287" w:rsidRPr="008007E3" w:rsidRDefault="00DB0287" w:rsidP="00C07CDC">
      <w:pPr>
        <w:ind w:firstLine="567"/>
        <w:rPr>
          <w:rFonts w:eastAsia="Calibri"/>
        </w:rPr>
      </w:pPr>
      <w:r w:rsidRPr="008007E3">
        <w:rPr>
          <w:rFonts w:eastAsia="Calibri"/>
        </w:rPr>
        <w:t>1) до дочірньої компанії встановлені вимоги щодо достатності ОК1, К1, РК;</w:t>
      </w:r>
    </w:p>
    <w:p w14:paraId="025BDA40" w14:textId="77777777" w:rsidR="00DB0287" w:rsidRPr="008007E3" w:rsidRDefault="00DB0287" w:rsidP="00C07CDC">
      <w:pPr>
        <w:ind w:firstLine="567"/>
        <w:rPr>
          <w:rFonts w:eastAsia="Calibri"/>
        </w:rPr>
      </w:pPr>
    </w:p>
    <w:p w14:paraId="18D06DD1" w14:textId="77777777" w:rsidR="00DB0287" w:rsidRPr="008007E3" w:rsidRDefault="00DB0287" w:rsidP="00C07CDC">
      <w:pPr>
        <w:ind w:firstLine="567"/>
        <w:rPr>
          <w:rFonts w:eastAsia="Calibri"/>
        </w:rPr>
      </w:pPr>
      <w:r w:rsidRPr="008007E3">
        <w:rPr>
          <w:rFonts w:eastAsia="Calibri"/>
        </w:rPr>
        <w:t>2) показники звітності дочірньої компанії включаються до консолідованої звітності банківської групи з використанням методу повної консолідації відповідно до цього Положення;</w:t>
      </w:r>
    </w:p>
    <w:p w14:paraId="0F11B6FC" w14:textId="5722F9EA" w:rsidR="00DB0287" w:rsidRPr="008007E3" w:rsidRDefault="00DB0287" w:rsidP="00C07CDC">
      <w:pPr>
        <w:ind w:firstLine="567"/>
        <w:rPr>
          <w:rFonts w:eastAsia="Calibri"/>
        </w:rPr>
      </w:pPr>
    </w:p>
    <w:p w14:paraId="35A593AD" w14:textId="756113F8" w:rsidR="00DB0287" w:rsidRPr="008007E3" w:rsidRDefault="00DB0287" w:rsidP="00C07CDC">
      <w:pPr>
        <w:ind w:firstLine="567"/>
        <w:rPr>
          <w:rFonts w:eastAsia="Calibri"/>
        </w:rPr>
      </w:pPr>
      <w:r w:rsidRPr="008007E3">
        <w:rPr>
          <w:rFonts w:eastAsia="Calibri"/>
        </w:rPr>
        <w:t>3) складові ОК1, ДК1, К2, зазначені в абзаці першому пункту 3 глави 12 розділу II цього Положення, належать інвесторам</w:t>
      </w:r>
      <w:r w:rsidR="00EC353B">
        <w:rPr>
          <w:rFonts w:eastAsia="Calibri"/>
        </w:rPr>
        <w:t xml:space="preserve"> ‒ </w:t>
      </w:r>
      <w:r w:rsidRPr="008007E3">
        <w:rPr>
          <w:rFonts w:eastAsia="Calibri"/>
        </w:rPr>
        <w:t>третім особам;</w:t>
      </w:r>
    </w:p>
    <w:p w14:paraId="2C1F1B2E" w14:textId="77777777" w:rsidR="00DB0287" w:rsidRPr="008007E3" w:rsidRDefault="00DB0287" w:rsidP="00C07CDC">
      <w:pPr>
        <w:ind w:firstLine="567"/>
        <w:rPr>
          <w:rFonts w:eastAsia="Calibri"/>
        </w:rPr>
      </w:pPr>
    </w:p>
    <w:p w14:paraId="40628A8E" w14:textId="70ACE81B" w:rsidR="00DB0287" w:rsidRPr="008007E3" w:rsidRDefault="00DB0287" w:rsidP="00C07CDC">
      <w:pPr>
        <w:ind w:firstLine="567"/>
        <w:rPr>
          <w:rFonts w:eastAsia="Calibri"/>
        </w:rPr>
      </w:pPr>
      <w:r w:rsidRPr="008007E3">
        <w:rPr>
          <w:rFonts w:eastAsia="Calibri"/>
        </w:rPr>
        <w:t>4) складові ОК1, ДК1, К2, зазначені в абзаці першому пункту 3 глави 12 розділу II цього Положення, не профінансовані прямо чи опосередковано учасниками банківської групи або їх</w:t>
      </w:r>
      <w:r w:rsidR="00C34C43">
        <w:rPr>
          <w:rFonts w:eastAsia="Calibri"/>
        </w:rPr>
        <w:t>німи</w:t>
      </w:r>
      <w:r w:rsidRPr="008007E3">
        <w:rPr>
          <w:rFonts w:eastAsia="Calibri"/>
        </w:rPr>
        <w:t xml:space="preserve"> дочірніми компаніями. Складові ОК1, ДК1, К2 вважаються такими, що профінансовані прямо чи опосередковано учасниками банківської групи або їх</w:t>
      </w:r>
      <w:r w:rsidR="00C34C43">
        <w:rPr>
          <w:rFonts w:eastAsia="Calibri"/>
        </w:rPr>
        <w:t>німи</w:t>
      </w:r>
      <w:r w:rsidRPr="008007E3">
        <w:rPr>
          <w:rFonts w:eastAsia="Calibri"/>
        </w:rPr>
        <w:t xml:space="preserve"> дочірніми компаніями, якщо кошти вважаються прямо чи опосередковано залученими згідно з пунктами 84</w:t>
      </w:r>
      <w:r w:rsidR="00EC353B">
        <w:rPr>
          <w:rFonts w:eastAsia="Calibri"/>
        </w:rPr>
        <w:t>‒</w:t>
      </w:r>
      <w:r w:rsidRPr="008007E3">
        <w:rPr>
          <w:rFonts w:eastAsia="Calibri"/>
        </w:rPr>
        <w:t xml:space="preserve">87 глави 14 розділу ІV Положення № 196. </w:t>
      </w:r>
    </w:p>
    <w:p w14:paraId="227D6752" w14:textId="37CB993E" w:rsidR="00AD02AB" w:rsidRPr="008007E3" w:rsidRDefault="00AD02AB" w:rsidP="00C07CDC">
      <w:pPr>
        <w:ind w:firstLine="567"/>
        <w:rPr>
          <w:rFonts w:eastAsia="Calibri"/>
        </w:rPr>
      </w:pPr>
    </w:p>
    <w:p w14:paraId="1A9B3019" w14:textId="53C394D0" w:rsidR="00DB0287" w:rsidRPr="008007E3" w:rsidRDefault="00DB0287" w:rsidP="00C07CDC">
      <w:pPr>
        <w:ind w:firstLine="567"/>
        <w:rPr>
          <w:rFonts w:eastAsia="Calibri"/>
        </w:rPr>
      </w:pPr>
      <w:r w:rsidRPr="008007E3">
        <w:rPr>
          <w:rFonts w:eastAsia="Calibri"/>
        </w:rPr>
        <w:t xml:space="preserve">4. Відповідальна особа банківської групи під час розрахунку частки меншості в РК дочірньої компанії </w:t>
      </w:r>
      <w:r w:rsidR="00EC353B">
        <w:rPr>
          <w:rFonts w:eastAsia="Calibri"/>
        </w:rPr>
        <w:t>‒</w:t>
      </w:r>
      <w:r w:rsidRPr="008007E3">
        <w:rPr>
          <w:rFonts w:eastAsia="Calibri"/>
        </w:rPr>
        <w:t xml:space="preserve"> учасника кредитно-інвестиційної підгрупи, що включається до РК</w:t>
      </w:r>
      <w:r w:rsidRPr="008007E3">
        <w:rPr>
          <w:rFonts w:eastAsia="Calibri"/>
          <w:vertAlign w:val="subscript"/>
        </w:rPr>
        <w:t>КІП</w:t>
      </w:r>
      <w:r w:rsidRPr="008007E3">
        <w:rPr>
          <w:rFonts w:eastAsia="Calibri"/>
        </w:rPr>
        <w:t xml:space="preserve"> (</w:t>
      </w:r>
      <w:proofErr w:type="spellStart"/>
      <w:r w:rsidRPr="008007E3">
        <w:rPr>
          <w:rFonts w:eastAsia="Calibri"/>
        </w:rPr>
        <w:t>ЧМвРК</w:t>
      </w:r>
      <w:r w:rsidRPr="008007E3">
        <w:rPr>
          <w:rFonts w:eastAsia="Calibri"/>
          <w:vertAlign w:val="subscript"/>
        </w:rPr>
        <w:t>КІП</w:t>
      </w:r>
      <w:proofErr w:type="spellEnd"/>
      <w:r w:rsidRPr="008007E3">
        <w:rPr>
          <w:rFonts w:eastAsia="Calibri"/>
        </w:rPr>
        <w:t>), визначає необхідний розмір РК цієї дочірньої компанії, який необхідний для дотримання:</w:t>
      </w:r>
    </w:p>
    <w:p w14:paraId="4E90FDFB" w14:textId="77777777" w:rsidR="00DB0287" w:rsidRPr="008007E3" w:rsidRDefault="00DB0287" w:rsidP="00C07CDC">
      <w:pPr>
        <w:ind w:firstLine="567"/>
        <w:rPr>
          <w:rFonts w:eastAsia="Calibri"/>
        </w:rPr>
      </w:pPr>
    </w:p>
    <w:p w14:paraId="2B6C6A4A" w14:textId="20291967" w:rsidR="00DB0287" w:rsidRPr="008007E3" w:rsidRDefault="00DB0287" w:rsidP="00C07CDC">
      <w:pPr>
        <w:ind w:firstLine="567"/>
        <w:rPr>
          <w:rFonts w:eastAsia="Calibri"/>
        </w:rPr>
      </w:pPr>
      <w:r w:rsidRPr="008007E3">
        <w:rPr>
          <w:rFonts w:eastAsia="Calibri"/>
        </w:rPr>
        <w:t>1) українською дочірньою компанією, яка є банком</w:t>
      </w:r>
      <w:r w:rsidR="00EC353B">
        <w:rPr>
          <w:rFonts w:eastAsia="Calibri"/>
        </w:rPr>
        <w:t>,</w:t>
      </w:r>
      <w:r w:rsidRPr="008007E3">
        <w:rPr>
          <w:rFonts w:eastAsia="Calibri"/>
        </w:rPr>
        <w:t xml:space="preserve"> – одночасно вимог </w:t>
      </w:r>
      <w:r w:rsidR="00EC353B">
        <w:rPr>
          <w:rFonts w:eastAsia="Calibri"/>
        </w:rPr>
        <w:t>що</w:t>
      </w:r>
      <w:r w:rsidRPr="008007E3">
        <w:rPr>
          <w:rFonts w:eastAsia="Calibri"/>
        </w:rPr>
        <w:t xml:space="preserve">до: </w:t>
      </w:r>
    </w:p>
    <w:p w14:paraId="79366621" w14:textId="77777777" w:rsidR="00DB0287" w:rsidRPr="008007E3" w:rsidRDefault="00DB0287" w:rsidP="00C07CDC">
      <w:pPr>
        <w:ind w:firstLine="567"/>
        <w:contextualSpacing/>
        <w:rPr>
          <w:rFonts w:eastAsia="Calibri"/>
        </w:rPr>
      </w:pPr>
      <w:r w:rsidRPr="008007E3">
        <w:rPr>
          <w:rFonts w:eastAsia="Calibri"/>
        </w:rPr>
        <w:t>мінімального значення нормативу достатності регулятивного капіталу, встановленого Національним банком;</w:t>
      </w:r>
    </w:p>
    <w:p w14:paraId="36F90A9B" w14:textId="77777777" w:rsidR="00DB0287" w:rsidRPr="008007E3" w:rsidRDefault="00DB0287" w:rsidP="00C07CDC">
      <w:pPr>
        <w:ind w:firstLine="567"/>
        <w:contextualSpacing/>
        <w:rPr>
          <w:rFonts w:eastAsia="Calibri"/>
        </w:rPr>
      </w:pPr>
      <w:r w:rsidRPr="008007E3">
        <w:rPr>
          <w:rFonts w:eastAsia="Calibri"/>
        </w:rPr>
        <w:t>підвищеного значення нормативу достатності регулятивного капіталу, встановленого Національним банком згідно з частиною десятою статті 67 Закону про банки;</w:t>
      </w:r>
    </w:p>
    <w:p w14:paraId="0B18B7A6" w14:textId="77777777" w:rsidR="00DB0287" w:rsidRPr="008007E3" w:rsidRDefault="00DB0287" w:rsidP="00C07CDC">
      <w:pPr>
        <w:ind w:firstLine="567"/>
        <w:contextualSpacing/>
      </w:pPr>
      <w:r w:rsidRPr="008007E3">
        <w:t>комбінованого буфера капіталу;</w:t>
      </w:r>
    </w:p>
    <w:p w14:paraId="4E4A1EE4" w14:textId="77777777" w:rsidR="00DB0287" w:rsidRPr="008007E3" w:rsidRDefault="00DB0287" w:rsidP="00C07CDC">
      <w:pPr>
        <w:ind w:firstLine="567"/>
        <w:contextualSpacing/>
        <w:rPr>
          <w:rFonts w:eastAsia="Calibri"/>
        </w:rPr>
      </w:pPr>
    </w:p>
    <w:p w14:paraId="0C8FE487" w14:textId="20025242" w:rsidR="00DB0287" w:rsidRPr="008007E3" w:rsidRDefault="00DB0287" w:rsidP="00C07CDC">
      <w:pPr>
        <w:ind w:firstLine="567"/>
        <w:contextualSpacing/>
        <w:rPr>
          <w:rFonts w:eastAsia="Calibri"/>
        </w:rPr>
      </w:pPr>
      <w:r w:rsidRPr="008007E3">
        <w:rPr>
          <w:rFonts w:eastAsia="Calibri"/>
        </w:rPr>
        <w:t>2) українською дочірньою компанією, яка є небанківською фінансовою установою</w:t>
      </w:r>
      <w:r w:rsidR="00EC353B">
        <w:rPr>
          <w:rFonts w:eastAsia="Calibri"/>
        </w:rPr>
        <w:t>,</w:t>
      </w:r>
      <w:r w:rsidRPr="008007E3">
        <w:rPr>
          <w:rFonts w:eastAsia="Calibri"/>
        </w:rPr>
        <w:t xml:space="preserve"> – вимог </w:t>
      </w:r>
      <w:r w:rsidR="00EC353B">
        <w:rPr>
          <w:rFonts w:eastAsia="Calibri"/>
        </w:rPr>
        <w:t>що</w:t>
      </w:r>
      <w:r w:rsidRPr="008007E3">
        <w:rPr>
          <w:rFonts w:eastAsia="Calibri"/>
        </w:rPr>
        <w:t>до достатності регулятивного капіталу, встановлених Регулятором;</w:t>
      </w:r>
    </w:p>
    <w:p w14:paraId="073EBE67" w14:textId="77777777" w:rsidR="00DB0287" w:rsidRPr="008007E3" w:rsidRDefault="00DB0287" w:rsidP="00C07CDC">
      <w:pPr>
        <w:ind w:firstLine="567"/>
        <w:contextualSpacing/>
        <w:rPr>
          <w:rFonts w:eastAsia="Calibri"/>
        </w:rPr>
      </w:pPr>
    </w:p>
    <w:p w14:paraId="0D1B211B" w14:textId="4C0F61E9" w:rsidR="00DB0287" w:rsidRPr="008007E3" w:rsidRDefault="00DB0287" w:rsidP="00C07CDC">
      <w:pPr>
        <w:ind w:firstLine="567"/>
        <w:contextualSpacing/>
        <w:rPr>
          <w:rFonts w:eastAsia="Calibri"/>
        </w:rPr>
      </w:pPr>
      <w:r w:rsidRPr="008007E3">
        <w:rPr>
          <w:rFonts w:eastAsia="Calibri"/>
        </w:rPr>
        <w:t xml:space="preserve">3) іноземною дочірньою компанією – вимог </w:t>
      </w:r>
      <w:r w:rsidR="00EC353B">
        <w:rPr>
          <w:rFonts w:eastAsia="Calibri"/>
        </w:rPr>
        <w:t>що</w:t>
      </w:r>
      <w:r w:rsidRPr="008007E3">
        <w:rPr>
          <w:rFonts w:eastAsia="Calibri"/>
        </w:rPr>
        <w:t>до достатності регулятивного капіталу, встановлених відповідним державним органом іноземної держави.</w:t>
      </w:r>
    </w:p>
    <w:p w14:paraId="64D1B850" w14:textId="77777777" w:rsidR="00DB0287" w:rsidRPr="008007E3" w:rsidRDefault="00DB0287" w:rsidP="00C07CDC">
      <w:pPr>
        <w:ind w:firstLine="567"/>
        <w:rPr>
          <w:rFonts w:eastAsia="Calibri"/>
        </w:rPr>
      </w:pPr>
    </w:p>
    <w:p w14:paraId="5C98B50B" w14:textId="604A2E17" w:rsidR="00DB0287" w:rsidRPr="008007E3" w:rsidRDefault="00DB0287" w:rsidP="00C07CDC">
      <w:pPr>
        <w:ind w:firstLine="567"/>
        <w:rPr>
          <w:rFonts w:eastAsia="Calibri"/>
        </w:rPr>
      </w:pPr>
      <w:r w:rsidRPr="008007E3">
        <w:rPr>
          <w:rFonts w:eastAsia="Calibri"/>
        </w:rPr>
        <w:t>5. Відповідальна особа банківської групи, якщо дочірня компанія</w:t>
      </w:r>
      <w:r w:rsidR="00EC353B">
        <w:rPr>
          <w:rFonts w:eastAsia="Calibri"/>
        </w:rPr>
        <w:t xml:space="preserve"> ‒ </w:t>
      </w:r>
      <w:r w:rsidRPr="008007E3">
        <w:rPr>
          <w:rFonts w:eastAsia="Calibri"/>
        </w:rPr>
        <w:t xml:space="preserve">учасник кредитно-інвестиційної підгрупи має власні дочірні компанії, які також є учасниками цієї кредитно-інвестиційної підгрупи, здійснює розрахунок частки меншості в РК дочірньої компанії </w:t>
      </w:r>
      <w:r w:rsidR="00EC353B">
        <w:rPr>
          <w:rFonts w:eastAsia="Calibri"/>
        </w:rPr>
        <w:t>‒</w:t>
      </w:r>
      <w:r w:rsidRPr="008007E3">
        <w:rPr>
          <w:rFonts w:eastAsia="Calibri"/>
        </w:rPr>
        <w:t xml:space="preserve"> учасника кредитно-інвестиційної підгрупи, що включається до РК</w:t>
      </w:r>
      <w:r w:rsidRPr="008007E3">
        <w:rPr>
          <w:rFonts w:eastAsia="Calibri"/>
          <w:vertAlign w:val="subscript"/>
        </w:rPr>
        <w:t>КІП</w:t>
      </w:r>
      <w:r w:rsidRPr="008007E3">
        <w:rPr>
          <w:rFonts w:eastAsia="Calibri"/>
        </w:rPr>
        <w:t xml:space="preserve"> (</w:t>
      </w:r>
      <w:proofErr w:type="spellStart"/>
      <w:r w:rsidRPr="008007E3">
        <w:rPr>
          <w:rFonts w:eastAsia="Calibri"/>
        </w:rPr>
        <w:t>ЧМвРК</w:t>
      </w:r>
      <w:r w:rsidRPr="008007E3">
        <w:rPr>
          <w:rFonts w:eastAsia="Calibri"/>
          <w:vertAlign w:val="subscript"/>
        </w:rPr>
        <w:t>КІП</w:t>
      </w:r>
      <w:proofErr w:type="spellEnd"/>
      <w:r w:rsidRPr="008007E3">
        <w:rPr>
          <w:rFonts w:eastAsia="Calibri"/>
        </w:rPr>
        <w:t>), згідно з главою 12 розділу II цього Положення.</w:t>
      </w:r>
    </w:p>
    <w:p w14:paraId="69665AFC" w14:textId="7B975D2B" w:rsidR="00DB0287" w:rsidRPr="008007E3" w:rsidRDefault="00DB0287" w:rsidP="00C07CDC">
      <w:pPr>
        <w:ind w:firstLine="567"/>
        <w:rPr>
          <w:rFonts w:eastAsia="Calibri"/>
        </w:rPr>
      </w:pPr>
      <w:r w:rsidRPr="008007E3">
        <w:rPr>
          <w:rFonts w:eastAsia="Calibri"/>
        </w:rPr>
        <w:t xml:space="preserve">Розрахунок частки меншості в РК дочірньої компанії </w:t>
      </w:r>
      <w:r w:rsidR="00EC353B">
        <w:rPr>
          <w:rFonts w:eastAsia="Calibri"/>
        </w:rPr>
        <w:t>‒</w:t>
      </w:r>
      <w:r w:rsidRPr="008007E3">
        <w:rPr>
          <w:rFonts w:eastAsia="Calibri"/>
        </w:rPr>
        <w:t xml:space="preserve"> учасника кредитно-інвестиційної підгрупи, що включається до РК</w:t>
      </w:r>
      <w:r w:rsidRPr="008007E3">
        <w:rPr>
          <w:rFonts w:eastAsia="Calibri"/>
          <w:vertAlign w:val="subscript"/>
        </w:rPr>
        <w:t xml:space="preserve">КІП </w:t>
      </w:r>
      <w:r w:rsidRPr="008007E3">
        <w:rPr>
          <w:rFonts w:eastAsia="Calibri"/>
        </w:rPr>
        <w:t>(</w:t>
      </w:r>
      <w:proofErr w:type="spellStart"/>
      <w:r w:rsidRPr="008007E3">
        <w:rPr>
          <w:rFonts w:eastAsia="Calibri"/>
        </w:rPr>
        <w:t>ЧМвРК</w:t>
      </w:r>
      <w:r w:rsidRPr="008007E3">
        <w:rPr>
          <w:rFonts w:eastAsia="Calibri"/>
          <w:vertAlign w:val="subscript"/>
        </w:rPr>
        <w:t>КІП</w:t>
      </w:r>
      <w:proofErr w:type="spellEnd"/>
      <w:r w:rsidRPr="008007E3">
        <w:rPr>
          <w:rFonts w:eastAsia="Calibri"/>
        </w:rPr>
        <w:t xml:space="preserve">), здійснюється на </w:t>
      </w:r>
      <w:proofErr w:type="spellStart"/>
      <w:r w:rsidRPr="008007E3">
        <w:rPr>
          <w:rFonts w:eastAsia="Calibri"/>
        </w:rPr>
        <w:t>субконсолідованій</w:t>
      </w:r>
      <w:proofErr w:type="spellEnd"/>
      <w:r w:rsidRPr="008007E3">
        <w:rPr>
          <w:rFonts w:eastAsia="Calibri"/>
        </w:rPr>
        <w:t xml:space="preserve"> основі.</w:t>
      </w:r>
    </w:p>
    <w:p w14:paraId="16BD5648" w14:textId="44FCC389" w:rsidR="00DB0287" w:rsidRPr="008007E3" w:rsidRDefault="00DB0287" w:rsidP="00C07CDC">
      <w:pPr>
        <w:ind w:firstLine="567"/>
        <w:rPr>
          <w:rFonts w:eastAsia="Calibri"/>
        </w:rPr>
      </w:pPr>
      <w:r w:rsidRPr="008007E3">
        <w:rPr>
          <w:rFonts w:eastAsia="Calibri"/>
        </w:rPr>
        <w:t xml:space="preserve">До розрахунку РК дочірньої компанії </w:t>
      </w:r>
      <w:r w:rsidR="00EC353B">
        <w:rPr>
          <w:rFonts w:eastAsia="Calibri"/>
        </w:rPr>
        <w:t>‒</w:t>
      </w:r>
      <w:r w:rsidRPr="008007E3">
        <w:rPr>
          <w:rFonts w:eastAsia="Calibri"/>
        </w:rPr>
        <w:t xml:space="preserve"> учасника кредитно-інвестиційної підгрупи можуть включатися частки меншості в РК її дочірніх компаній, розмір яких визначається в порядку, </w:t>
      </w:r>
      <w:r w:rsidR="001F5B3C">
        <w:rPr>
          <w:rFonts w:eastAsia="Calibri"/>
        </w:rPr>
        <w:t xml:space="preserve">встановленому </w:t>
      </w:r>
      <w:r w:rsidR="00EC353B">
        <w:rPr>
          <w:rFonts w:eastAsia="Calibri"/>
        </w:rPr>
        <w:t xml:space="preserve">в </w:t>
      </w:r>
      <w:r w:rsidRPr="008007E3">
        <w:rPr>
          <w:rFonts w:eastAsia="Calibri"/>
        </w:rPr>
        <w:t>глав</w:t>
      </w:r>
      <w:r w:rsidR="00EC353B">
        <w:rPr>
          <w:rFonts w:eastAsia="Calibri"/>
        </w:rPr>
        <w:t>і</w:t>
      </w:r>
      <w:r w:rsidRPr="008007E3">
        <w:rPr>
          <w:rFonts w:eastAsia="Calibri"/>
        </w:rPr>
        <w:t xml:space="preserve"> 12 розділу II цього Положення.</w:t>
      </w:r>
    </w:p>
    <w:p w14:paraId="78A3CEBC" w14:textId="77777777" w:rsidR="00DB0287" w:rsidRPr="008007E3" w:rsidRDefault="00DB0287" w:rsidP="00C07CDC">
      <w:pPr>
        <w:ind w:firstLine="567"/>
        <w:rPr>
          <w:rFonts w:eastAsia="Calibri"/>
        </w:rPr>
      </w:pPr>
    </w:p>
    <w:p w14:paraId="202DB79E" w14:textId="655C1DBA" w:rsidR="00DB0287" w:rsidRPr="008007E3" w:rsidRDefault="00DB0287" w:rsidP="00C07CDC">
      <w:pPr>
        <w:ind w:firstLine="567"/>
        <w:rPr>
          <w:rFonts w:eastAsia="Calibri"/>
        </w:rPr>
      </w:pPr>
      <w:r w:rsidRPr="008007E3">
        <w:rPr>
          <w:rFonts w:eastAsia="Calibri"/>
        </w:rPr>
        <w:t xml:space="preserve">6. Відповідальна особа банківської групи </w:t>
      </w:r>
      <w:r w:rsidR="0045778A">
        <w:rPr>
          <w:rFonts w:eastAsia="Calibri"/>
        </w:rPr>
        <w:t>в</w:t>
      </w:r>
      <w:r w:rsidR="0045778A" w:rsidRPr="008007E3">
        <w:rPr>
          <w:rFonts w:eastAsia="Calibri"/>
        </w:rPr>
        <w:t xml:space="preserve"> </w:t>
      </w:r>
      <w:r w:rsidRPr="008007E3">
        <w:rPr>
          <w:rFonts w:eastAsia="Calibri"/>
        </w:rPr>
        <w:t>разі включення до розрахунку К2</w:t>
      </w:r>
      <w:r w:rsidRPr="008007E3">
        <w:rPr>
          <w:rFonts w:eastAsia="Calibri"/>
          <w:vertAlign w:val="subscript"/>
        </w:rPr>
        <w:t>КІП</w:t>
      </w:r>
      <w:r w:rsidRPr="008007E3">
        <w:rPr>
          <w:rFonts w:eastAsia="Calibri"/>
        </w:rPr>
        <w:t xml:space="preserve"> частки меншості в К2 іноземної дочірньої компанії забезпечує документування та підтримання в актуальному стані інформації про вимоги </w:t>
      </w:r>
      <w:r w:rsidR="00784A94">
        <w:rPr>
          <w:rFonts w:eastAsia="Calibri"/>
        </w:rPr>
        <w:t>що</w:t>
      </w:r>
      <w:r w:rsidRPr="008007E3">
        <w:rPr>
          <w:rFonts w:eastAsia="Calibri"/>
        </w:rPr>
        <w:t>до достатності РК, встановлені відповідним державним органом іноземної держави.”.</w:t>
      </w:r>
    </w:p>
    <w:p w14:paraId="18C2B53E" w14:textId="77777777" w:rsidR="00DB0287" w:rsidRPr="008007E3" w:rsidRDefault="00DB0287" w:rsidP="00C07CDC">
      <w:pPr>
        <w:ind w:firstLine="567"/>
        <w:rPr>
          <w:rFonts w:eastAsia="Calibri"/>
        </w:rPr>
      </w:pPr>
    </w:p>
    <w:p w14:paraId="28D07C39" w14:textId="16EC52EF" w:rsidR="00865D53" w:rsidRPr="008007E3" w:rsidRDefault="008D5960" w:rsidP="00C07CDC">
      <w:pPr>
        <w:ind w:firstLine="567"/>
        <w:rPr>
          <w:iCs/>
        </w:rPr>
      </w:pPr>
      <w:r w:rsidRPr="008007E3">
        <w:t>3</w:t>
      </w:r>
      <w:r w:rsidR="00DD1A49" w:rsidRPr="008007E3">
        <w:rPr>
          <w:lang w:val="ru-RU"/>
        </w:rPr>
        <w:t xml:space="preserve">. </w:t>
      </w:r>
      <w:r w:rsidR="00DD1A49" w:rsidRPr="008007E3">
        <w:t xml:space="preserve">Положення після розділу </w:t>
      </w:r>
      <w:r w:rsidR="00DD1A49" w:rsidRPr="008007E3">
        <w:rPr>
          <w:lang w:val="en-US"/>
        </w:rPr>
        <w:t>II</w:t>
      </w:r>
      <w:r w:rsidR="00DD1A49" w:rsidRPr="008007E3">
        <w:rPr>
          <w:lang w:val="ru-RU"/>
        </w:rPr>
        <w:t xml:space="preserve"> </w:t>
      </w:r>
      <w:r w:rsidR="00DD1A49" w:rsidRPr="008007E3">
        <w:rPr>
          <w:iCs/>
        </w:rPr>
        <w:t xml:space="preserve">доповнити новим розділом </w:t>
      </w:r>
      <w:r w:rsidR="00784A94">
        <w:rPr>
          <w:iCs/>
        </w:rPr>
        <w:t xml:space="preserve">ІІІ </w:t>
      </w:r>
      <w:r w:rsidR="00DD1A49" w:rsidRPr="008007E3">
        <w:rPr>
          <w:iCs/>
        </w:rPr>
        <w:t>такого змісту:</w:t>
      </w:r>
    </w:p>
    <w:p w14:paraId="69B249D3" w14:textId="0F1287B8" w:rsidR="00DB0287" w:rsidRPr="008007E3" w:rsidRDefault="00CD50A4" w:rsidP="00291AC1">
      <w:pPr>
        <w:pStyle w:val="rvps7"/>
        <w:shd w:val="clear" w:color="auto" w:fill="FFFFFF"/>
        <w:spacing w:before="0" w:beforeAutospacing="0" w:after="0" w:afterAutospacing="0"/>
        <w:jc w:val="center"/>
        <w:rPr>
          <w:b/>
          <w:bCs/>
          <w:sz w:val="28"/>
          <w:szCs w:val="28"/>
          <w:shd w:val="clear" w:color="auto" w:fill="FFFFFF"/>
        </w:rPr>
      </w:pPr>
      <w:r w:rsidRPr="00B76804">
        <w:rPr>
          <w:bCs/>
          <w:sz w:val="28"/>
          <w:szCs w:val="28"/>
          <w:shd w:val="clear" w:color="auto" w:fill="FFFFFF"/>
          <w:lang w:val="ru-RU"/>
        </w:rPr>
        <w:t>“</w:t>
      </w:r>
      <w:r w:rsidR="00DD1A49" w:rsidRPr="008007E3">
        <w:rPr>
          <w:bCs/>
          <w:sz w:val="28"/>
          <w:szCs w:val="28"/>
          <w:shd w:val="clear" w:color="auto" w:fill="FFFFFF"/>
        </w:rPr>
        <w:t xml:space="preserve">Розділ III. </w:t>
      </w:r>
      <w:r w:rsidR="00DB0287" w:rsidRPr="008007E3">
        <w:rPr>
          <w:bCs/>
          <w:sz w:val="28"/>
          <w:szCs w:val="28"/>
          <w:shd w:val="clear" w:color="auto" w:fill="FFFFFF"/>
        </w:rPr>
        <w:t>Достатність регулятивного капіталу, нормативи капіталу</w:t>
      </w:r>
    </w:p>
    <w:p w14:paraId="456DF1DF" w14:textId="77777777" w:rsidR="003978F9" w:rsidRPr="008007E3" w:rsidRDefault="003978F9" w:rsidP="003E6844">
      <w:pPr>
        <w:ind w:firstLine="720"/>
        <w:jc w:val="left"/>
        <w:rPr>
          <w:lang w:val="ru-RU"/>
        </w:rPr>
      </w:pPr>
    </w:p>
    <w:p w14:paraId="25E4CD82" w14:textId="00B6B528" w:rsidR="00CD50A4" w:rsidRPr="008007E3" w:rsidRDefault="00CD50A4" w:rsidP="00291AC1">
      <w:pPr>
        <w:shd w:val="clear" w:color="auto" w:fill="FFFFFF"/>
        <w:ind w:firstLine="567"/>
        <w:jc w:val="left"/>
        <w:rPr>
          <w:bCs/>
          <w:lang w:eastAsia="ru-RU"/>
        </w:rPr>
      </w:pPr>
      <w:r w:rsidRPr="008007E3">
        <w:rPr>
          <w:bCs/>
          <w:shd w:val="clear" w:color="auto" w:fill="FFFFFF"/>
        </w:rPr>
        <w:t xml:space="preserve">Глава 1. Норматив </w:t>
      </w:r>
      <w:r w:rsidRPr="008007E3">
        <w:rPr>
          <w:bCs/>
          <w:lang w:eastAsia="ru-RU"/>
        </w:rPr>
        <w:t>достатності регулятивного капіталу банківської групи</w:t>
      </w:r>
    </w:p>
    <w:p w14:paraId="55ACB15E" w14:textId="77777777" w:rsidR="00CD50A4" w:rsidRPr="008007E3" w:rsidRDefault="00CD50A4" w:rsidP="00291AC1">
      <w:pPr>
        <w:shd w:val="clear" w:color="auto" w:fill="FFFFFF"/>
        <w:ind w:firstLine="567"/>
        <w:jc w:val="left"/>
        <w:rPr>
          <w:bCs/>
          <w:highlight w:val="lightGray"/>
          <w:shd w:val="clear" w:color="auto" w:fill="FFFFFF"/>
        </w:rPr>
      </w:pPr>
    </w:p>
    <w:p w14:paraId="6C1A86C4" w14:textId="632EE519" w:rsidR="00DB0287" w:rsidRPr="008007E3" w:rsidRDefault="00DB0287" w:rsidP="00291AC1">
      <w:pPr>
        <w:shd w:val="clear" w:color="auto" w:fill="FFFFFF"/>
        <w:ind w:firstLine="567"/>
      </w:pPr>
      <w:r w:rsidRPr="008007E3">
        <w:t xml:space="preserve">1. Достатність регулятивного капіталу банківської групи відображає здатність банківської групи покрити збитки, спричинені </w:t>
      </w:r>
      <w:r w:rsidR="002941A0">
        <w:t xml:space="preserve">прийнятими </w:t>
      </w:r>
      <w:r w:rsidRPr="008007E3">
        <w:t>ризиками, за рахунок регулятивного капіталу.</w:t>
      </w:r>
    </w:p>
    <w:p w14:paraId="50B105D6" w14:textId="77777777" w:rsidR="00DB0287" w:rsidRPr="008007E3" w:rsidRDefault="00DB0287" w:rsidP="00291AC1">
      <w:pPr>
        <w:shd w:val="clear" w:color="auto" w:fill="FFFFFF"/>
        <w:ind w:firstLine="567"/>
      </w:pPr>
    </w:p>
    <w:p w14:paraId="3239CDAB" w14:textId="113A0BCC" w:rsidR="00DB0287" w:rsidRPr="008007E3" w:rsidRDefault="00DB0287" w:rsidP="00291AC1">
      <w:pPr>
        <w:shd w:val="clear" w:color="auto" w:fill="FFFFFF"/>
        <w:ind w:firstLine="567"/>
      </w:pPr>
      <w:r w:rsidRPr="008007E3">
        <w:t>2. Достатність регулятивного капіталу банківської групи визначається шляхом порівняння розміру регулятивного капіталу банківської групи, розрахованого згідно з главою 1 розділу II цього Положення, з необхідним розміром регулятивного капіталу банківської групи, розрахованим згідно з главою 1 розділу III цього Положення.</w:t>
      </w:r>
    </w:p>
    <w:p w14:paraId="6E93D450" w14:textId="77777777" w:rsidR="00DB0287" w:rsidRPr="008007E3" w:rsidRDefault="00DB0287" w:rsidP="00291AC1">
      <w:pPr>
        <w:shd w:val="clear" w:color="auto" w:fill="FFFFFF"/>
        <w:ind w:firstLine="567"/>
      </w:pPr>
    </w:p>
    <w:p w14:paraId="3844EDEF" w14:textId="6899E4D9" w:rsidR="00DB0287" w:rsidRPr="008007E3" w:rsidRDefault="00DB0287" w:rsidP="00291AC1">
      <w:pPr>
        <w:shd w:val="clear" w:color="auto" w:fill="FFFFFF"/>
        <w:ind w:firstLine="567"/>
      </w:pPr>
      <w:r w:rsidRPr="008007E3">
        <w:t>3. Мінімальні вимоги щодо достатності регулятивного капіталу банківської групи є дотриманими, якщо розмір регулятивного капіталу банківської групи, розрахований згідно з главою 1 розділу II цього Положення</w:t>
      </w:r>
      <w:r w:rsidR="00784A94">
        <w:t>,</w:t>
      </w:r>
      <w:r w:rsidRPr="008007E3">
        <w:t xml:space="preserve"> дорівнює або перевищує необхідний розмір регулятивного капіталу банківської групи, розрахований згідно з главою 1 розділу III цього Положення.</w:t>
      </w:r>
    </w:p>
    <w:p w14:paraId="50C1B197" w14:textId="77777777" w:rsidR="00DB0287" w:rsidRPr="008007E3" w:rsidRDefault="00DB0287" w:rsidP="00291AC1">
      <w:pPr>
        <w:shd w:val="clear" w:color="auto" w:fill="FFFFFF"/>
        <w:ind w:firstLine="567"/>
      </w:pPr>
    </w:p>
    <w:p w14:paraId="5D83E88C" w14:textId="77777777" w:rsidR="00CD50A4" w:rsidRPr="008007E3" w:rsidRDefault="00CD50A4" w:rsidP="00291AC1">
      <w:pPr>
        <w:shd w:val="clear" w:color="auto" w:fill="FFFFFF"/>
        <w:ind w:firstLine="567"/>
      </w:pPr>
      <w:r w:rsidRPr="008007E3">
        <w:t>4. Необхідний розмір регулятивного капіталу банківської групи розраховується за такою формулою:</w:t>
      </w:r>
    </w:p>
    <w:p w14:paraId="287D20E5" w14:textId="77777777" w:rsidR="00CD50A4" w:rsidRPr="008007E3" w:rsidRDefault="00CD50A4" w:rsidP="00291AC1">
      <w:pPr>
        <w:shd w:val="clear" w:color="auto" w:fill="FFFFFF"/>
        <w:ind w:firstLine="567"/>
      </w:pPr>
    </w:p>
    <w:p w14:paraId="6363C975" w14:textId="4EE73DC0" w:rsidR="00CD50A4" w:rsidRPr="008007E3" w:rsidRDefault="00CD50A4" w:rsidP="00291AC1">
      <w:pPr>
        <w:shd w:val="clear" w:color="auto" w:fill="FFFFFF"/>
        <w:jc w:val="center"/>
      </w:pPr>
      <w:r w:rsidRPr="008007E3">
        <w:t>НРК</w:t>
      </w:r>
      <w:r w:rsidRPr="008007E3">
        <w:rPr>
          <w:vertAlign w:val="subscript"/>
        </w:rPr>
        <w:t>БГ</w:t>
      </w:r>
      <w:r w:rsidRPr="00B76804">
        <w:t xml:space="preserve"> </w:t>
      </w:r>
      <w:r w:rsidRPr="008007E3">
        <w:t>= НРК</w:t>
      </w:r>
      <w:r w:rsidRPr="008007E3">
        <w:rPr>
          <w:vertAlign w:val="subscript"/>
        </w:rPr>
        <w:t>КІП</w:t>
      </w:r>
      <w:r w:rsidRPr="008007E3">
        <w:t xml:space="preserve"> + НРК</w:t>
      </w:r>
      <w:r w:rsidRPr="008007E3">
        <w:rPr>
          <w:vertAlign w:val="subscript"/>
        </w:rPr>
        <w:t>СП</w:t>
      </w:r>
      <w:r w:rsidRPr="008007E3">
        <w:t xml:space="preserve"> </w:t>
      </w:r>
      <w:r w:rsidR="00784A94">
        <w:t>‒</w:t>
      </w:r>
      <w:r w:rsidRPr="008007E3">
        <w:t xml:space="preserve"> К,</w:t>
      </w:r>
    </w:p>
    <w:p w14:paraId="45C77BBB" w14:textId="77777777" w:rsidR="003E6844" w:rsidRPr="008007E3" w:rsidRDefault="003E6844" w:rsidP="003E6844">
      <w:pPr>
        <w:shd w:val="clear" w:color="auto" w:fill="FFFFFF"/>
        <w:ind w:firstLine="720"/>
        <w:jc w:val="center"/>
      </w:pPr>
    </w:p>
    <w:p w14:paraId="23452E74" w14:textId="06CE093A" w:rsidR="00CD50A4" w:rsidRPr="008007E3" w:rsidRDefault="00CD50A4" w:rsidP="003E6844">
      <w:pPr>
        <w:shd w:val="clear" w:color="auto" w:fill="FFFFFF"/>
      </w:pPr>
      <w:r w:rsidRPr="008007E3">
        <w:t xml:space="preserve">де </w:t>
      </w:r>
      <w:r w:rsidR="00291AC1" w:rsidRPr="008007E3">
        <w:tab/>
      </w:r>
      <w:r w:rsidRPr="008007E3">
        <w:t>НРК</w:t>
      </w:r>
      <w:r w:rsidRPr="008007E3">
        <w:rPr>
          <w:vertAlign w:val="subscript"/>
        </w:rPr>
        <w:t>БГ</w:t>
      </w:r>
      <w:r w:rsidRPr="00B76804">
        <w:t xml:space="preserve"> </w:t>
      </w:r>
      <w:r w:rsidRPr="008007E3">
        <w:t>– необхідний розмір регулятивного капіталу банківської групи;</w:t>
      </w:r>
    </w:p>
    <w:p w14:paraId="3013DE80" w14:textId="6E4FE0E6" w:rsidR="00CD50A4" w:rsidRPr="008007E3" w:rsidRDefault="00CD50A4" w:rsidP="00B30291">
      <w:pPr>
        <w:shd w:val="clear" w:color="auto" w:fill="FFFFFF"/>
        <w:ind w:firstLine="567"/>
      </w:pPr>
      <w:r w:rsidRPr="008007E3">
        <w:t>НРК</w:t>
      </w:r>
      <w:r w:rsidRPr="008007E3">
        <w:rPr>
          <w:vertAlign w:val="subscript"/>
        </w:rPr>
        <w:t>КІП</w:t>
      </w:r>
      <w:r w:rsidRPr="00B76804">
        <w:t xml:space="preserve"> </w:t>
      </w:r>
      <w:r w:rsidRPr="008007E3">
        <w:t xml:space="preserve">– необхідний розмір регулятивного капіталу кредитно-інвестиційної підгрупи/банку </w:t>
      </w:r>
      <w:r w:rsidR="00EC0A31">
        <w:t>‒</w:t>
      </w:r>
      <w:r w:rsidRPr="008007E3">
        <w:t xml:space="preserve"> учасника банківської групи, якщо кредитно-інвестиційної підгрупи немає, розрахований відповідно до пункту 5 глави 1 розділу III цього Положення;</w:t>
      </w:r>
    </w:p>
    <w:p w14:paraId="38531A2C" w14:textId="04B4F23E" w:rsidR="00DB0287" w:rsidRPr="008007E3" w:rsidRDefault="00DB0287" w:rsidP="00B30291">
      <w:pPr>
        <w:shd w:val="clear" w:color="auto" w:fill="FFFFFF"/>
        <w:ind w:firstLine="567"/>
      </w:pPr>
      <w:r w:rsidRPr="008007E3">
        <w:t>НРК</w:t>
      </w:r>
      <w:r w:rsidRPr="008007E3">
        <w:rPr>
          <w:vertAlign w:val="subscript"/>
        </w:rPr>
        <w:t>СП</w:t>
      </w:r>
      <w:r w:rsidRPr="008007E3">
        <w:t xml:space="preserve"> </w:t>
      </w:r>
      <w:r w:rsidR="00EC0A31">
        <w:t>‒</w:t>
      </w:r>
      <w:r w:rsidRPr="008007E3">
        <w:t xml:space="preserve"> необхідний розмір регулятивного капіталу страхової підгрупи/страховика </w:t>
      </w:r>
      <w:r w:rsidR="00EC0A31">
        <w:t>‒</w:t>
      </w:r>
      <w:r w:rsidRPr="008007E3">
        <w:t xml:space="preserve"> учасника банківської групи, якщо страхової підгрупи немає, розрахований згідно з Положенням про порядок нагляду на консолідованій основі за небанківськими фінансовими групами, затвердженим постановою Правління Національного банку України від 29 грудня 2023 року № 202 (зі змінами), </w:t>
      </w:r>
      <w:r w:rsidR="00EC0A31">
        <w:t>у</w:t>
      </w:r>
      <w:r w:rsidR="00EC0A31" w:rsidRPr="008007E3">
        <w:t xml:space="preserve"> </w:t>
      </w:r>
      <w:r w:rsidRPr="008007E3">
        <w:t xml:space="preserve">частині порядку розрахунку необхідного розміру регулятивного капіталу страхової підгрупи небанківської фінансової групи або страховика – учасника небанківської фінансової групи; </w:t>
      </w:r>
    </w:p>
    <w:p w14:paraId="671FD4C3" w14:textId="5D286CC6" w:rsidR="00DB0287" w:rsidRPr="00B34448" w:rsidRDefault="00DB0287" w:rsidP="00B30291">
      <w:pPr>
        <w:shd w:val="clear" w:color="auto" w:fill="FFFFFF"/>
        <w:ind w:firstLine="567"/>
      </w:pPr>
      <w:r w:rsidRPr="00B34448">
        <w:t>К – коригування, що визначається як необхідний розмір регулятивного капіталу, розрахован</w:t>
      </w:r>
      <w:r w:rsidR="00C43556" w:rsidRPr="00B34448">
        <w:t>ого</w:t>
      </w:r>
      <w:r w:rsidRPr="00B34448">
        <w:t xml:space="preserve"> за активами </w:t>
      </w:r>
      <w:r w:rsidR="00EC0A31" w:rsidRPr="00B34448">
        <w:t>‒</w:t>
      </w:r>
      <w:r w:rsidRPr="00B34448">
        <w:t xml:space="preserve"> </w:t>
      </w:r>
      <w:proofErr w:type="spellStart"/>
      <w:r w:rsidRPr="00B34448">
        <w:t>вкладеннями</w:t>
      </w:r>
      <w:proofErr w:type="spellEnd"/>
      <w:r w:rsidRPr="00B34448">
        <w:t xml:space="preserve"> (акції, частки, паї) учасників банківської групи в статутний капітал інших учасників банківської групи та інші фінансові інструменти, які були включені до </w:t>
      </w:r>
      <w:proofErr w:type="spellStart"/>
      <w:r w:rsidRPr="00B34448">
        <w:t>вирахувань</w:t>
      </w:r>
      <w:proofErr w:type="spellEnd"/>
      <w:r w:rsidRPr="00B34448">
        <w:t xml:space="preserve"> під час розрахунку регулятивного капіталу банківської групи.</w:t>
      </w:r>
    </w:p>
    <w:p w14:paraId="4B322151" w14:textId="13A87840" w:rsidR="00DB0287" w:rsidRPr="008007E3" w:rsidRDefault="00DB0287" w:rsidP="00B30291">
      <w:pPr>
        <w:shd w:val="clear" w:color="auto" w:fill="FFFFFF"/>
        <w:ind w:firstLine="567"/>
      </w:pPr>
      <w:r w:rsidRPr="008007E3">
        <w:t>Сума коригування розраховується за такою формулою:</w:t>
      </w:r>
    </w:p>
    <w:p w14:paraId="4119E93F" w14:textId="77777777" w:rsidR="00D83648" w:rsidRPr="008007E3" w:rsidRDefault="00D83648" w:rsidP="00B30291">
      <w:pPr>
        <w:shd w:val="clear" w:color="auto" w:fill="FFFFFF"/>
        <w:ind w:firstLine="567"/>
      </w:pPr>
    </w:p>
    <w:p w14:paraId="5D351084" w14:textId="72E1BEB2" w:rsidR="00DB0287" w:rsidRPr="008007E3" w:rsidRDefault="00DB0287" w:rsidP="00B30291">
      <w:pPr>
        <w:shd w:val="clear" w:color="auto" w:fill="FFFFFF"/>
        <w:jc w:val="center"/>
      </w:pPr>
      <w:r w:rsidRPr="008007E3">
        <w:t xml:space="preserve">К= </w:t>
      </w:r>
      <w:proofErr w:type="spellStart"/>
      <w:r w:rsidRPr="008007E3">
        <w:t>КРв</w:t>
      </w:r>
      <w:proofErr w:type="spellEnd"/>
      <w:r w:rsidRPr="008007E3">
        <w:t xml:space="preserve"> </w:t>
      </w:r>
      <w:r w:rsidR="00EB206E">
        <w:t>x</w:t>
      </w:r>
      <w:r w:rsidRPr="008007E3">
        <w:t xml:space="preserve"> </w:t>
      </w:r>
      <w:r w:rsidRPr="008007E3">
        <w:rPr>
          <w:lang w:val="en-US"/>
        </w:rPr>
        <w:t>k</w:t>
      </w:r>
      <w:r w:rsidRPr="008007E3">
        <w:t>,</w:t>
      </w:r>
    </w:p>
    <w:p w14:paraId="2445C815" w14:textId="77777777" w:rsidR="00D83648" w:rsidRPr="008007E3" w:rsidRDefault="00D83648" w:rsidP="00AA2CE1">
      <w:pPr>
        <w:shd w:val="clear" w:color="auto" w:fill="FFFFFF"/>
        <w:ind w:firstLine="720"/>
        <w:jc w:val="center"/>
      </w:pPr>
    </w:p>
    <w:p w14:paraId="57C78DF7" w14:textId="4BDCF417" w:rsidR="00DB0287" w:rsidRPr="008007E3" w:rsidRDefault="00DB0287" w:rsidP="003E6844">
      <w:pPr>
        <w:shd w:val="clear" w:color="auto" w:fill="FFFFFF"/>
      </w:pPr>
      <w:r w:rsidRPr="008007E3">
        <w:t xml:space="preserve">де </w:t>
      </w:r>
      <w:r w:rsidR="00B30291" w:rsidRPr="008007E3">
        <w:tab/>
      </w:r>
      <w:proofErr w:type="spellStart"/>
      <w:r w:rsidRPr="008007E3">
        <w:t>КРв</w:t>
      </w:r>
      <w:proofErr w:type="spellEnd"/>
      <w:r w:rsidRPr="008007E3">
        <w:t xml:space="preserve"> </w:t>
      </w:r>
      <w:r w:rsidR="00C43556">
        <w:t>‒</w:t>
      </w:r>
      <w:r w:rsidRPr="008007E3">
        <w:t xml:space="preserve"> сума вкладень у капітал учасників банківської групи, зважених за ступенем кредитного ризику, що приймалася до розрахунку необхідного розміру регулятивного капіталу (НРК);</w:t>
      </w:r>
    </w:p>
    <w:p w14:paraId="1D9E19CB" w14:textId="768CF74F" w:rsidR="00DB0287" w:rsidRPr="008007E3" w:rsidRDefault="00DB0287" w:rsidP="00B30291">
      <w:pPr>
        <w:shd w:val="clear" w:color="auto" w:fill="FFFFFF"/>
        <w:ind w:firstLine="567"/>
      </w:pPr>
      <w:r w:rsidRPr="008007E3">
        <w:rPr>
          <w:lang w:val="en-US"/>
        </w:rPr>
        <w:t>k</w:t>
      </w:r>
      <w:r w:rsidRPr="008007E3">
        <w:t xml:space="preserve"> – коефіцієнт, визначений згідно з пунктом 5 глави 1 розділу </w:t>
      </w:r>
      <w:r w:rsidRPr="008007E3">
        <w:rPr>
          <w:lang w:val="en-US"/>
        </w:rPr>
        <w:t>III</w:t>
      </w:r>
      <w:r w:rsidRPr="008007E3">
        <w:t xml:space="preserve"> цього Положення.</w:t>
      </w:r>
    </w:p>
    <w:p w14:paraId="48A8A755" w14:textId="77777777" w:rsidR="00DB0287" w:rsidRPr="008007E3" w:rsidRDefault="00DB0287" w:rsidP="00B30291">
      <w:pPr>
        <w:shd w:val="clear" w:color="auto" w:fill="FFFFFF"/>
        <w:ind w:firstLine="567"/>
      </w:pPr>
    </w:p>
    <w:p w14:paraId="67D99BBA" w14:textId="18F8938D" w:rsidR="00CD50A4" w:rsidRPr="008007E3" w:rsidRDefault="00CD50A4" w:rsidP="00B30291">
      <w:pPr>
        <w:shd w:val="clear" w:color="auto" w:fill="FFFFFF"/>
        <w:ind w:firstLine="567"/>
      </w:pPr>
      <w:r w:rsidRPr="008007E3">
        <w:t xml:space="preserve">5. Необхідний розмір регулятивного капіталу кредитно-інвестиційної підгрупи/банку </w:t>
      </w:r>
      <w:r w:rsidR="00C43556">
        <w:t>‒</w:t>
      </w:r>
      <w:r w:rsidRPr="008007E3">
        <w:t xml:space="preserve"> учасника банківської групи, якщо кредитно-інвестиційної підгрупи немає, розраховується за такою формулою:</w:t>
      </w:r>
    </w:p>
    <w:p w14:paraId="6D7173C6" w14:textId="77777777" w:rsidR="00D83648" w:rsidRPr="008007E3" w:rsidRDefault="00D83648" w:rsidP="00B30291">
      <w:pPr>
        <w:shd w:val="clear" w:color="auto" w:fill="FFFFFF"/>
        <w:ind w:firstLine="567"/>
      </w:pPr>
    </w:p>
    <w:p w14:paraId="22382BA1" w14:textId="134159D3" w:rsidR="00CD50A4" w:rsidRPr="00DF5B4C" w:rsidRDefault="00CD50A4" w:rsidP="00B30291">
      <w:pPr>
        <w:shd w:val="clear" w:color="auto" w:fill="FFFFFF"/>
        <w:jc w:val="center"/>
      </w:pPr>
      <w:r w:rsidRPr="008007E3">
        <w:t>НРК</w:t>
      </w:r>
      <w:r w:rsidRPr="008007E3">
        <w:rPr>
          <w:vertAlign w:val="subscript"/>
        </w:rPr>
        <w:t>КІП</w:t>
      </w:r>
      <w:r w:rsidRPr="008007E3">
        <w:t xml:space="preserve"> = СЕ </w:t>
      </w:r>
      <w:r w:rsidR="00EB206E">
        <w:t>x</w:t>
      </w:r>
      <w:r w:rsidRPr="008007E3">
        <w:t xml:space="preserve"> </w:t>
      </w:r>
      <w:r w:rsidR="001F5346" w:rsidRPr="008007E3">
        <w:rPr>
          <w:lang w:val="en-US"/>
        </w:rPr>
        <w:t>k</w:t>
      </w:r>
      <w:r w:rsidRPr="008007E3">
        <w:t>,</w:t>
      </w:r>
    </w:p>
    <w:p w14:paraId="259BED69" w14:textId="77777777" w:rsidR="00D83648" w:rsidRPr="008007E3" w:rsidRDefault="00D83648" w:rsidP="00B30291">
      <w:pPr>
        <w:shd w:val="clear" w:color="auto" w:fill="FFFFFF"/>
        <w:ind w:firstLine="567"/>
        <w:jc w:val="center"/>
      </w:pPr>
    </w:p>
    <w:p w14:paraId="5FEE7908" w14:textId="4D1F9FB6" w:rsidR="00CD50A4" w:rsidRPr="008007E3" w:rsidRDefault="00CD50A4" w:rsidP="00C43556">
      <w:pPr>
        <w:shd w:val="clear" w:color="auto" w:fill="FFFFFF"/>
      </w:pPr>
      <w:r w:rsidRPr="008007E3">
        <w:t xml:space="preserve">де </w:t>
      </w:r>
      <w:r w:rsidR="00B30291" w:rsidRPr="008007E3">
        <w:tab/>
      </w:r>
      <w:r w:rsidRPr="008007E3">
        <w:t xml:space="preserve">СЕ </w:t>
      </w:r>
      <w:r w:rsidR="00C43556">
        <w:t>‒</w:t>
      </w:r>
      <w:r w:rsidRPr="008007E3">
        <w:t xml:space="preserve"> сукупна експозиція під ризиком кредитно-інвестиційної підгрупи, розрахована відповідно до пункту 2 глави 2 розділу III цього Положення;</w:t>
      </w:r>
    </w:p>
    <w:p w14:paraId="5AA614ED" w14:textId="4E6EB6D8" w:rsidR="00CD50A4" w:rsidRPr="008007E3" w:rsidRDefault="001F5346" w:rsidP="00B30291">
      <w:pPr>
        <w:shd w:val="clear" w:color="auto" w:fill="FFFFFF"/>
        <w:ind w:firstLine="567"/>
      </w:pPr>
      <w:r w:rsidRPr="008007E3">
        <w:rPr>
          <w:lang w:val="en-US"/>
        </w:rPr>
        <w:t>k</w:t>
      </w:r>
      <w:r w:rsidR="00CD50A4" w:rsidRPr="008007E3">
        <w:t xml:space="preserve"> – коефіцієнт, розрахований </w:t>
      </w:r>
      <w:r w:rsidR="00C35528">
        <w:t xml:space="preserve">на основі </w:t>
      </w:r>
      <w:r w:rsidR="00CD50A4" w:rsidRPr="008007E3">
        <w:t>значення мінімальних вимог щодо достатності регулятивного капіталу кредитно-інвестиційної підгрупи</w:t>
      </w:r>
      <w:r w:rsidRPr="008007E3">
        <w:t>:</w:t>
      </w:r>
      <w:r w:rsidR="00CD50A4" w:rsidRPr="008007E3">
        <w:t xml:space="preserve">  </w:t>
      </w:r>
    </w:p>
    <w:p w14:paraId="307DACF4" w14:textId="77777777" w:rsidR="001F5346" w:rsidRPr="008007E3" w:rsidRDefault="001F5346" w:rsidP="00B30291">
      <w:pPr>
        <w:pStyle w:val="rvps7"/>
        <w:shd w:val="clear" w:color="auto" w:fill="FFFFFF"/>
        <w:spacing w:before="0" w:beforeAutospacing="0" w:after="0" w:afterAutospacing="0"/>
        <w:ind w:firstLine="567"/>
        <w:jc w:val="both"/>
        <w:rPr>
          <w:b/>
          <w:bCs/>
          <w:sz w:val="28"/>
          <w:szCs w:val="28"/>
          <w:shd w:val="clear" w:color="auto" w:fill="FFFFFF"/>
        </w:rPr>
      </w:pPr>
    </w:p>
    <w:p w14:paraId="6060D2D9" w14:textId="77777777" w:rsidR="001F5346" w:rsidRPr="008007E3" w:rsidRDefault="001F5346" w:rsidP="00B30291">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1) до 31 грудня 2024 року (включно) – 0,085;</w:t>
      </w:r>
    </w:p>
    <w:p w14:paraId="7D85B03C" w14:textId="77777777" w:rsidR="001F5346" w:rsidRPr="008007E3" w:rsidRDefault="001F5346" w:rsidP="00B30291">
      <w:pPr>
        <w:pStyle w:val="rvps7"/>
        <w:shd w:val="clear" w:color="auto" w:fill="FFFFFF"/>
        <w:spacing w:before="0" w:beforeAutospacing="0" w:after="0" w:afterAutospacing="0"/>
        <w:ind w:firstLine="567"/>
        <w:jc w:val="both"/>
        <w:rPr>
          <w:bCs/>
          <w:sz w:val="28"/>
          <w:szCs w:val="28"/>
          <w:shd w:val="clear" w:color="auto" w:fill="FFFFFF"/>
        </w:rPr>
      </w:pPr>
    </w:p>
    <w:p w14:paraId="0CC6F319" w14:textId="77777777" w:rsidR="001F5346" w:rsidRPr="008007E3" w:rsidRDefault="001F5346" w:rsidP="00B30291">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lastRenderedPageBreak/>
        <w:t>2) до 30 червня 2025 року (включно) – 0,0925;</w:t>
      </w:r>
    </w:p>
    <w:p w14:paraId="4768BEF4" w14:textId="77777777" w:rsidR="001F5346" w:rsidRPr="008007E3" w:rsidRDefault="001F5346" w:rsidP="00B30291">
      <w:pPr>
        <w:pStyle w:val="rvps7"/>
        <w:shd w:val="clear" w:color="auto" w:fill="FFFFFF"/>
        <w:spacing w:before="0" w:beforeAutospacing="0" w:after="0" w:afterAutospacing="0"/>
        <w:ind w:firstLine="567"/>
        <w:jc w:val="both"/>
        <w:rPr>
          <w:bCs/>
          <w:sz w:val="28"/>
          <w:szCs w:val="28"/>
          <w:shd w:val="clear" w:color="auto" w:fill="FFFFFF"/>
        </w:rPr>
      </w:pPr>
    </w:p>
    <w:p w14:paraId="18726B50" w14:textId="77777777" w:rsidR="001F5346" w:rsidRPr="008007E3" w:rsidRDefault="001F5346" w:rsidP="00B30291">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3) із 01 липня 2025 року – 0,1.</w:t>
      </w:r>
    </w:p>
    <w:p w14:paraId="5D1972C5" w14:textId="77777777" w:rsidR="003E6844" w:rsidRPr="008007E3" w:rsidRDefault="003E6844" w:rsidP="00B30291">
      <w:pPr>
        <w:shd w:val="clear" w:color="auto" w:fill="FFFFFF"/>
        <w:ind w:firstLine="567"/>
      </w:pPr>
    </w:p>
    <w:p w14:paraId="00A52F6C" w14:textId="71718311" w:rsidR="00D83648" w:rsidRPr="008007E3" w:rsidRDefault="00D83648" w:rsidP="00B76804">
      <w:pPr>
        <w:pStyle w:val="rvps7"/>
        <w:keepNext/>
        <w:shd w:val="clear" w:color="auto" w:fill="FFFFFF"/>
        <w:spacing w:before="0" w:beforeAutospacing="0" w:after="0" w:afterAutospacing="0"/>
        <w:jc w:val="center"/>
        <w:rPr>
          <w:bCs/>
          <w:sz w:val="28"/>
          <w:szCs w:val="28"/>
          <w:shd w:val="clear" w:color="auto" w:fill="FFFFFF"/>
        </w:rPr>
      </w:pPr>
      <w:r w:rsidRPr="008007E3">
        <w:rPr>
          <w:bCs/>
          <w:sz w:val="28"/>
          <w:szCs w:val="28"/>
          <w:shd w:val="clear" w:color="auto" w:fill="FFFFFF"/>
        </w:rPr>
        <w:t xml:space="preserve">Глава 2. Норматив достатності регулятивного капіталу </w:t>
      </w:r>
      <w:r w:rsidR="002552EF" w:rsidRPr="008007E3">
        <w:rPr>
          <w:bCs/>
          <w:sz w:val="28"/>
          <w:szCs w:val="28"/>
          <w:shd w:val="clear" w:color="auto" w:fill="FFFFFF"/>
        </w:rPr>
        <w:br/>
      </w:r>
      <w:r w:rsidRPr="008007E3">
        <w:rPr>
          <w:bCs/>
          <w:sz w:val="28"/>
          <w:szCs w:val="28"/>
          <w:shd w:val="clear" w:color="auto" w:fill="FFFFFF"/>
        </w:rPr>
        <w:t xml:space="preserve">кредитно-інвестиційної підгрупи </w:t>
      </w:r>
      <w:r w:rsidRPr="008007E3">
        <w:rPr>
          <w:bCs/>
          <w:sz w:val="28"/>
          <w:szCs w:val="28"/>
          <w:lang w:eastAsia="ru-RU"/>
        </w:rPr>
        <w:t>(</w:t>
      </w:r>
      <w:proofErr w:type="spellStart"/>
      <w:r w:rsidRPr="008007E3">
        <w:rPr>
          <w:bCs/>
          <w:sz w:val="28"/>
          <w:szCs w:val="28"/>
          <w:lang w:eastAsia="ru-RU"/>
        </w:rPr>
        <w:t>Н</w:t>
      </w:r>
      <w:r w:rsidRPr="008007E3">
        <w:rPr>
          <w:bCs/>
          <w:sz w:val="28"/>
          <w:szCs w:val="28"/>
          <w:vertAlign w:val="subscript"/>
          <w:lang w:eastAsia="ru-RU"/>
        </w:rPr>
        <w:t>РКк</w:t>
      </w:r>
      <w:proofErr w:type="spellEnd"/>
      <w:r w:rsidRPr="008007E3">
        <w:rPr>
          <w:bCs/>
          <w:sz w:val="28"/>
          <w:szCs w:val="28"/>
          <w:lang w:eastAsia="ru-RU"/>
        </w:rPr>
        <w:t>)</w:t>
      </w:r>
    </w:p>
    <w:p w14:paraId="5C18E107" w14:textId="77777777" w:rsidR="00D83648" w:rsidRPr="008007E3" w:rsidRDefault="00D83648" w:rsidP="00B76804">
      <w:pPr>
        <w:pStyle w:val="rvps7"/>
        <w:keepNext/>
        <w:shd w:val="clear" w:color="auto" w:fill="FFFFFF"/>
        <w:spacing w:before="0" w:beforeAutospacing="0" w:after="0" w:afterAutospacing="0"/>
        <w:ind w:firstLine="567"/>
        <w:jc w:val="both"/>
        <w:rPr>
          <w:bCs/>
          <w:sz w:val="28"/>
          <w:szCs w:val="28"/>
          <w:shd w:val="clear" w:color="auto" w:fill="FFFFFF"/>
        </w:rPr>
      </w:pPr>
    </w:p>
    <w:p w14:paraId="417DBC7C" w14:textId="77777777" w:rsidR="00D83648" w:rsidRPr="008007E3" w:rsidRDefault="00D83648"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 xml:space="preserve">1. Норматив достатності регулятивного капіталу кредитно-інвестиційної підгрупи </w:t>
      </w:r>
      <w:r w:rsidRPr="008007E3">
        <w:rPr>
          <w:bCs/>
          <w:sz w:val="28"/>
          <w:szCs w:val="28"/>
          <w:lang w:eastAsia="ru-RU"/>
        </w:rPr>
        <w:t>(</w:t>
      </w:r>
      <w:proofErr w:type="spellStart"/>
      <w:r w:rsidRPr="008007E3">
        <w:rPr>
          <w:bCs/>
          <w:sz w:val="28"/>
          <w:szCs w:val="28"/>
          <w:lang w:eastAsia="ru-RU"/>
        </w:rPr>
        <w:t>Н</w:t>
      </w:r>
      <w:r w:rsidRPr="008007E3">
        <w:rPr>
          <w:bCs/>
          <w:sz w:val="28"/>
          <w:szCs w:val="28"/>
          <w:vertAlign w:val="subscript"/>
          <w:lang w:eastAsia="ru-RU"/>
        </w:rPr>
        <w:t>РКк</w:t>
      </w:r>
      <w:proofErr w:type="spellEnd"/>
      <w:r w:rsidRPr="008007E3">
        <w:rPr>
          <w:bCs/>
          <w:sz w:val="28"/>
          <w:szCs w:val="28"/>
          <w:lang w:eastAsia="ru-RU"/>
        </w:rPr>
        <w:t>)</w:t>
      </w:r>
      <w:r w:rsidRPr="008007E3">
        <w:rPr>
          <w:bCs/>
          <w:sz w:val="28"/>
          <w:szCs w:val="28"/>
          <w:shd w:val="clear" w:color="auto" w:fill="FFFFFF"/>
        </w:rPr>
        <w:t xml:space="preserve"> визначається як відношення розміру регулятивного капіталу кредитно-інвестиційної підгрупи, розрахованого згідно з главою 2 розділу II цього Положення, до сукупної експозиції під ризиком, визначеної згідно з пунктом 2 глави 2 розділу III цього Положення. </w:t>
      </w:r>
    </w:p>
    <w:p w14:paraId="0FB4B86B" w14:textId="77777777" w:rsidR="00D83648" w:rsidRPr="008007E3" w:rsidRDefault="00D83648" w:rsidP="002552EF">
      <w:pPr>
        <w:shd w:val="clear" w:color="auto" w:fill="FFFFFF"/>
        <w:ind w:firstLine="567"/>
      </w:pPr>
    </w:p>
    <w:p w14:paraId="23138C68" w14:textId="77777777" w:rsidR="00D83648" w:rsidRPr="008007E3" w:rsidRDefault="00D83648" w:rsidP="002552EF">
      <w:pPr>
        <w:shd w:val="clear" w:color="auto" w:fill="FFFFFF"/>
        <w:ind w:firstLine="567"/>
      </w:pPr>
      <w:r w:rsidRPr="008007E3">
        <w:t>2. Відповідальна особа розраховує сукупну експозицію під ризиком КІП за такою формулою:</w:t>
      </w:r>
    </w:p>
    <w:p w14:paraId="3FFE39B6" w14:textId="77777777" w:rsidR="00D83648" w:rsidRPr="008007E3" w:rsidRDefault="00D83648" w:rsidP="002552EF">
      <w:pPr>
        <w:shd w:val="clear" w:color="auto" w:fill="FFFFFF"/>
        <w:ind w:firstLine="567"/>
      </w:pPr>
    </w:p>
    <w:p w14:paraId="653673D8" w14:textId="41E81505" w:rsidR="00D83648" w:rsidRPr="008007E3" w:rsidRDefault="00D83648" w:rsidP="002552EF">
      <w:pPr>
        <w:shd w:val="clear" w:color="auto" w:fill="FFFFFF"/>
        <w:jc w:val="center"/>
      </w:pPr>
      <w:r w:rsidRPr="008007E3">
        <w:t>СЕ = КР + ОР</w:t>
      </w:r>
      <w:r w:rsidR="006B586B">
        <w:t xml:space="preserve"> </w:t>
      </w:r>
      <w:r w:rsidRPr="008007E3">
        <w:t>x</w:t>
      </w:r>
      <w:r w:rsidR="006B586B">
        <w:t xml:space="preserve"> </w:t>
      </w:r>
      <w:r w:rsidRPr="008007E3">
        <w:t>10</w:t>
      </w:r>
      <w:r w:rsidR="006B586B">
        <w:t xml:space="preserve"> </w:t>
      </w:r>
      <w:r w:rsidRPr="008007E3">
        <w:t>+ РР</w:t>
      </w:r>
      <w:r w:rsidR="006B586B">
        <w:t xml:space="preserve"> </w:t>
      </w:r>
      <w:r w:rsidRPr="008007E3">
        <w:t>x</w:t>
      </w:r>
      <w:r w:rsidR="006B586B">
        <w:t xml:space="preserve"> </w:t>
      </w:r>
      <w:r w:rsidRPr="008007E3">
        <w:t xml:space="preserve">10 + </w:t>
      </w:r>
      <w:proofErr w:type="spellStart"/>
      <w:r w:rsidRPr="008007E3">
        <w:t>Рі</w:t>
      </w:r>
      <w:proofErr w:type="spellEnd"/>
      <w:r w:rsidRPr="008007E3">
        <w:t xml:space="preserve"> – НКР,</w:t>
      </w:r>
      <w:r w:rsidR="003E6844" w:rsidRPr="008007E3">
        <w:t xml:space="preserve">  </w:t>
      </w:r>
    </w:p>
    <w:p w14:paraId="75D6EDC0" w14:textId="77777777" w:rsidR="003E6844" w:rsidRPr="008007E3" w:rsidRDefault="003E6844" w:rsidP="00AA2CE1">
      <w:pPr>
        <w:shd w:val="clear" w:color="auto" w:fill="FFFFFF"/>
        <w:ind w:firstLine="720"/>
        <w:jc w:val="center"/>
      </w:pPr>
    </w:p>
    <w:p w14:paraId="75070D3E" w14:textId="09C7DFB8" w:rsidR="00D83648" w:rsidRPr="008007E3" w:rsidRDefault="00D83648" w:rsidP="003E6844">
      <w:pPr>
        <w:shd w:val="clear" w:color="auto" w:fill="FFFFFF"/>
      </w:pPr>
      <w:r w:rsidRPr="008007E3">
        <w:t xml:space="preserve">де </w:t>
      </w:r>
      <w:r w:rsidR="002552EF" w:rsidRPr="008007E3">
        <w:tab/>
      </w:r>
      <w:r w:rsidRPr="008007E3">
        <w:t xml:space="preserve">СЕ – сукупна експозиція під ризиком; </w:t>
      </w:r>
    </w:p>
    <w:p w14:paraId="2A93F351" w14:textId="35525308" w:rsidR="00D83648" w:rsidRPr="008007E3" w:rsidRDefault="00D83648" w:rsidP="002552EF">
      <w:pPr>
        <w:shd w:val="clear" w:color="auto" w:fill="FFFFFF"/>
        <w:ind w:firstLine="567"/>
      </w:pPr>
      <w:r w:rsidRPr="008007E3">
        <w:t>КР – сукупна сума консолідованих активів та позабалансових зобов’язань кредитно-інвестиційної підгрупи, зважених на відповідні коефіцієнти ризику залежно від групи ризику, до якої віднесено актив, відповідно до</w:t>
      </w:r>
      <w:r w:rsidR="006B586B">
        <w:t xml:space="preserve"> </w:t>
      </w:r>
      <w:r w:rsidRPr="008007E3">
        <w:t>глави 1</w:t>
      </w:r>
      <w:r w:rsidR="006B586B">
        <w:t xml:space="preserve"> </w:t>
      </w:r>
      <w:r w:rsidRPr="008007E3">
        <w:t xml:space="preserve">розділу IV Інструкції № 368, з урахуванням даних аналітичного обліку згідно з методикою розрахунку економічних нормативів, розробленою відповідно до Інструкції № 368 та схваленою рішенням Правління Національного банку </w:t>
      </w:r>
      <w:r w:rsidR="006B586B">
        <w:br/>
      </w:r>
      <w:r w:rsidRPr="008007E3">
        <w:t>(далі – сукупна сума зважених активів);</w:t>
      </w:r>
    </w:p>
    <w:p w14:paraId="52DAC8CE" w14:textId="77777777" w:rsidR="00CD50A4" w:rsidRPr="008007E3" w:rsidRDefault="00CD50A4" w:rsidP="002552EF">
      <w:pPr>
        <w:shd w:val="clear" w:color="auto" w:fill="FFFFFF"/>
        <w:ind w:firstLine="567"/>
      </w:pPr>
      <w:r w:rsidRPr="008007E3">
        <w:t xml:space="preserve">ОР – мінімальний розмір операційного ризику кредитно-інвестиційної підгрупи, розрахований відповідно до нормативно-правового </w:t>
      </w:r>
      <w:proofErr w:type="spellStart"/>
      <w:r w:rsidRPr="008007E3">
        <w:t>акта</w:t>
      </w:r>
      <w:proofErr w:type="spellEnd"/>
      <w:r w:rsidRPr="008007E3">
        <w:t xml:space="preserve"> Національного банку щодо порядку визначення мінімального розміру операційного ризику;</w:t>
      </w:r>
    </w:p>
    <w:p w14:paraId="2E56615A" w14:textId="77777777" w:rsidR="00CD50A4" w:rsidRPr="008007E3" w:rsidRDefault="00CD50A4" w:rsidP="002552EF">
      <w:pPr>
        <w:shd w:val="clear" w:color="auto" w:fill="FFFFFF"/>
        <w:ind w:firstLine="567"/>
      </w:pPr>
      <w:r w:rsidRPr="008007E3">
        <w:t xml:space="preserve">РР – мінімальний розмір ринкового ризику кредитно-інвестиційної підгрупи, розрахований відповідно до нормативно-правового </w:t>
      </w:r>
      <w:proofErr w:type="spellStart"/>
      <w:r w:rsidRPr="008007E3">
        <w:t>акта</w:t>
      </w:r>
      <w:proofErr w:type="spellEnd"/>
      <w:r w:rsidRPr="008007E3">
        <w:t xml:space="preserve"> Національного банку щодо порядку визначення мінімального розміру ринкового ризику</w:t>
      </w:r>
      <w:r w:rsidR="001E6435" w:rsidRPr="008007E3">
        <w:t xml:space="preserve"> (далі – мінімальний розмір ринкового ризику)</w:t>
      </w:r>
      <w:r w:rsidRPr="008007E3">
        <w:t>;</w:t>
      </w:r>
    </w:p>
    <w:p w14:paraId="3DD197A2" w14:textId="1917E772" w:rsidR="00D83648" w:rsidRPr="008007E3" w:rsidRDefault="00D83648" w:rsidP="002552EF">
      <w:pPr>
        <w:ind w:firstLine="567"/>
      </w:pPr>
      <w:proofErr w:type="spellStart"/>
      <w:r w:rsidRPr="008007E3">
        <w:t>Рі</w:t>
      </w:r>
      <w:proofErr w:type="spellEnd"/>
      <w:r w:rsidRPr="008007E3">
        <w:t xml:space="preserve"> – сукупний розмір різниць, які виникають </w:t>
      </w:r>
      <w:r w:rsidR="006B586B">
        <w:t>у</w:t>
      </w:r>
      <w:r w:rsidRPr="008007E3">
        <w:t>наслідок переміщення інструментів до банківської/торгової книги відповідно до вимог пункту 257</w:t>
      </w:r>
      <w:r w:rsidRPr="008007E3">
        <w:rPr>
          <w:vertAlign w:val="superscript"/>
        </w:rPr>
        <w:t>4</w:t>
      </w:r>
      <w:r w:rsidRPr="008007E3">
        <w:t xml:space="preserve"> глави 39 розділу V Положення про організацію системи управління ризиками в банках України та банківських групах, затвердженого постановою Правління Національного банку України від 11 червня 2018 року № 64 (зі змінами) (далі – Положення № 64)</w:t>
      </w:r>
      <w:r w:rsidR="006B586B">
        <w:t>,</w:t>
      </w:r>
      <w:r w:rsidRPr="008007E3">
        <w:t xml:space="preserve"> та зменшують сукупну експозицію під ризиком (далі – Різниця)</w:t>
      </w:r>
      <w:r w:rsidR="00686524">
        <w:t xml:space="preserve">, розрахованих </w:t>
      </w:r>
      <w:r w:rsidRPr="008007E3">
        <w:t>відповідно до пункту 3 глави 2 розділу III цього Положення;</w:t>
      </w:r>
    </w:p>
    <w:p w14:paraId="614AB2EF" w14:textId="7056BFDE" w:rsidR="00CD50A4" w:rsidRPr="008007E3" w:rsidRDefault="00CD50A4" w:rsidP="002552EF">
      <w:pPr>
        <w:shd w:val="clear" w:color="auto" w:fill="FFFFFF"/>
        <w:ind w:firstLine="567"/>
      </w:pPr>
      <w:r w:rsidRPr="008007E3">
        <w:t xml:space="preserve">НКР </w:t>
      </w:r>
      <w:r w:rsidR="006B586B">
        <w:t>‒</w:t>
      </w:r>
      <w:r w:rsidRPr="008007E3">
        <w:t xml:space="preserve"> сукупна величина непокритого кредитного ризику, яка вирахувана з регулятивного капіталу банку </w:t>
      </w:r>
      <w:r w:rsidR="006B586B">
        <w:t>‒</w:t>
      </w:r>
      <w:r w:rsidRPr="008007E3">
        <w:t xml:space="preserve"> учасника банківської групи, учасника кредитно-</w:t>
      </w:r>
      <w:r w:rsidRPr="008007E3">
        <w:lastRenderedPageBreak/>
        <w:t>інвестиційної підгрупи, операції якого включаються до розрахунку нормативів кредитного ризику банку з урахуванням пункту 21 глави 1 розділу VI Інструкції № 368.</w:t>
      </w:r>
    </w:p>
    <w:p w14:paraId="09BF6214" w14:textId="77777777" w:rsidR="00CD50A4" w:rsidRPr="008007E3" w:rsidRDefault="00CD50A4" w:rsidP="002552EF">
      <w:pPr>
        <w:pStyle w:val="rvps7"/>
        <w:shd w:val="clear" w:color="auto" w:fill="FFFFFF"/>
        <w:spacing w:before="0" w:beforeAutospacing="0" w:after="0" w:afterAutospacing="0"/>
        <w:ind w:firstLine="567"/>
        <w:jc w:val="both"/>
        <w:rPr>
          <w:bCs/>
          <w:sz w:val="28"/>
          <w:szCs w:val="28"/>
          <w:shd w:val="clear" w:color="auto" w:fill="FFFFFF"/>
        </w:rPr>
      </w:pPr>
    </w:p>
    <w:p w14:paraId="0E225849" w14:textId="74310942" w:rsidR="001E6435" w:rsidRPr="008007E3" w:rsidRDefault="001E643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3. Відповідальна особа для визначення Різниці здійснює такі послідовні заходи:</w:t>
      </w:r>
    </w:p>
    <w:p w14:paraId="56A192C7" w14:textId="77777777" w:rsidR="001E6435" w:rsidRPr="008007E3" w:rsidRDefault="001E6435" w:rsidP="002552EF">
      <w:pPr>
        <w:pStyle w:val="rvps7"/>
        <w:shd w:val="clear" w:color="auto" w:fill="FFFFFF"/>
        <w:spacing w:before="0" w:beforeAutospacing="0" w:after="0" w:afterAutospacing="0"/>
        <w:ind w:firstLine="567"/>
        <w:jc w:val="both"/>
        <w:rPr>
          <w:bCs/>
          <w:sz w:val="28"/>
          <w:szCs w:val="28"/>
          <w:shd w:val="clear" w:color="auto" w:fill="FFFFFF"/>
        </w:rPr>
      </w:pPr>
    </w:p>
    <w:p w14:paraId="0F88C738" w14:textId="5D5F0188" w:rsidR="001E6435" w:rsidRPr="008007E3" w:rsidRDefault="001E643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1) визначає сукупну сум</w:t>
      </w:r>
      <w:r w:rsidR="00D83648" w:rsidRPr="008007E3">
        <w:rPr>
          <w:bCs/>
          <w:sz w:val="28"/>
          <w:szCs w:val="28"/>
          <w:shd w:val="clear" w:color="auto" w:fill="FFFFFF"/>
          <w:lang w:val="ru-RU"/>
        </w:rPr>
        <w:t>у</w:t>
      </w:r>
      <w:r w:rsidRPr="008007E3">
        <w:rPr>
          <w:bCs/>
          <w:sz w:val="28"/>
          <w:szCs w:val="28"/>
          <w:shd w:val="clear" w:color="auto" w:fill="FFFFFF"/>
        </w:rPr>
        <w:t xml:space="preserve"> зважених активів та мінімального розміру ринкового ризику, помноженого на коефіцієнт 10, розраховану без урахування переміщення інструменту;</w:t>
      </w:r>
    </w:p>
    <w:p w14:paraId="0D4F6A8A" w14:textId="77777777" w:rsidR="001E6435" w:rsidRPr="008007E3" w:rsidRDefault="001E6435" w:rsidP="002552EF">
      <w:pPr>
        <w:pStyle w:val="rvps7"/>
        <w:shd w:val="clear" w:color="auto" w:fill="FFFFFF"/>
        <w:spacing w:before="0" w:beforeAutospacing="0" w:after="0" w:afterAutospacing="0"/>
        <w:ind w:firstLine="567"/>
        <w:jc w:val="both"/>
        <w:rPr>
          <w:bCs/>
          <w:sz w:val="28"/>
          <w:szCs w:val="28"/>
          <w:shd w:val="clear" w:color="auto" w:fill="FFFFFF"/>
        </w:rPr>
      </w:pPr>
    </w:p>
    <w:p w14:paraId="3AB6F6A4" w14:textId="0C75AA24" w:rsidR="001E6435" w:rsidRPr="008007E3" w:rsidRDefault="001E643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2) визначає сукупну сум</w:t>
      </w:r>
      <w:r w:rsidR="00D83648" w:rsidRPr="008007E3">
        <w:rPr>
          <w:bCs/>
          <w:sz w:val="28"/>
          <w:szCs w:val="28"/>
          <w:shd w:val="clear" w:color="auto" w:fill="FFFFFF"/>
          <w:lang w:val="ru-RU"/>
        </w:rPr>
        <w:t>у</w:t>
      </w:r>
      <w:r w:rsidRPr="008007E3">
        <w:rPr>
          <w:bCs/>
          <w:sz w:val="28"/>
          <w:szCs w:val="28"/>
          <w:shd w:val="clear" w:color="auto" w:fill="FFFFFF"/>
        </w:rPr>
        <w:t xml:space="preserve"> зважених активів та мінімального розміру ринкового ризику, помноженого на коефіцієнт 10, розраховану з урахуванням переміщення інструменту. Під час розрахунку такої суми </w:t>
      </w:r>
      <w:r w:rsidR="00A74D80">
        <w:rPr>
          <w:bCs/>
          <w:sz w:val="28"/>
          <w:szCs w:val="28"/>
          <w:shd w:val="clear" w:color="auto" w:fill="FFFFFF"/>
        </w:rPr>
        <w:t>в</w:t>
      </w:r>
      <w:r w:rsidRPr="008007E3">
        <w:rPr>
          <w:bCs/>
          <w:sz w:val="28"/>
          <w:szCs w:val="28"/>
          <w:shd w:val="clear" w:color="auto" w:fill="FFFFFF"/>
        </w:rPr>
        <w:t>раховується вплив, спричинений виключно переміщенням інструменту;</w:t>
      </w:r>
    </w:p>
    <w:p w14:paraId="1820C87F" w14:textId="77777777" w:rsidR="001E6435" w:rsidRPr="008007E3" w:rsidRDefault="001E6435" w:rsidP="002552EF">
      <w:pPr>
        <w:pStyle w:val="rvps7"/>
        <w:shd w:val="clear" w:color="auto" w:fill="FFFFFF"/>
        <w:spacing w:before="0" w:beforeAutospacing="0" w:after="0" w:afterAutospacing="0"/>
        <w:ind w:firstLine="567"/>
        <w:jc w:val="both"/>
        <w:rPr>
          <w:bCs/>
          <w:sz w:val="28"/>
          <w:szCs w:val="28"/>
          <w:shd w:val="clear" w:color="auto" w:fill="FFFFFF"/>
        </w:rPr>
      </w:pPr>
    </w:p>
    <w:p w14:paraId="3CB87E96" w14:textId="4A8FB71D" w:rsidR="001E6435" w:rsidRPr="008007E3" w:rsidRDefault="001E643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3) визначає розмір Різниці як перевищення величини, визначеної згідно з підпунктом 1 пункту 3 глави 2 розділу III цього Положення, над величиною, визначеною згідно з підпунктом 2 пункту 3 глави 2 розділу III цього Положення.</w:t>
      </w:r>
    </w:p>
    <w:p w14:paraId="0CDD2127" w14:textId="77777777" w:rsidR="001E6435" w:rsidRPr="008007E3" w:rsidRDefault="001E643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Відповідальна особа включає Різницю до сукупної експозиції під ризиком зі звітної дати, яка є наступною за датою переміщення інструменту до банківської/торгової книги, до дати припинення визнання переміщеного інструменту.</w:t>
      </w:r>
    </w:p>
    <w:p w14:paraId="1A4D94C9" w14:textId="77777777" w:rsidR="001E6435" w:rsidRPr="008007E3" w:rsidRDefault="001E6435" w:rsidP="002552EF">
      <w:pPr>
        <w:pStyle w:val="rvps7"/>
        <w:shd w:val="clear" w:color="auto" w:fill="FFFFFF"/>
        <w:spacing w:before="0" w:beforeAutospacing="0" w:after="0" w:afterAutospacing="0"/>
        <w:ind w:firstLine="567"/>
        <w:jc w:val="both"/>
        <w:rPr>
          <w:bCs/>
          <w:sz w:val="28"/>
          <w:szCs w:val="28"/>
          <w:shd w:val="clear" w:color="auto" w:fill="FFFFFF"/>
        </w:rPr>
      </w:pPr>
    </w:p>
    <w:p w14:paraId="2D519EAA" w14:textId="7A501466" w:rsidR="00D6159E" w:rsidRPr="008007E3" w:rsidRDefault="001E643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4</w:t>
      </w:r>
      <w:r w:rsidR="00CD50A4" w:rsidRPr="008007E3">
        <w:rPr>
          <w:bCs/>
          <w:sz w:val="28"/>
          <w:szCs w:val="28"/>
          <w:shd w:val="clear" w:color="auto" w:fill="FFFFFF"/>
        </w:rPr>
        <w:t>. Мінімальне значення нормативу достатності регулятивного капіталу</w:t>
      </w:r>
      <w:r w:rsidR="001F5346" w:rsidRPr="008007E3">
        <w:rPr>
          <w:bCs/>
          <w:sz w:val="28"/>
          <w:szCs w:val="28"/>
          <w:shd w:val="clear" w:color="auto" w:fill="FFFFFF"/>
        </w:rPr>
        <w:t xml:space="preserve"> </w:t>
      </w:r>
      <w:r w:rsidR="00CD50A4" w:rsidRPr="008007E3">
        <w:rPr>
          <w:bCs/>
          <w:sz w:val="28"/>
          <w:szCs w:val="28"/>
          <w:shd w:val="clear" w:color="auto" w:fill="FFFFFF"/>
        </w:rPr>
        <w:t xml:space="preserve">кредитно-інвестиційної підгрупи </w:t>
      </w:r>
      <w:r w:rsidR="00D83648" w:rsidRPr="008007E3">
        <w:rPr>
          <w:bCs/>
          <w:sz w:val="28"/>
          <w:szCs w:val="28"/>
          <w:lang w:eastAsia="ru-RU"/>
        </w:rPr>
        <w:t>(</w:t>
      </w:r>
      <w:proofErr w:type="spellStart"/>
      <w:r w:rsidR="00D83648" w:rsidRPr="008007E3">
        <w:rPr>
          <w:bCs/>
          <w:sz w:val="28"/>
          <w:szCs w:val="28"/>
          <w:lang w:eastAsia="ru-RU"/>
        </w:rPr>
        <w:t>Н</w:t>
      </w:r>
      <w:r w:rsidR="00D83648" w:rsidRPr="008007E3">
        <w:rPr>
          <w:bCs/>
          <w:sz w:val="28"/>
          <w:szCs w:val="28"/>
          <w:vertAlign w:val="subscript"/>
          <w:lang w:eastAsia="ru-RU"/>
        </w:rPr>
        <w:t>РКк</w:t>
      </w:r>
      <w:proofErr w:type="spellEnd"/>
      <w:r w:rsidR="00D83648" w:rsidRPr="008007E3">
        <w:rPr>
          <w:bCs/>
          <w:sz w:val="28"/>
          <w:szCs w:val="28"/>
          <w:lang w:eastAsia="ru-RU"/>
        </w:rPr>
        <w:t>)</w:t>
      </w:r>
      <w:r w:rsidR="00D83648" w:rsidRPr="008007E3">
        <w:rPr>
          <w:bCs/>
          <w:sz w:val="28"/>
          <w:szCs w:val="28"/>
          <w:shd w:val="clear" w:color="auto" w:fill="FFFFFF"/>
        </w:rPr>
        <w:t xml:space="preserve"> </w:t>
      </w:r>
      <w:r w:rsidR="00CD50A4" w:rsidRPr="008007E3">
        <w:rPr>
          <w:bCs/>
          <w:sz w:val="28"/>
          <w:szCs w:val="28"/>
          <w:shd w:val="clear" w:color="auto" w:fill="FFFFFF"/>
        </w:rPr>
        <w:t>становить 10</w:t>
      </w:r>
      <w:r w:rsidR="006B586B">
        <w:rPr>
          <w:bCs/>
          <w:sz w:val="28"/>
          <w:szCs w:val="28"/>
          <w:shd w:val="clear" w:color="auto" w:fill="FFFFFF"/>
        </w:rPr>
        <w:t>%</w:t>
      </w:r>
      <w:r w:rsidR="00CD50A4" w:rsidRPr="008007E3">
        <w:rPr>
          <w:bCs/>
          <w:sz w:val="28"/>
          <w:szCs w:val="28"/>
          <w:shd w:val="clear" w:color="auto" w:fill="FFFFFF"/>
        </w:rPr>
        <w:t xml:space="preserve"> від сукупної експозиції під ризиком</w:t>
      </w:r>
      <w:r w:rsidR="00D6159E" w:rsidRPr="008007E3">
        <w:rPr>
          <w:bCs/>
          <w:sz w:val="28"/>
          <w:szCs w:val="28"/>
          <w:shd w:val="clear" w:color="auto" w:fill="FFFFFF"/>
        </w:rPr>
        <w:t>:</w:t>
      </w:r>
    </w:p>
    <w:p w14:paraId="692891D6" w14:textId="77777777" w:rsidR="003E6844" w:rsidRPr="008007E3" w:rsidRDefault="003E6844" w:rsidP="002552EF">
      <w:pPr>
        <w:pStyle w:val="rvps7"/>
        <w:shd w:val="clear" w:color="auto" w:fill="FFFFFF"/>
        <w:spacing w:before="0" w:beforeAutospacing="0" w:after="0" w:afterAutospacing="0"/>
        <w:ind w:firstLine="567"/>
        <w:jc w:val="both"/>
        <w:rPr>
          <w:bCs/>
          <w:sz w:val="28"/>
          <w:szCs w:val="28"/>
          <w:shd w:val="clear" w:color="auto" w:fill="FFFFFF"/>
        </w:rPr>
      </w:pPr>
    </w:p>
    <w:p w14:paraId="2F40A9B7" w14:textId="6D2B8D68" w:rsidR="00D6159E" w:rsidRPr="008007E3" w:rsidRDefault="00D6159E"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1) до 31 грудня 2024 року (включно) – 8,5</w:t>
      </w:r>
      <w:r w:rsidR="006B586B">
        <w:rPr>
          <w:bCs/>
          <w:sz w:val="28"/>
          <w:szCs w:val="28"/>
          <w:shd w:val="clear" w:color="auto" w:fill="FFFFFF"/>
        </w:rPr>
        <w:t>%</w:t>
      </w:r>
      <w:r w:rsidRPr="008007E3">
        <w:rPr>
          <w:bCs/>
          <w:sz w:val="28"/>
          <w:szCs w:val="28"/>
          <w:shd w:val="clear" w:color="auto" w:fill="FFFFFF"/>
        </w:rPr>
        <w:t xml:space="preserve"> від сукупної експозиції під ризиком;</w:t>
      </w:r>
    </w:p>
    <w:p w14:paraId="4E582E28" w14:textId="77777777" w:rsidR="003E6844" w:rsidRPr="008007E3" w:rsidRDefault="003E6844" w:rsidP="002552EF">
      <w:pPr>
        <w:pStyle w:val="rvps7"/>
        <w:shd w:val="clear" w:color="auto" w:fill="FFFFFF"/>
        <w:spacing w:before="0" w:beforeAutospacing="0" w:after="0" w:afterAutospacing="0"/>
        <w:ind w:firstLine="567"/>
        <w:jc w:val="both"/>
        <w:rPr>
          <w:bCs/>
          <w:sz w:val="28"/>
          <w:szCs w:val="28"/>
          <w:shd w:val="clear" w:color="auto" w:fill="FFFFFF"/>
        </w:rPr>
      </w:pPr>
    </w:p>
    <w:p w14:paraId="5EBB8FAB" w14:textId="3ADCAE77" w:rsidR="00D6159E" w:rsidRPr="008007E3" w:rsidRDefault="00D6159E"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2) до 30 червня 2025 року (включно) – 9,25</w:t>
      </w:r>
      <w:r w:rsidR="006B586B">
        <w:rPr>
          <w:bCs/>
          <w:sz w:val="28"/>
          <w:szCs w:val="28"/>
          <w:shd w:val="clear" w:color="auto" w:fill="FFFFFF"/>
        </w:rPr>
        <w:t>%</w:t>
      </w:r>
      <w:r w:rsidRPr="008007E3">
        <w:rPr>
          <w:bCs/>
          <w:sz w:val="28"/>
          <w:szCs w:val="28"/>
          <w:shd w:val="clear" w:color="auto" w:fill="FFFFFF"/>
        </w:rPr>
        <w:t xml:space="preserve"> від сукупної експозиції під ризиком;</w:t>
      </w:r>
    </w:p>
    <w:p w14:paraId="4DA59C9F" w14:textId="77777777" w:rsidR="003E6844" w:rsidRPr="008007E3" w:rsidRDefault="003E6844" w:rsidP="002552EF">
      <w:pPr>
        <w:pStyle w:val="rvps7"/>
        <w:shd w:val="clear" w:color="auto" w:fill="FFFFFF"/>
        <w:spacing w:before="0" w:beforeAutospacing="0" w:after="0" w:afterAutospacing="0"/>
        <w:ind w:firstLine="567"/>
        <w:jc w:val="both"/>
        <w:rPr>
          <w:bCs/>
          <w:sz w:val="28"/>
          <w:szCs w:val="28"/>
          <w:shd w:val="clear" w:color="auto" w:fill="FFFFFF"/>
        </w:rPr>
      </w:pPr>
    </w:p>
    <w:p w14:paraId="5C838A2E" w14:textId="3F1DE36C" w:rsidR="00CD50A4" w:rsidRPr="008007E3" w:rsidRDefault="00D6159E"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3) із 01 липня 2025 року – 10</w:t>
      </w:r>
      <w:r w:rsidR="006B586B">
        <w:rPr>
          <w:bCs/>
          <w:sz w:val="28"/>
          <w:szCs w:val="28"/>
          <w:shd w:val="clear" w:color="auto" w:fill="FFFFFF"/>
        </w:rPr>
        <w:t>%</w:t>
      </w:r>
      <w:r w:rsidRPr="008007E3">
        <w:rPr>
          <w:bCs/>
          <w:sz w:val="28"/>
          <w:szCs w:val="28"/>
          <w:shd w:val="clear" w:color="auto" w:fill="FFFFFF"/>
        </w:rPr>
        <w:t xml:space="preserve"> від сукупної експозиції під ризиком</w:t>
      </w:r>
      <w:r w:rsidR="00CD50A4" w:rsidRPr="008007E3">
        <w:rPr>
          <w:bCs/>
          <w:sz w:val="28"/>
          <w:szCs w:val="28"/>
          <w:shd w:val="clear" w:color="auto" w:fill="FFFFFF"/>
        </w:rPr>
        <w:t>.</w:t>
      </w:r>
    </w:p>
    <w:p w14:paraId="6B690C0E" w14:textId="77777777" w:rsidR="003E6844" w:rsidRPr="008007E3" w:rsidRDefault="003E6844" w:rsidP="002552EF">
      <w:pPr>
        <w:pStyle w:val="rvps7"/>
        <w:shd w:val="clear" w:color="auto" w:fill="FFFFFF"/>
        <w:spacing w:before="0" w:beforeAutospacing="0" w:after="0" w:afterAutospacing="0"/>
        <w:ind w:firstLine="567"/>
        <w:jc w:val="both"/>
        <w:rPr>
          <w:bCs/>
          <w:sz w:val="28"/>
          <w:szCs w:val="28"/>
          <w:shd w:val="clear" w:color="auto" w:fill="FFFFFF"/>
        </w:rPr>
      </w:pPr>
    </w:p>
    <w:p w14:paraId="19460962" w14:textId="4A845A27" w:rsidR="00CD50A4" w:rsidRPr="008007E3" w:rsidRDefault="00CD50A4" w:rsidP="00AA2CE1">
      <w:pPr>
        <w:ind w:firstLine="720"/>
        <w:jc w:val="center"/>
        <w:rPr>
          <w:bCs/>
          <w:lang w:eastAsia="ru-RU"/>
        </w:rPr>
      </w:pPr>
      <w:r w:rsidRPr="008007E3">
        <w:rPr>
          <w:bCs/>
          <w:shd w:val="clear" w:color="auto" w:fill="FFFFFF"/>
        </w:rPr>
        <w:t xml:space="preserve">Глава 3. Норматив </w:t>
      </w:r>
      <w:r w:rsidRPr="008007E3">
        <w:rPr>
          <w:bCs/>
          <w:lang w:eastAsia="ru-RU"/>
        </w:rPr>
        <w:t>достатності капіталу 1 рівня кредитно-інвестиційної підгрупи</w:t>
      </w:r>
      <w:r w:rsidR="00D83648" w:rsidRPr="008007E3">
        <w:rPr>
          <w:bCs/>
          <w:lang w:val="ru-RU" w:eastAsia="ru-RU"/>
        </w:rPr>
        <w:t xml:space="preserve"> </w:t>
      </w:r>
      <w:r w:rsidR="00D83648" w:rsidRPr="008007E3">
        <w:rPr>
          <w:bCs/>
          <w:shd w:val="clear" w:color="auto" w:fill="FFFFFF"/>
        </w:rPr>
        <w:t>(</w:t>
      </w:r>
      <w:r w:rsidR="00D83648" w:rsidRPr="008007E3">
        <w:rPr>
          <w:bCs/>
          <w:lang w:eastAsia="ru-RU"/>
        </w:rPr>
        <w:t>Н</w:t>
      </w:r>
      <w:r w:rsidR="00D83648" w:rsidRPr="008007E3">
        <w:rPr>
          <w:bCs/>
          <w:vertAlign w:val="subscript"/>
          <w:lang w:eastAsia="ru-RU"/>
        </w:rPr>
        <w:t>К1к</w:t>
      </w:r>
      <w:r w:rsidR="00D83648" w:rsidRPr="008007E3">
        <w:rPr>
          <w:bCs/>
          <w:lang w:eastAsia="ru-RU"/>
        </w:rPr>
        <w:t>)</w:t>
      </w:r>
    </w:p>
    <w:p w14:paraId="2EE2BB7C" w14:textId="77777777" w:rsidR="00CD50A4" w:rsidRPr="008007E3" w:rsidRDefault="00CD50A4" w:rsidP="002552EF">
      <w:pPr>
        <w:shd w:val="clear" w:color="auto" w:fill="FFFFFF"/>
        <w:ind w:firstLine="567"/>
        <w:rPr>
          <w:bCs/>
          <w:lang w:eastAsia="ru-RU"/>
        </w:rPr>
      </w:pPr>
    </w:p>
    <w:p w14:paraId="4B3F5771" w14:textId="528354F2" w:rsidR="00CD50A4" w:rsidRPr="008007E3" w:rsidRDefault="00CD50A4" w:rsidP="002552EF">
      <w:pPr>
        <w:shd w:val="clear" w:color="auto" w:fill="FFFFFF"/>
        <w:ind w:firstLine="567"/>
        <w:rPr>
          <w:bCs/>
          <w:shd w:val="clear" w:color="auto" w:fill="FFFFFF"/>
        </w:rPr>
      </w:pPr>
      <w:r w:rsidRPr="008007E3">
        <w:rPr>
          <w:bCs/>
          <w:lang w:eastAsia="ru-RU"/>
        </w:rPr>
        <w:t xml:space="preserve">1. Норматив достатності капіталу 1 рівня кредитно-інвестиційної підгрупи </w:t>
      </w:r>
      <w:r w:rsidR="00D83648" w:rsidRPr="008007E3">
        <w:rPr>
          <w:bCs/>
          <w:shd w:val="clear" w:color="auto" w:fill="FFFFFF"/>
        </w:rPr>
        <w:t>(</w:t>
      </w:r>
      <w:r w:rsidR="00D83648" w:rsidRPr="008007E3">
        <w:rPr>
          <w:bCs/>
          <w:lang w:eastAsia="ru-RU"/>
        </w:rPr>
        <w:t>Н</w:t>
      </w:r>
      <w:r w:rsidR="00D83648" w:rsidRPr="008007E3">
        <w:rPr>
          <w:bCs/>
          <w:vertAlign w:val="subscript"/>
          <w:lang w:eastAsia="ru-RU"/>
        </w:rPr>
        <w:t>К1к</w:t>
      </w:r>
      <w:r w:rsidR="00D83648" w:rsidRPr="008007E3">
        <w:rPr>
          <w:bCs/>
          <w:lang w:eastAsia="ru-RU"/>
        </w:rPr>
        <w:t xml:space="preserve">) </w:t>
      </w:r>
      <w:r w:rsidRPr="008007E3">
        <w:rPr>
          <w:bCs/>
          <w:lang w:eastAsia="ru-RU"/>
        </w:rPr>
        <w:t>визначається я</w:t>
      </w:r>
      <w:r w:rsidRPr="008007E3">
        <w:rPr>
          <w:bCs/>
          <w:shd w:val="clear" w:color="auto" w:fill="FFFFFF"/>
        </w:rPr>
        <w:t>к відношення розміру капіталу 1 рівня кредитно-інвестиційної підгрупи, розрахованого згідно з главою 2 розділу II цього Положення, до сукупної експозиції під ризиком, розрахованої згідно з пунктом 2 глави 2 розділу III цього Положення.</w:t>
      </w:r>
    </w:p>
    <w:p w14:paraId="580A6A42" w14:textId="77777777" w:rsidR="00CD50A4" w:rsidRPr="008007E3" w:rsidRDefault="00CD50A4" w:rsidP="002552EF">
      <w:pPr>
        <w:shd w:val="clear" w:color="auto" w:fill="FFFFFF"/>
        <w:ind w:firstLine="567"/>
        <w:rPr>
          <w:bCs/>
          <w:shd w:val="clear" w:color="auto" w:fill="FFFFFF"/>
        </w:rPr>
      </w:pPr>
    </w:p>
    <w:p w14:paraId="229B4882" w14:textId="135EAC65" w:rsidR="00CD50A4" w:rsidRPr="008007E3" w:rsidRDefault="00CD50A4" w:rsidP="002552EF">
      <w:pPr>
        <w:ind w:firstLine="567"/>
      </w:pPr>
      <w:r w:rsidRPr="008007E3">
        <w:rPr>
          <w:bCs/>
          <w:shd w:val="clear" w:color="auto" w:fill="FFFFFF"/>
        </w:rPr>
        <w:t>2. Мінімальне значення нормативу достатності капіталу 1 рівня</w:t>
      </w:r>
      <w:r w:rsidR="00D6159E" w:rsidRPr="008007E3">
        <w:rPr>
          <w:bCs/>
          <w:shd w:val="clear" w:color="auto" w:fill="FFFFFF"/>
        </w:rPr>
        <w:t xml:space="preserve"> </w:t>
      </w:r>
      <w:r w:rsidRPr="008007E3">
        <w:rPr>
          <w:bCs/>
          <w:shd w:val="clear" w:color="auto" w:fill="FFFFFF"/>
        </w:rPr>
        <w:t xml:space="preserve">кредитно-інвестиційної підгрупи </w:t>
      </w:r>
      <w:r w:rsidR="00D83648" w:rsidRPr="008007E3">
        <w:rPr>
          <w:bCs/>
          <w:shd w:val="clear" w:color="auto" w:fill="FFFFFF"/>
        </w:rPr>
        <w:t>(</w:t>
      </w:r>
      <w:r w:rsidR="00D83648" w:rsidRPr="008007E3">
        <w:rPr>
          <w:bCs/>
          <w:lang w:eastAsia="ru-RU"/>
        </w:rPr>
        <w:t>Н</w:t>
      </w:r>
      <w:r w:rsidR="00D83648" w:rsidRPr="008007E3">
        <w:rPr>
          <w:bCs/>
          <w:vertAlign w:val="subscript"/>
          <w:lang w:eastAsia="ru-RU"/>
        </w:rPr>
        <w:t>К1к</w:t>
      </w:r>
      <w:r w:rsidR="00D83648" w:rsidRPr="008007E3">
        <w:rPr>
          <w:bCs/>
          <w:lang w:eastAsia="ru-RU"/>
        </w:rPr>
        <w:t xml:space="preserve">) </w:t>
      </w:r>
      <w:r w:rsidRPr="008007E3">
        <w:rPr>
          <w:bCs/>
          <w:shd w:val="clear" w:color="auto" w:fill="FFFFFF"/>
        </w:rPr>
        <w:t>становить 7,5</w:t>
      </w:r>
      <w:r w:rsidR="00131976">
        <w:rPr>
          <w:bCs/>
          <w:shd w:val="clear" w:color="auto" w:fill="FFFFFF"/>
        </w:rPr>
        <w:t>%</w:t>
      </w:r>
      <w:r w:rsidRPr="008007E3">
        <w:rPr>
          <w:bCs/>
          <w:shd w:val="clear" w:color="auto" w:fill="FFFFFF"/>
        </w:rPr>
        <w:t xml:space="preserve"> від сукупної експозиції під ризиком.</w:t>
      </w:r>
    </w:p>
    <w:p w14:paraId="3A397799" w14:textId="77777777" w:rsidR="00CD50A4" w:rsidRPr="008007E3" w:rsidRDefault="00CD50A4" w:rsidP="002552EF">
      <w:pPr>
        <w:ind w:firstLine="567"/>
      </w:pPr>
    </w:p>
    <w:p w14:paraId="49ADF04A" w14:textId="57E98386" w:rsidR="00CD50A4" w:rsidRPr="008007E3" w:rsidRDefault="00CD50A4" w:rsidP="00AA2CE1">
      <w:pPr>
        <w:pStyle w:val="rvps7"/>
        <w:shd w:val="clear" w:color="auto" w:fill="FFFFFF"/>
        <w:spacing w:before="0" w:beforeAutospacing="0" w:after="0" w:afterAutospacing="0"/>
        <w:ind w:firstLine="720"/>
        <w:jc w:val="center"/>
        <w:rPr>
          <w:bCs/>
          <w:sz w:val="28"/>
          <w:szCs w:val="28"/>
          <w:shd w:val="clear" w:color="auto" w:fill="FFFFFF"/>
          <w:lang w:val="ru-RU"/>
        </w:rPr>
      </w:pPr>
      <w:r w:rsidRPr="008007E3">
        <w:rPr>
          <w:bCs/>
          <w:sz w:val="28"/>
          <w:szCs w:val="28"/>
          <w:shd w:val="clear" w:color="auto" w:fill="FFFFFF"/>
        </w:rPr>
        <w:t>Глава 4. Норматив достатності основного капіталу 1 рівня</w:t>
      </w:r>
      <w:r w:rsidR="00D6159E" w:rsidRPr="008007E3">
        <w:rPr>
          <w:bCs/>
          <w:sz w:val="28"/>
          <w:szCs w:val="28"/>
          <w:shd w:val="clear" w:color="auto" w:fill="FFFFFF"/>
        </w:rPr>
        <w:t xml:space="preserve"> </w:t>
      </w:r>
      <w:r w:rsidRPr="008007E3">
        <w:rPr>
          <w:bCs/>
          <w:sz w:val="28"/>
          <w:szCs w:val="28"/>
          <w:shd w:val="clear" w:color="auto" w:fill="FFFFFF"/>
        </w:rPr>
        <w:t>кредитно-інвестиційної підгрупи</w:t>
      </w:r>
      <w:r w:rsidR="00D83648" w:rsidRPr="008007E3">
        <w:rPr>
          <w:bCs/>
          <w:sz w:val="28"/>
          <w:szCs w:val="28"/>
          <w:shd w:val="clear" w:color="auto" w:fill="FFFFFF"/>
          <w:lang w:val="ru-RU"/>
        </w:rPr>
        <w:t xml:space="preserve"> </w:t>
      </w:r>
      <w:r w:rsidR="00D83648" w:rsidRPr="008007E3">
        <w:rPr>
          <w:bCs/>
          <w:sz w:val="28"/>
          <w:szCs w:val="28"/>
          <w:shd w:val="clear" w:color="auto" w:fill="FFFFFF"/>
        </w:rPr>
        <w:t>(</w:t>
      </w:r>
      <w:r w:rsidR="00D83648" w:rsidRPr="008007E3">
        <w:rPr>
          <w:bCs/>
          <w:sz w:val="28"/>
          <w:szCs w:val="28"/>
          <w:lang w:eastAsia="ru-RU"/>
        </w:rPr>
        <w:t>Н</w:t>
      </w:r>
      <w:r w:rsidR="00D83648" w:rsidRPr="008007E3">
        <w:rPr>
          <w:bCs/>
          <w:sz w:val="28"/>
          <w:szCs w:val="28"/>
          <w:vertAlign w:val="subscript"/>
          <w:lang w:eastAsia="ru-RU"/>
        </w:rPr>
        <w:t>ОК1к</w:t>
      </w:r>
      <w:r w:rsidR="00D83648" w:rsidRPr="008007E3">
        <w:rPr>
          <w:bCs/>
          <w:sz w:val="28"/>
          <w:szCs w:val="28"/>
          <w:shd w:val="clear" w:color="auto" w:fill="FFFFFF"/>
        </w:rPr>
        <w:t>)</w:t>
      </w:r>
    </w:p>
    <w:p w14:paraId="30E81A34" w14:textId="77777777" w:rsidR="00CD50A4" w:rsidRPr="008007E3" w:rsidRDefault="00CD50A4" w:rsidP="002552EF">
      <w:pPr>
        <w:pStyle w:val="rvps7"/>
        <w:shd w:val="clear" w:color="auto" w:fill="FFFFFF"/>
        <w:spacing w:before="0" w:beforeAutospacing="0" w:after="0" w:afterAutospacing="0"/>
        <w:ind w:firstLine="567"/>
        <w:jc w:val="center"/>
        <w:rPr>
          <w:bCs/>
          <w:sz w:val="28"/>
          <w:szCs w:val="28"/>
          <w:shd w:val="clear" w:color="auto" w:fill="FFFFFF"/>
        </w:rPr>
      </w:pPr>
    </w:p>
    <w:p w14:paraId="53421621" w14:textId="15053F8E" w:rsidR="00CD50A4" w:rsidRPr="008007E3" w:rsidRDefault="00CD50A4"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 xml:space="preserve">1. Норматив достатності основного капіталу 1 рівня кредитно-інвестиційної підгрупи </w:t>
      </w:r>
      <w:r w:rsidR="00D83648" w:rsidRPr="008007E3">
        <w:rPr>
          <w:bCs/>
          <w:sz w:val="28"/>
          <w:szCs w:val="28"/>
          <w:shd w:val="clear" w:color="auto" w:fill="FFFFFF"/>
        </w:rPr>
        <w:t>(</w:t>
      </w:r>
      <w:r w:rsidR="00D83648" w:rsidRPr="008007E3">
        <w:rPr>
          <w:bCs/>
          <w:sz w:val="28"/>
          <w:szCs w:val="28"/>
          <w:lang w:eastAsia="ru-RU"/>
        </w:rPr>
        <w:t>Н</w:t>
      </w:r>
      <w:r w:rsidR="00D83648" w:rsidRPr="008007E3">
        <w:rPr>
          <w:bCs/>
          <w:sz w:val="28"/>
          <w:szCs w:val="28"/>
          <w:vertAlign w:val="subscript"/>
          <w:lang w:eastAsia="ru-RU"/>
        </w:rPr>
        <w:t>ОК1к</w:t>
      </w:r>
      <w:r w:rsidR="00D83648" w:rsidRPr="008007E3">
        <w:rPr>
          <w:bCs/>
          <w:sz w:val="28"/>
          <w:szCs w:val="28"/>
          <w:shd w:val="clear" w:color="auto" w:fill="FFFFFF"/>
        </w:rPr>
        <w:t xml:space="preserve">) </w:t>
      </w:r>
      <w:r w:rsidRPr="008007E3">
        <w:rPr>
          <w:bCs/>
          <w:sz w:val="28"/>
          <w:szCs w:val="28"/>
          <w:shd w:val="clear" w:color="auto" w:fill="FFFFFF"/>
        </w:rPr>
        <w:t>визначається як відношення розміру основного капіталу 1 рівня</w:t>
      </w:r>
      <w:r w:rsidR="004325EF" w:rsidRPr="008007E3">
        <w:rPr>
          <w:bCs/>
          <w:sz w:val="28"/>
          <w:szCs w:val="28"/>
          <w:shd w:val="clear" w:color="auto" w:fill="FFFFFF"/>
        </w:rPr>
        <w:t xml:space="preserve"> </w:t>
      </w:r>
      <w:r w:rsidRPr="008007E3">
        <w:rPr>
          <w:bCs/>
          <w:sz w:val="28"/>
          <w:szCs w:val="28"/>
          <w:shd w:val="clear" w:color="auto" w:fill="FFFFFF"/>
        </w:rPr>
        <w:t xml:space="preserve"> кредитно-інвестиційної підгрупи, розрахованого згідно з главою 3 розділу II цього Положення, до сукупної експозиції під ризиком, розрахованої згідно з пунктом 2 глави 2 розділу III цього Положення.</w:t>
      </w:r>
    </w:p>
    <w:p w14:paraId="2957D6A4" w14:textId="77777777" w:rsidR="00CD50A4" w:rsidRPr="008007E3" w:rsidRDefault="00CD50A4" w:rsidP="002552EF">
      <w:pPr>
        <w:pStyle w:val="rvps7"/>
        <w:shd w:val="clear" w:color="auto" w:fill="FFFFFF"/>
        <w:spacing w:before="0" w:beforeAutospacing="0" w:after="0" w:afterAutospacing="0"/>
        <w:ind w:firstLine="567"/>
        <w:jc w:val="both"/>
        <w:rPr>
          <w:bCs/>
          <w:sz w:val="28"/>
          <w:szCs w:val="28"/>
          <w:shd w:val="clear" w:color="auto" w:fill="FFFFFF"/>
        </w:rPr>
      </w:pPr>
    </w:p>
    <w:p w14:paraId="29D22593" w14:textId="081939FC" w:rsidR="00CD50A4" w:rsidRPr="008007E3" w:rsidRDefault="00CD50A4"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 xml:space="preserve">2. Мінімальне значення нормативу достатності основного капіталу 1 рівня кредитно-інвестиційної підгрупи </w:t>
      </w:r>
      <w:r w:rsidR="00D83648" w:rsidRPr="008007E3">
        <w:rPr>
          <w:bCs/>
          <w:sz w:val="28"/>
          <w:szCs w:val="28"/>
          <w:shd w:val="clear" w:color="auto" w:fill="FFFFFF"/>
        </w:rPr>
        <w:t>(</w:t>
      </w:r>
      <w:r w:rsidR="00D83648" w:rsidRPr="008007E3">
        <w:rPr>
          <w:bCs/>
          <w:sz w:val="28"/>
          <w:szCs w:val="28"/>
          <w:lang w:eastAsia="ru-RU"/>
        </w:rPr>
        <w:t>Н</w:t>
      </w:r>
      <w:r w:rsidR="00D83648" w:rsidRPr="008007E3">
        <w:rPr>
          <w:bCs/>
          <w:sz w:val="28"/>
          <w:szCs w:val="28"/>
          <w:vertAlign w:val="subscript"/>
          <w:lang w:eastAsia="ru-RU"/>
        </w:rPr>
        <w:t>ОК1к</w:t>
      </w:r>
      <w:r w:rsidR="00D83648" w:rsidRPr="008007E3">
        <w:rPr>
          <w:bCs/>
          <w:sz w:val="28"/>
          <w:szCs w:val="28"/>
          <w:shd w:val="clear" w:color="auto" w:fill="FFFFFF"/>
        </w:rPr>
        <w:t xml:space="preserve">) </w:t>
      </w:r>
      <w:r w:rsidRPr="008007E3">
        <w:rPr>
          <w:bCs/>
          <w:sz w:val="28"/>
          <w:szCs w:val="28"/>
          <w:shd w:val="clear" w:color="auto" w:fill="FFFFFF"/>
        </w:rPr>
        <w:t>становить</w:t>
      </w:r>
      <w:r w:rsidRPr="008007E3">
        <w:rPr>
          <w:bCs/>
          <w:sz w:val="28"/>
          <w:szCs w:val="28"/>
          <w:shd w:val="clear" w:color="auto" w:fill="FFFFFF"/>
          <w:vertAlign w:val="subscript"/>
        </w:rPr>
        <w:t xml:space="preserve"> </w:t>
      </w:r>
      <w:r w:rsidRPr="008007E3">
        <w:rPr>
          <w:bCs/>
          <w:sz w:val="28"/>
          <w:szCs w:val="28"/>
          <w:shd w:val="clear" w:color="auto" w:fill="FFFFFF"/>
        </w:rPr>
        <w:t>5,625</w:t>
      </w:r>
      <w:r w:rsidR="00131976">
        <w:rPr>
          <w:bCs/>
          <w:sz w:val="28"/>
          <w:szCs w:val="28"/>
          <w:shd w:val="clear" w:color="auto" w:fill="FFFFFF"/>
        </w:rPr>
        <w:t>%</w:t>
      </w:r>
      <w:r w:rsidRPr="008007E3">
        <w:rPr>
          <w:bCs/>
          <w:sz w:val="28"/>
          <w:szCs w:val="28"/>
          <w:shd w:val="clear" w:color="auto" w:fill="FFFFFF"/>
        </w:rPr>
        <w:t xml:space="preserve"> від сукупної експозиції під ризиком.</w:t>
      </w:r>
    </w:p>
    <w:p w14:paraId="7DF843A0" w14:textId="77777777" w:rsidR="003978F9" w:rsidRPr="008007E3" w:rsidRDefault="003978F9" w:rsidP="002552EF">
      <w:pPr>
        <w:ind w:firstLine="567"/>
        <w:jc w:val="center"/>
      </w:pPr>
    </w:p>
    <w:p w14:paraId="43C83AB9" w14:textId="77777777" w:rsidR="002552EF" w:rsidRPr="008007E3" w:rsidRDefault="00CD50A4" w:rsidP="00C35528">
      <w:pPr>
        <w:pStyle w:val="rvps7"/>
        <w:keepNext/>
        <w:shd w:val="clear" w:color="auto" w:fill="FFFFFF"/>
        <w:spacing w:before="0" w:beforeAutospacing="0" w:after="0" w:afterAutospacing="0"/>
        <w:jc w:val="center"/>
        <w:rPr>
          <w:bCs/>
          <w:sz w:val="28"/>
          <w:szCs w:val="28"/>
          <w:shd w:val="clear" w:color="auto" w:fill="FFFFFF"/>
        </w:rPr>
      </w:pPr>
      <w:r w:rsidRPr="008007E3">
        <w:rPr>
          <w:bCs/>
          <w:sz w:val="28"/>
          <w:szCs w:val="28"/>
          <w:shd w:val="clear" w:color="auto" w:fill="FFFFFF"/>
        </w:rPr>
        <w:t xml:space="preserve">Глава 5. Буфери капіталу кредитно-інвестиційної підгрупи. </w:t>
      </w:r>
    </w:p>
    <w:p w14:paraId="38475F6A" w14:textId="43C42C30" w:rsidR="00CD50A4" w:rsidRPr="008007E3" w:rsidRDefault="00CD50A4" w:rsidP="00C35528">
      <w:pPr>
        <w:pStyle w:val="rvps7"/>
        <w:keepNext/>
        <w:shd w:val="clear" w:color="auto" w:fill="FFFFFF"/>
        <w:spacing w:before="0" w:beforeAutospacing="0" w:after="0" w:afterAutospacing="0"/>
        <w:jc w:val="center"/>
        <w:rPr>
          <w:bCs/>
          <w:sz w:val="28"/>
          <w:szCs w:val="28"/>
          <w:shd w:val="clear" w:color="auto" w:fill="FFFFFF"/>
        </w:rPr>
      </w:pPr>
      <w:r w:rsidRPr="008007E3">
        <w:rPr>
          <w:bCs/>
          <w:sz w:val="28"/>
          <w:szCs w:val="28"/>
          <w:shd w:val="clear" w:color="auto" w:fill="FFFFFF"/>
        </w:rPr>
        <w:t>Комбінований буфер капіталу</w:t>
      </w:r>
    </w:p>
    <w:p w14:paraId="25243CF3" w14:textId="77777777" w:rsidR="00CD50A4" w:rsidRPr="008007E3" w:rsidRDefault="00CD50A4" w:rsidP="00C35528">
      <w:pPr>
        <w:pStyle w:val="rvps7"/>
        <w:keepNext/>
        <w:shd w:val="clear" w:color="auto" w:fill="FFFFFF"/>
        <w:spacing w:before="0" w:beforeAutospacing="0" w:after="0" w:afterAutospacing="0"/>
        <w:ind w:firstLine="567"/>
        <w:jc w:val="both"/>
        <w:rPr>
          <w:bCs/>
          <w:sz w:val="28"/>
          <w:szCs w:val="28"/>
          <w:shd w:val="clear" w:color="auto" w:fill="FFFFFF"/>
        </w:rPr>
      </w:pPr>
    </w:p>
    <w:p w14:paraId="758AFD08" w14:textId="52BB5B43"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1. Відповідальна особа банківської групи забезпечує формування буферів капіталу за кредитно-інвестиційною підгрупою, а саме:</w:t>
      </w:r>
    </w:p>
    <w:p w14:paraId="78A8EC22" w14:textId="77777777"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p>
    <w:p w14:paraId="5A30F9EC" w14:textId="7958788F" w:rsidR="00CD50A4" w:rsidRPr="008007E3" w:rsidRDefault="00CD50A4"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1) буфер</w:t>
      </w:r>
      <w:r w:rsidR="00131976">
        <w:rPr>
          <w:bCs/>
          <w:sz w:val="28"/>
          <w:szCs w:val="28"/>
          <w:shd w:val="clear" w:color="auto" w:fill="FFFFFF"/>
        </w:rPr>
        <w:t>а</w:t>
      </w:r>
      <w:r w:rsidRPr="008007E3">
        <w:rPr>
          <w:bCs/>
          <w:sz w:val="28"/>
          <w:szCs w:val="28"/>
          <w:shd w:val="clear" w:color="auto" w:fill="FFFFFF"/>
        </w:rPr>
        <w:t xml:space="preserve"> консервації;</w:t>
      </w:r>
    </w:p>
    <w:p w14:paraId="23F0C97F" w14:textId="77777777" w:rsidR="00CD50A4" w:rsidRPr="008007E3" w:rsidRDefault="00CD50A4" w:rsidP="002552EF">
      <w:pPr>
        <w:pStyle w:val="rvps7"/>
        <w:shd w:val="clear" w:color="auto" w:fill="FFFFFF"/>
        <w:spacing w:before="0" w:beforeAutospacing="0" w:after="0" w:afterAutospacing="0"/>
        <w:ind w:firstLine="567"/>
        <w:jc w:val="both"/>
        <w:rPr>
          <w:bCs/>
          <w:sz w:val="28"/>
          <w:szCs w:val="28"/>
          <w:shd w:val="clear" w:color="auto" w:fill="FFFFFF"/>
        </w:rPr>
      </w:pPr>
    </w:p>
    <w:p w14:paraId="676EE327" w14:textId="52160999" w:rsidR="00CD50A4" w:rsidRPr="008007E3" w:rsidRDefault="00CD50A4"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 xml:space="preserve">2) </w:t>
      </w:r>
      <w:proofErr w:type="spellStart"/>
      <w:r w:rsidRPr="008007E3">
        <w:rPr>
          <w:bCs/>
          <w:sz w:val="28"/>
          <w:szCs w:val="28"/>
          <w:shd w:val="clear" w:color="auto" w:fill="FFFFFF"/>
        </w:rPr>
        <w:t>контрциклічн</w:t>
      </w:r>
      <w:r w:rsidR="003A1125" w:rsidRPr="008007E3">
        <w:rPr>
          <w:bCs/>
          <w:sz w:val="28"/>
          <w:szCs w:val="28"/>
          <w:shd w:val="clear" w:color="auto" w:fill="FFFFFF"/>
        </w:rPr>
        <w:t>ого</w:t>
      </w:r>
      <w:proofErr w:type="spellEnd"/>
      <w:r w:rsidRPr="008007E3">
        <w:rPr>
          <w:bCs/>
          <w:sz w:val="28"/>
          <w:szCs w:val="28"/>
          <w:shd w:val="clear" w:color="auto" w:fill="FFFFFF"/>
        </w:rPr>
        <w:t xml:space="preserve"> буфер</w:t>
      </w:r>
      <w:r w:rsidR="00131976">
        <w:rPr>
          <w:bCs/>
          <w:sz w:val="28"/>
          <w:szCs w:val="28"/>
          <w:shd w:val="clear" w:color="auto" w:fill="FFFFFF"/>
        </w:rPr>
        <w:t>а</w:t>
      </w:r>
      <w:r w:rsidRPr="008007E3">
        <w:rPr>
          <w:bCs/>
          <w:sz w:val="28"/>
          <w:szCs w:val="28"/>
          <w:shd w:val="clear" w:color="auto" w:fill="FFFFFF"/>
        </w:rPr>
        <w:t>;</w:t>
      </w:r>
    </w:p>
    <w:p w14:paraId="240D3D17" w14:textId="77777777" w:rsidR="00CD50A4" w:rsidRPr="008007E3" w:rsidRDefault="00CD50A4" w:rsidP="002552EF">
      <w:pPr>
        <w:pStyle w:val="rvps7"/>
        <w:shd w:val="clear" w:color="auto" w:fill="FFFFFF"/>
        <w:spacing w:before="0" w:beforeAutospacing="0" w:after="0" w:afterAutospacing="0"/>
        <w:ind w:firstLine="567"/>
        <w:jc w:val="both"/>
        <w:rPr>
          <w:bCs/>
          <w:sz w:val="28"/>
          <w:szCs w:val="28"/>
          <w:shd w:val="clear" w:color="auto" w:fill="FFFFFF"/>
        </w:rPr>
      </w:pPr>
    </w:p>
    <w:p w14:paraId="2AED60BE" w14:textId="366D1356" w:rsidR="00CD50A4" w:rsidRPr="008007E3" w:rsidRDefault="00CD50A4"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3) буфер</w:t>
      </w:r>
      <w:r w:rsidR="00131976">
        <w:rPr>
          <w:bCs/>
          <w:sz w:val="28"/>
          <w:szCs w:val="28"/>
          <w:shd w:val="clear" w:color="auto" w:fill="FFFFFF"/>
        </w:rPr>
        <w:t>а</w:t>
      </w:r>
      <w:r w:rsidRPr="008007E3">
        <w:rPr>
          <w:bCs/>
          <w:sz w:val="28"/>
          <w:szCs w:val="28"/>
          <w:shd w:val="clear" w:color="auto" w:fill="FFFFFF"/>
        </w:rPr>
        <w:t xml:space="preserve"> системної важливості, якщо учасником кредитно-інвестиційної підгрупи є банк, який набув статус</w:t>
      </w:r>
      <w:r w:rsidR="003A1125" w:rsidRPr="008007E3">
        <w:rPr>
          <w:bCs/>
          <w:sz w:val="28"/>
          <w:szCs w:val="28"/>
          <w:shd w:val="clear" w:color="auto" w:fill="FFFFFF"/>
        </w:rPr>
        <w:t>у</w:t>
      </w:r>
      <w:r w:rsidRPr="008007E3">
        <w:rPr>
          <w:bCs/>
          <w:sz w:val="28"/>
          <w:szCs w:val="28"/>
          <w:shd w:val="clear" w:color="auto" w:fill="FFFFFF"/>
        </w:rPr>
        <w:t xml:space="preserve"> системно важливого банку;</w:t>
      </w:r>
    </w:p>
    <w:p w14:paraId="6FA51424" w14:textId="77777777" w:rsidR="00CD50A4" w:rsidRPr="008007E3" w:rsidRDefault="00CD50A4" w:rsidP="002552EF">
      <w:pPr>
        <w:pStyle w:val="rvps7"/>
        <w:shd w:val="clear" w:color="auto" w:fill="FFFFFF"/>
        <w:spacing w:before="0" w:beforeAutospacing="0" w:after="0" w:afterAutospacing="0"/>
        <w:ind w:firstLine="567"/>
        <w:jc w:val="both"/>
        <w:rPr>
          <w:bCs/>
          <w:sz w:val="28"/>
          <w:szCs w:val="28"/>
          <w:shd w:val="clear" w:color="auto" w:fill="FFFFFF"/>
        </w:rPr>
      </w:pPr>
    </w:p>
    <w:p w14:paraId="2B028EFB" w14:textId="118BA595" w:rsidR="00CD50A4" w:rsidRPr="008007E3" w:rsidRDefault="00CD50A4"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4) буфер</w:t>
      </w:r>
      <w:r w:rsidR="00131976">
        <w:rPr>
          <w:bCs/>
          <w:sz w:val="28"/>
          <w:szCs w:val="28"/>
          <w:shd w:val="clear" w:color="auto" w:fill="FFFFFF"/>
        </w:rPr>
        <w:t>а</w:t>
      </w:r>
      <w:r w:rsidRPr="008007E3">
        <w:rPr>
          <w:bCs/>
          <w:sz w:val="28"/>
          <w:szCs w:val="28"/>
          <w:shd w:val="clear" w:color="auto" w:fill="FFFFFF"/>
        </w:rPr>
        <w:t xml:space="preserve"> системного ризику.</w:t>
      </w:r>
    </w:p>
    <w:p w14:paraId="14126EC9" w14:textId="77777777" w:rsidR="00CD50A4" w:rsidRPr="008007E3" w:rsidRDefault="00CD50A4"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Сукупний розмір буферів капіталу, щодо яких Національний банк прийняв рішення про їх формування, є комбінованим буфером капіталу.</w:t>
      </w:r>
    </w:p>
    <w:p w14:paraId="2230D2D6" w14:textId="77777777" w:rsidR="00CD50A4" w:rsidRPr="008007E3" w:rsidRDefault="00CD50A4" w:rsidP="002552EF">
      <w:pPr>
        <w:pStyle w:val="rvps7"/>
        <w:shd w:val="clear" w:color="auto" w:fill="FFFFFF"/>
        <w:spacing w:before="0" w:beforeAutospacing="0" w:after="0" w:afterAutospacing="0"/>
        <w:ind w:firstLine="567"/>
        <w:jc w:val="both"/>
        <w:rPr>
          <w:bCs/>
          <w:sz w:val="28"/>
          <w:szCs w:val="28"/>
          <w:shd w:val="clear" w:color="auto" w:fill="FFFFFF"/>
        </w:rPr>
      </w:pPr>
    </w:p>
    <w:p w14:paraId="7A994FA1" w14:textId="711FD3F2"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2. Розмір буфер</w:t>
      </w:r>
      <w:r w:rsidR="00BA0753">
        <w:rPr>
          <w:bCs/>
          <w:sz w:val="28"/>
          <w:szCs w:val="28"/>
          <w:shd w:val="clear" w:color="auto" w:fill="FFFFFF"/>
        </w:rPr>
        <w:t>а</w:t>
      </w:r>
      <w:r w:rsidRPr="008007E3">
        <w:rPr>
          <w:bCs/>
          <w:sz w:val="28"/>
          <w:szCs w:val="28"/>
          <w:shd w:val="clear" w:color="auto" w:fill="FFFFFF"/>
        </w:rPr>
        <w:t xml:space="preserve"> консервації становить 2,5% від сукупної експозиції під ризиком.</w:t>
      </w:r>
    </w:p>
    <w:p w14:paraId="6690C321" w14:textId="77777777"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p>
    <w:p w14:paraId="5A9ABBB4" w14:textId="090F8F46"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3. Рішення про дату початку формування буфера консервації та графік поетапного досягнення встановленого розміру приймається Правлінням Національного банку.</w:t>
      </w:r>
    </w:p>
    <w:p w14:paraId="7D1FC5BF" w14:textId="77777777"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Національний банк доводить зміст прийнятого рішення до відома відповідальних осіб банківських груп не пізніше ніж за шість місяців до дати запровадження буфера консервації.</w:t>
      </w:r>
    </w:p>
    <w:p w14:paraId="46F23D07" w14:textId="77777777"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p>
    <w:p w14:paraId="561C0D22" w14:textId="2FD476A5"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 xml:space="preserve">4. </w:t>
      </w:r>
      <w:proofErr w:type="spellStart"/>
      <w:r w:rsidRPr="008007E3">
        <w:rPr>
          <w:bCs/>
          <w:sz w:val="28"/>
          <w:szCs w:val="28"/>
          <w:shd w:val="clear" w:color="auto" w:fill="FFFFFF"/>
        </w:rPr>
        <w:t>Контрциклічний</w:t>
      </w:r>
      <w:proofErr w:type="spellEnd"/>
      <w:r w:rsidRPr="008007E3">
        <w:rPr>
          <w:bCs/>
          <w:sz w:val="28"/>
          <w:szCs w:val="28"/>
          <w:shd w:val="clear" w:color="auto" w:fill="FFFFFF"/>
        </w:rPr>
        <w:t xml:space="preserve"> буфер формується </w:t>
      </w:r>
      <w:r w:rsidR="00131976">
        <w:rPr>
          <w:bCs/>
          <w:sz w:val="28"/>
          <w:szCs w:val="28"/>
          <w:shd w:val="clear" w:color="auto" w:fill="FFFFFF"/>
        </w:rPr>
        <w:t>в</w:t>
      </w:r>
      <w:r w:rsidR="00131976" w:rsidRPr="008007E3">
        <w:rPr>
          <w:bCs/>
          <w:sz w:val="28"/>
          <w:szCs w:val="28"/>
          <w:shd w:val="clear" w:color="auto" w:fill="FFFFFF"/>
        </w:rPr>
        <w:t xml:space="preserve"> </w:t>
      </w:r>
      <w:r w:rsidRPr="008007E3">
        <w:rPr>
          <w:bCs/>
          <w:sz w:val="28"/>
          <w:szCs w:val="28"/>
          <w:shd w:val="clear" w:color="auto" w:fill="FFFFFF"/>
        </w:rPr>
        <w:t>порядку, установленому Національним банком.</w:t>
      </w:r>
    </w:p>
    <w:p w14:paraId="0D30B828" w14:textId="77777777"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p>
    <w:p w14:paraId="2115921A" w14:textId="248DA36A"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 xml:space="preserve">5. Національний банк установлює вимоги до формування </w:t>
      </w:r>
      <w:proofErr w:type="spellStart"/>
      <w:r w:rsidRPr="008007E3">
        <w:rPr>
          <w:bCs/>
          <w:sz w:val="28"/>
          <w:szCs w:val="28"/>
          <w:shd w:val="clear" w:color="auto" w:fill="FFFFFF"/>
        </w:rPr>
        <w:t>контрциклічного</w:t>
      </w:r>
      <w:proofErr w:type="spellEnd"/>
      <w:r w:rsidRPr="008007E3">
        <w:rPr>
          <w:bCs/>
          <w:sz w:val="28"/>
          <w:szCs w:val="28"/>
          <w:shd w:val="clear" w:color="auto" w:fill="FFFFFF"/>
        </w:rPr>
        <w:t xml:space="preserve"> буфера в разі виявлення ознак надмірного зростання кредитування/інших ознак, які свідчать про підвищення системних ризиків.</w:t>
      </w:r>
    </w:p>
    <w:p w14:paraId="2E66FF1F" w14:textId="6BA40B5A"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 xml:space="preserve">Національний банк установлює розмір </w:t>
      </w:r>
      <w:proofErr w:type="spellStart"/>
      <w:r w:rsidRPr="008007E3">
        <w:rPr>
          <w:bCs/>
          <w:sz w:val="28"/>
          <w:szCs w:val="28"/>
          <w:shd w:val="clear" w:color="auto" w:fill="FFFFFF"/>
        </w:rPr>
        <w:t>контрциклічного</w:t>
      </w:r>
      <w:proofErr w:type="spellEnd"/>
      <w:r w:rsidRPr="008007E3">
        <w:rPr>
          <w:bCs/>
          <w:sz w:val="28"/>
          <w:szCs w:val="28"/>
          <w:shd w:val="clear" w:color="auto" w:fill="FFFFFF"/>
        </w:rPr>
        <w:t xml:space="preserve"> буфера в межах </w:t>
      </w:r>
      <w:r w:rsidR="00437C3B">
        <w:rPr>
          <w:bCs/>
          <w:sz w:val="28"/>
          <w:szCs w:val="28"/>
          <w:shd w:val="clear" w:color="auto" w:fill="FFFFFF"/>
        </w:rPr>
        <w:br/>
      </w:r>
      <w:r w:rsidRPr="008007E3">
        <w:rPr>
          <w:bCs/>
          <w:sz w:val="28"/>
          <w:szCs w:val="28"/>
          <w:shd w:val="clear" w:color="auto" w:fill="FFFFFF"/>
        </w:rPr>
        <w:t>0</w:t>
      </w:r>
      <w:r w:rsidR="00131976">
        <w:rPr>
          <w:bCs/>
          <w:sz w:val="28"/>
          <w:szCs w:val="28"/>
          <w:shd w:val="clear" w:color="auto" w:fill="FFFFFF"/>
        </w:rPr>
        <w:t>‒</w:t>
      </w:r>
      <w:r w:rsidRPr="008007E3">
        <w:rPr>
          <w:bCs/>
          <w:sz w:val="28"/>
          <w:szCs w:val="28"/>
          <w:shd w:val="clear" w:color="auto" w:fill="FFFFFF"/>
        </w:rPr>
        <w:t>2,5% від сукупної експозиції під ризиком.</w:t>
      </w:r>
    </w:p>
    <w:p w14:paraId="40562433" w14:textId="39BE31CD"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 xml:space="preserve">Рішення про дату початку, порядок формування </w:t>
      </w:r>
      <w:proofErr w:type="spellStart"/>
      <w:r w:rsidRPr="008007E3">
        <w:rPr>
          <w:bCs/>
          <w:sz w:val="28"/>
          <w:szCs w:val="28"/>
          <w:shd w:val="clear" w:color="auto" w:fill="FFFFFF"/>
        </w:rPr>
        <w:t>контрциклічного</w:t>
      </w:r>
      <w:proofErr w:type="spellEnd"/>
      <w:r w:rsidRPr="008007E3">
        <w:rPr>
          <w:bCs/>
          <w:sz w:val="28"/>
          <w:szCs w:val="28"/>
          <w:shd w:val="clear" w:color="auto" w:fill="FFFFFF"/>
        </w:rPr>
        <w:t xml:space="preserve"> буфера, розмір/збільшення розміру цього буфера, графік поетапного досягнення встановленого розміру (за потреби) приймається Правлінням Національного банку та містить інформацію про підстави і цілі запровадження/збільшення розміру цього буфера.</w:t>
      </w:r>
    </w:p>
    <w:p w14:paraId="43B78D7F" w14:textId="10FEA782"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 xml:space="preserve">Національний банк доводить зміст прийнятого рішення до відома відповідальних осіб банківських груп не пізніше ніж за 12 місяців до дати запровадження </w:t>
      </w:r>
      <w:proofErr w:type="spellStart"/>
      <w:r w:rsidRPr="008007E3">
        <w:rPr>
          <w:bCs/>
          <w:sz w:val="28"/>
          <w:szCs w:val="28"/>
          <w:shd w:val="clear" w:color="auto" w:fill="FFFFFF"/>
        </w:rPr>
        <w:t>контрциклічного</w:t>
      </w:r>
      <w:proofErr w:type="spellEnd"/>
      <w:r w:rsidRPr="008007E3">
        <w:rPr>
          <w:bCs/>
          <w:sz w:val="28"/>
          <w:szCs w:val="28"/>
          <w:shd w:val="clear" w:color="auto" w:fill="FFFFFF"/>
        </w:rPr>
        <w:t xml:space="preserve"> буфера.</w:t>
      </w:r>
    </w:p>
    <w:p w14:paraId="73BC1A39" w14:textId="77777777"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p>
    <w:p w14:paraId="7645E933" w14:textId="54EFBE67"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 xml:space="preserve">6. Буфер системної важливості формується, якщо учасником кредитно-інвестиційної підгрупи банківської групи є банк, який набув статусу системно важливого банку, у розмірі, визначеному </w:t>
      </w:r>
      <w:r w:rsidR="00131976">
        <w:rPr>
          <w:bCs/>
          <w:sz w:val="28"/>
          <w:szCs w:val="28"/>
          <w:shd w:val="clear" w:color="auto" w:fill="FFFFFF"/>
        </w:rPr>
        <w:t>в</w:t>
      </w:r>
      <w:r w:rsidR="00131976" w:rsidRPr="008007E3">
        <w:rPr>
          <w:bCs/>
          <w:sz w:val="28"/>
          <w:szCs w:val="28"/>
          <w:shd w:val="clear" w:color="auto" w:fill="FFFFFF"/>
        </w:rPr>
        <w:t xml:space="preserve"> </w:t>
      </w:r>
      <w:r w:rsidRPr="008007E3">
        <w:rPr>
          <w:bCs/>
          <w:sz w:val="28"/>
          <w:szCs w:val="28"/>
          <w:shd w:val="clear" w:color="auto" w:fill="FFFFFF"/>
        </w:rPr>
        <w:t xml:space="preserve">розділі </w:t>
      </w:r>
      <w:r w:rsidRPr="008007E3">
        <w:rPr>
          <w:bCs/>
          <w:sz w:val="28"/>
          <w:szCs w:val="28"/>
          <w:shd w:val="clear" w:color="auto" w:fill="FFFFFF"/>
          <w:lang w:val="en-US"/>
        </w:rPr>
        <w:t>X</w:t>
      </w:r>
      <w:r w:rsidRPr="008007E3">
        <w:rPr>
          <w:bCs/>
          <w:sz w:val="28"/>
          <w:szCs w:val="28"/>
          <w:shd w:val="clear" w:color="auto" w:fill="FFFFFF"/>
        </w:rPr>
        <w:t xml:space="preserve"> Інструкції № 368 для такого банку.</w:t>
      </w:r>
    </w:p>
    <w:p w14:paraId="731031AD" w14:textId="77777777"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Рішення про дату початку формування буфера системної важливості приймається Правлінням Національного банку.</w:t>
      </w:r>
    </w:p>
    <w:p w14:paraId="4F4EA645" w14:textId="4C3E6EB9"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Національний банк доводить зміст прийнятого рішення до відома відповідальних осіб банківських груп не пізніше ніж за шість місяців до дати запровадження буфера системної важливості.</w:t>
      </w:r>
    </w:p>
    <w:p w14:paraId="174D789D" w14:textId="77777777"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p>
    <w:p w14:paraId="1218E6D2" w14:textId="77777777"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7. Буфер системного ризику формується в порядку, установленому Національним банком.</w:t>
      </w:r>
    </w:p>
    <w:p w14:paraId="7B01A2F2" w14:textId="77777777"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p>
    <w:p w14:paraId="24F38F22" w14:textId="3514152C"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 xml:space="preserve">8. Національний банк установлює вимоги </w:t>
      </w:r>
      <w:r w:rsidR="003E05C4">
        <w:rPr>
          <w:bCs/>
          <w:sz w:val="28"/>
          <w:szCs w:val="28"/>
          <w:shd w:val="clear" w:color="auto" w:fill="FFFFFF"/>
        </w:rPr>
        <w:t>що</w:t>
      </w:r>
      <w:r w:rsidRPr="008007E3">
        <w:rPr>
          <w:bCs/>
          <w:sz w:val="28"/>
          <w:szCs w:val="28"/>
          <w:shd w:val="clear" w:color="auto" w:fill="FFFFFF"/>
        </w:rPr>
        <w:t xml:space="preserve">до формування буфера системного ризику в разі виявлення ознак, які свідчать про підвищення системних ризиків (за винятком ризиків, урахованих для встановлення </w:t>
      </w:r>
      <w:proofErr w:type="spellStart"/>
      <w:r w:rsidRPr="008007E3">
        <w:rPr>
          <w:bCs/>
          <w:sz w:val="28"/>
          <w:szCs w:val="28"/>
          <w:shd w:val="clear" w:color="auto" w:fill="FFFFFF"/>
        </w:rPr>
        <w:t>контрциклічного</w:t>
      </w:r>
      <w:proofErr w:type="spellEnd"/>
      <w:r w:rsidRPr="008007E3">
        <w:rPr>
          <w:bCs/>
          <w:sz w:val="28"/>
          <w:szCs w:val="28"/>
          <w:shd w:val="clear" w:color="auto" w:fill="FFFFFF"/>
        </w:rPr>
        <w:t xml:space="preserve"> буфера капіталу).</w:t>
      </w:r>
    </w:p>
    <w:p w14:paraId="2EC6C99E" w14:textId="14DBCA8D"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Національний банк установлює розмір буфера системного ризику в межах 0</w:t>
      </w:r>
      <w:r w:rsidR="003E05C4">
        <w:rPr>
          <w:bCs/>
          <w:sz w:val="28"/>
          <w:szCs w:val="28"/>
          <w:shd w:val="clear" w:color="auto" w:fill="FFFFFF"/>
        </w:rPr>
        <w:t>‒</w:t>
      </w:r>
      <w:r w:rsidRPr="008007E3">
        <w:rPr>
          <w:bCs/>
          <w:sz w:val="28"/>
          <w:szCs w:val="28"/>
          <w:shd w:val="clear" w:color="auto" w:fill="FFFFFF"/>
        </w:rPr>
        <w:t>3% від сукупної експозиції під ризиком.</w:t>
      </w:r>
    </w:p>
    <w:p w14:paraId="1B318A11" w14:textId="79E75876"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 xml:space="preserve">Рішення про дату початку та порядок формування буфера системного ризику, розмір/збільшення розміру цього буфера, графік поетапного досягнення встановленого розміру (за потреби) приймається Правлінням Національного банку та містить інформацію про підстави і цілі запровадження/збільшення розміру цього буфера, перелік банківських груп, які </w:t>
      </w:r>
      <w:proofErr w:type="spellStart"/>
      <w:r w:rsidRPr="008007E3">
        <w:rPr>
          <w:bCs/>
          <w:sz w:val="28"/>
          <w:szCs w:val="28"/>
          <w:shd w:val="clear" w:color="auto" w:fill="FFFFFF"/>
        </w:rPr>
        <w:t>зобов</w:t>
      </w:r>
      <w:r w:rsidR="003E05C4">
        <w:rPr>
          <w:bCs/>
          <w:sz w:val="28"/>
          <w:szCs w:val="28"/>
          <w:shd w:val="clear" w:color="auto" w:fill="FFFFFF"/>
        </w:rPr>
        <w:t>ʼ</w:t>
      </w:r>
      <w:r w:rsidRPr="008007E3">
        <w:rPr>
          <w:bCs/>
          <w:sz w:val="28"/>
          <w:szCs w:val="28"/>
          <w:shd w:val="clear" w:color="auto" w:fill="FFFFFF"/>
        </w:rPr>
        <w:t>язані</w:t>
      </w:r>
      <w:proofErr w:type="spellEnd"/>
      <w:r w:rsidRPr="008007E3">
        <w:rPr>
          <w:bCs/>
          <w:sz w:val="28"/>
          <w:szCs w:val="28"/>
          <w:shd w:val="clear" w:color="auto" w:fill="FFFFFF"/>
        </w:rPr>
        <w:t xml:space="preserve"> його формувати, та/або критерії, на підставі яких визначаються такі банківські групи.</w:t>
      </w:r>
    </w:p>
    <w:p w14:paraId="568A7595" w14:textId="3B398D98"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lastRenderedPageBreak/>
        <w:t>Національний банк доводить зміст прийнятого рішення до відома відповідальних осіб банківських груп не пізніше ніж за шість місяців до дати запровадження буфера системного ризику.</w:t>
      </w:r>
    </w:p>
    <w:p w14:paraId="7C8EDDA6" w14:textId="77777777" w:rsidR="00CD50A4" w:rsidRPr="008007E3" w:rsidRDefault="00CD50A4" w:rsidP="002552EF">
      <w:pPr>
        <w:pStyle w:val="rvps7"/>
        <w:shd w:val="clear" w:color="auto" w:fill="FFFFFF"/>
        <w:spacing w:before="0" w:beforeAutospacing="0" w:after="0" w:afterAutospacing="0"/>
        <w:ind w:firstLine="567"/>
        <w:jc w:val="both"/>
        <w:rPr>
          <w:bCs/>
          <w:sz w:val="28"/>
          <w:szCs w:val="28"/>
          <w:shd w:val="clear" w:color="auto" w:fill="FFFFFF"/>
        </w:rPr>
      </w:pPr>
    </w:p>
    <w:p w14:paraId="17F1BA20" w14:textId="77777777"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9. Буфери капіталу формуються за рахунок основного капіталу 1 рівня кредитно-інвестиційної підгрупи.</w:t>
      </w:r>
    </w:p>
    <w:p w14:paraId="516B4918" w14:textId="77777777" w:rsidR="00CD50A4" w:rsidRPr="008007E3" w:rsidRDefault="00CD50A4" w:rsidP="002552EF">
      <w:pPr>
        <w:pStyle w:val="rvps7"/>
        <w:shd w:val="clear" w:color="auto" w:fill="FFFFFF"/>
        <w:spacing w:before="0" w:beforeAutospacing="0" w:after="0" w:afterAutospacing="0"/>
        <w:ind w:firstLine="567"/>
        <w:jc w:val="both"/>
        <w:rPr>
          <w:bCs/>
          <w:sz w:val="28"/>
          <w:szCs w:val="28"/>
          <w:shd w:val="clear" w:color="auto" w:fill="FFFFFF"/>
        </w:rPr>
      </w:pPr>
    </w:p>
    <w:p w14:paraId="57A0CEAA" w14:textId="77777777"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10. Вимоги щодо формування комбінованого буфера капіталу за кредитно-інвестиційною підгрупою є дотриманими за умови одночасного забезпечення виконання таких вимог:</w:t>
      </w:r>
    </w:p>
    <w:p w14:paraId="4F254432" w14:textId="77777777" w:rsidR="003A1125" w:rsidRPr="008007E3" w:rsidRDefault="003A1125" w:rsidP="002552EF">
      <w:pPr>
        <w:ind w:firstLine="567"/>
        <w:contextualSpacing/>
        <w:rPr>
          <w:bCs/>
          <w:shd w:val="clear" w:color="auto" w:fill="FFFFFF"/>
        </w:rPr>
      </w:pPr>
    </w:p>
    <w:p w14:paraId="63B61657" w14:textId="15084C18" w:rsidR="003A1125" w:rsidRPr="008007E3" w:rsidRDefault="003A1125" w:rsidP="002552EF">
      <w:pPr>
        <w:ind w:firstLine="567"/>
        <w:contextualSpacing/>
        <w:rPr>
          <w:bCs/>
          <w:shd w:val="clear" w:color="auto" w:fill="FFFFFF"/>
        </w:rPr>
      </w:pPr>
      <w:r w:rsidRPr="008007E3">
        <w:rPr>
          <w:bCs/>
          <w:shd w:val="clear" w:color="auto" w:fill="FFFFFF"/>
        </w:rPr>
        <w:t xml:space="preserve">1) фактичне значення нормативу достатності регулятивного капіталу кредитно-інвестиційної підгрупи становить не менше, ніж сукупний розмір мінімального значення цього нормативу або </w:t>
      </w:r>
      <w:r w:rsidRPr="008007E3">
        <w:rPr>
          <w:rFonts w:eastAsia="Calibri"/>
        </w:rPr>
        <w:t xml:space="preserve">підвищеного значення нормативу достатності регулятивного капіталу </w:t>
      </w:r>
      <w:r w:rsidR="009155C6">
        <w:rPr>
          <w:rFonts w:eastAsia="Calibri"/>
        </w:rPr>
        <w:t>в</w:t>
      </w:r>
      <w:r w:rsidR="009155C6" w:rsidRPr="008007E3">
        <w:rPr>
          <w:rFonts w:eastAsia="Calibri"/>
        </w:rPr>
        <w:t xml:space="preserve"> </w:t>
      </w:r>
      <w:r w:rsidRPr="008007E3">
        <w:rPr>
          <w:rFonts w:eastAsia="Calibri"/>
        </w:rPr>
        <w:t xml:space="preserve">разі встановлення Національним банком такого значення згідно з частиною десятою статті 67 Закону про банки </w:t>
      </w:r>
      <w:r w:rsidRPr="008007E3">
        <w:rPr>
          <w:bCs/>
          <w:shd w:val="clear" w:color="auto" w:fill="FFFFFF"/>
        </w:rPr>
        <w:t>та комбінованого буфера капіталу;</w:t>
      </w:r>
    </w:p>
    <w:p w14:paraId="5B840230" w14:textId="77777777"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p>
    <w:p w14:paraId="7254CB91" w14:textId="360993C1"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 xml:space="preserve">2) фактичне значення нормативу достатності капіталу 1 рівня кредитно-інвестиційної підгрупи становить не менше, ніж сукупний розмір мінімального значення цього нормативу або </w:t>
      </w:r>
      <w:r w:rsidRPr="008007E3">
        <w:rPr>
          <w:rFonts w:eastAsia="Calibri"/>
          <w:sz w:val="28"/>
          <w:szCs w:val="28"/>
        </w:rPr>
        <w:t xml:space="preserve">підвищеного значення нормативу достатності капіталу 1 рівня </w:t>
      </w:r>
      <w:r w:rsidR="009155C6">
        <w:rPr>
          <w:rFonts w:eastAsia="Calibri"/>
          <w:sz w:val="28"/>
          <w:szCs w:val="28"/>
        </w:rPr>
        <w:t>в</w:t>
      </w:r>
      <w:r w:rsidR="009155C6" w:rsidRPr="008007E3">
        <w:rPr>
          <w:rFonts w:eastAsia="Calibri"/>
          <w:sz w:val="28"/>
          <w:szCs w:val="28"/>
        </w:rPr>
        <w:t xml:space="preserve"> </w:t>
      </w:r>
      <w:r w:rsidRPr="008007E3">
        <w:rPr>
          <w:rFonts w:eastAsia="Calibri"/>
          <w:sz w:val="28"/>
          <w:szCs w:val="28"/>
        </w:rPr>
        <w:t>разі встановлення Національним банком такого значення згідно з частиною десятою статті 67 Закону про банки</w:t>
      </w:r>
      <w:r w:rsidRPr="008007E3">
        <w:rPr>
          <w:bCs/>
          <w:sz w:val="28"/>
          <w:szCs w:val="28"/>
          <w:shd w:val="clear" w:color="auto" w:fill="FFFFFF"/>
        </w:rPr>
        <w:t xml:space="preserve"> та комбінованого буфера капіталу;</w:t>
      </w:r>
    </w:p>
    <w:p w14:paraId="1F2D783E" w14:textId="77777777"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p>
    <w:p w14:paraId="2E6AAFC7" w14:textId="58C41D05" w:rsidR="003A1125" w:rsidRPr="008007E3" w:rsidRDefault="003A1125" w:rsidP="002552EF">
      <w:pPr>
        <w:pStyle w:val="rvps7"/>
        <w:shd w:val="clear" w:color="auto" w:fill="FFFFFF"/>
        <w:spacing w:before="0" w:beforeAutospacing="0" w:after="0" w:afterAutospacing="0"/>
        <w:ind w:firstLine="567"/>
        <w:jc w:val="both"/>
        <w:rPr>
          <w:bCs/>
          <w:sz w:val="28"/>
          <w:szCs w:val="28"/>
          <w:shd w:val="clear" w:color="auto" w:fill="FFFFFF"/>
        </w:rPr>
      </w:pPr>
      <w:r w:rsidRPr="008007E3">
        <w:rPr>
          <w:bCs/>
          <w:sz w:val="28"/>
          <w:szCs w:val="28"/>
          <w:shd w:val="clear" w:color="auto" w:fill="FFFFFF"/>
        </w:rPr>
        <w:t xml:space="preserve">3) фактичне значення нормативу достатності основного капіталу 1 рівня кредитно-інвестиційної підгрупи становить не менше, ніж сукупний розмір мінімального значення цього нормативу або підвищеного значення нормативу достатності основного капіталу 1 рівня </w:t>
      </w:r>
      <w:r w:rsidR="009155C6">
        <w:rPr>
          <w:bCs/>
          <w:sz w:val="28"/>
          <w:szCs w:val="28"/>
          <w:shd w:val="clear" w:color="auto" w:fill="FFFFFF"/>
        </w:rPr>
        <w:t>в</w:t>
      </w:r>
      <w:r w:rsidR="009155C6" w:rsidRPr="008007E3">
        <w:rPr>
          <w:bCs/>
          <w:sz w:val="28"/>
          <w:szCs w:val="28"/>
          <w:shd w:val="clear" w:color="auto" w:fill="FFFFFF"/>
        </w:rPr>
        <w:t xml:space="preserve"> </w:t>
      </w:r>
      <w:r w:rsidRPr="008007E3">
        <w:rPr>
          <w:bCs/>
          <w:sz w:val="28"/>
          <w:szCs w:val="28"/>
          <w:shd w:val="clear" w:color="auto" w:fill="FFFFFF"/>
        </w:rPr>
        <w:t>разі встановлення Національним банком такого значення згідно з частиною десятою статті 67 Закону про банки та комбінованого буфера капіталу.</w:t>
      </w:r>
    </w:p>
    <w:p w14:paraId="798521FD" w14:textId="73F5DFA5" w:rsidR="00CD50A4" w:rsidRPr="008007E3" w:rsidRDefault="00CD50A4" w:rsidP="002552EF">
      <w:pPr>
        <w:ind w:firstLine="567"/>
      </w:pPr>
    </w:p>
    <w:p w14:paraId="6D3BAA4E" w14:textId="77777777" w:rsidR="00195C0F" w:rsidRPr="008007E3" w:rsidRDefault="00195C0F" w:rsidP="002552EF">
      <w:pPr>
        <w:pStyle w:val="rvps7"/>
        <w:shd w:val="clear" w:color="auto" w:fill="FFFFFF"/>
        <w:spacing w:before="0" w:beforeAutospacing="0" w:after="0" w:afterAutospacing="0"/>
        <w:jc w:val="center"/>
        <w:rPr>
          <w:bCs/>
          <w:sz w:val="28"/>
          <w:szCs w:val="28"/>
          <w:shd w:val="clear" w:color="auto" w:fill="FFFFFF"/>
        </w:rPr>
      </w:pPr>
      <w:r w:rsidRPr="008007E3">
        <w:rPr>
          <w:bCs/>
          <w:sz w:val="28"/>
          <w:szCs w:val="28"/>
          <w:shd w:val="clear" w:color="auto" w:fill="FFFFFF"/>
        </w:rPr>
        <w:t xml:space="preserve">Глава 6. Достатність регулятивного капіталу страхової підгрупи </w:t>
      </w:r>
    </w:p>
    <w:p w14:paraId="25015C10" w14:textId="77777777" w:rsidR="00195C0F" w:rsidRPr="008007E3" w:rsidRDefault="00195C0F" w:rsidP="00F85EFF">
      <w:pPr>
        <w:shd w:val="clear" w:color="auto" w:fill="FFFFFF"/>
        <w:ind w:firstLine="567"/>
      </w:pPr>
    </w:p>
    <w:p w14:paraId="403590AD" w14:textId="77777777" w:rsidR="00195C0F" w:rsidRPr="008007E3" w:rsidRDefault="00195C0F" w:rsidP="00F85EFF">
      <w:pPr>
        <w:shd w:val="clear" w:color="auto" w:fill="FFFFFF"/>
        <w:ind w:firstLine="567"/>
      </w:pPr>
      <w:r w:rsidRPr="008007E3">
        <w:t>1. Достатність регулятивного капіталу страхової підгрупи визначається шляхом порівняння розміру регулятивного капіталу страхової підгрупи, розрахованого згідно з пунктом 2 глави 1 розділу II цього Положення, з необхідним розміром регулятивного капіталу страхової підгрупи, розрахованим згідно з пунктом 4 глави 3 розділу III цього Положення.</w:t>
      </w:r>
    </w:p>
    <w:p w14:paraId="61FC25E5" w14:textId="77777777" w:rsidR="00195C0F" w:rsidRPr="008007E3" w:rsidRDefault="00195C0F" w:rsidP="00F85EFF">
      <w:pPr>
        <w:shd w:val="clear" w:color="auto" w:fill="FFFFFF"/>
        <w:ind w:firstLine="567"/>
      </w:pPr>
    </w:p>
    <w:p w14:paraId="2146B55C" w14:textId="5887123D" w:rsidR="00195C0F" w:rsidRPr="00B76804" w:rsidRDefault="00195C0F" w:rsidP="00F85EFF">
      <w:pPr>
        <w:shd w:val="clear" w:color="auto" w:fill="FFFFFF"/>
        <w:ind w:firstLine="567"/>
      </w:pPr>
      <w:r w:rsidRPr="008007E3">
        <w:t>2. Мінімальні вимоги щодо достатності регулятивного капіталу страхової підгрупи є дотриманим</w:t>
      </w:r>
      <w:r w:rsidR="00D614E4">
        <w:t>и</w:t>
      </w:r>
      <w:r w:rsidRPr="008007E3">
        <w:t xml:space="preserve">, якщо розмір регулятивного капіталу страхової підгрупи, розрахований згідно з пунктом 2 глави 1 розділу II цього Положення, дорівнює або перевищує необхідний розмір регулятивного капіталу страхової </w:t>
      </w:r>
      <w:r w:rsidRPr="008007E3">
        <w:lastRenderedPageBreak/>
        <w:t>підгрупи, розрахований відповідно до вимог пункт</w:t>
      </w:r>
      <w:r w:rsidR="00D614E4">
        <w:t>у</w:t>
      </w:r>
      <w:r w:rsidRPr="008007E3">
        <w:t xml:space="preserve"> 4 глави 3 розділу III цього Положення</w:t>
      </w:r>
      <w:r w:rsidRPr="00B76804">
        <w:t>.</w:t>
      </w:r>
      <w:r w:rsidR="00265BAE">
        <w:t>”.</w:t>
      </w:r>
    </w:p>
    <w:p w14:paraId="63CDF2E1" w14:textId="00E96BA6" w:rsidR="00CD50A4" w:rsidRPr="008007E3" w:rsidRDefault="00CD50A4" w:rsidP="00F85EFF">
      <w:pPr>
        <w:ind w:firstLine="567"/>
      </w:pPr>
      <w:r w:rsidRPr="008007E3">
        <w:t xml:space="preserve">У зв’язку з цим розділи </w:t>
      </w:r>
      <w:r w:rsidRPr="008007E3">
        <w:rPr>
          <w:lang w:val="en-US"/>
        </w:rPr>
        <w:t>III</w:t>
      </w:r>
      <w:r w:rsidR="008D5960" w:rsidRPr="008007E3">
        <w:t>–</w:t>
      </w:r>
      <w:r w:rsidR="008D5960" w:rsidRPr="008007E3">
        <w:rPr>
          <w:lang w:val="en-US"/>
        </w:rPr>
        <w:t>VI</w:t>
      </w:r>
      <w:r w:rsidR="008D5960" w:rsidRPr="008007E3">
        <w:t xml:space="preserve"> </w:t>
      </w:r>
      <w:r w:rsidRPr="008007E3">
        <w:t xml:space="preserve">уважати відповідно </w:t>
      </w:r>
      <w:r w:rsidR="008D5960" w:rsidRPr="008007E3">
        <w:t xml:space="preserve">розділами </w:t>
      </w:r>
      <w:r w:rsidR="008D5960" w:rsidRPr="008007E3">
        <w:rPr>
          <w:lang w:val="en-US"/>
        </w:rPr>
        <w:t>IV</w:t>
      </w:r>
      <w:r w:rsidR="008D5960" w:rsidRPr="008007E3">
        <w:t>–</w:t>
      </w:r>
      <w:r w:rsidR="008D5960" w:rsidRPr="008007E3">
        <w:rPr>
          <w:lang w:val="en-US"/>
        </w:rPr>
        <w:t>VII</w:t>
      </w:r>
      <w:r w:rsidR="008D5960" w:rsidRPr="008007E3">
        <w:t>.</w:t>
      </w:r>
    </w:p>
    <w:p w14:paraId="6EEB9666" w14:textId="77777777" w:rsidR="00CD50A4" w:rsidRPr="008007E3" w:rsidRDefault="00CD50A4" w:rsidP="00F85EFF">
      <w:pPr>
        <w:ind w:firstLine="567"/>
      </w:pPr>
    </w:p>
    <w:p w14:paraId="5EF5C023" w14:textId="4D033A28" w:rsidR="00CD50A4" w:rsidRPr="008007E3" w:rsidRDefault="008D5960" w:rsidP="00F85EFF">
      <w:pPr>
        <w:ind w:firstLine="567"/>
      </w:pPr>
      <w:r w:rsidRPr="008007E3">
        <w:t>4. В абзаці третьому підпункту</w:t>
      </w:r>
      <w:r w:rsidR="00BF5ABF" w:rsidRPr="008007E3">
        <w:t xml:space="preserve"> 2</w:t>
      </w:r>
      <w:r w:rsidRPr="008007E3">
        <w:t xml:space="preserve"> пункту 3 глави 1 розділу </w:t>
      </w:r>
      <w:r w:rsidRPr="008007E3">
        <w:rPr>
          <w:lang w:val="en-US"/>
        </w:rPr>
        <w:t>IV</w:t>
      </w:r>
      <w:r w:rsidRPr="008007E3">
        <w:t xml:space="preserve"> </w:t>
      </w:r>
      <w:r w:rsidR="00BF5ABF" w:rsidRPr="008007E3">
        <w:t>слов</w:t>
      </w:r>
      <w:r w:rsidR="00686524">
        <w:t>о</w:t>
      </w:r>
      <w:r w:rsidR="00BF5ABF" w:rsidRPr="008007E3">
        <w:t xml:space="preserve"> та цифри “розділу </w:t>
      </w:r>
      <w:r w:rsidR="00BF5ABF" w:rsidRPr="008007E3">
        <w:rPr>
          <w:lang w:val="ru-RU"/>
        </w:rPr>
        <w:t>III</w:t>
      </w:r>
      <w:r w:rsidR="00BF5ABF" w:rsidRPr="008007E3">
        <w:t>” замінити слов</w:t>
      </w:r>
      <w:r w:rsidR="00686524">
        <w:t>ом</w:t>
      </w:r>
      <w:r w:rsidR="00BF5ABF" w:rsidRPr="008007E3">
        <w:t xml:space="preserve"> та цифрами “розділу IV”.</w:t>
      </w:r>
    </w:p>
    <w:p w14:paraId="14D8ECF0" w14:textId="77777777" w:rsidR="00CD50A4" w:rsidRPr="008007E3" w:rsidRDefault="00CD50A4" w:rsidP="00F85EFF">
      <w:pPr>
        <w:ind w:firstLine="567"/>
      </w:pPr>
    </w:p>
    <w:p w14:paraId="61066E14" w14:textId="77777777" w:rsidR="004325EF" w:rsidRPr="008007E3" w:rsidRDefault="00BF5ABF" w:rsidP="00F85EFF">
      <w:pPr>
        <w:ind w:firstLine="567"/>
      </w:pPr>
      <w:r w:rsidRPr="008007E3">
        <w:t>5. У</w:t>
      </w:r>
      <w:r w:rsidR="004325EF" w:rsidRPr="008007E3">
        <w:t xml:space="preserve"> розділі </w:t>
      </w:r>
      <w:r w:rsidR="004325EF" w:rsidRPr="008007E3">
        <w:rPr>
          <w:lang w:val="en-US"/>
        </w:rPr>
        <w:t>V</w:t>
      </w:r>
      <w:r w:rsidR="004325EF" w:rsidRPr="008007E3">
        <w:t>:</w:t>
      </w:r>
    </w:p>
    <w:p w14:paraId="4EB9ECA0" w14:textId="77777777" w:rsidR="004325EF" w:rsidRPr="008007E3" w:rsidRDefault="004325EF" w:rsidP="00F85EFF">
      <w:pPr>
        <w:ind w:firstLine="567"/>
      </w:pPr>
    </w:p>
    <w:p w14:paraId="4DB79D87" w14:textId="77777777" w:rsidR="004325EF" w:rsidRPr="008007E3" w:rsidRDefault="004325EF" w:rsidP="00F85EFF">
      <w:pPr>
        <w:ind w:firstLine="567"/>
      </w:pPr>
      <w:r w:rsidRPr="008007E3">
        <w:t>1) у главі 2:</w:t>
      </w:r>
    </w:p>
    <w:p w14:paraId="35FFDAFE" w14:textId="77777777" w:rsidR="00DD1CD9" w:rsidRPr="008007E3" w:rsidRDefault="00DD1CD9" w:rsidP="00F85EFF">
      <w:pPr>
        <w:ind w:firstLine="567"/>
        <w:rPr>
          <w:lang w:val="ru-RU"/>
        </w:rPr>
      </w:pPr>
      <w:r w:rsidRPr="008007E3">
        <w:t>у</w:t>
      </w:r>
      <w:r w:rsidRPr="008007E3">
        <w:rPr>
          <w:lang w:val="ru-RU"/>
        </w:rPr>
        <w:t xml:space="preserve"> </w:t>
      </w:r>
      <w:proofErr w:type="spellStart"/>
      <w:r w:rsidRPr="008007E3">
        <w:rPr>
          <w:lang w:val="ru-RU"/>
        </w:rPr>
        <w:t>пункті</w:t>
      </w:r>
      <w:proofErr w:type="spellEnd"/>
      <w:r w:rsidRPr="008007E3">
        <w:rPr>
          <w:lang w:val="ru-RU"/>
        </w:rPr>
        <w:t xml:space="preserve"> 2.3:</w:t>
      </w:r>
    </w:p>
    <w:p w14:paraId="03131831" w14:textId="250C519B" w:rsidR="00DD303D" w:rsidRPr="008007E3" w:rsidRDefault="004325EF" w:rsidP="00F85EFF">
      <w:pPr>
        <w:ind w:firstLine="567"/>
        <w:rPr>
          <w:lang w:val="ru-RU"/>
        </w:rPr>
      </w:pPr>
      <w:r w:rsidRPr="008007E3">
        <w:t xml:space="preserve">в абзаці </w:t>
      </w:r>
      <w:r w:rsidR="00DD1CD9" w:rsidRPr="008007E3">
        <w:t xml:space="preserve">першому </w:t>
      </w:r>
      <w:r w:rsidR="00DD303D" w:rsidRPr="008007E3">
        <w:t xml:space="preserve">слова </w:t>
      </w:r>
      <w:r w:rsidR="00DD303D" w:rsidRPr="008007E3">
        <w:rPr>
          <w:lang w:val="ru-RU"/>
        </w:rPr>
        <w:t>“</w:t>
      </w:r>
      <w:r w:rsidR="00DD303D" w:rsidRPr="008007E3">
        <w:t>страхової компанії</w:t>
      </w:r>
      <w:r w:rsidR="00DD303D" w:rsidRPr="008007E3">
        <w:rPr>
          <w:lang w:val="ru-RU"/>
        </w:rPr>
        <w:t xml:space="preserve">” </w:t>
      </w:r>
      <w:proofErr w:type="spellStart"/>
      <w:r w:rsidR="00DD303D" w:rsidRPr="008007E3">
        <w:rPr>
          <w:lang w:val="ru-RU"/>
        </w:rPr>
        <w:t>замінити</w:t>
      </w:r>
      <w:proofErr w:type="spellEnd"/>
      <w:r w:rsidR="00DD303D" w:rsidRPr="008007E3">
        <w:rPr>
          <w:lang w:val="ru-RU"/>
        </w:rPr>
        <w:t xml:space="preserve"> словом “</w:t>
      </w:r>
      <w:r w:rsidR="00DD303D" w:rsidRPr="008007E3">
        <w:t>страховика</w:t>
      </w:r>
      <w:r w:rsidR="00DD303D" w:rsidRPr="008007E3">
        <w:rPr>
          <w:lang w:val="ru-RU"/>
        </w:rPr>
        <w:t xml:space="preserve">”;  </w:t>
      </w:r>
    </w:p>
    <w:p w14:paraId="182310FF" w14:textId="64A36B6B" w:rsidR="004325EF" w:rsidRPr="008007E3" w:rsidRDefault="00DD303D" w:rsidP="00F85EFF">
      <w:pPr>
        <w:ind w:firstLine="567"/>
      </w:pPr>
      <w:r w:rsidRPr="008007E3">
        <w:rPr>
          <w:lang w:val="ru-RU"/>
        </w:rPr>
        <w:t xml:space="preserve">в </w:t>
      </w:r>
      <w:proofErr w:type="spellStart"/>
      <w:r w:rsidRPr="008007E3">
        <w:rPr>
          <w:lang w:val="ru-RU"/>
        </w:rPr>
        <w:t>абзаці</w:t>
      </w:r>
      <w:proofErr w:type="spellEnd"/>
      <w:r w:rsidRPr="008007E3">
        <w:rPr>
          <w:lang w:val="ru-RU"/>
        </w:rPr>
        <w:t xml:space="preserve"> </w:t>
      </w:r>
      <w:r w:rsidR="004325EF" w:rsidRPr="008007E3">
        <w:t xml:space="preserve">третьому літери </w:t>
      </w:r>
      <w:r w:rsidR="004325EF" w:rsidRPr="008007E3">
        <w:rPr>
          <w:lang w:val="ru-RU"/>
        </w:rPr>
        <w:t>“</w:t>
      </w:r>
      <w:r w:rsidR="004325EF" w:rsidRPr="008007E3">
        <w:t>РК(</w:t>
      </w:r>
      <w:proofErr w:type="spellStart"/>
      <w:r w:rsidR="004325EF" w:rsidRPr="008007E3">
        <w:t>бг</w:t>
      </w:r>
      <w:proofErr w:type="spellEnd"/>
      <w:r w:rsidR="004325EF" w:rsidRPr="008007E3">
        <w:t>)</w:t>
      </w:r>
      <w:r w:rsidR="004325EF" w:rsidRPr="008007E3">
        <w:rPr>
          <w:lang w:val="ru-RU"/>
        </w:rPr>
        <w:t xml:space="preserve">” </w:t>
      </w:r>
      <w:r w:rsidR="004325EF" w:rsidRPr="008007E3">
        <w:t xml:space="preserve">замінити літерами </w:t>
      </w:r>
      <w:r w:rsidR="004325EF" w:rsidRPr="008007E3">
        <w:rPr>
          <w:lang w:val="ru-RU"/>
        </w:rPr>
        <w:t>“</w:t>
      </w:r>
      <w:r w:rsidR="004325EF" w:rsidRPr="008007E3">
        <w:t>РК</w:t>
      </w:r>
      <w:r w:rsidR="004325EF" w:rsidRPr="008007E3">
        <w:rPr>
          <w:vertAlign w:val="subscript"/>
        </w:rPr>
        <w:t>БГ</w:t>
      </w:r>
      <w:r w:rsidR="004325EF" w:rsidRPr="008007E3">
        <w:rPr>
          <w:lang w:val="ru-RU"/>
        </w:rPr>
        <w:t>”;</w:t>
      </w:r>
    </w:p>
    <w:p w14:paraId="37676F2B" w14:textId="6C5CC5FB" w:rsidR="00FA7343" w:rsidRPr="008007E3" w:rsidRDefault="00DD303D" w:rsidP="00F85EFF">
      <w:pPr>
        <w:ind w:firstLine="567"/>
      </w:pPr>
      <w:r w:rsidRPr="008007E3">
        <w:t xml:space="preserve">в абзаці </w:t>
      </w:r>
      <w:r w:rsidR="00686524">
        <w:t>п’ятому</w:t>
      </w:r>
      <w:r w:rsidRPr="008007E3">
        <w:t xml:space="preserve"> слова “страхової компанії” замінити словом “страховика”;  </w:t>
      </w:r>
    </w:p>
    <w:p w14:paraId="144FCF05" w14:textId="6C90D912" w:rsidR="004325EF" w:rsidRPr="008007E3" w:rsidRDefault="00FA7343" w:rsidP="00F85EFF">
      <w:pPr>
        <w:ind w:firstLine="567"/>
      </w:pPr>
      <w:r w:rsidRPr="008007E3">
        <w:t xml:space="preserve">у </w:t>
      </w:r>
      <w:r w:rsidR="004325EF" w:rsidRPr="008007E3">
        <w:t>пункті 2.4 літери “РК(</w:t>
      </w:r>
      <w:proofErr w:type="spellStart"/>
      <w:r w:rsidR="004325EF" w:rsidRPr="008007E3">
        <w:t>бг</w:t>
      </w:r>
      <w:proofErr w:type="spellEnd"/>
      <w:r w:rsidR="004325EF" w:rsidRPr="008007E3">
        <w:t xml:space="preserve">)”, “РК(кіп)” замінити </w:t>
      </w:r>
      <w:r w:rsidR="00F678C8" w:rsidRPr="008007E3">
        <w:t xml:space="preserve">відповідно </w:t>
      </w:r>
      <w:r w:rsidR="004325EF" w:rsidRPr="008007E3">
        <w:t>літерами “РК</w:t>
      </w:r>
      <w:r w:rsidR="004325EF" w:rsidRPr="008007E3">
        <w:rPr>
          <w:vertAlign w:val="subscript"/>
        </w:rPr>
        <w:t>БГ</w:t>
      </w:r>
      <w:r w:rsidR="004325EF" w:rsidRPr="008007E3">
        <w:t>”, “РК</w:t>
      </w:r>
      <w:r w:rsidR="004325EF" w:rsidRPr="008007E3">
        <w:rPr>
          <w:vertAlign w:val="subscript"/>
        </w:rPr>
        <w:t>КІП</w:t>
      </w:r>
      <w:r w:rsidR="004325EF" w:rsidRPr="008007E3">
        <w:t>”;</w:t>
      </w:r>
    </w:p>
    <w:p w14:paraId="54C5B820" w14:textId="77777777" w:rsidR="00323602" w:rsidRPr="008007E3" w:rsidRDefault="00323602" w:rsidP="00F85EFF">
      <w:pPr>
        <w:ind w:firstLine="567"/>
      </w:pPr>
    </w:p>
    <w:p w14:paraId="40357E24" w14:textId="77777777" w:rsidR="00323602" w:rsidRPr="008007E3" w:rsidRDefault="00323602" w:rsidP="00F85EFF">
      <w:pPr>
        <w:ind w:firstLine="567"/>
      </w:pPr>
      <w:r w:rsidRPr="008007E3">
        <w:t>2) у главі 3:</w:t>
      </w:r>
    </w:p>
    <w:p w14:paraId="2D7281D0" w14:textId="77777777" w:rsidR="00DD303D" w:rsidRPr="008007E3" w:rsidRDefault="00DD303D" w:rsidP="00F85EFF">
      <w:pPr>
        <w:ind w:firstLine="567"/>
      </w:pPr>
      <w:r w:rsidRPr="008007E3">
        <w:t>у пункті 3.5:</w:t>
      </w:r>
    </w:p>
    <w:p w14:paraId="06754F82" w14:textId="77777777" w:rsidR="00FB3AEF" w:rsidRDefault="00DD303D" w:rsidP="003E4CB1">
      <w:pPr>
        <w:ind w:left="567"/>
        <w:rPr>
          <w:lang w:val="ru-RU"/>
        </w:rPr>
      </w:pPr>
      <w:r w:rsidRPr="008007E3">
        <w:t xml:space="preserve">в абзаці першому слова </w:t>
      </w:r>
      <w:r w:rsidRPr="008007E3">
        <w:rPr>
          <w:lang w:val="ru-RU"/>
        </w:rPr>
        <w:t>“</w:t>
      </w:r>
      <w:r w:rsidRPr="008007E3">
        <w:t>страхової компанії</w:t>
      </w:r>
      <w:r w:rsidRPr="008007E3">
        <w:rPr>
          <w:lang w:val="ru-RU"/>
        </w:rPr>
        <w:t xml:space="preserve">” </w:t>
      </w:r>
      <w:proofErr w:type="spellStart"/>
      <w:r w:rsidRPr="008007E3">
        <w:rPr>
          <w:lang w:val="ru-RU"/>
        </w:rPr>
        <w:t>замінити</w:t>
      </w:r>
      <w:proofErr w:type="spellEnd"/>
      <w:r w:rsidRPr="008007E3">
        <w:rPr>
          <w:lang w:val="ru-RU"/>
        </w:rPr>
        <w:t xml:space="preserve"> словом “</w:t>
      </w:r>
      <w:r w:rsidRPr="008007E3">
        <w:t>страховика</w:t>
      </w:r>
      <w:r w:rsidRPr="008007E3">
        <w:rPr>
          <w:lang w:val="ru-RU"/>
        </w:rPr>
        <w:t xml:space="preserve">”;  </w:t>
      </w:r>
    </w:p>
    <w:p w14:paraId="5F34EEBD" w14:textId="2DCC01FF" w:rsidR="00323602" w:rsidRPr="008007E3" w:rsidRDefault="00323602" w:rsidP="00FB3AEF">
      <w:pPr>
        <w:ind w:firstLine="567"/>
      </w:pPr>
      <w:r w:rsidRPr="008007E3">
        <w:t>в абзаці третьому літери “РК(</w:t>
      </w:r>
      <w:proofErr w:type="spellStart"/>
      <w:r w:rsidRPr="008007E3">
        <w:t>бг</w:t>
      </w:r>
      <w:proofErr w:type="spellEnd"/>
      <w:r w:rsidRPr="008007E3">
        <w:t>)” замінити літерами “РК</w:t>
      </w:r>
      <w:r w:rsidRPr="008007E3">
        <w:rPr>
          <w:vertAlign w:val="subscript"/>
        </w:rPr>
        <w:t>БГ</w:t>
      </w:r>
      <w:r w:rsidRPr="008007E3">
        <w:t>”;</w:t>
      </w:r>
    </w:p>
    <w:p w14:paraId="10926486" w14:textId="48BFE423" w:rsidR="00DD303D" w:rsidRPr="008007E3" w:rsidRDefault="00DD303D" w:rsidP="00F85EFF">
      <w:pPr>
        <w:ind w:firstLine="567"/>
      </w:pPr>
      <w:r w:rsidRPr="008007E3">
        <w:t xml:space="preserve">в абзацах </w:t>
      </w:r>
      <w:r w:rsidR="00686524">
        <w:t>п’ятому</w:t>
      </w:r>
      <w:r w:rsidRPr="008007E3">
        <w:t xml:space="preserve"> та </w:t>
      </w:r>
      <w:r w:rsidR="00686524">
        <w:t>сьомому</w:t>
      </w:r>
      <w:r w:rsidRPr="008007E3">
        <w:t xml:space="preserve"> слова “страхової компанії” замінити словом “страховика”; </w:t>
      </w:r>
    </w:p>
    <w:p w14:paraId="0CB7A354" w14:textId="11B1DE66" w:rsidR="00323602" w:rsidRPr="008007E3" w:rsidRDefault="00323602" w:rsidP="00F85EFF">
      <w:pPr>
        <w:ind w:firstLine="567"/>
      </w:pPr>
      <w:r w:rsidRPr="008007E3">
        <w:t>у пункті 3.6 літери “РК(</w:t>
      </w:r>
      <w:proofErr w:type="spellStart"/>
      <w:r w:rsidRPr="008007E3">
        <w:t>бг</w:t>
      </w:r>
      <w:proofErr w:type="spellEnd"/>
      <w:r w:rsidRPr="008007E3">
        <w:t xml:space="preserve">)”, “РК(кіп)” замінити </w:t>
      </w:r>
      <w:r w:rsidR="00BE0D53" w:rsidRPr="008007E3">
        <w:t xml:space="preserve">відповідно </w:t>
      </w:r>
      <w:r w:rsidRPr="008007E3">
        <w:t>літерами “РК</w:t>
      </w:r>
      <w:r w:rsidRPr="008007E3">
        <w:rPr>
          <w:vertAlign w:val="subscript"/>
        </w:rPr>
        <w:t>БГ</w:t>
      </w:r>
      <w:r w:rsidRPr="008007E3">
        <w:t>”, “РК</w:t>
      </w:r>
      <w:r w:rsidRPr="008007E3">
        <w:rPr>
          <w:vertAlign w:val="subscript"/>
        </w:rPr>
        <w:t>КІП</w:t>
      </w:r>
      <w:r w:rsidRPr="008007E3">
        <w:t>”;</w:t>
      </w:r>
    </w:p>
    <w:p w14:paraId="7C0178BF" w14:textId="77777777" w:rsidR="004325EF" w:rsidRPr="008007E3" w:rsidRDefault="004325EF" w:rsidP="00F85EFF">
      <w:pPr>
        <w:ind w:firstLine="567"/>
      </w:pPr>
    </w:p>
    <w:p w14:paraId="5F82302B" w14:textId="77777777" w:rsidR="00323602" w:rsidRPr="008007E3" w:rsidRDefault="00323602" w:rsidP="00F85EFF">
      <w:pPr>
        <w:ind w:firstLine="567"/>
      </w:pPr>
      <w:r w:rsidRPr="008007E3">
        <w:t>3) у главі 4:</w:t>
      </w:r>
    </w:p>
    <w:p w14:paraId="5DF4B3BB" w14:textId="77777777" w:rsidR="00DD303D" w:rsidRPr="008007E3" w:rsidRDefault="00DD303D" w:rsidP="00F85EFF">
      <w:pPr>
        <w:ind w:firstLine="567"/>
      </w:pPr>
      <w:r w:rsidRPr="008007E3">
        <w:t>у пункті 4.3:</w:t>
      </w:r>
    </w:p>
    <w:p w14:paraId="7B6F6C65" w14:textId="1934E8E5" w:rsidR="00DD303D" w:rsidRPr="008007E3" w:rsidRDefault="00DD303D" w:rsidP="00F85EFF">
      <w:pPr>
        <w:ind w:firstLine="567"/>
        <w:rPr>
          <w:lang w:val="ru-RU"/>
        </w:rPr>
      </w:pPr>
      <w:r w:rsidRPr="008007E3">
        <w:t xml:space="preserve">в абзаці першому слова </w:t>
      </w:r>
      <w:r w:rsidRPr="008007E3">
        <w:rPr>
          <w:lang w:val="ru-RU"/>
        </w:rPr>
        <w:t>“</w:t>
      </w:r>
      <w:r w:rsidRPr="008007E3">
        <w:t>страхової компанії</w:t>
      </w:r>
      <w:r w:rsidRPr="008007E3">
        <w:rPr>
          <w:lang w:val="ru-RU"/>
        </w:rPr>
        <w:t xml:space="preserve">” </w:t>
      </w:r>
      <w:proofErr w:type="spellStart"/>
      <w:r w:rsidRPr="008007E3">
        <w:rPr>
          <w:lang w:val="ru-RU"/>
        </w:rPr>
        <w:t>замінити</w:t>
      </w:r>
      <w:proofErr w:type="spellEnd"/>
      <w:r w:rsidRPr="008007E3">
        <w:rPr>
          <w:lang w:val="ru-RU"/>
        </w:rPr>
        <w:t xml:space="preserve"> словом “</w:t>
      </w:r>
      <w:r w:rsidRPr="008007E3">
        <w:t>страховика</w:t>
      </w:r>
      <w:r w:rsidRPr="008007E3">
        <w:rPr>
          <w:lang w:val="ru-RU"/>
        </w:rPr>
        <w:t>”;</w:t>
      </w:r>
      <w:r w:rsidR="004B2526" w:rsidRPr="008007E3">
        <w:rPr>
          <w:lang w:val="ru-RU"/>
        </w:rPr>
        <w:t xml:space="preserve"> </w:t>
      </w:r>
    </w:p>
    <w:p w14:paraId="207EDA55" w14:textId="296FE736" w:rsidR="00323602" w:rsidRPr="008007E3" w:rsidRDefault="00323602" w:rsidP="00F85EFF">
      <w:pPr>
        <w:ind w:firstLine="567"/>
        <w:rPr>
          <w:lang w:val="ru-RU"/>
        </w:rPr>
      </w:pPr>
      <w:r w:rsidRPr="008007E3">
        <w:t xml:space="preserve">в абзаці третьому літери </w:t>
      </w:r>
      <w:r w:rsidRPr="008007E3">
        <w:rPr>
          <w:lang w:val="ru-RU"/>
        </w:rPr>
        <w:t>“</w:t>
      </w:r>
      <w:r w:rsidRPr="008007E3">
        <w:t>РК(</w:t>
      </w:r>
      <w:proofErr w:type="spellStart"/>
      <w:r w:rsidRPr="008007E3">
        <w:t>бг</w:t>
      </w:r>
      <w:proofErr w:type="spellEnd"/>
      <w:r w:rsidRPr="008007E3">
        <w:t>)</w:t>
      </w:r>
      <w:r w:rsidRPr="008007E3">
        <w:rPr>
          <w:lang w:val="ru-RU"/>
        </w:rPr>
        <w:t xml:space="preserve">” </w:t>
      </w:r>
      <w:r w:rsidRPr="008007E3">
        <w:t xml:space="preserve">замінити літерами </w:t>
      </w:r>
      <w:r w:rsidRPr="008007E3">
        <w:rPr>
          <w:lang w:val="ru-RU"/>
        </w:rPr>
        <w:t>“</w:t>
      </w:r>
      <w:r w:rsidRPr="008007E3">
        <w:t>РК</w:t>
      </w:r>
      <w:r w:rsidRPr="008007E3">
        <w:rPr>
          <w:vertAlign w:val="subscript"/>
        </w:rPr>
        <w:t>БГ</w:t>
      </w:r>
      <w:r w:rsidRPr="008007E3">
        <w:rPr>
          <w:lang w:val="ru-RU"/>
        </w:rPr>
        <w:t>”;</w:t>
      </w:r>
    </w:p>
    <w:p w14:paraId="6884AC6C" w14:textId="4505C0CF" w:rsidR="00DD303D" w:rsidRPr="008007E3" w:rsidRDefault="00DD303D" w:rsidP="00F85EFF">
      <w:pPr>
        <w:ind w:firstLine="567"/>
      </w:pPr>
      <w:r w:rsidRPr="008007E3">
        <w:t xml:space="preserve">в абзаці </w:t>
      </w:r>
      <w:r w:rsidR="000F1244">
        <w:t>п</w:t>
      </w:r>
      <w:r w:rsidR="000F1244" w:rsidRPr="00B76804">
        <w:rPr>
          <w:lang w:val="ru-RU"/>
        </w:rPr>
        <w:t>’</w:t>
      </w:r>
      <w:proofErr w:type="spellStart"/>
      <w:r w:rsidR="000F1244">
        <w:t>ятому</w:t>
      </w:r>
      <w:proofErr w:type="spellEnd"/>
      <w:r w:rsidR="000F1244" w:rsidRPr="008007E3">
        <w:t xml:space="preserve"> </w:t>
      </w:r>
      <w:r w:rsidRPr="008007E3">
        <w:t xml:space="preserve">слова “страхової компанії” замінити словом “страховика”;  </w:t>
      </w:r>
    </w:p>
    <w:p w14:paraId="3D8ABA42" w14:textId="77777777" w:rsidR="00323602" w:rsidRPr="008007E3" w:rsidRDefault="00323602" w:rsidP="00F85EFF">
      <w:pPr>
        <w:ind w:firstLine="567"/>
      </w:pPr>
      <w:r w:rsidRPr="008007E3">
        <w:t xml:space="preserve">у </w:t>
      </w:r>
      <w:r w:rsidR="00BF5ABF" w:rsidRPr="008007E3">
        <w:t>пункті 4.4</w:t>
      </w:r>
      <w:r w:rsidRPr="008007E3">
        <w:t>:</w:t>
      </w:r>
    </w:p>
    <w:p w14:paraId="0E18457B" w14:textId="190CD337" w:rsidR="00BF5ABF" w:rsidRPr="008007E3" w:rsidRDefault="00BF5ABF" w:rsidP="00F85EFF">
      <w:pPr>
        <w:ind w:firstLine="567"/>
      </w:pPr>
      <w:r w:rsidRPr="008007E3">
        <w:t>слов</w:t>
      </w:r>
      <w:r w:rsidR="00686524">
        <w:t>о</w:t>
      </w:r>
      <w:r w:rsidRPr="008007E3">
        <w:t xml:space="preserve"> та цифри “розділу </w:t>
      </w:r>
      <w:r w:rsidRPr="008007E3">
        <w:rPr>
          <w:lang w:val="ru-RU"/>
        </w:rPr>
        <w:t>I</w:t>
      </w:r>
      <w:r w:rsidRPr="008007E3">
        <w:rPr>
          <w:lang w:val="en-US"/>
        </w:rPr>
        <w:t>V</w:t>
      </w:r>
      <w:r w:rsidRPr="008007E3">
        <w:t>” замінити слов</w:t>
      </w:r>
      <w:r w:rsidR="00BE0D53" w:rsidRPr="008007E3">
        <w:t>ом</w:t>
      </w:r>
      <w:r w:rsidRPr="008007E3">
        <w:t xml:space="preserve"> та цифр</w:t>
      </w:r>
      <w:r w:rsidR="00AE7D08">
        <w:t>ою</w:t>
      </w:r>
      <w:r w:rsidRPr="008007E3">
        <w:t xml:space="preserve"> “розділу V”</w:t>
      </w:r>
      <w:r w:rsidR="00323602" w:rsidRPr="008007E3">
        <w:t>;</w:t>
      </w:r>
    </w:p>
    <w:p w14:paraId="542E2872" w14:textId="0919EE10" w:rsidR="00323602" w:rsidRPr="008007E3" w:rsidRDefault="00323602" w:rsidP="00F85EFF">
      <w:pPr>
        <w:ind w:firstLine="567"/>
      </w:pPr>
      <w:r w:rsidRPr="008007E3">
        <w:t>літери “РК(</w:t>
      </w:r>
      <w:proofErr w:type="spellStart"/>
      <w:r w:rsidRPr="008007E3">
        <w:t>бг</w:t>
      </w:r>
      <w:proofErr w:type="spellEnd"/>
      <w:r w:rsidRPr="008007E3">
        <w:t xml:space="preserve">)”, “РК(кіп)” замінити </w:t>
      </w:r>
      <w:r w:rsidR="00BE0D53" w:rsidRPr="008007E3">
        <w:t xml:space="preserve">відповідно </w:t>
      </w:r>
      <w:r w:rsidRPr="008007E3">
        <w:t>літерами “РК</w:t>
      </w:r>
      <w:r w:rsidRPr="008007E3">
        <w:rPr>
          <w:vertAlign w:val="subscript"/>
        </w:rPr>
        <w:t>БГ</w:t>
      </w:r>
      <w:r w:rsidRPr="008007E3">
        <w:t>”, “РК</w:t>
      </w:r>
      <w:r w:rsidRPr="008007E3">
        <w:rPr>
          <w:vertAlign w:val="subscript"/>
        </w:rPr>
        <w:t>КІП</w:t>
      </w:r>
      <w:r w:rsidRPr="008007E3">
        <w:t>”.</w:t>
      </w:r>
    </w:p>
    <w:p w14:paraId="09D27010" w14:textId="77777777" w:rsidR="00323602" w:rsidRPr="008007E3" w:rsidRDefault="00323602" w:rsidP="00F85EFF">
      <w:pPr>
        <w:ind w:firstLine="567"/>
      </w:pPr>
    </w:p>
    <w:p w14:paraId="6921D6B3" w14:textId="2A5B6232" w:rsidR="00323602" w:rsidRPr="008007E3" w:rsidRDefault="00323602" w:rsidP="00F85EFF">
      <w:pPr>
        <w:ind w:firstLine="567"/>
      </w:pPr>
      <w:r w:rsidRPr="008007E3">
        <w:t xml:space="preserve">6. У розділі </w:t>
      </w:r>
      <w:r w:rsidRPr="008007E3">
        <w:rPr>
          <w:lang w:val="en-US"/>
        </w:rPr>
        <w:t>VI</w:t>
      </w:r>
      <w:r w:rsidRPr="008007E3">
        <w:t>:</w:t>
      </w:r>
    </w:p>
    <w:p w14:paraId="0ED2EFE9" w14:textId="77777777" w:rsidR="00CA2090" w:rsidRPr="008007E3" w:rsidRDefault="00CA2090" w:rsidP="00F85EFF">
      <w:pPr>
        <w:ind w:firstLine="567"/>
      </w:pPr>
    </w:p>
    <w:p w14:paraId="52367668" w14:textId="77777777" w:rsidR="00323602" w:rsidRPr="008007E3" w:rsidRDefault="00323602" w:rsidP="00F85EFF">
      <w:pPr>
        <w:ind w:firstLine="567"/>
      </w:pPr>
      <w:r w:rsidRPr="008007E3">
        <w:t>1) у главі 1:</w:t>
      </w:r>
    </w:p>
    <w:p w14:paraId="2DC08998" w14:textId="77777777" w:rsidR="00D20F32" w:rsidRPr="008007E3" w:rsidRDefault="00DD303D" w:rsidP="00F85EFF">
      <w:pPr>
        <w:ind w:firstLine="567"/>
        <w:rPr>
          <w:lang w:val="ru-RU"/>
        </w:rPr>
      </w:pPr>
      <w:r w:rsidRPr="008007E3">
        <w:rPr>
          <w:lang w:val="ru-RU"/>
        </w:rPr>
        <w:t>у</w:t>
      </w:r>
      <w:r w:rsidRPr="008007E3">
        <w:t xml:space="preserve"> пункті </w:t>
      </w:r>
      <w:r w:rsidR="00D20F32" w:rsidRPr="008007E3">
        <w:rPr>
          <w:lang w:val="ru-RU"/>
        </w:rPr>
        <w:t>1.3:</w:t>
      </w:r>
    </w:p>
    <w:p w14:paraId="0D3697A7" w14:textId="77777777" w:rsidR="00D20F32" w:rsidRPr="008007E3" w:rsidRDefault="00D20F32" w:rsidP="00F85EFF">
      <w:pPr>
        <w:ind w:firstLine="567"/>
        <w:rPr>
          <w:lang w:val="ru-RU"/>
        </w:rPr>
      </w:pPr>
      <w:r w:rsidRPr="008007E3">
        <w:t xml:space="preserve">в абзаці першому слова </w:t>
      </w:r>
      <w:r w:rsidRPr="008007E3">
        <w:rPr>
          <w:lang w:val="ru-RU"/>
        </w:rPr>
        <w:t>“</w:t>
      </w:r>
      <w:r w:rsidRPr="008007E3">
        <w:t>страхової компанії</w:t>
      </w:r>
      <w:r w:rsidRPr="008007E3">
        <w:rPr>
          <w:lang w:val="ru-RU"/>
        </w:rPr>
        <w:t xml:space="preserve">” </w:t>
      </w:r>
      <w:proofErr w:type="spellStart"/>
      <w:r w:rsidRPr="008007E3">
        <w:rPr>
          <w:lang w:val="ru-RU"/>
        </w:rPr>
        <w:t>замінити</w:t>
      </w:r>
      <w:proofErr w:type="spellEnd"/>
      <w:r w:rsidRPr="008007E3">
        <w:rPr>
          <w:lang w:val="ru-RU"/>
        </w:rPr>
        <w:t xml:space="preserve"> словом “</w:t>
      </w:r>
      <w:r w:rsidRPr="008007E3">
        <w:t>страховика</w:t>
      </w:r>
      <w:r w:rsidRPr="008007E3">
        <w:rPr>
          <w:lang w:val="ru-RU"/>
        </w:rPr>
        <w:t>”;</w:t>
      </w:r>
    </w:p>
    <w:p w14:paraId="77720E56" w14:textId="1FBB2BB1" w:rsidR="00323602" w:rsidRPr="008007E3" w:rsidRDefault="00323602" w:rsidP="00F85EFF">
      <w:pPr>
        <w:ind w:firstLine="567"/>
      </w:pPr>
      <w:r w:rsidRPr="008007E3">
        <w:t>в абзаці третьому літери “РК(</w:t>
      </w:r>
      <w:proofErr w:type="spellStart"/>
      <w:r w:rsidRPr="008007E3">
        <w:t>бг</w:t>
      </w:r>
      <w:proofErr w:type="spellEnd"/>
      <w:r w:rsidRPr="008007E3">
        <w:t>)” замінити літерами “РК</w:t>
      </w:r>
      <w:r w:rsidRPr="008007E3">
        <w:rPr>
          <w:vertAlign w:val="subscript"/>
        </w:rPr>
        <w:t>БГ</w:t>
      </w:r>
      <w:r w:rsidRPr="008007E3">
        <w:t>”;</w:t>
      </w:r>
    </w:p>
    <w:p w14:paraId="3A9AAD19" w14:textId="6A87EAFB" w:rsidR="00D20F32" w:rsidRPr="008007E3" w:rsidRDefault="00D20F32" w:rsidP="00F85EFF">
      <w:pPr>
        <w:ind w:firstLine="567"/>
      </w:pPr>
      <w:r w:rsidRPr="008007E3">
        <w:t xml:space="preserve">в абзаці </w:t>
      </w:r>
      <w:r w:rsidR="00686524">
        <w:t>четвертому</w:t>
      </w:r>
      <w:r w:rsidRPr="008007E3">
        <w:t xml:space="preserve"> слова “</w:t>
      </w:r>
      <w:proofErr w:type="spellStart"/>
      <w:r w:rsidRPr="008007E3">
        <w:t>страхово</w:t>
      </w:r>
      <w:proofErr w:type="spellEnd"/>
      <w:r w:rsidRPr="008007E3">
        <w:rPr>
          <w:lang w:val="ru-RU"/>
        </w:rPr>
        <w:t>ю</w:t>
      </w:r>
      <w:r w:rsidRPr="008007E3">
        <w:t xml:space="preserve"> компанією” замінити словом “страховиком”;  </w:t>
      </w:r>
    </w:p>
    <w:p w14:paraId="6D9D0129" w14:textId="2DA510C3" w:rsidR="00323602" w:rsidRPr="008007E3" w:rsidRDefault="00323602" w:rsidP="00F85EFF">
      <w:pPr>
        <w:ind w:firstLine="567"/>
      </w:pPr>
      <w:r w:rsidRPr="008007E3">
        <w:lastRenderedPageBreak/>
        <w:t>у пункті 1.4 літери “РК(</w:t>
      </w:r>
      <w:proofErr w:type="spellStart"/>
      <w:r w:rsidRPr="008007E3">
        <w:t>бг</w:t>
      </w:r>
      <w:proofErr w:type="spellEnd"/>
      <w:r w:rsidRPr="008007E3">
        <w:t xml:space="preserve">)”, “РК(кіп)” замінити </w:t>
      </w:r>
      <w:r w:rsidR="00BE0D53" w:rsidRPr="008007E3">
        <w:t xml:space="preserve">відповідно </w:t>
      </w:r>
      <w:r w:rsidRPr="008007E3">
        <w:t>літерами “РК</w:t>
      </w:r>
      <w:r w:rsidRPr="008007E3">
        <w:rPr>
          <w:vertAlign w:val="subscript"/>
        </w:rPr>
        <w:t>БГ</w:t>
      </w:r>
      <w:r w:rsidRPr="008007E3">
        <w:t>”, “РК</w:t>
      </w:r>
      <w:r w:rsidRPr="008007E3">
        <w:rPr>
          <w:vertAlign w:val="subscript"/>
        </w:rPr>
        <w:t>КІП</w:t>
      </w:r>
      <w:r w:rsidRPr="008007E3">
        <w:t>”;</w:t>
      </w:r>
    </w:p>
    <w:p w14:paraId="3B426EEA" w14:textId="77777777" w:rsidR="00CD50A4" w:rsidRPr="008007E3" w:rsidRDefault="00CD50A4" w:rsidP="00F85EFF">
      <w:pPr>
        <w:ind w:firstLine="567"/>
      </w:pPr>
    </w:p>
    <w:p w14:paraId="7EA5EBEF" w14:textId="77777777" w:rsidR="00323602" w:rsidRPr="008007E3" w:rsidRDefault="00323602" w:rsidP="00F85EFF">
      <w:pPr>
        <w:ind w:firstLine="567"/>
      </w:pPr>
      <w:r w:rsidRPr="008007E3">
        <w:t xml:space="preserve">2) у главі 2: </w:t>
      </w:r>
    </w:p>
    <w:p w14:paraId="3E59235D" w14:textId="170AE3F3" w:rsidR="00323602" w:rsidRPr="008007E3" w:rsidRDefault="00D20F32" w:rsidP="00F85EFF">
      <w:pPr>
        <w:ind w:firstLine="567"/>
      </w:pPr>
      <w:r w:rsidRPr="008007E3">
        <w:rPr>
          <w:lang w:val="ru-RU"/>
        </w:rPr>
        <w:t>у</w:t>
      </w:r>
      <w:r w:rsidRPr="008007E3">
        <w:t xml:space="preserve"> пункті 2.3:  </w:t>
      </w:r>
    </w:p>
    <w:p w14:paraId="19377AC8" w14:textId="77777777" w:rsidR="00D20F32" w:rsidRPr="008007E3" w:rsidRDefault="00D20F32" w:rsidP="00F85EFF">
      <w:pPr>
        <w:ind w:firstLine="567"/>
        <w:rPr>
          <w:lang w:val="ru-RU"/>
        </w:rPr>
      </w:pPr>
      <w:r w:rsidRPr="008007E3">
        <w:t xml:space="preserve">в абзаці першому слова </w:t>
      </w:r>
      <w:r w:rsidRPr="008007E3">
        <w:rPr>
          <w:lang w:val="ru-RU"/>
        </w:rPr>
        <w:t>“</w:t>
      </w:r>
      <w:r w:rsidRPr="008007E3">
        <w:t>страхової компанії</w:t>
      </w:r>
      <w:r w:rsidRPr="008007E3">
        <w:rPr>
          <w:lang w:val="ru-RU"/>
        </w:rPr>
        <w:t xml:space="preserve">” </w:t>
      </w:r>
      <w:proofErr w:type="spellStart"/>
      <w:r w:rsidRPr="008007E3">
        <w:rPr>
          <w:lang w:val="ru-RU"/>
        </w:rPr>
        <w:t>замінити</w:t>
      </w:r>
      <w:proofErr w:type="spellEnd"/>
      <w:r w:rsidRPr="008007E3">
        <w:rPr>
          <w:lang w:val="ru-RU"/>
        </w:rPr>
        <w:t xml:space="preserve"> словом “</w:t>
      </w:r>
      <w:r w:rsidRPr="008007E3">
        <w:t>страховика</w:t>
      </w:r>
      <w:r w:rsidRPr="008007E3">
        <w:rPr>
          <w:lang w:val="ru-RU"/>
        </w:rPr>
        <w:t>”;</w:t>
      </w:r>
    </w:p>
    <w:p w14:paraId="7CAE8438" w14:textId="12F3DD26" w:rsidR="00323602" w:rsidRPr="008007E3" w:rsidRDefault="00323602" w:rsidP="00F85EFF">
      <w:pPr>
        <w:ind w:firstLine="567"/>
      </w:pPr>
      <w:r w:rsidRPr="008007E3">
        <w:t>в абзаці третьому літери “РК(</w:t>
      </w:r>
      <w:proofErr w:type="spellStart"/>
      <w:r w:rsidRPr="008007E3">
        <w:t>бг</w:t>
      </w:r>
      <w:proofErr w:type="spellEnd"/>
      <w:r w:rsidRPr="008007E3">
        <w:t>)” замінити літерами “РК</w:t>
      </w:r>
      <w:r w:rsidRPr="008007E3">
        <w:rPr>
          <w:vertAlign w:val="subscript"/>
        </w:rPr>
        <w:t>БГ</w:t>
      </w:r>
      <w:r w:rsidRPr="008007E3">
        <w:t>”;</w:t>
      </w:r>
    </w:p>
    <w:p w14:paraId="364E3D77" w14:textId="3077A524" w:rsidR="00D20F32" w:rsidRPr="008007E3" w:rsidRDefault="00D20F32" w:rsidP="00F85EFF">
      <w:pPr>
        <w:ind w:firstLine="567"/>
      </w:pPr>
      <w:r w:rsidRPr="008007E3">
        <w:t xml:space="preserve">в абзаці </w:t>
      </w:r>
      <w:r w:rsidR="00E654E7">
        <w:t>четвертому</w:t>
      </w:r>
      <w:r w:rsidRPr="008007E3">
        <w:t xml:space="preserve"> слова “</w:t>
      </w:r>
      <w:proofErr w:type="spellStart"/>
      <w:r w:rsidRPr="008007E3">
        <w:t>страхово</w:t>
      </w:r>
      <w:proofErr w:type="spellEnd"/>
      <w:r w:rsidRPr="008007E3">
        <w:rPr>
          <w:lang w:val="ru-RU"/>
        </w:rPr>
        <w:t>ю</w:t>
      </w:r>
      <w:r w:rsidRPr="008007E3">
        <w:t xml:space="preserve"> компанією” замінити словом “страховиком”;  </w:t>
      </w:r>
    </w:p>
    <w:p w14:paraId="4E134597" w14:textId="0EC2E726" w:rsidR="00323602" w:rsidRPr="008007E3" w:rsidRDefault="00323602" w:rsidP="00F85EFF">
      <w:pPr>
        <w:ind w:firstLine="567"/>
      </w:pPr>
      <w:r w:rsidRPr="008007E3">
        <w:t>у пункті 2.4 літери “РК(</w:t>
      </w:r>
      <w:proofErr w:type="spellStart"/>
      <w:r w:rsidRPr="008007E3">
        <w:t>бг</w:t>
      </w:r>
      <w:proofErr w:type="spellEnd"/>
      <w:r w:rsidRPr="008007E3">
        <w:t xml:space="preserve">)”, “РК(кіп)” замінити </w:t>
      </w:r>
      <w:r w:rsidR="00BE0D53" w:rsidRPr="008007E3">
        <w:t xml:space="preserve">відповідно </w:t>
      </w:r>
      <w:r w:rsidRPr="008007E3">
        <w:t>літерами “РК</w:t>
      </w:r>
      <w:r w:rsidRPr="008007E3">
        <w:rPr>
          <w:vertAlign w:val="subscript"/>
        </w:rPr>
        <w:t>БГ</w:t>
      </w:r>
      <w:r w:rsidRPr="008007E3">
        <w:t>”, “РК</w:t>
      </w:r>
      <w:r w:rsidRPr="008007E3">
        <w:rPr>
          <w:vertAlign w:val="subscript"/>
        </w:rPr>
        <w:t>КІП</w:t>
      </w:r>
      <w:r w:rsidRPr="008007E3">
        <w:t>”.</w:t>
      </w:r>
    </w:p>
    <w:p w14:paraId="54618566" w14:textId="77777777" w:rsidR="00323602" w:rsidRPr="008007E3" w:rsidRDefault="00323602" w:rsidP="00F85EFF">
      <w:pPr>
        <w:ind w:firstLine="567"/>
      </w:pPr>
    </w:p>
    <w:p w14:paraId="3C478833" w14:textId="7907219A" w:rsidR="00BF5ABF" w:rsidRPr="008007E3" w:rsidRDefault="00323602" w:rsidP="00F85EFF">
      <w:pPr>
        <w:ind w:firstLine="567"/>
      </w:pPr>
      <w:r w:rsidRPr="008007E3">
        <w:rPr>
          <w:lang w:val="ru-RU"/>
        </w:rPr>
        <w:t>7</w:t>
      </w:r>
      <w:r w:rsidR="00BF5ABF" w:rsidRPr="008007E3">
        <w:t xml:space="preserve">. У </w:t>
      </w:r>
      <w:r w:rsidR="00E654E7">
        <w:t xml:space="preserve">главі 2 </w:t>
      </w:r>
      <w:r w:rsidR="00BF5ABF" w:rsidRPr="008007E3">
        <w:t>розділ</w:t>
      </w:r>
      <w:r w:rsidR="00E654E7">
        <w:t>у</w:t>
      </w:r>
      <w:r w:rsidR="00BF5ABF" w:rsidRPr="008007E3">
        <w:t xml:space="preserve"> </w:t>
      </w:r>
      <w:r w:rsidR="00BF5ABF" w:rsidRPr="008007E3">
        <w:rPr>
          <w:lang w:val="en-US"/>
        </w:rPr>
        <w:t>VII</w:t>
      </w:r>
      <w:r w:rsidR="00BF5ABF" w:rsidRPr="008007E3">
        <w:t>:</w:t>
      </w:r>
    </w:p>
    <w:p w14:paraId="1F40E6D1" w14:textId="77777777" w:rsidR="00BF5ABF" w:rsidRPr="008007E3" w:rsidRDefault="00BF5ABF" w:rsidP="00F85EFF">
      <w:pPr>
        <w:ind w:firstLine="567"/>
      </w:pPr>
    </w:p>
    <w:p w14:paraId="2A22CCAF" w14:textId="232A89F2" w:rsidR="00246001" w:rsidRPr="008007E3" w:rsidRDefault="00E654E7" w:rsidP="00F85EFF">
      <w:pPr>
        <w:ind w:firstLine="567"/>
      </w:pPr>
      <w:r>
        <w:t xml:space="preserve">1) </w:t>
      </w:r>
      <w:r w:rsidR="00246001" w:rsidRPr="008007E3">
        <w:t>у пункті 2.2:</w:t>
      </w:r>
    </w:p>
    <w:p w14:paraId="10212956" w14:textId="26E81318" w:rsidR="00D20F32" w:rsidRPr="008007E3" w:rsidRDefault="00453277" w:rsidP="00F85EFF">
      <w:pPr>
        <w:ind w:firstLine="567"/>
        <w:rPr>
          <w:shd w:val="clear" w:color="auto" w:fill="FFFFFF"/>
        </w:rPr>
      </w:pPr>
      <w:r w:rsidRPr="008007E3">
        <w:rPr>
          <w:shd w:val="clear" w:color="auto" w:fill="FFFFFF"/>
        </w:rPr>
        <w:t xml:space="preserve">абзац </w:t>
      </w:r>
      <w:r w:rsidR="00E654E7">
        <w:rPr>
          <w:shd w:val="clear" w:color="auto" w:fill="FFFFFF"/>
        </w:rPr>
        <w:t>четвертий</w:t>
      </w:r>
      <w:r w:rsidR="00D20F32" w:rsidRPr="008007E3">
        <w:rPr>
          <w:shd w:val="clear" w:color="auto" w:fill="FFFFFF"/>
        </w:rPr>
        <w:t xml:space="preserve"> викласти в такій редакції:</w:t>
      </w:r>
    </w:p>
    <w:p w14:paraId="25F9267E" w14:textId="1EBF8E1F" w:rsidR="00D20F32" w:rsidRPr="008007E3" w:rsidRDefault="00D20F32" w:rsidP="00F85EFF">
      <w:pPr>
        <w:shd w:val="clear" w:color="auto" w:fill="FFFFFF"/>
        <w:ind w:firstLine="567"/>
        <w:rPr>
          <w:shd w:val="clear" w:color="auto" w:fill="FFFFFF"/>
        </w:rPr>
      </w:pPr>
      <w:r w:rsidRPr="008007E3">
        <w:rPr>
          <w:shd w:val="clear" w:color="auto" w:fill="FFFFFF"/>
        </w:rPr>
        <w:t>“</w:t>
      </w:r>
      <w:r w:rsidRPr="008007E3">
        <w:t xml:space="preserve">перехідну таблицю за статтями фінансової звітності підприємства, визначеними Національним положенням (стандартом) бухгалтерського обліку 1 </w:t>
      </w:r>
      <w:r w:rsidR="009E0703">
        <w:t>“</w:t>
      </w:r>
      <w:r w:rsidRPr="008007E3">
        <w:t>Загальні вимоги до фінансової звітності</w:t>
      </w:r>
      <w:r w:rsidR="009E0703">
        <w:t>”</w:t>
      </w:r>
      <w:r w:rsidRPr="008007E3">
        <w:t>, затвердженим наказом Міністерства фінансів України від 07 лютого 2013 року № 73, зареєстрован</w:t>
      </w:r>
      <w:r w:rsidR="009E0703">
        <w:t>им</w:t>
      </w:r>
      <w:r w:rsidRPr="008007E3">
        <w:t xml:space="preserve"> </w:t>
      </w:r>
      <w:r w:rsidR="009E0703">
        <w:t>у</w:t>
      </w:r>
      <w:r w:rsidR="009E0703" w:rsidRPr="008007E3">
        <w:t xml:space="preserve"> </w:t>
      </w:r>
      <w:r w:rsidRPr="008007E3">
        <w:t>Міністерстві юстиції України 28 лютого 2013 року за № 336/22868 (зі змінами)</w:t>
      </w:r>
      <w:r w:rsidR="009E0703">
        <w:t>,</w:t>
      </w:r>
      <w:r w:rsidRPr="008007E3">
        <w:t xml:space="preserve"> до консолідованого звіту банківської групи, що </w:t>
      </w:r>
      <w:r w:rsidR="00240F5A">
        <w:t>повинен</w:t>
      </w:r>
      <w:r w:rsidR="00240F5A" w:rsidRPr="008007E3">
        <w:t xml:space="preserve"> </w:t>
      </w:r>
      <w:r w:rsidRPr="008007E3">
        <w:t>ґрунтуватися на економічній суті операцій, які відображаються за відповідними статтями;”;</w:t>
      </w:r>
    </w:p>
    <w:p w14:paraId="62EA927E" w14:textId="2A0C619B" w:rsidR="00453277" w:rsidRDefault="00453277" w:rsidP="00F85EFF">
      <w:pPr>
        <w:ind w:firstLine="567"/>
        <w:rPr>
          <w:shd w:val="clear" w:color="auto" w:fill="FFFFFF"/>
        </w:rPr>
      </w:pPr>
      <w:r w:rsidRPr="008007E3">
        <w:rPr>
          <w:shd w:val="clear" w:color="auto" w:fill="FFFFFF"/>
        </w:rPr>
        <w:t xml:space="preserve">абзац </w:t>
      </w:r>
      <w:r w:rsidR="00E654E7">
        <w:rPr>
          <w:shd w:val="clear" w:color="auto" w:fill="FFFFFF"/>
        </w:rPr>
        <w:t>п’ятий</w:t>
      </w:r>
      <w:r w:rsidRPr="008007E3">
        <w:rPr>
          <w:shd w:val="clear" w:color="auto" w:fill="FFFFFF"/>
        </w:rPr>
        <w:t xml:space="preserve"> після цифр “№ 892/4185” та “№ 89” доповнити словами “(зі змінами)”;</w:t>
      </w:r>
    </w:p>
    <w:p w14:paraId="22119D01" w14:textId="77777777" w:rsidR="00E654E7" w:rsidRPr="008007E3" w:rsidRDefault="00E654E7" w:rsidP="00F85EFF">
      <w:pPr>
        <w:ind w:firstLine="567"/>
        <w:rPr>
          <w:shd w:val="clear" w:color="auto" w:fill="FFFFFF"/>
        </w:rPr>
      </w:pPr>
    </w:p>
    <w:p w14:paraId="5C02D353" w14:textId="2A8CA8EE" w:rsidR="00453277" w:rsidRDefault="00E654E7" w:rsidP="00F85EFF">
      <w:pPr>
        <w:ind w:firstLine="567"/>
        <w:rPr>
          <w:shd w:val="clear" w:color="auto" w:fill="FFFFFF"/>
        </w:rPr>
      </w:pPr>
      <w:r>
        <w:rPr>
          <w:shd w:val="clear" w:color="auto" w:fill="FFFFFF"/>
        </w:rPr>
        <w:t xml:space="preserve">2) </w:t>
      </w:r>
      <w:r w:rsidR="00453277" w:rsidRPr="008007E3">
        <w:rPr>
          <w:shd w:val="clear" w:color="auto" w:fill="FFFFFF"/>
        </w:rPr>
        <w:t>пункт 2.3 після  цифр “№ 1288/20026” доповнити словами “(зі змінами)”;</w:t>
      </w:r>
    </w:p>
    <w:p w14:paraId="71398E9F" w14:textId="77777777" w:rsidR="00E654E7" w:rsidRPr="008007E3" w:rsidRDefault="00E654E7" w:rsidP="00F85EFF">
      <w:pPr>
        <w:ind w:firstLine="567"/>
        <w:rPr>
          <w:shd w:val="clear" w:color="auto" w:fill="FFFFFF"/>
        </w:rPr>
      </w:pPr>
    </w:p>
    <w:p w14:paraId="3FA4A21B" w14:textId="6718C078" w:rsidR="00D20F32" w:rsidRPr="008007E3" w:rsidRDefault="00E654E7" w:rsidP="00F85EFF">
      <w:pPr>
        <w:ind w:firstLine="567"/>
      </w:pPr>
      <w:r>
        <w:rPr>
          <w:shd w:val="clear" w:color="auto" w:fill="FFFFFF"/>
        </w:rPr>
        <w:t xml:space="preserve">3) </w:t>
      </w:r>
      <w:r w:rsidR="00D20F32" w:rsidRPr="008007E3">
        <w:rPr>
          <w:shd w:val="clear" w:color="auto" w:fill="FFFFFF"/>
        </w:rPr>
        <w:t>у пункті 2.8 слова “</w:t>
      </w:r>
      <w:r w:rsidR="00D20F32" w:rsidRPr="008007E3">
        <w:t xml:space="preserve">, а також, таблицю за формою, наведеною в додатку до цього Положення, в якій відображаються показники, на підставі яких здійснювався розрахунок достатності регулятивного капіталу, </w:t>
      </w:r>
      <w:proofErr w:type="spellStart"/>
      <w:r w:rsidR="00D20F32" w:rsidRPr="008007E3">
        <w:t>пруденційних</w:t>
      </w:r>
      <w:proofErr w:type="spellEnd"/>
      <w:r w:rsidR="00D20F32" w:rsidRPr="008007E3">
        <w:t xml:space="preserve"> нормативів банківської групи, підгруп банківської групи, та інформація про дотримання </w:t>
      </w:r>
      <w:proofErr w:type="spellStart"/>
      <w:r w:rsidR="00D20F32" w:rsidRPr="008007E3">
        <w:t>пруденційних</w:t>
      </w:r>
      <w:proofErr w:type="spellEnd"/>
      <w:r w:rsidR="00D20F32" w:rsidRPr="008007E3">
        <w:t xml:space="preserve"> нормативів” виключити</w:t>
      </w:r>
      <w:r w:rsidR="00203BCF">
        <w:t>.</w:t>
      </w:r>
    </w:p>
    <w:p w14:paraId="4E93315A" w14:textId="3FB9F741" w:rsidR="002D5762" w:rsidRPr="008007E3" w:rsidRDefault="002D5762" w:rsidP="00F85EFF">
      <w:pPr>
        <w:ind w:firstLine="567"/>
      </w:pPr>
    </w:p>
    <w:p w14:paraId="755F5022" w14:textId="77777777" w:rsidR="00166595" w:rsidRPr="008007E3" w:rsidRDefault="00323602" w:rsidP="00F85EFF">
      <w:pPr>
        <w:ind w:firstLine="567"/>
        <w:rPr>
          <w:shd w:val="clear" w:color="auto" w:fill="FFFFFF"/>
        </w:rPr>
      </w:pPr>
      <w:r w:rsidRPr="008007E3">
        <w:rPr>
          <w:shd w:val="clear" w:color="auto" w:fill="FFFFFF"/>
        </w:rPr>
        <w:t>8</w:t>
      </w:r>
      <w:r w:rsidR="00166595" w:rsidRPr="008007E3">
        <w:rPr>
          <w:shd w:val="clear" w:color="auto" w:fill="FFFFFF"/>
        </w:rPr>
        <w:t xml:space="preserve">. Додаток до Положення замінити двома новими додатками такого змісту: </w:t>
      </w:r>
    </w:p>
    <w:p w14:paraId="649214C5" w14:textId="77777777" w:rsidR="00166595" w:rsidRDefault="00166595" w:rsidP="00AA2CE1">
      <w:pPr>
        <w:ind w:firstLine="720"/>
        <w:rPr>
          <w:shd w:val="clear" w:color="auto" w:fill="FFFFFF"/>
          <w:lang w:val="ru-RU"/>
        </w:rPr>
      </w:pPr>
    </w:p>
    <w:p w14:paraId="5333C379" w14:textId="77777777" w:rsidR="00166595" w:rsidRDefault="00166595" w:rsidP="00AA2CE1">
      <w:pPr>
        <w:ind w:firstLine="720"/>
        <w:rPr>
          <w:shd w:val="clear" w:color="auto" w:fill="FFFFFF"/>
          <w:lang w:val="ru-RU"/>
        </w:rPr>
        <w:sectPr w:rsidR="00166595" w:rsidSect="00D64DF7">
          <w:pgSz w:w="11906" w:h="16838"/>
          <w:pgMar w:top="567" w:right="567" w:bottom="1701" w:left="1701" w:header="283" w:footer="709" w:gutter="0"/>
          <w:pgNumType w:start="1"/>
          <w:cols w:space="708"/>
          <w:titlePg/>
          <w:docGrid w:linePitch="381"/>
        </w:sectPr>
      </w:pPr>
    </w:p>
    <w:p w14:paraId="03DEE71B" w14:textId="77777777" w:rsidR="00166595" w:rsidRPr="00166595" w:rsidRDefault="00166595" w:rsidP="00EF7523">
      <w:pPr>
        <w:tabs>
          <w:tab w:val="left" w:pos="851"/>
          <w:tab w:val="left" w:pos="993"/>
        </w:tabs>
        <w:ind w:left="9639"/>
        <w:contextualSpacing/>
        <w:rPr>
          <w:szCs w:val="24"/>
        </w:rPr>
      </w:pPr>
      <w:r w:rsidRPr="00166595">
        <w:rPr>
          <w:szCs w:val="24"/>
        </w:rPr>
        <w:lastRenderedPageBreak/>
        <w:t>Додаток 1</w:t>
      </w:r>
    </w:p>
    <w:p w14:paraId="1954AABD" w14:textId="77777777" w:rsidR="00166595" w:rsidRPr="00166595" w:rsidRDefault="00166595" w:rsidP="00EF7523">
      <w:pPr>
        <w:shd w:val="clear" w:color="auto" w:fill="FFFFFF"/>
        <w:ind w:left="9639"/>
        <w:rPr>
          <w:szCs w:val="24"/>
        </w:rPr>
      </w:pPr>
      <w:r w:rsidRPr="00166595">
        <w:rPr>
          <w:szCs w:val="24"/>
        </w:rPr>
        <w:t>до Положення про порядок регулювання діяльності банківських груп</w:t>
      </w:r>
    </w:p>
    <w:p w14:paraId="6026C36A" w14:textId="7A98E818" w:rsidR="00166595" w:rsidRPr="00166595" w:rsidRDefault="00166595" w:rsidP="00EF7523">
      <w:pPr>
        <w:shd w:val="clear" w:color="auto" w:fill="FFFFFF"/>
        <w:ind w:left="9639"/>
        <w:rPr>
          <w:szCs w:val="24"/>
        </w:rPr>
      </w:pPr>
      <w:r w:rsidRPr="00166595">
        <w:rPr>
          <w:szCs w:val="24"/>
        </w:rPr>
        <w:t>(пункт 1 глави 5 розділу II)</w:t>
      </w:r>
    </w:p>
    <w:p w14:paraId="4A23A089" w14:textId="017A41CC" w:rsidR="00166595" w:rsidRDefault="00166595" w:rsidP="006F0E78">
      <w:pPr>
        <w:shd w:val="clear" w:color="auto" w:fill="FFFFFF"/>
        <w:ind w:left="10773"/>
        <w:rPr>
          <w:szCs w:val="24"/>
        </w:rPr>
      </w:pPr>
    </w:p>
    <w:p w14:paraId="4A3AD89F" w14:textId="77777777" w:rsidR="003826C6" w:rsidRPr="00166595" w:rsidRDefault="003826C6" w:rsidP="006F0E78">
      <w:pPr>
        <w:shd w:val="clear" w:color="auto" w:fill="FFFFFF"/>
        <w:ind w:left="10773"/>
        <w:rPr>
          <w:szCs w:val="24"/>
        </w:rPr>
      </w:pPr>
    </w:p>
    <w:p w14:paraId="53D2783E" w14:textId="77777777" w:rsidR="00166595" w:rsidRPr="00166595" w:rsidRDefault="00166595" w:rsidP="008D521C">
      <w:pPr>
        <w:jc w:val="center"/>
        <w:rPr>
          <w:bCs/>
          <w:szCs w:val="24"/>
          <w:lang w:eastAsia="ru-RU"/>
        </w:rPr>
      </w:pPr>
      <w:r w:rsidRPr="00166595">
        <w:rPr>
          <w:bCs/>
          <w:szCs w:val="24"/>
          <w:lang w:eastAsia="ru-RU"/>
        </w:rPr>
        <w:t>Розрахунок суми дивідендів, передбачуваних до сплати з прибутку</w:t>
      </w:r>
    </w:p>
    <w:p w14:paraId="4C5BBF82" w14:textId="77777777" w:rsidR="00166595" w:rsidRPr="004107F5" w:rsidRDefault="00166595" w:rsidP="008D521C">
      <w:pPr>
        <w:jc w:val="center"/>
        <w:rPr>
          <w:bCs/>
          <w:sz w:val="22"/>
          <w:szCs w:val="24"/>
          <w:lang w:eastAsia="ru-RU"/>
        </w:rPr>
      </w:pPr>
    </w:p>
    <w:p w14:paraId="76CEC806" w14:textId="77777777" w:rsidR="00166595" w:rsidRPr="00166595" w:rsidRDefault="00166595" w:rsidP="008D521C">
      <w:pPr>
        <w:jc w:val="center"/>
        <w:rPr>
          <w:szCs w:val="24"/>
        </w:rPr>
      </w:pPr>
      <w:r w:rsidRPr="00166595">
        <w:rPr>
          <w:szCs w:val="24"/>
        </w:rPr>
        <w:t xml:space="preserve">1. Визначення суми дивідендів, передбачуваних до сплати з прибутку, </w:t>
      </w:r>
    </w:p>
    <w:p w14:paraId="75DC7A4C" w14:textId="77777777" w:rsidR="00166595" w:rsidRPr="00166595" w:rsidRDefault="00166595" w:rsidP="008D521C">
      <w:pPr>
        <w:jc w:val="center"/>
        <w:rPr>
          <w:szCs w:val="24"/>
        </w:rPr>
      </w:pPr>
      <w:r w:rsidRPr="00166595">
        <w:rPr>
          <w:szCs w:val="24"/>
        </w:rPr>
        <w:t xml:space="preserve">з урахуванням наявності/відсутності в учасника кредитно-інвестиційної підгрупи </w:t>
      </w:r>
    </w:p>
    <w:p w14:paraId="264CBA02" w14:textId="77777777" w:rsidR="00166595" w:rsidRPr="00166595" w:rsidRDefault="00166595" w:rsidP="008D521C">
      <w:pPr>
        <w:jc w:val="center"/>
        <w:rPr>
          <w:szCs w:val="24"/>
        </w:rPr>
      </w:pPr>
      <w:r w:rsidRPr="00166595">
        <w:rPr>
          <w:szCs w:val="24"/>
        </w:rPr>
        <w:t xml:space="preserve">документів щодо прогнозної суми дивідендів </w:t>
      </w:r>
    </w:p>
    <w:p w14:paraId="6888B711" w14:textId="77777777" w:rsidR="00166595" w:rsidRPr="00166595" w:rsidRDefault="00166595" w:rsidP="00FA7343">
      <w:pPr>
        <w:tabs>
          <w:tab w:val="left" w:pos="13750"/>
        </w:tabs>
        <w:ind w:left="12474" w:right="452"/>
        <w:jc w:val="right"/>
        <w:rPr>
          <w:szCs w:val="24"/>
          <w:lang w:eastAsia="ru-RU"/>
        </w:rPr>
      </w:pPr>
      <w:r w:rsidRPr="00166595">
        <w:rPr>
          <w:szCs w:val="24"/>
          <w:lang w:eastAsia="ru-RU"/>
        </w:rPr>
        <w:t>Таблиця 1</w:t>
      </w:r>
    </w:p>
    <w:tbl>
      <w:tblPr>
        <w:tblStyle w:val="1"/>
        <w:tblW w:w="14885" w:type="dxa"/>
        <w:tblInd w:w="-431" w:type="dxa"/>
        <w:tblLayout w:type="fixed"/>
        <w:tblLook w:val="04A0" w:firstRow="1" w:lastRow="0" w:firstColumn="1" w:lastColumn="0" w:noHBand="0" w:noVBand="1"/>
      </w:tblPr>
      <w:tblGrid>
        <w:gridCol w:w="568"/>
        <w:gridCol w:w="3827"/>
        <w:gridCol w:w="4111"/>
        <w:gridCol w:w="6379"/>
      </w:tblGrid>
      <w:tr w:rsidR="00166595" w:rsidRPr="00166595" w14:paraId="684480B2" w14:textId="77777777" w:rsidTr="00EF7523">
        <w:trPr>
          <w:trHeight w:val="113"/>
        </w:trPr>
        <w:tc>
          <w:tcPr>
            <w:tcW w:w="568" w:type="dxa"/>
            <w:vMerge w:val="restart"/>
            <w:shd w:val="clear" w:color="auto" w:fill="auto"/>
            <w:tcMar>
              <w:left w:w="28" w:type="dxa"/>
              <w:right w:w="28" w:type="dxa"/>
            </w:tcMar>
            <w:vAlign w:val="center"/>
          </w:tcPr>
          <w:p w14:paraId="5FE3E6EF" w14:textId="77777777" w:rsidR="00166595" w:rsidRPr="00166595" w:rsidRDefault="00166595" w:rsidP="00FA7343">
            <w:pPr>
              <w:ind w:right="15"/>
              <w:jc w:val="center"/>
              <w:rPr>
                <w:szCs w:val="24"/>
              </w:rPr>
            </w:pPr>
            <w:r w:rsidRPr="00166595">
              <w:rPr>
                <w:szCs w:val="24"/>
              </w:rPr>
              <w:t>№ з/п</w:t>
            </w:r>
          </w:p>
        </w:tc>
        <w:tc>
          <w:tcPr>
            <w:tcW w:w="3827" w:type="dxa"/>
            <w:vMerge w:val="restart"/>
            <w:shd w:val="clear" w:color="auto" w:fill="auto"/>
            <w:vAlign w:val="center"/>
          </w:tcPr>
          <w:p w14:paraId="451F3DE9" w14:textId="77777777" w:rsidR="00166595" w:rsidRPr="00166595" w:rsidRDefault="00166595" w:rsidP="00FA7343">
            <w:pPr>
              <w:jc w:val="center"/>
              <w:rPr>
                <w:szCs w:val="24"/>
                <w:lang w:eastAsia="ru-RU"/>
              </w:rPr>
            </w:pPr>
            <w:r w:rsidRPr="00166595">
              <w:rPr>
                <w:szCs w:val="24"/>
                <w:lang w:eastAsia="ru-RU"/>
              </w:rPr>
              <w:t>Критерій наявності/</w:t>
            </w:r>
            <w:r w:rsidRPr="00166595">
              <w:rPr>
                <w:szCs w:val="24"/>
                <w:lang w:eastAsia="ru-RU"/>
              </w:rPr>
              <w:br/>
              <w:t>відсутності документів щодо прогнозної суми дивідендів</w:t>
            </w:r>
          </w:p>
        </w:tc>
        <w:tc>
          <w:tcPr>
            <w:tcW w:w="10490" w:type="dxa"/>
            <w:gridSpan w:val="2"/>
            <w:shd w:val="clear" w:color="auto" w:fill="auto"/>
            <w:vAlign w:val="center"/>
          </w:tcPr>
          <w:p w14:paraId="5A96DA60" w14:textId="77777777" w:rsidR="00166595" w:rsidRPr="00166595" w:rsidRDefault="00166595" w:rsidP="00FA7343">
            <w:pPr>
              <w:jc w:val="center"/>
              <w:rPr>
                <w:iCs/>
                <w:szCs w:val="24"/>
              </w:rPr>
            </w:pPr>
            <w:r w:rsidRPr="00166595">
              <w:rPr>
                <w:szCs w:val="24"/>
              </w:rPr>
              <w:t>Сума дивідендів, передбачуваних до сплати</w:t>
            </w:r>
          </w:p>
        </w:tc>
      </w:tr>
      <w:tr w:rsidR="00166595" w:rsidRPr="00166595" w14:paraId="3D4591F8" w14:textId="77777777" w:rsidTr="00EF7523">
        <w:trPr>
          <w:trHeight w:val="20"/>
        </w:trPr>
        <w:tc>
          <w:tcPr>
            <w:tcW w:w="568" w:type="dxa"/>
            <w:vMerge/>
            <w:shd w:val="clear" w:color="auto" w:fill="auto"/>
            <w:vAlign w:val="center"/>
          </w:tcPr>
          <w:p w14:paraId="270A151E" w14:textId="77777777" w:rsidR="00166595" w:rsidRPr="00166595" w:rsidRDefault="00166595" w:rsidP="00FA7343">
            <w:pPr>
              <w:jc w:val="center"/>
              <w:rPr>
                <w:szCs w:val="24"/>
              </w:rPr>
            </w:pPr>
          </w:p>
        </w:tc>
        <w:tc>
          <w:tcPr>
            <w:tcW w:w="3827" w:type="dxa"/>
            <w:vMerge/>
            <w:shd w:val="clear" w:color="auto" w:fill="auto"/>
            <w:vAlign w:val="center"/>
          </w:tcPr>
          <w:p w14:paraId="48D8DB51" w14:textId="77777777" w:rsidR="00166595" w:rsidRPr="00166595" w:rsidRDefault="00166595" w:rsidP="00FA7343">
            <w:pPr>
              <w:jc w:val="center"/>
              <w:rPr>
                <w:szCs w:val="24"/>
                <w:lang w:eastAsia="ru-RU"/>
              </w:rPr>
            </w:pPr>
          </w:p>
        </w:tc>
        <w:tc>
          <w:tcPr>
            <w:tcW w:w="4111" w:type="dxa"/>
            <w:shd w:val="clear" w:color="auto" w:fill="auto"/>
            <w:vAlign w:val="center"/>
          </w:tcPr>
          <w:p w14:paraId="42628DD7" w14:textId="5FB76BFA" w:rsidR="00166595" w:rsidRPr="00166595" w:rsidRDefault="00203BCF" w:rsidP="00FA7343">
            <w:pPr>
              <w:jc w:val="center"/>
              <w:rPr>
                <w:iCs/>
                <w:szCs w:val="24"/>
              </w:rPr>
            </w:pPr>
            <w:r>
              <w:rPr>
                <w:szCs w:val="24"/>
              </w:rPr>
              <w:t>і</w:t>
            </w:r>
            <w:r w:rsidR="00166595" w:rsidRPr="00166595">
              <w:rPr>
                <w:szCs w:val="24"/>
              </w:rPr>
              <w:t>з</w:t>
            </w:r>
            <w:r w:rsidR="00166595" w:rsidRPr="00166595">
              <w:rPr>
                <w:szCs w:val="24"/>
                <w:lang w:eastAsia="ru-RU"/>
              </w:rPr>
              <w:t xml:space="preserve"> Прибутку ЗР/ПЗП</w:t>
            </w:r>
            <w:r w:rsidR="00166595" w:rsidRPr="00166595">
              <w:rPr>
                <w:szCs w:val="24"/>
                <w:vertAlign w:val="subscript"/>
                <w:lang w:eastAsia="ru-RU"/>
              </w:rPr>
              <w:t xml:space="preserve"> </w:t>
            </w:r>
          </w:p>
        </w:tc>
        <w:tc>
          <w:tcPr>
            <w:tcW w:w="6379" w:type="dxa"/>
            <w:shd w:val="clear" w:color="auto" w:fill="auto"/>
            <w:vAlign w:val="center"/>
          </w:tcPr>
          <w:p w14:paraId="59E83BA8" w14:textId="0C580ACB" w:rsidR="00166595" w:rsidRPr="00166595" w:rsidRDefault="00203BCF" w:rsidP="00FA7343">
            <w:pPr>
              <w:jc w:val="center"/>
              <w:rPr>
                <w:iCs/>
                <w:szCs w:val="24"/>
              </w:rPr>
            </w:pPr>
            <w:r>
              <w:rPr>
                <w:szCs w:val="24"/>
              </w:rPr>
              <w:t>і</w:t>
            </w:r>
            <w:r w:rsidR="00166595" w:rsidRPr="00166595">
              <w:rPr>
                <w:szCs w:val="24"/>
              </w:rPr>
              <w:t>з</w:t>
            </w:r>
            <w:r w:rsidR="00166595" w:rsidRPr="00166595">
              <w:rPr>
                <w:szCs w:val="24"/>
                <w:lang w:eastAsia="ru-RU"/>
              </w:rPr>
              <w:t xml:space="preserve"> Прибутків МР</w:t>
            </w:r>
            <w:r w:rsidR="00166595" w:rsidRPr="00166595">
              <w:rPr>
                <w:szCs w:val="24"/>
                <w:vertAlign w:val="subscript"/>
                <w:lang w:eastAsia="ru-RU"/>
              </w:rPr>
              <w:t>КІП</w:t>
            </w:r>
          </w:p>
        </w:tc>
      </w:tr>
      <w:tr w:rsidR="00166595" w:rsidRPr="00166595" w14:paraId="6397DA5E" w14:textId="77777777" w:rsidTr="004107F5">
        <w:tc>
          <w:tcPr>
            <w:tcW w:w="568" w:type="dxa"/>
            <w:shd w:val="clear" w:color="auto" w:fill="auto"/>
            <w:vAlign w:val="center"/>
          </w:tcPr>
          <w:p w14:paraId="30FDAD30" w14:textId="77777777" w:rsidR="00166595" w:rsidRPr="00166595" w:rsidRDefault="00166595" w:rsidP="00FA7343">
            <w:pPr>
              <w:jc w:val="center"/>
              <w:rPr>
                <w:szCs w:val="24"/>
              </w:rPr>
            </w:pPr>
            <w:r w:rsidRPr="00166595">
              <w:rPr>
                <w:szCs w:val="24"/>
              </w:rPr>
              <w:t>1</w:t>
            </w:r>
          </w:p>
        </w:tc>
        <w:tc>
          <w:tcPr>
            <w:tcW w:w="3827" w:type="dxa"/>
            <w:shd w:val="clear" w:color="auto" w:fill="auto"/>
            <w:vAlign w:val="center"/>
          </w:tcPr>
          <w:p w14:paraId="0EE9D8F7" w14:textId="77777777" w:rsidR="00166595" w:rsidRPr="00166595" w:rsidRDefault="00166595" w:rsidP="00FA7343">
            <w:pPr>
              <w:jc w:val="center"/>
              <w:rPr>
                <w:iCs/>
                <w:szCs w:val="24"/>
              </w:rPr>
            </w:pPr>
            <w:r w:rsidRPr="00166595">
              <w:rPr>
                <w:iCs/>
                <w:szCs w:val="24"/>
              </w:rPr>
              <w:t>2</w:t>
            </w:r>
          </w:p>
        </w:tc>
        <w:tc>
          <w:tcPr>
            <w:tcW w:w="4111" w:type="dxa"/>
            <w:shd w:val="clear" w:color="auto" w:fill="auto"/>
            <w:vAlign w:val="center"/>
          </w:tcPr>
          <w:p w14:paraId="3C353CFE" w14:textId="77777777" w:rsidR="00166595" w:rsidRPr="00166595" w:rsidRDefault="00166595" w:rsidP="00FA7343">
            <w:pPr>
              <w:shd w:val="clear" w:color="auto" w:fill="FFFFFF"/>
              <w:tabs>
                <w:tab w:val="left" w:pos="408"/>
              </w:tabs>
              <w:jc w:val="center"/>
              <w:rPr>
                <w:szCs w:val="24"/>
              </w:rPr>
            </w:pPr>
            <w:r w:rsidRPr="00166595">
              <w:rPr>
                <w:szCs w:val="24"/>
                <w:lang w:eastAsia="ru-RU"/>
              </w:rPr>
              <w:t>3</w:t>
            </w:r>
          </w:p>
        </w:tc>
        <w:tc>
          <w:tcPr>
            <w:tcW w:w="6379" w:type="dxa"/>
            <w:shd w:val="clear" w:color="auto" w:fill="auto"/>
            <w:vAlign w:val="center"/>
          </w:tcPr>
          <w:p w14:paraId="6171BE21" w14:textId="77777777" w:rsidR="00166595" w:rsidRPr="00166595" w:rsidRDefault="00166595" w:rsidP="00FA7343">
            <w:pPr>
              <w:shd w:val="clear" w:color="auto" w:fill="FFFFFF"/>
              <w:tabs>
                <w:tab w:val="left" w:pos="408"/>
              </w:tabs>
              <w:jc w:val="center"/>
              <w:rPr>
                <w:szCs w:val="24"/>
                <w:lang w:eastAsia="ru-RU"/>
              </w:rPr>
            </w:pPr>
            <w:r w:rsidRPr="00166595">
              <w:rPr>
                <w:iCs/>
                <w:szCs w:val="24"/>
              </w:rPr>
              <w:t>4</w:t>
            </w:r>
          </w:p>
        </w:tc>
      </w:tr>
      <w:tr w:rsidR="00166595" w:rsidRPr="00166595" w14:paraId="2A1FD108" w14:textId="77777777" w:rsidTr="004107F5">
        <w:trPr>
          <w:trHeight w:val="648"/>
        </w:trPr>
        <w:tc>
          <w:tcPr>
            <w:tcW w:w="568" w:type="dxa"/>
            <w:shd w:val="clear" w:color="auto" w:fill="auto"/>
            <w:vAlign w:val="center"/>
          </w:tcPr>
          <w:p w14:paraId="53A134F2" w14:textId="77777777" w:rsidR="00166595" w:rsidRPr="00166595" w:rsidRDefault="00166595" w:rsidP="00FA7343">
            <w:pPr>
              <w:jc w:val="center"/>
              <w:rPr>
                <w:szCs w:val="24"/>
              </w:rPr>
            </w:pPr>
            <w:r w:rsidRPr="00166595">
              <w:rPr>
                <w:szCs w:val="24"/>
              </w:rPr>
              <w:t>1</w:t>
            </w:r>
          </w:p>
        </w:tc>
        <w:tc>
          <w:tcPr>
            <w:tcW w:w="3827" w:type="dxa"/>
            <w:shd w:val="clear" w:color="auto" w:fill="auto"/>
          </w:tcPr>
          <w:p w14:paraId="6A78F7DC" w14:textId="77777777" w:rsidR="00166595" w:rsidRPr="00166595" w:rsidRDefault="00166595" w:rsidP="00FA7343">
            <w:pPr>
              <w:rPr>
                <w:iCs/>
                <w:szCs w:val="24"/>
              </w:rPr>
            </w:pPr>
            <w:r w:rsidRPr="00166595">
              <w:rPr>
                <w:szCs w:val="24"/>
                <w:lang w:eastAsia="ru-RU"/>
              </w:rPr>
              <w:t xml:space="preserve">Наявна пропозиція виконавчого органу </w:t>
            </w:r>
            <w:r w:rsidRPr="00166595">
              <w:rPr>
                <w:iCs/>
                <w:szCs w:val="24"/>
              </w:rPr>
              <w:t xml:space="preserve">або рішення загальних зборів щодо суми дивідендів до сплати </w:t>
            </w:r>
          </w:p>
        </w:tc>
        <w:tc>
          <w:tcPr>
            <w:tcW w:w="4111" w:type="dxa"/>
            <w:shd w:val="clear" w:color="auto" w:fill="auto"/>
          </w:tcPr>
          <w:p w14:paraId="3DC9ABDB" w14:textId="50990191" w:rsidR="00166595" w:rsidRPr="00166595" w:rsidRDefault="00203BCF" w:rsidP="00FA7343">
            <w:pPr>
              <w:jc w:val="center"/>
              <w:rPr>
                <w:szCs w:val="24"/>
                <w:lang w:eastAsia="ru-RU"/>
              </w:rPr>
            </w:pPr>
            <w:r>
              <w:rPr>
                <w:szCs w:val="24"/>
                <w:lang w:eastAsia="ru-RU"/>
              </w:rPr>
              <w:t>Д</w:t>
            </w:r>
            <w:r w:rsidR="00166595" w:rsidRPr="00166595">
              <w:rPr>
                <w:szCs w:val="24"/>
                <w:lang w:eastAsia="ru-RU"/>
              </w:rPr>
              <w:t xml:space="preserve">орівнює </w:t>
            </w:r>
          </w:p>
          <w:p w14:paraId="7CD2D0D7" w14:textId="18DDFB8F" w:rsidR="00166595" w:rsidRPr="00166595" w:rsidRDefault="00166595" w:rsidP="003F53C7">
            <w:pPr>
              <w:jc w:val="center"/>
              <w:rPr>
                <w:szCs w:val="24"/>
              </w:rPr>
            </w:pPr>
            <w:r w:rsidRPr="00166595">
              <w:rPr>
                <w:szCs w:val="24"/>
                <w:lang w:eastAsia="ru-RU"/>
              </w:rPr>
              <w:t xml:space="preserve">сумі дивідендів до сплати з </w:t>
            </w:r>
            <w:proofErr w:type="spellStart"/>
            <w:r w:rsidRPr="00166595">
              <w:rPr>
                <w:szCs w:val="24"/>
                <w:lang w:eastAsia="ru-RU"/>
              </w:rPr>
              <w:t>Прибутку</w:t>
            </w:r>
            <w:r w:rsidRPr="00166595">
              <w:rPr>
                <w:szCs w:val="24"/>
                <w:vertAlign w:val="subscript"/>
                <w:lang w:eastAsia="ru-RU"/>
              </w:rPr>
              <w:t>ЗР</w:t>
            </w:r>
            <w:proofErr w:type="spellEnd"/>
            <w:r w:rsidRPr="00166595">
              <w:rPr>
                <w:szCs w:val="24"/>
                <w:vertAlign w:val="subscript"/>
                <w:lang w:eastAsia="ru-RU"/>
              </w:rPr>
              <w:t> </w:t>
            </w:r>
            <w:r w:rsidRPr="00166595">
              <w:rPr>
                <w:szCs w:val="24"/>
                <w:vertAlign w:val="subscript"/>
              </w:rPr>
              <w:t>(Ч)</w:t>
            </w:r>
            <w:r w:rsidRPr="00166595">
              <w:rPr>
                <w:szCs w:val="24"/>
                <w:lang w:eastAsia="ru-RU"/>
              </w:rPr>
              <w:t xml:space="preserve">, визначеній у </w:t>
            </w:r>
            <w:r w:rsidRPr="00166595">
              <w:rPr>
                <w:iCs/>
                <w:szCs w:val="24"/>
              </w:rPr>
              <w:t>пропозиції виконавчого органу/рішенні загальних зборів</w:t>
            </w:r>
          </w:p>
        </w:tc>
        <w:tc>
          <w:tcPr>
            <w:tcW w:w="6379" w:type="dxa"/>
            <w:shd w:val="clear" w:color="auto" w:fill="auto"/>
          </w:tcPr>
          <w:p w14:paraId="3EA2B19B" w14:textId="59D122CC" w:rsidR="00166595" w:rsidRPr="00166595" w:rsidRDefault="00BE0D53" w:rsidP="00FA7343">
            <w:pPr>
              <w:jc w:val="center"/>
              <w:rPr>
                <w:szCs w:val="24"/>
                <w:lang w:eastAsia="ru-RU"/>
              </w:rPr>
            </w:pPr>
            <w:r>
              <w:rPr>
                <w:szCs w:val="24"/>
                <w:lang w:eastAsia="ru-RU"/>
              </w:rPr>
              <w:t>Д</w:t>
            </w:r>
            <w:r w:rsidR="00166595" w:rsidRPr="00166595">
              <w:rPr>
                <w:szCs w:val="24"/>
                <w:lang w:eastAsia="ru-RU"/>
              </w:rPr>
              <w:t>орівнює</w:t>
            </w:r>
          </w:p>
          <w:p w14:paraId="02845790" w14:textId="77777777" w:rsidR="00166595" w:rsidRPr="00166595" w:rsidRDefault="00166595" w:rsidP="00FA7343">
            <w:pPr>
              <w:jc w:val="center"/>
              <w:rPr>
                <w:szCs w:val="24"/>
                <w:lang w:eastAsia="ru-RU"/>
              </w:rPr>
            </w:pPr>
            <w:r w:rsidRPr="00166595">
              <w:rPr>
                <w:szCs w:val="24"/>
                <w:lang w:eastAsia="ru-RU"/>
              </w:rPr>
              <w:t>сумі дивідендів до сплати з Прибутків МР,</w:t>
            </w:r>
            <w:r w:rsidRPr="00166595">
              <w:rPr>
                <w:szCs w:val="24"/>
                <w:vertAlign w:val="subscript"/>
                <w:lang w:eastAsia="ru-RU"/>
              </w:rPr>
              <w:t xml:space="preserve"> </w:t>
            </w:r>
            <w:r w:rsidRPr="00166595">
              <w:rPr>
                <w:szCs w:val="24"/>
                <w:lang w:eastAsia="ru-RU"/>
              </w:rPr>
              <w:t>визначеній у пропозиції виконавчого органу</w:t>
            </w:r>
            <w:r w:rsidRPr="00166595">
              <w:rPr>
                <w:iCs/>
                <w:szCs w:val="24"/>
              </w:rPr>
              <w:t>/рішенні загальних зборів</w:t>
            </w:r>
          </w:p>
        </w:tc>
      </w:tr>
      <w:tr w:rsidR="00166595" w:rsidRPr="00166595" w14:paraId="5CA2E40D" w14:textId="77777777" w:rsidTr="004107F5">
        <w:tblPrEx>
          <w:shd w:val="clear" w:color="auto" w:fill="E7E6E6"/>
        </w:tblPrEx>
        <w:tc>
          <w:tcPr>
            <w:tcW w:w="568" w:type="dxa"/>
            <w:shd w:val="clear" w:color="auto" w:fill="auto"/>
            <w:vAlign w:val="center"/>
          </w:tcPr>
          <w:p w14:paraId="02D2CE65" w14:textId="504F36A3" w:rsidR="00166595" w:rsidRPr="00166595" w:rsidRDefault="00166595" w:rsidP="003826C6">
            <w:pPr>
              <w:jc w:val="center"/>
              <w:rPr>
                <w:szCs w:val="24"/>
                <w:highlight w:val="yellow"/>
              </w:rPr>
            </w:pPr>
            <w:r w:rsidRPr="00166595">
              <w:rPr>
                <w:szCs w:val="24"/>
              </w:rPr>
              <w:t>2</w:t>
            </w:r>
          </w:p>
        </w:tc>
        <w:tc>
          <w:tcPr>
            <w:tcW w:w="3827" w:type="dxa"/>
            <w:shd w:val="clear" w:color="auto" w:fill="auto"/>
            <w:vAlign w:val="center"/>
          </w:tcPr>
          <w:p w14:paraId="6C44B1C9" w14:textId="35BD0EDD" w:rsidR="00166595" w:rsidRPr="00166595" w:rsidRDefault="00203BCF" w:rsidP="003826C6">
            <w:pPr>
              <w:rPr>
                <w:szCs w:val="24"/>
                <w:lang w:eastAsia="ru-RU"/>
              </w:rPr>
            </w:pPr>
            <w:r>
              <w:rPr>
                <w:szCs w:val="24"/>
                <w:lang w:eastAsia="ru-RU"/>
              </w:rPr>
              <w:t>Немає</w:t>
            </w:r>
            <w:r w:rsidRPr="00166595">
              <w:rPr>
                <w:szCs w:val="24"/>
                <w:lang w:eastAsia="ru-RU"/>
              </w:rPr>
              <w:t xml:space="preserve"> </w:t>
            </w:r>
            <w:r w:rsidR="00166595" w:rsidRPr="00166595">
              <w:rPr>
                <w:szCs w:val="24"/>
                <w:lang w:eastAsia="ru-RU"/>
              </w:rPr>
              <w:t>пропозиці</w:t>
            </w:r>
            <w:r>
              <w:rPr>
                <w:szCs w:val="24"/>
                <w:lang w:eastAsia="ru-RU"/>
              </w:rPr>
              <w:t>ї</w:t>
            </w:r>
            <w:r w:rsidR="00166595" w:rsidRPr="00166595">
              <w:rPr>
                <w:szCs w:val="24"/>
                <w:lang w:eastAsia="ru-RU"/>
              </w:rPr>
              <w:t xml:space="preserve"> виконавчого органу </w:t>
            </w:r>
            <w:r w:rsidR="00166595" w:rsidRPr="00166595">
              <w:rPr>
                <w:iCs/>
                <w:szCs w:val="24"/>
              </w:rPr>
              <w:t>щодо суми дивідендів до сплати</w:t>
            </w:r>
            <w:r w:rsidR="00166595" w:rsidRPr="00166595">
              <w:rPr>
                <w:szCs w:val="24"/>
                <w:lang w:eastAsia="ru-RU"/>
              </w:rPr>
              <w:t xml:space="preserve"> та рішення загальних зборів</w:t>
            </w:r>
            <w:r>
              <w:rPr>
                <w:szCs w:val="24"/>
                <w:lang w:eastAsia="ru-RU"/>
              </w:rPr>
              <w:t>.</w:t>
            </w:r>
            <w:r w:rsidR="00166595" w:rsidRPr="00166595">
              <w:rPr>
                <w:szCs w:val="24"/>
                <w:lang w:eastAsia="ru-RU"/>
              </w:rPr>
              <w:t xml:space="preserve"> </w:t>
            </w:r>
          </w:p>
          <w:p w14:paraId="004527F3" w14:textId="558286E1" w:rsidR="00166595" w:rsidRPr="00166595" w:rsidRDefault="00166595" w:rsidP="003826C6">
            <w:pPr>
              <w:rPr>
                <w:szCs w:val="24"/>
                <w:lang w:eastAsia="ru-RU"/>
              </w:rPr>
            </w:pPr>
            <w:r w:rsidRPr="00166595">
              <w:rPr>
                <w:szCs w:val="24"/>
                <w:lang w:eastAsia="ru-RU"/>
              </w:rPr>
              <w:t>Наявна дивідендна політика та її дані вважаються прийнятними</w:t>
            </w:r>
          </w:p>
        </w:tc>
        <w:tc>
          <w:tcPr>
            <w:tcW w:w="4111" w:type="dxa"/>
            <w:shd w:val="clear" w:color="auto" w:fill="auto"/>
            <w:vAlign w:val="center"/>
          </w:tcPr>
          <w:p w14:paraId="781A3FE9" w14:textId="30F00E5A" w:rsidR="00166595" w:rsidRPr="00166595" w:rsidRDefault="00203BCF" w:rsidP="003826C6">
            <w:pPr>
              <w:jc w:val="center"/>
              <w:rPr>
                <w:szCs w:val="24"/>
                <w:lang w:eastAsia="ru-RU"/>
              </w:rPr>
            </w:pPr>
            <w:r>
              <w:rPr>
                <w:szCs w:val="24"/>
                <w:lang w:eastAsia="ru-RU"/>
              </w:rPr>
              <w:t>Д</w:t>
            </w:r>
            <w:r w:rsidR="00166595" w:rsidRPr="00166595">
              <w:rPr>
                <w:szCs w:val="24"/>
                <w:lang w:eastAsia="ru-RU"/>
              </w:rPr>
              <w:t xml:space="preserve">орівнює </w:t>
            </w:r>
          </w:p>
          <w:p w14:paraId="1D033C48" w14:textId="046352EA" w:rsidR="00203BCF" w:rsidRDefault="00166595" w:rsidP="003826C6">
            <w:pPr>
              <w:jc w:val="center"/>
              <w:rPr>
                <w:szCs w:val="24"/>
                <w:lang w:eastAsia="ru-RU"/>
              </w:rPr>
            </w:pPr>
            <w:r w:rsidRPr="00166595">
              <w:rPr>
                <w:szCs w:val="24"/>
                <w:lang w:eastAsia="ru-RU"/>
              </w:rPr>
              <w:t>Прибуток ЗР/ПЗП</w:t>
            </w:r>
            <w:r w:rsidR="00203BCF" w:rsidRPr="00B76804">
              <w:rPr>
                <w:szCs w:val="24"/>
                <w:lang w:eastAsia="ru-RU"/>
              </w:rPr>
              <w:t xml:space="preserve"> </w:t>
            </w:r>
            <w:r w:rsidRPr="00166595">
              <w:rPr>
                <w:szCs w:val="24"/>
                <w:lang w:eastAsia="ru-RU"/>
              </w:rPr>
              <w:t>х</w:t>
            </w:r>
            <w:r w:rsidR="00203BCF">
              <w:rPr>
                <w:szCs w:val="24"/>
                <w:lang w:eastAsia="ru-RU"/>
              </w:rPr>
              <w:t xml:space="preserve"> </w:t>
            </w:r>
          </w:p>
          <w:p w14:paraId="2212B50D" w14:textId="042B72D6" w:rsidR="00166595" w:rsidRPr="00166595" w:rsidRDefault="003826C6" w:rsidP="003826C6">
            <w:pPr>
              <w:jc w:val="center"/>
              <w:rPr>
                <w:szCs w:val="24"/>
                <w:vertAlign w:val="subscript"/>
                <w:lang w:eastAsia="ru-RU"/>
              </w:rPr>
            </w:pPr>
            <w:r w:rsidRPr="00166595">
              <w:rPr>
                <w:szCs w:val="24"/>
                <w:lang w:eastAsia="ru-RU"/>
              </w:rPr>
              <w:t>х</w:t>
            </w:r>
            <w:r>
              <w:rPr>
                <w:szCs w:val="24"/>
                <w:lang w:eastAsia="ru-RU"/>
              </w:rPr>
              <w:t xml:space="preserve"> </w:t>
            </w:r>
            <w:proofErr w:type="spellStart"/>
            <w:r w:rsidR="00166595" w:rsidRPr="00166595">
              <w:rPr>
                <w:szCs w:val="24"/>
                <w:lang w:eastAsia="ru-RU"/>
              </w:rPr>
              <w:t>Коефіцієнт</w:t>
            </w:r>
            <w:r w:rsidR="00166595" w:rsidRPr="00166595">
              <w:rPr>
                <w:szCs w:val="24"/>
                <w:vertAlign w:val="subscript"/>
                <w:lang w:eastAsia="ru-RU"/>
              </w:rPr>
              <w:t>div</w:t>
            </w:r>
            <w:proofErr w:type="spellEnd"/>
            <w:r w:rsidR="00166595" w:rsidRPr="00166595">
              <w:rPr>
                <w:szCs w:val="24"/>
                <w:vertAlign w:val="subscript"/>
                <w:lang w:eastAsia="ru-RU"/>
              </w:rPr>
              <w:t xml:space="preserve"> </w:t>
            </w:r>
          </w:p>
          <w:p w14:paraId="42B868B2" w14:textId="77777777" w:rsidR="00166595" w:rsidRPr="00166595" w:rsidRDefault="00166595" w:rsidP="003826C6">
            <w:pPr>
              <w:jc w:val="center"/>
              <w:rPr>
                <w:szCs w:val="24"/>
                <w:lang w:eastAsia="ru-RU"/>
              </w:rPr>
            </w:pPr>
          </w:p>
        </w:tc>
        <w:tc>
          <w:tcPr>
            <w:tcW w:w="6379" w:type="dxa"/>
            <w:shd w:val="clear" w:color="auto" w:fill="auto"/>
            <w:vAlign w:val="center"/>
          </w:tcPr>
          <w:p w14:paraId="37955E9D" w14:textId="4730E39F" w:rsidR="00166595" w:rsidRPr="00166595" w:rsidRDefault="00BE0D53" w:rsidP="003826C6">
            <w:pPr>
              <w:jc w:val="center"/>
              <w:rPr>
                <w:szCs w:val="24"/>
                <w:lang w:eastAsia="ru-RU"/>
              </w:rPr>
            </w:pPr>
            <w:r>
              <w:rPr>
                <w:szCs w:val="24"/>
                <w:lang w:eastAsia="ru-RU"/>
              </w:rPr>
              <w:t>Д</w:t>
            </w:r>
            <w:r w:rsidR="00166595" w:rsidRPr="00166595">
              <w:rPr>
                <w:szCs w:val="24"/>
                <w:lang w:eastAsia="ru-RU"/>
              </w:rPr>
              <w:t xml:space="preserve">орівнює </w:t>
            </w:r>
          </w:p>
          <w:p w14:paraId="785B80BA" w14:textId="34E313BA" w:rsidR="00166595" w:rsidRPr="00166595" w:rsidRDefault="00166595" w:rsidP="003826C6">
            <w:pPr>
              <w:jc w:val="center"/>
              <w:rPr>
                <w:szCs w:val="24"/>
                <w:vertAlign w:val="subscript"/>
                <w:lang w:eastAsia="ru-RU"/>
              </w:rPr>
            </w:pPr>
            <w:r w:rsidRPr="00166595">
              <w:rPr>
                <w:szCs w:val="24"/>
                <w:lang w:eastAsia="ru-RU"/>
              </w:rPr>
              <w:t>Прибутки МР</w:t>
            </w:r>
            <w:r w:rsidR="00203BCF" w:rsidRPr="00B76804">
              <w:rPr>
                <w:szCs w:val="24"/>
                <w:lang w:eastAsia="ru-RU"/>
              </w:rPr>
              <w:t xml:space="preserve"> </w:t>
            </w:r>
            <w:r w:rsidRPr="00166595">
              <w:rPr>
                <w:szCs w:val="24"/>
                <w:lang w:eastAsia="ru-RU"/>
              </w:rPr>
              <w:t>х</w:t>
            </w:r>
            <w:r w:rsidR="00203BCF">
              <w:rPr>
                <w:szCs w:val="24"/>
                <w:lang w:eastAsia="ru-RU"/>
              </w:rPr>
              <w:t xml:space="preserve"> </w:t>
            </w:r>
            <w:proofErr w:type="spellStart"/>
            <w:r w:rsidRPr="00166595">
              <w:rPr>
                <w:szCs w:val="24"/>
                <w:lang w:eastAsia="ru-RU"/>
              </w:rPr>
              <w:t>Коефіцієнт</w:t>
            </w:r>
            <w:r w:rsidRPr="00166595">
              <w:rPr>
                <w:szCs w:val="24"/>
                <w:vertAlign w:val="subscript"/>
                <w:lang w:eastAsia="ru-RU"/>
              </w:rPr>
              <w:t>div</w:t>
            </w:r>
            <w:proofErr w:type="spellEnd"/>
            <w:r w:rsidRPr="00166595">
              <w:rPr>
                <w:szCs w:val="24"/>
                <w:lang w:eastAsia="ru-RU"/>
              </w:rPr>
              <w:t> </w:t>
            </w:r>
            <w:r w:rsidRPr="00166595">
              <w:rPr>
                <w:szCs w:val="24"/>
                <w:vertAlign w:val="subscript"/>
                <w:lang w:eastAsia="ru-RU"/>
              </w:rPr>
              <w:t xml:space="preserve">МР  </w:t>
            </w:r>
            <w:r w:rsidRPr="00166595">
              <w:rPr>
                <w:szCs w:val="24"/>
                <w:lang w:eastAsia="ru-RU"/>
              </w:rPr>
              <w:t>–</w:t>
            </w:r>
          </w:p>
          <w:p w14:paraId="16D6E7B8" w14:textId="52895451" w:rsidR="00166595" w:rsidRPr="00166595" w:rsidRDefault="00166595" w:rsidP="003826C6">
            <w:pPr>
              <w:jc w:val="center"/>
              <w:rPr>
                <w:szCs w:val="24"/>
                <w:lang w:eastAsia="ru-RU"/>
              </w:rPr>
            </w:pPr>
            <w:r w:rsidRPr="00166595">
              <w:rPr>
                <w:szCs w:val="24"/>
                <w:lang w:eastAsia="ru-RU"/>
              </w:rPr>
              <w:t>якщо дивідендна політика визначає прогнозний відсоток дивідендів до сплати</w:t>
            </w:r>
            <w:r w:rsidR="003826C6">
              <w:rPr>
                <w:szCs w:val="24"/>
                <w:lang w:eastAsia="ru-RU"/>
              </w:rPr>
              <w:t xml:space="preserve"> </w:t>
            </w:r>
            <w:r w:rsidRPr="00166595">
              <w:rPr>
                <w:szCs w:val="24"/>
                <w:lang w:eastAsia="ru-RU"/>
              </w:rPr>
              <w:t>або дорівнює</w:t>
            </w:r>
          </w:p>
          <w:p w14:paraId="4D842D59" w14:textId="0971E69E" w:rsidR="00166595" w:rsidRPr="00166595" w:rsidRDefault="00166595" w:rsidP="003826C6">
            <w:pPr>
              <w:jc w:val="center"/>
              <w:rPr>
                <w:szCs w:val="24"/>
                <w:lang w:eastAsia="ru-RU"/>
              </w:rPr>
            </w:pPr>
            <w:r w:rsidRPr="00166595">
              <w:rPr>
                <w:szCs w:val="24"/>
                <w:lang w:eastAsia="ru-RU"/>
              </w:rPr>
              <w:t>прогнозній сумі дивідендів до сплати з Прибутків МР, визначеній у дивідендній політиці</w:t>
            </w:r>
            <w:r w:rsidR="00203BCF">
              <w:rPr>
                <w:szCs w:val="24"/>
                <w:lang w:eastAsia="ru-RU"/>
              </w:rPr>
              <w:t>, </w:t>
            </w:r>
            <w:r w:rsidRPr="00166595">
              <w:rPr>
                <w:szCs w:val="24"/>
                <w:lang w:eastAsia="ru-RU"/>
              </w:rPr>
              <w:t xml:space="preserve"> – якщо дивідендна політика </w:t>
            </w:r>
          </w:p>
          <w:p w14:paraId="62CC8F50" w14:textId="77777777" w:rsidR="00166595" w:rsidRPr="00166595" w:rsidRDefault="00166595" w:rsidP="003826C6">
            <w:pPr>
              <w:jc w:val="center"/>
              <w:rPr>
                <w:szCs w:val="24"/>
                <w:lang w:eastAsia="ru-RU"/>
              </w:rPr>
            </w:pPr>
            <w:r w:rsidRPr="00166595">
              <w:rPr>
                <w:szCs w:val="24"/>
                <w:lang w:eastAsia="ru-RU"/>
              </w:rPr>
              <w:t>визначає прогнозну суму дивідендів до сплати</w:t>
            </w:r>
          </w:p>
        </w:tc>
      </w:tr>
      <w:tr w:rsidR="009D4348" w:rsidRPr="00166595" w14:paraId="737854B1" w14:textId="77777777" w:rsidTr="00C35F8F">
        <w:tblPrEx>
          <w:shd w:val="clear" w:color="auto" w:fill="E7E6E6"/>
        </w:tblPrEx>
        <w:tc>
          <w:tcPr>
            <w:tcW w:w="568" w:type="dxa"/>
            <w:shd w:val="clear" w:color="auto" w:fill="auto"/>
            <w:vAlign w:val="center"/>
          </w:tcPr>
          <w:p w14:paraId="1E4E8DFE" w14:textId="77777777" w:rsidR="009D4348" w:rsidRPr="00166595" w:rsidRDefault="009D4348" w:rsidP="00FA7343">
            <w:pPr>
              <w:jc w:val="center"/>
              <w:rPr>
                <w:szCs w:val="24"/>
              </w:rPr>
            </w:pPr>
            <w:r w:rsidRPr="00166595">
              <w:rPr>
                <w:szCs w:val="24"/>
              </w:rPr>
              <w:lastRenderedPageBreak/>
              <w:t>1</w:t>
            </w:r>
          </w:p>
        </w:tc>
        <w:tc>
          <w:tcPr>
            <w:tcW w:w="3827" w:type="dxa"/>
            <w:shd w:val="clear" w:color="auto" w:fill="auto"/>
            <w:vAlign w:val="center"/>
          </w:tcPr>
          <w:p w14:paraId="46AA061D" w14:textId="77777777" w:rsidR="009D4348" w:rsidRPr="00166595" w:rsidRDefault="009D4348" w:rsidP="00FA7343">
            <w:pPr>
              <w:jc w:val="center"/>
              <w:rPr>
                <w:iCs/>
                <w:szCs w:val="24"/>
              </w:rPr>
            </w:pPr>
            <w:r w:rsidRPr="00166595">
              <w:rPr>
                <w:iCs/>
                <w:szCs w:val="24"/>
              </w:rPr>
              <w:t>2</w:t>
            </w:r>
          </w:p>
        </w:tc>
        <w:tc>
          <w:tcPr>
            <w:tcW w:w="4111" w:type="dxa"/>
            <w:shd w:val="clear" w:color="auto" w:fill="auto"/>
            <w:vAlign w:val="center"/>
          </w:tcPr>
          <w:p w14:paraId="03B97343" w14:textId="77777777" w:rsidR="009D4348" w:rsidRPr="00166595" w:rsidRDefault="009D4348" w:rsidP="00FA7343">
            <w:pPr>
              <w:shd w:val="clear" w:color="auto" w:fill="FFFFFF"/>
              <w:tabs>
                <w:tab w:val="left" w:pos="408"/>
              </w:tabs>
              <w:jc w:val="center"/>
              <w:rPr>
                <w:szCs w:val="24"/>
              </w:rPr>
            </w:pPr>
            <w:r w:rsidRPr="00166595">
              <w:rPr>
                <w:szCs w:val="24"/>
                <w:lang w:eastAsia="ru-RU"/>
              </w:rPr>
              <w:t>3</w:t>
            </w:r>
          </w:p>
        </w:tc>
        <w:tc>
          <w:tcPr>
            <w:tcW w:w="6379" w:type="dxa"/>
            <w:shd w:val="clear" w:color="auto" w:fill="auto"/>
            <w:vAlign w:val="center"/>
          </w:tcPr>
          <w:p w14:paraId="7C8773F4" w14:textId="77777777" w:rsidR="009D4348" w:rsidRPr="00166595" w:rsidRDefault="009D4348" w:rsidP="00FA7343">
            <w:pPr>
              <w:shd w:val="clear" w:color="auto" w:fill="FFFFFF"/>
              <w:tabs>
                <w:tab w:val="left" w:pos="408"/>
              </w:tabs>
              <w:jc w:val="center"/>
              <w:rPr>
                <w:szCs w:val="24"/>
                <w:lang w:eastAsia="ru-RU"/>
              </w:rPr>
            </w:pPr>
            <w:r w:rsidRPr="00166595">
              <w:rPr>
                <w:iCs/>
                <w:szCs w:val="24"/>
              </w:rPr>
              <w:t>4</w:t>
            </w:r>
          </w:p>
        </w:tc>
      </w:tr>
      <w:tr w:rsidR="009D4348" w:rsidRPr="00166595" w14:paraId="58FF20B6" w14:textId="77777777" w:rsidTr="00C35F8F">
        <w:tblPrEx>
          <w:shd w:val="clear" w:color="auto" w:fill="E7E6E6"/>
        </w:tblPrEx>
        <w:tc>
          <w:tcPr>
            <w:tcW w:w="568" w:type="dxa"/>
            <w:shd w:val="clear" w:color="auto" w:fill="auto"/>
            <w:vAlign w:val="center"/>
          </w:tcPr>
          <w:p w14:paraId="6A5610A5" w14:textId="77777777" w:rsidR="009D4348" w:rsidRPr="00166595" w:rsidRDefault="009D4348" w:rsidP="00FA7343">
            <w:pPr>
              <w:jc w:val="center"/>
              <w:rPr>
                <w:szCs w:val="24"/>
              </w:rPr>
            </w:pPr>
            <w:r w:rsidRPr="00166595">
              <w:rPr>
                <w:szCs w:val="24"/>
              </w:rPr>
              <w:t>3</w:t>
            </w:r>
          </w:p>
        </w:tc>
        <w:tc>
          <w:tcPr>
            <w:tcW w:w="3827" w:type="dxa"/>
            <w:shd w:val="clear" w:color="auto" w:fill="auto"/>
            <w:vAlign w:val="center"/>
          </w:tcPr>
          <w:p w14:paraId="02C97E02" w14:textId="6D325E1F" w:rsidR="009D4348" w:rsidRPr="00166595" w:rsidRDefault="00203BCF" w:rsidP="00FA7343">
            <w:pPr>
              <w:ind w:right="36"/>
              <w:rPr>
                <w:iCs/>
                <w:szCs w:val="24"/>
              </w:rPr>
            </w:pPr>
            <w:r>
              <w:rPr>
                <w:szCs w:val="24"/>
                <w:lang w:eastAsia="ru-RU"/>
              </w:rPr>
              <w:t>Немає</w:t>
            </w:r>
            <w:r w:rsidRPr="00166595">
              <w:rPr>
                <w:szCs w:val="24"/>
                <w:lang w:eastAsia="ru-RU"/>
              </w:rPr>
              <w:t xml:space="preserve"> </w:t>
            </w:r>
            <w:r w:rsidR="009D4348" w:rsidRPr="00166595">
              <w:rPr>
                <w:szCs w:val="24"/>
                <w:lang w:eastAsia="ru-RU"/>
              </w:rPr>
              <w:t>пропозиці</w:t>
            </w:r>
            <w:r>
              <w:rPr>
                <w:szCs w:val="24"/>
                <w:lang w:eastAsia="ru-RU"/>
              </w:rPr>
              <w:t>ї</w:t>
            </w:r>
            <w:r w:rsidR="009D4348" w:rsidRPr="00166595">
              <w:rPr>
                <w:szCs w:val="24"/>
                <w:lang w:eastAsia="ru-RU"/>
              </w:rPr>
              <w:t xml:space="preserve"> виконавчого органу </w:t>
            </w:r>
            <w:r w:rsidR="009D4348" w:rsidRPr="00166595">
              <w:rPr>
                <w:iCs/>
                <w:szCs w:val="24"/>
              </w:rPr>
              <w:t>та</w:t>
            </w:r>
            <w:r w:rsidR="009D4348" w:rsidRPr="00166595">
              <w:rPr>
                <w:szCs w:val="24"/>
              </w:rPr>
              <w:t xml:space="preserve"> рішення загальних зборів</w:t>
            </w:r>
            <w:r>
              <w:rPr>
                <w:szCs w:val="24"/>
              </w:rPr>
              <w:t>.</w:t>
            </w:r>
            <w:r w:rsidR="009D4348" w:rsidRPr="00166595">
              <w:rPr>
                <w:szCs w:val="24"/>
              </w:rPr>
              <w:t xml:space="preserve"> </w:t>
            </w:r>
          </w:p>
          <w:p w14:paraId="06F3D411" w14:textId="77777777" w:rsidR="009D4348" w:rsidRPr="00166595" w:rsidRDefault="009D4348" w:rsidP="00FA7343">
            <w:pPr>
              <w:ind w:right="36"/>
              <w:rPr>
                <w:szCs w:val="24"/>
                <w:lang w:eastAsia="ru-RU"/>
              </w:rPr>
            </w:pPr>
          </w:p>
          <w:p w14:paraId="531B52A4" w14:textId="77777777" w:rsidR="009D4348" w:rsidRPr="00166595" w:rsidRDefault="009D4348" w:rsidP="00FA7343">
            <w:pPr>
              <w:ind w:right="36"/>
              <w:rPr>
                <w:szCs w:val="24"/>
                <w:lang w:eastAsia="ru-RU"/>
              </w:rPr>
            </w:pPr>
            <w:r w:rsidRPr="00166595">
              <w:rPr>
                <w:szCs w:val="24"/>
                <w:lang w:eastAsia="ru-RU"/>
              </w:rPr>
              <w:t>Наявна дивідендна політика</w:t>
            </w:r>
            <w:r w:rsidRPr="00166595">
              <w:rPr>
                <w:szCs w:val="24"/>
              </w:rPr>
              <w:t>, але її дані вважаються неприйнятними</w:t>
            </w:r>
          </w:p>
        </w:tc>
        <w:tc>
          <w:tcPr>
            <w:tcW w:w="4111" w:type="dxa"/>
            <w:shd w:val="clear" w:color="auto" w:fill="auto"/>
          </w:tcPr>
          <w:p w14:paraId="5A3E2C78" w14:textId="4051CD43" w:rsidR="009D4348" w:rsidRPr="00166595" w:rsidRDefault="00203BCF" w:rsidP="00FA7343">
            <w:pPr>
              <w:ind w:right="-57"/>
              <w:jc w:val="center"/>
              <w:rPr>
                <w:szCs w:val="24"/>
                <w:lang w:eastAsia="ru-RU"/>
              </w:rPr>
            </w:pPr>
            <w:r>
              <w:rPr>
                <w:szCs w:val="24"/>
                <w:lang w:eastAsia="ru-RU"/>
              </w:rPr>
              <w:t>Д</w:t>
            </w:r>
            <w:r w:rsidR="009D4348" w:rsidRPr="00166595">
              <w:rPr>
                <w:szCs w:val="24"/>
                <w:lang w:eastAsia="ru-RU"/>
              </w:rPr>
              <w:t xml:space="preserve">орівнює </w:t>
            </w:r>
          </w:p>
          <w:p w14:paraId="1E3CCC6A" w14:textId="1D3C62E0" w:rsidR="009D4348" w:rsidRPr="00166595" w:rsidRDefault="009D4348" w:rsidP="00FA7343">
            <w:pPr>
              <w:ind w:right="-57"/>
              <w:jc w:val="center"/>
              <w:rPr>
                <w:szCs w:val="24"/>
                <w:lang w:eastAsia="ru-RU"/>
              </w:rPr>
            </w:pPr>
            <w:r w:rsidRPr="00166595">
              <w:rPr>
                <w:szCs w:val="24"/>
                <w:lang w:eastAsia="ru-RU"/>
              </w:rPr>
              <w:t>найбільшому з трьох значень, визначених за такими формулами:</w:t>
            </w:r>
          </w:p>
          <w:p w14:paraId="1D7AC9AA" w14:textId="77777777" w:rsidR="009D4348" w:rsidRPr="00166595" w:rsidRDefault="009D4348" w:rsidP="00FA7343">
            <w:pPr>
              <w:jc w:val="center"/>
              <w:rPr>
                <w:iCs/>
                <w:szCs w:val="24"/>
              </w:rPr>
            </w:pPr>
          </w:p>
          <w:p w14:paraId="37462469" w14:textId="53429184" w:rsidR="003826C6" w:rsidRDefault="009D4348" w:rsidP="00FA7343">
            <w:pPr>
              <w:rPr>
                <w:szCs w:val="24"/>
                <w:lang w:eastAsia="ru-RU"/>
              </w:rPr>
            </w:pPr>
            <w:r w:rsidRPr="00166595">
              <w:rPr>
                <w:iCs/>
                <w:szCs w:val="24"/>
              </w:rPr>
              <w:t xml:space="preserve">1) Прибуток </w:t>
            </w:r>
            <w:r w:rsidRPr="00166595">
              <w:rPr>
                <w:szCs w:val="24"/>
                <w:lang w:eastAsia="ru-RU"/>
              </w:rPr>
              <w:t xml:space="preserve">ЗР/ПЗП х </w:t>
            </w:r>
          </w:p>
          <w:p w14:paraId="0A97395B" w14:textId="30A9F58E" w:rsidR="009D4348" w:rsidRPr="00166595" w:rsidRDefault="003826C6" w:rsidP="00FA7343">
            <w:pPr>
              <w:rPr>
                <w:szCs w:val="24"/>
                <w:lang w:eastAsia="ru-RU"/>
              </w:rPr>
            </w:pPr>
            <w:r w:rsidRPr="00166595">
              <w:rPr>
                <w:szCs w:val="24"/>
                <w:lang w:eastAsia="ru-RU"/>
              </w:rPr>
              <w:t xml:space="preserve">х </w:t>
            </w:r>
            <w:proofErr w:type="spellStart"/>
            <w:r w:rsidR="009D4348" w:rsidRPr="00166595">
              <w:rPr>
                <w:szCs w:val="24"/>
                <w:lang w:eastAsia="ru-RU"/>
              </w:rPr>
              <w:t>Коефіцієнт</w:t>
            </w:r>
            <w:r w:rsidR="009D4348" w:rsidRPr="00166595">
              <w:rPr>
                <w:szCs w:val="24"/>
                <w:vertAlign w:val="subscript"/>
                <w:lang w:eastAsia="ru-RU"/>
              </w:rPr>
              <w:t>div</w:t>
            </w:r>
            <w:proofErr w:type="spellEnd"/>
            <w:r w:rsidR="009D4348" w:rsidRPr="00166595">
              <w:rPr>
                <w:szCs w:val="24"/>
                <w:lang w:eastAsia="ru-RU"/>
              </w:rPr>
              <w:t>;</w:t>
            </w:r>
          </w:p>
          <w:p w14:paraId="66800D2E" w14:textId="77777777" w:rsidR="009D4348" w:rsidRPr="00166595" w:rsidRDefault="009D4348" w:rsidP="00FA7343">
            <w:pPr>
              <w:rPr>
                <w:szCs w:val="24"/>
                <w:vertAlign w:val="subscript"/>
                <w:lang w:eastAsia="ru-RU"/>
              </w:rPr>
            </w:pPr>
          </w:p>
          <w:p w14:paraId="59869598" w14:textId="033E1BAF" w:rsidR="009D4348" w:rsidRPr="00166595" w:rsidRDefault="009D4348" w:rsidP="003826C6">
            <w:pPr>
              <w:ind w:right="1167"/>
              <w:rPr>
                <w:szCs w:val="24"/>
                <w:lang w:eastAsia="ru-RU"/>
              </w:rPr>
            </w:pPr>
            <w:r w:rsidRPr="00166595">
              <w:rPr>
                <w:iCs/>
                <w:szCs w:val="24"/>
              </w:rPr>
              <w:t>2) Прибуток</w:t>
            </w:r>
            <w:r w:rsidRPr="00166595">
              <w:rPr>
                <w:szCs w:val="24"/>
                <w:lang w:eastAsia="ru-RU"/>
              </w:rPr>
              <w:t xml:space="preserve"> ЗР/ПЗП х </w:t>
            </w:r>
            <w:proofErr w:type="spellStart"/>
            <w:r w:rsidR="003826C6" w:rsidRPr="00166595">
              <w:rPr>
                <w:szCs w:val="24"/>
                <w:lang w:eastAsia="ru-RU"/>
              </w:rPr>
              <w:t>х</w:t>
            </w:r>
            <w:proofErr w:type="spellEnd"/>
            <w:r w:rsidR="003826C6" w:rsidRPr="00166595">
              <w:rPr>
                <w:szCs w:val="24"/>
                <w:lang w:eastAsia="ru-RU"/>
              </w:rPr>
              <w:t xml:space="preserve"> </w:t>
            </w:r>
            <w:proofErr w:type="spellStart"/>
            <w:r w:rsidRPr="00166595">
              <w:rPr>
                <w:szCs w:val="24"/>
                <w:lang w:eastAsia="ru-RU"/>
              </w:rPr>
              <w:t>Коефіцієнт</w:t>
            </w:r>
            <w:r w:rsidRPr="00166595">
              <w:rPr>
                <w:szCs w:val="24"/>
                <w:vertAlign w:val="subscript"/>
                <w:lang w:eastAsia="ru-RU"/>
              </w:rPr>
              <w:t>div</w:t>
            </w:r>
            <w:proofErr w:type="spellEnd"/>
            <w:r w:rsidRPr="00166595">
              <w:rPr>
                <w:szCs w:val="24"/>
                <w:vertAlign w:val="subscript"/>
                <w:lang w:eastAsia="ru-RU"/>
              </w:rPr>
              <w:t xml:space="preserve"> </w:t>
            </w:r>
            <w:r w:rsidRPr="00166595">
              <w:rPr>
                <w:szCs w:val="24"/>
                <w:lang w:eastAsia="ru-RU"/>
              </w:rPr>
              <w:t>(1</w:t>
            </w:r>
            <w:r w:rsidRPr="00166595">
              <w:rPr>
                <w:szCs w:val="24"/>
                <w:vertAlign w:val="subscript"/>
                <w:lang w:eastAsia="ru-RU"/>
              </w:rPr>
              <w:t>р.</w:t>
            </w:r>
            <w:r w:rsidRPr="00166595">
              <w:rPr>
                <w:szCs w:val="24"/>
                <w:lang w:eastAsia="ru-RU"/>
              </w:rPr>
              <w:t>);</w:t>
            </w:r>
          </w:p>
          <w:p w14:paraId="1B25DA0A" w14:textId="77777777" w:rsidR="009D4348" w:rsidRPr="00166595" w:rsidRDefault="009D4348" w:rsidP="00FA7343">
            <w:pPr>
              <w:rPr>
                <w:szCs w:val="24"/>
                <w:lang w:eastAsia="ru-RU"/>
              </w:rPr>
            </w:pPr>
          </w:p>
          <w:p w14:paraId="162A61BD" w14:textId="00B8CCEA" w:rsidR="009D4348" w:rsidRPr="00166595" w:rsidRDefault="009D4348" w:rsidP="003826C6">
            <w:pPr>
              <w:ind w:right="1167"/>
              <w:rPr>
                <w:szCs w:val="24"/>
                <w:lang w:eastAsia="ru-RU"/>
              </w:rPr>
            </w:pPr>
            <w:r w:rsidRPr="00166595">
              <w:rPr>
                <w:iCs/>
                <w:szCs w:val="24"/>
              </w:rPr>
              <w:t>3) Прибуток</w:t>
            </w:r>
            <w:r w:rsidRPr="00166595">
              <w:rPr>
                <w:szCs w:val="24"/>
                <w:lang w:eastAsia="ru-RU"/>
              </w:rPr>
              <w:t xml:space="preserve"> ЗР/ПЗП х </w:t>
            </w:r>
            <w:proofErr w:type="spellStart"/>
            <w:r w:rsidR="003826C6" w:rsidRPr="00166595">
              <w:rPr>
                <w:szCs w:val="24"/>
                <w:lang w:eastAsia="ru-RU"/>
              </w:rPr>
              <w:t>х</w:t>
            </w:r>
            <w:proofErr w:type="spellEnd"/>
            <w:r w:rsidR="003826C6" w:rsidRPr="00166595">
              <w:rPr>
                <w:szCs w:val="24"/>
                <w:lang w:eastAsia="ru-RU"/>
              </w:rPr>
              <w:t xml:space="preserve"> </w:t>
            </w:r>
            <w:proofErr w:type="spellStart"/>
            <w:r w:rsidRPr="00166595">
              <w:rPr>
                <w:szCs w:val="24"/>
                <w:lang w:eastAsia="ru-RU"/>
              </w:rPr>
              <w:t>Коефіцієнт</w:t>
            </w:r>
            <w:r w:rsidRPr="00166595">
              <w:rPr>
                <w:szCs w:val="24"/>
                <w:vertAlign w:val="subscript"/>
                <w:lang w:eastAsia="ru-RU"/>
              </w:rPr>
              <w:t>div</w:t>
            </w:r>
            <w:proofErr w:type="spellEnd"/>
            <w:r w:rsidRPr="00166595">
              <w:rPr>
                <w:szCs w:val="24"/>
                <w:vertAlign w:val="subscript"/>
                <w:lang w:eastAsia="ru-RU"/>
              </w:rPr>
              <w:t xml:space="preserve"> </w:t>
            </w:r>
            <w:r w:rsidRPr="00166595">
              <w:rPr>
                <w:szCs w:val="24"/>
                <w:lang w:eastAsia="ru-RU"/>
              </w:rPr>
              <w:t>(3</w:t>
            </w:r>
            <w:r w:rsidRPr="00166595">
              <w:rPr>
                <w:szCs w:val="24"/>
                <w:vertAlign w:val="subscript"/>
                <w:lang w:eastAsia="ru-RU"/>
              </w:rPr>
              <w:t>р.</w:t>
            </w:r>
            <w:r w:rsidRPr="00166595">
              <w:rPr>
                <w:szCs w:val="24"/>
                <w:lang w:eastAsia="ru-RU"/>
              </w:rPr>
              <w:t xml:space="preserve">) </w:t>
            </w:r>
          </w:p>
        </w:tc>
        <w:tc>
          <w:tcPr>
            <w:tcW w:w="6379" w:type="dxa"/>
            <w:shd w:val="clear" w:color="auto" w:fill="auto"/>
          </w:tcPr>
          <w:p w14:paraId="72F45AA9" w14:textId="6FAD97BD" w:rsidR="009D4348" w:rsidRPr="00166595" w:rsidRDefault="00C92716" w:rsidP="00FA7343">
            <w:pPr>
              <w:jc w:val="center"/>
              <w:rPr>
                <w:szCs w:val="24"/>
                <w:lang w:eastAsia="ru-RU"/>
              </w:rPr>
            </w:pPr>
            <w:r>
              <w:rPr>
                <w:szCs w:val="24"/>
                <w:lang w:eastAsia="ru-RU"/>
              </w:rPr>
              <w:t>Д</w:t>
            </w:r>
            <w:r w:rsidR="009D4348" w:rsidRPr="00166595">
              <w:rPr>
                <w:szCs w:val="24"/>
                <w:lang w:eastAsia="ru-RU"/>
              </w:rPr>
              <w:t xml:space="preserve">орівнює </w:t>
            </w:r>
          </w:p>
          <w:p w14:paraId="2346FEC8" w14:textId="4C99D34C" w:rsidR="009D4348" w:rsidRPr="00166595" w:rsidRDefault="009D4348" w:rsidP="00FA7343">
            <w:pPr>
              <w:jc w:val="center"/>
              <w:rPr>
                <w:szCs w:val="24"/>
                <w:lang w:eastAsia="ru-RU"/>
              </w:rPr>
            </w:pPr>
            <w:r w:rsidRPr="00166595">
              <w:rPr>
                <w:szCs w:val="24"/>
                <w:lang w:eastAsia="ru-RU"/>
              </w:rPr>
              <w:t>найбільшому з трьох значень, визначених за такими формулами:</w:t>
            </w:r>
          </w:p>
          <w:p w14:paraId="75A8FC05" w14:textId="77777777" w:rsidR="009D4348" w:rsidRPr="00166595" w:rsidRDefault="009D4348" w:rsidP="00FA7343">
            <w:pPr>
              <w:rPr>
                <w:iCs/>
                <w:szCs w:val="24"/>
              </w:rPr>
            </w:pPr>
          </w:p>
          <w:p w14:paraId="6ED942F3" w14:textId="30EECC4E" w:rsidR="009D4348" w:rsidRPr="00166595" w:rsidRDefault="009D4348" w:rsidP="00FA7343">
            <w:pPr>
              <w:rPr>
                <w:iCs/>
                <w:szCs w:val="24"/>
              </w:rPr>
            </w:pPr>
            <w:r w:rsidRPr="00166595">
              <w:rPr>
                <w:iCs/>
                <w:szCs w:val="24"/>
              </w:rPr>
              <w:t>1) Прибутки</w:t>
            </w:r>
            <w:r w:rsidRPr="00166595">
              <w:rPr>
                <w:szCs w:val="24"/>
                <w:lang w:eastAsia="ru-RU"/>
              </w:rPr>
              <w:t> МР</w:t>
            </w:r>
            <w:r w:rsidRPr="00166595">
              <w:rPr>
                <w:iCs/>
                <w:szCs w:val="24"/>
              </w:rPr>
              <w:t xml:space="preserve"> </w:t>
            </w:r>
            <w:r w:rsidRPr="00166595">
              <w:rPr>
                <w:szCs w:val="24"/>
                <w:lang w:eastAsia="ru-RU"/>
              </w:rPr>
              <w:t xml:space="preserve">х </w:t>
            </w:r>
            <w:proofErr w:type="spellStart"/>
            <w:r w:rsidRPr="00166595">
              <w:rPr>
                <w:szCs w:val="24"/>
                <w:lang w:eastAsia="ru-RU"/>
              </w:rPr>
              <w:t>Коефіцієнт</w:t>
            </w:r>
            <w:r w:rsidRPr="00166595">
              <w:rPr>
                <w:szCs w:val="24"/>
                <w:vertAlign w:val="subscript"/>
                <w:lang w:eastAsia="ru-RU"/>
              </w:rPr>
              <w:t>div</w:t>
            </w:r>
            <w:proofErr w:type="spellEnd"/>
            <w:r w:rsidRPr="00166595">
              <w:rPr>
                <w:iCs/>
                <w:szCs w:val="24"/>
              </w:rPr>
              <w:t xml:space="preserve"> </w:t>
            </w:r>
            <w:r w:rsidRPr="00166595">
              <w:rPr>
                <w:szCs w:val="24"/>
                <w:vertAlign w:val="subscript"/>
                <w:lang w:eastAsia="ru-RU"/>
              </w:rPr>
              <w:t>МР</w:t>
            </w:r>
            <w:r w:rsidRPr="00166595">
              <w:rPr>
                <w:szCs w:val="24"/>
                <w:lang w:eastAsia="ru-RU"/>
              </w:rPr>
              <w:t>;</w:t>
            </w:r>
          </w:p>
          <w:p w14:paraId="1FEA5D4A" w14:textId="77777777" w:rsidR="009D4348" w:rsidRPr="00166595" w:rsidRDefault="009D4348" w:rsidP="00FA7343">
            <w:pPr>
              <w:rPr>
                <w:iCs/>
                <w:szCs w:val="24"/>
              </w:rPr>
            </w:pPr>
          </w:p>
          <w:p w14:paraId="7D09A0D8" w14:textId="542099F6" w:rsidR="009D4348" w:rsidRPr="00166595" w:rsidRDefault="009D4348" w:rsidP="00FA7343">
            <w:pPr>
              <w:rPr>
                <w:szCs w:val="24"/>
                <w:lang w:eastAsia="ru-RU"/>
              </w:rPr>
            </w:pPr>
            <w:r w:rsidRPr="00166595">
              <w:rPr>
                <w:iCs/>
                <w:szCs w:val="24"/>
              </w:rPr>
              <w:t>2) Прибутки</w:t>
            </w:r>
            <w:r w:rsidRPr="00166595">
              <w:rPr>
                <w:szCs w:val="24"/>
                <w:lang w:eastAsia="ru-RU"/>
              </w:rPr>
              <w:t xml:space="preserve"> МР х </w:t>
            </w:r>
            <w:proofErr w:type="spellStart"/>
            <w:r w:rsidRPr="00166595">
              <w:rPr>
                <w:szCs w:val="24"/>
                <w:lang w:eastAsia="ru-RU"/>
              </w:rPr>
              <w:t>Коефіцієнт</w:t>
            </w:r>
            <w:r w:rsidRPr="00166595">
              <w:rPr>
                <w:szCs w:val="24"/>
                <w:vertAlign w:val="subscript"/>
                <w:lang w:eastAsia="ru-RU"/>
              </w:rPr>
              <w:t>div</w:t>
            </w:r>
            <w:proofErr w:type="spellEnd"/>
            <w:r w:rsidRPr="00166595">
              <w:rPr>
                <w:szCs w:val="24"/>
                <w:vertAlign w:val="subscript"/>
                <w:lang w:eastAsia="ru-RU"/>
              </w:rPr>
              <w:t xml:space="preserve"> МР</w:t>
            </w:r>
            <w:r w:rsidRPr="00166595">
              <w:rPr>
                <w:szCs w:val="24"/>
                <w:lang w:eastAsia="ru-RU"/>
              </w:rPr>
              <w:t xml:space="preserve"> (1</w:t>
            </w:r>
            <w:r w:rsidRPr="00166595">
              <w:rPr>
                <w:szCs w:val="24"/>
                <w:vertAlign w:val="subscript"/>
                <w:lang w:eastAsia="ru-RU"/>
              </w:rPr>
              <w:t>р.</w:t>
            </w:r>
            <w:r w:rsidRPr="00166595">
              <w:rPr>
                <w:szCs w:val="24"/>
                <w:lang w:eastAsia="ru-RU"/>
              </w:rPr>
              <w:t>);</w:t>
            </w:r>
          </w:p>
          <w:p w14:paraId="756C6AD0" w14:textId="77777777" w:rsidR="009D4348" w:rsidRPr="00166595" w:rsidRDefault="009D4348" w:rsidP="00FA7343">
            <w:pPr>
              <w:rPr>
                <w:szCs w:val="24"/>
                <w:lang w:eastAsia="ru-RU"/>
              </w:rPr>
            </w:pPr>
          </w:p>
          <w:p w14:paraId="5B4AA093" w14:textId="01BF531B" w:rsidR="009D4348" w:rsidRPr="00166595" w:rsidRDefault="009D4348" w:rsidP="00FA7343">
            <w:pPr>
              <w:rPr>
                <w:szCs w:val="24"/>
                <w:lang w:eastAsia="ru-RU"/>
              </w:rPr>
            </w:pPr>
            <w:r w:rsidRPr="00166595">
              <w:rPr>
                <w:iCs/>
                <w:szCs w:val="24"/>
              </w:rPr>
              <w:t>3) Прибутки</w:t>
            </w:r>
            <w:r w:rsidRPr="00166595">
              <w:rPr>
                <w:szCs w:val="24"/>
                <w:lang w:eastAsia="ru-RU"/>
              </w:rPr>
              <w:t xml:space="preserve"> МР х </w:t>
            </w:r>
            <w:proofErr w:type="spellStart"/>
            <w:r w:rsidRPr="00166595">
              <w:rPr>
                <w:szCs w:val="24"/>
                <w:lang w:eastAsia="ru-RU"/>
              </w:rPr>
              <w:t>Коефіцієнт</w:t>
            </w:r>
            <w:r w:rsidRPr="00166595">
              <w:rPr>
                <w:szCs w:val="24"/>
                <w:vertAlign w:val="subscript"/>
                <w:lang w:eastAsia="ru-RU"/>
              </w:rPr>
              <w:t>div</w:t>
            </w:r>
            <w:proofErr w:type="spellEnd"/>
            <w:r w:rsidRPr="00166595">
              <w:rPr>
                <w:szCs w:val="24"/>
                <w:lang w:eastAsia="ru-RU"/>
              </w:rPr>
              <w:t xml:space="preserve"> </w:t>
            </w:r>
            <w:r w:rsidRPr="00166595">
              <w:rPr>
                <w:szCs w:val="24"/>
                <w:vertAlign w:val="subscript"/>
                <w:lang w:eastAsia="ru-RU"/>
              </w:rPr>
              <w:t>МР</w:t>
            </w:r>
            <w:r w:rsidRPr="00166595">
              <w:rPr>
                <w:szCs w:val="24"/>
                <w:lang w:eastAsia="ru-RU"/>
              </w:rPr>
              <w:t>(3</w:t>
            </w:r>
            <w:r w:rsidRPr="00166595">
              <w:rPr>
                <w:szCs w:val="24"/>
                <w:vertAlign w:val="subscript"/>
                <w:lang w:eastAsia="ru-RU"/>
              </w:rPr>
              <w:t>р.</w:t>
            </w:r>
            <w:r w:rsidRPr="00166595">
              <w:rPr>
                <w:szCs w:val="24"/>
                <w:lang w:eastAsia="ru-RU"/>
              </w:rPr>
              <w:t>)</w:t>
            </w:r>
          </w:p>
        </w:tc>
      </w:tr>
      <w:tr w:rsidR="009D4348" w:rsidRPr="00166595" w14:paraId="56867CFE" w14:textId="77777777" w:rsidTr="00C35F8F">
        <w:tblPrEx>
          <w:shd w:val="clear" w:color="auto" w:fill="E7E6E6"/>
        </w:tblPrEx>
        <w:tc>
          <w:tcPr>
            <w:tcW w:w="568" w:type="dxa"/>
            <w:shd w:val="clear" w:color="auto" w:fill="auto"/>
            <w:vAlign w:val="center"/>
          </w:tcPr>
          <w:p w14:paraId="4E96C2E1" w14:textId="77777777" w:rsidR="009D4348" w:rsidRPr="00166595" w:rsidRDefault="009D4348" w:rsidP="00FA7343">
            <w:pPr>
              <w:jc w:val="center"/>
              <w:rPr>
                <w:szCs w:val="24"/>
              </w:rPr>
            </w:pPr>
            <w:r w:rsidRPr="00166595">
              <w:rPr>
                <w:szCs w:val="24"/>
              </w:rPr>
              <w:t>4</w:t>
            </w:r>
          </w:p>
        </w:tc>
        <w:tc>
          <w:tcPr>
            <w:tcW w:w="3827" w:type="dxa"/>
            <w:shd w:val="clear" w:color="auto" w:fill="auto"/>
            <w:vAlign w:val="center"/>
          </w:tcPr>
          <w:p w14:paraId="08BF06A3" w14:textId="7623916D" w:rsidR="009D4348" w:rsidRPr="00166595" w:rsidRDefault="00203BCF" w:rsidP="00FA7343">
            <w:pPr>
              <w:rPr>
                <w:iCs/>
                <w:szCs w:val="24"/>
              </w:rPr>
            </w:pPr>
            <w:r>
              <w:rPr>
                <w:szCs w:val="24"/>
                <w:lang w:eastAsia="ru-RU"/>
              </w:rPr>
              <w:t>Немає</w:t>
            </w:r>
            <w:r w:rsidRPr="00166595">
              <w:rPr>
                <w:szCs w:val="24"/>
                <w:lang w:eastAsia="ru-RU"/>
              </w:rPr>
              <w:t xml:space="preserve"> </w:t>
            </w:r>
            <w:r w:rsidR="009D4348" w:rsidRPr="00166595">
              <w:rPr>
                <w:szCs w:val="24"/>
              </w:rPr>
              <w:t>пропозиці</w:t>
            </w:r>
            <w:r>
              <w:rPr>
                <w:szCs w:val="24"/>
              </w:rPr>
              <w:t>ї</w:t>
            </w:r>
            <w:r w:rsidR="009D4348" w:rsidRPr="00166595">
              <w:rPr>
                <w:szCs w:val="24"/>
              </w:rPr>
              <w:t xml:space="preserve"> виконавчого органу т</w:t>
            </w:r>
            <w:r w:rsidR="009D4348" w:rsidRPr="00166595">
              <w:rPr>
                <w:iCs/>
                <w:szCs w:val="24"/>
              </w:rPr>
              <w:t>а рішення загальних зборів  щодо суми дивідендів до сплати</w:t>
            </w:r>
            <w:r>
              <w:rPr>
                <w:iCs/>
                <w:szCs w:val="24"/>
              </w:rPr>
              <w:t>.</w:t>
            </w:r>
          </w:p>
          <w:p w14:paraId="236E46FA" w14:textId="77777777" w:rsidR="009D4348" w:rsidRPr="00166595" w:rsidRDefault="009D4348" w:rsidP="00FA7343">
            <w:pPr>
              <w:rPr>
                <w:iCs/>
                <w:szCs w:val="24"/>
              </w:rPr>
            </w:pPr>
          </w:p>
          <w:p w14:paraId="58A59B4B" w14:textId="7BA655C4" w:rsidR="009D4348" w:rsidRPr="00166595" w:rsidRDefault="00203BCF" w:rsidP="00FA7343">
            <w:pPr>
              <w:rPr>
                <w:szCs w:val="24"/>
              </w:rPr>
            </w:pPr>
            <w:r>
              <w:rPr>
                <w:iCs/>
                <w:szCs w:val="24"/>
              </w:rPr>
              <w:t>Немає</w:t>
            </w:r>
            <w:r w:rsidRPr="00166595">
              <w:rPr>
                <w:iCs/>
                <w:szCs w:val="24"/>
              </w:rPr>
              <w:t xml:space="preserve"> </w:t>
            </w:r>
            <w:r w:rsidR="009D4348" w:rsidRPr="00166595">
              <w:rPr>
                <w:szCs w:val="24"/>
              </w:rPr>
              <w:t>дивідендн</w:t>
            </w:r>
            <w:r>
              <w:rPr>
                <w:szCs w:val="24"/>
              </w:rPr>
              <w:t>ої</w:t>
            </w:r>
            <w:r w:rsidR="009D4348" w:rsidRPr="00166595">
              <w:rPr>
                <w:szCs w:val="24"/>
              </w:rPr>
              <w:t xml:space="preserve"> політик</w:t>
            </w:r>
            <w:r>
              <w:rPr>
                <w:szCs w:val="24"/>
              </w:rPr>
              <w:t>и.</w:t>
            </w:r>
            <w:r w:rsidR="009D4348" w:rsidRPr="00166595">
              <w:rPr>
                <w:szCs w:val="24"/>
              </w:rPr>
              <w:t xml:space="preserve"> </w:t>
            </w:r>
          </w:p>
          <w:p w14:paraId="6443681B" w14:textId="77777777" w:rsidR="009D4348" w:rsidRPr="00166595" w:rsidRDefault="009D4348" w:rsidP="00FA7343">
            <w:pPr>
              <w:rPr>
                <w:szCs w:val="24"/>
              </w:rPr>
            </w:pPr>
          </w:p>
          <w:p w14:paraId="08FDC82D" w14:textId="77777777" w:rsidR="009D4348" w:rsidRPr="00166595" w:rsidRDefault="009D4348" w:rsidP="00FA7343">
            <w:pPr>
              <w:rPr>
                <w:szCs w:val="24"/>
                <w:lang w:eastAsia="ru-RU"/>
              </w:rPr>
            </w:pPr>
            <w:r w:rsidRPr="00166595">
              <w:rPr>
                <w:szCs w:val="24"/>
              </w:rPr>
              <w:t xml:space="preserve">Наявна програма капіталізації </w:t>
            </w:r>
          </w:p>
        </w:tc>
        <w:tc>
          <w:tcPr>
            <w:tcW w:w="10490" w:type="dxa"/>
            <w:gridSpan w:val="2"/>
            <w:shd w:val="clear" w:color="auto" w:fill="auto"/>
            <w:vAlign w:val="center"/>
          </w:tcPr>
          <w:p w14:paraId="0AF51D33" w14:textId="77777777" w:rsidR="009D4348" w:rsidRPr="00166595" w:rsidRDefault="009D4348" w:rsidP="00FA7343">
            <w:pPr>
              <w:jc w:val="center"/>
              <w:rPr>
                <w:szCs w:val="24"/>
                <w:lang w:eastAsia="ru-RU"/>
              </w:rPr>
            </w:pPr>
            <w:r w:rsidRPr="00166595">
              <w:rPr>
                <w:szCs w:val="24"/>
                <w:lang w:eastAsia="ru-RU"/>
              </w:rPr>
              <w:t xml:space="preserve">Дорівнює </w:t>
            </w:r>
          </w:p>
          <w:p w14:paraId="786DDF80" w14:textId="0E76843E" w:rsidR="009D4348" w:rsidRPr="00166595" w:rsidRDefault="009D4348" w:rsidP="00FA7343">
            <w:pPr>
              <w:jc w:val="center"/>
              <w:rPr>
                <w:szCs w:val="24"/>
                <w:lang w:eastAsia="ru-RU"/>
              </w:rPr>
            </w:pPr>
            <w:r w:rsidRPr="00166595">
              <w:rPr>
                <w:szCs w:val="24"/>
                <w:lang w:eastAsia="ru-RU"/>
              </w:rPr>
              <w:t xml:space="preserve">нулю (якщо програма капіталізації  передбачає </w:t>
            </w:r>
            <w:r w:rsidRPr="00166595">
              <w:rPr>
                <w:szCs w:val="24"/>
                <w:lang w:eastAsia="ru-RU"/>
              </w:rPr>
              <w:br/>
              <w:t>припинення нарахування/сплати дивідендів)</w:t>
            </w:r>
          </w:p>
          <w:p w14:paraId="2A2437A0" w14:textId="77777777" w:rsidR="009D4348" w:rsidRPr="00166595" w:rsidRDefault="009D4348" w:rsidP="00FA7343">
            <w:pPr>
              <w:jc w:val="center"/>
              <w:rPr>
                <w:szCs w:val="24"/>
                <w:lang w:eastAsia="ru-RU"/>
              </w:rPr>
            </w:pPr>
            <w:r w:rsidRPr="00166595">
              <w:rPr>
                <w:szCs w:val="24"/>
                <w:lang w:eastAsia="ru-RU"/>
              </w:rPr>
              <w:t xml:space="preserve">або дорівнює </w:t>
            </w:r>
          </w:p>
          <w:p w14:paraId="4A76ADFF" w14:textId="0C599A83" w:rsidR="009D4348" w:rsidRPr="00166595" w:rsidRDefault="009D4348" w:rsidP="00FA7343">
            <w:pPr>
              <w:jc w:val="center"/>
              <w:rPr>
                <w:szCs w:val="24"/>
                <w:lang w:eastAsia="ru-RU"/>
              </w:rPr>
            </w:pPr>
            <w:r w:rsidRPr="00166595">
              <w:rPr>
                <w:szCs w:val="24"/>
                <w:lang w:eastAsia="ru-RU"/>
              </w:rPr>
              <w:t xml:space="preserve">сумі дивідендів до сплати з </w:t>
            </w:r>
            <w:proofErr w:type="spellStart"/>
            <w:r w:rsidRPr="00166595">
              <w:rPr>
                <w:iCs/>
                <w:szCs w:val="24"/>
              </w:rPr>
              <w:t>Прибутку</w:t>
            </w:r>
            <w:r w:rsidRPr="00166595">
              <w:rPr>
                <w:szCs w:val="24"/>
                <w:vertAlign w:val="subscript"/>
                <w:lang w:eastAsia="ru-RU"/>
              </w:rPr>
              <w:t>ЗР</w:t>
            </w:r>
            <w:proofErr w:type="spellEnd"/>
            <w:r w:rsidRPr="00166595">
              <w:rPr>
                <w:szCs w:val="24"/>
                <w:vertAlign w:val="subscript"/>
                <w:lang w:eastAsia="ru-RU"/>
              </w:rPr>
              <w:t> </w:t>
            </w:r>
            <w:r w:rsidRPr="00166595">
              <w:rPr>
                <w:szCs w:val="24"/>
                <w:vertAlign w:val="subscript"/>
              </w:rPr>
              <w:t>(Ч)</w:t>
            </w:r>
            <w:r w:rsidRPr="00166595">
              <w:rPr>
                <w:szCs w:val="24"/>
                <w:lang w:eastAsia="ru-RU"/>
              </w:rPr>
              <w:t>/</w:t>
            </w:r>
            <w:proofErr w:type="spellStart"/>
            <w:r w:rsidRPr="00166595">
              <w:rPr>
                <w:szCs w:val="24"/>
                <w:lang w:eastAsia="ru-RU"/>
              </w:rPr>
              <w:t>Прибутків</w:t>
            </w:r>
            <w:r w:rsidRPr="00166595">
              <w:rPr>
                <w:szCs w:val="24"/>
                <w:vertAlign w:val="subscript"/>
                <w:lang w:eastAsia="ru-RU"/>
              </w:rPr>
              <w:t>МР</w:t>
            </w:r>
            <w:proofErr w:type="spellEnd"/>
            <w:r w:rsidRPr="00166595">
              <w:rPr>
                <w:szCs w:val="24"/>
                <w:vertAlign w:val="subscript"/>
                <w:lang w:eastAsia="ru-RU"/>
              </w:rPr>
              <w:t xml:space="preserve"> </w:t>
            </w:r>
            <w:r w:rsidRPr="00166595">
              <w:rPr>
                <w:szCs w:val="24"/>
                <w:lang w:eastAsia="ru-RU"/>
              </w:rPr>
              <w:t xml:space="preserve"> </w:t>
            </w:r>
          </w:p>
          <w:p w14:paraId="45FDE44E" w14:textId="77777777" w:rsidR="009D4348" w:rsidRPr="00166595" w:rsidRDefault="009D4348" w:rsidP="00FA7343">
            <w:pPr>
              <w:jc w:val="center"/>
              <w:rPr>
                <w:szCs w:val="24"/>
                <w:lang w:eastAsia="ru-RU"/>
              </w:rPr>
            </w:pPr>
            <w:r w:rsidRPr="00166595">
              <w:rPr>
                <w:szCs w:val="24"/>
                <w:lang w:eastAsia="ru-RU"/>
              </w:rPr>
              <w:t>згідно з програмою капіталізації</w:t>
            </w:r>
          </w:p>
          <w:p w14:paraId="382C67EB" w14:textId="648947F6" w:rsidR="009D4348" w:rsidRPr="00166595" w:rsidRDefault="009D4348" w:rsidP="00FA7343">
            <w:pPr>
              <w:jc w:val="center"/>
              <w:rPr>
                <w:szCs w:val="24"/>
                <w:lang w:eastAsia="ru-RU"/>
              </w:rPr>
            </w:pPr>
            <w:r w:rsidRPr="00166595">
              <w:rPr>
                <w:szCs w:val="24"/>
                <w:lang w:eastAsia="ru-RU"/>
              </w:rPr>
              <w:t xml:space="preserve">(якщо програма капіталізації передбачає </w:t>
            </w:r>
          </w:p>
          <w:p w14:paraId="1A9B6536" w14:textId="019AA74D" w:rsidR="009D4348" w:rsidRPr="00166595" w:rsidRDefault="009D4348" w:rsidP="00FA7343">
            <w:pPr>
              <w:jc w:val="center"/>
              <w:rPr>
                <w:szCs w:val="24"/>
                <w:lang w:eastAsia="ru-RU"/>
              </w:rPr>
            </w:pPr>
            <w:r w:rsidRPr="00166595">
              <w:rPr>
                <w:szCs w:val="24"/>
                <w:lang w:eastAsia="ru-RU"/>
              </w:rPr>
              <w:t>нарахування/сплату дивідендів)</w:t>
            </w:r>
          </w:p>
        </w:tc>
      </w:tr>
    </w:tbl>
    <w:p w14:paraId="6D96F887" w14:textId="77777777" w:rsidR="00C71984" w:rsidRDefault="00C71984" w:rsidP="00FA7343">
      <w:pPr>
        <w:pStyle w:val="af3"/>
        <w:tabs>
          <w:tab w:val="left" w:pos="851"/>
          <w:tab w:val="left" w:pos="1134"/>
          <w:tab w:val="left" w:pos="1560"/>
        </w:tabs>
        <w:ind w:left="0" w:right="536"/>
        <w:contextualSpacing w:val="0"/>
        <w:jc w:val="right"/>
      </w:pPr>
    </w:p>
    <w:p w14:paraId="271C2A81" w14:textId="310FD69F" w:rsidR="009D4348" w:rsidRDefault="009D4348" w:rsidP="00FA7343">
      <w:pPr>
        <w:shd w:val="clear" w:color="auto" w:fill="FFFFFF"/>
        <w:ind w:left="-426"/>
        <w:jc w:val="center"/>
        <w:rPr>
          <w:szCs w:val="24"/>
          <w:lang w:eastAsia="ru-RU"/>
        </w:rPr>
      </w:pPr>
    </w:p>
    <w:p w14:paraId="47A969BA" w14:textId="77777777" w:rsidR="00EF207E" w:rsidRDefault="00EF207E" w:rsidP="00FA7343">
      <w:pPr>
        <w:shd w:val="clear" w:color="auto" w:fill="FFFFFF"/>
        <w:ind w:left="-426"/>
        <w:jc w:val="center"/>
        <w:rPr>
          <w:szCs w:val="24"/>
          <w:lang w:eastAsia="ru-RU"/>
        </w:rPr>
      </w:pPr>
    </w:p>
    <w:tbl>
      <w:tblPr>
        <w:tblStyle w:val="1"/>
        <w:tblW w:w="14885" w:type="dxa"/>
        <w:tblInd w:w="-431" w:type="dxa"/>
        <w:shd w:val="clear" w:color="auto" w:fill="E7E6E6"/>
        <w:tblLayout w:type="fixed"/>
        <w:tblLook w:val="04A0" w:firstRow="1" w:lastRow="0" w:firstColumn="1" w:lastColumn="0" w:noHBand="0" w:noVBand="1"/>
      </w:tblPr>
      <w:tblGrid>
        <w:gridCol w:w="568"/>
        <w:gridCol w:w="3827"/>
        <w:gridCol w:w="4111"/>
        <w:gridCol w:w="6379"/>
      </w:tblGrid>
      <w:tr w:rsidR="009D4348" w:rsidRPr="00166595" w14:paraId="666CF670" w14:textId="77777777" w:rsidTr="00C35F8F">
        <w:tc>
          <w:tcPr>
            <w:tcW w:w="568" w:type="dxa"/>
            <w:shd w:val="clear" w:color="auto" w:fill="auto"/>
            <w:vAlign w:val="center"/>
          </w:tcPr>
          <w:p w14:paraId="7E976A2E" w14:textId="77777777" w:rsidR="009D4348" w:rsidRPr="00166595" w:rsidRDefault="009D4348" w:rsidP="00FA7343">
            <w:pPr>
              <w:jc w:val="center"/>
              <w:rPr>
                <w:szCs w:val="24"/>
              </w:rPr>
            </w:pPr>
            <w:r w:rsidRPr="00166595">
              <w:rPr>
                <w:szCs w:val="24"/>
              </w:rPr>
              <w:lastRenderedPageBreak/>
              <w:t>1</w:t>
            </w:r>
          </w:p>
        </w:tc>
        <w:tc>
          <w:tcPr>
            <w:tcW w:w="3827" w:type="dxa"/>
            <w:shd w:val="clear" w:color="auto" w:fill="auto"/>
            <w:vAlign w:val="center"/>
          </w:tcPr>
          <w:p w14:paraId="11D16651" w14:textId="77777777" w:rsidR="009D4348" w:rsidRPr="00166595" w:rsidRDefault="009D4348" w:rsidP="00FA7343">
            <w:pPr>
              <w:jc w:val="center"/>
              <w:rPr>
                <w:iCs/>
                <w:szCs w:val="24"/>
              </w:rPr>
            </w:pPr>
            <w:r w:rsidRPr="00166595">
              <w:rPr>
                <w:iCs/>
                <w:szCs w:val="24"/>
              </w:rPr>
              <w:t>2</w:t>
            </w:r>
          </w:p>
        </w:tc>
        <w:tc>
          <w:tcPr>
            <w:tcW w:w="4111" w:type="dxa"/>
            <w:shd w:val="clear" w:color="auto" w:fill="auto"/>
            <w:vAlign w:val="center"/>
          </w:tcPr>
          <w:p w14:paraId="294EF1CA" w14:textId="77777777" w:rsidR="009D4348" w:rsidRPr="00166595" w:rsidRDefault="009D4348" w:rsidP="00FA7343">
            <w:pPr>
              <w:shd w:val="clear" w:color="auto" w:fill="FFFFFF"/>
              <w:tabs>
                <w:tab w:val="left" w:pos="408"/>
              </w:tabs>
              <w:jc w:val="center"/>
              <w:rPr>
                <w:szCs w:val="24"/>
              </w:rPr>
            </w:pPr>
            <w:r w:rsidRPr="00166595">
              <w:rPr>
                <w:szCs w:val="24"/>
                <w:lang w:eastAsia="ru-RU"/>
              </w:rPr>
              <w:t>3</w:t>
            </w:r>
          </w:p>
        </w:tc>
        <w:tc>
          <w:tcPr>
            <w:tcW w:w="6379" w:type="dxa"/>
            <w:shd w:val="clear" w:color="auto" w:fill="auto"/>
            <w:vAlign w:val="center"/>
          </w:tcPr>
          <w:p w14:paraId="549EAD58" w14:textId="77777777" w:rsidR="009D4348" w:rsidRPr="00166595" w:rsidRDefault="009D4348" w:rsidP="00FA7343">
            <w:pPr>
              <w:shd w:val="clear" w:color="auto" w:fill="FFFFFF"/>
              <w:tabs>
                <w:tab w:val="left" w:pos="408"/>
              </w:tabs>
              <w:jc w:val="center"/>
              <w:rPr>
                <w:szCs w:val="24"/>
                <w:lang w:eastAsia="ru-RU"/>
              </w:rPr>
            </w:pPr>
            <w:r w:rsidRPr="00166595">
              <w:rPr>
                <w:iCs/>
                <w:szCs w:val="24"/>
              </w:rPr>
              <w:t>4</w:t>
            </w:r>
          </w:p>
        </w:tc>
      </w:tr>
      <w:tr w:rsidR="009D4348" w:rsidRPr="00166595" w14:paraId="6A2288D7" w14:textId="77777777" w:rsidTr="00C35F8F">
        <w:tc>
          <w:tcPr>
            <w:tcW w:w="568" w:type="dxa"/>
            <w:shd w:val="clear" w:color="auto" w:fill="auto"/>
            <w:vAlign w:val="center"/>
          </w:tcPr>
          <w:p w14:paraId="7D370EFC" w14:textId="77777777" w:rsidR="009D4348" w:rsidRPr="00166595" w:rsidRDefault="009D4348" w:rsidP="00FA7343">
            <w:pPr>
              <w:jc w:val="center"/>
              <w:rPr>
                <w:szCs w:val="24"/>
              </w:rPr>
            </w:pPr>
            <w:r w:rsidRPr="00166595">
              <w:rPr>
                <w:szCs w:val="24"/>
              </w:rPr>
              <w:t>5</w:t>
            </w:r>
          </w:p>
        </w:tc>
        <w:tc>
          <w:tcPr>
            <w:tcW w:w="3827" w:type="dxa"/>
            <w:shd w:val="clear" w:color="auto" w:fill="auto"/>
            <w:vAlign w:val="center"/>
          </w:tcPr>
          <w:p w14:paraId="4446D3C1" w14:textId="12F7A95F" w:rsidR="009D4348" w:rsidRPr="00166595" w:rsidRDefault="00377AD1" w:rsidP="00FA7343">
            <w:pPr>
              <w:rPr>
                <w:szCs w:val="24"/>
                <w:lang w:eastAsia="ru-RU"/>
              </w:rPr>
            </w:pPr>
            <w:r>
              <w:rPr>
                <w:szCs w:val="24"/>
                <w:lang w:eastAsia="ru-RU"/>
              </w:rPr>
              <w:t>Немає</w:t>
            </w:r>
            <w:r w:rsidRPr="00166595">
              <w:rPr>
                <w:szCs w:val="24"/>
                <w:lang w:eastAsia="ru-RU"/>
              </w:rPr>
              <w:t xml:space="preserve"> </w:t>
            </w:r>
            <w:r w:rsidR="009D4348" w:rsidRPr="00166595">
              <w:rPr>
                <w:szCs w:val="24"/>
                <w:lang w:eastAsia="ru-RU"/>
              </w:rPr>
              <w:t>документ</w:t>
            </w:r>
            <w:r>
              <w:rPr>
                <w:szCs w:val="24"/>
                <w:lang w:eastAsia="ru-RU"/>
              </w:rPr>
              <w:t>ів</w:t>
            </w:r>
            <w:r w:rsidR="009D4348" w:rsidRPr="00166595">
              <w:rPr>
                <w:szCs w:val="24"/>
                <w:lang w:eastAsia="ru-RU"/>
              </w:rPr>
              <w:t xml:space="preserve"> щодо прогнозної суми дивідендів</w:t>
            </w:r>
          </w:p>
        </w:tc>
        <w:tc>
          <w:tcPr>
            <w:tcW w:w="4111" w:type="dxa"/>
            <w:shd w:val="clear" w:color="auto" w:fill="auto"/>
            <w:vAlign w:val="center"/>
          </w:tcPr>
          <w:p w14:paraId="6C3676D7" w14:textId="77777777" w:rsidR="009D4348" w:rsidRPr="00166595" w:rsidRDefault="009D4348" w:rsidP="00FA7343">
            <w:pPr>
              <w:jc w:val="center"/>
              <w:rPr>
                <w:szCs w:val="24"/>
                <w:lang w:eastAsia="ru-RU"/>
              </w:rPr>
            </w:pPr>
            <w:r w:rsidRPr="00166595">
              <w:rPr>
                <w:szCs w:val="24"/>
                <w:lang w:eastAsia="ru-RU"/>
              </w:rPr>
              <w:t>Дорівнює найбільшому з двох значень, визначених за такими формулами:</w:t>
            </w:r>
          </w:p>
          <w:p w14:paraId="007A0D3F" w14:textId="77777777" w:rsidR="009D4348" w:rsidRPr="00166595" w:rsidRDefault="009D4348" w:rsidP="00FA7343">
            <w:pPr>
              <w:jc w:val="center"/>
              <w:rPr>
                <w:szCs w:val="24"/>
                <w:lang w:eastAsia="ru-RU"/>
              </w:rPr>
            </w:pPr>
          </w:p>
          <w:p w14:paraId="0B3526A6" w14:textId="223E7263" w:rsidR="00377AD1" w:rsidRDefault="009D4348" w:rsidP="00FA7343">
            <w:pPr>
              <w:rPr>
                <w:szCs w:val="24"/>
                <w:lang w:eastAsia="ru-RU"/>
              </w:rPr>
            </w:pPr>
            <w:r w:rsidRPr="00166595">
              <w:rPr>
                <w:iCs/>
                <w:szCs w:val="24"/>
              </w:rPr>
              <w:t>1) Прибуток </w:t>
            </w:r>
            <w:r w:rsidRPr="00166595">
              <w:rPr>
                <w:szCs w:val="24"/>
                <w:lang w:eastAsia="ru-RU"/>
              </w:rPr>
              <w:t>ЗР/ПЗП</w:t>
            </w:r>
            <w:r w:rsidRPr="00B76804">
              <w:rPr>
                <w:szCs w:val="24"/>
                <w:lang w:eastAsia="ru-RU"/>
              </w:rPr>
              <w:t> </w:t>
            </w:r>
            <w:r w:rsidRPr="00166595">
              <w:rPr>
                <w:szCs w:val="24"/>
                <w:lang w:eastAsia="ru-RU"/>
              </w:rPr>
              <w:t>х </w:t>
            </w:r>
          </w:p>
          <w:p w14:paraId="655AD62B" w14:textId="16BA65B4" w:rsidR="009D4348" w:rsidRPr="00166595" w:rsidRDefault="00206A8B" w:rsidP="00FA7343">
            <w:pPr>
              <w:rPr>
                <w:szCs w:val="24"/>
                <w:lang w:eastAsia="ru-RU"/>
              </w:rPr>
            </w:pPr>
            <w:r w:rsidRPr="00166595">
              <w:rPr>
                <w:szCs w:val="24"/>
                <w:lang w:eastAsia="ru-RU"/>
              </w:rPr>
              <w:t xml:space="preserve">х </w:t>
            </w:r>
            <w:r w:rsidR="009D4348" w:rsidRPr="00166595">
              <w:rPr>
                <w:szCs w:val="24"/>
                <w:lang w:eastAsia="ru-RU"/>
              </w:rPr>
              <w:t>Коефіцієнт </w:t>
            </w:r>
            <w:r w:rsidR="009D4348" w:rsidRPr="00166595">
              <w:rPr>
                <w:szCs w:val="24"/>
                <w:vertAlign w:val="subscript"/>
                <w:lang w:eastAsia="ru-RU"/>
              </w:rPr>
              <w:t>div </w:t>
            </w:r>
            <w:r w:rsidR="009D4348" w:rsidRPr="00166595">
              <w:rPr>
                <w:szCs w:val="24"/>
                <w:lang w:eastAsia="ru-RU"/>
              </w:rPr>
              <w:t>(1</w:t>
            </w:r>
            <w:r w:rsidR="009D4348" w:rsidRPr="00166595">
              <w:rPr>
                <w:szCs w:val="24"/>
                <w:vertAlign w:val="subscript"/>
                <w:lang w:eastAsia="ru-RU"/>
              </w:rPr>
              <w:t>р.</w:t>
            </w:r>
            <w:r w:rsidR="009D4348" w:rsidRPr="00166595">
              <w:rPr>
                <w:szCs w:val="24"/>
                <w:lang w:eastAsia="ru-RU"/>
              </w:rPr>
              <w:t>);</w:t>
            </w:r>
          </w:p>
          <w:p w14:paraId="68D716DF" w14:textId="77777777" w:rsidR="009D4348" w:rsidRPr="00166595" w:rsidRDefault="009D4348" w:rsidP="00FA7343">
            <w:pPr>
              <w:rPr>
                <w:szCs w:val="24"/>
                <w:lang w:eastAsia="ru-RU"/>
              </w:rPr>
            </w:pPr>
          </w:p>
          <w:p w14:paraId="1E9559DB" w14:textId="42294E82" w:rsidR="009D4348" w:rsidRPr="00166595" w:rsidRDefault="009D4348" w:rsidP="00206A8B">
            <w:pPr>
              <w:ind w:right="1167"/>
              <w:rPr>
                <w:szCs w:val="24"/>
                <w:lang w:eastAsia="ru-RU"/>
              </w:rPr>
            </w:pPr>
            <w:r w:rsidRPr="00166595">
              <w:rPr>
                <w:iCs/>
                <w:szCs w:val="24"/>
              </w:rPr>
              <w:t>2) Прибуток </w:t>
            </w:r>
            <w:r w:rsidRPr="00166595">
              <w:rPr>
                <w:szCs w:val="24"/>
                <w:lang w:eastAsia="ru-RU"/>
              </w:rPr>
              <w:t>ЗР/ПЗП</w:t>
            </w:r>
            <w:r w:rsidRPr="00166595">
              <w:rPr>
                <w:color w:val="000000"/>
                <w:szCs w:val="24"/>
              </w:rPr>
              <w:t xml:space="preserve"> </w:t>
            </w:r>
            <w:r w:rsidR="00206A8B" w:rsidRPr="00166595">
              <w:rPr>
                <w:szCs w:val="24"/>
                <w:lang w:eastAsia="ru-RU"/>
              </w:rPr>
              <w:t xml:space="preserve">х </w:t>
            </w:r>
            <w:proofErr w:type="spellStart"/>
            <w:r w:rsidRPr="00166595">
              <w:rPr>
                <w:szCs w:val="24"/>
                <w:lang w:eastAsia="ru-RU"/>
              </w:rPr>
              <w:t>х</w:t>
            </w:r>
            <w:proofErr w:type="spellEnd"/>
            <w:r w:rsidRPr="00166595">
              <w:rPr>
                <w:szCs w:val="24"/>
                <w:lang w:eastAsia="ru-RU"/>
              </w:rPr>
              <w:t> </w:t>
            </w:r>
            <w:proofErr w:type="spellStart"/>
            <w:r w:rsidRPr="00166595">
              <w:rPr>
                <w:szCs w:val="24"/>
                <w:lang w:eastAsia="ru-RU"/>
              </w:rPr>
              <w:t>Коефіцієнт</w:t>
            </w:r>
            <w:r w:rsidRPr="00166595">
              <w:rPr>
                <w:szCs w:val="24"/>
                <w:vertAlign w:val="subscript"/>
                <w:lang w:eastAsia="ru-RU"/>
              </w:rPr>
              <w:t>div</w:t>
            </w:r>
            <w:proofErr w:type="spellEnd"/>
            <w:r w:rsidRPr="00166595">
              <w:rPr>
                <w:szCs w:val="24"/>
                <w:vertAlign w:val="subscript"/>
                <w:lang w:eastAsia="ru-RU"/>
              </w:rPr>
              <w:t> </w:t>
            </w:r>
            <w:r w:rsidRPr="00166595">
              <w:rPr>
                <w:szCs w:val="24"/>
                <w:lang w:eastAsia="ru-RU"/>
              </w:rPr>
              <w:t>(3</w:t>
            </w:r>
            <w:r w:rsidRPr="00166595">
              <w:rPr>
                <w:szCs w:val="24"/>
                <w:vertAlign w:val="subscript"/>
                <w:lang w:eastAsia="ru-RU"/>
              </w:rPr>
              <w:t>р.</w:t>
            </w:r>
            <w:r w:rsidRPr="00166595">
              <w:rPr>
                <w:szCs w:val="24"/>
                <w:lang w:eastAsia="ru-RU"/>
              </w:rPr>
              <w:t>)</w:t>
            </w:r>
          </w:p>
        </w:tc>
        <w:tc>
          <w:tcPr>
            <w:tcW w:w="6379" w:type="dxa"/>
            <w:shd w:val="clear" w:color="auto" w:fill="auto"/>
          </w:tcPr>
          <w:p w14:paraId="62A4EF2A" w14:textId="77777777" w:rsidR="009D4348" w:rsidRPr="00166595" w:rsidRDefault="009D4348" w:rsidP="00FA7343">
            <w:pPr>
              <w:jc w:val="center"/>
              <w:rPr>
                <w:szCs w:val="24"/>
                <w:lang w:eastAsia="ru-RU"/>
              </w:rPr>
            </w:pPr>
            <w:r w:rsidRPr="00166595">
              <w:rPr>
                <w:szCs w:val="24"/>
                <w:lang w:eastAsia="ru-RU"/>
              </w:rPr>
              <w:t>Дорівнює найбільшому з двох значень, визначених за такими формулами:</w:t>
            </w:r>
          </w:p>
          <w:p w14:paraId="6C77F878" w14:textId="77777777" w:rsidR="009D4348" w:rsidRPr="00166595" w:rsidRDefault="009D4348" w:rsidP="00FA7343">
            <w:pPr>
              <w:jc w:val="center"/>
              <w:rPr>
                <w:szCs w:val="24"/>
                <w:lang w:eastAsia="ru-RU"/>
              </w:rPr>
            </w:pPr>
          </w:p>
          <w:p w14:paraId="5184081B" w14:textId="45B59AC5" w:rsidR="009D4348" w:rsidRPr="00166595" w:rsidRDefault="009D4348" w:rsidP="00206A8B">
            <w:pPr>
              <w:numPr>
                <w:ilvl w:val="0"/>
                <w:numId w:val="9"/>
              </w:numPr>
              <w:tabs>
                <w:tab w:val="left" w:pos="320"/>
              </w:tabs>
              <w:ind w:left="0" w:firstLine="0"/>
              <w:contextualSpacing/>
              <w:rPr>
                <w:szCs w:val="24"/>
                <w:lang w:eastAsia="ru-RU"/>
              </w:rPr>
            </w:pPr>
            <w:r w:rsidRPr="00166595">
              <w:rPr>
                <w:iCs/>
                <w:szCs w:val="24"/>
              </w:rPr>
              <w:t>Прибутки</w:t>
            </w:r>
            <w:r w:rsidRPr="00166595">
              <w:rPr>
                <w:szCs w:val="24"/>
                <w:lang w:eastAsia="ru-RU"/>
              </w:rPr>
              <w:t xml:space="preserve"> МР х </w:t>
            </w:r>
            <w:proofErr w:type="spellStart"/>
            <w:r w:rsidRPr="00166595">
              <w:rPr>
                <w:szCs w:val="24"/>
                <w:lang w:eastAsia="ru-RU"/>
              </w:rPr>
              <w:t>Коефіцієнт</w:t>
            </w:r>
            <w:r w:rsidRPr="00166595">
              <w:rPr>
                <w:szCs w:val="24"/>
                <w:vertAlign w:val="subscript"/>
                <w:lang w:eastAsia="ru-RU"/>
              </w:rPr>
              <w:t>div</w:t>
            </w:r>
            <w:proofErr w:type="spellEnd"/>
            <w:r w:rsidRPr="00166595">
              <w:rPr>
                <w:szCs w:val="24"/>
                <w:vertAlign w:val="subscript"/>
                <w:lang w:eastAsia="ru-RU"/>
              </w:rPr>
              <w:t xml:space="preserve"> МР</w:t>
            </w:r>
            <w:r w:rsidRPr="00166595">
              <w:rPr>
                <w:szCs w:val="24"/>
                <w:lang w:eastAsia="ru-RU"/>
              </w:rPr>
              <w:t xml:space="preserve"> (1</w:t>
            </w:r>
            <w:r w:rsidRPr="00166595">
              <w:rPr>
                <w:szCs w:val="24"/>
                <w:vertAlign w:val="subscript"/>
                <w:lang w:eastAsia="ru-RU"/>
              </w:rPr>
              <w:t>р.</w:t>
            </w:r>
            <w:r w:rsidRPr="00166595">
              <w:rPr>
                <w:szCs w:val="24"/>
                <w:lang w:eastAsia="ru-RU"/>
              </w:rPr>
              <w:t>);</w:t>
            </w:r>
          </w:p>
          <w:p w14:paraId="5137DF08" w14:textId="77777777" w:rsidR="009D4348" w:rsidRPr="00166595" w:rsidRDefault="009D4348" w:rsidP="00FA7343">
            <w:pPr>
              <w:contextualSpacing/>
              <w:rPr>
                <w:szCs w:val="24"/>
                <w:lang w:eastAsia="ru-RU"/>
              </w:rPr>
            </w:pPr>
          </w:p>
          <w:p w14:paraId="67740CF9" w14:textId="62FF48F0" w:rsidR="009D4348" w:rsidRPr="00166595" w:rsidRDefault="009D4348" w:rsidP="00FA7343">
            <w:pPr>
              <w:rPr>
                <w:szCs w:val="24"/>
                <w:lang w:eastAsia="ru-RU"/>
              </w:rPr>
            </w:pPr>
            <w:r w:rsidRPr="00166595">
              <w:rPr>
                <w:iCs/>
                <w:szCs w:val="24"/>
              </w:rPr>
              <w:t>2) Прибутки</w:t>
            </w:r>
            <w:r w:rsidRPr="00166595">
              <w:rPr>
                <w:szCs w:val="24"/>
                <w:lang w:eastAsia="ru-RU"/>
              </w:rPr>
              <w:t xml:space="preserve"> МР х </w:t>
            </w:r>
            <w:proofErr w:type="spellStart"/>
            <w:r w:rsidRPr="00166595">
              <w:rPr>
                <w:szCs w:val="24"/>
                <w:lang w:eastAsia="ru-RU"/>
              </w:rPr>
              <w:t>Коефіцієнт</w:t>
            </w:r>
            <w:r w:rsidRPr="00166595">
              <w:rPr>
                <w:szCs w:val="24"/>
                <w:vertAlign w:val="subscript"/>
                <w:lang w:eastAsia="ru-RU"/>
              </w:rPr>
              <w:t>div</w:t>
            </w:r>
            <w:proofErr w:type="spellEnd"/>
            <w:r w:rsidRPr="00166595">
              <w:rPr>
                <w:szCs w:val="24"/>
                <w:lang w:eastAsia="ru-RU"/>
              </w:rPr>
              <w:t xml:space="preserve"> </w:t>
            </w:r>
            <w:r w:rsidRPr="00166595">
              <w:rPr>
                <w:szCs w:val="24"/>
                <w:vertAlign w:val="subscript"/>
                <w:lang w:eastAsia="ru-RU"/>
              </w:rPr>
              <w:t>МР</w:t>
            </w:r>
            <w:r w:rsidRPr="00166595">
              <w:rPr>
                <w:szCs w:val="24"/>
                <w:lang w:eastAsia="ru-RU"/>
              </w:rPr>
              <w:t>(3</w:t>
            </w:r>
            <w:r w:rsidRPr="00166595">
              <w:rPr>
                <w:szCs w:val="24"/>
                <w:vertAlign w:val="subscript"/>
                <w:lang w:eastAsia="ru-RU"/>
              </w:rPr>
              <w:t>р.</w:t>
            </w:r>
            <w:r w:rsidRPr="00166595">
              <w:rPr>
                <w:szCs w:val="24"/>
                <w:lang w:eastAsia="ru-RU"/>
              </w:rPr>
              <w:t>)</w:t>
            </w:r>
          </w:p>
        </w:tc>
      </w:tr>
    </w:tbl>
    <w:p w14:paraId="49E89EE2" w14:textId="77777777" w:rsidR="009D4348" w:rsidRDefault="009D4348" w:rsidP="00AA2CE1">
      <w:pPr>
        <w:shd w:val="clear" w:color="auto" w:fill="FFFFFF"/>
        <w:ind w:left="-426" w:firstLine="720"/>
        <w:jc w:val="center"/>
        <w:rPr>
          <w:szCs w:val="24"/>
          <w:lang w:eastAsia="ru-RU"/>
        </w:rPr>
      </w:pPr>
    </w:p>
    <w:p w14:paraId="1AE848E8" w14:textId="77777777" w:rsidR="00A0078F" w:rsidRDefault="00A0078F" w:rsidP="00AA2CE1">
      <w:pPr>
        <w:shd w:val="clear" w:color="auto" w:fill="FFFFFF"/>
        <w:ind w:left="-426" w:firstLine="720"/>
        <w:jc w:val="center"/>
        <w:rPr>
          <w:szCs w:val="24"/>
          <w:lang w:eastAsia="ru-RU"/>
        </w:rPr>
        <w:sectPr w:rsidR="00A0078F" w:rsidSect="00AE7D08">
          <w:headerReference w:type="default" r:id="rId19"/>
          <w:headerReference w:type="first" r:id="rId20"/>
          <w:pgSz w:w="16838" w:h="11906" w:orient="landscape"/>
          <w:pgMar w:top="567" w:right="567" w:bottom="1701" w:left="1701" w:header="397" w:footer="709" w:gutter="0"/>
          <w:pgNumType w:start="1"/>
          <w:cols w:space="708"/>
          <w:titlePg/>
          <w:docGrid w:linePitch="381"/>
        </w:sectPr>
      </w:pPr>
    </w:p>
    <w:p w14:paraId="1E2D3E0A" w14:textId="769E0310" w:rsidR="00166595" w:rsidRPr="00166595" w:rsidRDefault="00166595" w:rsidP="00AA2CE1">
      <w:pPr>
        <w:shd w:val="clear" w:color="auto" w:fill="FFFFFF"/>
        <w:tabs>
          <w:tab w:val="left" w:pos="851"/>
        </w:tabs>
        <w:ind w:left="568" w:firstLine="720"/>
        <w:jc w:val="center"/>
        <w:rPr>
          <w:szCs w:val="24"/>
          <w:lang w:eastAsia="ru-RU"/>
        </w:rPr>
      </w:pPr>
      <w:r w:rsidRPr="00166595">
        <w:rPr>
          <w:szCs w:val="24"/>
        </w:rPr>
        <w:lastRenderedPageBreak/>
        <w:t xml:space="preserve">2. Розрахунок значення </w:t>
      </w:r>
      <w:proofErr w:type="spellStart"/>
      <w:r w:rsidRPr="00166595">
        <w:rPr>
          <w:szCs w:val="24"/>
          <w:lang w:eastAsia="ru-RU"/>
        </w:rPr>
        <w:t>Коефіцієнта</w:t>
      </w:r>
      <w:r w:rsidRPr="00166595">
        <w:rPr>
          <w:szCs w:val="24"/>
          <w:vertAlign w:val="subscript"/>
          <w:lang w:eastAsia="ru-RU"/>
        </w:rPr>
        <w:t>div</w:t>
      </w:r>
      <w:proofErr w:type="spellEnd"/>
      <w:r w:rsidRPr="00166595">
        <w:rPr>
          <w:szCs w:val="24"/>
          <w:vertAlign w:val="subscript"/>
          <w:lang w:eastAsia="ru-RU"/>
        </w:rPr>
        <w:t xml:space="preserve">  </w:t>
      </w:r>
    </w:p>
    <w:p w14:paraId="48B1CB04" w14:textId="77777777" w:rsidR="00166595" w:rsidRPr="00166595" w:rsidRDefault="00166595" w:rsidP="00AA2CE1">
      <w:pPr>
        <w:ind w:right="395" w:firstLine="720"/>
        <w:jc w:val="right"/>
        <w:rPr>
          <w:szCs w:val="24"/>
        </w:rPr>
      </w:pPr>
      <w:r w:rsidRPr="00166595">
        <w:rPr>
          <w:szCs w:val="24"/>
          <w:lang w:eastAsia="ru-RU"/>
        </w:rPr>
        <w:t>Таблиця 2</w:t>
      </w:r>
    </w:p>
    <w:tbl>
      <w:tblPr>
        <w:tblStyle w:val="21"/>
        <w:tblW w:w="14459" w:type="dxa"/>
        <w:tblInd w:w="-5" w:type="dxa"/>
        <w:tblLayout w:type="fixed"/>
        <w:tblLook w:val="04A0" w:firstRow="1" w:lastRow="0" w:firstColumn="1" w:lastColumn="0" w:noHBand="0" w:noVBand="1"/>
      </w:tblPr>
      <w:tblGrid>
        <w:gridCol w:w="851"/>
        <w:gridCol w:w="5953"/>
        <w:gridCol w:w="7655"/>
      </w:tblGrid>
      <w:tr w:rsidR="00166595" w:rsidRPr="00166595" w14:paraId="7C8FC3BE" w14:textId="77777777" w:rsidTr="00C35F8F">
        <w:tc>
          <w:tcPr>
            <w:tcW w:w="851" w:type="dxa"/>
          </w:tcPr>
          <w:p w14:paraId="1DD019E4" w14:textId="77777777" w:rsidR="00A0078F" w:rsidRDefault="00166595" w:rsidP="00FA7343">
            <w:pPr>
              <w:tabs>
                <w:tab w:val="left" w:pos="851"/>
                <w:tab w:val="left" w:pos="1134"/>
                <w:tab w:val="left" w:pos="1276"/>
              </w:tabs>
              <w:ind w:left="-57" w:right="-57"/>
              <w:jc w:val="center"/>
              <w:rPr>
                <w:szCs w:val="24"/>
              </w:rPr>
            </w:pPr>
            <w:r w:rsidRPr="00166595">
              <w:rPr>
                <w:szCs w:val="24"/>
              </w:rPr>
              <w:t xml:space="preserve">№ </w:t>
            </w:r>
          </w:p>
          <w:p w14:paraId="67C639EF" w14:textId="2636C27E" w:rsidR="00166595" w:rsidRPr="00166595" w:rsidRDefault="00166595" w:rsidP="00FA7343">
            <w:pPr>
              <w:tabs>
                <w:tab w:val="left" w:pos="851"/>
                <w:tab w:val="left" w:pos="1134"/>
                <w:tab w:val="left" w:pos="1276"/>
              </w:tabs>
              <w:ind w:left="-57" w:right="-57"/>
              <w:jc w:val="center"/>
              <w:rPr>
                <w:szCs w:val="24"/>
              </w:rPr>
            </w:pPr>
            <w:r w:rsidRPr="00166595">
              <w:rPr>
                <w:szCs w:val="24"/>
              </w:rPr>
              <w:t>з/п</w:t>
            </w:r>
          </w:p>
        </w:tc>
        <w:tc>
          <w:tcPr>
            <w:tcW w:w="5953" w:type="dxa"/>
          </w:tcPr>
          <w:p w14:paraId="3AA96BBA" w14:textId="77777777" w:rsidR="00166595" w:rsidRPr="00166595" w:rsidRDefault="00166595" w:rsidP="00FA7343">
            <w:pPr>
              <w:tabs>
                <w:tab w:val="left" w:pos="851"/>
                <w:tab w:val="left" w:pos="1134"/>
                <w:tab w:val="left" w:pos="1276"/>
              </w:tabs>
              <w:jc w:val="center"/>
              <w:rPr>
                <w:szCs w:val="24"/>
              </w:rPr>
            </w:pPr>
            <w:r w:rsidRPr="00166595">
              <w:rPr>
                <w:szCs w:val="24"/>
              </w:rPr>
              <w:t xml:space="preserve">Показник, визначений у </w:t>
            </w:r>
            <w:r w:rsidRPr="00166595">
              <w:rPr>
                <w:szCs w:val="24"/>
              </w:rPr>
              <w:br/>
              <w:t>дивідендній політиці</w:t>
            </w:r>
          </w:p>
        </w:tc>
        <w:tc>
          <w:tcPr>
            <w:tcW w:w="7655" w:type="dxa"/>
            <w:vAlign w:val="center"/>
          </w:tcPr>
          <w:p w14:paraId="1096999D" w14:textId="26E881E3" w:rsidR="00166595" w:rsidRPr="00166595" w:rsidRDefault="00166595" w:rsidP="00FA7343">
            <w:pPr>
              <w:tabs>
                <w:tab w:val="left" w:pos="851"/>
                <w:tab w:val="left" w:pos="1134"/>
                <w:tab w:val="left" w:pos="1276"/>
              </w:tabs>
              <w:jc w:val="center"/>
              <w:rPr>
                <w:szCs w:val="24"/>
              </w:rPr>
            </w:pPr>
            <w:r w:rsidRPr="00166595">
              <w:rPr>
                <w:szCs w:val="24"/>
                <w:lang w:eastAsia="ru-RU"/>
              </w:rPr>
              <w:t xml:space="preserve">Формула розрахунку </w:t>
            </w:r>
            <w:r w:rsidRPr="00166595">
              <w:rPr>
                <w:szCs w:val="24"/>
                <w:lang w:eastAsia="ru-RU"/>
              </w:rPr>
              <w:br/>
            </w:r>
            <w:proofErr w:type="spellStart"/>
            <w:r w:rsidRPr="00166595">
              <w:rPr>
                <w:szCs w:val="24"/>
                <w:lang w:eastAsia="ru-RU"/>
              </w:rPr>
              <w:t>Коефіцієнт</w:t>
            </w:r>
            <w:r w:rsidR="00A0078F">
              <w:rPr>
                <w:szCs w:val="24"/>
                <w:lang w:eastAsia="ru-RU"/>
              </w:rPr>
              <w:t>а</w:t>
            </w:r>
            <w:r w:rsidRPr="00166595">
              <w:rPr>
                <w:szCs w:val="24"/>
                <w:vertAlign w:val="subscript"/>
                <w:lang w:eastAsia="ru-RU"/>
              </w:rPr>
              <w:t>div</w:t>
            </w:r>
            <w:proofErr w:type="spellEnd"/>
            <w:r w:rsidRPr="00166595">
              <w:rPr>
                <w:szCs w:val="24"/>
                <w:lang w:eastAsia="ru-RU"/>
              </w:rPr>
              <w:t xml:space="preserve">  </w:t>
            </w:r>
          </w:p>
        </w:tc>
      </w:tr>
      <w:tr w:rsidR="00166595" w:rsidRPr="00166595" w14:paraId="05BCC29C" w14:textId="77777777" w:rsidTr="00C35F8F">
        <w:tc>
          <w:tcPr>
            <w:tcW w:w="851" w:type="dxa"/>
          </w:tcPr>
          <w:p w14:paraId="32555A91" w14:textId="77777777" w:rsidR="00166595" w:rsidRPr="00166595" w:rsidRDefault="00166595" w:rsidP="00FA7343">
            <w:pPr>
              <w:tabs>
                <w:tab w:val="left" w:pos="851"/>
                <w:tab w:val="left" w:pos="1134"/>
                <w:tab w:val="left" w:pos="1276"/>
              </w:tabs>
              <w:jc w:val="center"/>
              <w:rPr>
                <w:szCs w:val="24"/>
              </w:rPr>
            </w:pPr>
            <w:r w:rsidRPr="00166595">
              <w:rPr>
                <w:szCs w:val="24"/>
              </w:rPr>
              <w:t>1</w:t>
            </w:r>
          </w:p>
        </w:tc>
        <w:tc>
          <w:tcPr>
            <w:tcW w:w="5953" w:type="dxa"/>
          </w:tcPr>
          <w:p w14:paraId="0F8040F9" w14:textId="77777777" w:rsidR="00166595" w:rsidRPr="00166595" w:rsidRDefault="00166595" w:rsidP="00FA7343">
            <w:pPr>
              <w:tabs>
                <w:tab w:val="left" w:pos="851"/>
                <w:tab w:val="left" w:pos="1134"/>
                <w:tab w:val="left" w:pos="1276"/>
              </w:tabs>
              <w:jc w:val="center"/>
              <w:rPr>
                <w:szCs w:val="24"/>
              </w:rPr>
            </w:pPr>
            <w:r w:rsidRPr="00166595">
              <w:rPr>
                <w:szCs w:val="24"/>
              </w:rPr>
              <w:t>2</w:t>
            </w:r>
          </w:p>
        </w:tc>
        <w:tc>
          <w:tcPr>
            <w:tcW w:w="7655" w:type="dxa"/>
          </w:tcPr>
          <w:p w14:paraId="46495132" w14:textId="77777777" w:rsidR="00166595" w:rsidRPr="00166595" w:rsidRDefault="00166595" w:rsidP="00FA7343">
            <w:pPr>
              <w:tabs>
                <w:tab w:val="left" w:pos="851"/>
                <w:tab w:val="left" w:pos="1134"/>
                <w:tab w:val="left" w:pos="1276"/>
              </w:tabs>
              <w:jc w:val="center"/>
              <w:rPr>
                <w:szCs w:val="24"/>
              </w:rPr>
            </w:pPr>
            <w:r w:rsidRPr="00166595">
              <w:rPr>
                <w:szCs w:val="24"/>
              </w:rPr>
              <w:t>3</w:t>
            </w:r>
          </w:p>
        </w:tc>
      </w:tr>
      <w:tr w:rsidR="00166595" w:rsidRPr="00166595" w14:paraId="640418B9" w14:textId="77777777" w:rsidTr="00C35F8F">
        <w:trPr>
          <w:trHeight w:val="519"/>
        </w:trPr>
        <w:tc>
          <w:tcPr>
            <w:tcW w:w="851" w:type="dxa"/>
            <w:tcBorders>
              <w:bottom w:val="single" w:sz="4" w:space="0" w:color="auto"/>
            </w:tcBorders>
            <w:vAlign w:val="center"/>
          </w:tcPr>
          <w:p w14:paraId="35828D2D" w14:textId="77777777" w:rsidR="00166595" w:rsidRPr="00166595" w:rsidRDefault="00166595" w:rsidP="00FA7343">
            <w:pPr>
              <w:tabs>
                <w:tab w:val="left" w:pos="851"/>
                <w:tab w:val="left" w:pos="1134"/>
                <w:tab w:val="left" w:pos="1276"/>
              </w:tabs>
              <w:jc w:val="center"/>
              <w:rPr>
                <w:szCs w:val="24"/>
              </w:rPr>
            </w:pPr>
            <w:r w:rsidRPr="00166595">
              <w:rPr>
                <w:szCs w:val="24"/>
              </w:rPr>
              <w:t>1</w:t>
            </w:r>
          </w:p>
        </w:tc>
        <w:tc>
          <w:tcPr>
            <w:tcW w:w="5953" w:type="dxa"/>
            <w:tcBorders>
              <w:bottom w:val="single" w:sz="4" w:space="0" w:color="auto"/>
            </w:tcBorders>
            <w:vAlign w:val="center"/>
          </w:tcPr>
          <w:p w14:paraId="6C6EBB28" w14:textId="77777777" w:rsidR="00166595" w:rsidRPr="00166595" w:rsidRDefault="00166595" w:rsidP="00FA7343">
            <w:pPr>
              <w:tabs>
                <w:tab w:val="left" w:pos="851"/>
                <w:tab w:val="left" w:pos="1134"/>
                <w:tab w:val="left" w:pos="1276"/>
              </w:tabs>
              <w:ind w:left="-57" w:right="-57"/>
              <w:rPr>
                <w:szCs w:val="24"/>
              </w:rPr>
            </w:pPr>
            <w:r w:rsidRPr="00166595">
              <w:rPr>
                <w:szCs w:val="24"/>
              </w:rPr>
              <w:t>Прогнозний відсоток дивідендів до сплати</w:t>
            </w:r>
          </w:p>
        </w:tc>
        <w:tc>
          <w:tcPr>
            <w:tcW w:w="7655" w:type="dxa"/>
            <w:tcBorders>
              <w:bottom w:val="single" w:sz="4" w:space="0" w:color="auto"/>
            </w:tcBorders>
            <w:vAlign w:val="center"/>
          </w:tcPr>
          <w:tbl>
            <w:tblPr>
              <w:tblStyle w:val="21"/>
              <w:tblpPr w:leftFromText="180" w:rightFromText="180" w:vertAnchor="text" w:horzAnchor="margin" w:tblpXSpec="center" w:tblpY="-139"/>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591"/>
            </w:tblGrid>
            <w:tr w:rsidR="00166595" w:rsidRPr="00166595" w14:paraId="27399FB5" w14:textId="77777777" w:rsidTr="00C35F8F">
              <w:trPr>
                <w:trHeight w:val="31"/>
              </w:trPr>
              <w:tc>
                <w:tcPr>
                  <w:tcW w:w="5591" w:type="dxa"/>
                </w:tcPr>
                <w:p w14:paraId="6F0ED621" w14:textId="77777777" w:rsidR="00166595" w:rsidRPr="00166595" w:rsidRDefault="00166595" w:rsidP="00FA7343">
                  <w:pPr>
                    <w:tabs>
                      <w:tab w:val="left" w:pos="851"/>
                      <w:tab w:val="left" w:pos="993"/>
                    </w:tabs>
                    <w:contextualSpacing/>
                    <w:jc w:val="center"/>
                    <w:rPr>
                      <w:szCs w:val="24"/>
                    </w:rPr>
                  </w:pPr>
                  <w:r w:rsidRPr="00166595">
                    <w:rPr>
                      <w:szCs w:val="24"/>
                    </w:rPr>
                    <w:t xml:space="preserve">Прогнозний відсоток дивідендів до сплати </w:t>
                  </w:r>
                </w:p>
              </w:tc>
            </w:tr>
            <w:tr w:rsidR="00166595" w:rsidRPr="00166595" w14:paraId="5E42F045" w14:textId="77777777" w:rsidTr="00C35F8F">
              <w:trPr>
                <w:trHeight w:val="468"/>
              </w:trPr>
              <w:tc>
                <w:tcPr>
                  <w:tcW w:w="5591" w:type="dxa"/>
                </w:tcPr>
                <w:p w14:paraId="68B0B5FF" w14:textId="77777777" w:rsidR="00166595" w:rsidRPr="00166595" w:rsidRDefault="00166595" w:rsidP="00FA7343">
                  <w:pPr>
                    <w:tabs>
                      <w:tab w:val="left" w:pos="851"/>
                      <w:tab w:val="left" w:pos="993"/>
                    </w:tabs>
                    <w:contextualSpacing/>
                    <w:jc w:val="center"/>
                    <w:rPr>
                      <w:szCs w:val="24"/>
                    </w:rPr>
                  </w:pPr>
                  <w:r w:rsidRPr="00166595">
                    <w:rPr>
                      <w:szCs w:val="24"/>
                    </w:rPr>
                    <w:t>100</w:t>
                  </w:r>
                </w:p>
              </w:tc>
            </w:tr>
          </w:tbl>
          <w:p w14:paraId="490871D7" w14:textId="77777777" w:rsidR="00166595" w:rsidRPr="00166595" w:rsidRDefault="00166595" w:rsidP="00FA7343">
            <w:pPr>
              <w:rPr>
                <w:strike/>
                <w:szCs w:val="24"/>
              </w:rPr>
            </w:pPr>
          </w:p>
        </w:tc>
      </w:tr>
      <w:tr w:rsidR="00166595" w:rsidRPr="00166595" w14:paraId="7F65A0A3" w14:textId="77777777" w:rsidTr="00C35F8F">
        <w:trPr>
          <w:trHeight w:val="692"/>
        </w:trPr>
        <w:tc>
          <w:tcPr>
            <w:tcW w:w="851" w:type="dxa"/>
            <w:tcBorders>
              <w:bottom w:val="single" w:sz="4" w:space="0" w:color="auto"/>
            </w:tcBorders>
            <w:vAlign w:val="center"/>
          </w:tcPr>
          <w:p w14:paraId="0C356653" w14:textId="77777777" w:rsidR="00166595" w:rsidRPr="00166595" w:rsidRDefault="00166595" w:rsidP="00FA7343">
            <w:pPr>
              <w:tabs>
                <w:tab w:val="left" w:pos="851"/>
                <w:tab w:val="left" w:pos="1134"/>
                <w:tab w:val="left" w:pos="1276"/>
              </w:tabs>
              <w:jc w:val="center"/>
              <w:rPr>
                <w:szCs w:val="24"/>
              </w:rPr>
            </w:pPr>
            <w:r w:rsidRPr="00166595">
              <w:rPr>
                <w:szCs w:val="24"/>
              </w:rPr>
              <w:t>2</w:t>
            </w:r>
          </w:p>
        </w:tc>
        <w:tc>
          <w:tcPr>
            <w:tcW w:w="5953" w:type="dxa"/>
            <w:tcBorders>
              <w:bottom w:val="single" w:sz="4" w:space="0" w:color="auto"/>
            </w:tcBorders>
            <w:vAlign w:val="center"/>
          </w:tcPr>
          <w:p w14:paraId="77A32DF4" w14:textId="77777777" w:rsidR="00166595" w:rsidRPr="00166595" w:rsidRDefault="00166595" w:rsidP="00FA7343">
            <w:pPr>
              <w:tabs>
                <w:tab w:val="left" w:pos="851"/>
                <w:tab w:val="left" w:pos="1134"/>
                <w:tab w:val="left" w:pos="1276"/>
              </w:tabs>
              <w:ind w:left="-57" w:right="-57"/>
              <w:rPr>
                <w:szCs w:val="24"/>
              </w:rPr>
            </w:pPr>
            <w:r w:rsidRPr="00166595">
              <w:rPr>
                <w:szCs w:val="24"/>
              </w:rPr>
              <w:t>Прогнозна сума дивідендів до сплати</w:t>
            </w:r>
          </w:p>
        </w:tc>
        <w:tc>
          <w:tcPr>
            <w:tcW w:w="7655" w:type="dxa"/>
            <w:tcBorders>
              <w:bottom w:val="single" w:sz="4" w:space="0" w:color="auto"/>
            </w:tcBorders>
            <w:vAlign w:val="center"/>
          </w:tcPr>
          <w:tbl>
            <w:tblPr>
              <w:tblStyle w:val="21"/>
              <w:tblpPr w:leftFromText="180" w:rightFromText="180" w:vertAnchor="text" w:horzAnchor="margin" w:tblpXSpec="center" w:tblpY="72"/>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268"/>
            </w:tblGrid>
            <w:tr w:rsidR="00166595" w:rsidRPr="00166595" w14:paraId="513F1CB7" w14:textId="77777777" w:rsidTr="00C35F8F">
              <w:trPr>
                <w:trHeight w:val="29"/>
              </w:trPr>
              <w:tc>
                <w:tcPr>
                  <w:tcW w:w="6268" w:type="dxa"/>
                </w:tcPr>
                <w:p w14:paraId="4A26E57F" w14:textId="77777777" w:rsidR="00166595" w:rsidRPr="00166595" w:rsidRDefault="00166595" w:rsidP="00FA7343">
                  <w:pPr>
                    <w:tabs>
                      <w:tab w:val="left" w:pos="851"/>
                      <w:tab w:val="left" w:pos="993"/>
                    </w:tabs>
                    <w:contextualSpacing/>
                    <w:jc w:val="center"/>
                    <w:rPr>
                      <w:szCs w:val="24"/>
                    </w:rPr>
                  </w:pPr>
                  <w:r w:rsidRPr="00166595">
                    <w:rPr>
                      <w:szCs w:val="24"/>
                    </w:rPr>
                    <w:t xml:space="preserve">Прогнозна сума дивідендів до сплати </w:t>
                  </w:r>
                </w:p>
              </w:tc>
            </w:tr>
            <w:tr w:rsidR="00166595" w:rsidRPr="00166595" w14:paraId="3BA4CAF3" w14:textId="77777777" w:rsidTr="00C35F8F">
              <w:trPr>
                <w:trHeight w:val="430"/>
              </w:trPr>
              <w:tc>
                <w:tcPr>
                  <w:tcW w:w="6268" w:type="dxa"/>
                </w:tcPr>
                <w:p w14:paraId="7D3D81AD" w14:textId="77777777" w:rsidR="00166595" w:rsidRPr="00166595" w:rsidRDefault="00166595" w:rsidP="00FA7343">
                  <w:pPr>
                    <w:tabs>
                      <w:tab w:val="left" w:pos="851"/>
                      <w:tab w:val="left" w:pos="993"/>
                    </w:tabs>
                    <w:contextualSpacing/>
                    <w:jc w:val="center"/>
                    <w:rPr>
                      <w:szCs w:val="24"/>
                    </w:rPr>
                  </w:pPr>
                  <w:r w:rsidRPr="00166595">
                    <w:rPr>
                      <w:szCs w:val="24"/>
                    </w:rPr>
                    <w:t>Прогнозна сума чистого прибутку звітного року</w:t>
                  </w:r>
                </w:p>
              </w:tc>
            </w:tr>
          </w:tbl>
          <w:p w14:paraId="3C0AA4EB" w14:textId="77777777" w:rsidR="00166595" w:rsidRPr="00166595" w:rsidRDefault="00166595" w:rsidP="00FA7343">
            <w:pPr>
              <w:tabs>
                <w:tab w:val="left" w:pos="851"/>
                <w:tab w:val="left" w:pos="1134"/>
                <w:tab w:val="left" w:pos="1276"/>
              </w:tabs>
              <w:ind w:left="29" w:right="-57"/>
              <w:jc w:val="center"/>
              <w:rPr>
                <w:strike/>
                <w:szCs w:val="24"/>
              </w:rPr>
            </w:pPr>
          </w:p>
        </w:tc>
      </w:tr>
      <w:tr w:rsidR="00166595" w:rsidRPr="00166595" w14:paraId="461C5426" w14:textId="77777777" w:rsidTr="00C35F8F">
        <w:trPr>
          <w:trHeight w:val="828"/>
        </w:trPr>
        <w:tc>
          <w:tcPr>
            <w:tcW w:w="851" w:type="dxa"/>
            <w:vAlign w:val="center"/>
          </w:tcPr>
          <w:p w14:paraId="78D0822D" w14:textId="77777777" w:rsidR="00166595" w:rsidRPr="00166595" w:rsidRDefault="00166595" w:rsidP="00FA7343">
            <w:pPr>
              <w:tabs>
                <w:tab w:val="left" w:pos="851"/>
                <w:tab w:val="left" w:pos="1134"/>
                <w:tab w:val="left" w:pos="1276"/>
              </w:tabs>
              <w:jc w:val="center"/>
              <w:rPr>
                <w:szCs w:val="24"/>
              </w:rPr>
            </w:pPr>
            <w:r w:rsidRPr="00166595">
              <w:rPr>
                <w:szCs w:val="24"/>
              </w:rPr>
              <w:t>3</w:t>
            </w:r>
          </w:p>
        </w:tc>
        <w:tc>
          <w:tcPr>
            <w:tcW w:w="5953" w:type="dxa"/>
            <w:vAlign w:val="center"/>
          </w:tcPr>
          <w:p w14:paraId="721EE704" w14:textId="77777777" w:rsidR="00166595" w:rsidRPr="00166595" w:rsidRDefault="00166595" w:rsidP="00FA7343">
            <w:pPr>
              <w:tabs>
                <w:tab w:val="left" w:pos="851"/>
                <w:tab w:val="left" w:pos="1134"/>
                <w:tab w:val="left" w:pos="1276"/>
              </w:tabs>
              <w:ind w:left="-57" w:right="-57"/>
              <w:rPr>
                <w:szCs w:val="24"/>
                <w:lang w:eastAsia="ru-RU"/>
              </w:rPr>
            </w:pPr>
            <w:r w:rsidRPr="00166595">
              <w:rPr>
                <w:szCs w:val="24"/>
                <w:lang w:eastAsia="ru-RU"/>
              </w:rPr>
              <w:t>Прогнозний відсоток чистого прибутку звітного року, що планується залишити в капіталі</w:t>
            </w:r>
          </w:p>
        </w:tc>
        <w:tc>
          <w:tcPr>
            <w:tcW w:w="7655" w:type="dxa"/>
            <w:tcBorders>
              <w:bottom w:val="single" w:sz="4" w:space="0" w:color="auto"/>
            </w:tcBorders>
            <w:vAlign w:val="center"/>
          </w:tcPr>
          <w:tbl>
            <w:tblPr>
              <w:tblStyle w:val="21"/>
              <w:tblpPr w:leftFromText="180" w:rightFromText="180" w:vertAnchor="text" w:horzAnchor="margin" w:tblpXSpec="center" w:tblpY="72"/>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011"/>
            </w:tblGrid>
            <w:tr w:rsidR="00166595" w:rsidRPr="00166595" w14:paraId="337EE21D" w14:textId="77777777" w:rsidTr="00C35F8F">
              <w:trPr>
                <w:trHeight w:val="21"/>
              </w:trPr>
              <w:tc>
                <w:tcPr>
                  <w:tcW w:w="7011" w:type="dxa"/>
                </w:tcPr>
                <w:p w14:paraId="2691693C" w14:textId="40CBABB8" w:rsidR="00166595" w:rsidRPr="00166595" w:rsidRDefault="00166595" w:rsidP="00A0078F">
                  <w:pPr>
                    <w:tabs>
                      <w:tab w:val="left" w:pos="851"/>
                      <w:tab w:val="left" w:pos="993"/>
                    </w:tabs>
                    <w:contextualSpacing/>
                    <w:jc w:val="center"/>
                    <w:rPr>
                      <w:szCs w:val="24"/>
                    </w:rPr>
                  </w:pPr>
                  <w:r w:rsidRPr="00166595">
                    <w:rPr>
                      <w:szCs w:val="24"/>
                    </w:rPr>
                    <w:t xml:space="preserve">(100% </w:t>
                  </w:r>
                  <w:r w:rsidR="00A0078F">
                    <w:rPr>
                      <w:szCs w:val="24"/>
                    </w:rPr>
                    <w:t>‒</w:t>
                  </w:r>
                  <w:r w:rsidRPr="00166595">
                    <w:rPr>
                      <w:szCs w:val="24"/>
                    </w:rPr>
                    <w:t xml:space="preserve"> прогнозний відсоток чистого прибутку звітного року, що планується залишити в капіталі)</w:t>
                  </w:r>
                </w:p>
              </w:tc>
            </w:tr>
            <w:tr w:rsidR="00166595" w:rsidRPr="00166595" w14:paraId="344BD290" w14:textId="77777777" w:rsidTr="00C35F8F">
              <w:trPr>
                <w:trHeight w:val="312"/>
              </w:trPr>
              <w:tc>
                <w:tcPr>
                  <w:tcW w:w="7011" w:type="dxa"/>
                </w:tcPr>
                <w:p w14:paraId="25B538AC" w14:textId="77777777" w:rsidR="00166595" w:rsidRPr="00166595" w:rsidRDefault="00166595" w:rsidP="00FA7343">
                  <w:pPr>
                    <w:tabs>
                      <w:tab w:val="left" w:pos="851"/>
                      <w:tab w:val="left" w:pos="993"/>
                    </w:tabs>
                    <w:contextualSpacing/>
                    <w:jc w:val="center"/>
                    <w:rPr>
                      <w:szCs w:val="24"/>
                    </w:rPr>
                  </w:pPr>
                  <w:r w:rsidRPr="00166595">
                    <w:rPr>
                      <w:szCs w:val="24"/>
                    </w:rPr>
                    <w:t>100</w:t>
                  </w:r>
                </w:p>
              </w:tc>
            </w:tr>
          </w:tbl>
          <w:p w14:paraId="5BD99B01" w14:textId="77777777" w:rsidR="00166595" w:rsidRPr="00166595" w:rsidRDefault="00166595" w:rsidP="00FA7343">
            <w:pPr>
              <w:tabs>
                <w:tab w:val="left" w:pos="851"/>
                <w:tab w:val="left" w:pos="1134"/>
                <w:tab w:val="left" w:pos="1276"/>
              </w:tabs>
              <w:ind w:left="29" w:right="-57"/>
              <w:jc w:val="center"/>
              <w:rPr>
                <w:szCs w:val="24"/>
              </w:rPr>
            </w:pPr>
          </w:p>
        </w:tc>
      </w:tr>
      <w:tr w:rsidR="00166595" w:rsidRPr="00166595" w14:paraId="05B3B2CA" w14:textId="77777777" w:rsidTr="00C35F8F">
        <w:trPr>
          <w:trHeight w:val="1563"/>
        </w:trPr>
        <w:tc>
          <w:tcPr>
            <w:tcW w:w="851" w:type="dxa"/>
            <w:vAlign w:val="center"/>
          </w:tcPr>
          <w:p w14:paraId="47D50707" w14:textId="77777777" w:rsidR="00166595" w:rsidRPr="00166595" w:rsidRDefault="00166595" w:rsidP="00FA7343">
            <w:pPr>
              <w:tabs>
                <w:tab w:val="left" w:pos="851"/>
                <w:tab w:val="left" w:pos="1134"/>
                <w:tab w:val="left" w:pos="1276"/>
              </w:tabs>
              <w:jc w:val="center"/>
              <w:rPr>
                <w:szCs w:val="24"/>
              </w:rPr>
            </w:pPr>
            <w:r w:rsidRPr="00166595">
              <w:rPr>
                <w:szCs w:val="24"/>
              </w:rPr>
              <w:t>4</w:t>
            </w:r>
          </w:p>
        </w:tc>
        <w:tc>
          <w:tcPr>
            <w:tcW w:w="5953" w:type="dxa"/>
            <w:vAlign w:val="center"/>
          </w:tcPr>
          <w:p w14:paraId="527B6D7C" w14:textId="77777777" w:rsidR="00166595" w:rsidRPr="00166595" w:rsidRDefault="00166595" w:rsidP="00FA7343">
            <w:pPr>
              <w:tabs>
                <w:tab w:val="left" w:pos="851"/>
                <w:tab w:val="left" w:pos="1134"/>
                <w:tab w:val="left" w:pos="1276"/>
              </w:tabs>
              <w:ind w:left="-57" w:right="-57"/>
              <w:rPr>
                <w:iCs/>
                <w:strike/>
                <w:szCs w:val="24"/>
              </w:rPr>
            </w:pPr>
            <w:r w:rsidRPr="00166595">
              <w:rPr>
                <w:szCs w:val="24"/>
                <w:lang w:eastAsia="ru-RU"/>
              </w:rPr>
              <w:t>Прогнозна сума чистого прибутку звітного року, що планується залишити в капіталі</w:t>
            </w:r>
          </w:p>
        </w:tc>
        <w:tc>
          <w:tcPr>
            <w:tcW w:w="7655" w:type="dxa"/>
          </w:tcPr>
          <w:tbl>
            <w:tblPr>
              <w:tblStyle w:val="21"/>
              <w:tblpPr w:leftFromText="180" w:rightFromText="180" w:vertAnchor="text" w:horzAnchor="margin" w:tblpXSpec="center" w:tblpY="72"/>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336"/>
            </w:tblGrid>
            <w:tr w:rsidR="00166595" w:rsidRPr="00166595" w14:paraId="57466A81" w14:textId="77777777" w:rsidTr="00C35F8F">
              <w:trPr>
                <w:trHeight w:val="268"/>
              </w:trPr>
              <w:tc>
                <w:tcPr>
                  <w:tcW w:w="6336" w:type="dxa"/>
                </w:tcPr>
                <w:p w14:paraId="642414FF" w14:textId="71A31FB3" w:rsidR="00166595" w:rsidRPr="00166595" w:rsidRDefault="00166595" w:rsidP="009F6C6A">
                  <w:pPr>
                    <w:tabs>
                      <w:tab w:val="left" w:pos="851"/>
                      <w:tab w:val="left" w:pos="993"/>
                    </w:tabs>
                    <w:contextualSpacing/>
                    <w:jc w:val="center"/>
                    <w:rPr>
                      <w:szCs w:val="24"/>
                    </w:rPr>
                  </w:pPr>
                  <w:r w:rsidRPr="00166595">
                    <w:rPr>
                      <w:szCs w:val="24"/>
                    </w:rPr>
                    <w:t>(Прогнозна сума чистого прибутку звітного року –  прогнозна сума чистого прибутку звітного року, що планується залишити в капіталі)</w:t>
                  </w:r>
                </w:p>
              </w:tc>
            </w:tr>
            <w:tr w:rsidR="00166595" w:rsidRPr="00166595" w14:paraId="564E8E84" w14:textId="77777777" w:rsidTr="00C35F8F">
              <w:trPr>
                <w:trHeight w:val="268"/>
              </w:trPr>
              <w:tc>
                <w:tcPr>
                  <w:tcW w:w="6336" w:type="dxa"/>
                </w:tcPr>
                <w:p w14:paraId="4370B7F8" w14:textId="77777777" w:rsidR="00166595" w:rsidRPr="00166595" w:rsidRDefault="00166595" w:rsidP="00FA7343">
                  <w:pPr>
                    <w:tabs>
                      <w:tab w:val="left" w:pos="851"/>
                      <w:tab w:val="left" w:pos="993"/>
                    </w:tabs>
                    <w:contextualSpacing/>
                    <w:jc w:val="center"/>
                    <w:rPr>
                      <w:szCs w:val="24"/>
                    </w:rPr>
                  </w:pPr>
                  <w:r w:rsidRPr="00166595">
                    <w:rPr>
                      <w:szCs w:val="24"/>
                    </w:rPr>
                    <w:t xml:space="preserve">Прогнозна сума чистого прибутку звітного року </w:t>
                  </w:r>
                </w:p>
              </w:tc>
            </w:tr>
          </w:tbl>
          <w:p w14:paraId="1EBE4D99" w14:textId="77777777" w:rsidR="00166595" w:rsidRPr="00166595" w:rsidRDefault="00166595" w:rsidP="00FA7343">
            <w:pPr>
              <w:tabs>
                <w:tab w:val="left" w:pos="851"/>
                <w:tab w:val="left" w:pos="1134"/>
                <w:tab w:val="left" w:pos="1276"/>
              </w:tabs>
              <w:ind w:left="29" w:right="-57"/>
              <w:jc w:val="center"/>
              <w:rPr>
                <w:strike/>
                <w:szCs w:val="24"/>
              </w:rPr>
            </w:pPr>
          </w:p>
        </w:tc>
      </w:tr>
    </w:tbl>
    <w:p w14:paraId="59DE9871" w14:textId="77777777" w:rsidR="00166595" w:rsidRPr="00166595" w:rsidRDefault="00166595" w:rsidP="00AA2CE1">
      <w:pPr>
        <w:shd w:val="clear" w:color="auto" w:fill="FFFFFF"/>
        <w:tabs>
          <w:tab w:val="left" w:pos="851"/>
        </w:tabs>
        <w:ind w:firstLine="720"/>
        <w:rPr>
          <w:rFonts w:ascii="Calibri" w:hAnsi="Calibri"/>
          <w:szCs w:val="24"/>
        </w:rPr>
      </w:pPr>
    </w:p>
    <w:p w14:paraId="4B8B1592" w14:textId="77777777" w:rsidR="00166595" w:rsidRPr="00166595" w:rsidRDefault="00166595" w:rsidP="00AA2CE1">
      <w:pPr>
        <w:shd w:val="clear" w:color="auto" w:fill="FFFFFF"/>
        <w:tabs>
          <w:tab w:val="left" w:pos="851"/>
        </w:tabs>
        <w:ind w:firstLine="720"/>
        <w:rPr>
          <w:rFonts w:ascii="Calibri" w:hAnsi="Calibri"/>
          <w:szCs w:val="24"/>
        </w:rPr>
      </w:pPr>
    </w:p>
    <w:p w14:paraId="31C758CF" w14:textId="77777777" w:rsidR="00166595" w:rsidRPr="00166595" w:rsidRDefault="00166595" w:rsidP="00AA2CE1">
      <w:pPr>
        <w:shd w:val="clear" w:color="auto" w:fill="FFFFFF"/>
        <w:tabs>
          <w:tab w:val="left" w:pos="851"/>
        </w:tabs>
        <w:ind w:firstLine="720"/>
        <w:rPr>
          <w:rFonts w:ascii="Calibri" w:hAnsi="Calibri"/>
          <w:szCs w:val="24"/>
        </w:rPr>
      </w:pPr>
    </w:p>
    <w:p w14:paraId="47A6BDB6" w14:textId="0B8968E7" w:rsidR="00166595" w:rsidRDefault="00166595" w:rsidP="00AA2CE1">
      <w:pPr>
        <w:shd w:val="clear" w:color="auto" w:fill="FFFFFF"/>
        <w:tabs>
          <w:tab w:val="left" w:pos="851"/>
        </w:tabs>
        <w:ind w:firstLine="720"/>
        <w:rPr>
          <w:rFonts w:ascii="Calibri" w:hAnsi="Calibri"/>
          <w:szCs w:val="24"/>
        </w:rPr>
      </w:pPr>
    </w:p>
    <w:p w14:paraId="318A1C04" w14:textId="0C7CA110" w:rsidR="00315250" w:rsidRDefault="00315250" w:rsidP="00AA2CE1">
      <w:pPr>
        <w:shd w:val="clear" w:color="auto" w:fill="FFFFFF"/>
        <w:tabs>
          <w:tab w:val="left" w:pos="851"/>
        </w:tabs>
        <w:ind w:firstLine="720"/>
        <w:rPr>
          <w:rFonts w:ascii="Calibri" w:hAnsi="Calibri"/>
          <w:szCs w:val="24"/>
        </w:rPr>
      </w:pPr>
    </w:p>
    <w:p w14:paraId="243B9385" w14:textId="77777777" w:rsidR="00315250" w:rsidRPr="00166595" w:rsidRDefault="00315250" w:rsidP="00AA2CE1">
      <w:pPr>
        <w:shd w:val="clear" w:color="auto" w:fill="FFFFFF"/>
        <w:tabs>
          <w:tab w:val="left" w:pos="851"/>
        </w:tabs>
        <w:ind w:firstLine="720"/>
        <w:rPr>
          <w:rFonts w:ascii="Calibri" w:hAnsi="Calibri"/>
          <w:szCs w:val="24"/>
        </w:rPr>
      </w:pPr>
    </w:p>
    <w:p w14:paraId="62C8D804" w14:textId="77777777" w:rsidR="00166595" w:rsidRPr="00166595" w:rsidRDefault="00166595" w:rsidP="00AA2CE1">
      <w:pPr>
        <w:shd w:val="clear" w:color="auto" w:fill="FFFFFF"/>
        <w:tabs>
          <w:tab w:val="left" w:pos="851"/>
        </w:tabs>
        <w:ind w:firstLine="720"/>
        <w:rPr>
          <w:rFonts w:ascii="Calibri" w:hAnsi="Calibri"/>
          <w:szCs w:val="24"/>
        </w:rPr>
      </w:pPr>
    </w:p>
    <w:p w14:paraId="444D91E4" w14:textId="77777777" w:rsidR="00A0078F" w:rsidRDefault="00A0078F" w:rsidP="00027866">
      <w:pPr>
        <w:shd w:val="clear" w:color="auto" w:fill="FFFFFF"/>
        <w:tabs>
          <w:tab w:val="left" w:pos="851"/>
        </w:tabs>
        <w:ind w:firstLine="567"/>
        <w:jc w:val="center"/>
        <w:rPr>
          <w:szCs w:val="24"/>
        </w:rPr>
      </w:pPr>
    </w:p>
    <w:p w14:paraId="54840AF6" w14:textId="60878BE8" w:rsidR="00166595" w:rsidRPr="00166595" w:rsidRDefault="00166595" w:rsidP="00027866">
      <w:pPr>
        <w:shd w:val="clear" w:color="auto" w:fill="FFFFFF"/>
        <w:tabs>
          <w:tab w:val="left" w:pos="851"/>
        </w:tabs>
        <w:ind w:firstLine="567"/>
        <w:jc w:val="center"/>
        <w:rPr>
          <w:szCs w:val="24"/>
          <w:lang w:eastAsia="ru-RU"/>
        </w:rPr>
      </w:pPr>
      <w:r w:rsidRPr="00166595">
        <w:rPr>
          <w:szCs w:val="24"/>
        </w:rPr>
        <w:lastRenderedPageBreak/>
        <w:t xml:space="preserve">3. Розрахунок значення </w:t>
      </w:r>
      <w:proofErr w:type="spellStart"/>
      <w:r w:rsidRPr="00166595">
        <w:rPr>
          <w:szCs w:val="24"/>
          <w:lang w:eastAsia="ru-RU"/>
        </w:rPr>
        <w:t>Коефіцієнта</w:t>
      </w:r>
      <w:r w:rsidRPr="00166595">
        <w:rPr>
          <w:szCs w:val="24"/>
          <w:vertAlign w:val="subscript"/>
          <w:lang w:eastAsia="ru-RU"/>
        </w:rPr>
        <w:t>div</w:t>
      </w:r>
      <w:proofErr w:type="spellEnd"/>
      <w:r w:rsidRPr="00166595">
        <w:rPr>
          <w:szCs w:val="24"/>
          <w:vertAlign w:val="subscript"/>
          <w:lang w:eastAsia="ru-RU"/>
        </w:rPr>
        <w:t xml:space="preserve"> </w:t>
      </w:r>
      <w:r w:rsidRPr="00166595">
        <w:rPr>
          <w:szCs w:val="24"/>
          <w:lang w:eastAsia="ru-RU"/>
        </w:rPr>
        <w:t>(1</w:t>
      </w:r>
      <w:r w:rsidRPr="00166595">
        <w:rPr>
          <w:szCs w:val="24"/>
          <w:vertAlign w:val="subscript"/>
          <w:lang w:eastAsia="ru-RU"/>
        </w:rPr>
        <w:t>р.</w:t>
      </w:r>
      <w:r w:rsidRPr="00166595">
        <w:rPr>
          <w:szCs w:val="24"/>
          <w:lang w:eastAsia="ru-RU"/>
        </w:rPr>
        <w:t>)</w:t>
      </w:r>
    </w:p>
    <w:p w14:paraId="68A553E2" w14:textId="77777777" w:rsidR="00166595" w:rsidRPr="00166595" w:rsidRDefault="00166595" w:rsidP="00AA2CE1">
      <w:pPr>
        <w:shd w:val="clear" w:color="auto" w:fill="FFFFFF"/>
        <w:tabs>
          <w:tab w:val="left" w:pos="851"/>
        </w:tabs>
        <w:ind w:left="568" w:right="-31" w:firstLine="720"/>
        <w:jc w:val="right"/>
        <w:rPr>
          <w:szCs w:val="24"/>
        </w:rPr>
      </w:pPr>
      <w:r w:rsidRPr="00166595">
        <w:rPr>
          <w:szCs w:val="24"/>
        </w:rPr>
        <w:t>Таблиця 3</w:t>
      </w:r>
    </w:p>
    <w:tbl>
      <w:tblPr>
        <w:tblStyle w:val="21"/>
        <w:tblW w:w="14459" w:type="dxa"/>
        <w:tblInd w:w="-5" w:type="dxa"/>
        <w:tblLook w:val="04A0" w:firstRow="1" w:lastRow="0" w:firstColumn="1" w:lastColumn="0" w:noHBand="0" w:noVBand="1"/>
      </w:tblPr>
      <w:tblGrid>
        <w:gridCol w:w="555"/>
        <w:gridCol w:w="6816"/>
        <w:gridCol w:w="7088"/>
      </w:tblGrid>
      <w:tr w:rsidR="00166595" w:rsidRPr="00166595" w14:paraId="78BABAC4" w14:textId="77777777" w:rsidTr="009D4348">
        <w:trPr>
          <w:trHeight w:val="162"/>
        </w:trPr>
        <w:tc>
          <w:tcPr>
            <w:tcW w:w="555" w:type="dxa"/>
          </w:tcPr>
          <w:p w14:paraId="2990011C" w14:textId="77777777" w:rsidR="00166595" w:rsidRPr="00166595" w:rsidRDefault="00166595" w:rsidP="00FA7343">
            <w:pPr>
              <w:tabs>
                <w:tab w:val="left" w:pos="851"/>
              </w:tabs>
              <w:jc w:val="right"/>
              <w:rPr>
                <w:szCs w:val="24"/>
                <w:lang w:eastAsia="ru-RU"/>
              </w:rPr>
            </w:pPr>
            <w:r w:rsidRPr="00166595">
              <w:rPr>
                <w:szCs w:val="24"/>
                <w:lang w:eastAsia="ru-RU"/>
              </w:rPr>
              <w:t>№ з/п</w:t>
            </w:r>
          </w:p>
        </w:tc>
        <w:tc>
          <w:tcPr>
            <w:tcW w:w="6816" w:type="dxa"/>
            <w:vAlign w:val="center"/>
          </w:tcPr>
          <w:p w14:paraId="14875A41" w14:textId="77777777" w:rsidR="00166595" w:rsidRPr="00166595" w:rsidRDefault="00166595" w:rsidP="00FA7343">
            <w:pPr>
              <w:tabs>
                <w:tab w:val="left" w:pos="851"/>
              </w:tabs>
              <w:jc w:val="center"/>
              <w:rPr>
                <w:szCs w:val="24"/>
                <w:lang w:eastAsia="ru-RU"/>
              </w:rPr>
            </w:pPr>
            <w:r w:rsidRPr="00166595">
              <w:rPr>
                <w:szCs w:val="24"/>
                <w:lang w:eastAsia="ru-RU"/>
              </w:rPr>
              <w:t xml:space="preserve">Критерії </w:t>
            </w:r>
          </w:p>
        </w:tc>
        <w:tc>
          <w:tcPr>
            <w:tcW w:w="7088" w:type="dxa"/>
            <w:vAlign w:val="center"/>
          </w:tcPr>
          <w:p w14:paraId="279E233E" w14:textId="26BC4AE0" w:rsidR="00166595" w:rsidRPr="00166595" w:rsidRDefault="00166595" w:rsidP="00FA7343">
            <w:pPr>
              <w:tabs>
                <w:tab w:val="left" w:pos="851"/>
              </w:tabs>
              <w:jc w:val="center"/>
              <w:rPr>
                <w:szCs w:val="24"/>
                <w:lang w:eastAsia="ru-RU"/>
              </w:rPr>
            </w:pPr>
            <w:r w:rsidRPr="00166595">
              <w:rPr>
                <w:szCs w:val="24"/>
                <w:lang w:eastAsia="ru-RU"/>
              </w:rPr>
              <w:t xml:space="preserve">Формула розрахунку </w:t>
            </w:r>
            <w:proofErr w:type="spellStart"/>
            <w:r w:rsidRPr="00166595">
              <w:rPr>
                <w:szCs w:val="24"/>
                <w:lang w:eastAsia="ru-RU"/>
              </w:rPr>
              <w:t>Коефіцієнт</w:t>
            </w:r>
            <w:r w:rsidR="006805E6">
              <w:rPr>
                <w:szCs w:val="24"/>
                <w:lang w:eastAsia="ru-RU"/>
              </w:rPr>
              <w:t>а</w:t>
            </w:r>
            <w:r w:rsidRPr="00166595">
              <w:rPr>
                <w:szCs w:val="24"/>
                <w:vertAlign w:val="subscript"/>
                <w:lang w:eastAsia="ru-RU"/>
              </w:rPr>
              <w:t>div</w:t>
            </w:r>
            <w:proofErr w:type="spellEnd"/>
            <w:r w:rsidRPr="00166595">
              <w:rPr>
                <w:szCs w:val="24"/>
                <w:vertAlign w:val="subscript"/>
                <w:lang w:eastAsia="ru-RU"/>
              </w:rPr>
              <w:t xml:space="preserve"> </w:t>
            </w:r>
            <w:r w:rsidRPr="00166595">
              <w:rPr>
                <w:szCs w:val="24"/>
                <w:lang w:eastAsia="ru-RU"/>
              </w:rPr>
              <w:t>(1</w:t>
            </w:r>
            <w:r w:rsidRPr="00166595">
              <w:rPr>
                <w:szCs w:val="24"/>
                <w:vertAlign w:val="subscript"/>
                <w:lang w:eastAsia="ru-RU"/>
              </w:rPr>
              <w:t>р.</w:t>
            </w:r>
            <w:r w:rsidRPr="00166595">
              <w:rPr>
                <w:szCs w:val="24"/>
                <w:lang w:eastAsia="ru-RU"/>
              </w:rPr>
              <w:t xml:space="preserve">)/значення </w:t>
            </w:r>
            <w:proofErr w:type="spellStart"/>
            <w:r w:rsidRPr="00166595">
              <w:rPr>
                <w:szCs w:val="24"/>
                <w:lang w:eastAsia="ru-RU"/>
              </w:rPr>
              <w:t>Коефіцієнт</w:t>
            </w:r>
            <w:r w:rsidR="006805E6">
              <w:rPr>
                <w:szCs w:val="24"/>
                <w:lang w:eastAsia="ru-RU"/>
              </w:rPr>
              <w:t>а</w:t>
            </w:r>
            <w:r w:rsidRPr="00166595">
              <w:rPr>
                <w:szCs w:val="24"/>
                <w:vertAlign w:val="subscript"/>
                <w:lang w:eastAsia="ru-RU"/>
              </w:rPr>
              <w:t>div</w:t>
            </w:r>
            <w:proofErr w:type="spellEnd"/>
            <w:r w:rsidRPr="00166595">
              <w:rPr>
                <w:szCs w:val="24"/>
                <w:vertAlign w:val="subscript"/>
                <w:lang w:eastAsia="ru-RU"/>
              </w:rPr>
              <w:t xml:space="preserve"> </w:t>
            </w:r>
            <w:r w:rsidRPr="00166595">
              <w:rPr>
                <w:szCs w:val="24"/>
                <w:lang w:eastAsia="ru-RU"/>
              </w:rPr>
              <w:t>(1</w:t>
            </w:r>
            <w:r w:rsidRPr="00166595">
              <w:rPr>
                <w:szCs w:val="24"/>
                <w:vertAlign w:val="subscript"/>
                <w:lang w:eastAsia="ru-RU"/>
              </w:rPr>
              <w:t>р.</w:t>
            </w:r>
            <w:r w:rsidRPr="00166595">
              <w:rPr>
                <w:szCs w:val="24"/>
                <w:lang w:eastAsia="ru-RU"/>
              </w:rPr>
              <w:t>)</w:t>
            </w:r>
          </w:p>
        </w:tc>
      </w:tr>
      <w:tr w:rsidR="00166595" w:rsidRPr="00166595" w14:paraId="5C3C4500" w14:textId="77777777" w:rsidTr="009D4348">
        <w:trPr>
          <w:trHeight w:val="224"/>
        </w:trPr>
        <w:tc>
          <w:tcPr>
            <w:tcW w:w="555" w:type="dxa"/>
          </w:tcPr>
          <w:p w14:paraId="2E9BE8B7" w14:textId="77777777" w:rsidR="00166595" w:rsidRPr="00166595" w:rsidRDefault="00166595" w:rsidP="00FA7343">
            <w:pPr>
              <w:tabs>
                <w:tab w:val="left" w:pos="851"/>
              </w:tabs>
              <w:jc w:val="center"/>
              <w:rPr>
                <w:szCs w:val="24"/>
                <w:lang w:eastAsia="ru-RU"/>
              </w:rPr>
            </w:pPr>
            <w:r w:rsidRPr="00166595">
              <w:rPr>
                <w:szCs w:val="24"/>
                <w:lang w:eastAsia="ru-RU"/>
              </w:rPr>
              <w:t>1</w:t>
            </w:r>
          </w:p>
        </w:tc>
        <w:tc>
          <w:tcPr>
            <w:tcW w:w="6816" w:type="dxa"/>
          </w:tcPr>
          <w:p w14:paraId="2E3B8388" w14:textId="77777777" w:rsidR="00166595" w:rsidRPr="00166595" w:rsidRDefault="00166595" w:rsidP="00FA7343">
            <w:pPr>
              <w:tabs>
                <w:tab w:val="left" w:pos="851"/>
              </w:tabs>
              <w:jc w:val="center"/>
              <w:rPr>
                <w:szCs w:val="24"/>
              </w:rPr>
            </w:pPr>
            <w:r w:rsidRPr="00166595">
              <w:rPr>
                <w:szCs w:val="24"/>
              </w:rPr>
              <w:t>2</w:t>
            </w:r>
          </w:p>
        </w:tc>
        <w:tc>
          <w:tcPr>
            <w:tcW w:w="7088" w:type="dxa"/>
          </w:tcPr>
          <w:p w14:paraId="3C31C416" w14:textId="77777777" w:rsidR="00166595" w:rsidRPr="00166595" w:rsidRDefault="00166595" w:rsidP="00FA7343">
            <w:pPr>
              <w:tabs>
                <w:tab w:val="left" w:pos="851"/>
                <w:tab w:val="left" w:pos="993"/>
              </w:tabs>
              <w:contextualSpacing/>
              <w:jc w:val="center"/>
              <w:rPr>
                <w:szCs w:val="24"/>
              </w:rPr>
            </w:pPr>
            <w:r w:rsidRPr="00166595">
              <w:rPr>
                <w:szCs w:val="24"/>
              </w:rPr>
              <w:t>3</w:t>
            </w:r>
          </w:p>
        </w:tc>
      </w:tr>
      <w:tr w:rsidR="00166595" w:rsidRPr="00166595" w14:paraId="5EEB7E6C" w14:textId="77777777" w:rsidTr="009D4348">
        <w:trPr>
          <w:trHeight w:val="803"/>
        </w:trPr>
        <w:tc>
          <w:tcPr>
            <w:tcW w:w="555" w:type="dxa"/>
            <w:vAlign w:val="center"/>
          </w:tcPr>
          <w:p w14:paraId="0F2FF602" w14:textId="77777777" w:rsidR="00166595" w:rsidRPr="00166595" w:rsidRDefault="00166595" w:rsidP="00FA7343">
            <w:pPr>
              <w:tabs>
                <w:tab w:val="left" w:pos="851"/>
              </w:tabs>
              <w:jc w:val="center"/>
              <w:rPr>
                <w:szCs w:val="24"/>
                <w:lang w:eastAsia="ru-RU"/>
              </w:rPr>
            </w:pPr>
            <w:r w:rsidRPr="00166595">
              <w:rPr>
                <w:szCs w:val="24"/>
                <w:lang w:eastAsia="ru-RU"/>
              </w:rPr>
              <w:t>1</w:t>
            </w:r>
          </w:p>
        </w:tc>
        <w:tc>
          <w:tcPr>
            <w:tcW w:w="6816" w:type="dxa"/>
          </w:tcPr>
          <w:p w14:paraId="3DFD5882" w14:textId="77777777" w:rsidR="00166595" w:rsidRPr="00166595" w:rsidRDefault="00166595" w:rsidP="00FA7343">
            <w:pPr>
              <w:tabs>
                <w:tab w:val="left" w:pos="851"/>
              </w:tabs>
              <w:rPr>
                <w:szCs w:val="24"/>
                <w:lang w:eastAsia="ru-RU"/>
              </w:rPr>
            </w:pPr>
            <w:r w:rsidRPr="00166595">
              <w:rPr>
                <w:szCs w:val="24"/>
              </w:rPr>
              <w:t xml:space="preserve">Наявне рішення загальних зборів щодо розподілу прибутку </w:t>
            </w:r>
            <w:r w:rsidRPr="00166595">
              <w:rPr>
                <w:iCs/>
                <w:szCs w:val="24"/>
              </w:rPr>
              <w:t>(далі – рішення щодо розподілу прибутку)</w:t>
            </w:r>
          </w:p>
        </w:tc>
        <w:tc>
          <w:tcPr>
            <w:tcW w:w="7088" w:type="dxa"/>
          </w:tcPr>
          <w:tbl>
            <w:tblPr>
              <w:tblW w:w="3820" w:type="pct"/>
              <w:jc w:val="center"/>
              <w:tblCellSpacing w:w="22" w:type="dxa"/>
              <w:tblCellMar>
                <w:top w:w="30" w:type="dxa"/>
                <w:left w:w="30" w:type="dxa"/>
                <w:bottom w:w="30" w:type="dxa"/>
                <w:right w:w="30" w:type="dxa"/>
              </w:tblCellMar>
              <w:tblLook w:val="04A0" w:firstRow="1" w:lastRow="0" w:firstColumn="1" w:lastColumn="0" w:noHBand="0" w:noVBand="1"/>
            </w:tblPr>
            <w:tblGrid>
              <w:gridCol w:w="5250"/>
            </w:tblGrid>
            <w:tr w:rsidR="00166595" w:rsidRPr="00166595" w14:paraId="6CF66FBB" w14:textId="77777777" w:rsidTr="00C35F8F">
              <w:trPr>
                <w:trHeight w:val="639"/>
                <w:tblCellSpacing w:w="22" w:type="dxa"/>
                <w:jc w:val="center"/>
              </w:trPr>
              <w:tc>
                <w:tcPr>
                  <w:tcW w:w="4929" w:type="pct"/>
                </w:tcPr>
                <w:tbl>
                  <w:tblPr>
                    <w:tblStyle w:val="21"/>
                    <w:tblpPr w:leftFromText="180" w:rightFromText="180" w:vertAnchor="text" w:horzAnchor="margin" w:tblpXSpec="center" w:tblpY="72"/>
                    <w:tblOverlap w:val="never"/>
                    <w:tblW w:w="484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43"/>
                  </w:tblGrid>
                  <w:tr w:rsidR="00166595" w:rsidRPr="00166595" w14:paraId="20347804" w14:textId="77777777" w:rsidTr="00C35F8F">
                    <w:trPr>
                      <w:trHeight w:val="211"/>
                    </w:trPr>
                    <w:tc>
                      <w:tcPr>
                        <w:tcW w:w="4843" w:type="dxa"/>
                      </w:tcPr>
                      <w:p w14:paraId="3B394C64" w14:textId="77777777" w:rsidR="00166595" w:rsidRPr="00166595" w:rsidRDefault="00166595" w:rsidP="00FA7343">
                        <w:pPr>
                          <w:tabs>
                            <w:tab w:val="left" w:pos="851"/>
                            <w:tab w:val="left" w:pos="993"/>
                          </w:tabs>
                          <w:contextualSpacing/>
                          <w:jc w:val="center"/>
                          <w:rPr>
                            <w:szCs w:val="24"/>
                          </w:rPr>
                        </w:pPr>
                        <w:r w:rsidRPr="00166595">
                          <w:rPr>
                            <w:szCs w:val="24"/>
                          </w:rPr>
                          <w:t xml:space="preserve">Сума дивідендів до сплати згідно з рішенням щодо розподілу прибутку </w:t>
                        </w:r>
                      </w:p>
                    </w:tc>
                  </w:tr>
                  <w:tr w:rsidR="00166595" w:rsidRPr="00166595" w14:paraId="75D5331B" w14:textId="77777777" w:rsidTr="00C35F8F">
                    <w:trPr>
                      <w:trHeight w:val="211"/>
                    </w:trPr>
                    <w:tc>
                      <w:tcPr>
                        <w:tcW w:w="4843" w:type="dxa"/>
                      </w:tcPr>
                      <w:p w14:paraId="17ECE335" w14:textId="77777777" w:rsidR="00166595" w:rsidRPr="00166595" w:rsidRDefault="00166595" w:rsidP="00FA7343">
                        <w:pPr>
                          <w:tabs>
                            <w:tab w:val="left" w:pos="851"/>
                            <w:tab w:val="left" w:pos="993"/>
                          </w:tabs>
                          <w:contextualSpacing/>
                          <w:jc w:val="center"/>
                          <w:rPr>
                            <w:szCs w:val="24"/>
                          </w:rPr>
                        </w:pPr>
                        <w:r w:rsidRPr="00166595">
                          <w:rPr>
                            <w:szCs w:val="24"/>
                          </w:rPr>
                          <w:t>Сума чистого прибутку за звітний рік</w:t>
                        </w:r>
                      </w:p>
                    </w:tc>
                  </w:tr>
                </w:tbl>
                <w:p w14:paraId="0F167E42" w14:textId="77777777" w:rsidR="00166595" w:rsidRPr="00166595" w:rsidRDefault="00166595" w:rsidP="00FA7343">
                  <w:pPr>
                    <w:jc w:val="center"/>
                    <w:rPr>
                      <w:szCs w:val="24"/>
                    </w:rPr>
                  </w:pPr>
                </w:p>
              </w:tc>
            </w:tr>
          </w:tbl>
          <w:p w14:paraId="45295D42" w14:textId="77777777" w:rsidR="00166595" w:rsidRPr="00166595" w:rsidRDefault="00166595" w:rsidP="00FA7343">
            <w:pPr>
              <w:tabs>
                <w:tab w:val="left" w:pos="851"/>
                <w:tab w:val="left" w:pos="1134"/>
                <w:tab w:val="left" w:pos="1276"/>
              </w:tabs>
              <w:ind w:left="29" w:right="-57"/>
              <w:jc w:val="center"/>
              <w:rPr>
                <w:szCs w:val="24"/>
                <w:lang w:eastAsia="ru-RU"/>
              </w:rPr>
            </w:pPr>
          </w:p>
        </w:tc>
      </w:tr>
      <w:tr w:rsidR="00166595" w:rsidRPr="00166595" w14:paraId="1FBCCB7C" w14:textId="77777777" w:rsidTr="009D4348">
        <w:trPr>
          <w:trHeight w:val="1041"/>
        </w:trPr>
        <w:tc>
          <w:tcPr>
            <w:tcW w:w="555" w:type="dxa"/>
            <w:vAlign w:val="center"/>
          </w:tcPr>
          <w:p w14:paraId="0B5DE016" w14:textId="77777777" w:rsidR="00166595" w:rsidRPr="00166595" w:rsidRDefault="00166595" w:rsidP="00FA7343">
            <w:pPr>
              <w:tabs>
                <w:tab w:val="left" w:pos="851"/>
              </w:tabs>
              <w:jc w:val="center"/>
              <w:rPr>
                <w:szCs w:val="24"/>
                <w:lang w:eastAsia="ru-RU"/>
              </w:rPr>
            </w:pPr>
            <w:r w:rsidRPr="00166595">
              <w:rPr>
                <w:szCs w:val="24"/>
                <w:lang w:eastAsia="ru-RU"/>
              </w:rPr>
              <w:t>2</w:t>
            </w:r>
          </w:p>
        </w:tc>
        <w:tc>
          <w:tcPr>
            <w:tcW w:w="6816" w:type="dxa"/>
          </w:tcPr>
          <w:p w14:paraId="2B6A6038" w14:textId="4B0F29DC" w:rsidR="00166595" w:rsidRPr="00166595" w:rsidRDefault="00A0078F" w:rsidP="00FA7343">
            <w:pPr>
              <w:shd w:val="clear" w:color="auto" w:fill="FFFFFF"/>
              <w:tabs>
                <w:tab w:val="left" w:pos="851"/>
              </w:tabs>
              <w:rPr>
                <w:szCs w:val="24"/>
              </w:rPr>
            </w:pPr>
            <w:r>
              <w:rPr>
                <w:szCs w:val="24"/>
              </w:rPr>
              <w:t>Немає</w:t>
            </w:r>
            <w:r w:rsidR="00166595" w:rsidRPr="00166595">
              <w:rPr>
                <w:szCs w:val="24"/>
              </w:rPr>
              <w:t xml:space="preserve"> рішення щодо розподілу прибутку.</w:t>
            </w:r>
          </w:p>
          <w:p w14:paraId="2AFA0EF9" w14:textId="77777777" w:rsidR="00166595" w:rsidRPr="00166595" w:rsidRDefault="00166595" w:rsidP="00FA7343">
            <w:pPr>
              <w:shd w:val="clear" w:color="auto" w:fill="FFFFFF"/>
              <w:tabs>
                <w:tab w:val="left" w:pos="851"/>
              </w:tabs>
              <w:rPr>
                <w:szCs w:val="24"/>
                <w:lang w:eastAsia="ru-RU"/>
              </w:rPr>
            </w:pPr>
            <w:r w:rsidRPr="00166595">
              <w:rPr>
                <w:szCs w:val="24"/>
              </w:rPr>
              <w:t>Наявна дивідендна політика, яка містить прогнозний відсоток дивідендів до сплати</w:t>
            </w:r>
          </w:p>
        </w:tc>
        <w:tc>
          <w:tcPr>
            <w:tcW w:w="7088" w:type="dxa"/>
          </w:tcPr>
          <w:tbl>
            <w:tblPr>
              <w:tblStyle w:val="21"/>
              <w:tblpPr w:leftFromText="180" w:rightFromText="180" w:vertAnchor="text" w:horzAnchor="margin" w:tblpXSpec="center" w:tblpY="72"/>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08"/>
            </w:tblGrid>
            <w:tr w:rsidR="00166595" w:rsidRPr="00166595" w14:paraId="3AB9FAF9" w14:textId="77777777" w:rsidTr="00C35F8F">
              <w:trPr>
                <w:trHeight w:val="192"/>
              </w:trPr>
              <w:tc>
                <w:tcPr>
                  <w:tcW w:w="5708" w:type="dxa"/>
                </w:tcPr>
                <w:p w14:paraId="561D3D00" w14:textId="77777777" w:rsidR="00166595" w:rsidRPr="00166595" w:rsidRDefault="00166595" w:rsidP="00FA7343">
                  <w:pPr>
                    <w:tabs>
                      <w:tab w:val="left" w:pos="851"/>
                      <w:tab w:val="left" w:pos="993"/>
                    </w:tabs>
                    <w:contextualSpacing/>
                    <w:jc w:val="center"/>
                    <w:rPr>
                      <w:szCs w:val="24"/>
                    </w:rPr>
                  </w:pPr>
                  <w:r w:rsidRPr="00166595">
                    <w:rPr>
                      <w:szCs w:val="24"/>
                    </w:rPr>
                    <w:t>Прогнозний відсоток дивідендів до сплати за звітний рік згідно з дивідендною політикою</w:t>
                  </w:r>
                </w:p>
              </w:tc>
            </w:tr>
            <w:tr w:rsidR="00166595" w:rsidRPr="00166595" w14:paraId="5C811429" w14:textId="77777777" w:rsidTr="00C35F8F">
              <w:trPr>
                <w:trHeight w:val="192"/>
              </w:trPr>
              <w:tc>
                <w:tcPr>
                  <w:tcW w:w="5708" w:type="dxa"/>
                </w:tcPr>
                <w:p w14:paraId="0BDDF15C" w14:textId="77777777" w:rsidR="00166595" w:rsidRPr="00166595" w:rsidRDefault="00166595" w:rsidP="00FA7343">
                  <w:pPr>
                    <w:tabs>
                      <w:tab w:val="left" w:pos="851"/>
                      <w:tab w:val="left" w:pos="993"/>
                    </w:tabs>
                    <w:contextualSpacing/>
                    <w:jc w:val="center"/>
                    <w:rPr>
                      <w:szCs w:val="24"/>
                    </w:rPr>
                  </w:pPr>
                  <w:r w:rsidRPr="00166595">
                    <w:rPr>
                      <w:szCs w:val="24"/>
                    </w:rPr>
                    <w:t>100</w:t>
                  </w:r>
                </w:p>
              </w:tc>
            </w:tr>
          </w:tbl>
          <w:p w14:paraId="5EEF5C82" w14:textId="77777777" w:rsidR="00166595" w:rsidRPr="00166595" w:rsidRDefault="00166595" w:rsidP="00FA7343">
            <w:pPr>
              <w:tabs>
                <w:tab w:val="left" w:pos="851"/>
              </w:tabs>
              <w:jc w:val="right"/>
              <w:rPr>
                <w:szCs w:val="24"/>
                <w:lang w:eastAsia="ru-RU"/>
              </w:rPr>
            </w:pPr>
          </w:p>
        </w:tc>
      </w:tr>
      <w:tr w:rsidR="00166595" w:rsidRPr="00166595" w14:paraId="50390860" w14:textId="77777777" w:rsidTr="009D4348">
        <w:trPr>
          <w:trHeight w:val="1592"/>
        </w:trPr>
        <w:tc>
          <w:tcPr>
            <w:tcW w:w="555" w:type="dxa"/>
            <w:vAlign w:val="center"/>
          </w:tcPr>
          <w:p w14:paraId="28D708E0" w14:textId="77777777" w:rsidR="00166595" w:rsidRPr="00166595" w:rsidRDefault="00166595" w:rsidP="00FA7343">
            <w:pPr>
              <w:tabs>
                <w:tab w:val="left" w:pos="851"/>
              </w:tabs>
              <w:jc w:val="center"/>
              <w:rPr>
                <w:szCs w:val="24"/>
                <w:lang w:eastAsia="ru-RU"/>
              </w:rPr>
            </w:pPr>
            <w:r w:rsidRPr="00166595">
              <w:rPr>
                <w:szCs w:val="24"/>
                <w:lang w:eastAsia="ru-RU"/>
              </w:rPr>
              <w:t>3</w:t>
            </w:r>
          </w:p>
        </w:tc>
        <w:tc>
          <w:tcPr>
            <w:tcW w:w="6816" w:type="dxa"/>
          </w:tcPr>
          <w:p w14:paraId="5C7C2F06" w14:textId="1FC5A9F3" w:rsidR="00166595" w:rsidRPr="00166595" w:rsidRDefault="00A0078F" w:rsidP="00FA7343">
            <w:pPr>
              <w:shd w:val="clear" w:color="auto" w:fill="FFFFFF"/>
              <w:tabs>
                <w:tab w:val="left" w:pos="851"/>
              </w:tabs>
              <w:rPr>
                <w:szCs w:val="24"/>
              </w:rPr>
            </w:pPr>
            <w:r>
              <w:rPr>
                <w:szCs w:val="24"/>
              </w:rPr>
              <w:t>Немає</w:t>
            </w:r>
            <w:r w:rsidR="00166595" w:rsidRPr="00166595">
              <w:rPr>
                <w:szCs w:val="24"/>
              </w:rPr>
              <w:t xml:space="preserve"> рішення щодо розподілу прибутку.</w:t>
            </w:r>
          </w:p>
          <w:p w14:paraId="2324D51E" w14:textId="7E9192E2" w:rsidR="00166595" w:rsidRPr="00166595" w:rsidRDefault="00A0078F" w:rsidP="00FA7343">
            <w:pPr>
              <w:shd w:val="clear" w:color="auto" w:fill="FFFFFF"/>
              <w:tabs>
                <w:tab w:val="left" w:pos="851"/>
              </w:tabs>
              <w:rPr>
                <w:szCs w:val="24"/>
              </w:rPr>
            </w:pPr>
            <w:r>
              <w:rPr>
                <w:szCs w:val="24"/>
              </w:rPr>
              <w:t>Немає</w:t>
            </w:r>
            <w:r w:rsidR="00166595" w:rsidRPr="00166595">
              <w:rPr>
                <w:szCs w:val="24"/>
              </w:rPr>
              <w:t xml:space="preserve"> дивідендн</w:t>
            </w:r>
            <w:r>
              <w:rPr>
                <w:szCs w:val="24"/>
              </w:rPr>
              <w:t>ої</w:t>
            </w:r>
            <w:r w:rsidR="00166595" w:rsidRPr="00166595">
              <w:rPr>
                <w:szCs w:val="24"/>
              </w:rPr>
              <w:t xml:space="preserve"> політик</w:t>
            </w:r>
            <w:r>
              <w:rPr>
                <w:szCs w:val="24"/>
              </w:rPr>
              <w:t>и</w:t>
            </w:r>
            <w:r w:rsidR="00166595" w:rsidRPr="00166595">
              <w:rPr>
                <w:szCs w:val="24"/>
              </w:rPr>
              <w:t>.</w:t>
            </w:r>
          </w:p>
          <w:p w14:paraId="5710B4DE" w14:textId="77777777" w:rsidR="00166595" w:rsidRPr="00166595" w:rsidRDefault="00166595" w:rsidP="00FA7343">
            <w:pPr>
              <w:shd w:val="clear" w:color="auto" w:fill="FFFFFF"/>
              <w:tabs>
                <w:tab w:val="left" w:pos="851"/>
              </w:tabs>
              <w:rPr>
                <w:strike/>
                <w:szCs w:val="24"/>
                <w:lang w:eastAsia="ru-RU"/>
              </w:rPr>
            </w:pPr>
            <w:r w:rsidRPr="00166595">
              <w:rPr>
                <w:szCs w:val="24"/>
              </w:rPr>
              <w:t>За результатами звітного року отримано прибуток та розмір резервного фонду (капіталу) відповідає вимогам, визначеним законодавством</w:t>
            </w:r>
          </w:p>
        </w:tc>
        <w:tc>
          <w:tcPr>
            <w:tcW w:w="7088" w:type="dxa"/>
            <w:vAlign w:val="center"/>
          </w:tcPr>
          <w:p w14:paraId="36F781BD" w14:textId="77777777" w:rsidR="00166595" w:rsidRPr="00166595" w:rsidRDefault="00166595" w:rsidP="00FA7343">
            <w:pPr>
              <w:tabs>
                <w:tab w:val="left" w:pos="851"/>
              </w:tabs>
              <w:jc w:val="center"/>
              <w:rPr>
                <w:szCs w:val="24"/>
                <w:lang w:eastAsia="ru-RU"/>
              </w:rPr>
            </w:pPr>
            <w:r w:rsidRPr="00166595">
              <w:rPr>
                <w:szCs w:val="24"/>
                <w:lang w:eastAsia="ru-RU"/>
              </w:rPr>
              <w:t>1</w:t>
            </w:r>
          </w:p>
        </w:tc>
      </w:tr>
      <w:tr w:rsidR="009D4348" w:rsidRPr="00166595" w14:paraId="37827924" w14:textId="77777777" w:rsidTr="00C35F8F">
        <w:trPr>
          <w:trHeight w:val="845"/>
        </w:trPr>
        <w:tc>
          <w:tcPr>
            <w:tcW w:w="555" w:type="dxa"/>
            <w:vAlign w:val="center"/>
          </w:tcPr>
          <w:p w14:paraId="094D70F5" w14:textId="77777777" w:rsidR="009D4348" w:rsidRPr="00166595" w:rsidRDefault="009D4348" w:rsidP="00FA7343">
            <w:pPr>
              <w:tabs>
                <w:tab w:val="left" w:pos="851"/>
              </w:tabs>
              <w:jc w:val="center"/>
              <w:rPr>
                <w:szCs w:val="24"/>
                <w:lang w:eastAsia="ru-RU"/>
              </w:rPr>
            </w:pPr>
            <w:r w:rsidRPr="00166595">
              <w:rPr>
                <w:szCs w:val="24"/>
                <w:lang w:eastAsia="ru-RU"/>
              </w:rPr>
              <w:t>4</w:t>
            </w:r>
          </w:p>
        </w:tc>
        <w:tc>
          <w:tcPr>
            <w:tcW w:w="6816" w:type="dxa"/>
          </w:tcPr>
          <w:p w14:paraId="7AF3142F" w14:textId="31BCDC8B" w:rsidR="009D4348" w:rsidRPr="00166595" w:rsidRDefault="00A0078F" w:rsidP="00FA7343">
            <w:pPr>
              <w:shd w:val="clear" w:color="auto" w:fill="FFFFFF"/>
              <w:tabs>
                <w:tab w:val="left" w:pos="851"/>
              </w:tabs>
              <w:rPr>
                <w:szCs w:val="24"/>
              </w:rPr>
            </w:pPr>
            <w:r>
              <w:rPr>
                <w:szCs w:val="24"/>
              </w:rPr>
              <w:t>Немає</w:t>
            </w:r>
            <w:r w:rsidR="009D4348" w:rsidRPr="00166595">
              <w:rPr>
                <w:szCs w:val="24"/>
              </w:rPr>
              <w:t xml:space="preserve"> рішення щодо розподілу прибутку</w:t>
            </w:r>
            <w:r>
              <w:rPr>
                <w:szCs w:val="24"/>
              </w:rPr>
              <w:t>.</w:t>
            </w:r>
          </w:p>
          <w:p w14:paraId="5A5A3D38" w14:textId="5B645912" w:rsidR="009D4348" w:rsidRPr="00166595" w:rsidRDefault="00A0078F" w:rsidP="00FA7343">
            <w:pPr>
              <w:shd w:val="clear" w:color="auto" w:fill="FFFFFF"/>
              <w:tabs>
                <w:tab w:val="left" w:pos="851"/>
              </w:tabs>
              <w:rPr>
                <w:szCs w:val="24"/>
              </w:rPr>
            </w:pPr>
            <w:r>
              <w:rPr>
                <w:szCs w:val="24"/>
              </w:rPr>
              <w:t>Немає</w:t>
            </w:r>
            <w:r w:rsidRPr="00166595">
              <w:rPr>
                <w:szCs w:val="24"/>
              </w:rPr>
              <w:t xml:space="preserve"> </w:t>
            </w:r>
            <w:r w:rsidR="009D4348" w:rsidRPr="00166595">
              <w:rPr>
                <w:szCs w:val="24"/>
              </w:rPr>
              <w:t>дивідендн</w:t>
            </w:r>
            <w:r>
              <w:rPr>
                <w:szCs w:val="24"/>
              </w:rPr>
              <w:t>ої</w:t>
            </w:r>
            <w:r w:rsidR="009D4348" w:rsidRPr="00166595">
              <w:rPr>
                <w:szCs w:val="24"/>
              </w:rPr>
              <w:t xml:space="preserve"> політик</w:t>
            </w:r>
            <w:r>
              <w:rPr>
                <w:szCs w:val="24"/>
              </w:rPr>
              <w:t>и.</w:t>
            </w:r>
            <w:r w:rsidR="009D4348" w:rsidRPr="00166595">
              <w:rPr>
                <w:szCs w:val="24"/>
              </w:rPr>
              <w:t xml:space="preserve"> </w:t>
            </w:r>
          </w:p>
          <w:p w14:paraId="52EB67C8" w14:textId="77777777" w:rsidR="009D4348" w:rsidRPr="00166595" w:rsidRDefault="009D4348" w:rsidP="00FA7343">
            <w:pPr>
              <w:shd w:val="clear" w:color="auto" w:fill="FFFFFF"/>
              <w:tabs>
                <w:tab w:val="left" w:pos="851"/>
              </w:tabs>
              <w:rPr>
                <w:szCs w:val="24"/>
              </w:rPr>
            </w:pPr>
            <w:r w:rsidRPr="00166595">
              <w:rPr>
                <w:szCs w:val="24"/>
              </w:rPr>
              <w:t>За результатами звітного року отримано прибуток, але резервний фонд (капітал) не сформовано в розмірі, визначеному законодавством</w:t>
            </w:r>
          </w:p>
        </w:tc>
        <w:tc>
          <w:tcPr>
            <w:tcW w:w="7088" w:type="dxa"/>
            <w:vAlign w:val="center"/>
          </w:tcPr>
          <w:p w14:paraId="62773407" w14:textId="77777777" w:rsidR="00A0078F" w:rsidRDefault="009D4348" w:rsidP="00FA7343">
            <w:pPr>
              <w:tabs>
                <w:tab w:val="left" w:pos="851"/>
              </w:tabs>
              <w:jc w:val="center"/>
              <w:rPr>
                <w:szCs w:val="24"/>
                <w:lang w:eastAsia="ru-RU"/>
              </w:rPr>
            </w:pPr>
            <w:r w:rsidRPr="00166595">
              <w:rPr>
                <w:szCs w:val="24"/>
                <w:lang w:eastAsia="ru-RU"/>
              </w:rPr>
              <w:t xml:space="preserve">1 –  </w:t>
            </w:r>
            <w:proofErr w:type="spellStart"/>
            <w:r w:rsidRPr="00166595">
              <w:rPr>
                <w:szCs w:val="24"/>
                <w:lang w:eastAsia="ru-RU"/>
              </w:rPr>
              <w:t>Кр</w:t>
            </w:r>
            <w:proofErr w:type="spellEnd"/>
            <w:r w:rsidRPr="00166595">
              <w:rPr>
                <w:szCs w:val="24"/>
                <w:lang w:eastAsia="ru-RU"/>
              </w:rPr>
              <w:t xml:space="preserve">, </w:t>
            </w:r>
          </w:p>
          <w:p w14:paraId="151A92E8" w14:textId="68BC7681" w:rsidR="009D4348" w:rsidRPr="00166595" w:rsidRDefault="009D4348" w:rsidP="00A0078F">
            <w:pPr>
              <w:tabs>
                <w:tab w:val="left" w:pos="851"/>
              </w:tabs>
              <w:jc w:val="center"/>
              <w:rPr>
                <w:szCs w:val="24"/>
              </w:rPr>
            </w:pPr>
            <w:r w:rsidRPr="00166595">
              <w:rPr>
                <w:szCs w:val="24"/>
                <w:lang w:eastAsia="ru-RU"/>
              </w:rPr>
              <w:t xml:space="preserve">де </w:t>
            </w:r>
            <w:proofErr w:type="spellStart"/>
            <w:r w:rsidRPr="00166595">
              <w:rPr>
                <w:szCs w:val="24"/>
                <w:lang w:eastAsia="ru-RU"/>
              </w:rPr>
              <w:t>Кр</w:t>
            </w:r>
            <w:proofErr w:type="spellEnd"/>
            <w:r w:rsidRPr="00166595">
              <w:rPr>
                <w:szCs w:val="24"/>
                <w:lang w:eastAsia="ru-RU"/>
              </w:rPr>
              <w:t xml:space="preserve"> – коефіцієнт формування резервного фонду, який розраховується як відношення встановленого законодавством відсотка відрахувань від прибутку для формування резервного фонду до 100</w:t>
            </w:r>
          </w:p>
        </w:tc>
      </w:tr>
      <w:tr w:rsidR="009D4348" w:rsidRPr="00166595" w14:paraId="43148CA5" w14:textId="77777777" w:rsidTr="00C35F8F">
        <w:trPr>
          <w:trHeight w:val="550"/>
        </w:trPr>
        <w:tc>
          <w:tcPr>
            <w:tcW w:w="555" w:type="dxa"/>
          </w:tcPr>
          <w:p w14:paraId="236E3006" w14:textId="77777777" w:rsidR="009D4348" w:rsidRPr="00166595" w:rsidRDefault="009D4348" w:rsidP="00FA7343">
            <w:pPr>
              <w:tabs>
                <w:tab w:val="left" w:pos="851"/>
              </w:tabs>
              <w:jc w:val="center"/>
              <w:rPr>
                <w:szCs w:val="24"/>
                <w:lang w:eastAsia="ru-RU"/>
              </w:rPr>
            </w:pPr>
            <w:r w:rsidRPr="00166595">
              <w:rPr>
                <w:szCs w:val="24"/>
                <w:lang w:eastAsia="ru-RU"/>
              </w:rPr>
              <w:t>5</w:t>
            </w:r>
          </w:p>
        </w:tc>
        <w:tc>
          <w:tcPr>
            <w:tcW w:w="6816" w:type="dxa"/>
          </w:tcPr>
          <w:p w14:paraId="553516C4" w14:textId="77777777" w:rsidR="009D4348" w:rsidRPr="00166595" w:rsidRDefault="009D4348" w:rsidP="00FA7343">
            <w:pPr>
              <w:shd w:val="clear" w:color="auto" w:fill="FFFFFF"/>
              <w:tabs>
                <w:tab w:val="left" w:pos="851"/>
              </w:tabs>
              <w:rPr>
                <w:szCs w:val="24"/>
              </w:rPr>
            </w:pPr>
            <w:r w:rsidRPr="00166595">
              <w:rPr>
                <w:szCs w:val="24"/>
              </w:rPr>
              <w:t xml:space="preserve">За результатами звітного року отримано збиток </w:t>
            </w:r>
          </w:p>
        </w:tc>
        <w:tc>
          <w:tcPr>
            <w:tcW w:w="7088" w:type="dxa"/>
            <w:vAlign w:val="center"/>
          </w:tcPr>
          <w:p w14:paraId="70B74D12" w14:textId="77777777" w:rsidR="009D4348" w:rsidRPr="00166595" w:rsidRDefault="009D4348" w:rsidP="00FA7343">
            <w:pPr>
              <w:tabs>
                <w:tab w:val="left" w:pos="851"/>
              </w:tabs>
              <w:jc w:val="center"/>
              <w:rPr>
                <w:szCs w:val="24"/>
                <w:lang w:eastAsia="ru-RU"/>
              </w:rPr>
            </w:pPr>
            <w:r w:rsidRPr="00166595">
              <w:rPr>
                <w:szCs w:val="24"/>
                <w:lang w:eastAsia="ru-RU"/>
              </w:rPr>
              <w:t>0</w:t>
            </w:r>
          </w:p>
        </w:tc>
      </w:tr>
    </w:tbl>
    <w:p w14:paraId="5A3892E7" w14:textId="77777777" w:rsidR="009D4348" w:rsidRDefault="009D4348" w:rsidP="00AA2CE1">
      <w:pPr>
        <w:ind w:firstLine="720"/>
        <w:rPr>
          <w:rFonts w:ascii="Calibri" w:hAnsi="Calibri"/>
          <w:szCs w:val="24"/>
        </w:rPr>
      </w:pPr>
    </w:p>
    <w:p w14:paraId="476890D1" w14:textId="77777777" w:rsidR="009D4348" w:rsidRDefault="009D4348" w:rsidP="00AA2CE1">
      <w:pPr>
        <w:ind w:firstLine="720"/>
        <w:rPr>
          <w:rFonts w:ascii="Calibri" w:hAnsi="Calibri"/>
          <w:szCs w:val="24"/>
        </w:rPr>
        <w:sectPr w:rsidR="009D4348" w:rsidSect="000250C2">
          <w:headerReference w:type="default" r:id="rId21"/>
          <w:headerReference w:type="first" r:id="rId22"/>
          <w:pgSz w:w="16838" w:h="11906" w:orient="landscape"/>
          <w:pgMar w:top="567" w:right="567" w:bottom="1701" w:left="1701" w:header="397" w:footer="709" w:gutter="0"/>
          <w:cols w:space="708"/>
          <w:titlePg/>
          <w:docGrid w:linePitch="381"/>
        </w:sectPr>
      </w:pPr>
    </w:p>
    <w:p w14:paraId="02684D26" w14:textId="33B9E3DA" w:rsidR="00166595" w:rsidRPr="00166595" w:rsidRDefault="00166595" w:rsidP="00AA2CE1">
      <w:pPr>
        <w:shd w:val="clear" w:color="auto" w:fill="FFFFFF"/>
        <w:tabs>
          <w:tab w:val="left" w:pos="851"/>
        </w:tabs>
        <w:ind w:firstLine="720"/>
        <w:jc w:val="center"/>
        <w:rPr>
          <w:szCs w:val="24"/>
          <w:lang w:eastAsia="ru-RU"/>
        </w:rPr>
      </w:pPr>
      <w:r w:rsidRPr="00166595">
        <w:rPr>
          <w:szCs w:val="24"/>
        </w:rPr>
        <w:lastRenderedPageBreak/>
        <w:t xml:space="preserve">4. Розрахунок значення </w:t>
      </w:r>
      <w:proofErr w:type="spellStart"/>
      <w:r w:rsidRPr="00166595">
        <w:rPr>
          <w:szCs w:val="24"/>
          <w:lang w:eastAsia="ru-RU"/>
        </w:rPr>
        <w:t>Коефіцієнта</w:t>
      </w:r>
      <w:r w:rsidRPr="00166595">
        <w:rPr>
          <w:szCs w:val="24"/>
          <w:vertAlign w:val="subscript"/>
          <w:lang w:eastAsia="ru-RU"/>
        </w:rPr>
        <w:t>div</w:t>
      </w:r>
      <w:proofErr w:type="spellEnd"/>
      <w:r w:rsidRPr="00166595">
        <w:rPr>
          <w:szCs w:val="24"/>
          <w:vertAlign w:val="subscript"/>
          <w:lang w:eastAsia="ru-RU"/>
        </w:rPr>
        <w:t> МР </w:t>
      </w:r>
      <w:r w:rsidRPr="00166595">
        <w:rPr>
          <w:szCs w:val="24"/>
          <w:lang w:eastAsia="ru-RU"/>
        </w:rPr>
        <w:t>(1</w:t>
      </w:r>
      <w:r w:rsidRPr="00166595">
        <w:rPr>
          <w:szCs w:val="24"/>
          <w:vertAlign w:val="subscript"/>
          <w:lang w:eastAsia="ru-RU"/>
        </w:rPr>
        <w:t>р.</w:t>
      </w:r>
      <w:r w:rsidRPr="00166595">
        <w:rPr>
          <w:szCs w:val="24"/>
          <w:lang w:eastAsia="ru-RU"/>
        </w:rPr>
        <w:t>)</w:t>
      </w:r>
    </w:p>
    <w:p w14:paraId="6031B729" w14:textId="77777777" w:rsidR="002F3ABF" w:rsidRDefault="002F3ABF" w:rsidP="00AA2CE1">
      <w:pPr>
        <w:shd w:val="clear" w:color="auto" w:fill="FFFFFF"/>
        <w:tabs>
          <w:tab w:val="left" w:pos="851"/>
        </w:tabs>
        <w:ind w:right="140" w:firstLine="720"/>
        <w:jc w:val="right"/>
        <w:rPr>
          <w:szCs w:val="24"/>
          <w:lang w:eastAsia="ru-RU"/>
        </w:rPr>
      </w:pPr>
    </w:p>
    <w:p w14:paraId="7664653F" w14:textId="07E1100F" w:rsidR="00166595" w:rsidRPr="00166595" w:rsidRDefault="00166595" w:rsidP="00AA2CE1">
      <w:pPr>
        <w:shd w:val="clear" w:color="auto" w:fill="FFFFFF"/>
        <w:tabs>
          <w:tab w:val="left" w:pos="851"/>
        </w:tabs>
        <w:ind w:right="140" w:firstLine="720"/>
        <w:jc w:val="right"/>
        <w:rPr>
          <w:szCs w:val="24"/>
          <w:lang w:eastAsia="ru-RU"/>
        </w:rPr>
      </w:pPr>
      <w:r w:rsidRPr="00166595">
        <w:rPr>
          <w:szCs w:val="24"/>
          <w:lang w:eastAsia="ru-RU"/>
        </w:rPr>
        <w:t>Таблиця 4</w:t>
      </w:r>
    </w:p>
    <w:p w14:paraId="048D15CF" w14:textId="77777777" w:rsidR="00166595" w:rsidRPr="00166595" w:rsidRDefault="00166595" w:rsidP="00AA2CE1">
      <w:pPr>
        <w:shd w:val="clear" w:color="auto" w:fill="FFFFFF"/>
        <w:tabs>
          <w:tab w:val="left" w:pos="851"/>
        </w:tabs>
        <w:ind w:firstLine="720"/>
        <w:jc w:val="left"/>
        <w:rPr>
          <w:szCs w:val="24"/>
          <w:lang w:eastAsia="ru-RU"/>
        </w:rPr>
      </w:pPr>
    </w:p>
    <w:tbl>
      <w:tblPr>
        <w:tblStyle w:val="1"/>
        <w:tblW w:w="9639" w:type="dxa"/>
        <w:tblInd w:w="-5" w:type="dxa"/>
        <w:tblLook w:val="04A0" w:firstRow="1" w:lastRow="0" w:firstColumn="1" w:lastColumn="0" w:noHBand="0" w:noVBand="1"/>
      </w:tblPr>
      <w:tblGrid>
        <w:gridCol w:w="623"/>
        <w:gridCol w:w="2702"/>
        <w:gridCol w:w="6314"/>
      </w:tblGrid>
      <w:tr w:rsidR="00166595" w:rsidRPr="00166595" w14:paraId="4D0ED213" w14:textId="77777777" w:rsidTr="00EC1519">
        <w:trPr>
          <w:trHeight w:val="321"/>
        </w:trPr>
        <w:tc>
          <w:tcPr>
            <w:tcW w:w="709" w:type="dxa"/>
          </w:tcPr>
          <w:p w14:paraId="338A4A3E" w14:textId="77777777" w:rsidR="00166595" w:rsidRPr="00166595" w:rsidRDefault="00166595" w:rsidP="00AA2CE1">
            <w:pPr>
              <w:tabs>
                <w:tab w:val="left" w:pos="851"/>
              </w:tabs>
              <w:jc w:val="center"/>
              <w:rPr>
                <w:szCs w:val="24"/>
                <w:lang w:eastAsia="ru-RU"/>
              </w:rPr>
            </w:pPr>
            <w:r w:rsidRPr="00166595">
              <w:rPr>
                <w:szCs w:val="24"/>
                <w:lang w:eastAsia="ru-RU"/>
              </w:rPr>
              <w:t>№</w:t>
            </w:r>
          </w:p>
          <w:p w14:paraId="5B4EEE29" w14:textId="77777777" w:rsidR="00166595" w:rsidRPr="00166595" w:rsidRDefault="00166595" w:rsidP="00AA2CE1">
            <w:pPr>
              <w:tabs>
                <w:tab w:val="left" w:pos="851"/>
              </w:tabs>
              <w:jc w:val="center"/>
              <w:rPr>
                <w:szCs w:val="24"/>
                <w:lang w:eastAsia="ru-RU"/>
              </w:rPr>
            </w:pPr>
            <w:r w:rsidRPr="00166595">
              <w:rPr>
                <w:szCs w:val="24"/>
                <w:lang w:eastAsia="ru-RU"/>
              </w:rPr>
              <w:t>з/п</w:t>
            </w:r>
          </w:p>
        </w:tc>
        <w:tc>
          <w:tcPr>
            <w:tcW w:w="3467" w:type="dxa"/>
            <w:vAlign w:val="center"/>
          </w:tcPr>
          <w:p w14:paraId="7E13793A" w14:textId="77777777" w:rsidR="00166595" w:rsidRPr="00166595" w:rsidRDefault="00166595" w:rsidP="00AA2CE1">
            <w:pPr>
              <w:tabs>
                <w:tab w:val="left" w:pos="851"/>
              </w:tabs>
              <w:jc w:val="center"/>
              <w:rPr>
                <w:szCs w:val="24"/>
                <w:lang w:eastAsia="ru-RU"/>
              </w:rPr>
            </w:pPr>
            <w:r w:rsidRPr="00166595">
              <w:rPr>
                <w:szCs w:val="24"/>
                <w:lang w:eastAsia="ru-RU"/>
              </w:rPr>
              <w:t xml:space="preserve">Критерії </w:t>
            </w:r>
          </w:p>
        </w:tc>
        <w:tc>
          <w:tcPr>
            <w:tcW w:w="5463" w:type="dxa"/>
            <w:vAlign w:val="center"/>
          </w:tcPr>
          <w:p w14:paraId="4C1E9A35" w14:textId="719DC56C" w:rsidR="00166595" w:rsidRPr="00166595" w:rsidRDefault="00166595" w:rsidP="002F3ABF">
            <w:pPr>
              <w:tabs>
                <w:tab w:val="left" w:pos="851"/>
              </w:tabs>
              <w:jc w:val="center"/>
              <w:rPr>
                <w:szCs w:val="24"/>
                <w:lang w:eastAsia="ru-RU"/>
              </w:rPr>
            </w:pPr>
            <w:r w:rsidRPr="00166595">
              <w:rPr>
                <w:szCs w:val="24"/>
                <w:lang w:eastAsia="ru-RU"/>
              </w:rPr>
              <w:t xml:space="preserve">Формула розрахунку </w:t>
            </w:r>
            <w:proofErr w:type="spellStart"/>
            <w:r w:rsidRPr="00166595">
              <w:rPr>
                <w:szCs w:val="24"/>
                <w:lang w:eastAsia="ru-RU"/>
              </w:rPr>
              <w:t>Коефіцієнта</w:t>
            </w:r>
            <w:r w:rsidRPr="00166595">
              <w:rPr>
                <w:szCs w:val="24"/>
                <w:vertAlign w:val="subscript"/>
                <w:lang w:eastAsia="ru-RU"/>
              </w:rPr>
              <w:t>div</w:t>
            </w:r>
            <w:proofErr w:type="spellEnd"/>
            <w:r w:rsidRPr="00166595">
              <w:rPr>
                <w:szCs w:val="24"/>
                <w:vertAlign w:val="subscript"/>
                <w:lang w:eastAsia="ru-RU"/>
              </w:rPr>
              <w:t> МР </w:t>
            </w:r>
            <w:r w:rsidRPr="00166595">
              <w:rPr>
                <w:szCs w:val="24"/>
                <w:lang w:eastAsia="ru-RU"/>
              </w:rPr>
              <w:t>(1</w:t>
            </w:r>
            <w:r w:rsidRPr="00166595">
              <w:rPr>
                <w:szCs w:val="24"/>
                <w:vertAlign w:val="subscript"/>
                <w:lang w:eastAsia="ru-RU"/>
              </w:rPr>
              <w:t>р.</w:t>
            </w:r>
            <w:r w:rsidRPr="00166595">
              <w:rPr>
                <w:szCs w:val="24"/>
                <w:lang w:eastAsia="ru-RU"/>
              </w:rPr>
              <w:t xml:space="preserve">)/ значення </w:t>
            </w:r>
            <w:proofErr w:type="spellStart"/>
            <w:r w:rsidRPr="00166595">
              <w:rPr>
                <w:szCs w:val="24"/>
                <w:lang w:eastAsia="ru-RU"/>
              </w:rPr>
              <w:t>Коефіцієнта</w:t>
            </w:r>
            <w:r w:rsidRPr="00166595">
              <w:rPr>
                <w:szCs w:val="24"/>
                <w:vertAlign w:val="subscript"/>
                <w:lang w:eastAsia="ru-RU"/>
              </w:rPr>
              <w:t>div</w:t>
            </w:r>
            <w:proofErr w:type="spellEnd"/>
            <w:r w:rsidRPr="00166595">
              <w:rPr>
                <w:szCs w:val="24"/>
                <w:vertAlign w:val="subscript"/>
                <w:lang w:eastAsia="ru-RU"/>
              </w:rPr>
              <w:t> МР </w:t>
            </w:r>
            <w:r w:rsidRPr="00166595">
              <w:rPr>
                <w:szCs w:val="24"/>
                <w:lang w:eastAsia="ru-RU"/>
              </w:rPr>
              <w:t>(1</w:t>
            </w:r>
            <w:r w:rsidRPr="00166595">
              <w:rPr>
                <w:szCs w:val="24"/>
                <w:vertAlign w:val="subscript"/>
                <w:lang w:eastAsia="ru-RU"/>
              </w:rPr>
              <w:t>р.</w:t>
            </w:r>
            <w:r w:rsidRPr="00166595">
              <w:rPr>
                <w:szCs w:val="24"/>
                <w:lang w:eastAsia="ru-RU"/>
              </w:rPr>
              <w:t>)</w:t>
            </w:r>
          </w:p>
        </w:tc>
      </w:tr>
      <w:tr w:rsidR="00166595" w:rsidRPr="00166595" w14:paraId="265CE69D" w14:textId="77777777" w:rsidTr="00EC1519">
        <w:trPr>
          <w:trHeight w:val="379"/>
        </w:trPr>
        <w:tc>
          <w:tcPr>
            <w:tcW w:w="709" w:type="dxa"/>
            <w:vAlign w:val="center"/>
          </w:tcPr>
          <w:p w14:paraId="4C9DEF2E" w14:textId="77777777" w:rsidR="00166595" w:rsidRPr="00166595" w:rsidRDefault="00166595" w:rsidP="00AA2CE1">
            <w:pPr>
              <w:tabs>
                <w:tab w:val="left" w:pos="851"/>
              </w:tabs>
              <w:jc w:val="center"/>
              <w:rPr>
                <w:szCs w:val="24"/>
                <w:lang w:eastAsia="ru-RU"/>
              </w:rPr>
            </w:pPr>
            <w:r w:rsidRPr="00166595">
              <w:rPr>
                <w:szCs w:val="24"/>
                <w:lang w:eastAsia="ru-RU"/>
              </w:rPr>
              <w:t>1</w:t>
            </w:r>
          </w:p>
        </w:tc>
        <w:tc>
          <w:tcPr>
            <w:tcW w:w="3467" w:type="dxa"/>
            <w:vAlign w:val="center"/>
          </w:tcPr>
          <w:p w14:paraId="61ED8E1A" w14:textId="77777777" w:rsidR="00166595" w:rsidRPr="00166595" w:rsidRDefault="00166595" w:rsidP="00AA2CE1">
            <w:pPr>
              <w:tabs>
                <w:tab w:val="left" w:pos="851"/>
              </w:tabs>
              <w:jc w:val="center"/>
              <w:rPr>
                <w:szCs w:val="24"/>
              </w:rPr>
            </w:pPr>
            <w:r w:rsidRPr="00166595">
              <w:rPr>
                <w:szCs w:val="24"/>
              </w:rPr>
              <w:t>2</w:t>
            </w:r>
          </w:p>
        </w:tc>
        <w:tc>
          <w:tcPr>
            <w:tcW w:w="5463" w:type="dxa"/>
            <w:vAlign w:val="center"/>
          </w:tcPr>
          <w:p w14:paraId="717165D7" w14:textId="77777777" w:rsidR="00166595" w:rsidRPr="00166595" w:rsidRDefault="00166595" w:rsidP="00AA2CE1">
            <w:pPr>
              <w:tabs>
                <w:tab w:val="left" w:pos="851"/>
                <w:tab w:val="left" w:pos="993"/>
              </w:tabs>
              <w:contextualSpacing/>
              <w:jc w:val="center"/>
              <w:rPr>
                <w:szCs w:val="24"/>
              </w:rPr>
            </w:pPr>
            <w:r w:rsidRPr="00166595">
              <w:rPr>
                <w:szCs w:val="24"/>
              </w:rPr>
              <w:t>3</w:t>
            </w:r>
          </w:p>
        </w:tc>
      </w:tr>
      <w:tr w:rsidR="00166595" w:rsidRPr="00166595" w14:paraId="7ECA834E" w14:textId="77777777" w:rsidTr="00EC1519">
        <w:trPr>
          <w:trHeight w:val="916"/>
        </w:trPr>
        <w:tc>
          <w:tcPr>
            <w:tcW w:w="709" w:type="dxa"/>
          </w:tcPr>
          <w:p w14:paraId="5507D21A" w14:textId="77777777" w:rsidR="00166595" w:rsidRPr="00166595" w:rsidRDefault="00166595" w:rsidP="00AA2CE1">
            <w:pPr>
              <w:tabs>
                <w:tab w:val="left" w:pos="851"/>
              </w:tabs>
              <w:jc w:val="center"/>
              <w:rPr>
                <w:szCs w:val="24"/>
                <w:lang w:eastAsia="ru-RU"/>
              </w:rPr>
            </w:pPr>
            <w:r w:rsidRPr="00166595">
              <w:rPr>
                <w:szCs w:val="24"/>
                <w:lang w:eastAsia="ru-RU"/>
              </w:rPr>
              <w:t>1</w:t>
            </w:r>
          </w:p>
        </w:tc>
        <w:tc>
          <w:tcPr>
            <w:tcW w:w="3467" w:type="dxa"/>
          </w:tcPr>
          <w:p w14:paraId="28140AB6" w14:textId="77777777" w:rsidR="00166595" w:rsidRPr="00166595" w:rsidRDefault="00166595" w:rsidP="00AA2CE1">
            <w:pPr>
              <w:tabs>
                <w:tab w:val="left" w:pos="851"/>
              </w:tabs>
              <w:rPr>
                <w:szCs w:val="24"/>
                <w:lang w:eastAsia="ru-RU"/>
              </w:rPr>
            </w:pPr>
            <w:r w:rsidRPr="00166595">
              <w:rPr>
                <w:szCs w:val="24"/>
              </w:rPr>
              <w:t xml:space="preserve">Наявне рішення загальних зборів щодо розподілу нерозподілених прибутків минулих років </w:t>
            </w:r>
          </w:p>
        </w:tc>
        <w:tc>
          <w:tcPr>
            <w:tcW w:w="5463" w:type="dxa"/>
          </w:tcPr>
          <w:tbl>
            <w:tblPr>
              <w:tblStyle w:val="1"/>
              <w:tblpPr w:leftFromText="180" w:rightFromText="180" w:vertAnchor="text" w:horzAnchor="page" w:tblpX="1837" w:tblpY="-40"/>
              <w:tblOverlap w:val="never"/>
              <w:tblW w:w="60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98"/>
            </w:tblGrid>
            <w:tr w:rsidR="00166595" w:rsidRPr="00166595" w14:paraId="221B981D" w14:textId="77777777" w:rsidTr="00C35F8F">
              <w:trPr>
                <w:trHeight w:val="205"/>
              </w:trPr>
              <w:tc>
                <w:tcPr>
                  <w:tcW w:w="6098" w:type="dxa"/>
                </w:tcPr>
                <w:p w14:paraId="23EBA4BC" w14:textId="77777777" w:rsidR="00166595" w:rsidRPr="00166595" w:rsidRDefault="00166595" w:rsidP="00AA2CE1">
                  <w:pPr>
                    <w:tabs>
                      <w:tab w:val="left" w:pos="851"/>
                      <w:tab w:val="left" w:pos="993"/>
                    </w:tabs>
                    <w:contextualSpacing/>
                    <w:jc w:val="center"/>
                    <w:rPr>
                      <w:szCs w:val="24"/>
                    </w:rPr>
                  </w:pPr>
                  <w:r w:rsidRPr="00166595">
                    <w:rPr>
                      <w:szCs w:val="24"/>
                    </w:rPr>
                    <w:t>Сума дивідендів до сплати згідно з рішенням щодо розподілу нерозподілених прибутків</w:t>
                  </w:r>
                </w:p>
              </w:tc>
            </w:tr>
            <w:tr w:rsidR="00166595" w:rsidRPr="00166595" w14:paraId="0BFC3E4F" w14:textId="77777777" w:rsidTr="00C35F8F">
              <w:trPr>
                <w:trHeight w:val="205"/>
              </w:trPr>
              <w:tc>
                <w:tcPr>
                  <w:tcW w:w="6098" w:type="dxa"/>
                </w:tcPr>
                <w:p w14:paraId="17A765E2" w14:textId="77777777" w:rsidR="00166595" w:rsidRPr="00166595" w:rsidRDefault="00166595" w:rsidP="00AA2CE1">
                  <w:pPr>
                    <w:tabs>
                      <w:tab w:val="left" w:pos="851"/>
                      <w:tab w:val="left" w:pos="993"/>
                    </w:tabs>
                    <w:contextualSpacing/>
                    <w:jc w:val="center"/>
                    <w:rPr>
                      <w:szCs w:val="24"/>
                    </w:rPr>
                  </w:pPr>
                  <w:r w:rsidRPr="00166595">
                    <w:rPr>
                      <w:szCs w:val="24"/>
                    </w:rPr>
                    <w:t>Прибутки МР</w:t>
                  </w:r>
                </w:p>
              </w:tc>
            </w:tr>
          </w:tbl>
          <w:p w14:paraId="66EF20CF" w14:textId="77777777" w:rsidR="00166595" w:rsidRPr="00166595" w:rsidRDefault="00166595" w:rsidP="00AA2CE1">
            <w:pPr>
              <w:tabs>
                <w:tab w:val="left" w:pos="851"/>
              </w:tabs>
              <w:jc w:val="center"/>
              <w:rPr>
                <w:szCs w:val="24"/>
                <w:lang w:eastAsia="ru-RU"/>
              </w:rPr>
            </w:pPr>
          </w:p>
        </w:tc>
      </w:tr>
      <w:tr w:rsidR="00166595" w:rsidRPr="00166595" w14:paraId="5B1969C9" w14:textId="77777777" w:rsidTr="00EC1519">
        <w:trPr>
          <w:trHeight w:val="859"/>
        </w:trPr>
        <w:tc>
          <w:tcPr>
            <w:tcW w:w="709" w:type="dxa"/>
          </w:tcPr>
          <w:p w14:paraId="3A1C4CEF" w14:textId="77777777" w:rsidR="00166595" w:rsidRPr="00166595" w:rsidRDefault="00166595" w:rsidP="00AA2CE1">
            <w:pPr>
              <w:tabs>
                <w:tab w:val="left" w:pos="851"/>
              </w:tabs>
              <w:jc w:val="center"/>
              <w:rPr>
                <w:szCs w:val="24"/>
                <w:lang w:eastAsia="ru-RU"/>
              </w:rPr>
            </w:pPr>
            <w:r w:rsidRPr="00166595">
              <w:rPr>
                <w:szCs w:val="24"/>
                <w:lang w:eastAsia="ru-RU"/>
              </w:rPr>
              <w:t>2</w:t>
            </w:r>
          </w:p>
        </w:tc>
        <w:tc>
          <w:tcPr>
            <w:tcW w:w="3467" w:type="dxa"/>
          </w:tcPr>
          <w:p w14:paraId="6AC04191" w14:textId="4CABC156" w:rsidR="00166595" w:rsidRPr="00166595" w:rsidRDefault="002F3ABF" w:rsidP="00AA2CE1">
            <w:pPr>
              <w:shd w:val="clear" w:color="auto" w:fill="FFFFFF"/>
              <w:tabs>
                <w:tab w:val="left" w:pos="851"/>
              </w:tabs>
              <w:rPr>
                <w:szCs w:val="24"/>
                <w:lang w:eastAsia="ru-RU"/>
              </w:rPr>
            </w:pPr>
            <w:r>
              <w:rPr>
                <w:szCs w:val="24"/>
              </w:rPr>
              <w:t>Немає</w:t>
            </w:r>
            <w:r w:rsidRPr="00166595">
              <w:rPr>
                <w:szCs w:val="24"/>
              </w:rPr>
              <w:t xml:space="preserve"> </w:t>
            </w:r>
            <w:r w:rsidR="00166595" w:rsidRPr="00166595">
              <w:rPr>
                <w:szCs w:val="24"/>
              </w:rPr>
              <w:t xml:space="preserve">рішення загальних зборів щодо розподілу нерозподілених прибутків минулих років </w:t>
            </w:r>
          </w:p>
        </w:tc>
        <w:tc>
          <w:tcPr>
            <w:tcW w:w="5463" w:type="dxa"/>
            <w:vAlign w:val="center"/>
          </w:tcPr>
          <w:p w14:paraId="6CA04239" w14:textId="77777777" w:rsidR="00166595" w:rsidRPr="00166595" w:rsidRDefault="00166595" w:rsidP="00AA2CE1">
            <w:pPr>
              <w:tabs>
                <w:tab w:val="left" w:pos="851"/>
              </w:tabs>
              <w:jc w:val="center"/>
              <w:rPr>
                <w:szCs w:val="24"/>
                <w:lang w:eastAsia="ru-RU"/>
              </w:rPr>
            </w:pPr>
            <w:r w:rsidRPr="00166595">
              <w:rPr>
                <w:szCs w:val="24"/>
                <w:lang w:eastAsia="ru-RU"/>
              </w:rPr>
              <w:t>0</w:t>
            </w:r>
          </w:p>
        </w:tc>
      </w:tr>
    </w:tbl>
    <w:p w14:paraId="78FC1F34" w14:textId="77777777" w:rsidR="00166595" w:rsidRPr="00166595" w:rsidRDefault="00166595" w:rsidP="00AA2CE1">
      <w:pPr>
        <w:shd w:val="clear" w:color="auto" w:fill="FFFFFF"/>
        <w:tabs>
          <w:tab w:val="left" w:pos="851"/>
        </w:tabs>
        <w:ind w:firstLine="720"/>
        <w:contextualSpacing/>
        <w:rPr>
          <w:szCs w:val="24"/>
        </w:rPr>
      </w:pPr>
    </w:p>
    <w:p w14:paraId="7B461043" w14:textId="77777777" w:rsidR="00166595" w:rsidRPr="00166595" w:rsidRDefault="00166595" w:rsidP="00AA2CE1">
      <w:pPr>
        <w:shd w:val="clear" w:color="auto" w:fill="FFFFFF"/>
        <w:tabs>
          <w:tab w:val="left" w:pos="851"/>
        </w:tabs>
        <w:ind w:firstLine="720"/>
        <w:contextualSpacing/>
        <w:jc w:val="center"/>
        <w:rPr>
          <w:szCs w:val="24"/>
        </w:rPr>
      </w:pPr>
    </w:p>
    <w:p w14:paraId="49EADCA4" w14:textId="77777777" w:rsidR="00166595" w:rsidRPr="00166595" w:rsidRDefault="00166595" w:rsidP="00AA2CE1">
      <w:pPr>
        <w:shd w:val="clear" w:color="auto" w:fill="FFFFFF"/>
        <w:tabs>
          <w:tab w:val="left" w:pos="851"/>
        </w:tabs>
        <w:ind w:firstLine="720"/>
        <w:contextualSpacing/>
        <w:jc w:val="center"/>
        <w:rPr>
          <w:szCs w:val="24"/>
        </w:rPr>
      </w:pPr>
      <w:r w:rsidRPr="00166595">
        <w:rPr>
          <w:szCs w:val="24"/>
        </w:rPr>
        <w:t>5. Пояснення до заповнення додатка</w:t>
      </w:r>
    </w:p>
    <w:p w14:paraId="521F549F" w14:textId="77777777" w:rsidR="00166595" w:rsidRPr="00166595" w:rsidRDefault="00166595" w:rsidP="00AA2CE1">
      <w:pPr>
        <w:shd w:val="clear" w:color="auto" w:fill="FFFFFF"/>
        <w:tabs>
          <w:tab w:val="left" w:pos="851"/>
        </w:tabs>
        <w:ind w:firstLine="720"/>
        <w:rPr>
          <w:szCs w:val="24"/>
          <w:lang w:eastAsia="ru-RU"/>
        </w:rPr>
      </w:pPr>
    </w:p>
    <w:p w14:paraId="16FE37D3" w14:textId="2091463F" w:rsidR="00166595" w:rsidRPr="00166595" w:rsidRDefault="00166595" w:rsidP="002F3ABF">
      <w:pPr>
        <w:ind w:firstLine="567"/>
        <w:rPr>
          <w:szCs w:val="24"/>
          <w:lang w:eastAsia="ru-RU"/>
        </w:rPr>
      </w:pPr>
      <w:r w:rsidRPr="00166595">
        <w:rPr>
          <w:szCs w:val="24"/>
          <w:lang w:eastAsia="ru-RU"/>
        </w:rPr>
        <w:t>1. </w:t>
      </w:r>
      <w:proofErr w:type="spellStart"/>
      <w:r w:rsidRPr="00166595">
        <w:rPr>
          <w:szCs w:val="24"/>
          <w:lang w:eastAsia="ru-RU"/>
        </w:rPr>
        <w:t>Коефіцієнт</w:t>
      </w:r>
      <w:r w:rsidRPr="00166595">
        <w:rPr>
          <w:szCs w:val="24"/>
          <w:vertAlign w:val="subscript"/>
          <w:lang w:eastAsia="ru-RU"/>
        </w:rPr>
        <w:t>div</w:t>
      </w:r>
      <w:proofErr w:type="spellEnd"/>
      <w:r w:rsidR="006A2316">
        <w:rPr>
          <w:szCs w:val="24"/>
          <w:lang w:eastAsia="ru-RU"/>
        </w:rPr>
        <w:t xml:space="preserve"> </w:t>
      </w:r>
      <w:r w:rsidRPr="00166595">
        <w:rPr>
          <w:szCs w:val="24"/>
        </w:rPr>
        <w:t>– коефіцієнт виплати дивідендів, передбачуваних до сплати з</w:t>
      </w:r>
      <w:r w:rsidRPr="00166595">
        <w:rPr>
          <w:szCs w:val="24"/>
          <w:lang w:eastAsia="ru-RU"/>
        </w:rPr>
        <w:t xml:space="preserve"> Прибутку ЗР/ПЗП</w:t>
      </w:r>
      <w:r w:rsidRPr="00166595">
        <w:rPr>
          <w:szCs w:val="24"/>
        </w:rPr>
        <w:t xml:space="preserve">, значення якого визначається </w:t>
      </w:r>
      <w:r w:rsidR="00C35528">
        <w:rPr>
          <w:szCs w:val="24"/>
        </w:rPr>
        <w:t>на підставі</w:t>
      </w:r>
      <w:r w:rsidRPr="00166595">
        <w:rPr>
          <w:szCs w:val="24"/>
        </w:rPr>
        <w:t xml:space="preserve"> показник</w:t>
      </w:r>
      <w:r w:rsidR="00C35528">
        <w:rPr>
          <w:szCs w:val="24"/>
        </w:rPr>
        <w:t>ів</w:t>
      </w:r>
      <w:r w:rsidRPr="00166595">
        <w:rPr>
          <w:szCs w:val="24"/>
        </w:rPr>
        <w:t>, визначених у дивідендній політиці щодо відповідного прибутку, з</w:t>
      </w:r>
      <w:r w:rsidRPr="00166595">
        <w:rPr>
          <w:szCs w:val="24"/>
          <w:lang w:eastAsia="ru-RU"/>
        </w:rPr>
        <w:t>гідно з таблицею 3</w:t>
      </w:r>
      <w:r w:rsidR="002F3ABF">
        <w:rPr>
          <w:szCs w:val="24"/>
          <w:lang w:eastAsia="ru-RU"/>
        </w:rPr>
        <w:t xml:space="preserve"> цього додатка</w:t>
      </w:r>
      <w:r w:rsidRPr="00166595">
        <w:rPr>
          <w:szCs w:val="24"/>
          <w:lang w:eastAsia="ru-RU"/>
        </w:rPr>
        <w:t>.</w:t>
      </w:r>
    </w:p>
    <w:p w14:paraId="31B047E2" w14:textId="77777777" w:rsidR="00166595" w:rsidRPr="00166595" w:rsidRDefault="00166595" w:rsidP="002F3ABF">
      <w:pPr>
        <w:ind w:firstLine="567"/>
        <w:rPr>
          <w:szCs w:val="24"/>
          <w:lang w:eastAsia="ru-RU"/>
        </w:rPr>
      </w:pPr>
    </w:p>
    <w:p w14:paraId="52C285B6" w14:textId="2DDEAC26" w:rsidR="00166595" w:rsidRPr="00166595" w:rsidRDefault="00166595" w:rsidP="002F3ABF">
      <w:pPr>
        <w:ind w:firstLine="567"/>
        <w:rPr>
          <w:szCs w:val="24"/>
          <w:lang w:eastAsia="ru-RU"/>
        </w:rPr>
      </w:pPr>
      <w:r w:rsidRPr="00166595">
        <w:rPr>
          <w:szCs w:val="24"/>
          <w:lang w:eastAsia="ru-RU"/>
        </w:rPr>
        <w:t>2. </w:t>
      </w:r>
      <w:proofErr w:type="spellStart"/>
      <w:r w:rsidRPr="00166595">
        <w:rPr>
          <w:szCs w:val="24"/>
          <w:lang w:eastAsia="ru-RU"/>
        </w:rPr>
        <w:t>Коефіцієнт</w:t>
      </w:r>
      <w:r w:rsidRPr="00166595">
        <w:rPr>
          <w:szCs w:val="24"/>
          <w:vertAlign w:val="subscript"/>
          <w:lang w:eastAsia="ru-RU"/>
        </w:rPr>
        <w:t>div</w:t>
      </w:r>
      <w:proofErr w:type="spellEnd"/>
      <w:r w:rsidRPr="00166595">
        <w:rPr>
          <w:szCs w:val="24"/>
        </w:rPr>
        <w:t> </w:t>
      </w:r>
      <w:r w:rsidRPr="00166595">
        <w:rPr>
          <w:szCs w:val="24"/>
          <w:lang w:eastAsia="ru-RU"/>
        </w:rPr>
        <w:t>(1</w:t>
      </w:r>
      <w:r w:rsidRPr="00166595">
        <w:rPr>
          <w:szCs w:val="24"/>
          <w:vertAlign w:val="subscript"/>
          <w:lang w:eastAsia="ru-RU"/>
        </w:rPr>
        <w:t>р.</w:t>
      </w:r>
      <w:r w:rsidRPr="00166595">
        <w:rPr>
          <w:szCs w:val="24"/>
          <w:lang w:eastAsia="ru-RU"/>
        </w:rPr>
        <w:t xml:space="preserve">) – </w:t>
      </w:r>
      <w:r w:rsidRPr="00166595">
        <w:rPr>
          <w:szCs w:val="24"/>
        </w:rPr>
        <w:t xml:space="preserve">коефіцієнт виплати дивідендів з </w:t>
      </w:r>
      <w:proofErr w:type="spellStart"/>
      <w:r w:rsidRPr="00166595">
        <w:rPr>
          <w:szCs w:val="24"/>
          <w:lang w:eastAsia="ru-RU"/>
        </w:rPr>
        <w:t>Прибутку</w:t>
      </w:r>
      <w:r w:rsidRPr="00166595">
        <w:rPr>
          <w:szCs w:val="24"/>
          <w:vertAlign w:val="subscript"/>
          <w:lang w:eastAsia="ru-RU"/>
        </w:rPr>
        <w:t>ЗР</w:t>
      </w:r>
      <w:proofErr w:type="spellEnd"/>
      <w:r w:rsidRPr="00166595">
        <w:rPr>
          <w:szCs w:val="24"/>
          <w:vertAlign w:val="subscript"/>
          <w:lang w:eastAsia="ru-RU"/>
        </w:rPr>
        <w:t> </w:t>
      </w:r>
      <w:r w:rsidRPr="00166595">
        <w:rPr>
          <w:szCs w:val="24"/>
          <w:vertAlign w:val="subscript"/>
        </w:rPr>
        <w:t>(Ч)</w:t>
      </w:r>
      <w:r w:rsidRPr="00166595">
        <w:rPr>
          <w:szCs w:val="24"/>
        </w:rPr>
        <w:t xml:space="preserve"> за останній рік, що передує поточному року (за звітний рік), значення </w:t>
      </w:r>
      <w:r w:rsidRPr="00166595">
        <w:rPr>
          <w:szCs w:val="24"/>
          <w:lang w:eastAsia="ru-RU"/>
        </w:rPr>
        <w:t>якого визначається відповідно до критеріїв, зазначених у таблиці 4</w:t>
      </w:r>
      <w:r w:rsidR="002F3ABF">
        <w:rPr>
          <w:szCs w:val="24"/>
          <w:lang w:eastAsia="ru-RU"/>
        </w:rPr>
        <w:t xml:space="preserve"> цього додатка</w:t>
      </w:r>
      <w:r w:rsidRPr="00166595">
        <w:rPr>
          <w:szCs w:val="24"/>
          <w:lang w:eastAsia="ru-RU"/>
        </w:rPr>
        <w:t xml:space="preserve">. </w:t>
      </w:r>
    </w:p>
    <w:p w14:paraId="0B908471" w14:textId="77777777" w:rsidR="00166595" w:rsidRPr="00166595" w:rsidRDefault="00166595" w:rsidP="002F3ABF">
      <w:pPr>
        <w:ind w:firstLine="567"/>
        <w:rPr>
          <w:szCs w:val="24"/>
          <w:lang w:eastAsia="ru-RU"/>
        </w:rPr>
      </w:pPr>
    </w:p>
    <w:p w14:paraId="4235970D" w14:textId="31C4A64F" w:rsidR="00166595" w:rsidRPr="00166595" w:rsidRDefault="00166595" w:rsidP="002F3ABF">
      <w:pPr>
        <w:ind w:firstLine="567"/>
        <w:rPr>
          <w:szCs w:val="24"/>
          <w:lang w:eastAsia="ru-RU"/>
        </w:rPr>
      </w:pPr>
      <w:r w:rsidRPr="00166595">
        <w:rPr>
          <w:szCs w:val="24"/>
          <w:lang w:eastAsia="ru-RU"/>
        </w:rPr>
        <w:t>3. </w:t>
      </w:r>
      <w:proofErr w:type="spellStart"/>
      <w:r w:rsidRPr="00166595">
        <w:rPr>
          <w:szCs w:val="24"/>
          <w:lang w:eastAsia="ru-RU"/>
        </w:rPr>
        <w:t>Коефіцієнт</w:t>
      </w:r>
      <w:r w:rsidRPr="00166595">
        <w:rPr>
          <w:szCs w:val="24"/>
          <w:vertAlign w:val="subscript"/>
          <w:lang w:eastAsia="ru-RU"/>
        </w:rPr>
        <w:t>div</w:t>
      </w:r>
      <w:proofErr w:type="spellEnd"/>
      <w:r w:rsidRPr="00166595">
        <w:rPr>
          <w:szCs w:val="24"/>
        </w:rPr>
        <w:t> </w:t>
      </w:r>
      <w:r w:rsidRPr="00166595">
        <w:rPr>
          <w:szCs w:val="24"/>
          <w:lang w:eastAsia="ru-RU"/>
        </w:rPr>
        <w:t>(3</w:t>
      </w:r>
      <w:r w:rsidRPr="00166595">
        <w:rPr>
          <w:szCs w:val="24"/>
          <w:vertAlign w:val="subscript"/>
          <w:lang w:eastAsia="ru-RU"/>
        </w:rPr>
        <w:t>р.</w:t>
      </w:r>
      <w:r w:rsidRPr="00166595">
        <w:rPr>
          <w:szCs w:val="24"/>
          <w:lang w:eastAsia="ru-RU"/>
        </w:rPr>
        <w:t xml:space="preserve">) – </w:t>
      </w:r>
      <w:r w:rsidRPr="00166595">
        <w:rPr>
          <w:szCs w:val="24"/>
        </w:rPr>
        <w:t xml:space="preserve">коефіцієнт виплати дивідендів з </w:t>
      </w:r>
      <w:proofErr w:type="spellStart"/>
      <w:r w:rsidRPr="00166595">
        <w:rPr>
          <w:szCs w:val="24"/>
          <w:lang w:eastAsia="ru-RU"/>
        </w:rPr>
        <w:t>Прибутку</w:t>
      </w:r>
      <w:r w:rsidRPr="00166595">
        <w:rPr>
          <w:szCs w:val="24"/>
          <w:vertAlign w:val="subscript"/>
          <w:lang w:eastAsia="ru-RU"/>
        </w:rPr>
        <w:t>ЗР</w:t>
      </w:r>
      <w:proofErr w:type="spellEnd"/>
      <w:r w:rsidRPr="00166595">
        <w:rPr>
          <w:szCs w:val="24"/>
          <w:vertAlign w:val="subscript"/>
          <w:lang w:eastAsia="ru-RU"/>
        </w:rPr>
        <w:t> </w:t>
      </w:r>
      <w:r w:rsidRPr="00166595">
        <w:rPr>
          <w:szCs w:val="24"/>
          <w:vertAlign w:val="subscript"/>
        </w:rPr>
        <w:t xml:space="preserve">(Ч) </w:t>
      </w:r>
      <w:r w:rsidRPr="00166595">
        <w:rPr>
          <w:szCs w:val="24"/>
        </w:rPr>
        <w:t xml:space="preserve">за </w:t>
      </w:r>
      <w:r w:rsidRPr="00166595">
        <w:rPr>
          <w:szCs w:val="24"/>
          <w:lang w:eastAsia="ru-RU"/>
        </w:rPr>
        <w:t>останні</w:t>
      </w:r>
      <w:r w:rsidR="002F3ABF">
        <w:rPr>
          <w:szCs w:val="24"/>
          <w:lang w:eastAsia="ru-RU"/>
        </w:rPr>
        <w:t>х</w:t>
      </w:r>
      <w:r w:rsidRPr="00166595">
        <w:rPr>
          <w:szCs w:val="24"/>
          <w:lang w:eastAsia="ru-RU"/>
        </w:rPr>
        <w:t xml:space="preserve"> три роки, що передують поточному року, значення якого дорівнює середньоарифметичному значенню </w:t>
      </w:r>
      <w:proofErr w:type="spellStart"/>
      <w:r w:rsidRPr="00166595">
        <w:rPr>
          <w:szCs w:val="24"/>
          <w:lang w:eastAsia="ru-RU"/>
        </w:rPr>
        <w:t>Коефіцієнтів</w:t>
      </w:r>
      <w:r w:rsidRPr="00166595">
        <w:rPr>
          <w:szCs w:val="24"/>
          <w:vertAlign w:val="subscript"/>
          <w:lang w:eastAsia="ru-RU"/>
        </w:rPr>
        <w:t>div</w:t>
      </w:r>
      <w:proofErr w:type="spellEnd"/>
      <w:r w:rsidRPr="00166595">
        <w:rPr>
          <w:szCs w:val="24"/>
          <w:vertAlign w:val="subscript"/>
          <w:lang w:eastAsia="ru-RU"/>
        </w:rPr>
        <w:t> </w:t>
      </w:r>
      <w:r w:rsidRPr="00166595">
        <w:rPr>
          <w:szCs w:val="24"/>
          <w:lang w:eastAsia="ru-RU"/>
        </w:rPr>
        <w:t>(1</w:t>
      </w:r>
      <w:r w:rsidRPr="00166595">
        <w:rPr>
          <w:szCs w:val="24"/>
          <w:vertAlign w:val="subscript"/>
          <w:lang w:eastAsia="ru-RU"/>
        </w:rPr>
        <w:t>р.</w:t>
      </w:r>
      <w:r w:rsidRPr="00166595">
        <w:rPr>
          <w:szCs w:val="24"/>
          <w:lang w:eastAsia="ru-RU"/>
        </w:rPr>
        <w:t>), розрахованих для кожного року, в якому був чистий прибуток звітного року.</w:t>
      </w:r>
    </w:p>
    <w:p w14:paraId="1CF0A9D0" w14:textId="77777777" w:rsidR="00166595" w:rsidRPr="005B0CFE" w:rsidRDefault="00166595" w:rsidP="002F3ABF">
      <w:pPr>
        <w:shd w:val="clear" w:color="auto" w:fill="FFFFFF"/>
        <w:tabs>
          <w:tab w:val="left" w:pos="851"/>
        </w:tabs>
        <w:ind w:firstLine="567"/>
        <w:rPr>
          <w:szCs w:val="24"/>
          <w:lang w:eastAsia="ru-RU"/>
        </w:rPr>
      </w:pPr>
    </w:p>
    <w:p w14:paraId="57AF4D1A" w14:textId="0040B4AF" w:rsidR="00166595" w:rsidRPr="00166595" w:rsidRDefault="00166595" w:rsidP="002F3ABF">
      <w:pPr>
        <w:ind w:firstLine="567"/>
        <w:rPr>
          <w:szCs w:val="24"/>
          <w:lang w:eastAsia="ru-RU"/>
        </w:rPr>
      </w:pPr>
      <w:r w:rsidRPr="00166595">
        <w:rPr>
          <w:szCs w:val="24"/>
          <w:lang w:eastAsia="ru-RU"/>
        </w:rPr>
        <w:t>4. </w:t>
      </w:r>
      <w:proofErr w:type="spellStart"/>
      <w:r w:rsidRPr="00166595">
        <w:rPr>
          <w:szCs w:val="24"/>
          <w:lang w:eastAsia="ru-RU"/>
        </w:rPr>
        <w:t>Коефіцієнт</w:t>
      </w:r>
      <w:r w:rsidRPr="00166595">
        <w:rPr>
          <w:szCs w:val="24"/>
          <w:vertAlign w:val="subscript"/>
          <w:lang w:eastAsia="ru-RU"/>
        </w:rPr>
        <w:t>div</w:t>
      </w:r>
      <w:proofErr w:type="spellEnd"/>
      <w:r w:rsidRPr="00166595">
        <w:rPr>
          <w:szCs w:val="24"/>
        </w:rPr>
        <w:t> </w:t>
      </w:r>
      <w:r w:rsidRPr="00166595">
        <w:rPr>
          <w:szCs w:val="24"/>
          <w:vertAlign w:val="subscript"/>
          <w:lang w:eastAsia="ru-RU"/>
        </w:rPr>
        <w:t>МР</w:t>
      </w:r>
      <w:r w:rsidRPr="00166595">
        <w:rPr>
          <w:szCs w:val="24"/>
          <w:lang w:eastAsia="ru-RU"/>
        </w:rPr>
        <w:t xml:space="preserve"> – коефіцієнт дивідендів, передбачуваних до сплати з Прибутків </w:t>
      </w:r>
      <w:r w:rsidRPr="00166595">
        <w:rPr>
          <w:szCs w:val="24"/>
          <w:vertAlign w:val="subscript"/>
          <w:lang w:eastAsia="ru-RU"/>
        </w:rPr>
        <w:t>МР</w:t>
      </w:r>
      <w:r w:rsidRPr="00166595">
        <w:rPr>
          <w:szCs w:val="24"/>
          <w:lang w:eastAsia="ru-RU"/>
        </w:rPr>
        <w:t xml:space="preserve">, значення якого відповідає прогнозному відсотку дивідендів до </w:t>
      </w:r>
      <w:r w:rsidRPr="00166595">
        <w:rPr>
          <w:szCs w:val="24"/>
          <w:lang w:eastAsia="ru-RU"/>
        </w:rPr>
        <w:lastRenderedPageBreak/>
        <w:t xml:space="preserve">сплати з нерозподілених прибутків минулих років, визначеному </w:t>
      </w:r>
      <w:r w:rsidR="005B0CFE">
        <w:rPr>
          <w:szCs w:val="24"/>
          <w:lang w:eastAsia="ru-RU"/>
        </w:rPr>
        <w:t>в</w:t>
      </w:r>
      <w:r w:rsidR="005B0CFE" w:rsidRPr="00166595">
        <w:rPr>
          <w:szCs w:val="24"/>
          <w:lang w:eastAsia="ru-RU"/>
        </w:rPr>
        <w:t xml:space="preserve"> </w:t>
      </w:r>
      <w:r w:rsidRPr="00166595">
        <w:rPr>
          <w:szCs w:val="24"/>
          <w:lang w:eastAsia="ru-RU"/>
        </w:rPr>
        <w:t xml:space="preserve">дивідендній політиці на поточний рік, </w:t>
      </w:r>
      <w:r w:rsidRPr="00166595">
        <w:rPr>
          <w:szCs w:val="24"/>
        </w:rPr>
        <w:t>поділеному на 100</w:t>
      </w:r>
      <w:r w:rsidRPr="00166595">
        <w:rPr>
          <w:szCs w:val="24"/>
          <w:lang w:eastAsia="ru-RU"/>
        </w:rPr>
        <w:t xml:space="preserve">. </w:t>
      </w:r>
    </w:p>
    <w:p w14:paraId="7B2DD5A7" w14:textId="77777777" w:rsidR="00166595" w:rsidRPr="00166595" w:rsidRDefault="00166595" w:rsidP="002F3ABF">
      <w:pPr>
        <w:shd w:val="clear" w:color="auto" w:fill="FFFFFF"/>
        <w:tabs>
          <w:tab w:val="left" w:pos="851"/>
        </w:tabs>
        <w:ind w:firstLine="567"/>
        <w:rPr>
          <w:szCs w:val="24"/>
          <w:lang w:eastAsia="ru-RU"/>
        </w:rPr>
      </w:pPr>
    </w:p>
    <w:p w14:paraId="286A677F" w14:textId="73ADE836" w:rsidR="00166595" w:rsidRPr="00166595" w:rsidRDefault="00166595" w:rsidP="002F3ABF">
      <w:pPr>
        <w:shd w:val="clear" w:color="auto" w:fill="FFFFFF"/>
        <w:tabs>
          <w:tab w:val="left" w:pos="851"/>
        </w:tabs>
        <w:ind w:firstLine="567"/>
        <w:rPr>
          <w:szCs w:val="24"/>
          <w:lang w:eastAsia="ru-RU"/>
        </w:rPr>
      </w:pPr>
      <w:r w:rsidRPr="00166595">
        <w:rPr>
          <w:szCs w:val="24"/>
          <w:lang w:eastAsia="ru-RU"/>
        </w:rPr>
        <w:t>5. </w:t>
      </w:r>
      <w:proofErr w:type="spellStart"/>
      <w:r w:rsidRPr="00166595">
        <w:rPr>
          <w:szCs w:val="24"/>
          <w:lang w:eastAsia="ru-RU"/>
        </w:rPr>
        <w:t>Коефіцієнт</w:t>
      </w:r>
      <w:r w:rsidRPr="00166595">
        <w:rPr>
          <w:szCs w:val="24"/>
          <w:vertAlign w:val="subscript"/>
          <w:lang w:eastAsia="ru-RU"/>
        </w:rPr>
        <w:t>div</w:t>
      </w:r>
      <w:proofErr w:type="spellEnd"/>
      <w:r w:rsidRPr="00166595">
        <w:rPr>
          <w:szCs w:val="24"/>
          <w:vertAlign w:val="subscript"/>
          <w:lang w:eastAsia="ru-RU"/>
        </w:rPr>
        <w:t> МР </w:t>
      </w:r>
      <w:r w:rsidRPr="00166595">
        <w:rPr>
          <w:szCs w:val="24"/>
          <w:lang w:eastAsia="ru-RU"/>
        </w:rPr>
        <w:t>(1</w:t>
      </w:r>
      <w:r w:rsidRPr="00166595">
        <w:rPr>
          <w:szCs w:val="24"/>
          <w:vertAlign w:val="subscript"/>
          <w:lang w:eastAsia="ru-RU"/>
        </w:rPr>
        <w:t>р.</w:t>
      </w:r>
      <w:r w:rsidRPr="00166595">
        <w:rPr>
          <w:szCs w:val="24"/>
          <w:lang w:eastAsia="ru-RU"/>
        </w:rPr>
        <w:t xml:space="preserve">) – </w:t>
      </w:r>
      <w:r w:rsidRPr="00166595">
        <w:rPr>
          <w:szCs w:val="24"/>
        </w:rPr>
        <w:t xml:space="preserve">коефіцієнт виплати дивідендів з </w:t>
      </w:r>
      <w:proofErr w:type="spellStart"/>
      <w:r w:rsidRPr="00166595">
        <w:rPr>
          <w:szCs w:val="24"/>
          <w:lang w:eastAsia="ru-RU"/>
        </w:rPr>
        <w:t>Прибутків</w:t>
      </w:r>
      <w:r w:rsidRPr="00166595">
        <w:rPr>
          <w:szCs w:val="24"/>
          <w:vertAlign w:val="subscript"/>
          <w:lang w:eastAsia="ru-RU"/>
        </w:rPr>
        <w:t>МР</w:t>
      </w:r>
      <w:proofErr w:type="spellEnd"/>
      <w:r w:rsidRPr="00166595">
        <w:rPr>
          <w:szCs w:val="24"/>
          <w:lang w:eastAsia="ru-RU"/>
        </w:rPr>
        <w:t xml:space="preserve"> за</w:t>
      </w:r>
      <w:r w:rsidR="005B0CFE">
        <w:rPr>
          <w:szCs w:val="24"/>
          <w:lang w:eastAsia="ru-RU"/>
        </w:rPr>
        <w:t xml:space="preserve"> </w:t>
      </w:r>
      <w:r w:rsidRPr="00166595">
        <w:rPr>
          <w:szCs w:val="24"/>
          <w:lang w:eastAsia="ru-RU"/>
        </w:rPr>
        <w:t xml:space="preserve">останній рік, що передує поточному року </w:t>
      </w:r>
      <w:r w:rsidRPr="00166595">
        <w:rPr>
          <w:szCs w:val="24"/>
        </w:rPr>
        <w:t>(за звітний рік)</w:t>
      </w:r>
      <w:r w:rsidRPr="00166595">
        <w:rPr>
          <w:szCs w:val="24"/>
          <w:lang w:eastAsia="ru-RU"/>
        </w:rPr>
        <w:t>, значення якого визначається відповідно до критеріїв, визначених у таблиці 5</w:t>
      </w:r>
      <w:r w:rsidR="005B0CFE">
        <w:rPr>
          <w:szCs w:val="24"/>
          <w:lang w:eastAsia="ru-RU"/>
        </w:rPr>
        <w:t xml:space="preserve"> цього додатка</w:t>
      </w:r>
      <w:r w:rsidRPr="00166595">
        <w:rPr>
          <w:szCs w:val="24"/>
          <w:lang w:eastAsia="ru-RU"/>
        </w:rPr>
        <w:t>.</w:t>
      </w:r>
    </w:p>
    <w:p w14:paraId="1511487C" w14:textId="77777777" w:rsidR="00166595" w:rsidRPr="00166595" w:rsidRDefault="00166595" w:rsidP="002F3ABF">
      <w:pPr>
        <w:tabs>
          <w:tab w:val="left" w:pos="851"/>
          <w:tab w:val="left" w:pos="1134"/>
          <w:tab w:val="left" w:pos="1560"/>
        </w:tabs>
        <w:ind w:firstLine="567"/>
        <w:jc w:val="right"/>
        <w:rPr>
          <w:szCs w:val="24"/>
          <w:lang w:eastAsia="ru-RU"/>
        </w:rPr>
      </w:pPr>
    </w:p>
    <w:p w14:paraId="53166C40" w14:textId="236A76D5" w:rsidR="00166595" w:rsidRPr="00166595" w:rsidRDefault="00166595" w:rsidP="002F3ABF">
      <w:pPr>
        <w:shd w:val="clear" w:color="auto" w:fill="FFFFFF"/>
        <w:tabs>
          <w:tab w:val="left" w:pos="851"/>
        </w:tabs>
        <w:ind w:firstLine="567"/>
        <w:rPr>
          <w:szCs w:val="24"/>
          <w:lang w:eastAsia="ru-RU"/>
        </w:rPr>
      </w:pPr>
      <w:r w:rsidRPr="00166595">
        <w:rPr>
          <w:szCs w:val="24"/>
          <w:lang w:eastAsia="ru-RU"/>
        </w:rPr>
        <w:t>6. </w:t>
      </w:r>
      <w:proofErr w:type="spellStart"/>
      <w:r w:rsidRPr="00166595">
        <w:rPr>
          <w:szCs w:val="24"/>
          <w:lang w:eastAsia="ru-RU"/>
        </w:rPr>
        <w:t>Коефіцієнт</w:t>
      </w:r>
      <w:r w:rsidRPr="00166595">
        <w:rPr>
          <w:szCs w:val="24"/>
          <w:vertAlign w:val="subscript"/>
          <w:lang w:eastAsia="ru-RU"/>
        </w:rPr>
        <w:t>div</w:t>
      </w:r>
      <w:proofErr w:type="spellEnd"/>
      <w:r w:rsidRPr="00166595">
        <w:rPr>
          <w:szCs w:val="24"/>
          <w:vertAlign w:val="subscript"/>
          <w:lang w:eastAsia="ru-RU"/>
        </w:rPr>
        <w:t> МР</w:t>
      </w:r>
      <w:r w:rsidRPr="00166595">
        <w:rPr>
          <w:szCs w:val="24"/>
        </w:rPr>
        <w:t> </w:t>
      </w:r>
      <w:r w:rsidRPr="00166595">
        <w:rPr>
          <w:szCs w:val="24"/>
          <w:lang w:eastAsia="ru-RU"/>
        </w:rPr>
        <w:t>(3</w:t>
      </w:r>
      <w:r w:rsidRPr="00166595">
        <w:rPr>
          <w:szCs w:val="24"/>
          <w:vertAlign w:val="subscript"/>
          <w:lang w:eastAsia="ru-RU"/>
        </w:rPr>
        <w:t>р.</w:t>
      </w:r>
      <w:r w:rsidRPr="00166595">
        <w:rPr>
          <w:szCs w:val="24"/>
          <w:lang w:eastAsia="ru-RU"/>
        </w:rPr>
        <w:t xml:space="preserve">) – </w:t>
      </w:r>
      <w:r w:rsidRPr="00166595">
        <w:rPr>
          <w:szCs w:val="24"/>
        </w:rPr>
        <w:t xml:space="preserve">коефіцієнт виплати дивідендів з </w:t>
      </w:r>
      <w:proofErr w:type="spellStart"/>
      <w:r w:rsidRPr="00166595">
        <w:rPr>
          <w:szCs w:val="24"/>
          <w:lang w:eastAsia="ru-RU"/>
        </w:rPr>
        <w:t>Прибутків</w:t>
      </w:r>
      <w:r w:rsidRPr="00166595">
        <w:rPr>
          <w:szCs w:val="24"/>
          <w:vertAlign w:val="subscript"/>
          <w:lang w:eastAsia="ru-RU"/>
        </w:rPr>
        <w:t>МР</w:t>
      </w:r>
      <w:proofErr w:type="spellEnd"/>
      <w:r w:rsidRPr="00166595">
        <w:rPr>
          <w:szCs w:val="24"/>
        </w:rPr>
        <w:t xml:space="preserve"> </w:t>
      </w:r>
      <w:r w:rsidRPr="00166595">
        <w:rPr>
          <w:szCs w:val="24"/>
          <w:lang w:eastAsia="ru-RU"/>
        </w:rPr>
        <w:t>за останні</w:t>
      </w:r>
      <w:r w:rsidR="005B0CFE">
        <w:rPr>
          <w:szCs w:val="24"/>
          <w:lang w:eastAsia="ru-RU"/>
        </w:rPr>
        <w:t>х</w:t>
      </w:r>
      <w:r w:rsidRPr="00166595">
        <w:rPr>
          <w:szCs w:val="24"/>
          <w:lang w:eastAsia="ru-RU"/>
        </w:rPr>
        <w:t xml:space="preserve"> три роки, що передують поточному року,</w:t>
      </w:r>
      <w:r w:rsidRPr="00166595">
        <w:rPr>
          <w:szCs w:val="24"/>
        </w:rPr>
        <w:t xml:space="preserve"> значення </w:t>
      </w:r>
      <w:r w:rsidRPr="00166595">
        <w:rPr>
          <w:szCs w:val="24"/>
          <w:lang w:eastAsia="ru-RU"/>
        </w:rPr>
        <w:t xml:space="preserve">якого дорівнює середньоарифметичному значенню </w:t>
      </w:r>
      <w:proofErr w:type="spellStart"/>
      <w:r w:rsidRPr="00166595">
        <w:rPr>
          <w:szCs w:val="24"/>
          <w:lang w:eastAsia="ru-RU"/>
        </w:rPr>
        <w:t>Коефіцієнтів</w:t>
      </w:r>
      <w:r w:rsidRPr="00166595">
        <w:rPr>
          <w:szCs w:val="24"/>
          <w:vertAlign w:val="subscript"/>
          <w:lang w:eastAsia="ru-RU"/>
        </w:rPr>
        <w:t>div</w:t>
      </w:r>
      <w:proofErr w:type="spellEnd"/>
      <w:r w:rsidRPr="00166595">
        <w:rPr>
          <w:szCs w:val="24"/>
          <w:vertAlign w:val="subscript"/>
          <w:lang w:eastAsia="ru-RU"/>
        </w:rPr>
        <w:t> МР</w:t>
      </w:r>
      <w:r w:rsidRPr="00166595">
        <w:rPr>
          <w:szCs w:val="24"/>
          <w:lang w:eastAsia="ru-RU"/>
        </w:rPr>
        <w:t> (1</w:t>
      </w:r>
      <w:r w:rsidRPr="00166595">
        <w:rPr>
          <w:szCs w:val="24"/>
          <w:vertAlign w:val="subscript"/>
          <w:lang w:eastAsia="ru-RU"/>
        </w:rPr>
        <w:t>р.</w:t>
      </w:r>
      <w:r w:rsidRPr="00166595">
        <w:rPr>
          <w:szCs w:val="24"/>
          <w:lang w:eastAsia="ru-RU"/>
        </w:rPr>
        <w:t xml:space="preserve">), розрахованих для кожного року, в якому учасник кредитно-інвестиційної підгрупи мав </w:t>
      </w:r>
      <w:proofErr w:type="spellStart"/>
      <w:r w:rsidRPr="00166595">
        <w:rPr>
          <w:szCs w:val="24"/>
          <w:lang w:eastAsia="ru-RU"/>
        </w:rPr>
        <w:t>Прибутки</w:t>
      </w:r>
      <w:r w:rsidRPr="00166595">
        <w:rPr>
          <w:szCs w:val="24"/>
          <w:vertAlign w:val="subscript"/>
          <w:lang w:eastAsia="ru-RU"/>
        </w:rPr>
        <w:t>МР</w:t>
      </w:r>
      <w:proofErr w:type="spellEnd"/>
      <w:r w:rsidRPr="00166595">
        <w:rPr>
          <w:szCs w:val="24"/>
          <w:lang w:eastAsia="ru-RU"/>
        </w:rPr>
        <w:t>.</w:t>
      </w:r>
    </w:p>
    <w:p w14:paraId="1E43BDBA" w14:textId="77777777" w:rsidR="00166595" w:rsidRPr="00166595" w:rsidRDefault="00166595" w:rsidP="002F3ABF">
      <w:pPr>
        <w:shd w:val="clear" w:color="auto" w:fill="FFFFFF"/>
        <w:tabs>
          <w:tab w:val="left" w:pos="851"/>
        </w:tabs>
        <w:ind w:firstLine="567"/>
        <w:rPr>
          <w:szCs w:val="24"/>
        </w:rPr>
      </w:pPr>
    </w:p>
    <w:p w14:paraId="27D24052" w14:textId="5AE34639" w:rsidR="00166595" w:rsidRPr="00166595" w:rsidRDefault="00166595" w:rsidP="002F3ABF">
      <w:pPr>
        <w:shd w:val="clear" w:color="auto" w:fill="FFFFFF"/>
        <w:tabs>
          <w:tab w:val="left" w:pos="851"/>
        </w:tabs>
        <w:ind w:firstLine="567"/>
        <w:rPr>
          <w:szCs w:val="24"/>
        </w:rPr>
      </w:pPr>
      <w:r w:rsidRPr="00166595">
        <w:rPr>
          <w:szCs w:val="24"/>
          <w:lang w:eastAsia="ru-RU"/>
        </w:rPr>
        <w:t xml:space="preserve">7. </w:t>
      </w:r>
      <w:proofErr w:type="spellStart"/>
      <w:r w:rsidRPr="00166595">
        <w:rPr>
          <w:szCs w:val="24"/>
          <w:lang w:eastAsia="ru-RU"/>
        </w:rPr>
        <w:t>Прибуток</w:t>
      </w:r>
      <w:r w:rsidRPr="00166595">
        <w:rPr>
          <w:szCs w:val="24"/>
          <w:vertAlign w:val="subscript"/>
          <w:lang w:eastAsia="ru-RU"/>
        </w:rPr>
        <w:t>ЗР</w:t>
      </w:r>
      <w:proofErr w:type="spellEnd"/>
      <w:r w:rsidRPr="00166595">
        <w:rPr>
          <w:szCs w:val="24"/>
          <w:vertAlign w:val="subscript"/>
          <w:lang w:eastAsia="ru-RU"/>
        </w:rPr>
        <w:t> </w:t>
      </w:r>
      <w:r w:rsidRPr="00166595">
        <w:rPr>
          <w:szCs w:val="24"/>
          <w:vertAlign w:val="subscript"/>
        </w:rPr>
        <w:t>(Ч)</w:t>
      </w:r>
      <w:r w:rsidRPr="00166595">
        <w:rPr>
          <w:szCs w:val="24"/>
        </w:rPr>
        <w:t xml:space="preserve"> – чистий прибуток звітного року</w:t>
      </w:r>
      <w:r w:rsidRPr="00166595">
        <w:rPr>
          <w:iCs/>
          <w:szCs w:val="24"/>
        </w:rPr>
        <w:t>.</w:t>
      </w:r>
    </w:p>
    <w:p w14:paraId="47FA42A9" w14:textId="77777777" w:rsidR="00166595" w:rsidRPr="00166595" w:rsidRDefault="00166595" w:rsidP="002F3ABF">
      <w:pPr>
        <w:shd w:val="clear" w:color="auto" w:fill="FFFFFF"/>
        <w:tabs>
          <w:tab w:val="left" w:pos="851"/>
        </w:tabs>
        <w:ind w:firstLine="567"/>
        <w:rPr>
          <w:szCs w:val="24"/>
          <w:lang w:eastAsia="ru-RU"/>
        </w:rPr>
      </w:pPr>
    </w:p>
    <w:p w14:paraId="66DC2210" w14:textId="632F7A86" w:rsidR="00166595" w:rsidRPr="00166595" w:rsidRDefault="00166595" w:rsidP="002F3ABF">
      <w:pPr>
        <w:shd w:val="clear" w:color="auto" w:fill="FFFFFF"/>
        <w:tabs>
          <w:tab w:val="left" w:pos="851"/>
        </w:tabs>
        <w:ind w:firstLine="567"/>
        <w:rPr>
          <w:szCs w:val="24"/>
        </w:rPr>
      </w:pPr>
      <w:r w:rsidRPr="00166595">
        <w:rPr>
          <w:szCs w:val="24"/>
          <w:lang w:eastAsia="ru-RU"/>
        </w:rPr>
        <w:t>8. </w:t>
      </w:r>
      <w:proofErr w:type="spellStart"/>
      <w:r w:rsidRPr="00166595">
        <w:rPr>
          <w:szCs w:val="24"/>
          <w:lang w:eastAsia="ru-RU"/>
        </w:rPr>
        <w:t>Прибуток</w:t>
      </w:r>
      <w:r w:rsidRPr="00166595">
        <w:rPr>
          <w:szCs w:val="24"/>
          <w:vertAlign w:val="subscript"/>
          <w:lang w:eastAsia="ru-RU"/>
        </w:rPr>
        <w:t>ЗР</w:t>
      </w:r>
      <w:proofErr w:type="spellEnd"/>
      <w:r w:rsidRPr="00166595">
        <w:rPr>
          <w:szCs w:val="24"/>
          <w:vertAlign w:val="subscript"/>
          <w:lang w:eastAsia="ru-RU"/>
        </w:rPr>
        <w:t>/ПЗП/П</w:t>
      </w:r>
      <w:r w:rsidRPr="00166595">
        <w:rPr>
          <w:szCs w:val="24"/>
        </w:rPr>
        <w:t xml:space="preserve"> – прибуток звітного року/прибуток </w:t>
      </w:r>
      <w:r w:rsidRPr="00166595">
        <w:rPr>
          <w:szCs w:val="24"/>
          <w:lang w:eastAsia="ru-RU"/>
        </w:rPr>
        <w:t>за проміжний звітний період</w:t>
      </w:r>
      <w:r w:rsidRPr="00166595">
        <w:rPr>
          <w:szCs w:val="24"/>
        </w:rPr>
        <w:t>/поточний прибуток.</w:t>
      </w:r>
    </w:p>
    <w:p w14:paraId="2613A365" w14:textId="77777777" w:rsidR="00166595" w:rsidRPr="00166595" w:rsidRDefault="00166595" w:rsidP="002F3ABF">
      <w:pPr>
        <w:shd w:val="clear" w:color="auto" w:fill="FFFFFF"/>
        <w:tabs>
          <w:tab w:val="left" w:pos="851"/>
        </w:tabs>
        <w:ind w:firstLine="567"/>
        <w:rPr>
          <w:szCs w:val="24"/>
        </w:rPr>
      </w:pPr>
    </w:p>
    <w:p w14:paraId="5A701C87" w14:textId="2F7C482A" w:rsidR="00166595" w:rsidRPr="00166595" w:rsidRDefault="00166595" w:rsidP="002F3ABF">
      <w:pPr>
        <w:shd w:val="clear" w:color="auto" w:fill="FFFFFF"/>
        <w:tabs>
          <w:tab w:val="left" w:pos="851"/>
        </w:tabs>
        <w:ind w:firstLine="567"/>
        <w:rPr>
          <w:szCs w:val="24"/>
        </w:rPr>
      </w:pPr>
      <w:r w:rsidRPr="00166595">
        <w:rPr>
          <w:szCs w:val="24"/>
          <w:lang w:eastAsia="ru-RU"/>
        </w:rPr>
        <w:t xml:space="preserve">9. </w:t>
      </w:r>
      <w:proofErr w:type="spellStart"/>
      <w:r w:rsidRPr="00166595">
        <w:rPr>
          <w:szCs w:val="24"/>
          <w:lang w:eastAsia="ru-RU"/>
        </w:rPr>
        <w:t>Прибутки</w:t>
      </w:r>
      <w:r w:rsidRPr="00166595">
        <w:rPr>
          <w:szCs w:val="24"/>
          <w:vertAlign w:val="subscript"/>
          <w:lang w:eastAsia="ru-RU"/>
        </w:rPr>
        <w:t>МР</w:t>
      </w:r>
      <w:proofErr w:type="spellEnd"/>
      <w:r w:rsidRPr="00166595">
        <w:rPr>
          <w:szCs w:val="24"/>
        </w:rPr>
        <w:t xml:space="preserve"> – </w:t>
      </w:r>
      <w:r w:rsidRPr="00166595">
        <w:rPr>
          <w:szCs w:val="24"/>
          <w:lang w:eastAsia="ru-RU"/>
        </w:rPr>
        <w:t>н</w:t>
      </w:r>
      <w:r w:rsidRPr="00166595">
        <w:rPr>
          <w:szCs w:val="24"/>
        </w:rPr>
        <w:t>ерозподілені прибутки минулих років.</w:t>
      </w:r>
    </w:p>
    <w:p w14:paraId="1A0341C9" w14:textId="77777777" w:rsidR="00166595" w:rsidRPr="00166595" w:rsidRDefault="00166595" w:rsidP="00AA2CE1">
      <w:pPr>
        <w:ind w:firstLine="720"/>
        <w:rPr>
          <w:rFonts w:ascii="Calibri" w:hAnsi="Calibri"/>
          <w:szCs w:val="24"/>
        </w:rPr>
      </w:pPr>
    </w:p>
    <w:p w14:paraId="09FF6E3A" w14:textId="77777777" w:rsidR="00EC1519" w:rsidRDefault="00EC1519" w:rsidP="00AA2CE1">
      <w:pPr>
        <w:ind w:firstLine="720"/>
        <w:rPr>
          <w:shd w:val="clear" w:color="auto" w:fill="FFFFFF"/>
        </w:rPr>
        <w:sectPr w:rsidR="00EC1519" w:rsidSect="00EC1519">
          <w:pgSz w:w="11906" w:h="16838"/>
          <w:pgMar w:top="567" w:right="567" w:bottom="1701" w:left="1701" w:header="709" w:footer="709" w:gutter="0"/>
          <w:cols w:space="708"/>
          <w:docGrid w:linePitch="381"/>
        </w:sectPr>
      </w:pPr>
    </w:p>
    <w:p w14:paraId="27344F02" w14:textId="77777777" w:rsidR="00EC1519" w:rsidRDefault="00EC1519" w:rsidP="00AA2CE1">
      <w:pPr>
        <w:ind w:left="4536"/>
        <w:rPr>
          <w:szCs w:val="24"/>
        </w:rPr>
      </w:pPr>
      <w:r w:rsidRPr="00EC1519">
        <w:rPr>
          <w:szCs w:val="24"/>
        </w:rPr>
        <w:lastRenderedPageBreak/>
        <w:t>Додаток 2</w:t>
      </w:r>
    </w:p>
    <w:p w14:paraId="1CC7D273" w14:textId="77777777" w:rsidR="00EC1519" w:rsidRPr="00EC1519" w:rsidRDefault="00170792" w:rsidP="00AA2CE1">
      <w:pPr>
        <w:ind w:left="4536"/>
        <w:rPr>
          <w:szCs w:val="24"/>
        </w:rPr>
      </w:pPr>
      <w:r w:rsidRPr="00170792">
        <w:rPr>
          <w:szCs w:val="24"/>
        </w:rPr>
        <w:t>до Положення про порядок регулювання діяльності банківських груп</w:t>
      </w:r>
    </w:p>
    <w:p w14:paraId="38E14DA2" w14:textId="77777777" w:rsidR="00EC1519" w:rsidRPr="00EC1519" w:rsidRDefault="00EC1519" w:rsidP="00AA2CE1">
      <w:pPr>
        <w:shd w:val="clear" w:color="auto" w:fill="FFFFFF"/>
        <w:ind w:left="4536"/>
        <w:rPr>
          <w:szCs w:val="24"/>
        </w:rPr>
      </w:pPr>
      <w:r w:rsidRPr="00EC1519">
        <w:rPr>
          <w:szCs w:val="24"/>
        </w:rPr>
        <w:t>(підпункт 3 пункту 1 глави 6 розділу II)</w:t>
      </w:r>
    </w:p>
    <w:tbl>
      <w:tblPr>
        <w:tblW w:w="10158" w:type="dxa"/>
        <w:tblInd w:w="-108" w:type="dxa"/>
        <w:tblCellMar>
          <w:left w:w="10" w:type="dxa"/>
          <w:right w:w="10" w:type="dxa"/>
        </w:tblCellMar>
        <w:tblLook w:val="0000" w:firstRow="0" w:lastRow="0" w:firstColumn="0" w:lastColumn="0" w:noHBand="0" w:noVBand="0"/>
      </w:tblPr>
      <w:tblGrid>
        <w:gridCol w:w="10158"/>
      </w:tblGrid>
      <w:tr w:rsidR="00EC1519" w:rsidRPr="00EC1519" w14:paraId="19C20822" w14:textId="77777777" w:rsidTr="00C35F8F">
        <w:tc>
          <w:tcPr>
            <w:tcW w:w="10158" w:type="dxa"/>
            <w:tcMar>
              <w:top w:w="0" w:type="dxa"/>
              <w:left w:w="108" w:type="dxa"/>
              <w:bottom w:w="0" w:type="dxa"/>
              <w:right w:w="108" w:type="dxa"/>
            </w:tcMar>
          </w:tcPr>
          <w:tbl>
            <w:tblPr>
              <w:tblStyle w:val="11"/>
              <w:tblW w:w="2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tblGrid>
            <w:tr w:rsidR="00EC1519" w:rsidRPr="00EC1519" w14:paraId="6D3F002B" w14:textId="77777777" w:rsidTr="00C35F8F">
              <w:trPr>
                <w:trHeight w:val="68"/>
              </w:trPr>
              <w:tc>
                <w:tcPr>
                  <w:tcW w:w="2161" w:type="dxa"/>
                </w:tcPr>
                <w:p w14:paraId="366C211C" w14:textId="77777777" w:rsidR="00EC1519" w:rsidRPr="00EC1519" w:rsidRDefault="00EC1519" w:rsidP="00AA2CE1">
                  <w:pPr>
                    <w:tabs>
                      <w:tab w:val="left" w:pos="482"/>
                    </w:tabs>
                    <w:suppressAutoHyphens/>
                    <w:ind w:firstLine="720"/>
                    <w:jc w:val="right"/>
                    <w:rPr>
                      <w:szCs w:val="24"/>
                    </w:rPr>
                  </w:pPr>
                </w:p>
              </w:tc>
            </w:tr>
          </w:tbl>
          <w:p w14:paraId="24F65906" w14:textId="77777777" w:rsidR="00EC1519" w:rsidRPr="00EC1519" w:rsidRDefault="00EC1519" w:rsidP="00AA2CE1">
            <w:pPr>
              <w:tabs>
                <w:tab w:val="left" w:pos="482"/>
              </w:tabs>
              <w:suppressAutoHyphens/>
              <w:ind w:firstLine="720"/>
              <w:jc w:val="right"/>
              <w:rPr>
                <w:szCs w:val="24"/>
              </w:rPr>
            </w:pPr>
          </w:p>
        </w:tc>
      </w:tr>
    </w:tbl>
    <w:p w14:paraId="0927999C" w14:textId="021E0176" w:rsidR="00EC1519" w:rsidRPr="00EC1519" w:rsidRDefault="00EC1519" w:rsidP="00AA2CE1">
      <w:pPr>
        <w:tabs>
          <w:tab w:val="left" w:pos="851"/>
        </w:tabs>
        <w:ind w:firstLine="720"/>
        <w:jc w:val="center"/>
        <w:rPr>
          <w:szCs w:val="24"/>
        </w:rPr>
      </w:pPr>
      <w:r w:rsidRPr="00EC1519">
        <w:rPr>
          <w:bCs/>
          <w:szCs w:val="24"/>
        </w:rPr>
        <w:t>Запевнення про достовірність розрахунку суми прибутку</w:t>
      </w:r>
      <w:r w:rsidRPr="00EC1519">
        <w:rPr>
          <w:szCs w:val="24"/>
        </w:rPr>
        <w:t xml:space="preserve"> ______________________________</w:t>
      </w:r>
      <w:r w:rsidR="00EF207E">
        <w:rPr>
          <w:szCs w:val="24"/>
        </w:rPr>
        <w:t>___________________________</w:t>
      </w:r>
    </w:p>
    <w:p w14:paraId="4F3CA9D2" w14:textId="77777777" w:rsidR="00EC1519" w:rsidRPr="00EC1519" w:rsidRDefault="00EC1519" w:rsidP="00AA2CE1">
      <w:pPr>
        <w:tabs>
          <w:tab w:val="left" w:pos="851"/>
        </w:tabs>
        <w:ind w:firstLine="720"/>
        <w:jc w:val="center"/>
        <w:rPr>
          <w:szCs w:val="24"/>
        </w:rPr>
      </w:pPr>
      <w:r w:rsidRPr="00EC1519">
        <w:rPr>
          <w:szCs w:val="24"/>
        </w:rPr>
        <w:t>(звітного року/прибутку</w:t>
      </w:r>
      <w:r w:rsidRPr="00EC1519">
        <w:rPr>
          <w:szCs w:val="24"/>
          <w:lang w:eastAsia="ru-RU"/>
        </w:rPr>
        <w:t xml:space="preserve"> за проміжний звітний період</w:t>
      </w:r>
      <w:r w:rsidRPr="00EC1519">
        <w:rPr>
          <w:szCs w:val="24"/>
        </w:rPr>
        <w:t xml:space="preserve">) </w:t>
      </w:r>
    </w:p>
    <w:p w14:paraId="272A22BA" w14:textId="2D154161" w:rsidR="00EC1519" w:rsidRPr="00EC1519" w:rsidRDefault="00EC1519" w:rsidP="00AA2CE1">
      <w:pPr>
        <w:tabs>
          <w:tab w:val="left" w:pos="851"/>
          <w:tab w:val="left" w:pos="1560"/>
        </w:tabs>
        <w:ind w:firstLine="720"/>
        <w:contextualSpacing/>
        <w:jc w:val="center"/>
        <w:rPr>
          <w:szCs w:val="24"/>
        </w:rPr>
      </w:pPr>
      <w:r w:rsidRPr="00EC1519">
        <w:rPr>
          <w:szCs w:val="24"/>
        </w:rPr>
        <w:t xml:space="preserve">за </w:t>
      </w:r>
      <w:r w:rsidR="00EF207E">
        <w:rPr>
          <w:szCs w:val="24"/>
        </w:rPr>
        <w:t>_________________</w:t>
      </w:r>
      <w:r w:rsidRPr="00EC1519">
        <w:rPr>
          <w:szCs w:val="24"/>
        </w:rPr>
        <w:t>____________________________________________</w:t>
      </w:r>
    </w:p>
    <w:p w14:paraId="16830B2C" w14:textId="77777777" w:rsidR="00EC1519" w:rsidRPr="00EC1519" w:rsidRDefault="00EC1519" w:rsidP="00AA2CE1">
      <w:pPr>
        <w:tabs>
          <w:tab w:val="left" w:pos="851"/>
          <w:tab w:val="left" w:pos="1560"/>
        </w:tabs>
        <w:ind w:firstLine="720"/>
        <w:contextualSpacing/>
        <w:jc w:val="center"/>
        <w:rPr>
          <w:szCs w:val="24"/>
        </w:rPr>
      </w:pPr>
      <w:r w:rsidRPr="00EC1519">
        <w:rPr>
          <w:szCs w:val="24"/>
        </w:rPr>
        <w:t>рік/проміжний період (перший квартал, перше півріччя, дев’ять місяців)</w:t>
      </w:r>
    </w:p>
    <w:p w14:paraId="3C50430B" w14:textId="77777777" w:rsidR="00EC1519" w:rsidRPr="00EC1519" w:rsidRDefault="00EC1519" w:rsidP="00AA2CE1">
      <w:pPr>
        <w:ind w:firstLine="720"/>
        <w:jc w:val="center"/>
        <w:rPr>
          <w:szCs w:val="24"/>
        </w:rPr>
      </w:pPr>
    </w:p>
    <w:p w14:paraId="6E28CF57" w14:textId="77777777" w:rsidR="00EC1519" w:rsidRPr="00EC1519" w:rsidRDefault="00EC1519" w:rsidP="00AA2CE1">
      <w:pPr>
        <w:tabs>
          <w:tab w:val="left" w:pos="851"/>
        </w:tabs>
        <w:ind w:firstLine="720"/>
        <w:jc w:val="center"/>
        <w:rPr>
          <w:szCs w:val="24"/>
        </w:rPr>
      </w:pPr>
      <w:r w:rsidRPr="00EC1519">
        <w:rPr>
          <w:szCs w:val="24"/>
        </w:rPr>
        <w:t>для включення до складових основного капіталу 1 рівня кредитно-інвестиційної підгрупи (ОК1</w:t>
      </w:r>
      <w:r w:rsidRPr="00EC1519">
        <w:rPr>
          <w:szCs w:val="24"/>
          <w:vertAlign w:val="subscript"/>
        </w:rPr>
        <w:t>КІП</w:t>
      </w:r>
      <w:r w:rsidRPr="00EC1519">
        <w:rPr>
          <w:szCs w:val="24"/>
        </w:rPr>
        <w:t>) банківської групи</w:t>
      </w:r>
    </w:p>
    <w:p w14:paraId="5EA9DBFB" w14:textId="77777777" w:rsidR="00EC1519" w:rsidRPr="00EC1519" w:rsidRDefault="00EC1519" w:rsidP="00AA2CE1">
      <w:pPr>
        <w:tabs>
          <w:tab w:val="left" w:pos="851"/>
        </w:tabs>
        <w:ind w:firstLine="720"/>
        <w:jc w:val="center"/>
        <w:rPr>
          <w:szCs w:val="24"/>
        </w:rPr>
      </w:pPr>
      <w:r w:rsidRPr="00EC1519">
        <w:rPr>
          <w:szCs w:val="24"/>
        </w:rPr>
        <w:t>__________________________________________________________</w:t>
      </w:r>
    </w:p>
    <w:p w14:paraId="3569093F" w14:textId="00C058AF" w:rsidR="00EC1519" w:rsidRPr="00EC1519" w:rsidRDefault="00EF207E" w:rsidP="00AA2CE1">
      <w:pPr>
        <w:tabs>
          <w:tab w:val="left" w:pos="851"/>
        </w:tabs>
        <w:ind w:firstLine="720"/>
        <w:jc w:val="center"/>
        <w:rPr>
          <w:szCs w:val="24"/>
        </w:rPr>
      </w:pPr>
      <w:r>
        <w:rPr>
          <w:szCs w:val="24"/>
        </w:rPr>
        <w:t>[</w:t>
      </w:r>
      <w:r w:rsidR="00EC1519" w:rsidRPr="00EC1519">
        <w:rPr>
          <w:szCs w:val="24"/>
        </w:rPr>
        <w:t>найменування банківської групи (за наявності)</w:t>
      </w:r>
      <w:r>
        <w:rPr>
          <w:szCs w:val="24"/>
        </w:rPr>
        <w:t>]</w:t>
      </w:r>
    </w:p>
    <w:p w14:paraId="1994804B" w14:textId="77777777" w:rsidR="00EC1519" w:rsidRPr="00EC1519" w:rsidRDefault="00EC1519" w:rsidP="00AA2CE1">
      <w:pPr>
        <w:ind w:firstLine="720"/>
        <w:jc w:val="center"/>
        <w:rPr>
          <w:szCs w:val="24"/>
        </w:rPr>
      </w:pPr>
    </w:p>
    <w:p w14:paraId="710A7EE1" w14:textId="6E16F24F" w:rsidR="00EC1519" w:rsidRPr="00EC1519" w:rsidRDefault="00EF207E" w:rsidP="00AA2CE1">
      <w:pPr>
        <w:ind w:firstLine="720"/>
        <w:rPr>
          <w:szCs w:val="24"/>
        </w:rPr>
      </w:pPr>
      <w:r>
        <w:rPr>
          <w:szCs w:val="24"/>
        </w:rPr>
        <w:t>Цим запевненням</w:t>
      </w:r>
      <w:r w:rsidR="00EC1519" w:rsidRPr="00EC1519">
        <w:rPr>
          <w:szCs w:val="24"/>
        </w:rPr>
        <w:t xml:space="preserve"> підтверджуємо, що:</w:t>
      </w:r>
    </w:p>
    <w:p w14:paraId="3AB28270" w14:textId="77777777" w:rsidR="00EC1519" w:rsidRPr="00EC1519" w:rsidRDefault="00EC1519" w:rsidP="00AA2CE1">
      <w:pPr>
        <w:ind w:firstLine="720"/>
        <w:rPr>
          <w:szCs w:val="24"/>
        </w:rPr>
      </w:pPr>
    </w:p>
    <w:p w14:paraId="6D42D089" w14:textId="5C2B4687" w:rsidR="00EC1519" w:rsidRPr="00EC1519" w:rsidRDefault="00EC1519" w:rsidP="00AA2CE1">
      <w:pPr>
        <w:numPr>
          <w:ilvl w:val="0"/>
          <w:numId w:val="10"/>
        </w:numPr>
        <w:tabs>
          <w:tab w:val="left" w:pos="567"/>
        </w:tabs>
        <w:ind w:left="0" w:firstLine="720"/>
        <w:contextualSpacing/>
        <w:rPr>
          <w:szCs w:val="24"/>
          <w:lang w:eastAsia="ru-RU"/>
        </w:rPr>
      </w:pPr>
      <w:r w:rsidRPr="00EC1519">
        <w:rPr>
          <w:szCs w:val="24"/>
          <w:lang w:eastAsia="ru-RU"/>
        </w:rPr>
        <w:t xml:space="preserve">розрахунок суми прибутку звітного року/прибутку за проміжний звітний період, зазначений у таблиці цього </w:t>
      </w:r>
      <w:r w:rsidR="00E15011">
        <w:rPr>
          <w:szCs w:val="24"/>
          <w:lang w:eastAsia="ru-RU"/>
        </w:rPr>
        <w:t>запевнення</w:t>
      </w:r>
      <w:r w:rsidRPr="00EC1519">
        <w:rPr>
          <w:szCs w:val="24"/>
          <w:lang w:eastAsia="ru-RU"/>
        </w:rPr>
        <w:t>, є достовірним;</w:t>
      </w:r>
    </w:p>
    <w:p w14:paraId="37470D68" w14:textId="77777777" w:rsidR="00EC1519" w:rsidRPr="00EC1519" w:rsidRDefault="00EC1519" w:rsidP="00AA2CE1">
      <w:pPr>
        <w:tabs>
          <w:tab w:val="left" w:pos="567"/>
        </w:tabs>
        <w:ind w:firstLine="720"/>
        <w:contextualSpacing/>
        <w:rPr>
          <w:szCs w:val="24"/>
          <w:lang w:eastAsia="ru-RU"/>
        </w:rPr>
      </w:pPr>
    </w:p>
    <w:p w14:paraId="3BDA2F84" w14:textId="283D48DE" w:rsidR="00EC1519" w:rsidRPr="00EC1519" w:rsidRDefault="00EC1519" w:rsidP="00AA2CE1">
      <w:pPr>
        <w:numPr>
          <w:ilvl w:val="0"/>
          <w:numId w:val="10"/>
        </w:numPr>
        <w:tabs>
          <w:tab w:val="left" w:pos="567"/>
        </w:tabs>
        <w:ind w:left="0" w:firstLine="720"/>
        <w:contextualSpacing/>
        <w:rPr>
          <w:szCs w:val="24"/>
          <w:lang w:eastAsia="ru-RU"/>
        </w:rPr>
      </w:pPr>
      <w:r w:rsidRPr="00EC1519">
        <w:rPr>
          <w:szCs w:val="24"/>
          <w:lang w:eastAsia="ru-RU"/>
        </w:rPr>
        <w:t>консолідована</w:t>
      </w:r>
      <w:r w:rsidR="002D5762">
        <w:rPr>
          <w:szCs w:val="24"/>
          <w:lang w:eastAsia="ru-RU"/>
        </w:rPr>
        <w:t>/</w:t>
      </w:r>
      <w:proofErr w:type="spellStart"/>
      <w:r w:rsidR="002D5762">
        <w:rPr>
          <w:szCs w:val="24"/>
          <w:lang w:eastAsia="ru-RU"/>
        </w:rPr>
        <w:t>субконсолідована</w:t>
      </w:r>
      <w:proofErr w:type="spellEnd"/>
      <w:r w:rsidR="002D5762">
        <w:rPr>
          <w:szCs w:val="24"/>
          <w:lang w:eastAsia="ru-RU"/>
        </w:rPr>
        <w:t xml:space="preserve"> </w:t>
      </w:r>
      <w:r w:rsidRPr="00EC1519">
        <w:rPr>
          <w:szCs w:val="24"/>
          <w:lang w:eastAsia="ru-RU"/>
        </w:rPr>
        <w:t>фінансова звітність банківської групи</w:t>
      </w:r>
      <w:r w:rsidR="002D5762">
        <w:rPr>
          <w:szCs w:val="24"/>
          <w:lang w:eastAsia="ru-RU"/>
        </w:rPr>
        <w:t>/підгрупи банківської групи</w:t>
      </w:r>
      <w:r w:rsidRPr="00EC1519">
        <w:rPr>
          <w:szCs w:val="24"/>
          <w:lang w:eastAsia="ru-RU"/>
        </w:rPr>
        <w:t xml:space="preserve"> за звітний рік/проміжний період перевірена/оглянута аудитором (зазначається найменування аудитора), що підтверджується річним/проміжним аудиторським звітом (висновком) </w:t>
      </w:r>
      <w:r w:rsidR="00E15011">
        <w:rPr>
          <w:szCs w:val="24"/>
          <w:lang w:eastAsia="ru-RU"/>
        </w:rPr>
        <w:t>[</w:t>
      </w:r>
      <w:r w:rsidRPr="00EC1519">
        <w:rPr>
          <w:szCs w:val="24"/>
          <w:lang w:eastAsia="ru-RU"/>
        </w:rPr>
        <w:t>зазначаються реквізити аудиторського звіту (висновку)</w:t>
      </w:r>
      <w:r w:rsidR="00E15011">
        <w:rPr>
          <w:szCs w:val="24"/>
          <w:lang w:eastAsia="ru-RU"/>
        </w:rPr>
        <w:t>]</w:t>
      </w:r>
      <w:r w:rsidRPr="00EC1519">
        <w:rPr>
          <w:szCs w:val="24"/>
          <w:lang w:eastAsia="ru-RU"/>
        </w:rPr>
        <w:t xml:space="preserve">; </w:t>
      </w:r>
    </w:p>
    <w:p w14:paraId="3C5DA189" w14:textId="77777777" w:rsidR="00EC1519" w:rsidRPr="00EC1519" w:rsidRDefault="00EC1519" w:rsidP="00AA2CE1">
      <w:pPr>
        <w:tabs>
          <w:tab w:val="left" w:pos="567"/>
        </w:tabs>
        <w:ind w:firstLine="720"/>
        <w:contextualSpacing/>
        <w:rPr>
          <w:szCs w:val="24"/>
          <w:lang w:eastAsia="ru-RU"/>
        </w:rPr>
      </w:pPr>
    </w:p>
    <w:p w14:paraId="6F0AE2A7" w14:textId="79D98AFA" w:rsidR="00EC1519" w:rsidRPr="00EC1519" w:rsidRDefault="00EC1519" w:rsidP="00AA2CE1">
      <w:pPr>
        <w:numPr>
          <w:ilvl w:val="0"/>
          <w:numId w:val="10"/>
        </w:numPr>
        <w:tabs>
          <w:tab w:val="left" w:pos="567"/>
        </w:tabs>
        <w:ind w:left="0" w:firstLine="720"/>
        <w:contextualSpacing/>
        <w:rPr>
          <w:szCs w:val="24"/>
        </w:rPr>
      </w:pPr>
      <w:r w:rsidRPr="00EC1519">
        <w:rPr>
          <w:szCs w:val="24"/>
          <w:lang w:eastAsia="ru-RU"/>
        </w:rPr>
        <w:t xml:space="preserve">розрахунок суми виплат/дивідендів, передбачуваних до сплати з прибутку звітного року/прибутку за проміжний звітний період, здійснено відповідно до Положення про порядок регулювання діяльності банківських груп, затвердженого постановою Правління Національного банку України від </w:t>
      </w:r>
      <w:r w:rsidR="002D5762">
        <w:rPr>
          <w:szCs w:val="24"/>
          <w:lang w:eastAsia="ru-RU"/>
        </w:rPr>
        <w:br/>
      </w:r>
      <w:r w:rsidRPr="00EC1519">
        <w:rPr>
          <w:szCs w:val="24"/>
          <w:lang w:eastAsia="ru-RU"/>
        </w:rPr>
        <w:t>20</w:t>
      </w:r>
      <w:r w:rsidR="005C7E26">
        <w:rPr>
          <w:szCs w:val="24"/>
          <w:lang w:eastAsia="ru-RU"/>
        </w:rPr>
        <w:t xml:space="preserve"> червня </w:t>
      </w:r>
      <w:r w:rsidRPr="00EC1519">
        <w:rPr>
          <w:szCs w:val="24"/>
          <w:lang w:eastAsia="ru-RU"/>
        </w:rPr>
        <w:t>2012</w:t>
      </w:r>
      <w:r w:rsidR="002D5762">
        <w:rPr>
          <w:szCs w:val="24"/>
          <w:lang w:eastAsia="ru-RU"/>
        </w:rPr>
        <w:t xml:space="preserve"> року</w:t>
      </w:r>
      <w:r w:rsidRPr="00EC1519">
        <w:rPr>
          <w:szCs w:val="24"/>
          <w:lang w:eastAsia="ru-RU"/>
        </w:rPr>
        <w:t xml:space="preserve"> № 254 (зі змінами)</w:t>
      </w:r>
      <w:r w:rsidR="00C35528">
        <w:rPr>
          <w:szCs w:val="24"/>
          <w:lang w:eastAsia="ru-RU"/>
        </w:rPr>
        <w:t xml:space="preserve"> (далі – Положення № 254)</w:t>
      </w:r>
      <w:r w:rsidRPr="00EC1519">
        <w:rPr>
          <w:szCs w:val="24"/>
          <w:lang w:eastAsia="ru-RU"/>
        </w:rPr>
        <w:t>.</w:t>
      </w:r>
    </w:p>
    <w:p w14:paraId="0FA6115D" w14:textId="77777777" w:rsidR="00EC1519" w:rsidRPr="00EC1519" w:rsidRDefault="00EC1519" w:rsidP="00AA2CE1">
      <w:pPr>
        <w:ind w:firstLine="720"/>
        <w:rPr>
          <w:i/>
          <w:szCs w:val="24"/>
          <w:u w:val="single"/>
        </w:rPr>
      </w:pPr>
    </w:p>
    <w:p w14:paraId="71AFA291" w14:textId="4C4AD294" w:rsidR="00E15011" w:rsidRDefault="00EC1519" w:rsidP="00186CD2">
      <w:pPr>
        <w:rPr>
          <w:iCs/>
          <w:szCs w:val="24"/>
        </w:rPr>
      </w:pPr>
      <w:r w:rsidRPr="00EC1519">
        <w:rPr>
          <w:szCs w:val="24"/>
        </w:rPr>
        <w:t xml:space="preserve">Голова </w:t>
      </w:r>
      <w:r w:rsidR="00E15011">
        <w:rPr>
          <w:szCs w:val="24"/>
        </w:rPr>
        <w:t>п</w:t>
      </w:r>
      <w:r w:rsidRPr="00EC1519">
        <w:rPr>
          <w:szCs w:val="24"/>
        </w:rPr>
        <w:t>равління</w:t>
      </w:r>
      <w:r w:rsidR="00E15011">
        <w:rPr>
          <w:szCs w:val="24"/>
        </w:rPr>
        <w:t xml:space="preserve"> </w:t>
      </w:r>
      <w:r w:rsidR="002D5762">
        <w:rPr>
          <w:iCs/>
          <w:szCs w:val="24"/>
        </w:rPr>
        <w:t xml:space="preserve">відповідальної </w:t>
      </w:r>
    </w:p>
    <w:p w14:paraId="672BF86A" w14:textId="3644FF87" w:rsidR="00E15011" w:rsidRDefault="00E15011" w:rsidP="00186CD2">
      <w:pPr>
        <w:rPr>
          <w:iCs/>
          <w:szCs w:val="24"/>
        </w:rPr>
      </w:pPr>
      <w:r>
        <w:rPr>
          <w:iCs/>
          <w:szCs w:val="24"/>
        </w:rPr>
        <w:t>о</w:t>
      </w:r>
      <w:r w:rsidR="002D5762">
        <w:rPr>
          <w:iCs/>
          <w:szCs w:val="24"/>
        </w:rPr>
        <w:t>соби</w:t>
      </w:r>
      <w:r>
        <w:rPr>
          <w:iCs/>
          <w:szCs w:val="24"/>
        </w:rPr>
        <w:t xml:space="preserve"> банківської групи         ________________</w:t>
      </w:r>
      <w:r>
        <w:rPr>
          <w:iCs/>
          <w:szCs w:val="24"/>
        </w:rPr>
        <w:tab/>
        <w:t>______________________</w:t>
      </w:r>
    </w:p>
    <w:p w14:paraId="74993DFE" w14:textId="56292E54" w:rsidR="00E15011" w:rsidRDefault="00E15011" w:rsidP="00AA2CE1">
      <w:pPr>
        <w:ind w:firstLine="720"/>
        <w:rPr>
          <w:iCs/>
          <w:szCs w:val="24"/>
        </w:rPr>
      </w:pPr>
      <w:r>
        <w:rPr>
          <w:iCs/>
          <w:szCs w:val="24"/>
        </w:rPr>
        <w:t xml:space="preserve">                                         </w:t>
      </w:r>
      <w:r w:rsidRPr="00EC1519">
        <w:rPr>
          <w:iCs/>
          <w:szCs w:val="24"/>
        </w:rPr>
        <w:t>(</w:t>
      </w:r>
      <w:r>
        <w:rPr>
          <w:iCs/>
          <w:szCs w:val="24"/>
        </w:rPr>
        <w:t xml:space="preserve">особистий </w:t>
      </w:r>
      <w:r w:rsidRPr="00EC1519">
        <w:rPr>
          <w:iCs/>
          <w:szCs w:val="24"/>
        </w:rPr>
        <w:t>підпис)</w:t>
      </w:r>
      <w:r>
        <w:rPr>
          <w:iCs/>
          <w:szCs w:val="24"/>
        </w:rPr>
        <w:t xml:space="preserve">       (прізвище, власне </w:t>
      </w:r>
      <w:proofErr w:type="spellStart"/>
      <w:r>
        <w:rPr>
          <w:iCs/>
          <w:szCs w:val="24"/>
        </w:rPr>
        <w:t>імʼя</w:t>
      </w:r>
      <w:proofErr w:type="spellEnd"/>
      <w:r>
        <w:rPr>
          <w:iCs/>
          <w:szCs w:val="24"/>
        </w:rPr>
        <w:t xml:space="preserve">, </w:t>
      </w:r>
    </w:p>
    <w:p w14:paraId="078D7210" w14:textId="192305BA" w:rsidR="00E15011" w:rsidRDefault="00E15011" w:rsidP="00AA2CE1">
      <w:pPr>
        <w:ind w:firstLine="720"/>
        <w:rPr>
          <w:iCs/>
          <w:szCs w:val="24"/>
        </w:rPr>
      </w:pPr>
      <w:r>
        <w:rPr>
          <w:iCs/>
          <w:szCs w:val="24"/>
        </w:rPr>
        <w:t xml:space="preserve">                                                                                 по батькові)</w:t>
      </w:r>
    </w:p>
    <w:p w14:paraId="28857025" w14:textId="77777777" w:rsidR="00E15011" w:rsidRDefault="00EC1519" w:rsidP="00E15011">
      <w:pPr>
        <w:rPr>
          <w:iCs/>
          <w:szCs w:val="24"/>
        </w:rPr>
      </w:pPr>
      <w:r w:rsidRPr="00EC1519">
        <w:rPr>
          <w:iCs/>
          <w:szCs w:val="24"/>
        </w:rPr>
        <w:t>Головний бухгалтер</w:t>
      </w:r>
      <w:r w:rsidR="00E15011">
        <w:rPr>
          <w:iCs/>
          <w:szCs w:val="24"/>
        </w:rPr>
        <w:t xml:space="preserve"> </w:t>
      </w:r>
      <w:r w:rsidR="002D5762">
        <w:rPr>
          <w:iCs/>
          <w:szCs w:val="24"/>
        </w:rPr>
        <w:t xml:space="preserve">відповідальної </w:t>
      </w:r>
    </w:p>
    <w:p w14:paraId="4466BA60" w14:textId="77777777" w:rsidR="00E15011" w:rsidRDefault="002D5762" w:rsidP="00186CD2">
      <w:pPr>
        <w:rPr>
          <w:iCs/>
          <w:szCs w:val="24"/>
        </w:rPr>
      </w:pPr>
      <w:r>
        <w:rPr>
          <w:iCs/>
          <w:szCs w:val="24"/>
        </w:rPr>
        <w:t>особи</w:t>
      </w:r>
      <w:r w:rsidR="00E15011">
        <w:rPr>
          <w:iCs/>
          <w:szCs w:val="24"/>
        </w:rPr>
        <w:t xml:space="preserve"> банківської групи           ________________</w:t>
      </w:r>
      <w:r w:rsidR="00E15011">
        <w:rPr>
          <w:iCs/>
          <w:szCs w:val="24"/>
        </w:rPr>
        <w:tab/>
        <w:t>______________________</w:t>
      </w:r>
    </w:p>
    <w:p w14:paraId="3408D41C" w14:textId="77777777" w:rsidR="00E15011" w:rsidRDefault="00E15011" w:rsidP="00E15011">
      <w:pPr>
        <w:ind w:firstLine="720"/>
        <w:rPr>
          <w:iCs/>
          <w:szCs w:val="24"/>
        </w:rPr>
      </w:pPr>
      <w:r>
        <w:rPr>
          <w:iCs/>
          <w:szCs w:val="24"/>
        </w:rPr>
        <w:t xml:space="preserve">                                         </w:t>
      </w:r>
      <w:r w:rsidRPr="00EC1519">
        <w:rPr>
          <w:iCs/>
          <w:szCs w:val="24"/>
        </w:rPr>
        <w:t>(</w:t>
      </w:r>
      <w:r>
        <w:rPr>
          <w:iCs/>
          <w:szCs w:val="24"/>
        </w:rPr>
        <w:t xml:space="preserve">особистий </w:t>
      </w:r>
      <w:r w:rsidRPr="00EC1519">
        <w:rPr>
          <w:iCs/>
          <w:szCs w:val="24"/>
        </w:rPr>
        <w:t>підпис)</w:t>
      </w:r>
      <w:r>
        <w:rPr>
          <w:iCs/>
          <w:szCs w:val="24"/>
        </w:rPr>
        <w:t xml:space="preserve">       (прізвище, власне </w:t>
      </w:r>
      <w:proofErr w:type="spellStart"/>
      <w:r>
        <w:rPr>
          <w:iCs/>
          <w:szCs w:val="24"/>
        </w:rPr>
        <w:t>імʼя</w:t>
      </w:r>
      <w:proofErr w:type="spellEnd"/>
      <w:r>
        <w:rPr>
          <w:iCs/>
          <w:szCs w:val="24"/>
        </w:rPr>
        <w:t xml:space="preserve">, </w:t>
      </w:r>
    </w:p>
    <w:p w14:paraId="51BE0AD7" w14:textId="77777777" w:rsidR="00E15011" w:rsidRDefault="00E15011" w:rsidP="00E15011">
      <w:pPr>
        <w:ind w:firstLine="720"/>
        <w:rPr>
          <w:iCs/>
          <w:szCs w:val="24"/>
        </w:rPr>
      </w:pPr>
      <w:r>
        <w:rPr>
          <w:iCs/>
          <w:szCs w:val="24"/>
        </w:rPr>
        <w:t xml:space="preserve">                                                                                 по батькові)</w:t>
      </w:r>
    </w:p>
    <w:p w14:paraId="76B0E9E2" w14:textId="42A47575" w:rsidR="002D5762" w:rsidRDefault="000B359E" w:rsidP="00186CD2">
      <w:pPr>
        <w:rPr>
          <w:iCs/>
          <w:szCs w:val="24"/>
        </w:rPr>
      </w:pPr>
      <w:r>
        <w:rPr>
          <w:iCs/>
          <w:szCs w:val="24"/>
        </w:rPr>
        <w:t>Прізвище і власне ім</w:t>
      </w:r>
      <w:r w:rsidR="00FD3391">
        <w:rPr>
          <w:iCs/>
          <w:szCs w:val="24"/>
        </w:rPr>
        <w:t>’</w:t>
      </w:r>
      <w:r>
        <w:rPr>
          <w:iCs/>
          <w:szCs w:val="24"/>
        </w:rPr>
        <w:t>я виконавця,</w:t>
      </w:r>
    </w:p>
    <w:p w14:paraId="6C16DC8E" w14:textId="035CC862" w:rsidR="00EC1519" w:rsidRPr="00EC1519" w:rsidRDefault="000B359E" w:rsidP="000B359E">
      <w:pPr>
        <w:rPr>
          <w:iCs/>
          <w:szCs w:val="24"/>
          <w:u w:val="single"/>
        </w:rPr>
      </w:pPr>
      <w:r>
        <w:rPr>
          <w:iCs/>
          <w:szCs w:val="24"/>
        </w:rPr>
        <w:t>номер телефону</w:t>
      </w:r>
    </w:p>
    <w:p w14:paraId="441825B4" w14:textId="77777777" w:rsidR="00EC1519" w:rsidRDefault="00EC1519" w:rsidP="00AA2CE1">
      <w:pPr>
        <w:ind w:firstLine="720"/>
        <w:rPr>
          <w:shd w:val="clear" w:color="auto" w:fill="FFFFFF"/>
        </w:rPr>
        <w:sectPr w:rsidR="00EC1519" w:rsidSect="00D90557">
          <w:headerReference w:type="default" r:id="rId23"/>
          <w:headerReference w:type="first" r:id="rId24"/>
          <w:pgSz w:w="11906" w:h="16838" w:code="9"/>
          <w:pgMar w:top="567" w:right="567" w:bottom="1701" w:left="1701" w:header="397" w:footer="709" w:gutter="0"/>
          <w:pgNumType w:start="1"/>
          <w:cols w:space="708"/>
          <w:titlePg/>
          <w:docGrid w:linePitch="381"/>
        </w:sectPr>
      </w:pPr>
    </w:p>
    <w:p w14:paraId="4E9A06AD" w14:textId="77777777" w:rsidR="0059530C" w:rsidRDefault="0059530C" w:rsidP="00AA2CE1">
      <w:pPr>
        <w:ind w:firstLine="720"/>
        <w:jc w:val="center"/>
        <w:rPr>
          <w:szCs w:val="24"/>
        </w:rPr>
      </w:pPr>
    </w:p>
    <w:p w14:paraId="3CD59277" w14:textId="09A9B539" w:rsidR="00EC1519" w:rsidRPr="00EC1519" w:rsidRDefault="00EC1519" w:rsidP="00AA2CE1">
      <w:pPr>
        <w:ind w:firstLine="720"/>
        <w:jc w:val="center"/>
        <w:rPr>
          <w:szCs w:val="24"/>
        </w:rPr>
      </w:pPr>
      <w:r w:rsidRPr="00EC1519">
        <w:rPr>
          <w:szCs w:val="24"/>
        </w:rPr>
        <w:t xml:space="preserve">Розрахунок суми прибутку _______________________________________ </w:t>
      </w:r>
      <w:r w:rsidRPr="00EC1519">
        <w:rPr>
          <w:szCs w:val="24"/>
          <w:lang w:eastAsia="ru-RU"/>
        </w:rPr>
        <w:t xml:space="preserve">для включення до складових </w:t>
      </w:r>
      <w:r w:rsidRPr="00EC1519">
        <w:rPr>
          <w:szCs w:val="24"/>
        </w:rPr>
        <w:t>ОК1</w:t>
      </w:r>
      <w:r w:rsidRPr="00EC1519">
        <w:rPr>
          <w:szCs w:val="24"/>
          <w:vertAlign w:val="subscript"/>
        </w:rPr>
        <w:t>КІП</w:t>
      </w:r>
    </w:p>
    <w:p w14:paraId="6860C32F" w14:textId="72CB4E67" w:rsidR="00EC1519" w:rsidRPr="00EC1519" w:rsidRDefault="000B359E" w:rsidP="00186CD2">
      <w:pPr>
        <w:tabs>
          <w:tab w:val="left" w:pos="4536"/>
          <w:tab w:val="center" w:pos="7645"/>
        </w:tabs>
        <w:ind w:firstLine="720"/>
        <w:jc w:val="left"/>
        <w:rPr>
          <w:szCs w:val="24"/>
        </w:rPr>
      </w:pPr>
      <w:r>
        <w:rPr>
          <w:szCs w:val="24"/>
        </w:rPr>
        <w:tab/>
      </w:r>
      <w:r w:rsidR="00EC1519" w:rsidRPr="00EC1519">
        <w:rPr>
          <w:szCs w:val="24"/>
        </w:rPr>
        <w:t>(звітного року/за проміжний звітний період)</w:t>
      </w:r>
    </w:p>
    <w:p w14:paraId="632CC7C0" w14:textId="77777777" w:rsidR="00EC1519" w:rsidRPr="00EC1519" w:rsidRDefault="00EC1519" w:rsidP="00AA2CE1">
      <w:pPr>
        <w:ind w:firstLine="720"/>
        <w:jc w:val="center"/>
        <w:rPr>
          <w:szCs w:val="24"/>
        </w:rPr>
      </w:pPr>
    </w:p>
    <w:p w14:paraId="47F7FD3F" w14:textId="77777777" w:rsidR="00EC1519" w:rsidRPr="00EC1519" w:rsidRDefault="00EC1519" w:rsidP="00AA2CE1">
      <w:pPr>
        <w:ind w:firstLine="720"/>
        <w:jc w:val="center"/>
        <w:rPr>
          <w:szCs w:val="24"/>
        </w:rPr>
      </w:pPr>
      <w:r w:rsidRPr="00EC1519">
        <w:rPr>
          <w:szCs w:val="24"/>
        </w:rPr>
        <w:tab/>
      </w:r>
      <w:r w:rsidRPr="00EC1519">
        <w:rPr>
          <w:szCs w:val="24"/>
        </w:rPr>
        <w:tab/>
      </w:r>
      <w:r w:rsidRPr="00EC1519">
        <w:rPr>
          <w:szCs w:val="24"/>
        </w:rPr>
        <w:tab/>
      </w:r>
      <w:r w:rsidRPr="00EC1519">
        <w:rPr>
          <w:szCs w:val="24"/>
        </w:rPr>
        <w:tab/>
      </w:r>
      <w:r w:rsidRPr="00EC1519">
        <w:rPr>
          <w:szCs w:val="24"/>
        </w:rPr>
        <w:tab/>
      </w:r>
      <w:r w:rsidRPr="00EC1519">
        <w:rPr>
          <w:szCs w:val="24"/>
        </w:rPr>
        <w:tab/>
      </w:r>
      <w:r w:rsidRPr="00EC1519">
        <w:rPr>
          <w:szCs w:val="24"/>
        </w:rPr>
        <w:tab/>
      </w:r>
      <w:r w:rsidRPr="00EC1519">
        <w:rPr>
          <w:szCs w:val="24"/>
        </w:rPr>
        <w:tab/>
      </w:r>
      <w:r w:rsidRPr="00EC1519">
        <w:rPr>
          <w:szCs w:val="24"/>
        </w:rPr>
        <w:tab/>
      </w:r>
      <w:r w:rsidRPr="00EC1519">
        <w:rPr>
          <w:szCs w:val="24"/>
        </w:rPr>
        <w:tab/>
      </w:r>
      <w:r w:rsidRPr="00EC1519">
        <w:rPr>
          <w:szCs w:val="24"/>
        </w:rPr>
        <w:tab/>
      </w:r>
      <w:r w:rsidRPr="00EC1519">
        <w:rPr>
          <w:szCs w:val="24"/>
        </w:rPr>
        <w:tab/>
      </w:r>
      <w:r w:rsidRPr="00EC1519">
        <w:rPr>
          <w:szCs w:val="24"/>
        </w:rPr>
        <w:tab/>
      </w:r>
      <w:r w:rsidRPr="00EC1519">
        <w:rPr>
          <w:szCs w:val="24"/>
        </w:rPr>
        <w:tab/>
      </w:r>
      <w:r w:rsidRPr="00EC1519">
        <w:rPr>
          <w:szCs w:val="24"/>
        </w:rPr>
        <w:tab/>
      </w:r>
      <w:r w:rsidRPr="00EC1519">
        <w:rPr>
          <w:szCs w:val="24"/>
        </w:rPr>
        <w:tab/>
      </w:r>
      <w:r w:rsidRPr="00EC1519">
        <w:rPr>
          <w:szCs w:val="24"/>
        </w:rPr>
        <w:tab/>
      </w:r>
      <w:r w:rsidRPr="00EC1519">
        <w:rPr>
          <w:szCs w:val="24"/>
        </w:rPr>
        <w:tab/>
        <w:t xml:space="preserve">Таблиця </w:t>
      </w:r>
    </w:p>
    <w:tbl>
      <w:tblPr>
        <w:tblStyle w:val="11"/>
        <w:tblW w:w="5000" w:type="pct"/>
        <w:tblInd w:w="-431" w:type="dxa"/>
        <w:tblLayout w:type="fixed"/>
        <w:tblLook w:val="04A0" w:firstRow="1" w:lastRow="0" w:firstColumn="1" w:lastColumn="0" w:noHBand="0" w:noVBand="1"/>
      </w:tblPr>
      <w:tblGrid>
        <w:gridCol w:w="710"/>
        <w:gridCol w:w="1133"/>
        <w:gridCol w:w="9639"/>
        <w:gridCol w:w="3078"/>
      </w:tblGrid>
      <w:tr w:rsidR="00EC1519" w:rsidRPr="00EC1519" w14:paraId="43401A80" w14:textId="77777777" w:rsidTr="0059530C">
        <w:tc>
          <w:tcPr>
            <w:tcW w:w="244" w:type="pct"/>
            <w:shd w:val="clear" w:color="auto" w:fill="auto"/>
            <w:vAlign w:val="center"/>
          </w:tcPr>
          <w:p w14:paraId="0FBB3454" w14:textId="77777777" w:rsidR="00EC1519" w:rsidRPr="00EC1519" w:rsidRDefault="00EC1519" w:rsidP="00AA2CE1">
            <w:pPr>
              <w:ind w:left="-38" w:right="-38"/>
              <w:jc w:val="center"/>
              <w:rPr>
                <w:szCs w:val="24"/>
              </w:rPr>
            </w:pPr>
            <w:r w:rsidRPr="00EC1519">
              <w:rPr>
                <w:szCs w:val="24"/>
              </w:rPr>
              <w:t>№</w:t>
            </w:r>
            <w:r w:rsidRPr="00EC1519">
              <w:rPr>
                <w:szCs w:val="24"/>
              </w:rPr>
              <w:br/>
              <w:t>з/п</w:t>
            </w:r>
          </w:p>
        </w:tc>
        <w:tc>
          <w:tcPr>
            <w:tcW w:w="389" w:type="pct"/>
            <w:shd w:val="clear" w:color="auto" w:fill="auto"/>
          </w:tcPr>
          <w:p w14:paraId="1BD33736" w14:textId="77777777" w:rsidR="00EC1519" w:rsidRPr="00EC1519" w:rsidRDefault="00EC1519" w:rsidP="00AA2CE1">
            <w:pPr>
              <w:jc w:val="center"/>
              <w:rPr>
                <w:szCs w:val="24"/>
              </w:rPr>
            </w:pPr>
            <w:r w:rsidRPr="00EC1519">
              <w:rPr>
                <w:szCs w:val="24"/>
              </w:rPr>
              <w:t>№ показ-</w:t>
            </w:r>
            <w:proofErr w:type="spellStart"/>
            <w:r w:rsidRPr="00EC1519">
              <w:rPr>
                <w:szCs w:val="24"/>
              </w:rPr>
              <w:t>ника</w:t>
            </w:r>
            <w:proofErr w:type="spellEnd"/>
          </w:p>
        </w:tc>
        <w:tc>
          <w:tcPr>
            <w:tcW w:w="3310" w:type="pct"/>
            <w:shd w:val="clear" w:color="auto" w:fill="auto"/>
            <w:vAlign w:val="center"/>
          </w:tcPr>
          <w:p w14:paraId="10F9CB0B" w14:textId="77777777" w:rsidR="00EC1519" w:rsidRPr="00EC1519" w:rsidRDefault="00EC1519" w:rsidP="00AA2CE1">
            <w:pPr>
              <w:jc w:val="center"/>
              <w:rPr>
                <w:szCs w:val="24"/>
              </w:rPr>
            </w:pPr>
            <w:r w:rsidRPr="00EC1519">
              <w:rPr>
                <w:szCs w:val="24"/>
              </w:rPr>
              <w:t>Показник</w:t>
            </w:r>
          </w:p>
        </w:tc>
        <w:tc>
          <w:tcPr>
            <w:tcW w:w="1057" w:type="pct"/>
            <w:shd w:val="clear" w:color="auto" w:fill="auto"/>
            <w:vAlign w:val="center"/>
          </w:tcPr>
          <w:p w14:paraId="59EF0FDB" w14:textId="77777777" w:rsidR="00EC1519" w:rsidRPr="00EC1519" w:rsidRDefault="00EC1519" w:rsidP="00AA2CE1">
            <w:pPr>
              <w:jc w:val="center"/>
              <w:rPr>
                <w:szCs w:val="24"/>
              </w:rPr>
            </w:pPr>
            <w:r w:rsidRPr="00EC1519">
              <w:rPr>
                <w:szCs w:val="24"/>
              </w:rPr>
              <w:t>Сума (тис. грн)</w:t>
            </w:r>
          </w:p>
        </w:tc>
      </w:tr>
    </w:tbl>
    <w:p w14:paraId="423B67AC" w14:textId="77777777" w:rsidR="000B359E" w:rsidRPr="00186CD2" w:rsidRDefault="000B359E">
      <w:pPr>
        <w:rPr>
          <w:sz w:val="2"/>
          <w:szCs w:val="2"/>
        </w:rPr>
      </w:pPr>
    </w:p>
    <w:tbl>
      <w:tblPr>
        <w:tblStyle w:val="11"/>
        <w:tblW w:w="5000" w:type="pct"/>
        <w:tblInd w:w="-431" w:type="dxa"/>
        <w:tblLayout w:type="fixed"/>
        <w:tblLook w:val="04A0" w:firstRow="1" w:lastRow="0" w:firstColumn="1" w:lastColumn="0" w:noHBand="0" w:noVBand="1"/>
      </w:tblPr>
      <w:tblGrid>
        <w:gridCol w:w="710"/>
        <w:gridCol w:w="1133"/>
        <w:gridCol w:w="9639"/>
        <w:gridCol w:w="3078"/>
      </w:tblGrid>
      <w:tr w:rsidR="00EC1519" w:rsidRPr="00EC1519" w14:paraId="10996A4D" w14:textId="77777777" w:rsidTr="0059530C">
        <w:trPr>
          <w:tblHeader/>
        </w:trPr>
        <w:tc>
          <w:tcPr>
            <w:tcW w:w="244" w:type="pct"/>
            <w:shd w:val="clear" w:color="auto" w:fill="FFFFFF"/>
            <w:vAlign w:val="center"/>
          </w:tcPr>
          <w:p w14:paraId="0D458774" w14:textId="77777777" w:rsidR="00EC1519" w:rsidRPr="00EC1519" w:rsidRDefault="00EC1519" w:rsidP="006421F5">
            <w:pPr>
              <w:ind w:left="-819" w:right="35" w:firstLine="720"/>
              <w:jc w:val="center"/>
              <w:rPr>
                <w:szCs w:val="24"/>
              </w:rPr>
            </w:pPr>
            <w:r w:rsidRPr="00EC1519">
              <w:rPr>
                <w:szCs w:val="24"/>
              </w:rPr>
              <w:t>1</w:t>
            </w:r>
          </w:p>
        </w:tc>
        <w:tc>
          <w:tcPr>
            <w:tcW w:w="389" w:type="pct"/>
            <w:shd w:val="clear" w:color="auto" w:fill="FFFFFF"/>
            <w:vAlign w:val="center"/>
          </w:tcPr>
          <w:p w14:paraId="3F6A36A5" w14:textId="77777777" w:rsidR="00EC1519" w:rsidRPr="00EC1519" w:rsidRDefault="00EC1519" w:rsidP="006421F5">
            <w:pPr>
              <w:ind w:firstLine="35"/>
              <w:jc w:val="center"/>
              <w:rPr>
                <w:szCs w:val="24"/>
              </w:rPr>
            </w:pPr>
            <w:r w:rsidRPr="00EC1519">
              <w:rPr>
                <w:szCs w:val="24"/>
              </w:rPr>
              <w:t>2</w:t>
            </w:r>
          </w:p>
        </w:tc>
        <w:tc>
          <w:tcPr>
            <w:tcW w:w="3310" w:type="pct"/>
            <w:shd w:val="clear" w:color="auto" w:fill="FFFFFF"/>
            <w:vAlign w:val="center"/>
          </w:tcPr>
          <w:p w14:paraId="68BF390C" w14:textId="77777777" w:rsidR="00EC1519" w:rsidRPr="00EC1519" w:rsidRDefault="00EC1519" w:rsidP="006421F5">
            <w:pPr>
              <w:ind w:firstLine="720"/>
              <w:jc w:val="center"/>
              <w:rPr>
                <w:szCs w:val="24"/>
              </w:rPr>
            </w:pPr>
            <w:r w:rsidRPr="00EC1519">
              <w:rPr>
                <w:szCs w:val="24"/>
              </w:rPr>
              <w:t>3</w:t>
            </w:r>
          </w:p>
        </w:tc>
        <w:tc>
          <w:tcPr>
            <w:tcW w:w="1057" w:type="pct"/>
            <w:shd w:val="clear" w:color="auto" w:fill="FFFFFF"/>
            <w:vAlign w:val="center"/>
          </w:tcPr>
          <w:p w14:paraId="0AFC6AC9" w14:textId="77777777" w:rsidR="00EC1519" w:rsidRPr="00EC1519" w:rsidRDefault="00EC1519" w:rsidP="006421F5">
            <w:pPr>
              <w:ind w:firstLine="720"/>
              <w:jc w:val="center"/>
              <w:rPr>
                <w:szCs w:val="24"/>
              </w:rPr>
            </w:pPr>
            <w:r w:rsidRPr="00EC1519">
              <w:rPr>
                <w:szCs w:val="24"/>
              </w:rPr>
              <w:t>4</w:t>
            </w:r>
          </w:p>
        </w:tc>
      </w:tr>
      <w:tr w:rsidR="00EC1519" w:rsidRPr="00EC1519" w14:paraId="4EEF6039" w14:textId="77777777" w:rsidTr="0059530C">
        <w:tc>
          <w:tcPr>
            <w:tcW w:w="244" w:type="pct"/>
            <w:shd w:val="clear" w:color="auto" w:fill="FFFFFF"/>
            <w:vAlign w:val="center"/>
          </w:tcPr>
          <w:p w14:paraId="688FD82C" w14:textId="77777777" w:rsidR="00EC1519" w:rsidRPr="00EC1519" w:rsidRDefault="00EC1519" w:rsidP="006421F5">
            <w:pPr>
              <w:jc w:val="center"/>
              <w:rPr>
                <w:bCs/>
                <w:szCs w:val="24"/>
              </w:rPr>
            </w:pPr>
            <w:r w:rsidRPr="00EC1519">
              <w:rPr>
                <w:bCs/>
                <w:szCs w:val="24"/>
              </w:rPr>
              <w:t>1</w:t>
            </w:r>
          </w:p>
        </w:tc>
        <w:tc>
          <w:tcPr>
            <w:tcW w:w="389" w:type="pct"/>
            <w:shd w:val="clear" w:color="auto" w:fill="FFFFFF"/>
            <w:vAlign w:val="center"/>
          </w:tcPr>
          <w:p w14:paraId="716505C5" w14:textId="77777777" w:rsidR="00EC1519" w:rsidRPr="00EC1519" w:rsidRDefault="00EC1519" w:rsidP="006421F5">
            <w:pPr>
              <w:jc w:val="center"/>
              <w:rPr>
                <w:bCs/>
                <w:szCs w:val="24"/>
              </w:rPr>
            </w:pPr>
            <w:r w:rsidRPr="00EC1519">
              <w:rPr>
                <w:bCs/>
                <w:szCs w:val="24"/>
              </w:rPr>
              <w:t>1</w:t>
            </w:r>
          </w:p>
        </w:tc>
        <w:tc>
          <w:tcPr>
            <w:tcW w:w="3310" w:type="pct"/>
            <w:shd w:val="clear" w:color="auto" w:fill="FFFFFF"/>
            <w:vAlign w:val="center"/>
          </w:tcPr>
          <w:p w14:paraId="4B9B4516" w14:textId="0E451377" w:rsidR="00EC1519" w:rsidRPr="00EC1519" w:rsidRDefault="00EC1519" w:rsidP="00534006">
            <w:pPr>
              <w:rPr>
                <w:bCs/>
                <w:szCs w:val="24"/>
              </w:rPr>
            </w:pPr>
            <w:r w:rsidRPr="00EC1519">
              <w:rPr>
                <w:szCs w:val="24"/>
                <w:lang w:eastAsia="ru-RU"/>
              </w:rPr>
              <w:t>Прибуток звітного року/</w:t>
            </w:r>
            <w:r w:rsidRPr="00EC1519">
              <w:rPr>
                <w:bCs/>
                <w:szCs w:val="24"/>
              </w:rPr>
              <w:t xml:space="preserve">прибуток </w:t>
            </w:r>
            <w:r w:rsidRPr="00EC1519">
              <w:rPr>
                <w:szCs w:val="24"/>
                <w:lang w:eastAsia="ru-RU"/>
              </w:rPr>
              <w:t xml:space="preserve">за проміжний звітний період банківської групи, </w:t>
            </w:r>
            <w:r w:rsidRPr="00EC1519">
              <w:rPr>
                <w:iCs/>
                <w:szCs w:val="24"/>
              </w:rPr>
              <w:t>визначений у Консолідованому звіті про прибутки і збитки та інший сукупний дохід (Консолідованому звіті про фінансові результати) за звітний період (рік/проміжний період)</w:t>
            </w:r>
          </w:p>
        </w:tc>
        <w:tc>
          <w:tcPr>
            <w:tcW w:w="1057" w:type="pct"/>
            <w:shd w:val="clear" w:color="auto" w:fill="FFFFFF"/>
            <w:vAlign w:val="center"/>
          </w:tcPr>
          <w:p w14:paraId="1EB633D6" w14:textId="77777777" w:rsidR="00EC1519" w:rsidRPr="00EC1519" w:rsidRDefault="00EC1519" w:rsidP="006421F5">
            <w:pPr>
              <w:jc w:val="center"/>
              <w:rPr>
                <w:iCs/>
                <w:szCs w:val="24"/>
              </w:rPr>
            </w:pPr>
          </w:p>
        </w:tc>
      </w:tr>
      <w:tr w:rsidR="00EC1519" w:rsidRPr="00EC1519" w14:paraId="35994CBD" w14:textId="77777777" w:rsidTr="0059530C">
        <w:trPr>
          <w:trHeight w:val="551"/>
        </w:trPr>
        <w:tc>
          <w:tcPr>
            <w:tcW w:w="244" w:type="pct"/>
            <w:tcBorders>
              <w:bottom w:val="single" w:sz="4" w:space="0" w:color="auto"/>
            </w:tcBorders>
            <w:shd w:val="clear" w:color="auto" w:fill="FFFFFF"/>
            <w:vAlign w:val="center"/>
          </w:tcPr>
          <w:p w14:paraId="504B4F7C" w14:textId="77777777" w:rsidR="00EC1519" w:rsidRPr="00EC1519" w:rsidRDefault="00EC1519" w:rsidP="006421F5">
            <w:pPr>
              <w:jc w:val="center"/>
              <w:rPr>
                <w:bCs/>
                <w:szCs w:val="24"/>
              </w:rPr>
            </w:pPr>
            <w:r w:rsidRPr="00EC1519">
              <w:rPr>
                <w:bCs/>
                <w:szCs w:val="24"/>
              </w:rPr>
              <w:t>2</w:t>
            </w:r>
          </w:p>
        </w:tc>
        <w:tc>
          <w:tcPr>
            <w:tcW w:w="389" w:type="pct"/>
            <w:tcBorders>
              <w:bottom w:val="single" w:sz="4" w:space="0" w:color="auto"/>
            </w:tcBorders>
            <w:shd w:val="clear" w:color="auto" w:fill="FFFFFF"/>
            <w:vAlign w:val="center"/>
          </w:tcPr>
          <w:p w14:paraId="74352DA6" w14:textId="77777777" w:rsidR="00EC1519" w:rsidRPr="00EC1519" w:rsidRDefault="00EC1519" w:rsidP="006421F5">
            <w:pPr>
              <w:jc w:val="center"/>
              <w:rPr>
                <w:bCs/>
                <w:szCs w:val="24"/>
              </w:rPr>
            </w:pPr>
            <w:r w:rsidRPr="00EC1519">
              <w:rPr>
                <w:bCs/>
                <w:szCs w:val="24"/>
              </w:rPr>
              <w:t>2</w:t>
            </w:r>
          </w:p>
        </w:tc>
        <w:tc>
          <w:tcPr>
            <w:tcW w:w="3310" w:type="pct"/>
            <w:tcBorders>
              <w:bottom w:val="single" w:sz="4" w:space="0" w:color="auto"/>
            </w:tcBorders>
            <w:shd w:val="clear" w:color="auto" w:fill="FFFFFF"/>
            <w:vAlign w:val="center"/>
          </w:tcPr>
          <w:p w14:paraId="37251ED5" w14:textId="18B3A79B" w:rsidR="00EC1519" w:rsidRPr="00EC1519" w:rsidRDefault="00EC1519" w:rsidP="00534006">
            <w:pPr>
              <w:rPr>
                <w:bCs/>
                <w:szCs w:val="24"/>
              </w:rPr>
            </w:pPr>
            <w:r w:rsidRPr="00EC1519">
              <w:rPr>
                <w:szCs w:val="24"/>
                <w:lang w:eastAsia="ru-RU"/>
              </w:rPr>
              <w:t>Прибуток звітного року/</w:t>
            </w:r>
            <w:r w:rsidRPr="00EC1519">
              <w:rPr>
                <w:bCs/>
                <w:szCs w:val="24"/>
              </w:rPr>
              <w:t xml:space="preserve">прибуток </w:t>
            </w:r>
            <w:r w:rsidRPr="00EC1519">
              <w:rPr>
                <w:szCs w:val="24"/>
                <w:lang w:eastAsia="ru-RU"/>
              </w:rPr>
              <w:t>за проміжний звітний період кредитно-інвестиційної підгрупи</w:t>
            </w:r>
            <w:r w:rsidRPr="00EC1519">
              <w:rPr>
                <w:iCs/>
                <w:szCs w:val="24"/>
              </w:rPr>
              <w:t>, визначен</w:t>
            </w:r>
            <w:r w:rsidR="002D5762">
              <w:rPr>
                <w:iCs/>
                <w:szCs w:val="24"/>
              </w:rPr>
              <w:t>ий</w:t>
            </w:r>
            <w:r w:rsidRPr="00EC1519">
              <w:rPr>
                <w:iCs/>
                <w:szCs w:val="24"/>
              </w:rPr>
              <w:t xml:space="preserve"> у </w:t>
            </w:r>
            <w:proofErr w:type="spellStart"/>
            <w:r w:rsidR="003F53C7">
              <w:rPr>
                <w:iCs/>
                <w:szCs w:val="24"/>
              </w:rPr>
              <w:t>С</w:t>
            </w:r>
            <w:r w:rsidRPr="00EC1519">
              <w:rPr>
                <w:iCs/>
                <w:szCs w:val="24"/>
              </w:rPr>
              <w:t>убконсолідованому</w:t>
            </w:r>
            <w:proofErr w:type="spellEnd"/>
            <w:r w:rsidRPr="00EC1519">
              <w:rPr>
                <w:iCs/>
                <w:szCs w:val="24"/>
              </w:rPr>
              <w:t xml:space="preserve"> звіті про прибутки і збитки та інший сукупний дохід (</w:t>
            </w:r>
            <w:proofErr w:type="spellStart"/>
            <w:r w:rsidR="003F53C7">
              <w:rPr>
                <w:iCs/>
                <w:szCs w:val="24"/>
              </w:rPr>
              <w:t>С</w:t>
            </w:r>
            <w:r w:rsidRPr="00EC1519">
              <w:rPr>
                <w:iCs/>
                <w:szCs w:val="24"/>
              </w:rPr>
              <w:t>уб</w:t>
            </w:r>
            <w:r w:rsidR="002D5762">
              <w:rPr>
                <w:iCs/>
                <w:szCs w:val="24"/>
              </w:rPr>
              <w:t>к</w:t>
            </w:r>
            <w:r w:rsidRPr="00EC1519">
              <w:rPr>
                <w:iCs/>
                <w:szCs w:val="24"/>
              </w:rPr>
              <w:t>онсолідованому</w:t>
            </w:r>
            <w:proofErr w:type="spellEnd"/>
            <w:r w:rsidRPr="00EC1519">
              <w:rPr>
                <w:iCs/>
                <w:szCs w:val="24"/>
              </w:rPr>
              <w:t xml:space="preserve"> звіті про фінансові результати) за звітний період (рік/проміжний період)</w:t>
            </w:r>
          </w:p>
        </w:tc>
        <w:tc>
          <w:tcPr>
            <w:tcW w:w="1057" w:type="pct"/>
            <w:tcBorders>
              <w:bottom w:val="single" w:sz="4" w:space="0" w:color="auto"/>
            </w:tcBorders>
            <w:shd w:val="clear" w:color="auto" w:fill="FFFFFF"/>
            <w:vAlign w:val="center"/>
          </w:tcPr>
          <w:p w14:paraId="261CB004" w14:textId="77777777" w:rsidR="00EC1519" w:rsidRPr="00EC1519" w:rsidRDefault="00EC1519" w:rsidP="006421F5">
            <w:pPr>
              <w:jc w:val="center"/>
              <w:rPr>
                <w:iCs/>
                <w:szCs w:val="24"/>
              </w:rPr>
            </w:pPr>
          </w:p>
        </w:tc>
      </w:tr>
      <w:tr w:rsidR="00EC1519" w:rsidRPr="00EC1519" w14:paraId="09054A9A" w14:textId="77777777" w:rsidTr="0059530C">
        <w:trPr>
          <w:trHeight w:val="551"/>
        </w:trPr>
        <w:tc>
          <w:tcPr>
            <w:tcW w:w="244" w:type="pct"/>
            <w:tcBorders>
              <w:bottom w:val="single" w:sz="4" w:space="0" w:color="auto"/>
            </w:tcBorders>
            <w:shd w:val="clear" w:color="auto" w:fill="FFFFFF"/>
            <w:vAlign w:val="center"/>
          </w:tcPr>
          <w:p w14:paraId="5521CCD8" w14:textId="77777777" w:rsidR="00EC1519" w:rsidRPr="00EC1519" w:rsidRDefault="00EC1519" w:rsidP="006421F5">
            <w:pPr>
              <w:jc w:val="center"/>
              <w:rPr>
                <w:bCs/>
                <w:szCs w:val="24"/>
              </w:rPr>
            </w:pPr>
            <w:r w:rsidRPr="00EC1519">
              <w:rPr>
                <w:bCs/>
                <w:szCs w:val="24"/>
              </w:rPr>
              <w:t>3</w:t>
            </w:r>
          </w:p>
        </w:tc>
        <w:tc>
          <w:tcPr>
            <w:tcW w:w="389" w:type="pct"/>
            <w:tcBorders>
              <w:bottom w:val="single" w:sz="4" w:space="0" w:color="auto"/>
            </w:tcBorders>
            <w:shd w:val="clear" w:color="auto" w:fill="FFFFFF"/>
            <w:vAlign w:val="center"/>
          </w:tcPr>
          <w:p w14:paraId="0CBC60AD" w14:textId="77777777" w:rsidR="00EC1519" w:rsidRPr="00EC1519" w:rsidRDefault="00EC1519" w:rsidP="006421F5">
            <w:pPr>
              <w:jc w:val="center"/>
              <w:rPr>
                <w:bCs/>
                <w:szCs w:val="24"/>
              </w:rPr>
            </w:pPr>
            <w:r w:rsidRPr="00EC1519">
              <w:rPr>
                <w:bCs/>
                <w:szCs w:val="24"/>
              </w:rPr>
              <w:t>3</w:t>
            </w:r>
          </w:p>
        </w:tc>
        <w:tc>
          <w:tcPr>
            <w:tcW w:w="3310" w:type="pct"/>
            <w:tcBorders>
              <w:bottom w:val="single" w:sz="4" w:space="0" w:color="auto"/>
            </w:tcBorders>
            <w:shd w:val="clear" w:color="auto" w:fill="FFFFFF"/>
            <w:vAlign w:val="center"/>
          </w:tcPr>
          <w:p w14:paraId="31D57709" w14:textId="2A70BCF8" w:rsidR="00EC1519" w:rsidRPr="00EC1519" w:rsidRDefault="00EC1519" w:rsidP="00534006">
            <w:pPr>
              <w:rPr>
                <w:bCs/>
                <w:szCs w:val="24"/>
              </w:rPr>
            </w:pPr>
            <w:r w:rsidRPr="00EC1519">
              <w:rPr>
                <w:bCs/>
                <w:szCs w:val="24"/>
              </w:rPr>
              <w:t xml:space="preserve">Виплати, передбачувані до сплати з </w:t>
            </w:r>
            <w:r w:rsidRPr="00EC1519">
              <w:rPr>
                <w:iCs/>
                <w:szCs w:val="24"/>
              </w:rPr>
              <w:t xml:space="preserve">прибутку звітного року/прибутку </w:t>
            </w:r>
            <w:r w:rsidRPr="00EC1519">
              <w:rPr>
                <w:szCs w:val="24"/>
                <w:lang w:eastAsia="ru-RU"/>
              </w:rPr>
              <w:t>за проміжний звітний період</w:t>
            </w:r>
            <w:r w:rsidRPr="00EC1519">
              <w:rPr>
                <w:bCs/>
                <w:szCs w:val="24"/>
              </w:rPr>
              <w:t xml:space="preserve"> </w:t>
            </w:r>
          </w:p>
        </w:tc>
        <w:tc>
          <w:tcPr>
            <w:tcW w:w="1057" w:type="pct"/>
            <w:tcBorders>
              <w:bottom w:val="single" w:sz="4" w:space="0" w:color="auto"/>
            </w:tcBorders>
            <w:shd w:val="clear" w:color="auto" w:fill="FFFFFF"/>
            <w:vAlign w:val="center"/>
          </w:tcPr>
          <w:p w14:paraId="654451DC" w14:textId="77777777" w:rsidR="00EC1519" w:rsidRPr="00EC1519" w:rsidRDefault="00EC1519" w:rsidP="006421F5">
            <w:pPr>
              <w:jc w:val="center"/>
              <w:rPr>
                <w:iCs/>
                <w:strike/>
                <w:szCs w:val="24"/>
              </w:rPr>
            </w:pPr>
          </w:p>
        </w:tc>
      </w:tr>
      <w:tr w:rsidR="00EC1519" w:rsidRPr="00EC1519" w14:paraId="6BFB4E7D" w14:textId="77777777" w:rsidTr="0059530C">
        <w:trPr>
          <w:trHeight w:val="73"/>
        </w:trPr>
        <w:tc>
          <w:tcPr>
            <w:tcW w:w="244" w:type="pct"/>
            <w:shd w:val="clear" w:color="auto" w:fill="FFFFFF"/>
            <w:vAlign w:val="center"/>
          </w:tcPr>
          <w:p w14:paraId="2B0BBC14" w14:textId="77777777" w:rsidR="00EC1519" w:rsidRPr="00EC1519" w:rsidRDefault="00EC1519" w:rsidP="006421F5">
            <w:pPr>
              <w:jc w:val="center"/>
              <w:rPr>
                <w:bCs/>
                <w:szCs w:val="24"/>
              </w:rPr>
            </w:pPr>
            <w:r w:rsidRPr="00EC1519">
              <w:rPr>
                <w:bCs/>
                <w:szCs w:val="24"/>
              </w:rPr>
              <w:t>4</w:t>
            </w:r>
          </w:p>
        </w:tc>
        <w:tc>
          <w:tcPr>
            <w:tcW w:w="389" w:type="pct"/>
            <w:shd w:val="clear" w:color="auto" w:fill="FFFFFF"/>
            <w:vAlign w:val="center"/>
          </w:tcPr>
          <w:p w14:paraId="7C3B25B3" w14:textId="77777777" w:rsidR="00EC1519" w:rsidRPr="00EC1519" w:rsidRDefault="00EC1519" w:rsidP="006421F5">
            <w:pPr>
              <w:jc w:val="center"/>
              <w:rPr>
                <w:bCs/>
                <w:szCs w:val="24"/>
              </w:rPr>
            </w:pPr>
            <w:r w:rsidRPr="00EC1519">
              <w:rPr>
                <w:bCs/>
                <w:szCs w:val="24"/>
              </w:rPr>
              <w:t>4</w:t>
            </w:r>
          </w:p>
        </w:tc>
        <w:tc>
          <w:tcPr>
            <w:tcW w:w="3310" w:type="pct"/>
            <w:shd w:val="clear" w:color="auto" w:fill="FFFFFF"/>
            <w:vAlign w:val="center"/>
          </w:tcPr>
          <w:p w14:paraId="04224D73" w14:textId="4D60503A" w:rsidR="00EC1519" w:rsidRPr="00EC1519" w:rsidRDefault="00EC1519" w:rsidP="00534006">
            <w:pPr>
              <w:rPr>
                <w:bCs/>
                <w:szCs w:val="24"/>
              </w:rPr>
            </w:pPr>
            <w:r w:rsidRPr="00EC1519">
              <w:rPr>
                <w:iCs/>
                <w:szCs w:val="24"/>
              </w:rPr>
              <w:t>Сукупні дивіденди, передбачуван</w:t>
            </w:r>
            <w:r w:rsidR="002D5762">
              <w:rPr>
                <w:iCs/>
                <w:szCs w:val="24"/>
              </w:rPr>
              <w:t>і</w:t>
            </w:r>
            <w:r w:rsidRPr="00EC1519">
              <w:rPr>
                <w:iCs/>
                <w:szCs w:val="24"/>
              </w:rPr>
              <w:t xml:space="preserve"> до сплати з прибутку учасників кредитно-інвестиційної підгрупи (сума показників 4.1–4.N)</w:t>
            </w:r>
          </w:p>
        </w:tc>
        <w:tc>
          <w:tcPr>
            <w:tcW w:w="1057" w:type="pct"/>
            <w:shd w:val="clear" w:color="auto" w:fill="FFFFFF"/>
            <w:vAlign w:val="center"/>
          </w:tcPr>
          <w:p w14:paraId="3301ED59" w14:textId="77777777" w:rsidR="00EC1519" w:rsidRPr="00EC1519" w:rsidRDefault="00EC1519" w:rsidP="006421F5">
            <w:pPr>
              <w:jc w:val="center"/>
              <w:rPr>
                <w:iCs/>
                <w:strike/>
                <w:szCs w:val="24"/>
              </w:rPr>
            </w:pPr>
          </w:p>
        </w:tc>
      </w:tr>
      <w:tr w:rsidR="00EC1519" w:rsidRPr="00EC1519" w14:paraId="5E4BE14C" w14:textId="77777777" w:rsidTr="0059530C">
        <w:trPr>
          <w:trHeight w:val="73"/>
        </w:trPr>
        <w:tc>
          <w:tcPr>
            <w:tcW w:w="244" w:type="pct"/>
            <w:shd w:val="clear" w:color="auto" w:fill="FFFFFF"/>
            <w:vAlign w:val="center"/>
          </w:tcPr>
          <w:p w14:paraId="22FF057A" w14:textId="77777777" w:rsidR="00EC1519" w:rsidRPr="00EC1519" w:rsidRDefault="00EC1519" w:rsidP="006421F5">
            <w:pPr>
              <w:jc w:val="center"/>
              <w:rPr>
                <w:bCs/>
                <w:szCs w:val="24"/>
              </w:rPr>
            </w:pPr>
            <w:r w:rsidRPr="00EC1519">
              <w:rPr>
                <w:bCs/>
                <w:szCs w:val="24"/>
              </w:rPr>
              <w:t>5</w:t>
            </w:r>
          </w:p>
        </w:tc>
        <w:tc>
          <w:tcPr>
            <w:tcW w:w="389" w:type="pct"/>
            <w:shd w:val="clear" w:color="auto" w:fill="FFFFFF"/>
            <w:vAlign w:val="center"/>
          </w:tcPr>
          <w:p w14:paraId="2C81DABC" w14:textId="77777777" w:rsidR="00EC1519" w:rsidRPr="00EC1519" w:rsidRDefault="00EC1519" w:rsidP="006421F5">
            <w:pPr>
              <w:jc w:val="center"/>
              <w:rPr>
                <w:bCs/>
                <w:szCs w:val="24"/>
              </w:rPr>
            </w:pPr>
            <w:r w:rsidRPr="00EC1519">
              <w:rPr>
                <w:bCs/>
                <w:szCs w:val="24"/>
              </w:rPr>
              <w:t>4.1</w:t>
            </w:r>
          </w:p>
        </w:tc>
        <w:tc>
          <w:tcPr>
            <w:tcW w:w="3310" w:type="pct"/>
            <w:shd w:val="clear" w:color="auto" w:fill="FFFFFF"/>
            <w:vAlign w:val="center"/>
          </w:tcPr>
          <w:p w14:paraId="0CB127BB" w14:textId="1CEEF336" w:rsidR="00EC1519" w:rsidRPr="00EC1519" w:rsidRDefault="00EC1519" w:rsidP="00534006">
            <w:pPr>
              <w:rPr>
                <w:bCs/>
                <w:szCs w:val="24"/>
              </w:rPr>
            </w:pPr>
            <w:r w:rsidRPr="00EC1519">
              <w:rPr>
                <w:bCs/>
                <w:szCs w:val="24"/>
              </w:rPr>
              <w:t>Дивіденди, передбачувані до сплати з прибутку учасника № 1. Словами зазначається  спосіб розрахунку суми дивідендів, передбачуваних до сплати з прибутку  учасника № 1, обраний згідно з вимогами Положення</w:t>
            </w:r>
            <w:r w:rsidR="00C35528">
              <w:rPr>
                <w:bCs/>
                <w:szCs w:val="24"/>
              </w:rPr>
              <w:t xml:space="preserve"> № 254</w:t>
            </w:r>
            <w:r w:rsidRPr="00EC1519">
              <w:rPr>
                <w:bCs/>
                <w:szCs w:val="24"/>
              </w:rPr>
              <w:t xml:space="preserve"> (рядок 1/рядок 2/рядок 3/рядок 4/рядок 5 таблиці 1 додатк</w:t>
            </w:r>
            <w:r w:rsidR="003F53C7">
              <w:rPr>
                <w:bCs/>
                <w:szCs w:val="24"/>
              </w:rPr>
              <w:t>а</w:t>
            </w:r>
            <w:r w:rsidRPr="00EC1519">
              <w:rPr>
                <w:bCs/>
                <w:szCs w:val="24"/>
              </w:rPr>
              <w:t xml:space="preserve"> 1 </w:t>
            </w:r>
            <w:r w:rsidRPr="00C35528">
              <w:rPr>
                <w:bCs/>
                <w:szCs w:val="24"/>
              </w:rPr>
              <w:t>до Положення</w:t>
            </w:r>
            <w:r w:rsidR="00C35528">
              <w:rPr>
                <w:bCs/>
                <w:szCs w:val="24"/>
              </w:rPr>
              <w:t xml:space="preserve"> № 254</w:t>
            </w:r>
            <w:r w:rsidRPr="00EC1519">
              <w:rPr>
                <w:bCs/>
                <w:szCs w:val="24"/>
              </w:rPr>
              <w:t>)</w:t>
            </w:r>
          </w:p>
        </w:tc>
        <w:tc>
          <w:tcPr>
            <w:tcW w:w="1057" w:type="pct"/>
            <w:shd w:val="clear" w:color="auto" w:fill="FFFFFF"/>
            <w:vAlign w:val="center"/>
          </w:tcPr>
          <w:p w14:paraId="034DE4B7" w14:textId="77777777" w:rsidR="00EC1519" w:rsidRPr="00EC1519" w:rsidRDefault="00EC1519" w:rsidP="006421F5">
            <w:pPr>
              <w:jc w:val="center"/>
              <w:rPr>
                <w:iCs/>
                <w:szCs w:val="24"/>
              </w:rPr>
            </w:pPr>
          </w:p>
        </w:tc>
      </w:tr>
      <w:tr w:rsidR="002D5762" w:rsidRPr="00EC1519" w14:paraId="7ED4C937" w14:textId="77777777" w:rsidTr="0059530C">
        <w:trPr>
          <w:trHeight w:val="73"/>
        </w:trPr>
        <w:tc>
          <w:tcPr>
            <w:tcW w:w="244" w:type="pct"/>
            <w:shd w:val="clear" w:color="auto" w:fill="FFFFFF"/>
            <w:vAlign w:val="center"/>
          </w:tcPr>
          <w:p w14:paraId="2EBFBB3E" w14:textId="77777777" w:rsidR="002D5762" w:rsidRPr="00EC1519" w:rsidRDefault="002D5762" w:rsidP="006421F5">
            <w:pPr>
              <w:jc w:val="center"/>
              <w:rPr>
                <w:bCs/>
                <w:szCs w:val="24"/>
              </w:rPr>
            </w:pPr>
            <w:r w:rsidRPr="00EC1519">
              <w:rPr>
                <w:bCs/>
                <w:szCs w:val="24"/>
              </w:rPr>
              <w:lastRenderedPageBreak/>
              <w:t>6</w:t>
            </w:r>
          </w:p>
        </w:tc>
        <w:tc>
          <w:tcPr>
            <w:tcW w:w="389" w:type="pct"/>
            <w:shd w:val="clear" w:color="auto" w:fill="FFFFFF"/>
            <w:vAlign w:val="center"/>
          </w:tcPr>
          <w:p w14:paraId="7FCC42D6" w14:textId="77777777" w:rsidR="002D5762" w:rsidRPr="00EC1519" w:rsidRDefault="002D5762" w:rsidP="006421F5">
            <w:pPr>
              <w:jc w:val="center"/>
              <w:rPr>
                <w:bCs/>
                <w:szCs w:val="24"/>
              </w:rPr>
            </w:pPr>
            <w:r w:rsidRPr="00EC1519">
              <w:rPr>
                <w:bCs/>
                <w:szCs w:val="24"/>
              </w:rPr>
              <w:t>4.2</w:t>
            </w:r>
          </w:p>
        </w:tc>
        <w:tc>
          <w:tcPr>
            <w:tcW w:w="3310" w:type="pct"/>
            <w:shd w:val="clear" w:color="auto" w:fill="FFFFFF"/>
            <w:vAlign w:val="center"/>
          </w:tcPr>
          <w:p w14:paraId="5A2D0832" w14:textId="2EF74AAC" w:rsidR="002D5762" w:rsidRPr="00EC1519" w:rsidRDefault="002D5762" w:rsidP="00534006">
            <w:pPr>
              <w:rPr>
                <w:bCs/>
                <w:szCs w:val="24"/>
              </w:rPr>
            </w:pPr>
            <w:r w:rsidRPr="00EC1519">
              <w:rPr>
                <w:bCs/>
                <w:szCs w:val="24"/>
              </w:rPr>
              <w:t>Дивіденди, передбачувані до сплати з прибутку учасника №</w:t>
            </w:r>
            <w:r w:rsidR="00431F47">
              <w:rPr>
                <w:bCs/>
                <w:szCs w:val="24"/>
              </w:rPr>
              <w:t xml:space="preserve"> </w:t>
            </w:r>
            <w:r w:rsidRPr="00EC1519">
              <w:rPr>
                <w:bCs/>
                <w:szCs w:val="24"/>
              </w:rPr>
              <w:t>2. Словами зазначається  спосіб розрахунку суми дивідендів, передбачуваних до сплати з прибутку учасника № 2, обраний згідно з вимогами Положення № 254 (рядок 1/рядок 2/рядок 3/рядок 4/рядок 5 таблиці 1 додатк</w:t>
            </w:r>
            <w:r w:rsidR="003F53C7">
              <w:rPr>
                <w:bCs/>
                <w:szCs w:val="24"/>
              </w:rPr>
              <w:t>а</w:t>
            </w:r>
            <w:r w:rsidRPr="00EC1519">
              <w:rPr>
                <w:bCs/>
                <w:szCs w:val="24"/>
              </w:rPr>
              <w:t xml:space="preserve"> 1 до Положення</w:t>
            </w:r>
            <w:r w:rsidR="003F53C7">
              <w:rPr>
                <w:bCs/>
                <w:szCs w:val="24"/>
              </w:rPr>
              <w:t xml:space="preserve"> № 254</w:t>
            </w:r>
            <w:r w:rsidRPr="00EC1519">
              <w:rPr>
                <w:bCs/>
                <w:szCs w:val="24"/>
              </w:rPr>
              <w:t>)</w:t>
            </w:r>
          </w:p>
        </w:tc>
        <w:tc>
          <w:tcPr>
            <w:tcW w:w="1057" w:type="pct"/>
            <w:shd w:val="clear" w:color="auto" w:fill="FFFFFF"/>
            <w:vAlign w:val="center"/>
          </w:tcPr>
          <w:p w14:paraId="0CA05B21" w14:textId="77777777" w:rsidR="002D5762" w:rsidRPr="00EC1519" w:rsidRDefault="002D5762" w:rsidP="006421F5">
            <w:pPr>
              <w:jc w:val="center"/>
              <w:rPr>
                <w:iCs/>
                <w:szCs w:val="24"/>
              </w:rPr>
            </w:pPr>
          </w:p>
        </w:tc>
      </w:tr>
      <w:tr w:rsidR="002D5762" w:rsidRPr="00EC1519" w14:paraId="2B211A06" w14:textId="77777777" w:rsidTr="0059530C">
        <w:trPr>
          <w:trHeight w:val="73"/>
        </w:trPr>
        <w:tc>
          <w:tcPr>
            <w:tcW w:w="244" w:type="pct"/>
            <w:shd w:val="clear" w:color="auto" w:fill="FFFFFF"/>
            <w:vAlign w:val="center"/>
          </w:tcPr>
          <w:p w14:paraId="44384714" w14:textId="77777777" w:rsidR="002D5762" w:rsidRPr="00EC1519" w:rsidRDefault="002D5762" w:rsidP="006421F5">
            <w:pPr>
              <w:jc w:val="center"/>
              <w:rPr>
                <w:bCs/>
                <w:szCs w:val="24"/>
              </w:rPr>
            </w:pPr>
            <w:r w:rsidRPr="00EC1519">
              <w:rPr>
                <w:bCs/>
                <w:szCs w:val="24"/>
              </w:rPr>
              <w:t>7</w:t>
            </w:r>
          </w:p>
        </w:tc>
        <w:tc>
          <w:tcPr>
            <w:tcW w:w="389" w:type="pct"/>
            <w:shd w:val="clear" w:color="auto" w:fill="FFFFFF"/>
            <w:vAlign w:val="center"/>
          </w:tcPr>
          <w:p w14:paraId="60FC61F6" w14:textId="77777777" w:rsidR="002D5762" w:rsidRPr="00EC1519" w:rsidRDefault="002D5762" w:rsidP="006421F5">
            <w:pPr>
              <w:jc w:val="center"/>
              <w:rPr>
                <w:bCs/>
                <w:szCs w:val="24"/>
              </w:rPr>
            </w:pPr>
            <w:r w:rsidRPr="00EC1519">
              <w:rPr>
                <w:bCs/>
                <w:szCs w:val="24"/>
              </w:rPr>
              <w:t>4.N</w:t>
            </w:r>
          </w:p>
        </w:tc>
        <w:tc>
          <w:tcPr>
            <w:tcW w:w="3310" w:type="pct"/>
            <w:shd w:val="clear" w:color="auto" w:fill="FFFFFF"/>
            <w:vAlign w:val="center"/>
          </w:tcPr>
          <w:p w14:paraId="4D46F7F4" w14:textId="06C5698C" w:rsidR="002D5762" w:rsidRPr="00EC1519" w:rsidRDefault="002D5762" w:rsidP="00534006">
            <w:pPr>
              <w:rPr>
                <w:bCs/>
                <w:szCs w:val="24"/>
              </w:rPr>
            </w:pPr>
            <w:r w:rsidRPr="00EC1519">
              <w:rPr>
                <w:bCs/>
                <w:szCs w:val="24"/>
              </w:rPr>
              <w:t>Дивіденди, передбачувані до сплати з прибутку учасника № N. Словами зазначається  спосіб розрахунку суми дивідендів, передбачуваних до сплати з прибутку  учасника № N, обраний згідно з вимогами Положення № 254 (рядок 1/рядок 2/рядок 3/рядок 4/рядок 5 таблиці 1 додатк</w:t>
            </w:r>
            <w:r w:rsidR="003F53C7">
              <w:rPr>
                <w:bCs/>
                <w:szCs w:val="24"/>
              </w:rPr>
              <w:t>а</w:t>
            </w:r>
            <w:r w:rsidRPr="00EC1519">
              <w:rPr>
                <w:bCs/>
                <w:szCs w:val="24"/>
              </w:rPr>
              <w:t xml:space="preserve"> 1 до Положення</w:t>
            </w:r>
            <w:r w:rsidR="003F53C7">
              <w:rPr>
                <w:bCs/>
                <w:szCs w:val="24"/>
              </w:rPr>
              <w:t xml:space="preserve"> № 254</w:t>
            </w:r>
            <w:r w:rsidRPr="00EC1519">
              <w:rPr>
                <w:bCs/>
                <w:szCs w:val="24"/>
              </w:rPr>
              <w:t>)</w:t>
            </w:r>
          </w:p>
        </w:tc>
        <w:tc>
          <w:tcPr>
            <w:tcW w:w="1057" w:type="pct"/>
            <w:shd w:val="clear" w:color="auto" w:fill="FFFFFF"/>
            <w:vAlign w:val="center"/>
          </w:tcPr>
          <w:p w14:paraId="36A32076" w14:textId="77777777" w:rsidR="002D5762" w:rsidRPr="00EC1519" w:rsidRDefault="002D5762" w:rsidP="006421F5">
            <w:pPr>
              <w:jc w:val="center"/>
              <w:rPr>
                <w:iCs/>
                <w:szCs w:val="24"/>
              </w:rPr>
            </w:pPr>
          </w:p>
        </w:tc>
      </w:tr>
      <w:tr w:rsidR="002D5762" w:rsidRPr="00EC1519" w14:paraId="7EB7FA52" w14:textId="77777777" w:rsidTr="0059530C">
        <w:trPr>
          <w:trHeight w:val="73"/>
        </w:trPr>
        <w:tc>
          <w:tcPr>
            <w:tcW w:w="244" w:type="pct"/>
            <w:shd w:val="clear" w:color="auto" w:fill="FFFFFF"/>
            <w:vAlign w:val="center"/>
          </w:tcPr>
          <w:p w14:paraId="2FF012C6" w14:textId="77777777" w:rsidR="002D5762" w:rsidRPr="00EC1519" w:rsidRDefault="002D5762" w:rsidP="006421F5">
            <w:pPr>
              <w:jc w:val="center"/>
              <w:rPr>
                <w:bCs/>
                <w:szCs w:val="24"/>
              </w:rPr>
            </w:pPr>
            <w:r w:rsidRPr="00EC1519">
              <w:rPr>
                <w:iCs/>
                <w:szCs w:val="24"/>
              </w:rPr>
              <w:t>8</w:t>
            </w:r>
          </w:p>
        </w:tc>
        <w:tc>
          <w:tcPr>
            <w:tcW w:w="389" w:type="pct"/>
            <w:shd w:val="clear" w:color="auto" w:fill="FFFFFF"/>
            <w:vAlign w:val="center"/>
          </w:tcPr>
          <w:p w14:paraId="18620765" w14:textId="77777777" w:rsidR="002D5762" w:rsidRPr="00EC1519" w:rsidRDefault="002D5762" w:rsidP="006421F5">
            <w:pPr>
              <w:jc w:val="center"/>
              <w:rPr>
                <w:bCs/>
                <w:szCs w:val="24"/>
              </w:rPr>
            </w:pPr>
            <w:r w:rsidRPr="00EC1519">
              <w:rPr>
                <w:iCs/>
                <w:szCs w:val="24"/>
              </w:rPr>
              <w:t>5</w:t>
            </w:r>
          </w:p>
        </w:tc>
        <w:tc>
          <w:tcPr>
            <w:tcW w:w="3310" w:type="pct"/>
            <w:shd w:val="clear" w:color="auto" w:fill="FFFFFF"/>
            <w:vAlign w:val="center"/>
          </w:tcPr>
          <w:p w14:paraId="56AE56E8" w14:textId="1E2E1338" w:rsidR="002D5762" w:rsidRPr="00EC1519" w:rsidRDefault="002D5762" w:rsidP="00534006">
            <w:pPr>
              <w:rPr>
                <w:bCs/>
                <w:szCs w:val="24"/>
              </w:rPr>
            </w:pPr>
            <w:r w:rsidRPr="00EC1519">
              <w:rPr>
                <w:iCs/>
                <w:szCs w:val="24"/>
              </w:rPr>
              <w:t xml:space="preserve">Прибуток звітного року/прибуток </w:t>
            </w:r>
            <w:r w:rsidRPr="00EC1519">
              <w:rPr>
                <w:szCs w:val="24"/>
                <w:lang w:eastAsia="ru-RU"/>
              </w:rPr>
              <w:t>за проміжний звітний період</w:t>
            </w:r>
            <w:r w:rsidRPr="00EC1519">
              <w:rPr>
                <w:iCs/>
                <w:szCs w:val="24"/>
              </w:rPr>
              <w:t>, який може бути включений до ОК1 (дорівнює Показник 2 – Показник 3 – Показник 4)</w:t>
            </w:r>
          </w:p>
        </w:tc>
        <w:tc>
          <w:tcPr>
            <w:tcW w:w="1057" w:type="pct"/>
            <w:shd w:val="clear" w:color="auto" w:fill="FFFFFF"/>
            <w:vAlign w:val="center"/>
          </w:tcPr>
          <w:p w14:paraId="7948F3A5" w14:textId="77777777" w:rsidR="002D5762" w:rsidRPr="00EC1519" w:rsidRDefault="002D5762" w:rsidP="006421F5">
            <w:pPr>
              <w:jc w:val="center"/>
              <w:rPr>
                <w:iCs/>
                <w:szCs w:val="24"/>
              </w:rPr>
            </w:pPr>
          </w:p>
        </w:tc>
      </w:tr>
    </w:tbl>
    <w:p w14:paraId="730B25E1" w14:textId="4F94A42C" w:rsidR="00EC1519" w:rsidRPr="00EC1519" w:rsidRDefault="00EC1519" w:rsidP="00AA2CE1">
      <w:pPr>
        <w:rPr>
          <w:shd w:val="clear" w:color="auto" w:fill="FFFFFF"/>
        </w:rPr>
      </w:pPr>
    </w:p>
    <w:p w14:paraId="11AC7643" w14:textId="77777777" w:rsidR="00AA2CE1" w:rsidRPr="00EC1519" w:rsidRDefault="00AA2CE1">
      <w:pPr>
        <w:rPr>
          <w:shd w:val="clear" w:color="auto" w:fill="FFFFFF"/>
        </w:rPr>
      </w:pPr>
    </w:p>
    <w:sectPr w:rsidR="00AA2CE1" w:rsidRPr="00EC1519" w:rsidSect="00186CD2">
      <w:headerReference w:type="default" r:id="rId25"/>
      <w:headerReference w:type="first" r:id="rId26"/>
      <w:pgSz w:w="16838" w:h="11906" w:orient="landscape"/>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A3706" w14:textId="77777777" w:rsidR="00905D87" w:rsidRDefault="00905D87" w:rsidP="00E53CCD">
      <w:r>
        <w:separator/>
      </w:r>
    </w:p>
  </w:endnote>
  <w:endnote w:type="continuationSeparator" w:id="0">
    <w:p w14:paraId="3C4D9040" w14:textId="77777777" w:rsidR="00905D87" w:rsidRDefault="00905D87"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6CA9B" w14:textId="77777777" w:rsidR="00905D87" w:rsidRDefault="00905D87" w:rsidP="00E53CCD">
      <w:r>
        <w:separator/>
      </w:r>
    </w:p>
  </w:footnote>
  <w:footnote w:type="continuationSeparator" w:id="0">
    <w:p w14:paraId="36A20C6A" w14:textId="77777777" w:rsidR="00905D87" w:rsidRDefault="00905D87"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62773"/>
      <w:docPartObj>
        <w:docPartGallery w:val="Page Numbers (Top of Page)"/>
        <w:docPartUnique/>
      </w:docPartObj>
    </w:sdtPr>
    <w:sdtEndPr/>
    <w:sdtContent>
      <w:p w14:paraId="19BDE3A1" w14:textId="076AAFB7" w:rsidR="008D3601" w:rsidRDefault="008D3601">
        <w:pPr>
          <w:pStyle w:val="a5"/>
          <w:jc w:val="center"/>
        </w:pPr>
        <w:r>
          <w:fldChar w:fldCharType="begin"/>
        </w:r>
        <w:r>
          <w:instrText>PAGE   \* MERGEFORMAT</w:instrText>
        </w:r>
        <w:r>
          <w:fldChar w:fldCharType="separate"/>
        </w:r>
        <w:r w:rsidR="00A50D3D">
          <w:rPr>
            <w:noProof/>
          </w:rPr>
          <w:t>14</w:t>
        </w:r>
        <w:r>
          <w:fldChar w:fldCharType="end"/>
        </w:r>
      </w:p>
    </w:sdtContent>
  </w:sdt>
  <w:p w14:paraId="24D24C3D" w14:textId="77777777" w:rsidR="008D3601" w:rsidRDefault="008D360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656768"/>
      <w:docPartObj>
        <w:docPartGallery w:val="Page Numbers (Top of Page)"/>
        <w:docPartUnique/>
      </w:docPartObj>
    </w:sdtPr>
    <w:sdtEndPr/>
    <w:sdtContent>
      <w:p w14:paraId="15E274DD" w14:textId="4BB6592D" w:rsidR="008D3601" w:rsidRDefault="008D3601">
        <w:pPr>
          <w:pStyle w:val="a5"/>
          <w:jc w:val="center"/>
        </w:pPr>
        <w:r>
          <w:fldChar w:fldCharType="begin"/>
        </w:r>
        <w:r>
          <w:instrText>PAGE   \* MERGEFORMAT</w:instrText>
        </w:r>
        <w:r>
          <w:fldChar w:fldCharType="separate"/>
        </w:r>
        <w:r w:rsidR="00A50D3D">
          <w:rPr>
            <w:noProof/>
          </w:rPr>
          <w:t>3</w:t>
        </w:r>
        <w:r>
          <w:fldChar w:fldCharType="end"/>
        </w:r>
      </w:p>
      <w:p w14:paraId="5C7E88C4" w14:textId="77777777" w:rsidR="008D3601" w:rsidRPr="00BF7A1B" w:rsidRDefault="008D3601" w:rsidP="00A0078F">
        <w:pPr>
          <w:pStyle w:val="af3"/>
          <w:tabs>
            <w:tab w:val="left" w:pos="851"/>
            <w:tab w:val="left" w:pos="1134"/>
            <w:tab w:val="left" w:pos="1560"/>
          </w:tabs>
          <w:ind w:left="0" w:right="536"/>
          <w:contextualSpacing w:val="0"/>
          <w:jc w:val="right"/>
        </w:pPr>
        <w:r w:rsidRPr="00BF7A1B">
          <w:t>Продовження додатка 1</w:t>
        </w:r>
      </w:p>
      <w:p w14:paraId="15E53168" w14:textId="7293DBCE" w:rsidR="008D3601" w:rsidRDefault="008D3601" w:rsidP="00186CD2">
        <w:pPr>
          <w:pStyle w:val="af3"/>
          <w:tabs>
            <w:tab w:val="left" w:pos="851"/>
            <w:tab w:val="left" w:pos="1134"/>
            <w:tab w:val="left" w:pos="1560"/>
          </w:tabs>
          <w:ind w:left="0" w:right="536"/>
          <w:contextualSpacing w:val="0"/>
          <w:jc w:val="right"/>
        </w:pPr>
        <w:r w:rsidRPr="00BF7A1B">
          <w:t>Продовження таблиці 1</w:t>
        </w:r>
      </w:p>
    </w:sdtContent>
  </w:sdt>
  <w:p w14:paraId="14A52086" w14:textId="77777777" w:rsidR="008D3601" w:rsidRDefault="008D360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A64B7" w14:textId="77777777" w:rsidR="008D3601" w:rsidRPr="00A0078F" w:rsidRDefault="008D3601" w:rsidP="00A0078F">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263206"/>
      <w:docPartObj>
        <w:docPartGallery w:val="Page Numbers (Top of Page)"/>
        <w:docPartUnique/>
      </w:docPartObj>
    </w:sdtPr>
    <w:sdtEndPr/>
    <w:sdtContent>
      <w:p w14:paraId="66B9ED16" w14:textId="649DFE33" w:rsidR="008D3601" w:rsidRDefault="008D3601">
        <w:pPr>
          <w:pStyle w:val="a5"/>
          <w:jc w:val="center"/>
        </w:pPr>
        <w:r>
          <w:fldChar w:fldCharType="begin"/>
        </w:r>
        <w:r>
          <w:instrText>PAGE   \* MERGEFORMAT</w:instrText>
        </w:r>
        <w:r>
          <w:fldChar w:fldCharType="separate"/>
        </w:r>
        <w:r w:rsidR="00A50D3D">
          <w:rPr>
            <w:noProof/>
          </w:rPr>
          <w:t>7</w:t>
        </w:r>
        <w:r>
          <w:fldChar w:fldCharType="end"/>
        </w:r>
      </w:p>
      <w:p w14:paraId="05C952FE" w14:textId="77777777" w:rsidR="008D3601" w:rsidRPr="00BF7A1B" w:rsidRDefault="008D3601" w:rsidP="00A0078F">
        <w:pPr>
          <w:pStyle w:val="af3"/>
          <w:tabs>
            <w:tab w:val="left" w:pos="851"/>
            <w:tab w:val="left" w:pos="1134"/>
            <w:tab w:val="left" w:pos="1560"/>
          </w:tabs>
          <w:ind w:left="0" w:right="536"/>
          <w:contextualSpacing w:val="0"/>
          <w:jc w:val="right"/>
        </w:pPr>
        <w:r w:rsidRPr="00BF7A1B">
          <w:t>Продовження додатка 1</w:t>
        </w:r>
      </w:p>
      <w:p w14:paraId="17818044" w14:textId="621DE8B7" w:rsidR="008D3601" w:rsidRDefault="00905D87" w:rsidP="00A0078F">
        <w:pPr>
          <w:pStyle w:val="af3"/>
          <w:tabs>
            <w:tab w:val="left" w:pos="851"/>
            <w:tab w:val="left" w:pos="1134"/>
            <w:tab w:val="left" w:pos="1560"/>
          </w:tabs>
          <w:ind w:left="0" w:right="536"/>
          <w:contextualSpacing w:val="0"/>
          <w:jc w:val="right"/>
        </w:pPr>
      </w:p>
    </w:sdtContent>
  </w:sdt>
  <w:p w14:paraId="5E2267B3" w14:textId="77777777" w:rsidR="008D3601" w:rsidRDefault="008D3601">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052347"/>
      <w:docPartObj>
        <w:docPartGallery w:val="Page Numbers (Top of Page)"/>
        <w:docPartUnique/>
      </w:docPartObj>
    </w:sdtPr>
    <w:sdtEndPr/>
    <w:sdtContent>
      <w:p w14:paraId="7DCACCF8" w14:textId="1F2D3506" w:rsidR="008D3601" w:rsidRDefault="008D3601">
        <w:pPr>
          <w:pStyle w:val="a5"/>
          <w:jc w:val="center"/>
        </w:pPr>
        <w:r>
          <w:fldChar w:fldCharType="begin"/>
        </w:r>
        <w:r>
          <w:instrText>PAGE   \* MERGEFORMAT</w:instrText>
        </w:r>
        <w:r>
          <w:fldChar w:fldCharType="separate"/>
        </w:r>
        <w:r w:rsidR="00A50D3D">
          <w:rPr>
            <w:noProof/>
          </w:rPr>
          <w:t>4</w:t>
        </w:r>
        <w:r>
          <w:fldChar w:fldCharType="end"/>
        </w:r>
      </w:p>
      <w:p w14:paraId="492BDC47" w14:textId="42A1353C" w:rsidR="008D3601" w:rsidRDefault="008D3601" w:rsidP="00A0078F">
        <w:pPr>
          <w:pStyle w:val="a5"/>
          <w:jc w:val="right"/>
        </w:pPr>
        <w:r>
          <w:t>Продовження додатка 1</w:t>
        </w:r>
      </w:p>
    </w:sdtContent>
  </w:sdt>
  <w:p w14:paraId="60A3DF5A" w14:textId="77777777" w:rsidR="008D3601" w:rsidRDefault="008D3601">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877490"/>
      <w:docPartObj>
        <w:docPartGallery w:val="Page Numbers (Top of Page)"/>
        <w:docPartUnique/>
      </w:docPartObj>
    </w:sdtPr>
    <w:sdtEndPr/>
    <w:sdtContent>
      <w:p w14:paraId="64F0E61F" w14:textId="3E9B18AF" w:rsidR="008D3601" w:rsidRDefault="008D3601">
        <w:pPr>
          <w:pStyle w:val="a5"/>
          <w:jc w:val="center"/>
        </w:pPr>
        <w:r>
          <w:fldChar w:fldCharType="begin"/>
        </w:r>
        <w:r>
          <w:instrText>PAGE   \* MERGEFORMAT</w:instrText>
        </w:r>
        <w:r>
          <w:fldChar w:fldCharType="separate"/>
        </w:r>
        <w:r>
          <w:rPr>
            <w:noProof/>
          </w:rPr>
          <w:t>2</w:t>
        </w:r>
        <w:r>
          <w:fldChar w:fldCharType="end"/>
        </w:r>
      </w:p>
      <w:p w14:paraId="08B911E6" w14:textId="491133C6" w:rsidR="008D3601" w:rsidRPr="00BF7A1B" w:rsidRDefault="008D3601" w:rsidP="00A0078F">
        <w:pPr>
          <w:pStyle w:val="af3"/>
          <w:tabs>
            <w:tab w:val="left" w:pos="851"/>
            <w:tab w:val="left" w:pos="1134"/>
            <w:tab w:val="left" w:pos="1560"/>
          </w:tabs>
          <w:ind w:left="0" w:right="536"/>
          <w:contextualSpacing w:val="0"/>
          <w:jc w:val="right"/>
        </w:pPr>
        <w:r w:rsidRPr="00BF7A1B">
          <w:t>Продовження додатка</w:t>
        </w:r>
        <w:r>
          <w:t xml:space="preserve"> 2</w:t>
        </w:r>
      </w:p>
      <w:p w14:paraId="3EF067D7" w14:textId="77777777" w:rsidR="008D3601" w:rsidRDefault="00905D87" w:rsidP="00A0078F">
        <w:pPr>
          <w:pStyle w:val="af3"/>
          <w:tabs>
            <w:tab w:val="left" w:pos="851"/>
            <w:tab w:val="left" w:pos="1134"/>
            <w:tab w:val="left" w:pos="1560"/>
          </w:tabs>
          <w:ind w:left="0" w:right="536"/>
          <w:contextualSpacing w:val="0"/>
          <w:jc w:val="right"/>
        </w:pPr>
      </w:p>
    </w:sdtContent>
  </w:sdt>
  <w:p w14:paraId="27CC814B" w14:textId="77777777" w:rsidR="008D3601" w:rsidRDefault="008D3601">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5A142" w14:textId="77777777" w:rsidR="008D3601" w:rsidRPr="006A2316" w:rsidRDefault="008D3601" w:rsidP="006A2316">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680718"/>
      <w:docPartObj>
        <w:docPartGallery w:val="Page Numbers (Top of Page)"/>
        <w:docPartUnique/>
      </w:docPartObj>
    </w:sdtPr>
    <w:sdtEndPr/>
    <w:sdtContent>
      <w:p w14:paraId="646650FD" w14:textId="24F21F6F" w:rsidR="008D3601" w:rsidRDefault="008D3601">
        <w:pPr>
          <w:pStyle w:val="a5"/>
          <w:jc w:val="center"/>
        </w:pPr>
        <w:r>
          <w:fldChar w:fldCharType="begin"/>
        </w:r>
        <w:r>
          <w:instrText>PAGE   \* MERGEFORMAT</w:instrText>
        </w:r>
        <w:r>
          <w:fldChar w:fldCharType="separate"/>
        </w:r>
        <w:r w:rsidR="00A50D3D">
          <w:rPr>
            <w:noProof/>
          </w:rPr>
          <w:t>3</w:t>
        </w:r>
        <w:r>
          <w:fldChar w:fldCharType="end"/>
        </w:r>
      </w:p>
      <w:p w14:paraId="443DF0D2" w14:textId="40694B4F" w:rsidR="008D3601" w:rsidRPr="00BF7A1B" w:rsidRDefault="008D3601" w:rsidP="00A0078F">
        <w:pPr>
          <w:pStyle w:val="af3"/>
          <w:tabs>
            <w:tab w:val="left" w:pos="851"/>
            <w:tab w:val="left" w:pos="1134"/>
            <w:tab w:val="left" w:pos="1560"/>
          </w:tabs>
          <w:ind w:left="0" w:right="536"/>
          <w:contextualSpacing w:val="0"/>
          <w:jc w:val="right"/>
        </w:pPr>
        <w:r w:rsidRPr="00BF7A1B">
          <w:t xml:space="preserve">Продовження додатка </w:t>
        </w:r>
        <w:r>
          <w:t>2</w:t>
        </w:r>
      </w:p>
      <w:p w14:paraId="174C8C3F" w14:textId="2DCDC2CC" w:rsidR="008D3601" w:rsidRDefault="008D3601" w:rsidP="006421F5">
        <w:pPr>
          <w:pStyle w:val="af3"/>
          <w:tabs>
            <w:tab w:val="left" w:pos="851"/>
            <w:tab w:val="left" w:pos="1134"/>
            <w:tab w:val="left" w:pos="1560"/>
            <w:tab w:val="left" w:pos="11192"/>
            <w:tab w:val="right" w:pos="14034"/>
          </w:tabs>
          <w:ind w:left="0" w:right="536"/>
          <w:contextualSpacing w:val="0"/>
          <w:jc w:val="left"/>
        </w:pPr>
        <w:r>
          <w:tab/>
        </w:r>
        <w:r>
          <w:tab/>
        </w:r>
        <w:r>
          <w:tab/>
        </w:r>
        <w:r>
          <w:tab/>
          <w:t>Продовження таблиці</w:t>
        </w:r>
      </w:p>
    </w:sdtContent>
  </w:sdt>
  <w:p w14:paraId="6EAD0C33" w14:textId="77777777" w:rsidR="008D3601" w:rsidRDefault="008D3601">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530102"/>
      <w:docPartObj>
        <w:docPartGallery w:val="Page Numbers (Top of Page)"/>
        <w:docPartUnique/>
      </w:docPartObj>
    </w:sdtPr>
    <w:sdtEndPr/>
    <w:sdtContent>
      <w:p w14:paraId="68F0C2F3" w14:textId="08A61287" w:rsidR="008D3601" w:rsidRDefault="008D3601">
        <w:pPr>
          <w:pStyle w:val="a5"/>
          <w:jc w:val="center"/>
        </w:pPr>
        <w:r>
          <w:fldChar w:fldCharType="begin"/>
        </w:r>
        <w:r>
          <w:instrText>PAGE   \* MERGEFORMAT</w:instrText>
        </w:r>
        <w:r>
          <w:fldChar w:fldCharType="separate"/>
        </w:r>
        <w:r w:rsidR="00A50D3D">
          <w:rPr>
            <w:noProof/>
          </w:rPr>
          <w:t>2</w:t>
        </w:r>
        <w:r>
          <w:fldChar w:fldCharType="end"/>
        </w:r>
      </w:p>
      <w:p w14:paraId="7D478C8C" w14:textId="4A8C9210" w:rsidR="008D3601" w:rsidRDefault="008D3601" w:rsidP="00186CD2">
        <w:pPr>
          <w:pStyle w:val="a5"/>
          <w:jc w:val="right"/>
        </w:pPr>
        <w:r>
          <w:t>Продовження додатка 2</w:t>
        </w:r>
      </w:p>
    </w:sdtContent>
  </w:sdt>
  <w:p w14:paraId="6F0987DE" w14:textId="77777777" w:rsidR="008D3601" w:rsidRDefault="008D3601" w:rsidP="00E15011">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FA7"/>
    <w:multiLevelType w:val="hybridMultilevel"/>
    <w:tmpl w:val="C54C8558"/>
    <w:lvl w:ilvl="0" w:tplc="D200C75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E072F3C"/>
    <w:multiLevelType w:val="hybridMultilevel"/>
    <w:tmpl w:val="076065BE"/>
    <w:lvl w:ilvl="0" w:tplc="40E28E06">
      <w:start w:val="10"/>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FBF6365"/>
    <w:multiLevelType w:val="hybridMultilevel"/>
    <w:tmpl w:val="A9E42988"/>
    <w:lvl w:ilvl="0" w:tplc="22E0784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A417D63"/>
    <w:multiLevelType w:val="hybridMultilevel"/>
    <w:tmpl w:val="0C0A467A"/>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4391458D"/>
    <w:multiLevelType w:val="hybridMultilevel"/>
    <w:tmpl w:val="314A5658"/>
    <w:lvl w:ilvl="0" w:tplc="F4A4BAA0">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CE64734"/>
    <w:multiLevelType w:val="hybridMultilevel"/>
    <w:tmpl w:val="575CBF90"/>
    <w:lvl w:ilvl="0" w:tplc="5D586A5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05C0FB0"/>
    <w:multiLevelType w:val="hybridMultilevel"/>
    <w:tmpl w:val="9530C9C8"/>
    <w:lvl w:ilvl="0" w:tplc="B594A3DA">
      <w:start w:val="1"/>
      <w:numFmt w:val="decimal"/>
      <w:lvlText w:val="%1)"/>
      <w:lvlJc w:val="left"/>
      <w:pPr>
        <w:ind w:left="303" w:hanging="360"/>
      </w:pPr>
      <w:rPr>
        <w:rFonts w:eastAsiaTheme="minorEastAsia"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15:restartNumberingAfterBreak="0">
    <w:nsid w:val="518C23E5"/>
    <w:multiLevelType w:val="hybridMultilevel"/>
    <w:tmpl w:val="3B6C2EF8"/>
    <w:lvl w:ilvl="0" w:tplc="2564B7F8">
      <w:start w:val="1"/>
      <w:numFmt w:val="decimal"/>
      <w:lvlText w:val="%1)"/>
      <w:lvlJc w:val="left"/>
      <w:pPr>
        <w:ind w:left="921" w:hanging="360"/>
      </w:pPr>
      <w:rPr>
        <w:rFonts w:hint="default"/>
      </w:rPr>
    </w:lvl>
    <w:lvl w:ilvl="1" w:tplc="04220019" w:tentative="1">
      <w:start w:val="1"/>
      <w:numFmt w:val="lowerLetter"/>
      <w:lvlText w:val="%2."/>
      <w:lvlJc w:val="left"/>
      <w:pPr>
        <w:ind w:left="1641" w:hanging="360"/>
      </w:pPr>
    </w:lvl>
    <w:lvl w:ilvl="2" w:tplc="0422001B" w:tentative="1">
      <w:start w:val="1"/>
      <w:numFmt w:val="lowerRoman"/>
      <w:lvlText w:val="%3."/>
      <w:lvlJc w:val="right"/>
      <w:pPr>
        <w:ind w:left="2361" w:hanging="180"/>
      </w:pPr>
    </w:lvl>
    <w:lvl w:ilvl="3" w:tplc="0422000F" w:tentative="1">
      <w:start w:val="1"/>
      <w:numFmt w:val="decimal"/>
      <w:lvlText w:val="%4."/>
      <w:lvlJc w:val="left"/>
      <w:pPr>
        <w:ind w:left="3081" w:hanging="360"/>
      </w:pPr>
    </w:lvl>
    <w:lvl w:ilvl="4" w:tplc="04220019" w:tentative="1">
      <w:start w:val="1"/>
      <w:numFmt w:val="lowerLetter"/>
      <w:lvlText w:val="%5."/>
      <w:lvlJc w:val="left"/>
      <w:pPr>
        <w:ind w:left="3801" w:hanging="360"/>
      </w:pPr>
    </w:lvl>
    <w:lvl w:ilvl="5" w:tplc="0422001B" w:tentative="1">
      <w:start w:val="1"/>
      <w:numFmt w:val="lowerRoman"/>
      <w:lvlText w:val="%6."/>
      <w:lvlJc w:val="right"/>
      <w:pPr>
        <w:ind w:left="4521" w:hanging="180"/>
      </w:pPr>
    </w:lvl>
    <w:lvl w:ilvl="6" w:tplc="0422000F" w:tentative="1">
      <w:start w:val="1"/>
      <w:numFmt w:val="decimal"/>
      <w:lvlText w:val="%7."/>
      <w:lvlJc w:val="left"/>
      <w:pPr>
        <w:ind w:left="5241" w:hanging="360"/>
      </w:pPr>
    </w:lvl>
    <w:lvl w:ilvl="7" w:tplc="04220019" w:tentative="1">
      <w:start w:val="1"/>
      <w:numFmt w:val="lowerLetter"/>
      <w:lvlText w:val="%8."/>
      <w:lvlJc w:val="left"/>
      <w:pPr>
        <w:ind w:left="5961" w:hanging="360"/>
      </w:pPr>
    </w:lvl>
    <w:lvl w:ilvl="8" w:tplc="0422001B" w:tentative="1">
      <w:start w:val="1"/>
      <w:numFmt w:val="lowerRoman"/>
      <w:lvlText w:val="%9."/>
      <w:lvlJc w:val="right"/>
      <w:pPr>
        <w:ind w:left="6681" w:hanging="180"/>
      </w:pPr>
    </w:lvl>
  </w:abstractNum>
  <w:abstractNum w:abstractNumId="8" w15:restartNumberingAfterBreak="0">
    <w:nsid w:val="54785806"/>
    <w:multiLevelType w:val="hybridMultilevel"/>
    <w:tmpl w:val="AFFCD910"/>
    <w:lvl w:ilvl="0" w:tplc="E47A97C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67CC454C"/>
    <w:multiLevelType w:val="hybridMultilevel"/>
    <w:tmpl w:val="EE0A95C6"/>
    <w:lvl w:ilvl="0" w:tplc="C8248222">
      <w:start w:val="1"/>
      <w:numFmt w:val="decimal"/>
      <w:lvlText w:val="%1)"/>
      <w:lvlJc w:val="left"/>
      <w:pPr>
        <w:ind w:left="4472" w:hanging="360"/>
      </w:pPr>
      <w:rPr>
        <w:rFonts w:hint="default"/>
      </w:rPr>
    </w:lvl>
    <w:lvl w:ilvl="1" w:tplc="04220019" w:tentative="1">
      <w:start w:val="1"/>
      <w:numFmt w:val="lowerLetter"/>
      <w:lvlText w:val="%2."/>
      <w:lvlJc w:val="left"/>
      <w:pPr>
        <w:ind w:left="5192" w:hanging="360"/>
      </w:pPr>
    </w:lvl>
    <w:lvl w:ilvl="2" w:tplc="0422001B" w:tentative="1">
      <w:start w:val="1"/>
      <w:numFmt w:val="lowerRoman"/>
      <w:lvlText w:val="%3."/>
      <w:lvlJc w:val="right"/>
      <w:pPr>
        <w:ind w:left="5912" w:hanging="180"/>
      </w:pPr>
    </w:lvl>
    <w:lvl w:ilvl="3" w:tplc="0422000F" w:tentative="1">
      <w:start w:val="1"/>
      <w:numFmt w:val="decimal"/>
      <w:lvlText w:val="%4."/>
      <w:lvlJc w:val="left"/>
      <w:pPr>
        <w:ind w:left="6632" w:hanging="360"/>
      </w:pPr>
    </w:lvl>
    <w:lvl w:ilvl="4" w:tplc="04220019" w:tentative="1">
      <w:start w:val="1"/>
      <w:numFmt w:val="lowerLetter"/>
      <w:lvlText w:val="%5."/>
      <w:lvlJc w:val="left"/>
      <w:pPr>
        <w:ind w:left="7352" w:hanging="360"/>
      </w:pPr>
    </w:lvl>
    <w:lvl w:ilvl="5" w:tplc="0422001B" w:tentative="1">
      <w:start w:val="1"/>
      <w:numFmt w:val="lowerRoman"/>
      <w:lvlText w:val="%6."/>
      <w:lvlJc w:val="right"/>
      <w:pPr>
        <w:ind w:left="8072" w:hanging="180"/>
      </w:pPr>
    </w:lvl>
    <w:lvl w:ilvl="6" w:tplc="0422000F" w:tentative="1">
      <w:start w:val="1"/>
      <w:numFmt w:val="decimal"/>
      <w:lvlText w:val="%7."/>
      <w:lvlJc w:val="left"/>
      <w:pPr>
        <w:ind w:left="8792" w:hanging="360"/>
      </w:pPr>
    </w:lvl>
    <w:lvl w:ilvl="7" w:tplc="04220019" w:tentative="1">
      <w:start w:val="1"/>
      <w:numFmt w:val="lowerLetter"/>
      <w:lvlText w:val="%8."/>
      <w:lvlJc w:val="left"/>
      <w:pPr>
        <w:ind w:left="9512" w:hanging="360"/>
      </w:pPr>
    </w:lvl>
    <w:lvl w:ilvl="8" w:tplc="0422001B" w:tentative="1">
      <w:start w:val="1"/>
      <w:numFmt w:val="lowerRoman"/>
      <w:lvlText w:val="%9."/>
      <w:lvlJc w:val="right"/>
      <w:pPr>
        <w:ind w:left="10232" w:hanging="180"/>
      </w:pPr>
    </w:lvl>
  </w:abstractNum>
  <w:abstractNum w:abstractNumId="10" w15:restartNumberingAfterBreak="0">
    <w:nsid w:val="6CF950C5"/>
    <w:multiLevelType w:val="hybridMultilevel"/>
    <w:tmpl w:val="CAB0369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9"/>
  </w:num>
  <w:num w:numId="3">
    <w:abstractNumId w:val="5"/>
  </w:num>
  <w:num w:numId="4">
    <w:abstractNumId w:val="8"/>
  </w:num>
  <w:num w:numId="5">
    <w:abstractNumId w:val="2"/>
  </w:num>
  <w:num w:numId="6">
    <w:abstractNumId w:val="1"/>
  </w:num>
  <w:num w:numId="7">
    <w:abstractNumId w:val="4"/>
  </w:num>
  <w:num w:numId="8">
    <w:abstractNumId w:val="0"/>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BC"/>
    <w:rsid w:val="0000298F"/>
    <w:rsid w:val="000064FA"/>
    <w:rsid w:val="00012700"/>
    <w:rsid w:val="00015FDE"/>
    <w:rsid w:val="00016403"/>
    <w:rsid w:val="000167F8"/>
    <w:rsid w:val="00020050"/>
    <w:rsid w:val="000250C2"/>
    <w:rsid w:val="000271EF"/>
    <w:rsid w:val="00027866"/>
    <w:rsid w:val="00031B3F"/>
    <w:rsid w:val="000348D7"/>
    <w:rsid w:val="000378F7"/>
    <w:rsid w:val="0003793C"/>
    <w:rsid w:val="00040D1D"/>
    <w:rsid w:val="000506D8"/>
    <w:rsid w:val="00051061"/>
    <w:rsid w:val="00051B86"/>
    <w:rsid w:val="000540D0"/>
    <w:rsid w:val="000625DA"/>
    <w:rsid w:val="00063480"/>
    <w:rsid w:val="000713E8"/>
    <w:rsid w:val="00073BB8"/>
    <w:rsid w:val="00077D91"/>
    <w:rsid w:val="00082608"/>
    <w:rsid w:val="00083B1B"/>
    <w:rsid w:val="00083D99"/>
    <w:rsid w:val="0008574D"/>
    <w:rsid w:val="00094A37"/>
    <w:rsid w:val="00096307"/>
    <w:rsid w:val="00097B89"/>
    <w:rsid w:val="000A5DF6"/>
    <w:rsid w:val="000A6361"/>
    <w:rsid w:val="000A66E1"/>
    <w:rsid w:val="000A7714"/>
    <w:rsid w:val="000B2990"/>
    <w:rsid w:val="000B301B"/>
    <w:rsid w:val="000B32D1"/>
    <w:rsid w:val="000B359E"/>
    <w:rsid w:val="000B40A4"/>
    <w:rsid w:val="000B5ADB"/>
    <w:rsid w:val="000B5D48"/>
    <w:rsid w:val="000B6F48"/>
    <w:rsid w:val="000C3F58"/>
    <w:rsid w:val="000C6B23"/>
    <w:rsid w:val="000D20CF"/>
    <w:rsid w:val="000D2A7B"/>
    <w:rsid w:val="000D44E2"/>
    <w:rsid w:val="000D49DD"/>
    <w:rsid w:val="000D741A"/>
    <w:rsid w:val="000D75F7"/>
    <w:rsid w:val="000E0539"/>
    <w:rsid w:val="000E37FB"/>
    <w:rsid w:val="000E4B44"/>
    <w:rsid w:val="000E62F1"/>
    <w:rsid w:val="000E700F"/>
    <w:rsid w:val="000F095E"/>
    <w:rsid w:val="000F1244"/>
    <w:rsid w:val="000F170A"/>
    <w:rsid w:val="00100163"/>
    <w:rsid w:val="001025EF"/>
    <w:rsid w:val="00102C1C"/>
    <w:rsid w:val="0010560C"/>
    <w:rsid w:val="001068E6"/>
    <w:rsid w:val="001156EA"/>
    <w:rsid w:val="0011711E"/>
    <w:rsid w:val="00120F01"/>
    <w:rsid w:val="001259E7"/>
    <w:rsid w:val="0012625D"/>
    <w:rsid w:val="00126641"/>
    <w:rsid w:val="00131976"/>
    <w:rsid w:val="00131CAE"/>
    <w:rsid w:val="0013432A"/>
    <w:rsid w:val="00137A9F"/>
    <w:rsid w:val="00137FAB"/>
    <w:rsid w:val="00141852"/>
    <w:rsid w:val="0014455D"/>
    <w:rsid w:val="001449A7"/>
    <w:rsid w:val="00154551"/>
    <w:rsid w:val="001568CD"/>
    <w:rsid w:val="00161EE5"/>
    <w:rsid w:val="0016336C"/>
    <w:rsid w:val="001652CD"/>
    <w:rsid w:val="00166595"/>
    <w:rsid w:val="001672F3"/>
    <w:rsid w:val="00170792"/>
    <w:rsid w:val="00171153"/>
    <w:rsid w:val="00173036"/>
    <w:rsid w:val="001740C0"/>
    <w:rsid w:val="00175E71"/>
    <w:rsid w:val="0018462C"/>
    <w:rsid w:val="00186CD2"/>
    <w:rsid w:val="00190E1A"/>
    <w:rsid w:val="00192423"/>
    <w:rsid w:val="00193581"/>
    <w:rsid w:val="00193608"/>
    <w:rsid w:val="00195C0F"/>
    <w:rsid w:val="001A08FF"/>
    <w:rsid w:val="001A16FA"/>
    <w:rsid w:val="001A42D2"/>
    <w:rsid w:val="001A5154"/>
    <w:rsid w:val="001B4ADE"/>
    <w:rsid w:val="001B4FA9"/>
    <w:rsid w:val="001B7551"/>
    <w:rsid w:val="001B7B51"/>
    <w:rsid w:val="001C4228"/>
    <w:rsid w:val="001D3943"/>
    <w:rsid w:val="001D3A55"/>
    <w:rsid w:val="001D487A"/>
    <w:rsid w:val="001D5B43"/>
    <w:rsid w:val="001E24E5"/>
    <w:rsid w:val="001E2732"/>
    <w:rsid w:val="001E4DBA"/>
    <w:rsid w:val="001E5DB4"/>
    <w:rsid w:val="001E6435"/>
    <w:rsid w:val="001F15B7"/>
    <w:rsid w:val="001F45AC"/>
    <w:rsid w:val="001F5346"/>
    <w:rsid w:val="001F591C"/>
    <w:rsid w:val="001F5B3C"/>
    <w:rsid w:val="001F64D4"/>
    <w:rsid w:val="001F6E0C"/>
    <w:rsid w:val="001F71E8"/>
    <w:rsid w:val="00201F40"/>
    <w:rsid w:val="00201F45"/>
    <w:rsid w:val="00203BCF"/>
    <w:rsid w:val="00204F22"/>
    <w:rsid w:val="00204F53"/>
    <w:rsid w:val="00205F8D"/>
    <w:rsid w:val="002068D4"/>
    <w:rsid w:val="00206A8B"/>
    <w:rsid w:val="00207DA9"/>
    <w:rsid w:val="0021183E"/>
    <w:rsid w:val="00211FF9"/>
    <w:rsid w:val="0021268A"/>
    <w:rsid w:val="002140E9"/>
    <w:rsid w:val="002153E8"/>
    <w:rsid w:val="00217F71"/>
    <w:rsid w:val="0022213A"/>
    <w:rsid w:val="002242EE"/>
    <w:rsid w:val="0022492A"/>
    <w:rsid w:val="002255AC"/>
    <w:rsid w:val="002276DE"/>
    <w:rsid w:val="00230103"/>
    <w:rsid w:val="002316F1"/>
    <w:rsid w:val="00233146"/>
    <w:rsid w:val="00235F8A"/>
    <w:rsid w:val="0023651D"/>
    <w:rsid w:val="00240F5A"/>
    <w:rsid w:val="00241373"/>
    <w:rsid w:val="002453A3"/>
    <w:rsid w:val="00246001"/>
    <w:rsid w:val="00253BF9"/>
    <w:rsid w:val="002552EF"/>
    <w:rsid w:val="00257FAC"/>
    <w:rsid w:val="00263A8A"/>
    <w:rsid w:val="00263E7B"/>
    <w:rsid w:val="00264983"/>
    <w:rsid w:val="00265AB3"/>
    <w:rsid w:val="00265BAE"/>
    <w:rsid w:val="00272B80"/>
    <w:rsid w:val="00273DFD"/>
    <w:rsid w:val="00277ED8"/>
    <w:rsid w:val="00280769"/>
    <w:rsid w:val="00282A87"/>
    <w:rsid w:val="00283495"/>
    <w:rsid w:val="002834DB"/>
    <w:rsid w:val="00284661"/>
    <w:rsid w:val="002846E4"/>
    <w:rsid w:val="0028508B"/>
    <w:rsid w:val="00291AC1"/>
    <w:rsid w:val="00291C03"/>
    <w:rsid w:val="002941A0"/>
    <w:rsid w:val="002A01FA"/>
    <w:rsid w:val="002A0A1A"/>
    <w:rsid w:val="002A172E"/>
    <w:rsid w:val="002A50AA"/>
    <w:rsid w:val="002A7DE0"/>
    <w:rsid w:val="002A7E86"/>
    <w:rsid w:val="002C53E7"/>
    <w:rsid w:val="002C5669"/>
    <w:rsid w:val="002C677D"/>
    <w:rsid w:val="002C7B4D"/>
    <w:rsid w:val="002D171B"/>
    <w:rsid w:val="002D1790"/>
    <w:rsid w:val="002D43B2"/>
    <w:rsid w:val="002D44B5"/>
    <w:rsid w:val="002D5205"/>
    <w:rsid w:val="002D52F9"/>
    <w:rsid w:val="002D5762"/>
    <w:rsid w:val="002D60C1"/>
    <w:rsid w:val="002E023A"/>
    <w:rsid w:val="002E23EA"/>
    <w:rsid w:val="002E2FAA"/>
    <w:rsid w:val="002E5196"/>
    <w:rsid w:val="002F33F0"/>
    <w:rsid w:val="002F3929"/>
    <w:rsid w:val="002F3ABF"/>
    <w:rsid w:val="002F660B"/>
    <w:rsid w:val="00302B2C"/>
    <w:rsid w:val="00302C2D"/>
    <w:rsid w:val="00303144"/>
    <w:rsid w:val="003034CD"/>
    <w:rsid w:val="0031386A"/>
    <w:rsid w:val="00314365"/>
    <w:rsid w:val="0031505F"/>
    <w:rsid w:val="00315250"/>
    <w:rsid w:val="00323602"/>
    <w:rsid w:val="00330674"/>
    <w:rsid w:val="0033133D"/>
    <w:rsid w:val="00331854"/>
    <w:rsid w:val="00334A2E"/>
    <w:rsid w:val="00335772"/>
    <w:rsid w:val="00335C14"/>
    <w:rsid w:val="00337623"/>
    <w:rsid w:val="003427AB"/>
    <w:rsid w:val="00342EE4"/>
    <w:rsid w:val="003433B8"/>
    <w:rsid w:val="0034344B"/>
    <w:rsid w:val="003449B0"/>
    <w:rsid w:val="003468EC"/>
    <w:rsid w:val="00352E5F"/>
    <w:rsid w:val="0035388E"/>
    <w:rsid w:val="00356E34"/>
    <w:rsid w:val="00357676"/>
    <w:rsid w:val="0036393B"/>
    <w:rsid w:val="00364833"/>
    <w:rsid w:val="003649F8"/>
    <w:rsid w:val="003661DC"/>
    <w:rsid w:val="00371783"/>
    <w:rsid w:val="00372006"/>
    <w:rsid w:val="003762C9"/>
    <w:rsid w:val="00376F33"/>
    <w:rsid w:val="00377AD1"/>
    <w:rsid w:val="0038167B"/>
    <w:rsid w:val="003818D1"/>
    <w:rsid w:val="003826C6"/>
    <w:rsid w:val="00382AC6"/>
    <w:rsid w:val="0038385E"/>
    <w:rsid w:val="00385AA3"/>
    <w:rsid w:val="0039775B"/>
    <w:rsid w:val="003978F9"/>
    <w:rsid w:val="003A1125"/>
    <w:rsid w:val="003A383B"/>
    <w:rsid w:val="003A404C"/>
    <w:rsid w:val="003A5BEC"/>
    <w:rsid w:val="003A5F45"/>
    <w:rsid w:val="003A72EC"/>
    <w:rsid w:val="003B0B5D"/>
    <w:rsid w:val="003B4F96"/>
    <w:rsid w:val="003C3282"/>
    <w:rsid w:val="003C3985"/>
    <w:rsid w:val="003C421E"/>
    <w:rsid w:val="003C4263"/>
    <w:rsid w:val="003C4973"/>
    <w:rsid w:val="003C571C"/>
    <w:rsid w:val="003C7337"/>
    <w:rsid w:val="003D19A3"/>
    <w:rsid w:val="003D1F12"/>
    <w:rsid w:val="003D2BEF"/>
    <w:rsid w:val="003D3B59"/>
    <w:rsid w:val="003D4BE8"/>
    <w:rsid w:val="003E05C4"/>
    <w:rsid w:val="003E0AEE"/>
    <w:rsid w:val="003E3A07"/>
    <w:rsid w:val="003E4CB1"/>
    <w:rsid w:val="003E6844"/>
    <w:rsid w:val="003E703A"/>
    <w:rsid w:val="003F1C4E"/>
    <w:rsid w:val="003F4317"/>
    <w:rsid w:val="003F4350"/>
    <w:rsid w:val="003F53C7"/>
    <w:rsid w:val="003F6816"/>
    <w:rsid w:val="003F6D11"/>
    <w:rsid w:val="003F7A48"/>
    <w:rsid w:val="0040128E"/>
    <w:rsid w:val="004014CE"/>
    <w:rsid w:val="00401EDB"/>
    <w:rsid w:val="004049D3"/>
    <w:rsid w:val="00404C93"/>
    <w:rsid w:val="00405297"/>
    <w:rsid w:val="00407877"/>
    <w:rsid w:val="004107F5"/>
    <w:rsid w:val="00410EC0"/>
    <w:rsid w:val="00410FA1"/>
    <w:rsid w:val="0041304D"/>
    <w:rsid w:val="00415B55"/>
    <w:rsid w:val="0042088A"/>
    <w:rsid w:val="00425E94"/>
    <w:rsid w:val="004318B3"/>
    <w:rsid w:val="00431F47"/>
    <w:rsid w:val="004325EF"/>
    <w:rsid w:val="00434771"/>
    <w:rsid w:val="00437C3B"/>
    <w:rsid w:val="004414F7"/>
    <w:rsid w:val="0044371F"/>
    <w:rsid w:val="004449D8"/>
    <w:rsid w:val="00445035"/>
    <w:rsid w:val="004454BF"/>
    <w:rsid w:val="00453277"/>
    <w:rsid w:val="00455B45"/>
    <w:rsid w:val="0045778A"/>
    <w:rsid w:val="00457C93"/>
    <w:rsid w:val="004603CA"/>
    <w:rsid w:val="00462126"/>
    <w:rsid w:val="004667E1"/>
    <w:rsid w:val="00467BB3"/>
    <w:rsid w:val="00470F42"/>
    <w:rsid w:val="00472B85"/>
    <w:rsid w:val="00472E7B"/>
    <w:rsid w:val="00475BDD"/>
    <w:rsid w:val="00480537"/>
    <w:rsid w:val="0048147D"/>
    <w:rsid w:val="00481583"/>
    <w:rsid w:val="00484152"/>
    <w:rsid w:val="0048437F"/>
    <w:rsid w:val="00490B91"/>
    <w:rsid w:val="00494BE0"/>
    <w:rsid w:val="004A0BD5"/>
    <w:rsid w:val="004A1D6C"/>
    <w:rsid w:val="004A3E2B"/>
    <w:rsid w:val="004A7F75"/>
    <w:rsid w:val="004B2526"/>
    <w:rsid w:val="004B26B9"/>
    <w:rsid w:val="004B3A8E"/>
    <w:rsid w:val="004B4733"/>
    <w:rsid w:val="004C2EE5"/>
    <w:rsid w:val="004C3A72"/>
    <w:rsid w:val="004C6209"/>
    <w:rsid w:val="004C741B"/>
    <w:rsid w:val="004D1258"/>
    <w:rsid w:val="004D2976"/>
    <w:rsid w:val="004D3DD9"/>
    <w:rsid w:val="004D43CE"/>
    <w:rsid w:val="004D5475"/>
    <w:rsid w:val="004D7E2E"/>
    <w:rsid w:val="004E0515"/>
    <w:rsid w:val="004E22E2"/>
    <w:rsid w:val="004E3547"/>
    <w:rsid w:val="004F347B"/>
    <w:rsid w:val="004F49B7"/>
    <w:rsid w:val="004F595A"/>
    <w:rsid w:val="004F5AE4"/>
    <w:rsid w:val="004F60A3"/>
    <w:rsid w:val="004F62FC"/>
    <w:rsid w:val="004F6770"/>
    <w:rsid w:val="00501BDA"/>
    <w:rsid w:val="00501EB6"/>
    <w:rsid w:val="00503C49"/>
    <w:rsid w:val="00503E98"/>
    <w:rsid w:val="00511220"/>
    <w:rsid w:val="0051196C"/>
    <w:rsid w:val="00511ADF"/>
    <w:rsid w:val="005169C3"/>
    <w:rsid w:val="00517BAF"/>
    <w:rsid w:val="00522207"/>
    <w:rsid w:val="00523C13"/>
    <w:rsid w:val="005257C2"/>
    <w:rsid w:val="005322F8"/>
    <w:rsid w:val="00534006"/>
    <w:rsid w:val="00540210"/>
    <w:rsid w:val="00542533"/>
    <w:rsid w:val="00542804"/>
    <w:rsid w:val="0055230B"/>
    <w:rsid w:val="00552481"/>
    <w:rsid w:val="005536B1"/>
    <w:rsid w:val="005537EC"/>
    <w:rsid w:val="00554E92"/>
    <w:rsid w:val="005624B6"/>
    <w:rsid w:val="00563A19"/>
    <w:rsid w:val="00563AC1"/>
    <w:rsid w:val="0056537B"/>
    <w:rsid w:val="00566BA2"/>
    <w:rsid w:val="0057237F"/>
    <w:rsid w:val="005727A2"/>
    <w:rsid w:val="00574189"/>
    <w:rsid w:val="00577402"/>
    <w:rsid w:val="00577BE4"/>
    <w:rsid w:val="00584735"/>
    <w:rsid w:val="00591298"/>
    <w:rsid w:val="0059530C"/>
    <w:rsid w:val="00595417"/>
    <w:rsid w:val="005A02D3"/>
    <w:rsid w:val="005A0D8B"/>
    <w:rsid w:val="005A0F4B"/>
    <w:rsid w:val="005A1D3C"/>
    <w:rsid w:val="005A2BBA"/>
    <w:rsid w:val="005A3F34"/>
    <w:rsid w:val="005A53F4"/>
    <w:rsid w:val="005A6B99"/>
    <w:rsid w:val="005A71B2"/>
    <w:rsid w:val="005B0CFE"/>
    <w:rsid w:val="005B1873"/>
    <w:rsid w:val="005B2D03"/>
    <w:rsid w:val="005B556F"/>
    <w:rsid w:val="005B6E27"/>
    <w:rsid w:val="005B7CEE"/>
    <w:rsid w:val="005C5CBF"/>
    <w:rsid w:val="005C7E26"/>
    <w:rsid w:val="005D1044"/>
    <w:rsid w:val="005D18DB"/>
    <w:rsid w:val="005D2F3D"/>
    <w:rsid w:val="005D72E0"/>
    <w:rsid w:val="005E14EE"/>
    <w:rsid w:val="005E36A0"/>
    <w:rsid w:val="005E5E27"/>
    <w:rsid w:val="005F1990"/>
    <w:rsid w:val="005F1A95"/>
    <w:rsid w:val="005F4659"/>
    <w:rsid w:val="005F6418"/>
    <w:rsid w:val="00604997"/>
    <w:rsid w:val="00610F11"/>
    <w:rsid w:val="00613D8C"/>
    <w:rsid w:val="0061599B"/>
    <w:rsid w:val="0061791C"/>
    <w:rsid w:val="00622AB7"/>
    <w:rsid w:val="0063071E"/>
    <w:rsid w:val="00630A5D"/>
    <w:rsid w:val="0063182F"/>
    <w:rsid w:val="00631BAF"/>
    <w:rsid w:val="0063271C"/>
    <w:rsid w:val="006354D4"/>
    <w:rsid w:val="00636D30"/>
    <w:rsid w:val="00640612"/>
    <w:rsid w:val="006421F5"/>
    <w:rsid w:val="00643FD6"/>
    <w:rsid w:val="006461A2"/>
    <w:rsid w:val="00646306"/>
    <w:rsid w:val="00651588"/>
    <w:rsid w:val="00653558"/>
    <w:rsid w:val="00655864"/>
    <w:rsid w:val="00665372"/>
    <w:rsid w:val="00666B37"/>
    <w:rsid w:val="006707E7"/>
    <w:rsid w:val="00670C95"/>
    <w:rsid w:val="00672D8A"/>
    <w:rsid w:val="00675815"/>
    <w:rsid w:val="006805E6"/>
    <w:rsid w:val="00681460"/>
    <w:rsid w:val="006839D9"/>
    <w:rsid w:val="00684225"/>
    <w:rsid w:val="00686524"/>
    <w:rsid w:val="00686F23"/>
    <w:rsid w:val="006871CD"/>
    <w:rsid w:val="006A0199"/>
    <w:rsid w:val="006A0AE1"/>
    <w:rsid w:val="006A2316"/>
    <w:rsid w:val="006A52ED"/>
    <w:rsid w:val="006A766F"/>
    <w:rsid w:val="006A7686"/>
    <w:rsid w:val="006B2748"/>
    <w:rsid w:val="006B586B"/>
    <w:rsid w:val="006B6237"/>
    <w:rsid w:val="006B6245"/>
    <w:rsid w:val="006B6FA3"/>
    <w:rsid w:val="006C4176"/>
    <w:rsid w:val="006C62B2"/>
    <w:rsid w:val="006C66EF"/>
    <w:rsid w:val="006D0A3D"/>
    <w:rsid w:val="006D1C23"/>
    <w:rsid w:val="006D2617"/>
    <w:rsid w:val="006D28BB"/>
    <w:rsid w:val="006D3E06"/>
    <w:rsid w:val="006D3ED7"/>
    <w:rsid w:val="006E2386"/>
    <w:rsid w:val="006E2DC5"/>
    <w:rsid w:val="006E47C1"/>
    <w:rsid w:val="006E5E71"/>
    <w:rsid w:val="006E784C"/>
    <w:rsid w:val="006F040C"/>
    <w:rsid w:val="006F0E78"/>
    <w:rsid w:val="006F3CFB"/>
    <w:rsid w:val="00700240"/>
    <w:rsid w:val="0070152E"/>
    <w:rsid w:val="00702896"/>
    <w:rsid w:val="007036DD"/>
    <w:rsid w:val="00704476"/>
    <w:rsid w:val="0071040F"/>
    <w:rsid w:val="00713649"/>
    <w:rsid w:val="00715761"/>
    <w:rsid w:val="00717770"/>
    <w:rsid w:val="0071789F"/>
    <w:rsid w:val="00721334"/>
    <w:rsid w:val="00721714"/>
    <w:rsid w:val="007228DF"/>
    <w:rsid w:val="0072427E"/>
    <w:rsid w:val="007261A3"/>
    <w:rsid w:val="00726527"/>
    <w:rsid w:val="00734038"/>
    <w:rsid w:val="00736D43"/>
    <w:rsid w:val="007476B2"/>
    <w:rsid w:val="00747E55"/>
    <w:rsid w:val="00750363"/>
    <w:rsid w:val="00751204"/>
    <w:rsid w:val="00760A44"/>
    <w:rsid w:val="00761F61"/>
    <w:rsid w:val="00766D4B"/>
    <w:rsid w:val="00767B84"/>
    <w:rsid w:val="00772EA4"/>
    <w:rsid w:val="00773524"/>
    <w:rsid w:val="0077464C"/>
    <w:rsid w:val="007802D9"/>
    <w:rsid w:val="007812AE"/>
    <w:rsid w:val="00783AF2"/>
    <w:rsid w:val="0078412C"/>
    <w:rsid w:val="00784A94"/>
    <w:rsid w:val="00790436"/>
    <w:rsid w:val="00790D2B"/>
    <w:rsid w:val="00791ADA"/>
    <w:rsid w:val="0079324A"/>
    <w:rsid w:val="007949E9"/>
    <w:rsid w:val="00794A29"/>
    <w:rsid w:val="00795991"/>
    <w:rsid w:val="007A038B"/>
    <w:rsid w:val="007A1BC8"/>
    <w:rsid w:val="007A2257"/>
    <w:rsid w:val="007A5AE7"/>
    <w:rsid w:val="007A6609"/>
    <w:rsid w:val="007B1318"/>
    <w:rsid w:val="007B2380"/>
    <w:rsid w:val="007B3149"/>
    <w:rsid w:val="007B5044"/>
    <w:rsid w:val="007B50B5"/>
    <w:rsid w:val="007B6B60"/>
    <w:rsid w:val="007C18E8"/>
    <w:rsid w:val="007D3C4A"/>
    <w:rsid w:val="007E1CAC"/>
    <w:rsid w:val="007E2E2F"/>
    <w:rsid w:val="007E7787"/>
    <w:rsid w:val="007F24D1"/>
    <w:rsid w:val="007F4D59"/>
    <w:rsid w:val="007F514C"/>
    <w:rsid w:val="007F53D4"/>
    <w:rsid w:val="007F6015"/>
    <w:rsid w:val="007F70E0"/>
    <w:rsid w:val="008007E3"/>
    <w:rsid w:val="00800CA0"/>
    <w:rsid w:val="00802988"/>
    <w:rsid w:val="00807E90"/>
    <w:rsid w:val="008135AE"/>
    <w:rsid w:val="008137F7"/>
    <w:rsid w:val="00814CE3"/>
    <w:rsid w:val="00817426"/>
    <w:rsid w:val="0082380B"/>
    <w:rsid w:val="00826129"/>
    <w:rsid w:val="00826511"/>
    <w:rsid w:val="00827300"/>
    <w:rsid w:val="008339FF"/>
    <w:rsid w:val="00834346"/>
    <w:rsid w:val="008373FD"/>
    <w:rsid w:val="00841D10"/>
    <w:rsid w:val="00841DB3"/>
    <w:rsid w:val="00850873"/>
    <w:rsid w:val="00850F68"/>
    <w:rsid w:val="008555CA"/>
    <w:rsid w:val="008555F9"/>
    <w:rsid w:val="00856161"/>
    <w:rsid w:val="008627C7"/>
    <w:rsid w:val="00865D53"/>
    <w:rsid w:val="00866993"/>
    <w:rsid w:val="00872718"/>
    <w:rsid w:val="00874366"/>
    <w:rsid w:val="00874382"/>
    <w:rsid w:val="0088060D"/>
    <w:rsid w:val="00880CA1"/>
    <w:rsid w:val="00880F8F"/>
    <w:rsid w:val="00891CFD"/>
    <w:rsid w:val="00893AE7"/>
    <w:rsid w:val="00893D43"/>
    <w:rsid w:val="00896666"/>
    <w:rsid w:val="008A58E9"/>
    <w:rsid w:val="008A699B"/>
    <w:rsid w:val="008A704D"/>
    <w:rsid w:val="008B014D"/>
    <w:rsid w:val="008B164A"/>
    <w:rsid w:val="008B3670"/>
    <w:rsid w:val="008B598C"/>
    <w:rsid w:val="008C2498"/>
    <w:rsid w:val="008C2E47"/>
    <w:rsid w:val="008D0455"/>
    <w:rsid w:val="008D0AFE"/>
    <w:rsid w:val="008D10FD"/>
    <w:rsid w:val="008D122F"/>
    <w:rsid w:val="008D3601"/>
    <w:rsid w:val="008D521C"/>
    <w:rsid w:val="008D5960"/>
    <w:rsid w:val="008D66B3"/>
    <w:rsid w:val="008D6FBF"/>
    <w:rsid w:val="008E2D78"/>
    <w:rsid w:val="008E6349"/>
    <w:rsid w:val="008F01C1"/>
    <w:rsid w:val="008F211C"/>
    <w:rsid w:val="008F4515"/>
    <w:rsid w:val="00904F17"/>
    <w:rsid w:val="00905830"/>
    <w:rsid w:val="00905D87"/>
    <w:rsid w:val="009060C9"/>
    <w:rsid w:val="00906F9A"/>
    <w:rsid w:val="009155C6"/>
    <w:rsid w:val="00916DC6"/>
    <w:rsid w:val="00920DF6"/>
    <w:rsid w:val="00922595"/>
    <w:rsid w:val="0093111F"/>
    <w:rsid w:val="00932683"/>
    <w:rsid w:val="00937B8E"/>
    <w:rsid w:val="00941EC0"/>
    <w:rsid w:val="00943056"/>
    <w:rsid w:val="009447E7"/>
    <w:rsid w:val="009547BB"/>
    <w:rsid w:val="00961672"/>
    <w:rsid w:val="00963CA3"/>
    <w:rsid w:val="00964881"/>
    <w:rsid w:val="0096659D"/>
    <w:rsid w:val="009670D9"/>
    <w:rsid w:val="00967B97"/>
    <w:rsid w:val="0097288F"/>
    <w:rsid w:val="00974325"/>
    <w:rsid w:val="00984B02"/>
    <w:rsid w:val="00987197"/>
    <w:rsid w:val="009943E9"/>
    <w:rsid w:val="00994CD4"/>
    <w:rsid w:val="00995A8D"/>
    <w:rsid w:val="00997524"/>
    <w:rsid w:val="009A4DE6"/>
    <w:rsid w:val="009A72D8"/>
    <w:rsid w:val="009B1631"/>
    <w:rsid w:val="009C717F"/>
    <w:rsid w:val="009C72F0"/>
    <w:rsid w:val="009D256B"/>
    <w:rsid w:val="009D4348"/>
    <w:rsid w:val="009D6828"/>
    <w:rsid w:val="009D6D44"/>
    <w:rsid w:val="009E01C3"/>
    <w:rsid w:val="009E0703"/>
    <w:rsid w:val="009E4D61"/>
    <w:rsid w:val="009E5D31"/>
    <w:rsid w:val="009E689C"/>
    <w:rsid w:val="009E75D3"/>
    <w:rsid w:val="009F118E"/>
    <w:rsid w:val="009F2132"/>
    <w:rsid w:val="009F3101"/>
    <w:rsid w:val="009F3E12"/>
    <w:rsid w:val="009F3EE1"/>
    <w:rsid w:val="009F4072"/>
    <w:rsid w:val="009F5312"/>
    <w:rsid w:val="009F6367"/>
    <w:rsid w:val="009F6C6A"/>
    <w:rsid w:val="00A0078F"/>
    <w:rsid w:val="00A06ADB"/>
    <w:rsid w:val="00A104FB"/>
    <w:rsid w:val="00A14AE8"/>
    <w:rsid w:val="00A161B8"/>
    <w:rsid w:val="00A17940"/>
    <w:rsid w:val="00A23E04"/>
    <w:rsid w:val="00A31851"/>
    <w:rsid w:val="00A426D5"/>
    <w:rsid w:val="00A436E9"/>
    <w:rsid w:val="00A44422"/>
    <w:rsid w:val="00A47EF0"/>
    <w:rsid w:val="00A50D3D"/>
    <w:rsid w:val="00A50DC0"/>
    <w:rsid w:val="00A51C39"/>
    <w:rsid w:val="00A60035"/>
    <w:rsid w:val="00A62A4D"/>
    <w:rsid w:val="00A708BE"/>
    <w:rsid w:val="00A72446"/>
    <w:rsid w:val="00A72A45"/>
    <w:rsid w:val="00A72F06"/>
    <w:rsid w:val="00A74D80"/>
    <w:rsid w:val="00A77FFD"/>
    <w:rsid w:val="00A836BE"/>
    <w:rsid w:val="00A83959"/>
    <w:rsid w:val="00A864FF"/>
    <w:rsid w:val="00AA2CE1"/>
    <w:rsid w:val="00AA66F9"/>
    <w:rsid w:val="00AA726B"/>
    <w:rsid w:val="00AB07A0"/>
    <w:rsid w:val="00AB0CCC"/>
    <w:rsid w:val="00AB1B1E"/>
    <w:rsid w:val="00AB1C0F"/>
    <w:rsid w:val="00AB28F1"/>
    <w:rsid w:val="00AB3179"/>
    <w:rsid w:val="00AB3C00"/>
    <w:rsid w:val="00AC0F9B"/>
    <w:rsid w:val="00AC47B6"/>
    <w:rsid w:val="00AD02AB"/>
    <w:rsid w:val="00AD08AB"/>
    <w:rsid w:val="00AD2C03"/>
    <w:rsid w:val="00AE16F0"/>
    <w:rsid w:val="00AE4EEE"/>
    <w:rsid w:val="00AE7D08"/>
    <w:rsid w:val="00AF2340"/>
    <w:rsid w:val="00AF4F75"/>
    <w:rsid w:val="00AF59AC"/>
    <w:rsid w:val="00B0051C"/>
    <w:rsid w:val="00B041CF"/>
    <w:rsid w:val="00B05468"/>
    <w:rsid w:val="00B11461"/>
    <w:rsid w:val="00B12759"/>
    <w:rsid w:val="00B128BC"/>
    <w:rsid w:val="00B12A6F"/>
    <w:rsid w:val="00B13B4E"/>
    <w:rsid w:val="00B14DBA"/>
    <w:rsid w:val="00B24C9C"/>
    <w:rsid w:val="00B24F71"/>
    <w:rsid w:val="00B25312"/>
    <w:rsid w:val="00B26D45"/>
    <w:rsid w:val="00B26F0E"/>
    <w:rsid w:val="00B30291"/>
    <w:rsid w:val="00B31892"/>
    <w:rsid w:val="00B31C87"/>
    <w:rsid w:val="00B32517"/>
    <w:rsid w:val="00B332B2"/>
    <w:rsid w:val="00B34016"/>
    <w:rsid w:val="00B34448"/>
    <w:rsid w:val="00B373B7"/>
    <w:rsid w:val="00B431FD"/>
    <w:rsid w:val="00B44D71"/>
    <w:rsid w:val="00B45B38"/>
    <w:rsid w:val="00B4778D"/>
    <w:rsid w:val="00B517B6"/>
    <w:rsid w:val="00B55739"/>
    <w:rsid w:val="00B5752E"/>
    <w:rsid w:val="00B616A5"/>
    <w:rsid w:val="00B62F4A"/>
    <w:rsid w:val="00B641B7"/>
    <w:rsid w:val="00B667B9"/>
    <w:rsid w:val="00B66974"/>
    <w:rsid w:val="00B66A47"/>
    <w:rsid w:val="00B67B26"/>
    <w:rsid w:val="00B726C0"/>
    <w:rsid w:val="00B76804"/>
    <w:rsid w:val="00B77FBC"/>
    <w:rsid w:val="00B806D2"/>
    <w:rsid w:val="00B8091A"/>
    <w:rsid w:val="00B85728"/>
    <w:rsid w:val="00B85918"/>
    <w:rsid w:val="00B85991"/>
    <w:rsid w:val="00B8608E"/>
    <w:rsid w:val="00B869BA"/>
    <w:rsid w:val="00B930E3"/>
    <w:rsid w:val="00BA0753"/>
    <w:rsid w:val="00BA0DF2"/>
    <w:rsid w:val="00BA25E9"/>
    <w:rsid w:val="00BB0DCE"/>
    <w:rsid w:val="00BB44AB"/>
    <w:rsid w:val="00BC1D7E"/>
    <w:rsid w:val="00BC37CD"/>
    <w:rsid w:val="00BC6419"/>
    <w:rsid w:val="00BD208F"/>
    <w:rsid w:val="00BE0315"/>
    <w:rsid w:val="00BE0D53"/>
    <w:rsid w:val="00BE4F94"/>
    <w:rsid w:val="00BE55B8"/>
    <w:rsid w:val="00BE6C11"/>
    <w:rsid w:val="00BF052C"/>
    <w:rsid w:val="00BF0770"/>
    <w:rsid w:val="00BF45A0"/>
    <w:rsid w:val="00BF4F3B"/>
    <w:rsid w:val="00BF5ABF"/>
    <w:rsid w:val="00BF71E1"/>
    <w:rsid w:val="00C00091"/>
    <w:rsid w:val="00C0218E"/>
    <w:rsid w:val="00C0300E"/>
    <w:rsid w:val="00C0405F"/>
    <w:rsid w:val="00C043B1"/>
    <w:rsid w:val="00C05876"/>
    <w:rsid w:val="00C072D2"/>
    <w:rsid w:val="00C07CDC"/>
    <w:rsid w:val="00C07D01"/>
    <w:rsid w:val="00C07D96"/>
    <w:rsid w:val="00C20361"/>
    <w:rsid w:val="00C21D33"/>
    <w:rsid w:val="00C22D27"/>
    <w:rsid w:val="00C232F9"/>
    <w:rsid w:val="00C26080"/>
    <w:rsid w:val="00C261F6"/>
    <w:rsid w:val="00C3030B"/>
    <w:rsid w:val="00C30C67"/>
    <w:rsid w:val="00C32593"/>
    <w:rsid w:val="00C34C43"/>
    <w:rsid w:val="00C35528"/>
    <w:rsid w:val="00C35E52"/>
    <w:rsid w:val="00C35F8F"/>
    <w:rsid w:val="00C36ED6"/>
    <w:rsid w:val="00C41293"/>
    <w:rsid w:val="00C422E3"/>
    <w:rsid w:val="00C43556"/>
    <w:rsid w:val="00C4377C"/>
    <w:rsid w:val="00C437A7"/>
    <w:rsid w:val="00C4395C"/>
    <w:rsid w:val="00C44CCB"/>
    <w:rsid w:val="00C50DE8"/>
    <w:rsid w:val="00C60575"/>
    <w:rsid w:val="00C614F1"/>
    <w:rsid w:val="00C6187A"/>
    <w:rsid w:val="00C65DEC"/>
    <w:rsid w:val="00C66E29"/>
    <w:rsid w:val="00C71984"/>
    <w:rsid w:val="00C72190"/>
    <w:rsid w:val="00C73445"/>
    <w:rsid w:val="00C763A3"/>
    <w:rsid w:val="00C80F5E"/>
    <w:rsid w:val="00C82259"/>
    <w:rsid w:val="00C831BC"/>
    <w:rsid w:val="00C8418C"/>
    <w:rsid w:val="00C860F1"/>
    <w:rsid w:val="00C92716"/>
    <w:rsid w:val="00C93A78"/>
    <w:rsid w:val="00C96C09"/>
    <w:rsid w:val="00C9759D"/>
    <w:rsid w:val="00CA019E"/>
    <w:rsid w:val="00CA16A8"/>
    <w:rsid w:val="00CA2090"/>
    <w:rsid w:val="00CA2CA5"/>
    <w:rsid w:val="00CA42E7"/>
    <w:rsid w:val="00CA5986"/>
    <w:rsid w:val="00CC1E3E"/>
    <w:rsid w:val="00CC23F0"/>
    <w:rsid w:val="00CD18D6"/>
    <w:rsid w:val="00CD50A4"/>
    <w:rsid w:val="00CD55D4"/>
    <w:rsid w:val="00CD7381"/>
    <w:rsid w:val="00CE3B9F"/>
    <w:rsid w:val="00CF3767"/>
    <w:rsid w:val="00CF39F3"/>
    <w:rsid w:val="00CF7759"/>
    <w:rsid w:val="00D0057B"/>
    <w:rsid w:val="00D11F25"/>
    <w:rsid w:val="00D14E6E"/>
    <w:rsid w:val="00D170EB"/>
    <w:rsid w:val="00D20F32"/>
    <w:rsid w:val="00D239E7"/>
    <w:rsid w:val="00D23D8E"/>
    <w:rsid w:val="00D25C60"/>
    <w:rsid w:val="00D27113"/>
    <w:rsid w:val="00D2745C"/>
    <w:rsid w:val="00D32EB7"/>
    <w:rsid w:val="00D33A3D"/>
    <w:rsid w:val="00D34DCC"/>
    <w:rsid w:val="00D44F8B"/>
    <w:rsid w:val="00D57CB0"/>
    <w:rsid w:val="00D614E4"/>
    <w:rsid w:val="00D6159E"/>
    <w:rsid w:val="00D624B6"/>
    <w:rsid w:val="00D64DF7"/>
    <w:rsid w:val="00D677B2"/>
    <w:rsid w:val="00D70791"/>
    <w:rsid w:val="00D74A61"/>
    <w:rsid w:val="00D74DCE"/>
    <w:rsid w:val="00D755A7"/>
    <w:rsid w:val="00D7717C"/>
    <w:rsid w:val="00D82B2D"/>
    <w:rsid w:val="00D83648"/>
    <w:rsid w:val="00D842D0"/>
    <w:rsid w:val="00D87690"/>
    <w:rsid w:val="00D90557"/>
    <w:rsid w:val="00D92FB2"/>
    <w:rsid w:val="00DA013F"/>
    <w:rsid w:val="00DA1282"/>
    <w:rsid w:val="00DA5BBA"/>
    <w:rsid w:val="00DB0287"/>
    <w:rsid w:val="00DB0A80"/>
    <w:rsid w:val="00DB1E63"/>
    <w:rsid w:val="00DB2C84"/>
    <w:rsid w:val="00DC1E60"/>
    <w:rsid w:val="00DC4F9B"/>
    <w:rsid w:val="00DD08FE"/>
    <w:rsid w:val="00DD106B"/>
    <w:rsid w:val="00DD1566"/>
    <w:rsid w:val="00DD1A49"/>
    <w:rsid w:val="00DD1CD9"/>
    <w:rsid w:val="00DD303D"/>
    <w:rsid w:val="00DD3C0C"/>
    <w:rsid w:val="00DD60CC"/>
    <w:rsid w:val="00DD71CB"/>
    <w:rsid w:val="00DE07DB"/>
    <w:rsid w:val="00DF0537"/>
    <w:rsid w:val="00DF05E2"/>
    <w:rsid w:val="00DF108E"/>
    <w:rsid w:val="00DF31D0"/>
    <w:rsid w:val="00DF4CE9"/>
    <w:rsid w:val="00DF5B4C"/>
    <w:rsid w:val="00E01E1C"/>
    <w:rsid w:val="00E0293A"/>
    <w:rsid w:val="00E029AB"/>
    <w:rsid w:val="00E0325E"/>
    <w:rsid w:val="00E141FE"/>
    <w:rsid w:val="00E14AEB"/>
    <w:rsid w:val="00E15011"/>
    <w:rsid w:val="00E16428"/>
    <w:rsid w:val="00E17EA6"/>
    <w:rsid w:val="00E2151D"/>
    <w:rsid w:val="00E21FE2"/>
    <w:rsid w:val="00E238D6"/>
    <w:rsid w:val="00E309A0"/>
    <w:rsid w:val="00E33B0E"/>
    <w:rsid w:val="00E34A3F"/>
    <w:rsid w:val="00E42727"/>
    <w:rsid w:val="00E43E79"/>
    <w:rsid w:val="00E50A54"/>
    <w:rsid w:val="00E53CB5"/>
    <w:rsid w:val="00E53CCD"/>
    <w:rsid w:val="00E54FF1"/>
    <w:rsid w:val="00E55F9D"/>
    <w:rsid w:val="00E57D01"/>
    <w:rsid w:val="00E63549"/>
    <w:rsid w:val="00E641B1"/>
    <w:rsid w:val="00E654E7"/>
    <w:rsid w:val="00E806BF"/>
    <w:rsid w:val="00E82EE8"/>
    <w:rsid w:val="00E837D5"/>
    <w:rsid w:val="00E8777E"/>
    <w:rsid w:val="00E90633"/>
    <w:rsid w:val="00E9331F"/>
    <w:rsid w:val="00E97A59"/>
    <w:rsid w:val="00EA1DE4"/>
    <w:rsid w:val="00EA3A24"/>
    <w:rsid w:val="00EB206E"/>
    <w:rsid w:val="00EB5026"/>
    <w:rsid w:val="00EB67C2"/>
    <w:rsid w:val="00EC0A31"/>
    <w:rsid w:val="00EC10D0"/>
    <w:rsid w:val="00EC1519"/>
    <w:rsid w:val="00EC353B"/>
    <w:rsid w:val="00EC4DAC"/>
    <w:rsid w:val="00ED042F"/>
    <w:rsid w:val="00ED495E"/>
    <w:rsid w:val="00ED5EF3"/>
    <w:rsid w:val="00ED61F0"/>
    <w:rsid w:val="00EE3E8A"/>
    <w:rsid w:val="00EF16DD"/>
    <w:rsid w:val="00EF207E"/>
    <w:rsid w:val="00EF3DDA"/>
    <w:rsid w:val="00EF736A"/>
    <w:rsid w:val="00EF7523"/>
    <w:rsid w:val="00F00228"/>
    <w:rsid w:val="00F003D3"/>
    <w:rsid w:val="00F03097"/>
    <w:rsid w:val="00F03226"/>
    <w:rsid w:val="00F03E32"/>
    <w:rsid w:val="00F05DA3"/>
    <w:rsid w:val="00F13CBD"/>
    <w:rsid w:val="00F142D1"/>
    <w:rsid w:val="00F1649E"/>
    <w:rsid w:val="00F20ECC"/>
    <w:rsid w:val="00F2128A"/>
    <w:rsid w:val="00F2683B"/>
    <w:rsid w:val="00F31023"/>
    <w:rsid w:val="00F332C0"/>
    <w:rsid w:val="00F35EC8"/>
    <w:rsid w:val="00F3754C"/>
    <w:rsid w:val="00F377CF"/>
    <w:rsid w:val="00F37C9D"/>
    <w:rsid w:val="00F42E75"/>
    <w:rsid w:val="00F4328C"/>
    <w:rsid w:val="00F529BB"/>
    <w:rsid w:val="00F52A61"/>
    <w:rsid w:val="00F52D16"/>
    <w:rsid w:val="00F539A3"/>
    <w:rsid w:val="00F57892"/>
    <w:rsid w:val="00F63BD9"/>
    <w:rsid w:val="00F6694C"/>
    <w:rsid w:val="00F66E34"/>
    <w:rsid w:val="00F678C8"/>
    <w:rsid w:val="00F731CA"/>
    <w:rsid w:val="00F73827"/>
    <w:rsid w:val="00F7715C"/>
    <w:rsid w:val="00F81143"/>
    <w:rsid w:val="00F85761"/>
    <w:rsid w:val="00F85EFF"/>
    <w:rsid w:val="00F871F5"/>
    <w:rsid w:val="00F96F18"/>
    <w:rsid w:val="00F96F9C"/>
    <w:rsid w:val="00FA349D"/>
    <w:rsid w:val="00FA7343"/>
    <w:rsid w:val="00FA7B67"/>
    <w:rsid w:val="00FB3AEF"/>
    <w:rsid w:val="00FB6DBC"/>
    <w:rsid w:val="00FC011D"/>
    <w:rsid w:val="00FC14D9"/>
    <w:rsid w:val="00FC6F50"/>
    <w:rsid w:val="00FD0A0C"/>
    <w:rsid w:val="00FD2220"/>
    <w:rsid w:val="00FD3391"/>
    <w:rsid w:val="00FE0AB9"/>
    <w:rsid w:val="00FF37DF"/>
    <w:rsid w:val="00FF6632"/>
    <w:rsid w:val="00FF78EF"/>
    <w:rsid w:val="00FF7D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B30A0"/>
  <w15:docId w15:val="{82611C77-23BC-4DFD-8CA4-BC6880F8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Normal bullet 2,Bullets,Dot pt,F5 List Paragraph,List Paragraph1,No Spacing1,List Paragraph Char Char Char,Indicator Text,Numbered Para 1,Bullet 1,Bullet Points,Párrafo de lista,MAIN CONTENT,Recommendation,List Paragraph2,Normal numbere,3"/>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Hyperlink"/>
    <w:basedOn w:val="a0"/>
    <w:uiPriority w:val="99"/>
    <w:unhideWhenUsed/>
    <w:rsid w:val="001D3A55"/>
    <w:rPr>
      <w:color w:val="0000FF" w:themeColor="hyperlink"/>
      <w:u w:val="single"/>
    </w:rPr>
  </w:style>
  <w:style w:type="character" w:customStyle="1" w:styleId="af4">
    <w:name w:val="Абзац списку Знак"/>
    <w:aliases w:val="Normal bullet 2 Знак,Bullets Знак,Dot pt Знак,F5 List Paragraph Знак,List Paragraph1 Знак,No Spacing1 Знак,List Paragraph Char Char Char Знак,Indicator Text Знак,Numbered Para 1 Знак,Bullet 1 Знак,Bullet Points Знак,MAIN CONTENT Знак"/>
    <w:link w:val="af3"/>
    <w:uiPriority w:val="34"/>
    <w:locked/>
    <w:rsid w:val="0014455D"/>
    <w:rPr>
      <w:rFonts w:ascii="Times New Roman" w:hAnsi="Times New Roman" w:cs="Times New Roman"/>
      <w:sz w:val="28"/>
      <w:szCs w:val="28"/>
      <w:lang w:eastAsia="uk-UA"/>
    </w:rPr>
  </w:style>
  <w:style w:type="character" w:customStyle="1" w:styleId="rvts44">
    <w:name w:val="rvts44"/>
    <w:basedOn w:val="a0"/>
    <w:rsid w:val="0014455D"/>
  </w:style>
  <w:style w:type="paragraph" w:customStyle="1" w:styleId="rvps2">
    <w:name w:val="rvps2"/>
    <w:basedOn w:val="a"/>
    <w:rsid w:val="0014455D"/>
    <w:pPr>
      <w:spacing w:before="100" w:beforeAutospacing="1" w:after="100" w:afterAutospacing="1"/>
      <w:jc w:val="left"/>
    </w:pPr>
    <w:rPr>
      <w:sz w:val="24"/>
      <w:szCs w:val="24"/>
      <w:lang w:val="ru-RU" w:eastAsia="ru-RU"/>
    </w:rPr>
  </w:style>
  <w:style w:type="character" w:styleId="af6">
    <w:name w:val="annotation reference"/>
    <w:basedOn w:val="a0"/>
    <w:uiPriority w:val="99"/>
    <w:semiHidden/>
    <w:unhideWhenUsed/>
    <w:rsid w:val="0014455D"/>
    <w:rPr>
      <w:sz w:val="16"/>
      <w:szCs w:val="16"/>
    </w:rPr>
  </w:style>
  <w:style w:type="paragraph" w:styleId="af7">
    <w:name w:val="annotation text"/>
    <w:basedOn w:val="a"/>
    <w:link w:val="af8"/>
    <w:uiPriority w:val="99"/>
    <w:semiHidden/>
    <w:unhideWhenUsed/>
    <w:rsid w:val="0014455D"/>
    <w:rPr>
      <w:sz w:val="20"/>
      <w:szCs w:val="20"/>
    </w:rPr>
  </w:style>
  <w:style w:type="character" w:customStyle="1" w:styleId="af8">
    <w:name w:val="Текст примітки Знак"/>
    <w:basedOn w:val="a0"/>
    <w:link w:val="af7"/>
    <w:uiPriority w:val="99"/>
    <w:semiHidden/>
    <w:rsid w:val="0014455D"/>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14455D"/>
    <w:rPr>
      <w:b/>
      <w:bCs/>
    </w:rPr>
  </w:style>
  <w:style w:type="character" w:customStyle="1" w:styleId="afa">
    <w:name w:val="Тема примітки Знак"/>
    <w:basedOn w:val="af8"/>
    <w:link w:val="af9"/>
    <w:uiPriority w:val="99"/>
    <w:semiHidden/>
    <w:rsid w:val="0014455D"/>
    <w:rPr>
      <w:rFonts w:ascii="Times New Roman" w:hAnsi="Times New Roman" w:cs="Times New Roman"/>
      <w:b/>
      <w:bCs/>
      <w:sz w:val="20"/>
      <w:szCs w:val="20"/>
      <w:lang w:eastAsia="uk-UA"/>
    </w:rPr>
  </w:style>
  <w:style w:type="paragraph" w:customStyle="1" w:styleId="ParagraphNumbering">
    <w:name w:val="Paragraph Numbering"/>
    <w:basedOn w:val="a"/>
    <w:rsid w:val="00963CA3"/>
    <w:pPr>
      <w:spacing w:after="240"/>
      <w:jc w:val="left"/>
    </w:pPr>
    <w:rPr>
      <w:sz w:val="24"/>
      <w:szCs w:val="20"/>
      <w:lang w:val="en-US" w:eastAsia="en-US"/>
    </w:rPr>
  </w:style>
  <w:style w:type="paragraph" w:styleId="afb">
    <w:name w:val="Normal (Web)"/>
    <w:basedOn w:val="a"/>
    <w:link w:val="afc"/>
    <w:uiPriority w:val="99"/>
    <w:rsid w:val="00791ADA"/>
    <w:pPr>
      <w:spacing w:before="100" w:beforeAutospacing="1" w:after="100" w:afterAutospacing="1"/>
      <w:jc w:val="left"/>
    </w:pPr>
    <w:rPr>
      <w:sz w:val="24"/>
      <w:szCs w:val="24"/>
    </w:rPr>
  </w:style>
  <w:style w:type="character" w:customStyle="1" w:styleId="afc">
    <w:name w:val="Звичайний (веб) Знак"/>
    <w:link w:val="afb"/>
    <w:uiPriority w:val="99"/>
    <w:locked/>
    <w:rsid w:val="00791ADA"/>
    <w:rPr>
      <w:rFonts w:ascii="Times New Roman" w:hAnsi="Times New Roman" w:cs="Times New Roman"/>
      <w:sz w:val="24"/>
      <w:szCs w:val="24"/>
      <w:lang w:eastAsia="uk-UA"/>
    </w:rPr>
  </w:style>
  <w:style w:type="character" w:customStyle="1" w:styleId="spanrvts0">
    <w:name w:val="span_rvts0"/>
    <w:basedOn w:val="a0"/>
    <w:rsid w:val="00791ADA"/>
    <w:rPr>
      <w:rFonts w:ascii="Times New Roman" w:eastAsia="Times New Roman" w:hAnsi="Times New Roman" w:cs="Times New Roman"/>
      <w:b w:val="0"/>
      <w:bCs w:val="0"/>
      <w:i w:val="0"/>
      <w:iCs w:val="0"/>
      <w:sz w:val="24"/>
      <w:szCs w:val="24"/>
    </w:rPr>
  </w:style>
  <w:style w:type="character" w:customStyle="1" w:styleId="rvts9">
    <w:name w:val="rvts9"/>
    <w:basedOn w:val="a0"/>
    <w:rsid w:val="007949E9"/>
  </w:style>
  <w:style w:type="paragraph" w:customStyle="1" w:styleId="rvps7">
    <w:name w:val="rvps7"/>
    <w:basedOn w:val="a"/>
    <w:rsid w:val="00865D53"/>
    <w:pPr>
      <w:spacing w:before="100" w:beforeAutospacing="1" w:after="100" w:afterAutospacing="1"/>
      <w:jc w:val="left"/>
    </w:pPr>
    <w:rPr>
      <w:sz w:val="24"/>
      <w:szCs w:val="24"/>
    </w:rPr>
  </w:style>
  <w:style w:type="character" w:customStyle="1" w:styleId="rvts15">
    <w:name w:val="rvts15"/>
    <w:basedOn w:val="a0"/>
    <w:rsid w:val="00B641B7"/>
  </w:style>
  <w:style w:type="table" w:customStyle="1" w:styleId="1">
    <w:name w:val="Сітка таблиці1"/>
    <w:basedOn w:val="a1"/>
    <w:next w:val="a9"/>
    <w:uiPriority w:val="59"/>
    <w:rsid w:val="00166595"/>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1"/>
    <w:basedOn w:val="a1"/>
    <w:next w:val="a9"/>
    <w:uiPriority w:val="59"/>
    <w:rsid w:val="00166595"/>
    <w:pPr>
      <w:spacing w:after="0" w:line="240" w:lineRule="auto"/>
      <w:jc w:val="both"/>
    </w:pPr>
    <w:rPr>
      <w:rFonts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1"/>
    <w:basedOn w:val="a1"/>
    <w:next w:val="a9"/>
    <w:uiPriority w:val="59"/>
    <w:rsid w:val="00EC1519"/>
    <w:pPr>
      <w:spacing w:after="0" w:line="240" w:lineRule="auto"/>
      <w:jc w:val="both"/>
    </w:pPr>
    <w:rPr>
      <w:rFonts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9"/>
    <w:uiPriority w:val="39"/>
    <w:rsid w:val="003A5F45"/>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9"/>
    <w:uiPriority w:val="59"/>
    <w:rsid w:val="00DB028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1F6E0C"/>
    <w:pPr>
      <w:spacing w:after="0" w:line="240" w:lineRule="auto"/>
    </w:pPr>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zakon.rada.gov.ua/laws/show/z0841-01"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zakon.rada.gov.ua/laws/show/v0351500-16"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zakon.rada.gov.ua/laws/show/z0841-0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yperlink" Target="https://zakon.rada.gov.ua/laws/show/z0841-01"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39ef1bf14edd22eeaf84dad901251a2d">
  <xsd:schema xmlns:xsd="http://www.w3.org/2001/XMLSchema" xmlns:xs="http://www.w3.org/2001/XMLSchema" xmlns:p="http://schemas.microsoft.com/office/2006/metadata/properties" targetNamespace="http://schemas.microsoft.com/office/2006/metadata/properties" ma:root="true" ma:fieldsID="0b2383c722297b57df307b58b6a1f5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C5BEB2-C289-40BC-B102-27E6AE2DF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9EC275-FE20-46E4-9D38-1303E87B9C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C00FB8-A10E-44B0-9C83-47490034BE32}">
  <ds:schemaRefs>
    <ds:schemaRef ds:uri="http://schemas.microsoft.com/sharepoint/v3/contenttype/forms"/>
  </ds:schemaRefs>
</ds:datastoreItem>
</file>

<file path=customXml/itemProps5.xml><?xml version="1.0" encoding="utf-8"?>
<ds:datastoreItem xmlns:ds="http://schemas.openxmlformats.org/officeDocument/2006/customXml" ds:itemID="{F1FA76F1-ABF2-4222-8A01-D355E3B4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46</Pages>
  <Words>54023</Words>
  <Characters>30794</Characters>
  <Application>Microsoft Office Word</Application>
  <DocSecurity>0</DocSecurity>
  <Lines>256</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84648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Лівшун Оксана Володимирівна</dc:creator>
  <cp:keywords/>
  <dc:description/>
  <cp:lastModifiedBy>Ярмоленко Тетяна Василівна</cp:lastModifiedBy>
  <cp:revision>9</cp:revision>
  <cp:lastPrinted>2024-07-18T11:29:00Z</cp:lastPrinted>
  <dcterms:created xsi:type="dcterms:W3CDTF">2024-07-17T08:37:00Z</dcterms:created>
  <dcterms:modified xsi:type="dcterms:W3CDTF">2024-07-18T12:12:00Z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