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Tr="00B930E3">
        <w:trPr>
          <w:trHeight w:val="851"/>
        </w:trPr>
        <w:tc>
          <w:tcPr>
            <w:tcW w:w="3207" w:type="dxa"/>
          </w:tcPr>
          <w:p w:rsidR="00410EC0" w:rsidRDefault="00410EC0" w:rsidP="000F60CD"/>
        </w:tc>
        <w:tc>
          <w:tcPr>
            <w:tcW w:w="3227" w:type="dxa"/>
            <w:vMerge w:val="restart"/>
          </w:tcPr>
          <w:p w:rsidR="00410EC0" w:rsidRDefault="00410EC0" w:rsidP="000F60CD">
            <w:pPr>
              <w:jc w:val="center"/>
            </w:pPr>
            <w:r>
              <w:object w:dxaOrig="1595" w:dyaOrig="2201" w14:anchorId="13385F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8pt" o:ole="">
                  <v:imagedata r:id="rId11" o:title=""/>
                </v:shape>
                <o:OLEObject Type="Embed" ProgID="CorelDraw.Graphic.16" ShapeID="_x0000_i1025" DrawAspect="Content" ObjectID="_1782799370" r:id="rId12"/>
              </w:object>
            </w:r>
          </w:p>
        </w:tc>
        <w:tc>
          <w:tcPr>
            <w:tcW w:w="3204" w:type="dxa"/>
          </w:tcPr>
          <w:p w:rsidR="00410EC0" w:rsidRPr="004E0E99" w:rsidRDefault="004E0E99" w:rsidP="004E0E99">
            <w:pPr>
              <w:jc w:val="right"/>
              <w:rPr>
                <w:sz w:val="24"/>
                <w:szCs w:val="24"/>
              </w:rPr>
            </w:pPr>
            <w:r w:rsidRPr="004E0E99">
              <w:rPr>
                <w:sz w:val="24"/>
                <w:szCs w:val="24"/>
              </w:rPr>
              <w:t xml:space="preserve">Офіційно опубліковано </w:t>
            </w:r>
            <w:r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Pr="004E0E99">
              <w:rPr>
                <w:sz w:val="24"/>
                <w:szCs w:val="24"/>
              </w:rPr>
              <w:t>.07.2024</w:t>
            </w:r>
          </w:p>
        </w:tc>
      </w:tr>
      <w:tr w:rsidR="00410EC0" w:rsidTr="00B930E3">
        <w:tc>
          <w:tcPr>
            <w:tcW w:w="3207" w:type="dxa"/>
          </w:tcPr>
          <w:p w:rsidR="00410EC0" w:rsidRDefault="00410EC0" w:rsidP="000F60CD"/>
        </w:tc>
        <w:tc>
          <w:tcPr>
            <w:tcW w:w="3227" w:type="dxa"/>
            <w:vMerge/>
          </w:tcPr>
          <w:p w:rsidR="00410EC0" w:rsidRDefault="00410EC0" w:rsidP="000F60CD"/>
        </w:tc>
        <w:tc>
          <w:tcPr>
            <w:tcW w:w="3204" w:type="dxa"/>
          </w:tcPr>
          <w:p w:rsidR="00410EC0" w:rsidRDefault="00410EC0" w:rsidP="000F60CD"/>
        </w:tc>
      </w:tr>
      <w:tr w:rsidR="00410EC0" w:rsidTr="00B930E3">
        <w:tc>
          <w:tcPr>
            <w:tcW w:w="9638" w:type="dxa"/>
            <w:gridSpan w:val="3"/>
          </w:tcPr>
          <w:p w:rsidR="00410EC0" w:rsidRPr="00E10F0A" w:rsidRDefault="00410EC0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:rsidR="00410EC0" w:rsidRDefault="00410EC0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2636"/>
        <w:gridCol w:w="1676"/>
        <w:gridCol w:w="1894"/>
      </w:tblGrid>
      <w:tr w:rsidR="00410EC0" w:rsidTr="000F60CD">
        <w:tc>
          <w:tcPr>
            <w:tcW w:w="3510" w:type="dxa"/>
            <w:vAlign w:val="bottom"/>
          </w:tcPr>
          <w:p w:rsidR="00410EC0" w:rsidRPr="00566BA2" w:rsidRDefault="005E5423" w:rsidP="000F60CD">
            <w:r>
              <w:t>17 липня 2024 року</w:t>
            </w:r>
          </w:p>
        </w:tc>
        <w:tc>
          <w:tcPr>
            <w:tcW w:w="2694" w:type="dxa"/>
          </w:tcPr>
          <w:p w:rsidR="00410EC0" w:rsidRDefault="00BF0770" w:rsidP="000F60CD">
            <w:pPr>
              <w:spacing w:before="240"/>
              <w:jc w:val="center"/>
            </w:pPr>
            <w:r w:rsidRPr="002F3319">
              <w:rPr>
                <w:color w:val="006600"/>
                <w:lang w:val="ru-RU"/>
              </w:rPr>
              <w:t xml:space="preserve"> </w:t>
            </w:r>
            <w:r w:rsidR="00410EC0"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:rsidR="00410EC0" w:rsidRPr="00101D5A" w:rsidRDefault="00410EC0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  <w:r w:rsidR="004E0E99">
              <w:rPr>
                <w:color w:val="FFFFFF" w:themeColor="background1"/>
              </w:rPr>
              <w:t xml:space="preserve">  </w:t>
            </w:r>
          </w:p>
        </w:tc>
        <w:tc>
          <w:tcPr>
            <w:tcW w:w="1937" w:type="dxa"/>
            <w:vAlign w:val="bottom"/>
          </w:tcPr>
          <w:p w:rsidR="00410EC0" w:rsidRDefault="004E0E99" w:rsidP="000F60CD">
            <w:pPr>
              <w:jc w:val="left"/>
            </w:pPr>
            <w:r>
              <w:t>№ 87</w:t>
            </w:r>
          </w:p>
        </w:tc>
      </w:tr>
    </w:tbl>
    <w:p w:rsidR="00410EC0" w:rsidRPr="00CD0CD4" w:rsidRDefault="00410EC0" w:rsidP="00410EC0">
      <w:pPr>
        <w:rPr>
          <w:sz w:val="2"/>
          <w:szCs w:val="2"/>
        </w:rPr>
      </w:pPr>
    </w:p>
    <w:p w:rsidR="00410EC0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p w:rsidR="00B4722B" w:rsidRDefault="00B4722B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p w:rsidR="00B4722B" w:rsidRPr="00CD0CD4" w:rsidRDefault="00B4722B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10EC0" w:rsidRPr="00CD0CD4" w:rsidTr="000F60CD">
        <w:trPr>
          <w:jc w:val="center"/>
        </w:trPr>
        <w:tc>
          <w:tcPr>
            <w:tcW w:w="5000" w:type="pct"/>
          </w:tcPr>
          <w:p w:rsidR="008B4918" w:rsidRDefault="004B3455" w:rsidP="008B4918">
            <w:pPr>
              <w:tabs>
                <w:tab w:val="left" w:pos="840"/>
                <w:tab w:val="center" w:pos="3293"/>
              </w:tabs>
              <w:jc w:val="center"/>
              <w:rPr>
                <w:color w:val="000000"/>
                <w:lang w:eastAsia="en-US"/>
              </w:rPr>
            </w:pPr>
            <w:r w:rsidRPr="008601EA">
              <w:rPr>
                <w:color w:val="000000"/>
                <w:lang w:eastAsia="en-US"/>
              </w:rPr>
              <w:t>Про поступов</w:t>
            </w:r>
            <w:r w:rsidR="00805A74">
              <w:rPr>
                <w:color w:val="000000"/>
                <w:lang w:eastAsia="en-US"/>
              </w:rPr>
              <w:t>е</w:t>
            </w:r>
            <w:r w:rsidRPr="008601EA">
              <w:rPr>
                <w:color w:val="000000"/>
                <w:lang w:eastAsia="en-US"/>
              </w:rPr>
              <w:t xml:space="preserve"> вилучення з готівкового обігу банкнот номінал</w:t>
            </w:r>
            <w:r w:rsidR="003046DF">
              <w:rPr>
                <w:color w:val="000000"/>
                <w:lang w:eastAsia="en-US"/>
              </w:rPr>
              <w:t xml:space="preserve">ом </w:t>
            </w:r>
            <w:r w:rsidR="008B4918">
              <w:rPr>
                <w:color w:val="000000"/>
                <w:lang w:eastAsia="en-US"/>
              </w:rPr>
              <w:t>50</w:t>
            </w:r>
            <w:r w:rsidRPr="008601EA">
              <w:rPr>
                <w:color w:val="000000"/>
                <w:lang w:eastAsia="en-US"/>
              </w:rPr>
              <w:t>0 гривень</w:t>
            </w:r>
          </w:p>
          <w:p w:rsidR="008B4918" w:rsidRDefault="004B3455" w:rsidP="008B4918">
            <w:pPr>
              <w:tabs>
                <w:tab w:val="left" w:pos="840"/>
                <w:tab w:val="center" w:pos="3293"/>
              </w:tabs>
              <w:jc w:val="center"/>
            </w:pPr>
            <w:r w:rsidRPr="008601EA">
              <w:rPr>
                <w:color w:val="000000"/>
                <w:lang w:eastAsia="en-US"/>
              </w:rPr>
              <w:t xml:space="preserve"> </w:t>
            </w:r>
            <w:r w:rsidRPr="008647CB">
              <w:rPr>
                <w:color w:val="000000"/>
                <w:lang w:eastAsia="en-US"/>
              </w:rPr>
              <w:t>зразк</w:t>
            </w:r>
            <w:r w:rsidR="00E022CA">
              <w:rPr>
                <w:color w:val="000000"/>
                <w:lang w:eastAsia="en-US"/>
              </w:rPr>
              <w:t>ів</w:t>
            </w:r>
            <w:r w:rsidR="008B4918">
              <w:rPr>
                <w:color w:val="000000"/>
                <w:lang w:eastAsia="en-US"/>
              </w:rPr>
              <w:t xml:space="preserve"> </w:t>
            </w:r>
            <w:r w:rsidR="00E022CA">
              <w:rPr>
                <w:color w:val="000000"/>
                <w:lang w:eastAsia="en-US"/>
              </w:rPr>
              <w:t>2003</w:t>
            </w:r>
            <w:r w:rsidR="00E022CA">
              <w:rPr>
                <w:color w:val="000000"/>
              </w:rPr>
              <w:t>–</w:t>
            </w:r>
            <w:r w:rsidR="008B4918">
              <w:t>200</w:t>
            </w:r>
            <w:r w:rsidR="00E022CA">
              <w:t>7</w:t>
            </w:r>
            <w:r w:rsidR="008B4918">
              <w:t xml:space="preserve"> рок</w:t>
            </w:r>
            <w:r w:rsidR="00E022CA">
              <w:t xml:space="preserve">ів  </w:t>
            </w:r>
          </w:p>
          <w:p w:rsidR="008B4918" w:rsidRPr="008601EA" w:rsidRDefault="008B4918" w:rsidP="008B4918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</w:p>
        </w:tc>
      </w:tr>
    </w:tbl>
    <w:p w:rsidR="00410EC0" w:rsidRDefault="00173367" w:rsidP="00173367">
      <w:pPr>
        <w:spacing w:before="240" w:after="240"/>
        <w:ind w:firstLine="567"/>
        <w:rPr>
          <w:b/>
        </w:rPr>
      </w:pPr>
      <w:r>
        <w:rPr>
          <w:rFonts w:eastAsiaTheme="minorEastAsia"/>
          <w:color w:val="000000" w:themeColor="text1"/>
          <w:lang w:eastAsia="en-US"/>
        </w:rPr>
        <w:t xml:space="preserve"> </w:t>
      </w:r>
      <w:r>
        <w:t xml:space="preserve"> Відповідно до статей 6, 7, 15, 33, 34, 39, 40, 56 Закону України “Про Національний банк України”,</w:t>
      </w:r>
      <w:r w:rsidR="002A4D1F">
        <w:t xml:space="preserve"> </w:t>
      </w:r>
      <w:r>
        <w:t>з метою поліпшення готівкових розрахунків</w:t>
      </w:r>
      <w:r w:rsidR="00410EC0" w:rsidRPr="00CD0CD4">
        <w:rPr>
          <w:b/>
        </w:rPr>
        <w:t xml:space="preserve"> </w:t>
      </w:r>
      <w:r w:rsidR="00410EC0" w:rsidRPr="00CD0CD4">
        <w:t>Правління Національного банку України</w:t>
      </w:r>
      <w:r w:rsidR="00410EC0" w:rsidRPr="00CD0CD4">
        <w:rPr>
          <w:b/>
        </w:rPr>
        <w:t xml:space="preserve"> постановляє:</w:t>
      </w:r>
    </w:p>
    <w:p w:rsidR="000624FF" w:rsidRDefault="00410EC0" w:rsidP="000624FF">
      <w:pPr>
        <w:ind w:firstLine="567"/>
      </w:pPr>
      <w:r w:rsidRPr="002F3319">
        <w:t>1.</w:t>
      </w:r>
      <w:r>
        <w:rPr>
          <w:lang w:val="en-US"/>
        </w:rPr>
        <w:t> </w:t>
      </w:r>
      <w:r w:rsidR="0024534C">
        <w:t xml:space="preserve">Національному банку України, банкам, щодо яких Правління Національного банку України прийняло рішення про надання їм повноважень на зберігання запасів готівки Національного банку України (далі – уповноважені банки), банкам України з </w:t>
      </w:r>
      <w:r w:rsidR="0024534C" w:rsidRPr="00B4722B">
        <w:t xml:space="preserve">01 </w:t>
      </w:r>
      <w:r w:rsidR="004A122A">
        <w:t>сер</w:t>
      </w:r>
      <w:r w:rsidR="0024534C" w:rsidRPr="00B4722B">
        <w:t xml:space="preserve">пня </w:t>
      </w:r>
      <w:r w:rsidR="0024534C">
        <w:t xml:space="preserve">2024 року розпочати вилучення з готівкового обігу банкнот номіналом 500 гривень </w:t>
      </w:r>
      <w:r w:rsidR="0024534C" w:rsidRPr="008601EA">
        <w:t>зразк</w:t>
      </w:r>
      <w:r w:rsidR="00E022CA">
        <w:t>ів</w:t>
      </w:r>
      <w:r w:rsidR="0024534C" w:rsidRPr="008601EA">
        <w:t xml:space="preserve"> </w:t>
      </w:r>
      <w:r w:rsidR="00E022CA">
        <w:rPr>
          <w:color w:val="000000"/>
          <w:lang w:eastAsia="en-US"/>
        </w:rPr>
        <w:t>2003</w:t>
      </w:r>
      <w:r w:rsidR="00E022CA">
        <w:rPr>
          <w:color w:val="000000"/>
        </w:rPr>
        <w:t>–</w:t>
      </w:r>
      <w:r w:rsidR="00E022CA">
        <w:t>2007 років</w:t>
      </w:r>
      <w:r w:rsidR="0024534C">
        <w:t xml:space="preserve"> (далі – банкноти номінал</w:t>
      </w:r>
      <w:r w:rsidR="000624FF">
        <w:t>о</w:t>
      </w:r>
      <w:r w:rsidR="0024534C">
        <w:t>м 500 гривень</w:t>
      </w:r>
      <w:r w:rsidR="00595A99">
        <w:t xml:space="preserve"> старого зразка</w:t>
      </w:r>
      <w:r w:rsidR="0024534C">
        <w:t xml:space="preserve">).  </w:t>
      </w:r>
    </w:p>
    <w:p w:rsidR="00410EC0" w:rsidRDefault="0024534C" w:rsidP="000624FF">
      <w:pPr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t>Банкноти номінал</w:t>
      </w:r>
      <w:r w:rsidR="000624FF">
        <w:t>о</w:t>
      </w:r>
      <w:r>
        <w:t xml:space="preserve">м 500 гривень </w:t>
      </w:r>
      <w:r w:rsidR="00595A99">
        <w:t xml:space="preserve">старого зразка </w:t>
      </w:r>
      <w:r>
        <w:t>перебувають в обігу до прийняття окремого рішення Правління Національного банку України про їх вилучення</w:t>
      </w:r>
      <w:r w:rsidR="00410EC0" w:rsidRPr="005632A7">
        <w:rPr>
          <w:rFonts w:eastAsiaTheme="minorEastAsia"/>
          <w:noProof/>
          <w:color w:val="000000" w:themeColor="text1"/>
          <w:lang w:eastAsia="en-US"/>
        </w:rPr>
        <w:t>.</w:t>
      </w:r>
    </w:p>
    <w:p w:rsidR="00883FEC" w:rsidRDefault="00410EC0" w:rsidP="00883FEC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2. </w:t>
      </w:r>
      <w:r w:rsidR="00883FEC">
        <w:rPr>
          <w:rFonts w:eastAsiaTheme="minorEastAsia"/>
          <w:noProof/>
          <w:color w:val="000000" w:themeColor="text1"/>
        </w:rPr>
        <w:t xml:space="preserve"> </w:t>
      </w:r>
      <w:r w:rsidR="00883FEC">
        <w:t xml:space="preserve"> Національному банку України:  </w:t>
      </w:r>
    </w:p>
    <w:p w:rsidR="00883FEC" w:rsidRDefault="00883FEC" w:rsidP="00883FEC">
      <w:pPr>
        <w:spacing w:before="240" w:after="240"/>
        <w:ind w:firstLine="567"/>
      </w:pPr>
      <w:r>
        <w:t xml:space="preserve">1) припинити з 01 </w:t>
      </w:r>
      <w:r w:rsidR="004A122A">
        <w:t>сер</w:t>
      </w:r>
      <w:r w:rsidRPr="00B4722B">
        <w:t>пня</w:t>
      </w:r>
      <w:r>
        <w:t xml:space="preserve"> 2024 року підкріплення операційних кас банків України, запасів готівки Національного банку України на зберіганні в уповноважених банках та операційних кас банків із запасів готівки Національного банку України на зберіганні банкнотами номіналом 500 гривень</w:t>
      </w:r>
      <w:r w:rsidR="00595A99">
        <w:t xml:space="preserve"> старого зразка</w:t>
      </w:r>
      <w:r>
        <w:t xml:space="preserve">;  </w:t>
      </w:r>
    </w:p>
    <w:p w:rsidR="00883FEC" w:rsidRDefault="00883FEC" w:rsidP="00883FEC">
      <w:pPr>
        <w:spacing w:before="240" w:after="240"/>
        <w:ind w:firstLine="567"/>
      </w:pPr>
      <w:r>
        <w:t xml:space="preserve">2) забезпечити приймання від банків України банкнот номіналом 500 гривень </w:t>
      </w:r>
      <w:r w:rsidR="00595A99">
        <w:t xml:space="preserve">старого зразка </w:t>
      </w:r>
      <w:r>
        <w:t xml:space="preserve">повними та неповними пачками, а також зарахування сум прийнятих коштів на кореспондентські рахунки банків.  </w:t>
      </w:r>
    </w:p>
    <w:p w:rsidR="00410EC0" w:rsidRDefault="00883FEC" w:rsidP="00883FEC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t xml:space="preserve">3. Уповноваженим банкам приймати від банків України банкноти номіналом 500 гривень </w:t>
      </w:r>
      <w:r w:rsidR="00595A99">
        <w:t xml:space="preserve">старого зразка </w:t>
      </w:r>
      <w:r>
        <w:t xml:space="preserve">із зарахуванням сум прийнятих коштів на кореспондентські рахунки банків та вкладати </w:t>
      </w:r>
      <w:r w:rsidR="00B27177">
        <w:t>так</w:t>
      </w:r>
      <w:r>
        <w:t>і банкноти до запасів Національного банку України повними пачками</w:t>
      </w:r>
      <w:r w:rsidR="00410EC0">
        <w:rPr>
          <w:rFonts w:eastAsiaTheme="minorEastAsia"/>
          <w:noProof/>
          <w:color w:val="000000" w:themeColor="text1"/>
          <w:lang w:eastAsia="en-US"/>
        </w:rPr>
        <w:t>.</w:t>
      </w:r>
    </w:p>
    <w:p w:rsidR="00B4722B" w:rsidRDefault="00B4722B" w:rsidP="00B4722B">
      <w:pPr>
        <w:spacing w:before="240" w:after="240"/>
        <w:ind w:firstLine="567"/>
        <w:jc w:val="center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lastRenderedPageBreak/>
        <w:t>2</w:t>
      </w:r>
    </w:p>
    <w:p w:rsidR="00214F9A" w:rsidRDefault="00A72446" w:rsidP="00214F9A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4. </w:t>
      </w:r>
      <w:r w:rsidR="00214F9A">
        <w:t xml:space="preserve">Банкам України:  </w:t>
      </w:r>
    </w:p>
    <w:p w:rsidR="00214F9A" w:rsidRDefault="00214F9A" w:rsidP="00214F9A">
      <w:pPr>
        <w:spacing w:before="240" w:after="240"/>
        <w:ind w:firstLine="567"/>
      </w:pPr>
      <w:r>
        <w:t xml:space="preserve">1) заборонити з 01 </w:t>
      </w:r>
      <w:r w:rsidR="004A122A">
        <w:t>сер</w:t>
      </w:r>
      <w:r w:rsidR="00B4722B" w:rsidRPr="00B4722B">
        <w:t>пня</w:t>
      </w:r>
      <w:r w:rsidR="00B4722B">
        <w:rPr>
          <w:color w:val="FF0000"/>
        </w:rPr>
        <w:t xml:space="preserve"> </w:t>
      </w:r>
      <w:r>
        <w:t xml:space="preserve">2024 року видавати з кас банків банкноти номіналом 500 гривень </w:t>
      </w:r>
      <w:r w:rsidR="00595A99">
        <w:t xml:space="preserve">старого зразка </w:t>
      </w:r>
      <w:r>
        <w:t xml:space="preserve">за всіма видами готівкових операцій;  </w:t>
      </w:r>
    </w:p>
    <w:p w:rsidR="00214F9A" w:rsidRDefault="00214F9A" w:rsidP="00214F9A">
      <w:pPr>
        <w:spacing w:before="240" w:after="240"/>
        <w:ind w:firstLine="567"/>
      </w:pPr>
      <w:r>
        <w:t xml:space="preserve">2) здійснювати з банкнотами номіналом 500 гривень </w:t>
      </w:r>
      <w:r w:rsidR="00595A99">
        <w:t xml:space="preserve">старого зразка </w:t>
      </w:r>
      <w:r>
        <w:t>лише прибуткові операції з юридичними та фізичними особами для зарахування на рахунки, вклади, акредитиви та для виконання платіжних операцій;</w:t>
      </w:r>
    </w:p>
    <w:p w:rsidR="00214F9A" w:rsidRDefault="00214F9A" w:rsidP="00214F9A">
      <w:pPr>
        <w:spacing w:before="240" w:after="240"/>
        <w:ind w:firstLine="567"/>
      </w:pPr>
      <w:r>
        <w:t xml:space="preserve">3) забезпечити пакування та здавання до Національного банку України та уповноважених банків банкнот номіналом 500 гривень </w:t>
      </w:r>
      <w:r w:rsidR="00595A99">
        <w:t xml:space="preserve">старого зразка </w:t>
      </w:r>
      <w:r>
        <w:t xml:space="preserve">як повними, так і неповними пачками в установленому порядку; </w:t>
      </w:r>
    </w:p>
    <w:p w:rsidR="00410EC0" w:rsidRDefault="00214F9A" w:rsidP="00214F9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t xml:space="preserve"> 4) розмістити до </w:t>
      </w:r>
      <w:r w:rsidRPr="00B4722B">
        <w:t xml:space="preserve">01 </w:t>
      </w:r>
      <w:r w:rsidR="004A122A">
        <w:t>сер</w:t>
      </w:r>
      <w:r w:rsidRPr="00B4722B">
        <w:t>п</w:t>
      </w:r>
      <w:r w:rsidR="008665F9" w:rsidRPr="00B4722B">
        <w:t>н</w:t>
      </w:r>
      <w:r w:rsidRPr="00B4722B">
        <w:t xml:space="preserve">я </w:t>
      </w:r>
      <w:r>
        <w:t>2024 року в приміщенні банку в доступному для огляду клієнтами місці інформацію щодо поступового вилучення з готівкового обігу банкнот номінал</w:t>
      </w:r>
      <w:r w:rsidR="008665F9">
        <w:t>о</w:t>
      </w:r>
      <w:r>
        <w:t>м 500 гривень</w:t>
      </w:r>
      <w:r w:rsidR="00595A99">
        <w:t xml:space="preserve"> старого зразка</w:t>
      </w:r>
      <w:r>
        <w:t>.</w:t>
      </w:r>
    </w:p>
    <w:p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5. </w:t>
      </w:r>
      <w:r w:rsidR="00815117">
        <w:t>Департаменту комунікацій (</w:t>
      </w:r>
      <w:r w:rsidR="00F9504E">
        <w:t>Юлія Євтушенко</w:t>
      </w:r>
      <w:r w:rsidR="00815117">
        <w:t xml:space="preserve">) розмістити інформацію про поступове вилучення з готівкового обігу банкнот номіналом 500 гривень </w:t>
      </w:r>
      <w:r w:rsidR="00595A99">
        <w:t xml:space="preserve">старого зразка </w:t>
      </w:r>
      <w:r w:rsidR="00815117">
        <w:t xml:space="preserve">на сторінці офіційного Інтернет-представництва Національного банку України та забезпечити інформування громадськості через </w:t>
      </w:r>
      <w:r w:rsidR="007E2F9D">
        <w:t>медіа</w:t>
      </w:r>
      <w:r>
        <w:rPr>
          <w:rFonts w:eastAsiaTheme="minorEastAsia"/>
          <w:noProof/>
          <w:color w:val="000000" w:themeColor="text1"/>
          <w:lang w:eastAsia="en-US"/>
        </w:rPr>
        <w:t>.</w:t>
      </w:r>
    </w:p>
    <w:p w:rsidR="00410EC0" w:rsidRDefault="00410EC0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>6.</w:t>
      </w:r>
      <w:r>
        <w:rPr>
          <w:rFonts w:eastAsiaTheme="minorEastAsia"/>
          <w:noProof/>
          <w:color w:val="000000" w:themeColor="text1"/>
          <w:lang w:val="en-US" w:eastAsia="en-US"/>
        </w:rPr>
        <w:t> </w:t>
      </w:r>
      <w:r w:rsidR="00512CCD">
        <w:t>Департаменту грошового обігу (</w:t>
      </w:r>
      <w:r w:rsidR="0015500B">
        <w:t>Олег Прохода</w:t>
      </w:r>
      <w:r w:rsidR="00512CCD">
        <w:t>) після офіційного опублікування цієї постанови довести до відома банків інформацію про її прийняття.</w:t>
      </w:r>
    </w:p>
    <w:p w:rsidR="00410EC0" w:rsidRDefault="00410EC0" w:rsidP="00410EC0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7. </w:t>
      </w:r>
      <w:r w:rsidR="00512CCD">
        <w:t>Контроль за виконанням цієї постанови покласти на заступника Голови Національного банку України Олексія Шабана.</w:t>
      </w:r>
    </w:p>
    <w:p w:rsidR="00512CCD" w:rsidRDefault="00512CCD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t>8. Постанова набирає чинності з дня, наступного за днем її офіційного опублікування.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512CCD" w:rsidTr="00EA674A">
        <w:tc>
          <w:tcPr>
            <w:tcW w:w="5387" w:type="dxa"/>
            <w:vAlign w:val="bottom"/>
            <w:hideMark/>
          </w:tcPr>
          <w:p w:rsidR="00512CCD" w:rsidRDefault="00512CCD" w:rsidP="00EA674A">
            <w:pPr>
              <w:tabs>
                <w:tab w:val="left" w:pos="7020"/>
                <w:tab w:val="left" w:pos="7200"/>
              </w:tabs>
              <w:ind w:left="-110"/>
              <w:jc w:val="left"/>
              <w:rPr>
                <w:lang w:eastAsia="en-US"/>
              </w:rPr>
            </w:pPr>
          </w:p>
          <w:p w:rsidR="00512CCD" w:rsidRDefault="00512CCD" w:rsidP="00EA674A">
            <w:pPr>
              <w:tabs>
                <w:tab w:val="left" w:pos="7020"/>
                <w:tab w:val="left" w:pos="7200"/>
              </w:tabs>
              <w:ind w:left="-110"/>
              <w:jc w:val="left"/>
              <w:rPr>
                <w:lang w:eastAsia="en-US"/>
              </w:rPr>
            </w:pPr>
          </w:p>
          <w:p w:rsidR="00512CCD" w:rsidRDefault="00512CCD" w:rsidP="00EA674A">
            <w:pPr>
              <w:tabs>
                <w:tab w:val="left" w:pos="7020"/>
                <w:tab w:val="left" w:pos="7200"/>
              </w:tabs>
              <w:ind w:left="-11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Голова </w:t>
            </w:r>
          </w:p>
        </w:tc>
        <w:tc>
          <w:tcPr>
            <w:tcW w:w="4252" w:type="dxa"/>
            <w:vAlign w:val="bottom"/>
            <w:hideMark/>
          </w:tcPr>
          <w:p w:rsidR="00512CCD" w:rsidRDefault="00512CCD" w:rsidP="00EA674A">
            <w:pPr>
              <w:tabs>
                <w:tab w:val="left" w:pos="7020"/>
                <w:tab w:val="left" w:pos="7200"/>
              </w:tabs>
              <w:ind w:left="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Андрій ПИШНИЙ</w:t>
            </w:r>
          </w:p>
        </w:tc>
      </w:tr>
    </w:tbl>
    <w:p w:rsidR="00512CCD" w:rsidRDefault="00512CCD" w:rsidP="00512CCD"/>
    <w:p w:rsidR="00512CCD" w:rsidRDefault="00512CCD" w:rsidP="00512CCD">
      <w:pPr>
        <w:jc w:val="left"/>
        <w:rPr>
          <w:noProof/>
        </w:rPr>
      </w:pPr>
    </w:p>
    <w:p w:rsidR="00512CCD" w:rsidRDefault="00512CCD" w:rsidP="00512CCD">
      <w:pPr>
        <w:jc w:val="left"/>
        <w:rPr>
          <w:noProof/>
        </w:rPr>
      </w:pPr>
      <w:r>
        <w:rPr>
          <w:noProof/>
        </w:rPr>
        <w:t>Інд.</w:t>
      </w:r>
      <w:r>
        <w:rPr>
          <w:noProof/>
          <w:sz w:val="22"/>
          <w:szCs w:val="22"/>
        </w:rPr>
        <w:t xml:space="preserve"> </w:t>
      </w:r>
      <w:r>
        <w:rPr>
          <w:noProof/>
        </w:rPr>
        <w:t>50</w:t>
      </w:r>
    </w:p>
    <w:p w:rsidR="00512CCD" w:rsidRDefault="00512CCD" w:rsidP="00512CCD">
      <w:pPr>
        <w:ind w:firstLine="567"/>
        <w:rPr>
          <w:noProof/>
          <w:lang w:eastAsia="en-US"/>
        </w:rPr>
      </w:pPr>
    </w:p>
    <w:sectPr w:rsidR="00512CCD" w:rsidSect="002F3319"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A6" w:rsidRDefault="00AD66A6" w:rsidP="00E53CCD">
      <w:r>
        <w:separator/>
      </w:r>
    </w:p>
  </w:endnote>
  <w:endnote w:type="continuationSeparator" w:id="0">
    <w:p w:rsidR="00AD66A6" w:rsidRDefault="00AD66A6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A6" w:rsidRDefault="00AD66A6" w:rsidP="00E53CCD">
      <w:r>
        <w:separator/>
      </w:r>
    </w:p>
  </w:footnote>
  <w:footnote w:type="continuationSeparator" w:id="0">
    <w:p w:rsidR="00AD66A6" w:rsidRDefault="00AD66A6" w:rsidP="00E5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15FDE"/>
    <w:rsid w:val="00016403"/>
    <w:rsid w:val="000378F7"/>
    <w:rsid w:val="0003793C"/>
    <w:rsid w:val="000506D8"/>
    <w:rsid w:val="000624FF"/>
    <w:rsid w:val="00063480"/>
    <w:rsid w:val="000713E8"/>
    <w:rsid w:val="00097B89"/>
    <w:rsid w:val="000B2990"/>
    <w:rsid w:val="000B5ADB"/>
    <w:rsid w:val="000C3F58"/>
    <w:rsid w:val="000D44E2"/>
    <w:rsid w:val="000E4B44"/>
    <w:rsid w:val="000E700F"/>
    <w:rsid w:val="00100163"/>
    <w:rsid w:val="001025EF"/>
    <w:rsid w:val="00102C1C"/>
    <w:rsid w:val="001068E6"/>
    <w:rsid w:val="0015500B"/>
    <w:rsid w:val="00157017"/>
    <w:rsid w:val="001652CD"/>
    <w:rsid w:val="00173367"/>
    <w:rsid w:val="001740C0"/>
    <w:rsid w:val="00190E1A"/>
    <w:rsid w:val="00192423"/>
    <w:rsid w:val="001A16FA"/>
    <w:rsid w:val="001A42D2"/>
    <w:rsid w:val="001D3A55"/>
    <w:rsid w:val="001D487A"/>
    <w:rsid w:val="001D5921"/>
    <w:rsid w:val="001E2732"/>
    <w:rsid w:val="001E5DB4"/>
    <w:rsid w:val="001F591C"/>
    <w:rsid w:val="001F64D4"/>
    <w:rsid w:val="001F71E8"/>
    <w:rsid w:val="00204F22"/>
    <w:rsid w:val="00207DA9"/>
    <w:rsid w:val="0021268A"/>
    <w:rsid w:val="00214F9A"/>
    <w:rsid w:val="00233146"/>
    <w:rsid w:val="0023651D"/>
    <w:rsid w:val="00241373"/>
    <w:rsid w:val="0024534C"/>
    <w:rsid w:val="002453A3"/>
    <w:rsid w:val="00253BF9"/>
    <w:rsid w:val="00257FAC"/>
    <w:rsid w:val="00264983"/>
    <w:rsid w:val="00272B80"/>
    <w:rsid w:val="002846E4"/>
    <w:rsid w:val="002A172E"/>
    <w:rsid w:val="002A4D1F"/>
    <w:rsid w:val="002A7DE0"/>
    <w:rsid w:val="002C677D"/>
    <w:rsid w:val="002C7B4D"/>
    <w:rsid w:val="002D171B"/>
    <w:rsid w:val="002D1790"/>
    <w:rsid w:val="002D5205"/>
    <w:rsid w:val="002D52F9"/>
    <w:rsid w:val="002E023A"/>
    <w:rsid w:val="002F3319"/>
    <w:rsid w:val="002F33F0"/>
    <w:rsid w:val="002F660B"/>
    <w:rsid w:val="003046DF"/>
    <w:rsid w:val="0031386A"/>
    <w:rsid w:val="0033133D"/>
    <w:rsid w:val="00356E34"/>
    <w:rsid w:val="00357676"/>
    <w:rsid w:val="00364833"/>
    <w:rsid w:val="00371783"/>
    <w:rsid w:val="0038167B"/>
    <w:rsid w:val="0038385E"/>
    <w:rsid w:val="003A383B"/>
    <w:rsid w:val="003B4F96"/>
    <w:rsid w:val="003C3282"/>
    <w:rsid w:val="003C3985"/>
    <w:rsid w:val="003C421E"/>
    <w:rsid w:val="003C7337"/>
    <w:rsid w:val="003D19A3"/>
    <w:rsid w:val="003D4543"/>
    <w:rsid w:val="003F4317"/>
    <w:rsid w:val="00401EDB"/>
    <w:rsid w:val="00404C93"/>
    <w:rsid w:val="00407877"/>
    <w:rsid w:val="00410EC0"/>
    <w:rsid w:val="00410FA1"/>
    <w:rsid w:val="004318B3"/>
    <w:rsid w:val="004414F7"/>
    <w:rsid w:val="00455B45"/>
    <w:rsid w:val="00472E7B"/>
    <w:rsid w:val="00484152"/>
    <w:rsid w:val="00494BE0"/>
    <w:rsid w:val="004A122A"/>
    <w:rsid w:val="004A7F75"/>
    <w:rsid w:val="004B3455"/>
    <w:rsid w:val="004B4733"/>
    <w:rsid w:val="004D7E2E"/>
    <w:rsid w:val="004E0515"/>
    <w:rsid w:val="004E0E99"/>
    <w:rsid w:val="004E22E2"/>
    <w:rsid w:val="004F5AE4"/>
    <w:rsid w:val="004F62FC"/>
    <w:rsid w:val="00512CCD"/>
    <w:rsid w:val="00523C13"/>
    <w:rsid w:val="005257C2"/>
    <w:rsid w:val="00540210"/>
    <w:rsid w:val="00542533"/>
    <w:rsid w:val="005537EC"/>
    <w:rsid w:val="005624B6"/>
    <w:rsid w:val="00563A19"/>
    <w:rsid w:val="00563AC1"/>
    <w:rsid w:val="0057237F"/>
    <w:rsid w:val="00577402"/>
    <w:rsid w:val="00585F9D"/>
    <w:rsid w:val="00591298"/>
    <w:rsid w:val="00595A99"/>
    <w:rsid w:val="005A0F4B"/>
    <w:rsid w:val="005A18D8"/>
    <w:rsid w:val="005A1D3C"/>
    <w:rsid w:val="005A2BBA"/>
    <w:rsid w:val="005A3F34"/>
    <w:rsid w:val="005A6B99"/>
    <w:rsid w:val="005B2D03"/>
    <w:rsid w:val="005C5CBF"/>
    <w:rsid w:val="005D2F3D"/>
    <w:rsid w:val="005E5423"/>
    <w:rsid w:val="005F6418"/>
    <w:rsid w:val="00610F11"/>
    <w:rsid w:val="0061599B"/>
    <w:rsid w:val="0063071E"/>
    <w:rsid w:val="0063271C"/>
    <w:rsid w:val="00640612"/>
    <w:rsid w:val="00645DCC"/>
    <w:rsid w:val="00653558"/>
    <w:rsid w:val="00655864"/>
    <w:rsid w:val="00670C95"/>
    <w:rsid w:val="00681460"/>
    <w:rsid w:val="00684225"/>
    <w:rsid w:val="006871CD"/>
    <w:rsid w:val="006A0AE1"/>
    <w:rsid w:val="006B2748"/>
    <w:rsid w:val="006C4176"/>
    <w:rsid w:val="006C66EF"/>
    <w:rsid w:val="006D2617"/>
    <w:rsid w:val="006E2386"/>
    <w:rsid w:val="006F3CFB"/>
    <w:rsid w:val="0070152E"/>
    <w:rsid w:val="00702896"/>
    <w:rsid w:val="0071789F"/>
    <w:rsid w:val="00740343"/>
    <w:rsid w:val="007476B2"/>
    <w:rsid w:val="007802D9"/>
    <w:rsid w:val="00783AF2"/>
    <w:rsid w:val="0079324A"/>
    <w:rsid w:val="007A038B"/>
    <w:rsid w:val="007A6609"/>
    <w:rsid w:val="007E0222"/>
    <w:rsid w:val="007E2E2F"/>
    <w:rsid w:val="007E2F9D"/>
    <w:rsid w:val="007F24D1"/>
    <w:rsid w:val="007F514C"/>
    <w:rsid w:val="00802988"/>
    <w:rsid w:val="00805A74"/>
    <w:rsid w:val="008135AE"/>
    <w:rsid w:val="00815117"/>
    <w:rsid w:val="00834346"/>
    <w:rsid w:val="00850F68"/>
    <w:rsid w:val="008555CA"/>
    <w:rsid w:val="008601EA"/>
    <w:rsid w:val="008647CB"/>
    <w:rsid w:val="008665F9"/>
    <w:rsid w:val="00866993"/>
    <w:rsid w:val="00874366"/>
    <w:rsid w:val="00883FEC"/>
    <w:rsid w:val="008A58E9"/>
    <w:rsid w:val="008A704D"/>
    <w:rsid w:val="008B014D"/>
    <w:rsid w:val="008B164A"/>
    <w:rsid w:val="008B4918"/>
    <w:rsid w:val="008C2498"/>
    <w:rsid w:val="008D10FD"/>
    <w:rsid w:val="008D122F"/>
    <w:rsid w:val="00904F17"/>
    <w:rsid w:val="00961672"/>
    <w:rsid w:val="0097288F"/>
    <w:rsid w:val="00984B02"/>
    <w:rsid w:val="009943E9"/>
    <w:rsid w:val="00994CD4"/>
    <w:rsid w:val="00995A8D"/>
    <w:rsid w:val="009A4DE6"/>
    <w:rsid w:val="009C717F"/>
    <w:rsid w:val="009D6D44"/>
    <w:rsid w:val="009F5312"/>
    <w:rsid w:val="00A06ADB"/>
    <w:rsid w:val="00A104FB"/>
    <w:rsid w:val="00A23E04"/>
    <w:rsid w:val="00A47EF0"/>
    <w:rsid w:val="00A50DC0"/>
    <w:rsid w:val="00A51C39"/>
    <w:rsid w:val="00A708BE"/>
    <w:rsid w:val="00A72446"/>
    <w:rsid w:val="00A72F06"/>
    <w:rsid w:val="00A77FFD"/>
    <w:rsid w:val="00AA726B"/>
    <w:rsid w:val="00AB1C0F"/>
    <w:rsid w:val="00AB28F1"/>
    <w:rsid w:val="00AC47B6"/>
    <w:rsid w:val="00AD66A6"/>
    <w:rsid w:val="00AE16F0"/>
    <w:rsid w:val="00AF59AC"/>
    <w:rsid w:val="00B12A6F"/>
    <w:rsid w:val="00B24F71"/>
    <w:rsid w:val="00B27177"/>
    <w:rsid w:val="00B31892"/>
    <w:rsid w:val="00B332B2"/>
    <w:rsid w:val="00B4722B"/>
    <w:rsid w:val="00B5752E"/>
    <w:rsid w:val="00B616A5"/>
    <w:rsid w:val="00B66974"/>
    <w:rsid w:val="00B67B26"/>
    <w:rsid w:val="00B77FBC"/>
    <w:rsid w:val="00B85728"/>
    <w:rsid w:val="00B930E3"/>
    <w:rsid w:val="00BB44AB"/>
    <w:rsid w:val="00BC6419"/>
    <w:rsid w:val="00BE6C11"/>
    <w:rsid w:val="00BF052C"/>
    <w:rsid w:val="00BF0770"/>
    <w:rsid w:val="00C21D33"/>
    <w:rsid w:val="00C22D27"/>
    <w:rsid w:val="00C261F6"/>
    <w:rsid w:val="00C36ED6"/>
    <w:rsid w:val="00C41293"/>
    <w:rsid w:val="00C422E3"/>
    <w:rsid w:val="00C4377C"/>
    <w:rsid w:val="00C437A7"/>
    <w:rsid w:val="00C65DEC"/>
    <w:rsid w:val="00C763A3"/>
    <w:rsid w:val="00C80F5E"/>
    <w:rsid w:val="00C82259"/>
    <w:rsid w:val="00C831BC"/>
    <w:rsid w:val="00C8418C"/>
    <w:rsid w:val="00CD7381"/>
    <w:rsid w:val="00CE3B9F"/>
    <w:rsid w:val="00D0057B"/>
    <w:rsid w:val="00D11F25"/>
    <w:rsid w:val="00D21B6A"/>
    <w:rsid w:val="00D27113"/>
    <w:rsid w:val="00D33A3D"/>
    <w:rsid w:val="00D34DCC"/>
    <w:rsid w:val="00D74DCE"/>
    <w:rsid w:val="00D842D0"/>
    <w:rsid w:val="00DC01F9"/>
    <w:rsid w:val="00DC1E60"/>
    <w:rsid w:val="00DD106B"/>
    <w:rsid w:val="00DD60CC"/>
    <w:rsid w:val="00DD71CB"/>
    <w:rsid w:val="00E022CA"/>
    <w:rsid w:val="00E33B0E"/>
    <w:rsid w:val="00E34A3F"/>
    <w:rsid w:val="00E43E79"/>
    <w:rsid w:val="00E53CB5"/>
    <w:rsid w:val="00E53CCD"/>
    <w:rsid w:val="00E8777E"/>
    <w:rsid w:val="00E97A59"/>
    <w:rsid w:val="00EA1DE4"/>
    <w:rsid w:val="00EA3A24"/>
    <w:rsid w:val="00ED042F"/>
    <w:rsid w:val="00ED5EF3"/>
    <w:rsid w:val="00EE3E8A"/>
    <w:rsid w:val="00F003D3"/>
    <w:rsid w:val="00F03226"/>
    <w:rsid w:val="00F03E32"/>
    <w:rsid w:val="00F31023"/>
    <w:rsid w:val="00F332C0"/>
    <w:rsid w:val="00F42E75"/>
    <w:rsid w:val="00F52D16"/>
    <w:rsid w:val="00F63BD9"/>
    <w:rsid w:val="00F6694C"/>
    <w:rsid w:val="00F9504E"/>
    <w:rsid w:val="00F96F18"/>
    <w:rsid w:val="00FA7B67"/>
    <w:rsid w:val="00FC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DBF48D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customStyle="1" w:styleId="Default">
    <w:name w:val="Default"/>
    <w:rsid w:val="00173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EC275-FE20-46E4-9D38-1303E87B9C8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0113F7D-5760-4CCD-8BC8-FB12A96C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Конюшенко Наталія Валеріївна</cp:lastModifiedBy>
  <cp:revision>5</cp:revision>
  <cp:lastPrinted>2023-07-04T07:51:00Z</cp:lastPrinted>
  <dcterms:created xsi:type="dcterms:W3CDTF">2024-07-18T06:14:00Z</dcterms:created>
  <dcterms:modified xsi:type="dcterms:W3CDTF">2024-07-18T06:16:00Z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