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E3" w:rsidRPr="00B930E3" w:rsidRDefault="00B930E3" w:rsidP="0033204F">
      <w:pPr>
        <w:tabs>
          <w:tab w:val="left" w:pos="567"/>
        </w:tabs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88"/>
        <w:gridCol w:w="1984"/>
        <w:gridCol w:w="261"/>
        <w:gridCol w:w="1674"/>
        <w:gridCol w:w="1886"/>
        <w:gridCol w:w="10"/>
      </w:tblGrid>
      <w:tr w:rsidR="002653D3" w:rsidTr="00050371">
        <w:trPr>
          <w:gridAfter w:val="1"/>
          <w:wAfter w:w="10" w:type="dxa"/>
          <w:trHeight w:val="851"/>
        </w:trPr>
        <w:tc>
          <w:tcPr>
            <w:tcW w:w="3823" w:type="dxa"/>
            <w:gridSpan w:val="2"/>
          </w:tcPr>
          <w:p w:rsidR="002653D3" w:rsidRDefault="002653D3" w:rsidP="00050371"/>
        </w:tc>
        <w:tc>
          <w:tcPr>
            <w:tcW w:w="1984" w:type="dxa"/>
            <w:vMerge w:val="restart"/>
          </w:tcPr>
          <w:p w:rsidR="002653D3" w:rsidRDefault="002653D3" w:rsidP="00050371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.8pt;height:47.4pt" o:ole="">
                  <v:imagedata r:id="rId12" o:title=""/>
                </v:shape>
                <o:OLEObject Type="Embed" ProgID="CorelDraw.Graphic.16" ShapeID="_x0000_i1027" DrawAspect="Content" ObjectID="_1780304766" r:id="rId13"/>
              </w:object>
            </w:r>
          </w:p>
        </w:tc>
        <w:tc>
          <w:tcPr>
            <w:tcW w:w="3821" w:type="dxa"/>
            <w:gridSpan w:val="3"/>
          </w:tcPr>
          <w:p w:rsidR="002653D3" w:rsidRPr="008E1116" w:rsidRDefault="002653D3" w:rsidP="00050371">
            <w:pPr>
              <w:rPr>
                <w:sz w:val="24"/>
                <w:szCs w:val="24"/>
              </w:rPr>
            </w:pPr>
            <w:r w:rsidRPr="008E1116">
              <w:rPr>
                <w:sz w:val="24"/>
                <w:szCs w:val="24"/>
              </w:rPr>
              <w:t>Офіці</w:t>
            </w:r>
            <w:r>
              <w:rPr>
                <w:sz w:val="24"/>
                <w:szCs w:val="24"/>
              </w:rPr>
              <w:t>йно опубліковано 20.06.2024</w:t>
            </w:r>
          </w:p>
        </w:tc>
      </w:tr>
      <w:tr w:rsidR="002653D3" w:rsidTr="00050371">
        <w:trPr>
          <w:gridAfter w:val="1"/>
          <w:wAfter w:w="10" w:type="dxa"/>
        </w:trPr>
        <w:tc>
          <w:tcPr>
            <w:tcW w:w="3823" w:type="dxa"/>
            <w:gridSpan w:val="2"/>
          </w:tcPr>
          <w:p w:rsidR="002653D3" w:rsidRDefault="002653D3" w:rsidP="00050371"/>
        </w:tc>
        <w:tc>
          <w:tcPr>
            <w:tcW w:w="1984" w:type="dxa"/>
            <w:vMerge/>
          </w:tcPr>
          <w:p w:rsidR="002653D3" w:rsidRDefault="002653D3" w:rsidP="00050371"/>
        </w:tc>
        <w:tc>
          <w:tcPr>
            <w:tcW w:w="3821" w:type="dxa"/>
            <w:gridSpan w:val="3"/>
          </w:tcPr>
          <w:p w:rsidR="002653D3" w:rsidRDefault="002653D3" w:rsidP="00050371"/>
        </w:tc>
      </w:tr>
      <w:tr w:rsidR="002653D3" w:rsidTr="00050371">
        <w:tc>
          <w:tcPr>
            <w:tcW w:w="9638" w:type="dxa"/>
            <w:gridSpan w:val="7"/>
          </w:tcPr>
          <w:p w:rsidR="002653D3" w:rsidRPr="00E10F0A" w:rsidRDefault="002653D3" w:rsidP="00050371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2653D3" w:rsidRPr="00AB099D" w:rsidRDefault="002653D3" w:rsidP="00050371">
            <w:pPr>
              <w:jc w:val="center"/>
              <w:rPr>
                <w:b/>
                <w:bCs/>
                <w:color w:val="006600"/>
                <w:sz w:val="32"/>
                <w:szCs w:val="32"/>
              </w:rPr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2653D3" w:rsidTr="00050371">
        <w:tc>
          <w:tcPr>
            <w:tcW w:w="3435" w:type="dxa"/>
            <w:vAlign w:val="bottom"/>
          </w:tcPr>
          <w:p w:rsidR="002653D3" w:rsidRPr="00566BA2" w:rsidRDefault="002653D3" w:rsidP="00050371">
            <w:r>
              <w:t>18 червня 2024 року</w:t>
            </w:r>
          </w:p>
        </w:tc>
        <w:tc>
          <w:tcPr>
            <w:tcW w:w="2633" w:type="dxa"/>
            <w:gridSpan w:val="3"/>
          </w:tcPr>
          <w:p w:rsidR="002653D3" w:rsidRDefault="002653D3" w:rsidP="00050371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674" w:type="dxa"/>
            <w:vAlign w:val="bottom"/>
          </w:tcPr>
          <w:p w:rsidR="002653D3" w:rsidRPr="00101D5A" w:rsidRDefault="002653D3" w:rsidP="00050371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896" w:type="dxa"/>
            <w:gridSpan w:val="2"/>
            <w:vAlign w:val="bottom"/>
          </w:tcPr>
          <w:p w:rsidR="002653D3" w:rsidRDefault="002653D3" w:rsidP="00050371">
            <w:pPr>
              <w:jc w:val="left"/>
            </w:pPr>
            <w:r>
              <w:t>№ 68</w:t>
            </w:r>
          </w:p>
        </w:tc>
      </w:tr>
    </w:tbl>
    <w:p w:rsidR="002653D3" w:rsidRPr="00566BA2" w:rsidRDefault="002653D3" w:rsidP="002653D3">
      <w:pPr>
        <w:rPr>
          <w:sz w:val="4"/>
          <w:szCs w:val="4"/>
        </w:rPr>
      </w:pPr>
    </w:p>
    <w:p w:rsidR="002653D3" w:rsidRPr="00CD0CD4" w:rsidRDefault="002653D3" w:rsidP="002653D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653D3" w:rsidRPr="00F15F5F" w:rsidTr="00050371">
        <w:trPr>
          <w:jc w:val="center"/>
        </w:trPr>
        <w:tc>
          <w:tcPr>
            <w:tcW w:w="5000" w:type="pct"/>
          </w:tcPr>
          <w:p w:rsidR="002653D3" w:rsidRDefault="002653D3" w:rsidP="00050371">
            <w:pPr>
              <w:pStyle w:val="ab"/>
              <w:jc w:val="center"/>
            </w:pPr>
          </w:p>
          <w:p w:rsidR="002653D3" w:rsidRDefault="002653D3" w:rsidP="00050371">
            <w:pPr>
              <w:pStyle w:val="ab"/>
              <w:jc w:val="center"/>
            </w:pPr>
          </w:p>
          <w:p w:rsidR="002653D3" w:rsidRPr="00F15F5F" w:rsidRDefault="002653D3" w:rsidP="00050371">
            <w:pPr>
              <w:pStyle w:val="ab"/>
              <w:jc w:val="center"/>
            </w:pPr>
            <w:r w:rsidRPr="00F15F5F">
              <w:t>Про внесення змін до постанови</w:t>
            </w:r>
          </w:p>
          <w:p w:rsidR="002653D3" w:rsidRPr="00F15F5F" w:rsidRDefault="002653D3" w:rsidP="00050371">
            <w:pPr>
              <w:pStyle w:val="ab"/>
              <w:jc w:val="center"/>
            </w:pPr>
            <w:r w:rsidRPr="00F15F5F">
              <w:t>Правління Національного банку України</w:t>
            </w:r>
          </w:p>
          <w:p w:rsidR="002653D3" w:rsidRPr="00F15F5F" w:rsidRDefault="002653D3" w:rsidP="00050371">
            <w:pPr>
              <w:pStyle w:val="ab"/>
              <w:jc w:val="center"/>
            </w:pPr>
            <w:r w:rsidRPr="00F15F5F">
              <w:t>від 29 липня 2022 року № 165</w:t>
            </w:r>
          </w:p>
          <w:p w:rsidR="002653D3" w:rsidRPr="00F15F5F" w:rsidRDefault="002653D3" w:rsidP="00050371">
            <w:pPr>
              <w:pStyle w:val="ab"/>
              <w:jc w:val="center"/>
              <w:rPr>
                <w:rFonts w:eastAsiaTheme="minorEastAsia"/>
                <w:lang w:eastAsia="en-US"/>
              </w:rPr>
            </w:pPr>
            <w:bookmarkStart w:id="0" w:name="_GoBack"/>
            <w:bookmarkEnd w:id="0"/>
          </w:p>
        </w:tc>
      </w:tr>
    </w:tbl>
    <w:p w:rsidR="008F6008" w:rsidRPr="00F15F5F" w:rsidRDefault="00F437E9" w:rsidP="00F437E9">
      <w:pPr>
        <w:spacing w:before="240" w:after="240"/>
        <w:ind w:firstLine="567"/>
        <w:rPr>
          <w:b/>
        </w:rPr>
      </w:pPr>
      <w:r w:rsidRPr="00F15F5F">
        <w:t>Відповідно до </w:t>
      </w:r>
      <w:hyperlink r:id="rId14" w:anchor="n109" w:tgtFrame="_blank" w:history="1">
        <w:r w:rsidRPr="00F15F5F">
          <w:t>статей 7</w:t>
        </w:r>
      </w:hyperlink>
      <w:r w:rsidRPr="00F15F5F">
        <w:t>, </w:t>
      </w:r>
      <w:hyperlink r:id="rId15" w:anchor="n270" w:tgtFrame="_blank" w:history="1">
        <w:r w:rsidRPr="00F15F5F">
          <w:t>15</w:t>
        </w:r>
      </w:hyperlink>
      <w:r w:rsidRPr="00F15F5F">
        <w:t>, </w:t>
      </w:r>
      <w:hyperlink r:id="rId16" w:anchor="n529" w:tgtFrame="_blank" w:history="1">
        <w:r w:rsidRPr="00F15F5F">
          <w:t>44</w:t>
        </w:r>
      </w:hyperlink>
      <w:r w:rsidRPr="00F15F5F">
        <w:t>, </w:t>
      </w:r>
      <w:hyperlink r:id="rId17" w:anchor="n1057" w:tgtFrame="_blank" w:history="1">
        <w:r w:rsidRPr="00F15F5F">
          <w:t>55</w:t>
        </w:r>
      </w:hyperlink>
      <w:hyperlink r:id="rId18" w:anchor="n1057" w:tgtFrame="_blank" w:history="1">
        <w:r w:rsidRPr="00F15F5F">
          <w:rPr>
            <w:vertAlign w:val="superscript"/>
          </w:rPr>
          <w:t>1</w:t>
        </w:r>
      </w:hyperlink>
      <w:r w:rsidRPr="00F15F5F">
        <w:t>, </w:t>
      </w:r>
      <w:hyperlink r:id="rId19" w:anchor="n632" w:tgtFrame="_blank" w:history="1">
        <w:r w:rsidRPr="00F15F5F">
          <w:t>56</w:t>
        </w:r>
      </w:hyperlink>
      <w:r w:rsidRPr="00F15F5F">
        <w:t> Закону України “Про Національний банк України”, </w:t>
      </w:r>
      <w:r w:rsidR="00A815AF" w:rsidRPr="00F15F5F">
        <w:rPr>
          <w:lang w:eastAsia="ru-RU"/>
        </w:rPr>
        <w:t xml:space="preserve">статей 21, 23, 24, 47 Закону України “Про фінансові послуги та фінансові компанії”, </w:t>
      </w:r>
      <w:hyperlink r:id="rId20" w:anchor="n124" w:tgtFrame="_blank" w:history="1">
        <w:r w:rsidRPr="00F15F5F">
          <w:t>статті 11</w:t>
        </w:r>
      </w:hyperlink>
      <w:r w:rsidRPr="00F15F5F">
        <w:t> Закону України “Про валюту і валютні операції”, Указу Президента України від 24 лютого 2022 року </w:t>
      </w:r>
      <w:hyperlink r:id="rId21" w:tgtFrame="_blank" w:history="1">
        <w:r w:rsidRPr="00F15F5F">
          <w:t>№ 64/2022</w:t>
        </w:r>
      </w:hyperlink>
      <w:r w:rsidRPr="00F15F5F">
        <w:t> “Про введення воєнного стану в Україні”, затвердженого Законом України від 24 лютого 2022 року </w:t>
      </w:r>
      <w:hyperlink r:id="rId22" w:tgtFrame="_blank" w:history="1">
        <w:r w:rsidRPr="00F15F5F">
          <w:t>№ 2102-IX</w:t>
        </w:r>
      </w:hyperlink>
      <w:r w:rsidRPr="00F15F5F">
        <w:t> «Про затвердження Указу Президента України “Про введення воєнного стану в Україні”», з метою вдосконалення процедури проведення позапланових виїзних перевірок установ, які отримали ліцензію на торгівлю валютними цінностями в період дії воєнного стану, Правління Національного банку України</w:t>
      </w:r>
      <w:r w:rsidRPr="00F15F5F">
        <w:rPr>
          <w:b/>
        </w:rPr>
        <w:t xml:space="preserve"> постановляє:</w:t>
      </w:r>
    </w:p>
    <w:p w:rsidR="00E6004C" w:rsidRPr="00F15F5F" w:rsidRDefault="00A1658E" w:rsidP="00A1658E">
      <w:pPr>
        <w:ind w:firstLine="567"/>
        <w:rPr>
          <w:lang w:eastAsia="ru-RU"/>
        </w:rPr>
      </w:pPr>
      <w:r w:rsidRPr="00F15F5F">
        <w:t>1</w:t>
      </w:r>
      <w:r w:rsidRPr="00F15F5F">
        <w:rPr>
          <w:lang w:eastAsia="ru-RU"/>
        </w:rPr>
        <w:t xml:space="preserve">. </w:t>
      </w:r>
      <w:r w:rsidR="00E6004C" w:rsidRPr="00F15F5F">
        <w:rPr>
          <w:lang w:eastAsia="ru-RU"/>
        </w:rPr>
        <w:t>Унести до постанови Правління Національного банку України від 29 липня 2022 року </w:t>
      </w:r>
      <w:hyperlink r:id="rId23" w:tgtFrame="_blank" w:history="1">
        <w:r w:rsidR="00E6004C" w:rsidRPr="00F15F5F">
          <w:rPr>
            <w:lang w:eastAsia="ru-RU"/>
          </w:rPr>
          <w:t>№ 165</w:t>
        </w:r>
      </w:hyperlink>
      <w:r w:rsidR="00E6004C" w:rsidRPr="00F15F5F">
        <w:rPr>
          <w:lang w:eastAsia="ru-RU"/>
        </w:rPr>
        <w:t> “Про особливості регулювання та нагляду за здійсненням діяльності з торгівлі валютними цінностями в готівковій формі в період дії воєнного стану та внесення змін до постанови Правління Національного банку України від 06 березня 2022 року № 39” (зі змінами) такі зміни:</w:t>
      </w:r>
    </w:p>
    <w:p w:rsidR="00D4796D" w:rsidRPr="00F15F5F" w:rsidRDefault="00D4796D" w:rsidP="00A1658E">
      <w:pPr>
        <w:ind w:firstLine="567"/>
        <w:rPr>
          <w:lang w:eastAsia="ru-RU"/>
        </w:rPr>
      </w:pPr>
    </w:p>
    <w:p w:rsidR="003978F5" w:rsidRPr="00F15F5F" w:rsidRDefault="00D4796D" w:rsidP="003978F5">
      <w:pPr>
        <w:pStyle w:val="af3"/>
        <w:numPr>
          <w:ilvl w:val="0"/>
          <w:numId w:val="2"/>
        </w:numPr>
        <w:rPr>
          <w:lang w:eastAsia="ru-RU"/>
        </w:rPr>
      </w:pPr>
      <w:r w:rsidRPr="00F15F5F">
        <w:rPr>
          <w:lang w:eastAsia="ru-RU"/>
        </w:rPr>
        <w:t>пункт 7 викласти в такій редакції:</w:t>
      </w:r>
    </w:p>
    <w:p w:rsidR="00D4796D" w:rsidRPr="00F15F5F" w:rsidRDefault="003978F5" w:rsidP="003978F5">
      <w:pPr>
        <w:ind w:firstLine="567"/>
        <w:rPr>
          <w:lang w:eastAsia="ru-RU"/>
        </w:rPr>
      </w:pPr>
      <w:r w:rsidRPr="00F15F5F">
        <w:t>“</w:t>
      </w:r>
      <w:r w:rsidRPr="00F15F5F">
        <w:rPr>
          <w:lang w:eastAsia="ru-RU"/>
        </w:rPr>
        <w:t xml:space="preserve">7. </w:t>
      </w:r>
      <w:r w:rsidR="003B4558" w:rsidRPr="00F15F5F">
        <w:rPr>
          <w:lang w:eastAsia="ru-RU"/>
        </w:rPr>
        <w:t xml:space="preserve">Національний банк здійснює безвиїзний нагляд, позапланові виїзні перевірки (далі </w:t>
      </w:r>
      <w:r w:rsidR="00BF1FF0" w:rsidRPr="00F15F5F">
        <w:rPr>
          <w:shd w:val="clear" w:color="auto" w:fill="FFFFFF"/>
        </w:rPr>
        <w:t>–</w:t>
      </w:r>
      <w:r w:rsidR="003B4558" w:rsidRPr="00F15F5F">
        <w:rPr>
          <w:lang w:eastAsia="ru-RU"/>
        </w:rPr>
        <w:t xml:space="preserve"> позапланова перевірка) відповідно до Положення про порядок організації та здійснення нагляду у сфері фінансового моніторингу, валютного нагляду, нагляду у сфері реалізації спеціальних економічних та інших обмежувальних заходів (санкцій), затверджен</w:t>
      </w:r>
      <w:r w:rsidR="00400091" w:rsidRPr="00F15F5F">
        <w:rPr>
          <w:lang w:eastAsia="ru-RU"/>
        </w:rPr>
        <w:t>ого</w:t>
      </w:r>
      <w:r w:rsidR="003B4558" w:rsidRPr="00F15F5F">
        <w:rPr>
          <w:lang w:eastAsia="ru-RU"/>
        </w:rPr>
        <w:t xml:space="preserve"> постановою Правління Національного банку України від 30 червня 2020 року №</w:t>
      </w:r>
      <w:r w:rsidR="00FB46BA">
        <w:rPr>
          <w:lang w:val="en-US" w:eastAsia="ru-RU"/>
        </w:rPr>
        <w:t> </w:t>
      </w:r>
      <w:r w:rsidR="003B4558" w:rsidRPr="00F15F5F">
        <w:rPr>
          <w:lang w:eastAsia="ru-RU"/>
        </w:rPr>
        <w:t>90 (у редакції постанови Правління Національного банку України від 04 квітня 2024 року №</w:t>
      </w:r>
      <w:r w:rsidR="00FB46BA">
        <w:rPr>
          <w:lang w:val="en-US" w:eastAsia="ru-RU"/>
        </w:rPr>
        <w:t> </w:t>
      </w:r>
      <w:r w:rsidR="003B4558" w:rsidRPr="00F15F5F">
        <w:rPr>
          <w:lang w:eastAsia="ru-RU"/>
        </w:rPr>
        <w:t>37)</w:t>
      </w:r>
      <w:r w:rsidR="003B4558" w:rsidRPr="00F15F5F" w:rsidDel="00715A35">
        <w:rPr>
          <w:lang w:eastAsia="ru-RU"/>
        </w:rPr>
        <w:t xml:space="preserve"> </w:t>
      </w:r>
      <w:r w:rsidR="003B4558" w:rsidRPr="00F15F5F">
        <w:rPr>
          <w:lang w:eastAsia="ru-RU"/>
        </w:rPr>
        <w:t xml:space="preserve">(далі </w:t>
      </w:r>
      <w:r w:rsidR="00BF1FF0" w:rsidRPr="00F15F5F">
        <w:rPr>
          <w:shd w:val="clear" w:color="auto" w:fill="FFFFFF"/>
        </w:rPr>
        <w:t>–</w:t>
      </w:r>
      <w:r w:rsidR="003B4558" w:rsidRPr="00F15F5F">
        <w:rPr>
          <w:lang w:eastAsia="ru-RU"/>
        </w:rPr>
        <w:t xml:space="preserve"> Положення №</w:t>
      </w:r>
      <w:r w:rsidR="00FB46BA">
        <w:rPr>
          <w:lang w:val="en-US" w:eastAsia="ru-RU"/>
        </w:rPr>
        <w:t> </w:t>
      </w:r>
      <w:r w:rsidR="003B4558" w:rsidRPr="00F15F5F">
        <w:rPr>
          <w:lang w:eastAsia="ru-RU"/>
        </w:rPr>
        <w:t>90), постанови Правління Національного банку Укр</w:t>
      </w:r>
      <w:r w:rsidR="00052D3C" w:rsidRPr="00F15F5F">
        <w:rPr>
          <w:lang w:eastAsia="ru-RU"/>
        </w:rPr>
        <w:t xml:space="preserve">аїни від </w:t>
      </w:r>
      <w:r w:rsidR="003B6738">
        <w:rPr>
          <w:lang w:eastAsia="ru-RU"/>
        </w:rPr>
        <w:t>23</w:t>
      </w:r>
      <w:r w:rsidR="00052D3C" w:rsidRPr="00F15F5F">
        <w:rPr>
          <w:lang w:eastAsia="ru-RU"/>
        </w:rPr>
        <w:t xml:space="preserve"> березня 2022 року №</w:t>
      </w:r>
      <w:r w:rsidR="00FB46BA">
        <w:rPr>
          <w:lang w:val="en-US" w:eastAsia="ru-RU"/>
        </w:rPr>
        <w:t> </w:t>
      </w:r>
      <w:r w:rsidR="003B4558" w:rsidRPr="00F15F5F">
        <w:rPr>
          <w:lang w:eastAsia="ru-RU"/>
        </w:rPr>
        <w:t>60 “Про особливості виконання окремих вимог законодавства у сфері фінансового моніторингу, валютного нагляду, нагляду у сфері реал</w:t>
      </w:r>
      <w:r w:rsidR="009B504D" w:rsidRPr="00F15F5F">
        <w:rPr>
          <w:lang w:eastAsia="ru-RU"/>
        </w:rPr>
        <w:t xml:space="preserve">ізації спеціальних економічних </w:t>
      </w:r>
      <w:r w:rsidR="003B4558" w:rsidRPr="00F15F5F">
        <w:rPr>
          <w:lang w:eastAsia="ru-RU"/>
        </w:rPr>
        <w:t xml:space="preserve">та інших обмежувальних </w:t>
      </w:r>
      <w:r w:rsidR="003B4558" w:rsidRPr="00F15F5F">
        <w:rPr>
          <w:lang w:eastAsia="ru-RU"/>
        </w:rPr>
        <w:lastRenderedPageBreak/>
        <w:t xml:space="preserve">заходів (санкцій) протягом дії воєнного стану” (зі змінами) (далі </w:t>
      </w:r>
      <w:r w:rsidR="00BF1FF0" w:rsidRPr="00F15F5F">
        <w:rPr>
          <w:shd w:val="clear" w:color="auto" w:fill="FFFFFF"/>
        </w:rPr>
        <w:t>–</w:t>
      </w:r>
      <w:r w:rsidR="003B4558" w:rsidRPr="00F15F5F">
        <w:rPr>
          <w:lang w:eastAsia="ru-RU"/>
        </w:rPr>
        <w:t xml:space="preserve"> Постанова №</w:t>
      </w:r>
      <w:r w:rsidR="00FB46BA">
        <w:rPr>
          <w:lang w:val="en-US" w:eastAsia="ru-RU"/>
        </w:rPr>
        <w:t> </w:t>
      </w:r>
      <w:r w:rsidR="003B4558" w:rsidRPr="00F15F5F">
        <w:rPr>
          <w:lang w:eastAsia="ru-RU"/>
        </w:rPr>
        <w:t>60) з урахуванням особливостей, визначених цією постановою.</w:t>
      </w:r>
      <w:r w:rsidRPr="00F15F5F">
        <w:rPr>
          <w:lang w:eastAsia="ru-RU"/>
        </w:rPr>
        <w:t>”;</w:t>
      </w:r>
    </w:p>
    <w:p w:rsidR="00173B00" w:rsidRPr="00F15F5F" w:rsidRDefault="00173B00" w:rsidP="003978F5">
      <w:pPr>
        <w:ind w:firstLine="567"/>
        <w:rPr>
          <w:lang w:eastAsia="ru-RU"/>
        </w:rPr>
      </w:pPr>
    </w:p>
    <w:p w:rsidR="001A3DBC" w:rsidRPr="00F15F5F" w:rsidRDefault="00CC77B6" w:rsidP="001A3DBC">
      <w:pPr>
        <w:ind w:firstLine="567"/>
        <w:rPr>
          <w:shd w:val="clear" w:color="auto" w:fill="FFFFFF"/>
        </w:rPr>
      </w:pPr>
      <w:r w:rsidRPr="00F15F5F">
        <w:rPr>
          <w:shd w:val="clear" w:color="auto" w:fill="FFFFFF"/>
          <w:lang w:val="ru-RU"/>
        </w:rPr>
        <w:t>2</w:t>
      </w:r>
      <w:r w:rsidR="001A3DBC" w:rsidRPr="00F15F5F">
        <w:rPr>
          <w:shd w:val="clear" w:color="auto" w:fill="FFFFFF"/>
          <w:lang w:val="ru-RU"/>
        </w:rPr>
        <w:t>) постанову після пункту</w:t>
      </w:r>
      <w:r w:rsidR="00D7173D" w:rsidRPr="00F15F5F">
        <w:rPr>
          <w:shd w:val="clear" w:color="auto" w:fill="FFFFFF"/>
          <w:lang w:val="ru-RU"/>
        </w:rPr>
        <w:t xml:space="preserve"> 11</w:t>
      </w:r>
      <w:r w:rsidR="001A3DBC" w:rsidRPr="00F15F5F">
        <w:rPr>
          <w:shd w:val="clear" w:color="auto" w:fill="FFFFFF"/>
          <w:lang w:val="ru-RU"/>
        </w:rPr>
        <w:t xml:space="preserve"> </w:t>
      </w:r>
      <w:r w:rsidR="001A3DBC" w:rsidRPr="00F15F5F">
        <w:rPr>
          <w:shd w:val="clear" w:color="auto" w:fill="FFFFFF"/>
        </w:rPr>
        <w:t xml:space="preserve">доповнити </w:t>
      </w:r>
      <w:r w:rsidR="00D7173D" w:rsidRPr="00F15F5F">
        <w:rPr>
          <w:shd w:val="clear" w:color="auto" w:fill="FFFFFF"/>
        </w:rPr>
        <w:t>чотирма новими пунктами 11</w:t>
      </w:r>
      <w:r w:rsidR="001A3DBC" w:rsidRPr="00F15F5F">
        <w:rPr>
          <w:shd w:val="clear" w:color="auto" w:fill="FFFFFF"/>
          <w:vertAlign w:val="superscript"/>
        </w:rPr>
        <w:t>1</w:t>
      </w:r>
      <w:r w:rsidR="001A3DBC" w:rsidRPr="00F15F5F">
        <w:rPr>
          <w:shd w:val="clear" w:color="auto" w:fill="FFFFFF"/>
        </w:rPr>
        <w:t>–</w:t>
      </w:r>
      <w:r w:rsidR="00D7173D" w:rsidRPr="00F15F5F">
        <w:rPr>
          <w:shd w:val="clear" w:color="auto" w:fill="FFFFFF"/>
        </w:rPr>
        <w:t>11</w:t>
      </w:r>
      <w:r w:rsidR="00D7173D" w:rsidRPr="00F15F5F">
        <w:rPr>
          <w:shd w:val="clear" w:color="auto" w:fill="FFFFFF"/>
          <w:vertAlign w:val="superscript"/>
        </w:rPr>
        <w:t>4</w:t>
      </w:r>
      <w:r w:rsidR="001A3DBC" w:rsidRPr="00F15F5F">
        <w:rPr>
          <w:shd w:val="clear" w:color="auto" w:fill="FFFFFF"/>
        </w:rPr>
        <w:t xml:space="preserve"> такого змісту:</w:t>
      </w:r>
    </w:p>
    <w:p w:rsidR="00D7173D" w:rsidRPr="00F15F5F" w:rsidRDefault="00D7173D" w:rsidP="00D7173D">
      <w:pPr>
        <w:ind w:firstLine="567"/>
        <w:rPr>
          <w:shd w:val="clear" w:color="auto" w:fill="FFFFFF"/>
        </w:rPr>
      </w:pPr>
      <w:r w:rsidRPr="00F15F5F">
        <w:rPr>
          <w:shd w:val="clear" w:color="auto" w:fill="FFFFFF"/>
        </w:rPr>
        <w:t>“11</w:t>
      </w:r>
      <w:r w:rsidRPr="00F15F5F">
        <w:rPr>
          <w:shd w:val="clear" w:color="auto" w:fill="FFFFFF"/>
          <w:vertAlign w:val="superscript"/>
        </w:rPr>
        <w:t>1</w:t>
      </w:r>
      <w:r w:rsidRPr="00F15F5F">
        <w:rPr>
          <w:shd w:val="clear" w:color="auto" w:fill="FFFFFF"/>
        </w:rPr>
        <w:t xml:space="preserve">. Керівник або заступник керівника інспекційної групи тимчасово зупиняє здійснення позапланової перевірки </w:t>
      </w:r>
      <w:r w:rsidR="00A811BD">
        <w:rPr>
          <w:shd w:val="clear" w:color="auto" w:fill="FFFFFF"/>
        </w:rPr>
        <w:t xml:space="preserve">в разі </w:t>
      </w:r>
      <w:r w:rsidR="00D758D3" w:rsidRPr="00F15F5F">
        <w:rPr>
          <w:shd w:val="clear" w:color="auto" w:fill="FFFFFF"/>
        </w:rPr>
        <w:t>передачі</w:t>
      </w:r>
      <w:r w:rsidR="00D758D3" w:rsidDel="00D758D3">
        <w:rPr>
          <w:shd w:val="clear" w:color="auto" w:fill="FFFFFF"/>
        </w:rPr>
        <w:t xml:space="preserve"> </w:t>
      </w:r>
      <w:r w:rsidRPr="00F15F5F">
        <w:rPr>
          <w:shd w:val="clear" w:color="auto" w:fill="FFFFFF"/>
        </w:rPr>
        <w:t xml:space="preserve">попереджувального звукового сигналу </w:t>
      </w:r>
      <w:r w:rsidR="0076520A" w:rsidRPr="00F15F5F">
        <w:rPr>
          <w:shd w:val="clear" w:color="auto" w:fill="FFFFFF"/>
        </w:rPr>
        <w:t xml:space="preserve">про загрозу виникнення або виникнення надзвичайних ситуацій </w:t>
      </w:r>
      <w:r w:rsidRPr="00F15F5F">
        <w:rPr>
          <w:shd w:val="clear" w:color="auto" w:fill="FFFFFF"/>
        </w:rPr>
        <w:t>(далі – попереджувальний сигнал) на території</w:t>
      </w:r>
      <w:r w:rsidR="0076520A" w:rsidRPr="00F15F5F">
        <w:rPr>
          <w:shd w:val="clear" w:color="auto" w:fill="FFFFFF"/>
        </w:rPr>
        <w:t>, яка є</w:t>
      </w:r>
      <w:r w:rsidRPr="00F15F5F">
        <w:rPr>
          <w:shd w:val="clear" w:color="auto" w:fill="FFFFFF"/>
        </w:rPr>
        <w:t xml:space="preserve"> </w:t>
      </w:r>
      <w:r w:rsidR="0076520A" w:rsidRPr="00F15F5F">
        <w:rPr>
          <w:shd w:val="clear" w:color="auto" w:fill="FFFFFF"/>
        </w:rPr>
        <w:t xml:space="preserve"> </w:t>
      </w:r>
      <w:r w:rsidRPr="00F15F5F">
        <w:rPr>
          <w:shd w:val="clear" w:color="auto" w:fill="FFFFFF"/>
        </w:rPr>
        <w:t>місцезнаходження</w:t>
      </w:r>
      <w:r w:rsidR="0076520A" w:rsidRPr="00F15F5F">
        <w:rPr>
          <w:shd w:val="clear" w:color="auto" w:fill="FFFFFF"/>
        </w:rPr>
        <w:t>м</w:t>
      </w:r>
      <w:r w:rsidRPr="00F15F5F">
        <w:rPr>
          <w:shd w:val="clear" w:color="auto" w:fill="FFFFFF"/>
        </w:rPr>
        <w:t xml:space="preserve"> структурного/відокремленого підрозділу установи, залишаючи приміщення структурного/відокремленого підрозділу установи. </w:t>
      </w:r>
    </w:p>
    <w:p w:rsidR="00D7173D" w:rsidRPr="00F15F5F" w:rsidRDefault="00D7173D" w:rsidP="00D7173D">
      <w:pPr>
        <w:ind w:firstLine="567"/>
        <w:rPr>
          <w:shd w:val="clear" w:color="auto" w:fill="FFFFFF"/>
        </w:rPr>
      </w:pPr>
      <w:r w:rsidRPr="00F15F5F">
        <w:rPr>
          <w:shd w:val="clear" w:color="auto" w:fill="FFFFFF"/>
        </w:rPr>
        <w:t xml:space="preserve">Керівник або заступник керівника інспекційної групи поновлює здійснення тимчасово зупиненої позапланової перевірки того </w:t>
      </w:r>
      <w:r w:rsidR="0042414B">
        <w:rPr>
          <w:shd w:val="clear" w:color="auto" w:fill="FFFFFF"/>
        </w:rPr>
        <w:t>самого</w:t>
      </w:r>
      <w:r w:rsidR="0042414B" w:rsidRPr="00F15F5F">
        <w:rPr>
          <w:shd w:val="clear" w:color="auto" w:fill="FFFFFF"/>
        </w:rPr>
        <w:t xml:space="preserve"> </w:t>
      </w:r>
      <w:r w:rsidRPr="00F15F5F">
        <w:rPr>
          <w:shd w:val="clear" w:color="auto" w:fill="FFFFFF"/>
        </w:rPr>
        <w:t>дня не пізніше 30 хвилин після передачі попереджувального сигналу про відміну загрози виникнення або виникнення надзвичайних ситуацій на території</w:t>
      </w:r>
      <w:r w:rsidR="00606EDA" w:rsidRPr="00F15F5F">
        <w:rPr>
          <w:shd w:val="clear" w:color="auto" w:fill="FFFFFF"/>
        </w:rPr>
        <w:t>, яка є</w:t>
      </w:r>
      <w:r w:rsidRPr="00F15F5F">
        <w:rPr>
          <w:shd w:val="clear" w:color="auto" w:fill="FFFFFF"/>
        </w:rPr>
        <w:t xml:space="preserve"> місцезнаходження</w:t>
      </w:r>
      <w:r w:rsidR="00606EDA" w:rsidRPr="00F15F5F">
        <w:rPr>
          <w:shd w:val="clear" w:color="auto" w:fill="FFFFFF"/>
        </w:rPr>
        <w:t>м</w:t>
      </w:r>
      <w:r w:rsidRPr="00F15F5F">
        <w:rPr>
          <w:shd w:val="clear" w:color="auto" w:fill="FFFFFF"/>
        </w:rPr>
        <w:t xml:space="preserve"> структурного/відокремленого підрозділу установи, з урахуванням встановленого установою розкладу роботи структурного/</w:t>
      </w:r>
      <w:r w:rsidR="001A270B">
        <w:rPr>
          <w:shd w:val="clear" w:color="auto" w:fill="FFFFFF"/>
        </w:rPr>
        <w:t xml:space="preserve"> </w:t>
      </w:r>
      <w:r w:rsidRPr="00F15F5F">
        <w:rPr>
          <w:shd w:val="clear" w:color="auto" w:fill="FFFFFF"/>
        </w:rPr>
        <w:t xml:space="preserve">відокремленого підрозділу установи. </w:t>
      </w:r>
    </w:p>
    <w:p w:rsidR="00D7173D" w:rsidRPr="00F15F5F" w:rsidRDefault="00D7173D" w:rsidP="00D7173D">
      <w:pPr>
        <w:ind w:firstLine="567"/>
        <w:rPr>
          <w:shd w:val="clear" w:color="auto" w:fill="FFFFFF"/>
        </w:rPr>
      </w:pPr>
      <w:r w:rsidRPr="00F15F5F">
        <w:rPr>
          <w:shd w:val="clear" w:color="auto" w:fill="FFFFFF"/>
        </w:rPr>
        <w:t xml:space="preserve">Працівник структурного/відокремленого підрозділу установи зобов’язаний забезпечити можливість поновлення членами інспекційної групи тимчасово зупиненої позапланової перевірки того </w:t>
      </w:r>
      <w:r w:rsidR="0042414B">
        <w:rPr>
          <w:shd w:val="clear" w:color="auto" w:fill="FFFFFF"/>
        </w:rPr>
        <w:t>самого</w:t>
      </w:r>
      <w:r w:rsidR="0042414B" w:rsidRPr="00F15F5F">
        <w:rPr>
          <w:shd w:val="clear" w:color="auto" w:fill="FFFFFF"/>
        </w:rPr>
        <w:t xml:space="preserve"> </w:t>
      </w:r>
      <w:r w:rsidRPr="00F15F5F">
        <w:rPr>
          <w:shd w:val="clear" w:color="auto" w:fill="FFFFFF"/>
        </w:rPr>
        <w:t>дня не пізніше 30 хвилин з моменту передачі</w:t>
      </w:r>
      <w:r w:rsidR="001A270B">
        <w:rPr>
          <w:shd w:val="clear" w:color="auto" w:fill="FFFFFF"/>
        </w:rPr>
        <w:t xml:space="preserve"> </w:t>
      </w:r>
      <w:r w:rsidR="00F4573C" w:rsidRPr="00F15F5F">
        <w:rPr>
          <w:shd w:val="clear" w:color="auto" w:fill="FFFFFF"/>
        </w:rPr>
        <w:t xml:space="preserve">попереджувального сигналу про </w:t>
      </w:r>
      <w:r w:rsidRPr="00F15F5F">
        <w:rPr>
          <w:shd w:val="clear" w:color="auto" w:fill="FFFFFF"/>
        </w:rPr>
        <w:t>відміну загрози виникнення або виникнення надзвичайних ситуацій на території</w:t>
      </w:r>
      <w:r w:rsidR="00606EDA" w:rsidRPr="00F15F5F">
        <w:rPr>
          <w:shd w:val="clear" w:color="auto" w:fill="FFFFFF"/>
        </w:rPr>
        <w:t>, яка є</w:t>
      </w:r>
      <w:r w:rsidRPr="00F15F5F">
        <w:rPr>
          <w:shd w:val="clear" w:color="auto" w:fill="FFFFFF"/>
        </w:rPr>
        <w:t xml:space="preserve"> місцезнаходження</w:t>
      </w:r>
      <w:r w:rsidR="00606EDA" w:rsidRPr="00F15F5F">
        <w:rPr>
          <w:shd w:val="clear" w:color="auto" w:fill="FFFFFF"/>
        </w:rPr>
        <w:t>м</w:t>
      </w:r>
      <w:r w:rsidRPr="00F15F5F">
        <w:rPr>
          <w:shd w:val="clear" w:color="auto" w:fill="FFFFFF"/>
        </w:rPr>
        <w:t xml:space="preserve"> структурного/відокремленого підрозділу установи, з урахуванням встановленого установою розкладу роботи структурного/відокремленого підрозділу установи. </w:t>
      </w:r>
    </w:p>
    <w:p w:rsidR="00D7173D" w:rsidRPr="00F15F5F" w:rsidRDefault="00D7173D" w:rsidP="00D7173D">
      <w:pPr>
        <w:ind w:firstLine="567"/>
        <w:rPr>
          <w:shd w:val="clear" w:color="auto" w:fill="FFFFFF"/>
        </w:rPr>
      </w:pPr>
      <w:r w:rsidRPr="00F15F5F">
        <w:rPr>
          <w:shd w:val="clear" w:color="auto" w:fill="FFFFFF"/>
        </w:rPr>
        <w:t xml:space="preserve">Керівник або заступник керівника інспекційної групи достроково припиняє позапланову перевірку, якщо згідно </w:t>
      </w:r>
      <w:r w:rsidR="005D4AA7">
        <w:rPr>
          <w:shd w:val="clear" w:color="auto" w:fill="FFFFFF"/>
        </w:rPr>
        <w:t>з у</w:t>
      </w:r>
      <w:r w:rsidRPr="00F15F5F">
        <w:rPr>
          <w:shd w:val="clear" w:color="auto" w:fill="FFFFFF"/>
        </w:rPr>
        <w:t>становлен</w:t>
      </w:r>
      <w:r w:rsidR="005D4AA7">
        <w:rPr>
          <w:shd w:val="clear" w:color="auto" w:fill="FFFFFF"/>
        </w:rPr>
        <w:t>им</w:t>
      </w:r>
      <w:r w:rsidRPr="00F15F5F">
        <w:rPr>
          <w:shd w:val="clear" w:color="auto" w:fill="FFFFFF"/>
        </w:rPr>
        <w:t xml:space="preserve"> установо</w:t>
      </w:r>
      <w:r w:rsidR="007D19AC" w:rsidRPr="00F15F5F">
        <w:rPr>
          <w:shd w:val="clear" w:color="auto" w:fill="FFFFFF"/>
        </w:rPr>
        <w:t xml:space="preserve">ю </w:t>
      </w:r>
      <w:r w:rsidR="005D4AA7" w:rsidRPr="00F15F5F">
        <w:rPr>
          <w:shd w:val="clear" w:color="auto" w:fill="FFFFFF"/>
        </w:rPr>
        <w:t>розклад</w:t>
      </w:r>
      <w:r w:rsidR="005D4AA7">
        <w:rPr>
          <w:shd w:val="clear" w:color="auto" w:fill="FFFFFF"/>
        </w:rPr>
        <w:t>ом</w:t>
      </w:r>
      <w:r w:rsidR="005D4AA7" w:rsidRPr="00F15F5F">
        <w:rPr>
          <w:shd w:val="clear" w:color="auto" w:fill="FFFFFF"/>
        </w:rPr>
        <w:t xml:space="preserve"> </w:t>
      </w:r>
      <w:r w:rsidR="007D19AC" w:rsidRPr="00F15F5F">
        <w:rPr>
          <w:shd w:val="clear" w:color="auto" w:fill="FFFFFF"/>
        </w:rPr>
        <w:t>роботи структурний/</w:t>
      </w:r>
      <w:r w:rsidRPr="00F15F5F">
        <w:rPr>
          <w:shd w:val="clear" w:color="auto" w:fill="FFFFFF"/>
        </w:rPr>
        <w:t>відокремлений підрозділ установи припинить роботу через 30 хвилин після передачі попереджувального сигналу про відміну загрози виникнення або виникнення надзвичайних ситуацій на території</w:t>
      </w:r>
      <w:r w:rsidR="00606EDA" w:rsidRPr="00F15F5F">
        <w:rPr>
          <w:shd w:val="clear" w:color="auto" w:fill="FFFFFF"/>
        </w:rPr>
        <w:t xml:space="preserve">, яка є </w:t>
      </w:r>
      <w:r w:rsidRPr="00F15F5F">
        <w:rPr>
          <w:shd w:val="clear" w:color="auto" w:fill="FFFFFF"/>
        </w:rPr>
        <w:t xml:space="preserve"> місцезнаходження</w:t>
      </w:r>
      <w:r w:rsidR="00606EDA" w:rsidRPr="00F15F5F">
        <w:rPr>
          <w:shd w:val="clear" w:color="auto" w:fill="FFFFFF"/>
        </w:rPr>
        <w:t>м</w:t>
      </w:r>
      <w:r w:rsidRPr="00F15F5F">
        <w:rPr>
          <w:shd w:val="clear" w:color="auto" w:fill="FFFFFF"/>
        </w:rPr>
        <w:t xml:space="preserve"> структурного/відокремленого підрозділу установи (далі – обставини, </w:t>
      </w:r>
      <w:r w:rsidR="00477A47">
        <w:rPr>
          <w:shd w:val="clear" w:color="auto" w:fill="FFFFFF"/>
        </w:rPr>
        <w:t>що</w:t>
      </w:r>
      <w:r w:rsidR="00477A47" w:rsidRPr="00F15F5F">
        <w:rPr>
          <w:shd w:val="clear" w:color="auto" w:fill="FFFFFF"/>
        </w:rPr>
        <w:t xml:space="preserve"> </w:t>
      </w:r>
      <w:r w:rsidRPr="00F15F5F">
        <w:rPr>
          <w:shd w:val="clear" w:color="auto" w:fill="FFFFFF"/>
        </w:rPr>
        <w:t>унеможливлюють здійснення позапланової перевірки).</w:t>
      </w:r>
    </w:p>
    <w:p w:rsidR="000A3186" w:rsidRPr="00F15F5F" w:rsidRDefault="00D7173D" w:rsidP="000A3186">
      <w:pPr>
        <w:pStyle w:val="ab"/>
        <w:ind w:firstLine="567"/>
      </w:pPr>
      <w:r w:rsidRPr="00F15F5F">
        <w:rPr>
          <w:shd w:val="clear" w:color="auto" w:fill="FFFFFF"/>
        </w:rPr>
        <w:t>Керівник або заступник керівника інспекційної групи в день проведення позапланової перевірки складає та підписує акт про тимчасове зупинення/по</w:t>
      </w:r>
      <w:r w:rsidR="00A15C47" w:rsidRPr="00F15F5F">
        <w:rPr>
          <w:shd w:val="clear" w:color="auto" w:fill="FFFFFF"/>
        </w:rPr>
        <w:t xml:space="preserve">новлення позапланової перевірки </w:t>
      </w:r>
      <w:r w:rsidRPr="00F15F5F">
        <w:rPr>
          <w:shd w:val="clear" w:color="auto" w:fill="FFFFFF"/>
        </w:rPr>
        <w:t xml:space="preserve">або акт про виникнення обставин, </w:t>
      </w:r>
      <w:r w:rsidR="00F01613">
        <w:rPr>
          <w:shd w:val="clear" w:color="auto" w:fill="FFFFFF"/>
        </w:rPr>
        <w:t>що</w:t>
      </w:r>
      <w:r w:rsidR="00F01613" w:rsidRPr="00F15F5F">
        <w:rPr>
          <w:shd w:val="clear" w:color="auto" w:fill="FFFFFF"/>
        </w:rPr>
        <w:t xml:space="preserve"> </w:t>
      </w:r>
      <w:r w:rsidRPr="00F15F5F">
        <w:rPr>
          <w:shd w:val="clear" w:color="auto" w:fill="FFFFFF"/>
        </w:rPr>
        <w:t>унеможливлюють здійснення позапланової перевірки, в як</w:t>
      </w:r>
      <w:r w:rsidR="00EE026F" w:rsidRPr="00F15F5F">
        <w:rPr>
          <w:shd w:val="clear" w:color="auto" w:fill="FFFFFF"/>
        </w:rPr>
        <w:t>ому</w:t>
      </w:r>
      <w:r w:rsidRPr="00F15F5F">
        <w:rPr>
          <w:shd w:val="clear" w:color="auto" w:fill="FFFFFF"/>
        </w:rPr>
        <w:t xml:space="preserve"> </w:t>
      </w:r>
      <w:r w:rsidR="005E489C">
        <w:rPr>
          <w:shd w:val="clear" w:color="auto" w:fill="FFFFFF"/>
        </w:rPr>
        <w:t>надає</w:t>
      </w:r>
      <w:r w:rsidR="005E489C" w:rsidRPr="00F15F5F">
        <w:rPr>
          <w:shd w:val="clear" w:color="auto" w:fill="FFFFFF"/>
        </w:rPr>
        <w:t xml:space="preserve"> </w:t>
      </w:r>
      <w:r w:rsidRPr="00F15F5F">
        <w:rPr>
          <w:shd w:val="clear" w:color="auto" w:fill="FFFFFF"/>
        </w:rPr>
        <w:t>опис обставин, що пр</w:t>
      </w:r>
      <w:r w:rsidR="00A767DF" w:rsidRPr="00F15F5F">
        <w:rPr>
          <w:shd w:val="clear" w:color="auto" w:fill="FFFFFF"/>
        </w:rPr>
        <w:t>извели до тимчасового зупинення/</w:t>
      </w:r>
      <w:r w:rsidRPr="00F15F5F">
        <w:rPr>
          <w:shd w:val="clear" w:color="auto" w:fill="FFFFFF"/>
        </w:rPr>
        <w:t xml:space="preserve">поновлення </w:t>
      </w:r>
      <w:r w:rsidR="001761B9" w:rsidRPr="00F15F5F">
        <w:t>позапланової перевірки</w:t>
      </w:r>
      <w:r w:rsidR="00203F7E" w:rsidRPr="00F15F5F">
        <w:t>,</w:t>
      </w:r>
      <w:r w:rsidR="001761B9" w:rsidRPr="00F15F5F">
        <w:t xml:space="preserve"> </w:t>
      </w:r>
      <w:r w:rsidRPr="00F15F5F">
        <w:rPr>
          <w:shd w:val="clear" w:color="auto" w:fill="FFFFFF"/>
        </w:rPr>
        <w:t xml:space="preserve">або </w:t>
      </w:r>
      <w:r w:rsidR="001761B9" w:rsidRPr="00F15F5F">
        <w:t xml:space="preserve">обставин, </w:t>
      </w:r>
      <w:r w:rsidR="00F01613">
        <w:t>що</w:t>
      </w:r>
      <w:r w:rsidR="00F01613" w:rsidRPr="00F15F5F">
        <w:t xml:space="preserve"> </w:t>
      </w:r>
      <w:r w:rsidR="001761B9" w:rsidRPr="00F15F5F">
        <w:t xml:space="preserve">унеможливлюють здійснення позапланової перевірки, що призвели до </w:t>
      </w:r>
      <w:r w:rsidRPr="00F15F5F">
        <w:rPr>
          <w:shd w:val="clear" w:color="auto" w:fill="FFFFFF"/>
        </w:rPr>
        <w:t>дострокового припинення позапланової перевірки, а</w:t>
      </w:r>
      <w:r w:rsidR="00C3648F" w:rsidRPr="00F15F5F">
        <w:rPr>
          <w:shd w:val="clear" w:color="auto" w:fill="FFFFFF"/>
        </w:rPr>
        <w:t xml:space="preserve"> </w:t>
      </w:r>
      <w:r w:rsidRPr="00F15F5F">
        <w:rPr>
          <w:shd w:val="clear" w:color="auto" w:fill="FFFFFF"/>
        </w:rPr>
        <w:t>також інформацію, визначену в пункті 11</w:t>
      </w:r>
      <w:r w:rsidRPr="00F15F5F">
        <w:rPr>
          <w:shd w:val="clear" w:color="auto" w:fill="FFFFFF"/>
          <w:vertAlign w:val="superscript"/>
        </w:rPr>
        <w:t>4</w:t>
      </w:r>
      <w:r w:rsidRPr="00F15F5F">
        <w:rPr>
          <w:shd w:val="clear" w:color="auto" w:fill="FFFFFF"/>
        </w:rPr>
        <w:t xml:space="preserve"> цієї постанови.</w:t>
      </w:r>
      <w:r w:rsidR="001761B9" w:rsidRPr="00F15F5F">
        <w:t xml:space="preserve"> </w:t>
      </w:r>
    </w:p>
    <w:p w:rsidR="005E642F" w:rsidRPr="00F15F5F" w:rsidRDefault="00D7173D" w:rsidP="000A3186">
      <w:pPr>
        <w:pStyle w:val="ab"/>
        <w:ind w:firstLine="567"/>
      </w:pPr>
      <w:r w:rsidRPr="00F15F5F">
        <w:rPr>
          <w:shd w:val="clear" w:color="auto" w:fill="FFFFFF"/>
          <w:lang w:val="ru-RU"/>
        </w:rPr>
        <w:lastRenderedPageBreak/>
        <w:t xml:space="preserve">Позапланова перевірка вважається достроково припиненою з дати складання акта про виникнення обставин, </w:t>
      </w:r>
      <w:r w:rsidR="00F01613">
        <w:rPr>
          <w:shd w:val="clear" w:color="auto" w:fill="FFFFFF"/>
          <w:lang w:val="ru-RU"/>
        </w:rPr>
        <w:t>що</w:t>
      </w:r>
      <w:r w:rsidR="00F01613" w:rsidRPr="00F15F5F">
        <w:rPr>
          <w:shd w:val="clear" w:color="auto" w:fill="FFFFFF"/>
          <w:lang w:val="ru-RU"/>
        </w:rPr>
        <w:t xml:space="preserve"> </w:t>
      </w:r>
      <w:r w:rsidRPr="00F15F5F">
        <w:rPr>
          <w:shd w:val="clear" w:color="auto" w:fill="FFFFFF"/>
          <w:lang w:val="ru-RU"/>
        </w:rPr>
        <w:t>унеможливлюють здійснення позапланової перевірки.</w:t>
      </w:r>
    </w:p>
    <w:p w:rsidR="009B504D" w:rsidRPr="00F15F5F" w:rsidRDefault="009B504D" w:rsidP="00A15C47">
      <w:pPr>
        <w:rPr>
          <w:shd w:val="clear" w:color="auto" w:fill="FFFFFF"/>
          <w:lang w:val="ru-RU"/>
        </w:rPr>
      </w:pPr>
    </w:p>
    <w:p w:rsidR="005849A1" w:rsidRPr="00F15F5F" w:rsidRDefault="00EE038B" w:rsidP="003927FA">
      <w:pPr>
        <w:ind w:firstLine="567"/>
      </w:pPr>
      <w:r w:rsidRPr="00F15F5F">
        <w:t>11</w:t>
      </w:r>
      <w:r w:rsidRPr="00F15F5F">
        <w:rPr>
          <w:vertAlign w:val="superscript"/>
        </w:rPr>
        <w:t>2</w:t>
      </w:r>
      <w:r w:rsidRPr="00F15F5F">
        <w:t>. Акт про тимчасове зупинення/поновлення позапланової перевірки складається невідкладно після оголошення</w:t>
      </w:r>
      <w:r w:rsidR="001A270B">
        <w:t xml:space="preserve"> </w:t>
      </w:r>
      <w:r w:rsidRPr="00F15F5F">
        <w:t>попереджувального сигналу про відміну загрози виникнення або виникнення надзвичайних ситуацій на території</w:t>
      </w:r>
      <w:r w:rsidR="00034D8B" w:rsidRPr="00F15F5F">
        <w:t>, яка є</w:t>
      </w:r>
      <w:r w:rsidRPr="00F15F5F">
        <w:t xml:space="preserve"> місцезнаходження</w:t>
      </w:r>
      <w:r w:rsidR="00034D8B" w:rsidRPr="00F15F5F">
        <w:t>м</w:t>
      </w:r>
      <w:r w:rsidRPr="00F15F5F">
        <w:t xml:space="preserve"> структурного/відокремленого підрозділу</w:t>
      </w:r>
      <w:r w:rsidRPr="00F15F5F">
        <w:rPr>
          <w:shd w:val="clear" w:color="auto" w:fill="FFFFFF"/>
        </w:rPr>
        <w:t xml:space="preserve"> </w:t>
      </w:r>
      <w:r w:rsidRPr="00F15F5F">
        <w:t>установи</w:t>
      </w:r>
      <w:r w:rsidR="00034D8B" w:rsidRPr="00F15F5F">
        <w:t>,</w:t>
      </w:r>
      <w:r w:rsidRPr="00F15F5F">
        <w:t xml:space="preserve"> </w:t>
      </w:r>
      <w:r w:rsidR="00477A47">
        <w:t>у</w:t>
      </w:r>
      <w:r w:rsidR="00477A47" w:rsidRPr="00F15F5F">
        <w:t xml:space="preserve"> </w:t>
      </w:r>
      <w:r w:rsidRPr="00F15F5F">
        <w:t>паперовій формі не менше ніж у двох примірниках та підписується керівником інспекційної групи і заступником керівника інспекційної групи (одним із них у разі тимчасової відсутності іншо</w:t>
      </w:r>
      <w:r w:rsidR="009B504D" w:rsidRPr="00F15F5F">
        <w:t xml:space="preserve">го) та працівником структурного/ </w:t>
      </w:r>
      <w:r w:rsidRPr="00F15F5F">
        <w:t>відокремленого підрозділу установи.</w:t>
      </w:r>
    </w:p>
    <w:p w:rsidR="00B11402" w:rsidRPr="00F15F5F" w:rsidRDefault="00D7238F" w:rsidP="00D7238F">
      <w:pPr>
        <w:ind w:firstLine="567"/>
      </w:pPr>
      <w:r w:rsidRPr="00F15F5F">
        <w:t>К</w:t>
      </w:r>
      <w:r w:rsidR="00B11402" w:rsidRPr="00F15F5F">
        <w:t>ерівник або заступник керівника інспекційної групи</w:t>
      </w:r>
      <w:r w:rsidR="005A72C6" w:rsidRPr="00F15F5F">
        <w:t xml:space="preserve"> в </w:t>
      </w:r>
      <w:r w:rsidR="00C3648F" w:rsidRPr="00F15F5F">
        <w:t xml:space="preserve">акті </w:t>
      </w:r>
      <w:r w:rsidR="00C60345" w:rsidRPr="00F15F5F">
        <w:t>п</w:t>
      </w:r>
      <w:r w:rsidR="005A72C6" w:rsidRPr="00F15F5F">
        <w:t>еред своїм підписом</w:t>
      </w:r>
      <w:r w:rsidR="00BA64BB" w:rsidRPr="00F15F5F">
        <w:t xml:space="preserve"> зазначає</w:t>
      </w:r>
      <w:r w:rsidR="00C32874" w:rsidRPr="00F15F5F">
        <w:t>: “</w:t>
      </w:r>
      <w:r w:rsidR="005A72C6" w:rsidRPr="00F15F5F">
        <w:t xml:space="preserve">Працівник структурного/відокремленого підрозділу установи [зазначаються прізвище, власне </w:t>
      </w:r>
      <w:r w:rsidR="005D4AA7" w:rsidRPr="00F15F5F">
        <w:t>ім</w:t>
      </w:r>
      <w:r w:rsidR="005D4AA7">
        <w:t>’</w:t>
      </w:r>
      <w:r w:rsidR="005D4AA7" w:rsidRPr="00F15F5F">
        <w:t>я</w:t>
      </w:r>
      <w:r w:rsidR="005A72C6" w:rsidRPr="00F15F5F">
        <w:t>, по батькові (за наявності), найменування установи, назва та місцезнаходження структурного/</w:t>
      </w:r>
      <w:r w:rsidR="00C60345" w:rsidRPr="00F15F5F">
        <w:t xml:space="preserve"> </w:t>
      </w:r>
      <w:r w:rsidR="005A72C6" w:rsidRPr="00F15F5F">
        <w:t>відокремленого підрозділу установи] від ознайомлення з актом (з проставленням підпису на акті</w:t>
      </w:r>
      <w:r w:rsidR="00BA64BB" w:rsidRPr="00F15F5F">
        <w:t xml:space="preserve">) </w:t>
      </w:r>
      <w:r w:rsidR="005A72C6" w:rsidRPr="00F15F5F">
        <w:t>відмовився</w:t>
      </w:r>
      <w:r w:rsidR="00C32874" w:rsidRPr="00F15F5F">
        <w:t>”</w:t>
      </w:r>
      <w:r w:rsidRPr="00F15F5F">
        <w:t xml:space="preserve"> </w:t>
      </w:r>
      <w:r w:rsidR="00BA64BB" w:rsidRPr="00F15F5F">
        <w:t>у разі відмови</w:t>
      </w:r>
      <w:r w:rsidRPr="00F15F5F">
        <w:t xml:space="preserve"> працівник</w:t>
      </w:r>
      <w:r w:rsidR="00BA64BB" w:rsidRPr="00F15F5F">
        <w:t>а</w:t>
      </w:r>
      <w:r w:rsidRPr="00F15F5F">
        <w:t xml:space="preserve"> структурного/</w:t>
      </w:r>
      <w:r w:rsidR="00C60345" w:rsidRPr="00F15F5F">
        <w:t xml:space="preserve"> </w:t>
      </w:r>
      <w:r w:rsidRPr="00F15F5F">
        <w:t>відокремленого підрозділу установи від ознайомлення з актом або від проставлення підпису на цьому акті</w:t>
      </w:r>
      <w:r w:rsidR="00BA64BB" w:rsidRPr="00F15F5F">
        <w:t>.</w:t>
      </w:r>
      <w:r w:rsidR="00BA64BB" w:rsidRPr="00F15F5F" w:rsidDel="00D7238F">
        <w:rPr>
          <w:rStyle w:val="af5"/>
          <w:sz w:val="28"/>
          <w:szCs w:val="28"/>
        </w:rPr>
        <w:t xml:space="preserve"> </w:t>
      </w:r>
    </w:p>
    <w:p w:rsidR="00EE038B" w:rsidRPr="00F15F5F" w:rsidRDefault="00EE038B" w:rsidP="00D7173D">
      <w:pPr>
        <w:ind w:firstLine="567"/>
      </w:pPr>
    </w:p>
    <w:p w:rsidR="00EE038B" w:rsidRPr="00F15F5F" w:rsidRDefault="00EE038B" w:rsidP="00D7173D">
      <w:pPr>
        <w:ind w:firstLine="567"/>
      </w:pPr>
      <w:r w:rsidRPr="00F15F5F">
        <w:t>11</w:t>
      </w:r>
      <w:r w:rsidRPr="00F15F5F">
        <w:rPr>
          <w:vertAlign w:val="superscript"/>
        </w:rPr>
        <w:t>3</w:t>
      </w:r>
      <w:r w:rsidRPr="00F15F5F">
        <w:t xml:space="preserve">. Акт про виникнення обставин, </w:t>
      </w:r>
      <w:r w:rsidR="00F01613">
        <w:t>що</w:t>
      </w:r>
      <w:r w:rsidR="00F01613" w:rsidRPr="00F15F5F">
        <w:t xml:space="preserve"> </w:t>
      </w:r>
      <w:r w:rsidRPr="00F15F5F">
        <w:t>унеможливлюють здійснення позапланової перевірки, складається в паперовій формі не менше ніж у двох примірниках та підписується керівником інспекційної групи і заступником керівника інспекційної групи (одним із них у разі тимчасової відсутності іншого).</w:t>
      </w:r>
    </w:p>
    <w:p w:rsidR="00EE038B" w:rsidRPr="00F15F5F" w:rsidRDefault="00EE038B" w:rsidP="00D7173D">
      <w:pPr>
        <w:ind w:firstLine="567"/>
      </w:pPr>
    </w:p>
    <w:p w:rsidR="00EE038B" w:rsidRPr="00F15F5F" w:rsidRDefault="00EE038B" w:rsidP="00EE038B">
      <w:pPr>
        <w:pStyle w:val="ab"/>
        <w:ind w:firstLine="567"/>
      </w:pPr>
      <w:r w:rsidRPr="00F15F5F">
        <w:t>11</w:t>
      </w:r>
      <w:r w:rsidRPr="00F15F5F">
        <w:rPr>
          <w:vertAlign w:val="superscript"/>
        </w:rPr>
        <w:t>4</w:t>
      </w:r>
      <w:r w:rsidRPr="00F15F5F">
        <w:t xml:space="preserve">. В акті про тимчасове зупинення/поновлення позапланової перевірки або акті про виникнення обставин, </w:t>
      </w:r>
      <w:r w:rsidR="00F01613">
        <w:t>що</w:t>
      </w:r>
      <w:r w:rsidR="00F01613" w:rsidRPr="00F15F5F">
        <w:t xml:space="preserve"> </w:t>
      </w:r>
      <w:r w:rsidRPr="00F15F5F">
        <w:t>унеможливлюють здійснення позапланової перевірки, зазначаються:</w:t>
      </w:r>
    </w:p>
    <w:p w:rsidR="00D46C4C" w:rsidRPr="00F15F5F" w:rsidRDefault="00D46C4C" w:rsidP="00EE038B">
      <w:pPr>
        <w:pStyle w:val="ab"/>
        <w:ind w:firstLine="567"/>
      </w:pPr>
    </w:p>
    <w:p w:rsidR="00EE038B" w:rsidRPr="00F15F5F" w:rsidRDefault="00EE038B" w:rsidP="00EE038B">
      <w:pPr>
        <w:pStyle w:val="ab"/>
        <w:ind w:firstLine="567"/>
      </w:pPr>
      <w:r w:rsidRPr="00F15F5F">
        <w:t>1) дата його складання/дата та час початку тимчасового зупинення/поновлення позапланової перевірки;</w:t>
      </w:r>
    </w:p>
    <w:p w:rsidR="00D46C4C" w:rsidRPr="00F15F5F" w:rsidRDefault="00D46C4C" w:rsidP="00EE038B">
      <w:pPr>
        <w:pStyle w:val="ab"/>
        <w:ind w:firstLine="567"/>
      </w:pPr>
    </w:p>
    <w:p w:rsidR="00EE038B" w:rsidRPr="00F15F5F" w:rsidRDefault="00EE038B" w:rsidP="00EE038B">
      <w:pPr>
        <w:pStyle w:val="ab"/>
        <w:ind w:firstLine="567"/>
      </w:pPr>
      <w:r w:rsidRPr="00F15F5F">
        <w:t>2) найменування структурного/відокремленого підрозділу установи, що перевірявся;</w:t>
      </w:r>
    </w:p>
    <w:p w:rsidR="00D46C4C" w:rsidRPr="00F15F5F" w:rsidRDefault="00D46C4C" w:rsidP="00EE038B">
      <w:pPr>
        <w:pStyle w:val="ab"/>
        <w:ind w:firstLine="567"/>
      </w:pPr>
    </w:p>
    <w:p w:rsidR="00EE038B" w:rsidRPr="00F15F5F" w:rsidRDefault="00EE038B" w:rsidP="00EE038B">
      <w:pPr>
        <w:pStyle w:val="ab"/>
        <w:ind w:firstLine="567"/>
      </w:pPr>
      <w:r w:rsidRPr="00F15F5F">
        <w:t xml:space="preserve">3) адреса місцезнаходження структурного/відокремленого підрозділу установи; </w:t>
      </w:r>
    </w:p>
    <w:p w:rsidR="00D46C4C" w:rsidRPr="00F15F5F" w:rsidRDefault="00D46C4C" w:rsidP="00EE038B">
      <w:pPr>
        <w:pStyle w:val="ab"/>
        <w:ind w:firstLine="567"/>
      </w:pPr>
    </w:p>
    <w:p w:rsidR="00EE038B" w:rsidRPr="00F15F5F" w:rsidRDefault="00EE038B" w:rsidP="00EE038B">
      <w:pPr>
        <w:pStyle w:val="ab"/>
        <w:ind w:firstLine="567"/>
      </w:pPr>
      <w:r w:rsidRPr="00F15F5F">
        <w:t>4) дата і номер наказу про позапланову перевірку;</w:t>
      </w:r>
    </w:p>
    <w:p w:rsidR="00D46C4C" w:rsidRPr="00F15F5F" w:rsidRDefault="00D46C4C" w:rsidP="00EE038B">
      <w:pPr>
        <w:pStyle w:val="ab"/>
        <w:ind w:firstLine="567"/>
      </w:pPr>
    </w:p>
    <w:p w:rsidR="00EE038B" w:rsidRPr="00F15F5F" w:rsidRDefault="00EE038B" w:rsidP="00EE038B">
      <w:pPr>
        <w:pStyle w:val="ab"/>
        <w:ind w:firstLine="567"/>
      </w:pPr>
      <w:r w:rsidRPr="00F15F5F">
        <w:lastRenderedPageBreak/>
        <w:t>5) інформація про склад інспекційної групи (із зазначенням прізвищ, ініціалів та посад);</w:t>
      </w:r>
    </w:p>
    <w:p w:rsidR="00D46C4C" w:rsidRPr="00F15F5F" w:rsidRDefault="00D46C4C" w:rsidP="00EE038B">
      <w:pPr>
        <w:pStyle w:val="ab"/>
        <w:ind w:firstLine="567"/>
      </w:pPr>
    </w:p>
    <w:p w:rsidR="00EE038B" w:rsidRPr="00F15F5F" w:rsidRDefault="00EE038B" w:rsidP="00EE038B">
      <w:pPr>
        <w:pStyle w:val="ab"/>
        <w:ind w:firstLine="567"/>
      </w:pPr>
      <w:r w:rsidRPr="00F15F5F">
        <w:t>6) вид перевірки (позапланова);</w:t>
      </w:r>
    </w:p>
    <w:p w:rsidR="00D46C4C" w:rsidRPr="00F15F5F" w:rsidRDefault="00D46C4C" w:rsidP="00EE038B">
      <w:pPr>
        <w:pStyle w:val="ab"/>
        <w:ind w:firstLine="567"/>
      </w:pPr>
    </w:p>
    <w:p w:rsidR="00EE038B" w:rsidRPr="00F15F5F" w:rsidRDefault="00EE038B" w:rsidP="00EE038B">
      <w:pPr>
        <w:pStyle w:val="ab"/>
        <w:ind w:firstLine="567"/>
      </w:pPr>
      <w:r w:rsidRPr="00F15F5F">
        <w:t>7) період, що підлягав позаплановій перевірці;</w:t>
      </w:r>
    </w:p>
    <w:p w:rsidR="00D46C4C" w:rsidRPr="00F15F5F" w:rsidRDefault="00D46C4C" w:rsidP="00EE038B">
      <w:pPr>
        <w:pStyle w:val="ab"/>
        <w:ind w:firstLine="567"/>
      </w:pPr>
    </w:p>
    <w:p w:rsidR="00EE038B" w:rsidRPr="00F15F5F" w:rsidRDefault="00EE038B" w:rsidP="00EE038B">
      <w:pPr>
        <w:pStyle w:val="ab"/>
        <w:ind w:firstLine="567"/>
      </w:pPr>
      <w:r w:rsidRPr="00F15F5F">
        <w:t>8) строк проведення позапланової перевірки;</w:t>
      </w:r>
    </w:p>
    <w:p w:rsidR="005E642F" w:rsidRPr="00F15F5F" w:rsidRDefault="005E642F" w:rsidP="00EE038B">
      <w:pPr>
        <w:pStyle w:val="ab"/>
        <w:ind w:firstLine="567"/>
      </w:pPr>
    </w:p>
    <w:p w:rsidR="00EE038B" w:rsidRPr="00F15F5F" w:rsidRDefault="00EE038B" w:rsidP="00EE038B">
      <w:pPr>
        <w:pStyle w:val="ab"/>
        <w:ind w:firstLine="567"/>
      </w:pPr>
      <w:r w:rsidRPr="00F15F5F">
        <w:t>9) опис обставин</w:t>
      </w:r>
      <w:r w:rsidRPr="00F15F5F">
        <w:rPr>
          <w:rStyle w:val="FontStyle20"/>
          <w:noProof/>
          <w:color w:val="auto"/>
          <w:sz w:val="28"/>
          <w:szCs w:val="28"/>
        </w:rPr>
        <w:t>, що</w:t>
      </w:r>
      <w:r w:rsidRPr="00F15F5F">
        <w:rPr>
          <w:noProof/>
        </w:rPr>
        <w:t xml:space="preserve"> призвели до тимчасового зупинення/поновлення позапланової перевірки</w:t>
      </w:r>
      <w:r w:rsidR="005D4AA7">
        <w:rPr>
          <w:noProof/>
        </w:rPr>
        <w:t>,</w:t>
      </w:r>
      <w:r w:rsidR="005D4AA7" w:rsidRPr="00F15F5F">
        <w:rPr>
          <w:noProof/>
        </w:rPr>
        <w:t xml:space="preserve"> </w:t>
      </w:r>
      <w:r w:rsidRPr="00F15F5F">
        <w:rPr>
          <w:noProof/>
        </w:rPr>
        <w:t xml:space="preserve">або </w:t>
      </w:r>
      <w:r w:rsidRPr="00F15F5F">
        <w:t xml:space="preserve">обставин, </w:t>
      </w:r>
      <w:r w:rsidR="00F01613">
        <w:t>що</w:t>
      </w:r>
      <w:r w:rsidR="00F01613" w:rsidRPr="00F15F5F">
        <w:t xml:space="preserve"> </w:t>
      </w:r>
      <w:r w:rsidRPr="00F15F5F">
        <w:t xml:space="preserve">унеможливлюють здійснення позапланової перевірки, </w:t>
      </w:r>
      <w:r w:rsidR="00F01613">
        <w:t>які</w:t>
      </w:r>
      <w:r w:rsidR="00F01613" w:rsidRPr="00F15F5F">
        <w:t xml:space="preserve"> </w:t>
      </w:r>
      <w:r w:rsidRPr="00F15F5F">
        <w:t xml:space="preserve">призвели до дострокового припинення позапланової перевірки; </w:t>
      </w:r>
    </w:p>
    <w:p w:rsidR="00D46C4C" w:rsidRPr="00F15F5F" w:rsidRDefault="00D46C4C" w:rsidP="00EE038B">
      <w:pPr>
        <w:pStyle w:val="ab"/>
        <w:ind w:firstLine="567"/>
      </w:pPr>
    </w:p>
    <w:p w:rsidR="00EE038B" w:rsidRPr="00F15F5F" w:rsidRDefault="00EE038B" w:rsidP="00EE038B">
      <w:pPr>
        <w:pStyle w:val="ab"/>
        <w:ind w:firstLine="567"/>
        <w:rPr>
          <w:lang w:eastAsia="en-US"/>
        </w:rPr>
      </w:pPr>
      <w:r w:rsidRPr="00F15F5F">
        <w:t xml:space="preserve">10) інша інформація стосовно зафіксованих </w:t>
      </w:r>
      <w:r w:rsidR="00B867FC" w:rsidRPr="00F15F5F">
        <w:t>в</w:t>
      </w:r>
      <w:r w:rsidRPr="00F15F5F">
        <w:t xml:space="preserve"> акті обставин (за потреби).</w:t>
      </w:r>
      <w:r w:rsidR="00E00E5F" w:rsidRPr="00F15F5F">
        <w:rPr>
          <w:lang w:eastAsia="en-US"/>
        </w:rPr>
        <w:t>”;</w:t>
      </w:r>
    </w:p>
    <w:p w:rsidR="00A1134C" w:rsidRPr="00F15F5F" w:rsidRDefault="00A1134C" w:rsidP="00EE038B">
      <w:pPr>
        <w:pStyle w:val="ab"/>
        <w:ind w:firstLine="567"/>
        <w:rPr>
          <w:lang w:eastAsia="en-US"/>
        </w:rPr>
      </w:pPr>
    </w:p>
    <w:p w:rsidR="00A1134C" w:rsidRPr="00F15F5F" w:rsidRDefault="00A1134C" w:rsidP="00A1134C">
      <w:pPr>
        <w:ind w:firstLine="567"/>
        <w:rPr>
          <w:rFonts w:eastAsiaTheme="minorEastAsia"/>
          <w:lang w:eastAsia="en-US"/>
        </w:rPr>
      </w:pPr>
      <w:r w:rsidRPr="00F15F5F">
        <w:rPr>
          <w:lang w:eastAsia="en-US"/>
        </w:rPr>
        <w:t xml:space="preserve">3) </w:t>
      </w:r>
      <w:r w:rsidRPr="00F15F5F">
        <w:rPr>
          <w:rFonts w:eastAsiaTheme="minorEastAsia"/>
          <w:lang w:eastAsia="en-US"/>
        </w:rPr>
        <w:t>у пункті 14:</w:t>
      </w:r>
    </w:p>
    <w:p w:rsidR="00A1134C" w:rsidRPr="00F15F5F" w:rsidRDefault="0099652F" w:rsidP="00A1134C">
      <w:pPr>
        <w:ind w:firstLine="567"/>
        <w:rPr>
          <w:rFonts w:eastAsiaTheme="minorEastAsia"/>
          <w:lang w:eastAsia="en-US"/>
        </w:rPr>
      </w:pPr>
      <w:r w:rsidRPr="00F15F5F">
        <w:t xml:space="preserve">в </w:t>
      </w:r>
      <w:r w:rsidR="00A1134C" w:rsidRPr="00F15F5F">
        <w:t>абзац</w:t>
      </w:r>
      <w:r w:rsidRPr="00F15F5F">
        <w:t>і</w:t>
      </w:r>
      <w:r w:rsidR="00A1134C" w:rsidRPr="00F15F5F">
        <w:t xml:space="preserve"> перш</w:t>
      </w:r>
      <w:r w:rsidRPr="00F15F5F">
        <w:t xml:space="preserve">ому </w:t>
      </w:r>
      <w:r w:rsidR="00A1134C" w:rsidRPr="00F15F5F">
        <w:t>слов</w:t>
      </w:r>
      <w:r w:rsidRPr="00F15F5F">
        <w:t>о</w:t>
      </w:r>
      <w:r w:rsidR="00A1134C" w:rsidRPr="00F15F5F">
        <w:t xml:space="preserve"> “виїзної</w:t>
      </w:r>
      <w:r w:rsidR="00A1134C" w:rsidRPr="00F15F5F">
        <w:rPr>
          <w:rFonts w:eastAsiaTheme="minorEastAsia"/>
          <w:lang w:eastAsia="en-US"/>
        </w:rPr>
        <w:t>”</w:t>
      </w:r>
      <w:r w:rsidRPr="00F15F5F">
        <w:rPr>
          <w:rFonts w:eastAsiaTheme="minorEastAsia"/>
          <w:lang w:eastAsia="en-US"/>
        </w:rPr>
        <w:t xml:space="preserve"> виключити</w:t>
      </w:r>
      <w:r w:rsidR="00A1134C" w:rsidRPr="00F15F5F">
        <w:rPr>
          <w:rFonts w:eastAsiaTheme="minorEastAsia"/>
          <w:lang w:eastAsia="en-US"/>
        </w:rPr>
        <w:t>;</w:t>
      </w:r>
    </w:p>
    <w:p w:rsidR="00E53989" w:rsidRPr="00F15F5F" w:rsidRDefault="00E53989" w:rsidP="00E53989">
      <w:pPr>
        <w:pStyle w:val="ab"/>
        <w:ind w:firstLine="567"/>
      </w:pPr>
      <w:r w:rsidRPr="00F15F5F">
        <w:t xml:space="preserve">пункт </w:t>
      </w:r>
      <w:r w:rsidR="00A1658E" w:rsidRPr="00F15F5F">
        <w:t xml:space="preserve">доповнити </w:t>
      </w:r>
      <w:r w:rsidRPr="00F15F5F">
        <w:t>чотирма новими абзацами такого змісту:</w:t>
      </w:r>
    </w:p>
    <w:p w:rsidR="00E53989" w:rsidRPr="00F15F5F" w:rsidRDefault="00A1658E" w:rsidP="00E53989">
      <w:pPr>
        <w:ind w:firstLine="567"/>
      </w:pPr>
      <w:r w:rsidRPr="00F15F5F">
        <w:t>“</w:t>
      </w:r>
      <w:r w:rsidR="002C7202" w:rsidRPr="00F15F5F">
        <w:t xml:space="preserve">Працівник структурного/відокремленого підрозділу установи </w:t>
      </w:r>
      <w:r w:rsidR="00CC0058" w:rsidRPr="00F15F5F">
        <w:t>в</w:t>
      </w:r>
      <w:r w:rsidR="00E53989" w:rsidRPr="00F15F5F">
        <w:t xml:space="preserve"> разі ненадання на запит інспекційної групи копії фрагмента даних відеоархіву зобов’язаний надати письмові аргументовані пояснення щодо обставин, </w:t>
      </w:r>
      <w:r w:rsidR="00F01613">
        <w:t>що</w:t>
      </w:r>
      <w:r w:rsidR="00F01613" w:rsidRPr="00F15F5F">
        <w:t xml:space="preserve"> </w:t>
      </w:r>
      <w:r w:rsidR="00E53989" w:rsidRPr="00F15F5F">
        <w:t xml:space="preserve">унеможливлюють надання копії фрагмента даних відеоархіву за конкретний проміжок часу, з </w:t>
      </w:r>
      <w:r w:rsidR="00F01613" w:rsidRPr="00F15F5F">
        <w:t>до</w:t>
      </w:r>
      <w:r w:rsidR="00F01613">
        <w:t>дава</w:t>
      </w:r>
      <w:r w:rsidR="00F01613" w:rsidRPr="00F15F5F">
        <w:t xml:space="preserve">нням </w:t>
      </w:r>
      <w:r w:rsidR="00E53989" w:rsidRPr="00F15F5F">
        <w:t xml:space="preserve">їх документального підтвердження (копії та/або витяги з документів). </w:t>
      </w:r>
    </w:p>
    <w:p w:rsidR="00E53989" w:rsidRPr="00F15F5F" w:rsidRDefault="00E53989" w:rsidP="00E53989">
      <w:pPr>
        <w:ind w:firstLine="567"/>
      </w:pPr>
      <w:r w:rsidRPr="00F15F5F">
        <w:t xml:space="preserve">Строк надання інспекційній групі копії фрагмента даних відеоархіву, яка запитується інспекційною групою, або письмових аргументованих пояснень щодо неможливості надання копії фрагмента даних відеоархіву з </w:t>
      </w:r>
      <w:r w:rsidR="00F01613" w:rsidRPr="00F15F5F">
        <w:t>до</w:t>
      </w:r>
      <w:r w:rsidR="00F01613">
        <w:t>дава</w:t>
      </w:r>
      <w:r w:rsidR="00F01613" w:rsidRPr="00F15F5F">
        <w:t xml:space="preserve">нням </w:t>
      </w:r>
      <w:r w:rsidRPr="00F15F5F">
        <w:t xml:space="preserve">їх документального підтвердження не може перевищувати однієї години з моменту отримання запиту інспекційної групи працівником структурного/відокремленого підрозділу установи. </w:t>
      </w:r>
    </w:p>
    <w:p w:rsidR="00E53989" w:rsidRPr="00F15F5F" w:rsidRDefault="00E53989" w:rsidP="00E53989">
      <w:pPr>
        <w:ind w:firstLine="567"/>
      </w:pPr>
      <w:r w:rsidRPr="00F15F5F">
        <w:t>Працівник структурного/відокремленого підрозділу установи має право допустити іншого представника/праців</w:t>
      </w:r>
      <w:r w:rsidR="001A270B">
        <w:t xml:space="preserve">ника установи/структурного/ </w:t>
      </w:r>
      <w:r w:rsidRPr="00F15F5F">
        <w:t xml:space="preserve">відокремленого підрозділу установи до приміщення структурного/ відокремленого підрозділу установи під час проведення позапланової перевірки. </w:t>
      </w:r>
    </w:p>
    <w:p w:rsidR="00A1658E" w:rsidRPr="00F15F5F" w:rsidRDefault="00E53989" w:rsidP="00E53989">
      <w:pPr>
        <w:ind w:firstLine="567"/>
      </w:pPr>
      <w:r w:rsidRPr="00F15F5F">
        <w:t>Керівник або заступник керівника інспекційної групи має право запитувати в осіб, визначених</w:t>
      </w:r>
      <w:r w:rsidR="00203F7E" w:rsidRPr="00F15F5F">
        <w:t xml:space="preserve"> </w:t>
      </w:r>
      <w:r w:rsidR="005D4AA7">
        <w:t>в</w:t>
      </w:r>
      <w:r w:rsidR="005D4AA7" w:rsidRPr="00F15F5F">
        <w:t xml:space="preserve"> </w:t>
      </w:r>
      <w:r w:rsidR="00203F7E" w:rsidRPr="00F15F5F">
        <w:t>абзаці п’ятому</w:t>
      </w:r>
      <w:r w:rsidRPr="00F15F5F">
        <w:t xml:space="preserve"> пункту</w:t>
      </w:r>
      <w:r w:rsidR="004E42CC" w:rsidRPr="00F15F5F">
        <w:t xml:space="preserve"> 14 цієї постанови</w:t>
      </w:r>
      <w:r w:rsidRPr="00F15F5F">
        <w:t xml:space="preserve">, документ, що підтверджує </w:t>
      </w:r>
      <w:r w:rsidR="004A40D5" w:rsidRPr="00F15F5F">
        <w:t xml:space="preserve">їх </w:t>
      </w:r>
      <w:r w:rsidRPr="00F15F5F">
        <w:t>особу та правовідносини з установою.</w:t>
      </w:r>
      <w:r w:rsidR="00E00E5F" w:rsidRPr="00F15F5F">
        <w:t>”;</w:t>
      </w:r>
    </w:p>
    <w:p w:rsidR="00CF11A9" w:rsidRPr="00F15F5F" w:rsidRDefault="00CF11A9" w:rsidP="00E53989">
      <w:pPr>
        <w:ind w:firstLine="567"/>
      </w:pPr>
    </w:p>
    <w:p w:rsidR="00F32BB9" w:rsidRPr="00F15F5F" w:rsidRDefault="00CF11A9" w:rsidP="00F32BB9">
      <w:pPr>
        <w:ind w:firstLine="567"/>
        <w:rPr>
          <w:rFonts w:eastAsiaTheme="minorEastAsia"/>
          <w:lang w:eastAsia="en-US"/>
        </w:rPr>
      </w:pPr>
      <w:r w:rsidRPr="00F15F5F">
        <w:t xml:space="preserve">4) </w:t>
      </w:r>
      <w:r w:rsidR="00F32BB9" w:rsidRPr="00F15F5F">
        <w:rPr>
          <w:rFonts w:eastAsiaTheme="minorEastAsia"/>
          <w:lang w:eastAsia="en-US"/>
        </w:rPr>
        <w:t xml:space="preserve"> пункт</w:t>
      </w:r>
      <w:r w:rsidR="00FC4583" w:rsidRPr="00F15F5F">
        <w:rPr>
          <w:rFonts w:eastAsiaTheme="minorEastAsia"/>
          <w:lang w:eastAsia="en-US"/>
        </w:rPr>
        <w:t>и</w:t>
      </w:r>
      <w:r w:rsidR="00F32BB9" w:rsidRPr="00F15F5F">
        <w:rPr>
          <w:rFonts w:eastAsiaTheme="minorEastAsia"/>
          <w:lang w:eastAsia="en-US"/>
        </w:rPr>
        <w:t xml:space="preserve"> 15</w:t>
      </w:r>
      <w:r w:rsidR="00FC4583" w:rsidRPr="00F15F5F">
        <w:rPr>
          <w:rFonts w:eastAsiaTheme="minorEastAsia"/>
          <w:lang w:eastAsia="en-US"/>
        </w:rPr>
        <w:t xml:space="preserve">, 24 </w:t>
      </w:r>
      <w:r w:rsidR="00A540D8" w:rsidRPr="00F15F5F">
        <w:rPr>
          <w:rFonts w:eastAsiaTheme="minorEastAsia"/>
          <w:lang w:eastAsia="en-US"/>
        </w:rPr>
        <w:t xml:space="preserve"> викласти в такій редакції:</w:t>
      </w:r>
    </w:p>
    <w:p w:rsidR="00423C1F" w:rsidRPr="00F15F5F" w:rsidRDefault="00A540D8" w:rsidP="00423C1F">
      <w:pPr>
        <w:ind w:firstLine="567"/>
      </w:pPr>
      <w:r w:rsidRPr="00F15F5F">
        <w:rPr>
          <w:rFonts w:eastAsiaTheme="minorEastAsia"/>
          <w:lang w:val="ru-RU" w:eastAsia="en-US"/>
        </w:rPr>
        <w:t>“</w:t>
      </w:r>
      <w:r w:rsidRPr="00F15F5F">
        <w:rPr>
          <w:rFonts w:eastAsiaTheme="minorEastAsia"/>
          <w:lang w:eastAsia="en-US"/>
        </w:rPr>
        <w:t xml:space="preserve">15. </w:t>
      </w:r>
      <w:r w:rsidR="00CA0D70" w:rsidRPr="00F15F5F">
        <w:t xml:space="preserve">Керівник установи/працівник структурного/відокремленого підрозділу установи зобов’язаний надати на запит інспекційної групи достовірну </w:t>
      </w:r>
      <w:r w:rsidR="00CA0D70" w:rsidRPr="00F15F5F">
        <w:lastRenderedPageBreak/>
        <w:t>інформацію (документи) у визначених у запиті обсягу, форматі, структурі, вигляді, порядку, строки та носіях надання такої інформації, а також надати доступ до перегляду даних відеоархіву, надати копії фрагмента даних відеоархіву за конкретний проміжок часу</w:t>
      </w:r>
      <w:r w:rsidR="00D34070" w:rsidRPr="00F15F5F">
        <w:t>.</w:t>
      </w:r>
      <w:r w:rsidR="00423C1F" w:rsidRPr="00F15F5F">
        <w:t>”;</w:t>
      </w:r>
    </w:p>
    <w:p w:rsidR="00A826B7" w:rsidRPr="00F15F5F" w:rsidRDefault="00703AA3" w:rsidP="00C815E6">
      <w:pPr>
        <w:ind w:firstLine="567"/>
      </w:pPr>
      <w:r w:rsidRPr="00F15F5F">
        <w:t>“24. Національний банк має право достроково припинити позапланову перевірку структурного/відокремленого підрозділу установи в разі відмови структурного/відокремленого підрозділу установи в її проведенні.”;</w:t>
      </w:r>
    </w:p>
    <w:p w:rsidR="00C815E6" w:rsidRPr="00F15F5F" w:rsidRDefault="00C815E6" w:rsidP="00C815E6">
      <w:pPr>
        <w:ind w:firstLine="567"/>
      </w:pPr>
    </w:p>
    <w:p w:rsidR="00A826B7" w:rsidRPr="00F15F5F" w:rsidRDefault="00917C26" w:rsidP="00A826B7">
      <w:pPr>
        <w:ind w:firstLine="567"/>
        <w:rPr>
          <w:shd w:val="clear" w:color="auto" w:fill="FFFFFF"/>
        </w:rPr>
      </w:pPr>
      <w:r w:rsidRPr="00F15F5F">
        <w:t>5</w:t>
      </w:r>
      <w:r w:rsidR="00A826B7" w:rsidRPr="00F15F5F">
        <w:t xml:space="preserve">) </w:t>
      </w:r>
      <w:r w:rsidR="00A826B7" w:rsidRPr="00F15F5F">
        <w:rPr>
          <w:shd w:val="clear" w:color="auto" w:fill="FFFFFF"/>
          <w:lang w:val="ru-RU"/>
        </w:rPr>
        <w:t xml:space="preserve">постанову після пункту 24 </w:t>
      </w:r>
      <w:r w:rsidR="00A826B7" w:rsidRPr="00F15F5F">
        <w:rPr>
          <w:shd w:val="clear" w:color="auto" w:fill="FFFFFF"/>
        </w:rPr>
        <w:t>доповнити новим пунктом 24</w:t>
      </w:r>
      <w:r w:rsidR="00A826B7" w:rsidRPr="00F15F5F">
        <w:rPr>
          <w:shd w:val="clear" w:color="auto" w:fill="FFFFFF"/>
          <w:vertAlign w:val="superscript"/>
        </w:rPr>
        <w:t>1</w:t>
      </w:r>
      <w:r w:rsidR="00A826B7" w:rsidRPr="00F15F5F">
        <w:rPr>
          <w:shd w:val="clear" w:color="auto" w:fill="FFFFFF"/>
        </w:rPr>
        <w:t xml:space="preserve"> такого змісту:</w:t>
      </w:r>
    </w:p>
    <w:p w:rsidR="00A826B7" w:rsidRPr="00F15F5F" w:rsidRDefault="00A826B7" w:rsidP="00A826B7">
      <w:pPr>
        <w:ind w:firstLine="567"/>
        <w:rPr>
          <w:lang w:val="ru-RU"/>
        </w:rPr>
      </w:pPr>
      <w:r w:rsidRPr="00F15F5F">
        <w:t>“24</w:t>
      </w:r>
      <w:r w:rsidRPr="00F15F5F">
        <w:rPr>
          <w:vertAlign w:val="superscript"/>
        </w:rPr>
        <w:t>1</w:t>
      </w:r>
      <w:r w:rsidRPr="00F15F5F">
        <w:t xml:space="preserve">. </w:t>
      </w:r>
      <w:r w:rsidR="005E489C">
        <w:t>Вимоги а</w:t>
      </w:r>
      <w:r w:rsidRPr="00F15F5F">
        <w:t>бзац</w:t>
      </w:r>
      <w:r w:rsidR="005E489C">
        <w:t>у</w:t>
      </w:r>
      <w:r w:rsidRPr="00F15F5F">
        <w:t xml:space="preserve"> друг</w:t>
      </w:r>
      <w:r w:rsidR="005E489C">
        <w:t>ого</w:t>
      </w:r>
      <w:r w:rsidRPr="00F15F5F">
        <w:t xml:space="preserve"> пункту 34 розділу ІІ та пункт</w:t>
      </w:r>
      <w:r w:rsidR="005E489C">
        <w:t>ів</w:t>
      </w:r>
      <w:r w:rsidRPr="00F15F5F">
        <w:t xml:space="preserve"> 100–104 розділу </w:t>
      </w:r>
      <w:r w:rsidRPr="00F15F5F">
        <w:rPr>
          <w:lang w:val="en-US"/>
        </w:rPr>
        <w:t>V</w:t>
      </w:r>
      <w:r w:rsidRPr="00F15F5F">
        <w:t xml:space="preserve"> Положення № 90 не </w:t>
      </w:r>
      <w:r w:rsidR="005E489C">
        <w:t>поширюються</w:t>
      </w:r>
      <w:r w:rsidR="005E489C" w:rsidRPr="00F15F5F">
        <w:t xml:space="preserve"> </w:t>
      </w:r>
      <w:r w:rsidR="005E489C">
        <w:t xml:space="preserve">на </w:t>
      </w:r>
      <w:r w:rsidRPr="00F15F5F">
        <w:t>установи/</w:t>
      </w:r>
      <w:r w:rsidR="005E489C" w:rsidRPr="00F15F5F">
        <w:t>структурн</w:t>
      </w:r>
      <w:r w:rsidR="005E489C">
        <w:t>і</w:t>
      </w:r>
      <w:r w:rsidRPr="00F15F5F">
        <w:t>/</w:t>
      </w:r>
      <w:r w:rsidR="005E489C" w:rsidRPr="00F15F5F">
        <w:t>відокремлен</w:t>
      </w:r>
      <w:r w:rsidR="005E489C">
        <w:t>і</w:t>
      </w:r>
      <w:r w:rsidR="005E489C" w:rsidRPr="00F15F5F">
        <w:t xml:space="preserve"> підрозділ</w:t>
      </w:r>
      <w:r w:rsidR="005E489C">
        <w:t>и</w:t>
      </w:r>
      <w:r w:rsidR="005E489C" w:rsidRPr="00F15F5F">
        <w:t xml:space="preserve"> </w:t>
      </w:r>
      <w:r w:rsidRPr="00F15F5F">
        <w:t xml:space="preserve">та </w:t>
      </w:r>
      <w:r w:rsidR="005E489C" w:rsidRPr="00F15F5F">
        <w:t>Національн</w:t>
      </w:r>
      <w:r w:rsidR="005E489C">
        <w:t>ий</w:t>
      </w:r>
      <w:r w:rsidR="005E489C" w:rsidRPr="00F15F5F">
        <w:t xml:space="preserve"> </w:t>
      </w:r>
      <w:r w:rsidRPr="00F15F5F">
        <w:t>банк.”;</w:t>
      </w:r>
    </w:p>
    <w:p w:rsidR="00AC249A" w:rsidRPr="00F15F5F" w:rsidRDefault="00AC249A" w:rsidP="00A826B7">
      <w:pPr>
        <w:ind w:firstLine="567"/>
      </w:pPr>
    </w:p>
    <w:p w:rsidR="00AC249A" w:rsidRPr="00F15F5F" w:rsidRDefault="00917C26" w:rsidP="00AC249A">
      <w:pPr>
        <w:ind w:firstLine="567"/>
      </w:pPr>
      <w:r w:rsidRPr="00F15F5F">
        <w:t>6</w:t>
      </w:r>
      <w:r w:rsidR="00AC249A" w:rsidRPr="00F15F5F">
        <w:t>) пункт</w:t>
      </w:r>
      <w:r w:rsidR="005B108C" w:rsidRPr="00F15F5F">
        <w:t>и</w:t>
      </w:r>
      <w:r w:rsidR="00AC249A" w:rsidRPr="00F15F5F">
        <w:t xml:space="preserve"> 25</w:t>
      </w:r>
      <w:r w:rsidR="005B108C" w:rsidRPr="00F15F5F">
        <w:t xml:space="preserve">, 26 </w:t>
      </w:r>
      <w:r w:rsidR="00AC249A" w:rsidRPr="00F15F5F">
        <w:t xml:space="preserve"> викласти в такій редакції:</w:t>
      </w:r>
    </w:p>
    <w:p w:rsidR="00AC249A" w:rsidRPr="00F15F5F" w:rsidRDefault="00AC249A" w:rsidP="00AC249A">
      <w:pPr>
        <w:ind w:firstLine="567"/>
      </w:pPr>
      <w:r w:rsidRPr="00F15F5F">
        <w:t xml:space="preserve">“25. Керівник </w:t>
      </w:r>
      <w:r w:rsidR="00FE3B51">
        <w:t>і</w:t>
      </w:r>
      <w:r w:rsidR="00FE3B51" w:rsidRPr="00F15F5F">
        <w:t xml:space="preserve"> </w:t>
      </w:r>
      <w:r w:rsidRPr="00F15F5F">
        <w:t xml:space="preserve">заступник керівника інспекційної групи (один із них у разі тимчасової відсутності іншого) </w:t>
      </w:r>
      <w:r w:rsidR="005D4AA7">
        <w:t>у</w:t>
      </w:r>
      <w:r w:rsidR="005D4AA7" w:rsidRPr="00F15F5F">
        <w:t xml:space="preserve"> </w:t>
      </w:r>
      <w:r w:rsidRPr="00F15F5F">
        <w:t>день проведення позапланової перевірки склада</w:t>
      </w:r>
      <w:r w:rsidR="00FE3B51">
        <w:t>ють</w:t>
      </w:r>
      <w:r w:rsidRPr="00F15F5F">
        <w:t xml:space="preserve"> та підпису</w:t>
      </w:r>
      <w:r w:rsidR="00FE3B51">
        <w:t>ють</w:t>
      </w:r>
      <w:r w:rsidRPr="00F15F5F">
        <w:t xml:space="preserve"> акт про відмову </w:t>
      </w:r>
      <w:r w:rsidR="00CC0058" w:rsidRPr="00F15F5F">
        <w:t>в</w:t>
      </w:r>
      <w:r w:rsidRPr="00F15F5F">
        <w:t xml:space="preserve"> проведенні позапланової перевірки (далі – акт про відмову) </w:t>
      </w:r>
      <w:r w:rsidR="005D4AA7">
        <w:t>у</w:t>
      </w:r>
      <w:r w:rsidR="005D4AA7" w:rsidRPr="00F15F5F">
        <w:t xml:space="preserve"> </w:t>
      </w:r>
      <w:r w:rsidRPr="00F15F5F">
        <w:t xml:space="preserve">паперовій формі не менше ніж у двох примірниках </w:t>
      </w:r>
      <w:r w:rsidR="00052D3C" w:rsidRPr="00F15F5F">
        <w:t>у</w:t>
      </w:r>
      <w:r w:rsidRPr="00F15F5F">
        <w:t xml:space="preserve"> разі настання одного, кількох або всіх випадків:</w:t>
      </w:r>
    </w:p>
    <w:p w:rsidR="00AC249A" w:rsidRPr="00F15F5F" w:rsidRDefault="00AC249A" w:rsidP="00AC249A">
      <w:pPr>
        <w:ind w:firstLine="567"/>
      </w:pPr>
    </w:p>
    <w:p w:rsidR="00AC249A" w:rsidRPr="00F15F5F" w:rsidRDefault="00AC249A" w:rsidP="00AC249A">
      <w:pPr>
        <w:ind w:firstLine="567"/>
      </w:pPr>
      <w:r w:rsidRPr="00F15F5F">
        <w:t>1) недопущення структурним/відокремленим підрозділом установи інспекційної групи до проведення позапланової перевірки;</w:t>
      </w:r>
    </w:p>
    <w:p w:rsidR="00AC249A" w:rsidRPr="00F15F5F" w:rsidRDefault="00AC249A" w:rsidP="00AC249A">
      <w:pPr>
        <w:ind w:firstLine="567"/>
      </w:pPr>
    </w:p>
    <w:p w:rsidR="00AC249A" w:rsidRPr="00F15F5F" w:rsidRDefault="00AC249A" w:rsidP="00AC249A">
      <w:pPr>
        <w:ind w:firstLine="567"/>
      </w:pPr>
      <w:r w:rsidRPr="00F15F5F">
        <w:t>2) відмови в доступі до приміщень структурного/відокремленого підрозділу установи;</w:t>
      </w:r>
    </w:p>
    <w:p w:rsidR="00AC249A" w:rsidRPr="00F15F5F" w:rsidRDefault="00AC249A" w:rsidP="00AC249A">
      <w:pPr>
        <w:ind w:firstLine="567"/>
      </w:pPr>
    </w:p>
    <w:p w:rsidR="00AC249A" w:rsidRPr="00F15F5F" w:rsidRDefault="00AC249A" w:rsidP="00AC249A">
      <w:pPr>
        <w:ind w:firstLine="567"/>
      </w:pPr>
      <w:r w:rsidRPr="00F15F5F">
        <w:t>3) ненадання структурним/відокремленим підрозділом установи документів, інформації з питань, які підлягають позаплановій перевірці, що унеможливлює проведення позапланової перевірки;</w:t>
      </w:r>
    </w:p>
    <w:p w:rsidR="00AC249A" w:rsidRPr="00F15F5F" w:rsidRDefault="00AC249A" w:rsidP="00AC249A">
      <w:pPr>
        <w:ind w:firstLine="567"/>
      </w:pPr>
    </w:p>
    <w:p w:rsidR="00AC249A" w:rsidRPr="00F15F5F" w:rsidRDefault="00AC249A" w:rsidP="00AC249A">
      <w:pPr>
        <w:ind w:firstLine="567"/>
      </w:pPr>
      <w:r w:rsidRPr="00F15F5F">
        <w:t>4) ненадання структурним/відокремленим підрозділом установи доступу членам інспекційної групи до систем автоматизації валютних операцій;</w:t>
      </w:r>
    </w:p>
    <w:p w:rsidR="00AC249A" w:rsidRPr="00F15F5F" w:rsidRDefault="00AC249A" w:rsidP="00AC249A">
      <w:pPr>
        <w:ind w:firstLine="567"/>
      </w:pPr>
    </w:p>
    <w:p w:rsidR="00AC249A" w:rsidRPr="00F15F5F" w:rsidRDefault="00AC249A" w:rsidP="00AC249A">
      <w:pPr>
        <w:ind w:firstLine="567"/>
      </w:pPr>
      <w:r w:rsidRPr="00F15F5F">
        <w:t>5) інші випадки, що свідчать про відмову в проведенні позапланової перевірки.</w:t>
      </w:r>
    </w:p>
    <w:p w:rsidR="00034E89" w:rsidRPr="00F15F5F" w:rsidRDefault="00034E89" w:rsidP="00AC249A">
      <w:pPr>
        <w:ind w:firstLine="567"/>
      </w:pPr>
    </w:p>
    <w:p w:rsidR="00E808E8" w:rsidRPr="00F15F5F" w:rsidRDefault="00034E89" w:rsidP="00034E89">
      <w:pPr>
        <w:ind w:firstLine="567"/>
      </w:pPr>
      <w:r w:rsidRPr="00F15F5F">
        <w:t>26. В акті про відмову зазначаються:</w:t>
      </w:r>
    </w:p>
    <w:p w:rsidR="00034E89" w:rsidRPr="00F15F5F" w:rsidRDefault="00034E89" w:rsidP="001E6D85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>1) дата його складання;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A3186">
      <w:pPr>
        <w:ind w:firstLine="567"/>
      </w:pPr>
      <w:r w:rsidRPr="00F15F5F">
        <w:t>2) місце його складання;</w:t>
      </w:r>
    </w:p>
    <w:p w:rsidR="00917C26" w:rsidRPr="00FE1BAC" w:rsidRDefault="00917C26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lastRenderedPageBreak/>
        <w:t>3) час його складання;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>4) дата і номер наказу про позапланову перевірку;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>5) вид перевірки (позапланова);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C43F09">
      <w:pPr>
        <w:ind w:firstLine="567"/>
      </w:pPr>
      <w:r w:rsidRPr="00F15F5F">
        <w:t>6) період, що підлягав позаплановій перевірці;</w:t>
      </w:r>
    </w:p>
    <w:p w:rsidR="00C43F09" w:rsidRPr="00F15F5F" w:rsidRDefault="00C43F09" w:rsidP="00C43F0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>7) строк проведення позапланової перевірки;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 xml:space="preserve">8) найменування структурного/відокремленого підрозділу установи, що перевірявся; 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>9) адреса місцезнаходження структурного/відокремленого підрозділу</w:t>
      </w:r>
      <w:r w:rsidR="00052D3C" w:rsidRPr="00F15F5F">
        <w:t xml:space="preserve"> установи</w:t>
      </w:r>
      <w:r w:rsidRPr="00F15F5F">
        <w:t>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>10) дата та час прибуття інспекційної групи за адресою місцезнаходження структурного/відокремленого підрозділу установи;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>11) факт вручення/невручення за адресою місцезнаходження структурного/</w:t>
      </w:r>
      <w:r w:rsidR="00D8636A" w:rsidRPr="00F15F5F">
        <w:t xml:space="preserve"> </w:t>
      </w:r>
      <w:r w:rsidRPr="00F15F5F">
        <w:t>відокремленого підрозділу установи копії наказу про позапланову перевірку в паперовій формі;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>12) прізвище, власне ім’я, по батькові (за наявності), посада працівника структурного/відокремленого підрозділу установи, якому за адресою</w:t>
      </w:r>
      <w:r w:rsidR="00645566" w:rsidRPr="00F15F5F">
        <w:t xml:space="preserve"> місцезнаходження структурного/</w:t>
      </w:r>
      <w:r w:rsidRPr="00F15F5F">
        <w:t>відокремленого підрозділу установи вручено копію наказу про позапланову перевірку в паперовій формі;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>13) причини невручення за адресою місцезнаходження структурного/</w:t>
      </w:r>
      <w:r w:rsidR="00645566" w:rsidRPr="00F15F5F">
        <w:t xml:space="preserve"> </w:t>
      </w:r>
      <w:r w:rsidRPr="00F15F5F">
        <w:t xml:space="preserve">відокремленого підрозділу установи копії наказу про позапланову перевірку в паперовій формі; 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 xml:space="preserve">14) опис фактів відмови структурного/відокремленого підрозділу установи в проведенні позапланової перевірки, включаючи: </w:t>
      </w:r>
    </w:p>
    <w:p w:rsidR="00034E89" w:rsidRPr="00F15F5F" w:rsidRDefault="00034E89" w:rsidP="00034E89">
      <w:pPr>
        <w:ind w:firstLine="567"/>
      </w:pPr>
      <w:r w:rsidRPr="00F15F5F">
        <w:t>недопущення структурним/відокремленим підрозділом установи інспекційної групи до проведення позапланової перевірки;</w:t>
      </w:r>
    </w:p>
    <w:p w:rsidR="00034E89" w:rsidRPr="00F15F5F" w:rsidRDefault="00034E89" w:rsidP="00034E89">
      <w:pPr>
        <w:ind w:firstLine="567"/>
      </w:pPr>
      <w:r w:rsidRPr="00F15F5F">
        <w:t>відмову в доступі до приміщень структурного/відокремленого підрозділу установи;</w:t>
      </w:r>
    </w:p>
    <w:p w:rsidR="00034E89" w:rsidRPr="00F15F5F" w:rsidRDefault="00034E89" w:rsidP="00034E89">
      <w:pPr>
        <w:ind w:firstLine="567"/>
      </w:pPr>
      <w:r w:rsidRPr="00F15F5F">
        <w:t>ненадання структурним/відокремленим підрозділом установи документів, інформації з питань, які підлягають позаплановій перевірці, що унеможливлює проведення позапланової перевірки;</w:t>
      </w:r>
    </w:p>
    <w:p w:rsidR="00034E89" w:rsidRPr="00F15F5F" w:rsidRDefault="00034E89" w:rsidP="00034E89">
      <w:pPr>
        <w:ind w:firstLine="567"/>
      </w:pPr>
      <w:r w:rsidRPr="00F15F5F">
        <w:lastRenderedPageBreak/>
        <w:t>ненадання структурним/відокремленим підрозділом установи доступу членам інспекційної групи до систем автоматизації валютних операцій;</w:t>
      </w:r>
    </w:p>
    <w:p w:rsidR="00034E89" w:rsidRPr="00F15F5F" w:rsidRDefault="00034E89" w:rsidP="00034E89">
      <w:pPr>
        <w:ind w:firstLine="567"/>
      </w:pPr>
      <w:r w:rsidRPr="00F15F5F">
        <w:t>інші випадки, що свідчать про відмову в проведенні позапланової перевірки;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 xml:space="preserve">15) факт відмови працівника структурного/відокремленого підрозділу установи від отримання акта про відмову за адресою місцезнаходження структурного/відокремленого підрозділу установи; </w:t>
      </w:r>
    </w:p>
    <w:p w:rsidR="005E642F" w:rsidRPr="00F15F5F" w:rsidRDefault="005E642F" w:rsidP="00A15C47"/>
    <w:p w:rsidR="00034E89" w:rsidRPr="00F15F5F" w:rsidRDefault="00034E89" w:rsidP="00034E89">
      <w:pPr>
        <w:ind w:firstLine="567"/>
      </w:pPr>
      <w:r w:rsidRPr="00F15F5F">
        <w:t xml:space="preserve">16) прізвище, власне ім’я, по батькові (за наявності), посада працівника структурного/відокремленого підрозділу установи, </w:t>
      </w:r>
      <w:r w:rsidR="00052D3C" w:rsidRPr="00F15F5F">
        <w:t>в</w:t>
      </w:r>
      <w:r w:rsidRPr="00F15F5F">
        <w:t xml:space="preserve"> присутності якого підписано акт про відмову (за наявності такого працівника за адресою місцезнаходження структурного/відокремленого підрозділу установи на момент складання акта про відмову);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>17) прізвище, власне ім’я, по батькові (за наявності), посада члена інспекційної групи, який підписав акт про відмову/засвідчив факт відмови працівника структурного/відокремленого підрозділу установи від отримання першого примірника акта про відмову в паперовій формі за адресою місцезнаходження структурного/відокремленого підрозділу установи;</w:t>
      </w:r>
    </w:p>
    <w:p w:rsidR="00034E89" w:rsidRPr="00F15F5F" w:rsidRDefault="00034E89" w:rsidP="00034E89">
      <w:pPr>
        <w:ind w:firstLine="567"/>
      </w:pPr>
    </w:p>
    <w:p w:rsidR="00034E89" w:rsidRPr="00F15F5F" w:rsidRDefault="00034E89" w:rsidP="00034E89">
      <w:pPr>
        <w:ind w:firstLine="567"/>
      </w:pPr>
      <w:r w:rsidRPr="00F15F5F">
        <w:t xml:space="preserve">18) інша інформація стосовно зафіксованих </w:t>
      </w:r>
      <w:r w:rsidR="00CC0058" w:rsidRPr="00F15F5F">
        <w:t>в</w:t>
      </w:r>
      <w:r w:rsidRPr="00F15F5F">
        <w:t xml:space="preserve"> акті про відмову фактів (за потреби).”;</w:t>
      </w:r>
    </w:p>
    <w:p w:rsidR="00034E89" w:rsidRPr="00F15F5F" w:rsidRDefault="00034E89" w:rsidP="00AC249A">
      <w:pPr>
        <w:ind w:firstLine="567"/>
      </w:pPr>
    </w:p>
    <w:p w:rsidR="002620C4" w:rsidRPr="00F15F5F" w:rsidRDefault="004F107B" w:rsidP="002620C4">
      <w:pPr>
        <w:ind w:firstLine="567"/>
        <w:rPr>
          <w:shd w:val="clear" w:color="auto" w:fill="FFFFFF"/>
        </w:rPr>
      </w:pPr>
      <w:r w:rsidRPr="00F15F5F">
        <w:t>7</w:t>
      </w:r>
      <w:r w:rsidR="002620C4" w:rsidRPr="00F15F5F">
        <w:t xml:space="preserve">) </w:t>
      </w:r>
      <w:r w:rsidR="002620C4" w:rsidRPr="00F15F5F">
        <w:rPr>
          <w:shd w:val="clear" w:color="auto" w:fill="FFFFFF"/>
          <w:lang w:val="ru-RU"/>
        </w:rPr>
        <w:t xml:space="preserve">постанову після пункту 26 </w:t>
      </w:r>
      <w:r w:rsidR="002620C4" w:rsidRPr="00F15F5F">
        <w:rPr>
          <w:shd w:val="clear" w:color="auto" w:fill="FFFFFF"/>
        </w:rPr>
        <w:t>доповнити чотирма новими пунктами 26</w:t>
      </w:r>
      <w:r w:rsidR="002620C4" w:rsidRPr="00F15F5F">
        <w:rPr>
          <w:shd w:val="clear" w:color="auto" w:fill="FFFFFF"/>
          <w:vertAlign w:val="superscript"/>
        </w:rPr>
        <w:t>1</w:t>
      </w:r>
      <w:r w:rsidR="002620C4" w:rsidRPr="00F15F5F">
        <w:rPr>
          <w:shd w:val="clear" w:color="auto" w:fill="FFFFFF"/>
        </w:rPr>
        <w:t>–26</w:t>
      </w:r>
      <w:r w:rsidR="002620C4" w:rsidRPr="00F15F5F">
        <w:rPr>
          <w:shd w:val="clear" w:color="auto" w:fill="FFFFFF"/>
          <w:vertAlign w:val="superscript"/>
        </w:rPr>
        <w:t>4</w:t>
      </w:r>
      <w:r w:rsidR="002620C4" w:rsidRPr="00F15F5F">
        <w:rPr>
          <w:shd w:val="clear" w:color="auto" w:fill="FFFFFF"/>
        </w:rPr>
        <w:t xml:space="preserve"> такого змісту:</w:t>
      </w:r>
    </w:p>
    <w:p w:rsidR="002620C4" w:rsidRPr="00F15F5F" w:rsidRDefault="002620C4" w:rsidP="002620C4">
      <w:pPr>
        <w:ind w:firstLine="567"/>
      </w:pPr>
      <w:r w:rsidRPr="00F15F5F">
        <w:t>“26</w:t>
      </w:r>
      <w:r w:rsidRPr="00F15F5F">
        <w:rPr>
          <w:vertAlign w:val="superscript"/>
        </w:rPr>
        <w:t>1</w:t>
      </w:r>
      <w:r w:rsidRPr="00F15F5F">
        <w:t>. Перший примірник акта про відмову в паперовій формі вручається працівнику структурного/відокремленого підрозділу установи під підпис з проставленням відмітки про дату надання на другому примірнику такого акта, що залишається в керівника інспекційної групи (крім випадк</w:t>
      </w:r>
      <w:r w:rsidR="00693096" w:rsidRPr="00F15F5F">
        <w:t>у</w:t>
      </w:r>
      <w:r w:rsidRPr="00F15F5F">
        <w:t>, зазначен</w:t>
      </w:r>
      <w:r w:rsidR="00693096" w:rsidRPr="00F15F5F">
        <w:t>ого</w:t>
      </w:r>
      <w:r w:rsidRPr="00F15F5F">
        <w:t xml:space="preserve"> </w:t>
      </w:r>
      <w:r w:rsidR="00CC0058" w:rsidRPr="00F15F5F">
        <w:t>в</w:t>
      </w:r>
      <w:r w:rsidRPr="00F15F5F">
        <w:t xml:space="preserve"> пункті 26</w:t>
      </w:r>
      <w:r w:rsidRPr="00F15F5F">
        <w:rPr>
          <w:vertAlign w:val="superscript"/>
        </w:rPr>
        <w:t>2</w:t>
      </w:r>
      <w:r w:rsidRPr="00F15F5F">
        <w:t xml:space="preserve"> цієї постанови).</w:t>
      </w:r>
    </w:p>
    <w:p w:rsidR="002620C4" w:rsidRPr="00F15F5F" w:rsidRDefault="002620C4" w:rsidP="002620C4">
      <w:pPr>
        <w:ind w:firstLine="567"/>
      </w:pPr>
    </w:p>
    <w:p w:rsidR="002620C4" w:rsidRPr="00F15F5F" w:rsidRDefault="002620C4" w:rsidP="002620C4">
      <w:pPr>
        <w:ind w:firstLine="567"/>
      </w:pPr>
      <w:r w:rsidRPr="00F15F5F">
        <w:t>26</w:t>
      </w:r>
      <w:r w:rsidRPr="00F15F5F">
        <w:rPr>
          <w:vertAlign w:val="superscript"/>
        </w:rPr>
        <w:t>2</w:t>
      </w:r>
      <w:r w:rsidRPr="00F15F5F">
        <w:t xml:space="preserve">. Національний банк не пізніше трьох робочих днів із дня складання </w:t>
      </w:r>
      <w:r w:rsidR="00D97595" w:rsidRPr="00F15F5F">
        <w:t xml:space="preserve">акта про відмову </w:t>
      </w:r>
      <w:r w:rsidRPr="00F15F5F">
        <w:t xml:space="preserve">надсилає установі перший примірник акта про відмову в паперовій формі засобами поштового зв’язку (рекомендованим листом із повідомленням про вручення) </w:t>
      </w:r>
      <w:r w:rsidR="00EF2ED8">
        <w:t>у</w:t>
      </w:r>
      <w:r w:rsidR="00EF2ED8" w:rsidRPr="00F15F5F">
        <w:t xml:space="preserve"> </w:t>
      </w:r>
      <w:r w:rsidRPr="00F15F5F">
        <w:t>разі відмови працівника структурного/відокремленого підрозділу установи від отримання першого примірника акта про відмову в паперовій формі за адресою місцезнаходження структурного/відокремленого підрозділу</w:t>
      </w:r>
      <w:r w:rsidR="00F65D5E" w:rsidRPr="00F15F5F">
        <w:t xml:space="preserve"> </w:t>
      </w:r>
      <w:r w:rsidRPr="00F15F5F">
        <w:t>установи.</w:t>
      </w:r>
    </w:p>
    <w:p w:rsidR="002620C4" w:rsidRPr="00F15F5F" w:rsidRDefault="002620C4" w:rsidP="002620C4">
      <w:pPr>
        <w:ind w:firstLine="567"/>
      </w:pPr>
    </w:p>
    <w:p w:rsidR="002620C4" w:rsidRPr="00F15F5F" w:rsidRDefault="002620C4" w:rsidP="000A3186">
      <w:pPr>
        <w:ind w:firstLine="567"/>
      </w:pPr>
      <w:r w:rsidRPr="00F15F5F">
        <w:t>26</w:t>
      </w:r>
      <w:r w:rsidRPr="00F15F5F">
        <w:rPr>
          <w:vertAlign w:val="superscript"/>
          <w:lang w:val="ru-RU"/>
        </w:rPr>
        <w:t>3</w:t>
      </w:r>
      <w:r w:rsidRPr="00F15F5F">
        <w:t xml:space="preserve">. Акт про відмову вважається доведеним до відома установи або отриманим установою і таким, що не має пояснень та заперечень, у разі неотримання установою із незалежних від Національного банку причин акта про </w:t>
      </w:r>
      <w:r w:rsidRPr="00F15F5F">
        <w:lastRenderedPageBreak/>
        <w:t>відмову протягом 15 робочих днів із дня надсилання першого примірника акта про відмову в паперовій формі.</w:t>
      </w:r>
    </w:p>
    <w:p w:rsidR="004F5FC5" w:rsidRPr="00F15F5F" w:rsidRDefault="004F5FC5" w:rsidP="000A3186">
      <w:pPr>
        <w:ind w:firstLine="567"/>
      </w:pPr>
    </w:p>
    <w:p w:rsidR="00F67889" w:rsidRPr="00F15F5F" w:rsidRDefault="002620C4" w:rsidP="00F67889">
      <w:pPr>
        <w:ind w:firstLine="567"/>
      </w:pPr>
      <w:r w:rsidRPr="00F15F5F">
        <w:t>26</w:t>
      </w:r>
      <w:r w:rsidRPr="00F15F5F">
        <w:rPr>
          <w:vertAlign w:val="superscript"/>
          <w:lang w:val="ru-RU"/>
        </w:rPr>
        <w:t>4</w:t>
      </w:r>
      <w:r w:rsidRPr="00F15F5F">
        <w:t xml:space="preserve">. Дата складання </w:t>
      </w:r>
      <w:r w:rsidRPr="00F15F5F">
        <w:rPr>
          <w:bCs/>
        </w:rPr>
        <w:t>акта про відмову є датою дострокового припинення позапланової перевірки.</w:t>
      </w:r>
      <w:r w:rsidRPr="00F15F5F">
        <w:t>”.</w:t>
      </w:r>
    </w:p>
    <w:p w:rsidR="0086046E" w:rsidRPr="00F15F5F" w:rsidRDefault="0086046E" w:rsidP="0086046E">
      <w:pPr>
        <w:pStyle w:val="Default"/>
        <w:rPr>
          <w:sz w:val="28"/>
          <w:szCs w:val="28"/>
        </w:rPr>
      </w:pPr>
    </w:p>
    <w:p w:rsidR="0086046E" w:rsidRPr="00F15F5F" w:rsidRDefault="0086046E" w:rsidP="0086046E">
      <w:pPr>
        <w:ind w:firstLine="567"/>
        <w:rPr>
          <w:rFonts w:eastAsiaTheme="minorEastAsia"/>
          <w:noProof/>
          <w:lang w:eastAsia="en-US"/>
        </w:rPr>
      </w:pPr>
      <w:r w:rsidRPr="00F15F5F">
        <w:rPr>
          <w:rFonts w:eastAsiaTheme="minorEastAsia"/>
          <w:noProof/>
          <w:lang w:eastAsia="en-US"/>
        </w:rPr>
        <w:t xml:space="preserve">2. Департаменту методології регулювання діяльності небанківських фінансових установ (Сергій Савчук) після офіційного опублікування довести до відома </w:t>
      </w:r>
      <w:r w:rsidR="008528AC" w:rsidRPr="00F15F5F">
        <w:rPr>
          <w:color w:val="333333"/>
          <w:shd w:val="clear" w:color="auto" w:fill="FFFFFF"/>
        </w:rPr>
        <w:t>установ, які отримали ліцензію на торгівлю валютними цінностями, </w:t>
      </w:r>
      <w:r w:rsidRPr="00F15F5F">
        <w:rPr>
          <w:rFonts w:eastAsiaTheme="minorEastAsia"/>
          <w:noProof/>
          <w:lang w:eastAsia="en-US"/>
        </w:rPr>
        <w:t xml:space="preserve">інформацію про прийняття цієї постанови. </w:t>
      </w:r>
    </w:p>
    <w:p w:rsidR="0086046E" w:rsidRPr="00F15F5F" w:rsidRDefault="0086046E" w:rsidP="0086046E">
      <w:pPr>
        <w:ind w:firstLine="567"/>
        <w:rPr>
          <w:rFonts w:eastAsiaTheme="minorEastAsia"/>
          <w:noProof/>
          <w:lang w:eastAsia="en-US"/>
        </w:rPr>
      </w:pPr>
    </w:p>
    <w:p w:rsidR="00410EC0" w:rsidRPr="00F15F5F" w:rsidRDefault="0086046E" w:rsidP="0086046E">
      <w:pPr>
        <w:ind w:firstLine="567"/>
        <w:rPr>
          <w:rFonts w:eastAsiaTheme="minorEastAsia"/>
          <w:noProof/>
          <w:lang w:eastAsia="en-US"/>
        </w:rPr>
      </w:pPr>
      <w:r w:rsidRPr="00F15F5F">
        <w:rPr>
          <w:rFonts w:eastAsiaTheme="minorEastAsia"/>
          <w:noProof/>
          <w:lang w:eastAsia="en-US"/>
        </w:rPr>
        <w:t>3</w:t>
      </w:r>
      <w:r w:rsidR="00765122" w:rsidRPr="00F15F5F">
        <w:t xml:space="preserve">. </w:t>
      </w:r>
      <w:r w:rsidR="00393B8D" w:rsidRPr="00F15F5F">
        <w:t>Постанова набирає чинності з дня, наступного за днем її офіційного опублікування</w:t>
      </w:r>
      <w:r w:rsidR="00410EC0" w:rsidRPr="00F15F5F">
        <w:t>.</w:t>
      </w:r>
    </w:p>
    <w:p w:rsidR="00BF1FF0" w:rsidRPr="00F15F5F" w:rsidRDefault="00BF1FF0" w:rsidP="00BF1FF0"/>
    <w:p w:rsidR="00BC0CE6" w:rsidRPr="00F15F5F" w:rsidRDefault="00BC0CE6" w:rsidP="00BF1FF0"/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BC0CE6" w:rsidRPr="00F15F5F" w:rsidTr="006510F3">
        <w:tc>
          <w:tcPr>
            <w:tcW w:w="5387" w:type="dxa"/>
            <w:vAlign w:val="bottom"/>
          </w:tcPr>
          <w:p w:rsidR="002F34D9" w:rsidRPr="00F15F5F" w:rsidRDefault="002F34D9" w:rsidP="002F34D9">
            <w:pPr>
              <w:autoSpaceDE w:val="0"/>
              <w:autoSpaceDN w:val="0"/>
              <w:ind w:left="-111"/>
              <w:jc w:val="left"/>
            </w:pPr>
            <w:r w:rsidRPr="00F15F5F">
              <w:t>Голова</w:t>
            </w:r>
          </w:p>
        </w:tc>
        <w:tc>
          <w:tcPr>
            <w:tcW w:w="4252" w:type="dxa"/>
            <w:vAlign w:val="bottom"/>
          </w:tcPr>
          <w:p w:rsidR="002F34D9" w:rsidRPr="00F15F5F" w:rsidRDefault="002F34D9" w:rsidP="002F34D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F15F5F">
              <w:t>Андрій ПИШНИЙ</w:t>
            </w:r>
          </w:p>
        </w:tc>
      </w:tr>
    </w:tbl>
    <w:p w:rsidR="00196FD7" w:rsidRPr="00F15F5F" w:rsidRDefault="00196FD7" w:rsidP="00CA59B5">
      <w:pPr>
        <w:jc w:val="left"/>
      </w:pPr>
    </w:p>
    <w:p w:rsidR="00F3630A" w:rsidRPr="00F15F5F" w:rsidRDefault="00F3630A" w:rsidP="00CA59B5">
      <w:pPr>
        <w:jc w:val="left"/>
      </w:pPr>
    </w:p>
    <w:p w:rsidR="002952BC" w:rsidRPr="00F15F5F" w:rsidRDefault="00393B8D" w:rsidP="00CA59B5">
      <w:pPr>
        <w:jc w:val="left"/>
      </w:pPr>
      <w:r w:rsidRPr="00F15F5F">
        <w:t>Інд. 33</w:t>
      </w:r>
    </w:p>
    <w:p w:rsidR="00511613" w:rsidRPr="00052D3C" w:rsidRDefault="00511613" w:rsidP="00A5419A">
      <w:pPr>
        <w:spacing w:after="200" w:line="276" w:lineRule="auto"/>
        <w:jc w:val="left"/>
        <w:sectPr w:rsidR="00511613" w:rsidRPr="00052D3C" w:rsidSect="009D6601">
          <w:headerReference w:type="default" r:id="rId2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:rsidR="00894D72" w:rsidRPr="00052D3C" w:rsidRDefault="00894D72" w:rsidP="00A5419A">
      <w:pPr>
        <w:rPr>
          <w:lang w:val="ru-RU"/>
        </w:rPr>
      </w:pPr>
    </w:p>
    <w:sectPr w:rsidR="00894D72" w:rsidRPr="00052D3C" w:rsidSect="00511613">
      <w:headerReference w:type="first" r:id="rId25"/>
      <w:type w:val="continuous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47" w:rsidRDefault="00A13D47" w:rsidP="00E53CCD">
      <w:r>
        <w:separator/>
      </w:r>
    </w:p>
  </w:endnote>
  <w:endnote w:type="continuationSeparator" w:id="0">
    <w:p w:rsidR="00A13D47" w:rsidRDefault="00A13D47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47" w:rsidRDefault="00A13D47" w:rsidP="00E53CCD">
      <w:r>
        <w:separator/>
      </w:r>
    </w:p>
  </w:footnote>
  <w:footnote w:type="continuationSeparator" w:id="0">
    <w:p w:rsidR="00A13D47" w:rsidRDefault="00A13D47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770424"/>
      <w:docPartObj>
        <w:docPartGallery w:val="Page Numbers (Top of Page)"/>
        <w:docPartUnique/>
      </w:docPartObj>
    </w:sdtPr>
    <w:sdtEndPr/>
    <w:sdtContent>
      <w:p w:rsidR="00833B52" w:rsidRDefault="00833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D3">
          <w:rPr>
            <w:noProof/>
          </w:rPr>
          <w:t>8</w:t>
        </w:r>
        <w:r>
          <w:fldChar w:fldCharType="end"/>
        </w:r>
      </w:p>
    </w:sdtContent>
  </w:sdt>
  <w:p w:rsidR="00833B52" w:rsidRDefault="00833B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13" w:rsidRDefault="005116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72F7"/>
    <w:multiLevelType w:val="hybridMultilevel"/>
    <w:tmpl w:val="5192C4F2"/>
    <w:lvl w:ilvl="0" w:tplc="A26E05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3A2F88"/>
    <w:multiLevelType w:val="hybridMultilevel"/>
    <w:tmpl w:val="463E4794"/>
    <w:lvl w:ilvl="0" w:tplc="C0808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64FA"/>
    <w:rsid w:val="00010BB5"/>
    <w:rsid w:val="00015FDE"/>
    <w:rsid w:val="00016403"/>
    <w:rsid w:val="00031B5A"/>
    <w:rsid w:val="00034D8B"/>
    <w:rsid w:val="00034E89"/>
    <w:rsid w:val="000378F7"/>
    <w:rsid w:val="0003793C"/>
    <w:rsid w:val="0004163A"/>
    <w:rsid w:val="000448FB"/>
    <w:rsid w:val="000506D8"/>
    <w:rsid w:val="0005227D"/>
    <w:rsid w:val="00052D3C"/>
    <w:rsid w:val="00063480"/>
    <w:rsid w:val="000713E8"/>
    <w:rsid w:val="00073421"/>
    <w:rsid w:val="00097B89"/>
    <w:rsid w:val="000A1CFC"/>
    <w:rsid w:val="000A3186"/>
    <w:rsid w:val="000A674D"/>
    <w:rsid w:val="000B257C"/>
    <w:rsid w:val="000B2990"/>
    <w:rsid w:val="000B5ADB"/>
    <w:rsid w:val="000C3F58"/>
    <w:rsid w:val="000D44E2"/>
    <w:rsid w:val="000D481D"/>
    <w:rsid w:val="000D52E9"/>
    <w:rsid w:val="000D6C12"/>
    <w:rsid w:val="000E4B44"/>
    <w:rsid w:val="000E700F"/>
    <w:rsid w:val="000F55EA"/>
    <w:rsid w:val="00100163"/>
    <w:rsid w:val="0010232A"/>
    <w:rsid w:val="001025EF"/>
    <w:rsid w:val="00102C1C"/>
    <w:rsid w:val="001068E6"/>
    <w:rsid w:val="00111591"/>
    <w:rsid w:val="00113707"/>
    <w:rsid w:val="001174CC"/>
    <w:rsid w:val="001306EB"/>
    <w:rsid w:val="001325D2"/>
    <w:rsid w:val="0015219C"/>
    <w:rsid w:val="0015317C"/>
    <w:rsid w:val="0015576B"/>
    <w:rsid w:val="001621AB"/>
    <w:rsid w:val="001652CD"/>
    <w:rsid w:val="00173B00"/>
    <w:rsid w:val="001740C0"/>
    <w:rsid w:val="001761B9"/>
    <w:rsid w:val="00177CE6"/>
    <w:rsid w:val="00181A00"/>
    <w:rsid w:val="00181BE3"/>
    <w:rsid w:val="0018236F"/>
    <w:rsid w:val="00190E1A"/>
    <w:rsid w:val="00192423"/>
    <w:rsid w:val="00196FD7"/>
    <w:rsid w:val="00197E47"/>
    <w:rsid w:val="001A01E9"/>
    <w:rsid w:val="001A0FF2"/>
    <w:rsid w:val="001A16FA"/>
    <w:rsid w:val="001A270B"/>
    <w:rsid w:val="001A3DBC"/>
    <w:rsid w:val="001A42D2"/>
    <w:rsid w:val="001C36B8"/>
    <w:rsid w:val="001C3C0A"/>
    <w:rsid w:val="001C48CA"/>
    <w:rsid w:val="001D0722"/>
    <w:rsid w:val="001D08A2"/>
    <w:rsid w:val="001D1E9B"/>
    <w:rsid w:val="001D2726"/>
    <w:rsid w:val="001D3A55"/>
    <w:rsid w:val="001D487A"/>
    <w:rsid w:val="001D66D0"/>
    <w:rsid w:val="001E2280"/>
    <w:rsid w:val="001E2732"/>
    <w:rsid w:val="001E5DB4"/>
    <w:rsid w:val="001E6D85"/>
    <w:rsid w:val="001F591C"/>
    <w:rsid w:val="001F64D4"/>
    <w:rsid w:val="001F71E8"/>
    <w:rsid w:val="00200CD9"/>
    <w:rsid w:val="00202B4F"/>
    <w:rsid w:val="00203F7E"/>
    <w:rsid w:val="00204F22"/>
    <w:rsid w:val="0020537C"/>
    <w:rsid w:val="00206DF6"/>
    <w:rsid w:val="00207DA9"/>
    <w:rsid w:val="00210E52"/>
    <w:rsid w:val="00211B01"/>
    <w:rsid w:val="0021268A"/>
    <w:rsid w:val="00214661"/>
    <w:rsid w:val="00233146"/>
    <w:rsid w:val="00235200"/>
    <w:rsid w:val="0023651D"/>
    <w:rsid w:val="00241373"/>
    <w:rsid w:val="002453A3"/>
    <w:rsid w:val="00247BD1"/>
    <w:rsid w:val="002508DD"/>
    <w:rsid w:val="00253BF9"/>
    <w:rsid w:val="00257FAC"/>
    <w:rsid w:val="00260A5C"/>
    <w:rsid w:val="002620C4"/>
    <w:rsid w:val="00264983"/>
    <w:rsid w:val="002653D3"/>
    <w:rsid w:val="00272B80"/>
    <w:rsid w:val="00282B36"/>
    <w:rsid w:val="002846E4"/>
    <w:rsid w:val="00292388"/>
    <w:rsid w:val="002952BC"/>
    <w:rsid w:val="00295ED3"/>
    <w:rsid w:val="002A0049"/>
    <w:rsid w:val="002A13AA"/>
    <w:rsid w:val="002A172E"/>
    <w:rsid w:val="002A7DE0"/>
    <w:rsid w:val="002B52B6"/>
    <w:rsid w:val="002C20C0"/>
    <w:rsid w:val="002C673D"/>
    <w:rsid w:val="002C677D"/>
    <w:rsid w:val="002C7202"/>
    <w:rsid w:val="002C752F"/>
    <w:rsid w:val="002C7B4D"/>
    <w:rsid w:val="002D171B"/>
    <w:rsid w:val="002D1790"/>
    <w:rsid w:val="002D5205"/>
    <w:rsid w:val="002D52F9"/>
    <w:rsid w:val="002E023A"/>
    <w:rsid w:val="002F33F0"/>
    <w:rsid w:val="002F34D9"/>
    <w:rsid w:val="002F5C2D"/>
    <w:rsid w:val="002F660B"/>
    <w:rsid w:val="00304BFD"/>
    <w:rsid w:val="0030769C"/>
    <w:rsid w:val="00312C6C"/>
    <w:rsid w:val="0031386A"/>
    <w:rsid w:val="0033133D"/>
    <w:rsid w:val="0033204F"/>
    <w:rsid w:val="00333BF1"/>
    <w:rsid w:val="00334F36"/>
    <w:rsid w:val="0033637F"/>
    <w:rsid w:val="00356E34"/>
    <w:rsid w:val="00357676"/>
    <w:rsid w:val="00364833"/>
    <w:rsid w:val="00367E58"/>
    <w:rsid w:val="00371783"/>
    <w:rsid w:val="00381370"/>
    <w:rsid w:val="0038167B"/>
    <w:rsid w:val="0038385E"/>
    <w:rsid w:val="003927FA"/>
    <w:rsid w:val="00393B8D"/>
    <w:rsid w:val="00395F04"/>
    <w:rsid w:val="003978F5"/>
    <w:rsid w:val="003A383B"/>
    <w:rsid w:val="003A6A10"/>
    <w:rsid w:val="003B1E49"/>
    <w:rsid w:val="003B4558"/>
    <w:rsid w:val="003B4F96"/>
    <w:rsid w:val="003B6738"/>
    <w:rsid w:val="003C0A8E"/>
    <w:rsid w:val="003C3282"/>
    <w:rsid w:val="003C3985"/>
    <w:rsid w:val="003C421E"/>
    <w:rsid w:val="003C5E6F"/>
    <w:rsid w:val="003C7337"/>
    <w:rsid w:val="003D19A3"/>
    <w:rsid w:val="003D21C5"/>
    <w:rsid w:val="003D4FF0"/>
    <w:rsid w:val="003F4317"/>
    <w:rsid w:val="00400091"/>
    <w:rsid w:val="00401EDB"/>
    <w:rsid w:val="00404C93"/>
    <w:rsid w:val="00407877"/>
    <w:rsid w:val="00410EC0"/>
    <w:rsid w:val="00410FA1"/>
    <w:rsid w:val="004132F3"/>
    <w:rsid w:val="00423C1F"/>
    <w:rsid w:val="0042414B"/>
    <w:rsid w:val="00431353"/>
    <w:rsid w:val="004318B3"/>
    <w:rsid w:val="004336F1"/>
    <w:rsid w:val="004344F1"/>
    <w:rsid w:val="004414F7"/>
    <w:rsid w:val="00444C01"/>
    <w:rsid w:val="00455B45"/>
    <w:rsid w:val="00460EEB"/>
    <w:rsid w:val="004648D8"/>
    <w:rsid w:val="00465098"/>
    <w:rsid w:val="00471871"/>
    <w:rsid w:val="00471CA7"/>
    <w:rsid w:val="00472A8F"/>
    <w:rsid w:val="00472E7B"/>
    <w:rsid w:val="00477A47"/>
    <w:rsid w:val="00484152"/>
    <w:rsid w:val="004905A6"/>
    <w:rsid w:val="00493AED"/>
    <w:rsid w:val="00494BE0"/>
    <w:rsid w:val="004978B0"/>
    <w:rsid w:val="004A1F26"/>
    <w:rsid w:val="004A40D5"/>
    <w:rsid w:val="004A7F75"/>
    <w:rsid w:val="004B1DBC"/>
    <w:rsid w:val="004B2334"/>
    <w:rsid w:val="004B344F"/>
    <w:rsid w:val="004B4733"/>
    <w:rsid w:val="004C15E0"/>
    <w:rsid w:val="004D157F"/>
    <w:rsid w:val="004D37E2"/>
    <w:rsid w:val="004D4ACB"/>
    <w:rsid w:val="004D5CD0"/>
    <w:rsid w:val="004D78FA"/>
    <w:rsid w:val="004D7E2E"/>
    <w:rsid w:val="004E0515"/>
    <w:rsid w:val="004E22E2"/>
    <w:rsid w:val="004E42CC"/>
    <w:rsid w:val="004E7D21"/>
    <w:rsid w:val="004F107B"/>
    <w:rsid w:val="004F4493"/>
    <w:rsid w:val="004F5AE4"/>
    <w:rsid w:val="004F5FC5"/>
    <w:rsid w:val="004F62FC"/>
    <w:rsid w:val="00500655"/>
    <w:rsid w:val="00501C7F"/>
    <w:rsid w:val="00501EBB"/>
    <w:rsid w:val="00511613"/>
    <w:rsid w:val="00523C13"/>
    <w:rsid w:val="0052510E"/>
    <w:rsid w:val="005257C2"/>
    <w:rsid w:val="00533677"/>
    <w:rsid w:val="00540210"/>
    <w:rsid w:val="00542533"/>
    <w:rsid w:val="005470A0"/>
    <w:rsid w:val="005537EC"/>
    <w:rsid w:val="00561776"/>
    <w:rsid w:val="005624B6"/>
    <w:rsid w:val="00563A19"/>
    <w:rsid w:val="00563AC1"/>
    <w:rsid w:val="00567A74"/>
    <w:rsid w:val="00571489"/>
    <w:rsid w:val="0057237F"/>
    <w:rsid w:val="00577402"/>
    <w:rsid w:val="005849A1"/>
    <w:rsid w:val="005853F7"/>
    <w:rsid w:val="00585492"/>
    <w:rsid w:val="005874EE"/>
    <w:rsid w:val="00591298"/>
    <w:rsid w:val="005A0F4B"/>
    <w:rsid w:val="005A1C6A"/>
    <w:rsid w:val="005A1D3C"/>
    <w:rsid w:val="005A2BBA"/>
    <w:rsid w:val="005A3F34"/>
    <w:rsid w:val="005A6B99"/>
    <w:rsid w:val="005A72C6"/>
    <w:rsid w:val="005B108C"/>
    <w:rsid w:val="005B2D03"/>
    <w:rsid w:val="005C5CBF"/>
    <w:rsid w:val="005D2F3D"/>
    <w:rsid w:val="005D4AA7"/>
    <w:rsid w:val="005D6E0B"/>
    <w:rsid w:val="005D70BD"/>
    <w:rsid w:val="005E489C"/>
    <w:rsid w:val="005E4BBC"/>
    <w:rsid w:val="005E642F"/>
    <w:rsid w:val="005F1980"/>
    <w:rsid w:val="005F335C"/>
    <w:rsid w:val="005F6418"/>
    <w:rsid w:val="005F7D21"/>
    <w:rsid w:val="00603D7E"/>
    <w:rsid w:val="00604036"/>
    <w:rsid w:val="006042D2"/>
    <w:rsid w:val="00606EDA"/>
    <w:rsid w:val="0060793B"/>
    <w:rsid w:val="00610F11"/>
    <w:rsid w:val="00613900"/>
    <w:rsid w:val="0061599B"/>
    <w:rsid w:val="006212BF"/>
    <w:rsid w:val="0063071E"/>
    <w:rsid w:val="0063271C"/>
    <w:rsid w:val="00640612"/>
    <w:rsid w:val="00645566"/>
    <w:rsid w:val="00650255"/>
    <w:rsid w:val="00653558"/>
    <w:rsid w:val="00655864"/>
    <w:rsid w:val="00666668"/>
    <w:rsid w:val="00670C95"/>
    <w:rsid w:val="006776D4"/>
    <w:rsid w:val="00681460"/>
    <w:rsid w:val="00682F8A"/>
    <w:rsid w:val="00684225"/>
    <w:rsid w:val="00685D2F"/>
    <w:rsid w:val="00687160"/>
    <w:rsid w:val="006871CD"/>
    <w:rsid w:val="00693096"/>
    <w:rsid w:val="006A0AE1"/>
    <w:rsid w:val="006B2748"/>
    <w:rsid w:val="006B2BAF"/>
    <w:rsid w:val="006B3F8A"/>
    <w:rsid w:val="006C06E9"/>
    <w:rsid w:val="006C4176"/>
    <w:rsid w:val="006C66EF"/>
    <w:rsid w:val="006D0660"/>
    <w:rsid w:val="006D137C"/>
    <w:rsid w:val="006D1EE0"/>
    <w:rsid w:val="006D2617"/>
    <w:rsid w:val="006E2386"/>
    <w:rsid w:val="006E79BB"/>
    <w:rsid w:val="006F2D0F"/>
    <w:rsid w:val="006F3CFB"/>
    <w:rsid w:val="0070152E"/>
    <w:rsid w:val="00702896"/>
    <w:rsid w:val="00703AA3"/>
    <w:rsid w:val="0071789F"/>
    <w:rsid w:val="007236F3"/>
    <w:rsid w:val="00730C9B"/>
    <w:rsid w:val="00746073"/>
    <w:rsid w:val="007476B2"/>
    <w:rsid w:val="00752EAA"/>
    <w:rsid w:val="00752EED"/>
    <w:rsid w:val="00765122"/>
    <w:rsid w:val="0076520A"/>
    <w:rsid w:val="007802D9"/>
    <w:rsid w:val="00783AF2"/>
    <w:rsid w:val="00791516"/>
    <w:rsid w:val="0079324A"/>
    <w:rsid w:val="00794EA4"/>
    <w:rsid w:val="007A038B"/>
    <w:rsid w:val="007A5230"/>
    <w:rsid w:val="007A6609"/>
    <w:rsid w:val="007A7A1B"/>
    <w:rsid w:val="007B61F7"/>
    <w:rsid w:val="007B73C9"/>
    <w:rsid w:val="007C44F9"/>
    <w:rsid w:val="007D19AC"/>
    <w:rsid w:val="007D7AAB"/>
    <w:rsid w:val="007D7D70"/>
    <w:rsid w:val="007E2E2F"/>
    <w:rsid w:val="007E53F9"/>
    <w:rsid w:val="007F0885"/>
    <w:rsid w:val="007F24D1"/>
    <w:rsid w:val="007F2B6D"/>
    <w:rsid w:val="007F514C"/>
    <w:rsid w:val="00801619"/>
    <w:rsid w:val="00802988"/>
    <w:rsid w:val="008135AE"/>
    <w:rsid w:val="00821C67"/>
    <w:rsid w:val="00833B52"/>
    <w:rsid w:val="00834346"/>
    <w:rsid w:val="00846D7C"/>
    <w:rsid w:val="00847331"/>
    <w:rsid w:val="00850F68"/>
    <w:rsid w:val="008528AC"/>
    <w:rsid w:val="008555CA"/>
    <w:rsid w:val="00855FAA"/>
    <w:rsid w:val="0086046E"/>
    <w:rsid w:val="00863EEA"/>
    <w:rsid w:val="008645E5"/>
    <w:rsid w:val="00865A3A"/>
    <w:rsid w:val="00866993"/>
    <w:rsid w:val="00871892"/>
    <w:rsid w:val="00874366"/>
    <w:rsid w:val="00874A6D"/>
    <w:rsid w:val="00886FDF"/>
    <w:rsid w:val="00891294"/>
    <w:rsid w:val="00894D72"/>
    <w:rsid w:val="008A13B6"/>
    <w:rsid w:val="008A58E9"/>
    <w:rsid w:val="008A704D"/>
    <w:rsid w:val="008B014D"/>
    <w:rsid w:val="008B164A"/>
    <w:rsid w:val="008B52C0"/>
    <w:rsid w:val="008B7187"/>
    <w:rsid w:val="008C201F"/>
    <w:rsid w:val="008C2498"/>
    <w:rsid w:val="008D10FD"/>
    <w:rsid w:val="008D122F"/>
    <w:rsid w:val="008D2907"/>
    <w:rsid w:val="008E14C9"/>
    <w:rsid w:val="008F6008"/>
    <w:rsid w:val="009022F5"/>
    <w:rsid w:val="00904130"/>
    <w:rsid w:val="00904F17"/>
    <w:rsid w:val="00907C85"/>
    <w:rsid w:val="00910717"/>
    <w:rsid w:val="009156F2"/>
    <w:rsid w:val="00917C26"/>
    <w:rsid w:val="009209EA"/>
    <w:rsid w:val="0092682C"/>
    <w:rsid w:val="0093300F"/>
    <w:rsid w:val="00944980"/>
    <w:rsid w:val="00961672"/>
    <w:rsid w:val="00967F0B"/>
    <w:rsid w:val="00971391"/>
    <w:rsid w:val="0097288F"/>
    <w:rsid w:val="0098046D"/>
    <w:rsid w:val="009823FD"/>
    <w:rsid w:val="00982891"/>
    <w:rsid w:val="00984B02"/>
    <w:rsid w:val="009943E9"/>
    <w:rsid w:val="00994CD4"/>
    <w:rsid w:val="00995A8D"/>
    <w:rsid w:val="0099652F"/>
    <w:rsid w:val="009A00D8"/>
    <w:rsid w:val="009A4DE6"/>
    <w:rsid w:val="009B289C"/>
    <w:rsid w:val="009B3639"/>
    <w:rsid w:val="009B504D"/>
    <w:rsid w:val="009C717F"/>
    <w:rsid w:val="009D3C52"/>
    <w:rsid w:val="009D6601"/>
    <w:rsid w:val="009D6D44"/>
    <w:rsid w:val="009E48D7"/>
    <w:rsid w:val="009E6120"/>
    <w:rsid w:val="009F5312"/>
    <w:rsid w:val="00A06ADB"/>
    <w:rsid w:val="00A06DBF"/>
    <w:rsid w:val="00A104FB"/>
    <w:rsid w:val="00A1134C"/>
    <w:rsid w:val="00A13D47"/>
    <w:rsid w:val="00A15C47"/>
    <w:rsid w:val="00A1658E"/>
    <w:rsid w:val="00A16B6C"/>
    <w:rsid w:val="00A238C1"/>
    <w:rsid w:val="00A23E04"/>
    <w:rsid w:val="00A2449D"/>
    <w:rsid w:val="00A3587B"/>
    <w:rsid w:val="00A41595"/>
    <w:rsid w:val="00A47EF0"/>
    <w:rsid w:val="00A50DC0"/>
    <w:rsid w:val="00A51C39"/>
    <w:rsid w:val="00A540D8"/>
    <w:rsid w:val="00A5419A"/>
    <w:rsid w:val="00A56932"/>
    <w:rsid w:val="00A613F0"/>
    <w:rsid w:val="00A708BE"/>
    <w:rsid w:val="00A7190E"/>
    <w:rsid w:val="00A72446"/>
    <w:rsid w:val="00A72F06"/>
    <w:rsid w:val="00A734EA"/>
    <w:rsid w:val="00A752E1"/>
    <w:rsid w:val="00A767DF"/>
    <w:rsid w:val="00A77FFD"/>
    <w:rsid w:val="00A811BD"/>
    <w:rsid w:val="00A815AF"/>
    <w:rsid w:val="00A826B7"/>
    <w:rsid w:val="00A86977"/>
    <w:rsid w:val="00A87FBD"/>
    <w:rsid w:val="00A91842"/>
    <w:rsid w:val="00AA719F"/>
    <w:rsid w:val="00AA726B"/>
    <w:rsid w:val="00AB1C0F"/>
    <w:rsid w:val="00AB1E29"/>
    <w:rsid w:val="00AB28F1"/>
    <w:rsid w:val="00AB4414"/>
    <w:rsid w:val="00AC249A"/>
    <w:rsid w:val="00AC47B6"/>
    <w:rsid w:val="00AE16F0"/>
    <w:rsid w:val="00AE21E3"/>
    <w:rsid w:val="00AE51F5"/>
    <w:rsid w:val="00AF29D0"/>
    <w:rsid w:val="00AF59AC"/>
    <w:rsid w:val="00B01CE6"/>
    <w:rsid w:val="00B036E7"/>
    <w:rsid w:val="00B11402"/>
    <w:rsid w:val="00B12A6F"/>
    <w:rsid w:val="00B13445"/>
    <w:rsid w:val="00B13CBD"/>
    <w:rsid w:val="00B24C0B"/>
    <w:rsid w:val="00B24F71"/>
    <w:rsid w:val="00B31892"/>
    <w:rsid w:val="00B332B2"/>
    <w:rsid w:val="00B34E2B"/>
    <w:rsid w:val="00B46171"/>
    <w:rsid w:val="00B46C2B"/>
    <w:rsid w:val="00B53A04"/>
    <w:rsid w:val="00B5752E"/>
    <w:rsid w:val="00B616A5"/>
    <w:rsid w:val="00B66974"/>
    <w:rsid w:val="00B67B26"/>
    <w:rsid w:val="00B710AB"/>
    <w:rsid w:val="00B77FBC"/>
    <w:rsid w:val="00B85728"/>
    <w:rsid w:val="00B867FC"/>
    <w:rsid w:val="00B87DB4"/>
    <w:rsid w:val="00B922FD"/>
    <w:rsid w:val="00B930E3"/>
    <w:rsid w:val="00BA0BF6"/>
    <w:rsid w:val="00BA5FF0"/>
    <w:rsid w:val="00BA64BB"/>
    <w:rsid w:val="00BB3A49"/>
    <w:rsid w:val="00BB44AB"/>
    <w:rsid w:val="00BC0CE6"/>
    <w:rsid w:val="00BC1329"/>
    <w:rsid w:val="00BC6419"/>
    <w:rsid w:val="00BE46F2"/>
    <w:rsid w:val="00BE6C11"/>
    <w:rsid w:val="00BF052C"/>
    <w:rsid w:val="00BF0770"/>
    <w:rsid w:val="00BF0C7D"/>
    <w:rsid w:val="00BF1FF0"/>
    <w:rsid w:val="00BF6EDE"/>
    <w:rsid w:val="00C21D33"/>
    <w:rsid w:val="00C22D27"/>
    <w:rsid w:val="00C23593"/>
    <w:rsid w:val="00C260DB"/>
    <w:rsid w:val="00C261F6"/>
    <w:rsid w:val="00C30D0C"/>
    <w:rsid w:val="00C32874"/>
    <w:rsid w:val="00C3298A"/>
    <w:rsid w:val="00C3648F"/>
    <w:rsid w:val="00C36ED6"/>
    <w:rsid w:val="00C41293"/>
    <w:rsid w:val="00C422E3"/>
    <w:rsid w:val="00C4377C"/>
    <w:rsid w:val="00C437A7"/>
    <w:rsid w:val="00C43F09"/>
    <w:rsid w:val="00C44FF5"/>
    <w:rsid w:val="00C45898"/>
    <w:rsid w:val="00C54932"/>
    <w:rsid w:val="00C60345"/>
    <w:rsid w:val="00C60A90"/>
    <w:rsid w:val="00C65DEC"/>
    <w:rsid w:val="00C7184D"/>
    <w:rsid w:val="00C763A3"/>
    <w:rsid w:val="00C80F5E"/>
    <w:rsid w:val="00C815E6"/>
    <w:rsid w:val="00C82259"/>
    <w:rsid w:val="00C82536"/>
    <w:rsid w:val="00C831BC"/>
    <w:rsid w:val="00C8418C"/>
    <w:rsid w:val="00C846EF"/>
    <w:rsid w:val="00C86CEB"/>
    <w:rsid w:val="00CA0D70"/>
    <w:rsid w:val="00CA59B5"/>
    <w:rsid w:val="00CB3630"/>
    <w:rsid w:val="00CB672A"/>
    <w:rsid w:val="00CC0058"/>
    <w:rsid w:val="00CC4DBD"/>
    <w:rsid w:val="00CC5D0C"/>
    <w:rsid w:val="00CC77B6"/>
    <w:rsid w:val="00CD7381"/>
    <w:rsid w:val="00CE1C87"/>
    <w:rsid w:val="00CE3B9F"/>
    <w:rsid w:val="00CF11A9"/>
    <w:rsid w:val="00CF2B1D"/>
    <w:rsid w:val="00CF44D1"/>
    <w:rsid w:val="00D0057B"/>
    <w:rsid w:val="00D0365C"/>
    <w:rsid w:val="00D11F25"/>
    <w:rsid w:val="00D27113"/>
    <w:rsid w:val="00D32765"/>
    <w:rsid w:val="00D33A3D"/>
    <w:rsid w:val="00D34070"/>
    <w:rsid w:val="00D34DCC"/>
    <w:rsid w:val="00D46C4C"/>
    <w:rsid w:val="00D4796D"/>
    <w:rsid w:val="00D50818"/>
    <w:rsid w:val="00D5286B"/>
    <w:rsid w:val="00D5778C"/>
    <w:rsid w:val="00D70BDE"/>
    <w:rsid w:val="00D71306"/>
    <w:rsid w:val="00D7173D"/>
    <w:rsid w:val="00D717E1"/>
    <w:rsid w:val="00D7238F"/>
    <w:rsid w:val="00D74DCE"/>
    <w:rsid w:val="00D758D3"/>
    <w:rsid w:val="00D803A0"/>
    <w:rsid w:val="00D842D0"/>
    <w:rsid w:val="00D8636A"/>
    <w:rsid w:val="00D87F59"/>
    <w:rsid w:val="00D94676"/>
    <w:rsid w:val="00D97595"/>
    <w:rsid w:val="00DA2B83"/>
    <w:rsid w:val="00DA7FFE"/>
    <w:rsid w:val="00DC1E60"/>
    <w:rsid w:val="00DD106B"/>
    <w:rsid w:val="00DD32BE"/>
    <w:rsid w:val="00DD60CC"/>
    <w:rsid w:val="00DD71CB"/>
    <w:rsid w:val="00DE064B"/>
    <w:rsid w:val="00DF2119"/>
    <w:rsid w:val="00E00E5F"/>
    <w:rsid w:val="00E027E4"/>
    <w:rsid w:val="00E05F85"/>
    <w:rsid w:val="00E128F6"/>
    <w:rsid w:val="00E24631"/>
    <w:rsid w:val="00E247CA"/>
    <w:rsid w:val="00E3207A"/>
    <w:rsid w:val="00E32C97"/>
    <w:rsid w:val="00E33B0E"/>
    <w:rsid w:val="00E34A3F"/>
    <w:rsid w:val="00E35F4C"/>
    <w:rsid w:val="00E43E79"/>
    <w:rsid w:val="00E444BF"/>
    <w:rsid w:val="00E45D12"/>
    <w:rsid w:val="00E53989"/>
    <w:rsid w:val="00E53CB5"/>
    <w:rsid w:val="00E53CCD"/>
    <w:rsid w:val="00E6004C"/>
    <w:rsid w:val="00E67B41"/>
    <w:rsid w:val="00E808E8"/>
    <w:rsid w:val="00E8777E"/>
    <w:rsid w:val="00E93A8A"/>
    <w:rsid w:val="00E97A59"/>
    <w:rsid w:val="00EA1DE4"/>
    <w:rsid w:val="00EA3A24"/>
    <w:rsid w:val="00EB68E2"/>
    <w:rsid w:val="00ED042F"/>
    <w:rsid w:val="00ED5EF3"/>
    <w:rsid w:val="00ED7AF4"/>
    <w:rsid w:val="00EE026F"/>
    <w:rsid w:val="00EE038B"/>
    <w:rsid w:val="00EE3E8A"/>
    <w:rsid w:val="00EF17D6"/>
    <w:rsid w:val="00EF2810"/>
    <w:rsid w:val="00EF2ED8"/>
    <w:rsid w:val="00EF4D21"/>
    <w:rsid w:val="00EF5276"/>
    <w:rsid w:val="00F003D3"/>
    <w:rsid w:val="00F01613"/>
    <w:rsid w:val="00F03226"/>
    <w:rsid w:val="00F03E32"/>
    <w:rsid w:val="00F10A7E"/>
    <w:rsid w:val="00F15F5F"/>
    <w:rsid w:val="00F31023"/>
    <w:rsid w:val="00F3191B"/>
    <w:rsid w:val="00F32BB9"/>
    <w:rsid w:val="00F332C0"/>
    <w:rsid w:val="00F34A39"/>
    <w:rsid w:val="00F3630A"/>
    <w:rsid w:val="00F42E75"/>
    <w:rsid w:val="00F437E9"/>
    <w:rsid w:val="00F4573C"/>
    <w:rsid w:val="00F52D16"/>
    <w:rsid w:val="00F60346"/>
    <w:rsid w:val="00F63BD9"/>
    <w:rsid w:val="00F65D5E"/>
    <w:rsid w:val="00F6694C"/>
    <w:rsid w:val="00F67889"/>
    <w:rsid w:val="00F7518B"/>
    <w:rsid w:val="00F91DA9"/>
    <w:rsid w:val="00F96F18"/>
    <w:rsid w:val="00FA10B6"/>
    <w:rsid w:val="00FA5317"/>
    <w:rsid w:val="00FA7843"/>
    <w:rsid w:val="00FA7B67"/>
    <w:rsid w:val="00FB0E10"/>
    <w:rsid w:val="00FB46BA"/>
    <w:rsid w:val="00FC4583"/>
    <w:rsid w:val="00FC6F50"/>
    <w:rsid w:val="00FE1BAC"/>
    <w:rsid w:val="00FE3B51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393B8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93B8D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393B8D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93B8D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393B8D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20537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EE03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860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zakon.rada.gov.ua/laws/show/679-1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64/2022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679-14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679-14" TargetMode="External"/><Relationship Id="rId20" Type="http://schemas.openxmlformats.org/officeDocument/2006/relationships/hyperlink" Target="https://zakon.rada.gov.ua/laws/show/2473-1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679-14" TargetMode="External"/><Relationship Id="rId23" Type="http://schemas.openxmlformats.org/officeDocument/2006/relationships/hyperlink" Target="https://zakon.rada.gov.ua/laws/show/v0165500-22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zakon.rada.gov.ua/laws/show/679-1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679-14" TargetMode="External"/><Relationship Id="rId22" Type="http://schemas.openxmlformats.org/officeDocument/2006/relationships/hyperlink" Target="https://zakon.rada.gov.ua/laws/show/2102-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5BEB2-C289-40BC-B102-27E6AE2DF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F20527-F0BF-4211-B9FC-3CA46263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10096</Words>
  <Characters>5756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Баєр Тетяна Володимирівна</cp:lastModifiedBy>
  <cp:revision>7</cp:revision>
  <cp:lastPrinted>2023-07-04T07:51:00Z</cp:lastPrinted>
  <dcterms:created xsi:type="dcterms:W3CDTF">2024-06-12T13:30:00Z</dcterms:created>
  <dcterms:modified xsi:type="dcterms:W3CDTF">2024-06-19T09:20:00Z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