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823570" w14:textId="2013B4BF" w:rsidR="00FA7846" w:rsidRPr="00CD0CD4" w:rsidRDefault="00A1732E" w:rsidP="00FA7846">
      <w:pPr>
        <w:rPr>
          <w:sz w:val="2"/>
          <w:szCs w:val="2"/>
        </w:rPr>
      </w:pPr>
      <w:r>
        <w:rPr>
          <w:noProof/>
          <w:sz w:val="2"/>
          <w:szCs w:val="2"/>
        </w:rPr>
        <mc:AlternateContent>
          <mc:Choice Requires="wps">
            <w:drawing>
              <wp:anchor distT="0" distB="0" distL="114300" distR="114300" simplePos="0" relativeHeight="251659264" behindDoc="0" locked="0" layoutInCell="1" allowOverlap="1" wp14:anchorId="55DBA01B" wp14:editId="59018793">
                <wp:simplePos x="0" y="0"/>
                <wp:positionH relativeFrom="column">
                  <wp:posOffset>3825239</wp:posOffset>
                </wp:positionH>
                <wp:positionV relativeFrom="paragraph">
                  <wp:posOffset>-207645</wp:posOffset>
                </wp:positionV>
                <wp:extent cx="2432685" cy="37147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432685" cy="371475"/>
                        </a:xfrm>
                        <a:prstGeom prst="rect">
                          <a:avLst/>
                        </a:prstGeom>
                        <a:noFill/>
                        <a:ln w="6350">
                          <a:noFill/>
                        </a:ln>
                      </wps:spPr>
                      <wps:txbx>
                        <w:txbxContent>
                          <w:p w14:paraId="72CCDCA8" w14:textId="268F7159" w:rsidR="00A1732E" w:rsidRPr="00BB2A86" w:rsidRDefault="00A1732E" w:rsidP="00A1732E">
                            <w:pPr>
                              <w:rPr>
                                <w:color w:val="000000" w:themeColor="text1"/>
                                <w:sz w:val="24"/>
                                <w:szCs w:val="24"/>
                              </w:rPr>
                            </w:pPr>
                            <w:r w:rsidRPr="00BB2A86">
                              <w:rPr>
                                <w:color w:val="000000" w:themeColor="text1"/>
                                <w:sz w:val="24"/>
                                <w:szCs w:val="24"/>
                              </w:rPr>
                              <w:t xml:space="preserve">Офіційно опубліковано </w:t>
                            </w:r>
                            <w:r>
                              <w:rPr>
                                <w:color w:val="000000" w:themeColor="text1"/>
                                <w:sz w:val="24"/>
                                <w:szCs w:val="24"/>
                              </w:rPr>
                              <w:t>19</w:t>
                            </w:r>
                            <w:r w:rsidRPr="00BB2A86">
                              <w:rPr>
                                <w:color w:val="000000" w:themeColor="text1"/>
                                <w:sz w:val="24"/>
                                <w:szCs w:val="24"/>
                              </w:rPr>
                              <w:t>.1</w:t>
                            </w:r>
                            <w:r>
                              <w:rPr>
                                <w:color w:val="000000" w:themeColor="text1"/>
                                <w:sz w:val="24"/>
                                <w:szCs w:val="24"/>
                              </w:rPr>
                              <w:t>1</w:t>
                            </w:r>
                            <w:r w:rsidRPr="00BB2A86">
                              <w:rPr>
                                <w:color w:val="000000" w:themeColor="text1"/>
                                <w:sz w:val="24"/>
                                <w:szCs w:val="24"/>
                              </w:rPr>
                              <w:t>.20</w:t>
                            </w:r>
                            <w:r>
                              <w:rPr>
                                <w:color w:val="000000" w:themeColor="text1"/>
                                <w:sz w:val="24"/>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BA01B" id="_x0000_t202" coordsize="21600,21600" o:spt="202" path="m,l,21600r21600,l21600,xe">
                <v:stroke joinstyle="miter"/>
                <v:path gradientshapeok="t" o:connecttype="rect"/>
              </v:shapetype>
              <v:shape id="Надпись 1" o:spid="_x0000_s1026" type="#_x0000_t202" style="position:absolute;left:0;text-align:left;margin-left:301.2pt;margin-top:-16.35pt;width:191.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" filled="f" stroked="f" strokeweight=".5pt">
                <v:textbox>
                  <w:txbxContent>
                    <w:p w14:paraId="72CCDCA8" w14:textId="268F7159" w:rsidR="00A1732E" w:rsidRPr="00BB2A86" w:rsidRDefault="00A1732E" w:rsidP="00A1732E">
                      <w:pPr>
                        <w:rPr>
                          <w:color w:val="000000" w:themeColor="text1"/>
                          <w:sz w:val="24"/>
                          <w:szCs w:val="24"/>
                        </w:rPr>
                      </w:pPr>
                      <w:r w:rsidRPr="00BB2A86">
                        <w:rPr>
                          <w:color w:val="000000" w:themeColor="text1"/>
                          <w:sz w:val="24"/>
                          <w:szCs w:val="24"/>
                        </w:rPr>
                        <w:t xml:space="preserve">Офіційно опубліковано </w:t>
                      </w:r>
                      <w:r>
                        <w:rPr>
                          <w:color w:val="000000" w:themeColor="text1"/>
                          <w:sz w:val="24"/>
                          <w:szCs w:val="24"/>
                        </w:rPr>
                        <w:t>19</w:t>
                      </w:r>
                      <w:r w:rsidRPr="00BB2A86">
                        <w:rPr>
                          <w:color w:val="000000" w:themeColor="text1"/>
                          <w:sz w:val="24"/>
                          <w:szCs w:val="24"/>
                        </w:rPr>
                        <w:t>.1</w:t>
                      </w:r>
                      <w:r>
                        <w:rPr>
                          <w:color w:val="000000" w:themeColor="text1"/>
                          <w:sz w:val="24"/>
                          <w:szCs w:val="24"/>
                        </w:rPr>
                        <w:t>1</w:t>
                      </w:r>
                      <w:r w:rsidRPr="00BB2A86">
                        <w:rPr>
                          <w:color w:val="000000" w:themeColor="text1"/>
                          <w:sz w:val="24"/>
                          <w:szCs w:val="24"/>
                        </w:rPr>
                        <w:t>.20</w:t>
                      </w:r>
                      <w:r>
                        <w:rPr>
                          <w:color w:val="000000" w:themeColor="text1"/>
                          <w:sz w:val="24"/>
                          <w:szCs w:val="24"/>
                        </w:rPr>
                        <w:t>21</w:t>
                      </w:r>
                    </w:p>
                  </w:txbxContent>
                </v:textbox>
              </v:shape>
            </w:pict>
          </mc:Fallback>
        </mc:AlternateContent>
      </w:r>
    </w:p>
    <w:p w14:paraId="42490399" w14:textId="156007B0"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14:paraId="05F5C320" w14:textId="77777777" w:rsidTr="00E054A9">
        <w:trPr>
          <w:trHeight w:val="851"/>
        </w:trPr>
        <w:tc>
          <w:tcPr>
            <w:tcW w:w="3284" w:type="dxa"/>
          </w:tcPr>
          <w:p w14:paraId="061BCC71" w14:textId="77777777" w:rsidR="00657593" w:rsidRDefault="00657593" w:rsidP="00E054A9"/>
        </w:tc>
        <w:tc>
          <w:tcPr>
            <w:tcW w:w="3285" w:type="dxa"/>
            <w:vMerge w:val="restart"/>
          </w:tcPr>
          <w:p w14:paraId="737EC5F1" w14:textId="77777777" w:rsidR="00657593" w:rsidRDefault="00657593" w:rsidP="00E054A9">
            <w:pPr>
              <w:jc w:val="center"/>
            </w:pPr>
            <w:r>
              <w:object w:dxaOrig="1595" w:dyaOrig="2201" w14:anchorId="32339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9" o:title=""/>
                </v:shape>
                <o:OLEObject Type="Embed" ProgID="CorelDraw.Graphic.16" ShapeID="_x0000_i1025" DrawAspect="Content" ObjectID="_1698840858" r:id="rId10"/>
              </w:object>
            </w:r>
          </w:p>
        </w:tc>
        <w:tc>
          <w:tcPr>
            <w:tcW w:w="3285" w:type="dxa"/>
          </w:tcPr>
          <w:p w14:paraId="617CA5E9" w14:textId="34DDB20F" w:rsidR="00657593" w:rsidRDefault="00657593" w:rsidP="00E054A9"/>
        </w:tc>
      </w:tr>
      <w:tr w:rsidR="00657593" w14:paraId="1DCB7A18" w14:textId="77777777" w:rsidTr="00E054A9">
        <w:tc>
          <w:tcPr>
            <w:tcW w:w="3284" w:type="dxa"/>
          </w:tcPr>
          <w:p w14:paraId="404B502F" w14:textId="77777777" w:rsidR="00657593" w:rsidRDefault="00657593" w:rsidP="00E054A9"/>
        </w:tc>
        <w:tc>
          <w:tcPr>
            <w:tcW w:w="3285" w:type="dxa"/>
            <w:vMerge/>
          </w:tcPr>
          <w:p w14:paraId="244FDF56" w14:textId="77777777" w:rsidR="00657593" w:rsidRDefault="00657593" w:rsidP="00E054A9"/>
        </w:tc>
        <w:tc>
          <w:tcPr>
            <w:tcW w:w="3285" w:type="dxa"/>
          </w:tcPr>
          <w:p w14:paraId="2737ABED" w14:textId="71126CB1" w:rsidR="00657593" w:rsidRDefault="00657593" w:rsidP="00E054A9"/>
        </w:tc>
      </w:tr>
      <w:tr w:rsidR="00657593" w14:paraId="213E4496" w14:textId="77777777" w:rsidTr="00E054A9">
        <w:tc>
          <w:tcPr>
            <w:tcW w:w="9854" w:type="dxa"/>
            <w:gridSpan w:val="3"/>
          </w:tcPr>
          <w:p w14:paraId="221799C7" w14:textId="5B610CDA"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E731D76" w14:textId="0E8A900D" w:rsidR="00657593" w:rsidRDefault="00657593" w:rsidP="00E054A9">
            <w:pPr>
              <w:jc w:val="center"/>
            </w:pPr>
            <w:r w:rsidRPr="00E10F0A">
              <w:rPr>
                <w:b/>
                <w:bCs/>
                <w:color w:val="006600"/>
                <w:sz w:val="32"/>
                <w:szCs w:val="32"/>
              </w:rPr>
              <w:t>П О С Т А Н О В А</w:t>
            </w:r>
          </w:p>
        </w:tc>
      </w:tr>
    </w:tbl>
    <w:p w14:paraId="6CD9E6C3" w14:textId="0D59ED45"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2631"/>
        <w:gridCol w:w="1673"/>
        <w:gridCol w:w="1895"/>
      </w:tblGrid>
      <w:tr w:rsidR="00657593" w14:paraId="42040BE8" w14:textId="77777777" w:rsidTr="0088719C">
        <w:tc>
          <w:tcPr>
            <w:tcW w:w="3510" w:type="dxa"/>
            <w:vAlign w:val="bottom"/>
          </w:tcPr>
          <w:p w14:paraId="7E76B07C" w14:textId="7675A48D" w:rsidR="00657593" w:rsidRPr="00566BA2" w:rsidRDefault="00E80D0C" w:rsidP="00E80D0C">
            <w:pPr>
              <w:ind w:left="-105"/>
            </w:pPr>
            <w:r>
              <w:t>18 листопада 2021 року</w:t>
            </w:r>
          </w:p>
        </w:tc>
        <w:tc>
          <w:tcPr>
            <w:tcW w:w="2694" w:type="dxa"/>
          </w:tcPr>
          <w:p w14:paraId="2A5D89BF" w14:textId="77777777" w:rsidR="00657593" w:rsidRDefault="00657593" w:rsidP="00E62607">
            <w:pPr>
              <w:spacing w:before="240"/>
              <w:jc w:val="center"/>
            </w:pPr>
            <w:r w:rsidRPr="00E10F0A">
              <w:rPr>
                <w:color w:val="006600"/>
              </w:rPr>
              <w:t>м. Київ</w:t>
            </w:r>
          </w:p>
        </w:tc>
        <w:tc>
          <w:tcPr>
            <w:tcW w:w="1713" w:type="dxa"/>
            <w:vAlign w:val="bottom"/>
          </w:tcPr>
          <w:p w14:paraId="617A323C" w14:textId="1CB77A8C" w:rsidR="00657593" w:rsidRPr="00101D5A" w:rsidRDefault="00101D5A" w:rsidP="00E62607">
            <w:pPr>
              <w:jc w:val="right"/>
            </w:pPr>
            <w:r w:rsidRPr="00101D5A">
              <w:rPr>
                <w:color w:val="FFFFFF" w:themeColor="background1"/>
              </w:rPr>
              <w:t>№</w:t>
            </w:r>
          </w:p>
        </w:tc>
        <w:tc>
          <w:tcPr>
            <w:tcW w:w="1937" w:type="dxa"/>
            <w:vAlign w:val="bottom"/>
          </w:tcPr>
          <w:p w14:paraId="27E61D70" w14:textId="492D8B80" w:rsidR="00657593" w:rsidRDefault="00E80D0C" w:rsidP="00290169">
            <w:pPr>
              <w:jc w:val="left"/>
            </w:pPr>
            <w:r>
              <w:t>№ 121</w:t>
            </w:r>
          </w:p>
        </w:tc>
      </w:tr>
    </w:tbl>
    <w:p w14:paraId="3049A24B" w14:textId="77777777" w:rsidR="00657593" w:rsidRPr="00CD0CD4" w:rsidRDefault="00657593" w:rsidP="00657593">
      <w:pPr>
        <w:rPr>
          <w:sz w:val="2"/>
          <w:szCs w:val="2"/>
        </w:rPr>
      </w:pPr>
    </w:p>
    <w:p w14:paraId="13E3D703"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227C2333" w14:textId="77777777" w:rsidTr="005212C5">
        <w:trPr>
          <w:jc w:val="center"/>
        </w:trPr>
        <w:tc>
          <w:tcPr>
            <w:tcW w:w="5000" w:type="pct"/>
          </w:tcPr>
          <w:p w14:paraId="26BC57AC" w14:textId="77777777" w:rsidR="002B3F71" w:rsidRPr="00CD0CD4" w:rsidRDefault="00FC7085" w:rsidP="00106229">
            <w:pPr>
              <w:tabs>
                <w:tab w:val="left" w:pos="840"/>
                <w:tab w:val="center" w:pos="3293"/>
              </w:tabs>
              <w:spacing w:before="240" w:after="240"/>
              <w:jc w:val="center"/>
              <w:rPr>
                <w:rFonts w:eastAsiaTheme="minorEastAsia"/>
                <w:color w:val="000000" w:themeColor="text1"/>
                <w:lang w:eastAsia="en-US"/>
              </w:rPr>
            </w:pPr>
            <w:r w:rsidRPr="00880493">
              <w:rPr>
                <w:rFonts w:eastAsiaTheme="minorEastAsia"/>
                <w:color w:val="000000" w:themeColor="text1"/>
                <w:lang w:eastAsia="en-US"/>
              </w:rPr>
              <w:t>Про внесення змін до деяких нормативно-правових актів Національного банку України</w:t>
            </w:r>
          </w:p>
        </w:tc>
      </w:tr>
    </w:tbl>
    <w:p w14:paraId="0F5F1A78" w14:textId="77777777" w:rsidR="00FC7085" w:rsidRDefault="00FC7085" w:rsidP="00FC7085">
      <w:pPr>
        <w:spacing w:before="240"/>
        <w:ind w:firstLine="709"/>
        <w:rPr>
          <w:b/>
        </w:rPr>
      </w:pPr>
      <w:r w:rsidRPr="004D10A6">
        <w:rPr>
          <w:rFonts w:eastAsiaTheme="minorEastAsia"/>
          <w:color w:val="000000" w:themeColor="text1"/>
          <w:lang w:eastAsia="en-US"/>
        </w:rPr>
        <w:t xml:space="preserve">Відповідно до статей 7, 15, 55, 56 Закону України “Про Національний банк України”, статей 35, 44, 66 Закону України “Про банки і банківську діяльність”, з метою вдосконалення регулювання діяльності банків України </w:t>
      </w:r>
      <w:r w:rsidRPr="004D10A6">
        <w:t>Правління Національного банку України</w:t>
      </w:r>
      <w:r w:rsidRPr="004D10A6">
        <w:rPr>
          <w:b/>
        </w:rPr>
        <w:t xml:space="preserve"> постановляє:</w:t>
      </w:r>
    </w:p>
    <w:p w14:paraId="4E87373F" w14:textId="77777777" w:rsidR="00FC7085" w:rsidRPr="00DF09C4" w:rsidRDefault="00FC7085" w:rsidP="00FC7085">
      <w:pPr>
        <w:ind w:firstLine="709"/>
        <w:rPr>
          <w:bCs/>
        </w:rPr>
      </w:pPr>
    </w:p>
    <w:p w14:paraId="345F5AEE" w14:textId="078D2855" w:rsidR="00FC7085" w:rsidRPr="004D10A6"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1.</w:t>
      </w:r>
      <w:r>
        <w:rPr>
          <w:rFonts w:eastAsiaTheme="minorEastAsia"/>
          <w:color w:val="000000" w:themeColor="text1"/>
          <w:lang w:val="en-US" w:eastAsia="en-US"/>
        </w:rPr>
        <w:t> </w:t>
      </w:r>
      <w:r>
        <w:rPr>
          <w:rFonts w:eastAsiaTheme="minorEastAsia"/>
          <w:color w:val="000000" w:themeColor="text1"/>
          <w:lang w:eastAsia="en-US"/>
        </w:rPr>
        <w:t>П</w:t>
      </w:r>
      <w:r w:rsidRPr="00B72E59">
        <w:rPr>
          <w:rFonts w:eastAsiaTheme="minorEastAsia"/>
          <w:color w:val="000000" w:themeColor="text1"/>
          <w:lang w:eastAsia="en-US"/>
        </w:rPr>
        <w:t xml:space="preserve">ункт 1.2 глави 1 розділу IV </w:t>
      </w:r>
      <w:r w:rsidRPr="004D10A6">
        <w:rPr>
          <w:rFonts w:eastAsiaTheme="minorEastAsia"/>
          <w:color w:val="000000" w:themeColor="text1"/>
          <w:lang w:eastAsia="en-US"/>
        </w:rPr>
        <w:t>Інструкції про порядок регулювання діяльності банків в Україні, затвердженої постановою Правління Національного банку України від 28 серпня 2001 року №</w:t>
      </w:r>
      <w:r w:rsidR="00BE3EE7">
        <w:rPr>
          <w:rFonts w:eastAsiaTheme="minorEastAsia"/>
          <w:color w:val="000000" w:themeColor="text1"/>
          <w:lang w:eastAsia="en-US"/>
        </w:rPr>
        <w:t> </w:t>
      </w:r>
      <w:r w:rsidRPr="004D10A6">
        <w:rPr>
          <w:rFonts w:eastAsiaTheme="minorEastAsia"/>
          <w:color w:val="000000" w:themeColor="text1"/>
          <w:lang w:eastAsia="en-US"/>
        </w:rPr>
        <w:t>368, зареєстрованої в Міністерстві юстиції України 26 вересня 2001 року за №</w:t>
      </w:r>
      <w:r w:rsidR="00BE3EE7">
        <w:rPr>
          <w:rFonts w:eastAsiaTheme="minorEastAsia"/>
          <w:color w:val="000000" w:themeColor="text1"/>
          <w:lang w:eastAsia="en-US"/>
        </w:rPr>
        <w:t> </w:t>
      </w:r>
      <w:r w:rsidRPr="004D10A6">
        <w:rPr>
          <w:rFonts w:eastAsiaTheme="minorEastAsia"/>
          <w:color w:val="000000" w:themeColor="text1"/>
          <w:lang w:eastAsia="en-US"/>
        </w:rPr>
        <w:t xml:space="preserve">841/6032 (зі змінами), </w:t>
      </w:r>
      <w:r>
        <w:rPr>
          <w:rFonts w:eastAsiaTheme="minorEastAsia"/>
          <w:color w:val="000000" w:themeColor="text1"/>
          <w:lang w:eastAsia="en-US"/>
        </w:rPr>
        <w:t xml:space="preserve">доповнити </w:t>
      </w:r>
      <w:r w:rsidRPr="002044C8">
        <w:rPr>
          <w:rFonts w:eastAsiaTheme="minorEastAsia"/>
          <w:color w:val="000000" w:themeColor="text1"/>
          <w:lang w:eastAsia="en-US"/>
        </w:rPr>
        <w:t xml:space="preserve">чотирма </w:t>
      </w:r>
      <w:r>
        <w:rPr>
          <w:rFonts w:eastAsiaTheme="minorEastAsia"/>
          <w:color w:val="000000" w:themeColor="text1"/>
          <w:lang w:eastAsia="en-US"/>
        </w:rPr>
        <w:t>новими</w:t>
      </w:r>
      <w:r w:rsidRPr="00DC3C95">
        <w:rPr>
          <w:rFonts w:eastAsiaTheme="minorEastAsia"/>
          <w:color w:val="000000" w:themeColor="text1"/>
          <w:lang w:eastAsia="en-US"/>
        </w:rPr>
        <w:t xml:space="preserve"> </w:t>
      </w:r>
      <w:r w:rsidRPr="002044C8">
        <w:rPr>
          <w:rFonts w:eastAsiaTheme="minorEastAsia"/>
          <w:color w:val="000000" w:themeColor="text1"/>
          <w:lang w:eastAsia="en-US"/>
        </w:rPr>
        <w:t>абзацами</w:t>
      </w:r>
      <w:r>
        <w:rPr>
          <w:rFonts w:eastAsiaTheme="minorEastAsia"/>
          <w:color w:val="000000" w:themeColor="text1"/>
          <w:lang w:eastAsia="en-US"/>
        </w:rPr>
        <w:t xml:space="preserve"> </w:t>
      </w:r>
      <w:r w:rsidRPr="004D10A6">
        <w:rPr>
          <w:rFonts w:eastAsiaTheme="minorEastAsia"/>
          <w:lang w:eastAsia="en-US"/>
        </w:rPr>
        <w:t>такого змісту:</w:t>
      </w:r>
    </w:p>
    <w:p w14:paraId="49303DA5" w14:textId="77777777" w:rsidR="00FC7085" w:rsidRDefault="00FC7085" w:rsidP="00FC7085">
      <w:pPr>
        <w:ind w:firstLine="709"/>
        <w:rPr>
          <w:rFonts w:eastAsiaTheme="minorEastAsia"/>
          <w:lang w:eastAsia="en-US"/>
        </w:rPr>
      </w:pPr>
      <w:r w:rsidRPr="004D10A6">
        <w:rPr>
          <w:rFonts w:eastAsiaTheme="minorEastAsia"/>
          <w:lang w:eastAsia="en-US"/>
        </w:rPr>
        <w:t>“Банки включають до розрахунку нормативу достатності (адекватності) регулятивного капіталу (Н2) мінімальний розмір операційного ризику із застосуванням таких коефіцієнтів:</w:t>
      </w:r>
    </w:p>
    <w:p w14:paraId="5AB9ACF8" w14:textId="77777777" w:rsidR="00FC7085" w:rsidRPr="004D10A6" w:rsidRDefault="00FC7085" w:rsidP="00FC7085">
      <w:pPr>
        <w:ind w:firstLine="709"/>
        <w:rPr>
          <w:rFonts w:eastAsiaTheme="minorEastAsia"/>
          <w:lang w:eastAsia="en-US"/>
        </w:rPr>
      </w:pPr>
    </w:p>
    <w:p w14:paraId="202D919E" w14:textId="77777777" w:rsidR="00FC7085" w:rsidRPr="002044C8" w:rsidRDefault="00FC7085" w:rsidP="00FC7085">
      <w:pPr>
        <w:pStyle w:val="af3"/>
        <w:numPr>
          <w:ilvl w:val="0"/>
          <w:numId w:val="3"/>
        </w:numPr>
        <w:ind w:left="993" w:hanging="284"/>
        <w:rPr>
          <w:rFonts w:eastAsiaTheme="minorEastAsia"/>
          <w:lang w:eastAsia="en-US"/>
        </w:rPr>
      </w:pPr>
      <w:r>
        <w:rPr>
          <w:rFonts w:eastAsiaTheme="minorEastAsia"/>
          <w:lang w:eastAsia="en-US"/>
        </w:rPr>
        <w:t xml:space="preserve"> </w:t>
      </w:r>
      <w:r w:rsidRPr="002044C8">
        <w:rPr>
          <w:rFonts w:eastAsiaTheme="minorEastAsia"/>
          <w:lang w:eastAsia="en-US"/>
        </w:rPr>
        <w:t>до 30 грудня 2021 року (включно) – 0;</w:t>
      </w:r>
    </w:p>
    <w:p w14:paraId="0F3826FA" w14:textId="77777777" w:rsidR="00FC7085" w:rsidRPr="002044C8" w:rsidRDefault="00FC7085" w:rsidP="00FC7085">
      <w:pPr>
        <w:ind w:firstLine="709"/>
        <w:rPr>
          <w:rFonts w:eastAsiaTheme="minorEastAsia"/>
          <w:lang w:eastAsia="en-US"/>
        </w:rPr>
      </w:pPr>
    </w:p>
    <w:p w14:paraId="783C10B8" w14:textId="77777777" w:rsidR="00FC7085" w:rsidRPr="002044C8" w:rsidRDefault="00FC7085" w:rsidP="00FC7085">
      <w:pPr>
        <w:pStyle w:val="af3"/>
        <w:numPr>
          <w:ilvl w:val="0"/>
          <w:numId w:val="3"/>
        </w:numPr>
        <w:ind w:left="993" w:hanging="284"/>
        <w:rPr>
          <w:rFonts w:eastAsiaTheme="minorEastAsia"/>
          <w:lang w:eastAsia="en-US"/>
        </w:rPr>
      </w:pPr>
      <w:r w:rsidRPr="002044C8">
        <w:rPr>
          <w:rFonts w:eastAsiaTheme="minorEastAsia"/>
          <w:lang w:eastAsia="en-US"/>
        </w:rPr>
        <w:t xml:space="preserve"> із 31 грудня 2021 року – 0,5; </w:t>
      </w:r>
    </w:p>
    <w:p w14:paraId="335A631F" w14:textId="77777777" w:rsidR="00FC7085" w:rsidRPr="002044C8" w:rsidRDefault="00FC7085" w:rsidP="00FC7085">
      <w:pPr>
        <w:ind w:firstLine="709"/>
        <w:rPr>
          <w:rFonts w:eastAsiaTheme="minorEastAsia"/>
          <w:lang w:eastAsia="en-US"/>
        </w:rPr>
      </w:pPr>
    </w:p>
    <w:p w14:paraId="2D9974E7" w14:textId="77777777" w:rsidR="00FC7085" w:rsidRPr="002044C8" w:rsidRDefault="00FC7085" w:rsidP="00FC7085">
      <w:pPr>
        <w:pStyle w:val="af3"/>
        <w:numPr>
          <w:ilvl w:val="0"/>
          <w:numId w:val="3"/>
        </w:numPr>
        <w:ind w:left="993" w:hanging="284"/>
        <w:rPr>
          <w:rFonts w:eastAsiaTheme="minorEastAsia"/>
          <w:lang w:eastAsia="en-US"/>
        </w:rPr>
      </w:pPr>
      <w:r w:rsidRPr="002044C8">
        <w:rPr>
          <w:rFonts w:eastAsiaTheme="minorEastAsia"/>
          <w:lang w:eastAsia="en-US"/>
        </w:rPr>
        <w:t xml:space="preserve"> із 30 грудня 2022 року – 1.”.</w:t>
      </w:r>
    </w:p>
    <w:p w14:paraId="7326972F" w14:textId="77777777" w:rsidR="00FC7085" w:rsidRPr="00DF09C4" w:rsidRDefault="00FC7085" w:rsidP="00FC7085">
      <w:pPr>
        <w:ind w:left="709"/>
        <w:rPr>
          <w:rFonts w:eastAsiaTheme="minorEastAsia"/>
          <w:lang w:eastAsia="en-US"/>
        </w:rPr>
      </w:pPr>
    </w:p>
    <w:p w14:paraId="2A82DB0A" w14:textId="4D50E732" w:rsidR="00FC7085"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2.</w:t>
      </w:r>
      <w:r>
        <w:rPr>
          <w:rFonts w:eastAsiaTheme="minorEastAsia"/>
          <w:color w:val="000000" w:themeColor="text1"/>
          <w:lang w:val="en-US" w:eastAsia="en-US"/>
        </w:rPr>
        <w:t> </w:t>
      </w:r>
      <w:proofErr w:type="spellStart"/>
      <w:r w:rsidRPr="004D10A6">
        <w:rPr>
          <w:rFonts w:eastAsiaTheme="minorEastAsia"/>
          <w:color w:val="000000" w:themeColor="text1"/>
          <w:lang w:eastAsia="en-US"/>
        </w:rPr>
        <w:t>Унести</w:t>
      </w:r>
      <w:proofErr w:type="spellEnd"/>
      <w:r w:rsidRPr="004D10A6">
        <w:rPr>
          <w:rFonts w:eastAsiaTheme="minorEastAsia"/>
          <w:color w:val="000000" w:themeColor="text1"/>
          <w:lang w:eastAsia="en-US"/>
        </w:rPr>
        <w:t xml:space="preserve"> до Положення про порядок визначення банками України мінімального розміру операційного ризику, затвердженого постановою Правління Національного банку України від 24 грудня 2019 року №</w:t>
      </w:r>
      <w:r w:rsidR="00BE3EE7">
        <w:rPr>
          <w:rFonts w:eastAsiaTheme="minorEastAsia"/>
          <w:color w:val="000000" w:themeColor="text1"/>
          <w:lang w:eastAsia="en-US"/>
        </w:rPr>
        <w:t> </w:t>
      </w:r>
      <w:r w:rsidRPr="004D10A6">
        <w:rPr>
          <w:rFonts w:eastAsiaTheme="minorEastAsia"/>
          <w:color w:val="000000" w:themeColor="text1"/>
          <w:lang w:eastAsia="en-US"/>
        </w:rPr>
        <w:t xml:space="preserve">156, такі зміни: </w:t>
      </w:r>
    </w:p>
    <w:p w14:paraId="7919D6EF" w14:textId="77777777" w:rsidR="00FC7085" w:rsidRDefault="00FC7085" w:rsidP="00FC7085">
      <w:pPr>
        <w:ind w:firstLine="709"/>
        <w:rPr>
          <w:rFonts w:eastAsiaTheme="minorEastAsia"/>
          <w:color w:val="000000" w:themeColor="text1"/>
          <w:lang w:eastAsia="en-US"/>
        </w:rPr>
      </w:pPr>
    </w:p>
    <w:p w14:paraId="6F5799E3" w14:textId="77777777" w:rsidR="00FC7085" w:rsidRPr="003924EE" w:rsidRDefault="00FC7085" w:rsidP="00FC7085">
      <w:pPr>
        <w:ind w:firstLine="709"/>
        <w:rPr>
          <w:rFonts w:eastAsiaTheme="minorEastAsia"/>
          <w:color w:val="000000" w:themeColor="text1"/>
          <w:lang w:eastAsia="en-US"/>
        </w:rPr>
      </w:pPr>
      <w:r w:rsidRPr="003924EE">
        <w:rPr>
          <w:rFonts w:eastAsiaTheme="minorEastAsia"/>
          <w:color w:val="000000" w:themeColor="text1"/>
          <w:lang w:eastAsia="en-US"/>
        </w:rPr>
        <w:t>1) в абзаці першому пункту 4:</w:t>
      </w:r>
    </w:p>
    <w:p w14:paraId="0EB79E77" w14:textId="77777777" w:rsidR="00FC7085" w:rsidRPr="003924EE" w:rsidRDefault="00FC7085" w:rsidP="00FC7085">
      <w:pPr>
        <w:ind w:firstLine="709"/>
        <w:rPr>
          <w:rFonts w:eastAsiaTheme="minorEastAsia"/>
          <w:color w:val="000000" w:themeColor="text1"/>
          <w:lang w:eastAsia="en-US"/>
        </w:rPr>
      </w:pPr>
      <w:r w:rsidRPr="003924EE">
        <w:rPr>
          <w:rFonts w:eastAsiaTheme="minorEastAsia"/>
          <w:color w:val="000000" w:themeColor="text1"/>
          <w:lang w:eastAsia="en-US"/>
        </w:rPr>
        <w:t>слова “не пізніше останнього робочого дня травня поточного року” виключити;</w:t>
      </w:r>
    </w:p>
    <w:p w14:paraId="3546FE98" w14:textId="33C24A59" w:rsidR="00FC7085" w:rsidRPr="003924EE" w:rsidRDefault="00FC7085" w:rsidP="00FC7085">
      <w:pPr>
        <w:ind w:firstLine="709"/>
        <w:rPr>
          <w:rFonts w:eastAsiaTheme="minorEastAsia"/>
          <w:color w:val="000000" w:themeColor="text1"/>
          <w:lang w:eastAsia="en-US"/>
        </w:rPr>
      </w:pPr>
      <w:r>
        <w:rPr>
          <w:rFonts w:eastAsiaTheme="minorEastAsia"/>
          <w:color w:val="000000" w:themeColor="text1"/>
          <w:lang w:eastAsia="en-US"/>
        </w:rPr>
        <w:t>абзац</w:t>
      </w:r>
      <w:r w:rsidRPr="003924EE">
        <w:rPr>
          <w:rFonts w:eastAsiaTheme="minorEastAsia"/>
          <w:color w:val="000000" w:themeColor="text1"/>
          <w:lang w:eastAsia="en-US"/>
        </w:rPr>
        <w:t xml:space="preserve"> після слова “аудитором</w:t>
      </w:r>
      <w:r w:rsidR="00D32037">
        <w:rPr>
          <w:rFonts w:eastAsiaTheme="minorEastAsia"/>
          <w:color w:val="000000" w:themeColor="text1"/>
          <w:lang w:eastAsia="en-US"/>
        </w:rPr>
        <w:t>,</w:t>
      </w:r>
      <w:r w:rsidRPr="003924EE">
        <w:rPr>
          <w:rFonts w:eastAsiaTheme="minorEastAsia"/>
          <w:color w:val="000000" w:themeColor="text1"/>
          <w:lang w:eastAsia="en-US"/>
        </w:rPr>
        <w:t>” доповнити словами “і додаткових даних”;</w:t>
      </w:r>
    </w:p>
    <w:p w14:paraId="7FA1CC01" w14:textId="77777777" w:rsidR="00FC7085" w:rsidRPr="003924EE" w:rsidRDefault="00FC7085" w:rsidP="00FC7085">
      <w:pPr>
        <w:ind w:firstLine="709"/>
        <w:rPr>
          <w:rFonts w:eastAsiaTheme="minorEastAsia"/>
          <w:color w:val="000000" w:themeColor="text1"/>
          <w:lang w:eastAsia="en-US"/>
        </w:rPr>
      </w:pPr>
    </w:p>
    <w:p w14:paraId="7D1C4ACE" w14:textId="77777777" w:rsidR="00FC7085" w:rsidRDefault="00FC7085" w:rsidP="00FC7085">
      <w:pPr>
        <w:ind w:firstLine="709"/>
        <w:rPr>
          <w:rFonts w:eastAsiaTheme="minorEastAsia"/>
          <w:color w:val="000000" w:themeColor="text1"/>
          <w:lang w:eastAsia="en-US"/>
        </w:rPr>
      </w:pPr>
      <w:r w:rsidRPr="003924EE">
        <w:rPr>
          <w:rFonts w:eastAsiaTheme="minorEastAsia"/>
          <w:color w:val="000000" w:themeColor="text1"/>
          <w:lang w:eastAsia="en-US"/>
        </w:rPr>
        <w:t>2) пункт 7 викласти в такій редакції:</w:t>
      </w:r>
    </w:p>
    <w:p w14:paraId="416EB832" w14:textId="3FAB025D" w:rsidR="00FC7085" w:rsidRPr="00692A2A" w:rsidRDefault="00FC7085" w:rsidP="00FC7085">
      <w:pPr>
        <w:ind w:firstLine="709"/>
        <w:rPr>
          <w:rFonts w:eastAsiaTheme="minorEastAsia"/>
          <w:color w:val="000000" w:themeColor="text1"/>
          <w:lang w:val="ru-RU" w:eastAsia="en-US"/>
        </w:rPr>
      </w:pPr>
      <w:r w:rsidRPr="00692A2A">
        <w:rPr>
          <w:rFonts w:eastAsiaTheme="minorEastAsia"/>
          <w:color w:val="000000" w:themeColor="text1"/>
          <w:lang w:val="ru-RU" w:eastAsia="en-US"/>
        </w:rPr>
        <w:t>“</w:t>
      </w:r>
      <w:r w:rsidRPr="00C9124A">
        <w:rPr>
          <w:rFonts w:eastAsiaTheme="minorEastAsia"/>
          <w:color w:val="000000" w:themeColor="text1"/>
          <w:lang w:eastAsia="en-US"/>
        </w:rPr>
        <w:t>7. Банк подає до Національного банку дані про мінімальний розмір операційного ризику відповідно до Правил організації статистичної звітності, що подається до Національного банку України, затверджених постановою Правління Національного банку України від 13 листопада 2018 року №</w:t>
      </w:r>
      <w:r w:rsidR="00BE3EE7">
        <w:rPr>
          <w:rFonts w:eastAsiaTheme="minorEastAsia"/>
          <w:color w:val="000000" w:themeColor="text1"/>
          <w:lang w:eastAsia="en-US"/>
        </w:rPr>
        <w:t> </w:t>
      </w:r>
      <w:r w:rsidRPr="00C9124A">
        <w:rPr>
          <w:rFonts w:eastAsiaTheme="minorEastAsia"/>
          <w:color w:val="000000" w:themeColor="text1"/>
          <w:lang w:eastAsia="en-US"/>
        </w:rPr>
        <w:t>120 (зі змінами).</w:t>
      </w:r>
      <w:r w:rsidRPr="00692A2A">
        <w:rPr>
          <w:rFonts w:eastAsiaTheme="minorEastAsia"/>
          <w:color w:val="000000" w:themeColor="text1"/>
          <w:lang w:val="ru-RU" w:eastAsia="en-US"/>
        </w:rPr>
        <w:t>”;</w:t>
      </w:r>
    </w:p>
    <w:p w14:paraId="4F9D3DA4" w14:textId="77777777" w:rsidR="00FC7085" w:rsidRDefault="00FC7085" w:rsidP="00FC7085">
      <w:pPr>
        <w:ind w:firstLine="709"/>
        <w:rPr>
          <w:rFonts w:eastAsiaTheme="minorEastAsia"/>
          <w:color w:val="000000" w:themeColor="text1"/>
          <w:lang w:eastAsia="en-US"/>
        </w:rPr>
      </w:pPr>
    </w:p>
    <w:p w14:paraId="5E52907F" w14:textId="77777777" w:rsidR="00FC7085" w:rsidRPr="004D10A6"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3) у пункті 8:</w:t>
      </w:r>
    </w:p>
    <w:p w14:paraId="207E42C3" w14:textId="77777777" w:rsidR="00FC7085" w:rsidRPr="004D10A6"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в абзаці першому слова</w:t>
      </w:r>
      <w:r>
        <w:rPr>
          <w:rFonts w:eastAsiaTheme="minorEastAsia"/>
          <w:color w:val="000000" w:themeColor="text1"/>
          <w:lang w:eastAsia="en-US"/>
        </w:rPr>
        <w:t>, літери, цифру</w:t>
      </w:r>
      <w:r w:rsidRPr="004D10A6">
        <w:rPr>
          <w:rFonts w:eastAsiaTheme="minorEastAsia"/>
          <w:color w:val="000000" w:themeColor="text1"/>
          <w:lang w:eastAsia="en-US"/>
        </w:rPr>
        <w:t xml:space="preserve"> “на підставі річних даних файлів А4Х” виключити;</w:t>
      </w:r>
    </w:p>
    <w:p w14:paraId="26D3F886" w14:textId="77777777" w:rsidR="00FC7085" w:rsidRPr="004D10A6"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в абзаці другому слова</w:t>
      </w:r>
      <w:r>
        <w:rPr>
          <w:rFonts w:eastAsiaTheme="minorEastAsia"/>
          <w:color w:val="000000" w:themeColor="text1"/>
          <w:lang w:eastAsia="en-US"/>
        </w:rPr>
        <w:t xml:space="preserve">, літери, цифру </w:t>
      </w:r>
      <w:r w:rsidRPr="004D10A6">
        <w:rPr>
          <w:rFonts w:eastAsiaTheme="minorEastAsia"/>
          <w:color w:val="000000" w:themeColor="text1"/>
          <w:lang w:eastAsia="en-US"/>
        </w:rPr>
        <w:t>“, ґрунтуючись на річних даних файлів А4Х” виключити.</w:t>
      </w:r>
    </w:p>
    <w:p w14:paraId="2CF203AC" w14:textId="77777777" w:rsidR="00FC7085" w:rsidRDefault="00FC7085" w:rsidP="00FC7085">
      <w:pPr>
        <w:ind w:firstLine="709"/>
        <w:rPr>
          <w:rFonts w:eastAsiaTheme="minorEastAsia"/>
          <w:color w:val="000000" w:themeColor="text1"/>
          <w:lang w:eastAsia="en-US"/>
        </w:rPr>
      </w:pPr>
    </w:p>
    <w:p w14:paraId="5B83B2E7" w14:textId="265B067E" w:rsidR="00FC7085"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3.</w:t>
      </w:r>
      <w:r>
        <w:rPr>
          <w:rFonts w:eastAsiaTheme="minorEastAsia"/>
          <w:color w:val="000000" w:themeColor="text1"/>
          <w:lang w:val="en-US" w:eastAsia="en-US"/>
        </w:rPr>
        <w:t> </w:t>
      </w:r>
      <w:proofErr w:type="spellStart"/>
      <w:r w:rsidRPr="004D10A6">
        <w:rPr>
          <w:rFonts w:eastAsiaTheme="minorEastAsia"/>
          <w:color w:val="000000" w:themeColor="text1"/>
          <w:lang w:eastAsia="en-US"/>
        </w:rPr>
        <w:t>Унести</w:t>
      </w:r>
      <w:proofErr w:type="spellEnd"/>
      <w:r w:rsidRPr="004D10A6">
        <w:rPr>
          <w:rFonts w:eastAsiaTheme="minorEastAsia"/>
          <w:color w:val="000000" w:themeColor="text1"/>
          <w:lang w:eastAsia="en-US"/>
        </w:rPr>
        <w:t xml:space="preserve"> до постанови Правління Національного банку України від 24 грудня 2019 року №</w:t>
      </w:r>
      <w:r w:rsidR="00BE3EE7">
        <w:rPr>
          <w:rFonts w:eastAsiaTheme="minorEastAsia"/>
          <w:color w:val="000000" w:themeColor="text1"/>
          <w:lang w:eastAsia="en-US"/>
        </w:rPr>
        <w:t> </w:t>
      </w:r>
      <w:r w:rsidRPr="004D10A6">
        <w:rPr>
          <w:rFonts w:eastAsiaTheme="minorEastAsia"/>
          <w:color w:val="000000" w:themeColor="text1"/>
          <w:lang w:eastAsia="en-US"/>
        </w:rPr>
        <w:t xml:space="preserve">157 “Про внесення змін до деяких нормативно-правових актів Національного банку України” такі зміни: </w:t>
      </w:r>
    </w:p>
    <w:p w14:paraId="66732474" w14:textId="77777777" w:rsidR="00FC7085" w:rsidRPr="004D10A6" w:rsidRDefault="00FC7085" w:rsidP="00FC7085">
      <w:pPr>
        <w:ind w:firstLine="709"/>
        <w:rPr>
          <w:rFonts w:eastAsiaTheme="minorEastAsia"/>
          <w:color w:val="000000" w:themeColor="text1"/>
          <w:lang w:eastAsia="en-US"/>
        </w:rPr>
      </w:pPr>
    </w:p>
    <w:p w14:paraId="6A4A5C7E" w14:textId="77777777" w:rsidR="00FC7085" w:rsidRDefault="00FC7085" w:rsidP="00FC7085">
      <w:pPr>
        <w:ind w:firstLine="709"/>
        <w:rPr>
          <w:rFonts w:eastAsiaTheme="minorEastAsia"/>
          <w:color w:val="000000" w:themeColor="text1"/>
          <w:lang w:val="ru-RU" w:eastAsia="en-US"/>
        </w:rPr>
      </w:pPr>
      <w:r w:rsidRPr="004D10A6">
        <w:rPr>
          <w:rFonts w:eastAsiaTheme="minorEastAsia"/>
          <w:color w:val="000000" w:themeColor="text1"/>
          <w:lang w:eastAsia="en-US"/>
        </w:rPr>
        <w:t>1) у пункті 1 слова</w:t>
      </w:r>
      <w:r>
        <w:rPr>
          <w:rFonts w:eastAsiaTheme="minorEastAsia"/>
          <w:color w:val="000000" w:themeColor="text1"/>
          <w:lang w:eastAsia="en-US"/>
        </w:rPr>
        <w:t>, цифри</w:t>
      </w:r>
      <w:r w:rsidRPr="004D10A6">
        <w:rPr>
          <w:rFonts w:eastAsiaTheme="minorEastAsia"/>
          <w:color w:val="000000" w:themeColor="text1"/>
          <w:lang w:eastAsia="en-US"/>
        </w:rPr>
        <w:t xml:space="preserve"> “(далі – Інструкція № 368)” виключити</w:t>
      </w:r>
      <w:r>
        <w:rPr>
          <w:rFonts w:eastAsiaTheme="minorEastAsia"/>
          <w:color w:val="000000" w:themeColor="text1"/>
          <w:lang w:val="ru-RU" w:eastAsia="en-US"/>
        </w:rPr>
        <w:t>;</w:t>
      </w:r>
    </w:p>
    <w:p w14:paraId="41CB2C42" w14:textId="77777777" w:rsidR="00FC7085" w:rsidRPr="00E80C47" w:rsidRDefault="00FC7085" w:rsidP="00FC7085">
      <w:pPr>
        <w:ind w:firstLine="709"/>
        <w:rPr>
          <w:rFonts w:eastAsiaTheme="minorEastAsia"/>
          <w:color w:val="000000" w:themeColor="text1"/>
          <w:lang w:val="ru-RU" w:eastAsia="en-US"/>
        </w:rPr>
      </w:pPr>
    </w:p>
    <w:p w14:paraId="2A6DBBB1" w14:textId="77777777" w:rsidR="00FC7085"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2) пункт 3 виключити.</w:t>
      </w:r>
    </w:p>
    <w:p w14:paraId="4EC6355D" w14:textId="77777777" w:rsidR="00FC7085" w:rsidRDefault="00FC7085" w:rsidP="00FC7085">
      <w:pPr>
        <w:ind w:firstLine="709"/>
        <w:rPr>
          <w:rFonts w:eastAsiaTheme="minorEastAsia"/>
          <w:color w:val="000000" w:themeColor="text1"/>
          <w:lang w:eastAsia="en-US"/>
        </w:rPr>
      </w:pPr>
    </w:p>
    <w:p w14:paraId="24FA163D" w14:textId="77777777" w:rsidR="00FC7085"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4. Департаменту методології регулювання діяльності банків (Наталія Іваненко) після офіційного опублікування довести до відома банків України інформацію про прийняття цієї постанови.</w:t>
      </w:r>
    </w:p>
    <w:p w14:paraId="2933F9C1" w14:textId="77777777" w:rsidR="00FC7085" w:rsidRDefault="00FC7085" w:rsidP="00FC7085">
      <w:pPr>
        <w:ind w:firstLine="709"/>
        <w:rPr>
          <w:rFonts w:eastAsiaTheme="minorEastAsia"/>
          <w:color w:val="000000" w:themeColor="text1"/>
          <w:lang w:eastAsia="en-US"/>
        </w:rPr>
      </w:pPr>
    </w:p>
    <w:p w14:paraId="4A01218D" w14:textId="77777777" w:rsidR="00FC7085" w:rsidRPr="004D10A6" w:rsidRDefault="00FC7085" w:rsidP="00FC7085">
      <w:pPr>
        <w:ind w:firstLine="709"/>
        <w:rPr>
          <w:rFonts w:eastAsiaTheme="minorEastAsia"/>
          <w:color w:val="000000" w:themeColor="text1"/>
          <w:lang w:eastAsia="en-US"/>
        </w:rPr>
      </w:pPr>
      <w:r w:rsidRPr="004D10A6">
        <w:rPr>
          <w:rFonts w:eastAsiaTheme="minorEastAsia"/>
          <w:color w:val="000000" w:themeColor="text1"/>
          <w:lang w:eastAsia="en-US"/>
        </w:rPr>
        <w:t>5. Постанова набирає чинності з дня, наступного за днем її офіційного опублікування.</w:t>
      </w:r>
    </w:p>
    <w:p w14:paraId="28710028" w14:textId="77777777" w:rsidR="00E42621" w:rsidRDefault="00E42621" w:rsidP="00D46BE1">
      <w:pPr>
        <w:spacing w:after="120"/>
      </w:pPr>
    </w:p>
    <w:p w14:paraId="121FC185" w14:textId="77777777" w:rsidR="00FC7085" w:rsidRPr="00FC7085" w:rsidRDefault="00FC7085" w:rsidP="00D46BE1">
      <w:pPr>
        <w:spacing w:after="120"/>
      </w:pPr>
    </w:p>
    <w:p w14:paraId="674FCDA0" w14:textId="77777777" w:rsidR="0095741D" w:rsidRPr="00CD0CD4" w:rsidRDefault="0095741D" w:rsidP="00D46BE1">
      <w:pPr>
        <w:spacing w:after="120"/>
      </w:pPr>
    </w:p>
    <w:tbl>
      <w:tblPr>
        <w:tblStyle w:val="a9"/>
        <w:tblW w:w="13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gridCol w:w="4252"/>
      </w:tblGrid>
      <w:tr w:rsidR="00FC7085" w:rsidRPr="00CD0CD4" w14:paraId="757C326F" w14:textId="77777777" w:rsidTr="00FB7F24">
        <w:tc>
          <w:tcPr>
            <w:tcW w:w="5387" w:type="dxa"/>
            <w:vAlign w:val="bottom"/>
          </w:tcPr>
          <w:p w14:paraId="7B9069CF" w14:textId="77777777" w:rsidR="00FC7085" w:rsidRPr="00CD0CD4" w:rsidRDefault="00FC7085" w:rsidP="00FC7085">
            <w:pPr>
              <w:autoSpaceDE w:val="0"/>
              <w:autoSpaceDN w:val="0"/>
              <w:jc w:val="left"/>
            </w:pPr>
            <w:r w:rsidRPr="00FC7085">
              <w:t>Голова</w:t>
            </w:r>
          </w:p>
        </w:tc>
        <w:tc>
          <w:tcPr>
            <w:tcW w:w="4252" w:type="dxa"/>
            <w:vAlign w:val="bottom"/>
          </w:tcPr>
          <w:p w14:paraId="6E381F9C" w14:textId="77777777" w:rsidR="00FC7085" w:rsidRPr="004D10A6" w:rsidRDefault="00FC7085" w:rsidP="00FC7085">
            <w:pPr>
              <w:tabs>
                <w:tab w:val="left" w:pos="7020"/>
                <w:tab w:val="left" w:pos="7200"/>
              </w:tabs>
              <w:autoSpaceDE w:val="0"/>
              <w:autoSpaceDN w:val="0"/>
              <w:ind w:left="32"/>
              <w:jc w:val="right"/>
            </w:pPr>
            <w:r w:rsidRPr="004D10A6">
              <w:t>Кирило ШЕВЧЕНКО</w:t>
            </w:r>
          </w:p>
        </w:tc>
        <w:tc>
          <w:tcPr>
            <w:tcW w:w="4252" w:type="dxa"/>
            <w:vAlign w:val="bottom"/>
          </w:tcPr>
          <w:p w14:paraId="7A2195C9" w14:textId="77777777" w:rsidR="00FC7085" w:rsidRPr="00CD0CD4" w:rsidRDefault="00CB2DA0" w:rsidP="00FC7085">
            <w:pPr>
              <w:tabs>
                <w:tab w:val="left" w:pos="7020"/>
                <w:tab w:val="left" w:pos="7200"/>
              </w:tabs>
              <w:autoSpaceDE w:val="0"/>
              <w:autoSpaceDN w:val="0"/>
              <w:ind w:left="32"/>
              <w:jc w:val="right"/>
            </w:pPr>
            <w:sdt>
              <w:sdtPr>
                <w:id w:val="4932788"/>
                <w:placeholder>
                  <w:docPart w:val="B9D38E2021EF4CED93A008AD274D0E22"/>
                </w:placeholder>
                <w:temporary/>
                <w:showingPlcHdr/>
              </w:sdtPr>
              <w:sdtEndPr/>
              <w:sdtContent>
                <w:r w:rsidR="00FC7085" w:rsidRPr="00CD0CD4">
                  <w:rPr>
                    <w:color w:val="808080" w:themeColor="background1" w:themeShade="80"/>
                  </w:rPr>
                  <w:t>[</w:t>
                </w:r>
                <w:r w:rsidR="00FC7085">
                  <w:rPr>
                    <w:rStyle w:val="af"/>
                  </w:rPr>
                  <w:t>І</w:t>
                </w:r>
                <w:r w:rsidR="00FC7085">
                  <w:rPr>
                    <w:color w:val="808080" w:themeColor="background1" w:themeShade="80"/>
                  </w:rPr>
                  <w:t>м’я</w:t>
                </w:r>
                <w:r w:rsidR="00FC7085" w:rsidRPr="00CD0CD4">
                  <w:rPr>
                    <w:color w:val="808080" w:themeColor="background1" w:themeShade="80"/>
                  </w:rPr>
                  <w:t xml:space="preserve"> ПРІЗВИЩЕ]</w:t>
                </w:r>
              </w:sdtContent>
            </w:sdt>
          </w:p>
        </w:tc>
      </w:tr>
    </w:tbl>
    <w:p w14:paraId="38A7B440" w14:textId="77777777" w:rsidR="008D10FD" w:rsidRPr="00CD0CD4" w:rsidRDefault="008D10FD" w:rsidP="00E53CCD"/>
    <w:p w14:paraId="14BAD2B2" w14:textId="77777777" w:rsidR="00FA508E" w:rsidRPr="00CD0CD4" w:rsidRDefault="00FA508E" w:rsidP="00E53CCD"/>
    <w:p w14:paraId="5E31A92A" w14:textId="77777777" w:rsidR="00FA508E" w:rsidRPr="00CD0CD4" w:rsidRDefault="00FA508E" w:rsidP="00FA508E">
      <w:pPr>
        <w:jc w:val="left"/>
      </w:pPr>
      <w:r w:rsidRPr="00CD0CD4">
        <w:t>Інд.</w:t>
      </w:r>
      <w:r w:rsidRPr="00CD0CD4">
        <w:rPr>
          <w:sz w:val="22"/>
          <w:szCs w:val="22"/>
        </w:rPr>
        <w:t xml:space="preserve"> </w:t>
      </w:r>
      <w:r w:rsidR="00FC7085">
        <w:rPr>
          <w:lang w:val="en-US"/>
        </w:rPr>
        <w:t>22</w:t>
      </w:r>
    </w:p>
    <w:sectPr w:rsidR="00FA508E" w:rsidRPr="00CD0CD4" w:rsidSect="00BE3EE7">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34B87" w14:textId="77777777" w:rsidR="00D503F6" w:rsidRDefault="00D503F6" w:rsidP="00E53CCD">
      <w:r>
        <w:separator/>
      </w:r>
    </w:p>
  </w:endnote>
  <w:endnote w:type="continuationSeparator" w:id="0">
    <w:p w14:paraId="1A59F1AD" w14:textId="77777777" w:rsidR="00D503F6" w:rsidRDefault="00D503F6"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B4FD" w14:textId="77777777" w:rsidR="00CB2DA0" w:rsidRDefault="00CB2D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4C40" w14:textId="77777777" w:rsidR="00CB2DA0" w:rsidRDefault="00CB2D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4C58C" w14:textId="77777777" w:rsidR="005C44F4" w:rsidRPr="005C44F4" w:rsidRDefault="005C44F4"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D50C6" w14:textId="77777777" w:rsidR="00D503F6" w:rsidRDefault="00D503F6" w:rsidP="00E53CCD">
      <w:r>
        <w:separator/>
      </w:r>
    </w:p>
  </w:footnote>
  <w:footnote w:type="continuationSeparator" w:id="0">
    <w:p w14:paraId="636039FE" w14:textId="77777777" w:rsidR="00D503F6" w:rsidRDefault="00D503F6"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53E45" w14:textId="77777777" w:rsidR="00CB2DA0" w:rsidRDefault="00CB2D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334"/>
      <w:docPartObj>
        <w:docPartGallery w:val="Page Numbers (Top of Page)"/>
        <w:docPartUnique/>
      </w:docPartObj>
    </w:sdtPr>
    <w:sdtEndPr/>
    <w:sdtContent>
      <w:p w14:paraId="2C64B736" w14:textId="77777777" w:rsidR="00460BA2" w:rsidRDefault="00FE0B90">
        <w:pPr>
          <w:pStyle w:val="a5"/>
          <w:jc w:val="center"/>
        </w:pPr>
        <w:r>
          <w:fldChar w:fldCharType="begin"/>
        </w:r>
        <w:r w:rsidR="00460BA2">
          <w:instrText xml:space="preserve"> PAGE   \* MERGEFORMAT </w:instrText>
        </w:r>
        <w:r>
          <w:fldChar w:fldCharType="separate"/>
        </w:r>
        <w:r w:rsidR="00CB2DA0">
          <w:rPr>
            <w:noProof/>
          </w:rPr>
          <w:t>2</w:t>
        </w:r>
        <w:r>
          <w:fldChar w:fldCharType="end"/>
        </w:r>
      </w:p>
    </w:sdtContent>
  </w:sdt>
  <w:p w14:paraId="2ED54D10" w14:textId="77777777" w:rsidR="00460BA2" w:rsidRDefault="00460BA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F2AF" w14:textId="77777777" w:rsidR="00CB2DA0" w:rsidRDefault="00CB2D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2648"/>
    <w:multiLevelType w:val="hybridMultilevel"/>
    <w:tmpl w:val="CB6A5224"/>
    <w:lvl w:ilvl="0" w:tplc="AB7058FE">
      <w:start w:val="1"/>
      <w:numFmt w:val="decimal"/>
      <w:lvlText w:val="%1)"/>
      <w:lvlJc w:val="left"/>
      <w:pPr>
        <w:ind w:left="1429" w:hanging="360"/>
      </w:pPr>
      <w:rPr>
        <w:rFonts w:ascii="Times New Roman" w:eastAsia="Times New Roman" w:hAnsi="Times New Roman" w:cs="Times New Roman" w:hint="default"/>
        <w:w w:val="100"/>
        <w:sz w:val="28"/>
        <w:szCs w:val="28"/>
        <w:lang w:val="uk-UA"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85"/>
    <w:rsid w:val="000064FA"/>
    <w:rsid w:val="000069AF"/>
    <w:rsid w:val="00015CF3"/>
    <w:rsid w:val="00015FDE"/>
    <w:rsid w:val="000207B0"/>
    <w:rsid w:val="0003331E"/>
    <w:rsid w:val="000342A5"/>
    <w:rsid w:val="0003793C"/>
    <w:rsid w:val="000543C6"/>
    <w:rsid w:val="000600A8"/>
    <w:rsid w:val="00061C52"/>
    <w:rsid w:val="00063480"/>
    <w:rsid w:val="000638F2"/>
    <w:rsid w:val="000B2990"/>
    <w:rsid w:val="000D778F"/>
    <w:rsid w:val="000E0CB3"/>
    <w:rsid w:val="000E5B8C"/>
    <w:rsid w:val="000E7A13"/>
    <w:rsid w:val="00101D5A"/>
    <w:rsid w:val="00106229"/>
    <w:rsid w:val="00115ECF"/>
    <w:rsid w:val="001631E2"/>
    <w:rsid w:val="001716B0"/>
    <w:rsid w:val="001740C0"/>
    <w:rsid w:val="00190E1A"/>
    <w:rsid w:val="001A0EE5"/>
    <w:rsid w:val="001A16FA"/>
    <w:rsid w:val="001A4CB9"/>
    <w:rsid w:val="001A6795"/>
    <w:rsid w:val="001C206C"/>
    <w:rsid w:val="001D487A"/>
    <w:rsid w:val="001D5DC9"/>
    <w:rsid w:val="002238D1"/>
    <w:rsid w:val="00233F37"/>
    <w:rsid w:val="00241373"/>
    <w:rsid w:val="00253BF9"/>
    <w:rsid w:val="00264983"/>
    <w:rsid w:val="00266678"/>
    <w:rsid w:val="0027113B"/>
    <w:rsid w:val="00276988"/>
    <w:rsid w:val="00280DCC"/>
    <w:rsid w:val="00285DDA"/>
    <w:rsid w:val="00290169"/>
    <w:rsid w:val="002A2391"/>
    <w:rsid w:val="002B351E"/>
    <w:rsid w:val="002B3F71"/>
    <w:rsid w:val="002B582B"/>
    <w:rsid w:val="002C1FDB"/>
    <w:rsid w:val="002C6675"/>
    <w:rsid w:val="002D1790"/>
    <w:rsid w:val="002F48EF"/>
    <w:rsid w:val="00332701"/>
    <w:rsid w:val="00337368"/>
    <w:rsid w:val="00340D07"/>
    <w:rsid w:val="00345982"/>
    <w:rsid w:val="00356E34"/>
    <w:rsid w:val="00357676"/>
    <w:rsid w:val="0038385E"/>
    <w:rsid w:val="00384F65"/>
    <w:rsid w:val="00392B70"/>
    <w:rsid w:val="0039725C"/>
    <w:rsid w:val="003A16E7"/>
    <w:rsid w:val="003A751F"/>
    <w:rsid w:val="003C3282"/>
    <w:rsid w:val="003C3985"/>
    <w:rsid w:val="003D3CA1"/>
    <w:rsid w:val="003D6B33"/>
    <w:rsid w:val="003F0441"/>
    <w:rsid w:val="003F28B5"/>
    <w:rsid w:val="003F7093"/>
    <w:rsid w:val="00401EDB"/>
    <w:rsid w:val="00404C93"/>
    <w:rsid w:val="00407877"/>
    <w:rsid w:val="004130B9"/>
    <w:rsid w:val="00446704"/>
    <w:rsid w:val="00455B45"/>
    <w:rsid w:val="00460BA2"/>
    <w:rsid w:val="004666D6"/>
    <w:rsid w:val="0047251F"/>
    <w:rsid w:val="004A1CFC"/>
    <w:rsid w:val="004A7F75"/>
    <w:rsid w:val="004B1FE9"/>
    <w:rsid w:val="004B5574"/>
    <w:rsid w:val="004D2B57"/>
    <w:rsid w:val="004E22E2"/>
    <w:rsid w:val="0050563F"/>
    <w:rsid w:val="005212C5"/>
    <w:rsid w:val="00523C13"/>
    <w:rsid w:val="00524F07"/>
    <w:rsid w:val="005257C2"/>
    <w:rsid w:val="00532633"/>
    <w:rsid w:val="005403F1"/>
    <w:rsid w:val="00542533"/>
    <w:rsid w:val="005624B6"/>
    <w:rsid w:val="00562C46"/>
    <w:rsid w:val="0057237F"/>
    <w:rsid w:val="00577402"/>
    <w:rsid w:val="005822CB"/>
    <w:rsid w:val="00597AB6"/>
    <w:rsid w:val="005A0F4B"/>
    <w:rsid w:val="005A1D3C"/>
    <w:rsid w:val="005A3F34"/>
    <w:rsid w:val="005B2D03"/>
    <w:rsid w:val="005B4158"/>
    <w:rsid w:val="005C44F4"/>
    <w:rsid w:val="005C5CBF"/>
    <w:rsid w:val="005D3B88"/>
    <w:rsid w:val="005D45F5"/>
    <w:rsid w:val="005E3FA8"/>
    <w:rsid w:val="005F4CB4"/>
    <w:rsid w:val="00640612"/>
    <w:rsid w:val="0064111F"/>
    <w:rsid w:val="0064227D"/>
    <w:rsid w:val="0065179F"/>
    <w:rsid w:val="00657593"/>
    <w:rsid w:val="00670C95"/>
    <w:rsid w:val="00686049"/>
    <w:rsid w:val="006925CE"/>
    <w:rsid w:val="00692C8C"/>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36C98"/>
    <w:rsid w:val="00747222"/>
    <w:rsid w:val="00750898"/>
    <w:rsid w:val="00773559"/>
    <w:rsid w:val="0078127A"/>
    <w:rsid w:val="00783AF2"/>
    <w:rsid w:val="00787E46"/>
    <w:rsid w:val="007A6609"/>
    <w:rsid w:val="007B7B73"/>
    <w:rsid w:val="007C2CED"/>
    <w:rsid w:val="00802988"/>
    <w:rsid w:val="008415A0"/>
    <w:rsid w:val="0085364B"/>
    <w:rsid w:val="00866993"/>
    <w:rsid w:val="0087366D"/>
    <w:rsid w:val="00874366"/>
    <w:rsid w:val="008762D8"/>
    <w:rsid w:val="0088719C"/>
    <w:rsid w:val="00897035"/>
    <w:rsid w:val="008B1589"/>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741D"/>
    <w:rsid w:val="0097288F"/>
    <w:rsid w:val="0098207E"/>
    <w:rsid w:val="00990AAE"/>
    <w:rsid w:val="009B6120"/>
    <w:rsid w:val="009C2F76"/>
    <w:rsid w:val="009F5312"/>
    <w:rsid w:val="00A02AEC"/>
    <w:rsid w:val="00A0594A"/>
    <w:rsid w:val="00A12C47"/>
    <w:rsid w:val="00A1732E"/>
    <w:rsid w:val="00A23E04"/>
    <w:rsid w:val="00A46C15"/>
    <w:rsid w:val="00A50DC0"/>
    <w:rsid w:val="00A63695"/>
    <w:rsid w:val="00A72F06"/>
    <w:rsid w:val="00A730F2"/>
    <w:rsid w:val="00A77FFD"/>
    <w:rsid w:val="00AB4554"/>
    <w:rsid w:val="00AC47B6"/>
    <w:rsid w:val="00AD7DF9"/>
    <w:rsid w:val="00AE29BB"/>
    <w:rsid w:val="00AE2CAF"/>
    <w:rsid w:val="00AF33D9"/>
    <w:rsid w:val="00B002E4"/>
    <w:rsid w:val="00B332B2"/>
    <w:rsid w:val="00B34CCC"/>
    <w:rsid w:val="00B36EC7"/>
    <w:rsid w:val="00B36EDD"/>
    <w:rsid w:val="00B61C97"/>
    <w:rsid w:val="00B628C5"/>
    <w:rsid w:val="00B71933"/>
    <w:rsid w:val="00B8078D"/>
    <w:rsid w:val="00BD12A3"/>
    <w:rsid w:val="00BD7F6E"/>
    <w:rsid w:val="00BE3EE7"/>
    <w:rsid w:val="00BF47B0"/>
    <w:rsid w:val="00BF5327"/>
    <w:rsid w:val="00C175D4"/>
    <w:rsid w:val="00C21D33"/>
    <w:rsid w:val="00C3382F"/>
    <w:rsid w:val="00C4377C"/>
    <w:rsid w:val="00C47F0F"/>
    <w:rsid w:val="00C51D84"/>
    <w:rsid w:val="00C52506"/>
    <w:rsid w:val="00C82259"/>
    <w:rsid w:val="00C9223A"/>
    <w:rsid w:val="00C9297C"/>
    <w:rsid w:val="00C94014"/>
    <w:rsid w:val="00CB0A99"/>
    <w:rsid w:val="00CB2DA0"/>
    <w:rsid w:val="00CB5A09"/>
    <w:rsid w:val="00CD0CD4"/>
    <w:rsid w:val="00CE3B9F"/>
    <w:rsid w:val="00CF1FB8"/>
    <w:rsid w:val="00CF2C65"/>
    <w:rsid w:val="00D04CD6"/>
    <w:rsid w:val="00D078B6"/>
    <w:rsid w:val="00D1022C"/>
    <w:rsid w:val="00D27115"/>
    <w:rsid w:val="00D32037"/>
    <w:rsid w:val="00D34DCC"/>
    <w:rsid w:val="00D46BE1"/>
    <w:rsid w:val="00D503F6"/>
    <w:rsid w:val="00D61D9B"/>
    <w:rsid w:val="00DA2F09"/>
    <w:rsid w:val="00DC1E60"/>
    <w:rsid w:val="00DC7767"/>
    <w:rsid w:val="00DD60CC"/>
    <w:rsid w:val="00DF1BED"/>
    <w:rsid w:val="00DF4D12"/>
    <w:rsid w:val="00E10AE2"/>
    <w:rsid w:val="00E10F0A"/>
    <w:rsid w:val="00E21875"/>
    <w:rsid w:val="00E25407"/>
    <w:rsid w:val="00E32599"/>
    <w:rsid w:val="00E33B0E"/>
    <w:rsid w:val="00E42621"/>
    <w:rsid w:val="00E446A6"/>
    <w:rsid w:val="00E53CB5"/>
    <w:rsid w:val="00E53CCD"/>
    <w:rsid w:val="00E62607"/>
    <w:rsid w:val="00E6592D"/>
    <w:rsid w:val="00E71855"/>
    <w:rsid w:val="00E719A9"/>
    <w:rsid w:val="00E80D0C"/>
    <w:rsid w:val="00E93C14"/>
    <w:rsid w:val="00EA1DE4"/>
    <w:rsid w:val="00EA60EA"/>
    <w:rsid w:val="00EB29BF"/>
    <w:rsid w:val="00EC1826"/>
    <w:rsid w:val="00EC7C7F"/>
    <w:rsid w:val="00EF4B42"/>
    <w:rsid w:val="00F003D3"/>
    <w:rsid w:val="00F008AB"/>
    <w:rsid w:val="00F03E32"/>
    <w:rsid w:val="00F1311A"/>
    <w:rsid w:val="00F403A7"/>
    <w:rsid w:val="00F42289"/>
    <w:rsid w:val="00F42E75"/>
    <w:rsid w:val="00F45D65"/>
    <w:rsid w:val="00F517FA"/>
    <w:rsid w:val="00F52D16"/>
    <w:rsid w:val="00F62D67"/>
    <w:rsid w:val="00F63BD9"/>
    <w:rsid w:val="00F6694C"/>
    <w:rsid w:val="00F73C2A"/>
    <w:rsid w:val="00F8145F"/>
    <w:rsid w:val="00F9283D"/>
    <w:rsid w:val="00F96F18"/>
    <w:rsid w:val="00FA508E"/>
    <w:rsid w:val="00FA5320"/>
    <w:rsid w:val="00FA7846"/>
    <w:rsid w:val="00FC26E5"/>
    <w:rsid w:val="00FC708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9C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D38E2021EF4CED93A008AD274D0E22"/>
        <w:category>
          <w:name w:val="Загальні"/>
          <w:gallery w:val="placeholder"/>
        </w:category>
        <w:types>
          <w:type w:val="bbPlcHdr"/>
        </w:types>
        <w:behaviors>
          <w:behavior w:val="content"/>
        </w:behaviors>
        <w:guid w:val="{0A115329-1C59-4F28-A597-E53A924A75D9}"/>
      </w:docPartPr>
      <w:docPartBody>
        <w:p w:rsidR="00F00C71" w:rsidRDefault="00374575" w:rsidP="00374575">
          <w:pPr>
            <w:pStyle w:val="B9D38E2021EF4CED93A008AD274D0E22"/>
          </w:pPr>
          <w:r w:rsidRPr="00CD0CD4">
            <w:rPr>
              <w:color w:val="808080" w:themeColor="background1" w:themeShade="80"/>
            </w:rPr>
            <w:t>[</w:t>
          </w:r>
          <w:r>
            <w:rPr>
              <w:rStyle w:val="a3"/>
            </w:rPr>
            <w:t>І</w:t>
          </w:r>
          <w:r>
            <w:rPr>
              <w:color w:val="808080" w:themeColor="background1" w:themeShade="80"/>
            </w:rPr>
            <w:t>м’я</w:t>
          </w:r>
          <w:r w:rsidRPr="00CD0CD4">
            <w:rPr>
              <w:color w:val="808080" w:themeColor="background1" w:themeShade="80"/>
            </w:rPr>
            <w:t xml:space="preserve"> ПРІЗВИЩЕ]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5"/>
    <w:rsid w:val="00022DAD"/>
    <w:rsid w:val="00175CD0"/>
    <w:rsid w:val="001B08F7"/>
    <w:rsid w:val="0032734A"/>
    <w:rsid w:val="00374575"/>
    <w:rsid w:val="00550E3E"/>
    <w:rsid w:val="00650FF4"/>
    <w:rsid w:val="007D00DB"/>
    <w:rsid w:val="00CE29BA"/>
    <w:rsid w:val="00CF65AD"/>
    <w:rsid w:val="00F00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575"/>
    <w:rPr>
      <w:rFonts w:cs="Times New Roman"/>
      <w:color w:val="808080"/>
    </w:rPr>
  </w:style>
  <w:style w:type="paragraph" w:customStyle="1" w:styleId="A1832E3C1CB449558462DD2CD2EC5EBC">
    <w:name w:val="A1832E3C1CB449558462DD2CD2EC5EBC"/>
  </w:style>
  <w:style w:type="paragraph" w:customStyle="1" w:styleId="8089FA1F2AB34F7E98C638D349CF3F84">
    <w:name w:val="8089FA1F2AB34F7E98C638D349CF3F84"/>
  </w:style>
  <w:style w:type="paragraph" w:customStyle="1" w:styleId="5BB973961F6F44B6A45EC5EC7A371C35">
    <w:name w:val="5BB973961F6F44B6A45EC5EC7A371C35"/>
  </w:style>
  <w:style w:type="paragraph" w:customStyle="1" w:styleId="7669E1A1759A4344964B406453E5B7CE">
    <w:name w:val="7669E1A1759A4344964B406453E5B7CE"/>
  </w:style>
  <w:style w:type="paragraph" w:customStyle="1" w:styleId="3383D92092CC4A0AA6E42745B1EAC8BB">
    <w:name w:val="3383D92092CC4A0AA6E42745B1EAC8BB"/>
  </w:style>
  <w:style w:type="paragraph" w:customStyle="1" w:styleId="B211C5D22F164373845FEAB844A63F3F">
    <w:name w:val="B211C5D22F164373845FEAB844A63F3F"/>
  </w:style>
  <w:style w:type="paragraph" w:customStyle="1" w:styleId="7B935BFBEDB04D5AAEBF484F5AF53BC9">
    <w:name w:val="7B935BFBEDB04D5AAEBF484F5AF53BC9"/>
  </w:style>
  <w:style w:type="paragraph" w:customStyle="1" w:styleId="0C365F9529504010B7349A9C7CD0A68F">
    <w:name w:val="0C365F9529504010B7349A9C7CD0A68F"/>
  </w:style>
  <w:style w:type="paragraph" w:customStyle="1" w:styleId="50EAA90F431F4334BB19BC73F7B88642">
    <w:name w:val="50EAA90F431F4334BB19BC73F7B88642"/>
  </w:style>
  <w:style w:type="paragraph" w:customStyle="1" w:styleId="2CC5B27DB0D84CFCAAD61A535CDF472C">
    <w:name w:val="2CC5B27DB0D84CFCAAD61A535CDF472C"/>
  </w:style>
  <w:style w:type="paragraph" w:customStyle="1" w:styleId="EF98655E5157415A96C733E150E35055">
    <w:name w:val="EF98655E5157415A96C733E150E35055"/>
  </w:style>
  <w:style w:type="paragraph" w:customStyle="1" w:styleId="C61981445D854FCAA7831CEE8C62050B">
    <w:name w:val="C61981445D854FCAA7831CEE8C62050B"/>
  </w:style>
  <w:style w:type="paragraph" w:customStyle="1" w:styleId="B0EE59BFFD0D41649BDB06A124B42B87">
    <w:name w:val="B0EE59BFFD0D41649BDB06A124B42B87"/>
    <w:rsid w:val="00374575"/>
  </w:style>
  <w:style w:type="paragraph" w:customStyle="1" w:styleId="3F7AC29204A6419BB3380AC1925B3BFB">
    <w:name w:val="3F7AC29204A6419BB3380AC1925B3BFB"/>
    <w:rsid w:val="00374575"/>
  </w:style>
  <w:style w:type="paragraph" w:customStyle="1" w:styleId="6CBC3091B1EB4535860A1A2CF9E08D8C">
    <w:name w:val="6CBC3091B1EB4535860A1A2CF9E08D8C"/>
    <w:rsid w:val="00374575"/>
  </w:style>
  <w:style w:type="paragraph" w:customStyle="1" w:styleId="DE20BD0D9135491785CE9C877FA82DC3">
    <w:name w:val="DE20BD0D9135491785CE9C877FA82DC3"/>
    <w:rsid w:val="00374575"/>
  </w:style>
  <w:style w:type="paragraph" w:customStyle="1" w:styleId="4A04B51A10C74D42A15417781BA4E0B4">
    <w:name w:val="4A04B51A10C74D42A15417781BA4E0B4"/>
    <w:rsid w:val="00374575"/>
  </w:style>
  <w:style w:type="paragraph" w:customStyle="1" w:styleId="8EC0D7C218DD49F9B020A418CBABD212">
    <w:name w:val="8EC0D7C218DD49F9B020A418CBABD212"/>
    <w:rsid w:val="00374575"/>
  </w:style>
  <w:style w:type="paragraph" w:customStyle="1" w:styleId="64BB2C53916E48B894D36A4A584CE740">
    <w:name w:val="64BB2C53916E48B894D36A4A584CE740"/>
    <w:rsid w:val="00374575"/>
  </w:style>
  <w:style w:type="paragraph" w:customStyle="1" w:styleId="B9D38E2021EF4CED93A008AD274D0E22">
    <w:name w:val="B9D38E2021EF4CED93A008AD274D0E22"/>
    <w:rsid w:val="00374575"/>
  </w:style>
  <w:style w:type="paragraph" w:customStyle="1" w:styleId="EA69FFD4FBB64E879A655795A1552906">
    <w:name w:val="EA69FFD4FBB64E879A655795A1552906"/>
    <w:rsid w:val="00374575"/>
  </w:style>
  <w:style w:type="paragraph" w:customStyle="1" w:styleId="C7E560B784A74BAC9B71A34A4A4E99E9">
    <w:name w:val="C7E560B784A74BAC9B71A34A4A4E99E9"/>
    <w:rsid w:val="00374575"/>
  </w:style>
  <w:style w:type="paragraph" w:customStyle="1" w:styleId="B8780E82867E4185BA31ABE7EDEDBC38">
    <w:name w:val="B8780E82867E4185BA31ABE7EDEDBC38"/>
    <w:rsid w:val="00374575"/>
  </w:style>
  <w:style w:type="paragraph" w:customStyle="1" w:styleId="93F1617E45CF452EBD6A5FE0351B0CA7">
    <w:name w:val="93F1617E45CF452EBD6A5FE0351B0CA7"/>
    <w:rsid w:val="00374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57454-92CA-4D8C-A16A-CA59AD05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2021-11-19T13:28:00Z</dcterms:created>
  <dcterms:modified xsi:type="dcterms:W3CDTF">2021-11-19T13:28:00Z</dcterms:modified>
</cp:coreProperties>
</file>