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81658" w14:textId="5FA3C4A3" w:rsidR="007E1A27" w:rsidRPr="00BF0278" w:rsidRDefault="00EC2148" w:rsidP="007E1A27">
      <w:pPr>
        <w:rPr>
          <w:sz w:val="2"/>
          <w:szCs w:val="2"/>
        </w:rPr>
      </w:pPr>
      <w:r>
        <w:rPr>
          <w:noProof/>
        </w:rPr>
        <mc:AlternateContent>
          <mc:Choice Requires="wps">
            <w:drawing>
              <wp:anchor distT="0" distB="0" distL="114300" distR="114300" simplePos="0" relativeHeight="251659264" behindDoc="0" locked="0" layoutInCell="1" allowOverlap="1" wp14:anchorId="58780638" wp14:editId="371BDEDD">
                <wp:simplePos x="0" y="0"/>
                <wp:positionH relativeFrom="margin">
                  <wp:posOffset>3377565</wp:posOffset>
                </wp:positionH>
                <wp:positionV relativeFrom="paragraph">
                  <wp:posOffset>-363220</wp:posOffset>
                </wp:positionV>
                <wp:extent cx="2867025" cy="333375"/>
                <wp:effectExtent l="0" t="0" r="9525" b="0"/>
                <wp:wrapNone/>
                <wp:docPr id="3" name="Поле 3"/>
                <wp:cNvGraphicFramePr/>
                <a:graphic xmlns:a="http://schemas.openxmlformats.org/drawingml/2006/main">
                  <a:graphicData uri="http://schemas.microsoft.com/office/word/2010/wordprocessingShape">
                    <wps:wsp>
                      <wps:cNvSpPr txBox="1"/>
                      <wps:spPr>
                        <a:xfrm>
                          <a:off x="0" y="0"/>
                          <a:ext cx="2867025" cy="333375"/>
                        </a:xfrm>
                        <a:prstGeom prst="rect">
                          <a:avLst/>
                        </a:prstGeom>
                        <a:noFill/>
                        <a:ln w="6350">
                          <a:noFill/>
                        </a:ln>
                      </wps:spPr>
                      <wps:txbx>
                        <w:txbxContent>
                          <w:p w14:paraId="0AE64959" w14:textId="0C241B69" w:rsidR="00EC2148" w:rsidRPr="00D42ABB" w:rsidRDefault="00EC2148" w:rsidP="00EC2148">
                            <w:r>
                              <w:t>Офіційно опу</w:t>
                            </w:r>
                            <w:r w:rsidRPr="00D42ABB">
                              <w:t xml:space="preserve">бліковано </w:t>
                            </w:r>
                            <w:r w:rsidR="006A4626">
                              <w:t>22</w:t>
                            </w:r>
                            <w:bookmarkStart w:id="0" w:name="_GoBack"/>
                            <w:bookmarkEnd w:id="0"/>
                            <w:r w:rsidRPr="00D42ABB">
                              <w:t>.0</w:t>
                            </w:r>
                            <w:r>
                              <w:t>7</w:t>
                            </w:r>
                            <w:r w:rsidRPr="00D42ABB">
                              <w:t>.2024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80638" id="_x0000_t202" coordsize="21600,21600" o:spt="202" path="m,l,21600r21600,l21600,xe">
                <v:stroke joinstyle="miter"/>
                <v:path gradientshapeok="t" o:connecttype="rect"/>
              </v:shapetype>
              <v:shape id="Поле 3" o:spid="_x0000_s1026" type="#_x0000_t202" style="position:absolute;left:0;text-align:left;margin-left:265.95pt;margin-top:-28.6pt;width:225.7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" filled="f" stroked="f" strokeweight=".5pt">
                <v:textbox inset="0,,0">
                  <w:txbxContent>
                    <w:p w14:paraId="0AE64959" w14:textId="0C241B69" w:rsidR="00EC2148" w:rsidRPr="00D42ABB" w:rsidRDefault="00EC2148" w:rsidP="00EC2148">
                      <w:r>
                        <w:t>Офіційно опу</w:t>
                      </w:r>
                      <w:r w:rsidRPr="00D42ABB">
                        <w:t xml:space="preserve">бліковано </w:t>
                      </w:r>
                      <w:r w:rsidR="006A4626">
                        <w:t>22</w:t>
                      </w:r>
                      <w:bookmarkStart w:id="1" w:name="_GoBack"/>
                      <w:bookmarkEnd w:id="1"/>
                      <w:r w:rsidRPr="00D42ABB">
                        <w:t>.0</w:t>
                      </w:r>
                      <w:r>
                        <w:t>7</w:t>
                      </w:r>
                      <w:r w:rsidRPr="00D42ABB">
                        <w:t>.2024</w:t>
                      </w:r>
                    </w:p>
                  </w:txbxContent>
                </v:textbox>
                <w10:wrap anchorx="margin"/>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7E1A27" w:rsidRPr="00555870" w14:paraId="6CF2D3D2" w14:textId="77777777" w:rsidTr="0026382F">
        <w:trPr>
          <w:trHeight w:val="851"/>
        </w:trPr>
        <w:tc>
          <w:tcPr>
            <w:tcW w:w="3207" w:type="dxa"/>
          </w:tcPr>
          <w:p w14:paraId="7E8DEDBB" w14:textId="3491FD00" w:rsidR="007E1A27" w:rsidRPr="00555870" w:rsidRDefault="007E1A27" w:rsidP="0026382F"/>
        </w:tc>
        <w:tc>
          <w:tcPr>
            <w:tcW w:w="3227" w:type="dxa"/>
            <w:vMerge w:val="restart"/>
          </w:tcPr>
          <w:p w14:paraId="25E60EE1" w14:textId="77777777" w:rsidR="007E1A27" w:rsidRPr="00555870" w:rsidRDefault="007E1A27" w:rsidP="0026382F">
            <w:pPr>
              <w:jc w:val="center"/>
            </w:pPr>
            <w:r w:rsidRPr="00555870">
              <w:object w:dxaOrig="1595" w:dyaOrig="2201" w14:anchorId="32DC6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75pt" o:ole="">
                  <v:imagedata r:id="rId8" o:title=""/>
                </v:shape>
                <o:OLEObject Type="Embed" ProgID="CorelDraw.Graphic.16" ShapeID="_x0000_i1025" DrawAspect="Content" ObjectID="_1782912603" r:id="rId9"/>
              </w:object>
            </w:r>
          </w:p>
        </w:tc>
        <w:tc>
          <w:tcPr>
            <w:tcW w:w="3204" w:type="dxa"/>
          </w:tcPr>
          <w:p w14:paraId="05D58F9B" w14:textId="5226D02F" w:rsidR="007E1A27" w:rsidRPr="00555870" w:rsidRDefault="007E1A27" w:rsidP="0026382F"/>
        </w:tc>
      </w:tr>
      <w:tr w:rsidR="007E1A27" w:rsidRPr="00555870" w14:paraId="144390DA" w14:textId="77777777" w:rsidTr="0026382F">
        <w:tc>
          <w:tcPr>
            <w:tcW w:w="3207" w:type="dxa"/>
          </w:tcPr>
          <w:p w14:paraId="3AB50711" w14:textId="7EEC4F97" w:rsidR="007E1A27" w:rsidRPr="0009550D" w:rsidRDefault="007E1A27" w:rsidP="0026382F">
            <w:pPr>
              <w:rPr>
                <w:lang w:val="en-US"/>
              </w:rPr>
            </w:pPr>
          </w:p>
        </w:tc>
        <w:tc>
          <w:tcPr>
            <w:tcW w:w="3227" w:type="dxa"/>
            <w:vMerge/>
          </w:tcPr>
          <w:p w14:paraId="4DDCE0AE" w14:textId="77777777" w:rsidR="007E1A27" w:rsidRPr="00555870" w:rsidRDefault="007E1A27" w:rsidP="0026382F"/>
        </w:tc>
        <w:tc>
          <w:tcPr>
            <w:tcW w:w="3204" w:type="dxa"/>
          </w:tcPr>
          <w:p w14:paraId="2DA45452" w14:textId="77777777" w:rsidR="007E1A27" w:rsidRPr="00555870" w:rsidRDefault="007E1A27" w:rsidP="0026382F"/>
        </w:tc>
      </w:tr>
      <w:tr w:rsidR="007E1A27" w:rsidRPr="00555870" w14:paraId="61890C2D" w14:textId="77777777" w:rsidTr="0026382F">
        <w:tc>
          <w:tcPr>
            <w:tcW w:w="9638" w:type="dxa"/>
            <w:gridSpan w:val="3"/>
          </w:tcPr>
          <w:p w14:paraId="7F18C479" w14:textId="77777777" w:rsidR="007E1A27" w:rsidRPr="00555870" w:rsidRDefault="007E1A27" w:rsidP="0026382F">
            <w:pPr>
              <w:tabs>
                <w:tab w:val="left" w:pos="-3600"/>
              </w:tabs>
              <w:spacing w:before="120" w:after="120"/>
              <w:jc w:val="center"/>
              <w:rPr>
                <w:b/>
                <w:bCs/>
                <w:color w:val="006600"/>
                <w:spacing w:val="10"/>
              </w:rPr>
            </w:pPr>
            <w:r w:rsidRPr="00555870">
              <w:rPr>
                <w:b/>
                <w:bCs/>
                <w:color w:val="006600"/>
                <w:spacing w:val="10"/>
              </w:rPr>
              <w:t>Правління Національного банку України</w:t>
            </w:r>
          </w:p>
          <w:p w14:paraId="74364885" w14:textId="77777777" w:rsidR="007E1A27" w:rsidRPr="00555870" w:rsidRDefault="007E1A27" w:rsidP="0026382F">
            <w:pPr>
              <w:jc w:val="center"/>
            </w:pPr>
            <w:r w:rsidRPr="00555870">
              <w:rPr>
                <w:b/>
                <w:bCs/>
                <w:color w:val="006600"/>
                <w:sz w:val="32"/>
                <w:szCs w:val="32"/>
              </w:rPr>
              <w:t>П О С Т А Н О В А</w:t>
            </w:r>
          </w:p>
        </w:tc>
      </w:tr>
    </w:tbl>
    <w:p w14:paraId="61A50FE9" w14:textId="77777777" w:rsidR="007E1A27" w:rsidRPr="00555870" w:rsidRDefault="007E1A27" w:rsidP="007E1A27">
      <w:pPr>
        <w:rPr>
          <w:sz w:val="4"/>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6"/>
        <w:gridCol w:w="1676"/>
        <w:gridCol w:w="1894"/>
      </w:tblGrid>
      <w:tr w:rsidR="007E1A27" w:rsidRPr="00555870" w14:paraId="32D1F8D4" w14:textId="77777777" w:rsidTr="0026382F">
        <w:tc>
          <w:tcPr>
            <w:tcW w:w="3510" w:type="dxa"/>
            <w:vAlign w:val="bottom"/>
          </w:tcPr>
          <w:p w14:paraId="14603743" w14:textId="6B117D07" w:rsidR="007E1A27" w:rsidRPr="00EC2148" w:rsidRDefault="00EC2148" w:rsidP="0026382F">
            <w:r>
              <w:rPr>
                <w:lang w:val="en-US"/>
              </w:rPr>
              <w:t xml:space="preserve">19 </w:t>
            </w:r>
            <w:r>
              <w:t>липня 2024 року</w:t>
            </w:r>
          </w:p>
        </w:tc>
        <w:tc>
          <w:tcPr>
            <w:tcW w:w="2694" w:type="dxa"/>
          </w:tcPr>
          <w:p w14:paraId="4A34C21B" w14:textId="77777777" w:rsidR="007E1A27" w:rsidRPr="00555870" w:rsidRDefault="007E1A27" w:rsidP="0026382F">
            <w:pPr>
              <w:spacing w:before="240"/>
              <w:jc w:val="center"/>
            </w:pPr>
            <w:r w:rsidRPr="00555870">
              <w:rPr>
                <w:color w:val="006600"/>
              </w:rPr>
              <w:t>Київ</w:t>
            </w:r>
          </w:p>
        </w:tc>
        <w:tc>
          <w:tcPr>
            <w:tcW w:w="1713" w:type="dxa"/>
            <w:vAlign w:val="bottom"/>
          </w:tcPr>
          <w:p w14:paraId="65076B8F" w14:textId="77777777" w:rsidR="007E1A27" w:rsidRPr="00555870" w:rsidRDefault="007E1A27" w:rsidP="0026382F">
            <w:pPr>
              <w:jc w:val="right"/>
            </w:pPr>
            <w:r w:rsidRPr="00555870">
              <w:rPr>
                <w:color w:val="FFFFFF" w:themeColor="background1"/>
              </w:rPr>
              <w:t>№</w:t>
            </w:r>
          </w:p>
        </w:tc>
        <w:tc>
          <w:tcPr>
            <w:tcW w:w="1937" w:type="dxa"/>
            <w:vAlign w:val="bottom"/>
          </w:tcPr>
          <w:p w14:paraId="68B64069" w14:textId="25F76E85" w:rsidR="007E1A27" w:rsidRPr="00555870" w:rsidRDefault="00EC2148" w:rsidP="0026382F">
            <w:pPr>
              <w:jc w:val="left"/>
            </w:pPr>
            <w:r>
              <w:t>№ 88</w:t>
            </w:r>
          </w:p>
        </w:tc>
      </w:tr>
    </w:tbl>
    <w:p w14:paraId="3C439A15" w14:textId="77777777" w:rsidR="007E1A27" w:rsidRPr="00555870" w:rsidRDefault="007E1A27" w:rsidP="007E1A27">
      <w:pPr>
        <w:rPr>
          <w:sz w:val="2"/>
          <w:szCs w:val="2"/>
        </w:rPr>
      </w:pPr>
    </w:p>
    <w:p w14:paraId="087AF2E5" w14:textId="77777777" w:rsidR="007E1A27" w:rsidRDefault="007E1A27" w:rsidP="00662074">
      <w:pPr>
        <w:ind w:firstLine="709"/>
        <w:jc w:val="center"/>
        <w:rPr>
          <w:rFonts w:eastAsiaTheme="minorEastAsia"/>
          <w:color w:val="000000" w:themeColor="text1"/>
          <w:lang w:eastAsia="en-US"/>
        </w:rPr>
      </w:pPr>
    </w:p>
    <w:tbl>
      <w:tblPr>
        <w:tblStyle w:val="a3"/>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7E1A27" w:rsidRPr="00555870" w14:paraId="71CBA6CB" w14:textId="77777777" w:rsidTr="0026382F">
        <w:trPr>
          <w:jc w:val="center"/>
        </w:trPr>
        <w:tc>
          <w:tcPr>
            <w:tcW w:w="5000" w:type="pct"/>
          </w:tcPr>
          <w:p w14:paraId="72639803" w14:textId="16A6B16A" w:rsidR="007E1A27" w:rsidRPr="00555870" w:rsidRDefault="00245858" w:rsidP="00245858">
            <w:pPr>
              <w:tabs>
                <w:tab w:val="left" w:pos="840"/>
                <w:tab w:val="center" w:pos="3293"/>
              </w:tabs>
              <w:jc w:val="center"/>
              <w:rPr>
                <w:rFonts w:eastAsiaTheme="minorEastAsia"/>
                <w:color w:val="000000" w:themeColor="text1"/>
                <w:lang w:eastAsia="en-US"/>
              </w:rPr>
            </w:pPr>
            <w:r w:rsidRPr="00245858">
              <w:rPr>
                <w:rFonts w:eastAsiaTheme="minorEastAsia"/>
                <w:color w:val="000000" w:themeColor="text1"/>
                <w:lang w:eastAsia="en-US"/>
              </w:rPr>
              <w:t>Про затвердження Положення про організацію процесу оцінки достатності внутрішньо</w:t>
            </w:r>
            <w:r>
              <w:rPr>
                <w:rFonts w:eastAsiaTheme="minorEastAsia"/>
                <w:color w:val="000000" w:themeColor="text1"/>
                <w:lang w:eastAsia="en-US"/>
              </w:rPr>
              <w:t>ї</w:t>
            </w:r>
            <w:r w:rsidRPr="00245858">
              <w:rPr>
                <w:rFonts w:eastAsiaTheme="minorEastAsia"/>
                <w:color w:val="000000" w:themeColor="text1"/>
                <w:lang w:eastAsia="en-US"/>
              </w:rPr>
              <w:t xml:space="preserve"> </w:t>
            </w:r>
            <w:r>
              <w:rPr>
                <w:rFonts w:eastAsiaTheme="minorEastAsia"/>
                <w:color w:val="000000" w:themeColor="text1"/>
                <w:lang w:eastAsia="en-US"/>
              </w:rPr>
              <w:t>ліквідності</w:t>
            </w:r>
            <w:r w:rsidRPr="00245858">
              <w:rPr>
                <w:rFonts w:eastAsiaTheme="minorEastAsia"/>
                <w:color w:val="000000" w:themeColor="text1"/>
                <w:lang w:eastAsia="en-US"/>
              </w:rPr>
              <w:t xml:space="preserve"> в банках України та банківських групах</w:t>
            </w:r>
          </w:p>
        </w:tc>
      </w:tr>
    </w:tbl>
    <w:p w14:paraId="2CCAB5C1" w14:textId="77777777" w:rsidR="00662074" w:rsidRDefault="00662074" w:rsidP="00662074">
      <w:pPr>
        <w:ind w:firstLine="567"/>
        <w:rPr>
          <w:rFonts w:eastAsiaTheme="minorEastAsia"/>
          <w:color w:val="000000" w:themeColor="text1"/>
          <w:lang w:eastAsia="en-US"/>
        </w:rPr>
      </w:pPr>
    </w:p>
    <w:p w14:paraId="77AB7843" w14:textId="1783073C" w:rsidR="007E1A27" w:rsidRPr="006C3D13" w:rsidRDefault="00245858" w:rsidP="00D3042E">
      <w:pPr>
        <w:shd w:val="clear" w:color="auto" w:fill="FFFFFF"/>
        <w:ind w:firstLine="567"/>
        <w:rPr>
          <w:b/>
        </w:rPr>
      </w:pPr>
      <w:r w:rsidRPr="006C3D13">
        <w:rPr>
          <w:rFonts w:eastAsiaTheme="minorEastAsia"/>
          <w:color w:val="000000" w:themeColor="text1"/>
          <w:lang w:eastAsia="en-US"/>
        </w:rPr>
        <w:t>Відповідно до статей 7, 15, 55, 56 Закону України “Про Національний банк</w:t>
      </w:r>
      <w:r w:rsidR="008D1CAF" w:rsidRPr="006C3D13">
        <w:rPr>
          <w:rFonts w:eastAsiaTheme="minorEastAsia"/>
          <w:color w:val="000000" w:themeColor="text1"/>
          <w:lang w:eastAsia="en-US"/>
        </w:rPr>
        <w:t xml:space="preserve"> </w:t>
      </w:r>
      <w:r w:rsidRPr="006C3D13">
        <w:rPr>
          <w:rFonts w:eastAsiaTheme="minorEastAsia"/>
          <w:color w:val="000000" w:themeColor="text1"/>
          <w:lang w:eastAsia="en-US"/>
        </w:rPr>
        <w:t>України”, статей 44, 66, 67 Закону України “Про банки і банківську діяльність”, Закону України від 30 червня 2021 року</w:t>
      </w:r>
      <w:r w:rsidR="008D1CAF" w:rsidRPr="006C3D13">
        <w:rPr>
          <w:rFonts w:eastAsiaTheme="minorEastAsia"/>
          <w:color w:val="000000" w:themeColor="text1"/>
          <w:lang w:eastAsia="en-US"/>
        </w:rPr>
        <w:t> </w:t>
      </w:r>
      <w:r w:rsidRPr="006C3D13">
        <w:rPr>
          <w:rFonts w:eastAsiaTheme="minorEastAsia"/>
          <w:color w:val="000000" w:themeColor="text1"/>
          <w:lang w:eastAsia="en-US"/>
        </w:rPr>
        <w:t xml:space="preserve"> № </w:t>
      </w:r>
      <w:r w:rsidR="008D1CAF" w:rsidRPr="006C3D13">
        <w:rPr>
          <w:rFonts w:eastAsiaTheme="minorEastAsia"/>
          <w:color w:val="000000" w:themeColor="text1"/>
          <w:lang w:eastAsia="en-US"/>
        </w:rPr>
        <w:t> </w:t>
      </w:r>
      <w:r w:rsidRPr="006C3D13">
        <w:rPr>
          <w:rFonts w:eastAsiaTheme="minorEastAsia"/>
          <w:color w:val="000000" w:themeColor="text1"/>
          <w:lang w:eastAsia="en-US"/>
        </w:rPr>
        <w:t>1587-</w:t>
      </w:r>
      <w:r w:rsidR="008D1CAF" w:rsidRPr="006C3D13">
        <w:rPr>
          <w:rFonts w:eastAsiaTheme="minorEastAsia"/>
          <w:color w:val="000000" w:themeColor="text1"/>
          <w:lang w:eastAsia="en-US"/>
        </w:rPr>
        <w:t> </w:t>
      </w:r>
      <w:r w:rsidRPr="006C3D13">
        <w:rPr>
          <w:rFonts w:eastAsiaTheme="minorEastAsia"/>
          <w:color w:val="000000" w:themeColor="text1"/>
          <w:lang w:eastAsia="en-US"/>
        </w:rPr>
        <w:t xml:space="preserve">ІХ “Про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 </w:t>
      </w:r>
      <w:r w:rsidR="00716F9E" w:rsidRPr="006C3D13">
        <w:rPr>
          <w:rFonts w:eastAsiaTheme="minorEastAsia"/>
          <w:color w:val="000000" w:themeColor="text1"/>
          <w:lang w:eastAsia="en-US"/>
        </w:rPr>
        <w:t xml:space="preserve">Директиви Європейського Парламенту і Ради 2013/36/ЄС від 26 червня 2013 року про доступ до діяльності кредитних установ і </w:t>
      </w:r>
      <w:proofErr w:type="spellStart"/>
      <w:r w:rsidR="00716F9E" w:rsidRPr="006C3D13">
        <w:rPr>
          <w:rFonts w:eastAsiaTheme="minorEastAsia"/>
          <w:color w:val="000000" w:themeColor="text1"/>
          <w:lang w:eastAsia="en-US"/>
        </w:rPr>
        <w:t>пруденційний</w:t>
      </w:r>
      <w:proofErr w:type="spellEnd"/>
      <w:r w:rsidR="00716F9E" w:rsidRPr="006C3D13">
        <w:rPr>
          <w:rFonts w:eastAsiaTheme="minorEastAsia"/>
          <w:color w:val="000000" w:themeColor="text1"/>
          <w:lang w:eastAsia="en-US"/>
        </w:rPr>
        <w:t xml:space="preserve"> нагляд за кредитними установами та інвестиційними фірмами про внесення змін до Директиви 2002/87/ЄС та про скасування директив 2006/48/ЄС та 2006/49/ЄС</w:t>
      </w:r>
      <w:r w:rsidR="007616D2">
        <w:rPr>
          <w:rFonts w:eastAsiaTheme="minorEastAsia"/>
          <w:color w:val="000000" w:themeColor="text1"/>
          <w:lang w:eastAsia="en-US"/>
        </w:rPr>
        <w:t>,</w:t>
      </w:r>
      <w:r w:rsidR="00716F9E" w:rsidRPr="006C3D13">
        <w:rPr>
          <w:rFonts w:eastAsiaTheme="minorEastAsia"/>
          <w:color w:val="000000" w:themeColor="text1"/>
          <w:lang w:eastAsia="en-US"/>
        </w:rPr>
        <w:t xml:space="preserve"> </w:t>
      </w:r>
      <w:r w:rsidR="000F6BDE">
        <w:rPr>
          <w:rFonts w:eastAsiaTheme="minorEastAsia"/>
          <w:color w:val="000000" w:themeColor="text1"/>
          <w:lang w:eastAsia="en-US"/>
        </w:rPr>
        <w:t>з метою</w:t>
      </w:r>
      <w:r w:rsidRPr="006C3D13">
        <w:rPr>
          <w:rFonts w:eastAsiaTheme="minorEastAsia"/>
          <w:color w:val="000000" w:themeColor="text1"/>
          <w:lang w:eastAsia="en-US"/>
        </w:rPr>
        <w:t xml:space="preserve"> забезпечення підтримання банками та банківськими групами </w:t>
      </w:r>
      <w:r w:rsidRPr="00891B48">
        <w:rPr>
          <w:rFonts w:eastAsiaTheme="minorEastAsia"/>
          <w:color w:val="000000" w:themeColor="text1"/>
          <w:lang w:eastAsia="en-US"/>
        </w:rPr>
        <w:t xml:space="preserve">на постійній основі </w:t>
      </w:r>
      <w:r w:rsidR="009540C5" w:rsidRPr="00891B48">
        <w:rPr>
          <w:rFonts w:eastAsiaTheme="minorEastAsia"/>
          <w:color w:val="000000" w:themeColor="text1"/>
          <w:lang w:eastAsia="en-US"/>
        </w:rPr>
        <w:t>ліквідності</w:t>
      </w:r>
      <w:r w:rsidRPr="006C3D13">
        <w:rPr>
          <w:rFonts w:eastAsiaTheme="minorEastAsia"/>
          <w:color w:val="000000" w:themeColor="text1"/>
          <w:lang w:eastAsia="en-US"/>
        </w:rPr>
        <w:t>, достатньо</w:t>
      </w:r>
      <w:r w:rsidR="009540C5" w:rsidRPr="006C3D13">
        <w:rPr>
          <w:rFonts w:eastAsiaTheme="minorEastAsia"/>
          <w:color w:val="000000" w:themeColor="text1"/>
          <w:lang w:eastAsia="en-US"/>
        </w:rPr>
        <w:t>ї</w:t>
      </w:r>
      <w:r w:rsidRPr="006C3D13">
        <w:rPr>
          <w:rFonts w:eastAsiaTheme="minorEastAsia"/>
          <w:color w:val="000000" w:themeColor="text1"/>
          <w:lang w:eastAsia="en-US"/>
        </w:rPr>
        <w:t xml:space="preserve"> для </w:t>
      </w:r>
      <w:r w:rsidR="008437BC" w:rsidRPr="008437BC">
        <w:rPr>
          <w:rFonts w:eastAsiaTheme="minorEastAsia"/>
          <w:color w:val="000000" w:themeColor="text1"/>
          <w:lang w:eastAsia="en-US"/>
        </w:rPr>
        <w:t xml:space="preserve">покриття всіх суттєвих ризиків, </w:t>
      </w:r>
      <w:r w:rsidR="007616D2" w:rsidRPr="008437BC">
        <w:rPr>
          <w:rFonts w:eastAsiaTheme="minorEastAsia"/>
          <w:color w:val="000000" w:themeColor="text1"/>
          <w:lang w:eastAsia="en-US"/>
        </w:rPr>
        <w:t>пов</w:t>
      </w:r>
      <w:r w:rsidR="007616D2">
        <w:rPr>
          <w:rFonts w:eastAsiaTheme="minorEastAsia"/>
          <w:color w:val="000000" w:themeColor="text1"/>
          <w:lang w:eastAsia="en-US"/>
        </w:rPr>
        <w:t>’</w:t>
      </w:r>
      <w:r w:rsidR="007616D2" w:rsidRPr="008437BC">
        <w:rPr>
          <w:rFonts w:eastAsiaTheme="minorEastAsia"/>
          <w:color w:val="000000" w:themeColor="text1"/>
          <w:lang w:eastAsia="en-US"/>
        </w:rPr>
        <w:t xml:space="preserve">язаних </w:t>
      </w:r>
      <w:r w:rsidR="007616D2">
        <w:rPr>
          <w:rFonts w:eastAsiaTheme="minorEastAsia"/>
          <w:color w:val="000000" w:themeColor="text1"/>
          <w:lang w:eastAsia="en-US"/>
        </w:rPr>
        <w:t>і</w:t>
      </w:r>
      <w:r w:rsidR="008437BC" w:rsidRPr="008437BC">
        <w:rPr>
          <w:rFonts w:eastAsiaTheme="minorEastAsia"/>
          <w:color w:val="000000" w:themeColor="text1"/>
          <w:lang w:eastAsia="en-US"/>
        </w:rPr>
        <w:t>з ліквідністю</w:t>
      </w:r>
      <w:r w:rsidRPr="006C3D13">
        <w:rPr>
          <w:rFonts w:eastAsiaTheme="minorEastAsia"/>
          <w:color w:val="000000" w:themeColor="text1"/>
          <w:lang w:eastAsia="en-US"/>
        </w:rPr>
        <w:t xml:space="preserve">, та дотримання встановлених Національним банком України вимог щодо достатності </w:t>
      </w:r>
      <w:r w:rsidR="009540C5" w:rsidRPr="006C3D13">
        <w:rPr>
          <w:rFonts w:eastAsiaTheme="minorEastAsia"/>
          <w:color w:val="000000" w:themeColor="text1"/>
          <w:lang w:eastAsia="en-US"/>
        </w:rPr>
        <w:t>ліквідності</w:t>
      </w:r>
      <w:r w:rsidRPr="006C3D13">
        <w:rPr>
          <w:rFonts w:eastAsiaTheme="minorEastAsia"/>
          <w:color w:val="000000" w:themeColor="text1"/>
          <w:lang w:eastAsia="en-US"/>
        </w:rPr>
        <w:t xml:space="preserve"> як у звичайних, так і в стресових ситуаціях</w:t>
      </w:r>
      <w:r w:rsidR="007E1A27" w:rsidRPr="006C3D13">
        <w:t>, Правління Національного банку України</w:t>
      </w:r>
      <w:r w:rsidR="009E7AD6" w:rsidRPr="006C3D13">
        <w:t xml:space="preserve"> </w:t>
      </w:r>
      <w:r w:rsidR="007E1A27" w:rsidRPr="006C3D13">
        <w:rPr>
          <w:b/>
        </w:rPr>
        <w:t>постановляє:</w:t>
      </w:r>
    </w:p>
    <w:p w14:paraId="0831A9AA" w14:textId="77777777" w:rsidR="00662074" w:rsidRPr="006C3D13" w:rsidRDefault="00662074" w:rsidP="00D3042E">
      <w:pPr>
        <w:ind w:firstLine="567"/>
        <w:contextualSpacing/>
      </w:pPr>
    </w:p>
    <w:p w14:paraId="74469407" w14:textId="55C4D1C6" w:rsidR="001A2AB5" w:rsidRPr="006C3D13" w:rsidRDefault="007E1A27" w:rsidP="00D3042E">
      <w:pPr>
        <w:ind w:firstLine="567"/>
        <w:contextualSpacing/>
        <w:rPr>
          <w:rFonts w:eastAsiaTheme="minorEastAsia"/>
          <w:noProof/>
          <w:color w:val="000000" w:themeColor="text1"/>
          <w:lang w:eastAsia="en-US"/>
        </w:rPr>
      </w:pPr>
      <w:r w:rsidRPr="006C3D13">
        <w:t>1. </w:t>
      </w:r>
      <w:r w:rsidR="00245858" w:rsidRPr="006C3D13">
        <w:t>Затвердити Положення про організацію процесу оцінки достатності внутрішньої ліквідності в банках України та банківських групах (далі – Положення), що додається</w:t>
      </w:r>
      <w:r w:rsidR="001A2AB5" w:rsidRPr="006C3D13">
        <w:rPr>
          <w:rFonts w:eastAsiaTheme="minorEastAsia"/>
          <w:noProof/>
          <w:color w:val="000000" w:themeColor="text1"/>
          <w:lang w:eastAsia="en-US"/>
        </w:rPr>
        <w:t>.</w:t>
      </w:r>
    </w:p>
    <w:p w14:paraId="52A9D65D" w14:textId="77777777" w:rsidR="001A2AB5" w:rsidRPr="006C3D13" w:rsidRDefault="001A2AB5" w:rsidP="00D3042E">
      <w:pPr>
        <w:ind w:firstLine="567"/>
        <w:contextualSpacing/>
        <w:rPr>
          <w:rFonts w:eastAsiaTheme="minorEastAsia"/>
          <w:noProof/>
          <w:color w:val="000000" w:themeColor="text1"/>
          <w:lang w:eastAsia="en-US"/>
        </w:rPr>
      </w:pPr>
    </w:p>
    <w:p w14:paraId="0E7CA9B0" w14:textId="3F9AFA22" w:rsidR="00245858" w:rsidRPr="006C3D13" w:rsidRDefault="001A2AB5" w:rsidP="00D3042E">
      <w:pPr>
        <w:ind w:firstLine="567"/>
        <w:contextualSpacing/>
        <w:rPr>
          <w:shd w:val="clear" w:color="auto" w:fill="FFFFFF"/>
        </w:rPr>
      </w:pPr>
      <w:r w:rsidRPr="006C3D13">
        <w:t>2. </w:t>
      </w:r>
      <w:r w:rsidR="00787132" w:rsidRPr="006C3D13">
        <w:rPr>
          <w:shd w:val="clear" w:color="auto" w:fill="FFFFFF"/>
        </w:rPr>
        <w:t xml:space="preserve"> </w:t>
      </w:r>
      <w:r w:rsidR="00245858" w:rsidRPr="006C3D13">
        <w:rPr>
          <w:shd w:val="clear" w:color="auto" w:fill="FFFFFF"/>
        </w:rPr>
        <w:t>Банкам України</w:t>
      </w:r>
      <w:r w:rsidR="008D1CAF" w:rsidRPr="006C3D13">
        <w:rPr>
          <w:shd w:val="clear" w:color="auto" w:fill="FFFFFF"/>
        </w:rPr>
        <w:t xml:space="preserve"> та відповідальним особам банківських груп</w:t>
      </w:r>
      <w:r w:rsidR="00245858" w:rsidRPr="006C3D13">
        <w:rPr>
          <w:shd w:val="clear" w:color="auto" w:fill="FFFFFF"/>
        </w:rPr>
        <w:t>:</w:t>
      </w:r>
    </w:p>
    <w:p w14:paraId="377AC7DD" w14:textId="77777777" w:rsidR="00704EAE" w:rsidRPr="006C3D13" w:rsidRDefault="00704EAE" w:rsidP="00D3042E">
      <w:pPr>
        <w:ind w:firstLine="567"/>
        <w:contextualSpacing/>
        <w:rPr>
          <w:shd w:val="clear" w:color="auto" w:fill="FFFFFF"/>
        </w:rPr>
      </w:pPr>
    </w:p>
    <w:p w14:paraId="5F866BAD" w14:textId="5930B83F" w:rsidR="00245858" w:rsidRPr="006C3D13" w:rsidRDefault="00245858" w:rsidP="00D3042E">
      <w:pPr>
        <w:ind w:firstLine="567"/>
        <w:contextualSpacing/>
        <w:rPr>
          <w:shd w:val="clear" w:color="auto" w:fill="FFFFFF"/>
        </w:rPr>
      </w:pPr>
      <w:r w:rsidRPr="006C3D13">
        <w:rPr>
          <w:shd w:val="clear" w:color="auto" w:fill="FFFFFF"/>
        </w:rPr>
        <w:t>1) розробити, затвердити та запровадити внутрішньобанківські</w:t>
      </w:r>
      <w:r w:rsidR="001964E8" w:rsidRPr="006C3D13">
        <w:rPr>
          <w:shd w:val="clear" w:color="auto" w:fill="FFFFFF"/>
        </w:rPr>
        <w:t xml:space="preserve"> та</w:t>
      </w:r>
      <w:r w:rsidR="008D1CAF" w:rsidRPr="006C3D13">
        <w:rPr>
          <w:shd w:val="clear" w:color="auto" w:fill="FFFFFF"/>
        </w:rPr>
        <w:t xml:space="preserve"> </w:t>
      </w:r>
      <w:proofErr w:type="spellStart"/>
      <w:r w:rsidR="008D1CAF" w:rsidRPr="006C3D13">
        <w:rPr>
          <w:shd w:val="clear" w:color="auto" w:fill="FFFFFF"/>
        </w:rPr>
        <w:t>внутрішньогрупові</w:t>
      </w:r>
      <w:proofErr w:type="spellEnd"/>
      <w:r w:rsidRPr="006C3D13">
        <w:rPr>
          <w:shd w:val="clear" w:color="auto" w:fill="FFFFFF"/>
        </w:rPr>
        <w:t xml:space="preserve"> документи, </w:t>
      </w:r>
      <w:r w:rsidR="008A74DD">
        <w:rPr>
          <w:shd w:val="clear" w:color="auto" w:fill="FFFFFF"/>
        </w:rPr>
        <w:t>що</w:t>
      </w:r>
      <w:r w:rsidR="008A74DD" w:rsidRPr="006C3D13">
        <w:rPr>
          <w:shd w:val="clear" w:color="auto" w:fill="FFFFFF"/>
        </w:rPr>
        <w:t xml:space="preserve"> </w:t>
      </w:r>
      <w:r w:rsidRPr="006C3D13">
        <w:rPr>
          <w:shd w:val="clear" w:color="auto" w:fill="FFFFFF"/>
        </w:rPr>
        <w:t>регламентують організацію та функціонування процесу оцінки достатності внутрішньо</w:t>
      </w:r>
      <w:r w:rsidR="003F16BD" w:rsidRPr="006C3D13">
        <w:rPr>
          <w:shd w:val="clear" w:color="auto" w:fill="FFFFFF"/>
        </w:rPr>
        <w:t>ї</w:t>
      </w:r>
      <w:r w:rsidRPr="006C3D13">
        <w:rPr>
          <w:shd w:val="clear" w:color="auto" w:fill="FFFFFF"/>
        </w:rPr>
        <w:t xml:space="preserve"> </w:t>
      </w:r>
      <w:r w:rsidR="003F16BD" w:rsidRPr="006C3D13">
        <w:rPr>
          <w:shd w:val="clear" w:color="auto" w:fill="FFFFFF"/>
        </w:rPr>
        <w:t>ліквідності</w:t>
      </w:r>
      <w:r w:rsidRPr="006C3D13">
        <w:rPr>
          <w:shd w:val="clear" w:color="auto" w:fill="FFFFFF"/>
        </w:rPr>
        <w:t xml:space="preserve"> (далі – процес IL</w:t>
      </w:r>
      <w:r w:rsidR="008D1CAF" w:rsidRPr="006C3D13">
        <w:rPr>
          <w:shd w:val="clear" w:color="auto" w:fill="FFFFFF"/>
        </w:rPr>
        <w:t>AAP)</w:t>
      </w:r>
      <w:r w:rsidR="00915920">
        <w:rPr>
          <w:shd w:val="clear" w:color="auto" w:fill="FFFFFF"/>
        </w:rPr>
        <w:t>,</w:t>
      </w:r>
      <w:r w:rsidR="008D1CAF" w:rsidRPr="006C3D13">
        <w:rPr>
          <w:shd w:val="clear" w:color="auto" w:fill="FFFFFF"/>
        </w:rPr>
        <w:t xml:space="preserve"> </w:t>
      </w:r>
      <w:r w:rsidRPr="006C3D13">
        <w:rPr>
          <w:shd w:val="clear" w:color="auto" w:fill="FFFFFF"/>
        </w:rPr>
        <w:t xml:space="preserve">– до </w:t>
      </w:r>
      <w:r w:rsidR="00172E26">
        <w:rPr>
          <w:shd w:val="clear" w:color="auto" w:fill="FFFFFF"/>
        </w:rPr>
        <w:t>3</w:t>
      </w:r>
      <w:r w:rsidR="008D1CAF" w:rsidRPr="006C3D13">
        <w:rPr>
          <w:shd w:val="clear" w:color="auto" w:fill="FFFFFF"/>
        </w:rPr>
        <w:t>1</w:t>
      </w:r>
      <w:r w:rsidRPr="006C3D13">
        <w:rPr>
          <w:shd w:val="clear" w:color="auto" w:fill="FFFFFF"/>
        </w:rPr>
        <w:t xml:space="preserve"> </w:t>
      </w:r>
      <w:r w:rsidR="00172E26">
        <w:rPr>
          <w:shd w:val="clear" w:color="auto" w:fill="FFFFFF"/>
        </w:rPr>
        <w:t>грудня</w:t>
      </w:r>
      <w:r w:rsidRPr="006C3D13">
        <w:rPr>
          <w:shd w:val="clear" w:color="auto" w:fill="FFFFFF"/>
        </w:rPr>
        <w:t xml:space="preserve"> 2024 року;</w:t>
      </w:r>
    </w:p>
    <w:p w14:paraId="361F10DE" w14:textId="77777777" w:rsidR="000475A9" w:rsidRPr="006C3D13" w:rsidRDefault="000475A9" w:rsidP="00D3042E">
      <w:pPr>
        <w:ind w:firstLine="567"/>
        <w:contextualSpacing/>
        <w:rPr>
          <w:shd w:val="clear" w:color="auto" w:fill="FFFFFF"/>
        </w:rPr>
      </w:pPr>
    </w:p>
    <w:p w14:paraId="23293ADC" w14:textId="6F78B98B" w:rsidR="007E1A27" w:rsidRPr="006C3D13" w:rsidRDefault="00245858" w:rsidP="00D3042E">
      <w:pPr>
        <w:ind w:firstLine="567"/>
        <w:contextualSpacing/>
        <w:rPr>
          <w:shd w:val="clear" w:color="auto" w:fill="FFFFFF"/>
          <w:lang w:val="ru-RU"/>
        </w:rPr>
      </w:pPr>
      <w:r w:rsidRPr="006C3D13">
        <w:rPr>
          <w:shd w:val="clear" w:color="auto" w:fill="FFFFFF"/>
        </w:rPr>
        <w:t xml:space="preserve">2) забезпечити подання до Національного банку України звіту щодо </w:t>
      </w:r>
      <w:r w:rsidR="0035505D" w:rsidRPr="006C3D13">
        <w:rPr>
          <w:shd w:val="clear" w:color="auto" w:fill="FFFFFF"/>
        </w:rPr>
        <w:t xml:space="preserve">процесу ILAAP </w:t>
      </w:r>
      <w:r w:rsidRPr="006C3D13">
        <w:rPr>
          <w:shd w:val="clear" w:color="auto" w:fill="FFFFFF"/>
        </w:rPr>
        <w:t>за результатами оцінки процесу I</w:t>
      </w:r>
      <w:r w:rsidRPr="006C3D13">
        <w:rPr>
          <w:shd w:val="clear" w:color="auto" w:fill="FFFFFF"/>
          <w:lang w:val="en-US"/>
        </w:rPr>
        <w:t>L</w:t>
      </w:r>
      <w:r w:rsidRPr="006C3D13">
        <w:rPr>
          <w:shd w:val="clear" w:color="auto" w:fill="FFFFFF"/>
        </w:rPr>
        <w:t>AAP станом на 01 січня 2025 року згідно з вимогами Положення.</w:t>
      </w:r>
    </w:p>
    <w:p w14:paraId="7FC3CC4E" w14:textId="77777777" w:rsidR="00662074" w:rsidRPr="006C3D13" w:rsidRDefault="00662074" w:rsidP="00D3042E">
      <w:pPr>
        <w:ind w:firstLine="567"/>
        <w:contextualSpacing/>
      </w:pPr>
    </w:p>
    <w:p w14:paraId="20EDE5A9" w14:textId="0A135E87" w:rsidR="000D29D8" w:rsidRPr="006C3D13" w:rsidRDefault="009B2A34" w:rsidP="00D3042E">
      <w:pPr>
        <w:ind w:firstLine="567"/>
        <w:contextualSpacing/>
      </w:pPr>
      <w:r w:rsidRPr="006C3D13">
        <w:lastRenderedPageBreak/>
        <w:t>3</w:t>
      </w:r>
      <w:r w:rsidR="007E1A27" w:rsidRPr="006C3D13">
        <w:t>. </w:t>
      </w:r>
      <w:r w:rsidR="008D1CAF" w:rsidRPr="006C3D13">
        <w:t>Департаменту методології регулювання діяльності банків (Оксана Присяженко) після офіційного опублікування довести до відома банків України інформацію про прийняття цієї постанови.</w:t>
      </w:r>
    </w:p>
    <w:p w14:paraId="241E1CEA" w14:textId="77777777" w:rsidR="008D1CAF" w:rsidRPr="006C3D13" w:rsidRDefault="008D1CAF" w:rsidP="00D3042E">
      <w:pPr>
        <w:ind w:firstLine="567"/>
        <w:contextualSpacing/>
        <w:rPr>
          <w:rFonts w:eastAsiaTheme="minorEastAsia"/>
          <w:noProof/>
          <w:color w:val="000000" w:themeColor="text1"/>
          <w:lang w:eastAsia="en-US"/>
        </w:rPr>
      </w:pPr>
    </w:p>
    <w:p w14:paraId="465AD6C0" w14:textId="58FE4BE2" w:rsidR="00837EB9" w:rsidRDefault="000D29D8" w:rsidP="00D3042E">
      <w:pPr>
        <w:ind w:firstLine="567"/>
        <w:contextualSpacing/>
      </w:pPr>
      <w:r w:rsidRPr="006C3D13">
        <w:t xml:space="preserve">4. </w:t>
      </w:r>
      <w:r w:rsidR="003F16BD" w:rsidRPr="006C3D13">
        <w:t>Постанова набирає чинності з 05 серпня 2024 року</w:t>
      </w:r>
      <w:r w:rsidR="008D1CAF" w:rsidRPr="006C3D13">
        <w:t>.</w:t>
      </w:r>
    </w:p>
    <w:p w14:paraId="61972FDC" w14:textId="77777777" w:rsidR="008D1CAF" w:rsidRPr="000D29D8" w:rsidRDefault="008D1CAF" w:rsidP="000D29D8">
      <w:pPr>
        <w:ind w:firstLine="567"/>
        <w:contextualSpacing/>
      </w:pPr>
    </w:p>
    <w:p w14:paraId="06147C79" w14:textId="77777777" w:rsidR="000D29D8" w:rsidRPr="000D29D8" w:rsidRDefault="000D29D8" w:rsidP="000D29D8">
      <w:pPr>
        <w:ind w:firstLine="567"/>
        <w:contextualSpacing/>
      </w:pPr>
    </w:p>
    <w:p w14:paraId="258CC277" w14:textId="77777777" w:rsidR="00FA1098" w:rsidRPr="00822330" w:rsidRDefault="00FA1098" w:rsidP="00FA1098">
      <w:pPr>
        <w:ind w:firstLine="567"/>
        <w:contextualSpacing/>
        <w:rPr>
          <w:rFonts w:eastAsiaTheme="minorEastAsia"/>
          <w:noProof/>
          <w:color w:val="000000" w:themeColor="text1"/>
          <w:lang w:eastAsia="en-US"/>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7E1A27" w:rsidRPr="00555870" w14:paraId="12ED35EE" w14:textId="77777777" w:rsidTr="0026382F">
        <w:tc>
          <w:tcPr>
            <w:tcW w:w="5387" w:type="dxa"/>
            <w:vAlign w:val="bottom"/>
          </w:tcPr>
          <w:p w14:paraId="6DDF811F" w14:textId="77777777" w:rsidR="007E1A27" w:rsidRPr="00555870" w:rsidRDefault="007E1A27" w:rsidP="00662074">
            <w:pPr>
              <w:autoSpaceDE w:val="0"/>
              <w:autoSpaceDN w:val="0"/>
              <w:ind w:left="-111"/>
              <w:jc w:val="left"/>
            </w:pPr>
            <w:r w:rsidRPr="00555870">
              <w:t>Голова</w:t>
            </w:r>
          </w:p>
        </w:tc>
        <w:tc>
          <w:tcPr>
            <w:tcW w:w="4252" w:type="dxa"/>
            <w:vAlign w:val="bottom"/>
          </w:tcPr>
          <w:p w14:paraId="32697654" w14:textId="77777777" w:rsidR="007E1A27" w:rsidRPr="00555870" w:rsidRDefault="007E1A27" w:rsidP="00662074">
            <w:pPr>
              <w:tabs>
                <w:tab w:val="left" w:pos="7020"/>
                <w:tab w:val="left" w:pos="7200"/>
              </w:tabs>
              <w:autoSpaceDE w:val="0"/>
              <w:autoSpaceDN w:val="0"/>
              <w:ind w:left="32"/>
              <w:jc w:val="right"/>
            </w:pPr>
            <w:r w:rsidRPr="00555870">
              <w:t>Андрій ПИШНИЙ</w:t>
            </w:r>
          </w:p>
        </w:tc>
      </w:tr>
    </w:tbl>
    <w:p w14:paraId="343A68F8" w14:textId="77777777" w:rsidR="009E5856" w:rsidRDefault="009E5856" w:rsidP="00662074">
      <w:pPr>
        <w:jc w:val="left"/>
      </w:pPr>
    </w:p>
    <w:p w14:paraId="3FD9B947" w14:textId="77777777" w:rsidR="007E1A27" w:rsidRDefault="007E1A27" w:rsidP="00662074">
      <w:pPr>
        <w:jc w:val="left"/>
      </w:pPr>
      <w:r w:rsidRPr="00555870">
        <w:t>Інд.</w:t>
      </w:r>
      <w:r w:rsidRPr="00555870">
        <w:rPr>
          <w:sz w:val="22"/>
          <w:szCs w:val="22"/>
        </w:rPr>
        <w:t xml:space="preserve"> </w:t>
      </w:r>
      <w:r w:rsidRPr="00555870">
        <w:t>22</w:t>
      </w:r>
    </w:p>
    <w:p w14:paraId="1EA5A1B3" w14:textId="77777777" w:rsidR="00B812CD" w:rsidRDefault="00B812CD" w:rsidP="00662074">
      <w:pPr>
        <w:sectPr w:rsidR="00B812CD" w:rsidSect="008A74DD">
          <w:headerReference w:type="default" r:id="rId10"/>
          <w:headerReference w:type="first" r:id="rId11"/>
          <w:pgSz w:w="11906" w:h="16838" w:code="9"/>
          <w:pgMar w:top="567" w:right="567" w:bottom="1701" w:left="1701" w:header="567" w:footer="567" w:gutter="0"/>
          <w:cols w:space="708"/>
          <w:titlePg/>
          <w:docGrid w:linePitch="381"/>
        </w:sectPr>
      </w:pPr>
    </w:p>
    <w:p w14:paraId="304ED753" w14:textId="77777777" w:rsidR="00396DE0" w:rsidRPr="000D07CA" w:rsidRDefault="00396DE0" w:rsidP="00396DE0">
      <w:pPr>
        <w:shd w:val="clear" w:color="auto" w:fill="FFFFFF" w:themeFill="background1"/>
        <w:jc w:val="right"/>
      </w:pPr>
    </w:p>
    <w:p w14:paraId="5BA75554" w14:textId="77777777" w:rsidR="00396DE0" w:rsidRPr="000D07CA" w:rsidRDefault="00396DE0" w:rsidP="00396DE0">
      <w:pPr>
        <w:shd w:val="clear" w:color="auto" w:fill="FFFFFF" w:themeFill="background1"/>
        <w:ind w:left="5954"/>
      </w:pPr>
      <w:r w:rsidRPr="000D07CA">
        <w:t>ЗАТВЕРДЖЕНО</w:t>
      </w:r>
    </w:p>
    <w:p w14:paraId="3D8170FA" w14:textId="77777777" w:rsidR="00396DE0" w:rsidRPr="000D07CA" w:rsidRDefault="00396DE0" w:rsidP="00396DE0">
      <w:pPr>
        <w:shd w:val="clear" w:color="auto" w:fill="FFFFFF" w:themeFill="background1"/>
        <w:ind w:left="5954"/>
      </w:pPr>
      <w:r w:rsidRPr="000D07CA">
        <w:t>Постанова Правління</w:t>
      </w:r>
    </w:p>
    <w:p w14:paraId="29D7EB28" w14:textId="7563B010" w:rsidR="00396DE0" w:rsidRDefault="00396DE0" w:rsidP="00396DE0">
      <w:pPr>
        <w:shd w:val="clear" w:color="auto" w:fill="FFFFFF" w:themeFill="background1"/>
        <w:ind w:left="5954"/>
      </w:pPr>
      <w:r w:rsidRPr="000D07CA">
        <w:t>Національного банку України</w:t>
      </w:r>
    </w:p>
    <w:p w14:paraId="0C664A2E" w14:textId="6BB8329C" w:rsidR="00EC2148" w:rsidRPr="000D07CA" w:rsidRDefault="00EC2148" w:rsidP="00396DE0">
      <w:pPr>
        <w:shd w:val="clear" w:color="auto" w:fill="FFFFFF" w:themeFill="background1"/>
        <w:ind w:left="5954"/>
      </w:pPr>
      <w:r>
        <w:t>19</w:t>
      </w:r>
      <w:r w:rsidRPr="00EC2148">
        <w:t xml:space="preserve"> </w:t>
      </w:r>
      <w:r>
        <w:t>липня 2024 року № 88</w:t>
      </w:r>
    </w:p>
    <w:p w14:paraId="53101FF2" w14:textId="77777777" w:rsidR="00396DE0" w:rsidRPr="000D07CA" w:rsidRDefault="00396DE0" w:rsidP="00396DE0">
      <w:pPr>
        <w:shd w:val="clear" w:color="auto" w:fill="FFFFFF" w:themeFill="background1"/>
        <w:ind w:firstLine="709"/>
        <w:rPr>
          <w:bCs/>
        </w:rPr>
      </w:pPr>
    </w:p>
    <w:p w14:paraId="2CA65CB5" w14:textId="77777777" w:rsidR="00396DE0" w:rsidRPr="000D07CA" w:rsidRDefault="00396DE0" w:rsidP="00396DE0">
      <w:pPr>
        <w:shd w:val="clear" w:color="auto" w:fill="FFFFFF" w:themeFill="background1"/>
        <w:ind w:firstLine="709"/>
        <w:rPr>
          <w:bCs/>
        </w:rPr>
      </w:pPr>
    </w:p>
    <w:p w14:paraId="053F64C6" w14:textId="77777777" w:rsidR="00396DE0" w:rsidRPr="000D07CA" w:rsidRDefault="00396DE0" w:rsidP="00396DE0">
      <w:pPr>
        <w:shd w:val="clear" w:color="auto" w:fill="FFFFFF" w:themeFill="background1"/>
        <w:ind w:firstLine="709"/>
        <w:rPr>
          <w:bCs/>
        </w:rPr>
      </w:pPr>
    </w:p>
    <w:p w14:paraId="6C09AB50" w14:textId="77777777" w:rsidR="00396DE0" w:rsidRPr="000D07CA" w:rsidRDefault="00396DE0" w:rsidP="00396DE0">
      <w:pPr>
        <w:shd w:val="clear" w:color="auto" w:fill="FFFFFF" w:themeFill="background1"/>
        <w:ind w:firstLine="709"/>
        <w:rPr>
          <w:bCs/>
        </w:rPr>
      </w:pPr>
    </w:p>
    <w:p w14:paraId="49FDFC6C" w14:textId="77777777" w:rsidR="00396DE0" w:rsidRPr="000D07CA" w:rsidRDefault="00396DE0" w:rsidP="00396DE0">
      <w:pPr>
        <w:shd w:val="clear" w:color="auto" w:fill="FFFFFF" w:themeFill="background1"/>
        <w:jc w:val="center"/>
        <w:rPr>
          <w:bCs/>
        </w:rPr>
      </w:pPr>
      <w:bookmarkStart w:id="2" w:name="_Hlk48853594"/>
      <w:r w:rsidRPr="000D07CA">
        <w:rPr>
          <w:bCs/>
        </w:rPr>
        <w:t xml:space="preserve">Положення про організацію </w:t>
      </w:r>
      <w:bookmarkStart w:id="3" w:name="_Hlk38525745"/>
      <w:r w:rsidRPr="000D07CA">
        <w:rPr>
          <w:bCs/>
        </w:rPr>
        <w:t xml:space="preserve">процесу </w:t>
      </w:r>
      <w:bookmarkEnd w:id="2"/>
      <w:r w:rsidRPr="000D07CA">
        <w:rPr>
          <w:bCs/>
        </w:rPr>
        <w:t>оцінки</w:t>
      </w:r>
      <w:r w:rsidRPr="000D07CA">
        <w:rPr>
          <w:bCs/>
        </w:rPr>
        <w:br/>
        <w:t>достатності внутрішньої ліквідності</w:t>
      </w:r>
      <w:r w:rsidRPr="000D07CA">
        <w:rPr>
          <w:bCs/>
        </w:rPr>
        <w:br/>
        <w:t>в банках України</w:t>
      </w:r>
      <w:bookmarkEnd w:id="3"/>
      <w:r w:rsidRPr="000D07CA">
        <w:rPr>
          <w:bCs/>
        </w:rPr>
        <w:t xml:space="preserve"> та банківських групах</w:t>
      </w:r>
      <w:bookmarkStart w:id="4" w:name="_Hlk49353036"/>
      <w:bookmarkEnd w:id="4"/>
    </w:p>
    <w:p w14:paraId="2FC9857D" w14:textId="77777777" w:rsidR="00396DE0" w:rsidRPr="000D07CA" w:rsidRDefault="00396DE0" w:rsidP="00396DE0">
      <w:pPr>
        <w:shd w:val="clear" w:color="auto" w:fill="FFFFFF" w:themeFill="background1"/>
        <w:ind w:firstLine="709"/>
        <w:jc w:val="center"/>
      </w:pPr>
    </w:p>
    <w:p w14:paraId="6112E679" w14:textId="77777777" w:rsidR="00396DE0" w:rsidRPr="000D07CA" w:rsidRDefault="00396DE0" w:rsidP="00396DE0">
      <w:pPr>
        <w:shd w:val="clear" w:color="auto" w:fill="FFFFFF" w:themeFill="background1"/>
        <w:ind w:firstLine="709"/>
        <w:jc w:val="center"/>
      </w:pPr>
    </w:p>
    <w:p w14:paraId="2D209689" w14:textId="77777777" w:rsidR="00396DE0" w:rsidRPr="000D07CA" w:rsidRDefault="00396DE0" w:rsidP="00396DE0">
      <w:pPr>
        <w:shd w:val="clear" w:color="auto" w:fill="FFFFFF" w:themeFill="background1"/>
        <w:jc w:val="center"/>
        <w:rPr>
          <w:strike/>
        </w:rPr>
      </w:pPr>
      <w:r w:rsidRPr="000D07CA">
        <w:t>I. Загальні положення</w:t>
      </w:r>
    </w:p>
    <w:p w14:paraId="563BD2CB" w14:textId="77777777" w:rsidR="00396DE0" w:rsidRPr="000D07CA" w:rsidRDefault="00396DE0" w:rsidP="00396DE0">
      <w:pPr>
        <w:shd w:val="clear" w:color="auto" w:fill="FFFFFF" w:themeFill="background1"/>
        <w:ind w:firstLine="709"/>
        <w:jc w:val="center"/>
      </w:pPr>
    </w:p>
    <w:p w14:paraId="5012AB75" w14:textId="77777777" w:rsidR="00396DE0" w:rsidRPr="000D07CA" w:rsidRDefault="00396DE0" w:rsidP="00396DE0">
      <w:pPr>
        <w:shd w:val="clear" w:color="auto" w:fill="FFFFFF" w:themeFill="background1"/>
        <w:spacing w:before="60"/>
        <w:jc w:val="center"/>
        <w:rPr>
          <w:highlight w:val="white"/>
        </w:rPr>
      </w:pPr>
      <w:r w:rsidRPr="000D07CA">
        <w:t xml:space="preserve">1. </w:t>
      </w:r>
      <w:r w:rsidRPr="000D07CA">
        <w:rPr>
          <w:rFonts w:eastAsiaTheme="majorEastAsia"/>
        </w:rPr>
        <w:t>Основні положення та терміни</w:t>
      </w:r>
    </w:p>
    <w:p w14:paraId="77488F0D" w14:textId="77777777" w:rsidR="00396DE0" w:rsidRPr="000D07CA" w:rsidRDefault="00396DE0" w:rsidP="00396DE0">
      <w:pPr>
        <w:shd w:val="clear" w:color="auto" w:fill="FFFFFF" w:themeFill="background1"/>
        <w:ind w:firstLine="709"/>
      </w:pPr>
    </w:p>
    <w:p w14:paraId="35A4E6FA" w14:textId="066A2E90" w:rsidR="00396DE0" w:rsidRPr="00054F39" w:rsidRDefault="00396DE0" w:rsidP="00D3042E">
      <w:pPr>
        <w:pStyle w:val="a4"/>
        <w:numPr>
          <w:ilvl w:val="0"/>
          <w:numId w:val="1"/>
        </w:numPr>
        <w:shd w:val="clear" w:color="auto" w:fill="FFFFFF" w:themeFill="background1"/>
        <w:tabs>
          <w:tab w:val="left" w:pos="1134"/>
          <w:tab w:val="left" w:pos="1276"/>
        </w:tabs>
        <w:ind w:left="0" w:firstLine="567"/>
        <w:rPr>
          <w:bCs/>
        </w:rPr>
      </w:pPr>
      <w:r w:rsidRPr="000D07CA">
        <w:rPr>
          <w:shd w:val="clear" w:color="auto" w:fill="FFFFFF"/>
        </w:rPr>
        <w:t xml:space="preserve">Це Положення розроблене відповідно до вимог Законів України </w:t>
      </w:r>
      <w:bookmarkStart w:id="5" w:name="_Hlk39181142"/>
      <w:bookmarkStart w:id="6" w:name="_Hlk40720840"/>
      <w:r w:rsidRPr="000D07CA">
        <w:rPr>
          <w:shd w:val="clear" w:color="auto" w:fill="FFFFFF"/>
        </w:rPr>
        <w:t>“Про  Національний банк України”</w:t>
      </w:r>
      <w:bookmarkEnd w:id="5"/>
      <w:r w:rsidRPr="000D07CA">
        <w:rPr>
          <w:shd w:val="clear" w:color="auto" w:fill="FFFFFF"/>
        </w:rPr>
        <w:t xml:space="preserve">, </w:t>
      </w:r>
      <w:bookmarkEnd w:id="6"/>
      <w:r w:rsidRPr="000D07CA">
        <w:rPr>
          <w:shd w:val="clear" w:color="auto" w:fill="FFFFFF"/>
        </w:rPr>
        <w:t xml:space="preserve">“Про банки і банківську діяльність” </w:t>
      </w:r>
      <w:r w:rsidRPr="000D07CA">
        <w:rPr>
          <w:bCs/>
          <w:shd w:val="clear" w:color="auto" w:fill="FFFFFF"/>
        </w:rPr>
        <w:t xml:space="preserve">та спрямоване на забезпечення підтримання банками і банківськими групами </w:t>
      </w:r>
      <w:r w:rsidRPr="00891B48">
        <w:rPr>
          <w:bCs/>
          <w:shd w:val="clear" w:color="auto" w:fill="FFFFFF"/>
        </w:rPr>
        <w:t>на постійній основі обсягу внутрішньої ліквідності в розмірі,</w:t>
      </w:r>
      <w:r w:rsidRPr="00891B48">
        <w:rPr>
          <w:bCs/>
        </w:rPr>
        <w:t xml:space="preserve"> </w:t>
      </w:r>
      <w:r w:rsidRPr="00891B48">
        <w:rPr>
          <w:shd w:val="clear" w:color="auto" w:fill="FFFFFF"/>
        </w:rPr>
        <w:t>достатньому дл</w:t>
      </w:r>
      <w:r w:rsidRPr="000D07CA">
        <w:rPr>
          <w:shd w:val="clear" w:color="auto" w:fill="FFFFFF"/>
        </w:rPr>
        <w:t xml:space="preserve">я </w:t>
      </w:r>
      <w:r w:rsidRPr="000D07CA">
        <w:rPr>
          <w:bCs/>
          <w:shd w:val="clear" w:color="auto" w:fill="FFFFFF"/>
        </w:rPr>
        <w:t xml:space="preserve">забезпечення їх </w:t>
      </w:r>
      <w:r w:rsidRPr="000D07CA">
        <w:rPr>
          <w:shd w:val="clear" w:color="auto" w:fill="FFFFFF"/>
        </w:rPr>
        <w:t>безперервної стабільної діяльності</w:t>
      </w:r>
      <w:r w:rsidR="008437BC">
        <w:rPr>
          <w:shd w:val="clear" w:color="auto" w:fill="FFFFFF"/>
        </w:rPr>
        <w:t>,</w:t>
      </w:r>
      <w:r w:rsidRPr="000D07CA">
        <w:rPr>
          <w:shd w:val="clear" w:color="auto" w:fill="FFFFFF"/>
        </w:rPr>
        <w:t xml:space="preserve"> як у звичайних, так і в стресових ситуаціях, </w:t>
      </w:r>
      <w:r w:rsidR="008437BC" w:rsidRPr="00054F39">
        <w:rPr>
          <w:shd w:val="clear" w:color="auto" w:fill="FFFFFF"/>
        </w:rPr>
        <w:t>покриття</w:t>
      </w:r>
      <w:r w:rsidRPr="00054F39">
        <w:rPr>
          <w:shd w:val="clear" w:color="auto" w:fill="FFFFFF"/>
        </w:rPr>
        <w:t xml:space="preserve"> </w:t>
      </w:r>
      <w:r w:rsidRPr="00054F39">
        <w:rPr>
          <w:bCs/>
        </w:rPr>
        <w:t xml:space="preserve">всіх суттєвих ризиків, </w:t>
      </w:r>
      <w:r w:rsidR="00ED7344" w:rsidRPr="00054F39">
        <w:rPr>
          <w:bCs/>
        </w:rPr>
        <w:t>пов</w:t>
      </w:r>
      <w:r w:rsidR="00ED7344">
        <w:rPr>
          <w:bCs/>
        </w:rPr>
        <w:t>’</w:t>
      </w:r>
      <w:r w:rsidR="00ED7344" w:rsidRPr="00054F39">
        <w:rPr>
          <w:bCs/>
        </w:rPr>
        <w:t xml:space="preserve">язаних </w:t>
      </w:r>
      <w:r w:rsidR="00ED7344">
        <w:rPr>
          <w:bCs/>
        </w:rPr>
        <w:t>і</w:t>
      </w:r>
      <w:r w:rsidRPr="00054F39">
        <w:rPr>
          <w:bCs/>
        </w:rPr>
        <w:t>з ліквідністю, притаманних банку</w:t>
      </w:r>
      <w:r w:rsidR="008A74DD">
        <w:rPr>
          <w:bCs/>
        </w:rPr>
        <w:t> </w:t>
      </w:r>
      <w:r w:rsidRPr="00054F39">
        <w:rPr>
          <w:bCs/>
        </w:rPr>
        <w:t>/</w:t>
      </w:r>
      <w:r w:rsidR="008A74DD">
        <w:rPr>
          <w:bCs/>
        </w:rPr>
        <w:t> </w:t>
      </w:r>
      <w:r w:rsidRPr="00054F39">
        <w:rPr>
          <w:bCs/>
        </w:rPr>
        <w:t>банківській групі.</w:t>
      </w:r>
      <w:bookmarkStart w:id="7" w:name="_Hlk39443281"/>
      <w:bookmarkStart w:id="8" w:name="_Hlk50544948"/>
      <w:bookmarkEnd w:id="7"/>
      <w:bookmarkEnd w:id="8"/>
    </w:p>
    <w:p w14:paraId="029C4C55" w14:textId="77777777" w:rsidR="00396DE0" w:rsidRPr="000D07CA" w:rsidRDefault="00396DE0" w:rsidP="00D3042E">
      <w:pPr>
        <w:shd w:val="clear" w:color="auto" w:fill="FFFFFF" w:themeFill="background1"/>
        <w:tabs>
          <w:tab w:val="left" w:pos="0"/>
        </w:tabs>
        <w:ind w:firstLine="567"/>
      </w:pPr>
    </w:p>
    <w:p w14:paraId="41290CBB" w14:textId="1B914613" w:rsidR="00396DE0" w:rsidRPr="000D07CA" w:rsidRDefault="00D442A5" w:rsidP="00D3042E">
      <w:pPr>
        <w:shd w:val="clear" w:color="auto" w:fill="FFFFFF" w:themeFill="background1"/>
        <w:tabs>
          <w:tab w:val="left" w:pos="0"/>
        </w:tabs>
        <w:ind w:firstLine="567"/>
      </w:pPr>
      <w:r w:rsidRPr="00D442A5">
        <w:rPr>
          <w:lang w:val="ru-RU"/>
        </w:rPr>
        <w:t>2</w:t>
      </w:r>
      <w:r w:rsidR="00396DE0" w:rsidRPr="000D07CA">
        <w:t xml:space="preserve">. Терміни та скорочення в цьому Положенні вживаються в </w:t>
      </w:r>
      <w:r w:rsidR="008A74DD" w:rsidRPr="000D07CA">
        <w:t>так</w:t>
      </w:r>
      <w:r w:rsidR="008A74DD">
        <w:t>ому</w:t>
      </w:r>
      <w:r w:rsidR="008A74DD" w:rsidRPr="000D07CA">
        <w:t xml:space="preserve"> значенн</w:t>
      </w:r>
      <w:r w:rsidR="008A74DD">
        <w:t>і</w:t>
      </w:r>
      <w:r w:rsidR="00396DE0" w:rsidRPr="000D07CA">
        <w:t>:</w:t>
      </w:r>
    </w:p>
    <w:p w14:paraId="5EDA3016" w14:textId="53FAD5DB" w:rsidR="00396DE0" w:rsidRPr="000D07CA" w:rsidRDefault="00396DE0" w:rsidP="00D3042E">
      <w:pPr>
        <w:pStyle w:val="afb"/>
        <w:shd w:val="clear" w:color="auto" w:fill="FFFFFF" w:themeFill="background1"/>
        <w:tabs>
          <w:tab w:val="left" w:pos="709"/>
          <w:tab w:val="left" w:pos="851"/>
        </w:tabs>
        <w:spacing w:before="120" w:beforeAutospacing="0" w:afterAutospacing="0"/>
        <w:ind w:firstLine="567"/>
        <w:jc w:val="both"/>
        <w:rPr>
          <w:sz w:val="28"/>
          <w:szCs w:val="28"/>
        </w:rPr>
      </w:pPr>
      <w:r w:rsidRPr="000D07CA">
        <w:rPr>
          <w:sz w:val="28"/>
          <w:szCs w:val="28"/>
        </w:rPr>
        <w:t>1) базовий</w:t>
      </w:r>
      <w:r>
        <w:rPr>
          <w:sz w:val="28"/>
          <w:szCs w:val="28"/>
        </w:rPr>
        <w:t xml:space="preserve"> </w:t>
      </w:r>
      <w:r w:rsidRPr="000D07CA">
        <w:rPr>
          <w:sz w:val="28"/>
          <w:szCs w:val="28"/>
        </w:rPr>
        <w:t xml:space="preserve">сценарій – </w:t>
      </w:r>
      <w:r w:rsidRPr="000D07CA">
        <w:rPr>
          <w:iCs/>
          <w:sz w:val="28"/>
          <w:szCs w:val="28"/>
          <w:shd w:val="clear" w:color="auto" w:fill="FFFFFF"/>
        </w:rPr>
        <w:t xml:space="preserve">комбінація очікуваних змін у внутрішніх і зовнішніх факторах (включаючи макроекономічні зміни), які застосовуються </w:t>
      </w:r>
      <w:bookmarkStart w:id="9" w:name="_Hlk39757291"/>
      <w:bookmarkStart w:id="10" w:name="_Hlk68285581"/>
      <w:r w:rsidR="00915920" w:rsidRPr="000D07CA">
        <w:rPr>
          <w:iCs/>
          <w:sz w:val="28"/>
          <w:szCs w:val="28"/>
          <w:shd w:val="clear" w:color="auto" w:fill="FFFFFF"/>
        </w:rPr>
        <w:t>п</w:t>
      </w:r>
      <w:r w:rsidR="00915920">
        <w:rPr>
          <w:iCs/>
          <w:sz w:val="28"/>
          <w:szCs w:val="28"/>
          <w:shd w:val="clear" w:color="auto" w:fill="FFFFFF"/>
        </w:rPr>
        <w:t>ід час</w:t>
      </w:r>
      <w:r w:rsidR="00915920" w:rsidRPr="000D07CA">
        <w:rPr>
          <w:iCs/>
          <w:sz w:val="28"/>
          <w:szCs w:val="28"/>
          <w:shd w:val="clear" w:color="auto" w:fill="FFFFFF"/>
        </w:rPr>
        <w:t xml:space="preserve"> складанн</w:t>
      </w:r>
      <w:r w:rsidR="00915920">
        <w:rPr>
          <w:iCs/>
          <w:sz w:val="28"/>
          <w:szCs w:val="28"/>
          <w:shd w:val="clear" w:color="auto" w:fill="FFFFFF"/>
        </w:rPr>
        <w:t>я</w:t>
      </w:r>
      <w:r w:rsidR="00915920" w:rsidRPr="000D07CA">
        <w:rPr>
          <w:iCs/>
          <w:sz w:val="28"/>
          <w:szCs w:val="28"/>
          <w:shd w:val="clear" w:color="auto" w:fill="FFFFFF"/>
        </w:rPr>
        <w:t xml:space="preserve"> </w:t>
      </w:r>
      <w:r w:rsidRPr="000D07CA">
        <w:rPr>
          <w:iCs/>
          <w:sz w:val="28"/>
          <w:szCs w:val="28"/>
          <w:shd w:val="clear" w:color="auto" w:fill="FFFFFF"/>
        </w:rPr>
        <w:t>бізнес-плану та</w:t>
      </w:r>
      <w:r w:rsidRPr="000D07CA">
        <w:rPr>
          <w:iCs/>
          <w:sz w:val="28"/>
          <w:szCs w:val="28"/>
        </w:rPr>
        <w:t xml:space="preserve"> бюджету</w:t>
      </w:r>
      <w:bookmarkEnd w:id="9"/>
      <w:r w:rsidRPr="000D07CA">
        <w:rPr>
          <w:iCs/>
          <w:sz w:val="28"/>
          <w:szCs w:val="28"/>
        </w:rPr>
        <w:t xml:space="preserve"> банку</w:t>
      </w:r>
      <w:r w:rsidR="00ED7344">
        <w:rPr>
          <w:iCs/>
          <w:sz w:val="28"/>
          <w:szCs w:val="28"/>
        </w:rPr>
        <w:t> </w:t>
      </w:r>
      <w:r w:rsidRPr="000D07CA">
        <w:rPr>
          <w:iCs/>
          <w:sz w:val="28"/>
          <w:szCs w:val="28"/>
        </w:rPr>
        <w:t>/</w:t>
      </w:r>
      <w:bookmarkStart w:id="11" w:name="_Hlk56454668"/>
      <w:r w:rsidR="00ED7344">
        <w:rPr>
          <w:iCs/>
          <w:sz w:val="28"/>
          <w:szCs w:val="28"/>
        </w:rPr>
        <w:t> </w:t>
      </w:r>
      <w:r w:rsidRPr="000D07CA">
        <w:rPr>
          <w:iCs/>
          <w:sz w:val="28"/>
          <w:szCs w:val="28"/>
        </w:rPr>
        <w:t>учасників банківської групи</w:t>
      </w:r>
      <w:bookmarkEnd w:id="10"/>
      <w:bookmarkEnd w:id="11"/>
      <w:r w:rsidRPr="000D07CA">
        <w:rPr>
          <w:sz w:val="28"/>
          <w:szCs w:val="28"/>
        </w:rPr>
        <w:t>;</w:t>
      </w:r>
    </w:p>
    <w:p w14:paraId="737397C7" w14:textId="77777777" w:rsidR="00396DE0" w:rsidRPr="000D07CA" w:rsidRDefault="00396DE0" w:rsidP="00D3042E">
      <w:pPr>
        <w:shd w:val="clear" w:color="auto" w:fill="FFFFFF" w:themeFill="background1"/>
        <w:tabs>
          <w:tab w:val="left" w:pos="709"/>
          <w:tab w:val="left" w:pos="1134"/>
        </w:tabs>
        <w:ind w:left="709" w:firstLine="567"/>
      </w:pPr>
    </w:p>
    <w:p w14:paraId="6794A281" w14:textId="0F61DFBD" w:rsidR="00396DE0" w:rsidRPr="000D07CA" w:rsidRDefault="00915920" w:rsidP="00D3042E">
      <w:pPr>
        <w:numPr>
          <w:ilvl w:val="0"/>
          <w:numId w:val="4"/>
        </w:numPr>
        <w:shd w:val="clear" w:color="auto" w:fill="FFFFFF" w:themeFill="background1"/>
        <w:tabs>
          <w:tab w:val="left" w:pos="1134"/>
        </w:tabs>
        <w:ind w:left="0" w:firstLine="567"/>
      </w:pPr>
      <w:r>
        <w:t>в</w:t>
      </w:r>
      <w:r w:rsidR="00396DE0" w:rsidRPr="000D07CA">
        <w:t>нутрішньобанківські</w:t>
      </w:r>
      <w:r w:rsidR="008A74DD">
        <w:t> </w:t>
      </w:r>
      <w:r w:rsidR="00396DE0" w:rsidRPr="000D07CA">
        <w:t>/</w:t>
      </w:r>
      <w:r w:rsidR="008A74DD">
        <w:t> </w:t>
      </w:r>
      <w:proofErr w:type="spellStart"/>
      <w:r w:rsidR="00396DE0" w:rsidRPr="000D07CA">
        <w:t>внутрішньогрупові</w:t>
      </w:r>
      <w:proofErr w:type="spellEnd"/>
      <w:r w:rsidR="00396DE0" w:rsidRPr="000D07CA">
        <w:t xml:space="preserve"> документи – положення, інструкції, методики, правила, розпорядження, рішення, накази або розроблені документи в іншій формі, які</w:t>
      </w:r>
      <w:r w:rsidR="005A4114">
        <w:t xml:space="preserve"> </w:t>
      </w:r>
      <w:r w:rsidR="00BF0278">
        <w:t>з</w:t>
      </w:r>
      <w:r w:rsidR="003A593D">
        <w:t>-</w:t>
      </w:r>
      <w:r w:rsidR="00BF0278">
        <w:t xml:space="preserve">поміж </w:t>
      </w:r>
      <w:r w:rsidR="005A4114">
        <w:t>іншого</w:t>
      </w:r>
      <w:r w:rsidR="00396DE0" w:rsidRPr="00891B48">
        <w:t xml:space="preserve"> </w:t>
      </w:r>
      <w:r w:rsidRPr="00891B48">
        <w:t>уключають</w:t>
      </w:r>
      <w:r w:rsidRPr="000D07CA">
        <w:t xml:space="preserve"> </w:t>
      </w:r>
      <w:r w:rsidR="00396DE0" w:rsidRPr="000D07CA">
        <w:t>опис процедур</w:t>
      </w:r>
      <w:r>
        <w:t> </w:t>
      </w:r>
      <w:r w:rsidR="00396DE0" w:rsidRPr="000D07CA">
        <w:t>/</w:t>
      </w:r>
      <w:r>
        <w:t> </w:t>
      </w:r>
      <w:r w:rsidR="00396DE0" w:rsidRPr="000D07CA">
        <w:t>процесів, відповідальність працівників за виконання ними функціональних обов’язків, розподіл обов’язків, порядок взаємодії підрозділів та працівників банку</w:t>
      </w:r>
      <w:r w:rsidR="008A74DD">
        <w:t> </w:t>
      </w:r>
      <w:r w:rsidR="00396DE0" w:rsidRPr="000D07CA">
        <w:t>/ учасників банківської групи та інші питання щодо організації та функціонування процесу оцінки достатності внутрішньої ліквідності в банках та банківських групах з урахуванням вимог цього Положення;</w:t>
      </w:r>
    </w:p>
    <w:p w14:paraId="4C2B11D8" w14:textId="77777777" w:rsidR="00396DE0" w:rsidRPr="000D07CA" w:rsidRDefault="00396DE0" w:rsidP="00396DE0">
      <w:pPr>
        <w:shd w:val="clear" w:color="auto" w:fill="FFFFFF" w:themeFill="background1"/>
        <w:tabs>
          <w:tab w:val="left" w:pos="477"/>
          <w:tab w:val="left" w:pos="993"/>
          <w:tab w:val="left" w:pos="1134"/>
          <w:tab w:val="left" w:pos="1276"/>
          <w:tab w:val="left" w:pos="1701"/>
          <w:tab w:val="left" w:pos="2552"/>
        </w:tabs>
        <w:ind w:left="709"/>
        <w:rPr>
          <w:bCs/>
        </w:rPr>
      </w:pPr>
    </w:p>
    <w:p w14:paraId="2B586349" w14:textId="0A70715A" w:rsidR="00396DE0" w:rsidRPr="000D07CA" w:rsidRDefault="00396DE0" w:rsidP="00D3042E">
      <w:pPr>
        <w:pStyle w:val="a4"/>
        <w:numPr>
          <w:ilvl w:val="0"/>
          <w:numId w:val="4"/>
        </w:numPr>
        <w:shd w:val="clear" w:color="auto" w:fill="FFFFFF" w:themeFill="background1"/>
        <w:tabs>
          <w:tab w:val="left" w:pos="851"/>
          <w:tab w:val="left" w:pos="1134"/>
          <w:tab w:val="left" w:pos="1418"/>
        </w:tabs>
        <w:ind w:left="0" w:firstLine="567"/>
        <w:rPr>
          <w:iCs/>
        </w:rPr>
      </w:pPr>
      <w:r w:rsidRPr="000D07CA">
        <w:lastRenderedPageBreak/>
        <w:t>декларація схильності до ризиків (</w:t>
      </w:r>
      <w:r w:rsidR="00C977D1" w:rsidRPr="000D07CA">
        <w:rPr>
          <w:shd w:val="clear" w:color="auto" w:fill="FFFFFF"/>
        </w:rPr>
        <w:t xml:space="preserve">англійською мовою </w:t>
      </w:r>
      <w:proofErr w:type="spellStart"/>
      <w:r w:rsidR="00C977D1" w:rsidRPr="00C977D1">
        <w:rPr>
          <w:shd w:val="clear" w:color="auto" w:fill="FFFFFF"/>
        </w:rPr>
        <w:t>Risk</w:t>
      </w:r>
      <w:proofErr w:type="spellEnd"/>
      <w:r w:rsidR="00C977D1" w:rsidRPr="00C977D1">
        <w:rPr>
          <w:shd w:val="clear" w:color="auto" w:fill="FFFFFF"/>
        </w:rPr>
        <w:t xml:space="preserve"> </w:t>
      </w:r>
      <w:proofErr w:type="spellStart"/>
      <w:r w:rsidR="00C977D1" w:rsidRPr="00C977D1">
        <w:rPr>
          <w:shd w:val="clear" w:color="auto" w:fill="FFFFFF"/>
        </w:rPr>
        <w:t>Appetite</w:t>
      </w:r>
      <w:proofErr w:type="spellEnd"/>
      <w:r w:rsidR="00C977D1" w:rsidRPr="00C977D1">
        <w:rPr>
          <w:shd w:val="clear" w:color="auto" w:fill="FFFFFF"/>
        </w:rPr>
        <w:t xml:space="preserve"> </w:t>
      </w:r>
      <w:proofErr w:type="spellStart"/>
      <w:r w:rsidR="00C977D1" w:rsidRPr="00C977D1">
        <w:rPr>
          <w:shd w:val="clear" w:color="auto" w:fill="FFFFFF"/>
        </w:rPr>
        <w:t>Statement</w:t>
      </w:r>
      <w:proofErr w:type="spellEnd"/>
      <w:r w:rsidR="00C977D1">
        <w:rPr>
          <w:shd w:val="clear" w:color="auto" w:fill="FFFFFF"/>
        </w:rPr>
        <w:t>)</w:t>
      </w:r>
      <w:r w:rsidRPr="000D07CA">
        <w:t xml:space="preserve"> </w:t>
      </w:r>
      <w:r w:rsidRPr="000D07CA">
        <w:rPr>
          <w:iCs/>
        </w:rPr>
        <w:t xml:space="preserve">– </w:t>
      </w:r>
      <w:r w:rsidRPr="000D07CA">
        <w:t xml:space="preserve">декларація схильності до ризиків, розроблена згідно з вимогами Положення про організацію системи управління ризиками в банках України та банківських групах, затвердженого постановою Правління Національного банку </w:t>
      </w:r>
      <w:proofErr w:type="spellStart"/>
      <w:r w:rsidR="00FD7D47">
        <w:rPr>
          <w:lang w:val="ru-RU"/>
        </w:rPr>
        <w:t>України</w:t>
      </w:r>
      <w:proofErr w:type="spellEnd"/>
      <w:r w:rsidR="00FD7D47">
        <w:rPr>
          <w:lang w:val="ru-RU"/>
        </w:rPr>
        <w:t xml:space="preserve"> </w:t>
      </w:r>
      <w:r w:rsidRPr="000D07CA">
        <w:t>від 11</w:t>
      </w:r>
      <w:r w:rsidRPr="000D07CA">
        <w:rPr>
          <w:iCs/>
        </w:rPr>
        <w:t> </w:t>
      </w:r>
      <w:r w:rsidRPr="000D07CA">
        <w:t xml:space="preserve"> червня 2018 року №</w:t>
      </w:r>
      <w:r w:rsidRPr="000D07CA">
        <w:rPr>
          <w:iCs/>
        </w:rPr>
        <w:t> </w:t>
      </w:r>
      <w:r w:rsidRPr="000D07CA">
        <w:t>64 (зі змінами) (далі – Положення №</w:t>
      </w:r>
      <w:r w:rsidRPr="000D07CA">
        <w:rPr>
          <w:iCs/>
        </w:rPr>
        <w:t> </w:t>
      </w:r>
      <w:r w:rsidRPr="000D07CA">
        <w:t>64);</w:t>
      </w:r>
    </w:p>
    <w:p w14:paraId="78E5BCDC" w14:textId="77777777" w:rsidR="00396DE0" w:rsidRPr="000D07CA" w:rsidRDefault="00396DE0" w:rsidP="00D3042E">
      <w:pPr>
        <w:shd w:val="clear" w:color="auto" w:fill="FFFFFF" w:themeFill="background1"/>
        <w:tabs>
          <w:tab w:val="left" w:pos="477"/>
          <w:tab w:val="left" w:pos="993"/>
          <w:tab w:val="left" w:pos="1134"/>
          <w:tab w:val="left" w:pos="1276"/>
          <w:tab w:val="left" w:pos="1701"/>
          <w:tab w:val="left" w:pos="2552"/>
        </w:tabs>
        <w:ind w:left="709" w:firstLine="567"/>
        <w:rPr>
          <w:bCs/>
        </w:rPr>
      </w:pPr>
    </w:p>
    <w:p w14:paraId="191D78D2" w14:textId="6A054844" w:rsidR="00396DE0" w:rsidRPr="00BC73FB" w:rsidRDefault="00396DE0" w:rsidP="00D3042E">
      <w:pPr>
        <w:pStyle w:val="a4"/>
        <w:numPr>
          <w:ilvl w:val="0"/>
          <w:numId w:val="5"/>
        </w:numPr>
        <w:shd w:val="clear" w:color="auto" w:fill="FFFFFF" w:themeFill="background1"/>
        <w:tabs>
          <w:tab w:val="left" w:pos="993"/>
          <w:tab w:val="left" w:pos="1134"/>
          <w:tab w:val="left" w:pos="1418"/>
          <w:tab w:val="left" w:pos="2268"/>
        </w:tabs>
        <w:ind w:left="0" w:firstLine="567"/>
        <w:rPr>
          <w:bCs/>
          <w:iCs/>
        </w:rPr>
      </w:pPr>
      <w:r w:rsidRPr="00BC73FB">
        <w:rPr>
          <w:bCs/>
        </w:rPr>
        <w:t>достатність внутрішньої ліквідності</w:t>
      </w:r>
      <w:r w:rsidR="00C977D1" w:rsidRPr="00BC73FB">
        <w:rPr>
          <w:bCs/>
        </w:rPr>
        <w:t xml:space="preserve"> </w:t>
      </w:r>
      <w:r w:rsidRPr="00BC73FB">
        <w:rPr>
          <w:bCs/>
        </w:rPr>
        <w:t xml:space="preserve">за економічною перспективою – обсяг ліквідності, визначений банком, достатній для покриття </w:t>
      </w:r>
      <w:bookmarkStart w:id="12" w:name="_Hlk78129309"/>
      <w:r w:rsidRPr="00BC73FB">
        <w:rPr>
          <w:bCs/>
        </w:rPr>
        <w:t xml:space="preserve">всіх суттєвих ризиків, </w:t>
      </w:r>
      <w:r w:rsidR="008A74DD" w:rsidRPr="00BC73FB">
        <w:rPr>
          <w:bCs/>
        </w:rPr>
        <w:t>пов</w:t>
      </w:r>
      <w:r w:rsidR="008A74DD">
        <w:rPr>
          <w:bCs/>
        </w:rPr>
        <w:t>’</w:t>
      </w:r>
      <w:r w:rsidR="008A74DD" w:rsidRPr="00BC73FB">
        <w:rPr>
          <w:bCs/>
        </w:rPr>
        <w:t xml:space="preserve">язаних </w:t>
      </w:r>
      <w:r w:rsidR="008A74DD">
        <w:rPr>
          <w:bCs/>
        </w:rPr>
        <w:t>і</w:t>
      </w:r>
      <w:r w:rsidRPr="00BC73FB">
        <w:rPr>
          <w:bCs/>
        </w:rPr>
        <w:t>з ліквідністю, притаманних банку</w:t>
      </w:r>
      <w:bookmarkEnd w:id="12"/>
      <w:r w:rsidRPr="00BC73FB">
        <w:rPr>
          <w:bCs/>
        </w:rPr>
        <w:t>;</w:t>
      </w:r>
    </w:p>
    <w:p w14:paraId="43BE4A6A" w14:textId="77777777" w:rsidR="00C977D1" w:rsidRPr="00C977D1" w:rsidRDefault="00C977D1" w:rsidP="00D3042E">
      <w:pPr>
        <w:pStyle w:val="a4"/>
        <w:shd w:val="clear" w:color="auto" w:fill="FFFFFF" w:themeFill="background1"/>
        <w:tabs>
          <w:tab w:val="left" w:pos="993"/>
          <w:tab w:val="left" w:pos="1134"/>
          <w:tab w:val="left" w:pos="1418"/>
          <w:tab w:val="left" w:pos="2268"/>
        </w:tabs>
        <w:ind w:left="709" w:firstLine="567"/>
        <w:rPr>
          <w:bCs/>
          <w:iCs/>
        </w:rPr>
      </w:pPr>
    </w:p>
    <w:p w14:paraId="1AB0D5FA" w14:textId="78FCB9DE" w:rsidR="00396DE0" w:rsidRPr="00C977D1" w:rsidRDefault="00C977D1" w:rsidP="00D3042E">
      <w:pPr>
        <w:pStyle w:val="a4"/>
        <w:numPr>
          <w:ilvl w:val="0"/>
          <w:numId w:val="5"/>
        </w:numPr>
        <w:shd w:val="clear" w:color="auto" w:fill="FFFFFF" w:themeFill="background1"/>
        <w:tabs>
          <w:tab w:val="left" w:pos="993"/>
          <w:tab w:val="left" w:pos="1134"/>
          <w:tab w:val="left" w:pos="1418"/>
          <w:tab w:val="left" w:pos="2268"/>
        </w:tabs>
        <w:ind w:left="0" w:firstLine="567"/>
        <w:rPr>
          <w:bCs/>
          <w:iCs/>
        </w:rPr>
      </w:pPr>
      <w:r w:rsidRPr="00C977D1">
        <w:rPr>
          <w:bCs/>
          <w:iCs/>
        </w:rPr>
        <w:t xml:space="preserve">достатність внутрішньої ліквідності </w:t>
      </w:r>
      <w:r w:rsidR="00396DE0" w:rsidRPr="00C977D1">
        <w:rPr>
          <w:bCs/>
        </w:rPr>
        <w:t xml:space="preserve">за нормативною перспективою – обсяг ліквідності, визначений банком з урахуванням </w:t>
      </w:r>
      <w:r w:rsidR="0035605C">
        <w:rPr>
          <w:bCs/>
        </w:rPr>
        <w:t>у</w:t>
      </w:r>
      <w:r w:rsidR="0035605C" w:rsidRPr="00C977D1">
        <w:rPr>
          <w:bCs/>
        </w:rPr>
        <w:t xml:space="preserve">сіх </w:t>
      </w:r>
      <w:r w:rsidR="00396DE0" w:rsidRPr="00C977D1">
        <w:rPr>
          <w:bCs/>
        </w:rPr>
        <w:t xml:space="preserve">суттєвих ризиків, </w:t>
      </w:r>
      <w:r w:rsidR="0035605C" w:rsidRPr="00C977D1">
        <w:rPr>
          <w:bCs/>
        </w:rPr>
        <w:t>пов</w:t>
      </w:r>
      <w:r w:rsidR="0035605C" w:rsidRPr="00266E51">
        <w:rPr>
          <w:bCs/>
        </w:rPr>
        <w:t>’</w:t>
      </w:r>
      <w:r w:rsidR="0035605C" w:rsidRPr="00C977D1">
        <w:rPr>
          <w:bCs/>
        </w:rPr>
        <w:t xml:space="preserve">язаних </w:t>
      </w:r>
      <w:r w:rsidR="0035605C">
        <w:rPr>
          <w:bCs/>
        </w:rPr>
        <w:t>і</w:t>
      </w:r>
      <w:r w:rsidR="00396DE0" w:rsidRPr="00C977D1">
        <w:rPr>
          <w:bCs/>
        </w:rPr>
        <w:t xml:space="preserve">з ліквідністю, притаманних банку, достатній для </w:t>
      </w:r>
      <w:r w:rsidR="00396DE0" w:rsidRPr="00C977D1">
        <w:rPr>
          <w:iCs/>
        </w:rPr>
        <w:t xml:space="preserve">дотримання встановлених Національним банком </w:t>
      </w:r>
      <w:r w:rsidR="00D4081F">
        <w:rPr>
          <w:iCs/>
        </w:rPr>
        <w:t xml:space="preserve">України (далі – Національний банк) </w:t>
      </w:r>
      <w:r w:rsidR="00396DE0" w:rsidRPr="00C977D1">
        <w:rPr>
          <w:iCs/>
        </w:rPr>
        <w:t xml:space="preserve">вимог щодо достатності ліквідності, </w:t>
      </w:r>
      <w:r w:rsidR="00396DE0" w:rsidRPr="00C977D1">
        <w:rPr>
          <w:iCs/>
          <w:shd w:val="clear" w:color="auto" w:fill="FFFFFF"/>
        </w:rPr>
        <w:t>включаючи підтримання</w:t>
      </w:r>
      <w:r w:rsidR="00396DE0" w:rsidRPr="00C977D1">
        <w:rPr>
          <w:iCs/>
        </w:rPr>
        <w:t xml:space="preserve"> визначеного банком</w:t>
      </w:r>
      <w:r w:rsidR="00396DE0" w:rsidRPr="00C977D1">
        <w:rPr>
          <w:i/>
          <w:iCs/>
        </w:rPr>
        <w:t xml:space="preserve"> </w:t>
      </w:r>
      <w:r w:rsidR="00396DE0" w:rsidRPr="00C977D1">
        <w:rPr>
          <w:iCs/>
        </w:rPr>
        <w:t>управлінського запасу внутрішньої ліквідності</w:t>
      </w:r>
      <w:r w:rsidR="00396DE0" w:rsidRPr="00C977D1">
        <w:rPr>
          <w:bCs/>
        </w:rPr>
        <w:t>;</w:t>
      </w:r>
      <w:bookmarkStart w:id="13" w:name="_Hlk71283941"/>
      <w:bookmarkEnd w:id="13"/>
    </w:p>
    <w:p w14:paraId="0D0D8874" w14:textId="77777777" w:rsidR="00396DE0" w:rsidRPr="000D07CA" w:rsidRDefault="00396DE0" w:rsidP="00D3042E">
      <w:pPr>
        <w:shd w:val="clear" w:color="auto" w:fill="FFFFFF" w:themeFill="background1"/>
        <w:tabs>
          <w:tab w:val="left" w:pos="477"/>
          <w:tab w:val="left" w:pos="993"/>
          <w:tab w:val="left" w:pos="1134"/>
          <w:tab w:val="left" w:pos="1276"/>
          <w:tab w:val="left" w:pos="1701"/>
          <w:tab w:val="left" w:pos="2552"/>
        </w:tabs>
        <w:ind w:left="709" w:firstLine="567"/>
        <w:rPr>
          <w:bCs/>
        </w:rPr>
      </w:pPr>
    </w:p>
    <w:p w14:paraId="5B387932" w14:textId="443497BD" w:rsidR="00396DE0" w:rsidRPr="000D07CA" w:rsidRDefault="00396DE0" w:rsidP="00D3042E">
      <w:pPr>
        <w:pStyle w:val="a4"/>
        <w:numPr>
          <w:ilvl w:val="0"/>
          <w:numId w:val="5"/>
        </w:numPr>
        <w:shd w:val="clear" w:color="auto" w:fill="FFFFFF" w:themeFill="background1"/>
        <w:tabs>
          <w:tab w:val="left" w:pos="0"/>
          <w:tab w:val="left" w:pos="851"/>
          <w:tab w:val="left" w:pos="993"/>
          <w:tab w:val="left" w:pos="1134"/>
          <w:tab w:val="left" w:pos="1276"/>
          <w:tab w:val="left" w:pos="2268"/>
          <w:tab w:val="left" w:pos="2552"/>
        </w:tabs>
        <w:ind w:left="0" w:firstLine="567"/>
        <w:rPr>
          <w:bCs/>
        </w:rPr>
      </w:pPr>
      <w:r w:rsidRPr="000D07CA">
        <w:rPr>
          <w:iCs/>
          <w:shd w:val="clear" w:color="auto" w:fill="FFFFFF"/>
        </w:rPr>
        <w:t>доступна внутрішня ліквідність</w:t>
      </w:r>
      <w:r w:rsidRPr="000D07CA">
        <w:rPr>
          <w:iCs/>
        </w:rPr>
        <w:t xml:space="preserve"> </w:t>
      </w:r>
      <w:r w:rsidRPr="000D07CA">
        <w:rPr>
          <w:bCs/>
        </w:rPr>
        <w:t>за економічною перспективою</w:t>
      </w:r>
      <w:r w:rsidRPr="000D07CA">
        <w:rPr>
          <w:iCs/>
        </w:rPr>
        <w:t xml:space="preserve"> – обсяг ліквідності, визначений банком як</w:t>
      </w:r>
      <w:r w:rsidRPr="000D07CA">
        <w:t xml:space="preserve"> </w:t>
      </w:r>
      <w:r w:rsidRPr="000D07CA">
        <w:rPr>
          <w:iCs/>
          <w:shd w:val="clear" w:color="auto" w:fill="FFFFFF"/>
        </w:rPr>
        <w:t xml:space="preserve">доступний </w:t>
      </w:r>
      <w:r w:rsidRPr="000D07CA">
        <w:rPr>
          <w:iCs/>
        </w:rPr>
        <w:t xml:space="preserve">для покриття всіх суттєвих ризиків, </w:t>
      </w:r>
      <w:r w:rsidRPr="000D07CA">
        <w:rPr>
          <w:bCs/>
        </w:rPr>
        <w:t xml:space="preserve">пов’язаних </w:t>
      </w:r>
      <w:r w:rsidR="008A74DD">
        <w:rPr>
          <w:bCs/>
        </w:rPr>
        <w:t>і</w:t>
      </w:r>
      <w:r w:rsidRPr="000D07CA">
        <w:rPr>
          <w:bCs/>
        </w:rPr>
        <w:t xml:space="preserve">з ліквідністю, </w:t>
      </w:r>
      <w:r w:rsidRPr="000D07CA">
        <w:rPr>
          <w:shd w:val="clear" w:color="auto" w:fill="FFFFFF"/>
        </w:rPr>
        <w:t>очікуваних відпливів грошових коштів</w:t>
      </w:r>
      <w:r w:rsidRPr="000D07CA">
        <w:t xml:space="preserve"> та забезпечення </w:t>
      </w:r>
      <w:bookmarkStart w:id="14" w:name="_Hlk38581703"/>
      <w:bookmarkEnd w:id="14"/>
      <w:r w:rsidRPr="000D07CA">
        <w:t>достатнього фінансування</w:t>
      </w:r>
      <w:r w:rsidRPr="000D07CA">
        <w:rPr>
          <w:iCs/>
        </w:rPr>
        <w:t>;</w:t>
      </w:r>
    </w:p>
    <w:p w14:paraId="208E4FB4" w14:textId="77777777" w:rsidR="00396DE0" w:rsidRPr="000D07CA" w:rsidRDefault="00396DE0" w:rsidP="00D3042E">
      <w:pPr>
        <w:shd w:val="clear" w:color="auto" w:fill="FFFFFF" w:themeFill="background1"/>
        <w:tabs>
          <w:tab w:val="left" w:pos="0"/>
          <w:tab w:val="left" w:pos="851"/>
          <w:tab w:val="left" w:pos="993"/>
          <w:tab w:val="left" w:pos="1134"/>
          <w:tab w:val="left" w:pos="1276"/>
          <w:tab w:val="left" w:pos="1985"/>
          <w:tab w:val="left" w:pos="2268"/>
          <w:tab w:val="left" w:pos="2552"/>
        </w:tabs>
        <w:ind w:firstLine="567"/>
        <w:rPr>
          <w:iCs/>
          <w:highlight w:val="white"/>
        </w:rPr>
      </w:pPr>
    </w:p>
    <w:p w14:paraId="0E946C62" w14:textId="77777777" w:rsidR="00396DE0" w:rsidRPr="000D07CA" w:rsidRDefault="00396DE0" w:rsidP="00D3042E">
      <w:pPr>
        <w:pStyle w:val="a4"/>
        <w:numPr>
          <w:ilvl w:val="0"/>
          <w:numId w:val="5"/>
        </w:numPr>
        <w:shd w:val="clear" w:color="auto" w:fill="FFFFFF" w:themeFill="background1"/>
        <w:tabs>
          <w:tab w:val="left" w:pos="0"/>
          <w:tab w:val="left" w:pos="851"/>
          <w:tab w:val="left" w:pos="993"/>
          <w:tab w:val="left" w:pos="1134"/>
          <w:tab w:val="left" w:pos="1276"/>
          <w:tab w:val="left" w:pos="1985"/>
          <w:tab w:val="left" w:pos="2268"/>
          <w:tab w:val="left" w:pos="2552"/>
        </w:tabs>
        <w:ind w:left="0" w:firstLine="567"/>
        <w:rPr>
          <w:bCs/>
        </w:rPr>
      </w:pPr>
      <w:r w:rsidRPr="000D07CA">
        <w:rPr>
          <w:iCs/>
          <w:shd w:val="clear" w:color="auto" w:fill="FFFFFF"/>
        </w:rPr>
        <w:t>доступна внутрішня ліквідність</w:t>
      </w:r>
      <w:r w:rsidRPr="000D07CA">
        <w:rPr>
          <w:iCs/>
        </w:rPr>
        <w:t xml:space="preserve"> </w:t>
      </w:r>
      <w:r w:rsidRPr="000D07CA">
        <w:rPr>
          <w:bCs/>
        </w:rPr>
        <w:t>за нормативною перспективою</w:t>
      </w:r>
      <w:r w:rsidRPr="000D07CA">
        <w:rPr>
          <w:iCs/>
        </w:rPr>
        <w:t xml:space="preserve"> – обсяг ліквідності, визначений банком як </w:t>
      </w:r>
      <w:r w:rsidRPr="000D07CA">
        <w:rPr>
          <w:iCs/>
          <w:shd w:val="clear" w:color="auto" w:fill="FFFFFF"/>
        </w:rPr>
        <w:t xml:space="preserve">доступний </w:t>
      </w:r>
      <w:r w:rsidRPr="000D07CA">
        <w:rPr>
          <w:iCs/>
        </w:rPr>
        <w:t>для дотримання встановлених Національним банком вимог щодо достатності ліквідності, включаючи</w:t>
      </w:r>
      <w:r w:rsidRPr="000D07CA">
        <w:rPr>
          <w:iCs/>
          <w:shd w:val="clear" w:color="auto" w:fill="FFFFFF"/>
        </w:rPr>
        <w:t xml:space="preserve"> підтримання</w:t>
      </w:r>
      <w:r w:rsidRPr="000D07CA">
        <w:rPr>
          <w:iCs/>
        </w:rPr>
        <w:t xml:space="preserve"> визначеного банком управлінського запасу внутрішньої ліквідності;</w:t>
      </w:r>
      <w:bookmarkStart w:id="15" w:name="_Hlk88991813"/>
      <w:bookmarkEnd w:id="15"/>
    </w:p>
    <w:p w14:paraId="6F0EA3B8" w14:textId="77777777" w:rsidR="00396DE0" w:rsidRPr="000D07CA" w:rsidRDefault="00396DE0" w:rsidP="00D3042E">
      <w:pPr>
        <w:shd w:val="clear" w:color="auto" w:fill="FFFFFF" w:themeFill="background1"/>
        <w:tabs>
          <w:tab w:val="left" w:pos="477"/>
          <w:tab w:val="left" w:pos="709"/>
          <w:tab w:val="left" w:pos="1134"/>
        </w:tabs>
        <w:ind w:firstLine="567"/>
      </w:pPr>
    </w:p>
    <w:p w14:paraId="4F150B0B" w14:textId="1FAB688C" w:rsidR="0023398D" w:rsidRPr="00DA7C95" w:rsidRDefault="00396DE0" w:rsidP="00D3042E">
      <w:pPr>
        <w:pStyle w:val="a4"/>
        <w:numPr>
          <w:ilvl w:val="0"/>
          <w:numId w:val="28"/>
        </w:numPr>
        <w:shd w:val="clear" w:color="auto" w:fill="FFFFFF" w:themeFill="background1"/>
        <w:tabs>
          <w:tab w:val="left" w:pos="0"/>
          <w:tab w:val="left" w:pos="284"/>
          <w:tab w:val="left" w:pos="993"/>
        </w:tabs>
        <w:ind w:left="0" w:firstLine="567"/>
      </w:pPr>
      <w:r w:rsidRPr="000D07CA">
        <w:t xml:space="preserve">Інструкція № 368 – Інструкція про порядок регулювання діяльності </w:t>
      </w:r>
      <w:r w:rsidRPr="00DA7C95">
        <w:t xml:space="preserve">банків в Україні, затверджена постановою Правління Національного банку </w:t>
      </w:r>
      <w:r w:rsidR="00F63626">
        <w:t xml:space="preserve">України </w:t>
      </w:r>
      <w:r w:rsidRPr="00DA7C95">
        <w:t>від 28  серпня 2001 року № 368, зареєстрована в Міністерстві юстиції України 26  вересня 2001 року за № 841/6032 (зі змінами);</w:t>
      </w:r>
    </w:p>
    <w:p w14:paraId="669ECEEC" w14:textId="77777777" w:rsidR="001A03FD" w:rsidRPr="00DA7C95" w:rsidRDefault="001A03FD" w:rsidP="00D3042E">
      <w:pPr>
        <w:pStyle w:val="a4"/>
        <w:shd w:val="clear" w:color="auto" w:fill="FFFFFF" w:themeFill="background1"/>
        <w:tabs>
          <w:tab w:val="left" w:pos="0"/>
          <w:tab w:val="left" w:pos="284"/>
          <w:tab w:val="left" w:pos="993"/>
        </w:tabs>
        <w:ind w:left="709" w:firstLine="567"/>
      </w:pPr>
    </w:p>
    <w:p w14:paraId="1CBADCCD" w14:textId="6600CAB7" w:rsidR="00396DE0" w:rsidRPr="003B5E30" w:rsidRDefault="0023398D" w:rsidP="00D3042E">
      <w:pPr>
        <w:pStyle w:val="a4"/>
        <w:numPr>
          <w:ilvl w:val="0"/>
          <w:numId w:val="28"/>
        </w:numPr>
        <w:shd w:val="clear" w:color="auto" w:fill="FFFFFF" w:themeFill="background1"/>
        <w:tabs>
          <w:tab w:val="left" w:pos="1134"/>
          <w:tab w:val="left" w:pos="1418"/>
        </w:tabs>
        <w:ind w:left="0" w:firstLine="567"/>
      </w:pPr>
      <w:r w:rsidRPr="003B5E30">
        <w:t>методика розрахунку коефіцієнта покриття ліквідністю (LCR)</w:t>
      </w:r>
      <w:r w:rsidR="001A03FD" w:rsidRPr="003B5E30">
        <w:t xml:space="preserve"> –</w:t>
      </w:r>
      <w:r w:rsidR="00FD7D47">
        <w:t xml:space="preserve"> </w:t>
      </w:r>
      <w:r w:rsidR="008437BC">
        <w:t xml:space="preserve">вимоги </w:t>
      </w:r>
      <w:r w:rsidR="001A03FD" w:rsidRPr="003B5E30">
        <w:t xml:space="preserve">до розрахунку коефіцієнта покриття ліквідністю (LCR), </w:t>
      </w:r>
      <w:r w:rsidR="0035605C">
        <w:t>у</w:t>
      </w:r>
      <w:r w:rsidR="0035605C" w:rsidRPr="003B5E30">
        <w:t xml:space="preserve">становлені </w:t>
      </w:r>
      <w:r w:rsidR="001A03FD" w:rsidRPr="003B5E30">
        <w:t>для банків</w:t>
      </w:r>
      <w:r w:rsidR="0035605C">
        <w:t> </w:t>
      </w:r>
      <w:r w:rsidR="001A03FD" w:rsidRPr="003B5E30">
        <w:t>/</w:t>
      </w:r>
      <w:r w:rsidR="0035605C">
        <w:t> </w:t>
      </w:r>
      <w:r w:rsidR="001A03FD" w:rsidRPr="003B5E30">
        <w:t>банківських груп Інструкцією №</w:t>
      </w:r>
      <w:r w:rsidR="00275D94" w:rsidRPr="003B5E30">
        <w:t> </w:t>
      </w:r>
      <w:r w:rsidR="00311853">
        <w:t xml:space="preserve">368, </w:t>
      </w:r>
      <w:r w:rsidR="001A03FD" w:rsidRPr="003B5E30">
        <w:t xml:space="preserve">Положенням про порядок регулювання діяльності банківських груп, затвердженим постановою Правління Національного банку України від 20 червня 2012 року № 254, зареєстрованим у Міністерстві юстиції України 12 липня 2012 року за № 1178/21490 (зі змінами) (далі </w:t>
      </w:r>
      <w:r w:rsidR="0035605C">
        <w:t>–</w:t>
      </w:r>
      <w:r w:rsidR="001A03FD" w:rsidRPr="003B5E30">
        <w:t xml:space="preserve"> Положення № 254);</w:t>
      </w:r>
    </w:p>
    <w:p w14:paraId="47B56390" w14:textId="77777777" w:rsidR="00396DE0" w:rsidRPr="003B5E30" w:rsidRDefault="00396DE0" w:rsidP="00BC73FB">
      <w:pPr>
        <w:shd w:val="clear" w:color="auto" w:fill="FFFFFF" w:themeFill="background1"/>
        <w:tabs>
          <w:tab w:val="left" w:pos="1134"/>
          <w:tab w:val="left" w:pos="1418"/>
        </w:tabs>
        <w:ind w:firstLine="709"/>
      </w:pPr>
    </w:p>
    <w:p w14:paraId="14B962E8" w14:textId="0BCFCB8D" w:rsidR="00396DE0" w:rsidRPr="003B5E30" w:rsidRDefault="00BC73FB" w:rsidP="00D3042E">
      <w:pPr>
        <w:pStyle w:val="a4"/>
        <w:numPr>
          <w:ilvl w:val="0"/>
          <w:numId w:val="28"/>
        </w:numPr>
        <w:shd w:val="clear" w:color="auto" w:fill="FFFFFF" w:themeFill="background1"/>
        <w:tabs>
          <w:tab w:val="left" w:pos="477"/>
          <w:tab w:val="left" w:pos="1134"/>
        </w:tabs>
        <w:ind w:left="0" w:firstLine="567"/>
      </w:pPr>
      <w:r w:rsidRPr="003B5E30">
        <w:t xml:space="preserve">методика розрахунку коефіцієнта чистого стабільного фінансування (NSFR) </w:t>
      </w:r>
      <w:r w:rsidR="00396DE0" w:rsidRPr="003B5E30">
        <w:t>–</w:t>
      </w:r>
      <w:r w:rsidR="008437BC" w:rsidRPr="008437BC">
        <w:t xml:space="preserve"> </w:t>
      </w:r>
      <w:r w:rsidR="008437BC">
        <w:t xml:space="preserve">вимоги </w:t>
      </w:r>
      <w:r w:rsidRPr="003B5E30">
        <w:t xml:space="preserve">до розрахунку коефіцієнта чистого стабільного фінансування </w:t>
      </w:r>
      <w:r w:rsidR="00311853">
        <w:lastRenderedPageBreak/>
        <w:t xml:space="preserve">(NSFR), </w:t>
      </w:r>
      <w:r w:rsidR="0035605C">
        <w:t xml:space="preserve">установлені </w:t>
      </w:r>
      <w:r w:rsidR="00311853">
        <w:t>для банків</w:t>
      </w:r>
      <w:r w:rsidR="0035605C">
        <w:t> </w:t>
      </w:r>
      <w:r w:rsidR="00311853" w:rsidRPr="00311853">
        <w:t>/</w:t>
      </w:r>
      <w:r w:rsidR="0035605C">
        <w:t> </w:t>
      </w:r>
      <w:r w:rsidRPr="003B5E30">
        <w:t>банківських груп Інструкцією №</w:t>
      </w:r>
      <w:r w:rsidR="00275D94" w:rsidRPr="003B5E30">
        <w:rPr>
          <w:lang w:val="en-US"/>
        </w:rPr>
        <w:t> </w:t>
      </w:r>
      <w:r w:rsidR="00311853">
        <w:t xml:space="preserve">368, </w:t>
      </w:r>
      <w:r w:rsidRPr="003B5E30">
        <w:t>Положенням № 254</w:t>
      </w:r>
      <w:r w:rsidR="00396DE0" w:rsidRPr="003B5E30">
        <w:t>;</w:t>
      </w:r>
    </w:p>
    <w:p w14:paraId="27141EB9" w14:textId="77777777" w:rsidR="00396DE0" w:rsidRPr="003B5E30" w:rsidRDefault="00396DE0" w:rsidP="00D3042E">
      <w:pPr>
        <w:shd w:val="clear" w:color="auto" w:fill="FFFFFF" w:themeFill="background1"/>
        <w:tabs>
          <w:tab w:val="left" w:pos="477"/>
          <w:tab w:val="left" w:pos="1134"/>
          <w:tab w:val="left" w:pos="1276"/>
        </w:tabs>
        <w:ind w:firstLine="567"/>
        <w:rPr>
          <w:strike/>
        </w:rPr>
      </w:pPr>
    </w:p>
    <w:p w14:paraId="49EB5AC6" w14:textId="0EFA23F7" w:rsidR="00396DE0" w:rsidRPr="003B5E30" w:rsidRDefault="00396DE0" w:rsidP="00D3042E">
      <w:pPr>
        <w:pStyle w:val="a4"/>
        <w:numPr>
          <w:ilvl w:val="0"/>
          <w:numId w:val="28"/>
        </w:numPr>
        <w:shd w:val="clear" w:color="auto" w:fill="FFFFFF" w:themeFill="background1"/>
        <w:tabs>
          <w:tab w:val="left" w:pos="1134"/>
        </w:tabs>
        <w:ind w:left="0" w:firstLine="567"/>
      </w:pPr>
      <w:r w:rsidRPr="003B5E30">
        <w:t xml:space="preserve">мінімальні значення нормативів ліквідності – нормативні значення </w:t>
      </w:r>
      <w:r w:rsidRPr="003B5E30">
        <w:rPr>
          <w:shd w:val="clear" w:color="auto" w:fill="FFFFFF"/>
        </w:rPr>
        <w:t xml:space="preserve">нормативів ліквідності, </w:t>
      </w:r>
      <w:r w:rsidR="0035605C">
        <w:t>у</w:t>
      </w:r>
      <w:r w:rsidR="0035605C" w:rsidRPr="003B5E30">
        <w:t xml:space="preserve">становлені </w:t>
      </w:r>
      <w:r w:rsidRPr="003B5E30">
        <w:rPr>
          <w:iCs/>
        </w:rPr>
        <w:t>Інструкцією № 368</w:t>
      </w:r>
      <w:r w:rsidR="0035605C">
        <w:rPr>
          <w:iCs/>
        </w:rPr>
        <w:t> </w:t>
      </w:r>
      <w:r w:rsidRPr="003B5E30">
        <w:rPr>
          <w:iCs/>
        </w:rPr>
        <w:t>/</w:t>
      </w:r>
      <w:r w:rsidR="0035605C">
        <w:rPr>
          <w:iCs/>
          <w:lang w:val="en-US"/>
        </w:rPr>
        <w:t> </w:t>
      </w:r>
      <w:r w:rsidRPr="003B5E30">
        <w:rPr>
          <w:bCs/>
        </w:rPr>
        <w:t>Положенням № 254</w:t>
      </w:r>
      <w:r w:rsidRPr="003B5E30">
        <w:t>;</w:t>
      </w:r>
    </w:p>
    <w:p w14:paraId="65064747" w14:textId="77777777" w:rsidR="00396DE0" w:rsidRPr="00DA7C95" w:rsidRDefault="00396DE0" w:rsidP="00D3042E">
      <w:pPr>
        <w:pStyle w:val="a4"/>
        <w:shd w:val="clear" w:color="auto" w:fill="FFFFFF" w:themeFill="background1"/>
        <w:ind w:firstLine="567"/>
      </w:pPr>
    </w:p>
    <w:p w14:paraId="3CE95778" w14:textId="4074D26B" w:rsidR="00396DE0" w:rsidRPr="00DA7C95" w:rsidRDefault="00396DE0" w:rsidP="00D3042E">
      <w:pPr>
        <w:pStyle w:val="a4"/>
        <w:numPr>
          <w:ilvl w:val="0"/>
          <w:numId w:val="28"/>
        </w:numPr>
        <w:shd w:val="clear" w:color="auto" w:fill="FFFFFF" w:themeFill="background1"/>
        <w:tabs>
          <w:tab w:val="left" w:pos="993"/>
          <w:tab w:val="left" w:pos="1134"/>
        </w:tabs>
        <w:ind w:left="0" w:firstLine="567"/>
      </w:pPr>
      <w:r w:rsidRPr="00DA7C95">
        <w:rPr>
          <w:iCs/>
        </w:rPr>
        <w:t xml:space="preserve">необхідна внутрішня ліквідність за економічною перспективою (економічна ліквідність) – обсяг ліквідності, визначений банком як необхідний для покриття всіх суттєвих ризиків, </w:t>
      </w:r>
      <w:r w:rsidRPr="00DA7C95">
        <w:rPr>
          <w:bCs/>
        </w:rPr>
        <w:t xml:space="preserve">пов’язаних </w:t>
      </w:r>
      <w:r w:rsidR="0035605C">
        <w:rPr>
          <w:bCs/>
        </w:rPr>
        <w:t>і</w:t>
      </w:r>
      <w:r w:rsidRPr="00DA7C95">
        <w:rPr>
          <w:bCs/>
        </w:rPr>
        <w:t xml:space="preserve">з ліквідністю, </w:t>
      </w:r>
      <w:r w:rsidRPr="00DA7C95">
        <w:rPr>
          <w:shd w:val="clear" w:color="auto" w:fill="FFFFFF"/>
        </w:rPr>
        <w:t>очікуваних відпливів грошових коштів</w:t>
      </w:r>
      <w:r w:rsidRPr="00DA7C95">
        <w:t xml:space="preserve"> та забезпечення достатнього фінансування;</w:t>
      </w:r>
    </w:p>
    <w:p w14:paraId="5ECD66EA" w14:textId="77777777" w:rsidR="00396DE0" w:rsidRPr="00DA7C95" w:rsidRDefault="00396DE0" w:rsidP="00D3042E">
      <w:pPr>
        <w:pStyle w:val="a4"/>
        <w:shd w:val="clear" w:color="auto" w:fill="FFFFFF" w:themeFill="background1"/>
        <w:ind w:firstLine="567"/>
      </w:pPr>
    </w:p>
    <w:p w14:paraId="08F2146D" w14:textId="77777777" w:rsidR="00396DE0" w:rsidRPr="00DA7C95" w:rsidRDefault="00396DE0" w:rsidP="00D3042E">
      <w:pPr>
        <w:pStyle w:val="a4"/>
        <w:numPr>
          <w:ilvl w:val="0"/>
          <w:numId w:val="28"/>
        </w:numPr>
        <w:shd w:val="clear" w:color="auto" w:fill="FFFFFF" w:themeFill="background1"/>
        <w:tabs>
          <w:tab w:val="left" w:pos="993"/>
          <w:tab w:val="left" w:pos="1134"/>
        </w:tabs>
        <w:ind w:left="0" w:firstLine="567"/>
        <w:rPr>
          <w:iCs/>
        </w:rPr>
      </w:pPr>
      <w:r w:rsidRPr="00DA7C95">
        <w:rPr>
          <w:iCs/>
        </w:rPr>
        <w:t>необхідна внутрішня ліквідність за нормативною перспективою (нормативна ліквідність) – обсяг ліквідності, визначений банком як необхідний для дотримання встановлених Національним банком вимог щодо достатності ліквідності, включаючи підтримання визначеного банком управлінського запасу внутрішньої ліквідності;</w:t>
      </w:r>
    </w:p>
    <w:p w14:paraId="4A063EE9" w14:textId="77777777" w:rsidR="00396DE0" w:rsidRPr="00DA7C95" w:rsidRDefault="00396DE0" w:rsidP="00D3042E">
      <w:pPr>
        <w:pStyle w:val="a4"/>
        <w:shd w:val="clear" w:color="auto" w:fill="FFFFFF" w:themeFill="background1"/>
        <w:ind w:firstLine="567"/>
        <w:rPr>
          <w:iCs/>
        </w:rPr>
      </w:pPr>
    </w:p>
    <w:p w14:paraId="6CA85C04" w14:textId="7C2FA082" w:rsidR="00396DE0" w:rsidRPr="00DA7C95" w:rsidRDefault="00396DE0" w:rsidP="00D3042E">
      <w:pPr>
        <w:pStyle w:val="afb"/>
        <w:numPr>
          <w:ilvl w:val="0"/>
          <w:numId w:val="28"/>
        </w:numPr>
        <w:shd w:val="clear" w:color="auto" w:fill="FFFFFF" w:themeFill="background1"/>
        <w:tabs>
          <w:tab w:val="clear" w:pos="1283"/>
          <w:tab w:val="left" w:pos="709"/>
          <w:tab w:val="left" w:pos="1134"/>
          <w:tab w:val="left" w:pos="1276"/>
          <w:tab w:val="num" w:pos="1418"/>
        </w:tabs>
        <w:spacing w:beforeAutospacing="0" w:afterAutospacing="0"/>
        <w:ind w:left="0" w:firstLine="567"/>
        <w:jc w:val="both"/>
        <w:rPr>
          <w:sz w:val="28"/>
          <w:szCs w:val="28"/>
        </w:rPr>
      </w:pPr>
      <w:r w:rsidRPr="00DA7C95">
        <w:rPr>
          <w:sz w:val="28"/>
          <w:szCs w:val="28"/>
        </w:rPr>
        <w:t xml:space="preserve">несприятливий сценарій – </w:t>
      </w:r>
      <w:r w:rsidRPr="00DA7C95">
        <w:rPr>
          <w:iCs/>
          <w:sz w:val="28"/>
          <w:szCs w:val="28"/>
        </w:rPr>
        <w:t>комбінація припущень щодо несприятливих змін у внутрішніх та зовнішніх факторах (включаючи макроекономічні зміни), несприятливих для банку</w:t>
      </w:r>
      <w:r w:rsidR="005F508A">
        <w:rPr>
          <w:iCs/>
          <w:sz w:val="28"/>
          <w:szCs w:val="28"/>
        </w:rPr>
        <w:t> </w:t>
      </w:r>
      <w:r w:rsidRPr="00DA7C95">
        <w:rPr>
          <w:iCs/>
          <w:sz w:val="28"/>
          <w:szCs w:val="28"/>
        </w:rPr>
        <w:t>/</w:t>
      </w:r>
      <w:r w:rsidR="005F508A">
        <w:rPr>
          <w:iCs/>
          <w:sz w:val="28"/>
          <w:szCs w:val="28"/>
        </w:rPr>
        <w:t> </w:t>
      </w:r>
      <w:r w:rsidRPr="00DA7C95">
        <w:rPr>
          <w:iCs/>
          <w:sz w:val="28"/>
          <w:szCs w:val="28"/>
        </w:rPr>
        <w:t xml:space="preserve">банківської групи, але разом </w:t>
      </w:r>
      <w:r w:rsidR="005F508A">
        <w:rPr>
          <w:iCs/>
          <w:sz w:val="28"/>
          <w:szCs w:val="28"/>
        </w:rPr>
        <w:t>і</w:t>
      </w:r>
      <w:r w:rsidRPr="00DA7C95">
        <w:rPr>
          <w:iCs/>
          <w:sz w:val="28"/>
          <w:szCs w:val="28"/>
        </w:rPr>
        <w:t xml:space="preserve">з тим імовірних та реалістичних подій, що можуть призвести до втрати </w:t>
      </w:r>
      <w:r w:rsidRPr="00DA7C95">
        <w:rPr>
          <w:sz w:val="28"/>
          <w:szCs w:val="28"/>
        </w:rPr>
        <w:t>ліквідності;</w:t>
      </w:r>
    </w:p>
    <w:p w14:paraId="11DEEA76" w14:textId="77777777" w:rsidR="00396DE0" w:rsidRPr="00DA7C95" w:rsidRDefault="00396DE0" w:rsidP="00D3042E">
      <w:pPr>
        <w:pStyle w:val="afb"/>
        <w:shd w:val="clear" w:color="auto" w:fill="FFFFFF" w:themeFill="background1"/>
        <w:tabs>
          <w:tab w:val="left" w:pos="709"/>
          <w:tab w:val="left" w:pos="851"/>
        </w:tabs>
        <w:spacing w:beforeAutospacing="0" w:afterAutospacing="0"/>
        <w:ind w:firstLine="567"/>
        <w:jc w:val="both"/>
        <w:rPr>
          <w:sz w:val="28"/>
          <w:szCs w:val="28"/>
        </w:rPr>
      </w:pPr>
    </w:p>
    <w:p w14:paraId="2FD55EA6" w14:textId="09FF6ECF" w:rsidR="00396DE0" w:rsidRPr="00DA7C95" w:rsidRDefault="00396DE0" w:rsidP="00D3042E">
      <w:pPr>
        <w:pStyle w:val="a4"/>
        <w:numPr>
          <w:ilvl w:val="0"/>
          <w:numId w:val="28"/>
        </w:numPr>
        <w:shd w:val="clear" w:color="auto" w:fill="FFFFFF" w:themeFill="background1"/>
        <w:tabs>
          <w:tab w:val="left" w:pos="709"/>
          <w:tab w:val="left" w:pos="1134"/>
        </w:tabs>
        <w:ind w:left="0" w:firstLine="567"/>
      </w:pPr>
      <w:r w:rsidRPr="00DA7C95">
        <w:rPr>
          <w:rFonts w:eastAsiaTheme="minorHAnsi"/>
        </w:rPr>
        <w:t>оцінка SREP</w:t>
      </w:r>
      <w:r w:rsidR="0049609E" w:rsidRPr="00DA7C95">
        <w:rPr>
          <w:rFonts w:eastAsiaTheme="minorHAnsi"/>
        </w:rPr>
        <w:t xml:space="preserve"> </w:t>
      </w:r>
      <w:r w:rsidR="0049609E" w:rsidRPr="00DA7C95">
        <w:rPr>
          <w:shd w:val="clear" w:color="auto" w:fill="FFFFFF"/>
        </w:rPr>
        <w:t xml:space="preserve">(англійською мовою </w:t>
      </w:r>
      <w:r w:rsidR="0049609E" w:rsidRPr="00DA7C95">
        <w:rPr>
          <w:lang w:val="en-US"/>
        </w:rPr>
        <w:t>Supervisory</w:t>
      </w:r>
      <w:r w:rsidR="0049609E" w:rsidRPr="00DA7C95">
        <w:t xml:space="preserve"> </w:t>
      </w:r>
      <w:r w:rsidR="0049609E" w:rsidRPr="00DA7C95">
        <w:rPr>
          <w:lang w:val="en-US"/>
        </w:rPr>
        <w:t>Review</w:t>
      </w:r>
      <w:r w:rsidR="0049609E" w:rsidRPr="00DA7C95">
        <w:t xml:space="preserve"> </w:t>
      </w:r>
      <w:r w:rsidR="0049609E" w:rsidRPr="00DA7C95">
        <w:rPr>
          <w:lang w:val="en-US"/>
        </w:rPr>
        <w:t>and</w:t>
      </w:r>
      <w:r w:rsidR="0049609E" w:rsidRPr="00DA7C95">
        <w:t xml:space="preserve"> </w:t>
      </w:r>
      <w:r w:rsidR="0049609E" w:rsidRPr="00DA7C95">
        <w:rPr>
          <w:lang w:val="en-US"/>
        </w:rPr>
        <w:t>Evaluation</w:t>
      </w:r>
      <w:r w:rsidR="0049609E" w:rsidRPr="00DA7C95">
        <w:t xml:space="preserve"> </w:t>
      </w:r>
      <w:r w:rsidR="0049609E" w:rsidRPr="00DA7C95">
        <w:rPr>
          <w:lang w:val="en-US"/>
        </w:rPr>
        <w:t>Process</w:t>
      </w:r>
      <w:r w:rsidR="0049609E" w:rsidRPr="00DA7C95">
        <w:rPr>
          <w:shd w:val="clear" w:color="auto" w:fill="FFFFFF"/>
        </w:rPr>
        <w:t>)</w:t>
      </w:r>
      <w:r w:rsidRPr="00DA7C95">
        <w:rPr>
          <w:rFonts w:eastAsiaTheme="minorHAnsi"/>
        </w:rPr>
        <w:t xml:space="preserve"> – </w:t>
      </w:r>
      <w:r w:rsidRPr="00DA7C95">
        <w:t>оцінка банку</w:t>
      </w:r>
      <w:r w:rsidRPr="00DA7C95">
        <w:rPr>
          <w:rFonts w:eastAsiaTheme="minorHAnsi"/>
        </w:rPr>
        <w:t>,</w:t>
      </w:r>
      <w:r w:rsidRPr="00DA7C95">
        <w:t xml:space="preserve"> проведена Національним банком під час банківського нагляду в порядку та спосіб, визначені Національним банком;</w:t>
      </w:r>
    </w:p>
    <w:p w14:paraId="279CDF79" w14:textId="77777777" w:rsidR="00396DE0" w:rsidRPr="00DA7C95" w:rsidRDefault="00396DE0" w:rsidP="00D3042E">
      <w:pPr>
        <w:shd w:val="clear" w:color="auto" w:fill="FFFFFF" w:themeFill="background1"/>
        <w:tabs>
          <w:tab w:val="left" w:pos="709"/>
          <w:tab w:val="left" w:pos="1134"/>
        </w:tabs>
        <w:ind w:firstLine="567"/>
      </w:pPr>
    </w:p>
    <w:p w14:paraId="4835DE47" w14:textId="5DCBCDD2" w:rsidR="00396DE0" w:rsidRPr="00DA7C95" w:rsidRDefault="00396DE0" w:rsidP="00D3042E">
      <w:pPr>
        <w:numPr>
          <w:ilvl w:val="0"/>
          <w:numId w:val="28"/>
        </w:numPr>
        <w:shd w:val="clear" w:color="auto" w:fill="FFFFFF" w:themeFill="background1"/>
        <w:tabs>
          <w:tab w:val="left" w:pos="1134"/>
        </w:tabs>
        <w:ind w:left="0" w:firstLine="567"/>
      </w:pPr>
      <w:r w:rsidRPr="00DA7C95">
        <w:t xml:space="preserve">підвищені значення нормативів ліквідності – значення нормативів ліквідності, </w:t>
      </w:r>
      <w:r w:rsidR="005F508A">
        <w:t>у</w:t>
      </w:r>
      <w:r w:rsidR="005F508A" w:rsidRPr="00DA7C95">
        <w:t xml:space="preserve">становлені </w:t>
      </w:r>
      <w:r w:rsidRPr="00DA7C95">
        <w:t>банку Національним банком за результатами оцінки SREP;</w:t>
      </w:r>
    </w:p>
    <w:p w14:paraId="559D21E8" w14:textId="77777777" w:rsidR="00396DE0" w:rsidRPr="00DA7C95" w:rsidRDefault="00396DE0" w:rsidP="00D3042E">
      <w:pPr>
        <w:shd w:val="clear" w:color="auto" w:fill="FFFFFF" w:themeFill="background1"/>
        <w:tabs>
          <w:tab w:val="left" w:pos="709"/>
          <w:tab w:val="left" w:pos="1134"/>
        </w:tabs>
        <w:ind w:firstLine="567"/>
      </w:pPr>
    </w:p>
    <w:p w14:paraId="082AB280" w14:textId="267E9FAA" w:rsidR="00396DE0" w:rsidRPr="00DA7C95" w:rsidRDefault="00396DE0" w:rsidP="00D3042E">
      <w:pPr>
        <w:pStyle w:val="a4"/>
        <w:numPr>
          <w:ilvl w:val="0"/>
          <w:numId w:val="28"/>
        </w:numPr>
        <w:shd w:val="clear" w:color="auto" w:fill="FFFFFF" w:themeFill="background1"/>
        <w:tabs>
          <w:tab w:val="left" w:pos="1134"/>
          <w:tab w:val="left" w:pos="1843"/>
          <w:tab w:val="left" w:pos="2127"/>
        </w:tabs>
        <w:ind w:left="0" w:firstLine="567"/>
      </w:pPr>
      <w:r w:rsidRPr="00DA7C95">
        <w:t xml:space="preserve">план відновлення діяльності – план відновлення діяльності банку, розроблений згідно з Положенням </w:t>
      </w:r>
      <w:r w:rsidRPr="00DA7C95">
        <w:rPr>
          <w:iCs/>
        </w:rPr>
        <w:t xml:space="preserve">про плани відновлення діяльності банків України та банківських груп, затвердженим постановою Правління Національного банку </w:t>
      </w:r>
      <w:r w:rsidR="00F63626">
        <w:rPr>
          <w:iCs/>
        </w:rPr>
        <w:t xml:space="preserve">України </w:t>
      </w:r>
      <w:r w:rsidRPr="00DA7C95">
        <w:rPr>
          <w:iCs/>
        </w:rPr>
        <w:t>від 18 липня 2019 року № 95 (зі змінами);</w:t>
      </w:r>
    </w:p>
    <w:p w14:paraId="690E9D95" w14:textId="77777777" w:rsidR="00396DE0" w:rsidRPr="00DA7C95" w:rsidRDefault="00396DE0" w:rsidP="00D3042E">
      <w:pPr>
        <w:shd w:val="clear" w:color="auto" w:fill="FFFFFF" w:themeFill="background1"/>
        <w:tabs>
          <w:tab w:val="left" w:pos="709"/>
          <w:tab w:val="left" w:pos="1134"/>
        </w:tabs>
        <w:ind w:firstLine="567"/>
      </w:pPr>
    </w:p>
    <w:p w14:paraId="70C04919" w14:textId="77777777" w:rsidR="00396DE0" w:rsidRPr="00DA7C95" w:rsidRDefault="00396DE0" w:rsidP="00D3042E">
      <w:pPr>
        <w:pStyle w:val="a4"/>
        <w:numPr>
          <w:ilvl w:val="0"/>
          <w:numId w:val="28"/>
        </w:numPr>
        <w:shd w:val="clear" w:color="auto" w:fill="FFFFFF" w:themeFill="background1"/>
        <w:tabs>
          <w:tab w:val="left" w:pos="1134"/>
          <w:tab w:val="left" w:pos="1418"/>
          <w:tab w:val="left" w:pos="2410"/>
        </w:tabs>
        <w:ind w:left="0" w:firstLine="567"/>
      </w:pPr>
      <w:r w:rsidRPr="00DA7C95">
        <w:rPr>
          <w:shd w:val="clear" w:color="auto" w:fill="FFFFFF"/>
        </w:rPr>
        <w:t>план підтримання достатності</w:t>
      </w:r>
      <w:r w:rsidRPr="00DA7C95">
        <w:t xml:space="preserve"> ліквідності</w:t>
      </w:r>
      <w:r w:rsidRPr="00DA7C95">
        <w:rPr>
          <w:iCs/>
        </w:rPr>
        <w:t xml:space="preserve"> </w:t>
      </w:r>
      <w:r w:rsidRPr="00DA7C95">
        <w:t xml:space="preserve">– план </w:t>
      </w:r>
      <w:r w:rsidRPr="00DA7C95">
        <w:rPr>
          <w:shd w:val="clear" w:color="auto" w:fill="FFFFFF"/>
        </w:rPr>
        <w:t>підтримання достатності</w:t>
      </w:r>
      <w:r w:rsidRPr="00DA7C95">
        <w:t xml:space="preserve"> ліквідності банку, розроблений за результатами оцінки достатності внутрішньої ліквідності за нормативною перспективою згідно з вимогами цього Положення;</w:t>
      </w:r>
    </w:p>
    <w:p w14:paraId="1BC13A79" w14:textId="77777777" w:rsidR="00396DE0" w:rsidRPr="00DA7C95" w:rsidRDefault="00396DE0" w:rsidP="00396DE0">
      <w:pPr>
        <w:pStyle w:val="afb"/>
        <w:shd w:val="clear" w:color="auto" w:fill="FFFFFF" w:themeFill="background1"/>
        <w:tabs>
          <w:tab w:val="left" w:pos="284"/>
          <w:tab w:val="left" w:pos="709"/>
          <w:tab w:val="left" w:pos="1418"/>
          <w:tab w:val="left" w:pos="1843"/>
        </w:tabs>
        <w:spacing w:beforeAutospacing="0" w:afterAutospacing="0"/>
        <w:ind w:firstLine="709"/>
        <w:jc w:val="both"/>
        <w:rPr>
          <w:sz w:val="28"/>
          <w:szCs w:val="28"/>
        </w:rPr>
      </w:pPr>
      <w:bookmarkStart w:id="16" w:name="_Hlk45563706"/>
      <w:bookmarkEnd w:id="16"/>
    </w:p>
    <w:p w14:paraId="5EECE722" w14:textId="6FE2CB2D" w:rsidR="00396DE0" w:rsidRPr="00DA7C95" w:rsidRDefault="00396DE0" w:rsidP="00D3042E">
      <w:pPr>
        <w:pStyle w:val="a4"/>
        <w:numPr>
          <w:ilvl w:val="0"/>
          <w:numId w:val="28"/>
        </w:numPr>
        <w:shd w:val="clear" w:color="auto" w:fill="FFFFFF" w:themeFill="background1"/>
        <w:tabs>
          <w:tab w:val="left" w:pos="709"/>
          <w:tab w:val="left" w:pos="1134"/>
          <w:tab w:val="left" w:pos="1418"/>
          <w:tab w:val="left" w:pos="1843"/>
          <w:tab w:val="left" w:pos="1985"/>
        </w:tabs>
        <w:ind w:left="0" w:firstLine="567"/>
      </w:pPr>
      <w:r w:rsidRPr="00DA7C95">
        <w:t xml:space="preserve">прогнозні показники бізнес-плану – прогнозні показники, визначені </w:t>
      </w:r>
      <w:r w:rsidR="005F508A">
        <w:t>в</w:t>
      </w:r>
      <w:r w:rsidR="005F508A" w:rsidRPr="00DA7C95">
        <w:t xml:space="preserve"> </w:t>
      </w:r>
      <w:r w:rsidRPr="00DA7C95">
        <w:t>бізнес-плані банку</w:t>
      </w:r>
      <w:r w:rsidR="005F508A">
        <w:t> </w:t>
      </w:r>
      <w:r w:rsidRPr="00DA7C95">
        <w:t>/</w:t>
      </w:r>
      <w:r w:rsidR="005F508A">
        <w:t> </w:t>
      </w:r>
      <w:r w:rsidRPr="00DA7C95">
        <w:t xml:space="preserve">учасників банківської групи, включаючи показники </w:t>
      </w:r>
      <w:r w:rsidRPr="00DA7C95">
        <w:lastRenderedPageBreak/>
        <w:t>фінансової звітності [Звіт про фінансовий стан (Баланс) та Звіт про прибутки і збитки та інший сукупний дохід (Звіт про фінансові результати)];</w:t>
      </w:r>
    </w:p>
    <w:p w14:paraId="416BDF83" w14:textId="77777777" w:rsidR="00396DE0" w:rsidRPr="00DA7C95" w:rsidRDefault="00396DE0" w:rsidP="00D3042E">
      <w:pPr>
        <w:pStyle w:val="afb"/>
        <w:shd w:val="clear" w:color="auto" w:fill="FFFFFF" w:themeFill="background1"/>
        <w:tabs>
          <w:tab w:val="left" w:pos="284"/>
          <w:tab w:val="left" w:pos="709"/>
          <w:tab w:val="left" w:pos="1418"/>
          <w:tab w:val="left" w:pos="1843"/>
        </w:tabs>
        <w:spacing w:beforeAutospacing="0" w:afterAutospacing="0"/>
        <w:ind w:firstLine="567"/>
        <w:jc w:val="both"/>
        <w:rPr>
          <w:sz w:val="28"/>
          <w:szCs w:val="28"/>
        </w:rPr>
      </w:pPr>
    </w:p>
    <w:p w14:paraId="626A8E76" w14:textId="056608D2" w:rsidR="00396DE0" w:rsidRPr="00DA7C95" w:rsidRDefault="00396DE0" w:rsidP="00D3042E">
      <w:pPr>
        <w:numPr>
          <w:ilvl w:val="0"/>
          <w:numId w:val="28"/>
        </w:numPr>
        <w:shd w:val="clear" w:color="auto" w:fill="FFFFFF" w:themeFill="background1"/>
        <w:tabs>
          <w:tab w:val="left" w:pos="142"/>
          <w:tab w:val="left" w:pos="567"/>
          <w:tab w:val="left" w:pos="1134"/>
        </w:tabs>
        <w:ind w:left="0" w:firstLine="567"/>
      </w:pPr>
      <w:bookmarkStart w:id="17" w:name="_Hlk38573107"/>
      <w:bookmarkEnd w:id="17"/>
      <w:r w:rsidRPr="00DA7C95">
        <w:rPr>
          <w:shd w:val="clear" w:color="auto" w:fill="FFFFFF"/>
        </w:rPr>
        <w:t xml:space="preserve">процес ILAAP (англійською мовою </w:t>
      </w:r>
      <w:proofErr w:type="spellStart"/>
      <w:r w:rsidRPr="00DA7C95">
        <w:rPr>
          <w:shd w:val="clear" w:color="auto" w:fill="FFFFFF"/>
        </w:rPr>
        <w:t>Internal</w:t>
      </w:r>
      <w:proofErr w:type="spellEnd"/>
      <w:r w:rsidRPr="00DA7C95">
        <w:rPr>
          <w:shd w:val="clear" w:color="auto" w:fill="FFFFFF"/>
        </w:rPr>
        <w:t xml:space="preserve"> </w:t>
      </w:r>
      <w:proofErr w:type="spellStart"/>
      <w:r w:rsidRPr="00DA7C95">
        <w:rPr>
          <w:shd w:val="clear" w:color="auto" w:fill="FFFFFF"/>
        </w:rPr>
        <w:t>Liquidity</w:t>
      </w:r>
      <w:proofErr w:type="spellEnd"/>
      <w:r w:rsidRPr="00DA7C95">
        <w:rPr>
          <w:shd w:val="clear" w:color="auto" w:fill="FFFFFF"/>
        </w:rPr>
        <w:t xml:space="preserve"> </w:t>
      </w:r>
      <w:proofErr w:type="spellStart"/>
      <w:r w:rsidRPr="00DA7C95">
        <w:rPr>
          <w:shd w:val="clear" w:color="auto" w:fill="FFFFFF"/>
        </w:rPr>
        <w:t>Adequacy</w:t>
      </w:r>
      <w:proofErr w:type="spellEnd"/>
      <w:r w:rsidRPr="00DA7C95">
        <w:rPr>
          <w:shd w:val="clear" w:color="auto" w:fill="FFFFFF"/>
        </w:rPr>
        <w:t xml:space="preserve"> </w:t>
      </w:r>
      <w:proofErr w:type="spellStart"/>
      <w:r w:rsidRPr="00DA7C95">
        <w:rPr>
          <w:shd w:val="clear" w:color="auto" w:fill="FFFFFF"/>
        </w:rPr>
        <w:t>Assessment</w:t>
      </w:r>
      <w:proofErr w:type="spellEnd"/>
      <w:r w:rsidRPr="00DA7C95">
        <w:rPr>
          <w:shd w:val="clear" w:color="auto" w:fill="FFFFFF"/>
        </w:rPr>
        <w:t xml:space="preserve"> </w:t>
      </w:r>
      <w:proofErr w:type="spellStart"/>
      <w:r w:rsidRPr="00DA7C95">
        <w:rPr>
          <w:shd w:val="clear" w:color="auto" w:fill="FFFFFF"/>
        </w:rPr>
        <w:t>Process</w:t>
      </w:r>
      <w:proofErr w:type="spellEnd"/>
      <w:r w:rsidRPr="00DA7C95">
        <w:rPr>
          <w:shd w:val="clear" w:color="auto" w:fill="FFFFFF"/>
        </w:rPr>
        <w:t xml:space="preserve">) </w:t>
      </w:r>
      <w:r w:rsidRPr="00DA7C95">
        <w:t>–</w:t>
      </w:r>
      <w:bookmarkStart w:id="18" w:name="_Hlk56338391"/>
      <w:r w:rsidRPr="00DA7C95">
        <w:t xml:space="preserve"> </w:t>
      </w:r>
      <w:r w:rsidRPr="00DA7C95">
        <w:rPr>
          <w:iCs/>
        </w:rPr>
        <w:t>організований банком</w:t>
      </w:r>
      <w:r w:rsidR="005F508A">
        <w:rPr>
          <w:iCs/>
        </w:rPr>
        <w:t> </w:t>
      </w:r>
      <w:r w:rsidRPr="00DA7C95">
        <w:rPr>
          <w:iCs/>
        </w:rPr>
        <w:t>/</w:t>
      </w:r>
      <w:r w:rsidR="005F508A">
        <w:rPr>
          <w:iCs/>
        </w:rPr>
        <w:t> </w:t>
      </w:r>
      <w:r w:rsidRPr="00DA7C95">
        <w:rPr>
          <w:iCs/>
        </w:rPr>
        <w:t>відповідальною особою банківської групи згідно з вимогами цього Положення</w:t>
      </w:r>
      <w:bookmarkEnd w:id="18"/>
      <w:r w:rsidRPr="00DA7C95">
        <w:rPr>
          <w:iCs/>
        </w:rPr>
        <w:t xml:space="preserve"> процес оцінки достатності внутрішньої ліквідності</w:t>
      </w:r>
      <w:r w:rsidRPr="00DA7C95">
        <w:t>;</w:t>
      </w:r>
    </w:p>
    <w:p w14:paraId="2CE837F5" w14:textId="77777777" w:rsidR="00396DE0" w:rsidRPr="00DA7C95" w:rsidRDefault="00396DE0" w:rsidP="00D3042E">
      <w:pPr>
        <w:pStyle w:val="afb"/>
        <w:shd w:val="clear" w:color="auto" w:fill="FFFFFF" w:themeFill="background1"/>
        <w:tabs>
          <w:tab w:val="left" w:pos="477"/>
          <w:tab w:val="left" w:pos="851"/>
          <w:tab w:val="left" w:pos="1134"/>
        </w:tabs>
        <w:spacing w:beforeAutospacing="0" w:afterAutospacing="0"/>
        <w:ind w:firstLine="567"/>
        <w:jc w:val="both"/>
        <w:rPr>
          <w:sz w:val="28"/>
          <w:szCs w:val="28"/>
        </w:rPr>
      </w:pPr>
    </w:p>
    <w:p w14:paraId="0971620C" w14:textId="005256AF" w:rsidR="00396DE0" w:rsidRPr="006F5A68" w:rsidRDefault="00396DE0" w:rsidP="00D3042E">
      <w:pPr>
        <w:shd w:val="clear" w:color="auto" w:fill="FFFFFF" w:themeFill="background1"/>
        <w:ind w:firstLine="567"/>
      </w:pPr>
      <w:r w:rsidRPr="00FF180F">
        <w:t>2</w:t>
      </w:r>
      <w:r w:rsidR="005D5CCB" w:rsidRPr="00FF180F">
        <w:t>1</w:t>
      </w:r>
      <w:r w:rsidRPr="00FF180F">
        <w:t xml:space="preserve">) судження банку </w:t>
      </w:r>
      <w:r w:rsidR="005D5CCF" w:rsidRPr="00FF180F">
        <w:t xml:space="preserve">з питань оцінки достатності внутрішньої ліквідності </w:t>
      </w:r>
      <w:r w:rsidRPr="00FF180F">
        <w:rPr>
          <w:shd w:val="clear" w:color="auto" w:fill="FFFFFF"/>
        </w:rPr>
        <w:t xml:space="preserve">– </w:t>
      </w:r>
      <w:r w:rsidRPr="00FF180F">
        <w:t>задокументоване обґрунтоване рішення управлінського персоналу</w:t>
      </w:r>
      <w:r w:rsidR="005F508A">
        <w:t> </w:t>
      </w:r>
      <w:r w:rsidRPr="00FF180F">
        <w:t>/</w:t>
      </w:r>
      <w:r w:rsidR="005F508A">
        <w:t> </w:t>
      </w:r>
      <w:r w:rsidRPr="00FF180F">
        <w:t>колегіального органу банку, що застосовується під час оцінки дост</w:t>
      </w:r>
      <w:r w:rsidR="00123B2A" w:rsidRPr="00FF180F">
        <w:t xml:space="preserve">атності </w:t>
      </w:r>
      <w:r w:rsidR="00123B2A" w:rsidRPr="00937825">
        <w:t xml:space="preserve">внутрішньої </w:t>
      </w:r>
      <w:r w:rsidR="00123B2A" w:rsidRPr="004155D0">
        <w:t>ліквідності</w:t>
      </w:r>
      <w:r w:rsidR="00311853" w:rsidRPr="004155D0">
        <w:t xml:space="preserve"> (далі – судження)</w:t>
      </w:r>
      <w:r w:rsidRPr="004155D0">
        <w:t>;</w:t>
      </w:r>
    </w:p>
    <w:p w14:paraId="5DCB0BF9" w14:textId="77777777" w:rsidR="00396DE0" w:rsidRPr="00DA7C95" w:rsidRDefault="00396DE0" w:rsidP="00D3042E">
      <w:pPr>
        <w:shd w:val="clear" w:color="auto" w:fill="FFFFFF" w:themeFill="background1"/>
        <w:ind w:firstLine="567"/>
      </w:pPr>
    </w:p>
    <w:p w14:paraId="51973057" w14:textId="15697054" w:rsidR="00396DE0" w:rsidRPr="00DA7C95" w:rsidRDefault="00396DE0" w:rsidP="00D3042E">
      <w:pPr>
        <w:pStyle w:val="afb"/>
        <w:numPr>
          <w:ilvl w:val="0"/>
          <w:numId w:val="6"/>
        </w:numPr>
        <w:shd w:val="clear" w:color="auto" w:fill="FFFFFF" w:themeFill="background1"/>
        <w:tabs>
          <w:tab w:val="left" w:pos="0"/>
          <w:tab w:val="left" w:pos="567"/>
          <w:tab w:val="left" w:pos="851"/>
          <w:tab w:val="left" w:pos="1134"/>
        </w:tabs>
        <w:spacing w:beforeAutospacing="0" w:afterAutospacing="0"/>
        <w:ind w:left="0" w:firstLine="567"/>
        <w:jc w:val="both"/>
        <w:rPr>
          <w:sz w:val="28"/>
          <w:szCs w:val="28"/>
        </w:rPr>
      </w:pPr>
      <w:bookmarkStart w:id="19" w:name="n67"/>
      <w:bookmarkStart w:id="20" w:name="n1031"/>
      <w:bookmarkStart w:id="21" w:name="_Hlk385731071"/>
      <w:bookmarkStart w:id="22" w:name="_Hlk122767651"/>
      <w:bookmarkEnd w:id="19"/>
      <w:bookmarkEnd w:id="20"/>
      <w:bookmarkEnd w:id="21"/>
      <w:r w:rsidRPr="00DA7C95">
        <w:rPr>
          <w:sz w:val="28"/>
          <w:szCs w:val="28"/>
          <w:shd w:val="clear" w:color="auto" w:fill="FFFFFF" w:themeFill="background1"/>
        </w:rPr>
        <w:t xml:space="preserve">суттєві </w:t>
      </w:r>
      <w:r w:rsidRPr="00DA7C95">
        <w:rPr>
          <w:sz w:val="28"/>
          <w:szCs w:val="28"/>
        </w:rPr>
        <w:t>ризики, пов’язані з ліквідністю</w:t>
      </w:r>
      <w:r w:rsidR="005F508A">
        <w:rPr>
          <w:sz w:val="28"/>
          <w:szCs w:val="28"/>
        </w:rPr>
        <w:t>,</w:t>
      </w:r>
      <w:r w:rsidRPr="00DA7C95">
        <w:rPr>
          <w:sz w:val="28"/>
          <w:szCs w:val="28"/>
        </w:rPr>
        <w:t xml:space="preserve"> – ризик ринкової ліквідності та ризик ліквідності фінансування</w:t>
      </w:r>
      <w:r w:rsidR="00915920">
        <w:rPr>
          <w:sz w:val="28"/>
          <w:szCs w:val="28"/>
        </w:rPr>
        <w:t> </w:t>
      </w:r>
      <w:r w:rsidRPr="00DA7C95">
        <w:rPr>
          <w:sz w:val="28"/>
          <w:szCs w:val="28"/>
        </w:rPr>
        <w:t>/</w:t>
      </w:r>
      <w:r w:rsidR="00915920">
        <w:rPr>
          <w:sz w:val="28"/>
          <w:szCs w:val="28"/>
        </w:rPr>
        <w:t> </w:t>
      </w:r>
      <w:r w:rsidRPr="00DA7C95">
        <w:rPr>
          <w:sz w:val="28"/>
          <w:szCs w:val="28"/>
        </w:rPr>
        <w:t>фактори цих ризиків</w:t>
      </w:r>
      <w:r w:rsidRPr="00DA7C95">
        <w:rPr>
          <w:sz w:val="28"/>
          <w:szCs w:val="28"/>
          <w:shd w:val="clear" w:color="auto" w:fill="FFFFFF"/>
        </w:rPr>
        <w:t>, які впливають</w:t>
      </w:r>
      <w:r w:rsidR="005F508A">
        <w:rPr>
          <w:sz w:val="28"/>
          <w:szCs w:val="28"/>
          <w:shd w:val="clear" w:color="auto" w:fill="FFFFFF"/>
        </w:rPr>
        <w:t> </w:t>
      </w:r>
      <w:r w:rsidRPr="00DA7C95">
        <w:rPr>
          <w:sz w:val="28"/>
          <w:szCs w:val="28"/>
          <w:shd w:val="clear" w:color="auto" w:fill="FFFFFF"/>
        </w:rPr>
        <w:t>/</w:t>
      </w:r>
      <w:r w:rsidR="005F508A">
        <w:rPr>
          <w:sz w:val="28"/>
          <w:szCs w:val="28"/>
          <w:shd w:val="clear" w:color="auto" w:fill="FFFFFF"/>
        </w:rPr>
        <w:t> </w:t>
      </w:r>
      <w:r w:rsidRPr="00DA7C95">
        <w:rPr>
          <w:sz w:val="28"/>
          <w:szCs w:val="28"/>
          <w:shd w:val="clear" w:color="auto" w:fill="FFFFFF"/>
        </w:rPr>
        <w:t>можуть впливати на достатність внутрішньої ліквідності банку та мають суттєвий вплив на профіль ризику банку</w:t>
      </w:r>
      <w:bookmarkEnd w:id="22"/>
      <w:r w:rsidRPr="00DA7C95">
        <w:rPr>
          <w:sz w:val="28"/>
          <w:szCs w:val="28"/>
          <w:shd w:val="clear" w:color="auto" w:fill="FFFFFF"/>
        </w:rPr>
        <w:t>;</w:t>
      </w:r>
    </w:p>
    <w:p w14:paraId="30264E20" w14:textId="77777777" w:rsidR="00396DE0" w:rsidRPr="00DA7C95" w:rsidRDefault="00396DE0" w:rsidP="00D3042E">
      <w:pPr>
        <w:pStyle w:val="a4"/>
        <w:shd w:val="clear" w:color="auto" w:fill="FFFFFF" w:themeFill="background1"/>
        <w:tabs>
          <w:tab w:val="left" w:pos="709"/>
          <w:tab w:val="left" w:pos="851"/>
          <w:tab w:val="left" w:pos="993"/>
        </w:tabs>
        <w:ind w:left="0" w:firstLine="567"/>
        <w:rPr>
          <w:bCs/>
        </w:rPr>
      </w:pPr>
    </w:p>
    <w:p w14:paraId="488FF745" w14:textId="6D6BB490" w:rsidR="00396DE0" w:rsidRPr="00DA7C95" w:rsidRDefault="00396DE0" w:rsidP="00D3042E">
      <w:pPr>
        <w:pStyle w:val="afb"/>
        <w:numPr>
          <w:ilvl w:val="0"/>
          <w:numId w:val="30"/>
        </w:numPr>
        <w:shd w:val="clear" w:color="auto" w:fill="FFFFFF" w:themeFill="background1"/>
        <w:tabs>
          <w:tab w:val="left" w:pos="567"/>
          <w:tab w:val="left" w:pos="851"/>
          <w:tab w:val="left" w:pos="1134"/>
        </w:tabs>
        <w:spacing w:beforeAutospacing="0" w:afterAutospacing="0"/>
        <w:ind w:left="0" w:firstLine="567"/>
        <w:jc w:val="both"/>
        <w:rPr>
          <w:sz w:val="28"/>
          <w:szCs w:val="28"/>
        </w:rPr>
      </w:pPr>
      <w:r w:rsidRPr="00DA7C95">
        <w:rPr>
          <w:sz w:val="28"/>
          <w:szCs w:val="28"/>
        </w:rPr>
        <w:t>ASF (</w:t>
      </w:r>
      <w:r w:rsidR="0023398D" w:rsidRPr="00DA7C95">
        <w:rPr>
          <w:sz w:val="28"/>
          <w:szCs w:val="28"/>
        </w:rPr>
        <w:t xml:space="preserve">англійською мовою </w:t>
      </w:r>
      <w:proofErr w:type="spellStart"/>
      <w:r w:rsidRPr="00DA7C95">
        <w:rPr>
          <w:sz w:val="28"/>
          <w:szCs w:val="28"/>
        </w:rPr>
        <w:t>available</w:t>
      </w:r>
      <w:proofErr w:type="spellEnd"/>
      <w:r w:rsidRPr="00DA7C95">
        <w:rPr>
          <w:sz w:val="28"/>
          <w:szCs w:val="28"/>
        </w:rPr>
        <w:t xml:space="preserve"> </w:t>
      </w:r>
      <w:proofErr w:type="spellStart"/>
      <w:r w:rsidRPr="00DA7C95">
        <w:rPr>
          <w:sz w:val="28"/>
          <w:szCs w:val="28"/>
        </w:rPr>
        <w:t>stable</w:t>
      </w:r>
      <w:proofErr w:type="spellEnd"/>
      <w:r w:rsidRPr="00DA7C95">
        <w:rPr>
          <w:sz w:val="28"/>
          <w:szCs w:val="28"/>
        </w:rPr>
        <w:t xml:space="preserve"> </w:t>
      </w:r>
      <w:proofErr w:type="spellStart"/>
      <w:r w:rsidRPr="00DA7C95">
        <w:rPr>
          <w:sz w:val="28"/>
          <w:szCs w:val="28"/>
        </w:rPr>
        <w:t>funding</w:t>
      </w:r>
      <w:proofErr w:type="spellEnd"/>
      <w:r w:rsidRPr="00DA7C95">
        <w:rPr>
          <w:sz w:val="28"/>
          <w:szCs w:val="28"/>
        </w:rPr>
        <w:t xml:space="preserve">) – наявне стабільне фінансування згідно з </w:t>
      </w:r>
      <w:r w:rsidR="0023398D" w:rsidRPr="00DA7C95">
        <w:rPr>
          <w:sz w:val="28"/>
          <w:szCs w:val="28"/>
        </w:rPr>
        <w:t>методикою розрахунку коефіцієнта чистого стабільного фінансування (NSFR)</w:t>
      </w:r>
      <w:r w:rsidRPr="00DA7C95">
        <w:rPr>
          <w:sz w:val="28"/>
          <w:szCs w:val="28"/>
        </w:rPr>
        <w:t xml:space="preserve">; </w:t>
      </w:r>
    </w:p>
    <w:p w14:paraId="560DDD25" w14:textId="77777777" w:rsidR="00396DE0" w:rsidRPr="00DA7C95" w:rsidRDefault="00396DE0" w:rsidP="00D3042E">
      <w:pPr>
        <w:pStyle w:val="afb"/>
        <w:shd w:val="clear" w:color="auto" w:fill="FFFFFF" w:themeFill="background1"/>
        <w:tabs>
          <w:tab w:val="left" w:pos="993"/>
        </w:tabs>
        <w:spacing w:beforeAutospacing="0" w:afterAutospacing="0"/>
        <w:ind w:firstLine="567"/>
        <w:jc w:val="both"/>
        <w:rPr>
          <w:sz w:val="28"/>
          <w:szCs w:val="28"/>
        </w:rPr>
      </w:pPr>
    </w:p>
    <w:p w14:paraId="6CE9AE6E" w14:textId="318253E8" w:rsidR="00396DE0" w:rsidRPr="00DA7C95" w:rsidRDefault="00396DE0" w:rsidP="00D3042E">
      <w:pPr>
        <w:pStyle w:val="afb"/>
        <w:numPr>
          <w:ilvl w:val="0"/>
          <w:numId w:val="30"/>
        </w:numPr>
        <w:shd w:val="clear" w:color="auto" w:fill="FFFFFF" w:themeFill="background1"/>
        <w:spacing w:beforeAutospacing="0" w:afterAutospacing="0"/>
        <w:ind w:left="0" w:firstLine="567"/>
        <w:jc w:val="both"/>
        <w:rPr>
          <w:sz w:val="28"/>
          <w:szCs w:val="28"/>
        </w:rPr>
      </w:pPr>
      <w:r w:rsidRPr="00DA7C95">
        <w:rPr>
          <w:sz w:val="28"/>
          <w:szCs w:val="28"/>
        </w:rPr>
        <w:t xml:space="preserve">LCR </w:t>
      </w:r>
      <w:r w:rsidR="00DC44F3" w:rsidRPr="00DA7C95">
        <w:rPr>
          <w:sz w:val="28"/>
          <w:szCs w:val="28"/>
        </w:rPr>
        <w:t xml:space="preserve">(англійською мовою </w:t>
      </w:r>
      <w:r w:rsidR="00DC44F3" w:rsidRPr="00DA7C95">
        <w:rPr>
          <w:sz w:val="28"/>
          <w:szCs w:val="28"/>
          <w:lang w:val="en-US"/>
        </w:rPr>
        <w:t>l</w:t>
      </w:r>
      <w:proofErr w:type="spellStart"/>
      <w:r w:rsidR="00DC44F3" w:rsidRPr="00DA7C95">
        <w:rPr>
          <w:sz w:val="28"/>
          <w:szCs w:val="28"/>
        </w:rPr>
        <w:t>iquidity</w:t>
      </w:r>
      <w:proofErr w:type="spellEnd"/>
      <w:r w:rsidR="00DC44F3" w:rsidRPr="00DA7C95">
        <w:rPr>
          <w:sz w:val="28"/>
          <w:szCs w:val="28"/>
        </w:rPr>
        <w:t xml:space="preserve"> </w:t>
      </w:r>
      <w:proofErr w:type="spellStart"/>
      <w:r w:rsidR="00DC44F3" w:rsidRPr="00DA7C95">
        <w:rPr>
          <w:sz w:val="28"/>
          <w:szCs w:val="28"/>
        </w:rPr>
        <w:t>coverage</w:t>
      </w:r>
      <w:proofErr w:type="spellEnd"/>
      <w:r w:rsidR="00DC44F3" w:rsidRPr="00DA7C95">
        <w:rPr>
          <w:sz w:val="28"/>
          <w:szCs w:val="28"/>
        </w:rPr>
        <w:t xml:space="preserve"> </w:t>
      </w:r>
      <w:proofErr w:type="spellStart"/>
      <w:r w:rsidR="00DC44F3" w:rsidRPr="00DA7C95">
        <w:rPr>
          <w:sz w:val="28"/>
          <w:szCs w:val="28"/>
        </w:rPr>
        <w:t>ratio</w:t>
      </w:r>
      <w:proofErr w:type="spellEnd"/>
      <w:r w:rsidR="00DC44F3" w:rsidRPr="00DA7C95">
        <w:rPr>
          <w:sz w:val="28"/>
          <w:szCs w:val="28"/>
        </w:rPr>
        <w:t xml:space="preserve">) </w:t>
      </w:r>
      <w:r w:rsidRPr="00DA7C95">
        <w:rPr>
          <w:sz w:val="28"/>
          <w:szCs w:val="28"/>
        </w:rPr>
        <w:t xml:space="preserve">– коефіцієнт покриття ліквідністю (LCR), який розраховується згідно з Інструкцією № 368 та </w:t>
      </w:r>
      <w:r w:rsidR="001A03FD" w:rsidRPr="00DA7C95">
        <w:rPr>
          <w:sz w:val="28"/>
          <w:szCs w:val="28"/>
        </w:rPr>
        <w:t>методикою розрахунку коефіцієнта покриття ліквідністю (LCR)</w:t>
      </w:r>
      <w:r w:rsidRPr="00DA7C95">
        <w:rPr>
          <w:sz w:val="28"/>
          <w:szCs w:val="28"/>
        </w:rPr>
        <w:t xml:space="preserve">: </w:t>
      </w:r>
    </w:p>
    <w:p w14:paraId="5BD59191" w14:textId="77777777" w:rsidR="00396DE0" w:rsidRPr="00DA7C95" w:rsidRDefault="00396DE0" w:rsidP="00D3042E">
      <w:pPr>
        <w:shd w:val="clear" w:color="auto" w:fill="FFFFFF" w:themeFill="background1"/>
        <w:ind w:firstLine="567"/>
      </w:pPr>
      <w:r w:rsidRPr="00DA7C95">
        <w:rPr>
          <w:shd w:val="clear" w:color="auto" w:fill="FFFFFF"/>
        </w:rPr>
        <w:t>LCR</w:t>
      </w:r>
      <w:r w:rsidRPr="00DA7C95">
        <w:rPr>
          <w:shd w:val="clear" w:color="auto" w:fill="FFFFFF"/>
          <w:vertAlign w:val="subscript"/>
        </w:rPr>
        <w:t xml:space="preserve">ВВ </w:t>
      </w:r>
      <w:r w:rsidRPr="00DA7C95">
        <w:rPr>
          <w:shd w:val="clear" w:color="auto" w:fill="FFFFFF"/>
        </w:rPr>
        <w:t>– LCR за всіма валютами;</w:t>
      </w:r>
    </w:p>
    <w:p w14:paraId="2B3E5F30" w14:textId="77777777" w:rsidR="00396DE0" w:rsidRPr="00DA7C95" w:rsidRDefault="00396DE0" w:rsidP="00D3042E">
      <w:pPr>
        <w:shd w:val="clear" w:color="auto" w:fill="FFFFFF" w:themeFill="background1"/>
        <w:ind w:firstLine="567"/>
      </w:pPr>
      <w:r w:rsidRPr="00DA7C95">
        <w:rPr>
          <w:shd w:val="clear" w:color="auto" w:fill="FFFFFF"/>
        </w:rPr>
        <w:t>LCR</w:t>
      </w:r>
      <w:r w:rsidRPr="00DA7C95">
        <w:rPr>
          <w:shd w:val="clear" w:color="auto" w:fill="FFFFFF"/>
          <w:vertAlign w:val="subscript"/>
        </w:rPr>
        <w:t>ІВ</w:t>
      </w:r>
      <w:r w:rsidRPr="00DA7C95">
        <w:rPr>
          <w:shd w:val="clear" w:color="auto" w:fill="FFFFFF"/>
        </w:rPr>
        <w:t xml:space="preserve">  – LCR в іноземній валюті;</w:t>
      </w:r>
    </w:p>
    <w:p w14:paraId="12D6836A" w14:textId="77777777" w:rsidR="00396DE0" w:rsidRPr="00DA7C95" w:rsidRDefault="00396DE0" w:rsidP="00D3042E">
      <w:pPr>
        <w:shd w:val="clear" w:color="auto" w:fill="FFFFFF" w:themeFill="background1"/>
        <w:ind w:firstLine="567"/>
      </w:pPr>
    </w:p>
    <w:p w14:paraId="4A7C3E37" w14:textId="48626C92" w:rsidR="00396DE0" w:rsidRPr="00DA7C95" w:rsidRDefault="00396DE0" w:rsidP="00D3042E">
      <w:pPr>
        <w:pStyle w:val="afb"/>
        <w:numPr>
          <w:ilvl w:val="0"/>
          <w:numId w:val="30"/>
        </w:numPr>
        <w:shd w:val="clear" w:color="auto" w:fill="FFFFFF" w:themeFill="background1"/>
        <w:tabs>
          <w:tab w:val="left" w:pos="1134"/>
        </w:tabs>
        <w:spacing w:beforeAutospacing="0" w:afterAutospacing="0"/>
        <w:ind w:left="0" w:firstLine="567"/>
        <w:jc w:val="both"/>
        <w:rPr>
          <w:sz w:val="28"/>
          <w:szCs w:val="28"/>
        </w:rPr>
      </w:pPr>
      <w:r w:rsidRPr="00DA7C95">
        <w:rPr>
          <w:sz w:val="28"/>
          <w:szCs w:val="28"/>
        </w:rPr>
        <w:t xml:space="preserve">NSFR </w:t>
      </w:r>
      <w:r w:rsidR="00DC44F3" w:rsidRPr="00DA7C95">
        <w:rPr>
          <w:sz w:val="28"/>
          <w:szCs w:val="28"/>
        </w:rPr>
        <w:t xml:space="preserve">(англійською мовою </w:t>
      </w:r>
      <w:proofErr w:type="spellStart"/>
      <w:r w:rsidR="00DC44F3" w:rsidRPr="00DA7C95">
        <w:rPr>
          <w:sz w:val="28"/>
          <w:szCs w:val="28"/>
        </w:rPr>
        <w:t>net</w:t>
      </w:r>
      <w:proofErr w:type="spellEnd"/>
      <w:r w:rsidR="00DC44F3" w:rsidRPr="00DA7C95">
        <w:rPr>
          <w:sz w:val="28"/>
          <w:szCs w:val="28"/>
        </w:rPr>
        <w:t xml:space="preserve"> </w:t>
      </w:r>
      <w:proofErr w:type="spellStart"/>
      <w:r w:rsidR="00DC44F3" w:rsidRPr="00DA7C95">
        <w:rPr>
          <w:sz w:val="28"/>
          <w:szCs w:val="28"/>
        </w:rPr>
        <w:t>stable</w:t>
      </w:r>
      <w:proofErr w:type="spellEnd"/>
      <w:r w:rsidR="00DC44F3" w:rsidRPr="00DA7C95">
        <w:rPr>
          <w:sz w:val="28"/>
          <w:szCs w:val="28"/>
        </w:rPr>
        <w:t xml:space="preserve"> </w:t>
      </w:r>
      <w:proofErr w:type="spellStart"/>
      <w:r w:rsidR="00DC44F3" w:rsidRPr="00DA7C95">
        <w:rPr>
          <w:sz w:val="28"/>
          <w:szCs w:val="28"/>
        </w:rPr>
        <w:t>funding</w:t>
      </w:r>
      <w:proofErr w:type="spellEnd"/>
      <w:r w:rsidR="00DC44F3" w:rsidRPr="00DA7C95">
        <w:rPr>
          <w:sz w:val="28"/>
          <w:szCs w:val="28"/>
        </w:rPr>
        <w:t xml:space="preserve"> </w:t>
      </w:r>
      <w:proofErr w:type="spellStart"/>
      <w:r w:rsidR="00DC44F3" w:rsidRPr="00DA7C95">
        <w:rPr>
          <w:sz w:val="28"/>
          <w:szCs w:val="28"/>
        </w:rPr>
        <w:t>ratio</w:t>
      </w:r>
      <w:proofErr w:type="spellEnd"/>
      <w:r w:rsidR="00DC44F3" w:rsidRPr="00DA7C95">
        <w:rPr>
          <w:sz w:val="28"/>
          <w:szCs w:val="28"/>
        </w:rPr>
        <w:t xml:space="preserve">) </w:t>
      </w:r>
      <w:r w:rsidRPr="00DA7C95">
        <w:rPr>
          <w:sz w:val="28"/>
          <w:szCs w:val="28"/>
        </w:rPr>
        <w:t xml:space="preserve">– коефіцієнт чистого стабільного фінансування (NSFR), який розраховується згідно з Інструкцією № 368 та </w:t>
      </w:r>
      <w:bookmarkStart w:id="23" w:name="_Hlk40802749"/>
      <w:bookmarkEnd w:id="23"/>
      <w:r w:rsidR="0023398D" w:rsidRPr="00DA7C95">
        <w:rPr>
          <w:sz w:val="28"/>
          <w:szCs w:val="28"/>
        </w:rPr>
        <w:t>методикою розрахунку коефіцієнта чистого стабільного фінансування (NSFR)</w:t>
      </w:r>
      <w:r w:rsidRPr="00DA7C95">
        <w:rPr>
          <w:sz w:val="28"/>
          <w:szCs w:val="28"/>
          <w:shd w:val="clear" w:color="auto" w:fill="FFFFFF"/>
        </w:rPr>
        <w:t>;</w:t>
      </w:r>
    </w:p>
    <w:p w14:paraId="1B6BB37A" w14:textId="77777777" w:rsidR="00396DE0" w:rsidRPr="00DA7C95" w:rsidRDefault="00396DE0" w:rsidP="00D3042E">
      <w:pPr>
        <w:shd w:val="clear" w:color="auto" w:fill="FFFFFF" w:themeFill="background1"/>
        <w:tabs>
          <w:tab w:val="left" w:pos="1134"/>
        </w:tabs>
        <w:ind w:firstLine="567"/>
      </w:pPr>
    </w:p>
    <w:p w14:paraId="0DD10D97" w14:textId="34F57103" w:rsidR="00396DE0" w:rsidRPr="00DA7C95" w:rsidRDefault="00396DE0" w:rsidP="00D3042E">
      <w:pPr>
        <w:pStyle w:val="afb"/>
        <w:numPr>
          <w:ilvl w:val="0"/>
          <w:numId w:val="30"/>
        </w:numPr>
        <w:shd w:val="clear" w:color="auto" w:fill="FFFFFF" w:themeFill="background1"/>
        <w:spacing w:beforeAutospacing="0" w:afterAutospacing="0"/>
        <w:ind w:left="0" w:firstLine="567"/>
        <w:jc w:val="both"/>
        <w:rPr>
          <w:sz w:val="28"/>
          <w:szCs w:val="28"/>
        </w:rPr>
      </w:pPr>
      <w:r w:rsidRPr="00DA7C95">
        <w:rPr>
          <w:sz w:val="28"/>
          <w:szCs w:val="28"/>
        </w:rPr>
        <w:t>RSF (</w:t>
      </w:r>
      <w:r w:rsidR="0023398D" w:rsidRPr="00DA7C95">
        <w:rPr>
          <w:sz w:val="28"/>
          <w:szCs w:val="28"/>
        </w:rPr>
        <w:t xml:space="preserve">англійською мовою </w:t>
      </w:r>
      <w:proofErr w:type="spellStart"/>
      <w:r w:rsidRPr="00DA7C95">
        <w:rPr>
          <w:sz w:val="28"/>
          <w:szCs w:val="28"/>
        </w:rPr>
        <w:t>required</w:t>
      </w:r>
      <w:proofErr w:type="spellEnd"/>
      <w:r w:rsidRPr="00DA7C95">
        <w:rPr>
          <w:sz w:val="28"/>
          <w:szCs w:val="28"/>
        </w:rPr>
        <w:t xml:space="preserve"> </w:t>
      </w:r>
      <w:proofErr w:type="spellStart"/>
      <w:r w:rsidRPr="00DA7C95">
        <w:rPr>
          <w:sz w:val="28"/>
          <w:szCs w:val="28"/>
        </w:rPr>
        <w:t>stable</w:t>
      </w:r>
      <w:proofErr w:type="spellEnd"/>
      <w:r w:rsidRPr="00DA7C95">
        <w:rPr>
          <w:sz w:val="28"/>
          <w:szCs w:val="28"/>
        </w:rPr>
        <w:t xml:space="preserve"> </w:t>
      </w:r>
      <w:proofErr w:type="spellStart"/>
      <w:r w:rsidRPr="00DA7C95">
        <w:rPr>
          <w:sz w:val="28"/>
          <w:szCs w:val="28"/>
        </w:rPr>
        <w:t>funding</w:t>
      </w:r>
      <w:proofErr w:type="spellEnd"/>
      <w:r w:rsidRPr="00DA7C95">
        <w:rPr>
          <w:sz w:val="28"/>
          <w:szCs w:val="28"/>
        </w:rPr>
        <w:t xml:space="preserve">) – необхідне стабільне фінансування згідно з </w:t>
      </w:r>
      <w:r w:rsidR="0023398D" w:rsidRPr="00DA7C95">
        <w:rPr>
          <w:sz w:val="28"/>
          <w:szCs w:val="28"/>
        </w:rPr>
        <w:t>методикою розрахунку коефіцієнта чистого стабільного фінансування (NSFR)</w:t>
      </w:r>
      <w:r w:rsidRPr="00DA7C95">
        <w:rPr>
          <w:sz w:val="28"/>
          <w:szCs w:val="28"/>
        </w:rPr>
        <w:t>.</w:t>
      </w:r>
    </w:p>
    <w:p w14:paraId="28030B29" w14:textId="1AC78DC2" w:rsidR="00396DE0" w:rsidRPr="00DA7C95" w:rsidRDefault="00396DE0" w:rsidP="00D3042E">
      <w:pPr>
        <w:shd w:val="clear" w:color="auto" w:fill="FFFFFF" w:themeFill="background1"/>
        <w:tabs>
          <w:tab w:val="left" w:pos="993"/>
          <w:tab w:val="left" w:pos="1134"/>
          <w:tab w:val="left" w:pos="1843"/>
        </w:tabs>
        <w:ind w:firstLine="567"/>
      </w:pPr>
      <w:r w:rsidRPr="00DA7C95">
        <w:t>Інші терміни, що вживаються в цьому Положенні, використовуються в значеннях, визначених законами України, нормативно-правовими актами Національного банку.</w:t>
      </w:r>
    </w:p>
    <w:p w14:paraId="4944893B" w14:textId="77777777" w:rsidR="00D442A5" w:rsidRPr="00DA7C95" w:rsidRDefault="00D442A5" w:rsidP="000B1CE1">
      <w:pPr>
        <w:shd w:val="clear" w:color="auto" w:fill="FFFFFF" w:themeFill="background1"/>
        <w:tabs>
          <w:tab w:val="left" w:pos="993"/>
          <w:tab w:val="left" w:pos="1134"/>
          <w:tab w:val="left" w:pos="1843"/>
        </w:tabs>
        <w:ind w:firstLine="709"/>
      </w:pPr>
    </w:p>
    <w:p w14:paraId="53E2FC28" w14:textId="168CDDE4" w:rsidR="00D442A5" w:rsidRPr="00DA7C95" w:rsidRDefault="00D442A5" w:rsidP="00D3042E">
      <w:pPr>
        <w:shd w:val="clear" w:color="auto" w:fill="FFFFFF" w:themeFill="background1"/>
        <w:tabs>
          <w:tab w:val="left" w:pos="993"/>
          <w:tab w:val="left" w:pos="1134"/>
          <w:tab w:val="left" w:pos="1843"/>
        </w:tabs>
        <w:ind w:firstLine="567"/>
      </w:pPr>
      <w:r w:rsidRPr="00DA7C95">
        <w:t xml:space="preserve">3. Це Положення встановлює мінімальні вимоги до організації в банках і банківських групах процесу оцінки достатності внутрішньої ліквідності (далі – процес ILAAP) для підтримання на постійній основі обсягу внутрішньої </w:t>
      </w:r>
      <w:r w:rsidRPr="00DA7C95">
        <w:lastRenderedPageBreak/>
        <w:t xml:space="preserve">ліквідності в розмірі, достатньому для одночасного покриття всіх суттєвих ризиків, </w:t>
      </w:r>
      <w:r w:rsidR="00ED7344" w:rsidRPr="00DA7C95">
        <w:t>пов</w:t>
      </w:r>
      <w:r w:rsidR="00ED7344">
        <w:t>’</w:t>
      </w:r>
      <w:r w:rsidR="00ED7344" w:rsidRPr="00DA7C95">
        <w:t xml:space="preserve">язаних </w:t>
      </w:r>
      <w:r w:rsidR="00ED7344">
        <w:t>і</w:t>
      </w:r>
      <w:r w:rsidRPr="00DA7C95">
        <w:t>з ліквідністю, очікуваних відпливів грошових коштів, забезпечення достатнього фінансування та дотримання встановлених Національним банком вимог щодо достатності ліквідності, включаючи підтримання визначеного банком</w:t>
      </w:r>
      <w:r w:rsidR="00ED7344">
        <w:t> </w:t>
      </w:r>
      <w:r w:rsidRPr="00DA7C95">
        <w:t>/</w:t>
      </w:r>
      <w:r w:rsidR="00ED7344">
        <w:t> </w:t>
      </w:r>
      <w:r w:rsidRPr="00DA7C95">
        <w:t>банківською групою управлінського запасу внутрішньої ліквідності.</w:t>
      </w:r>
    </w:p>
    <w:p w14:paraId="45F07381" w14:textId="77777777" w:rsidR="00D442A5" w:rsidRPr="00DA7C95" w:rsidRDefault="00D442A5" w:rsidP="00D3042E">
      <w:pPr>
        <w:shd w:val="clear" w:color="auto" w:fill="FFFFFF" w:themeFill="background1"/>
        <w:tabs>
          <w:tab w:val="left" w:pos="993"/>
          <w:tab w:val="left" w:pos="1134"/>
          <w:tab w:val="left" w:pos="1843"/>
        </w:tabs>
        <w:ind w:firstLine="567"/>
      </w:pPr>
    </w:p>
    <w:p w14:paraId="348C0810" w14:textId="78E21D2A" w:rsidR="00D442A5" w:rsidRPr="00DA7C95" w:rsidRDefault="00353199" w:rsidP="00D3042E">
      <w:pPr>
        <w:shd w:val="clear" w:color="auto" w:fill="FFFFFF" w:themeFill="background1"/>
        <w:tabs>
          <w:tab w:val="left" w:pos="993"/>
          <w:tab w:val="left" w:pos="1134"/>
          <w:tab w:val="left" w:pos="1843"/>
        </w:tabs>
        <w:ind w:firstLine="567"/>
      </w:pPr>
      <w:r>
        <w:t>4</w:t>
      </w:r>
      <w:r w:rsidR="00D442A5" w:rsidRPr="00DA7C95">
        <w:t>. Підходи, визначені цим Положенням, ґрунтуються на:</w:t>
      </w:r>
    </w:p>
    <w:p w14:paraId="7B1E0C60" w14:textId="77777777" w:rsidR="00D442A5" w:rsidRPr="00DA7C95" w:rsidRDefault="00D442A5" w:rsidP="00D3042E">
      <w:pPr>
        <w:shd w:val="clear" w:color="auto" w:fill="FFFFFF" w:themeFill="background1"/>
        <w:tabs>
          <w:tab w:val="left" w:pos="993"/>
          <w:tab w:val="left" w:pos="1134"/>
          <w:tab w:val="left" w:pos="1843"/>
        </w:tabs>
        <w:ind w:firstLine="567"/>
      </w:pPr>
    </w:p>
    <w:p w14:paraId="4ACDB26A" w14:textId="35EBD206" w:rsidR="00D442A5" w:rsidRPr="00FF180F" w:rsidRDefault="00D442A5" w:rsidP="00D3042E">
      <w:pPr>
        <w:shd w:val="clear" w:color="auto" w:fill="FFFFFF" w:themeFill="background1"/>
        <w:tabs>
          <w:tab w:val="left" w:pos="993"/>
          <w:tab w:val="left" w:pos="1134"/>
          <w:tab w:val="left" w:pos="1843"/>
        </w:tabs>
        <w:ind w:firstLine="567"/>
      </w:pPr>
      <w:r w:rsidRPr="00FF180F">
        <w:t>1)</w:t>
      </w:r>
      <w:r w:rsidRPr="00FF180F">
        <w:tab/>
        <w:t xml:space="preserve">документі Базельського комітету з банківського нагляду “Принципи ефективного управління ризиками ліквідності і нагляду”, вересень 2008 року </w:t>
      </w:r>
      <w:r w:rsidR="006C0B3A">
        <w:t>(</w:t>
      </w:r>
      <w:r w:rsidR="00FD7D47" w:rsidRPr="00FD7D47">
        <w:t xml:space="preserve">англійською мовою </w:t>
      </w:r>
      <w:proofErr w:type="spellStart"/>
      <w:r w:rsidR="00FD7D47" w:rsidRPr="00FD7D47">
        <w:t>Principles</w:t>
      </w:r>
      <w:proofErr w:type="spellEnd"/>
      <w:r w:rsidR="00FD7D47" w:rsidRPr="00FD7D47">
        <w:t xml:space="preserve"> </w:t>
      </w:r>
      <w:proofErr w:type="spellStart"/>
      <w:r w:rsidR="00FD7D47" w:rsidRPr="00FD7D47">
        <w:t>for</w:t>
      </w:r>
      <w:proofErr w:type="spellEnd"/>
      <w:r w:rsidR="00FD7D47" w:rsidRPr="00FD7D47">
        <w:t xml:space="preserve"> </w:t>
      </w:r>
      <w:proofErr w:type="spellStart"/>
      <w:r w:rsidR="00FD7D47" w:rsidRPr="00FD7D47">
        <w:t>Sound</w:t>
      </w:r>
      <w:proofErr w:type="spellEnd"/>
      <w:r w:rsidR="00FD7D47" w:rsidRPr="00FD7D47">
        <w:t xml:space="preserve"> </w:t>
      </w:r>
      <w:proofErr w:type="spellStart"/>
      <w:r w:rsidR="00FD7D47" w:rsidRPr="00FD7D47">
        <w:t>Liquidity</w:t>
      </w:r>
      <w:proofErr w:type="spellEnd"/>
      <w:r w:rsidR="00FD7D47" w:rsidRPr="00FD7D47">
        <w:t xml:space="preserve"> </w:t>
      </w:r>
      <w:proofErr w:type="spellStart"/>
      <w:r w:rsidR="00FD7D47" w:rsidRPr="00FD7D47">
        <w:t>Risk</w:t>
      </w:r>
      <w:proofErr w:type="spellEnd"/>
      <w:r w:rsidR="00FD7D47" w:rsidRPr="00FD7D47">
        <w:t xml:space="preserve"> </w:t>
      </w:r>
      <w:proofErr w:type="spellStart"/>
      <w:r w:rsidR="00FD7D47" w:rsidRPr="00FD7D47">
        <w:t>Management</w:t>
      </w:r>
      <w:proofErr w:type="spellEnd"/>
      <w:r w:rsidR="00FD7D47" w:rsidRPr="00FD7D47">
        <w:t xml:space="preserve"> </w:t>
      </w:r>
      <w:proofErr w:type="spellStart"/>
      <w:r w:rsidR="00FD7D47" w:rsidRPr="00FD7D47">
        <w:t>and</w:t>
      </w:r>
      <w:proofErr w:type="spellEnd"/>
      <w:r w:rsidR="00FD7D47" w:rsidRPr="00FD7D47">
        <w:t xml:space="preserve"> </w:t>
      </w:r>
      <w:proofErr w:type="spellStart"/>
      <w:r w:rsidR="00FD7D47" w:rsidRPr="00FD7D47">
        <w:t>Supervision</w:t>
      </w:r>
      <w:proofErr w:type="spellEnd"/>
      <w:r w:rsidR="00FD7D47" w:rsidRPr="00FD7D47">
        <w:t xml:space="preserve">, </w:t>
      </w:r>
      <w:proofErr w:type="spellStart"/>
      <w:r w:rsidR="00FD7D47" w:rsidRPr="00FD7D47">
        <w:t>September</w:t>
      </w:r>
      <w:proofErr w:type="spellEnd"/>
      <w:r w:rsidR="00FD7D47" w:rsidRPr="00FD7D47">
        <w:t xml:space="preserve"> 2008</w:t>
      </w:r>
      <w:r w:rsidR="006C0B3A">
        <w:t>)</w:t>
      </w:r>
      <w:r w:rsidRPr="00FF180F">
        <w:t>;</w:t>
      </w:r>
    </w:p>
    <w:p w14:paraId="504269F1" w14:textId="77777777" w:rsidR="00D442A5" w:rsidRPr="00FF180F" w:rsidRDefault="00D442A5" w:rsidP="00D3042E">
      <w:pPr>
        <w:shd w:val="clear" w:color="auto" w:fill="FFFFFF" w:themeFill="background1"/>
        <w:tabs>
          <w:tab w:val="left" w:pos="993"/>
          <w:tab w:val="left" w:pos="1134"/>
          <w:tab w:val="left" w:pos="1843"/>
        </w:tabs>
        <w:ind w:firstLine="567"/>
      </w:pPr>
    </w:p>
    <w:p w14:paraId="1EE72FCC" w14:textId="3F93E976" w:rsidR="00D442A5" w:rsidRPr="00FF180F" w:rsidRDefault="00D442A5" w:rsidP="00D3042E">
      <w:pPr>
        <w:shd w:val="clear" w:color="auto" w:fill="FFFFFF" w:themeFill="background1"/>
        <w:tabs>
          <w:tab w:val="left" w:pos="993"/>
          <w:tab w:val="left" w:pos="1134"/>
          <w:tab w:val="left" w:pos="1843"/>
        </w:tabs>
        <w:ind w:firstLine="567"/>
      </w:pPr>
      <w:r w:rsidRPr="00FF180F">
        <w:t>2)</w:t>
      </w:r>
      <w:r w:rsidRPr="00FF180F">
        <w:tab/>
      </w:r>
      <w:r w:rsidR="00883250" w:rsidRPr="00FF180F">
        <w:t xml:space="preserve">Директиві Європейського Парламенту і Ради 2013/36/ЄС від 26 червня 2013 року про доступ до діяльності кредитних установ і </w:t>
      </w:r>
      <w:proofErr w:type="spellStart"/>
      <w:r w:rsidR="00883250" w:rsidRPr="00FF180F">
        <w:t>пруденційний</w:t>
      </w:r>
      <w:proofErr w:type="spellEnd"/>
      <w:r w:rsidR="00883250" w:rsidRPr="00FF180F">
        <w:t xml:space="preserve"> нагляд за кредитними установами та інвестиційними фірмами про внесення змін до Директиви 2002/87/ЄС та про скасування директив 2006/48/ЄС та 2006/49/ЄС</w:t>
      </w:r>
      <w:r w:rsidRPr="00FF180F">
        <w:t>;</w:t>
      </w:r>
    </w:p>
    <w:p w14:paraId="26217882" w14:textId="07A5860D" w:rsidR="00D442A5" w:rsidRPr="00FF180F" w:rsidRDefault="00D442A5" w:rsidP="00D3042E">
      <w:pPr>
        <w:shd w:val="clear" w:color="auto" w:fill="FFFFFF" w:themeFill="background1"/>
        <w:tabs>
          <w:tab w:val="left" w:pos="993"/>
          <w:tab w:val="left" w:pos="1134"/>
          <w:tab w:val="left" w:pos="1843"/>
        </w:tabs>
        <w:ind w:firstLine="567"/>
      </w:pPr>
    </w:p>
    <w:p w14:paraId="6D18CD12" w14:textId="62178584" w:rsidR="00D442A5" w:rsidRPr="00FF180F" w:rsidRDefault="00D442A5" w:rsidP="00D3042E">
      <w:pPr>
        <w:shd w:val="clear" w:color="auto" w:fill="FFFFFF" w:themeFill="background1"/>
        <w:tabs>
          <w:tab w:val="left" w:pos="993"/>
          <w:tab w:val="left" w:pos="1134"/>
          <w:tab w:val="left" w:pos="1843"/>
        </w:tabs>
        <w:ind w:firstLine="567"/>
      </w:pPr>
      <w:r w:rsidRPr="00FF180F">
        <w:t>3)</w:t>
      </w:r>
      <w:r w:rsidRPr="00FF180F">
        <w:tab/>
        <w:t xml:space="preserve">Настановах Європейського центрального банку щодо процесу оцінки достатності внутрішньої ліквідності, листопад 2018 року [англійською мовою </w:t>
      </w:r>
      <w:proofErr w:type="spellStart"/>
      <w:r w:rsidR="00FD7D47" w:rsidRPr="00FD7D47">
        <w:t>Guide</w:t>
      </w:r>
      <w:proofErr w:type="spellEnd"/>
      <w:r w:rsidR="00FD7D47" w:rsidRPr="00FD7D47">
        <w:t xml:space="preserve"> </w:t>
      </w:r>
      <w:proofErr w:type="spellStart"/>
      <w:r w:rsidR="00FD7D47" w:rsidRPr="00FD7D47">
        <w:t>to</w:t>
      </w:r>
      <w:proofErr w:type="spellEnd"/>
      <w:r w:rsidR="00FD7D47" w:rsidRPr="00FD7D47">
        <w:t xml:space="preserve"> </w:t>
      </w:r>
      <w:proofErr w:type="spellStart"/>
      <w:r w:rsidR="00FD7D47" w:rsidRPr="00FD7D47">
        <w:t>the</w:t>
      </w:r>
      <w:proofErr w:type="spellEnd"/>
      <w:r w:rsidR="00FD7D47" w:rsidRPr="00FD7D47">
        <w:t xml:space="preserve"> </w:t>
      </w:r>
      <w:proofErr w:type="spellStart"/>
      <w:r w:rsidR="00FD7D47" w:rsidRPr="00FD7D47">
        <w:t>internal</w:t>
      </w:r>
      <w:proofErr w:type="spellEnd"/>
      <w:r w:rsidR="00FD7D47" w:rsidRPr="00FD7D47">
        <w:t xml:space="preserve"> </w:t>
      </w:r>
      <w:proofErr w:type="spellStart"/>
      <w:r w:rsidR="00FD7D47" w:rsidRPr="00FD7D47">
        <w:t>liquidity</w:t>
      </w:r>
      <w:proofErr w:type="spellEnd"/>
      <w:r w:rsidR="00FD7D47" w:rsidRPr="00FD7D47">
        <w:t xml:space="preserve"> </w:t>
      </w:r>
      <w:proofErr w:type="spellStart"/>
      <w:r w:rsidR="00FD7D47" w:rsidRPr="00FD7D47">
        <w:t>adequacy</w:t>
      </w:r>
      <w:proofErr w:type="spellEnd"/>
      <w:r w:rsidR="00FD7D47" w:rsidRPr="00FD7D47">
        <w:t xml:space="preserve"> </w:t>
      </w:r>
      <w:proofErr w:type="spellStart"/>
      <w:r w:rsidR="00FD7D47" w:rsidRPr="00FD7D47">
        <w:t>assessment</w:t>
      </w:r>
      <w:proofErr w:type="spellEnd"/>
      <w:r w:rsidR="00FD7D47" w:rsidRPr="00FD7D47">
        <w:t xml:space="preserve"> </w:t>
      </w:r>
      <w:proofErr w:type="spellStart"/>
      <w:r w:rsidR="00FD7D47" w:rsidRPr="00FD7D47">
        <w:t>process</w:t>
      </w:r>
      <w:proofErr w:type="spellEnd"/>
      <w:r w:rsidR="00FD7D47" w:rsidRPr="00FD7D47">
        <w:t xml:space="preserve"> (ILAAP), </w:t>
      </w:r>
      <w:proofErr w:type="spellStart"/>
      <w:r w:rsidR="00FD7D47" w:rsidRPr="00FD7D47">
        <w:t>November</w:t>
      </w:r>
      <w:proofErr w:type="spellEnd"/>
      <w:r w:rsidR="00FD7D47" w:rsidRPr="00FD7D47">
        <w:t xml:space="preserve"> 2018</w:t>
      </w:r>
      <w:r w:rsidRPr="00FF180F">
        <w:t>];</w:t>
      </w:r>
    </w:p>
    <w:p w14:paraId="6B800E11" w14:textId="77777777" w:rsidR="00D442A5" w:rsidRPr="00FF180F" w:rsidRDefault="00D442A5" w:rsidP="00D3042E">
      <w:pPr>
        <w:shd w:val="clear" w:color="auto" w:fill="FFFFFF" w:themeFill="background1"/>
        <w:tabs>
          <w:tab w:val="left" w:pos="993"/>
          <w:tab w:val="left" w:pos="1134"/>
          <w:tab w:val="left" w:pos="1843"/>
        </w:tabs>
        <w:ind w:firstLine="567"/>
      </w:pPr>
    </w:p>
    <w:p w14:paraId="2AA89CFC" w14:textId="2F010DC4" w:rsidR="00D442A5" w:rsidRDefault="00D442A5" w:rsidP="00D3042E">
      <w:pPr>
        <w:shd w:val="clear" w:color="auto" w:fill="FFFFFF" w:themeFill="background1"/>
        <w:tabs>
          <w:tab w:val="left" w:pos="993"/>
          <w:tab w:val="left" w:pos="1134"/>
          <w:tab w:val="left" w:pos="1843"/>
        </w:tabs>
        <w:ind w:firstLine="567"/>
      </w:pPr>
      <w:r w:rsidRPr="00FF180F">
        <w:t>4)</w:t>
      </w:r>
      <w:r w:rsidRPr="00FF180F">
        <w:tab/>
        <w:t xml:space="preserve">Настановах Європейського органу банківського нагляду щодо інформації стосовно ICAAP (процесу оцінки достатності внутрішнього капіталу) та ILAAP (процесу оцінки достатності внутрішньої ліквідності), зібраної для цілей SREP (процесу наглядових перевірок та оцінки), листопад 2016 року </w:t>
      </w:r>
      <w:r w:rsidR="006C0B3A">
        <w:t>(</w:t>
      </w:r>
      <w:r w:rsidRPr="00FF180F">
        <w:t xml:space="preserve">англійською мовою </w:t>
      </w:r>
      <w:proofErr w:type="spellStart"/>
      <w:r w:rsidR="00FD7D47" w:rsidRPr="00FD7D47">
        <w:t>Guidelines</w:t>
      </w:r>
      <w:proofErr w:type="spellEnd"/>
      <w:r w:rsidR="00FD7D47" w:rsidRPr="00FD7D47">
        <w:t xml:space="preserve"> </w:t>
      </w:r>
      <w:proofErr w:type="spellStart"/>
      <w:r w:rsidR="00FD7D47" w:rsidRPr="00FD7D47">
        <w:t>on</w:t>
      </w:r>
      <w:proofErr w:type="spellEnd"/>
      <w:r w:rsidR="00FD7D47" w:rsidRPr="00FD7D47">
        <w:t xml:space="preserve"> ICAAP </w:t>
      </w:r>
      <w:proofErr w:type="spellStart"/>
      <w:r w:rsidR="00FD7D47" w:rsidRPr="00FD7D47">
        <w:t>and</w:t>
      </w:r>
      <w:proofErr w:type="spellEnd"/>
      <w:r w:rsidR="00FD7D47" w:rsidRPr="00FD7D47">
        <w:t xml:space="preserve"> ILAAP </w:t>
      </w:r>
      <w:proofErr w:type="spellStart"/>
      <w:r w:rsidR="00FD7D47" w:rsidRPr="00FD7D47">
        <w:t>information</w:t>
      </w:r>
      <w:proofErr w:type="spellEnd"/>
      <w:r w:rsidR="00FD7D47" w:rsidRPr="00FD7D47">
        <w:t xml:space="preserve"> </w:t>
      </w:r>
      <w:proofErr w:type="spellStart"/>
      <w:r w:rsidR="00FD7D47" w:rsidRPr="00FD7D47">
        <w:t>collected</w:t>
      </w:r>
      <w:proofErr w:type="spellEnd"/>
      <w:r w:rsidR="00FD7D47" w:rsidRPr="00FD7D47">
        <w:t xml:space="preserve"> </w:t>
      </w:r>
      <w:proofErr w:type="spellStart"/>
      <w:r w:rsidR="00FD7D47" w:rsidRPr="00FD7D47">
        <w:t>for</w:t>
      </w:r>
      <w:proofErr w:type="spellEnd"/>
      <w:r w:rsidR="00FD7D47" w:rsidRPr="00FD7D47">
        <w:t xml:space="preserve"> SREP </w:t>
      </w:r>
      <w:proofErr w:type="spellStart"/>
      <w:r w:rsidR="00FD7D47" w:rsidRPr="00FD7D47">
        <w:t>purposes</w:t>
      </w:r>
      <w:proofErr w:type="spellEnd"/>
      <w:r w:rsidR="00FD7D47" w:rsidRPr="00FD7D47">
        <w:t xml:space="preserve">, </w:t>
      </w:r>
      <w:proofErr w:type="spellStart"/>
      <w:r w:rsidR="00FD7D47" w:rsidRPr="00FD7D47">
        <w:t>November</w:t>
      </w:r>
      <w:proofErr w:type="spellEnd"/>
      <w:r w:rsidR="00FD7D47" w:rsidRPr="00FD7D47">
        <w:t xml:space="preserve"> 2016</w:t>
      </w:r>
      <w:r w:rsidR="006C0B3A">
        <w:t>)</w:t>
      </w:r>
      <w:r w:rsidRPr="00FF180F">
        <w:t>.</w:t>
      </w:r>
    </w:p>
    <w:p w14:paraId="219B3E4C" w14:textId="77777777" w:rsidR="00D442A5" w:rsidRPr="00DA7C95" w:rsidRDefault="00D442A5" w:rsidP="000B1CE1">
      <w:pPr>
        <w:shd w:val="clear" w:color="auto" w:fill="FFFFFF" w:themeFill="background1"/>
        <w:tabs>
          <w:tab w:val="left" w:pos="993"/>
          <w:tab w:val="left" w:pos="1134"/>
          <w:tab w:val="left" w:pos="1843"/>
        </w:tabs>
        <w:ind w:firstLine="709"/>
      </w:pPr>
    </w:p>
    <w:p w14:paraId="1E82C6C9" w14:textId="77777777" w:rsidR="00396DE0" w:rsidRPr="00DA7C95" w:rsidRDefault="00396DE0" w:rsidP="000B1CE1">
      <w:pPr>
        <w:pStyle w:val="1"/>
        <w:numPr>
          <w:ilvl w:val="0"/>
          <w:numId w:val="1"/>
        </w:numPr>
        <w:shd w:val="clear" w:color="auto" w:fill="FFFFFF" w:themeFill="background1"/>
        <w:tabs>
          <w:tab w:val="left" w:pos="284"/>
        </w:tabs>
        <w:spacing w:before="0"/>
        <w:ind w:left="0" w:firstLine="0"/>
        <w:jc w:val="center"/>
        <w:rPr>
          <w:rFonts w:ascii="Times New Roman" w:hAnsi="Times New Roman" w:cs="Times New Roman"/>
          <w:color w:val="auto"/>
          <w:sz w:val="28"/>
          <w:szCs w:val="28"/>
          <w:lang w:eastAsia="uk-UA"/>
        </w:rPr>
      </w:pPr>
      <w:r w:rsidRPr="00DA7C95">
        <w:rPr>
          <w:rFonts w:ascii="Times New Roman" w:hAnsi="Times New Roman" w:cs="Times New Roman"/>
          <w:color w:val="auto"/>
          <w:sz w:val="28"/>
          <w:szCs w:val="28"/>
          <w:lang w:eastAsia="uk-UA"/>
        </w:rPr>
        <w:t xml:space="preserve">Загальні підходи та принципи </w:t>
      </w:r>
      <w:r w:rsidRPr="00DA7C95">
        <w:rPr>
          <w:rFonts w:ascii="Times New Roman" w:hAnsi="Times New Roman" w:cs="Times New Roman"/>
          <w:color w:val="auto"/>
          <w:sz w:val="28"/>
          <w:szCs w:val="28"/>
          <w:lang w:eastAsia="uk-UA"/>
        </w:rPr>
        <w:br/>
        <w:t>організації процесу ILAAP</w:t>
      </w:r>
    </w:p>
    <w:p w14:paraId="1A10D062" w14:textId="54F0D751" w:rsidR="00396DE0" w:rsidRDefault="00396DE0">
      <w:pPr>
        <w:pStyle w:val="a4"/>
        <w:shd w:val="clear" w:color="auto" w:fill="FFFFFF" w:themeFill="background1"/>
        <w:tabs>
          <w:tab w:val="left" w:pos="0"/>
        </w:tabs>
        <w:ind w:left="0"/>
      </w:pPr>
    </w:p>
    <w:p w14:paraId="63F7FEAD" w14:textId="75FFC263" w:rsidR="00550BD1" w:rsidRPr="00DA7C95" w:rsidRDefault="006F5A68" w:rsidP="00D3042E">
      <w:pPr>
        <w:shd w:val="clear" w:color="auto" w:fill="FFFFFF" w:themeFill="background1"/>
        <w:tabs>
          <w:tab w:val="left" w:pos="993"/>
          <w:tab w:val="left" w:pos="1134"/>
          <w:tab w:val="left" w:pos="1843"/>
        </w:tabs>
        <w:ind w:firstLine="567"/>
      </w:pPr>
      <w:r w:rsidRPr="00266E51">
        <w:t>5</w:t>
      </w:r>
      <w:r w:rsidR="00550BD1" w:rsidRPr="00DA7C95">
        <w:t xml:space="preserve">. Процес ILAAP </w:t>
      </w:r>
      <w:r w:rsidR="00550BD1" w:rsidRPr="00054F39">
        <w:t>банку</w:t>
      </w:r>
      <w:r w:rsidR="00937442">
        <w:t> </w:t>
      </w:r>
      <w:r w:rsidR="00550BD1" w:rsidRPr="00054F39">
        <w:t>/</w:t>
      </w:r>
      <w:r w:rsidR="00937442">
        <w:t> </w:t>
      </w:r>
      <w:r w:rsidR="00550BD1" w:rsidRPr="00054F39">
        <w:t>банківської групи (далі – банк)</w:t>
      </w:r>
      <w:r w:rsidR="00550BD1" w:rsidRPr="00DA7C95">
        <w:t xml:space="preserve"> </w:t>
      </w:r>
      <w:r w:rsidR="00937442">
        <w:t>у</w:t>
      </w:r>
      <w:r w:rsidR="00937442" w:rsidRPr="00DA7C95">
        <w:t>ключає</w:t>
      </w:r>
      <w:r w:rsidR="00550BD1" w:rsidRPr="00DA7C95">
        <w:t>:</w:t>
      </w:r>
    </w:p>
    <w:p w14:paraId="3BF2196D" w14:textId="77777777" w:rsidR="00550BD1" w:rsidRPr="00DA7C95" w:rsidRDefault="00550BD1" w:rsidP="00D3042E">
      <w:pPr>
        <w:shd w:val="clear" w:color="auto" w:fill="FFFFFF" w:themeFill="background1"/>
        <w:tabs>
          <w:tab w:val="left" w:pos="993"/>
          <w:tab w:val="left" w:pos="1134"/>
          <w:tab w:val="left" w:pos="1843"/>
        </w:tabs>
        <w:ind w:firstLine="567"/>
      </w:pPr>
    </w:p>
    <w:p w14:paraId="51C637A0" w14:textId="77777777" w:rsidR="00550BD1" w:rsidRPr="00DA7C95" w:rsidRDefault="00550BD1" w:rsidP="00D3042E">
      <w:pPr>
        <w:shd w:val="clear" w:color="auto" w:fill="FFFFFF" w:themeFill="background1"/>
        <w:tabs>
          <w:tab w:val="left" w:pos="993"/>
          <w:tab w:val="left" w:pos="1134"/>
          <w:tab w:val="left" w:pos="1843"/>
        </w:tabs>
        <w:ind w:firstLine="567"/>
      </w:pPr>
      <w:r w:rsidRPr="00DA7C95">
        <w:t>1)</w:t>
      </w:r>
      <w:r w:rsidRPr="00DA7C95">
        <w:tab/>
        <w:t>оцінку достатності внутрішньої ліквідності за економічною та нормативною перспективами на прогнозний період;</w:t>
      </w:r>
    </w:p>
    <w:p w14:paraId="3C50C47A" w14:textId="77777777" w:rsidR="00550BD1" w:rsidRPr="00DA7C95" w:rsidRDefault="00550BD1" w:rsidP="00D3042E">
      <w:pPr>
        <w:shd w:val="clear" w:color="auto" w:fill="FFFFFF" w:themeFill="background1"/>
        <w:tabs>
          <w:tab w:val="left" w:pos="993"/>
          <w:tab w:val="left" w:pos="1134"/>
          <w:tab w:val="left" w:pos="1843"/>
        </w:tabs>
        <w:ind w:firstLine="567"/>
      </w:pPr>
    </w:p>
    <w:p w14:paraId="018E3D83" w14:textId="77777777" w:rsidR="00550BD1" w:rsidRPr="00DA7C95" w:rsidRDefault="00550BD1" w:rsidP="00D3042E">
      <w:pPr>
        <w:shd w:val="clear" w:color="auto" w:fill="FFFFFF" w:themeFill="background1"/>
        <w:tabs>
          <w:tab w:val="left" w:pos="993"/>
          <w:tab w:val="left" w:pos="1134"/>
          <w:tab w:val="left" w:pos="1843"/>
        </w:tabs>
        <w:ind w:firstLine="567"/>
      </w:pPr>
      <w:r w:rsidRPr="00DA7C95">
        <w:t>2)</w:t>
      </w:r>
      <w:r w:rsidRPr="00DA7C95">
        <w:tab/>
        <w:t>планування достатності внутрішньої ліквідності;</w:t>
      </w:r>
    </w:p>
    <w:p w14:paraId="48DA7F1D" w14:textId="77777777" w:rsidR="00550BD1" w:rsidRPr="00DA7C95" w:rsidRDefault="00550BD1" w:rsidP="00550BD1">
      <w:pPr>
        <w:shd w:val="clear" w:color="auto" w:fill="FFFFFF" w:themeFill="background1"/>
        <w:tabs>
          <w:tab w:val="left" w:pos="993"/>
          <w:tab w:val="left" w:pos="1134"/>
          <w:tab w:val="left" w:pos="1843"/>
        </w:tabs>
        <w:ind w:firstLine="709"/>
      </w:pPr>
    </w:p>
    <w:p w14:paraId="014B620B" w14:textId="77777777" w:rsidR="00550BD1" w:rsidRPr="00DA7C95" w:rsidRDefault="00550BD1" w:rsidP="00D3042E">
      <w:pPr>
        <w:shd w:val="clear" w:color="auto" w:fill="FFFFFF" w:themeFill="background1"/>
        <w:tabs>
          <w:tab w:val="left" w:pos="993"/>
          <w:tab w:val="left" w:pos="1134"/>
          <w:tab w:val="left" w:pos="1843"/>
        </w:tabs>
        <w:ind w:firstLine="567"/>
      </w:pPr>
      <w:r w:rsidRPr="00DA7C95">
        <w:t>3)</w:t>
      </w:r>
      <w:r w:rsidRPr="00DA7C95">
        <w:tab/>
        <w:t>моніторинг достатності внутрішньої ліквідності та складання управлінської звітності щодо достатності внутрішньої ліквідності;</w:t>
      </w:r>
    </w:p>
    <w:p w14:paraId="43FCEB28" w14:textId="77777777" w:rsidR="00550BD1" w:rsidRPr="00DA7C95" w:rsidRDefault="00550BD1" w:rsidP="00D3042E">
      <w:pPr>
        <w:shd w:val="clear" w:color="auto" w:fill="FFFFFF" w:themeFill="background1"/>
        <w:tabs>
          <w:tab w:val="left" w:pos="993"/>
          <w:tab w:val="left" w:pos="1134"/>
          <w:tab w:val="left" w:pos="1843"/>
        </w:tabs>
        <w:ind w:firstLine="567"/>
      </w:pPr>
    </w:p>
    <w:p w14:paraId="58D628FC" w14:textId="77777777" w:rsidR="00550BD1" w:rsidRPr="00DA7C95" w:rsidRDefault="00550BD1" w:rsidP="00D3042E">
      <w:pPr>
        <w:shd w:val="clear" w:color="auto" w:fill="FFFFFF" w:themeFill="background1"/>
        <w:tabs>
          <w:tab w:val="left" w:pos="993"/>
          <w:tab w:val="left" w:pos="1134"/>
          <w:tab w:val="left" w:pos="1843"/>
        </w:tabs>
        <w:ind w:firstLine="567"/>
      </w:pPr>
      <w:r w:rsidRPr="00DA7C95">
        <w:t>4)</w:t>
      </w:r>
      <w:r w:rsidRPr="00DA7C95">
        <w:tab/>
        <w:t>самооцінку банком процесу ILAAP;</w:t>
      </w:r>
    </w:p>
    <w:p w14:paraId="2AEF2D7B" w14:textId="77777777" w:rsidR="00550BD1" w:rsidRPr="00DA7C95" w:rsidRDefault="00550BD1" w:rsidP="00D3042E">
      <w:pPr>
        <w:shd w:val="clear" w:color="auto" w:fill="FFFFFF" w:themeFill="background1"/>
        <w:tabs>
          <w:tab w:val="left" w:pos="993"/>
          <w:tab w:val="left" w:pos="1134"/>
          <w:tab w:val="left" w:pos="1843"/>
        </w:tabs>
        <w:ind w:firstLine="567"/>
      </w:pPr>
    </w:p>
    <w:p w14:paraId="34B08AAC" w14:textId="77777777" w:rsidR="00550BD1" w:rsidRPr="00DA7C95" w:rsidRDefault="00550BD1" w:rsidP="00D3042E">
      <w:pPr>
        <w:shd w:val="clear" w:color="auto" w:fill="FFFFFF" w:themeFill="background1"/>
        <w:tabs>
          <w:tab w:val="left" w:pos="993"/>
          <w:tab w:val="left" w:pos="1134"/>
          <w:tab w:val="left" w:pos="1843"/>
        </w:tabs>
        <w:ind w:firstLine="567"/>
      </w:pPr>
      <w:r w:rsidRPr="00DA7C95">
        <w:t>5)</w:t>
      </w:r>
      <w:r w:rsidRPr="00DA7C95">
        <w:tab/>
        <w:t>складання звіту щодо процесу оцінки достатності внутрішньої ліквідності (далі – Звіт щодо процесу ILAAP) та подання його до Національного банку.</w:t>
      </w:r>
    </w:p>
    <w:p w14:paraId="36812514" w14:textId="36BAF683" w:rsidR="00550BD1" w:rsidRDefault="00550BD1" w:rsidP="00D3042E">
      <w:pPr>
        <w:pStyle w:val="a4"/>
        <w:shd w:val="clear" w:color="auto" w:fill="FFFFFF" w:themeFill="background1"/>
        <w:tabs>
          <w:tab w:val="left" w:pos="0"/>
        </w:tabs>
        <w:ind w:left="0" w:firstLine="567"/>
      </w:pPr>
    </w:p>
    <w:p w14:paraId="1216FE65" w14:textId="3230004E" w:rsidR="00396DE0" w:rsidRPr="00DA7C95" w:rsidRDefault="006F5A68" w:rsidP="00D3042E">
      <w:pPr>
        <w:shd w:val="clear" w:color="auto" w:fill="FFFFFF" w:themeFill="background1"/>
        <w:ind w:firstLine="567"/>
      </w:pPr>
      <w:r>
        <w:rPr>
          <w:bCs/>
        </w:rPr>
        <w:t>6</w:t>
      </w:r>
      <w:r w:rsidR="00396DE0" w:rsidRPr="00DA7C95">
        <w:rPr>
          <w:bCs/>
        </w:rPr>
        <w:t>. Банк</w:t>
      </w:r>
      <w:r w:rsidR="00937442">
        <w:rPr>
          <w:bCs/>
        </w:rPr>
        <w:t> </w:t>
      </w:r>
      <w:r w:rsidR="00396DE0" w:rsidRPr="00DA7C95">
        <w:t>/</w:t>
      </w:r>
      <w:r w:rsidR="00937442">
        <w:t> </w:t>
      </w:r>
      <w:r w:rsidR="00396DE0" w:rsidRPr="00DA7C95">
        <w:t>відповідальна особа банківської групи</w:t>
      </w:r>
      <w:r w:rsidR="00396DE0" w:rsidRPr="00DA7C95">
        <w:rPr>
          <w:bCs/>
          <w:shd w:val="clear" w:color="auto" w:fill="FFFFFF"/>
        </w:rPr>
        <w:t xml:space="preserve"> </w:t>
      </w:r>
      <w:r w:rsidR="00396DE0" w:rsidRPr="00DA7C95">
        <w:rPr>
          <w:bCs/>
        </w:rPr>
        <w:t>забезпечує</w:t>
      </w:r>
      <w:r w:rsidR="00396DE0" w:rsidRPr="00DA7C95">
        <w:t xml:space="preserve"> </w:t>
      </w:r>
      <w:r w:rsidR="00396DE0" w:rsidRPr="00DA7C95">
        <w:rPr>
          <w:shd w:val="clear" w:color="auto" w:fill="FFFFFF"/>
        </w:rPr>
        <w:t>на постійній основі підтримання достатнього рівня внутрішньої ліквідності шляхом:</w:t>
      </w:r>
    </w:p>
    <w:p w14:paraId="172A2469" w14:textId="77777777" w:rsidR="00396DE0" w:rsidRPr="00DA7C95" w:rsidRDefault="00396DE0" w:rsidP="00D3042E">
      <w:pPr>
        <w:shd w:val="clear" w:color="auto" w:fill="FFFFFF" w:themeFill="background1"/>
        <w:ind w:firstLine="567"/>
      </w:pPr>
    </w:p>
    <w:p w14:paraId="46C3A111" w14:textId="47142540" w:rsidR="00396DE0" w:rsidRPr="00DA7C95" w:rsidRDefault="00396DE0" w:rsidP="00D3042E">
      <w:pPr>
        <w:shd w:val="clear" w:color="auto" w:fill="FFFFFF" w:themeFill="background1"/>
        <w:ind w:firstLine="567"/>
      </w:pPr>
      <w:r w:rsidRPr="00DA7C95">
        <w:t xml:space="preserve">1) здійснення оцінки достатності внутрішньої ліквідності на прогнозний період </w:t>
      </w:r>
      <w:r w:rsidRPr="00DA7C95">
        <w:rPr>
          <w:shd w:val="clear" w:color="auto" w:fill="FFFFFF"/>
        </w:rPr>
        <w:t>за економічною та нормативною перспективами згідно з главами 3–6 розділу ІІ цього Положення;</w:t>
      </w:r>
    </w:p>
    <w:p w14:paraId="5A06E99B" w14:textId="77777777" w:rsidR="00396DE0" w:rsidRPr="00DA7C95" w:rsidRDefault="00396DE0" w:rsidP="00D3042E">
      <w:pPr>
        <w:shd w:val="clear" w:color="auto" w:fill="FFFFFF" w:themeFill="background1"/>
        <w:ind w:firstLine="567"/>
      </w:pPr>
    </w:p>
    <w:p w14:paraId="563CD6BE" w14:textId="77777777" w:rsidR="00396DE0" w:rsidRPr="00DA7C95" w:rsidRDefault="00396DE0" w:rsidP="00D3042E">
      <w:pPr>
        <w:shd w:val="clear" w:color="auto" w:fill="FFFFFF" w:themeFill="background1"/>
        <w:ind w:firstLine="567"/>
      </w:pPr>
      <w:r w:rsidRPr="00DA7C95">
        <w:rPr>
          <w:shd w:val="clear" w:color="auto" w:fill="FFFFFF"/>
        </w:rPr>
        <w:t xml:space="preserve">2) </w:t>
      </w:r>
      <w:r w:rsidRPr="00DA7C95">
        <w:t xml:space="preserve">планування достатності внутрішньої ліквідності </w:t>
      </w:r>
      <w:r w:rsidRPr="00DA7C95">
        <w:rPr>
          <w:shd w:val="clear" w:color="auto" w:fill="FFFFFF"/>
        </w:rPr>
        <w:t>згідно з главою 7 розділу ІІ цього Положення;</w:t>
      </w:r>
    </w:p>
    <w:p w14:paraId="77072564" w14:textId="77777777" w:rsidR="00396DE0" w:rsidRPr="00DA7C95" w:rsidRDefault="00396DE0" w:rsidP="00D3042E">
      <w:pPr>
        <w:shd w:val="clear" w:color="auto" w:fill="FFFFFF" w:themeFill="background1"/>
        <w:ind w:firstLine="567"/>
      </w:pPr>
    </w:p>
    <w:p w14:paraId="68325C85" w14:textId="77777777" w:rsidR="00396DE0" w:rsidRPr="00DA7C95" w:rsidRDefault="00396DE0" w:rsidP="00D3042E">
      <w:pPr>
        <w:shd w:val="clear" w:color="auto" w:fill="FFFFFF" w:themeFill="background1"/>
        <w:ind w:firstLine="567"/>
      </w:pPr>
      <w:r w:rsidRPr="00DA7C95">
        <w:rPr>
          <w:shd w:val="clear" w:color="auto" w:fill="FFFFFF"/>
        </w:rPr>
        <w:t>3) м</w:t>
      </w:r>
      <w:r w:rsidRPr="00DA7C95">
        <w:t xml:space="preserve">оніторингу достатності внутрішньої ліквідності </w:t>
      </w:r>
      <w:r w:rsidRPr="00DA7C95">
        <w:rPr>
          <w:shd w:val="clear" w:color="auto" w:fill="FFFFFF"/>
        </w:rPr>
        <w:t>згідно з главою 8 розділу ІІІ цього Положення.</w:t>
      </w:r>
      <w:bookmarkStart w:id="24" w:name="_Hlk72525703"/>
      <w:bookmarkEnd w:id="24"/>
    </w:p>
    <w:p w14:paraId="6F14496F" w14:textId="77777777" w:rsidR="00396DE0" w:rsidRPr="00DA7C95" w:rsidRDefault="00396DE0" w:rsidP="00D3042E">
      <w:pPr>
        <w:pStyle w:val="a4"/>
        <w:shd w:val="clear" w:color="auto" w:fill="FFFFFF" w:themeFill="background1"/>
        <w:tabs>
          <w:tab w:val="left" w:pos="0"/>
        </w:tabs>
        <w:ind w:left="0" w:firstLine="567"/>
      </w:pPr>
    </w:p>
    <w:p w14:paraId="78520F79" w14:textId="1243E287" w:rsidR="00396DE0" w:rsidRPr="00DA7C95" w:rsidRDefault="006F5A68" w:rsidP="00D3042E">
      <w:pPr>
        <w:keepNext/>
        <w:keepLines/>
        <w:shd w:val="clear" w:color="auto" w:fill="FFFFFF" w:themeFill="background1"/>
        <w:tabs>
          <w:tab w:val="left" w:pos="0"/>
          <w:tab w:val="left" w:pos="1134"/>
          <w:tab w:val="left" w:pos="1418"/>
        </w:tabs>
        <w:ind w:firstLine="567"/>
      </w:pPr>
      <w:r w:rsidRPr="00D4081F">
        <w:t>7</w:t>
      </w:r>
      <w:r w:rsidR="00396DE0" w:rsidRPr="00DA7C95">
        <w:t>. Банк</w:t>
      </w:r>
      <w:r w:rsidR="00937442">
        <w:t> </w:t>
      </w:r>
      <w:r w:rsidR="00396DE0" w:rsidRPr="00DA7C95">
        <w:t>/</w:t>
      </w:r>
      <w:r w:rsidR="00937442">
        <w:t> </w:t>
      </w:r>
      <w:r w:rsidR="00396DE0" w:rsidRPr="00DA7C95">
        <w:t>відповідальна особа банківської групи забезпечує впровадження та функціонування комплексного, адекватного та ефективного процесу ILAAP:</w:t>
      </w:r>
    </w:p>
    <w:p w14:paraId="7F288160" w14:textId="77777777" w:rsidR="00396DE0" w:rsidRPr="00DA7C95" w:rsidRDefault="00396DE0" w:rsidP="00D3042E">
      <w:pPr>
        <w:shd w:val="clear" w:color="auto" w:fill="FFFFFF" w:themeFill="background1"/>
        <w:tabs>
          <w:tab w:val="left" w:pos="851"/>
          <w:tab w:val="left" w:pos="1276"/>
        </w:tabs>
        <w:ind w:firstLine="567"/>
      </w:pPr>
    </w:p>
    <w:p w14:paraId="4FF839C8" w14:textId="77777777" w:rsidR="00396DE0" w:rsidRPr="00DA7C95" w:rsidRDefault="00396DE0" w:rsidP="00D3042E">
      <w:pPr>
        <w:pStyle w:val="a4"/>
        <w:shd w:val="clear" w:color="auto" w:fill="FFFFFF" w:themeFill="background1"/>
        <w:tabs>
          <w:tab w:val="left" w:pos="1134"/>
          <w:tab w:val="left" w:pos="1276"/>
        </w:tabs>
        <w:ind w:left="0" w:firstLine="567"/>
      </w:pPr>
      <w:r w:rsidRPr="00DA7C95">
        <w:t>1) з урахуванням розміру банку, складності, обсягів, видів, характеру здійснюваних банком операцій, організаційної структури, стратегії та бізнес-плану, профілю ризику банку, а також взаємодії між учасниками банківської групи (далі – особливості діяльності);</w:t>
      </w:r>
    </w:p>
    <w:p w14:paraId="00CD9BE1" w14:textId="77777777" w:rsidR="00396DE0" w:rsidRPr="00DA7C95" w:rsidRDefault="00396DE0" w:rsidP="00D3042E">
      <w:pPr>
        <w:pStyle w:val="a4"/>
        <w:shd w:val="clear" w:color="auto" w:fill="FFFFFF" w:themeFill="background1"/>
        <w:tabs>
          <w:tab w:val="left" w:pos="0"/>
        </w:tabs>
        <w:ind w:left="0" w:firstLine="567"/>
      </w:pPr>
    </w:p>
    <w:p w14:paraId="6AE1C1A1" w14:textId="75D2BF8F" w:rsidR="00396DE0" w:rsidRPr="00DA7C95" w:rsidRDefault="00396DE0" w:rsidP="00D3042E">
      <w:pPr>
        <w:shd w:val="clear" w:color="auto" w:fill="FFFFFF" w:themeFill="background1"/>
        <w:tabs>
          <w:tab w:val="left" w:pos="1134"/>
          <w:tab w:val="left" w:pos="1985"/>
        </w:tabs>
        <w:ind w:firstLine="567"/>
      </w:pPr>
      <w:r w:rsidRPr="00DA7C95">
        <w:t>2) із дотриманням принципів:</w:t>
      </w:r>
    </w:p>
    <w:p w14:paraId="71CE34D9" w14:textId="7A2AA600" w:rsidR="00396DE0" w:rsidRPr="00DA7C95" w:rsidRDefault="00396DE0" w:rsidP="00D3042E">
      <w:pPr>
        <w:shd w:val="clear" w:color="auto" w:fill="FFFFFF" w:themeFill="background1"/>
        <w:tabs>
          <w:tab w:val="left" w:pos="0"/>
          <w:tab w:val="left" w:pos="1134"/>
          <w:tab w:val="left" w:pos="1418"/>
        </w:tabs>
        <w:ind w:firstLine="567"/>
      </w:pPr>
      <w:r w:rsidRPr="00DA7C95">
        <w:t xml:space="preserve">інтегрованості, який передбачає, що процес ILAAP узгоджений </w:t>
      </w:r>
      <w:r w:rsidR="008F3FF4">
        <w:t>і</w:t>
      </w:r>
      <w:r w:rsidRPr="00DA7C95">
        <w:t xml:space="preserve">з системою корпоративного управління, системою внутрішнього контролю, </w:t>
      </w:r>
      <w:r w:rsidR="009244D3" w:rsidRPr="00DA7C95">
        <w:t>включаючи</w:t>
      </w:r>
      <w:r w:rsidRPr="00DA7C95">
        <w:t xml:space="preserve"> систем</w:t>
      </w:r>
      <w:r w:rsidR="009244D3" w:rsidRPr="00DA7C95">
        <w:t>у</w:t>
      </w:r>
      <w:r w:rsidRPr="00DA7C95">
        <w:t xml:space="preserve"> управління ризиками банку, інтегрований із процесами стратегічного планування, бізнес-процесами, процесами управління ризиками та</w:t>
      </w:r>
      <w:r w:rsidRPr="00DA7C95">
        <w:rPr>
          <w:shd w:val="clear" w:color="auto" w:fill="FFFFFF"/>
        </w:rPr>
        <w:t xml:space="preserve"> процесами прийняття управлінських рішень у банку</w:t>
      </w:r>
      <w:r w:rsidRPr="00DA7C95">
        <w:t>;</w:t>
      </w:r>
    </w:p>
    <w:p w14:paraId="0ECE5BDA" w14:textId="68650888" w:rsidR="00396DE0" w:rsidRPr="00DA7C95" w:rsidRDefault="00396DE0" w:rsidP="00D3042E">
      <w:pPr>
        <w:shd w:val="clear" w:color="auto" w:fill="FFFFFF" w:themeFill="background1"/>
        <w:tabs>
          <w:tab w:val="left" w:pos="0"/>
          <w:tab w:val="left" w:pos="1134"/>
          <w:tab w:val="left" w:pos="1418"/>
        </w:tabs>
        <w:ind w:firstLine="567"/>
      </w:pPr>
      <w:r w:rsidRPr="00DA7C95">
        <w:rPr>
          <w:shd w:val="clear" w:color="auto" w:fill="FFFFFF"/>
        </w:rPr>
        <w:t>безперервності, який передбачає, що банк</w:t>
      </w:r>
      <w:r w:rsidR="00937442">
        <w:rPr>
          <w:shd w:val="clear" w:color="auto" w:fill="FFFFFF"/>
          <w:lang w:val="en-US"/>
        </w:rPr>
        <w:t> </w:t>
      </w:r>
      <w:r w:rsidRPr="00DA7C95">
        <w:rPr>
          <w:shd w:val="clear" w:color="auto" w:fill="FFFFFF"/>
        </w:rPr>
        <w:t>/</w:t>
      </w:r>
      <w:r w:rsidR="00937442">
        <w:rPr>
          <w:shd w:val="clear" w:color="auto" w:fill="FFFFFF"/>
          <w:lang w:val="en-US"/>
        </w:rPr>
        <w:t> </w:t>
      </w:r>
      <w:r w:rsidRPr="00DA7C95">
        <w:t>відповідальна особа банківської групи</w:t>
      </w:r>
      <w:r w:rsidRPr="00DA7C95">
        <w:rPr>
          <w:shd w:val="clear" w:color="auto" w:fill="FFFFFF"/>
        </w:rPr>
        <w:t xml:space="preserve"> забезпечує підтримання на постійній основі достатнього рівня внутрішньої ліквідності з метою забезпечення безперервної стабільної діяльності </w:t>
      </w:r>
      <w:r w:rsidRPr="00DA7C95">
        <w:t>банку</w:t>
      </w:r>
      <w:r w:rsidR="00937442">
        <w:rPr>
          <w:lang w:val="en-US"/>
        </w:rPr>
        <w:t> </w:t>
      </w:r>
      <w:r w:rsidRPr="00DA7C95">
        <w:t>/</w:t>
      </w:r>
      <w:r w:rsidR="00937442">
        <w:rPr>
          <w:lang w:val="en-US"/>
        </w:rPr>
        <w:t> </w:t>
      </w:r>
      <w:r w:rsidRPr="00DA7C95">
        <w:t>банків-учасників банківської групи</w:t>
      </w:r>
      <w:r w:rsidRPr="00DA7C95">
        <w:rPr>
          <w:shd w:val="clear" w:color="auto" w:fill="FFFFFF"/>
        </w:rPr>
        <w:t xml:space="preserve"> як у звичайних, так і в стресових</w:t>
      </w:r>
      <w:r w:rsidRPr="00DA7C95">
        <w:t xml:space="preserve"> ситуаціях, з урахуванням впливу на них інших учасників банківської групи;</w:t>
      </w:r>
    </w:p>
    <w:p w14:paraId="1DA666C8" w14:textId="5433F3C2" w:rsidR="00396DE0" w:rsidRPr="00DA7C95" w:rsidRDefault="00396DE0" w:rsidP="00D3042E">
      <w:pPr>
        <w:shd w:val="clear" w:color="auto" w:fill="FFFFFF" w:themeFill="background1"/>
        <w:tabs>
          <w:tab w:val="left" w:pos="0"/>
          <w:tab w:val="left" w:pos="993"/>
          <w:tab w:val="left" w:pos="1418"/>
        </w:tabs>
        <w:ind w:firstLine="567"/>
      </w:pPr>
      <w:r w:rsidRPr="00DA7C95">
        <w:rPr>
          <w:shd w:val="clear" w:color="auto" w:fill="FFFFFF" w:themeFill="background1"/>
        </w:rPr>
        <w:t>адекватності, який передбачає, що банк</w:t>
      </w:r>
      <w:r w:rsidR="00937442">
        <w:rPr>
          <w:shd w:val="clear" w:color="auto" w:fill="FFFFFF" w:themeFill="background1"/>
          <w:lang w:val="en-US"/>
        </w:rPr>
        <w:t> </w:t>
      </w:r>
      <w:r w:rsidRPr="00DA7C95">
        <w:rPr>
          <w:shd w:val="clear" w:color="auto" w:fill="FFFFFF"/>
        </w:rPr>
        <w:t>/</w:t>
      </w:r>
      <w:r w:rsidR="00937442">
        <w:rPr>
          <w:shd w:val="clear" w:color="auto" w:fill="FFFFFF"/>
          <w:lang w:val="en-US"/>
        </w:rPr>
        <w:t> </w:t>
      </w:r>
      <w:r w:rsidRPr="00DA7C95">
        <w:t>відповідальна особа банківської групи</w:t>
      </w:r>
      <w:r w:rsidRPr="00DA7C95">
        <w:rPr>
          <w:shd w:val="clear" w:color="auto" w:fill="FFFFFF" w:themeFill="background1"/>
        </w:rPr>
        <w:t xml:space="preserve"> забезпечує наявність обсягу внутрішньої ліквідності в розмірі, достатньому для одночасного покриття всіх суттєвих ризиків</w:t>
      </w:r>
      <w:r w:rsidRPr="00DA7C95">
        <w:rPr>
          <w:bCs/>
          <w:shd w:val="clear" w:color="auto" w:fill="FFFFFF" w:themeFill="background1"/>
        </w:rPr>
        <w:t xml:space="preserve">, </w:t>
      </w:r>
      <w:r w:rsidR="00937442" w:rsidRPr="00DA7C95">
        <w:rPr>
          <w:bCs/>
          <w:shd w:val="clear" w:color="auto" w:fill="FFFFFF" w:themeFill="background1"/>
        </w:rPr>
        <w:t>пов</w:t>
      </w:r>
      <w:r w:rsidR="00937442">
        <w:rPr>
          <w:bCs/>
          <w:shd w:val="clear" w:color="auto" w:fill="FFFFFF" w:themeFill="background1"/>
        </w:rPr>
        <w:t>’</w:t>
      </w:r>
      <w:r w:rsidR="00937442" w:rsidRPr="00DA7C95">
        <w:rPr>
          <w:bCs/>
          <w:shd w:val="clear" w:color="auto" w:fill="FFFFFF" w:themeFill="background1"/>
        </w:rPr>
        <w:t xml:space="preserve">язаних </w:t>
      </w:r>
      <w:r w:rsidR="00937442">
        <w:rPr>
          <w:bCs/>
          <w:shd w:val="clear" w:color="auto" w:fill="FFFFFF" w:themeFill="background1"/>
        </w:rPr>
        <w:t>і</w:t>
      </w:r>
      <w:r w:rsidRPr="00DA7C95">
        <w:rPr>
          <w:bCs/>
          <w:shd w:val="clear" w:color="auto" w:fill="FFFFFF" w:themeFill="background1"/>
        </w:rPr>
        <w:t>з ліквідністю</w:t>
      </w:r>
      <w:r w:rsidRPr="00DA7C95">
        <w:rPr>
          <w:shd w:val="clear" w:color="auto" w:fill="FFFFFF" w:themeFill="background1"/>
        </w:rPr>
        <w:t xml:space="preserve">, очікуваних відпливів грошових коштів, забезпечення достатнього </w:t>
      </w:r>
      <w:r w:rsidRPr="00DA7C95">
        <w:rPr>
          <w:shd w:val="clear" w:color="auto" w:fill="FFFFFF" w:themeFill="background1"/>
        </w:rPr>
        <w:lastRenderedPageBreak/>
        <w:t xml:space="preserve">фінансування, а також дотримання встановлених Національним банком вимог щодо достатності ліквідності, включаючи підтримання </w:t>
      </w:r>
      <w:r w:rsidRPr="00DA7C95">
        <w:rPr>
          <w:iCs/>
          <w:shd w:val="clear" w:color="auto" w:fill="FFFFFF" w:themeFill="background1"/>
        </w:rPr>
        <w:t xml:space="preserve">визначеного банком управлінського запасу </w:t>
      </w:r>
      <w:r w:rsidRPr="00DA7C95">
        <w:rPr>
          <w:shd w:val="clear" w:color="auto" w:fill="FFFFFF" w:themeFill="background1"/>
        </w:rPr>
        <w:t>внутрішньої ліквідності</w:t>
      </w:r>
      <w:r w:rsidRPr="00DA7C95">
        <w:t>;</w:t>
      </w:r>
    </w:p>
    <w:p w14:paraId="13C1BD0F" w14:textId="1E5A7E78" w:rsidR="00396DE0" w:rsidRPr="00DA7C95" w:rsidRDefault="00396DE0" w:rsidP="00D3042E">
      <w:pPr>
        <w:pStyle w:val="a4"/>
        <w:shd w:val="clear" w:color="auto" w:fill="FFFFFF" w:themeFill="background1"/>
        <w:tabs>
          <w:tab w:val="left" w:pos="0"/>
          <w:tab w:val="left" w:pos="1134"/>
        </w:tabs>
        <w:ind w:left="0" w:firstLine="567"/>
      </w:pPr>
      <w:r w:rsidRPr="00DA7C95">
        <w:t>консерватизму, який</w:t>
      </w:r>
      <w:r w:rsidRPr="00DA7C95">
        <w:rPr>
          <w:rFonts w:eastAsiaTheme="minorHAnsi"/>
          <w:shd w:val="clear" w:color="auto" w:fill="FFFFFF"/>
        </w:rPr>
        <w:t xml:space="preserve"> передбачає, що оцінка достатності внутрішньої ліквідності </w:t>
      </w:r>
      <w:r w:rsidRPr="00DA7C95">
        <w:t>ґрунтується</w:t>
      </w:r>
      <w:r w:rsidRPr="00DA7C95">
        <w:rPr>
          <w:rFonts w:eastAsiaTheme="minorHAnsi"/>
          <w:shd w:val="clear" w:color="auto" w:fill="FFFFFF"/>
        </w:rPr>
        <w:t xml:space="preserve"> на консервативній оцінці </w:t>
      </w:r>
      <w:r w:rsidRPr="00DA7C95">
        <w:t xml:space="preserve">всіх суттєвих ризиків, </w:t>
      </w:r>
      <w:r w:rsidR="00937442" w:rsidRPr="00DA7C95">
        <w:rPr>
          <w:bCs/>
        </w:rPr>
        <w:t>пов</w:t>
      </w:r>
      <w:r w:rsidR="00937442">
        <w:rPr>
          <w:bCs/>
        </w:rPr>
        <w:t>’</w:t>
      </w:r>
      <w:r w:rsidR="00937442" w:rsidRPr="00DA7C95">
        <w:rPr>
          <w:bCs/>
        </w:rPr>
        <w:t xml:space="preserve">язаних </w:t>
      </w:r>
      <w:r w:rsidR="00937442">
        <w:rPr>
          <w:bCs/>
        </w:rPr>
        <w:t>і</w:t>
      </w:r>
      <w:r w:rsidRPr="00DA7C95">
        <w:rPr>
          <w:bCs/>
        </w:rPr>
        <w:t>з ліквідністю</w:t>
      </w:r>
      <w:r w:rsidRPr="00DA7C95">
        <w:rPr>
          <w:rFonts w:eastAsiaTheme="minorHAnsi"/>
          <w:shd w:val="clear" w:color="auto" w:fill="FFFFFF"/>
        </w:rPr>
        <w:t xml:space="preserve">; визначений банком обсяг доступної внутрішньої ліквідності здатний </w:t>
      </w:r>
      <w:r w:rsidRPr="00DA7C95">
        <w:t xml:space="preserve">покривати всі суттєві ризики, </w:t>
      </w:r>
      <w:r w:rsidR="00937442" w:rsidRPr="00DA7C95">
        <w:rPr>
          <w:bCs/>
        </w:rPr>
        <w:t>пов</w:t>
      </w:r>
      <w:r w:rsidR="00937442">
        <w:rPr>
          <w:bCs/>
        </w:rPr>
        <w:t>’</w:t>
      </w:r>
      <w:r w:rsidR="00937442" w:rsidRPr="00DA7C95">
        <w:rPr>
          <w:bCs/>
        </w:rPr>
        <w:t xml:space="preserve">язані </w:t>
      </w:r>
      <w:r w:rsidRPr="00DA7C95">
        <w:rPr>
          <w:bCs/>
        </w:rPr>
        <w:t>з ліквідністю</w:t>
      </w:r>
      <w:r w:rsidRPr="00DA7C95">
        <w:t>, очікувані відпливи грошових коштів та забезпечувати достатнє фінансування</w:t>
      </w:r>
      <w:r w:rsidRPr="00DA7C95">
        <w:rPr>
          <w:shd w:val="clear" w:color="auto" w:fill="FFFFFF"/>
        </w:rPr>
        <w:t>;</w:t>
      </w:r>
    </w:p>
    <w:p w14:paraId="0A7E96FC" w14:textId="28DF1B14" w:rsidR="00396DE0" w:rsidRPr="00DA7C95" w:rsidRDefault="00396DE0" w:rsidP="00D3042E">
      <w:pPr>
        <w:pStyle w:val="a4"/>
        <w:shd w:val="clear" w:color="auto" w:fill="FFFFFF" w:themeFill="background1"/>
        <w:tabs>
          <w:tab w:val="left" w:pos="1134"/>
          <w:tab w:val="left" w:pos="1276"/>
        </w:tabs>
        <w:ind w:left="0" w:firstLine="567"/>
      </w:pPr>
      <w:r w:rsidRPr="00DA7C95">
        <w:t>обачності, який</w:t>
      </w:r>
      <w:r w:rsidRPr="00DA7C95">
        <w:rPr>
          <w:shd w:val="clear" w:color="auto" w:fill="FFFFFF"/>
        </w:rPr>
        <w:t xml:space="preserve"> передбачає, що оцінка</w:t>
      </w:r>
      <w:r w:rsidRPr="00DA7C95">
        <w:t xml:space="preserve"> достатності внутрішньої ліквідності здійснюється </w:t>
      </w:r>
      <w:r w:rsidRPr="00DA7C95">
        <w:rPr>
          <w:shd w:val="clear" w:color="auto" w:fill="FFFFFF"/>
        </w:rPr>
        <w:t xml:space="preserve">із застосуванням </w:t>
      </w:r>
      <w:r w:rsidRPr="00DA7C95">
        <w:t xml:space="preserve">стрес-тестування за несприятливим сценарієм </w:t>
      </w:r>
      <w:r w:rsidRPr="00DA7C95">
        <w:rPr>
          <w:shd w:val="clear" w:color="auto" w:fill="FFFFFF"/>
        </w:rPr>
        <w:t>з урахуванням можливого впливу на діяльність банку</w:t>
      </w:r>
      <w:bookmarkStart w:id="25" w:name="_Hlk56346330"/>
      <w:r w:rsidR="00937442">
        <w:rPr>
          <w:shd w:val="clear" w:color="auto" w:fill="FFFFFF"/>
        </w:rPr>
        <w:t> </w:t>
      </w:r>
      <w:r w:rsidRPr="00DA7C95">
        <w:rPr>
          <w:shd w:val="clear" w:color="auto" w:fill="FFFFFF"/>
        </w:rPr>
        <w:t>/</w:t>
      </w:r>
      <w:r w:rsidR="00937442">
        <w:rPr>
          <w:shd w:val="clear" w:color="auto" w:fill="FFFFFF"/>
        </w:rPr>
        <w:t> </w:t>
      </w:r>
      <w:r w:rsidRPr="00DA7C95">
        <w:rPr>
          <w:shd w:val="clear" w:color="auto" w:fill="FFFFFF"/>
        </w:rPr>
        <w:t xml:space="preserve">учасників </w:t>
      </w:r>
      <w:bookmarkEnd w:id="25"/>
      <w:r w:rsidRPr="00DA7C95">
        <w:rPr>
          <w:shd w:val="clear" w:color="auto" w:fill="FFFFFF"/>
        </w:rPr>
        <w:t>банківської групи несприятливих змін у мікро- та макроекономічному середовищі</w:t>
      </w:r>
      <w:r w:rsidRPr="00DA7C95">
        <w:t>;</w:t>
      </w:r>
    </w:p>
    <w:p w14:paraId="3572ED4E" w14:textId="1B3B0F38" w:rsidR="00396DE0" w:rsidRPr="00DA7C95" w:rsidRDefault="00396DE0" w:rsidP="00D3042E">
      <w:pPr>
        <w:pStyle w:val="a4"/>
        <w:shd w:val="clear" w:color="auto" w:fill="FFFFFF" w:themeFill="background1"/>
        <w:tabs>
          <w:tab w:val="left" w:pos="-2410"/>
          <w:tab w:val="left" w:pos="1276"/>
        </w:tabs>
        <w:ind w:left="0" w:firstLine="567"/>
      </w:pPr>
      <w:r w:rsidRPr="00DA7C95">
        <w:t xml:space="preserve">пропорційності, який передбачає відповідність процесу ІLААР бізнес-моделі банку, його системній важливості, </w:t>
      </w:r>
      <w:r w:rsidRPr="00DA7C95">
        <w:rPr>
          <w:shd w:val="clear" w:color="auto" w:fill="FFFFFF"/>
        </w:rPr>
        <w:t>розміру та рівню</w:t>
      </w:r>
      <w:r w:rsidRPr="00DA7C95">
        <w:t xml:space="preserve"> складності операцій, що здійснюються банком;</w:t>
      </w:r>
    </w:p>
    <w:p w14:paraId="1506A62D" w14:textId="09347C3B" w:rsidR="00396DE0" w:rsidRPr="00DA7C95" w:rsidRDefault="00396DE0" w:rsidP="00D3042E">
      <w:pPr>
        <w:pStyle w:val="a4"/>
        <w:shd w:val="clear" w:color="auto" w:fill="FFFFFF" w:themeFill="background1"/>
        <w:tabs>
          <w:tab w:val="left" w:pos="-2410"/>
          <w:tab w:val="left" w:pos="1276"/>
        </w:tabs>
        <w:ind w:left="0" w:firstLine="567"/>
      </w:pPr>
      <w:r w:rsidRPr="00DA7C95">
        <w:rPr>
          <w:shd w:val="clear" w:color="auto" w:fill="FFFFFF"/>
        </w:rPr>
        <w:t>комплексності, який передбачає охоплення всіх видів діяльності банку, які впливають</w:t>
      </w:r>
      <w:r w:rsidR="00937442">
        <w:rPr>
          <w:shd w:val="clear" w:color="auto" w:fill="FFFFFF"/>
        </w:rPr>
        <w:t> </w:t>
      </w:r>
      <w:r w:rsidRPr="00DA7C95">
        <w:rPr>
          <w:shd w:val="clear" w:color="auto" w:fill="FFFFFF"/>
        </w:rPr>
        <w:t>/</w:t>
      </w:r>
      <w:r w:rsidR="00937442">
        <w:rPr>
          <w:shd w:val="clear" w:color="auto" w:fill="FFFFFF"/>
        </w:rPr>
        <w:t> </w:t>
      </w:r>
      <w:r w:rsidRPr="00DA7C95">
        <w:rPr>
          <w:shd w:val="clear" w:color="auto" w:fill="FFFFFF"/>
        </w:rPr>
        <w:t xml:space="preserve">можуть впливати на достатність внутрішньої ліквідності банку, </w:t>
      </w:r>
      <w:r w:rsidR="000E7E13">
        <w:t>у</w:t>
      </w:r>
      <w:r w:rsidR="000E7E13" w:rsidRPr="00DA7C95">
        <w:t xml:space="preserve">сіх </w:t>
      </w:r>
      <w:r w:rsidRPr="00DA7C95">
        <w:t xml:space="preserve">суттєвих ризиків, </w:t>
      </w:r>
      <w:r w:rsidR="00937442" w:rsidRPr="00DA7C95">
        <w:rPr>
          <w:bCs/>
        </w:rPr>
        <w:t>пов</w:t>
      </w:r>
      <w:r w:rsidR="00937442">
        <w:rPr>
          <w:bCs/>
        </w:rPr>
        <w:t>’</w:t>
      </w:r>
      <w:r w:rsidR="00937442" w:rsidRPr="00DA7C95">
        <w:rPr>
          <w:bCs/>
        </w:rPr>
        <w:t xml:space="preserve">язаних </w:t>
      </w:r>
      <w:r w:rsidR="00937442">
        <w:rPr>
          <w:bCs/>
        </w:rPr>
        <w:t>і</w:t>
      </w:r>
      <w:r w:rsidRPr="00DA7C95">
        <w:rPr>
          <w:bCs/>
        </w:rPr>
        <w:t>з ліквідністю</w:t>
      </w:r>
      <w:r w:rsidRPr="00DA7C95">
        <w:rPr>
          <w:shd w:val="clear" w:color="auto" w:fill="FFFFFF"/>
        </w:rPr>
        <w:t xml:space="preserve">, притаманних банку, здійснення оцінки достатності внутрішньої ліквідності за двома </w:t>
      </w:r>
      <w:r w:rsidRPr="00DA7C95">
        <w:rPr>
          <w:bCs/>
        </w:rPr>
        <w:t>перспективами</w:t>
      </w:r>
      <w:r w:rsidRPr="00DA7C95">
        <w:rPr>
          <w:shd w:val="clear" w:color="auto" w:fill="FFFFFF"/>
        </w:rPr>
        <w:t xml:space="preserve"> та врахування результатів оцінки за економічною </w:t>
      </w:r>
      <w:r w:rsidRPr="00DA7C95">
        <w:rPr>
          <w:bCs/>
        </w:rPr>
        <w:t>перспективою</w:t>
      </w:r>
      <w:r w:rsidRPr="00DA7C95">
        <w:rPr>
          <w:shd w:val="clear" w:color="auto" w:fill="FFFFFF"/>
        </w:rPr>
        <w:t xml:space="preserve"> під час здійснення оцінки за нормативною </w:t>
      </w:r>
      <w:r w:rsidRPr="00DA7C95">
        <w:rPr>
          <w:bCs/>
        </w:rPr>
        <w:t>перспективою</w:t>
      </w:r>
      <w:r w:rsidRPr="00DA7C95">
        <w:rPr>
          <w:shd w:val="clear" w:color="auto" w:fill="FFFFFF"/>
        </w:rPr>
        <w:t>.</w:t>
      </w:r>
    </w:p>
    <w:p w14:paraId="3B21C1D9" w14:textId="77777777" w:rsidR="00396DE0" w:rsidRPr="00DA7C95" w:rsidRDefault="00396DE0" w:rsidP="00D3042E">
      <w:pPr>
        <w:shd w:val="clear" w:color="auto" w:fill="FFFFFF" w:themeFill="background1"/>
        <w:tabs>
          <w:tab w:val="left" w:pos="709"/>
          <w:tab w:val="left" w:pos="993"/>
        </w:tabs>
        <w:ind w:firstLine="567"/>
        <w:rPr>
          <w:lang w:eastAsia="en-US"/>
        </w:rPr>
      </w:pPr>
    </w:p>
    <w:p w14:paraId="19166FD6" w14:textId="29186384" w:rsidR="00396DE0" w:rsidRPr="00DA7C95" w:rsidRDefault="006F5A68" w:rsidP="00D3042E">
      <w:pPr>
        <w:shd w:val="clear" w:color="auto" w:fill="FFFFFF" w:themeFill="background1"/>
        <w:tabs>
          <w:tab w:val="left" w:pos="1276"/>
          <w:tab w:val="left" w:pos="1418"/>
        </w:tabs>
        <w:ind w:firstLine="567"/>
      </w:pPr>
      <w:r w:rsidRPr="006F5A68">
        <w:t>8</w:t>
      </w:r>
      <w:r w:rsidR="00550BD1">
        <w:t>.</w:t>
      </w:r>
      <w:r w:rsidR="00937442">
        <w:t> </w:t>
      </w:r>
      <w:r w:rsidR="00396DE0" w:rsidRPr="00DA7C95">
        <w:t xml:space="preserve">Відповідальна особа банківської групи забезпечує організацію та функціонування процесу оцінки </w:t>
      </w:r>
      <w:r w:rsidR="00396DE0" w:rsidRPr="00DA7C95">
        <w:rPr>
          <w:bCs/>
        </w:rPr>
        <w:t>достатності внутрішньої ліквідності</w:t>
      </w:r>
      <w:r w:rsidR="00396DE0" w:rsidRPr="00DA7C95">
        <w:t xml:space="preserve"> на консолідованій основі щодо кредитно-інвестиційної підгрупи банківської групи (далі – КІП).</w:t>
      </w:r>
    </w:p>
    <w:p w14:paraId="0CCD1B98" w14:textId="77777777" w:rsidR="00396DE0" w:rsidRPr="00DA7C95" w:rsidRDefault="00396DE0" w:rsidP="00D3042E">
      <w:pPr>
        <w:shd w:val="clear" w:color="auto" w:fill="FFFFFF" w:themeFill="background1"/>
        <w:tabs>
          <w:tab w:val="left" w:pos="709"/>
          <w:tab w:val="left" w:pos="993"/>
        </w:tabs>
        <w:ind w:firstLine="567"/>
        <w:rPr>
          <w:lang w:eastAsia="en-US"/>
        </w:rPr>
      </w:pPr>
    </w:p>
    <w:p w14:paraId="33A84832" w14:textId="548DAC7D" w:rsidR="00396DE0" w:rsidRPr="00DA7C95" w:rsidRDefault="006F5A68" w:rsidP="00D3042E">
      <w:pPr>
        <w:shd w:val="clear" w:color="auto" w:fill="FFFFFF" w:themeFill="background1"/>
        <w:tabs>
          <w:tab w:val="left" w:pos="426"/>
          <w:tab w:val="left" w:pos="993"/>
          <w:tab w:val="left" w:pos="1276"/>
          <w:tab w:val="left" w:pos="1418"/>
        </w:tabs>
        <w:ind w:firstLine="567"/>
      </w:pPr>
      <w:r w:rsidRPr="006F5A68">
        <w:t>9</w:t>
      </w:r>
      <w:r w:rsidR="00396DE0" w:rsidRPr="00DA7C95">
        <w:t>. Банк</w:t>
      </w:r>
      <w:r w:rsidR="00937442">
        <w:t> </w:t>
      </w:r>
      <w:r w:rsidR="00396DE0" w:rsidRPr="00DA7C95">
        <w:t>/</w:t>
      </w:r>
      <w:r w:rsidR="00937442">
        <w:t> </w:t>
      </w:r>
      <w:r w:rsidR="00396DE0" w:rsidRPr="00DA7C95">
        <w:t xml:space="preserve">відповідальна особа банківської групи організовує процес ILAAP, </w:t>
      </w:r>
      <w:r w:rsidR="00937442">
        <w:t>що</w:t>
      </w:r>
      <w:r w:rsidR="00937442" w:rsidRPr="00DA7C95">
        <w:t xml:space="preserve"> </w:t>
      </w:r>
      <w:r w:rsidR="00396DE0" w:rsidRPr="00DA7C95">
        <w:t xml:space="preserve">ґрунтується на розподілі </w:t>
      </w:r>
      <w:r w:rsidR="00937442" w:rsidRPr="00DA7C95">
        <w:t>обов</w:t>
      </w:r>
      <w:r w:rsidR="00937442">
        <w:t>’</w:t>
      </w:r>
      <w:r w:rsidR="00937442" w:rsidRPr="00DA7C95">
        <w:t>язків</w:t>
      </w:r>
      <w:r w:rsidR="00396DE0" w:rsidRPr="00DA7C95">
        <w:t>, повноважень між підрозділами банку</w:t>
      </w:r>
      <w:r w:rsidR="00937442">
        <w:t> </w:t>
      </w:r>
      <w:r w:rsidR="00396DE0" w:rsidRPr="00DA7C95">
        <w:t>/</w:t>
      </w:r>
      <w:r w:rsidR="00396DE0" w:rsidRPr="00DA7C95">
        <w:rPr>
          <w:strike/>
        </w:rPr>
        <w:t xml:space="preserve"> </w:t>
      </w:r>
      <w:r w:rsidR="00396DE0" w:rsidRPr="00DA7C95">
        <w:t>учасниками банківської групи із застосуванням моделі трьох ліній захисту згідно з Положенням № 64.</w:t>
      </w:r>
    </w:p>
    <w:p w14:paraId="59E685EC" w14:textId="77777777" w:rsidR="00396DE0" w:rsidRPr="00DA7C95" w:rsidRDefault="00396DE0" w:rsidP="00D3042E">
      <w:pPr>
        <w:shd w:val="clear" w:color="auto" w:fill="FFFFFF" w:themeFill="background1"/>
        <w:tabs>
          <w:tab w:val="left" w:pos="1276"/>
          <w:tab w:val="left" w:pos="1418"/>
        </w:tabs>
        <w:ind w:firstLine="567"/>
      </w:pPr>
    </w:p>
    <w:p w14:paraId="7BAC8DD1" w14:textId="4A3CD9D9" w:rsidR="00396DE0" w:rsidRPr="00DA7C95" w:rsidRDefault="00396DE0" w:rsidP="00D3042E">
      <w:pPr>
        <w:shd w:val="clear" w:color="auto" w:fill="FFFFFF" w:themeFill="background1"/>
        <w:tabs>
          <w:tab w:val="left" w:pos="1134"/>
          <w:tab w:val="left" w:pos="1276"/>
          <w:tab w:val="left" w:pos="1418"/>
          <w:tab w:val="left" w:pos="1560"/>
          <w:tab w:val="left" w:pos="1701"/>
          <w:tab w:val="left" w:pos="2127"/>
        </w:tabs>
        <w:ind w:firstLine="567"/>
      </w:pPr>
      <w:r w:rsidRPr="00DA7C95">
        <w:t>1</w:t>
      </w:r>
      <w:r w:rsidR="006F5A68" w:rsidRPr="006F5A68">
        <w:t>0</w:t>
      </w:r>
      <w:r w:rsidRPr="00DA7C95">
        <w:t>. Банк</w:t>
      </w:r>
      <w:r w:rsidR="00937442">
        <w:t> </w:t>
      </w:r>
      <w:r w:rsidRPr="00DA7C95">
        <w:t>/</w:t>
      </w:r>
      <w:r w:rsidR="00937442">
        <w:t> </w:t>
      </w:r>
      <w:r w:rsidRPr="00DA7C95">
        <w:t>відповідальна особа банківської групи з урахуванням вимог цього Положення розробляє та затверджує радою банку</w:t>
      </w:r>
      <w:r w:rsidR="00937442">
        <w:t> </w:t>
      </w:r>
      <w:r w:rsidRPr="00DA7C95">
        <w:t>/</w:t>
      </w:r>
      <w:r w:rsidR="00937442">
        <w:t> </w:t>
      </w:r>
      <w:r w:rsidRPr="00DA7C95">
        <w:rPr>
          <w:shd w:val="clear" w:color="auto" w:fill="FFFFFF"/>
        </w:rPr>
        <w:t>відповідальної особи банківської групи</w:t>
      </w:r>
      <w:r w:rsidR="00716F9E">
        <w:t xml:space="preserve"> внутрішньобанківські</w:t>
      </w:r>
      <w:r w:rsidR="00937442">
        <w:t> </w:t>
      </w:r>
      <w:r w:rsidR="00716F9E">
        <w:t>/</w:t>
      </w:r>
      <w:r w:rsidR="00937442">
        <w:t> </w:t>
      </w:r>
      <w:proofErr w:type="spellStart"/>
      <w:r w:rsidRPr="00DA7C95">
        <w:t>внутрішньогрупові</w:t>
      </w:r>
      <w:proofErr w:type="spellEnd"/>
      <w:r w:rsidRPr="00DA7C95">
        <w:t xml:space="preserve"> документи, які регламе</w:t>
      </w:r>
      <w:r w:rsidR="00C05D30" w:rsidRPr="00DA7C95">
        <w:t>нтують організацію та функціону</w:t>
      </w:r>
      <w:r w:rsidRPr="00DA7C95">
        <w:t xml:space="preserve">вання процесу ILAAP, та регулярно (не рідше одного разу на рік) забезпечує їх перегляд </w:t>
      </w:r>
      <w:r w:rsidR="00937442">
        <w:t>і</w:t>
      </w:r>
      <w:r w:rsidRPr="00DA7C95">
        <w:t>з метою актуалізації та ефективної організації процесу ILAAP.</w:t>
      </w:r>
    </w:p>
    <w:p w14:paraId="25C97806" w14:textId="77777777" w:rsidR="00396DE0" w:rsidRPr="00DA7C95" w:rsidRDefault="00396DE0" w:rsidP="00D3042E">
      <w:pPr>
        <w:shd w:val="clear" w:color="auto" w:fill="FFFFFF" w:themeFill="background1"/>
        <w:tabs>
          <w:tab w:val="left" w:pos="709"/>
          <w:tab w:val="left" w:pos="993"/>
        </w:tabs>
        <w:ind w:firstLine="567"/>
        <w:rPr>
          <w:lang w:eastAsia="en-US"/>
        </w:rPr>
      </w:pPr>
    </w:p>
    <w:p w14:paraId="3D0E43A4" w14:textId="30812678" w:rsidR="00396DE0" w:rsidRPr="00DA7C95" w:rsidRDefault="00396DE0" w:rsidP="00D3042E">
      <w:pPr>
        <w:shd w:val="clear" w:color="auto" w:fill="FFFFFF" w:themeFill="background1"/>
        <w:tabs>
          <w:tab w:val="left" w:pos="-2410"/>
          <w:tab w:val="left" w:pos="0"/>
          <w:tab w:val="left" w:pos="1134"/>
          <w:tab w:val="left" w:pos="1560"/>
          <w:tab w:val="left" w:pos="1701"/>
          <w:tab w:val="left" w:pos="1843"/>
        </w:tabs>
        <w:ind w:firstLine="567"/>
      </w:pPr>
      <w:r w:rsidRPr="00DA7C95">
        <w:t>1</w:t>
      </w:r>
      <w:r w:rsidR="006F5A68" w:rsidRPr="006F5A68">
        <w:t>1</w:t>
      </w:r>
      <w:r w:rsidRPr="00DA7C95">
        <w:t>. Банк під час процесу ILAAP</w:t>
      </w:r>
      <w:bookmarkStart w:id="26" w:name="_Hlk56602209"/>
      <w:r w:rsidRPr="00DA7C95">
        <w:t xml:space="preserve"> застосовує </w:t>
      </w:r>
      <w:r w:rsidRPr="00DA7C95">
        <w:rPr>
          <w:shd w:val="clear" w:color="auto" w:fill="FFFFFF"/>
        </w:rPr>
        <w:t>підходи,</w:t>
      </w:r>
      <w:r w:rsidRPr="00DA7C95">
        <w:t xml:space="preserve"> методологію та моделі</w:t>
      </w:r>
      <w:r w:rsidR="00937442">
        <w:t> </w:t>
      </w:r>
      <w:r w:rsidRPr="00DA7C95">
        <w:t>/</w:t>
      </w:r>
      <w:r w:rsidR="00937442">
        <w:t xml:space="preserve"> </w:t>
      </w:r>
      <w:r w:rsidRPr="00DA7C95">
        <w:t xml:space="preserve">методи, інструменти </w:t>
      </w:r>
      <w:bookmarkStart w:id="27" w:name="_Hlk91625187"/>
      <w:r w:rsidRPr="00DA7C95">
        <w:t>оцінки ризику ліквідності</w:t>
      </w:r>
      <w:bookmarkEnd w:id="27"/>
      <w:r w:rsidRPr="00DA7C95">
        <w:t>, які застосовуються банком для оцінки ризику ліквідності згідно з Положенням № 64</w:t>
      </w:r>
      <w:bookmarkEnd w:id="26"/>
      <w:r w:rsidRPr="00DA7C95">
        <w:t>.</w:t>
      </w:r>
    </w:p>
    <w:p w14:paraId="6745ACAA" w14:textId="77777777" w:rsidR="00396DE0" w:rsidRPr="00DA7C95" w:rsidRDefault="00396DE0" w:rsidP="00D3042E">
      <w:pPr>
        <w:shd w:val="clear" w:color="auto" w:fill="FFFFFF" w:themeFill="background1"/>
        <w:tabs>
          <w:tab w:val="left" w:pos="709"/>
          <w:tab w:val="left" w:pos="993"/>
        </w:tabs>
        <w:ind w:firstLine="567"/>
        <w:rPr>
          <w:lang w:eastAsia="en-US"/>
        </w:rPr>
      </w:pPr>
    </w:p>
    <w:p w14:paraId="76FDD789" w14:textId="0FFE48BE" w:rsidR="00396DE0" w:rsidRPr="00DA7C95" w:rsidRDefault="00396DE0" w:rsidP="00D3042E">
      <w:pPr>
        <w:pStyle w:val="a4"/>
        <w:shd w:val="clear" w:color="auto" w:fill="FFFFFF" w:themeFill="background1"/>
        <w:tabs>
          <w:tab w:val="left" w:pos="-2410"/>
          <w:tab w:val="left" w:pos="-142"/>
          <w:tab w:val="left" w:pos="1843"/>
        </w:tabs>
        <w:ind w:left="0" w:firstLine="567"/>
      </w:pPr>
      <w:r w:rsidRPr="00DA7C95">
        <w:lastRenderedPageBreak/>
        <w:t>1</w:t>
      </w:r>
      <w:r w:rsidR="006F5A68" w:rsidRPr="006F5A68">
        <w:rPr>
          <w:lang w:val="ru-RU"/>
        </w:rPr>
        <w:t>2</w:t>
      </w:r>
      <w:r w:rsidRPr="00DA7C95">
        <w:t>. Банк</w:t>
      </w:r>
      <w:r w:rsidR="00937442">
        <w:t> </w:t>
      </w:r>
      <w:r w:rsidRPr="00DA7C95">
        <w:t>/</w:t>
      </w:r>
      <w:r w:rsidR="00937442">
        <w:t> </w:t>
      </w:r>
      <w:r w:rsidRPr="00DA7C95">
        <w:t>відповідальна особа банківської групи забезпечує:</w:t>
      </w:r>
    </w:p>
    <w:p w14:paraId="0342A48D" w14:textId="77777777" w:rsidR="00396DE0" w:rsidRPr="00DA7C95" w:rsidRDefault="00396DE0" w:rsidP="00D3042E">
      <w:pPr>
        <w:pStyle w:val="a4"/>
        <w:shd w:val="clear" w:color="auto" w:fill="FFFFFF" w:themeFill="background1"/>
        <w:ind w:firstLine="567"/>
      </w:pPr>
    </w:p>
    <w:p w14:paraId="2EAF596A" w14:textId="77777777" w:rsidR="00396DE0" w:rsidRPr="00DA7C95" w:rsidRDefault="00396DE0" w:rsidP="008B6236">
      <w:pPr>
        <w:pStyle w:val="a4"/>
        <w:keepNext/>
        <w:keepLines/>
        <w:numPr>
          <w:ilvl w:val="0"/>
          <w:numId w:val="9"/>
        </w:numPr>
        <w:shd w:val="clear" w:color="auto" w:fill="FFFFFF" w:themeFill="background1"/>
        <w:tabs>
          <w:tab w:val="left" w:pos="993"/>
          <w:tab w:val="left" w:pos="1276"/>
          <w:tab w:val="left" w:pos="1418"/>
        </w:tabs>
        <w:ind w:hanging="502"/>
        <w:rPr>
          <w:rFonts w:eastAsia="Calibri"/>
        </w:rPr>
      </w:pPr>
      <w:r w:rsidRPr="00DA7C95">
        <w:t>узгодженість</w:t>
      </w:r>
      <w:r w:rsidRPr="00DA7C95">
        <w:rPr>
          <w:rFonts w:eastAsia="Calibri"/>
        </w:rPr>
        <w:t xml:space="preserve"> процесу ILAAP із:</w:t>
      </w:r>
    </w:p>
    <w:p w14:paraId="18060716" w14:textId="77777777" w:rsidR="00396DE0" w:rsidRPr="00DA7C95" w:rsidRDefault="00396DE0" w:rsidP="00D3042E">
      <w:pPr>
        <w:keepNext/>
        <w:keepLines/>
        <w:shd w:val="clear" w:color="auto" w:fill="FFFFFF" w:themeFill="background1"/>
        <w:tabs>
          <w:tab w:val="left" w:pos="993"/>
          <w:tab w:val="left" w:pos="1276"/>
          <w:tab w:val="left" w:pos="1418"/>
        </w:tabs>
        <w:ind w:firstLine="567"/>
      </w:pPr>
      <w:r w:rsidRPr="00DA7C95">
        <w:t>стратегією, бізнес-планом банку;</w:t>
      </w:r>
    </w:p>
    <w:p w14:paraId="3A4A9DBA" w14:textId="3780700C" w:rsidR="00396DE0" w:rsidRPr="00DA7C95" w:rsidRDefault="00396DE0" w:rsidP="00D3042E">
      <w:pPr>
        <w:shd w:val="clear" w:color="auto" w:fill="FFFFFF" w:themeFill="background1"/>
        <w:tabs>
          <w:tab w:val="left" w:pos="1134"/>
        </w:tabs>
        <w:ind w:firstLine="567"/>
      </w:pPr>
      <w:r w:rsidRPr="00DA7C95">
        <w:t xml:space="preserve">системою корпоративного управління, системою внутрішнього контролю, </w:t>
      </w:r>
      <w:r w:rsidR="009244D3" w:rsidRPr="00DA7C95">
        <w:t xml:space="preserve">включаючи </w:t>
      </w:r>
      <w:r w:rsidRPr="00DA7C95">
        <w:t>систем</w:t>
      </w:r>
      <w:r w:rsidR="009244D3" w:rsidRPr="00DA7C95">
        <w:t>у</w:t>
      </w:r>
      <w:r w:rsidRPr="00DA7C95">
        <w:t xml:space="preserve"> управління ризиками, </w:t>
      </w:r>
      <w:r w:rsidRPr="00DA7C95">
        <w:rPr>
          <w:shd w:val="clear" w:color="auto" w:fill="FFFFFF"/>
        </w:rPr>
        <w:t xml:space="preserve">планом відновлення діяльності банку, планом фінансування </w:t>
      </w:r>
      <w:r w:rsidR="00937442">
        <w:rPr>
          <w:shd w:val="clear" w:color="auto" w:fill="FFFFFF"/>
        </w:rPr>
        <w:t>в</w:t>
      </w:r>
      <w:r w:rsidR="00937442" w:rsidRPr="00DA7C95">
        <w:rPr>
          <w:shd w:val="clear" w:color="auto" w:fill="FFFFFF"/>
        </w:rPr>
        <w:t xml:space="preserve"> </w:t>
      </w:r>
      <w:r w:rsidRPr="00DA7C95">
        <w:rPr>
          <w:shd w:val="clear" w:color="auto" w:fill="FFFFFF"/>
        </w:rPr>
        <w:t>кризових ситуаціях та програмою фінансування</w:t>
      </w:r>
      <w:r w:rsidRPr="00DA7C95">
        <w:t>;</w:t>
      </w:r>
    </w:p>
    <w:p w14:paraId="5B91AE07" w14:textId="77777777" w:rsidR="00396DE0" w:rsidRPr="00DA7C95" w:rsidRDefault="00396DE0" w:rsidP="00D3042E">
      <w:pPr>
        <w:shd w:val="clear" w:color="auto" w:fill="FFFFFF" w:themeFill="background1"/>
        <w:ind w:firstLine="567"/>
      </w:pPr>
    </w:p>
    <w:p w14:paraId="7ECE2AFD" w14:textId="77777777" w:rsidR="00396DE0" w:rsidRPr="00DA7C95" w:rsidRDefault="00396DE0" w:rsidP="00D3042E">
      <w:pPr>
        <w:keepNext/>
        <w:keepLines/>
        <w:shd w:val="clear" w:color="auto" w:fill="FFFFFF" w:themeFill="background1"/>
        <w:tabs>
          <w:tab w:val="left" w:pos="993"/>
          <w:tab w:val="left" w:pos="1418"/>
          <w:tab w:val="left" w:pos="1843"/>
        </w:tabs>
        <w:ind w:firstLine="567"/>
      </w:pPr>
      <w:r w:rsidRPr="00DA7C95">
        <w:t xml:space="preserve">2) інтегрованість </w:t>
      </w:r>
      <w:r w:rsidRPr="00DA7C95">
        <w:rPr>
          <w:rFonts w:eastAsia="Calibri"/>
        </w:rPr>
        <w:t xml:space="preserve">процесу ILAAP із </w:t>
      </w:r>
      <w:r w:rsidRPr="00DA7C95">
        <w:t>процесами стратегічного планування, бізнес-процесами, процесами управління ризиками та процесами прийняття управлінських рішень у банку;</w:t>
      </w:r>
    </w:p>
    <w:p w14:paraId="4654340E" w14:textId="77777777" w:rsidR="00396DE0" w:rsidRPr="00DA7C95" w:rsidRDefault="00396DE0" w:rsidP="00D3042E">
      <w:pPr>
        <w:shd w:val="clear" w:color="auto" w:fill="FFFFFF" w:themeFill="background1"/>
        <w:ind w:firstLine="567"/>
      </w:pPr>
    </w:p>
    <w:p w14:paraId="275DD893" w14:textId="4E9A24C5" w:rsidR="00396DE0" w:rsidRPr="00DA7C95" w:rsidRDefault="00396DE0" w:rsidP="00D3042E">
      <w:pPr>
        <w:shd w:val="clear" w:color="auto" w:fill="FFFFFF" w:themeFill="background1"/>
        <w:ind w:firstLine="567"/>
      </w:pPr>
      <w:r w:rsidRPr="00DA7C95">
        <w:t xml:space="preserve">3) </w:t>
      </w:r>
      <w:r w:rsidR="00937442">
        <w:t>у</w:t>
      </w:r>
      <w:r w:rsidR="00937442" w:rsidRPr="00DA7C95">
        <w:t xml:space="preserve">рахування </w:t>
      </w:r>
      <w:r w:rsidRPr="00DA7C95">
        <w:t xml:space="preserve">результатів процесу ILAAP під час визначення ризик-апетиту, розроблення бізнес-плану, визначення </w:t>
      </w:r>
      <w:r w:rsidRPr="00DA7C95">
        <w:rPr>
          <w:shd w:val="clear" w:color="auto" w:fill="FFFFFF"/>
        </w:rPr>
        <w:t>показників</w:t>
      </w:r>
      <w:r w:rsidR="00937442">
        <w:rPr>
          <w:shd w:val="clear" w:color="auto" w:fill="FFFFFF"/>
        </w:rPr>
        <w:t> </w:t>
      </w:r>
      <w:r w:rsidRPr="00DA7C95">
        <w:rPr>
          <w:shd w:val="clear" w:color="auto" w:fill="FFFFFF"/>
        </w:rPr>
        <w:t>/</w:t>
      </w:r>
      <w:r w:rsidR="00937442">
        <w:rPr>
          <w:shd w:val="clear" w:color="auto" w:fill="FFFFFF"/>
        </w:rPr>
        <w:t> </w:t>
      </w:r>
      <w:r w:rsidRPr="00DA7C95">
        <w:rPr>
          <w:shd w:val="clear" w:color="auto" w:fill="FFFFFF"/>
        </w:rPr>
        <w:t>індикаторів ризиків, індикаторів плану відновлення діяльності банку</w:t>
      </w:r>
      <w:r w:rsidRPr="00DA7C95">
        <w:t>.</w:t>
      </w:r>
    </w:p>
    <w:p w14:paraId="564A50EC" w14:textId="77777777" w:rsidR="00396DE0" w:rsidRPr="00DA7C95" w:rsidRDefault="00396DE0" w:rsidP="00D3042E">
      <w:pPr>
        <w:shd w:val="clear" w:color="auto" w:fill="FFFFFF" w:themeFill="background1"/>
        <w:ind w:firstLine="567"/>
      </w:pPr>
    </w:p>
    <w:p w14:paraId="7C0F5F8C" w14:textId="77777777" w:rsidR="00396DE0" w:rsidRPr="00DA7C95" w:rsidRDefault="00396DE0" w:rsidP="00D3042E">
      <w:pPr>
        <w:pStyle w:val="a4"/>
        <w:numPr>
          <w:ilvl w:val="0"/>
          <w:numId w:val="10"/>
        </w:numPr>
        <w:shd w:val="clear" w:color="auto" w:fill="FFFFFF" w:themeFill="background1"/>
        <w:tabs>
          <w:tab w:val="left" w:pos="-2410"/>
          <w:tab w:val="left" w:pos="-142"/>
          <w:tab w:val="left" w:pos="1134"/>
        </w:tabs>
        <w:ind w:left="0" w:firstLine="567"/>
      </w:pPr>
      <w:r w:rsidRPr="00DA7C95">
        <w:t xml:space="preserve">Процес ILAAP банку підлягає щорічній оцінці Національним банком під час здійснення банківського нагляду </w:t>
      </w:r>
      <w:bookmarkStart w:id="28" w:name="_Hlk55222187"/>
      <w:r w:rsidRPr="00DA7C95">
        <w:t>згідно з главою 10 розділу IV цього Положення</w:t>
      </w:r>
      <w:bookmarkEnd w:id="28"/>
      <w:r w:rsidRPr="00DA7C95">
        <w:t>.</w:t>
      </w:r>
    </w:p>
    <w:p w14:paraId="74D17AB0" w14:textId="77777777" w:rsidR="00396DE0" w:rsidRPr="00DA7C95" w:rsidRDefault="00396DE0" w:rsidP="00396DE0">
      <w:pPr>
        <w:shd w:val="clear" w:color="auto" w:fill="FFFFFF" w:themeFill="background1"/>
        <w:tabs>
          <w:tab w:val="left" w:pos="1276"/>
        </w:tabs>
      </w:pPr>
    </w:p>
    <w:p w14:paraId="235CA375" w14:textId="77777777" w:rsidR="00396DE0" w:rsidRPr="00DA7C95" w:rsidRDefault="00396DE0" w:rsidP="00396DE0">
      <w:pPr>
        <w:pStyle w:val="a4"/>
        <w:shd w:val="clear" w:color="auto" w:fill="FFFFFF" w:themeFill="background1"/>
        <w:tabs>
          <w:tab w:val="left" w:pos="1276"/>
        </w:tabs>
        <w:ind w:left="0"/>
        <w:jc w:val="center"/>
      </w:pPr>
      <w:bookmarkStart w:id="29" w:name="n50"/>
      <w:bookmarkStart w:id="30" w:name="n51"/>
      <w:bookmarkStart w:id="31" w:name="_Hlk50388961"/>
      <w:bookmarkEnd w:id="29"/>
      <w:bookmarkEnd w:id="30"/>
      <w:bookmarkEnd w:id="31"/>
      <w:r w:rsidRPr="00DA7C95">
        <w:t>ІІ. Оцінка достатності внутрішньої ліквідності на прогнозний</w:t>
      </w:r>
      <w:r w:rsidRPr="00DA7C95">
        <w:br/>
        <w:t>період та планування достатності внутрішньої ліквідності</w:t>
      </w:r>
    </w:p>
    <w:p w14:paraId="33F77A2C" w14:textId="77777777" w:rsidR="00396DE0" w:rsidRPr="00DA7C95" w:rsidRDefault="00396DE0" w:rsidP="00396DE0">
      <w:pPr>
        <w:pStyle w:val="1"/>
        <w:shd w:val="clear" w:color="auto" w:fill="FFFFFF" w:themeFill="background1"/>
        <w:tabs>
          <w:tab w:val="left" w:pos="1418"/>
        </w:tabs>
        <w:spacing w:before="0"/>
        <w:rPr>
          <w:rFonts w:ascii="Times New Roman" w:hAnsi="Times New Roman" w:cs="Times New Roman"/>
          <w:color w:val="auto"/>
          <w:sz w:val="28"/>
          <w:szCs w:val="28"/>
        </w:rPr>
      </w:pPr>
    </w:p>
    <w:p w14:paraId="3816CC71" w14:textId="77777777" w:rsidR="00396DE0" w:rsidRPr="00DA7C95" w:rsidRDefault="00396DE0" w:rsidP="00396DE0">
      <w:pPr>
        <w:pStyle w:val="a4"/>
        <w:shd w:val="clear" w:color="auto" w:fill="FFFFFF" w:themeFill="background1"/>
        <w:tabs>
          <w:tab w:val="left" w:pos="1276"/>
        </w:tabs>
        <w:ind w:left="0"/>
        <w:jc w:val="center"/>
      </w:pPr>
      <w:r w:rsidRPr="00DA7C95">
        <w:t>3. Загальні вимоги до оцінки достатності</w:t>
      </w:r>
      <w:r w:rsidRPr="00DA7C95">
        <w:br/>
        <w:t>внутрішньої ліквідності на прогнозний період</w:t>
      </w:r>
    </w:p>
    <w:p w14:paraId="5DADD873" w14:textId="77777777" w:rsidR="00396DE0" w:rsidRPr="00DA7C95" w:rsidRDefault="00396DE0" w:rsidP="00396DE0">
      <w:pPr>
        <w:shd w:val="clear" w:color="auto" w:fill="FFFFFF" w:themeFill="background1"/>
      </w:pPr>
    </w:p>
    <w:p w14:paraId="7155A5F7" w14:textId="77777777" w:rsidR="00396DE0" w:rsidRPr="00DA7C95" w:rsidRDefault="00396DE0" w:rsidP="00D3042E">
      <w:pPr>
        <w:pStyle w:val="a4"/>
        <w:numPr>
          <w:ilvl w:val="0"/>
          <w:numId w:val="11"/>
        </w:numPr>
        <w:shd w:val="clear" w:color="auto" w:fill="FFFFFF" w:themeFill="background1"/>
        <w:tabs>
          <w:tab w:val="left" w:pos="1276"/>
        </w:tabs>
        <w:ind w:left="0" w:firstLine="567"/>
        <w:rPr>
          <w:rFonts w:eastAsiaTheme="minorHAnsi"/>
        </w:rPr>
      </w:pPr>
      <w:r w:rsidRPr="00DA7C95">
        <w:t xml:space="preserve">Банк щороку станом на 01 січня року, наступного за звітним, здійснює оцінку достатності внутрішньої ліквідності за економічною та нормативною перспективами на прогнозний період (на </w:t>
      </w:r>
      <w:r w:rsidRPr="00DA7C95">
        <w:rPr>
          <w:rFonts w:eastAsiaTheme="minorHAnsi"/>
        </w:rPr>
        <w:t>прогнозні дати</w:t>
      </w:r>
      <w:r w:rsidRPr="00DA7C95">
        <w:t>), який становить</w:t>
      </w:r>
      <w:r w:rsidRPr="00DA7C95">
        <w:rPr>
          <w:rFonts w:eastAsiaTheme="minorHAnsi"/>
        </w:rPr>
        <w:t>:</w:t>
      </w:r>
    </w:p>
    <w:p w14:paraId="7DCCEE09" w14:textId="77777777" w:rsidR="00396DE0" w:rsidRPr="00DA7C95" w:rsidRDefault="00396DE0" w:rsidP="00D3042E">
      <w:pPr>
        <w:shd w:val="clear" w:color="auto" w:fill="FFFFFF" w:themeFill="background1"/>
        <w:tabs>
          <w:tab w:val="left" w:pos="1276"/>
        </w:tabs>
        <w:ind w:left="720" w:firstLine="567"/>
        <w:rPr>
          <w:lang w:val="ru-RU"/>
        </w:rPr>
      </w:pPr>
    </w:p>
    <w:p w14:paraId="39D4D278" w14:textId="77777777" w:rsidR="00396DE0" w:rsidRPr="00DA7C95" w:rsidRDefault="00396DE0" w:rsidP="00D3042E">
      <w:pPr>
        <w:pStyle w:val="a4"/>
        <w:numPr>
          <w:ilvl w:val="0"/>
          <w:numId w:val="25"/>
        </w:numPr>
        <w:shd w:val="clear" w:color="auto" w:fill="FFFFFF" w:themeFill="background1"/>
        <w:tabs>
          <w:tab w:val="left" w:pos="1134"/>
          <w:tab w:val="left" w:pos="1276"/>
        </w:tabs>
        <w:ind w:left="0" w:firstLine="567"/>
        <w:rPr>
          <w:rFonts w:eastAsiaTheme="minorHAnsi"/>
        </w:rPr>
      </w:pPr>
      <w:r w:rsidRPr="00DA7C95">
        <w:t>щодо короткострокової ліквідності</w:t>
      </w:r>
      <w:r w:rsidRPr="00DA7C95">
        <w:rPr>
          <w:rFonts w:eastAsiaTheme="minorHAnsi"/>
        </w:rPr>
        <w:t xml:space="preserve"> – щонайменше один рік (</w:t>
      </w:r>
      <w:r w:rsidRPr="00DA7C95">
        <w:rPr>
          <w:shd w:val="clear" w:color="auto" w:fill="FFFFFF"/>
        </w:rPr>
        <w:t xml:space="preserve">станом на </w:t>
      </w:r>
      <w:r w:rsidRPr="00DA7C95">
        <w:t>01 число кожного місяця)</w:t>
      </w:r>
      <w:r w:rsidRPr="00DA7C95">
        <w:rPr>
          <w:rFonts w:eastAsiaTheme="minorHAnsi"/>
          <w:shd w:val="clear" w:color="auto" w:fill="FFFFFF"/>
        </w:rPr>
        <w:t>;</w:t>
      </w:r>
    </w:p>
    <w:p w14:paraId="349B2188" w14:textId="77777777" w:rsidR="00396DE0" w:rsidRPr="00DA7C95" w:rsidRDefault="00396DE0" w:rsidP="00D3042E">
      <w:pPr>
        <w:shd w:val="clear" w:color="auto" w:fill="FFFFFF" w:themeFill="background1"/>
        <w:tabs>
          <w:tab w:val="left" w:pos="1276"/>
        </w:tabs>
        <w:ind w:left="709" w:firstLine="567"/>
      </w:pPr>
    </w:p>
    <w:p w14:paraId="3E623360" w14:textId="77777777" w:rsidR="00396DE0" w:rsidRPr="00DA7C95" w:rsidRDefault="00396DE0" w:rsidP="00D3042E">
      <w:pPr>
        <w:pStyle w:val="a4"/>
        <w:numPr>
          <w:ilvl w:val="0"/>
          <w:numId w:val="25"/>
        </w:numPr>
        <w:shd w:val="clear" w:color="auto" w:fill="FFFFFF" w:themeFill="background1"/>
        <w:tabs>
          <w:tab w:val="left" w:pos="1134"/>
        </w:tabs>
        <w:ind w:left="0" w:firstLine="567"/>
        <w:rPr>
          <w:rFonts w:eastAsiaTheme="minorHAnsi"/>
        </w:rPr>
      </w:pPr>
      <w:r w:rsidRPr="00DA7C95">
        <w:t xml:space="preserve">щодо довгострокової ліквідності </w:t>
      </w:r>
      <w:r w:rsidRPr="00DA7C95">
        <w:rPr>
          <w:rFonts w:eastAsiaTheme="minorHAnsi"/>
        </w:rPr>
        <w:t>– щонайменше три роки</w:t>
      </w:r>
      <w:r w:rsidRPr="00DA7C95">
        <w:rPr>
          <w:shd w:val="clear" w:color="auto" w:fill="FFFFFF"/>
        </w:rPr>
        <w:t xml:space="preserve"> (станом на </w:t>
      </w:r>
      <w:r w:rsidRPr="00DA7C95">
        <w:t>01  січня року, наступного за кожним прогнозним роком)</w:t>
      </w:r>
      <w:r w:rsidRPr="00DA7C95">
        <w:rPr>
          <w:rFonts w:eastAsiaTheme="minorHAnsi"/>
        </w:rPr>
        <w:t>.</w:t>
      </w:r>
    </w:p>
    <w:p w14:paraId="5859C2F7" w14:textId="77777777" w:rsidR="00396DE0" w:rsidRPr="00DA7C95" w:rsidRDefault="00396DE0" w:rsidP="00396DE0">
      <w:pPr>
        <w:pStyle w:val="a4"/>
        <w:shd w:val="clear" w:color="auto" w:fill="FFFFFF" w:themeFill="background1"/>
        <w:tabs>
          <w:tab w:val="left" w:pos="1276"/>
        </w:tabs>
        <w:ind w:left="0" w:firstLine="709"/>
      </w:pPr>
    </w:p>
    <w:p w14:paraId="06995673" w14:textId="77777777" w:rsidR="00396DE0" w:rsidRPr="00DA7C95" w:rsidRDefault="00396DE0" w:rsidP="00D3042E">
      <w:pPr>
        <w:pStyle w:val="a4"/>
        <w:numPr>
          <w:ilvl w:val="0"/>
          <w:numId w:val="11"/>
        </w:numPr>
        <w:shd w:val="clear" w:color="auto" w:fill="FFFFFF" w:themeFill="background1"/>
        <w:tabs>
          <w:tab w:val="left" w:pos="1276"/>
        </w:tabs>
        <w:ind w:left="0" w:firstLine="567"/>
      </w:pPr>
      <w:r w:rsidRPr="00DA7C95">
        <w:t>Банк під час оцінки достатності внутрішньої ліквідності, яка здійснюється з урахуванням прогнозних показників, визначає:</w:t>
      </w:r>
    </w:p>
    <w:p w14:paraId="43962FA7" w14:textId="77777777" w:rsidR="00396DE0" w:rsidRPr="00DA7C95" w:rsidRDefault="00396DE0" w:rsidP="00D3042E">
      <w:pPr>
        <w:shd w:val="clear" w:color="auto" w:fill="FFFFFF" w:themeFill="background1"/>
        <w:tabs>
          <w:tab w:val="left" w:pos="1276"/>
          <w:tab w:val="left" w:pos="1418"/>
          <w:tab w:val="left" w:pos="1701"/>
        </w:tabs>
        <w:ind w:firstLine="567"/>
      </w:pPr>
    </w:p>
    <w:p w14:paraId="73AEE425" w14:textId="77777777" w:rsidR="00396DE0" w:rsidRPr="00DA7C95" w:rsidRDefault="00396DE0" w:rsidP="00D3042E">
      <w:pPr>
        <w:shd w:val="clear" w:color="auto" w:fill="FFFFFF" w:themeFill="background1"/>
        <w:tabs>
          <w:tab w:val="left" w:pos="1276"/>
          <w:tab w:val="left" w:pos="1418"/>
          <w:tab w:val="left" w:pos="1701"/>
        </w:tabs>
        <w:ind w:firstLine="567"/>
      </w:pPr>
      <w:r w:rsidRPr="00DA7C95">
        <w:t xml:space="preserve">1) за </w:t>
      </w:r>
      <w:r w:rsidRPr="00DA7C95">
        <w:rPr>
          <w:rFonts w:eastAsiaTheme="minorHAnsi"/>
        </w:rPr>
        <w:t xml:space="preserve">економічною </w:t>
      </w:r>
      <w:r w:rsidRPr="00DA7C95">
        <w:rPr>
          <w:bCs/>
        </w:rPr>
        <w:t>перспективою</w:t>
      </w:r>
      <w:r w:rsidRPr="00DA7C95">
        <w:t>:</w:t>
      </w:r>
    </w:p>
    <w:p w14:paraId="17734E6A" w14:textId="4987BAB2" w:rsidR="00396DE0" w:rsidRPr="00DA7C95" w:rsidRDefault="00396DE0" w:rsidP="00D3042E">
      <w:pPr>
        <w:shd w:val="clear" w:color="auto" w:fill="FFFFFF" w:themeFill="background1"/>
        <w:tabs>
          <w:tab w:val="left" w:pos="851"/>
          <w:tab w:val="left" w:pos="993"/>
          <w:tab w:val="left" w:pos="1276"/>
          <w:tab w:val="left" w:pos="1418"/>
        </w:tabs>
        <w:ind w:firstLine="567"/>
      </w:pPr>
      <w:r w:rsidRPr="00DA7C95">
        <w:t xml:space="preserve">обсяг необхідної внутрішньої ліквідності – </w:t>
      </w:r>
      <w:r w:rsidRPr="00DA7C95">
        <w:rPr>
          <w:shd w:val="clear" w:color="auto" w:fill="FFFFFF"/>
        </w:rPr>
        <w:t xml:space="preserve">згідно з пунктами </w:t>
      </w:r>
      <w:r w:rsidR="00300BA6">
        <w:rPr>
          <w:shd w:val="clear" w:color="auto" w:fill="FFFFFF"/>
        </w:rPr>
        <w:t>18</w:t>
      </w:r>
      <w:r w:rsidR="00937442">
        <w:rPr>
          <w:shd w:val="clear" w:color="auto" w:fill="FFFFFF"/>
        </w:rPr>
        <w:t>–</w:t>
      </w:r>
      <w:r w:rsidR="00300BA6">
        <w:rPr>
          <w:shd w:val="clear" w:color="auto" w:fill="FFFFFF"/>
        </w:rPr>
        <w:t>2</w:t>
      </w:r>
      <w:r w:rsidR="00192F43">
        <w:rPr>
          <w:shd w:val="clear" w:color="auto" w:fill="FFFFFF"/>
        </w:rPr>
        <w:t>0</w:t>
      </w:r>
      <w:r w:rsidRPr="00DA7C95">
        <w:rPr>
          <w:shd w:val="clear" w:color="auto" w:fill="FFFFFF"/>
        </w:rPr>
        <w:t xml:space="preserve"> глави 4 розділу ІІ цього Положення</w:t>
      </w:r>
      <w:r w:rsidRPr="00DA7C95">
        <w:t>;</w:t>
      </w:r>
    </w:p>
    <w:p w14:paraId="3D93EC6F" w14:textId="1946CC24" w:rsidR="00396DE0" w:rsidRPr="00DA7C95" w:rsidRDefault="00396DE0" w:rsidP="00D3042E">
      <w:pPr>
        <w:shd w:val="clear" w:color="auto" w:fill="FFFFFF" w:themeFill="background1"/>
        <w:tabs>
          <w:tab w:val="left" w:pos="568"/>
          <w:tab w:val="left" w:pos="851"/>
          <w:tab w:val="left" w:pos="1276"/>
          <w:tab w:val="left" w:pos="1418"/>
        </w:tabs>
        <w:ind w:firstLine="567"/>
      </w:pPr>
      <w:r w:rsidRPr="00DA7C95">
        <w:lastRenderedPageBreak/>
        <w:t xml:space="preserve">обсяг доступної внутрішньої ліквідності – </w:t>
      </w:r>
      <w:r w:rsidRPr="00DA7C95">
        <w:rPr>
          <w:shd w:val="clear" w:color="auto" w:fill="FFFFFF"/>
        </w:rPr>
        <w:t>згідно з пунктом 2</w:t>
      </w:r>
      <w:r w:rsidR="00294C24">
        <w:rPr>
          <w:shd w:val="clear" w:color="auto" w:fill="FFFFFF"/>
        </w:rPr>
        <w:t>2</w:t>
      </w:r>
      <w:r w:rsidRPr="00DA7C95">
        <w:rPr>
          <w:shd w:val="clear" w:color="auto" w:fill="FFFFFF"/>
        </w:rPr>
        <w:t xml:space="preserve"> глави 4 розділу ІІ цього Положення;</w:t>
      </w:r>
    </w:p>
    <w:p w14:paraId="6EE23371" w14:textId="77777777" w:rsidR="00396DE0" w:rsidRPr="00DA7C95" w:rsidRDefault="00396DE0" w:rsidP="00D3042E">
      <w:pPr>
        <w:shd w:val="clear" w:color="auto" w:fill="FFFFFF" w:themeFill="background1"/>
        <w:tabs>
          <w:tab w:val="left" w:pos="568"/>
          <w:tab w:val="left" w:pos="851"/>
          <w:tab w:val="left" w:pos="1276"/>
          <w:tab w:val="left" w:pos="1418"/>
        </w:tabs>
        <w:ind w:firstLine="567"/>
      </w:pPr>
    </w:p>
    <w:p w14:paraId="76DC5D13" w14:textId="77777777" w:rsidR="00396DE0" w:rsidRPr="00DA7C95" w:rsidRDefault="00396DE0" w:rsidP="00D3042E">
      <w:pPr>
        <w:shd w:val="clear" w:color="auto" w:fill="FFFFFF" w:themeFill="background1"/>
        <w:tabs>
          <w:tab w:val="left" w:pos="1276"/>
          <w:tab w:val="left" w:pos="1418"/>
          <w:tab w:val="left" w:pos="1701"/>
        </w:tabs>
        <w:ind w:firstLine="567"/>
      </w:pPr>
      <w:r w:rsidRPr="00DA7C95">
        <w:t xml:space="preserve">2) </w:t>
      </w:r>
      <w:r w:rsidRPr="00DA7C95">
        <w:rPr>
          <w:rFonts w:eastAsiaTheme="minorHAnsi"/>
        </w:rPr>
        <w:t xml:space="preserve">за нормативною </w:t>
      </w:r>
      <w:r w:rsidRPr="00DA7C95">
        <w:rPr>
          <w:bCs/>
        </w:rPr>
        <w:t>перспективою</w:t>
      </w:r>
      <w:r w:rsidRPr="00DA7C95">
        <w:t>:</w:t>
      </w:r>
    </w:p>
    <w:p w14:paraId="7EEB98CF" w14:textId="1D8C23EA" w:rsidR="00396DE0" w:rsidRPr="00DA7C95" w:rsidRDefault="00396DE0" w:rsidP="00D3042E">
      <w:pPr>
        <w:shd w:val="clear" w:color="auto" w:fill="FFFFFF" w:themeFill="background1"/>
        <w:tabs>
          <w:tab w:val="left" w:pos="851"/>
          <w:tab w:val="left" w:pos="993"/>
          <w:tab w:val="left" w:pos="1276"/>
          <w:tab w:val="left" w:pos="1418"/>
        </w:tabs>
        <w:ind w:firstLine="567"/>
      </w:pPr>
      <w:r w:rsidRPr="00DA7C95">
        <w:t xml:space="preserve">обсяг необхідної внутрішньої ліквідності – </w:t>
      </w:r>
      <w:r w:rsidRPr="00DA7C95">
        <w:rPr>
          <w:shd w:val="clear" w:color="auto" w:fill="FFFFFF"/>
        </w:rPr>
        <w:t>згідно з главою 5 розділу ІІ цього Положення</w:t>
      </w:r>
      <w:r w:rsidRPr="00DA7C95">
        <w:t>;</w:t>
      </w:r>
    </w:p>
    <w:p w14:paraId="2F524798" w14:textId="77777777" w:rsidR="00396DE0" w:rsidRPr="00DA7C95" w:rsidRDefault="00396DE0" w:rsidP="00D3042E">
      <w:pPr>
        <w:shd w:val="clear" w:color="auto" w:fill="FFFFFF" w:themeFill="background1"/>
        <w:tabs>
          <w:tab w:val="left" w:pos="568"/>
          <w:tab w:val="left" w:pos="851"/>
          <w:tab w:val="left" w:pos="1276"/>
          <w:tab w:val="left" w:pos="1418"/>
        </w:tabs>
        <w:ind w:firstLine="567"/>
      </w:pPr>
      <w:r w:rsidRPr="00DA7C95">
        <w:t xml:space="preserve">обсяг доступної внутрішньої ліквідності – </w:t>
      </w:r>
      <w:r w:rsidRPr="00DA7C95">
        <w:rPr>
          <w:shd w:val="clear" w:color="auto" w:fill="FFFFFF"/>
        </w:rPr>
        <w:t>згідно з главою 6 розділу ІІ цього Положення.</w:t>
      </w:r>
    </w:p>
    <w:p w14:paraId="02915895" w14:textId="77777777" w:rsidR="00396DE0" w:rsidRPr="00DA7C95" w:rsidRDefault="00396DE0" w:rsidP="00D3042E">
      <w:pPr>
        <w:shd w:val="clear" w:color="auto" w:fill="FFFFFF" w:themeFill="background1"/>
        <w:tabs>
          <w:tab w:val="left" w:pos="1134"/>
        </w:tabs>
        <w:ind w:firstLine="567"/>
      </w:pPr>
    </w:p>
    <w:p w14:paraId="1CFFEEC0" w14:textId="77777777" w:rsidR="00396DE0" w:rsidRPr="00DA7C95" w:rsidRDefault="00396DE0" w:rsidP="00D3042E">
      <w:pPr>
        <w:pStyle w:val="a4"/>
        <w:numPr>
          <w:ilvl w:val="0"/>
          <w:numId w:val="11"/>
        </w:numPr>
        <w:shd w:val="clear" w:color="auto" w:fill="FFFFFF" w:themeFill="background1"/>
        <w:tabs>
          <w:tab w:val="left" w:pos="1276"/>
        </w:tabs>
        <w:ind w:left="0" w:firstLine="567"/>
      </w:pPr>
      <w:r w:rsidRPr="00DA7C95">
        <w:t>Банк за результатами оцінки достатності внутрішньої ліквідності за економічною та нормативною перспективами визначає рівень достатності внутрішньої ліквідності шляхом порівняння обсягу доступної та необхідної внутрішньої ліквідності.</w:t>
      </w:r>
    </w:p>
    <w:p w14:paraId="2176EC15" w14:textId="6B0A1F4D" w:rsidR="00396DE0" w:rsidRPr="00DA7C95" w:rsidRDefault="00396DE0" w:rsidP="00D3042E">
      <w:pPr>
        <w:shd w:val="clear" w:color="auto" w:fill="FFFFFF" w:themeFill="background1"/>
        <w:tabs>
          <w:tab w:val="num" w:pos="738"/>
          <w:tab w:val="left" w:pos="1276"/>
        </w:tabs>
        <w:ind w:right="-57" w:firstLine="567"/>
        <w:rPr>
          <w:b/>
          <w:bCs/>
        </w:rPr>
      </w:pPr>
      <w:r w:rsidRPr="00DA7C95">
        <w:t>Рівень внутрішньої ліквідності є достатнім, якщо обсяг доступної внутрішньої ліквідності є не меншим</w:t>
      </w:r>
      <w:r w:rsidR="0041776C">
        <w:t>,</w:t>
      </w:r>
      <w:r w:rsidRPr="00DA7C95">
        <w:t xml:space="preserve"> ніж обсяг необхідної внутрішньої ліквідності.</w:t>
      </w:r>
    </w:p>
    <w:p w14:paraId="6A4BB22D" w14:textId="77777777" w:rsidR="00396DE0" w:rsidRPr="00DA7C95" w:rsidRDefault="00396DE0" w:rsidP="00D3042E">
      <w:pPr>
        <w:shd w:val="clear" w:color="auto" w:fill="FFFFFF" w:themeFill="background1"/>
        <w:tabs>
          <w:tab w:val="left" w:pos="1276"/>
        </w:tabs>
        <w:ind w:right="-57" w:firstLine="567"/>
      </w:pPr>
    </w:p>
    <w:p w14:paraId="74FF4C4D" w14:textId="5E72A178" w:rsidR="00396DE0" w:rsidRPr="004155D0" w:rsidRDefault="00396DE0" w:rsidP="00D3042E">
      <w:pPr>
        <w:pStyle w:val="a4"/>
        <w:numPr>
          <w:ilvl w:val="0"/>
          <w:numId w:val="11"/>
        </w:numPr>
        <w:shd w:val="clear" w:color="auto" w:fill="FFFFFF" w:themeFill="background1"/>
        <w:tabs>
          <w:tab w:val="left" w:pos="1276"/>
        </w:tabs>
        <w:ind w:left="0" w:firstLine="567"/>
      </w:pPr>
      <w:r w:rsidRPr="006F5A68">
        <w:t xml:space="preserve"> Банк на постійній основі </w:t>
      </w:r>
      <w:r w:rsidR="00116498" w:rsidRPr="006F5A68">
        <w:t>зобов</w:t>
      </w:r>
      <w:r w:rsidR="00E26C6E" w:rsidRPr="006F5A68">
        <w:t>’</w:t>
      </w:r>
      <w:r w:rsidR="00116498" w:rsidRPr="006F5A68">
        <w:t>язан</w:t>
      </w:r>
      <w:r w:rsidR="00E26C6E" w:rsidRPr="006F5A68">
        <w:t xml:space="preserve">ий </w:t>
      </w:r>
      <w:r w:rsidRPr="006F5A68">
        <w:t>підтриму</w:t>
      </w:r>
      <w:r w:rsidR="00E26C6E" w:rsidRPr="006F5A68">
        <w:t>вати</w:t>
      </w:r>
      <w:r w:rsidRPr="006F5A68">
        <w:t xml:space="preserve"> достатній рівень внутрішньої </w:t>
      </w:r>
      <w:r w:rsidRPr="004155D0">
        <w:t>ліквідності</w:t>
      </w:r>
      <w:r w:rsidR="00550BD1" w:rsidRPr="004155D0">
        <w:t xml:space="preserve"> за економічною та нормативною перспективами</w:t>
      </w:r>
      <w:r w:rsidRPr="004155D0">
        <w:t xml:space="preserve">. </w:t>
      </w:r>
    </w:p>
    <w:p w14:paraId="011F0BA8" w14:textId="0E7547B9" w:rsidR="00396DE0" w:rsidRPr="00DA7C95" w:rsidRDefault="009244D3" w:rsidP="00D3042E">
      <w:pPr>
        <w:shd w:val="clear" w:color="auto" w:fill="FFFFFF" w:themeFill="background1"/>
        <w:tabs>
          <w:tab w:val="left" w:pos="1276"/>
        </w:tabs>
        <w:ind w:firstLine="567"/>
      </w:pPr>
      <w:r w:rsidRPr="00DA7C95">
        <w:t xml:space="preserve">Банк передбачає </w:t>
      </w:r>
      <w:r w:rsidR="0041776C">
        <w:t>в</w:t>
      </w:r>
      <w:r w:rsidR="0041776C" w:rsidRPr="00DA7C95">
        <w:t xml:space="preserve"> </w:t>
      </w:r>
      <w:r w:rsidRPr="00DA7C95">
        <w:t>плані підтримання достатності ліквідності, розробленому згідно з вимогами глави 7 розділу ІІ цього Положення, відповідні заходи для підтримання достатності внутрішньої ліквідності</w:t>
      </w:r>
      <w:r w:rsidR="00396DE0" w:rsidRPr="00DA7C95">
        <w:t>, якщо за результатами оцінки достатності внутрішньої ліквідності за нормативною перспективою за несприятливим сценарієм буде визначена недостатність внутрішньої ліквідності</w:t>
      </w:r>
      <w:r w:rsidR="00396DE0" w:rsidRPr="00DA7C95">
        <w:rPr>
          <w:shd w:val="clear" w:color="auto" w:fill="FFFFFF"/>
        </w:rPr>
        <w:t>.</w:t>
      </w:r>
    </w:p>
    <w:p w14:paraId="1F0ECBE1" w14:textId="77777777" w:rsidR="00396DE0" w:rsidRPr="00DA7C95" w:rsidRDefault="00396DE0" w:rsidP="00396DE0">
      <w:pPr>
        <w:shd w:val="clear" w:color="auto" w:fill="FFFFFF" w:themeFill="background1"/>
        <w:tabs>
          <w:tab w:val="left" w:pos="1276"/>
        </w:tabs>
        <w:ind w:firstLine="706"/>
      </w:pPr>
    </w:p>
    <w:p w14:paraId="15B031C9" w14:textId="77777777" w:rsidR="00396DE0" w:rsidRPr="00DA7C95" w:rsidRDefault="00396DE0" w:rsidP="00396DE0">
      <w:pPr>
        <w:pStyle w:val="1"/>
        <w:shd w:val="clear" w:color="auto" w:fill="FFFFFF" w:themeFill="background1"/>
        <w:tabs>
          <w:tab w:val="left" w:pos="1418"/>
        </w:tabs>
        <w:spacing w:before="0"/>
        <w:jc w:val="center"/>
        <w:rPr>
          <w:rFonts w:ascii="Times New Roman" w:hAnsi="Times New Roman" w:cs="Times New Roman"/>
          <w:bCs/>
          <w:color w:val="auto"/>
          <w:sz w:val="28"/>
          <w:szCs w:val="28"/>
        </w:rPr>
      </w:pPr>
      <w:bookmarkStart w:id="32" w:name="_Hlk139291913"/>
      <w:r w:rsidRPr="00DA7C95">
        <w:rPr>
          <w:rFonts w:ascii="Times New Roman" w:hAnsi="Times New Roman" w:cs="Times New Roman"/>
          <w:color w:val="auto"/>
          <w:sz w:val="28"/>
          <w:szCs w:val="28"/>
        </w:rPr>
        <w:t>4. Визначення обсягу необхідної та доступної</w:t>
      </w:r>
      <w:r w:rsidRPr="00DA7C95">
        <w:rPr>
          <w:rFonts w:ascii="Times New Roman" w:hAnsi="Times New Roman" w:cs="Times New Roman"/>
          <w:color w:val="auto"/>
          <w:sz w:val="28"/>
          <w:szCs w:val="28"/>
        </w:rPr>
        <w:br/>
        <w:t xml:space="preserve">внутрішньої ліквідності за економічною </w:t>
      </w:r>
      <w:r w:rsidRPr="00DA7C95">
        <w:rPr>
          <w:rFonts w:ascii="Times New Roman" w:hAnsi="Times New Roman" w:cs="Times New Roman"/>
          <w:bCs/>
          <w:color w:val="auto"/>
          <w:sz w:val="28"/>
          <w:szCs w:val="28"/>
        </w:rPr>
        <w:t>перспективою</w:t>
      </w:r>
    </w:p>
    <w:p w14:paraId="243F41BE" w14:textId="77777777" w:rsidR="00396DE0" w:rsidRPr="00DA7C95" w:rsidRDefault="00396DE0" w:rsidP="00396DE0">
      <w:pPr>
        <w:shd w:val="clear" w:color="auto" w:fill="FFFFFF" w:themeFill="background1"/>
        <w:tabs>
          <w:tab w:val="left" w:pos="1276"/>
        </w:tabs>
        <w:ind w:firstLine="706"/>
      </w:pPr>
    </w:p>
    <w:p w14:paraId="29C9D364" w14:textId="59306756" w:rsidR="00396DE0" w:rsidRPr="00DA7C95" w:rsidRDefault="006F5A68" w:rsidP="00D3042E">
      <w:pPr>
        <w:shd w:val="clear" w:color="auto" w:fill="FFFFFF" w:themeFill="background1"/>
        <w:tabs>
          <w:tab w:val="left" w:pos="1276"/>
        </w:tabs>
        <w:ind w:firstLine="567"/>
      </w:pPr>
      <w:r w:rsidRPr="006F5A68">
        <w:t>1</w:t>
      </w:r>
      <w:r w:rsidR="00D4081F">
        <w:t>8</w:t>
      </w:r>
      <w:r w:rsidR="00396DE0" w:rsidRPr="00DA7C95">
        <w:t xml:space="preserve">. Банк, ґрунтуючись на рівні ризик-апетиту щодо ризику ліквідності, зазначеному в декларації схильності до ризиків, з урахуванням оцінки ризику ліквідності за </w:t>
      </w:r>
      <w:r w:rsidR="00550BD1" w:rsidRPr="00DA7C95">
        <w:t>визначеними банком</w:t>
      </w:r>
      <w:r w:rsidR="00396DE0" w:rsidRPr="00DA7C95">
        <w:t xml:space="preserve"> часовими інтервалами, визначає на прогнозні дати</w:t>
      </w:r>
      <w:bookmarkStart w:id="33" w:name="_Hlk91626388"/>
      <w:bookmarkEnd w:id="33"/>
      <w:r w:rsidR="00396DE0" w:rsidRPr="00DA7C95">
        <w:t xml:space="preserve"> обсяг необхідної внутрішньої ліквідності за економічною </w:t>
      </w:r>
      <w:r w:rsidR="00396DE0" w:rsidRPr="00DA7C95">
        <w:rPr>
          <w:bCs/>
        </w:rPr>
        <w:t xml:space="preserve">перспективою </w:t>
      </w:r>
      <w:r w:rsidR="00396DE0" w:rsidRPr="00DA7C95">
        <w:t xml:space="preserve">за всіма валютами загалом, а також </w:t>
      </w:r>
      <w:r w:rsidR="0040545C">
        <w:t>у</w:t>
      </w:r>
      <w:r w:rsidR="00396DE0" w:rsidRPr="00DA7C95">
        <w:t xml:space="preserve"> розрізі значимих валют</w:t>
      </w:r>
      <w:r w:rsidR="00396DE0" w:rsidRPr="00DA7C95">
        <w:rPr>
          <w:bCs/>
        </w:rPr>
        <w:t>:</w:t>
      </w:r>
    </w:p>
    <w:p w14:paraId="3EBF741A" w14:textId="77777777" w:rsidR="00396DE0" w:rsidRPr="00DA7C95" w:rsidRDefault="00396DE0" w:rsidP="00396DE0">
      <w:pPr>
        <w:shd w:val="clear" w:color="auto" w:fill="FFFFFF" w:themeFill="background1"/>
        <w:tabs>
          <w:tab w:val="left" w:pos="-142"/>
          <w:tab w:val="left" w:pos="709"/>
          <w:tab w:val="left" w:pos="1134"/>
          <w:tab w:val="left" w:pos="1276"/>
          <w:tab w:val="left" w:pos="1418"/>
        </w:tabs>
        <w:ind w:firstLine="706"/>
      </w:pPr>
    </w:p>
    <w:p w14:paraId="51D5DBF1" w14:textId="3534D1F5" w:rsidR="00396DE0" w:rsidRPr="00DA7C95" w:rsidRDefault="00396DE0" w:rsidP="00D3042E">
      <w:pPr>
        <w:shd w:val="clear" w:color="auto" w:fill="FFFFFF" w:themeFill="background1"/>
        <w:tabs>
          <w:tab w:val="left" w:pos="-142"/>
          <w:tab w:val="left" w:pos="709"/>
          <w:tab w:val="left" w:pos="1134"/>
          <w:tab w:val="left" w:pos="1276"/>
          <w:tab w:val="left" w:pos="1418"/>
        </w:tabs>
        <w:ind w:firstLine="567"/>
      </w:pPr>
      <w:r w:rsidRPr="00DA7C95">
        <w:t xml:space="preserve">1) щодо короткострокової ліквідності – необхідний обсяг необтяжених високоякісних ліквідних активів для покриття всіх суттєвих ризиків, </w:t>
      </w:r>
      <w:r w:rsidR="0041776C" w:rsidRPr="00DA7C95">
        <w:rPr>
          <w:bCs/>
        </w:rPr>
        <w:t>пов</w:t>
      </w:r>
      <w:r w:rsidR="0041776C">
        <w:rPr>
          <w:bCs/>
        </w:rPr>
        <w:t>’</w:t>
      </w:r>
      <w:r w:rsidR="0041776C" w:rsidRPr="00DA7C95">
        <w:rPr>
          <w:bCs/>
        </w:rPr>
        <w:t xml:space="preserve">язаних </w:t>
      </w:r>
      <w:r w:rsidR="0041776C">
        <w:rPr>
          <w:bCs/>
        </w:rPr>
        <w:t>і</w:t>
      </w:r>
      <w:r w:rsidRPr="00DA7C95">
        <w:rPr>
          <w:bCs/>
        </w:rPr>
        <w:t>з ліквідністю</w:t>
      </w:r>
      <w:r w:rsidRPr="00DA7C95">
        <w:rPr>
          <w:shd w:val="clear" w:color="auto" w:fill="FFFFFF"/>
        </w:rPr>
        <w:t xml:space="preserve">, </w:t>
      </w:r>
      <w:r w:rsidRPr="00DA7C95">
        <w:t xml:space="preserve">та очікуваних відпливів грошових коштів; </w:t>
      </w:r>
    </w:p>
    <w:p w14:paraId="146385DE" w14:textId="77777777" w:rsidR="00396DE0" w:rsidRPr="00DA7C95" w:rsidRDefault="00396DE0" w:rsidP="00D3042E">
      <w:pPr>
        <w:shd w:val="clear" w:color="auto" w:fill="FFFFFF" w:themeFill="background1"/>
        <w:tabs>
          <w:tab w:val="left" w:pos="-142"/>
          <w:tab w:val="left" w:pos="709"/>
          <w:tab w:val="left" w:pos="1134"/>
          <w:tab w:val="left" w:pos="1276"/>
          <w:tab w:val="left" w:pos="1418"/>
        </w:tabs>
        <w:ind w:firstLine="567"/>
      </w:pPr>
    </w:p>
    <w:p w14:paraId="49135CE8" w14:textId="4606F2B3" w:rsidR="00396DE0" w:rsidRDefault="00396DE0" w:rsidP="00D3042E">
      <w:pPr>
        <w:shd w:val="clear" w:color="auto" w:fill="FFFFFF" w:themeFill="background1"/>
        <w:tabs>
          <w:tab w:val="left" w:pos="-142"/>
          <w:tab w:val="left" w:pos="709"/>
          <w:tab w:val="left" w:pos="1134"/>
          <w:tab w:val="left" w:pos="1276"/>
          <w:tab w:val="left" w:pos="1418"/>
        </w:tabs>
        <w:ind w:firstLine="567"/>
      </w:pPr>
      <w:r w:rsidRPr="00DA7C95">
        <w:t xml:space="preserve">2) щодо довгострокової ліквідності </w:t>
      </w:r>
      <w:r w:rsidRPr="00DA7C95">
        <w:rPr>
          <w:rFonts w:eastAsiaTheme="minorHAnsi"/>
        </w:rPr>
        <w:t xml:space="preserve">– необхідний </w:t>
      </w:r>
      <w:r w:rsidRPr="00DA7C95">
        <w:t>обсяг стабільного фінансування для забезпечення достатнього фінансування.</w:t>
      </w:r>
    </w:p>
    <w:p w14:paraId="2EEC570F" w14:textId="77777777" w:rsidR="00D4081F" w:rsidRPr="00DA7C95" w:rsidRDefault="00D4081F" w:rsidP="00D3042E">
      <w:pPr>
        <w:shd w:val="clear" w:color="auto" w:fill="FFFFFF" w:themeFill="background1"/>
        <w:tabs>
          <w:tab w:val="left" w:pos="-142"/>
          <w:tab w:val="left" w:pos="709"/>
          <w:tab w:val="left" w:pos="1134"/>
          <w:tab w:val="left" w:pos="1276"/>
          <w:tab w:val="left" w:pos="1418"/>
        </w:tabs>
        <w:ind w:firstLine="567"/>
      </w:pPr>
    </w:p>
    <w:p w14:paraId="324DC9A3" w14:textId="5161EBA1" w:rsidR="00D4081F" w:rsidRPr="00E95146" w:rsidRDefault="00D4081F" w:rsidP="00D3042E">
      <w:pPr>
        <w:shd w:val="clear" w:color="auto" w:fill="FFFFFF" w:themeFill="background1"/>
        <w:tabs>
          <w:tab w:val="left" w:pos="-2410"/>
          <w:tab w:val="left" w:pos="0"/>
          <w:tab w:val="left" w:pos="1134"/>
          <w:tab w:val="left" w:pos="1560"/>
          <w:tab w:val="left" w:pos="1701"/>
          <w:tab w:val="left" w:pos="1843"/>
        </w:tabs>
        <w:ind w:firstLine="567"/>
      </w:pPr>
      <w:r w:rsidRPr="00DA7C95">
        <w:lastRenderedPageBreak/>
        <w:t>1</w:t>
      </w:r>
      <w:r>
        <w:t>9</w:t>
      </w:r>
      <w:r w:rsidRPr="00DA7C95">
        <w:t xml:space="preserve">. Банк під час оцінки достатності внутрішньої ліквідності за </w:t>
      </w:r>
      <w:r w:rsidRPr="00DA7C95">
        <w:rPr>
          <w:rFonts w:eastAsiaTheme="minorHAnsi"/>
        </w:rPr>
        <w:t xml:space="preserve">економічною </w:t>
      </w:r>
      <w:r w:rsidRPr="00DA7C95">
        <w:rPr>
          <w:bCs/>
        </w:rPr>
        <w:t xml:space="preserve">перспективою забезпечує </w:t>
      </w:r>
      <w:r w:rsidRPr="00DA7C95">
        <w:rPr>
          <w:rFonts w:eastAsia="Calibri"/>
          <w:bCs/>
        </w:rPr>
        <w:t xml:space="preserve">здійснення оцінки ризику ліквідності згідно з вимогами </w:t>
      </w:r>
      <w:r w:rsidRPr="00DA7C95">
        <w:t xml:space="preserve">Положення </w:t>
      </w:r>
      <w:r w:rsidRPr="00E95146">
        <w:t>№ 64</w:t>
      </w:r>
      <w:r w:rsidR="00D75C7A" w:rsidRPr="00E95146">
        <w:t xml:space="preserve"> </w:t>
      </w:r>
      <w:r w:rsidRPr="00E95146">
        <w:t>за визначеними банком часовими інтервалами</w:t>
      </w:r>
      <w:r w:rsidR="004155D0" w:rsidRPr="00E95146">
        <w:t xml:space="preserve"> щодо</w:t>
      </w:r>
      <w:r w:rsidRPr="00E95146">
        <w:t>:</w:t>
      </w:r>
    </w:p>
    <w:p w14:paraId="34995A9A" w14:textId="77777777" w:rsidR="00E95146" w:rsidRPr="00E95146" w:rsidRDefault="00E95146" w:rsidP="00D3042E">
      <w:pPr>
        <w:shd w:val="clear" w:color="auto" w:fill="FFFFFF" w:themeFill="background1"/>
        <w:tabs>
          <w:tab w:val="left" w:pos="-2410"/>
          <w:tab w:val="left" w:pos="0"/>
          <w:tab w:val="left" w:pos="1134"/>
          <w:tab w:val="left" w:pos="1560"/>
          <w:tab w:val="left" w:pos="1701"/>
          <w:tab w:val="left" w:pos="1843"/>
        </w:tabs>
        <w:ind w:firstLine="567"/>
      </w:pPr>
    </w:p>
    <w:p w14:paraId="6D3D357F" w14:textId="022DB651" w:rsidR="00D4081F" w:rsidRPr="00E95146" w:rsidRDefault="00D4081F" w:rsidP="00D3042E">
      <w:pPr>
        <w:pStyle w:val="a4"/>
        <w:numPr>
          <w:ilvl w:val="0"/>
          <w:numId w:val="31"/>
        </w:numPr>
        <w:shd w:val="clear" w:color="auto" w:fill="FFFFFF" w:themeFill="background1"/>
        <w:tabs>
          <w:tab w:val="left" w:pos="1276"/>
        </w:tabs>
        <w:ind w:left="0" w:firstLine="567"/>
        <w:contextualSpacing w:val="0"/>
      </w:pPr>
      <w:r w:rsidRPr="00E95146">
        <w:t xml:space="preserve">короткострокової ліквідності – від </w:t>
      </w:r>
      <w:r w:rsidR="00815E05">
        <w:t>одного</w:t>
      </w:r>
      <w:r w:rsidR="00815E05" w:rsidRPr="00E95146">
        <w:t xml:space="preserve"> </w:t>
      </w:r>
      <w:r w:rsidRPr="00E95146">
        <w:t xml:space="preserve">дня до </w:t>
      </w:r>
      <w:r w:rsidR="00815E05">
        <w:t>одного</w:t>
      </w:r>
      <w:r w:rsidR="00815E05" w:rsidRPr="00E95146">
        <w:t xml:space="preserve"> </w:t>
      </w:r>
      <w:r w:rsidRPr="00E95146">
        <w:t>року;</w:t>
      </w:r>
    </w:p>
    <w:p w14:paraId="65D535DD" w14:textId="77777777" w:rsidR="00E95146" w:rsidRPr="00E95146" w:rsidRDefault="00E95146" w:rsidP="00D3042E">
      <w:pPr>
        <w:pStyle w:val="a4"/>
        <w:shd w:val="clear" w:color="auto" w:fill="FFFFFF" w:themeFill="background1"/>
        <w:tabs>
          <w:tab w:val="left" w:pos="1276"/>
        </w:tabs>
        <w:ind w:left="0" w:firstLine="567"/>
        <w:contextualSpacing w:val="0"/>
      </w:pPr>
    </w:p>
    <w:p w14:paraId="529D3AB6" w14:textId="71F39745" w:rsidR="00D4081F" w:rsidRPr="00E95146" w:rsidRDefault="00D4081F" w:rsidP="00D3042E">
      <w:pPr>
        <w:pStyle w:val="a4"/>
        <w:numPr>
          <w:ilvl w:val="0"/>
          <w:numId w:val="31"/>
        </w:numPr>
        <w:shd w:val="clear" w:color="auto" w:fill="FFFFFF" w:themeFill="background1"/>
        <w:tabs>
          <w:tab w:val="left" w:pos="1276"/>
        </w:tabs>
        <w:ind w:left="0" w:firstLine="567"/>
        <w:contextualSpacing w:val="0"/>
      </w:pPr>
      <w:r w:rsidRPr="00E95146">
        <w:t xml:space="preserve">довгострокової ліквідності – до </w:t>
      </w:r>
      <w:r w:rsidR="00815E05">
        <w:t>трьох</w:t>
      </w:r>
      <w:r w:rsidR="00815E05" w:rsidRPr="00E95146">
        <w:t xml:space="preserve"> </w:t>
      </w:r>
      <w:r w:rsidRPr="00E95146">
        <w:t>років та більше.</w:t>
      </w:r>
    </w:p>
    <w:p w14:paraId="74E237F3" w14:textId="77777777" w:rsidR="00D4081F" w:rsidRPr="00DA7C95" w:rsidRDefault="00D4081F" w:rsidP="00D3042E">
      <w:pPr>
        <w:shd w:val="clear" w:color="auto" w:fill="FFFFFF" w:themeFill="background1"/>
        <w:tabs>
          <w:tab w:val="left" w:pos="1276"/>
        </w:tabs>
        <w:spacing w:before="60"/>
        <w:ind w:firstLine="567"/>
      </w:pPr>
      <w:r w:rsidRPr="00E95146">
        <w:t xml:space="preserve">Інформацію про </w:t>
      </w:r>
      <w:r w:rsidRPr="00E95146">
        <w:rPr>
          <w:rFonts w:eastAsia="Calibri"/>
          <w:bCs/>
        </w:rPr>
        <w:t xml:space="preserve">оцінку ризику ліквідності банк включає до Звіту </w:t>
      </w:r>
      <w:r w:rsidRPr="00E95146">
        <w:t>щодо процесу ILAAP згідно з вимогами пункту 4 додатка 3 до цього Положення.</w:t>
      </w:r>
    </w:p>
    <w:p w14:paraId="611F3A1D" w14:textId="77777777" w:rsidR="00D4081F" w:rsidRPr="00DA7C95" w:rsidRDefault="00D4081F" w:rsidP="00D3042E">
      <w:pPr>
        <w:shd w:val="clear" w:color="auto" w:fill="FFFFFF" w:themeFill="background1"/>
        <w:tabs>
          <w:tab w:val="left" w:pos="-142"/>
          <w:tab w:val="left" w:pos="709"/>
          <w:tab w:val="left" w:pos="1134"/>
          <w:tab w:val="left" w:pos="1276"/>
          <w:tab w:val="left" w:pos="1418"/>
        </w:tabs>
        <w:ind w:firstLine="567"/>
      </w:pPr>
    </w:p>
    <w:p w14:paraId="5A72CA22" w14:textId="0D06771A" w:rsidR="00396DE0" w:rsidRPr="00DA7C95" w:rsidRDefault="00396DE0" w:rsidP="00D3042E">
      <w:pPr>
        <w:shd w:val="clear" w:color="auto" w:fill="FFFFFF" w:themeFill="background1"/>
        <w:tabs>
          <w:tab w:val="left" w:pos="1134"/>
          <w:tab w:val="left" w:pos="1276"/>
        </w:tabs>
        <w:ind w:firstLine="567"/>
      </w:pPr>
      <w:bookmarkStart w:id="34" w:name="_Hlk39743236"/>
      <w:bookmarkStart w:id="35" w:name="_Hlk39056181"/>
      <w:bookmarkStart w:id="36" w:name="_Hlk52286487"/>
      <w:bookmarkStart w:id="37" w:name="_Hlk43578099"/>
      <w:bookmarkStart w:id="38" w:name="_Hlk503889611"/>
      <w:bookmarkStart w:id="39" w:name="_Hlk122870340"/>
      <w:bookmarkEnd w:id="34"/>
      <w:bookmarkEnd w:id="35"/>
      <w:bookmarkEnd w:id="36"/>
      <w:bookmarkEnd w:id="37"/>
      <w:bookmarkEnd w:id="38"/>
      <w:r w:rsidRPr="00E95146">
        <w:t>2</w:t>
      </w:r>
      <w:r w:rsidR="006F5A68" w:rsidRPr="00E95146">
        <w:t>0</w:t>
      </w:r>
      <w:r w:rsidRPr="00E95146">
        <w:t xml:space="preserve">. Банк визначає обсяг необхідної внутрішньої ліквідності за економічною </w:t>
      </w:r>
      <w:r w:rsidRPr="00E95146">
        <w:rPr>
          <w:bCs/>
        </w:rPr>
        <w:t xml:space="preserve">перспективою з урахуванням результатів стрес-тестування ризику ліквідності, здійсненого </w:t>
      </w:r>
      <w:r w:rsidRPr="00E95146">
        <w:t>згідно з вимогами Положення № 64</w:t>
      </w:r>
      <w:r w:rsidR="00815E05">
        <w:t>,</w:t>
      </w:r>
      <w:r w:rsidRPr="00E95146">
        <w:t xml:space="preserve"> з використанням </w:t>
      </w:r>
      <w:r w:rsidRPr="00E95146">
        <w:rPr>
          <w:bCs/>
        </w:rPr>
        <w:t xml:space="preserve">одного із стрес-сценаріїв, який </w:t>
      </w:r>
      <w:r w:rsidR="00550BD1" w:rsidRPr="00E95146">
        <w:rPr>
          <w:bCs/>
        </w:rPr>
        <w:t>банк на підставі судження</w:t>
      </w:r>
      <w:r w:rsidRPr="00E95146">
        <w:t xml:space="preserve"> визначив як найбільш адекватний для оцінки достатності внутрішньої ліквідності за економічною перспективою.</w:t>
      </w:r>
    </w:p>
    <w:p w14:paraId="00C15EC2" w14:textId="77777777" w:rsidR="00396DE0" w:rsidRPr="00DA7C95" w:rsidRDefault="00396DE0" w:rsidP="00D3042E">
      <w:pPr>
        <w:shd w:val="clear" w:color="auto" w:fill="FFFFFF" w:themeFill="background1"/>
        <w:tabs>
          <w:tab w:val="left" w:pos="1134"/>
          <w:tab w:val="left" w:pos="1276"/>
        </w:tabs>
        <w:ind w:firstLine="567"/>
      </w:pPr>
      <w:r w:rsidRPr="00DA7C95">
        <w:t xml:space="preserve">Стрес-сценарій повинен адекватно враховувати значні економічні падіння та фінансові потрясіння на ринку, специфічні вразливості банку, </w:t>
      </w:r>
      <w:r w:rsidRPr="00DA7C95">
        <w:rPr>
          <w:shd w:val="clear" w:color="auto" w:fill="FFFFFF" w:themeFill="background1"/>
        </w:rPr>
        <w:t>залежність від основних постачальників фінансування та ймовірні їх комбінації.</w:t>
      </w:r>
    </w:p>
    <w:p w14:paraId="155CFB3E" w14:textId="3C8F090D" w:rsidR="00396DE0" w:rsidRDefault="00396DE0" w:rsidP="00D3042E">
      <w:pPr>
        <w:shd w:val="clear" w:color="auto" w:fill="FFFFFF" w:themeFill="background1"/>
        <w:tabs>
          <w:tab w:val="left" w:pos="1134"/>
          <w:tab w:val="left" w:pos="1276"/>
        </w:tabs>
        <w:ind w:firstLine="567"/>
      </w:pPr>
    </w:p>
    <w:p w14:paraId="2E1E37C6" w14:textId="586A5ABA" w:rsidR="006F5A68" w:rsidRDefault="006F5A68" w:rsidP="00D3042E">
      <w:pPr>
        <w:shd w:val="clear" w:color="auto" w:fill="FFFFFF" w:themeFill="background1"/>
        <w:tabs>
          <w:tab w:val="left" w:pos="1134"/>
          <w:tab w:val="left" w:pos="1276"/>
        </w:tabs>
        <w:ind w:firstLine="567"/>
      </w:pPr>
      <w:r w:rsidRPr="006F5A68">
        <w:t>21</w:t>
      </w:r>
      <w:r>
        <w:t>. Судження банку з питань оцінки достатності внутрішньої ліквідності ґрунтується на:</w:t>
      </w:r>
    </w:p>
    <w:p w14:paraId="03278317" w14:textId="77777777" w:rsidR="00E95146" w:rsidRDefault="00E95146" w:rsidP="00D3042E">
      <w:pPr>
        <w:shd w:val="clear" w:color="auto" w:fill="FFFFFF" w:themeFill="background1"/>
        <w:tabs>
          <w:tab w:val="left" w:pos="1134"/>
          <w:tab w:val="left" w:pos="1276"/>
        </w:tabs>
        <w:ind w:firstLine="567"/>
      </w:pPr>
    </w:p>
    <w:p w14:paraId="584E81D1" w14:textId="2BB3C1C1" w:rsidR="006F5A68" w:rsidRDefault="006F5A68" w:rsidP="00D3042E">
      <w:pPr>
        <w:pStyle w:val="a4"/>
        <w:numPr>
          <w:ilvl w:val="0"/>
          <w:numId w:val="32"/>
        </w:numPr>
        <w:shd w:val="clear" w:color="auto" w:fill="FFFFFF" w:themeFill="background1"/>
        <w:tabs>
          <w:tab w:val="left" w:pos="1134"/>
          <w:tab w:val="left" w:pos="1276"/>
        </w:tabs>
        <w:ind w:left="0" w:firstLine="567"/>
      </w:pPr>
      <w:r w:rsidRPr="00E95146">
        <w:t xml:space="preserve">забезпеченні повної, своєчасної та </w:t>
      </w:r>
      <w:r w:rsidR="0041776C" w:rsidRPr="00E95146">
        <w:t>об</w:t>
      </w:r>
      <w:r w:rsidR="0041776C">
        <w:t>’</w:t>
      </w:r>
      <w:r w:rsidR="0041776C" w:rsidRPr="00E95146">
        <w:t xml:space="preserve">єктивної </w:t>
      </w:r>
      <w:r w:rsidRPr="00E95146">
        <w:t>оцінки достатності внутрішньої ліквідності з дотриманням принципів, визначених цим Положенням;</w:t>
      </w:r>
    </w:p>
    <w:p w14:paraId="7ED9DDCD" w14:textId="77777777" w:rsidR="00E95146" w:rsidRPr="00E95146" w:rsidRDefault="00E95146" w:rsidP="00D3042E">
      <w:pPr>
        <w:pStyle w:val="a4"/>
        <w:shd w:val="clear" w:color="auto" w:fill="FFFFFF" w:themeFill="background1"/>
        <w:tabs>
          <w:tab w:val="left" w:pos="1134"/>
          <w:tab w:val="left" w:pos="1276"/>
        </w:tabs>
        <w:ind w:left="0" w:firstLine="567"/>
      </w:pPr>
    </w:p>
    <w:p w14:paraId="56D7156D" w14:textId="74328A06" w:rsidR="006F5A68" w:rsidRDefault="006F5A68" w:rsidP="00D3042E">
      <w:pPr>
        <w:pStyle w:val="a4"/>
        <w:numPr>
          <w:ilvl w:val="0"/>
          <w:numId w:val="32"/>
        </w:numPr>
        <w:shd w:val="clear" w:color="auto" w:fill="FFFFFF" w:themeFill="background1"/>
        <w:tabs>
          <w:tab w:val="left" w:pos="1134"/>
          <w:tab w:val="left" w:pos="1276"/>
        </w:tabs>
        <w:ind w:left="0" w:firstLine="567"/>
      </w:pPr>
      <w:r w:rsidRPr="00E95146">
        <w:t>відповідності фактичних дій щодо визначення кожного з компонентів оцінки достатності внутрішньої ліквідності вимогам цього Положення та внутрішньобанківських</w:t>
      </w:r>
      <w:r w:rsidR="0041776C">
        <w:t> </w:t>
      </w:r>
      <w:r w:rsidRPr="00E95146">
        <w:t>/</w:t>
      </w:r>
      <w:r w:rsidR="0041776C">
        <w:t> </w:t>
      </w:r>
      <w:proofErr w:type="spellStart"/>
      <w:r w:rsidRPr="00E95146">
        <w:t>внутрішньогрупових</w:t>
      </w:r>
      <w:proofErr w:type="spellEnd"/>
      <w:r w:rsidRPr="00E95146">
        <w:t xml:space="preserve"> положень;</w:t>
      </w:r>
    </w:p>
    <w:p w14:paraId="2C64843A" w14:textId="77777777" w:rsidR="00E95146" w:rsidRDefault="00E95146" w:rsidP="00D3042E">
      <w:pPr>
        <w:pStyle w:val="a4"/>
        <w:ind w:left="0" w:firstLine="567"/>
      </w:pPr>
    </w:p>
    <w:p w14:paraId="145DE306" w14:textId="64853593" w:rsidR="006F5A68" w:rsidRDefault="006F5A68" w:rsidP="00D3042E">
      <w:pPr>
        <w:pStyle w:val="a4"/>
        <w:numPr>
          <w:ilvl w:val="0"/>
          <w:numId w:val="32"/>
        </w:numPr>
        <w:shd w:val="clear" w:color="auto" w:fill="FFFFFF" w:themeFill="background1"/>
        <w:tabs>
          <w:tab w:val="left" w:pos="1134"/>
          <w:tab w:val="left" w:pos="1276"/>
        </w:tabs>
        <w:ind w:left="0" w:firstLine="567"/>
      </w:pPr>
      <w:r w:rsidRPr="00E95146">
        <w:t xml:space="preserve">комплексному та </w:t>
      </w:r>
      <w:r w:rsidR="0041776C" w:rsidRPr="00E95146">
        <w:t>об</w:t>
      </w:r>
      <w:r w:rsidR="0041776C">
        <w:t>’</w:t>
      </w:r>
      <w:r w:rsidR="0041776C" w:rsidRPr="00E95146">
        <w:t xml:space="preserve">єктивному </w:t>
      </w:r>
      <w:r w:rsidRPr="00E95146">
        <w:t>аналізі всієї інформації, що впливає на визначення розміру компонентів і факторів оцінки достатності внутрішньої ліквідності;</w:t>
      </w:r>
    </w:p>
    <w:p w14:paraId="5A521C50" w14:textId="77777777" w:rsidR="00E95146" w:rsidRDefault="00E95146" w:rsidP="00E95146">
      <w:pPr>
        <w:pStyle w:val="a4"/>
      </w:pPr>
    </w:p>
    <w:p w14:paraId="565AFEFA" w14:textId="0F4AD6C6" w:rsidR="006F5A68" w:rsidRPr="00E95146" w:rsidRDefault="006F5A68" w:rsidP="00D3042E">
      <w:pPr>
        <w:pStyle w:val="a4"/>
        <w:numPr>
          <w:ilvl w:val="0"/>
          <w:numId w:val="32"/>
        </w:numPr>
        <w:shd w:val="clear" w:color="auto" w:fill="FFFFFF" w:themeFill="background1"/>
        <w:tabs>
          <w:tab w:val="left" w:pos="1134"/>
          <w:tab w:val="left" w:pos="1276"/>
        </w:tabs>
        <w:ind w:left="0" w:firstLine="567"/>
      </w:pPr>
      <w:r w:rsidRPr="008D3B69">
        <w:t>власному</w:t>
      </w:r>
      <w:r w:rsidRPr="00E95146">
        <w:t xml:space="preserve"> досвіді, що ґрунтується на надійних, безперервних, актуальних, повних та цілісних статистичних даних, період накопичення яких становить щонайменше </w:t>
      </w:r>
      <w:r w:rsidR="0041776C" w:rsidRPr="00E95146">
        <w:t>п</w:t>
      </w:r>
      <w:r w:rsidR="0041776C">
        <w:t>’</w:t>
      </w:r>
      <w:r w:rsidR="0041776C" w:rsidRPr="00E95146">
        <w:t xml:space="preserve">ять </w:t>
      </w:r>
      <w:r w:rsidRPr="00E95146">
        <w:t xml:space="preserve">останніх років поспіль (для новостворених банків </w:t>
      </w:r>
      <w:r w:rsidR="0041776C">
        <w:t>–</w:t>
      </w:r>
      <w:r w:rsidRPr="00E95146">
        <w:t xml:space="preserve"> період від початку діяльності), що передують даті оцінки достатності внутрішньої ліквідності, або за довший період (за наявності). Такі статистичні дані мають складати раціональний набір первинних даних (уключаючи дані за періоди фаз економічного зростання та кризи), які забезпечують високу </w:t>
      </w:r>
      <w:r w:rsidRPr="00E95146">
        <w:lastRenderedPageBreak/>
        <w:t>репрезентативність, точність прогнозування і не призводять до викривлення підсумкових даних.</w:t>
      </w:r>
    </w:p>
    <w:p w14:paraId="0C8427BF" w14:textId="77777777" w:rsidR="006F5A68" w:rsidRPr="00DA7C95" w:rsidRDefault="006F5A68" w:rsidP="00D3042E">
      <w:pPr>
        <w:shd w:val="clear" w:color="auto" w:fill="FFFFFF" w:themeFill="background1"/>
        <w:tabs>
          <w:tab w:val="left" w:pos="1134"/>
          <w:tab w:val="left" w:pos="1276"/>
        </w:tabs>
        <w:ind w:firstLine="567"/>
      </w:pPr>
    </w:p>
    <w:p w14:paraId="2B1F26EF" w14:textId="1D7895E3" w:rsidR="00396DE0" w:rsidRPr="00E95146" w:rsidRDefault="00396DE0" w:rsidP="00D3042E">
      <w:pPr>
        <w:shd w:val="clear" w:color="auto" w:fill="FFFFFF" w:themeFill="background1"/>
        <w:tabs>
          <w:tab w:val="left" w:pos="1134"/>
          <w:tab w:val="left" w:pos="1276"/>
        </w:tabs>
        <w:ind w:firstLine="567"/>
      </w:pPr>
      <w:r w:rsidRPr="00070387">
        <w:t>2</w:t>
      </w:r>
      <w:r w:rsidR="00294C24" w:rsidRPr="00070387">
        <w:t>2</w:t>
      </w:r>
      <w:r w:rsidRPr="00070387">
        <w:t>.</w:t>
      </w:r>
      <w:r w:rsidRPr="00DA7C95">
        <w:t xml:space="preserve"> </w:t>
      </w:r>
      <w:r w:rsidRPr="00E95146">
        <w:t xml:space="preserve">Банк </w:t>
      </w:r>
      <w:r w:rsidR="00550BD1" w:rsidRPr="00E95146">
        <w:t xml:space="preserve">на підставі судження </w:t>
      </w:r>
      <w:r w:rsidRPr="00E95146">
        <w:t xml:space="preserve">визначає на прогнозні дати обсяг доступної внутрішньої ліквідності за економічною </w:t>
      </w:r>
      <w:r w:rsidRPr="00E95146">
        <w:rPr>
          <w:bCs/>
        </w:rPr>
        <w:t xml:space="preserve">перспективою, який є внутрішнім запасом ліквідності для </w:t>
      </w:r>
      <w:r w:rsidRPr="00E95146">
        <w:rPr>
          <w:shd w:val="clear" w:color="auto" w:fill="FFFFFF"/>
        </w:rPr>
        <w:t xml:space="preserve">покриття </w:t>
      </w:r>
      <w:r w:rsidRPr="00E95146">
        <w:rPr>
          <w:bCs/>
        </w:rPr>
        <w:t xml:space="preserve">всіх суттєвих ризиків, </w:t>
      </w:r>
      <w:r w:rsidR="00070387" w:rsidRPr="00E95146">
        <w:rPr>
          <w:bCs/>
        </w:rPr>
        <w:t>пов</w:t>
      </w:r>
      <w:r w:rsidR="00070387">
        <w:rPr>
          <w:bCs/>
        </w:rPr>
        <w:t>’</w:t>
      </w:r>
      <w:r w:rsidR="00070387" w:rsidRPr="00E95146">
        <w:rPr>
          <w:bCs/>
        </w:rPr>
        <w:t xml:space="preserve">язаних </w:t>
      </w:r>
      <w:r w:rsidR="00070387">
        <w:rPr>
          <w:bCs/>
        </w:rPr>
        <w:t>і</w:t>
      </w:r>
      <w:r w:rsidRPr="00E95146">
        <w:rPr>
          <w:bCs/>
        </w:rPr>
        <w:t>з ліквідністю,</w:t>
      </w:r>
      <w:r w:rsidRPr="00E95146">
        <w:rPr>
          <w:shd w:val="clear" w:color="auto" w:fill="FFFFFF"/>
        </w:rPr>
        <w:t xml:space="preserve"> очікуваних відпливів грошових коштів, та внутрішніми стабільними джерелами фінансування для </w:t>
      </w:r>
      <w:r w:rsidRPr="00E95146">
        <w:t>забезпечення достатнього фінансування.</w:t>
      </w:r>
    </w:p>
    <w:p w14:paraId="652560A6" w14:textId="400A29D4" w:rsidR="00396DE0" w:rsidRPr="00E95146" w:rsidRDefault="00396DE0" w:rsidP="00D3042E">
      <w:pPr>
        <w:shd w:val="clear" w:color="auto" w:fill="FFFFFF" w:themeFill="background1"/>
        <w:tabs>
          <w:tab w:val="left" w:pos="1134"/>
          <w:tab w:val="left" w:pos="1276"/>
        </w:tabs>
        <w:ind w:firstLine="567"/>
      </w:pPr>
      <w:r w:rsidRPr="00E95146">
        <w:t xml:space="preserve">Банк визначає обсяг доступної внутрішньої ліквідності за економічною </w:t>
      </w:r>
      <w:r w:rsidRPr="00E95146">
        <w:rPr>
          <w:bCs/>
        </w:rPr>
        <w:t>перспективою</w:t>
      </w:r>
      <w:r w:rsidRPr="00E95146">
        <w:rPr>
          <w:shd w:val="clear" w:color="auto" w:fill="FFFFFF"/>
        </w:rPr>
        <w:t xml:space="preserve"> на підставі судження банку</w:t>
      </w:r>
      <w:r w:rsidRPr="00E95146">
        <w:t>:</w:t>
      </w:r>
    </w:p>
    <w:p w14:paraId="65F99CE0" w14:textId="77777777" w:rsidR="00396DE0" w:rsidRPr="00E95146" w:rsidRDefault="00396DE0" w:rsidP="00D3042E">
      <w:pPr>
        <w:shd w:val="clear" w:color="auto" w:fill="FFFFFF" w:themeFill="background1"/>
        <w:tabs>
          <w:tab w:val="left" w:pos="1134"/>
          <w:tab w:val="left" w:pos="1276"/>
        </w:tabs>
        <w:ind w:firstLine="567"/>
      </w:pPr>
    </w:p>
    <w:p w14:paraId="34043A5B" w14:textId="53B48737" w:rsidR="00396DE0" w:rsidRPr="00E95146" w:rsidRDefault="00396DE0" w:rsidP="00D3042E">
      <w:pPr>
        <w:shd w:val="clear" w:color="auto" w:fill="FFFFFF" w:themeFill="background1"/>
        <w:tabs>
          <w:tab w:val="left" w:pos="1134"/>
          <w:tab w:val="left" w:pos="1276"/>
        </w:tabs>
        <w:ind w:firstLine="567"/>
      </w:pPr>
      <w:r w:rsidRPr="00E95146">
        <w:t xml:space="preserve">1) щодо короткострокової ліквідності – </w:t>
      </w:r>
      <w:r w:rsidR="0040545C" w:rsidRPr="00E95146">
        <w:t>як</w:t>
      </w:r>
      <w:r w:rsidR="00F318F5" w:rsidRPr="00E95146">
        <w:t xml:space="preserve"> </w:t>
      </w:r>
      <w:r w:rsidRPr="00E95146">
        <w:t>обсяг необтяжених високоякісних ліквідних активів, які є юридично та фактично доступними для банку та прийнятними для покриття можливого дефіциту ліквідності;</w:t>
      </w:r>
    </w:p>
    <w:p w14:paraId="213F8E00" w14:textId="77777777" w:rsidR="00396DE0" w:rsidRPr="00E95146" w:rsidRDefault="00396DE0" w:rsidP="00D3042E">
      <w:pPr>
        <w:shd w:val="clear" w:color="auto" w:fill="FFFFFF" w:themeFill="background1"/>
        <w:tabs>
          <w:tab w:val="left" w:pos="1134"/>
          <w:tab w:val="left" w:pos="1276"/>
        </w:tabs>
        <w:ind w:firstLine="567"/>
      </w:pPr>
    </w:p>
    <w:p w14:paraId="1E3760C8" w14:textId="2E73B4C3" w:rsidR="00396DE0" w:rsidRPr="00E95146" w:rsidRDefault="00396DE0" w:rsidP="00D3042E">
      <w:pPr>
        <w:shd w:val="clear" w:color="auto" w:fill="FFFFFF" w:themeFill="background1"/>
        <w:tabs>
          <w:tab w:val="left" w:pos="1134"/>
          <w:tab w:val="left" w:pos="1276"/>
        </w:tabs>
        <w:ind w:firstLine="567"/>
      </w:pPr>
      <w:r w:rsidRPr="00E95146">
        <w:t xml:space="preserve">2) щодо довгострокової ліквідності – </w:t>
      </w:r>
      <w:r w:rsidR="0040545C" w:rsidRPr="00E95146">
        <w:t>як</w:t>
      </w:r>
      <w:r w:rsidR="00F318F5" w:rsidRPr="00E95146">
        <w:rPr>
          <w:rStyle w:val="a9"/>
        </w:rPr>
        <w:t xml:space="preserve"> </w:t>
      </w:r>
      <w:r w:rsidRPr="00E95146">
        <w:t xml:space="preserve">обсяг </w:t>
      </w:r>
      <w:r w:rsidRPr="00E95146">
        <w:rPr>
          <w:shd w:val="clear" w:color="auto" w:fill="FFFFFF" w:themeFill="background1"/>
        </w:rPr>
        <w:t>стабільних джерел фінансування,</w:t>
      </w:r>
      <w:r w:rsidRPr="00E95146">
        <w:t xml:space="preserve"> які є доступними для банку та прийнятними для покриття можливого</w:t>
      </w:r>
      <w:r w:rsidRPr="00E95146">
        <w:rPr>
          <w:vertAlign w:val="superscript"/>
        </w:rPr>
        <w:t xml:space="preserve"> </w:t>
      </w:r>
      <w:r w:rsidRPr="00E95146">
        <w:t>дефіциту фінансування.</w:t>
      </w:r>
    </w:p>
    <w:p w14:paraId="4D8896C5" w14:textId="26034526" w:rsidR="00396DE0" w:rsidRPr="00DA7C95" w:rsidRDefault="00396DE0" w:rsidP="00D3042E">
      <w:pPr>
        <w:shd w:val="clear" w:color="auto" w:fill="FFFFFF" w:themeFill="background1"/>
        <w:tabs>
          <w:tab w:val="left" w:pos="1134"/>
          <w:tab w:val="left" w:pos="1276"/>
        </w:tabs>
        <w:ind w:firstLine="567"/>
      </w:pPr>
      <w:r w:rsidRPr="00E95146">
        <w:t>П</w:t>
      </w:r>
      <w:r w:rsidRPr="00E95146">
        <w:rPr>
          <w:shd w:val="clear" w:color="auto" w:fill="FFFFFF" w:themeFill="background1"/>
        </w:rPr>
        <w:t xml:space="preserve">ерелік стабільних джерел фінансування, а також вимоги щодо складу, обсягу та характеристик </w:t>
      </w:r>
      <w:r w:rsidRPr="00E95146">
        <w:t>високоякісних ліквідних активів</w:t>
      </w:r>
      <w:r w:rsidRPr="00E95146">
        <w:rPr>
          <w:shd w:val="clear" w:color="auto" w:fill="FFFFFF" w:themeFill="background1"/>
        </w:rPr>
        <w:t xml:space="preserve">, які банк </w:t>
      </w:r>
      <w:r w:rsidR="00AF6B0F">
        <w:rPr>
          <w:shd w:val="clear" w:color="auto" w:fill="FFFFFF" w:themeFill="background1"/>
        </w:rPr>
        <w:t>у</w:t>
      </w:r>
      <w:r w:rsidR="00AF6B0F" w:rsidRPr="00E95146">
        <w:rPr>
          <w:shd w:val="clear" w:color="auto" w:fill="FFFFFF" w:themeFill="background1"/>
        </w:rPr>
        <w:t xml:space="preserve">ключає </w:t>
      </w:r>
      <w:r w:rsidRPr="00E95146">
        <w:rPr>
          <w:shd w:val="clear" w:color="auto" w:fill="FFFFFF" w:themeFill="background1"/>
        </w:rPr>
        <w:t xml:space="preserve">до </w:t>
      </w:r>
      <w:r w:rsidRPr="00E95146">
        <w:t xml:space="preserve">обсягу доступної внутрішньої ліквідності за економічною </w:t>
      </w:r>
      <w:r w:rsidRPr="00E95146">
        <w:rPr>
          <w:bCs/>
        </w:rPr>
        <w:t xml:space="preserve">перспективою, </w:t>
      </w:r>
      <w:r w:rsidR="00A9670F" w:rsidRPr="00E95146">
        <w:rPr>
          <w:bCs/>
        </w:rPr>
        <w:t>визначаються</w:t>
      </w:r>
      <w:r w:rsidRPr="00E95146">
        <w:rPr>
          <w:bCs/>
        </w:rPr>
        <w:t xml:space="preserve"> </w:t>
      </w:r>
      <w:r w:rsidR="00AF6B0F">
        <w:rPr>
          <w:bCs/>
        </w:rPr>
        <w:t>в</w:t>
      </w:r>
      <w:r w:rsidR="00AF6B0F" w:rsidRPr="00E95146">
        <w:rPr>
          <w:bCs/>
        </w:rPr>
        <w:t xml:space="preserve"> </w:t>
      </w:r>
      <w:r w:rsidRPr="00E95146">
        <w:rPr>
          <w:bCs/>
        </w:rPr>
        <w:t xml:space="preserve">порядку та процедурах управління ризиком ліквідності згідно з </w:t>
      </w:r>
      <w:r w:rsidRPr="00E95146">
        <w:t>Положенням № 64.</w:t>
      </w:r>
    </w:p>
    <w:bookmarkEnd w:id="32"/>
    <w:bookmarkEnd w:id="39"/>
    <w:p w14:paraId="0C0CF3AA" w14:textId="77777777" w:rsidR="00396DE0" w:rsidRPr="00DA7C95" w:rsidRDefault="00396DE0" w:rsidP="00396DE0">
      <w:pPr>
        <w:shd w:val="clear" w:color="auto" w:fill="FFFFFF" w:themeFill="background1"/>
        <w:tabs>
          <w:tab w:val="left" w:pos="1134"/>
          <w:tab w:val="left" w:pos="1276"/>
        </w:tabs>
        <w:ind w:firstLine="709"/>
      </w:pPr>
    </w:p>
    <w:p w14:paraId="67EC6A0B" w14:textId="18756EE8" w:rsidR="00396DE0" w:rsidRPr="00DA7C95" w:rsidRDefault="00396DE0" w:rsidP="00396DE0">
      <w:pPr>
        <w:pStyle w:val="1"/>
        <w:shd w:val="clear" w:color="auto" w:fill="FFFFFF" w:themeFill="background1"/>
        <w:tabs>
          <w:tab w:val="left" w:pos="284"/>
        </w:tabs>
        <w:spacing w:before="40"/>
        <w:jc w:val="center"/>
        <w:rPr>
          <w:rFonts w:ascii="Times New Roman" w:hAnsi="Times New Roman" w:cs="Times New Roman"/>
          <w:color w:val="auto"/>
          <w:sz w:val="28"/>
          <w:szCs w:val="28"/>
        </w:rPr>
      </w:pPr>
      <w:r w:rsidRPr="00DA7C95">
        <w:rPr>
          <w:rFonts w:ascii="Times New Roman" w:hAnsi="Times New Roman" w:cs="Times New Roman"/>
          <w:color w:val="auto"/>
          <w:sz w:val="28"/>
          <w:szCs w:val="28"/>
        </w:rPr>
        <w:t xml:space="preserve">5. Визначення обсягу </w:t>
      </w:r>
      <w:r w:rsidRPr="00DA7C95">
        <w:rPr>
          <w:rFonts w:ascii="Times New Roman" w:hAnsi="Times New Roman" w:cs="Times New Roman"/>
          <w:color w:val="auto"/>
          <w:sz w:val="28"/>
          <w:szCs w:val="28"/>
          <w:lang w:eastAsia="uk-UA"/>
        </w:rPr>
        <w:t>необхідної внутрішньої</w:t>
      </w:r>
      <w:r w:rsidRPr="00DA7C95">
        <w:rPr>
          <w:rFonts w:ascii="Times New Roman" w:hAnsi="Times New Roman" w:cs="Times New Roman"/>
          <w:color w:val="auto"/>
          <w:sz w:val="28"/>
          <w:szCs w:val="28"/>
          <w:lang w:eastAsia="uk-UA"/>
        </w:rPr>
        <w:br/>
        <w:t xml:space="preserve">ліквідності </w:t>
      </w:r>
      <w:r w:rsidRPr="00DA7C95">
        <w:rPr>
          <w:rFonts w:ascii="Times New Roman" w:hAnsi="Times New Roman" w:cs="Times New Roman"/>
          <w:color w:val="auto"/>
          <w:sz w:val="28"/>
          <w:szCs w:val="28"/>
        </w:rPr>
        <w:t xml:space="preserve">за </w:t>
      </w:r>
      <w:r w:rsidRPr="00DA7C95">
        <w:rPr>
          <w:rFonts w:ascii="Times New Roman" w:hAnsi="Times New Roman" w:cs="Times New Roman"/>
          <w:color w:val="auto"/>
          <w:sz w:val="28"/>
          <w:szCs w:val="28"/>
          <w:lang w:eastAsia="uk-UA"/>
        </w:rPr>
        <w:t>нормативною</w:t>
      </w:r>
      <w:r w:rsidRPr="00DA7C95">
        <w:rPr>
          <w:rFonts w:ascii="Times New Roman" w:hAnsi="Times New Roman" w:cs="Times New Roman"/>
          <w:color w:val="auto"/>
          <w:sz w:val="28"/>
          <w:szCs w:val="28"/>
        </w:rPr>
        <w:t xml:space="preserve"> </w:t>
      </w:r>
      <w:r w:rsidRPr="00DA7C95">
        <w:rPr>
          <w:rFonts w:ascii="Times New Roman" w:hAnsi="Times New Roman" w:cs="Times New Roman"/>
          <w:bCs/>
          <w:color w:val="auto"/>
          <w:sz w:val="28"/>
          <w:szCs w:val="28"/>
        </w:rPr>
        <w:t>перспективою</w:t>
      </w:r>
    </w:p>
    <w:p w14:paraId="73AD050E" w14:textId="77777777" w:rsidR="00396DE0" w:rsidRPr="00DA7C95" w:rsidRDefault="00396DE0" w:rsidP="00396DE0">
      <w:pPr>
        <w:shd w:val="clear" w:color="auto" w:fill="FFFFFF" w:themeFill="background1"/>
        <w:ind w:firstLine="709"/>
      </w:pPr>
    </w:p>
    <w:p w14:paraId="4FA7DADA" w14:textId="2320FB74" w:rsidR="00396DE0" w:rsidRPr="00DA7C95" w:rsidRDefault="00396DE0" w:rsidP="00D3042E">
      <w:pPr>
        <w:shd w:val="clear" w:color="auto" w:fill="FFFFFF" w:themeFill="background1"/>
        <w:ind w:firstLine="567"/>
      </w:pPr>
      <w:r w:rsidRPr="00DA7C95">
        <w:t>2</w:t>
      </w:r>
      <w:r w:rsidR="00294C24">
        <w:t>3</w:t>
      </w:r>
      <w:r w:rsidRPr="00DA7C95">
        <w:t xml:space="preserve">. Банк визначає на прогнозні дати обсяг необхідної внутрішньої ліквідності за нормативною </w:t>
      </w:r>
      <w:r w:rsidRPr="00DA7C95">
        <w:rPr>
          <w:bCs/>
        </w:rPr>
        <w:t xml:space="preserve">перспективою як обсяг ліквідності, </w:t>
      </w:r>
      <w:r w:rsidRPr="00DA7C95">
        <w:t xml:space="preserve">необхідний для дотримання встановлених Національним банком вимог щодо достатності ліквідності </w:t>
      </w:r>
      <w:r w:rsidRPr="00DA7C95">
        <w:rPr>
          <w:shd w:val="clear" w:color="auto" w:fill="FFFFFF"/>
        </w:rPr>
        <w:t xml:space="preserve">та </w:t>
      </w:r>
      <w:r w:rsidRPr="00DA7C95">
        <w:t>визначеного банком управлінського запасу внутрішньої ліквідності:</w:t>
      </w:r>
    </w:p>
    <w:p w14:paraId="7583C545" w14:textId="77777777" w:rsidR="00396DE0" w:rsidRPr="00DA7C95" w:rsidRDefault="00396DE0" w:rsidP="00D3042E">
      <w:pPr>
        <w:shd w:val="clear" w:color="auto" w:fill="FFFFFF" w:themeFill="background1"/>
        <w:ind w:firstLine="567"/>
      </w:pPr>
    </w:p>
    <w:p w14:paraId="5B33CD5E" w14:textId="73A6C291" w:rsidR="00396DE0" w:rsidRPr="00DA7C95" w:rsidRDefault="00396DE0" w:rsidP="00D3042E">
      <w:pPr>
        <w:shd w:val="clear" w:color="auto" w:fill="FFFFFF" w:themeFill="background1"/>
        <w:ind w:firstLine="567"/>
      </w:pPr>
      <w:r w:rsidRPr="00DA7C95">
        <w:t>1) щодо короткострокової ліквідності – як обся</w:t>
      </w:r>
      <w:r w:rsidR="005D5CCB">
        <w:t>г</w:t>
      </w:r>
      <w:r w:rsidR="005D5CCB" w:rsidRPr="005D5CCB">
        <w:t xml:space="preserve"> високоякісн</w:t>
      </w:r>
      <w:r w:rsidR="005D5CCB">
        <w:t>их ліквідних активів</w:t>
      </w:r>
      <w:r w:rsidR="005D5CCB" w:rsidRPr="005D5CCB">
        <w:t xml:space="preserve"> у всіх валютах</w:t>
      </w:r>
      <w:r w:rsidR="00AF6B0F">
        <w:t> </w:t>
      </w:r>
      <w:r w:rsidR="005D5CCB">
        <w:t>/</w:t>
      </w:r>
      <w:r w:rsidR="00AF6B0F">
        <w:t> </w:t>
      </w:r>
      <w:r w:rsidR="005D5CCB">
        <w:t xml:space="preserve"> іноземній валюті</w:t>
      </w:r>
      <w:r w:rsidR="005D5CCB" w:rsidRPr="005D5CCB">
        <w:t xml:space="preserve"> згідно з методикою розрахунку коефіцієнта покриття ліквідністю (LCR)</w:t>
      </w:r>
      <w:r w:rsidR="005D5CCB">
        <w:t xml:space="preserve"> (далі </w:t>
      </w:r>
      <w:r w:rsidR="005D5CCB" w:rsidRPr="00DA7C95">
        <w:t>–</w:t>
      </w:r>
      <w:r w:rsidRPr="00DA7C95">
        <w:t xml:space="preserve"> ВЛА</w:t>
      </w:r>
      <w:r w:rsidRPr="00DA7C95">
        <w:rPr>
          <w:vertAlign w:val="subscript"/>
        </w:rPr>
        <w:t>ВВ</w:t>
      </w:r>
      <w:r w:rsidRPr="00DA7C95">
        <w:t>/ВЛА</w:t>
      </w:r>
      <w:r w:rsidRPr="00DA7C95">
        <w:rPr>
          <w:vertAlign w:val="subscript"/>
        </w:rPr>
        <w:t>ІВ</w:t>
      </w:r>
      <w:r w:rsidR="005D5CCB">
        <w:t>),</w:t>
      </w:r>
      <w:r w:rsidRPr="00DA7C95">
        <w:t xml:space="preserve"> який необхідний для одночасного дотримання:</w:t>
      </w:r>
    </w:p>
    <w:p w14:paraId="6D5A7F2A" w14:textId="6F84FA01" w:rsidR="00396DE0" w:rsidRPr="00DA7C95" w:rsidRDefault="00396DE0" w:rsidP="00D3042E">
      <w:pPr>
        <w:shd w:val="clear" w:color="auto" w:fill="FFFFFF" w:themeFill="background1"/>
        <w:ind w:firstLine="567"/>
      </w:pPr>
      <w:r w:rsidRPr="00DA7C95">
        <w:t xml:space="preserve">мінімальних значень нормативів ліквідності </w:t>
      </w:r>
      <w:r w:rsidRPr="00DA7C95">
        <w:rPr>
          <w:shd w:val="clear" w:color="auto" w:fill="FFFFFF"/>
        </w:rPr>
        <w:t>LCR</w:t>
      </w:r>
      <w:r w:rsidRPr="000B26CE">
        <w:rPr>
          <w:rStyle w:val="rvts40"/>
          <w:bCs/>
          <w:shd w:val="clear" w:color="auto" w:fill="FFFFFF"/>
          <w:vertAlign w:val="subscript"/>
        </w:rPr>
        <w:t>BB</w:t>
      </w:r>
      <w:r w:rsidRPr="00DA7C95">
        <w:t>/</w:t>
      </w:r>
      <w:r w:rsidRPr="00DA7C95">
        <w:rPr>
          <w:shd w:val="clear" w:color="auto" w:fill="FFFFFF"/>
        </w:rPr>
        <w:t>LCR</w:t>
      </w:r>
      <w:r w:rsidRPr="000B26CE">
        <w:rPr>
          <w:rStyle w:val="rvts40"/>
          <w:bCs/>
          <w:shd w:val="clear" w:color="auto" w:fill="FFFFFF"/>
          <w:vertAlign w:val="subscript"/>
        </w:rPr>
        <w:t>IB</w:t>
      </w:r>
      <w:r w:rsidRPr="00DA7C95">
        <w:t xml:space="preserve"> (у разі не встановлення банку підвищених значень)</w:t>
      </w:r>
      <w:r w:rsidR="00AF6B0F">
        <w:t> </w:t>
      </w:r>
      <w:r w:rsidR="00311853">
        <w:t>/</w:t>
      </w:r>
      <w:r w:rsidR="00AF6B0F">
        <w:t> </w:t>
      </w:r>
      <w:r w:rsidRPr="00DA7C95">
        <w:t xml:space="preserve">підвищених значень нормативів ліквідності </w:t>
      </w:r>
      <w:r w:rsidRPr="00DA7C95">
        <w:rPr>
          <w:shd w:val="clear" w:color="auto" w:fill="FFFFFF"/>
        </w:rPr>
        <w:t>LCR</w:t>
      </w:r>
      <w:r w:rsidRPr="000B26CE">
        <w:rPr>
          <w:rStyle w:val="rvts40"/>
          <w:bCs/>
          <w:shd w:val="clear" w:color="auto" w:fill="FFFFFF"/>
          <w:vertAlign w:val="subscript"/>
        </w:rPr>
        <w:t>BB</w:t>
      </w:r>
      <w:r w:rsidRPr="00DA7C95">
        <w:t>/</w:t>
      </w:r>
      <w:r w:rsidRPr="00DA7C95">
        <w:rPr>
          <w:shd w:val="clear" w:color="auto" w:fill="FFFFFF"/>
        </w:rPr>
        <w:t>LCR</w:t>
      </w:r>
      <w:r w:rsidRPr="000B26CE">
        <w:rPr>
          <w:rStyle w:val="rvts40"/>
          <w:bCs/>
          <w:shd w:val="clear" w:color="auto" w:fill="FFFFFF"/>
          <w:vertAlign w:val="subscript"/>
        </w:rPr>
        <w:t>IB</w:t>
      </w:r>
      <w:r w:rsidRPr="00DA7C95">
        <w:t xml:space="preserve">, </w:t>
      </w:r>
      <w:r w:rsidR="00AF6B0F">
        <w:t>у</w:t>
      </w:r>
      <w:r w:rsidRPr="00DA7C95">
        <w:t>становлен</w:t>
      </w:r>
      <w:r w:rsidR="00AF6B0F">
        <w:t>их</w:t>
      </w:r>
      <w:r w:rsidRPr="00DA7C95">
        <w:t xml:space="preserve"> банку Національним банком;</w:t>
      </w:r>
    </w:p>
    <w:p w14:paraId="43CD5D4D" w14:textId="77777777" w:rsidR="00396DE0" w:rsidRPr="00DA7C95" w:rsidRDefault="00396DE0" w:rsidP="00D3042E">
      <w:pPr>
        <w:shd w:val="clear" w:color="auto" w:fill="FFFFFF" w:themeFill="background1"/>
        <w:tabs>
          <w:tab w:val="left" w:pos="-142"/>
          <w:tab w:val="left" w:pos="993"/>
          <w:tab w:val="left" w:pos="1985"/>
          <w:tab w:val="left" w:pos="2127"/>
        </w:tabs>
        <w:ind w:firstLine="567"/>
      </w:pPr>
      <w:r w:rsidRPr="00DA7C95">
        <w:t>визначеного банком управлінського запасу внутрішньої ліквідності;</w:t>
      </w:r>
    </w:p>
    <w:p w14:paraId="3881344E" w14:textId="77777777" w:rsidR="00396DE0" w:rsidRPr="00DA7C95" w:rsidRDefault="00396DE0" w:rsidP="00D3042E">
      <w:pPr>
        <w:shd w:val="clear" w:color="auto" w:fill="FFFFFF" w:themeFill="background1"/>
        <w:ind w:firstLine="567"/>
      </w:pPr>
    </w:p>
    <w:p w14:paraId="4FC06C4D" w14:textId="44A52E37" w:rsidR="00396DE0" w:rsidRPr="00DA7C95" w:rsidRDefault="00396DE0" w:rsidP="00D3042E">
      <w:pPr>
        <w:shd w:val="clear" w:color="auto" w:fill="FFFFFF" w:themeFill="background1"/>
        <w:ind w:firstLine="567"/>
      </w:pPr>
      <w:r w:rsidRPr="00DA7C95">
        <w:lastRenderedPageBreak/>
        <w:t xml:space="preserve">2) щодо довгострокової ліквідності – як </w:t>
      </w:r>
      <w:r w:rsidRPr="00DA7C95">
        <w:rPr>
          <w:shd w:val="clear" w:color="auto" w:fill="FFFFFF" w:themeFill="background1"/>
        </w:rPr>
        <w:t>обсяг наявного стабільного фінансування ASF, який необхідний для одночасного дотримання</w:t>
      </w:r>
      <w:r w:rsidRPr="00DA7C95">
        <w:t>:</w:t>
      </w:r>
    </w:p>
    <w:p w14:paraId="2407A941" w14:textId="5099E978" w:rsidR="00396DE0" w:rsidRPr="00DA7C95" w:rsidRDefault="00396DE0" w:rsidP="00D3042E">
      <w:pPr>
        <w:shd w:val="clear" w:color="auto" w:fill="FFFFFF" w:themeFill="background1"/>
        <w:ind w:firstLine="567"/>
      </w:pPr>
      <w:r w:rsidRPr="00DA7C95">
        <w:t xml:space="preserve">мінімального значення нормативу ліквідності </w:t>
      </w:r>
      <w:r w:rsidRPr="00DA7C95">
        <w:rPr>
          <w:shd w:val="clear" w:color="auto" w:fill="FFFFFF"/>
        </w:rPr>
        <w:t>NSFR</w:t>
      </w:r>
      <w:r w:rsidRPr="00DA7C95">
        <w:t xml:space="preserve"> (у разі не встановле</w:t>
      </w:r>
      <w:r w:rsidR="00311853">
        <w:t xml:space="preserve">ння банку підвищеного </w:t>
      </w:r>
      <w:r w:rsidR="00311853" w:rsidRPr="002B2761">
        <w:t>значення) </w:t>
      </w:r>
      <w:r w:rsidR="00550BD1" w:rsidRPr="002B2761">
        <w:t>/</w:t>
      </w:r>
      <w:r w:rsidR="00311853" w:rsidRPr="002B2761">
        <w:t> </w:t>
      </w:r>
      <w:r w:rsidRPr="002B2761">
        <w:t>підвищеного</w:t>
      </w:r>
      <w:r w:rsidRPr="00DA7C95">
        <w:t xml:space="preserve"> значення нормативу ліквідності </w:t>
      </w:r>
      <w:r w:rsidRPr="00DA7C95">
        <w:rPr>
          <w:shd w:val="clear" w:color="auto" w:fill="FFFFFF"/>
        </w:rPr>
        <w:t xml:space="preserve">NSFR, </w:t>
      </w:r>
      <w:r w:rsidR="008B6236">
        <w:t>у</w:t>
      </w:r>
      <w:r w:rsidR="008B6236" w:rsidRPr="00DA7C95">
        <w:t>становлено</w:t>
      </w:r>
      <w:r w:rsidR="008B6236">
        <w:t>го</w:t>
      </w:r>
      <w:r w:rsidR="008B6236" w:rsidRPr="00DA7C95">
        <w:t xml:space="preserve"> </w:t>
      </w:r>
      <w:r w:rsidRPr="00DA7C95">
        <w:t>банку Національним банком</w:t>
      </w:r>
      <w:r w:rsidRPr="00DA7C95">
        <w:rPr>
          <w:shd w:val="clear" w:color="auto" w:fill="FFFFFF"/>
        </w:rPr>
        <w:t>;</w:t>
      </w:r>
    </w:p>
    <w:p w14:paraId="54F4EFF0" w14:textId="77777777" w:rsidR="00396DE0" w:rsidRPr="00DA7C95" w:rsidRDefault="00396DE0" w:rsidP="00D3042E">
      <w:pPr>
        <w:shd w:val="clear" w:color="auto" w:fill="FFFFFF" w:themeFill="background1"/>
        <w:tabs>
          <w:tab w:val="left" w:pos="-142"/>
          <w:tab w:val="left" w:pos="993"/>
          <w:tab w:val="left" w:pos="1985"/>
          <w:tab w:val="left" w:pos="2127"/>
        </w:tabs>
        <w:ind w:firstLine="567"/>
      </w:pPr>
      <w:r w:rsidRPr="00DA7C95">
        <w:t>визначеного банком управлінського запасу внутрішньої ліквідності</w:t>
      </w:r>
      <w:r w:rsidRPr="00DA7C95">
        <w:rPr>
          <w:shd w:val="clear" w:color="auto" w:fill="FFFFFF"/>
        </w:rPr>
        <w:t>.</w:t>
      </w:r>
    </w:p>
    <w:p w14:paraId="53A5B569" w14:textId="24A529B3" w:rsidR="00396DE0" w:rsidRPr="00DA7C95" w:rsidRDefault="00396DE0" w:rsidP="00D3042E">
      <w:pPr>
        <w:shd w:val="clear" w:color="auto" w:fill="FFFFFF" w:themeFill="background1"/>
        <w:ind w:firstLine="567"/>
      </w:pPr>
      <w:r w:rsidRPr="00E26C6E">
        <w:t xml:space="preserve">Банк під час визначення обсягу необхідної внутрішньої ліквідності за нормативною </w:t>
      </w:r>
      <w:r w:rsidRPr="00E26C6E">
        <w:rPr>
          <w:bCs/>
        </w:rPr>
        <w:t xml:space="preserve">перспективою ураховує </w:t>
      </w:r>
      <w:r w:rsidRPr="00E26C6E">
        <w:t xml:space="preserve">вимоги нормативно-правових актів Національного банку щодо достатності ліквідності, </w:t>
      </w:r>
      <w:r w:rsidRPr="00E26C6E">
        <w:rPr>
          <w:shd w:val="clear" w:color="auto" w:fill="FFFFFF"/>
        </w:rPr>
        <w:t>які затверджені до дати здійснення оцінки достатності внутрішньої ліквідності</w:t>
      </w:r>
      <w:r w:rsidRPr="00E26C6E">
        <w:t xml:space="preserve"> та </w:t>
      </w:r>
      <w:r w:rsidRPr="00E26C6E">
        <w:rPr>
          <w:shd w:val="clear" w:color="auto" w:fill="FFFFFF"/>
        </w:rPr>
        <w:t xml:space="preserve">набудуть чинності </w:t>
      </w:r>
      <w:r w:rsidR="00AF6B0F">
        <w:rPr>
          <w:shd w:val="clear" w:color="auto" w:fill="FFFFFF"/>
        </w:rPr>
        <w:t>в</w:t>
      </w:r>
      <w:r w:rsidR="00AF6B0F" w:rsidRPr="00E26C6E">
        <w:rPr>
          <w:shd w:val="clear" w:color="auto" w:fill="FFFFFF"/>
        </w:rPr>
        <w:t xml:space="preserve"> </w:t>
      </w:r>
      <w:r w:rsidRPr="00E26C6E">
        <w:rPr>
          <w:shd w:val="clear" w:color="auto" w:fill="FFFFFF"/>
        </w:rPr>
        <w:t>прогнозному періоді.</w:t>
      </w:r>
    </w:p>
    <w:p w14:paraId="172D5437" w14:textId="77777777" w:rsidR="00396DE0" w:rsidRPr="00DA7C95" w:rsidRDefault="00396DE0" w:rsidP="00D3042E">
      <w:pPr>
        <w:shd w:val="clear" w:color="auto" w:fill="FFFFFF" w:themeFill="background1"/>
        <w:ind w:firstLine="567"/>
      </w:pPr>
    </w:p>
    <w:p w14:paraId="41047801" w14:textId="7420F0EB" w:rsidR="00396DE0" w:rsidRPr="00DA7C95" w:rsidRDefault="00294C24" w:rsidP="00D3042E">
      <w:pPr>
        <w:pStyle w:val="afb"/>
        <w:shd w:val="clear" w:color="auto" w:fill="FFFFFF" w:themeFill="background1"/>
        <w:tabs>
          <w:tab w:val="left" w:pos="851"/>
        </w:tabs>
        <w:spacing w:beforeAutospacing="0" w:afterAutospacing="0"/>
        <w:ind w:firstLine="567"/>
        <w:jc w:val="both"/>
        <w:rPr>
          <w:strike/>
          <w:sz w:val="28"/>
          <w:szCs w:val="28"/>
        </w:rPr>
      </w:pPr>
      <w:r>
        <w:rPr>
          <w:sz w:val="28"/>
          <w:szCs w:val="28"/>
        </w:rPr>
        <w:t>24</w:t>
      </w:r>
      <w:r w:rsidR="00396DE0" w:rsidRPr="00DA7C95">
        <w:rPr>
          <w:sz w:val="28"/>
          <w:szCs w:val="28"/>
        </w:rPr>
        <w:t xml:space="preserve">. Банк визначає управлінський запас внутрішньої ліквідності понад </w:t>
      </w:r>
      <w:r w:rsidR="00455BC3">
        <w:rPr>
          <w:sz w:val="28"/>
          <w:szCs w:val="28"/>
        </w:rPr>
        <w:t>у</w:t>
      </w:r>
      <w:r w:rsidR="00455BC3" w:rsidRPr="00DA7C95">
        <w:rPr>
          <w:sz w:val="28"/>
          <w:szCs w:val="28"/>
        </w:rPr>
        <w:t xml:space="preserve">становлені </w:t>
      </w:r>
      <w:r w:rsidR="00396DE0" w:rsidRPr="00DA7C95">
        <w:rPr>
          <w:sz w:val="28"/>
          <w:szCs w:val="28"/>
        </w:rPr>
        <w:t xml:space="preserve">Національним банком регуляторні та наглядові вимоги щодо достатності ліквідності </w:t>
      </w:r>
      <w:r w:rsidR="00455BC3">
        <w:rPr>
          <w:sz w:val="28"/>
          <w:szCs w:val="28"/>
        </w:rPr>
        <w:t>в</w:t>
      </w:r>
      <w:r w:rsidR="00455BC3" w:rsidRPr="00DA7C95">
        <w:rPr>
          <w:sz w:val="28"/>
          <w:szCs w:val="28"/>
        </w:rPr>
        <w:t xml:space="preserve"> </w:t>
      </w:r>
      <w:r w:rsidR="00396DE0" w:rsidRPr="00DA7C95">
        <w:rPr>
          <w:sz w:val="28"/>
          <w:szCs w:val="28"/>
        </w:rPr>
        <w:t>розмірі, що перевищує нульове значення, який забезпечить:</w:t>
      </w:r>
    </w:p>
    <w:p w14:paraId="637C96C7" w14:textId="77777777" w:rsidR="00396DE0" w:rsidRPr="00DA7C95" w:rsidRDefault="00396DE0" w:rsidP="00D3042E">
      <w:pPr>
        <w:shd w:val="clear" w:color="auto" w:fill="FFFFFF" w:themeFill="background1"/>
        <w:tabs>
          <w:tab w:val="left" w:pos="1134"/>
          <w:tab w:val="left" w:pos="1276"/>
          <w:tab w:val="left" w:pos="1843"/>
        </w:tabs>
        <w:ind w:firstLine="567"/>
      </w:pPr>
    </w:p>
    <w:p w14:paraId="3DB13705" w14:textId="2D8DC7D3" w:rsidR="00396DE0" w:rsidRPr="00DA7C95" w:rsidRDefault="00396DE0" w:rsidP="00D3042E">
      <w:pPr>
        <w:shd w:val="clear" w:color="auto" w:fill="FFFFFF" w:themeFill="background1"/>
        <w:tabs>
          <w:tab w:val="left" w:pos="1134"/>
          <w:tab w:val="left" w:pos="1276"/>
          <w:tab w:val="left" w:pos="1843"/>
        </w:tabs>
        <w:ind w:firstLine="567"/>
      </w:pPr>
      <w:r w:rsidRPr="00DA7C95">
        <w:t>1) збереження</w:t>
      </w:r>
      <w:r w:rsidR="008A74DD">
        <w:t> </w:t>
      </w:r>
      <w:r w:rsidRPr="00DA7C95">
        <w:t>/</w:t>
      </w:r>
      <w:r w:rsidR="008A74DD">
        <w:t> </w:t>
      </w:r>
      <w:r w:rsidRPr="00DA7C95">
        <w:t>поліпшення конкурентної ринкової позиції банку;</w:t>
      </w:r>
    </w:p>
    <w:p w14:paraId="529895C7" w14:textId="77777777" w:rsidR="00396DE0" w:rsidRPr="00DA7C95" w:rsidRDefault="00396DE0" w:rsidP="00D3042E">
      <w:pPr>
        <w:shd w:val="clear" w:color="auto" w:fill="FFFFFF" w:themeFill="background1"/>
        <w:tabs>
          <w:tab w:val="left" w:pos="1134"/>
          <w:tab w:val="left" w:pos="1276"/>
          <w:tab w:val="left" w:pos="1843"/>
        </w:tabs>
        <w:ind w:firstLine="567"/>
      </w:pPr>
    </w:p>
    <w:p w14:paraId="42B6E0C3" w14:textId="77777777" w:rsidR="00396DE0" w:rsidRPr="00DA7C95" w:rsidRDefault="00396DE0" w:rsidP="00D3042E">
      <w:pPr>
        <w:shd w:val="clear" w:color="auto" w:fill="FFFFFF" w:themeFill="background1"/>
        <w:tabs>
          <w:tab w:val="left" w:pos="1134"/>
          <w:tab w:val="left" w:pos="1276"/>
          <w:tab w:val="left" w:pos="1843"/>
        </w:tabs>
        <w:ind w:firstLine="567"/>
        <w:rPr>
          <w:strike/>
        </w:rPr>
      </w:pPr>
      <w:r w:rsidRPr="00DA7C95">
        <w:t>2) достатній запас часу для реалізації заходів, спрямованих на відновлення рівня достатності ліквідності;</w:t>
      </w:r>
    </w:p>
    <w:p w14:paraId="7CD98123" w14:textId="77777777" w:rsidR="00396DE0" w:rsidRPr="00DA7C95" w:rsidRDefault="00396DE0" w:rsidP="00D3042E">
      <w:pPr>
        <w:shd w:val="clear" w:color="auto" w:fill="FFFFFF" w:themeFill="background1"/>
        <w:ind w:firstLine="567"/>
      </w:pPr>
    </w:p>
    <w:p w14:paraId="3F3C15EC" w14:textId="77777777" w:rsidR="00396DE0" w:rsidRPr="00DA7C95" w:rsidRDefault="00396DE0" w:rsidP="00D3042E">
      <w:pPr>
        <w:shd w:val="clear" w:color="auto" w:fill="FFFFFF" w:themeFill="background1"/>
        <w:ind w:firstLine="567"/>
      </w:pPr>
      <w:r w:rsidRPr="00DA7C95">
        <w:t>3) збереження довіри інвесторів за фінансовими інструментами, випущеними банком.</w:t>
      </w:r>
    </w:p>
    <w:p w14:paraId="7F21E276" w14:textId="77777777" w:rsidR="00396DE0" w:rsidRPr="00DA7C95" w:rsidRDefault="00396DE0" w:rsidP="00D3042E">
      <w:pPr>
        <w:shd w:val="clear" w:color="auto" w:fill="FFFFFF" w:themeFill="background1"/>
        <w:ind w:firstLine="567"/>
      </w:pPr>
    </w:p>
    <w:p w14:paraId="51F9C001" w14:textId="167957BA" w:rsidR="00396DE0" w:rsidRPr="00DA7C95" w:rsidRDefault="00294C24" w:rsidP="00D3042E">
      <w:pPr>
        <w:shd w:val="clear" w:color="auto" w:fill="FFFFFF" w:themeFill="background1"/>
        <w:ind w:firstLine="567"/>
      </w:pPr>
      <w:r>
        <w:t>25</w:t>
      </w:r>
      <w:r w:rsidR="00396DE0" w:rsidRPr="00DA7C95">
        <w:t>. Банк визначає управлінськи</w:t>
      </w:r>
      <w:r w:rsidR="008A5FC2">
        <w:t>й запас внутрішньої ліквідності</w:t>
      </w:r>
      <w:r w:rsidR="00396DE0" w:rsidRPr="00DA7C95">
        <w:t>:</w:t>
      </w:r>
    </w:p>
    <w:p w14:paraId="7547B902" w14:textId="77777777" w:rsidR="00396DE0" w:rsidRPr="00DA7C95" w:rsidRDefault="00396DE0" w:rsidP="00D3042E">
      <w:pPr>
        <w:shd w:val="clear" w:color="auto" w:fill="FFFFFF" w:themeFill="background1"/>
        <w:ind w:firstLine="567"/>
      </w:pPr>
    </w:p>
    <w:p w14:paraId="5B9168FA" w14:textId="77777777" w:rsidR="00396DE0" w:rsidRPr="00DA7C95" w:rsidRDefault="00396DE0" w:rsidP="00D3042E">
      <w:pPr>
        <w:shd w:val="clear" w:color="auto" w:fill="FFFFFF" w:themeFill="background1"/>
        <w:ind w:firstLine="567"/>
      </w:pPr>
      <w:r w:rsidRPr="00DA7C95">
        <w:t>1) щодо короткострокової ліквідності – у відсотках до обсягу чистого очікуваного відпливу грошових коштів;</w:t>
      </w:r>
    </w:p>
    <w:p w14:paraId="74752458" w14:textId="77777777" w:rsidR="00396DE0" w:rsidRPr="00DA7C95" w:rsidRDefault="00396DE0" w:rsidP="00D3042E">
      <w:pPr>
        <w:shd w:val="clear" w:color="auto" w:fill="FFFFFF" w:themeFill="background1"/>
        <w:ind w:firstLine="567"/>
      </w:pPr>
    </w:p>
    <w:p w14:paraId="4D0048E4" w14:textId="04073DA0" w:rsidR="00396DE0" w:rsidRDefault="00396DE0" w:rsidP="00D3042E">
      <w:pPr>
        <w:shd w:val="clear" w:color="auto" w:fill="FFFFFF" w:themeFill="background1"/>
        <w:ind w:firstLine="567"/>
      </w:pPr>
      <w:r w:rsidRPr="00DA7C95">
        <w:t xml:space="preserve">2) щодо довгострокової ліквідності – у відсотках до обсягу необхідного стабільного фінансування (RSF), зменшеного на величину непокритого кредитного ризику згідно з </w:t>
      </w:r>
      <w:r w:rsidR="0023398D" w:rsidRPr="00DA7C95">
        <w:t>методикою розрахунку коефіцієнта чистого стабільного фінансування (NSFR)</w:t>
      </w:r>
      <w:r w:rsidRPr="00DA7C95">
        <w:t>.</w:t>
      </w:r>
    </w:p>
    <w:p w14:paraId="6ED230A9" w14:textId="77777777" w:rsidR="006F5A68" w:rsidRDefault="006F5A68" w:rsidP="00396DE0">
      <w:pPr>
        <w:shd w:val="clear" w:color="auto" w:fill="FFFFFF" w:themeFill="background1"/>
        <w:ind w:firstLine="709"/>
      </w:pPr>
    </w:p>
    <w:p w14:paraId="64E13D37" w14:textId="2FBEE652" w:rsidR="006F5A68" w:rsidRPr="00E95146" w:rsidRDefault="00294C24" w:rsidP="00D3042E">
      <w:pPr>
        <w:shd w:val="clear" w:color="auto" w:fill="FFFFFF" w:themeFill="background1"/>
        <w:tabs>
          <w:tab w:val="left" w:pos="993"/>
        </w:tabs>
        <w:ind w:firstLine="567"/>
        <w:rPr>
          <w:shd w:val="clear" w:color="auto" w:fill="FFFFFF"/>
        </w:rPr>
      </w:pPr>
      <w:bookmarkStart w:id="40" w:name="_Hlk55580486"/>
      <w:bookmarkEnd w:id="40"/>
      <w:r w:rsidRPr="00E95146">
        <w:rPr>
          <w:shd w:val="clear" w:color="auto" w:fill="FFFFFF"/>
        </w:rPr>
        <w:t>26</w:t>
      </w:r>
      <w:r w:rsidR="00396DE0" w:rsidRPr="00E95146">
        <w:rPr>
          <w:shd w:val="clear" w:color="auto" w:fill="FFFFFF"/>
        </w:rPr>
        <w:t xml:space="preserve">. </w:t>
      </w:r>
      <w:r w:rsidR="006F5A68" w:rsidRPr="00E95146">
        <w:rPr>
          <w:shd w:val="clear" w:color="auto" w:fill="FFFFFF"/>
        </w:rPr>
        <w:t>Джерелами формування управлінського запасу внутрішньої ліквідності є ВЛА</w:t>
      </w:r>
      <w:r w:rsidR="006F5A68" w:rsidRPr="00E95146">
        <w:rPr>
          <w:shd w:val="clear" w:color="auto" w:fill="FFFFFF"/>
          <w:vertAlign w:val="subscript"/>
        </w:rPr>
        <w:t>ВВ</w:t>
      </w:r>
      <w:r w:rsidR="008A74DD">
        <w:rPr>
          <w:shd w:val="clear" w:color="auto" w:fill="FFFFFF"/>
          <w:vertAlign w:val="subscript"/>
        </w:rPr>
        <w:t> </w:t>
      </w:r>
      <w:r w:rsidR="006F5A68" w:rsidRPr="00E95146">
        <w:rPr>
          <w:shd w:val="clear" w:color="auto" w:fill="FFFFFF"/>
        </w:rPr>
        <w:t>/</w:t>
      </w:r>
      <w:r w:rsidR="008A74DD">
        <w:rPr>
          <w:shd w:val="clear" w:color="auto" w:fill="FFFFFF"/>
        </w:rPr>
        <w:t> </w:t>
      </w:r>
      <w:r w:rsidR="006F5A68" w:rsidRPr="00E95146">
        <w:rPr>
          <w:shd w:val="clear" w:color="auto" w:fill="FFFFFF"/>
        </w:rPr>
        <w:t>ВЛА</w:t>
      </w:r>
      <w:r w:rsidR="006F5A68" w:rsidRPr="00E95146">
        <w:rPr>
          <w:shd w:val="clear" w:color="auto" w:fill="FFFFFF"/>
          <w:vertAlign w:val="subscript"/>
        </w:rPr>
        <w:t>ІВ</w:t>
      </w:r>
      <w:r w:rsidR="006F5A68" w:rsidRPr="00E95146">
        <w:rPr>
          <w:shd w:val="clear" w:color="auto" w:fill="FFFFFF"/>
        </w:rPr>
        <w:t xml:space="preserve"> та наявне стабільне фінансування ASF.</w:t>
      </w:r>
    </w:p>
    <w:p w14:paraId="6BF08BC4" w14:textId="77777777" w:rsidR="00A744D8" w:rsidRPr="00E95146" w:rsidRDefault="00A744D8" w:rsidP="00D3042E">
      <w:pPr>
        <w:shd w:val="clear" w:color="auto" w:fill="FFFFFF" w:themeFill="background1"/>
        <w:tabs>
          <w:tab w:val="left" w:pos="993"/>
        </w:tabs>
        <w:ind w:firstLine="567"/>
        <w:rPr>
          <w:shd w:val="clear" w:color="auto" w:fill="FFFFFF"/>
        </w:rPr>
      </w:pPr>
    </w:p>
    <w:p w14:paraId="598C5E46" w14:textId="173D82F6" w:rsidR="00396DE0" w:rsidRPr="00E95146" w:rsidRDefault="00A744D8" w:rsidP="00D3042E">
      <w:pPr>
        <w:shd w:val="clear" w:color="auto" w:fill="FFFFFF" w:themeFill="background1"/>
        <w:tabs>
          <w:tab w:val="left" w:pos="993"/>
        </w:tabs>
        <w:ind w:firstLine="567"/>
      </w:pPr>
      <w:r w:rsidRPr="00E95146">
        <w:rPr>
          <w:shd w:val="clear" w:color="auto" w:fill="FFFFFF"/>
        </w:rPr>
        <w:t xml:space="preserve">27. </w:t>
      </w:r>
      <w:r w:rsidR="00396DE0" w:rsidRPr="00E95146">
        <w:rPr>
          <w:shd w:val="clear" w:color="auto" w:fill="FFFFFF"/>
        </w:rPr>
        <w:t xml:space="preserve">Банк визначає обсяг </w:t>
      </w:r>
      <w:r w:rsidR="00396DE0" w:rsidRPr="00E95146">
        <w:t xml:space="preserve">необхідної внутрішньої ліквідності за нормативною </w:t>
      </w:r>
      <w:r w:rsidR="00396DE0" w:rsidRPr="00E95146">
        <w:rPr>
          <w:bCs/>
        </w:rPr>
        <w:t>перспективою</w:t>
      </w:r>
      <w:r w:rsidR="00396DE0" w:rsidRPr="00E95146">
        <w:t xml:space="preserve"> із застосуванням</w:t>
      </w:r>
      <w:r w:rsidR="00396DE0" w:rsidRPr="00E95146">
        <w:rPr>
          <w:shd w:val="clear" w:color="auto" w:fill="FFFFFF"/>
        </w:rPr>
        <w:t>:</w:t>
      </w:r>
    </w:p>
    <w:p w14:paraId="79098103" w14:textId="77777777" w:rsidR="00396DE0" w:rsidRPr="00E95146" w:rsidRDefault="00396DE0" w:rsidP="00D3042E">
      <w:pPr>
        <w:shd w:val="clear" w:color="auto" w:fill="FFFFFF" w:themeFill="background1"/>
        <w:ind w:firstLine="567"/>
      </w:pPr>
    </w:p>
    <w:p w14:paraId="7CA74B45" w14:textId="1C5D93AE" w:rsidR="00396DE0" w:rsidRPr="00DA7C95" w:rsidRDefault="00396DE0" w:rsidP="00D3042E">
      <w:pPr>
        <w:shd w:val="clear" w:color="auto" w:fill="FFFFFF" w:themeFill="background1"/>
        <w:tabs>
          <w:tab w:val="left" w:pos="993"/>
        </w:tabs>
        <w:ind w:firstLine="567"/>
      </w:pPr>
      <w:r w:rsidRPr="00E95146">
        <w:t xml:space="preserve">1) </w:t>
      </w:r>
      <w:r w:rsidRPr="00E95146">
        <w:rPr>
          <w:shd w:val="clear" w:color="auto" w:fill="FFFFFF"/>
        </w:rPr>
        <w:t>базового сценарію, який відповідає прогнозу</w:t>
      </w:r>
      <w:r w:rsidR="008A5FC2" w:rsidRPr="00E95146">
        <w:rPr>
          <w:shd w:val="clear" w:color="auto" w:fill="FFFFFF"/>
        </w:rPr>
        <w:t>, що застосовувався</w:t>
      </w:r>
      <w:r w:rsidRPr="00E95146">
        <w:rPr>
          <w:shd w:val="clear" w:color="auto" w:fill="FFFFFF"/>
        </w:rPr>
        <w:t xml:space="preserve"> під час складання бізнес-плану</w:t>
      </w:r>
      <w:r w:rsidRPr="00E95146">
        <w:t>;</w:t>
      </w:r>
    </w:p>
    <w:p w14:paraId="38FF8795" w14:textId="77777777" w:rsidR="00396DE0" w:rsidRPr="00DA7C95" w:rsidRDefault="00396DE0" w:rsidP="00D3042E">
      <w:pPr>
        <w:shd w:val="clear" w:color="auto" w:fill="FFFFFF" w:themeFill="background1"/>
        <w:ind w:firstLine="567"/>
      </w:pPr>
    </w:p>
    <w:p w14:paraId="3E014029" w14:textId="77777777" w:rsidR="00396DE0" w:rsidRPr="00DA7C95" w:rsidRDefault="00396DE0" w:rsidP="00D3042E">
      <w:pPr>
        <w:shd w:val="clear" w:color="auto" w:fill="FFFFFF" w:themeFill="background1"/>
        <w:ind w:firstLine="567"/>
      </w:pPr>
      <w:r w:rsidRPr="00DA7C95">
        <w:rPr>
          <w:shd w:val="clear" w:color="auto" w:fill="FFFFFF"/>
        </w:rPr>
        <w:t>2) несприятливого сценарію, який відповідає стрес-сценарію, що використаний банком під час стрес-тестування ризику ліквідності за економічною перспективою, для забезпечення здатності підтримувати достатній рівень внутрішньої ліквідності протягом прогнозного періоду в стресових ситуаціях.</w:t>
      </w:r>
    </w:p>
    <w:p w14:paraId="51074759" w14:textId="1C268B11" w:rsidR="00396DE0" w:rsidRPr="00DA7C95" w:rsidRDefault="009244D3" w:rsidP="00D3042E">
      <w:pPr>
        <w:shd w:val="clear" w:color="auto" w:fill="FFFFFF" w:themeFill="background1"/>
        <w:tabs>
          <w:tab w:val="left" w:pos="1276"/>
          <w:tab w:val="left" w:pos="1418"/>
        </w:tabs>
        <w:ind w:firstLine="567"/>
        <w:rPr>
          <w:bCs/>
        </w:rPr>
      </w:pPr>
      <w:r w:rsidRPr="00DA7C95">
        <w:rPr>
          <w:shd w:val="clear" w:color="auto" w:fill="FFFFFF"/>
        </w:rPr>
        <w:t>Банк п</w:t>
      </w:r>
      <w:r w:rsidR="00396DE0" w:rsidRPr="00DA7C95">
        <w:rPr>
          <w:shd w:val="clear" w:color="auto" w:fill="FFFFFF"/>
        </w:rPr>
        <w:t>ід час розроблення несприятливого сценарію ураховує фактори ризику</w:t>
      </w:r>
      <w:r w:rsidR="00455BC3">
        <w:rPr>
          <w:shd w:val="clear" w:color="auto" w:fill="FFFFFF"/>
        </w:rPr>
        <w:t> </w:t>
      </w:r>
      <w:r w:rsidR="00396DE0" w:rsidRPr="00DA7C95">
        <w:rPr>
          <w:shd w:val="clear" w:color="auto" w:fill="FFFFFF"/>
        </w:rPr>
        <w:t>/</w:t>
      </w:r>
      <w:r w:rsidR="00455BC3">
        <w:rPr>
          <w:shd w:val="clear" w:color="auto" w:fill="FFFFFF"/>
        </w:rPr>
        <w:t xml:space="preserve"> </w:t>
      </w:r>
      <w:r w:rsidR="00396DE0" w:rsidRPr="00DA7C95">
        <w:rPr>
          <w:shd w:val="clear" w:color="auto" w:fill="FFFFFF"/>
        </w:rPr>
        <w:t xml:space="preserve">припущення, </w:t>
      </w:r>
      <w:r w:rsidR="00455BC3">
        <w:rPr>
          <w:shd w:val="clear" w:color="auto" w:fill="FFFFFF"/>
        </w:rPr>
        <w:t>що</w:t>
      </w:r>
      <w:r w:rsidR="00455BC3" w:rsidRPr="00DA7C95">
        <w:rPr>
          <w:shd w:val="clear" w:color="auto" w:fill="FFFFFF"/>
        </w:rPr>
        <w:t xml:space="preserve"> застосовувалис</w:t>
      </w:r>
      <w:r w:rsidR="00455BC3">
        <w:rPr>
          <w:shd w:val="clear" w:color="auto" w:fill="FFFFFF"/>
        </w:rPr>
        <w:t>я</w:t>
      </w:r>
      <w:r w:rsidR="00455BC3" w:rsidRPr="00DA7C95">
        <w:rPr>
          <w:shd w:val="clear" w:color="auto" w:fill="FFFFFF"/>
        </w:rPr>
        <w:t xml:space="preserve"> </w:t>
      </w:r>
      <w:r w:rsidR="00396DE0" w:rsidRPr="00DA7C95">
        <w:rPr>
          <w:shd w:val="clear" w:color="auto" w:fill="FFFFFF"/>
        </w:rPr>
        <w:t xml:space="preserve">під час стрес-тестування, здійсненого з метою оцінки </w:t>
      </w:r>
      <w:r w:rsidR="00396DE0" w:rsidRPr="00DA7C95">
        <w:rPr>
          <w:bCs/>
          <w:shd w:val="clear" w:color="auto" w:fill="FFFFFF"/>
        </w:rPr>
        <w:t xml:space="preserve">достатності внутрішнього капіталу згідно з вимогами </w:t>
      </w:r>
      <w:r w:rsidR="00C63E70" w:rsidRPr="00DA7C95">
        <w:rPr>
          <w:bCs/>
          <w:shd w:val="clear" w:color="auto" w:fill="FFFFFF"/>
        </w:rPr>
        <w:t xml:space="preserve">Положення про організацію процесу оцінки достатності внутрішнього капіталу в банках України та банківських групах, затвердженого постановою Правління Національного банку </w:t>
      </w:r>
      <w:r w:rsidR="00F63626">
        <w:rPr>
          <w:bCs/>
          <w:shd w:val="clear" w:color="auto" w:fill="FFFFFF"/>
        </w:rPr>
        <w:t xml:space="preserve">України </w:t>
      </w:r>
      <w:r w:rsidR="00C63E70" w:rsidRPr="00DA7C95">
        <w:rPr>
          <w:bCs/>
          <w:shd w:val="clear" w:color="auto" w:fill="FFFFFF"/>
        </w:rPr>
        <w:t xml:space="preserve">від 30 грудня 2021 року </w:t>
      </w:r>
      <w:r w:rsidR="00F63626" w:rsidRPr="00DA7C95">
        <w:rPr>
          <w:bCs/>
          <w:shd w:val="clear" w:color="auto" w:fill="FFFFFF"/>
        </w:rPr>
        <w:t>№</w:t>
      </w:r>
      <w:r w:rsidR="00F63626">
        <w:rPr>
          <w:bCs/>
          <w:shd w:val="clear" w:color="auto" w:fill="FFFFFF"/>
        </w:rPr>
        <w:t> </w:t>
      </w:r>
      <w:r w:rsidR="00C63E70" w:rsidRPr="00DA7C95">
        <w:rPr>
          <w:bCs/>
          <w:shd w:val="clear" w:color="auto" w:fill="FFFFFF"/>
        </w:rPr>
        <w:t>161</w:t>
      </w:r>
      <w:r w:rsidR="00F63626">
        <w:rPr>
          <w:bCs/>
          <w:shd w:val="clear" w:color="auto" w:fill="FFFFFF"/>
        </w:rPr>
        <w:t xml:space="preserve"> </w:t>
      </w:r>
      <w:r w:rsidR="00F63626" w:rsidRPr="00E26C6E">
        <w:rPr>
          <w:bCs/>
          <w:shd w:val="clear" w:color="auto" w:fill="FFFFFF"/>
        </w:rPr>
        <w:t>(зі змінами)</w:t>
      </w:r>
      <w:r w:rsidR="00396DE0" w:rsidRPr="00E26C6E">
        <w:rPr>
          <w:bCs/>
          <w:shd w:val="clear" w:color="auto" w:fill="FFFFFF"/>
        </w:rPr>
        <w:t xml:space="preserve">, та </w:t>
      </w:r>
      <w:r w:rsidR="00396DE0" w:rsidRPr="00E26C6E">
        <w:rPr>
          <w:shd w:val="clear" w:color="auto" w:fill="FFFFFF"/>
        </w:rPr>
        <w:t>мають</w:t>
      </w:r>
      <w:r w:rsidR="00396DE0" w:rsidRPr="00DA7C95">
        <w:rPr>
          <w:shd w:val="clear" w:color="auto" w:fill="FFFFFF"/>
        </w:rPr>
        <w:t xml:space="preserve"> вплив на достатність внутрішньої ліквідності</w:t>
      </w:r>
      <w:r w:rsidR="00396DE0" w:rsidRPr="00DA7C95">
        <w:rPr>
          <w:bCs/>
          <w:shd w:val="clear" w:color="auto" w:fill="FFFFFF"/>
        </w:rPr>
        <w:t>.</w:t>
      </w:r>
    </w:p>
    <w:p w14:paraId="1F491519" w14:textId="77777777" w:rsidR="00396DE0" w:rsidRPr="00DA7C95" w:rsidRDefault="00396DE0" w:rsidP="00D3042E">
      <w:pPr>
        <w:shd w:val="clear" w:color="auto" w:fill="FFFFFF" w:themeFill="background1"/>
        <w:tabs>
          <w:tab w:val="left" w:pos="1134"/>
        </w:tabs>
        <w:ind w:firstLine="567"/>
      </w:pPr>
    </w:p>
    <w:p w14:paraId="51BB2BE9" w14:textId="621C69E7" w:rsidR="00396DE0" w:rsidRPr="00DA7C95" w:rsidRDefault="00396DE0" w:rsidP="00D3042E">
      <w:pPr>
        <w:shd w:val="clear" w:color="auto" w:fill="FFFFFF" w:themeFill="background1"/>
        <w:tabs>
          <w:tab w:val="left" w:pos="1134"/>
        </w:tabs>
        <w:ind w:firstLine="567"/>
      </w:pPr>
      <w:r w:rsidRPr="00DA7C95">
        <w:t>2</w:t>
      </w:r>
      <w:r w:rsidR="00A744D8">
        <w:t>8</w:t>
      </w:r>
      <w:r w:rsidRPr="00DA7C95">
        <w:t xml:space="preserve">. Банк щодо короткострокової ліквідності визначає на прогнозні дати обсяг необхідної внутрішньої ліквідності із застосуванням базового та </w:t>
      </w:r>
      <w:r w:rsidRPr="00DA7C95">
        <w:rPr>
          <w:shd w:val="clear" w:color="auto" w:fill="FFFFFF"/>
        </w:rPr>
        <w:t>несприятливого</w:t>
      </w:r>
      <w:r w:rsidRPr="00DA7C95">
        <w:t xml:space="preserve"> сценарію, </w:t>
      </w:r>
      <w:r w:rsidRPr="00DA7C95">
        <w:rPr>
          <w:shd w:val="clear" w:color="auto" w:fill="FFFFFF"/>
        </w:rPr>
        <w:t>здійснюючи такі послідовні заходи:</w:t>
      </w:r>
    </w:p>
    <w:p w14:paraId="14905C98" w14:textId="77777777" w:rsidR="00396DE0" w:rsidRPr="00DA7C95" w:rsidRDefault="00396DE0" w:rsidP="00D3042E">
      <w:pPr>
        <w:pStyle w:val="rvps2"/>
        <w:shd w:val="clear" w:color="auto" w:fill="FFFFFF" w:themeFill="background1"/>
        <w:spacing w:before="0" w:beforeAutospacing="0" w:after="0" w:afterAutospacing="0"/>
        <w:ind w:left="709" w:firstLine="567"/>
        <w:jc w:val="both"/>
        <w:rPr>
          <w:sz w:val="28"/>
          <w:szCs w:val="28"/>
        </w:rPr>
      </w:pPr>
    </w:p>
    <w:p w14:paraId="2A7F3A5F" w14:textId="56266463" w:rsidR="00396DE0" w:rsidRPr="00E95146" w:rsidRDefault="00396DE0" w:rsidP="00D3042E">
      <w:pPr>
        <w:pStyle w:val="rvps2"/>
        <w:numPr>
          <w:ilvl w:val="0"/>
          <w:numId w:val="14"/>
        </w:numPr>
        <w:shd w:val="clear" w:color="auto" w:fill="FFFFFF" w:themeFill="background1"/>
        <w:tabs>
          <w:tab w:val="left" w:pos="993"/>
        </w:tabs>
        <w:spacing w:before="0" w:beforeAutospacing="0" w:after="0" w:afterAutospacing="0"/>
        <w:ind w:left="0" w:firstLine="567"/>
        <w:jc w:val="both"/>
        <w:rPr>
          <w:sz w:val="28"/>
          <w:szCs w:val="28"/>
        </w:rPr>
      </w:pPr>
      <w:r w:rsidRPr="00E95146">
        <w:rPr>
          <w:sz w:val="28"/>
          <w:szCs w:val="28"/>
        </w:rPr>
        <w:t xml:space="preserve">визначає цільові значення нормативів ліквідності </w:t>
      </w:r>
      <w:r w:rsidRPr="00E95146">
        <w:rPr>
          <w:sz w:val="28"/>
          <w:szCs w:val="28"/>
          <w:shd w:val="clear" w:color="auto" w:fill="FFFFFF"/>
        </w:rPr>
        <w:t>LCR</w:t>
      </w:r>
      <w:r w:rsidRPr="000B26CE">
        <w:rPr>
          <w:rStyle w:val="rvts40"/>
          <w:bCs/>
          <w:sz w:val="28"/>
          <w:szCs w:val="28"/>
          <w:shd w:val="clear" w:color="auto" w:fill="FFFFFF"/>
          <w:vertAlign w:val="subscript"/>
        </w:rPr>
        <w:t>BB</w:t>
      </w:r>
      <w:r w:rsidRPr="00E95146">
        <w:rPr>
          <w:sz w:val="28"/>
          <w:szCs w:val="28"/>
        </w:rPr>
        <w:t>/</w:t>
      </w:r>
      <w:r w:rsidRPr="00E95146">
        <w:rPr>
          <w:sz w:val="28"/>
          <w:szCs w:val="28"/>
          <w:shd w:val="clear" w:color="auto" w:fill="FFFFFF"/>
        </w:rPr>
        <w:t>LCR</w:t>
      </w:r>
      <w:r w:rsidRPr="000B26CE">
        <w:rPr>
          <w:rStyle w:val="rvts40"/>
          <w:bCs/>
          <w:sz w:val="28"/>
          <w:szCs w:val="28"/>
          <w:shd w:val="clear" w:color="auto" w:fill="FFFFFF"/>
          <w:vertAlign w:val="subscript"/>
        </w:rPr>
        <w:t>IB</w:t>
      </w:r>
      <w:r w:rsidRPr="00E95146">
        <w:rPr>
          <w:sz w:val="28"/>
          <w:szCs w:val="28"/>
          <w:lang w:eastAsia="ru-RU"/>
        </w:rPr>
        <w:t xml:space="preserve"> як </w:t>
      </w:r>
      <w:r w:rsidR="004155D0" w:rsidRPr="00E95146">
        <w:rPr>
          <w:sz w:val="28"/>
          <w:szCs w:val="28"/>
        </w:rPr>
        <w:t xml:space="preserve">суму </w:t>
      </w:r>
      <w:r w:rsidRPr="00E95146">
        <w:rPr>
          <w:sz w:val="28"/>
          <w:szCs w:val="28"/>
        </w:rPr>
        <w:t xml:space="preserve">мінімальних значень нормативів ліквідності </w:t>
      </w:r>
      <w:r w:rsidRPr="00E95146">
        <w:rPr>
          <w:sz w:val="28"/>
          <w:szCs w:val="28"/>
          <w:shd w:val="clear" w:color="auto" w:fill="FFFFFF"/>
        </w:rPr>
        <w:t>LCR</w:t>
      </w:r>
      <w:r w:rsidRPr="000B26CE">
        <w:rPr>
          <w:rStyle w:val="rvts40"/>
          <w:bCs/>
          <w:sz w:val="28"/>
          <w:szCs w:val="28"/>
          <w:shd w:val="clear" w:color="auto" w:fill="FFFFFF"/>
          <w:vertAlign w:val="subscript"/>
        </w:rPr>
        <w:t>BB</w:t>
      </w:r>
      <w:r w:rsidRPr="00E95146">
        <w:rPr>
          <w:sz w:val="28"/>
          <w:szCs w:val="28"/>
        </w:rPr>
        <w:t>/</w:t>
      </w:r>
      <w:r w:rsidRPr="00E95146">
        <w:rPr>
          <w:sz w:val="28"/>
          <w:szCs w:val="28"/>
          <w:shd w:val="clear" w:color="auto" w:fill="FFFFFF"/>
        </w:rPr>
        <w:t>LCR</w:t>
      </w:r>
      <w:r w:rsidRPr="000B26CE">
        <w:rPr>
          <w:rStyle w:val="rvts40"/>
          <w:bCs/>
          <w:sz w:val="28"/>
          <w:szCs w:val="28"/>
          <w:shd w:val="clear" w:color="auto" w:fill="FFFFFF"/>
          <w:vertAlign w:val="subscript"/>
        </w:rPr>
        <w:t>IB</w:t>
      </w:r>
      <w:r w:rsidRPr="00E95146">
        <w:rPr>
          <w:rStyle w:val="rvts40"/>
          <w:b/>
          <w:bCs/>
          <w:sz w:val="28"/>
          <w:szCs w:val="28"/>
          <w:shd w:val="clear" w:color="auto" w:fill="FFFFFF"/>
          <w:vertAlign w:val="subscript"/>
        </w:rPr>
        <w:t xml:space="preserve"> </w:t>
      </w:r>
      <w:r w:rsidRPr="00E95146">
        <w:rPr>
          <w:sz w:val="28"/>
          <w:szCs w:val="28"/>
        </w:rPr>
        <w:t>(у разі не встановлення банку підвищених значень)</w:t>
      </w:r>
      <w:r w:rsidR="00311853" w:rsidRPr="00E95146">
        <w:rPr>
          <w:sz w:val="28"/>
          <w:szCs w:val="28"/>
        </w:rPr>
        <w:t> </w:t>
      </w:r>
      <w:r w:rsidR="008A5FC2" w:rsidRPr="00E95146">
        <w:rPr>
          <w:sz w:val="28"/>
          <w:szCs w:val="28"/>
        </w:rPr>
        <w:t>/</w:t>
      </w:r>
      <w:r w:rsidR="00311853" w:rsidRPr="00E95146">
        <w:rPr>
          <w:sz w:val="28"/>
          <w:szCs w:val="28"/>
        </w:rPr>
        <w:t> </w:t>
      </w:r>
      <w:r w:rsidRPr="00E95146">
        <w:rPr>
          <w:sz w:val="28"/>
          <w:szCs w:val="28"/>
        </w:rPr>
        <w:t xml:space="preserve">підвищених значень нормативів ліквідності </w:t>
      </w:r>
      <w:r w:rsidRPr="00E95146">
        <w:rPr>
          <w:sz w:val="28"/>
          <w:szCs w:val="28"/>
          <w:shd w:val="clear" w:color="auto" w:fill="FFFFFF"/>
        </w:rPr>
        <w:t>LCR</w:t>
      </w:r>
      <w:r w:rsidRPr="000B26CE">
        <w:rPr>
          <w:rStyle w:val="rvts40"/>
          <w:bCs/>
          <w:sz w:val="28"/>
          <w:szCs w:val="28"/>
          <w:shd w:val="clear" w:color="auto" w:fill="FFFFFF"/>
          <w:vertAlign w:val="subscript"/>
        </w:rPr>
        <w:t>BB</w:t>
      </w:r>
      <w:r w:rsidRPr="00E95146">
        <w:rPr>
          <w:sz w:val="28"/>
          <w:szCs w:val="28"/>
        </w:rPr>
        <w:t>/</w:t>
      </w:r>
      <w:r w:rsidRPr="00E95146">
        <w:rPr>
          <w:sz w:val="28"/>
          <w:szCs w:val="28"/>
          <w:shd w:val="clear" w:color="auto" w:fill="FFFFFF"/>
        </w:rPr>
        <w:t>LCR</w:t>
      </w:r>
      <w:r w:rsidRPr="000B26CE">
        <w:rPr>
          <w:rStyle w:val="rvts40"/>
          <w:bCs/>
          <w:sz w:val="28"/>
          <w:szCs w:val="28"/>
          <w:shd w:val="clear" w:color="auto" w:fill="FFFFFF"/>
          <w:vertAlign w:val="subscript"/>
        </w:rPr>
        <w:t>IB</w:t>
      </w:r>
      <w:r w:rsidRPr="00E95146">
        <w:rPr>
          <w:sz w:val="28"/>
          <w:szCs w:val="28"/>
        </w:rPr>
        <w:t xml:space="preserve">, </w:t>
      </w:r>
      <w:r w:rsidR="00455BC3">
        <w:rPr>
          <w:sz w:val="28"/>
          <w:szCs w:val="28"/>
        </w:rPr>
        <w:t>у</w:t>
      </w:r>
      <w:r w:rsidRPr="00E95146">
        <w:rPr>
          <w:sz w:val="28"/>
          <w:szCs w:val="28"/>
        </w:rPr>
        <w:t>стано</w:t>
      </w:r>
      <w:r w:rsidR="008A5FC2" w:rsidRPr="00E95146">
        <w:rPr>
          <w:sz w:val="28"/>
          <w:szCs w:val="28"/>
        </w:rPr>
        <w:t>влен</w:t>
      </w:r>
      <w:r w:rsidR="00455BC3">
        <w:rPr>
          <w:sz w:val="28"/>
          <w:szCs w:val="28"/>
        </w:rPr>
        <w:t>их</w:t>
      </w:r>
      <w:r w:rsidR="008A5FC2" w:rsidRPr="00E95146">
        <w:rPr>
          <w:sz w:val="28"/>
          <w:szCs w:val="28"/>
        </w:rPr>
        <w:t xml:space="preserve"> банку Національним банком, та</w:t>
      </w:r>
      <w:r w:rsidR="004155D0" w:rsidRPr="00E95146">
        <w:rPr>
          <w:sz w:val="28"/>
          <w:szCs w:val="28"/>
        </w:rPr>
        <w:t xml:space="preserve"> </w:t>
      </w:r>
      <w:r w:rsidRPr="00E95146">
        <w:rPr>
          <w:sz w:val="28"/>
          <w:szCs w:val="28"/>
        </w:rPr>
        <w:t>значення управлінського запасу внутрішньої ліквідності, визначеного банком;</w:t>
      </w:r>
    </w:p>
    <w:p w14:paraId="6DEF107C" w14:textId="77777777" w:rsidR="00396DE0" w:rsidRPr="00DA7C95" w:rsidRDefault="00396DE0" w:rsidP="00D3042E">
      <w:pPr>
        <w:pStyle w:val="rvps2"/>
        <w:shd w:val="clear" w:color="auto" w:fill="FFFFFF" w:themeFill="background1"/>
        <w:tabs>
          <w:tab w:val="left" w:pos="993"/>
        </w:tabs>
        <w:spacing w:before="0" w:beforeAutospacing="0" w:after="0" w:afterAutospacing="0"/>
        <w:ind w:left="709" w:firstLine="567"/>
        <w:jc w:val="both"/>
        <w:rPr>
          <w:sz w:val="28"/>
          <w:szCs w:val="28"/>
        </w:rPr>
      </w:pPr>
    </w:p>
    <w:p w14:paraId="07584F90" w14:textId="77777777" w:rsidR="00396DE0" w:rsidRPr="00DA7C95" w:rsidRDefault="00396DE0" w:rsidP="00D3042E">
      <w:pPr>
        <w:pStyle w:val="a4"/>
        <w:numPr>
          <w:ilvl w:val="0"/>
          <w:numId w:val="14"/>
        </w:numPr>
        <w:shd w:val="clear" w:color="auto" w:fill="FFFFFF" w:themeFill="background1"/>
        <w:tabs>
          <w:tab w:val="left" w:pos="993"/>
          <w:tab w:val="left" w:pos="1134"/>
        </w:tabs>
        <w:ind w:left="0" w:firstLine="567"/>
      </w:pPr>
      <w:bookmarkStart w:id="41" w:name="_Hlk113741067"/>
      <w:r w:rsidRPr="00DA7C95">
        <w:t>визначає прогнозний обсяг чистого очікуваного відпливу грошових коштів, ґрунтуючись на:</w:t>
      </w:r>
    </w:p>
    <w:p w14:paraId="61F0EF66" w14:textId="77777777" w:rsidR="00396DE0" w:rsidRPr="00DA7C95" w:rsidRDefault="00396DE0" w:rsidP="00F10C6B">
      <w:pPr>
        <w:shd w:val="clear" w:color="auto" w:fill="FFFFFF" w:themeFill="background1"/>
        <w:tabs>
          <w:tab w:val="left" w:pos="993"/>
          <w:tab w:val="left" w:pos="1134"/>
        </w:tabs>
        <w:ind w:firstLine="567"/>
      </w:pPr>
      <w:r w:rsidRPr="00DA7C95">
        <w:t>прогнозних показниках бізнес-плану – для базового сценарію;</w:t>
      </w:r>
    </w:p>
    <w:p w14:paraId="731CFCB6" w14:textId="5DAFF0E6" w:rsidR="00396DE0" w:rsidRPr="00DA7C95" w:rsidRDefault="00396DE0" w:rsidP="00D3042E">
      <w:pPr>
        <w:pStyle w:val="rvps2"/>
        <w:shd w:val="clear" w:color="auto" w:fill="FFFFFF" w:themeFill="background1"/>
        <w:tabs>
          <w:tab w:val="left" w:pos="993"/>
        </w:tabs>
        <w:spacing w:before="0" w:beforeAutospacing="0" w:after="0" w:afterAutospacing="0"/>
        <w:ind w:firstLine="567"/>
        <w:jc w:val="both"/>
        <w:rPr>
          <w:sz w:val="28"/>
          <w:szCs w:val="28"/>
        </w:rPr>
      </w:pPr>
      <w:r w:rsidRPr="00DA7C95">
        <w:rPr>
          <w:sz w:val="28"/>
          <w:szCs w:val="28"/>
        </w:rPr>
        <w:t>прогнозних показниках, визначених за результатами стрес-тестування показників бізнес-плану із застосуванням несприятливого сценарію</w:t>
      </w:r>
      <w:r w:rsidR="000A2458">
        <w:rPr>
          <w:sz w:val="28"/>
          <w:szCs w:val="28"/>
        </w:rPr>
        <w:t>,</w:t>
      </w:r>
      <w:r w:rsidRPr="00DA7C95">
        <w:rPr>
          <w:sz w:val="28"/>
          <w:szCs w:val="28"/>
        </w:rPr>
        <w:t xml:space="preserve"> – для  </w:t>
      </w:r>
      <w:r w:rsidRPr="00DA7C95">
        <w:rPr>
          <w:sz w:val="28"/>
          <w:szCs w:val="28"/>
          <w:shd w:val="clear" w:color="auto" w:fill="FFFFFF"/>
        </w:rPr>
        <w:t>несприятливого</w:t>
      </w:r>
      <w:r w:rsidRPr="00DA7C95">
        <w:rPr>
          <w:sz w:val="28"/>
          <w:szCs w:val="28"/>
        </w:rPr>
        <w:t xml:space="preserve"> сценарію;</w:t>
      </w:r>
    </w:p>
    <w:bookmarkEnd w:id="41"/>
    <w:p w14:paraId="3A17B818" w14:textId="77777777" w:rsidR="00396DE0" w:rsidRPr="00DA7C95" w:rsidRDefault="00396DE0" w:rsidP="00D3042E">
      <w:pPr>
        <w:pStyle w:val="rvps2"/>
        <w:shd w:val="clear" w:color="auto" w:fill="FFFFFF" w:themeFill="background1"/>
        <w:tabs>
          <w:tab w:val="left" w:pos="993"/>
        </w:tabs>
        <w:spacing w:before="0" w:beforeAutospacing="0" w:after="0" w:afterAutospacing="0"/>
        <w:ind w:left="709" w:firstLine="567"/>
        <w:jc w:val="both"/>
        <w:rPr>
          <w:sz w:val="28"/>
          <w:szCs w:val="28"/>
        </w:rPr>
      </w:pPr>
    </w:p>
    <w:p w14:paraId="3AFE52CD" w14:textId="19C55D45" w:rsidR="00396DE0" w:rsidRPr="00DA7C95" w:rsidRDefault="000A2458" w:rsidP="00D3042E">
      <w:pPr>
        <w:pStyle w:val="a4"/>
        <w:numPr>
          <w:ilvl w:val="0"/>
          <w:numId w:val="14"/>
        </w:numPr>
        <w:shd w:val="clear" w:color="auto" w:fill="FFFFFF" w:themeFill="background1"/>
        <w:tabs>
          <w:tab w:val="left" w:pos="993"/>
          <w:tab w:val="left" w:pos="1134"/>
        </w:tabs>
        <w:ind w:left="0" w:firstLine="567"/>
      </w:pPr>
      <w:r w:rsidRPr="000A2458">
        <w:rPr>
          <w:shd w:val="clear" w:color="auto" w:fill="FFFFFF"/>
          <w:lang w:eastAsia="ru-RU"/>
        </w:rPr>
        <w:t>ґрунтуючись на</w:t>
      </w:r>
      <w:r w:rsidR="00E0156D">
        <w:rPr>
          <w:shd w:val="clear" w:color="auto" w:fill="FFFFFF"/>
          <w:lang w:eastAsia="ru-RU"/>
        </w:rPr>
        <w:t xml:space="preserve"> </w:t>
      </w:r>
      <w:r w:rsidRPr="00DA7C95">
        <w:rPr>
          <w:shd w:val="clear" w:color="auto" w:fill="FFFFFF"/>
          <w:lang w:eastAsia="ru-RU"/>
        </w:rPr>
        <w:t>прогнозно</w:t>
      </w:r>
      <w:r>
        <w:rPr>
          <w:shd w:val="clear" w:color="auto" w:fill="FFFFFF"/>
          <w:lang w:eastAsia="ru-RU"/>
        </w:rPr>
        <w:t>му</w:t>
      </w:r>
      <w:r w:rsidRPr="00DA7C95">
        <w:rPr>
          <w:shd w:val="clear" w:color="auto" w:fill="FFFFFF"/>
          <w:lang w:eastAsia="ru-RU"/>
        </w:rPr>
        <w:t xml:space="preserve"> обся</w:t>
      </w:r>
      <w:r>
        <w:rPr>
          <w:shd w:val="clear" w:color="auto" w:fill="FFFFFF"/>
          <w:lang w:eastAsia="ru-RU"/>
        </w:rPr>
        <w:t>зі</w:t>
      </w:r>
      <w:r w:rsidRPr="00DA7C95">
        <w:rPr>
          <w:shd w:val="clear" w:color="auto" w:fill="FFFFFF"/>
          <w:lang w:eastAsia="ru-RU"/>
        </w:rPr>
        <w:t xml:space="preserve"> </w:t>
      </w:r>
      <w:r w:rsidR="00396DE0" w:rsidRPr="00DA7C95">
        <w:t>чистого очікуваного відпливу грошових коштів</w:t>
      </w:r>
      <w:r w:rsidR="009A1B5E" w:rsidRPr="009A1B5E">
        <w:t>,</w:t>
      </w:r>
      <w:r w:rsidR="00396DE0" w:rsidRPr="00DA7C95">
        <w:t xml:space="preserve"> визначає обсяг необхідної внутрішньої ліквідності як обсяг ВЛА</w:t>
      </w:r>
      <w:r w:rsidR="00396DE0" w:rsidRPr="00DA7C95">
        <w:rPr>
          <w:vertAlign w:val="subscript"/>
        </w:rPr>
        <w:t>ВВ</w:t>
      </w:r>
      <w:r w:rsidR="00396DE0" w:rsidRPr="00DA7C95">
        <w:t>/ВЛА</w:t>
      </w:r>
      <w:r w:rsidR="00396DE0" w:rsidRPr="00DA7C95">
        <w:rPr>
          <w:vertAlign w:val="subscript"/>
        </w:rPr>
        <w:t>ІВ</w:t>
      </w:r>
      <w:r w:rsidR="00396DE0" w:rsidRPr="00DA7C95">
        <w:t xml:space="preserve">, необхідний для дотримання </w:t>
      </w:r>
      <w:r w:rsidR="00396DE0" w:rsidRPr="00DA7C95">
        <w:rPr>
          <w:lang w:eastAsia="ru-RU"/>
        </w:rPr>
        <w:t xml:space="preserve">цільових значень нормативів ліквідності </w:t>
      </w:r>
      <w:r w:rsidR="00396DE0" w:rsidRPr="00DA7C95">
        <w:rPr>
          <w:shd w:val="clear" w:color="auto" w:fill="FFFFFF"/>
        </w:rPr>
        <w:t>LCR</w:t>
      </w:r>
      <w:r w:rsidR="00396DE0" w:rsidRPr="00050160">
        <w:rPr>
          <w:rStyle w:val="rvts40"/>
          <w:bCs/>
          <w:shd w:val="clear" w:color="auto" w:fill="FFFFFF"/>
          <w:vertAlign w:val="subscript"/>
        </w:rPr>
        <w:t>BB</w:t>
      </w:r>
      <w:r w:rsidR="00396DE0" w:rsidRPr="00DA7C95">
        <w:t>/</w:t>
      </w:r>
      <w:r w:rsidR="00396DE0" w:rsidRPr="00DA7C95">
        <w:rPr>
          <w:shd w:val="clear" w:color="auto" w:fill="FFFFFF"/>
        </w:rPr>
        <w:t>LCR</w:t>
      </w:r>
      <w:r w:rsidR="00396DE0" w:rsidRPr="00050160">
        <w:rPr>
          <w:rStyle w:val="rvts40"/>
          <w:bCs/>
          <w:shd w:val="clear" w:color="auto" w:fill="FFFFFF"/>
          <w:vertAlign w:val="subscript"/>
        </w:rPr>
        <w:t>IB</w:t>
      </w:r>
      <w:r w:rsidR="00396DE0" w:rsidRPr="00DA7C95">
        <w:rPr>
          <w:lang w:eastAsia="ru-RU"/>
        </w:rPr>
        <w:t>, визначених згідно з підпунктом 1 пункту 2</w:t>
      </w:r>
      <w:r w:rsidR="00A744D8">
        <w:rPr>
          <w:lang w:eastAsia="ru-RU"/>
        </w:rPr>
        <w:t>8</w:t>
      </w:r>
      <w:r w:rsidR="00396DE0" w:rsidRPr="00DA7C95">
        <w:rPr>
          <w:lang w:eastAsia="ru-RU"/>
        </w:rPr>
        <w:t xml:space="preserve"> глави 5 </w:t>
      </w:r>
      <w:r w:rsidR="00396DE0" w:rsidRPr="00DA7C95">
        <w:t>розділу ІІ цього Положення</w:t>
      </w:r>
      <w:r w:rsidR="00396DE0" w:rsidRPr="00DA7C95">
        <w:rPr>
          <w:lang w:eastAsia="ru-RU"/>
        </w:rPr>
        <w:t>.</w:t>
      </w:r>
    </w:p>
    <w:p w14:paraId="49BB5365" w14:textId="77777777" w:rsidR="00396DE0" w:rsidRPr="00DA7C95" w:rsidRDefault="00396DE0" w:rsidP="00D3042E">
      <w:pPr>
        <w:pStyle w:val="rvps2"/>
        <w:shd w:val="clear" w:color="auto" w:fill="FFFFFF" w:themeFill="background1"/>
        <w:tabs>
          <w:tab w:val="left" w:pos="993"/>
        </w:tabs>
        <w:spacing w:before="0" w:beforeAutospacing="0" w:after="0" w:afterAutospacing="0"/>
        <w:ind w:left="709" w:firstLine="567"/>
        <w:jc w:val="both"/>
        <w:rPr>
          <w:sz w:val="28"/>
          <w:szCs w:val="28"/>
        </w:rPr>
      </w:pPr>
    </w:p>
    <w:p w14:paraId="327B2A20" w14:textId="31F1188B" w:rsidR="00396DE0" w:rsidRPr="00DA7C95" w:rsidRDefault="00396DE0" w:rsidP="00D3042E">
      <w:pPr>
        <w:shd w:val="clear" w:color="auto" w:fill="FFFFFF" w:themeFill="background1"/>
        <w:tabs>
          <w:tab w:val="left" w:pos="1134"/>
        </w:tabs>
        <w:ind w:firstLine="567"/>
      </w:pPr>
      <w:r w:rsidRPr="00DA7C95">
        <w:t>2</w:t>
      </w:r>
      <w:r w:rsidR="00A744D8">
        <w:t>9</w:t>
      </w:r>
      <w:r w:rsidRPr="00DA7C95">
        <w:t xml:space="preserve">. Банк щодо довгострокової ліквідності визначає на прогнозні дати обсяг необхідної внутрішньої ліквідності із застосуванням базового та </w:t>
      </w:r>
      <w:r w:rsidRPr="00DA7C95">
        <w:rPr>
          <w:shd w:val="clear" w:color="auto" w:fill="FFFFFF"/>
        </w:rPr>
        <w:t>несприятливого сценарію</w:t>
      </w:r>
      <w:r w:rsidRPr="00DA7C95">
        <w:t xml:space="preserve">, </w:t>
      </w:r>
      <w:r w:rsidRPr="00DA7C95">
        <w:rPr>
          <w:shd w:val="clear" w:color="auto" w:fill="FFFFFF"/>
        </w:rPr>
        <w:t>здійснюючи такі послідовні заходи:</w:t>
      </w:r>
      <w:r w:rsidRPr="00DA7C95">
        <w:t xml:space="preserve"> </w:t>
      </w:r>
    </w:p>
    <w:p w14:paraId="3A0BDEB3" w14:textId="77777777" w:rsidR="00396DE0" w:rsidRPr="00DA7C95" w:rsidRDefault="00396DE0" w:rsidP="00D3042E">
      <w:pPr>
        <w:pStyle w:val="rvps2"/>
        <w:shd w:val="clear" w:color="auto" w:fill="FFFFFF" w:themeFill="background1"/>
        <w:spacing w:before="0" w:beforeAutospacing="0" w:after="0" w:afterAutospacing="0"/>
        <w:ind w:left="709" w:firstLine="567"/>
        <w:jc w:val="both"/>
        <w:rPr>
          <w:sz w:val="28"/>
          <w:szCs w:val="28"/>
        </w:rPr>
      </w:pPr>
    </w:p>
    <w:p w14:paraId="1E721134" w14:textId="09645837" w:rsidR="00396DE0" w:rsidRPr="00E95146" w:rsidRDefault="00396DE0" w:rsidP="00D3042E">
      <w:pPr>
        <w:pStyle w:val="rvps2"/>
        <w:numPr>
          <w:ilvl w:val="0"/>
          <w:numId w:val="27"/>
        </w:numPr>
        <w:shd w:val="clear" w:color="auto" w:fill="FFFFFF" w:themeFill="background1"/>
        <w:tabs>
          <w:tab w:val="left" w:pos="993"/>
        </w:tabs>
        <w:spacing w:before="0" w:beforeAutospacing="0" w:after="0" w:afterAutospacing="0"/>
        <w:ind w:left="0" w:firstLine="567"/>
        <w:jc w:val="both"/>
        <w:rPr>
          <w:sz w:val="28"/>
          <w:szCs w:val="28"/>
        </w:rPr>
      </w:pPr>
      <w:r w:rsidRPr="00E95146">
        <w:rPr>
          <w:sz w:val="28"/>
          <w:szCs w:val="28"/>
        </w:rPr>
        <w:t xml:space="preserve">визначає цільові значення нормативу ліквідності </w:t>
      </w:r>
      <w:r w:rsidRPr="00E95146">
        <w:rPr>
          <w:sz w:val="28"/>
          <w:szCs w:val="28"/>
          <w:shd w:val="clear" w:color="auto" w:fill="FFFFFF"/>
        </w:rPr>
        <w:t>NSFR як суму</w:t>
      </w:r>
      <w:r w:rsidR="004155D0" w:rsidRPr="00E95146">
        <w:rPr>
          <w:sz w:val="28"/>
          <w:szCs w:val="28"/>
          <w:shd w:val="clear" w:color="auto" w:fill="FFFFFF"/>
        </w:rPr>
        <w:t xml:space="preserve"> </w:t>
      </w:r>
      <w:r w:rsidRPr="00E95146">
        <w:rPr>
          <w:sz w:val="28"/>
          <w:szCs w:val="28"/>
        </w:rPr>
        <w:t xml:space="preserve">мінімального значення нормативу ліквідності </w:t>
      </w:r>
      <w:r w:rsidRPr="00E95146">
        <w:rPr>
          <w:sz w:val="28"/>
          <w:szCs w:val="28"/>
          <w:shd w:val="clear" w:color="auto" w:fill="FFFFFF"/>
        </w:rPr>
        <w:t>NSFR</w:t>
      </w:r>
      <w:r w:rsidRPr="00E95146">
        <w:rPr>
          <w:sz w:val="28"/>
          <w:szCs w:val="28"/>
        </w:rPr>
        <w:t xml:space="preserve"> (у разі не встановлення </w:t>
      </w:r>
      <w:r w:rsidRPr="00E95146">
        <w:rPr>
          <w:sz w:val="28"/>
          <w:szCs w:val="28"/>
        </w:rPr>
        <w:lastRenderedPageBreak/>
        <w:t>банку підвищеного значення)</w:t>
      </w:r>
      <w:r w:rsidR="00311853" w:rsidRPr="00E95146">
        <w:rPr>
          <w:sz w:val="28"/>
          <w:szCs w:val="28"/>
        </w:rPr>
        <w:t> </w:t>
      </w:r>
      <w:r w:rsidR="008A5FC2" w:rsidRPr="00E95146">
        <w:rPr>
          <w:sz w:val="28"/>
          <w:szCs w:val="28"/>
        </w:rPr>
        <w:t>/</w:t>
      </w:r>
      <w:r w:rsidR="00311853" w:rsidRPr="00E95146">
        <w:rPr>
          <w:sz w:val="28"/>
          <w:szCs w:val="28"/>
        </w:rPr>
        <w:t> </w:t>
      </w:r>
      <w:r w:rsidRPr="00E95146">
        <w:rPr>
          <w:sz w:val="28"/>
          <w:szCs w:val="28"/>
        </w:rPr>
        <w:t xml:space="preserve">підвищеного значення нормативу ліквідності </w:t>
      </w:r>
      <w:r w:rsidRPr="00E95146">
        <w:rPr>
          <w:sz w:val="28"/>
          <w:szCs w:val="28"/>
          <w:shd w:val="clear" w:color="auto" w:fill="FFFFFF"/>
        </w:rPr>
        <w:t xml:space="preserve">NSFR, </w:t>
      </w:r>
      <w:r w:rsidR="00EE6B9E">
        <w:rPr>
          <w:sz w:val="28"/>
          <w:szCs w:val="28"/>
        </w:rPr>
        <w:t>у</w:t>
      </w:r>
      <w:r w:rsidRPr="00E95146">
        <w:rPr>
          <w:sz w:val="28"/>
          <w:szCs w:val="28"/>
        </w:rPr>
        <w:t>становлено</w:t>
      </w:r>
      <w:r w:rsidR="000A2458">
        <w:rPr>
          <w:sz w:val="28"/>
          <w:szCs w:val="28"/>
        </w:rPr>
        <w:t>го</w:t>
      </w:r>
      <w:r w:rsidRPr="00E95146">
        <w:rPr>
          <w:sz w:val="28"/>
          <w:szCs w:val="28"/>
        </w:rPr>
        <w:t xml:space="preserve"> банку Національним банком</w:t>
      </w:r>
      <w:r w:rsidR="008A5FC2" w:rsidRPr="00E95146">
        <w:rPr>
          <w:sz w:val="28"/>
          <w:szCs w:val="28"/>
        </w:rPr>
        <w:t>, та</w:t>
      </w:r>
      <w:r w:rsidR="004155D0" w:rsidRPr="00E95146">
        <w:rPr>
          <w:sz w:val="28"/>
          <w:szCs w:val="28"/>
        </w:rPr>
        <w:t xml:space="preserve"> </w:t>
      </w:r>
      <w:r w:rsidRPr="00E95146">
        <w:rPr>
          <w:sz w:val="28"/>
          <w:szCs w:val="28"/>
        </w:rPr>
        <w:t>управлінського запасу внутрішньої ліквідності, визначеного банком;</w:t>
      </w:r>
    </w:p>
    <w:p w14:paraId="190AB9AE" w14:textId="77777777" w:rsidR="00396DE0" w:rsidRPr="00DA7C95" w:rsidRDefault="00396DE0" w:rsidP="00D3042E">
      <w:pPr>
        <w:pStyle w:val="rvps2"/>
        <w:shd w:val="clear" w:color="auto" w:fill="FFFFFF" w:themeFill="background1"/>
        <w:tabs>
          <w:tab w:val="left" w:pos="993"/>
        </w:tabs>
        <w:spacing w:before="0" w:beforeAutospacing="0" w:after="0" w:afterAutospacing="0"/>
        <w:ind w:left="709" w:firstLine="567"/>
        <w:jc w:val="both"/>
        <w:rPr>
          <w:sz w:val="28"/>
          <w:szCs w:val="28"/>
        </w:rPr>
      </w:pPr>
    </w:p>
    <w:p w14:paraId="4B820E1E" w14:textId="77777777" w:rsidR="00396DE0" w:rsidRPr="00DA7C95" w:rsidRDefault="00396DE0" w:rsidP="00D3042E">
      <w:pPr>
        <w:pStyle w:val="a4"/>
        <w:numPr>
          <w:ilvl w:val="0"/>
          <w:numId w:val="27"/>
        </w:numPr>
        <w:shd w:val="clear" w:color="auto" w:fill="FFFFFF" w:themeFill="background1"/>
        <w:tabs>
          <w:tab w:val="left" w:pos="993"/>
          <w:tab w:val="left" w:pos="1134"/>
        </w:tabs>
        <w:ind w:left="0" w:firstLine="567"/>
      </w:pPr>
      <w:r w:rsidRPr="00DA7C95">
        <w:t>визначає прогнозний обсяг необхідного стабільного фінансування (RSF), ґрунтуючись на:</w:t>
      </w:r>
    </w:p>
    <w:p w14:paraId="576480CB" w14:textId="77777777" w:rsidR="00396DE0" w:rsidRPr="00DA7C95" w:rsidRDefault="00396DE0" w:rsidP="00394D56">
      <w:pPr>
        <w:shd w:val="clear" w:color="auto" w:fill="FFFFFF" w:themeFill="background1"/>
        <w:tabs>
          <w:tab w:val="left" w:pos="993"/>
          <w:tab w:val="left" w:pos="1134"/>
        </w:tabs>
        <w:ind w:firstLine="567"/>
      </w:pPr>
      <w:r w:rsidRPr="00DA7C95">
        <w:t>прогнозних показниках бізнес-плану – для базового сценарію;</w:t>
      </w:r>
    </w:p>
    <w:p w14:paraId="45ADDB2A" w14:textId="77777777" w:rsidR="00396DE0" w:rsidRPr="00DA7C95" w:rsidRDefault="00396DE0" w:rsidP="00D3042E">
      <w:pPr>
        <w:pStyle w:val="rvps2"/>
        <w:shd w:val="clear" w:color="auto" w:fill="FFFFFF" w:themeFill="background1"/>
        <w:tabs>
          <w:tab w:val="left" w:pos="993"/>
        </w:tabs>
        <w:spacing w:before="0" w:beforeAutospacing="0" w:after="0" w:afterAutospacing="0"/>
        <w:ind w:firstLine="567"/>
        <w:jc w:val="both"/>
        <w:rPr>
          <w:sz w:val="28"/>
          <w:szCs w:val="28"/>
        </w:rPr>
      </w:pPr>
      <w:r w:rsidRPr="00DA7C95">
        <w:rPr>
          <w:sz w:val="28"/>
          <w:szCs w:val="28"/>
        </w:rPr>
        <w:t xml:space="preserve">прогнозних показниках, визначених за результатами стрес-тестування показників бізнес-плану із застосуванням несприятливого сценарію – для </w:t>
      </w:r>
      <w:r w:rsidRPr="00DA7C95">
        <w:rPr>
          <w:sz w:val="28"/>
          <w:szCs w:val="28"/>
          <w:shd w:val="clear" w:color="auto" w:fill="FFFFFF"/>
        </w:rPr>
        <w:t>несприятливого</w:t>
      </w:r>
      <w:r w:rsidRPr="00DA7C95">
        <w:rPr>
          <w:sz w:val="28"/>
          <w:szCs w:val="28"/>
        </w:rPr>
        <w:t xml:space="preserve"> сценарію;</w:t>
      </w:r>
    </w:p>
    <w:p w14:paraId="39BDB7EB" w14:textId="77777777" w:rsidR="00396DE0" w:rsidRPr="00DA7C95" w:rsidRDefault="00396DE0" w:rsidP="00D3042E">
      <w:pPr>
        <w:pStyle w:val="rvps2"/>
        <w:shd w:val="clear" w:color="auto" w:fill="FFFFFF" w:themeFill="background1"/>
        <w:tabs>
          <w:tab w:val="left" w:pos="993"/>
        </w:tabs>
        <w:spacing w:before="0" w:beforeAutospacing="0" w:after="0" w:afterAutospacing="0"/>
        <w:ind w:left="709" w:firstLine="567"/>
        <w:jc w:val="both"/>
        <w:rPr>
          <w:sz w:val="28"/>
          <w:szCs w:val="28"/>
        </w:rPr>
      </w:pPr>
    </w:p>
    <w:p w14:paraId="3E458E29" w14:textId="76075386" w:rsidR="00396DE0" w:rsidRPr="00DA7C95" w:rsidRDefault="008B6236" w:rsidP="00D3042E">
      <w:pPr>
        <w:pStyle w:val="a4"/>
        <w:numPr>
          <w:ilvl w:val="0"/>
          <w:numId w:val="27"/>
        </w:numPr>
        <w:shd w:val="clear" w:color="auto" w:fill="FFFFFF" w:themeFill="background1"/>
        <w:tabs>
          <w:tab w:val="left" w:pos="993"/>
          <w:tab w:val="left" w:pos="1134"/>
        </w:tabs>
        <w:ind w:left="142" w:firstLine="567"/>
      </w:pPr>
      <w:r>
        <w:rPr>
          <w:shd w:val="clear" w:color="auto" w:fill="FFFFFF"/>
          <w:lang w:eastAsia="ru-RU"/>
        </w:rPr>
        <w:t>ураховуючи</w:t>
      </w:r>
      <w:r w:rsidR="00396DE0" w:rsidRPr="00DA7C95">
        <w:rPr>
          <w:shd w:val="clear" w:color="auto" w:fill="FFFFFF"/>
          <w:lang w:eastAsia="ru-RU"/>
        </w:rPr>
        <w:t xml:space="preserve"> </w:t>
      </w:r>
      <w:r w:rsidRPr="00DA7C95">
        <w:t>прогнозн</w:t>
      </w:r>
      <w:r>
        <w:t>ий</w:t>
      </w:r>
      <w:r w:rsidRPr="00DA7C95">
        <w:t xml:space="preserve"> </w:t>
      </w:r>
      <w:r w:rsidR="00396DE0" w:rsidRPr="00DA7C95">
        <w:t xml:space="preserve">обсяг необхідного стабільного фінансування (RSF), визначає обсяг необхідної внутрішньої ліквідності як обсяг наявного стабільного фінансування ASF, необхідний для дотримання </w:t>
      </w:r>
      <w:r w:rsidR="00396DE0" w:rsidRPr="00DA7C95">
        <w:rPr>
          <w:lang w:eastAsia="ru-RU"/>
        </w:rPr>
        <w:t xml:space="preserve">цільових значень нормативу ліквідності NSFR, визначених згідно </w:t>
      </w:r>
      <w:r w:rsidR="00396DE0" w:rsidRPr="008A5FC2">
        <w:rPr>
          <w:lang w:eastAsia="ru-RU"/>
        </w:rPr>
        <w:t>з підпунктом 1 пункту 2</w:t>
      </w:r>
      <w:r w:rsidR="00A744D8">
        <w:rPr>
          <w:lang w:eastAsia="ru-RU"/>
        </w:rPr>
        <w:t>9</w:t>
      </w:r>
      <w:r w:rsidR="00396DE0" w:rsidRPr="008A5FC2">
        <w:rPr>
          <w:lang w:eastAsia="ru-RU"/>
        </w:rPr>
        <w:t xml:space="preserve"> глави</w:t>
      </w:r>
      <w:r w:rsidR="00396DE0" w:rsidRPr="00DA7C95">
        <w:rPr>
          <w:lang w:eastAsia="ru-RU"/>
        </w:rPr>
        <w:t xml:space="preserve"> 5 </w:t>
      </w:r>
      <w:r w:rsidR="00396DE0" w:rsidRPr="00DA7C95">
        <w:t>розділу ІІ цього Положення</w:t>
      </w:r>
      <w:r w:rsidR="00396DE0" w:rsidRPr="00DA7C95">
        <w:rPr>
          <w:lang w:eastAsia="ru-RU"/>
        </w:rPr>
        <w:t>.</w:t>
      </w:r>
    </w:p>
    <w:p w14:paraId="0D6B81EE" w14:textId="77777777" w:rsidR="00396DE0" w:rsidRPr="00DA7C95" w:rsidRDefault="00396DE0" w:rsidP="00396DE0">
      <w:pPr>
        <w:shd w:val="clear" w:color="auto" w:fill="FFFFFF" w:themeFill="background1"/>
        <w:tabs>
          <w:tab w:val="left" w:pos="1134"/>
        </w:tabs>
      </w:pPr>
    </w:p>
    <w:p w14:paraId="7064426D" w14:textId="77777777" w:rsidR="00396DE0" w:rsidRPr="00DA7C95" w:rsidRDefault="00396DE0" w:rsidP="00396DE0">
      <w:pPr>
        <w:pStyle w:val="1"/>
        <w:shd w:val="clear" w:color="auto" w:fill="FFFFFF" w:themeFill="background1"/>
        <w:tabs>
          <w:tab w:val="left" w:pos="284"/>
        </w:tabs>
        <w:spacing w:before="40"/>
        <w:jc w:val="center"/>
        <w:rPr>
          <w:rFonts w:ascii="Times New Roman" w:hAnsi="Times New Roman" w:cs="Times New Roman"/>
          <w:color w:val="auto"/>
          <w:sz w:val="28"/>
          <w:szCs w:val="28"/>
        </w:rPr>
      </w:pPr>
      <w:r w:rsidRPr="00DA7C95">
        <w:rPr>
          <w:rFonts w:ascii="Times New Roman" w:hAnsi="Times New Roman" w:cs="Times New Roman"/>
          <w:color w:val="auto"/>
          <w:sz w:val="28"/>
          <w:szCs w:val="28"/>
        </w:rPr>
        <w:t>6. Визначення обсягу</w:t>
      </w:r>
      <w:r w:rsidRPr="00DA7C95">
        <w:rPr>
          <w:rFonts w:ascii="Times New Roman" w:hAnsi="Times New Roman" w:cs="Times New Roman"/>
          <w:color w:val="auto"/>
          <w:sz w:val="28"/>
          <w:szCs w:val="28"/>
          <w:lang w:eastAsia="uk-UA"/>
        </w:rPr>
        <w:t xml:space="preserve"> доступної внутрішньої</w:t>
      </w:r>
      <w:r w:rsidRPr="00DA7C95">
        <w:rPr>
          <w:rFonts w:ascii="Times New Roman" w:hAnsi="Times New Roman" w:cs="Times New Roman"/>
          <w:color w:val="auto"/>
          <w:sz w:val="28"/>
          <w:szCs w:val="28"/>
          <w:lang w:eastAsia="uk-UA"/>
        </w:rPr>
        <w:br/>
        <w:t>ліквідності за нормативною перспективою</w:t>
      </w:r>
    </w:p>
    <w:p w14:paraId="51554DED" w14:textId="77777777" w:rsidR="00396DE0" w:rsidRPr="00DA7C95" w:rsidRDefault="00396DE0" w:rsidP="00396DE0">
      <w:pPr>
        <w:shd w:val="clear" w:color="auto" w:fill="FFFFFF" w:themeFill="background1"/>
        <w:tabs>
          <w:tab w:val="left" w:pos="-142"/>
          <w:tab w:val="left" w:pos="709"/>
          <w:tab w:val="left" w:pos="1134"/>
          <w:tab w:val="left" w:pos="1276"/>
          <w:tab w:val="left" w:pos="1418"/>
        </w:tabs>
      </w:pPr>
    </w:p>
    <w:p w14:paraId="509B6087" w14:textId="07B9E0FA" w:rsidR="00396DE0" w:rsidRPr="00DA7C95" w:rsidRDefault="00A744D8" w:rsidP="00D3042E">
      <w:pPr>
        <w:shd w:val="clear" w:color="auto" w:fill="FFFFFF" w:themeFill="background1"/>
        <w:tabs>
          <w:tab w:val="left" w:pos="-142"/>
          <w:tab w:val="left" w:pos="709"/>
          <w:tab w:val="left" w:pos="1134"/>
          <w:tab w:val="left" w:pos="1276"/>
          <w:tab w:val="left" w:pos="1418"/>
        </w:tabs>
        <w:ind w:firstLine="567"/>
      </w:pPr>
      <w:r>
        <w:t>30</w:t>
      </w:r>
      <w:r w:rsidR="00396DE0" w:rsidRPr="00DA7C95">
        <w:t>.</w:t>
      </w:r>
      <w:r w:rsidR="00396DE0" w:rsidRPr="00DA7C95">
        <w:tab/>
        <w:t>Банк визначає на прогнозні дати обсяг доступної внутрішньої ліквідності за нормативною перспективою із застосуванням:</w:t>
      </w:r>
    </w:p>
    <w:p w14:paraId="73D2F64E" w14:textId="77777777" w:rsidR="00396DE0" w:rsidRPr="00DA7C95" w:rsidRDefault="00396DE0" w:rsidP="00D3042E">
      <w:pPr>
        <w:shd w:val="clear" w:color="auto" w:fill="FFFFFF" w:themeFill="background1"/>
        <w:tabs>
          <w:tab w:val="left" w:pos="1134"/>
        </w:tabs>
        <w:ind w:firstLine="567"/>
      </w:pPr>
    </w:p>
    <w:p w14:paraId="7F3FF150" w14:textId="77777777" w:rsidR="00396DE0" w:rsidRPr="00DA7C95" w:rsidRDefault="00396DE0" w:rsidP="00D3042E">
      <w:pPr>
        <w:shd w:val="clear" w:color="auto" w:fill="FFFFFF" w:themeFill="background1"/>
        <w:tabs>
          <w:tab w:val="left" w:pos="1134"/>
        </w:tabs>
        <w:ind w:firstLine="567"/>
      </w:pPr>
      <w:r w:rsidRPr="00DA7C95">
        <w:t>1) базового сценарію – як прогнозний обсяг:</w:t>
      </w:r>
    </w:p>
    <w:p w14:paraId="53198851" w14:textId="479A0413" w:rsidR="00396DE0" w:rsidRPr="00DA7C95" w:rsidRDefault="00396DE0" w:rsidP="00D3042E">
      <w:pPr>
        <w:shd w:val="clear" w:color="auto" w:fill="FFFFFF" w:themeFill="background1"/>
        <w:tabs>
          <w:tab w:val="left" w:pos="1134"/>
        </w:tabs>
        <w:ind w:firstLine="567"/>
      </w:pPr>
      <w:r w:rsidRPr="00DA7C95">
        <w:t>ВЛА</w:t>
      </w:r>
      <w:r w:rsidRPr="00DA7C95">
        <w:rPr>
          <w:vertAlign w:val="subscript"/>
        </w:rPr>
        <w:t>ВВ</w:t>
      </w:r>
      <w:r w:rsidRPr="00DA7C95">
        <w:t>/ВЛА</w:t>
      </w:r>
      <w:r w:rsidRPr="00DA7C95">
        <w:rPr>
          <w:vertAlign w:val="subscript"/>
        </w:rPr>
        <w:t>ІВ</w:t>
      </w:r>
      <w:r w:rsidRPr="00DA7C95">
        <w:t xml:space="preserve">, розрахований згідно з </w:t>
      </w:r>
      <w:r w:rsidR="001A03FD" w:rsidRPr="00DA7C95">
        <w:t>методикою розрахунку коефіцієнта покриття ліквідністю (LCR)</w:t>
      </w:r>
      <w:r w:rsidRPr="00DA7C95">
        <w:t>, ґрунтуючись на прогнозних показниках бізнес-плану;</w:t>
      </w:r>
    </w:p>
    <w:p w14:paraId="158F67D1" w14:textId="416E14F8" w:rsidR="00396DE0" w:rsidRPr="00DA7C95" w:rsidRDefault="00396DE0" w:rsidP="00D3042E">
      <w:pPr>
        <w:shd w:val="clear" w:color="auto" w:fill="FFFFFF" w:themeFill="background1"/>
        <w:tabs>
          <w:tab w:val="left" w:pos="1134"/>
        </w:tabs>
        <w:ind w:firstLine="567"/>
      </w:pPr>
      <w:r w:rsidRPr="00DA7C95">
        <w:rPr>
          <w:shd w:val="clear" w:color="auto" w:fill="FFFFFF"/>
        </w:rPr>
        <w:t>наявного стабільного фінансування ASF,</w:t>
      </w:r>
      <w:r w:rsidRPr="00DA7C95">
        <w:rPr>
          <w:shd w:val="clear" w:color="auto" w:fill="FFFFFF"/>
          <w:vertAlign w:val="subscript"/>
        </w:rPr>
        <w:t xml:space="preserve"> </w:t>
      </w:r>
      <w:r w:rsidRPr="00DA7C95">
        <w:t xml:space="preserve">розрахований згідно з </w:t>
      </w:r>
      <w:r w:rsidR="0023398D" w:rsidRPr="00DA7C95">
        <w:t>методикою розрахунку коефіцієнта чистого стабільного фінансування (NSFR)</w:t>
      </w:r>
      <w:r w:rsidRPr="00DA7C95">
        <w:t>, ґрунтуючись на прогнозних показниках бізнес-плану;</w:t>
      </w:r>
    </w:p>
    <w:p w14:paraId="398E6EFB" w14:textId="77777777" w:rsidR="00396DE0" w:rsidRPr="00DA7C95" w:rsidRDefault="00396DE0" w:rsidP="00D3042E">
      <w:pPr>
        <w:shd w:val="clear" w:color="auto" w:fill="FFFFFF" w:themeFill="background1"/>
        <w:tabs>
          <w:tab w:val="left" w:pos="1134"/>
        </w:tabs>
        <w:ind w:firstLine="567"/>
      </w:pPr>
    </w:p>
    <w:p w14:paraId="2844538C" w14:textId="77777777" w:rsidR="00396DE0" w:rsidRPr="00DA7C95" w:rsidRDefault="00396DE0" w:rsidP="00D3042E">
      <w:pPr>
        <w:shd w:val="clear" w:color="auto" w:fill="FFFFFF" w:themeFill="background1"/>
        <w:tabs>
          <w:tab w:val="left" w:pos="1134"/>
        </w:tabs>
        <w:ind w:firstLine="567"/>
      </w:pPr>
      <w:r w:rsidRPr="00DA7C95">
        <w:t>2) несприятливого сценарію – як прогнозний обсяг:</w:t>
      </w:r>
    </w:p>
    <w:p w14:paraId="6045FCD2" w14:textId="310903E4" w:rsidR="00396DE0" w:rsidRPr="00DA7C95" w:rsidRDefault="00396DE0" w:rsidP="00D3042E">
      <w:pPr>
        <w:shd w:val="clear" w:color="auto" w:fill="FFFFFF" w:themeFill="background1"/>
        <w:tabs>
          <w:tab w:val="left" w:pos="1134"/>
        </w:tabs>
        <w:ind w:firstLine="567"/>
      </w:pPr>
      <w:r w:rsidRPr="00DA7C95">
        <w:t>ВЛА</w:t>
      </w:r>
      <w:r w:rsidRPr="00DA7C95">
        <w:rPr>
          <w:vertAlign w:val="subscript"/>
        </w:rPr>
        <w:t>ВВ</w:t>
      </w:r>
      <w:r w:rsidRPr="00DA7C95">
        <w:t>/ВЛА</w:t>
      </w:r>
      <w:r w:rsidRPr="00DA7C95">
        <w:rPr>
          <w:vertAlign w:val="subscript"/>
        </w:rPr>
        <w:t>ІВ</w:t>
      </w:r>
      <w:r w:rsidRPr="00DA7C95">
        <w:t xml:space="preserve">, розрахований згідно з </w:t>
      </w:r>
      <w:r w:rsidR="001A03FD" w:rsidRPr="00DA7C95">
        <w:t>методикою розрахунку коефіцієнта покриття ліквідністю (LCR)</w:t>
      </w:r>
      <w:r w:rsidRPr="00DA7C95">
        <w:t>, ґрунтуючись на прогнозних показниках, визначених за результатами стрес-тестування показників бізнес-плану із застосуванням несприятливого сценарію;</w:t>
      </w:r>
    </w:p>
    <w:p w14:paraId="7800F1C2" w14:textId="318C9ECE" w:rsidR="00396DE0" w:rsidRPr="00DA7C95" w:rsidRDefault="00396DE0" w:rsidP="00D3042E">
      <w:pPr>
        <w:shd w:val="clear" w:color="auto" w:fill="FFFFFF" w:themeFill="background1"/>
        <w:tabs>
          <w:tab w:val="left" w:pos="1134"/>
        </w:tabs>
        <w:ind w:firstLine="567"/>
      </w:pPr>
      <w:r w:rsidRPr="00DA7C95">
        <w:rPr>
          <w:shd w:val="clear" w:color="auto" w:fill="FFFFFF"/>
        </w:rPr>
        <w:t>наявного стабільного фінансування ASF,</w:t>
      </w:r>
      <w:r w:rsidRPr="00DA7C95">
        <w:rPr>
          <w:shd w:val="clear" w:color="auto" w:fill="FFFFFF"/>
          <w:vertAlign w:val="subscript"/>
        </w:rPr>
        <w:t xml:space="preserve"> </w:t>
      </w:r>
      <w:r w:rsidRPr="00DA7C95">
        <w:t xml:space="preserve">розрахований згідно з </w:t>
      </w:r>
      <w:r w:rsidR="0023398D" w:rsidRPr="00DA7C95">
        <w:t>методикою розрахунку коефіцієнта чистого стабільного фінансування (NSFR)</w:t>
      </w:r>
      <w:r w:rsidRPr="00DA7C95">
        <w:t xml:space="preserve">, </w:t>
      </w:r>
      <w:bookmarkStart w:id="42" w:name="_Hlk78143403"/>
      <w:r w:rsidRPr="00DA7C95">
        <w:t xml:space="preserve">ґрунтуючись на </w:t>
      </w:r>
      <w:bookmarkEnd w:id="42"/>
      <w:r w:rsidRPr="00DA7C95">
        <w:t>прогнозних показниках, визначених за результатами стрес-тестування показників бізнес-плану із застосуванням несприятливого сценарію.</w:t>
      </w:r>
    </w:p>
    <w:p w14:paraId="574787C7" w14:textId="77777777" w:rsidR="00396DE0" w:rsidRPr="00DA7C95" w:rsidRDefault="00396DE0" w:rsidP="00D3042E">
      <w:pPr>
        <w:shd w:val="clear" w:color="auto" w:fill="FFFFFF" w:themeFill="background1"/>
        <w:tabs>
          <w:tab w:val="left" w:pos="-142"/>
          <w:tab w:val="left" w:pos="709"/>
          <w:tab w:val="left" w:pos="1134"/>
          <w:tab w:val="left" w:pos="1276"/>
          <w:tab w:val="left" w:pos="1418"/>
        </w:tabs>
        <w:ind w:firstLine="567"/>
      </w:pPr>
    </w:p>
    <w:p w14:paraId="6E30B123" w14:textId="19A4211C" w:rsidR="00396DE0" w:rsidRPr="00DA7C95" w:rsidRDefault="00A744D8" w:rsidP="00D3042E">
      <w:pPr>
        <w:shd w:val="clear" w:color="auto" w:fill="FFFFFF" w:themeFill="background1"/>
        <w:tabs>
          <w:tab w:val="left" w:pos="-142"/>
          <w:tab w:val="left" w:pos="709"/>
          <w:tab w:val="left" w:pos="1134"/>
          <w:tab w:val="left" w:pos="1276"/>
          <w:tab w:val="left" w:pos="1418"/>
        </w:tabs>
        <w:ind w:firstLine="567"/>
      </w:pPr>
      <w:r>
        <w:t>31</w:t>
      </w:r>
      <w:r w:rsidR="00396DE0" w:rsidRPr="00DA7C95">
        <w:t xml:space="preserve">. Банк під час визначення обсягу доступної внутрішньої ліквідності за нормативною </w:t>
      </w:r>
      <w:r w:rsidR="00396DE0" w:rsidRPr="00DA7C95">
        <w:rPr>
          <w:bCs/>
        </w:rPr>
        <w:t xml:space="preserve">перспективою ураховує </w:t>
      </w:r>
      <w:r w:rsidR="00396DE0" w:rsidRPr="00DA7C95">
        <w:t xml:space="preserve">вимоги нормативно-правових актів </w:t>
      </w:r>
      <w:r w:rsidR="00396DE0" w:rsidRPr="00DA7C95">
        <w:lastRenderedPageBreak/>
        <w:t xml:space="preserve">Національного банку щодо достатності ліквідності, </w:t>
      </w:r>
      <w:r w:rsidR="00396DE0" w:rsidRPr="00DA7C95">
        <w:rPr>
          <w:shd w:val="clear" w:color="auto" w:fill="FFFFFF"/>
        </w:rPr>
        <w:t>затверджені до дати здійснення оцінки достатності внутрішньої ліквідності</w:t>
      </w:r>
      <w:r w:rsidR="00396DE0" w:rsidRPr="00DA7C95">
        <w:t xml:space="preserve"> та </w:t>
      </w:r>
      <w:r w:rsidR="00396DE0" w:rsidRPr="00DA7C95">
        <w:rPr>
          <w:shd w:val="clear" w:color="auto" w:fill="FFFFFF"/>
        </w:rPr>
        <w:t xml:space="preserve">набудуть чинності </w:t>
      </w:r>
      <w:r w:rsidR="0073126B">
        <w:rPr>
          <w:shd w:val="clear" w:color="auto" w:fill="FFFFFF"/>
        </w:rPr>
        <w:t>в</w:t>
      </w:r>
      <w:r w:rsidR="0073126B" w:rsidRPr="00DA7C95">
        <w:rPr>
          <w:shd w:val="clear" w:color="auto" w:fill="FFFFFF"/>
        </w:rPr>
        <w:t xml:space="preserve"> </w:t>
      </w:r>
      <w:r w:rsidR="00396DE0" w:rsidRPr="00DA7C95">
        <w:rPr>
          <w:shd w:val="clear" w:color="auto" w:fill="FFFFFF"/>
        </w:rPr>
        <w:t>прогнозному періоді.</w:t>
      </w:r>
    </w:p>
    <w:p w14:paraId="5D086F5E" w14:textId="77777777" w:rsidR="00396DE0" w:rsidRPr="00DA7C95" w:rsidRDefault="00396DE0" w:rsidP="00396DE0">
      <w:pPr>
        <w:pStyle w:val="a4"/>
        <w:shd w:val="clear" w:color="auto" w:fill="FFFFFF" w:themeFill="background1"/>
        <w:tabs>
          <w:tab w:val="left" w:pos="1134"/>
          <w:tab w:val="left" w:pos="1276"/>
          <w:tab w:val="left" w:pos="1418"/>
        </w:tabs>
        <w:ind w:left="0"/>
      </w:pPr>
    </w:p>
    <w:p w14:paraId="27A55978" w14:textId="77777777" w:rsidR="00396DE0" w:rsidRPr="00DA7C95" w:rsidRDefault="00396DE0" w:rsidP="00396DE0">
      <w:pPr>
        <w:pStyle w:val="a4"/>
        <w:shd w:val="clear" w:color="auto" w:fill="FFFFFF" w:themeFill="background1"/>
        <w:tabs>
          <w:tab w:val="left" w:pos="1276"/>
        </w:tabs>
        <w:ind w:left="0"/>
        <w:jc w:val="center"/>
      </w:pPr>
      <w:bookmarkStart w:id="43" w:name="_Hlk38880572"/>
      <w:bookmarkEnd w:id="43"/>
      <w:r w:rsidRPr="00DA7C95">
        <w:t>7. Планування достатності внутрішньої ліквідності</w:t>
      </w:r>
    </w:p>
    <w:p w14:paraId="0D660ECA" w14:textId="77777777" w:rsidR="00396DE0" w:rsidRPr="00DA7C95" w:rsidRDefault="00396DE0" w:rsidP="00396DE0">
      <w:pPr>
        <w:shd w:val="clear" w:color="auto" w:fill="FFFFFF" w:themeFill="background1"/>
        <w:tabs>
          <w:tab w:val="left" w:pos="284"/>
        </w:tabs>
        <w:ind w:right="-57"/>
      </w:pPr>
    </w:p>
    <w:p w14:paraId="1F5205B8" w14:textId="3AFDF27C" w:rsidR="00396DE0" w:rsidRPr="00DA7C95" w:rsidRDefault="00396DE0" w:rsidP="00D3042E">
      <w:pPr>
        <w:shd w:val="clear" w:color="auto" w:fill="FFFFFF" w:themeFill="background1"/>
        <w:tabs>
          <w:tab w:val="left" w:pos="284"/>
        </w:tabs>
        <w:ind w:right="-57" w:firstLine="567"/>
      </w:pPr>
      <w:r w:rsidRPr="00DA7C95">
        <w:t>3</w:t>
      </w:r>
      <w:r w:rsidR="00A744D8">
        <w:t>2</w:t>
      </w:r>
      <w:r w:rsidRPr="00DA7C95">
        <w:t xml:space="preserve">. Банк за результатами оцінки достатності внутрішньої ліквідності </w:t>
      </w:r>
      <w:r w:rsidRPr="00DA7C95">
        <w:rPr>
          <w:shd w:val="clear" w:color="auto" w:fill="FFFFFF"/>
        </w:rPr>
        <w:t>за нормативною перспективою розробляє план підтримання достатності</w:t>
      </w:r>
      <w:r w:rsidRPr="00DA7C95">
        <w:t xml:space="preserve"> ліквідності</w:t>
      </w:r>
      <w:r w:rsidRPr="00DA7C95">
        <w:rPr>
          <w:shd w:val="clear" w:color="auto" w:fill="FFFFFF"/>
        </w:rPr>
        <w:t>,</w:t>
      </w:r>
      <w:r w:rsidRPr="00DA7C95">
        <w:t xml:space="preserve"> який </w:t>
      </w:r>
      <w:r w:rsidR="0073126B">
        <w:t>у</w:t>
      </w:r>
      <w:r w:rsidR="0073126B" w:rsidRPr="00DA7C95">
        <w:t>ключає</w:t>
      </w:r>
      <w:r w:rsidRPr="00DA7C95">
        <w:t>:</w:t>
      </w:r>
    </w:p>
    <w:p w14:paraId="28B22F60" w14:textId="77777777" w:rsidR="00396DE0" w:rsidRPr="00DA7C95" w:rsidRDefault="00396DE0" w:rsidP="00D3042E">
      <w:pPr>
        <w:shd w:val="clear" w:color="auto" w:fill="FFFFFF" w:themeFill="background1"/>
        <w:tabs>
          <w:tab w:val="left" w:pos="1134"/>
          <w:tab w:val="left" w:pos="1418"/>
        </w:tabs>
        <w:ind w:firstLine="567"/>
      </w:pPr>
    </w:p>
    <w:p w14:paraId="56D02CF2" w14:textId="76597071" w:rsidR="00396DE0" w:rsidRPr="00DA7C95" w:rsidRDefault="00396DE0" w:rsidP="00D3042E">
      <w:pPr>
        <w:shd w:val="clear" w:color="auto" w:fill="FFFFFF" w:themeFill="background1"/>
        <w:tabs>
          <w:tab w:val="left" w:pos="1134"/>
          <w:tab w:val="left" w:pos="1418"/>
        </w:tabs>
        <w:ind w:firstLine="567"/>
      </w:pPr>
      <w:r w:rsidRPr="00DA7C95">
        <w:t xml:space="preserve">1) </w:t>
      </w:r>
      <w:r w:rsidRPr="00DA7C95">
        <w:rPr>
          <w:shd w:val="clear" w:color="auto" w:fill="FFFFFF"/>
        </w:rPr>
        <w:t>план підтримання достатності</w:t>
      </w:r>
      <w:r w:rsidRPr="00DA7C95">
        <w:t xml:space="preserve"> короткострокової ліквідності (для забезпечення дотримання нормативів ліквідності LCR</w:t>
      </w:r>
      <w:r w:rsidRPr="00DA7C95">
        <w:rPr>
          <w:vertAlign w:val="subscript"/>
        </w:rPr>
        <w:t>ВВ</w:t>
      </w:r>
      <w:r w:rsidRPr="00DA7C95">
        <w:t xml:space="preserve"> та LCR</w:t>
      </w:r>
      <w:r w:rsidRPr="00DA7C95">
        <w:rPr>
          <w:vertAlign w:val="subscript"/>
        </w:rPr>
        <w:t>ІВ</w:t>
      </w:r>
      <w:r w:rsidRPr="00DA7C95">
        <w:t xml:space="preserve">), </w:t>
      </w:r>
      <w:bookmarkStart w:id="44" w:name="_Hlk88923192"/>
      <w:r w:rsidRPr="00DA7C95">
        <w:t>який розробляється на прогнозний період, що становить не менше одного року (</w:t>
      </w:r>
      <w:r w:rsidR="0073126B">
        <w:t>і</w:t>
      </w:r>
      <w:r w:rsidRPr="00DA7C95">
        <w:t xml:space="preserve">з щомісячною розбивкою), </w:t>
      </w:r>
      <w:bookmarkStart w:id="45" w:name="_Hlk69567234"/>
      <w:bookmarkEnd w:id="44"/>
      <w:r w:rsidRPr="00DA7C95">
        <w:t>згідно з форматом, визначеним у таблиці 1 додатк</w:t>
      </w:r>
      <w:r w:rsidR="00207392">
        <w:t>а</w:t>
      </w:r>
      <w:r w:rsidR="005B4858" w:rsidRPr="00DA7C95">
        <w:t> </w:t>
      </w:r>
      <w:r w:rsidRPr="00DA7C95">
        <w:t xml:space="preserve"> 1 до цього Положення</w:t>
      </w:r>
      <w:bookmarkEnd w:id="45"/>
      <w:r w:rsidRPr="00DA7C95">
        <w:t>, та описову частину заходів для підтримання достатності короткострокової ліквідності;</w:t>
      </w:r>
    </w:p>
    <w:p w14:paraId="0B592D2A" w14:textId="77777777" w:rsidR="00396DE0" w:rsidRPr="00DA7C95" w:rsidRDefault="00396DE0" w:rsidP="00D3042E">
      <w:pPr>
        <w:shd w:val="clear" w:color="auto" w:fill="FFFFFF" w:themeFill="background1"/>
        <w:tabs>
          <w:tab w:val="left" w:pos="1134"/>
          <w:tab w:val="left" w:pos="1418"/>
        </w:tabs>
        <w:ind w:firstLine="567"/>
      </w:pPr>
    </w:p>
    <w:p w14:paraId="77265149" w14:textId="69E4806C" w:rsidR="00396DE0" w:rsidRPr="00DA7C95" w:rsidRDefault="00396DE0" w:rsidP="00D3042E">
      <w:pPr>
        <w:shd w:val="clear" w:color="auto" w:fill="FFFFFF" w:themeFill="background1"/>
        <w:tabs>
          <w:tab w:val="left" w:pos="1134"/>
          <w:tab w:val="left" w:pos="1418"/>
        </w:tabs>
        <w:ind w:firstLine="567"/>
      </w:pPr>
      <w:r w:rsidRPr="00DA7C95">
        <w:t xml:space="preserve">2) </w:t>
      </w:r>
      <w:bookmarkStart w:id="46" w:name="_Hlk61172433"/>
      <w:r w:rsidRPr="00DA7C95">
        <w:t xml:space="preserve">план </w:t>
      </w:r>
      <w:r w:rsidRPr="00DA7C95">
        <w:rPr>
          <w:shd w:val="clear" w:color="auto" w:fill="FFFFFF"/>
        </w:rPr>
        <w:t>підтримання достатності</w:t>
      </w:r>
      <w:r w:rsidRPr="00DA7C95">
        <w:t xml:space="preserve"> </w:t>
      </w:r>
      <w:r w:rsidRPr="00DA7C95">
        <w:rPr>
          <w:bCs/>
        </w:rPr>
        <w:t>довгострокової</w:t>
      </w:r>
      <w:r w:rsidRPr="00DA7C95">
        <w:t xml:space="preserve"> ліквідності (</w:t>
      </w:r>
      <w:bookmarkEnd w:id="46"/>
      <w:r w:rsidRPr="00DA7C95">
        <w:t xml:space="preserve">для забезпечення дотримання нормативу ліквідності NSFR), який розробляється </w:t>
      </w:r>
      <w:bookmarkStart w:id="47" w:name="_Hlk88923213"/>
      <w:r w:rsidRPr="00DA7C95">
        <w:t>на прогнозний період, що становить не менше трьох років</w:t>
      </w:r>
      <w:r w:rsidRPr="00DA7C95">
        <w:rPr>
          <w:shd w:val="clear" w:color="auto" w:fill="FFFFFF"/>
        </w:rPr>
        <w:t xml:space="preserve"> </w:t>
      </w:r>
      <w:r w:rsidRPr="00DA7C95">
        <w:t>(</w:t>
      </w:r>
      <w:r w:rsidR="0073126B">
        <w:t>і</w:t>
      </w:r>
      <w:r w:rsidRPr="00DA7C95">
        <w:t xml:space="preserve">з щорічною розбивкою), </w:t>
      </w:r>
      <w:bookmarkEnd w:id="47"/>
      <w:r w:rsidRPr="00DA7C95">
        <w:t>згідно з форматом, визначеним у таблиці 2 додатк</w:t>
      </w:r>
      <w:r w:rsidR="00207392">
        <w:t>а</w:t>
      </w:r>
      <w:r w:rsidRPr="00DA7C95">
        <w:t xml:space="preserve"> 1 до цього Положення, та описову частину заходів для підтримання достатності довгострокової ліквідності.</w:t>
      </w:r>
    </w:p>
    <w:p w14:paraId="14096418" w14:textId="3C920F46" w:rsidR="00396DE0" w:rsidRPr="00DA7C95" w:rsidRDefault="00396DE0" w:rsidP="00D3042E">
      <w:pPr>
        <w:shd w:val="clear" w:color="auto" w:fill="FFFFFF" w:themeFill="background1"/>
        <w:tabs>
          <w:tab w:val="left" w:pos="360"/>
          <w:tab w:val="left" w:pos="851"/>
          <w:tab w:val="left" w:pos="1276"/>
          <w:tab w:val="left" w:pos="1418"/>
        </w:tabs>
        <w:ind w:firstLine="567"/>
      </w:pPr>
      <w:r w:rsidRPr="00DA7C95">
        <w:t>План підтримання достатності ліквідності затверджується радою банку</w:t>
      </w:r>
      <w:r w:rsidR="0073126B">
        <w:rPr>
          <w:lang w:val="en-US"/>
        </w:rPr>
        <w:t> </w:t>
      </w:r>
      <w:r w:rsidRPr="00DA7C95">
        <w:t>/ відповідальної особи банківської групи за результатами розгляду пропозицій правління банку</w:t>
      </w:r>
      <w:r w:rsidR="0073126B">
        <w:rPr>
          <w:lang w:val="en-US"/>
        </w:rPr>
        <w:t> </w:t>
      </w:r>
      <w:r w:rsidRPr="00DA7C95">
        <w:t>/</w:t>
      </w:r>
      <w:r w:rsidR="0073126B">
        <w:rPr>
          <w:lang w:val="en-US"/>
        </w:rPr>
        <w:t> </w:t>
      </w:r>
      <w:r w:rsidRPr="00DA7C95">
        <w:t>відповідальної особи банківської групи.</w:t>
      </w:r>
    </w:p>
    <w:p w14:paraId="4751A8E3" w14:textId="77777777" w:rsidR="00396DE0" w:rsidRPr="00DA7C95" w:rsidRDefault="00396DE0" w:rsidP="00D3042E">
      <w:pPr>
        <w:shd w:val="clear" w:color="auto" w:fill="FFFFFF" w:themeFill="background1"/>
        <w:tabs>
          <w:tab w:val="left" w:pos="284"/>
        </w:tabs>
        <w:ind w:right="-57" w:firstLine="567"/>
      </w:pPr>
    </w:p>
    <w:p w14:paraId="22C8E0D6" w14:textId="1C270B20" w:rsidR="00396DE0" w:rsidRPr="00DA7C95" w:rsidRDefault="00396DE0" w:rsidP="00D3042E">
      <w:pPr>
        <w:shd w:val="clear" w:color="auto" w:fill="FFFFFF" w:themeFill="background1"/>
        <w:tabs>
          <w:tab w:val="left" w:pos="360"/>
          <w:tab w:val="left" w:pos="851"/>
          <w:tab w:val="left" w:pos="1276"/>
          <w:tab w:val="left" w:pos="1418"/>
        </w:tabs>
        <w:ind w:firstLine="567"/>
      </w:pPr>
      <w:r w:rsidRPr="00DA7C95">
        <w:t>3</w:t>
      </w:r>
      <w:r w:rsidR="00A744D8">
        <w:t>3</w:t>
      </w:r>
      <w:r w:rsidRPr="00DA7C95">
        <w:t>. Банк у плані підтримання достатності ліквідності визначає:</w:t>
      </w:r>
    </w:p>
    <w:p w14:paraId="0F663974" w14:textId="77777777" w:rsidR="00396DE0" w:rsidRPr="00DA7C95" w:rsidRDefault="00396DE0" w:rsidP="00D3042E">
      <w:pPr>
        <w:pStyle w:val="a4"/>
        <w:shd w:val="clear" w:color="auto" w:fill="FFFFFF" w:themeFill="background1"/>
        <w:ind w:firstLine="567"/>
      </w:pPr>
    </w:p>
    <w:p w14:paraId="7E1A3AD8" w14:textId="682C5CAA" w:rsidR="00A55A78" w:rsidRPr="00DA7C95" w:rsidRDefault="00396DE0" w:rsidP="00D3042E">
      <w:pPr>
        <w:pStyle w:val="a4"/>
        <w:numPr>
          <w:ilvl w:val="0"/>
          <w:numId w:val="15"/>
        </w:numPr>
        <w:shd w:val="clear" w:color="auto" w:fill="FFFFFF" w:themeFill="background1"/>
        <w:tabs>
          <w:tab w:val="left" w:pos="993"/>
          <w:tab w:val="left" w:pos="1276"/>
        </w:tabs>
        <w:ind w:left="0" w:firstLine="567"/>
      </w:pPr>
      <w:r w:rsidRPr="00DA7C95">
        <w:t>у табличній частині плану підтримання достатності ліквідності – прогнозні значення обсягів необхідної</w:t>
      </w:r>
      <w:r w:rsidR="0073126B">
        <w:t> </w:t>
      </w:r>
      <w:r w:rsidRPr="00DA7C95">
        <w:t>/</w:t>
      </w:r>
      <w:r w:rsidR="0073126B">
        <w:t> </w:t>
      </w:r>
      <w:r w:rsidRPr="00DA7C95">
        <w:t xml:space="preserve">доступної внутрішньої ліквідності та </w:t>
      </w:r>
      <w:r w:rsidRPr="00DA7C95">
        <w:rPr>
          <w:lang w:eastAsia="ru-RU"/>
        </w:rPr>
        <w:t>цільові значення нормативів ліквідності</w:t>
      </w:r>
      <w:r w:rsidR="00A55A78" w:rsidRPr="00DA7C95">
        <w:t xml:space="preserve"> </w:t>
      </w:r>
      <w:r w:rsidRPr="00DA7C95">
        <w:t>за результатами оцінки достатності внутрішньої ліквідності</w:t>
      </w:r>
      <w:r w:rsidR="00E044E5" w:rsidRPr="00DA7C95">
        <w:t>:</w:t>
      </w:r>
      <w:r w:rsidRPr="00DA7C95">
        <w:t xml:space="preserve"> </w:t>
      </w:r>
    </w:p>
    <w:p w14:paraId="018DCC53" w14:textId="2EC6077E" w:rsidR="00396DE0" w:rsidRPr="00DA7C95" w:rsidRDefault="00396DE0" w:rsidP="00494D97">
      <w:pPr>
        <w:shd w:val="clear" w:color="auto" w:fill="FFFFFF" w:themeFill="background1"/>
        <w:tabs>
          <w:tab w:val="left" w:pos="993"/>
          <w:tab w:val="left" w:pos="1276"/>
        </w:tabs>
        <w:ind w:firstLine="567"/>
      </w:pPr>
      <w:r w:rsidRPr="00494D97">
        <w:rPr>
          <w:shd w:val="clear" w:color="auto" w:fill="FFFFFF"/>
        </w:rPr>
        <w:t>за</w:t>
      </w:r>
      <w:r w:rsidRPr="00DA7C95">
        <w:t xml:space="preserve"> </w:t>
      </w:r>
      <w:r w:rsidRPr="00494D97">
        <w:rPr>
          <w:shd w:val="clear" w:color="auto" w:fill="FFFFFF"/>
        </w:rPr>
        <w:t>базовим та несприятливим сценаріями</w:t>
      </w:r>
      <w:r w:rsidRPr="00DA7C95">
        <w:t>;</w:t>
      </w:r>
    </w:p>
    <w:p w14:paraId="37E44C71" w14:textId="1501B587" w:rsidR="00396DE0" w:rsidRPr="00DA7C95" w:rsidRDefault="00396DE0" w:rsidP="00D3042E">
      <w:pPr>
        <w:shd w:val="clear" w:color="auto" w:fill="FFFFFF" w:themeFill="background1"/>
        <w:ind w:firstLine="567"/>
      </w:pPr>
      <w:r w:rsidRPr="00DA7C95">
        <w:t xml:space="preserve">з урахуванням заходів для підтримання достатності ліквідності </w:t>
      </w:r>
      <w:bookmarkStart w:id="48" w:name="_Hlk135941600"/>
      <w:bookmarkStart w:id="49" w:name="_Hlk135940873"/>
      <w:r w:rsidRPr="00DA7C95">
        <w:t>(якщо визначена недостатність внутрішньої ліквідності) – за несприятливим сценарієм</w:t>
      </w:r>
      <w:bookmarkEnd w:id="48"/>
      <w:bookmarkEnd w:id="49"/>
      <w:r w:rsidRPr="00DA7C95">
        <w:t>;</w:t>
      </w:r>
    </w:p>
    <w:p w14:paraId="4C555F0C" w14:textId="77777777" w:rsidR="00396DE0" w:rsidRPr="00DA7C95" w:rsidRDefault="00396DE0" w:rsidP="00D3042E">
      <w:pPr>
        <w:shd w:val="clear" w:color="auto" w:fill="FFFFFF" w:themeFill="background1"/>
        <w:tabs>
          <w:tab w:val="left" w:pos="1276"/>
        </w:tabs>
        <w:ind w:left="709" w:firstLine="567"/>
      </w:pPr>
    </w:p>
    <w:p w14:paraId="73ACC564" w14:textId="4A8DF901" w:rsidR="004076E8" w:rsidRDefault="0073126B" w:rsidP="00D3042E">
      <w:pPr>
        <w:pStyle w:val="a4"/>
        <w:numPr>
          <w:ilvl w:val="0"/>
          <w:numId w:val="15"/>
        </w:numPr>
        <w:shd w:val="clear" w:color="auto" w:fill="FFFFFF" w:themeFill="background1"/>
        <w:tabs>
          <w:tab w:val="left" w:pos="1134"/>
        </w:tabs>
        <w:ind w:left="0" w:firstLine="567"/>
      </w:pPr>
      <w:r>
        <w:t>в</w:t>
      </w:r>
      <w:r w:rsidRPr="00DA7C95">
        <w:t xml:space="preserve"> </w:t>
      </w:r>
      <w:r w:rsidR="00396DE0" w:rsidRPr="00DA7C95">
        <w:t>описовій частині плану підтримання достатності ліквідності – опис  ефективних та реалістичних заходів для підтримання достатності внутрішньої ліквідності (</w:t>
      </w:r>
      <w:r>
        <w:t>за потреби</w:t>
      </w:r>
      <w:r w:rsidR="00396DE0" w:rsidRPr="00DA7C95">
        <w:t xml:space="preserve"> вжиття банком таких заходів), очікувані строки їх реалізації та кількісну оцінку їх впливу.</w:t>
      </w:r>
    </w:p>
    <w:p w14:paraId="33CF524B" w14:textId="77777777" w:rsidR="008A5FC2" w:rsidRPr="00DA7C95" w:rsidRDefault="008A5FC2" w:rsidP="00D3042E">
      <w:pPr>
        <w:pStyle w:val="a4"/>
        <w:shd w:val="clear" w:color="auto" w:fill="FFFFFF" w:themeFill="background1"/>
        <w:tabs>
          <w:tab w:val="left" w:pos="1134"/>
        </w:tabs>
        <w:ind w:left="709" w:firstLine="567"/>
      </w:pPr>
    </w:p>
    <w:p w14:paraId="022C260E" w14:textId="4E912C84" w:rsidR="00396DE0" w:rsidRDefault="00A744D8" w:rsidP="00D3042E">
      <w:pPr>
        <w:pStyle w:val="a4"/>
        <w:shd w:val="clear" w:color="auto" w:fill="FFFFFF" w:themeFill="background1"/>
        <w:tabs>
          <w:tab w:val="left" w:pos="1134"/>
        </w:tabs>
        <w:ind w:left="0" w:firstLine="567"/>
      </w:pPr>
      <w:r w:rsidRPr="00A744D8">
        <w:lastRenderedPageBreak/>
        <w:t>34</w:t>
      </w:r>
      <w:r w:rsidR="008A5FC2" w:rsidRPr="00A744D8">
        <w:t>. З</w:t>
      </w:r>
      <w:r w:rsidR="00FB76ED" w:rsidRPr="00A744D8">
        <w:t xml:space="preserve">аходи для підтримання достатності внутрішньої ліквідності </w:t>
      </w:r>
      <w:r w:rsidR="008A5FC2" w:rsidRPr="00A744D8">
        <w:t xml:space="preserve">можуть </w:t>
      </w:r>
      <w:r w:rsidR="0073126B">
        <w:t>у</w:t>
      </w:r>
      <w:r w:rsidR="0073126B" w:rsidRPr="00A744D8">
        <w:t>ключати</w:t>
      </w:r>
      <w:r w:rsidR="00396DE0" w:rsidRPr="00A744D8">
        <w:t>:</w:t>
      </w:r>
    </w:p>
    <w:p w14:paraId="233BBC11" w14:textId="77777777" w:rsidR="00E95146" w:rsidRPr="00A744D8" w:rsidRDefault="00E95146" w:rsidP="00D3042E">
      <w:pPr>
        <w:pStyle w:val="a4"/>
        <w:shd w:val="clear" w:color="auto" w:fill="FFFFFF" w:themeFill="background1"/>
        <w:tabs>
          <w:tab w:val="left" w:pos="1134"/>
        </w:tabs>
        <w:ind w:left="0" w:firstLine="567"/>
      </w:pPr>
    </w:p>
    <w:p w14:paraId="72BCA0A1" w14:textId="2EC7558C" w:rsidR="00396DE0" w:rsidRDefault="00396DE0" w:rsidP="00D3042E">
      <w:pPr>
        <w:pStyle w:val="rvps14"/>
        <w:numPr>
          <w:ilvl w:val="0"/>
          <w:numId w:val="33"/>
        </w:numPr>
        <w:shd w:val="clear" w:color="auto" w:fill="FFFFFF"/>
        <w:tabs>
          <w:tab w:val="left" w:pos="993"/>
        </w:tabs>
        <w:spacing w:beforeAutospacing="0" w:afterAutospacing="0"/>
        <w:ind w:left="0" w:firstLine="567"/>
        <w:jc w:val="both"/>
        <w:rPr>
          <w:sz w:val="28"/>
          <w:szCs w:val="28"/>
          <w:shd w:val="clear" w:color="auto" w:fill="FFFFFF"/>
          <w:lang w:val="uk-UA"/>
        </w:rPr>
      </w:pPr>
      <w:r w:rsidRPr="00E95146">
        <w:rPr>
          <w:sz w:val="28"/>
          <w:szCs w:val="28"/>
          <w:shd w:val="clear" w:color="auto" w:fill="FFFFFF"/>
          <w:lang w:val="uk-UA"/>
        </w:rPr>
        <w:t xml:space="preserve">отримання ресурсів на міжбанківському ринку; </w:t>
      </w:r>
    </w:p>
    <w:p w14:paraId="3029B15B" w14:textId="77777777" w:rsidR="00E95146" w:rsidRPr="00E95146" w:rsidRDefault="00E95146" w:rsidP="00D3042E">
      <w:pPr>
        <w:pStyle w:val="rvps14"/>
        <w:shd w:val="clear" w:color="auto" w:fill="FFFFFF"/>
        <w:tabs>
          <w:tab w:val="left" w:pos="993"/>
        </w:tabs>
        <w:spacing w:beforeAutospacing="0" w:afterAutospacing="0"/>
        <w:ind w:left="709" w:firstLine="567"/>
        <w:jc w:val="both"/>
        <w:rPr>
          <w:sz w:val="28"/>
          <w:szCs w:val="28"/>
          <w:shd w:val="clear" w:color="auto" w:fill="FFFFFF"/>
          <w:lang w:val="uk-UA"/>
        </w:rPr>
      </w:pPr>
    </w:p>
    <w:p w14:paraId="496B2D83" w14:textId="65A126BA" w:rsidR="00396DE0" w:rsidRDefault="00396DE0" w:rsidP="00D3042E">
      <w:pPr>
        <w:pStyle w:val="rvps14"/>
        <w:numPr>
          <w:ilvl w:val="0"/>
          <w:numId w:val="33"/>
        </w:numPr>
        <w:shd w:val="clear" w:color="auto" w:fill="FFFFFF"/>
        <w:tabs>
          <w:tab w:val="left" w:pos="993"/>
        </w:tabs>
        <w:spacing w:beforeAutospacing="0" w:afterAutospacing="0"/>
        <w:ind w:left="0" w:firstLine="567"/>
        <w:jc w:val="both"/>
        <w:rPr>
          <w:sz w:val="28"/>
          <w:szCs w:val="28"/>
          <w:shd w:val="clear" w:color="auto" w:fill="FFFFFF"/>
          <w:lang w:val="uk-UA"/>
        </w:rPr>
      </w:pPr>
      <w:r w:rsidRPr="00E95146">
        <w:rPr>
          <w:sz w:val="28"/>
          <w:szCs w:val="28"/>
          <w:shd w:val="clear" w:color="auto" w:fill="FFFFFF"/>
          <w:lang w:val="uk-UA"/>
        </w:rPr>
        <w:t xml:space="preserve">погашення (включаючи дострокове) кредитів та боргових цінних паперів; </w:t>
      </w:r>
    </w:p>
    <w:p w14:paraId="1CB26713" w14:textId="77777777" w:rsidR="00E95146" w:rsidRDefault="00E95146" w:rsidP="00D3042E">
      <w:pPr>
        <w:pStyle w:val="a4"/>
        <w:ind w:firstLine="567"/>
        <w:rPr>
          <w:shd w:val="clear" w:color="auto" w:fill="FFFFFF"/>
        </w:rPr>
      </w:pPr>
    </w:p>
    <w:p w14:paraId="2FBDD016" w14:textId="6A345CF8" w:rsidR="00396DE0" w:rsidRDefault="00396DE0" w:rsidP="00D3042E">
      <w:pPr>
        <w:pStyle w:val="rvps14"/>
        <w:numPr>
          <w:ilvl w:val="0"/>
          <w:numId w:val="33"/>
        </w:numPr>
        <w:shd w:val="clear" w:color="auto" w:fill="FFFFFF"/>
        <w:tabs>
          <w:tab w:val="left" w:pos="993"/>
        </w:tabs>
        <w:spacing w:beforeAutospacing="0" w:afterAutospacing="0"/>
        <w:ind w:left="0" w:firstLine="567"/>
        <w:jc w:val="both"/>
        <w:rPr>
          <w:sz w:val="28"/>
          <w:szCs w:val="28"/>
          <w:shd w:val="clear" w:color="auto" w:fill="FFFFFF"/>
          <w:lang w:val="uk-UA"/>
        </w:rPr>
      </w:pPr>
      <w:r w:rsidRPr="00E95146">
        <w:rPr>
          <w:sz w:val="28"/>
          <w:szCs w:val="28"/>
          <w:shd w:val="clear" w:color="auto" w:fill="FFFFFF"/>
          <w:lang w:val="uk-UA"/>
        </w:rPr>
        <w:t>пролонгаці</w:t>
      </w:r>
      <w:r w:rsidR="008A5FC2" w:rsidRPr="00E95146">
        <w:rPr>
          <w:sz w:val="28"/>
          <w:szCs w:val="28"/>
          <w:shd w:val="clear" w:color="auto" w:fill="FFFFFF"/>
          <w:lang w:val="uk-UA"/>
        </w:rPr>
        <w:t>ю</w:t>
      </w:r>
      <w:r w:rsidRPr="00E95146">
        <w:rPr>
          <w:sz w:val="28"/>
          <w:szCs w:val="28"/>
          <w:shd w:val="clear" w:color="auto" w:fill="FFFFFF"/>
          <w:lang w:val="uk-UA"/>
        </w:rPr>
        <w:t xml:space="preserve"> депозитів; </w:t>
      </w:r>
    </w:p>
    <w:p w14:paraId="20FAE235" w14:textId="77777777" w:rsidR="00E95146" w:rsidRDefault="00E95146" w:rsidP="00D3042E">
      <w:pPr>
        <w:pStyle w:val="a4"/>
        <w:ind w:firstLine="567"/>
        <w:rPr>
          <w:shd w:val="clear" w:color="auto" w:fill="FFFFFF"/>
        </w:rPr>
      </w:pPr>
    </w:p>
    <w:p w14:paraId="1FE49923" w14:textId="09F01F52" w:rsidR="00396DE0" w:rsidRDefault="00396DE0" w:rsidP="00D3042E">
      <w:pPr>
        <w:pStyle w:val="rvps14"/>
        <w:numPr>
          <w:ilvl w:val="0"/>
          <w:numId w:val="33"/>
        </w:numPr>
        <w:shd w:val="clear" w:color="auto" w:fill="FFFFFF"/>
        <w:tabs>
          <w:tab w:val="left" w:pos="993"/>
        </w:tabs>
        <w:spacing w:beforeAutospacing="0" w:afterAutospacing="0"/>
        <w:ind w:left="0" w:firstLine="567"/>
        <w:jc w:val="both"/>
        <w:rPr>
          <w:sz w:val="28"/>
          <w:szCs w:val="28"/>
          <w:lang w:val="uk-UA"/>
        </w:rPr>
      </w:pPr>
      <w:r w:rsidRPr="00E95146">
        <w:rPr>
          <w:sz w:val="28"/>
          <w:szCs w:val="28"/>
          <w:shd w:val="clear" w:color="auto" w:fill="FFFFFF"/>
          <w:lang w:val="uk-UA"/>
        </w:rPr>
        <w:t>о</w:t>
      </w:r>
      <w:r w:rsidRPr="00E95146">
        <w:rPr>
          <w:sz w:val="28"/>
          <w:szCs w:val="28"/>
          <w:lang w:val="uk-UA"/>
        </w:rPr>
        <w:t>тримання від акціонерів</w:t>
      </w:r>
      <w:r w:rsidR="00F2121B">
        <w:rPr>
          <w:sz w:val="28"/>
          <w:szCs w:val="28"/>
          <w:lang w:val="uk-UA"/>
        </w:rPr>
        <w:t> </w:t>
      </w:r>
      <w:r w:rsidRPr="00E95146">
        <w:rPr>
          <w:sz w:val="28"/>
          <w:szCs w:val="28"/>
          <w:lang w:val="uk-UA"/>
        </w:rPr>
        <w:t>/</w:t>
      </w:r>
      <w:r w:rsidR="00F2121B">
        <w:rPr>
          <w:sz w:val="28"/>
          <w:szCs w:val="28"/>
          <w:lang w:val="uk-UA"/>
        </w:rPr>
        <w:t> </w:t>
      </w:r>
      <w:r w:rsidRPr="00E95146">
        <w:rPr>
          <w:sz w:val="28"/>
          <w:szCs w:val="28"/>
          <w:lang w:val="uk-UA"/>
        </w:rPr>
        <w:t xml:space="preserve">пов’язаних </w:t>
      </w:r>
      <w:r w:rsidR="00F2121B">
        <w:rPr>
          <w:sz w:val="28"/>
          <w:szCs w:val="28"/>
          <w:lang w:val="uk-UA"/>
        </w:rPr>
        <w:t>і</w:t>
      </w:r>
      <w:r w:rsidRPr="00E95146">
        <w:rPr>
          <w:sz w:val="28"/>
          <w:szCs w:val="28"/>
          <w:lang w:val="uk-UA"/>
        </w:rPr>
        <w:t>з банком осіб фінансування або забезпечення для цілей залучення фінансування;</w:t>
      </w:r>
    </w:p>
    <w:p w14:paraId="74344C84" w14:textId="77777777" w:rsidR="00E95146" w:rsidRDefault="00E95146" w:rsidP="00D3042E">
      <w:pPr>
        <w:pStyle w:val="a4"/>
        <w:ind w:firstLine="567"/>
      </w:pPr>
    </w:p>
    <w:p w14:paraId="1FD38F96" w14:textId="05D5DF7A" w:rsidR="00396DE0" w:rsidRDefault="00396DE0" w:rsidP="00D3042E">
      <w:pPr>
        <w:pStyle w:val="rvps14"/>
        <w:numPr>
          <w:ilvl w:val="0"/>
          <w:numId w:val="33"/>
        </w:numPr>
        <w:shd w:val="clear" w:color="auto" w:fill="FFFFFF"/>
        <w:tabs>
          <w:tab w:val="left" w:pos="993"/>
        </w:tabs>
        <w:spacing w:beforeAutospacing="0" w:afterAutospacing="0"/>
        <w:ind w:left="0" w:firstLine="567"/>
        <w:jc w:val="both"/>
        <w:rPr>
          <w:sz w:val="28"/>
          <w:szCs w:val="28"/>
          <w:lang w:val="uk-UA"/>
        </w:rPr>
      </w:pPr>
      <w:r w:rsidRPr="00E95146">
        <w:rPr>
          <w:sz w:val="28"/>
          <w:szCs w:val="28"/>
          <w:lang w:val="uk-UA"/>
        </w:rPr>
        <w:t>монетизаці</w:t>
      </w:r>
      <w:r w:rsidR="008A5FC2" w:rsidRPr="00E95146">
        <w:rPr>
          <w:sz w:val="28"/>
          <w:szCs w:val="28"/>
          <w:lang w:val="uk-UA"/>
        </w:rPr>
        <w:t>ю</w:t>
      </w:r>
      <w:r w:rsidRPr="00E95146">
        <w:rPr>
          <w:sz w:val="28"/>
          <w:szCs w:val="28"/>
          <w:lang w:val="uk-UA"/>
        </w:rPr>
        <w:t xml:space="preserve"> ліквідних активів шляхом продажу або операцій </w:t>
      </w:r>
      <w:proofErr w:type="spellStart"/>
      <w:r w:rsidRPr="00E95146">
        <w:rPr>
          <w:sz w:val="28"/>
          <w:szCs w:val="28"/>
          <w:lang w:val="uk-UA"/>
        </w:rPr>
        <w:t>репо</w:t>
      </w:r>
      <w:proofErr w:type="spellEnd"/>
      <w:r w:rsidRPr="00E95146">
        <w:rPr>
          <w:sz w:val="28"/>
          <w:szCs w:val="28"/>
          <w:lang w:val="uk-UA"/>
        </w:rPr>
        <w:t>;</w:t>
      </w:r>
    </w:p>
    <w:p w14:paraId="7B234D12" w14:textId="77777777" w:rsidR="00E95146" w:rsidRDefault="00E95146" w:rsidP="00D3042E">
      <w:pPr>
        <w:pStyle w:val="a4"/>
        <w:ind w:firstLine="567"/>
      </w:pPr>
    </w:p>
    <w:p w14:paraId="123825FE" w14:textId="77777777" w:rsidR="00396DE0" w:rsidRPr="00E95146" w:rsidRDefault="00396DE0" w:rsidP="00D3042E">
      <w:pPr>
        <w:pStyle w:val="rvps14"/>
        <w:numPr>
          <w:ilvl w:val="0"/>
          <w:numId w:val="33"/>
        </w:numPr>
        <w:shd w:val="clear" w:color="auto" w:fill="FFFFFF"/>
        <w:tabs>
          <w:tab w:val="left" w:pos="993"/>
        </w:tabs>
        <w:spacing w:beforeAutospacing="0" w:afterAutospacing="0"/>
        <w:ind w:left="0" w:firstLine="567"/>
        <w:jc w:val="both"/>
        <w:rPr>
          <w:sz w:val="28"/>
          <w:szCs w:val="28"/>
          <w:lang w:val="uk-UA"/>
        </w:rPr>
      </w:pPr>
      <w:r w:rsidRPr="00E95146">
        <w:rPr>
          <w:sz w:val="28"/>
          <w:szCs w:val="28"/>
          <w:lang w:val="uk-UA"/>
        </w:rPr>
        <w:t>отримання підтримки ліквідності банку Національним банком (за  стандартними інструментами).</w:t>
      </w:r>
    </w:p>
    <w:p w14:paraId="0F16331B" w14:textId="77777777" w:rsidR="00396DE0" w:rsidRPr="00DA7C95" w:rsidRDefault="00396DE0" w:rsidP="00D3042E">
      <w:pPr>
        <w:shd w:val="clear" w:color="auto" w:fill="FFFFFF" w:themeFill="background1"/>
        <w:tabs>
          <w:tab w:val="left" w:pos="284"/>
        </w:tabs>
        <w:ind w:right="-57" w:firstLine="567"/>
      </w:pPr>
    </w:p>
    <w:p w14:paraId="61B33E44" w14:textId="26FAE36D" w:rsidR="00396DE0" w:rsidRPr="00DA7C95" w:rsidRDefault="00294C24" w:rsidP="00D3042E">
      <w:pPr>
        <w:widowControl w:val="0"/>
        <w:shd w:val="clear" w:color="auto" w:fill="FFFFFF" w:themeFill="background1"/>
        <w:tabs>
          <w:tab w:val="left" w:pos="426"/>
          <w:tab w:val="left" w:pos="993"/>
          <w:tab w:val="left" w:pos="1134"/>
          <w:tab w:val="left" w:pos="1418"/>
          <w:tab w:val="left" w:pos="1701"/>
          <w:tab w:val="left" w:pos="5670"/>
        </w:tabs>
        <w:ind w:right="23" w:firstLine="567"/>
      </w:pPr>
      <w:r>
        <w:t>3</w:t>
      </w:r>
      <w:r w:rsidR="00A744D8">
        <w:t>5</w:t>
      </w:r>
      <w:r w:rsidR="00396DE0" w:rsidRPr="00DA7C95">
        <w:t xml:space="preserve">. </w:t>
      </w:r>
      <w:bookmarkStart w:id="50" w:name="_Hlk38913576"/>
      <w:r w:rsidR="00396DE0" w:rsidRPr="00DA7C95">
        <w:t xml:space="preserve">Банк забезпечує: </w:t>
      </w:r>
    </w:p>
    <w:p w14:paraId="34689E08" w14:textId="77777777" w:rsidR="00396DE0" w:rsidRPr="00DA7C95" w:rsidRDefault="00396DE0" w:rsidP="00D3042E">
      <w:pPr>
        <w:widowControl w:val="0"/>
        <w:shd w:val="clear" w:color="auto" w:fill="FFFFFF" w:themeFill="background1"/>
        <w:tabs>
          <w:tab w:val="left" w:pos="426"/>
          <w:tab w:val="left" w:pos="993"/>
          <w:tab w:val="left" w:pos="1134"/>
          <w:tab w:val="left" w:pos="1418"/>
          <w:tab w:val="left" w:pos="1701"/>
          <w:tab w:val="left" w:pos="5670"/>
        </w:tabs>
        <w:ind w:right="23" w:firstLine="567"/>
      </w:pPr>
    </w:p>
    <w:p w14:paraId="2C835EE4" w14:textId="77777777" w:rsidR="00396DE0" w:rsidRPr="00DA7C95" w:rsidRDefault="00396DE0" w:rsidP="00D3042E">
      <w:pPr>
        <w:widowControl w:val="0"/>
        <w:shd w:val="clear" w:color="auto" w:fill="FFFFFF" w:themeFill="background1"/>
        <w:tabs>
          <w:tab w:val="left" w:pos="426"/>
          <w:tab w:val="left" w:pos="993"/>
          <w:tab w:val="left" w:pos="1134"/>
          <w:tab w:val="left" w:pos="1418"/>
          <w:tab w:val="left" w:pos="1701"/>
          <w:tab w:val="left" w:pos="5670"/>
        </w:tabs>
        <w:ind w:right="23" w:firstLine="567"/>
      </w:pPr>
      <w:r w:rsidRPr="00DA7C95">
        <w:t>1) узгодженість плану підтримання достатності ліквідності зі стратегією та іншими планами банку, включаючи бізнес-план</w:t>
      </w:r>
      <w:bookmarkEnd w:id="50"/>
      <w:r w:rsidRPr="00DA7C95">
        <w:rPr>
          <w:shd w:val="clear" w:color="auto" w:fill="FFFFFF"/>
        </w:rPr>
        <w:t>;</w:t>
      </w:r>
    </w:p>
    <w:p w14:paraId="46DC1D54" w14:textId="77777777" w:rsidR="00396DE0" w:rsidRPr="00DA7C95" w:rsidRDefault="00396DE0" w:rsidP="00D3042E">
      <w:pPr>
        <w:shd w:val="clear" w:color="auto" w:fill="FFFFFF" w:themeFill="background1"/>
        <w:tabs>
          <w:tab w:val="left" w:pos="284"/>
        </w:tabs>
        <w:ind w:right="-57" w:firstLine="567"/>
      </w:pPr>
      <w:bookmarkStart w:id="51" w:name="_Hlk50365788"/>
      <w:bookmarkEnd w:id="51"/>
    </w:p>
    <w:p w14:paraId="055E0AD1" w14:textId="7298EFC9" w:rsidR="00396DE0" w:rsidRPr="00DA7C95" w:rsidRDefault="00396DE0" w:rsidP="00D3042E">
      <w:pPr>
        <w:shd w:val="clear" w:color="auto" w:fill="FFFFFF" w:themeFill="background1"/>
        <w:tabs>
          <w:tab w:val="left" w:pos="-142"/>
          <w:tab w:val="left" w:pos="0"/>
          <w:tab w:val="left" w:pos="1276"/>
          <w:tab w:val="left" w:pos="1418"/>
          <w:tab w:val="left" w:pos="1843"/>
        </w:tabs>
        <w:ind w:firstLine="567"/>
      </w:pPr>
      <w:r w:rsidRPr="00DA7C95">
        <w:t xml:space="preserve">2) перегляд плану підтримання достатності ліквідності з метою його актуалізації </w:t>
      </w:r>
      <w:r w:rsidR="00F2121B">
        <w:t>в</w:t>
      </w:r>
      <w:r w:rsidR="00F2121B" w:rsidRPr="00DA7C95">
        <w:t xml:space="preserve"> </w:t>
      </w:r>
      <w:r w:rsidRPr="00DA7C95">
        <w:t>разі:</w:t>
      </w:r>
    </w:p>
    <w:p w14:paraId="03D1AB9A" w14:textId="193E1DB3" w:rsidR="00396DE0" w:rsidRPr="00DA7C95" w:rsidRDefault="00396DE0" w:rsidP="00D3042E">
      <w:pPr>
        <w:shd w:val="clear" w:color="auto" w:fill="FFFFFF" w:themeFill="background1"/>
        <w:tabs>
          <w:tab w:val="left" w:pos="-142"/>
          <w:tab w:val="left" w:pos="0"/>
          <w:tab w:val="left" w:pos="993"/>
          <w:tab w:val="left" w:pos="1276"/>
          <w:tab w:val="left" w:pos="1418"/>
          <w:tab w:val="left" w:pos="1843"/>
        </w:tabs>
        <w:ind w:firstLine="567"/>
      </w:pPr>
      <w:r w:rsidRPr="00DA7C95">
        <w:t xml:space="preserve">унесення змін до </w:t>
      </w:r>
      <w:r w:rsidRPr="00DA7C95">
        <w:rPr>
          <w:shd w:val="clear" w:color="auto" w:fill="FFFFFF"/>
        </w:rPr>
        <w:t xml:space="preserve">нормативно-правових актів Національного банку, які можуть призвести до недотримання банком цільових значень нормативів ліквідності </w:t>
      </w:r>
      <w:r w:rsidR="00F2121B">
        <w:rPr>
          <w:shd w:val="clear" w:color="auto" w:fill="FFFFFF"/>
        </w:rPr>
        <w:t>в</w:t>
      </w:r>
      <w:r w:rsidR="00F2121B" w:rsidRPr="00DA7C95">
        <w:rPr>
          <w:shd w:val="clear" w:color="auto" w:fill="FFFFFF"/>
        </w:rPr>
        <w:t xml:space="preserve"> </w:t>
      </w:r>
      <w:r w:rsidRPr="00DA7C95">
        <w:rPr>
          <w:shd w:val="clear" w:color="auto" w:fill="FFFFFF"/>
        </w:rPr>
        <w:t>прогнозному періоді;</w:t>
      </w:r>
    </w:p>
    <w:p w14:paraId="1DB0E4DA" w14:textId="62CB18D7" w:rsidR="00396DE0" w:rsidRPr="00DA7C95" w:rsidRDefault="00F2121B" w:rsidP="00D3042E">
      <w:pPr>
        <w:shd w:val="clear" w:color="auto" w:fill="FFFFFF" w:themeFill="background1"/>
        <w:tabs>
          <w:tab w:val="left" w:pos="-142"/>
          <w:tab w:val="left" w:pos="0"/>
          <w:tab w:val="left" w:pos="993"/>
          <w:tab w:val="left" w:pos="1276"/>
          <w:tab w:val="left" w:pos="1418"/>
          <w:tab w:val="left" w:pos="1843"/>
        </w:tabs>
        <w:ind w:firstLine="567"/>
      </w:pPr>
      <w:r>
        <w:t>у</w:t>
      </w:r>
      <w:r w:rsidRPr="00DA7C95">
        <w:t xml:space="preserve">становлення </w:t>
      </w:r>
      <w:r w:rsidR="00396DE0" w:rsidRPr="00DA7C95">
        <w:t>банку Національним банком підвищених значень нормативів ліквідності або змін</w:t>
      </w:r>
      <w:r w:rsidR="008A5FC2">
        <w:t>и</w:t>
      </w:r>
      <w:r w:rsidR="00396DE0" w:rsidRPr="00DA7C95">
        <w:t xml:space="preserve"> цих вимог;</w:t>
      </w:r>
    </w:p>
    <w:p w14:paraId="3AA483F8" w14:textId="2ACC8BCA" w:rsidR="00396DE0" w:rsidRPr="00DA7C95" w:rsidRDefault="00396DE0" w:rsidP="00D3042E">
      <w:pPr>
        <w:shd w:val="clear" w:color="auto" w:fill="FFFFFF" w:themeFill="background1"/>
        <w:tabs>
          <w:tab w:val="left" w:pos="-142"/>
          <w:tab w:val="left" w:pos="0"/>
          <w:tab w:val="left" w:pos="993"/>
          <w:tab w:val="left" w:pos="1276"/>
          <w:tab w:val="left" w:pos="1418"/>
          <w:tab w:val="left" w:pos="1843"/>
        </w:tabs>
        <w:ind w:firstLine="567"/>
      </w:pPr>
      <w:r w:rsidRPr="00DA7C95">
        <w:t>настання подій</w:t>
      </w:r>
      <w:r w:rsidR="00F2121B">
        <w:t> </w:t>
      </w:r>
      <w:r w:rsidRPr="00DA7C95">
        <w:t>/</w:t>
      </w:r>
      <w:r w:rsidR="00F2121B">
        <w:t> </w:t>
      </w:r>
      <w:r w:rsidRPr="00DA7C95">
        <w:t xml:space="preserve">обставин, </w:t>
      </w:r>
      <w:r w:rsidR="00F2121B">
        <w:t>що</w:t>
      </w:r>
      <w:r w:rsidR="00F2121B" w:rsidRPr="00DA7C95">
        <w:t xml:space="preserve"> </w:t>
      </w:r>
      <w:r w:rsidRPr="00DA7C95">
        <w:t xml:space="preserve">призвели до суттєвого відхилення показників діяльності банку від показників, передбачених у бізнес-плані, </w:t>
      </w:r>
      <w:r w:rsidRPr="00DA7C95">
        <w:rPr>
          <w:bCs/>
        </w:rPr>
        <w:t xml:space="preserve">та які можуть призвести до недотримання банком цільових значень нормативів ліквідності </w:t>
      </w:r>
      <w:r w:rsidR="00F2121B">
        <w:rPr>
          <w:bCs/>
        </w:rPr>
        <w:t>в</w:t>
      </w:r>
      <w:r w:rsidR="00F2121B" w:rsidRPr="00DA7C95">
        <w:t> </w:t>
      </w:r>
      <w:r w:rsidR="00F2121B" w:rsidRPr="00DA7C95">
        <w:rPr>
          <w:bCs/>
        </w:rPr>
        <w:t xml:space="preserve"> </w:t>
      </w:r>
      <w:r w:rsidRPr="00DA7C95">
        <w:rPr>
          <w:bCs/>
        </w:rPr>
        <w:t>прогнозному періоді</w:t>
      </w:r>
      <w:r w:rsidRPr="00FB76ED">
        <w:t>;</w:t>
      </w:r>
    </w:p>
    <w:p w14:paraId="54678773" w14:textId="77777777" w:rsidR="00396DE0" w:rsidRPr="00DA7C95" w:rsidRDefault="00396DE0" w:rsidP="00D3042E">
      <w:pPr>
        <w:shd w:val="clear" w:color="auto" w:fill="FFFFFF" w:themeFill="background1"/>
        <w:tabs>
          <w:tab w:val="left" w:pos="-142"/>
          <w:tab w:val="left" w:pos="0"/>
          <w:tab w:val="left" w:pos="993"/>
          <w:tab w:val="left" w:pos="1276"/>
          <w:tab w:val="left" w:pos="1418"/>
          <w:tab w:val="left" w:pos="1843"/>
        </w:tabs>
        <w:ind w:firstLine="567"/>
      </w:pPr>
    </w:p>
    <w:p w14:paraId="22C4361F" w14:textId="642EB2B3" w:rsidR="00396DE0" w:rsidRDefault="00396DE0" w:rsidP="00D3042E">
      <w:pPr>
        <w:shd w:val="clear" w:color="auto" w:fill="FFFFFF" w:themeFill="background1"/>
        <w:tabs>
          <w:tab w:val="left" w:pos="-142"/>
          <w:tab w:val="left" w:pos="0"/>
          <w:tab w:val="left" w:pos="993"/>
          <w:tab w:val="left" w:pos="1276"/>
          <w:tab w:val="left" w:pos="1418"/>
          <w:tab w:val="left" w:pos="1843"/>
        </w:tabs>
        <w:ind w:firstLine="567"/>
      </w:pPr>
      <w:r w:rsidRPr="00DA7C95">
        <w:t xml:space="preserve">3) контроль </w:t>
      </w:r>
      <w:r w:rsidR="00F2121B">
        <w:t xml:space="preserve">за </w:t>
      </w:r>
      <w:r w:rsidRPr="00DA7C95">
        <w:t>виконання</w:t>
      </w:r>
      <w:r w:rsidR="00F2121B">
        <w:t>м</w:t>
      </w:r>
      <w:r w:rsidRPr="00DA7C95">
        <w:t xml:space="preserve"> плану підтримання достатності ліквідності (дотримання прогнозних значень показників та виконання запланованих заходів).</w:t>
      </w:r>
    </w:p>
    <w:p w14:paraId="7E8CF123" w14:textId="77777777" w:rsidR="00FB76ED" w:rsidRPr="00DA7C95" w:rsidRDefault="00FB76ED" w:rsidP="00D3042E">
      <w:pPr>
        <w:shd w:val="clear" w:color="auto" w:fill="FFFFFF" w:themeFill="background1"/>
        <w:tabs>
          <w:tab w:val="left" w:pos="-142"/>
          <w:tab w:val="left" w:pos="0"/>
          <w:tab w:val="left" w:pos="993"/>
          <w:tab w:val="left" w:pos="1276"/>
          <w:tab w:val="left" w:pos="1418"/>
          <w:tab w:val="left" w:pos="1843"/>
        </w:tabs>
        <w:ind w:firstLine="567"/>
        <w:rPr>
          <w:strike/>
        </w:rPr>
      </w:pPr>
    </w:p>
    <w:p w14:paraId="333F872F" w14:textId="52B933D7" w:rsidR="00FB76ED" w:rsidRPr="00DA7C95" w:rsidRDefault="00FB76ED" w:rsidP="00D3042E">
      <w:pPr>
        <w:widowControl w:val="0"/>
        <w:shd w:val="clear" w:color="auto" w:fill="FFFFFF" w:themeFill="background1"/>
        <w:tabs>
          <w:tab w:val="left" w:pos="426"/>
          <w:tab w:val="left" w:pos="993"/>
          <w:tab w:val="left" w:pos="1134"/>
          <w:tab w:val="left" w:pos="1418"/>
          <w:tab w:val="left" w:pos="1701"/>
          <w:tab w:val="left" w:pos="5670"/>
        </w:tabs>
        <w:ind w:right="23" w:firstLine="567"/>
      </w:pPr>
      <w:r w:rsidRPr="00FF180F">
        <w:t>3</w:t>
      </w:r>
      <w:r w:rsidR="00A744D8">
        <w:t>6</w:t>
      </w:r>
      <w:r w:rsidRPr="00FF180F">
        <w:t xml:space="preserve">. Банк забезпечує </w:t>
      </w:r>
      <w:r w:rsidRPr="00E95146">
        <w:t xml:space="preserve">перегляд плану </w:t>
      </w:r>
      <w:r w:rsidR="008A5FC2" w:rsidRPr="00E95146">
        <w:t xml:space="preserve">підтримання достатності ліквідності </w:t>
      </w:r>
      <w:r w:rsidRPr="00E95146">
        <w:t>та подання його до Національного банку протягом двох місяців із дня настання подій</w:t>
      </w:r>
      <w:r w:rsidR="00F2121B">
        <w:t> </w:t>
      </w:r>
      <w:r w:rsidRPr="00E95146">
        <w:t>/</w:t>
      </w:r>
      <w:r w:rsidR="00F2121B">
        <w:t> </w:t>
      </w:r>
      <w:r w:rsidRPr="00E95146">
        <w:t xml:space="preserve">обставин, що спричинили потребу перегляду </w:t>
      </w:r>
      <w:r w:rsidR="008A5FC2" w:rsidRPr="00E95146">
        <w:t xml:space="preserve">цього </w:t>
      </w:r>
      <w:r w:rsidRPr="00E95146">
        <w:t>плану.</w:t>
      </w:r>
    </w:p>
    <w:p w14:paraId="5C5D19F4" w14:textId="77777777" w:rsidR="00396DE0" w:rsidRPr="00DA7C95" w:rsidRDefault="00396DE0" w:rsidP="00396DE0">
      <w:pPr>
        <w:shd w:val="clear" w:color="auto" w:fill="FFFFFF" w:themeFill="background1"/>
        <w:tabs>
          <w:tab w:val="left" w:pos="-142"/>
          <w:tab w:val="left" w:pos="0"/>
          <w:tab w:val="left" w:pos="993"/>
          <w:tab w:val="left" w:pos="1276"/>
          <w:tab w:val="left" w:pos="1418"/>
          <w:tab w:val="left" w:pos="1843"/>
        </w:tabs>
      </w:pPr>
    </w:p>
    <w:p w14:paraId="7AB9858C" w14:textId="77777777" w:rsidR="00396DE0" w:rsidRPr="00DA7C95" w:rsidRDefault="00396DE0" w:rsidP="00396DE0">
      <w:pPr>
        <w:shd w:val="clear" w:color="auto" w:fill="FFFFFF" w:themeFill="background1"/>
        <w:jc w:val="center"/>
      </w:pPr>
      <w:r w:rsidRPr="00DA7C95">
        <w:lastRenderedPageBreak/>
        <w:t>ІІІ. Моніторинг достатності внутрішньої ліквідності</w:t>
      </w:r>
    </w:p>
    <w:p w14:paraId="3A4538E1" w14:textId="77777777" w:rsidR="00396DE0" w:rsidRPr="00DA7C95" w:rsidRDefault="00396DE0" w:rsidP="00396DE0">
      <w:pPr>
        <w:shd w:val="clear" w:color="auto" w:fill="FFFFFF" w:themeFill="background1"/>
        <w:jc w:val="center"/>
      </w:pPr>
      <w:r w:rsidRPr="00DA7C95">
        <w:t>та оцінка ефективності процесу ILAAP</w:t>
      </w:r>
    </w:p>
    <w:p w14:paraId="0CA3F4AC" w14:textId="77777777" w:rsidR="00396DE0" w:rsidRPr="00DA7C95" w:rsidRDefault="00396DE0" w:rsidP="00396DE0">
      <w:pPr>
        <w:pStyle w:val="a4"/>
        <w:shd w:val="clear" w:color="auto" w:fill="FFFFFF" w:themeFill="background1"/>
        <w:tabs>
          <w:tab w:val="left" w:pos="-142"/>
          <w:tab w:val="left" w:pos="0"/>
          <w:tab w:val="left" w:pos="1276"/>
          <w:tab w:val="left" w:pos="1418"/>
          <w:tab w:val="left" w:pos="1843"/>
        </w:tabs>
        <w:ind w:left="0"/>
      </w:pPr>
    </w:p>
    <w:p w14:paraId="08EE114D" w14:textId="77777777" w:rsidR="00396DE0" w:rsidRPr="00DA7C95" w:rsidRDefault="00396DE0" w:rsidP="00396DE0">
      <w:pPr>
        <w:pStyle w:val="1"/>
        <w:shd w:val="clear" w:color="auto" w:fill="FFFFFF" w:themeFill="background1"/>
        <w:spacing w:before="0"/>
        <w:jc w:val="center"/>
        <w:rPr>
          <w:rFonts w:ascii="Times New Roman" w:hAnsi="Times New Roman" w:cs="Times New Roman"/>
          <w:color w:val="auto"/>
          <w:sz w:val="28"/>
          <w:szCs w:val="28"/>
          <w:lang w:eastAsia="uk-UA"/>
        </w:rPr>
      </w:pPr>
      <w:r w:rsidRPr="00DA7C95">
        <w:rPr>
          <w:rFonts w:ascii="Times New Roman" w:hAnsi="Times New Roman" w:cs="Times New Roman"/>
          <w:color w:val="auto"/>
          <w:sz w:val="28"/>
          <w:szCs w:val="28"/>
          <w:lang w:eastAsia="uk-UA"/>
        </w:rPr>
        <w:t>8. Моніторинг та управлінська звітність</w:t>
      </w:r>
      <w:r w:rsidRPr="00DA7C95">
        <w:rPr>
          <w:rFonts w:ascii="Times New Roman" w:hAnsi="Times New Roman" w:cs="Times New Roman"/>
          <w:color w:val="auto"/>
          <w:sz w:val="28"/>
          <w:szCs w:val="28"/>
          <w:lang w:eastAsia="uk-UA"/>
        </w:rPr>
        <w:br/>
        <w:t>щодо достатності внутрішньої ліквідності</w:t>
      </w:r>
    </w:p>
    <w:p w14:paraId="301A6DE5" w14:textId="77777777" w:rsidR="00396DE0" w:rsidRPr="00DA7C95" w:rsidRDefault="00396DE0" w:rsidP="00396DE0">
      <w:pPr>
        <w:pStyle w:val="a4"/>
        <w:shd w:val="clear" w:color="auto" w:fill="FFFFFF" w:themeFill="background1"/>
        <w:tabs>
          <w:tab w:val="left" w:pos="426"/>
          <w:tab w:val="left" w:pos="1276"/>
          <w:tab w:val="left" w:pos="1418"/>
        </w:tabs>
        <w:ind w:left="0"/>
      </w:pPr>
    </w:p>
    <w:p w14:paraId="00F6C981" w14:textId="4B5610FE" w:rsidR="00396DE0" w:rsidRPr="00DA7C95" w:rsidRDefault="00396DE0" w:rsidP="00D3042E">
      <w:pPr>
        <w:pStyle w:val="Default"/>
        <w:shd w:val="clear" w:color="auto" w:fill="FFFFFF" w:themeFill="background1"/>
        <w:ind w:firstLine="567"/>
        <w:jc w:val="both"/>
        <w:rPr>
          <w:rFonts w:ascii="Times New Roman" w:eastAsia="Times New Roman" w:hAnsi="Times New Roman" w:cs="Times New Roman"/>
          <w:color w:val="auto"/>
          <w:sz w:val="28"/>
          <w:szCs w:val="28"/>
          <w:lang w:eastAsia="uk-UA"/>
        </w:rPr>
      </w:pPr>
      <w:r w:rsidRPr="00DA7C95">
        <w:rPr>
          <w:rFonts w:ascii="Times New Roman" w:hAnsi="Times New Roman" w:cs="Times New Roman"/>
          <w:color w:val="auto"/>
          <w:sz w:val="28"/>
          <w:szCs w:val="28"/>
          <w:lang w:eastAsia="uk-UA"/>
        </w:rPr>
        <w:t>3</w:t>
      </w:r>
      <w:r w:rsidR="0005221A">
        <w:rPr>
          <w:rFonts w:ascii="Times New Roman" w:hAnsi="Times New Roman" w:cs="Times New Roman"/>
          <w:color w:val="auto"/>
          <w:sz w:val="28"/>
          <w:szCs w:val="28"/>
          <w:lang w:eastAsia="uk-UA"/>
        </w:rPr>
        <w:t>7</w:t>
      </w:r>
      <w:r w:rsidRPr="00DA7C95">
        <w:rPr>
          <w:rFonts w:ascii="Times New Roman" w:hAnsi="Times New Roman" w:cs="Times New Roman"/>
          <w:color w:val="auto"/>
          <w:sz w:val="28"/>
          <w:szCs w:val="28"/>
          <w:lang w:eastAsia="uk-UA"/>
        </w:rPr>
        <w:t xml:space="preserve">. </w:t>
      </w:r>
      <w:r w:rsidRPr="00DA7C95">
        <w:rPr>
          <w:rFonts w:ascii="Times New Roman" w:eastAsia="Times New Roman" w:hAnsi="Times New Roman" w:cs="Times New Roman"/>
          <w:color w:val="auto"/>
          <w:sz w:val="28"/>
          <w:szCs w:val="28"/>
          <w:lang w:eastAsia="uk-UA"/>
        </w:rPr>
        <w:t xml:space="preserve">Банк </w:t>
      </w:r>
      <w:r w:rsidRPr="00DA7C95">
        <w:rPr>
          <w:rFonts w:ascii="Times New Roman" w:hAnsi="Times New Roman" w:cs="Times New Roman"/>
          <w:color w:val="auto"/>
          <w:sz w:val="28"/>
          <w:szCs w:val="28"/>
          <w:shd w:val="clear" w:color="auto" w:fill="FFFFFF"/>
        </w:rPr>
        <w:t xml:space="preserve">не рідше </w:t>
      </w:r>
      <w:r w:rsidRPr="00DA7C95">
        <w:rPr>
          <w:rFonts w:ascii="Times New Roman" w:eastAsia="Times New Roman" w:hAnsi="Times New Roman" w:cs="Times New Roman"/>
          <w:color w:val="auto"/>
          <w:sz w:val="28"/>
          <w:szCs w:val="28"/>
          <w:lang w:eastAsia="uk-UA"/>
        </w:rPr>
        <w:t>одного разу на місяць</w:t>
      </w:r>
      <w:r w:rsidRPr="00DA7C95">
        <w:rPr>
          <w:rFonts w:ascii="Times New Roman" w:hAnsi="Times New Roman" w:cs="Times New Roman"/>
          <w:color w:val="auto"/>
          <w:sz w:val="28"/>
          <w:szCs w:val="28"/>
          <w:shd w:val="clear" w:color="auto" w:fill="FFFFFF"/>
        </w:rPr>
        <w:t xml:space="preserve"> здійснює </w:t>
      </w:r>
      <w:r w:rsidRPr="00DA7C95">
        <w:rPr>
          <w:rFonts w:ascii="Times New Roman" w:eastAsia="Times New Roman" w:hAnsi="Times New Roman" w:cs="Times New Roman"/>
          <w:color w:val="auto"/>
          <w:sz w:val="28"/>
          <w:szCs w:val="28"/>
          <w:lang w:eastAsia="uk-UA"/>
        </w:rPr>
        <w:t xml:space="preserve">моніторинг </w:t>
      </w:r>
      <w:r w:rsidRPr="00DA7C95">
        <w:rPr>
          <w:rFonts w:ascii="Times New Roman" w:eastAsia="Times New Roman" w:hAnsi="Times New Roman" w:cs="Times New Roman"/>
          <w:color w:val="auto"/>
          <w:sz w:val="28"/>
          <w:szCs w:val="28"/>
          <w:lang w:eastAsia="ru-RU"/>
        </w:rPr>
        <w:t xml:space="preserve">достатності внутрішньої ліквідності </w:t>
      </w:r>
      <w:r w:rsidRPr="00DA7C95">
        <w:rPr>
          <w:rFonts w:ascii="Times New Roman" w:hAnsi="Times New Roman" w:cs="Times New Roman"/>
          <w:color w:val="auto"/>
          <w:sz w:val="28"/>
          <w:szCs w:val="28"/>
          <w:shd w:val="clear" w:color="auto" w:fill="FFFFFF"/>
        </w:rPr>
        <w:t>шляхом контролю</w:t>
      </w:r>
      <w:r w:rsidR="00F2121B">
        <w:rPr>
          <w:rFonts w:ascii="Times New Roman" w:hAnsi="Times New Roman" w:cs="Times New Roman"/>
          <w:color w:val="auto"/>
          <w:sz w:val="28"/>
          <w:szCs w:val="28"/>
          <w:shd w:val="clear" w:color="auto" w:fill="FFFFFF"/>
        </w:rPr>
        <w:t xml:space="preserve"> за</w:t>
      </w:r>
      <w:r w:rsidRPr="00DA7C95">
        <w:rPr>
          <w:rFonts w:ascii="Times New Roman" w:eastAsia="Times New Roman" w:hAnsi="Times New Roman" w:cs="Times New Roman"/>
          <w:color w:val="auto"/>
          <w:sz w:val="28"/>
          <w:szCs w:val="28"/>
          <w:lang w:eastAsia="uk-UA"/>
        </w:rPr>
        <w:t>:</w:t>
      </w:r>
    </w:p>
    <w:p w14:paraId="169D0F24" w14:textId="77777777" w:rsidR="00396DE0" w:rsidRPr="00DA7C95" w:rsidRDefault="00396DE0" w:rsidP="00D3042E">
      <w:pPr>
        <w:shd w:val="clear" w:color="auto" w:fill="FFFFFF" w:themeFill="background1"/>
        <w:ind w:firstLine="567"/>
      </w:pPr>
    </w:p>
    <w:p w14:paraId="07803A10" w14:textId="58CF7F90" w:rsidR="00396DE0" w:rsidRPr="00DA7C95" w:rsidRDefault="00396DE0" w:rsidP="00D3042E">
      <w:pPr>
        <w:pStyle w:val="a4"/>
        <w:numPr>
          <w:ilvl w:val="0"/>
          <w:numId w:val="16"/>
        </w:numPr>
        <w:shd w:val="clear" w:color="auto" w:fill="FFFFFF" w:themeFill="background1"/>
        <w:tabs>
          <w:tab w:val="left" w:pos="993"/>
          <w:tab w:val="left" w:pos="1134"/>
          <w:tab w:val="left" w:pos="1418"/>
        </w:tabs>
        <w:ind w:left="0" w:firstLine="567"/>
      </w:pPr>
      <w:r w:rsidRPr="00DA7C95">
        <w:rPr>
          <w:lang w:eastAsia="ru-RU"/>
        </w:rPr>
        <w:t>економічною перспективою</w:t>
      </w:r>
      <w:r w:rsidR="00336596" w:rsidRPr="00DA7C95">
        <w:rPr>
          <w:lang w:eastAsia="ru-RU"/>
        </w:rPr>
        <w:t xml:space="preserve"> </w:t>
      </w:r>
      <w:r w:rsidRPr="00DA7C95">
        <w:rPr>
          <w:shd w:val="clear" w:color="auto" w:fill="FFFFFF"/>
        </w:rPr>
        <w:t xml:space="preserve">достатності обсягу </w:t>
      </w:r>
      <w:r w:rsidRPr="00DA7C95">
        <w:t xml:space="preserve">необтяжених високоякісних ліквідних активів та обсягу </w:t>
      </w:r>
      <w:r w:rsidRPr="00DA7C95">
        <w:rPr>
          <w:shd w:val="clear" w:color="auto" w:fill="FFFFFF" w:themeFill="background1"/>
        </w:rPr>
        <w:t>стабільних джерел фінансування</w:t>
      </w:r>
      <w:r w:rsidRPr="00DA7C95">
        <w:t xml:space="preserve"> для покриття </w:t>
      </w:r>
      <w:r w:rsidRPr="00DA7C95">
        <w:rPr>
          <w:bCs/>
        </w:rPr>
        <w:t xml:space="preserve">всіх суттєвих ризиків, </w:t>
      </w:r>
      <w:r w:rsidR="00F2121B" w:rsidRPr="00DA7C95">
        <w:rPr>
          <w:bCs/>
        </w:rPr>
        <w:t>пов</w:t>
      </w:r>
      <w:r w:rsidR="00F2121B">
        <w:rPr>
          <w:bCs/>
        </w:rPr>
        <w:t>’</w:t>
      </w:r>
      <w:r w:rsidR="00F2121B" w:rsidRPr="00DA7C95">
        <w:rPr>
          <w:bCs/>
        </w:rPr>
        <w:t xml:space="preserve">язаних </w:t>
      </w:r>
      <w:r w:rsidR="00F2121B">
        <w:rPr>
          <w:bCs/>
        </w:rPr>
        <w:t>і</w:t>
      </w:r>
      <w:r w:rsidRPr="00DA7C95">
        <w:rPr>
          <w:bCs/>
        </w:rPr>
        <w:t>з ліквідністю</w:t>
      </w:r>
      <w:r w:rsidRPr="00DA7C95">
        <w:t xml:space="preserve">, </w:t>
      </w:r>
      <w:r w:rsidRPr="00DA7C95">
        <w:rPr>
          <w:shd w:val="clear" w:color="auto" w:fill="FFFFFF"/>
        </w:rPr>
        <w:t xml:space="preserve">очікуваних відпливів грошових коштів та </w:t>
      </w:r>
      <w:r w:rsidRPr="00DA7C95">
        <w:t>забезпечення достатнього фінансування;</w:t>
      </w:r>
    </w:p>
    <w:p w14:paraId="5D403750" w14:textId="77777777" w:rsidR="00396DE0" w:rsidRPr="00DA7C95" w:rsidRDefault="00396DE0" w:rsidP="00D3042E">
      <w:pPr>
        <w:shd w:val="clear" w:color="auto" w:fill="FFFFFF" w:themeFill="background1"/>
        <w:tabs>
          <w:tab w:val="left" w:pos="1276"/>
        </w:tabs>
        <w:ind w:firstLine="567"/>
      </w:pPr>
    </w:p>
    <w:p w14:paraId="0396E2CD" w14:textId="7E011AF2" w:rsidR="00396DE0" w:rsidRPr="00DA7C95" w:rsidRDefault="00396DE0" w:rsidP="00D3042E">
      <w:pPr>
        <w:pStyle w:val="a4"/>
        <w:numPr>
          <w:ilvl w:val="0"/>
          <w:numId w:val="16"/>
        </w:numPr>
        <w:shd w:val="clear" w:color="auto" w:fill="FFFFFF" w:themeFill="background1"/>
        <w:tabs>
          <w:tab w:val="left" w:pos="993"/>
          <w:tab w:val="left" w:pos="1134"/>
          <w:tab w:val="left" w:pos="1418"/>
        </w:tabs>
        <w:ind w:left="0" w:firstLine="567"/>
        <w:rPr>
          <w:lang w:eastAsia="ru-RU"/>
        </w:rPr>
      </w:pPr>
      <w:r w:rsidRPr="00DA7C95">
        <w:rPr>
          <w:lang w:eastAsia="ru-RU"/>
        </w:rPr>
        <w:t>нормативною перспективою:</w:t>
      </w:r>
    </w:p>
    <w:p w14:paraId="4E878F77" w14:textId="1F2221A3" w:rsidR="00396DE0" w:rsidRPr="00DA7C95" w:rsidRDefault="00396DE0" w:rsidP="00D3042E">
      <w:pPr>
        <w:shd w:val="clear" w:color="auto" w:fill="FFFFFF" w:themeFill="background1"/>
        <w:tabs>
          <w:tab w:val="left" w:pos="1276"/>
        </w:tabs>
        <w:ind w:firstLine="567"/>
      </w:pPr>
      <w:r w:rsidRPr="00DA7C95">
        <w:rPr>
          <w:shd w:val="clear" w:color="auto" w:fill="FFFFFF"/>
        </w:rPr>
        <w:t xml:space="preserve">дотримання значень </w:t>
      </w:r>
      <w:r w:rsidRPr="00DA7C95">
        <w:t xml:space="preserve">нормативів ліквідності, </w:t>
      </w:r>
      <w:r w:rsidR="00F2121B">
        <w:t>у</w:t>
      </w:r>
      <w:r w:rsidR="00F2121B" w:rsidRPr="00DA7C95">
        <w:t xml:space="preserve">становлених </w:t>
      </w:r>
      <w:r w:rsidRPr="00DA7C95">
        <w:t>банку Національним банком;</w:t>
      </w:r>
    </w:p>
    <w:p w14:paraId="41979C86" w14:textId="77777777" w:rsidR="00396DE0" w:rsidRPr="00DA7C95" w:rsidRDefault="00396DE0" w:rsidP="00D3042E">
      <w:pPr>
        <w:shd w:val="clear" w:color="auto" w:fill="FFFFFF" w:themeFill="background1"/>
        <w:tabs>
          <w:tab w:val="left" w:pos="1276"/>
        </w:tabs>
        <w:ind w:firstLine="567"/>
      </w:pPr>
      <w:r w:rsidRPr="00DA7C95">
        <w:rPr>
          <w:shd w:val="clear" w:color="auto" w:fill="FFFFFF"/>
        </w:rPr>
        <w:t>відповідності</w:t>
      </w:r>
      <w:r w:rsidRPr="00DA7C95">
        <w:t xml:space="preserve"> значень нормативів ліквідності на дату моніторингу цільовим значенням нормативів ліквідності, визначеним банком за базовим сценарієм на відповідний прогнозний період;</w:t>
      </w:r>
    </w:p>
    <w:p w14:paraId="705CA7C7" w14:textId="30396634" w:rsidR="00396DE0" w:rsidRPr="00DA7C95" w:rsidRDefault="00396DE0" w:rsidP="00D3042E">
      <w:pPr>
        <w:shd w:val="clear" w:color="auto" w:fill="FFFFFF" w:themeFill="background1"/>
        <w:tabs>
          <w:tab w:val="left" w:pos="0"/>
          <w:tab w:val="left" w:pos="993"/>
          <w:tab w:val="left" w:pos="1134"/>
        </w:tabs>
        <w:ind w:firstLine="567"/>
      </w:pPr>
      <w:r w:rsidRPr="00DA7C95">
        <w:rPr>
          <w:iCs/>
        </w:rPr>
        <w:t>змін у внутрішніх та зовнішніх факторах (</w:t>
      </w:r>
      <w:r w:rsidR="00F2121B">
        <w:rPr>
          <w:iCs/>
        </w:rPr>
        <w:t>в</w:t>
      </w:r>
      <w:r w:rsidR="00F2121B" w:rsidRPr="00DA7C95">
        <w:rPr>
          <w:iCs/>
        </w:rPr>
        <w:t xml:space="preserve">ключаючи </w:t>
      </w:r>
      <w:r w:rsidRPr="00DA7C95">
        <w:rPr>
          <w:iCs/>
        </w:rPr>
        <w:t>макроекономічні зміни), які використовувалися</w:t>
      </w:r>
      <w:r w:rsidRPr="00DA7C95">
        <w:t xml:space="preserve"> банком п</w:t>
      </w:r>
      <w:r w:rsidRPr="00DA7C95">
        <w:rPr>
          <w:shd w:val="clear" w:color="auto" w:fill="FFFFFF"/>
        </w:rPr>
        <w:t xml:space="preserve">ід час розроблення </w:t>
      </w:r>
      <w:r w:rsidRPr="00DA7C95">
        <w:t xml:space="preserve">несприятливого сценарію та </w:t>
      </w:r>
      <w:r w:rsidRPr="00DA7C95">
        <w:rPr>
          <w:iCs/>
        </w:rPr>
        <w:t>можуть призвести до втрати ліквідності;</w:t>
      </w:r>
    </w:p>
    <w:p w14:paraId="2D9D7B19" w14:textId="77777777" w:rsidR="00396DE0" w:rsidRPr="00DA7C95" w:rsidRDefault="00396DE0" w:rsidP="00D3042E">
      <w:pPr>
        <w:shd w:val="clear" w:color="auto" w:fill="FFFFFF" w:themeFill="background1"/>
        <w:tabs>
          <w:tab w:val="left" w:pos="1134"/>
        </w:tabs>
        <w:ind w:firstLine="567"/>
      </w:pPr>
      <w:r w:rsidRPr="00DA7C95">
        <w:t>виконання плану підтримання достатності ліквідності на відповідний місяць першого прогнозного року.</w:t>
      </w:r>
    </w:p>
    <w:p w14:paraId="0D884706" w14:textId="77777777" w:rsidR="00396DE0" w:rsidRPr="00DA7C95" w:rsidRDefault="00396DE0" w:rsidP="00D3042E">
      <w:pPr>
        <w:shd w:val="clear" w:color="auto" w:fill="FFFFFF" w:themeFill="background1"/>
        <w:tabs>
          <w:tab w:val="left" w:pos="1134"/>
        </w:tabs>
        <w:ind w:left="709" w:firstLine="567"/>
      </w:pPr>
    </w:p>
    <w:p w14:paraId="40197BF5" w14:textId="631E3950" w:rsidR="00396DE0" w:rsidRPr="00DA7C95" w:rsidRDefault="00396DE0" w:rsidP="00D3042E">
      <w:pPr>
        <w:pStyle w:val="Default"/>
        <w:shd w:val="clear" w:color="auto" w:fill="FFFFFF" w:themeFill="background1"/>
        <w:ind w:firstLine="567"/>
        <w:jc w:val="both"/>
        <w:rPr>
          <w:rFonts w:ascii="Times New Roman" w:eastAsia="Times New Roman" w:hAnsi="Times New Roman" w:cs="Times New Roman"/>
          <w:color w:val="auto"/>
          <w:sz w:val="28"/>
          <w:szCs w:val="28"/>
        </w:rPr>
      </w:pPr>
      <w:r w:rsidRPr="00DA7C95">
        <w:rPr>
          <w:rFonts w:ascii="Times New Roman" w:eastAsia="Times New Roman" w:hAnsi="Times New Roman" w:cs="Times New Roman"/>
          <w:color w:val="auto"/>
          <w:sz w:val="28"/>
          <w:szCs w:val="28"/>
          <w:lang w:eastAsia="uk-UA"/>
        </w:rPr>
        <w:t>3</w:t>
      </w:r>
      <w:r w:rsidR="0005221A">
        <w:rPr>
          <w:rFonts w:ascii="Times New Roman" w:eastAsia="Times New Roman" w:hAnsi="Times New Roman" w:cs="Times New Roman"/>
          <w:color w:val="auto"/>
          <w:sz w:val="28"/>
          <w:szCs w:val="28"/>
          <w:lang w:eastAsia="uk-UA"/>
        </w:rPr>
        <w:t>8</w:t>
      </w:r>
      <w:r w:rsidRPr="00DA7C95">
        <w:rPr>
          <w:rFonts w:ascii="Times New Roman" w:eastAsia="Times New Roman" w:hAnsi="Times New Roman" w:cs="Times New Roman"/>
          <w:color w:val="auto"/>
          <w:sz w:val="28"/>
          <w:szCs w:val="28"/>
          <w:lang w:eastAsia="uk-UA"/>
        </w:rPr>
        <w:t>. Банк забезпечує</w:t>
      </w:r>
      <w:r w:rsidRPr="00DA7C95">
        <w:rPr>
          <w:rFonts w:ascii="Times New Roman" w:hAnsi="Times New Roman" w:cs="Times New Roman"/>
          <w:color w:val="auto"/>
          <w:sz w:val="28"/>
          <w:szCs w:val="28"/>
        </w:rPr>
        <w:t xml:space="preserve"> складання управлінської звітності</w:t>
      </w:r>
      <w:r w:rsidRPr="00DA7C95">
        <w:rPr>
          <w:rFonts w:ascii="Times New Roman" w:eastAsia="Times New Roman" w:hAnsi="Times New Roman" w:cs="Times New Roman"/>
          <w:color w:val="auto"/>
          <w:sz w:val="28"/>
          <w:szCs w:val="28"/>
          <w:lang w:eastAsia="uk-UA"/>
        </w:rPr>
        <w:t xml:space="preserve"> про результати моніторингу </w:t>
      </w:r>
      <w:r w:rsidRPr="00DA7C95">
        <w:rPr>
          <w:rFonts w:ascii="Times New Roman" w:eastAsia="Times New Roman" w:hAnsi="Times New Roman" w:cs="Times New Roman"/>
          <w:color w:val="auto"/>
          <w:sz w:val="28"/>
          <w:szCs w:val="28"/>
        </w:rPr>
        <w:t>достатності внутрішньої ліквідності, яка:</w:t>
      </w:r>
    </w:p>
    <w:p w14:paraId="2CB54A7C" w14:textId="77777777" w:rsidR="00396DE0" w:rsidRPr="00DA7C95" w:rsidRDefault="00396DE0" w:rsidP="00D3042E">
      <w:pPr>
        <w:pStyle w:val="Default"/>
        <w:shd w:val="clear" w:color="auto" w:fill="FFFFFF" w:themeFill="background1"/>
        <w:ind w:firstLine="567"/>
        <w:jc w:val="both"/>
        <w:rPr>
          <w:rFonts w:ascii="Times New Roman" w:eastAsia="Times New Roman" w:hAnsi="Times New Roman" w:cs="Times New Roman"/>
          <w:color w:val="auto"/>
          <w:sz w:val="28"/>
          <w:szCs w:val="28"/>
        </w:rPr>
      </w:pPr>
    </w:p>
    <w:p w14:paraId="41F740C7" w14:textId="77777777" w:rsidR="00396DE0" w:rsidRPr="00DA7C95" w:rsidRDefault="00396DE0" w:rsidP="00D3042E">
      <w:pPr>
        <w:pStyle w:val="Default"/>
        <w:shd w:val="clear" w:color="auto" w:fill="FFFFFF" w:themeFill="background1"/>
        <w:ind w:firstLine="567"/>
        <w:jc w:val="both"/>
        <w:rPr>
          <w:rFonts w:ascii="Times New Roman" w:hAnsi="Times New Roman" w:cs="Times New Roman"/>
          <w:color w:val="auto"/>
          <w:sz w:val="28"/>
          <w:szCs w:val="28"/>
        </w:rPr>
      </w:pPr>
      <w:r w:rsidRPr="00DA7C95">
        <w:rPr>
          <w:rFonts w:ascii="Times New Roman" w:eastAsia="Times New Roman" w:hAnsi="Times New Roman" w:cs="Times New Roman"/>
          <w:color w:val="auto"/>
          <w:sz w:val="28"/>
          <w:szCs w:val="28"/>
        </w:rPr>
        <w:t xml:space="preserve">1) має містити інформацію про достатність внутрішньої ліквідності на дату моніторингу, динаміку змін показників щодо достатності ліквідності протягом поточного року, </w:t>
      </w:r>
      <w:r w:rsidRPr="00DA7C95">
        <w:rPr>
          <w:rFonts w:ascii="Times New Roman" w:hAnsi="Times New Roman" w:cs="Times New Roman"/>
          <w:color w:val="auto"/>
          <w:sz w:val="28"/>
          <w:szCs w:val="28"/>
        </w:rPr>
        <w:t>обґрунтовані пропозиції щодо здійснення відповідних коригуючих заходів (за потреби);</w:t>
      </w:r>
    </w:p>
    <w:p w14:paraId="457CE1F1" w14:textId="77777777" w:rsidR="00396DE0" w:rsidRPr="00DA7C95" w:rsidRDefault="00396DE0" w:rsidP="00D3042E">
      <w:pPr>
        <w:pStyle w:val="Default"/>
        <w:shd w:val="clear" w:color="auto" w:fill="FFFFFF" w:themeFill="background1"/>
        <w:ind w:firstLine="567"/>
        <w:jc w:val="both"/>
        <w:rPr>
          <w:rFonts w:ascii="Times New Roman" w:eastAsia="Times New Roman" w:hAnsi="Times New Roman" w:cs="Times New Roman"/>
          <w:color w:val="auto"/>
          <w:sz w:val="28"/>
          <w:szCs w:val="28"/>
          <w:lang w:eastAsia="uk-UA"/>
        </w:rPr>
      </w:pPr>
    </w:p>
    <w:p w14:paraId="62F4B79C" w14:textId="0E590470" w:rsidR="00396DE0" w:rsidRPr="00DA7C95" w:rsidRDefault="00396DE0" w:rsidP="00D3042E">
      <w:pPr>
        <w:pStyle w:val="Default"/>
        <w:shd w:val="clear" w:color="auto" w:fill="FFFFFF" w:themeFill="background1"/>
        <w:ind w:firstLine="567"/>
        <w:jc w:val="both"/>
        <w:rPr>
          <w:rFonts w:ascii="Times New Roman" w:hAnsi="Times New Roman" w:cs="Times New Roman"/>
          <w:color w:val="auto"/>
          <w:sz w:val="28"/>
          <w:szCs w:val="28"/>
        </w:rPr>
      </w:pPr>
      <w:r w:rsidRPr="00DA7C95">
        <w:rPr>
          <w:rFonts w:ascii="Times New Roman" w:eastAsia="Times New Roman" w:hAnsi="Times New Roman" w:cs="Times New Roman"/>
          <w:color w:val="auto"/>
          <w:sz w:val="28"/>
          <w:szCs w:val="28"/>
          <w:lang w:eastAsia="uk-UA"/>
        </w:rPr>
        <w:t xml:space="preserve">2) </w:t>
      </w:r>
      <w:r w:rsidRPr="00DA7C95">
        <w:rPr>
          <w:rFonts w:ascii="Times New Roman" w:hAnsi="Times New Roman" w:cs="Times New Roman"/>
          <w:color w:val="auto"/>
          <w:sz w:val="28"/>
          <w:szCs w:val="28"/>
        </w:rPr>
        <w:t xml:space="preserve">подається </w:t>
      </w:r>
      <w:r w:rsidRPr="00F318F5">
        <w:rPr>
          <w:rFonts w:ascii="Times New Roman" w:hAnsi="Times New Roman" w:cs="Times New Roman"/>
          <w:color w:val="auto"/>
          <w:sz w:val="28"/>
          <w:szCs w:val="28"/>
        </w:rPr>
        <w:t>раді</w:t>
      </w:r>
      <w:r w:rsidR="002A59A3">
        <w:rPr>
          <w:rFonts w:ascii="Times New Roman" w:hAnsi="Times New Roman" w:cs="Times New Roman"/>
          <w:color w:val="auto"/>
          <w:sz w:val="28"/>
          <w:szCs w:val="28"/>
        </w:rPr>
        <w:t xml:space="preserve"> та </w:t>
      </w:r>
      <w:r w:rsidRPr="00F318F5">
        <w:rPr>
          <w:rFonts w:ascii="Times New Roman" w:hAnsi="Times New Roman" w:cs="Times New Roman"/>
          <w:color w:val="auto"/>
          <w:sz w:val="28"/>
          <w:szCs w:val="28"/>
        </w:rPr>
        <w:t>правлінню</w:t>
      </w:r>
      <w:r w:rsidRPr="00DA7C95">
        <w:rPr>
          <w:rFonts w:ascii="Times New Roman" w:hAnsi="Times New Roman" w:cs="Times New Roman"/>
          <w:color w:val="auto"/>
          <w:sz w:val="28"/>
          <w:szCs w:val="28"/>
        </w:rPr>
        <w:t xml:space="preserve"> </w:t>
      </w:r>
      <w:r w:rsidRPr="00DA7C95">
        <w:rPr>
          <w:rFonts w:ascii="Times New Roman" w:eastAsia="Times New Roman" w:hAnsi="Times New Roman" w:cs="Times New Roman"/>
          <w:color w:val="auto"/>
          <w:sz w:val="28"/>
          <w:szCs w:val="28"/>
          <w:lang w:eastAsia="uk-UA"/>
        </w:rPr>
        <w:t>банку</w:t>
      </w:r>
      <w:r w:rsidR="00F2121B">
        <w:rPr>
          <w:rFonts w:ascii="Times New Roman" w:eastAsia="Times New Roman" w:hAnsi="Times New Roman" w:cs="Times New Roman"/>
          <w:color w:val="auto"/>
          <w:sz w:val="28"/>
          <w:szCs w:val="28"/>
          <w:lang w:eastAsia="uk-UA"/>
        </w:rPr>
        <w:t> </w:t>
      </w:r>
      <w:r w:rsidRPr="00DA7C95">
        <w:rPr>
          <w:rFonts w:ascii="Times New Roman" w:hAnsi="Times New Roman" w:cs="Times New Roman"/>
          <w:color w:val="auto"/>
          <w:sz w:val="28"/>
          <w:szCs w:val="28"/>
        </w:rPr>
        <w:t>/</w:t>
      </w:r>
      <w:r w:rsidR="00F2121B">
        <w:rPr>
          <w:rFonts w:ascii="Times New Roman" w:hAnsi="Times New Roman" w:cs="Times New Roman"/>
          <w:color w:val="auto"/>
          <w:sz w:val="28"/>
          <w:szCs w:val="28"/>
        </w:rPr>
        <w:t> </w:t>
      </w:r>
      <w:r w:rsidRPr="00DA7C95">
        <w:rPr>
          <w:rFonts w:ascii="Times New Roman" w:hAnsi="Times New Roman" w:cs="Times New Roman"/>
          <w:color w:val="auto"/>
          <w:sz w:val="28"/>
          <w:szCs w:val="28"/>
        </w:rPr>
        <w:t>відповідальн</w:t>
      </w:r>
      <w:r w:rsidR="00F318F5">
        <w:rPr>
          <w:rFonts w:ascii="Times New Roman" w:hAnsi="Times New Roman" w:cs="Times New Roman"/>
          <w:color w:val="auto"/>
          <w:sz w:val="28"/>
          <w:szCs w:val="28"/>
        </w:rPr>
        <w:t>ій</w:t>
      </w:r>
      <w:r w:rsidRPr="00DA7C95">
        <w:rPr>
          <w:rFonts w:ascii="Times New Roman" w:hAnsi="Times New Roman" w:cs="Times New Roman"/>
          <w:color w:val="auto"/>
          <w:sz w:val="28"/>
          <w:szCs w:val="28"/>
        </w:rPr>
        <w:t xml:space="preserve"> особи банківської групи</w:t>
      </w:r>
      <w:r w:rsidRPr="00DA7C95">
        <w:rPr>
          <w:rFonts w:ascii="Times New Roman" w:eastAsia="Times New Roman" w:hAnsi="Times New Roman" w:cs="Times New Roman"/>
          <w:color w:val="auto"/>
          <w:sz w:val="28"/>
          <w:szCs w:val="28"/>
          <w:lang w:eastAsia="uk-UA"/>
        </w:rPr>
        <w:t xml:space="preserve"> не рідше одного разу </w:t>
      </w:r>
      <w:r w:rsidRPr="00DA7C95">
        <w:rPr>
          <w:rFonts w:ascii="Times New Roman" w:eastAsia="Times New Roman" w:hAnsi="Times New Roman" w:cs="Times New Roman"/>
          <w:color w:val="auto"/>
          <w:sz w:val="28"/>
          <w:szCs w:val="28"/>
          <w:shd w:val="clear" w:color="auto" w:fill="FFFFFF"/>
          <w:lang w:eastAsia="uk-UA"/>
        </w:rPr>
        <w:t>на квартал,</w:t>
      </w:r>
      <w:r w:rsidRPr="00DA7C95">
        <w:rPr>
          <w:rFonts w:ascii="Times New Roman" w:eastAsia="Times New Roman" w:hAnsi="Times New Roman" w:cs="Times New Roman"/>
          <w:color w:val="auto"/>
          <w:sz w:val="28"/>
          <w:szCs w:val="28"/>
          <w:lang w:eastAsia="uk-UA"/>
        </w:rPr>
        <w:t xml:space="preserve"> а в разі виявлення фактів невиконання плану </w:t>
      </w:r>
      <w:r w:rsidRPr="00DA7C95">
        <w:rPr>
          <w:rFonts w:ascii="Times New Roman" w:hAnsi="Times New Roman" w:cs="Times New Roman"/>
          <w:color w:val="auto"/>
          <w:sz w:val="28"/>
          <w:szCs w:val="28"/>
        </w:rPr>
        <w:t>підтримання достатності ліквідності</w:t>
      </w:r>
      <w:r w:rsidRPr="00DA7C95">
        <w:rPr>
          <w:rFonts w:ascii="Times New Roman" w:eastAsia="Times New Roman" w:hAnsi="Times New Roman" w:cs="Times New Roman"/>
          <w:color w:val="auto"/>
          <w:sz w:val="28"/>
          <w:szCs w:val="28"/>
          <w:lang w:eastAsia="uk-UA"/>
        </w:rPr>
        <w:t xml:space="preserve"> або</w:t>
      </w:r>
      <w:r w:rsidRPr="00DA7C95">
        <w:rPr>
          <w:rFonts w:ascii="Times New Roman" w:hAnsi="Times New Roman" w:cs="Times New Roman"/>
          <w:color w:val="auto"/>
          <w:sz w:val="28"/>
          <w:szCs w:val="28"/>
        </w:rPr>
        <w:t xml:space="preserve"> фактів, що можуть свідчити про ризик його невиконання, не пізніше наступного робочого дня.</w:t>
      </w:r>
    </w:p>
    <w:p w14:paraId="6134CC70" w14:textId="77777777" w:rsidR="00396DE0" w:rsidRPr="00DA7C95" w:rsidRDefault="00396DE0" w:rsidP="00396DE0">
      <w:pPr>
        <w:pStyle w:val="a4"/>
        <w:shd w:val="clear" w:color="auto" w:fill="FFFFFF" w:themeFill="background1"/>
        <w:tabs>
          <w:tab w:val="left" w:pos="426"/>
          <w:tab w:val="left" w:pos="1276"/>
          <w:tab w:val="left" w:pos="1418"/>
        </w:tabs>
        <w:ind w:left="0"/>
      </w:pPr>
    </w:p>
    <w:p w14:paraId="4193CCB0" w14:textId="77777777" w:rsidR="00396DE0" w:rsidRPr="00DA7C95" w:rsidRDefault="00396DE0" w:rsidP="00396DE0">
      <w:pPr>
        <w:shd w:val="clear" w:color="auto" w:fill="FFFFFF" w:themeFill="background1"/>
        <w:jc w:val="center"/>
      </w:pPr>
      <w:r w:rsidRPr="00DA7C95">
        <w:t>9. Самооцінка банком процесу ILAAP</w:t>
      </w:r>
    </w:p>
    <w:p w14:paraId="5E205A45" w14:textId="77777777" w:rsidR="00396DE0" w:rsidRPr="00DA7C95" w:rsidRDefault="00396DE0" w:rsidP="00396DE0">
      <w:pPr>
        <w:shd w:val="clear" w:color="auto" w:fill="FFFFFF" w:themeFill="background1"/>
      </w:pPr>
    </w:p>
    <w:p w14:paraId="1A33FD35" w14:textId="32ECA506" w:rsidR="00396DE0" w:rsidRPr="00DA7C95" w:rsidRDefault="00396DE0" w:rsidP="00D3042E">
      <w:pPr>
        <w:pStyle w:val="a4"/>
        <w:shd w:val="clear" w:color="auto" w:fill="FFFFFF" w:themeFill="background1"/>
        <w:ind w:left="0" w:firstLine="567"/>
      </w:pPr>
      <w:r w:rsidRPr="00F67DC1">
        <w:t>3</w:t>
      </w:r>
      <w:r w:rsidR="0005221A" w:rsidRPr="00F67DC1">
        <w:t>9</w:t>
      </w:r>
      <w:r w:rsidRPr="00DA7C95">
        <w:t xml:space="preserve">. Самооцінка банком процесу ILAAP </w:t>
      </w:r>
      <w:r w:rsidR="00D3042E">
        <w:t>–</w:t>
      </w:r>
      <w:r w:rsidRPr="00DA7C95">
        <w:t xml:space="preserve"> </w:t>
      </w:r>
      <w:r w:rsidR="00D3042E" w:rsidRPr="00DA7C95">
        <w:t>внутрішні</w:t>
      </w:r>
      <w:r w:rsidR="00D3042E">
        <w:t>й</w:t>
      </w:r>
      <w:r w:rsidR="00D3042E" w:rsidRPr="00DA7C95">
        <w:t xml:space="preserve"> </w:t>
      </w:r>
      <w:r w:rsidRPr="00DA7C95">
        <w:t>перегляд процедур</w:t>
      </w:r>
      <w:r w:rsidR="00F2121B" w:rsidRPr="00494D97">
        <w:t xml:space="preserve"> </w:t>
      </w:r>
      <w:r w:rsidRPr="00DA7C95">
        <w:t>/</w:t>
      </w:r>
      <w:r w:rsidR="00F2121B">
        <w:rPr>
          <w:lang w:val="en-US"/>
        </w:rPr>
        <w:t> </w:t>
      </w:r>
      <w:r w:rsidRPr="00DA7C95">
        <w:t>процесів, підходів, методології, моделей</w:t>
      </w:r>
      <w:r w:rsidR="00F2121B">
        <w:rPr>
          <w:lang w:val="en-US"/>
        </w:rPr>
        <w:t> </w:t>
      </w:r>
      <w:r w:rsidRPr="00DA7C95">
        <w:t>/</w:t>
      </w:r>
      <w:r w:rsidR="00F2121B">
        <w:rPr>
          <w:lang w:val="en-US"/>
        </w:rPr>
        <w:t> </w:t>
      </w:r>
      <w:r w:rsidRPr="00DA7C95">
        <w:t xml:space="preserve">методів, які застосовуються під час </w:t>
      </w:r>
      <w:r w:rsidRPr="00DA7C95">
        <w:lastRenderedPageBreak/>
        <w:t>процесу ILAAP, а також достовірності та повноти даних</w:t>
      </w:r>
      <w:r w:rsidR="00D3042E">
        <w:t>,</w:t>
      </w:r>
      <w:r w:rsidRPr="00DA7C95">
        <w:t xml:space="preserve"> на яких ґрунтується оцінка достатності внутрішньої ліквідності, з метою оцінки адекватності та ефективності процесу ILAAP. </w:t>
      </w:r>
    </w:p>
    <w:p w14:paraId="5785A28F" w14:textId="77777777" w:rsidR="00396DE0" w:rsidRPr="00DA7C95" w:rsidRDefault="00396DE0" w:rsidP="00D3042E">
      <w:pPr>
        <w:shd w:val="clear" w:color="auto" w:fill="FFFFFF" w:themeFill="background1"/>
        <w:ind w:firstLine="567"/>
      </w:pPr>
    </w:p>
    <w:p w14:paraId="3CBA2CA7" w14:textId="7FC78249" w:rsidR="00396DE0" w:rsidRPr="00DA7C95" w:rsidRDefault="0005221A" w:rsidP="00D3042E">
      <w:pPr>
        <w:shd w:val="clear" w:color="auto" w:fill="FFFFFF" w:themeFill="background1"/>
        <w:ind w:firstLine="567"/>
      </w:pPr>
      <w:r>
        <w:t>40</w:t>
      </w:r>
      <w:r w:rsidR="00396DE0" w:rsidRPr="00DA7C95">
        <w:t xml:space="preserve">. Банк забезпечує здійснення самооцінки процесу ILAAP не  </w:t>
      </w:r>
      <w:r w:rsidR="00D3042E">
        <w:t>мен</w:t>
      </w:r>
      <w:r w:rsidR="00D3042E" w:rsidRPr="00DA7C95">
        <w:t xml:space="preserve">ше </w:t>
      </w:r>
      <w:r w:rsidR="00396DE0" w:rsidRPr="00DA7C95">
        <w:rPr>
          <w:shd w:val="clear" w:color="auto" w:fill="FFFFFF"/>
        </w:rPr>
        <w:t>одного разу на рік</w:t>
      </w:r>
      <w:r w:rsidR="00396DE0" w:rsidRPr="00DA7C95">
        <w:t>.</w:t>
      </w:r>
    </w:p>
    <w:p w14:paraId="4D4FE14D" w14:textId="77777777" w:rsidR="00396DE0" w:rsidRPr="00DA7C95" w:rsidRDefault="00396DE0" w:rsidP="00D3042E">
      <w:pPr>
        <w:pStyle w:val="a4"/>
        <w:shd w:val="clear" w:color="auto" w:fill="FFFFFF" w:themeFill="background1"/>
        <w:ind w:left="709" w:firstLine="567"/>
      </w:pPr>
    </w:p>
    <w:p w14:paraId="0C8330A0" w14:textId="3C95E802" w:rsidR="00396DE0" w:rsidRPr="00DA7C95" w:rsidRDefault="0005221A" w:rsidP="00D3042E">
      <w:pPr>
        <w:shd w:val="clear" w:color="auto" w:fill="FFFFFF" w:themeFill="background1"/>
        <w:ind w:firstLine="567"/>
      </w:pPr>
      <w:r>
        <w:t>41</w:t>
      </w:r>
      <w:r w:rsidR="00396DE0" w:rsidRPr="00DA7C95">
        <w:t xml:space="preserve">. Банк здійснює самооцінку процесу ILAAP підрозділами трьох ліній захисту відповідно до їх функцій, обов’язків і повноважень, визначених у межах функціонування системи внутрішнього контролю згідно з вимогами </w:t>
      </w:r>
      <w:r w:rsidR="00396DE0" w:rsidRPr="00DA7C95">
        <w:rPr>
          <w:shd w:val="clear" w:color="auto" w:fill="FFFFFF"/>
        </w:rPr>
        <w:t xml:space="preserve">Положення про організацію системи внутрішнього контролю в банках України та банківських групах, </w:t>
      </w:r>
      <w:r w:rsidR="00396DE0" w:rsidRPr="00DA7C95">
        <w:t xml:space="preserve">затвердженого постановою Правління Національного банку </w:t>
      </w:r>
      <w:r w:rsidR="00035A88" w:rsidRPr="00FB76ED">
        <w:t xml:space="preserve">України </w:t>
      </w:r>
      <w:r w:rsidR="00396DE0" w:rsidRPr="00DA7C95">
        <w:t>від 02 липня 2019 року №</w:t>
      </w:r>
      <w:r w:rsidR="00396DE0" w:rsidRPr="00DA7C95">
        <w:rPr>
          <w:iCs/>
        </w:rPr>
        <w:t> 88</w:t>
      </w:r>
      <w:r w:rsidR="00396DE0" w:rsidRPr="00DA7C95">
        <w:t>.</w:t>
      </w:r>
    </w:p>
    <w:p w14:paraId="1FED21F3" w14:textId="77777777" w:rsidR="00396DE0" w:rsidRPr="00DA7C95" w:rsidRDefault="00396DE0" w:rsidP="00D3042E">
      <w:pPr>
        <w:pStyle w:val="a4"/>
        <w:shd w:val="clear" w:color="auto" w:fill="FFFFFF" w:themeFill="background1"/>
        <w:tabs>
          <w:tab w:val="left" w:pos="-142"/>
          <w:tab w:val="left" w:pos="0"/>
          <w:tab w:val="left" w:pos="1276"/>
          <w:tab w:val="left" w:pos="1418"/>
          <w:tab w:val="left" w:pos="1843"/>
        </w:tabs>
        <w:ind w:left="0" w:firstLine="567"/>
      </w:pPr>
      <w:r w:rsidRPr="00DA7C95">
        <w:t>Мінімальний перелік критеріїв самооцінки процесу ILAAP наведений у додатку 2 до цього Положення.</w:t>
      </w:r>
    </w:p>
    <w:p w14:paraId="673C271D" w14:textId="6259919F" w:rsidR="00396DE0" w:rsidRPr="00DA7C95" w:rsidRDefault="00396DE0" w:rsidP="00D3042E">
      <w:pPr>
        <w:pStyle w:val="a4"/>
        <w:shd w:val="clear" w:color="auto" w:fill="FFFFFF" w:themeFill="background1"/>
        <w:ind w:left="0" w:firstLine="567"/>
      </w:pPr>
      <w:r w:rsidRPr="00DA7C95">
        <w:t xml:space="preserve">Банк за результатами самооцінки процесу ILAAP здійснює відповідні коригуючі дії </w:t>
      </w:r>
      <w:r w:rsidRPr="00DA7C95">
        <w:rPr>
          <w:lang w:eastAsia="ru-RU"/>
        </w:rPr>
        <w:t xml:space="preserve">щодо усунення виявлених недоліків </w:t>
      </w:r>
      <w:r w:rsidR="00F67DC1">
        <w:rPr>
          <w:lang w:eastAsia="ru-RU"/>
        </w:rPr>
        <w:t>і</w:t>
      </w:r>
      <w:r w:rsidRPr="00DA7C95">
        <w:rPr>
          <w:lang w:eastAsia="ru-RU"/>
        </w:rPr>
        <w:t xml:space="preserve">з метою забезпечення </w:t>
      </w:r>
      <w:r w:rsidRPr="00DA7C95">
        <w:t xml:space="preserve">адекватності та </w:t>
      </w:r>
      <w:r w:rsidRPr="00DA7C95">
        <w:rPr>
          <w:lang w:eastAsia="ru-RU"/>
        </w:rPr>
        <w:t xml:space="preserve">ефективності </w:t>
      </w:r>
      <w:r w:rsidRPr="00DA7C95">
        <w:t>процесу ILAAP.</w:t>
      </w:r>
    </w:p>
    <w:p w14:paraId="09B57A73" w14:textId="77777777" w:rsidR="00396DE0" w:rsidRPr="00DA7C95" w:rsidRDefault="00396DE0" w:rsidP="00D3042E">
      <w:pPr>
        <w:pStyle w:val="a4"/>
        <w:shd w:val="clear" w:color="auto" w:fill="FFFFFF" w:themeFill="background1"/>
        <w:ind w:left="709" w:firstLine="567"/>
      </w:pPr>
    </w:p>
    <w:p w14:paraId="12274B5F" w14:textId="3B9584CC" w:rsidR="00396DE0" w:rsidRPr="00DA7C95" w:rsidRDefault="0005221A" w:rsidP="00D3042E">
      <w:pPr>
        <w:pStyle w:val="a4"/>
        <w:shd w:val="clear" w:color="auto" w:fill="FFFFFF" w:themeFill="background1"/>
        <w:ind w:left="0" w:firstLine="567"/>
      </w:pPr>
      <w:r>
        <w:t>42</w:t>
      </w:r>
      <w:r w:rsidR="00396DE0" w:rsidRPr="00DA7C95">
        <w:t>. За результатами самооцінки процесу ILAAP:</w:t>
      </w:r>
    </w:p>
    <w:p w14:paraId="08833AD4" w14:textId="77777777" w:rsidR="00396DE0" w:rsidRPr="00DA7C95" w:rsidRDefault="00396DE0" w:rsidP="00D3042E">
      <w:pPr>
        <w:pStyle w:val="a4"/>
        <w:shd w:val="clear" w:color="auto" w:fill="FFFFFF" w:themeFill="background1"/>
        <w:ind w:left="0" w:firstLine="567"/>
      </w:pPr>
    </w:p>
    <w:p w14:paraId="2D749D26" w14:textId="669364E5" w:rsidR="00396DE0" w:rsidRPr="00DA7C95" w:rsidRDefault="00396DE0" w:rsidP="00D3042E">
      <w:pPr>
        <w:pStyle w:val="a4"/>
        <w:shd w:val="clear" w:color="auto" w:fill="FFFFFF" w:themeFill="background1"/>
        <w:tabs>
          <w:tab w:val="left" w:pos="0"/>
          <w:tab w:val="left" w:pos="1276"/>
        </w:tabs>
        <w:ind w:left="0" w:firstLine="567"/>
      </w:pPr>
      <w:r w:rsidRPr="00DA7C95">
        <w:t>1) підрозділ контролю за дотриманням норм (</w:t>
      </w:r>
      <w:proofErr w:type="spellStart"/>
      <w:r w:rsidRPr="00DA7C95">
        <w:t>комплаєнс</w:t>
      </w:r>
      <w:proofErr w:type="spellEnd"/>
      <w:r w:rsidRPr="00DA7C95">
        <w:t>) готує та подає раді</w:t>
      </w:r>
      <w:r w:rsidR="002A59A3">
        <w:t xml:space="preserve"> та </w:t>
      </w:r>
      <w:r w:rsidRPr="00DA7C95">
        <w:t>правлінню банку</w:t>
      </w:r>
      <w:r w:rsidR="00F67DC1">
        <w:t> </w:t>
      </w:r>
      <w:r w:rsidRPr="00DA7C95">
        <w:t>/</w:t>
      </w:r>
      <w:r w:rsidR="00F67DC1">
        <w:rPr>
          <w:lang w:val="en-US"/>
        </w:rPr>
        <w:t> </w:t>
      </w:r>
      <w:r w:rsidRPr="00DA7C95">
        <w:t xml:space="preserve">відповідальної особи банківської групи висновки про відповідність процесу ІLААР вимогам цього Положення, які включаються до розділу V </w:t>
      </w:r>
      <w:r w:rsidR="009B5341" w:rsidRPr="00DA7C95">
        <w:t>“</w:t>
      </w:r>
      <w:r w:rsidRPr="00DA7C95">
        <w:t>Моніторинг достатності внутрішньої ліквідності та самооцінка процесу ILAAP” Звіту щодо процесу ILAAP згідно з підпунктом 4 пункту 6 додатк</w:t>
      </w:r>
      <w:r w:rsidR="00035A88">
        <w:t>а</w:t>
      </w:r>
      <w:r w:rsidRPr="00DA7C95">
        <w:t xml:space="preserve"> 3 до цього Положення;</w:t>
      </w:r>
    </w:p>
    <w:p w14:paraId="6DBD953E" w14:textId="77777777" w:rsidR="00396DE0" w:rsidRPr="00DA7C95" w:rsidRDefault="00396DE0" w:rsidP="00D3042E">
      <w:pPr>
        <w:pStyle w:val="a4"/>
        <w:shd w:val="clear" w:color="auto" w:fill="FFFFFF" w:themeFill="background1"/>
        <w:tabs>
          <w:tab w:val="left" w:pos="0"/>
          <w:tab w:val="left" w:pos="1276"/>
        </w:tabs>
        <w:ind w:left="0" w:firstLine="567"/>
      </w:pPr>
    </w:p>
    <w:p w14:paraId="1D134E95" w14:textId="79A93767" w:rsidR="00396DE0" w:rsidRPr="00DA7C95" w:rsidRDefault="00396DE0" w:rsidP="00D3042E">
      <w:pPr>
        <w:pStyle w:val="a4"/>
        <w:shd w:val="clear" w:color="auto" w:fill="FFFFFF" w:themeFill="background1"/>
        <w:tabs>
          <w:tab w:val="left" w:pos="0"/>
          <w:tab w:val="left" w:pos="1276"/>
        </w:tabs>
        <w:ind w:left="0" w:firstLine="567"/>
      </w:pPr>
      <w:r w:rsidRPr="00DA7C95">
        <w:rPr>
          <w:lang w:eastAsia="ru-RU"/>
        </w:rPr>
        <w:t xml:space="preserve">2) </w:t>
      </w:r>
      <w:r w:rsidRPr="00DA7C95">
        <w:t xml:space="preserve">підрозділ внутрішнього </w:t>
      </w:r>
      <w:r w:rsidRPr="00F318F5">
        <w:t>аудиту готує та подає раді</w:t>
      </w:r>
      <w:r w:rsidR="002A59A3" w:rsidRPr="002A59A3">
        <w:t xml:space="preserve"> та </w:t>
      </w:r>
      <w:r w:rsidRPr="00F318F5">
        <w:t>правлінню банку</w:t>
      </w:r>
      <w:r w:rsidR="00F4215A">
        <w:rPr>
          <w:lang w:val="en-US"/>
        </w:rPr>
        <w:t> </w:t>
      </w:r>
      <w:r w:rsidRPr="00F318F5">
        <w:t>/</w:t>
      </w:r>
      <w:r w:rsidRPr="00DA7C95">
        <w:t xml:space="preserve"> відповідальн</w:t>
      </w:r>
      <w:r w:rsidR="00F318F5">
        <w:t>ій</w:t>
      </w:r>
      <w:r w:rsidRPr="00DA7C95">
        <w:t xml:space="preserve"> особи банківської групи висновки про ефективність процесу ІLААР</w:t>
      </w:r>
      <w:r w:rsidRPr="00DA7C95">
        <w:rPr>
          <w:shd w:val="clear" w:color="auto" w:fill="FFFFFF"/>
        </w:rPr>
        <w:t>,</w:t>
      </w:r>
      <w:r w:rsidRPr="00DA7C95">
        <w:t xml:space="preserve"> які включаються до розділу V “Моніторинг достатності внутрішньої ліквідності та самооцінка процесу ILAAP” Звіту щодо процесу ILAAP згідно з підпунктом 5 пункту 6 додатк</w:t>
      </w:r>
      <w:r w:rsidR="00035A88">
        <w:t>а</w:t>
      </w:r>
      <w:r w:rsidRPr="00DA7C95">
        <w:t xml:space="preserve"> 3 до цього Положення.</w:t>
      </w:r>
      <w:bookmarkStart w:id="52" w:name="_Hlk56448243"/>
      <w:bookmarkEnd w:id="52"/>
    </w:p>
    <w:p w14:paraId="08BA62B4" w14:textId="65769AA7" w:rsidR="00396DE0" w:rsidRPr="00DA7C95" w:rsidRDefault="00396DE0" w:rsidP="00D3042E">
      <w:pPr>
        <w:pStyle w:val="a4"/>
        <w:shd w:val="clear" w:color="auto" w:fill="FFFFFF" w:themeFill="background1"/>
        <w:tabs>
          <w:tab w:val="left" w:pos="-142"/>
          <w:tab w:val="left" w:pos="0"/>
          <w:tab w:val="left" w:pos="1276"/>
          <w:tab w:val="left" w:pos="1418"/>
          <w:tab w:val="left" w:pos="1843"/>
        </w:tabs>
        <w:ind w:left="0" w:firstLine="567"/>
      </w:pPr>
      <w:r w:rsidRPr="00DA7C95">
        <w:t>Висновки цих підрозділів банку готуються не рідше ніж один раз на два роки або не рідше ніж один раз на рік (у разі настання подій</w:t>
      </w:r>
      <w:r w:rsidR="00F4215A" w:rsidRPr="00050160">
        <w:rPr>
          <w:lang w:val="ru-RU"/>
        </w:rPr>
        <w:t xml:space="preserve"> </w:t>
      </w:r>
      <w:r w:rsidRPr="00DA7C95">
        <w:t>/</w:t>
      </w:r>
      <w:r w:rsidR="00F4215A">
        <w:rPr>
          <w:lang w:val="en-US"/>
        </w:rPr>
        <w:t> </w:t>
      </w:r>
      <w:r w:rsidRPr="00DA7C95">
        <w:t>обставин, які призвели до суттєвих змін у діяльності банку, що вплинуло на процес ILAAP).</w:t>
      </w:r>
    </w:p>
    <w:p w14:paraId="71694C2F" w14:textId="77777777" w:rsidR="00396DE0" w:rsidRPr="00DA7C95" w:rsidRDefault="00396DE0" w:rsidP="00396DE0">
      <w:pPr>
        <w:pStyle w:val="a4"/>
        <w:shd w:val="clear" w:color="auto" w:fill="FFFFFF" w:themeFill="background1"/>
        <w:spacing w:before="120"/>
        <w:ind w:left="0"/>
      </w:pPr>
    </w:p>
    <w:p w14:paraId="6F9C9B23" w14:textId="77777777" w:rsidR="00396DE0" w:rsidRPr="00DA7C95" w:rsidRDefault="00396DE0" w:rsidP="00396DE0">
      <w:pPr>
        <w:shd w:val="clear" w:color="auto" w:fill="FFFFFF" w:themeFill="background1"/>
        <w:tabs>
          <w:tab w:val="left" w:pos="1276"/>
        </w:tabs>
        <w:jc w:val="center"/>
      </w:pPr>
      <w:r w:rsidRPr="00DA7C95">
        <w:t>ІV. Оцінка Національним банком процесу ILAAP банку</w:t>
      </w:r>
    </w:p>
    <w:p w14:paraId="65F8757D" w14:textId="77777777" w:rsidR="00396DE0" w:rsidRPr="00DA7C95" w:rsidRDefault="00396DE0" w:rsidP="00396DE0">
      <w:pPr>
        <w:shd w:val="clear" w:color="auto" w:fill="FFFFFF" w:themeFill="background1"/>
      </w:pPr>
    </w:p>
    <w:p w14:paraId="07C02C48" w14:textId="77777777" w:rsidR="00396DE0" w:rsidRPr="00DA7C95" w:rsidRDefault="00396DE0" w:rsidP="00396DE0">
      <w:pPr>
        <w:pStyle w:val="a4"/>
        <w:shd w:val="clear" w:color="auto" w:fill="FFFFFF" w:themeFill="background1"/>
        <w:tabs>
          <w:tab w:val="left" w:pos="709"/>
          <w:tab w:val="left" w:pos="1276"/>
          <w:tab w:val="left" w:pos="1418"/>
        </w:tabs>
        <w:ind w:left="0"/>
        <w:jc w:val="center"/>
      </w:pPr>
      <w:r w:rsidRPr="00DA7C95">
        <w:t>10. Загальні положення щодо оцінки</w:t>
      </w:r>
      <w:r w:rsidRPr="00DA7C95">
        <w:br/>
        <w:t>Національним банком процесу ILAAP банку</w:t>
      </w:r>
    </w:p>
    <w:p w14:paraId="726F80E6" w14:textId="77777777" w:rsidR="00396DE0" w:rsidRPr="00DA7C95" w:rsidRDefault="00396DE0" w:rsidP="00396DE0">
      <w:pPr>
        <w:widowControl w:val="0"/>
        <w:shd w:val="clear" w:color="auto" w:fill="FFFFFF" w:themeFill="background1"/>
        <w:tabs>
          <w:tab w:val="left" w:pos="5670"/>
        </w:tabs>
        <w:ind w:right="22"/>
      </w:pPr>
    </w:p>
    <w:p w14:paraId="3AB0E0FB" w14:textId="6D34E90A" w:rsidR="00396DE0" w:rsidRPr="00DA7C95" w:rsidRDefault="00FB76ED" w:rsidP="00D3042E">
      <w:pPr>
        <w:shd w:val="clear" w:color="auto" w:fill="FFFFFF" w:themeFill="background1"/>
        <w:tabs>
          <w:tab w:val="left" w:pos="851"/>
          <w:tab w:val="left" w:pos="993"/>
        </w:tabs>
        <w:ind w:firstLine="567"/>
      </w:pPr>
      <w:r>
        <w:lastRenderedPageBreak/>
        <w:t>4</w:t>
      </w:r>
      <w:r w:rsidR="0005221A">
        <w:t>3</w:t>
      </w:r>
      <w:r w:rsidR="00396DE0" w:rsidRPr="00DA7C95">
        <w:t xml:space="preserve">. Національний банк </w:t>
      </w:r>
      <w:r w:rsidR="00336596" w:rsidRPr="00DA7C95">
        <w:t xml:space="preserve">щорічно </w:t>
      </w:r>
      <w:r w:rsidR="00396DE0" w:rsidRPr="00DA7C95">
        <w:t>здійснює оцінку процесу ILAAP банку шляхом аналізу Звіту щодо процесу ILAAP, який складається та подається банком</w:t>
      </w:r>
      <w:r w:rsidR="00F67DC1">
        <w:rPr>
          <w:lang w:val="en-US"/>
        </w:rPr>
        <w:t> </w:t>
      </w:r>
      <w:r w:rsidR="00396DE0" w:rsidRPr="00DA7C95">
        <w:t>/</w:t>
      </w:r>
      <w:r w:rsidR="00F67DC1">
        <w:rPr>
          <w:lang w:val="en-US"/>
        </w:rPr>
        <w:t> </w:t>
      </w:r>
      <w:r w:rsidR="00396DE0" w:rsidRPr="00DA7C95">
        <w:t>відповідальною особою банківської групи до Національного банку згідно з вимогами глави 11 розділу IV цього Положення.</w:t>
      </w:r>
    </w:p>
    <w:p w14:paraId="2EB3C68A" w14:textId="77777777" w:rsidR="00396DE0" w:rsidRPr="00DA7C95" w:rsidRDefault="00396DE0" w:rsidP="00D3042E">
      <w:pPr>
        <w:shd w:val="clear" w:color="auto" w:fill="FFFFFF" w:themeFill="background1"/>
        <w:tabs>
          <w:tab w:val="left" w:pos="851"/>
          <w:tab w:val="left" w:pos="993"/>
        </w:tabs>
        <w:ind w:firstLine="567"/>
      </w:pPr>
    </w:p>
    <w:p w14:paraId="41D46F4E" w14:textId="01C9BC87" w:rsidR="00396DE0" w:rsidRPr="00DA7C95" w:rsidRDefault="00396DE0" w:rsidP="00D3042E">
      <w:pPr>
        <w:shd w:val="clear" w:color="auto" w:fill="FFFFFF" w:themeFill="background1"/>
        <w:tabs>
          <w:tab w:val="left" w:pos="1134"/>
        </w:tabs>
        <w:ind w:firstLine="567"/>
      </w:pPr>
      <w:r w:rsidRPr="00DA7C95">
        <w:t>4</w:t>
      </w:r>
      <w:r w:rsidR="0005221A">
        <w:t>4</w:t>
      </w:r>
      <w:r w:rsidRPr="00DA7C95">
        <w:t>. Національний банк за потреби вимагає від банку</w:t>
      </w:r>
      <w:r w:rsidR="00F4215A">
        <w:rPr>
          <w:lang w:val="en-US"/>
        </w:rPr>
        <w:t> </w:t>
      </w:r>
      <w:r w:rsidRPr="00DA7C95">
        <w:t>/ відповідальної особи банківської групи надання пояснень та додаткової інформації</w:t>
      </w:r>
      <w:bookmarkStart w:id="53" w:name="_Hlk56453317"/>
      <w:r w:rsidR="00F4215A">
        <w:rPr>
          <w:lang w:val="en-US"/>
        </w:rPr>
        <w:t> </w:t>
      </w:r>
      <w:r w:rsidRPr="00DA7C95">
        <w:t>/</w:t>
      </w:r>
      <w:r w:rsidR="00F4215A">
        <w:rPr>
          <w:lang w:val="en-US"/>
        </w:rPr>
        <w:t> </w:t>
      </w:r>
      <w:r w:rsidRPr="00DA7C95">
        <w:t xml:space="preserve">документів </w:t>
      </w:r>
      <w:bookmarkEnd w:id="53"/>
      <w:r w:rsidRPr="00DA7C95">
        <w:t>щодо процесу ILAAP.</w:t>
      </w:r>
    </w:p>
    <w:p w14:paraId="0DBECEA4" w14:textId="77777777" w:rsidR="00396DE0" w:rsidRPr="00DA7C95" w:rsidRDefault="00396DE0" w:rsidP="00D3042E">
      <w:pPr>
        <w:pStyle w:val="a4"/>
        <w:shd w:val="clear" w:color="auto" w:fill="FFFFFF" w:themeFill="background1"/>
        <w:tabs>
          <w:tab w:val="left" w:pos="426"/>
          <w:tab w:val="left" w:pos="1276"/>
          <w:tab w:val="left" w:pos="1418"/>
        </w:tabs>
        <w:ind w:left="0" w:firstLine="567"/>
      </w:pPr>
    </w:p>
    <w:p w14:paraId="6C0A321B" w14:textId="6491527F" w:rsidR="00396DE0" w:rsidRPr="00DA7C95" w:rsidRDefault="00396DE0" w:rsidP="00D3042E">
      <w:pPr>
        <w:shd w:val="clear" w:color="auto" w:fill="FFFFFF" w:themeFill="background1"/>
        <w:tabs>
          <w:tab w:val="left" w:pos="1134"/>
        </w:tabs>
        <w:ind w:firstLine="567"/>
      </w:pPr>
      <w:r w:rsidRPr="00DA7C95">
        <w:t>4</w:t>
      </w:r>
      <w:r w:rsidR="0005221A">
        <w:t>5</w:t>
      </w:r>
      <w:r w:rsidRPr="00DA7C95">
        <w:t>. Національний банк ураховує результати оцінки процесу ILAAP банку під  час оцінки SREP, а також визначення наглядових дій за банком.</w:t>
      </w:r>
    </w:p>
    <w:p w14:paraId="5E312F6A" w14:textId="77777777" w:rsidR="00396DE0" w:rsidRPr="00DA7C95" w:rsidRDefault="00396DE0" w:rsidP="00396DE0">
      <w:pPr>
        <w:pStyle w:val="1"/>
        <w:shd w:val="clear" w:color="auto" w:fill="FFFFFF" w:themeFill="background1"/>
        <w:spacing w:before="0"/>
        <w:jc w:val="center"/>
        <w:rPr>
          <w:rFonts w:ascii="Times New Roman" w:hAnsi="Times New Roman" w:cs="Times New Roman"/>
          <w:color w:val="auto"/>
          <w:sz w:val="28"/>
          <w:szCs w:val="28"/>
          <w:lang w:eastAsia="uk-UA"/>
        </w:rPr>
      </w:pPr>
    </w:p>
    <w:p w14:paraId="1FF4EE38" w14:textId="77777777" w:rsidR="00396DE0" w:rsidRPr="00DA7C95" w:rsidRDefault="00396DE0" w:rsidP="00396DE0">
      <w:pPr>
        <w:pStyle w:val="1"/>
        <w:shd w:val="clear" w:color="auto" w:fill="FFFFFF" w:themeFill="background1"/>
        <w:spacing w:before="0"/>
        <w:jc w:val="center"/>
        <w:rPr>
          <w:rFonts w:ascii="Times New Roman" w:hAnsi="Times New Roman" w:cs="Times New Roman"/>
          <w:color w:val="auto"/>
          <w:sz w:val="28"/>
          <w:szCs w:val="28"/>
          <w:lang w:eastAsia="uk-UA"/>
        </w:rPr>
      </w:pPr>
      <w:r w:rsidRPr="00DA7C95">
        <w:rPr>
          <w:rFonts w:ascii="Times New Roman" w:hAnsi="Times New Roman" w:cs="Times New Roman"/>
          <w:color w:val="auto"/>
          <w:sz w:val="28"/>
          <w:szCs w:val="28"/>
          <w:lang w:eastAsia="uk-UA"/>
        </w:rPr>
        <w:t xml:space="preserve">11. Вимоги щодо складання банком Звіту щодо процесу </w:t>
      </w:r>
      <w:r w:rsidRPr="00DA7C95">
        <w:rPr>
          <w:rFonts w:ascii="Times New Roman" w:eastAsia="Times New Roman" w:hAnsi="Times New Roman" w:cs="Times New Roman"/>
          <w:color w:val="auto"/>
          <w:sz w:val="28"/>
          <w:szCs w:val="28"/>
        </w:rPr>
        <w:t>ILAAP</w:t>
      </w:r>
      <w:r w:rsidRPr="00DA7C95">
        <w:rPr>
          <w:rFonts w:ascii="Times New Roman" w:eastAsia="Times New Roman" w:hAnsi="Times New Roman" w:cs="Times New Roman"/>
          <w:color w:val="auto"/>
          <w:sz w:val="28"/>
          <w:szCs w:val="28"/>
        </w:rPr>
        <w:br/>
      </w:r>
      <w:r w:rsidRPr="00DA7C95">
        <w:rPr>
          <w:rFonts w:ascii="Times New Roman" w:hAnsi="Times New Roman" w:cs="Times New Roman"/>
          <w:color w:val="auto"/>
          <w:sz w:val="28"/>
          <w:szCs w:val="28"/>
          <w:lang w:eastAsia="uk-UA"/>
        </w:rPr>
        <w:t>та подання його до Національного банку</w:t>
      </w:r>
      <w:bookmarkStart w:id="54" w:name="_Hlk71486252"/>
      <w:bookmarkEnd w:id="54"/>
    </w:p>
    <w:p w14:paraId="1263A5BA" w14:textId="77777777" w:rsidR="00396DE0" w:rsidRPr="00DA7C95" w:rsidRDefault="00396DE0" w:rsidP="00396DE0">
      <w:pPr>
        <w:shd w:val="clear" w:color="auto" w:fill="FFFFFF" w:themeFill="background1"/>
      </w:pPr>
    </w:p>
    <w:p w14:paraId="13D979B5" w14:textId="6AF622EC" w:rsidR="00396DE0" w:rsidRPr="00DA7C95" w:rsidRDefault="00396DE0" w:rsidP="00D3042E">
      <w:pPr>
        <w:shd w:val="clear" w:color="auto" w:fill="FFFFFF" w:themeFill="background1"/>
        <w:tabs>
          <w:tab w:val="left" w:pos="426"/>
          <w:tab w:val="left" w:pos="1276"/>
          <w:tab w:val="left" w:pos="1418"/>
        </w:tabs>
        <w:ind w:firstLine="567"/>
      </w:pPr>
      <w:r w:rsidRPr="00DA7C95">
        <w:t>4</w:t>
      </w:r>
      <w:r w:rsidR="0005221A">
        <w:t>6</w:t>
      </w:r>
      <w:r w:rsidRPr="00DA7C95">
        <w:t>.</w:t>
      </w:r>
      <w:r w:rsidR="00AF376E">
        <w:t> </w:t>
      </w:r>
      <w:r w:rsidRPr="00DA7C95">
        <w:t>Звіт щодо процесу ILAAP:</w:t>
      </w:r>
    </w:p>
    <w:p w14:paraId="191EE3E2" w14:textId="77777777" w:rsidR="00396DE0" w:rsidRPr="00DA7C95" w:rsidRDefault="00396DE0" w:rsidP="00D3042E">
      <w:pPr>
        <w:shd w:val="clear" w:color="auto" w:fill="FFFFFF" w:themeFill="background1"/>
        <w:tabs>
          <w:tab w:val="left" w:pos="426"/>
          <w:tab w:val="left" w:pos="1276"/>
          <w:tab w:val="left" w:pos="1418"/>
        </w:tabs>
        <w:ind w:firstLine="567"/>
      </w:pPr>
    </w:p>
    <w:p w14:paraId="51190162" w14:textId="77777777" w:rsidR="00396DE0" w:rsidRPr="00DA7C95" w:rsidRDefault="00396DE0" w:rsidP="00D3042E">
      <w:pPr>
        <w:shd w:val="clear" w:color="auto" w:fill="FFFFFF" w:themeFill="background1"/>
        <w:tabs>
          <w:tab w:val="left" w:pos="426"/>
          <w:tab w:val="left" w:pos="1276"/>
          <w:tab w:val="left" w:pos="1418"/>
        </w:tabs>
        <w:ind w:firstLine="567"/>
      </w:pPr>
      <w:r w:rsidRPr="00DA7C95">
        <w:t xml:space="preserve">1) складається </w:t>
      </w:r>
      <w:r w:rsidRPr="00DA7C95">
        <w:rPr>
          <w:shd w:val="clear" w:color="auto" w:fill="FFFFFF"/>
        </w:rPr>
        <w:t xml:space="preserve">станом на </w:t>
      </w:r>
      <w:r w:rsidRPr="00DA7C95">
        <w:t>01 січня року, наступного за звітним:</w:t>
      </w:r>
    </w:p>
    <w:p w14:paraId="4756F3DA" w14:textId="28816EEA" w:rsidR="00396DE0" w:rsidRPr="00DA7C95" w:rsidRDefault="00396DE0" w:rsidP="00D3042E">
      <w:pPr>
        <w:shd w:val="clear" w:color="auto" w:fill="FFFFFF" w:themeFill="background1"/>
        <w:tabs>
          <w:tab w:val="left" w:pos="426"/>
          <w:tab w:val="left" w:pos="1276"/>
          <w:tab w:val="left" w:pos="1418"/>
        </w:tabs>
        <w:ind w:firstLine="567"/>
      </w:pPr>
      <w:r w:rsidRPr="00DA7C95">
        <w:t>банками Украї</w:t>
      </w:r>
      <w:r w:rsidR="00FB3C2A">
        <w:t>ни – на індивідуальній основі;</w:t>
      </w:r>
    </w:p>
    <w:p w14:paraId="6DD5D792" w14:textId="77777777" w:rsidR="00396DE0" w:rsidRPr="00DA7C95" w:rsidRDefault="00396DE0" w:rsidP="00D3042E">
      <w:pPr>
        <w:shd w:val="clear" w:color="auto" w:fill="FFFFFF" w:themeFill="background1"/>
        <w:tabs>
          <w:tab w:val="left" w:pos="426"/>
          <w:tab w:val="left" w:pos="993"/>
          <w:tab w:val="left" w:pos="1276"/>
          <w:tab w:val="left" w:pos="1418"/>
        </w:tabs>
        <w:ind w:firstLine="567"/>
      </w:pPr>
      <w:r w:rsidRPr="00DA7C95">
        <w:t>банками, які є відповідальними особами банківської групи, – на  консолідованій основі;</w:t>
      </w:r>
    </w:p>
    <w:p w14:paraId="3FBBF307" w14:textId="77777777" w:rsidR="00396DE0" w:rsidRPr="00DA7C95" w:rsidRDefault="00396DE0" w:rsidP="00D3042E">
      <w:pPr>
        <w:shd w:val="clear" w:color="auto" w:fill="FFFFFF" w:themeFill="background1"/>
        <w:tabs>
          <w:tab w:val="left" w:pos="426"/>
          <w:tab w:val="left" w:pos="1276"/>
          <w:tab w:val="left" w:pos="1418"/>
        </w:tabs>
        <w:ind w:firstLine="567"/>
      </w:pPr>
      <w:bookmarkStart w:id="55" w:name="_Hlk66800717"/>
      <w:bookmarkEnd w:id="55"/>
    </w:p>
    <w:p w14:paraId="2867181B" w14:textId="4C2B6B1E" w:rsidR="00396DE0" w:rsidRPr="00DA7C95" w:rsidRDefault="00396DE0" w:rsidP="00D3042E">
      <w:pPr>
        <w:shd w:val="clear" w:color="auto" w:fill="FFFFFF" w:themeFill="background1"/>
        <w:tabs>
          <w:tab w:val="left" w:pos="1276"/>
        </w:tabs>
        <w:ind w:firstLine="567"/>
      </w:pPr>
      <w:r w:rsidRPr="00DA7C95">
        <w:t>2) затверджується правлінням банку</w:t>
      </w:r>
      <w:bookmarkStart w:id="56" w:name="_Hlk56448602"/>
      <w:r w:rsidR="00F4215A">
        <w:rPr>
          <w:lang w:val="en-US"/>
        </w:rPr>
        <w:t> </w:t>
      </w:r>
      <w:r w:rsidRPr="00DA7C95">
        <w:t>/</w:t>
      </w:r>
      <w:r w:rsidR="00F4215A">
        <w:rPr>
          <w:lang w:val="en-US"/>
        </w:rPr>
        <w:t> </w:t>
      </w:r>
      <w:r w:rsidRPr="00DA7C95">
        <w:t>відповідальної особи банківської групи</w:t>
      </w:r>
      <w:bookmarkEnd w:id="56"/>
      <w:r w:rsidRPr="00DA7C95">
        <w:t>;</w:t>
      </w:r>
    </w:p>
    <w:p w14:paraId="16147F01" w14:textId="77777777" w:rsidR="00396DE0" w:rsidRPr="00DA7C95" w:rsidRDefault="00396DE0" w:rsidP="00D3042E">
      <w:pPr>
        <w:shd w:val="clear" w:color="auto" w:fill="FFFFFF" w:themeFill="background1"/>
        <w:tabs>
          <w:tab w:val="left" w:pos="1276"/>
        </w:tabs>
        <w:ind w:firstLine="567"/>
      </w:pPr>
    </w:p>
    <w:p w14:paraId="2B590FDF" w14:textId="4E1393E0" w:rsidR="00396DE0" w:rsidRPr="00DA7C95" w:rsidRDefault="00396DE0" w:rsidP="00D3042E">
      <w:pPr>
        <w:shd w:val="clear" w:color="auto" w:fill="FFFFFF" w:themeFill="background1"/>
        <w:tabs>
          <w:tab w:val="left" w:pos="1276"/>
        </w:tabs>
        <w:ind w:firstLine="567"/>
      </w:pPr>
      <w:r w:rsidRPr="00DA7C95">
        <w:t xml:space="preserve">3) містить ключові аспекти щодо процесу ILAAP, </w:t>
      </w:r>
      <w:r w:rsidR="00AF376E" w:rsidRPr="00DA7C95">
        <w:t>наведен</w:t>
      </w:r>
      <w:r w:rsidR="00AF376E">
        <w:t>і</w:t>
      </w:r>
      <w:r w:rsidR="00AF376E" w:rsidRPr="00DA7C95">
        <w:t xml:space="preserve"> </w:t>
      </w:r>
      <w:r w:rsidRPr="00DA7C95">
        <w:t>в додатку 3 до цього Положення, та включає документи, перелік яких наведений у пункті</w:t>
      </w:r>
      <w:r w:rsidR="00EE360B">
        <w:t xml:space="preserve"> 6 </w:t>
      </w:r>
      <w:r w:rsidR="00AF376E">
        <w:t xml:space="preserve">додатка </w:t>
      </w:r>
      <w:r w:rsidR="00EE360B">
        <w:t>3 до цього Положення;</w:t>
      </w:r>
      <w:r w:rsidRPr="00DA7C95">
        <w:t xml:space="preserve"> </w:t>
      </w:r>
    </w:p>
    <w:p w14:paraId="52A3DCE9" w14:textId="77777777" w:rsidR="00396DE0" w:rsidRPr="00DA7C95" w:rsidRDefault="00396DE0" w:rsidP="00D3042E">
      <w:pPr>
        <w:shd w:val="clear" w:color="auto" w:fill="FFFFFF" w:themeFill="background1"/>
        <w:tabs>
          <w:tab w:val="left" w:pos="1276"/>
        </w:tabs>
        <w:ind w:firstLine="567"/>
      </w:pPr>
      <w:bookmarkStart w:id="57" w:name="_Hlk52568879"/>
      <w:bookmarkStart w:id="58" w:name="_Hlk70246145"/>
      <w:bookmarkEnd w:id="57"/>
      <w:bookmarkEnd w:id="58"/>
    </w:p>
    <w:p w14:paraId="735EB74D" w14:textId="77777777" w:rsidR="00396DE0" w:rsidRPr="00DA7C95" w:rsidRDefault="00396DE0" w:rsidP="00D3042E">
      <w:pPr>
        <w:pStyle w:val="a4"/>
        <w:numPr>
          <w:ilvl w:val="0"/>
          <w:numId w:val="17"/>
        </w:numPr>
        <w:shd w:val="clear" w:color="auto" w:fill="FFFFFF" w:themeFill="background1"/>
        <w:tabs>
          <w:tab w:val="left" w:pos="993"/>
          <w:tab w:val="left" w:pos="1276"/>
        </w:tabs>
        <w:ind w:left="0" w:firstLine="567"/>
      </w:pPr>
      <w:r w:rsidRPr="00DA7C95">
        <w:rPr>
          <w:shd w:val="clear" w:color="auto" w:fill="FFFFFF"/>
        </w:rPr>
        <w:t>має відповідати таким вимогам:</w:t>
      </w:r>
    </w:p>
    <w:p w14:paraId="13AAEAF4" w14:textId="77777777" w:rsidR="00396DE0" w:rsidRPr="00DA7C95" w:rsidRDefault="00396DE0" w:rsidP="00D3042E">
      <w:pPr>
        <w:shd w:val="clear" w:color="auto" w:fill="FFFFFF" w:themeFill="background1"/>
        <w:tabs>
          <w:tab w:val="left" w:pos="1276"/>
        </w:tabs>
        <w:ind w:firstLine="567"/>
      </w:pPr>
      <w:r w:rsidRPr="00DA7C95">
        <w:t>бути чітким, зрозумілим, структурованим, послідовним, комплексним, вичерпним;</w:t>
      </w:r>
    </w:p>
    <w:p w14:paraId="1F044E5C" w14:textId="205BD71F" w:rsidR="00396DE0" w:rsidRPr="00DA7C95" w:rsidRDefault="00396DE0" w:rsidP="00D3042E">
      <w:pPr>
        <w:shd w:val="clear" w:color="auto" w:fill="FFFFFF" w:themeFill="background1"/>
        <w:tabs>
          <w:tab w:val="left" w:pos="1276"/>
        </w:tabs>
        <w:ind w:firstLine="567"/>
      </w:pPr>
      <w:r w:rsidRPr="00DA7C95">
        <w:t xml:space="preserve">містити всю </w:t>
      </w:r>
      <w:r w:rsidR="00F4215A">
        <w:t>потріб</w:t>
      </w:r>
      <w:r w:rsidR="00F4215A" w:rsidRPr="00DA7C95">
        <w:t xml:space="preserve">ну </w:t>
      </w:r>
      <w:r w:rsidRPr="00DA7C95">
        <w:t>інформацію згідно з вимогами цього Положення;</w:t>
      </w:r>
    </w:p>
    <w:p w14:paraId="033EF059" w14:textId="77777777" w:rsidR="00396DE0" w:rsidRPr="00DA7C95" w:rsidRDefault="00396DE0" w:rsidP="00D3042E">
      <w:pPr>
        <w:shd w:val="clear" w:color="auto" w:fill="FFFFFF" w:themeFill="background1"/>
        <w:tabs>
          <w:tab w:val="left" w:pos="1276"/>
        </w:tabs>
        <w:ind w:firstLine="567"/>
      </w:pPr>
      <w:r w:rsidRPr="00DA7C95">
        <w:t xml:space="preserve">рівень деталізації та обсяг аналітичної інформації у Звіті щодо процесу ILAAP повинні відповідати </w:t>
      </w:r>
      <w:bookmarkStart w:id="59" w:name="_Hlk91628242"/>
      <w:r w:rsidRPr="00DA7C95">
        <w:t>особливостям діяльності банку</w:t>
      </w:r>
      <w:bookmarkEnd w:id="59"/>
      <w:r w:rsidRPr="00DA7C95">
        <w:t>;</w:t>
      </w:r>
    </w:p>
    <w:p w14:paraId="20974067" w14:textId="77777777" w:rsidR="00396DE0" w:rsidRPr="00DA7C95" w:rsidRDefault="00396DE0" w:rsidP="00D3042E">
      <w:pPr>
        <w:shd w:val="clear" w:color="auto" w:fill="FFFFFF" w:themeFill="background1"/>
        <w:tabs>
          <w:tab w:val="left" w:pos="1276"/>
        </w:tabs>
        <w:ind w:firstLine="567"/>
      </w:pPr>
      <w:bookmarkStart w:id="60" w:name="_Hlk42778290"/>
      <w:r w:rsidRPr="00DA7C95">
        <w:t xml:space="preserve">інформація у Звіті щодо процесу ILAAP повинна бути актуальною </w:t>
      </w:r>
      <w:bookmarkEnd w:id="60"/>
      <w:r w:rsidRPr="00DA7C95">
        <w:t>та належним чином обґрунтованою.</w:t>
      </w:r>
    </w:p>
    <w:p w14:paraId="658E807E" w14:textId="77777777" w:rsidR="00396DE0" w:rsidRPr="00DA7C95" w:rsidRDefault="00396DE0" w:rsidP="00D3042E">
      <w:pPr>
        <w:shd w:val="clear" w:color="auto" w:fill="FFFFFF" w:themeFill="background1"/>
        <w:tabs>
          <w:tab w:val="left" w:pos="1276"/>
        </w:tabs>
        <w:ind w:firstLine="567"/>
      </w:pPr>
    </w:p>
    <w:p w14:paraId="74170A7D" w14:textId="42B129C4" w:rsidR="00EE360B" w:rsidRDefault="00396DE0" w:rsidP="00D3042E">
      <w:pPr>
        <w:shd w:val="clear" w:color="auto" w:fill="FFFFFF" w:themeFill="background1"/>
        <w:tabs>
          <w:tab w:val="left" w:pos="1276"/>
        </w:tabs>
        <w:ind w:firstLine="567"/>
      </w:pPr>
      <w:r w:rsidRPr="00DA7C95">
        <w:t>4</w:t>
      </w:r>
      <w:r w:rsidR="0005221A">
        <w:t>7</w:t>
      </w:r>
      <w:r w:rsidRPr="00DA7C95">
        <w:t xml:space="preserve">. </w:t>
      </w:r>
      <w:r w:rsidR="00EE360B" w:rsidRPr="00EE360B">
        <w:t>Національний банк не пізніше ніж за чотири місяця до встановленої дати подання банками до Національного банку Звіту щодо процесу ILAAP має право довести до відома банків додатковий перелік документів, що мають б</w:t>
      </w:r>
      <w:r w:rsidR="00EE360B">
        <w:t>ути включені до цього Звіту.</w:t>
      </w:r>
    </w:p>
    <w:p w14:paraId="71DEDFAA" w14:textId="77777777" w:rsidR="00EE360B" w:rsidRDefault="00EE360B" w:rsidP="00D3042E">
      <w:pPr>
        <w:shd w:val="clear" w:color="auto" w:fill="FFFFFF" w:themeFill="background1"/>
        <w:tabs>
          <w:tab w:val="left" w:pos="1276"/>
        </w:tabs>
        <w:ind w:firstLine="567"/>
        <w:rPr>
          <w:shd w:val="clear" w:color="auto" w:fill="FFFFFF"/>
        </w:rPr>
      </w:pPr>
    </w:p>
    <w:p w14:paraId="26E440C9" w14:textId="1FFAEABA" w:rsidR="00396DE0" w:rsidRPr="00DA7C95" w:rsidRDefault="00EE360B" w:rsidP="00D3042E">
      <w:pPr>
        <w:shd w:val="clear" w:color="auto" w:fill="FFFFFF" w:themeFill="background1"/>
        <w:tabs>
          <w:tab w:val="left" w:pos="1276"/>
        </w:tabs>
        <w:ind w:firstLine="567"/>
      </w:pPr>
      <w:r>
        <w:rPr>
          <w:shd w:val="clear" w:color="auto" w:fill="FFFFFF"/>
        </w:rPr>
        <w:lastRenderedPageBreak/>
        <w:t>4</w:t>
      </w:r>
      <w:r w:rsidR="0005221A">
        <w:rPr>
          <w:shd w:val="clear" w:color="auto" w:fill="FFFFFF"/>
        </w:rPr>
        <w:t>8</w:t>
      </w:r>
      <w:r>
        <w:rPr>
          <w:shd w:val="clear" w:color="auto" w:fill="FFFFFF"/>
        </w:rPr>
        <w:t>.</w:t>
      </w:r>
      <w:r w:rsidR="0005221A">
        <w:rPr>
          <w:shd w:val="clear" w:color="auto" w:fill="FFFFFF"/>
        </w:rPr>
        <w:t xml:space="preserve"> </w:t>
      </w:r>
      <w:r w:rsidR="00396DE0" w:rsidRPr="00DA7C95">
        <w:rPr>
          <w:shd w:val="clear" w:color="auto" w:fill="FFFFFF"/>
        </w:rPr>
        <w:t>Банк</w:t>
      </w:r>
      <w:r w:rsidR="00F4215A">
        <w:rPr>
          <w:shd w:val="clear" w:color="auto" w:fill="FFFFFF"/>
        </w:rPr>
        <w:t> </w:t>
      </w:r>
      <w:r w:rsidR="00396DE0" w:rsidRPr="00DA7C95">
        <w:rPr>
          <w:shd w:val="clear" w:color="auto" w:fill="FFFFFF"/>
        </w:rPr>
        <w:t>/</w:t>
      </w:r>
      <w:r w:rsidR="00F4215A">
        <w:rPr>
          <w:shd w:val="clear" w:color="auto" w:fill="FFFFFF"/>
        </w:rPr>
        <w:t> </w:t>
      </w:r>
      <w:r w:rsidR="00396DE0" w:rsidRPr="00DA7C95">
        <w:t>відповідальна особа банківської групи щорічно</w:t>
      </w:r>
      <w:r w:rsidR="00396DE0" w:rsidRPr="00DA7C95">
        <w:rPr>
          <w:shd w:val="clear" w:color="auto" w:fill="FFFFFF"/>
        </w:rPr>
        <w:t xml:space="preserve"> подає </w:t>
      </w:r>
      <w:r w:rsidR="00396DE0" w:rsidRPr="00DA7C95">
        <w:t>до структурного підрозділу Національного банку, що здійснює безвиїзний нагляд за  діяльністю банку, Звіт щодо</w:t>
      </w:r>
      <w:r w:rsidR="00396DE0" w:rsidRPr="00DA7C95">
        <w:rPr>
          <w:shd w:val="clear" w:color="auto" w:fill="FFFFFF"/>
        </w:rPr>
        <w:t xml:space="preserve"> </w:t>
      </w:r>
      <w:r w:rsidR="00396DE0" w:rsidRPr="00DA7C95">
        <w:t>процесу ILAAP:</w:t>
      </w:r>
    </w:p>
    <w:p w14:paraId="1D961EC9" w14:textId="77777777" w:rsidR="00396DE0" w:rsidRPr="00DA7C95" w:rsidRDefault="00396DE0" w:rsidP="00D3042E">
      <w:pPr>
        <w:shd w:val="clear" w:color="auto" w:fill="FFFFFF" w:themeFill="background1"/>
        <w:tabs>
          <w:tab w:val="left" w:pos="426"/>
          <w:tab w:val="left" w:pos="1276"/>
          <w:tab w:val="left" w:pos="1418"/>
        </w:tabs>
        <w:ind w:firstLine="567"/>
      </w:pPr>
    </w:p>
    <w:p w14:paraId="2327CE9A" w14:textId="77777777" w:rsidR="00396DE0" w:rsidRPr="00DA7C95" w:rsidRDefault="00396DE0" w:rsidP="00D3042E">
      <w:pPr>
        <w:shd w:val="clear" w:color="auto" w:fill="FFFFFF" w:themeFill="background1"/>
        <w:tabs>
          <w:tab w:val="left" w:pos="426"/>
          <w:tab w:val="left" w:pos="1276"/>
          <w:tab w:val="left" w:pos="1418"/>
        </w:tabs>
        <w:ind w:firstLine="567"/>
      </w:pPr>
      <w:r w:rsidRPr="00DA7C95">
        <w:t>1) у такі строки:</w:t>
      </w:r>
    </w:p>
    <w:p w14:paraId="492DABA8" w14:textId="77777777" w:rsidR="00396DE0" w:rsidRPr="00DA7C95" w:rsidRDefault="00396DE0" w:rsidP="00D3042E">
      <w:pPr>
        <w:shd w:val="clear" w:color="auto" w:fill="FFFFFF" w:themeFill="background1"/>
        <w:tabs>
          <w:tab w:val="left" w:pos="426"/>
          <w:tab w:val="left" w:pos="1276"/>
          <w:tab w:val="left" w:pos="1418"/>
        </w:tabs>
        <w:ind w:firstLine="567"/>
      </w:pPr>
      <w:r w:rsidRPr="00DA7C95">
        <w:rPr>
          <w:shd w:val="clear" w:color="auto" w:fill="FFFFFF"/>
        </w:rPr>
        <w:t>щодо процесу</w:t>
      </w:r>
      <w:r w:rsidRPr="00DA7C95">
        <w:t xml:space="preserve"> ILAAP банку – не пізніше 31 травня року, наступного за звітним;</w:t>
      </w:r>
    </w:p>
    <w:p w14:paraId="781F3155" w14:textId="77777777" w:rsidR="00396DE0" w:rsidRPr="00DA7C95" w:rsidRDefault="00396DE0" w:rsidP="00D3042E">
      <w:pPr>
        <w:shd w:val="clear" w:color="auto" w:fill="FFFFFF" w:themeFill="background1"/>
        <w:tabs>
          <w:tab w:val="left" w:pos="426"/>
          <w:tab w:val="left" w:pos="1276"/>
          <w:tab w:val="left" w:pos="1418"/>
        </w:tabs>
        <w:ind w:firstLine="567"/>
      </w:pPr>
      <w:r w:rsidRPr="00DA7C95">
        <w:rPr>
          <w:shd w:val="clear" w:color="auto" w:fill="FFFFFF"/>
        </w:rPr>
        <w:t xml:space="preserve">щодо процесу </w:t>
      </w:r>
      <w:r w:rsidRPr="00DA7C95">
        <w:t>ІLААР КІП – не пізніше 30 червня року, наступного за звітним;</w:t>
      </w:r>
      <w:bookmarkStart w:id="61" w:name="_Hlk70246338"/>
      <w:bookmarkEnd w:id="61"/>
    </w:p>
    <w:p w14:paraId="5FB479E5" w14:textId="77777777" w:rsidR="00396DE0" w:rsidRPr="00DA7C95" w:rsidRDefault="00396DE0" w:rsidP="00D3042E">
      <w:pPr>
        <w:shd w:val="clear" w:color="auto" w:fill="FFFFFF" w:themeFill="background1"/>
        <w:tabs>
          <w:tab w:val="left" w:pos="426"/>
          <w:tab w:val="left" w:pos="1276"/>
          <w:tab w:val="left" w:pos="1418"/>
        </w:tabs>
        <w:ind w:firstLine="567"/>
      </w:pPr>
    </w:p>
    <w:p w14:paraId="29B53550" w14:textId="2282AA7C" w:rsidR="00396DE0" w:rsidRPr="00DA7C95" w:rsidRDefault="00396DE0" w:rsidP="00D3042E">
      <w:pPr>
        <w:shd w:val="clear" w:color="auto" w:fill="FFFFFF" w:themeFill="background1"/>
        <w:tabs>
          <w:tab w:val="left" w:pos="426"/>
          <w:tab w:val="left" w:pos="1276"/>
          <w:tab w:val="left" w:pos="1418"/>
        </w:tabs>
        <w:ind w:firstLine="567"/>
      </w:pPr>
      <w:r w:rsidRPr="00DA7C95">
        <w:t xml:space="preserve">2) у </w:t>
      </w:r>
      <w:r w:rsidR="00D3042E">
        <w:t>форм</w:t>
      </w:r>
      <w:r w:rsidR="00D3042E" w:rsidRPr="00DA7C95">
        <w:t>і</w:t>
      </w:r>
      <w:r w:rsidRPr="00DA7C95">
        <w:t>:</w:t>
      </w:r>
    </w:p>
    <w:p w14:paraId="27CAFFDA" w14:textId="29511C81" w:rsidR="00396DE0" w:rsidRPr="00DA7C95" w:rsidRDefault="00396DE0" w:rsidP="00D3042E">
      <w:pPr>
        <w:shd w:val="clear" w:color="auto" w:fill="FFFFFF" w:themeFill="background1"/>
        <w:tabs>
          <w:tab w:val="left" w:pos="1134"/>
        </w:tabs>
        <w:ind w:firstLine="567"/>
      </w:pPr>
      <w:r w:rsidRPr="00DA7C95">
        <w:t>електронної версії, створеної у форматі Microsoft Word та Excel, з додаванням сканованих копій всіх сторінок, які містять дані про затвердження та/або підписання документів уповноваженими органами</w:t>
      </w:r>
      <w:r w:rsidR="00F4215A">
        <w:t> </w:t>
      </w:r>
      <w:r w:rsidRPr="00DA7C95">
        <w:t>/</w:t>
      </w:r>
      <w:r w:rsidR="00F4215A">
        <w:t> </w:t>
      </w:r>
      <w:r w:rsidRPr="00DA7C95">
        <w:t>особами банку /</w:t>
      </w:r>
      <w:r w:rsidR="00F4215A">
        <w:t> </w:t>
      </w:r>
      <w:r w:rsidRPr="00DA7C95">
        <w:t>відповідальної особи банківської групи, або</w:t>
      </w:r>
    </w:p>
    <w:p w14:paraId="26BD8AA6" w14:textId="3CB68253" w:rsidR="000F6BDE" w:rsidRDefault="00396DE0" w:rsidP="00D3042E">
      <w:pPr>
        <w:shd w:val="clear" w:color="auto" w:fill="FFFFFF" w:themeFill="background1"/>
        <w:tabs>
          <w:tab w:val="left" w:pos="1134"/>
          <w:tab w:val="left" w:pos="1276"/>
        </w:tabs>
        <w:ind w:firstLine="567"/>
      </w:pPr>
      <w:r w:rsidRPr="00FF180F">
        <w:t>електронного документа, підписан</w:t>
      </w:r>
      <w:r w:rsidR="00C4612A" w:rsidRPr="00FF180F">
        <w:t>ого</w:t>
      </w:r>
      <w:r w:rsidRPr="00FF180F">
        <w:t xml:space="preserve"> кваліфікованим електронним підпис</w:t>
      </w:r>
      <w:r w:rsidR="00C4612A" w:rsidRPr="00FF180F">
        <w:t>ом</w:t>
      </w:r>
      <w:r w:rsidRPr="00FF180F">
        <w:t xml:space="preserve"> відповідної уповноваженої особи банку</w:t>
      </w:r>
      <w:r w:rsidR="00F4215A">
        <w:t> </w:t>
      </w:r>
      <w:r w:rsidRPr="00FF180F">
        <w:t>/</w:t>
      </w:r>
      <w:r w:rsidR="00F4215A">
        <w:t> </w:t>
      </w:r>
      <w:r w:rsidRPr="00FF180F">
        <w:t>відповідальної особи банківської групи.</w:t>
      </w:r>
      <w:bookmarkStart w:id="62" w:name="_Hlk70246400"/>
      <w:bookmarkEnd w:id="62"/>
      <w:r w:rsidR="00336596" w:rsidRPr="00FF180F">
        <w:t xml:space="preserve"> </w:t>
      </w:r>
    </w:p>
    <w:p w14:paraId="31C6141B" w14:textId="04EBC03B" w:rsidR="00396DE0" w:rsidRPr="000D07CA" w:rsidRDefault="00C4612A" w:rsidP="00D3042E">
      <w:pPr>
        <w:shd w:val="clear" w:color="auto" w:fill="FFFFFF" w:themeFill="background1"/>
        <w:tabs>
          <w:tab w:val="left" w:pos="1134"/>
          <w:tab w:val="left" w:pos="1276"/>
        </w:tabs>
        <w:ind w:firstLine="567"/>
      </w:pPr>
      <w:r w:rsidRPr="00FF180F">
        <w:t xml:space="preserve">Звіт щодо процесу ILAAP може бути поданий у </w:t>
      </w:r>
      <w:r w:rsidR="00D3042E">
        <w:t>форм</w:t>
      </w:r>
      <w:r w:rsidR="00D3042E" w:rsidRPr="00FF180F">
        <w:t xml:space="preserve">і </w:t>
      </w:r>
      <w:r w:rsidRPr="00891B48">
        <w:t>кількох</w:t>
      </w:r>
      <w:r w:rsidRPr="00FF180F">
        <w:t xml:space="preserve"> електронн</w:t>
      </w:r>
      <w:r w:rsidR="00FF180F">
        <w:t>их</w:t>
      </w:r>
      <w:r w:rsidRPr="00FF180F">
        <w:t xml:space="preserve"> документів, підписаних кваліфікованими електронними підписами відповідних уповноважених осіб банку</w:t>
      </w:r>
      <w:r w:rsidR="00F4215A">
        <w:t> </w:t>
      </w:r>
      <w:r w:rsidRPr="00FF180F">
        <w:t>/відповідальної особи банківської групи.</w:t>
      </w:r>
    </w:p>
    <w:p w14:paraId="16FE1558" w14:textId="31BDF55B" w:rsidR="00396DE0" w:rsidRPr="000D07CA" w:rsidRDefault="00C4612A" w:rsidP="00396DE0">
      <w:pPr>
        <w:shd w:val="clear" w:color="auto" w:fill="FFFFFF" w:themeFill="background1"/>
        <w:ind w:firstLine="709"/>
        <w:sectPr w:rsidR="00396DE0" w:rsidRPr="000D07CA" w:rsidSect="003A1892">
          <w:headerReference w:type="default" r:id="rId12"/>
          <w:pgSz w:w="11906" w:h="16838"/>
          <w:pgMar w:top="1134" w:right="567" w:bottom="1701" w:left="1701" w:header="709" w:footer="0" w:gutter="0"/>
          <w:pgNumType w:start="1"/>
          <w:cols w:space="720"/>
          <w:formProt w:val="0"/>
          <w:titlePg/>
          <w:docGrid w:linePitch="360"/>
        </w:sectPr>
      </w:pPr>
      <w:r>
        <w:t xml:space="preserve"> </w:t>
      </w:r>
    </w:p>
    <w:p w14:paraId="2C859A06" w14:textId="77777777" w:rsidR="00396DE0" w:rsidRPr="000D07CA" w:rsidRDefault="00396DE0" w:rsidP="00396DE0">
      <w:pPr>
        <w:shd w:val="clear" w:color="auto" w:fill="FFFFFF" w:themeFill="background1"/>
        <w:tabs>
          <w:tab w:val="left" w:pos="142"/>
        </w:tabs>
        <w:ind w:left="9781" w:right="-57"/>
      </w:pPr>
      <w:r w:rsidRPr="000D07CA">
        <w:lastRenderedPageBreak/>
        <w:t>Додаток 1</w:t>
      </w:r>
    </w:p>
    <w:p w14:paraId="1C72B5D8" w14:textId="77777777" w:rsidR="00396DE0" w:rsidRPr="000D07CA" w:rsidRDefault="00396DE0" w:rsidP="00396DE0">
      <w:pPr>
        <w:shd w:val="clear" w:color="auto" w:fill="FFFFFF" w:themeFill="background1"/>
        <w:tabs>
          <w:tab w:val="left" w:pos="142"/>
        </w:tabs>
        <w:ind w:left="9781" w:right="-57"/>
        <w:rPr>
          <w:bCs/>
        </w:rPr>
      </w:pPr>
      <w:r w:rsidRPr="000D07CA">
        <w:t xml:space="preserve">до Положення </w:t>
      </w:r>
      <w:r w:rsidRPr="000D07CA">
        <w:rPr>
          <w:bCs/>
        </w:rPr>
        <w:t xml:space="preserve">про організацію процесу оцінки достатності внутрішньої ліквідності </w:t>
      </w:r>
      <w:r w:rsidRPr="000D07CA">
        <w:t>в банках України та банківських групах</w:t>
      </w:r>
    </w:p>
    <w:p w14:paraId="77B6D4E4" w14:textId="45E7D766" w:rsidR="00396DE0" w:rsidRPr="000D07CA" w:rsidRDefault="00396DE0" w:rsidP="00396DE0">
      <w:pPr>
        <w:shd w:val="clear" w:color="auto" w:fill="FFFFFF" w:themeFill="background1"/>
        <w:tabs>
          <w:tab w:val="left" w:pos="142"/>
        </w:tabs>
        <w:ind w:left="9781" w:right="-57"/>
        <w:rPr>
          <w:bCs/>
        </w:rPr>
      </w:pPr>
      <w:r w:rsidRPr="000D07CA">
        <w:rPr>
          <w:bCs/>
        </w:rPr>
        <w:t>(</w:t>
      </w:r>
      <w:r w:rsidR="00294C24">
        <w:rPr>
          <w:bCs/>
        </w:rPr>
        <w:t>підпункт 1 пункту 3</w:t>
      </w:r>
      <w:r w:rsidR="0005221A">
        <w:rPr>
          <w:bCs/>
        </w:rPr>
        <w:t>2</w:t>
      </w:r>
      <w:r w:rsidRPr="00CE3FB2">
        <w:rPr>
          <w:bCs/>
        </w:rPr>
        <w:t xml:space="preserve"> глави</w:t>
      </w:r>
      <w:r w:rsidRPr="000D07CA">
        <w:rPr>
          <w:bCs/>
        </w:rPr>
        <w:t xml:space="preserve"> 7 розділу II)</w:t>
      </w:r>
    </w:p>
    <w:p w14:paraId="3C121C39" w14:textId="77777777" w:rsidR="00396DE0" w:rsidRPr="000D07CA" w:rsidRDefault="00396DE0" w:rsidP="00396DE0">
      <w:pPr>
        <w:shd w:val="clear" w:color="auto" w:fill="FFFFFF" w:themeFill="background1"/>
        <w:tabs>
          <w:tab w:val="left" w:pos="142"/>
        </w:tabs>
        <w:ind w:left="9781" w:right="-57"/>
        <w:rPr>
          <w:bCs/>
        </w:rPr>
      </w:pPr>
    </w:p>
    <w:p w14:paraId="1DD1980B" w14:textId="77777777" w:rsidR="00396DE0" w:rsidRPr="000D07CA" w:rsidRDefault="00396DE0" w:rsidP="00396DE0">
      <w:pPr>
        <w:pStyle w:val="1"/>
        <w:shd w:val="clear" w:color="auto" w:fill="FFFFFF" w:themeFill="background1"/>
        <w:tabs>
          <w:tab w:val="left" w:pos="1418"/>
        </w:tabs>
        <w:spacing w:before="0"/>
        <w:jc w:val="center"/>
        <w:rPr>
          <w:rFonts w:ascii="Times New Roman" w:hAnsi="Times New Roman" w:cs="Times New Roman"/>
          <w:color w:val="auto"/>
          <w:sz w:val="28"/>
          <w:szCs w:val="28"/>
        </w:rPr>
      </w:pPr>
      <w:r w:rsidRPr="000D07CA">
        <w:rPr>
          <w:rFonts w:ascii="Times New Roman" w:hAnsi="Times New Roman" w:cs="Times New Roman"/>
          <w:color w:val="auto"/>
          <w:sz w:val="28"/>
          <w:szCs w:val="28"/>
        </w:rPr>
        <w:t>Вимоги до плану підтримання достатності ліквідності</w:t>
      </w:r>
    </w:p>
    <w:p w14:paraId="0CC28F9A" w14:textId="77777777" w:rsidR="00396DE0" w:rsidRPr="000D07CA" w:rsidRDefault="00396DE0" w:rsidP="00396DE0"/>
    <w:p w14:paraId="1F0BC3DD" w14:textId="77777777" w:rsidR="00396DE0" w:rsidRPr="000D07CA" w:rsidRDefault="00396DE0" w:rsidP="00396DE0">
      <w:pPr>
        <w:shd w:val="clear" w:color="auto" w:fill="FFFFFF" w:themeFill="background1"/>
        <w:jc w:val="center"/>
      </w:pPr>
      <w:r w:rsidRPr="000D07CA">
        <w:t xml:space="preserve">1. </w:t>
      </w:r>
      <w:bookmarkStart w:id="63" w:name="_Hlk46087286"/>
      <w:r w:rsidRPr="000D07CA">
        <w:t xml:space="preserve">План </w:t>
      </w:r>
      <w:bookmarkEnd w:id="63"/>
      <w:r w:rsidRPr="000D07CA">
        <w:t>підтримання достатності короткострокової ліквідності</w:t>
      </w:r>
    </w:p>
    <w:p w14:paraId="57E7C5E5" w14:textId="77777777" w:rsidR="00396DE0" w:rsidRPr="000D07CA" w:rsidRDefault="00396DE0" w:rsidP="00323A04">
      <w:pPr>
        <w:keepNext/>
        <w:keepLines/>
        <w:tabs>
          <w:tab w:val="left" w:pos="1276"/>
          <w:tab w:val="left" w:pos="1418"/>
        </w:tabs>
        <w:jc w:val="right"/>
        <w:rPr>
          <w:rFonts w:eastAsia="Calibri"/>
          <w:bCs/>
        </w:rPr>
      </w:pPr>
      <w:r w:rsidRPr="000D07CA">
        <w:rPr>
          <w:rFonts w:eastAsia="Calibri"/>
          <w:bCs/>
        </w:rPr>
        <w:t>Таблиця 1</w:t>
      </w:r>
    </w:p>
    <w:tbl>
      <w:tblPr>
        <w:tblStyle w:val="a3"/>
        <w:tblW w:w="15311" w:type="dxa"/>
        <w:tblInd w:w="137" w:type="dxa"/>
        <w:tblLook w:val="04A0" w:firstRow="1" w:lastRow="0" w:firstColumn="1" w:lastColumn="0" w:noHBand="0" w:noVBand="1"/>
      </w:tblPr>
      <w:tblGrid>
        <w:gridCol w:w="522"/>
        <w:gridCol w:w="14"/>
        <w:gridCol w:w="12"/>
        <w:gridCol w:w="776"/>
        <w:gridCol w:w="6242"/>
        <w:gridCol w:w="1224"/>
        <w:gridCol w:w="7"/>
        <w:gridCol w:w="915"/>
        <w:gridCol w:w="1224"/>
        <w:gridCol w:w="1967"/>
        <w:gridCol w:w="1130"/>
        <w:gridCol w:w="10"/>
        <w:gridCol w:w="1268"/>
      </w:tblGrid>
      <w:tr w:rsidR="00396DE0" w:rsidRPr="000D07CA" w14:paraId="3E478D13" w14:textId="77777777" w:rsidTr="0099562D">
        <w:trPr>
          <w:trHeight w:val="189"/>
        </w:trPr>
        <w:tc>
          <w:tcPr>
            <w:tcW w:w="523" w:type="dxa"/>
            <w:vMerge w:val="restart"/>
            <w:shd w:val="clear" w:color="auto" w:fill="auto"/>
            <w:vAlign w:val="center"/>
          </w:tcPr>
          <w:p w14:paraId="390A1A6D" w14:textId="77777777" w:rsidR="0099562D" w:rsidRDefault="00396DE0" w:rsidP="009B5341">
            <w:pPr>
              <w:shd w:val="clear" w:color="auto" w:fill="FFFFFF" w:themeFill="background1"/>
              <w:spacing w:after="40"/>
              <w:ind w:left="-57" w:right="-57"/>
              <w:jc w:val="center"/>
            </w:pPr>
            <w:r w:rsidRPr="00FB3C2A">
              <w:t>№</w:t>
            </w:r>
          </w:p>
          <w:p w14:paraId="1792F55E" w14:textId="2B84B8CD" w:rsidR="00396DE0" w:rsidRPr="00FB3C2A" w:rsidRDefault="00AF376E" w:rsidP="009B5341">
            <w:pPr>
              <w:shd w:val="clear" w:color="auto" w:fill="FFFFFF" w:themeFill="background1"/>
              <w:spacing w:after="40"/>
              <w:ind w:left="-57" w:right="-57"/>
              <w:jc w:val="center"/>
            </w:pPr>
            <w:r>
              <w:t>з/п</w:t>
            </w:r>
            <w:r w:rsidR="00396DE0" w:rsidRPr="00FB3C2A">
              <w:t xml:space="preserve"> </w:t>
            </w:r>
          </w:p>
        </w:tc>
        <w:tc>
          <w:tcPr>
            <w:tcW w:w="802" w:type="dxa"/>
            <w:gridSpan w:val="3"/>
            <w:vMerge w:val="restart"/>
            <w:shd w:val="clear" w:color="auto" w:fill="auto"/>
            <w:vAlign w:val="center"/>
          </w:tcPr>
          <w:p w14:paraId="7BDBC946" w14:textId="77777777" w:rsidR="00396DE0" w:rsidRPr="00FB3C2A" w:rsidRDefault="00396DE0" w:rsidP="009B5341">
            <w:pPr>
              <w:shd w:val="clear" w:color="auto" w:fill="FFFFFF" w:themeFill="background1"/>
              <w:ind w:left="-170" w:right="-170"/>
              <w:jc w:val="center"/>
            </w:pPr>
            <w:r w:rsidRPr="00FB3C2A">
              <w:t xml:space="preserve">№ </w:t>
            </w:r>
            <w:r w:rsidRPr="00FB3C2A">
              <w:br/>
              <w:t>по-</w:t>
            </w:r>
            <w:r w:rsidRPr="00FB3C2A">
              <w:br/>
            </w:r>
            <w:proofErr w:type="spellStart"/>
            <w:r w:rsidRPr="00FB3C2A">
              <w:t>каз-ника</w:t>
            </w:r>
            <w:proofErr w:type="spellEnd"/>
          </w:p>
        </w:tc>
        <w:tc>
          <w:tcPr>
            <w:tcW w:w="6308" w:type="dxa"/>
            <w:vMerge w:val="restart"/>
            <w:shd w:val="clear" w:color="auto" w:fill="auto"/>
            <w:vAlign w:val="center"/>
          </w:tcPr>
          <w:p w14:paraId="39C57020" w14:textId="77777777" w:rsidR="00396DE0" w:rsidRPr="00FB3C2A" w:rsidRDefault="00396DE0" w:rsidP="009B5341">
            <w:pPr>
              <w:shd w:val="clear" w:color="auto" w:fill="FFFFFF" w:themeFill="background1"/>
              <w:jc w:val="center"/>
            </w:pPr>
            <w:r w:rsidRPr="00FB3C2A">
              <w:t>Показник</w:t>
            </w:r>
          </w:p>
        </w:tc>
        <w:tc>
          <w:tcPr>
            <w:tcW w:w="7678" w:type="dxa"/>
            <w:gridSpan w:val="8"/>
            <w:shd w:val="clear" w:color="auto" w:fill="auto"/>
            <w:vAlign w:val="center"/>
          </w:tcPr>
          <w:p w14:paraId="666B5277" w14:textId="77777777" w:rsidR="00396DE0" w:rsidRPr="00FB3C2A" w:rsidRDefault="00396DE0" w:rsidP="009B5341">
            <w:pPr>
              <w:shd w:val="clear" w:color="auto" w:fill="FFFFFF" w:themeFill="background1"/>
              <w:ind w:left="-113" w:right="-113"/>
              <w:jc w:val="center"/>
            </w:pPr>
            <w:r w:rsidRPr="00FB3C2A">
              <w:t xml:space="preserve">План на прогнозний період </w:t>
            </w:r>
          </w:p>
        </w:tc>
      </w:tr>
      <w:tr w:rsidR="00396DE0" w:rsidRPr="000D07CA" w14:paraId="7030A40F" w14:textId="77777777" w:rsidTr="009350E8">
        <w:trPr>
          <w:trHeight w:val="821"/>
        </w:trPr>
        <w:tc>
          <w:tcPr>
            <w:tcW w:w="523" w:type="dxa"/>
            <w:vMerge/>
            <w:shd w:val="clear" w:color="auto" w:fill="auto"/>
            <w:vAlign w:val="center"/>
          </w:tcPr>
          <w:p w14:paraId="59FBF6AE" w14:textId="77777777" w:rsidR="00396DE0" w:rsidRPr="00FB3C2A" w:rsidRDefault="00396DE0" w:rsidP="009B5341">
            <w:pPr>
              <w:shd w:val="clear" w:color="auto" w:fill="FFFFFF" w:themeFill="background1"/>
              <w:spacing w:after="40"/>
              <w:ind w:left="-57" w:right="-57"/>
              <w:jc w:val="center"/>
            </w:pPr>
          </w:p>
        </w:tc>
        <w:tc>
          <w:tcPr>
            <w:tcW w:w="802" w:type="dxa"/>
            <w:gridSpan w:val="3"/>
            <w:vMerge/>
            <w:shd w:val="clear" w:color="auto" w:fill="auto"/>
          </w:tcPr>
          <w:p w14:paraId="323356D1" w14:textId="77777777" w:rsidR="00396DE0" w:rsidRPr="00FB3C2A" w:rsidRDefault="00396DE0" w:rsidP="009B5341">
            <w:pPr>
              <w:shd w:val="clear" w:color="auto" w:fill="FFFFFF" w:themeFill="background1"/>
              <w:ind w:left="-170" w:right="-170"/>
              <w:jc w:val="center"/>
            </w:pPr>
          </w:p>
        </w:tc>
        <w:tc>
          <w:tcPr>
            <w:tcW w:w="6308" w:type="dxa"/>
            <w:vMerge/>
            <w:shd w:val="clear" w:color="auto" w:fill="auto"/>
            <w:vAlign w:val="center"/>
          </w:tcPr>
          <w:p w14:paraId="76964F16" w14:textId="77777777" w:rsidR="00396DE0" w:rsidRPr="00FB3C2A" w:rsidRDefault="00396DE0" w:rsidP="009B5341">
            <w:pPr>
              <w:shd w:val="clear" w:color="auto" w:fill="FFFFFF" w:themeFill="background1"/>
              <w:jc w:val="center"/>
            </w:pPr>
          </w:p>
        </w:tc>
        <w:tc>
          <w:tcPr>
            <w:tcW w:w="3282" w:type="dxa"/>
            <w:gridSpan w:val="4"/>
            <w:shd w:val="clear" w:color="auto" w:fill="auto"/>
            <w:vAlign w:val="center"/>
          </w:tcPr>
          <w:p w14:paraId="7236F47D" w14:textId="77777777" w:rsidR="00EE360B" w:rsidRPr="00FB3C2A" w:rsidRDefault="00396DE0" w:rsidP="009B5341">
            <w:pPr>
              <w:shd w:val="clear" w:color="auto" w:fill="FFFFFF" w:themeFill="background1"/>
              <w:ind w:left="-113" w:right="-113"/>
              <w:jc w:val="center"/>
            </w:pPr>
            <w:r w:rsidRPr="00FB3C2A">
              <w:t>за результатами</w:t>
            </w:r>
            <w:r w:rsidRPr="00FB3C2A">
              <w:br/>
              <w:t xml:space="preserve">оцінки достатності </w:t>
            </w:r>
          </w:p>
          <w:p w14:paraId="7F6503E9" w14:textId="70D68EF3" w:rsidR="00396DE0" w:rsidRPr="00FB3C2A" w:rsidRDefault="00396DE0" w:rsidP="009B5341">
            <w:pPr>
              <w:shd w:val="clear" w:color="auto" w:fill="FFFFFF" w:themeFill="background1"/>
              <w:ind w:left="-113" w:right="-113"/>
              <w:jc w:val="center"/>
            </w:pPr>
            <w:r w:rsidRPr="00FB3C2A">
              <w:t>внутрішньої ліквідності</w:t>
            </w:r>
          </w:p>
        </w:tc>
        <w:tc>
          <w:tcPr>
            <w:tcW w:w="4396" w:type="dxa"/>
            <w:gridSpan w:val="4"/>
            <w:shd w:val="clear" w:color="auto" w:fill="auto"/>
            <w:vAlign w:val="center"/>
          </w:tcPr>
          <w:p w14:paraId="61540AD6" w14:textId="77777777" w:rsidR="00396DE0" w:rsidRPr="00FB3C2A" w:rsidRDefault="00396DE0" w:rsidP="009B5341">
            <w:pPr>
              <w:shd w:val="clear" w:color="auto" w:fill="FFFFFF" w:themeFill="background1"/>
              <w:ind w:left="-227" w:right="-227"/>
              <w:jc w:val="center"/>
            </w:pPr>
            <w:r w:rsidRPr="00FB3C2A">
              <w:t>з урахуванням заходів щодо підтримання достатності ліквідності (якщо визначена недостатність внутрішньої ліквідності)</w:t>
            </w:r>
          </w:p>
        </w:tc>
      </w:tr>
      <w:tr w:rsidR="00396DE0" w:rsidRPr="000D07CA" w14:paraId="7A3B730E" w14:textId="77777777" w:rsidTr="009350E8">
        <w:trPr>
          <w:trHeight w:val="254"/>
        </w:trPr>
        <w:tc>
          <w:tcPr>
            <w:tcW w:w="523" w:type="dxa"/>
            <w:vMerge/>
            <w:shd w:val="clear" w:color="auto" w:fill="auto"/>
            <w:vAlign w:val="center"/>
          </w:tcPr>
          <w:p w14:paraId="1512B802" w14:textId="77777777" w:rsidR="00396DE0" w:rsidRPr="00FB3C2A" w:rsidRDefault="00396DE0" w:rsidP="009B5341">
            <w:pPr>
              <w:shd w:val="clear" w:color="auto" w:fill="FFFFFF" w:themeFill="background1"/>
              <w:jc w:val="center"/>
            </w:pPr>
          </w:p>
        </w:tc>
        <w:tc>
          <w:tcPr>
            <w:tcW w:w="802" w:type="dxa"/>
            <w:gridSpan w:val="3"/>
            <w:vMerge/>
            <w:shd w:val="clear" w:color="auto" w:fill="auto"/>
          </w:tcPr>
          <w:p w14:paraId="0A29CF37" w14:textId="77777777" w:rsidR="00396DE0" w:rsidRPr="00FB3C2A" w:rsidRDefault="00396DE0" w:rsidP="009B5341">
            <w:pPr>
              <w:shd w:val="clear" w:color="auto" w:fill="FFFFFF" w:themeFill="background1"/>
              <w:jc w:val="center"/>
            </w:pPr>
          </w:p>
        </w:tc>
        <w:tc>
          <w:tcPr>
            <w:tcW w:w="6308" w:type="dxa"/>
            <w:vMerge/>
            <w:shd w:val="clear" w:color="auto" w:fill="auto"/>
            <w:vAlign w:val="center"/>
          </w:tcPr>
          <w:p w14:paraId="00FF2416" w14:textId="77777777" w:rsidR="00396DE0" w:rsidRPr="00FB3C2A" w:rsidRDefault="00396DE0" w:rsidP="009B5341">
            <w:pPr>
              <w:shd w:val="clear" w:color="auto" w:fill="FFFFFF" w:themeFill="background1"/>
              <w:jc w:val="center"/>
            </w:pPr>
          </w:p>
        </w:tc>
        <w:tc>
          <w:tcPr>
            <w:tcW w:w="1224" w:type="dxa"/>
            <w:shd w:val="clear" w:color="auto" w:fill="auto"/>
            <w:vAlign w:val="center"/>
          </w:tcPr>
          <w:p w14:paraId="57180ED2" w14:textId="77777777" w:rsidR="00396DE0" w:rsidRPr="00FB3C2A" w:rsidRDefault="00396DE0" w:rsidP="009B5341">
            <w:pPr>
              <w:shd w:val="clear" w:color="auto" w:fill="FFFFFF" w:themeFill="background1"/>
              <w:ind w:left="-113" w:right="-113"/>
              <w:jc w:val="center"/>
            </w:pPr>
            <w:r w:rsidRPr="00FB3C2A">
              <w:t xml:space="preserve">на </w:t>
            </w:r>
          </w:p>
          <w:p w14:paraId="50FD7C49" w14:textId="77777777" w:rsidR="00396DE0" w:rsidRPr="00FB3C2A" w:rsidRDefault="00396DE0" w:rsidP="009B5341">
            <w:pPr>
              <w:shd w:val="clear" w:color="auto" w:fill="FFFFFF" w:themeFill="background1"/>
              <w:ind w:left="-113" w:right="-113"/>
              <w:jc w:val="center"/>
            </w:pPr>
            <w:r w:rsidRPr="00FB3C2A">
              <w:t>01.02.20_</w:t>
            </w:r>
          </w:p>
        </w:tc>
        <w:tc>
          <w:tcPr>
            <w:tcW w:w="928" w:type="dxa"/>
            <w:gridSpan w:val="2"/>
            <w:shd w:val="clear" w:color="auto" w:fill="auto"/>
            <w:vAlign w:val="center"/>
          </w:tcPr>
          <w:p w14:paraId="2795D456" w14:textId="77777777" w:rsidR="00396DE0" w:rsidRPr="00FB3C2A" w:rsidRDefault="00396DE0" w:rsidP="009B5341">
            <w:pPr>
              <w:shd w:val="clear" w:color="auto" w:fill="FFFFFF" w:themeFill="background1"/>
              <w:ind w:left="-113" w:right="-113"/>
              <w:jc w:val="center"/>
            </w:pPr>
            <w:r w:rsidRPr="00FB3C2A">
              <w:t>…_</w:t>
            </w:r>
          </w:p>
        </w:tc>
        <w:tc>
          <w:tcPr>
            <w:tcW w:w="1130" w:type="dxa"/>
            <w:shd w:val="clear" w:color="auto" w:fill="auto"/>
            <w:vAlign w:val="center"/>
          </w:tcPr>
          <w:p w14:paraId="39FFBC96" w14:textId="77777777" w:rsidR="00396DE0" w:rsidRPr="00FB3C2A" w:rsidRDefault="00396DE0" w:rsidP="009B5341">
            <w:pPr>
              <w:shd w:val="clear" w:color="auto" w:fill="FFFFFF" w:themeFill="background1"/>
              <w:ind w:left="-113" w:right="-113"/>
              <w:jc w:val="center"/>
            </w:pPr>
            <w:r w:rsidRPr="00FB3C2A">
              <w:t xml:space="preserve">на </w:t>
            </w:r>
          </w:p>
          <w:p w14:paraId="22F29C10" w14:textId="77777777" w:rsidR="00396DE0" w:rsidRPr="00FB3C2A" w:rsidRDefault="00396DE0" w:rsidP="009B5341">
            <w:pPr>
              <w:shd w:val="clear" w:color="auto" w:fill="FFFFFF" w:themeFill="background1"/>
              <w:ind w:left="-113" w:right="-113"/>
              <w:jc w:val="center"/>
            </w:pPr>
            <w:r w:rsidRPr="00FB3C2A">
              <w:t>01.01.20_</w:t>
            </w:r>
          </w:p>
        </w:tc>
        <w:tc>
          <w:tcPr>
            <w:tcW w:w="1978" w:type="dxa"/>
            <w:shd w:val="clear" w:color="auto" w:fill="auto"/>
            <w:vAlign w:val="center"/>
          </w:tcPr>
          <w:p w14:paraId="5059D5EC" w14:textId="77777777" w:rsidR="00396DE0" w:rsidRPr="00FB3C2A" w:rsidRDefault="00396DE0" w:rsidP="009B5341">
            <w:pPr>
              <w:shd w:val="clear" w:color="auto" w:fill="FFFFFF" w:themeFill="background1"/>
              <w:ind w:left="-113" w:right="-113"/>
              <w:jc w:val="center"/>
            </w:pPr>
            <w:r w:rsidRPr="00FB3C2A">
              <w:t>на</w:t>
            </w:r>
            <w:r w:rsidRPr="00FB3C2A">
              <w:br/>
              <w:t>01.02.20_</w:t>
            </w:r>
          </w:p>
        </w:tc>
        <w:tc>
          <w:tcPr>
            <w:tcW w:w="1150" w:type="dxa"/>
            <w:gridSpan w:val="2"/>
            <w:shd w:val="clear" w:color="auto" w:fill="auto"/>
            <w:vAlign w:val="center"/>
          </w:tcPr>
          <w:p w14:paraId="21709CD9" w14:textId="77777777" w:rsidR="00396DE0" w:rsidRPr="00FB3C2A" w:rsidRDefault="00396DE0" w:rsidP="009B5341">
            <w:pPr>
              <w:shd w:val="clear" w:color="auto" w:fill="FFFFFF" w:themeFill="background1"/>
              <w:ind w:left="-113" w:right="-113"/>
              <w:jc w:val="center"/>
            </w:pPr>
            <w:r w:rsidRPr="00FB3C2A">
              <w:t>…</w:t>
            </w:r>
          </w:p>
        </w:tc>
        <w:tc>
          <w:tcPr>
            <w:tcW w:w="1268" w:type="dxa"/>
            <w:shd w:val="clear" w:color="auto" w:fill="auto"/>
            <w:vAlign w:val="center"/>
          </w:tcPr>
          <w:p w14:paraId="783DE9B3" w14:textId="77777777" w:rsidR="00396DE0" w:rsidRPr="00FB3C2A" w:rsidRDefault="00396DE0" w:rsidP="009B5341">
            <w:pPr>
              <w:shd w:val="clear" w:color="auto" w:fill="FFFFFF" w:themeFill="background1"/>
              <w:ind w:left="-104" w:right="-100" w:hanging="151"/>
              <w:jc w:val="center"/>
            </w:pPr>
            <w:r w:rsidRPr="00FB3C2A">
              <w:t>на</w:t>
            </w:r>
            <w:r w:rsidRPr="00FB3C2A">
              <w:br/>
              <w:t>01.01.20_</w:t>
            </w:r>
          </w:p>
        </w:tc>
      </w:tr>
      <w:tr w:rsidR="00396DE0" w:rsidRPr="000D07CA" w14:paraId="54B96DA3" w14:textId="77777777" w:rsidTr="009350E8">
        <w:trPr>
          <w:trHeight w:val="106"/>
        </w:trPr>
        <w:tc>
          <w:tcPr>
            <w:tcW w:w="523" w:type="dxa"/>
            <w:shd w:val="clear" w:color="auto" w:fill="auto"/>
            <w:vAlign w:val="center"/>
          </w:tcPr>
          <w:p w14:paraId="55B9EA2E" w14:textId="77777777" w:rsidR="00396DE0" w:rsidRPr="00FB3C2A" w:rsidRDefault="00396DE0" w:rsidP="009B5341">
            <w:pPr>
              <w:shd w:val="clear" w:color="auto" w:fill="FFFFFF" w:themeFill="background1"/>
              <w:jc w:val="center"/>
            </w:pPr>
            <w:r w:rsidRPr="00FB3C2A">
              <w:t>1</w:t>
            </w:r>
          </w:p>
        </w:tc>
        <w:tc>
          <w:tcPr>
            <w:tcW w:w="802" w:type="dxa"/>
            <w:gridSpan w:val="3"/>
            <w:shd w:val="clear" w:color="auto" w:fill="auto"/>
          </w:tcPr>
          <w:p w14:paraId="5859B78F" w14:textId="77777777" w:rsidR="00396DE0" w:rsidRPr="00FB3C2A" w:rsidRDefault="00396DE0" w:rsidP="009B5341">
            <w:pPr>
              <w:shd w:val="clear" w:color="auto" w:fill="FFFFFF" w:themeFill="background1"/>
              <w:jc w:val="center"/>
            </w:pPr>
            <w:r w:rsidRPr="00FB3C2A">
              <w:t>2</w:t>
            </w:r>
          </w:p>
        </w:tc>
        <w:tc>
          <w:tcPr>
            <w:tcW w:w="6308" w:type="dxa"/>
            <w:shd w:val="clear" w:color="auto" w:fill="auto"/>
            <w:vAlign w:val="center"/>
          </w:tcPr>
          <w:p w14:paraId="04E3C26B" w14:textId="77777777" w:rsidR="00396DE0" w:rsidRPr="00FB3C2A" w:rsidRDefault="00396DE0" w:rsidP="009B5341">
            <w:pPr>
              <w:shd w:val="clear" w:color="auto" w:fill="FFFFFF" w:themeFill="background1"/>
              <w:jc w:val="center"/>
            </w:pPr>
            <w:r w:rsidRPr="00FB3C2A">
              <w:t>3</w:t>
            </w:r>
          </w:p>
        </w:tc>
        <w:tc>
          <w:tcPr>
            <w:tcW w:w="1224" w:type="dxa"/>
            <w:shd w:val="clear" w:color="auto" w:fill="auto"/>
            <w:vAlign w:val="center"/>
          </w:tcPr>
          <w:p w14:paraId="30A631B4" w14:textId="77777777" w:rsidR="00396DE0" w:rsidRPr="00FB3C2A" w:rsidRDefault="00396DE0" w:rsidP="009B5341">
            <w:pPr>
              <w:shd w:val="clear" w:color="auto" w:fill="FFFFFF" w:themeFill="background1"/>
              <w:jc w:val="center"/>
            </w:pPr>
            <w:r w:rsidRPr="00FB3C2A">
              <w:t>4</w:t>
            </w:r>
          </w:p>
        </w:tc>
        <w:tc>
          <w:tcPr>
            <w:tcW w:w="928" w:type="dxa"/>
            <w:gridSpan w:val="2"/>
            <w:shd w:val="clear" w:color="auto" w:fill="auto"/>
          </w:tcPr>
          <w:p w14:paraId="72CD8E05" w14:textId="77777777" w:rsidR="00396DE0" w:rsidRPr="00FB3C2A" w:rsidRDefault="00396DE0" w:rsidP="009B5341">
            <w:pPr>
              <w:shd w:val="clear" w:color="auto" w:fill="FFFFFF" w:themeFill="background1"/>
              <w:jc w:val="center"/>
            </w:pPr>
            <w:r w:rsidRPr="00FB3C2A">
              <w:t>5</w:t>
            </w:r>
          </w:p>
        </w:tc>
        <w:tc>
          <w:tcPr>
            <w:tcW w:w="1130" w:type="dxa"/>
            <w:shd w:val="clear" w:color="auto" w:fill="auto"/>
          </w:tcPr>
          <w:p w14:paraId="52CE4888" w14:textId="77777777" w:rsidR="00396DE0" w:rsidRPr="00FB3C2A" w:rsidRDefault="00396DE0" w:rsidP="009B5341">
            <w:pPr>
              <w:shd w:val="clear" w:color="auto" w:fill="FFFFFF" w:themeFill="background1"/>
              <w:jc w:val="center"/>
            </w:pPr>
            <w:r w:rsidRPr="00FB3C2A">
              <w:t>6</w:t>
            </w:r>
          </w:p>
        </w:tc>
        <w:tc>
          <w:tcPr>
            <w:tcW w:w="1978" w:type="dxa"/>
            <w:shd w:val="clear" w:color="auto" w:fill="auto"/>
          </w:tcPr>
          <w:p w14:paraId="4EC166D7" w14:textId="77777777" w:rsidR="00396DE0" w:rsidRPr="00FB3C2A" w:rsidRDefault="00396DE0" w:rsidP="009B5341">
            <w:pPr>
              <w:shd w:val="clear" w:color="auto" w:fill="FFFFFF" w:themeFill="background1"/>
              <w:jc w:val="center"/>
            </w:pPr>
            <w:r w:rsidRPr="00FB3C2A">
              <w:t>7</w:t>
            </w:r>
          </w:p>
        </w:tc>
        <w:tc>
          <w:tcPr>
            <w:tcW w:w="1150" w:type="dxa"/>
            <w:gridSpan w:val="2"/>
            <w:shd w:val="clear" w:color="auto" w:fill="auto"/>
          </w:tcPr>
          <w:p w14:paraId="6C933359" w14:textId="77777777" w:rsidR="00396DE0" w:rsidRPr="00FB3C2A" w:rsidRDefault="00396DE0" w:rsidP="009B5341">
            <w:pPr>
              <w:shd w:val="clear" w:color="auto" w:fill="FFFFFF" w:themeFill="background1"/>
              <w:jc w:val="center"/>
            </w:pPr>
            <w:r w:rsidRPr="00FB3C2A">
              <w:t>8</w:t>
            </w:r>
          </w:p>
        </w:tc>
        <w:tc>
          <w:tcPr>
            <w:tcW w:w="1268" w:type="dxa"/>
            <w:shd w:val="clear" w:color="auto" w:fill="auto"/>
          </w:tcPr>
          <w:p w14:paraId="6625D717" w14:textId="77777777" w:rsidR="00396DE0" w:rsidRPr="00FB3C2A" w:rsidRDefault="00396DE0" w:rsidP="009B5341">
            <w:pPr>
              <w:shd w:val="clear" w:color="auto" w:fill="FFFFFF" w:themeFill="background1"/>
              <w:jc w:val="center"/>
            </w:pPr>
            <w:r w:rsidRPr="00FB3C2A">
              <w:t>9</w:t>
            </w:r>
          </w:p>
        </w:tc>
      </w:tr>
      <w:tr w:rsidR="00396DE0" w:rsidRPr="000D07CA" w14:paraId="4D7F0640" w14:textId="77777777" w:rsidTr="0099562D">
        <w:tc>
          <w:tcPr>
            <w:tcW w:w="523" w:type="dxa"/>
            <w:shd w:val="clear" w:color="auto" w:fill="auto"/>
            <w:vAlign w:val="center"/>
          </w:tcPr>
          <w:p w14:paraId="68AFEFB6" w14:textId="77777777" w:rsidR="00396DE0" w:rsidRPr="00FB3C2A" w:rsidRDefault="00396DE0" w:rsidP="009B5341">
            <w:pPr>
              <w:jc w:val="center"/>
            </w:pPr>
            <w:r w:rsidRPr="00FB3C2A">
              <w:t>1</w:t>
            </w:r>
          </w:p>
        </w:tc>
        <w:tc>
          <w:tcPr>
            <w:tcW w:w="802" w:type="dxa"/>
            <w:gridSpan w:val="3"/>
            <w:shd w:val="clear" w:color="auto" w:fill="auto"/>
            <w:vAlign w:val="center"/>
          </w:tcPr>
          <w:p w14:paraId="408C0FBB" w14:textId="77777777" w:rsidR="00396DE0" w:rsidRPr="00FB3C2A" w:rsidRDefault="00396DE0" w:rsidP="009B5341">
            <w:pPr>
              <w:jc w:val="center"/>
            </w:pPr>
            <w:r w:rsidRPr="00FB3C2A">
              <w:t>І</w:t>
            </w:r>
          </w:p>
        </w:tc>
        <w:tc>
          <w:tcPr>
            <w:tcW w:w="13986" w:type="dxa"/>
            <w:gridSpan w:val="9"/>
            <w:shd w:val="clear" w:color="auto" w:fill="auto"/>
            <w:vAlign w:val="center"/>
          </w:tcPr>
          <w:p w14:paraId="58444103" w14:textId="77777777" w:rsidR="00396DE0" w:rsidRPr="00FB3C2A" w:rsidRDefault="00396DE0" w:rsidP="009B5341">
            <w:pPr>
              <w:jc w:val="center"/>
              <w:rPr>
                <w:highlight w:val="yellow"/>
              </w:rPr>
            </w:pPr>
            <w:r w:rsidRPr="00FB3C2A">
              <w:rPr>
                <w:rFonts w:eastAsia="Calibri"/>
              </w:rPr>
              <w:t>Оцінка достатності внутрішньої ліквідності за нормативною перспективою за базовим сценарієм</w:t>
            </w:r>
          </w:p>
        </w:tc>
      </w:tr>
      <w:tr w:rsidR="00856D7E" w:rsidRPr="000D07CA" w14:paraId="06DF93C7" w14:textId="77777777" w:rsidTr="0099562D">
        <w:tc>
          <w:tcPr>
            <w:tcW w:w="523" w:type="dxa"/>
            <w:shd w:val="clear" w:color="auto" w:fill="auto"/>
            <w:vAlign w:val="center"/>
          </w:tcPr>
          <w:p w14:paraId="1D1FB040" w14:textId="77777777" w:rsidR="00856D7E" w:rsidRPr="00FB3C2A" w:rsidRDefault="00856D7E" w:rsidP="009B5341">
            <w:pPr>
              <w:spacing w:before="40"/>
              <w:jc w:val="center"/>
            </w:pPr>
            <w:r w:rsidRPr="00FB3C2A">
              <w:t>2</w:t>
            </w:r>
          </w:p>
        </w:tc>
        <w:tc>
          <w:tcPr>
            <w:tcW w:w="802" w:type="dxa"/>
            <w:gridSpan w:val="3"/>
            <w:shd w:val="clear" w:color="auto" w:fill="auto"/>
            <w:vAlign w:val="center"/>
          </w:tcPr>
          <w:p w14:paraId="63B94969" w14:textId="77777777" w:rsidR="00856D7E" w:rsidRPr="00FB3C2A" w:rsidRDefault="00856D7E" w:rsidP="009B5341">
            <w:pPr>
              <w:spacing w:before="40"/>
              <w:jc w:val="center"/>
            </w:pPr>
            <w:r w:rsidRPr="00FB3C2A">
              <w:t>1</w:t>
            </w:r>
          </w:p>
        </w:tc>
        <w:tc>
          <w:tcPr>
            <w:tcW w:w="13986" w:type="dxa"/>
            <w:gridSpan w:val="9"/>
            <w:shd w:val="clear" w:color="auto" w:fill="auto"/>
            <w:vAlign w:val="center"/>
          </w:tcPr>
          <w:p w14:paraId="5041C997" w14:textId="0FAE28BD" w:rsidR="00856D7E" w:rsidRPr="00FB3C2A" w:rsidRDefault="00856D7E" w:rsidP="00856D7E">
            <w:pPr>
              <w:spacing w:before="40"/>
              <w:jc w:val="left"/>
            </w:pPr>
            <w:r w:rsidRPr="00FB3C2A">
              <w:t>Норматив LCR</w:t>
            </w:r>
            <w:r w:rsidRPr="00FB3C2A">
              <w:rPr>
                <w:vertAlign w:val="subscript"/>
              </w:rPr>
              <w:t>ВВ</w:t>
            </w:r>
          </w:p>
        </w:tc>
      </w:tr>
      <w:tr w:rsidR="00396DE0" w:rsidRPr="000D07CA" w14:paraId="6DF5CE7D" w14:textId="77777777" w:rsidTr="009350E8">
        <w:tc>
          <w:tcPr>
            <w:tcW w:w="523" w:type="dxa"/>
            <w:shd w:val="clear" w:color="auto" w:fill="FFFFFF" w:themeFill="background1"/>
            <w:vAlign w:val="center"/>
          </w:tcPr>
          <w:p w14:paraId="4A34FEAD" w14:textId="77777777" w:rsidR="00396DE0" w:rsidRPr="00FB3C2A" w:rsidRDefault="00396DE0" w:rsidP="009B5341">
            <w:pPr>
              <w:spacing w:before="40"/>
              <w:jc w:val="center"/>
            </w:pPr>
            <w:r w:rsidRPr="00FB3C2A">
              <w:t>3</w:t>
            </w:r>
          </w:p>
        </w:tc>
        <w:tc>
          <w:tcPr>
            <w:tcW w:w="802" w:type="dxa"/>
            <w:gridSpan w:val="3"/>
            <w:shd w:val="clear" w:color="auto" w:fill="FFFFFF" w:themeFill="background1"/>
            <w:vAlign w:val="center"/>
          </w:tcPr>
          <w:p w14:paraId="6E1B1454" w14:textId="77777777" w:rsidR="00396DE0" w:rsidRPr="00FB3C2A" w:rsidRDefault="00396DE0" w:rsidP="009B5341">
            <w:pPr>
              <w:spacing w:before="40"/>
              <w:jc w:val="center"/>
            </w:pPr>
            <w:r w:rsidRPr="00FB3C2A">
              <w:t>1.1</w:t>
            </w:r>
          </w:p>
        </w:tc>
        <w:tc>
          <w:tcPr>
            <w:tcW w:w="6308" w:type="dxa"/>
            <w:shd w:val="clear" w:color="auto" w:fill="FFFFFF" w:themeFill="background1"/>
            <w:vAlign w:val="center"/>
          </w:tcPr>
          <w:p w14:paraId="1FE7C06C" w14:textId="41D5D168" w:rsidR="00396DE0" w:rsidRPr="00FB3C2A" w:rsidRDefault="00396DE0" w:rsidP="009B5341">
            <w:pPr>
              <w:spacing w:before="40"/>
              <w:ind w:left="-57"/>
            </w:pPr>
            <w:r w:rsidRPr="00FB3C2A">
              <w:t>обсяг необхідної внутрішньої ліквідності (обсяг ВЛА</w:t>
            </w:r>
            <w:r w:rsidRPr="00FB3C2A">
              <w:rPr>
                <w:vertAlign w:val="subscript"/>
              </w:rPr>
              <w:t>ВВ</w:t>
            </w:r>
            <w:r w:rsidRPr="00FB3C2A">
              <w:t>)</w:t>
            </w:r>
            <w:r w:rsidR="0099562D" w:rsidRPr="00FB3C2A">
              <w:rPr>
                <w:iCs/>
              </w:rPr>
              <w:t>, тис. грн</w:t>
            </w:r>
          </w:p>
        </w:tc>
        <w:tc>
          <w:tcPr>
            <w:tcW w:w="1224" w:type="dxa"/>
            <w:shd w:val="clear" w:color="auto" w:fill="FFFFFF" w:themeFill="background1"/>
            <w:vAlign w:val="center"/>
          </w:tcPr>
          <w:p w14:paraId="18CDA3E9" w14:textId="77777777" w:rsidR="00396DE0" w:rsidRPr="00FB3C2A" w:rsidRDefault="00396DE0" w:rsidP="009B5341">
            <w:pPr>
              <w:spacing w:before="40"/>
              <w:jc w:val="center"/>
            </w:pPr>
          </w:p>
        </w:tc>
        <w:tc>
          <w:tcPr>
            <w:tcW w:w="928" w:type="dxa"/>
            <w:gridSpan w:val="2"/>
            <w:shd w:val="clear" w:color="auto" w:fill="FFFFFF" w:themeFill="background1"/>
            <w:vAlign w:val="center"/>
          </w:tcPr>
          <w:p w14:paraId="2415EFB9" w14:textId="77777777" w:rsidR="00396DE0" w:rsidRPr="00FB3C2A" w:rsidRDefault="00396DE0" w:rsidP="009B5341">
            <w:pPr>
              <w:spacing w:before="40"/>
              <w:jc w:val="center"/>
            </w:pPr>
          </w:p>
        </w:tc>
        <w:tc>
          <w:tcPr>
            <w:tcW w:w="1130" w:type="dxa"/>
            <w:shd w:val="clear" w:color="auto" w:fill="FFFFFF" w:themeFill="background1"/>
            <w:vAlign w:val="center"/>
          </w:tcPr>
          <w:p w14:paraId="789A4A05" w14:textId="77777777" w:rsidR="00396DE0" w:rsidRPr="00FB3C2A" w:rsidRDefault="00396DE0" w:rsidP="009B5341">
            <w:pPr>
              <w:spacing w:before="40"/>
              <w:jc w:val="center"/>
            </w:pPr>
          </w:p>
        </w:tc>
        <w:tc>
          <w:tcPr>
            <w:tcW w:w="1978" w:type="dxa"/>
            <w:shd w:val="clear" w:color="auto" w:fill="auto"/>
          </w:tcPr>
          <w:p w14:paraId="52169C66" w14:textId="77777777" w:rsidR="00396DE0" w:rsidRPr="00FB3C2A" w:rsidRDefault="00396DE0" w:rsidP="009B5341">
            <w:pPr>
              <w:spacing w:before="40"/>
              <w:jc w:val="center"/>
            </w:pPr>
            <w:r w:rsidRPr="00FB3C2A">
              <w:t>X</w:t>
            </w:r>
          </w:p>
        </w:tc>
        <w:tc>
          <w:tcPr>
            <w:tcW w:w="1150" w:type="dxa"/>
            <w:gridSpan w:val="2"/>
            <w:shd w:val="clear" w:color="auto" w:fill="auto"/>
          </w:tcPr>
          <w:p w14:paraId="487AD530" w14:textId="77777777" w:rsidR="00396DE0" w:rsidRPr="00FB3C2A" w:rsidRDefault="00396DE0" w:rsidP="009B5341">
            <w:pPr>
              <w:spacing w:before="40"/>
              <w:jc w:val="center"/>
            </w:pPr>
            <w:r w:rsidRPr="00FB3C2A">
              <w:t>X</w:t>
            </w:r>
          </w:p>
        </w:tc>
        <w:tc>
          <w:tcPr>
            <w:tcW w:w="1268" w:type="dxa"/>
            <w:shd w:val="clear" w:color="auto" w:fill="auto"/>
          </w:tcPr>
          <w:p w14:paraId="2B516E00" w14:textId="77777777" w:rsidR="00396DE0" w:rsidRPr="00FB3C2A" w:rsidRDefault="00396DE0" w:rsidP="009B5341">
            <w:pPr>
              <w:spacing w:before="40"/>
              <w:jc w:val="center"/>
            </w:pPr>
            <w:r w:rsidRPr="00FB3C2A">
              <w:t>X</w:t>
            </w:r>
          </w:p>
        </w:tc>
      </w:tr>
      <w:tr w:rsidR="00396DE0" w:rsidRPr="000D07CA" w14:paraId="2516AD1D" w14:textId="77777777" w:rsidTr="009350E8">
        <w:tc>
          <w:tcPr>
            <w:tcW w:w="523" w:type="dxa"/>
            <w:shd w:val="clear" w:color="auto" w:fill="FFFFFF" w:themeFill="background1"/>
            <w:vAlign w:val="center"/>
          </w:tcPr>
          <w:p w14:paraId="09FF7F1C" w14:textId="77777777" w:rsidR="00396DE0" w:rsidRPr="00FB3C2A" w:rsidRDefault="00396DE0" w:rsidP="009B5341">
            <w:pPr>
              <w:spacing w:before="40"/>
              <w:jc w:val="center"/>
            </w:pPr>
            <w:r w:rsidRPr="00FB3C2A">
              <w:t>4</w:t>
            </w:r>
          </w:p>
        </w:tc>
        <w:tc>
          <w:tcPr>
            <w:tcW w:w="802" w:type="dxa"/>
            <w:gridSpan w:val="3"/>
            <w:shd w:val="clear" w:color="auto" w:fill="FFFFFF" w:themeFill="background1"/>
            <w:vAlign w:val="center"/>
          </w:tcPr>
          <w:p w14:paraId="29BC05A7" w14:textId="77777777" w:rsidR="00396DE0" w:rsidRPr="00FB3C2A" w:rsidRDefault="00396DE0" w:rsidP="009B5341">
            <w:pPr>
              <w:spacing w:before="40"/>
              <w:jc w:val="center"/>
            </w:pPr>
            <w:r w:rsidRPr="00FB3C2A">
              <w:t>1.2</w:t>
            </w:r>
          </w:p>
        </w:tc>
        <w:tc>
          <w:tcPr>
            <w:tcW w:w="6308" w:type="dxa"/>
            <w:shd w:val="clear" w:color="auto" w:fill="FFFFFF" w:themeFill="background1"/>
            <w:vAlign w:val="center"/>
          </w:tcPr>
          <w:p w14:paraId="2D319F27" w14:textId="5EA2096E" w:rsidR="00396DE0" w:rsidRPr="00FB3C2A" w:rsidRDefault="00396DE0" w:rsidP="009B5341">
            <w:pPr>
              <w:spacing w:before="40"/>
              <w:ind w:left="-57"/>
            </w:pPr>
            <w:r w:rsidRPr="00FB3C2A">
              <w:t>обсяг доступної внутрішньої ліквідності (обсяг ВЛА</w:t>
            </w:r>
            <w:r w:rsidRPr="00FB3C2A">
              <w:rPr>
                <w:vertAlign w:val="subscript"/>
              </w:rPr>
              <w:t>ВВ</w:t>
            </w:r>
            <w:r w:rsidRPr="00FB3C2A">
              <w:t>)</w:t>
            </w:r>
            <w:r w:rsidR="0099562D" w:rsidRPr="00FB3C2A">
              <w:rPr>
                <w:iCs/>
              </w:rPr>
              <w:t>, тис. грн</w:t>
            </w:r>
          </w:p>
        </w:tc>
        <w:tc>
          <w:tcPr>
            <w:tcW w:w="1224" w:type="dxa"/>
            <w:shd w:val="clear" w:color="auto" w:fill="FFFFFF" w:themeFill="background1"/>
            <w:vAlign w:val="center"/>
          </w:tcPr>
          <w:p w14:paraId="63B35995" w14:textId="77777777" w:rsidR="00396DE0" w:rsidRPr="00FB3C2A" w:rsidRDefault="00396DE0" w:rsidP="009B5341">
            <w:pPr>
              <w:spacing w:before="40"/>
              <w:jc w:val="center"/>
            </w:pPr>
          </w:p>
        </w:tc>
        <w:tc>
          <w:tcPr>
            <w:tcW w:w="928" w:type="dxa"/>
            <w:gridSpan w:val="2"/>
            <w:shd w:val="clear" w:color="auto" w:fill="FFFFFF" w:themeFill="background1"/>
            <w:vAlign w:val="center"/>
          </w:tcPr>
          <w:p w14:paraId="72808EBB" w14:textId="77777777" w:rsidR="00396DE0" w:rsidRPr="00FB3C2A" w:rsidRDefault="00396DE0" w:rsidP="009B5341">
            <w:pPr>
              <w:spacing w:before="40"/>
              <w:jc w:val="center"/>
            </w:pPr>
          </w:p>
        </w:tc>
        <w:tc>
          <w:tcPr>
            <w:tcW w:w="1130" w:type="dxa"/>
            <w:shd w:val="clear" w:color="auto" w:fill="FFFFFF" w:themeFill="background1"/>
            <w:vAlign w:val="center"/>
          </w:tcPr>
          <w:p w14:paraId="48F08176" w14:textId="77777777" w:rsidR="00396DE0" w:rsidRPr="00FB3C2A" w:rsidRDefault="00396DE0" w:rsidP="009B5341">
            <w:pPr>
              <w:spacing w:before="40"/>
              <w:jc w:val="center"/>
            </w:pPr>
          </w:p>
        </w:tc>
        <w:tc>
          <w:tcPr>
            <w:tcW w:w="1978" w:type="dxa"/>
            <w:shd w:val="clear" w:color="auto" w:fill="auto"/>
          </w:tcPr>
          <w:p w14:paraId="4DA36A80" w14:textId="77777777" w:rsidR="00396DE0" w:rsidRPr="00FB3C2A" w:rsidRDefault="00396DE0" w:rsidP="009B5341">
            <w:pPr>
              <w:spacing w:before="40"/>
              <w:jc w:val="center"/>
            </w:pPr>
            <w:r w:rsidRPr="00FB3C2A">
              <w:t>X</w:t>
            </w:r>
          </w:p>
        </w:tc>
        <w:tc>
          <w:tcPr>
            <w:tcW w:w="1150" w:type="dxa"/>
            <w:gridSpan w:val="2"/>
            <w:shd w:val="clear" w:color="auto" w:fill="auto"/>
          </w:tcPr>
          <w:p w14:paraId="11399A27" w14:textId="77777777" w:rsidR="00396DE0" w:rsidRPr="00FB3C2A" w:rsidRDefault="00396DE0" w:rsidP="009B5341">
            <w:pPr>
              <w:spacing w:before="40"/>
              <w:jc w:val="center"/>
            </w:pPr>
            <w:r w:rsidRPr="00FB3C2A">
              <w:t>X</w:t>
            </w:r>
          </w:p>
        </w:tc>
        <w:tc>
          <w:tcPr>
            <w:tcW w:w="1268" w:type="dxa"/>
            <w:shd w:val="clear" w:color="auto" w:fill="auto"/>
          </w:tcPr>
          <w:p w14:paraId="69DB81FD" w14:textId="77777777" w:rsidR="00396DE0" w:rsidRPr="00FB3C2A" w:rsidRDefault="00396DE0" w:rsidP="009B5341">
            <w:pPr>
              <w:spacing w:before="40"/>
              <w:jc w:val="center"/>
            </w:pPr>
            <w:r w:rsidRPr="00FB3C2A">
              <w:t>X</w:t>
            </w:r>
          </w:p>
        </w:tc>
      </w:tr>
      <w:tr w:rsidR="0091727A" w:rsidRPr="000D07CA" w14:paraId="14D0D179" w14:textId="77777777" w:rsidTr="0099562D">
        <w:tc>
          <w:tcPr>
            <w:tcW w:w="523" w:type="dxa"/>
            <w:shd w:val="clear" w:color="auto" w:fill="FFFFFF" w:themeFill="background1"/>
            <w:vAlign w:val="center"/>
          </w:tcPr>
          <w:p w14:paraId="71FC0215" w14:textId="77777777" w:rsidR="0091727A" w:rsidRPr="00FB3C2A" w:rsidRDefault="0091727A" w:rsidP="009B5341">
            <w:pPr>
              <w:spacing w:before="40"/>
              <w:jc w:val="center"/>
            </w:pPr>
            <w:r w:rsidRPr="00FB3C2A">
              <w:t>5</w:t>
            </w:r>
          </w:p>
        </w:tc>
        <w:tc>
          <w:tcPr>
            <w:tcW w:w="802" w:type="dxa"/>
            <w:gridSpan w:val="3"/>
            <w:shd w:val="clear" w:color="auto" w:fill="FFFFFF" w:themeFill="background1"/>
            <w:vAlign w:val="center"/>
          </w:tcPr>
          <w:p w14:paraId="6BE8C395" w14:textId="77777777" w:rsidR="0091727A" w:rsidRPr="00FB3C2A" w:rsidRDefault="0091727A" w:rsidP="009B5341">
            <w:pPr>
              <w:spacing w:before="40"/>
              <w:jc w:val="center"/>
            </w:pPr>
            <w:r w:rsidRPr="00FB3C2A">
              <w:t>1.3</w:t>
            </w:r>
          </w:p>
        </w:tc>
        <w:tc>
          <w:tcPr>
            <w:tcW w:w="13986" w:type="dxa"/>
            <w:gridSpan w:val="9"/>
            <w:shd w:val="clear" w:color="auto" w:fill="FFFFFF" w:themeFill="background1"/>
          </w:tcPr>
          <w:p w14:paraId="4D176029" w14:textId="1318DC64" w:rsidR="0091727A" w:rsidRPr="00FB3C2A" w:rsidRDefault="0091727A" w:rsidP="0091727A">
            <w:pPr>
              <w:spacing w:before="40"/>
              <w:ind w:left="-57"/>
            </w:pPr>
            <w:r w:rsidRPr="00FB3C2A">
              <w:t xml:space="preserve">різниця між доступною та необхідною внутрішньою ліквідністю </w:t>
            </w:r>
          </w:p>
        </w:tc>
      </w:tr>
      <w:tr w:rsidR="00396DE0" w:rsidRPr="000D07CA" w14:paraId="2DEF5004" w14:textId="77777777" w:rsidTr="009350E8">
        <w:tc>
          <w:tcPr>
            <w:tcW w:w="523" w:type="dxa"/>
            <w:shd w:val="clear" w:color="auto" w:fill="FFFFFF" w:themeFill="background1"/>
            <w:vAlign w:val="center"/>
          </w:tcPr>
          <w:p w14:paraId="2A00DADC" w14:textId="77777777" w:rsidR="00396DE0" w:rsidRPr="00FB3C2A" w:rsidRDefault="00396DE0" w:rsidP="009B5341">
            <w:pPr>
              <w:spacing w:before="40"/>
              <w:jc w:val="center"/>
            </w:pPr>
            <w:r w:rsidRPr="00FB3C2A">
              <w:t>6</w:t>
            </w:r>
          </w:p>
        </w:tc>
        <w:tc>
          <w:tcPr>
            <w:tcW w:w="802" w:type="dxa"/>
            <w:gridSpan w:val="3"/>
            <w:shd w:val="clear" w:color="auto" w:fill="FFFFFF" w:themeFill="background1"/>
            <w:vAlign w:val="center"/>
          </w:tcPr>
          <w:p w14:paraId="7DD903D5" w14:textId="77777777" w:rsidR="00396DE0" w:rsidRPr="00FB3C2A" w:rsidRDefault="00396DE0" w:rsidP="009B5341">
            <w:pPr>
              <w:spacing w:before="40"/>
              <w:jc w:val="center"/>
            </w:pPr>
            <w:r w:rsidRPr="00FB3C2A">
              <w:rPr>
                <w:iCs/>
              </w:rPr>
              <w:t>1.3.1</w:t>
            </w:r>
          </w:p>
        </w:tc>
        <w:tc>
          <w:tcPr>
            <w:tcW w:w="6308" w:type="dxa"/>
            <w:shd w:val="clear" w:color="auto" w:fill="FFFFFF" w:themeFill="background1"/>
          </w:tcPr>
          <w:p w14:paraId="09750163" w14:textId="77777777" w:rsidR="00396DE0" w:rsidRPr="00FB3C2A" w:rsidRDefault="00396DE0" w:rsidP="009B5341">
            <w:pPr>
              <w:spacing w:before="40"/>
              <w:ind w:left="-57"/>
            </w:pPr>
            <w:r w:rsidRPr="00FB3C2A">
              <w:rPr>
                <w:iCs/>
              </w:rPr>
              <w:t>позитивна різниця (</w:t>
            </w:r>
            <w:r w:rsidRPr="00FB3C2A">
              <w:t xml:space="preserve">немає потреби </w:t>
            </w:r>
            <w:r w:rsidRPr="00FB3C2A">
              <w:rPr>
                <w:iCs/>
              </w:rPr>
              <w:t>у ВЛА</w:t>
            </w:r>
            <w:r w:rsidRPr="00FB3C2A">
              <w:rPr>
                <w:iCs/>
                <w:vertAlign w:val="subscript"/>
              </w:rPr>
              <w:t>ВВ</w:t>
            </w:r>
            <w:r w:rsidRPr="00FB3C2A">
              <w:rPr>
                <w:iCs/>
              </w:rPr>
              <w:t xml:space="preserve">), тис. грн </w:t>
            </w:r>
          </w:p>
        </w:tc>
        <w:tc>
          <w:tcPr>
            <w:tcW w:w="1224" w:type="dxa"/>
            <w:shd w:val="clear" w:color="auto" w:fill="FFFFFF" w:themeFill="background1"/>
            <w:vAlign w:val="center"/>
          </w:tcPr>
          <w:p w14:paraId="68C2E1F1" w14:textId="77777777" w:rsidR="00396DE0" w:rsidRPr="00FB3C2A" w:rsidRDefault="00396DE0" w:rsidP="009B5341">
            <w:pPr>
              <w:spacing w:before="40"/>
              <w:jc w:val="center"/>
            </w:pPr>
          </w:p>
        </w:tc>
        <w:tc>
          <w:tcPr>
            <w:tcW w:w="928" w:type="dxa"/>
            <w:gridSpan w:val="2"/>
            <w:shd w:val="clear" w:color="auto" w:fill="FFFFFF" w:themeFill="background1"/>
            <w:vAlign w:val="center"/>
          </w:tcPr>
          <w:p w14:paraId="1762D67C" w14:textId="77777777" w:rsidR="00396DE0" w:rsidRPr="00FB3C2A" w:rsidRDefault="00396DE0" w:rsidP="009B5341">
            <w:pPr>
              <w:spacing w:before="40"/>
              <w:jc w:val="center"/>
            </w:pPr>
          </w:p>
        </w:tc>
        <w:tc>
          <w:tcPr>
            <w:tcW w:w="1130" w:type="dxa"/>
            <w:shd w:val="clear" w:color="auto" w:fill="FFFFFF" w:themeFill="background1"/>
            <w:vAlign w:val="center"/>
          </w:tcPr>
          <w:p w14:paraId="45CB1728" w14:textId="77777777" w:rsidR="00396DE0" w:rsidRPr="00FB3C2A" w:rsidRDefault="00396DE0" w:rsidP="009B5341">
            <w:pPr>
              <w:spacing w:before="40"/>
              <w:jc w:val="center"/>
            </w:pPr>
          </w:p>
        </w:tc>
        <w:tc>
          <w:tcPr>
            <w:tcW w:w="1978" w:type="dxa"/>
            <w:shd w:val="clear" w:color="auto" w:fill="auto"/>
          </w:tcPr>
          <w:p w14:paraId="1B4437A5" w14:textId="77777777" w:rsidR="00396DE0" w:rsidRPr="00FB3C2A" w:rsidRDefault="00396DE0" w:rsidP="009B5341">
            <w:pPr>
              <w:spacing w:before="40"/>
              <w:jc w:val="center"/>
            </w:pPr>
            <w:r w:rsidRPr="00FB3C2A">
              <w:t>X</w:t>
            </w:r>
          </w:p>
        </w:tc>
        <w:tc>
          <w:tcPr>
            <w:tcW w:w="1150" w:type="dxa"/>
            <w:gridSpan w:val="2"/>
            <w:shd w:val="clear" w:color="auto" w:fill="auto"/>
          </w:tcPr>
          <w:p w14:paraId="23176DD0" w14:textId="77777777" w:rsidR="00396DE0" w:rsidRPr="00FB3C2A" w:rsidRDefault="00396DE0" w:rsidP="009B5341">
            <w:pPr>
              <w:spacing w:before="40"/>
              <w:jc w:val="center"/>
            </w:pPr>
            <w:r w:rsidRPr="00FB3C2A">
              <w:t>X</w:t>
            </w:r>
          </w:p>
        </w:tc>
        <w:tc>
          <w:tcPr>
            <w:tcW w:w="1268" w:type="dxa"/>
            <w:shd w:val="clear" w:color="auto" w:fill="auto"/>
          </w:tcPr>
          <w:p w14:paraId="54DC993B" w14:textId="77777777" w:rsidR="00396DE0" w:rsidRPr="00FB3C2A" w:rsidRDefault="00396DE0" w:rsidP="009B5341">
            <w:pPr>
              <w:spacing w:before="40"/>
              <w:jc w:val="center"/>
            </w:pPr>
            <w:r w:rsidRPr="00FB3C2A">
              <w:t>X</w:t>
            </w:r>
          </w:p>
        </w:tc>
      </w:tr>
      <w:tr w:rsidR="0099562D" w:rsidRPr="000D07CA" w14:paraId="4EFE76BE" w14:textId="77777777" w:rsidTr="009350E8">
        <w:trPr>
          <w:trHeight w:val="106"/>
        </w:trPr>
        <w:tc>
          <w:tcPr>
            <w:tcW w:w="523" w:type="dxa"/>
          </w:tcPr>
          <w:p w14:paraId="3478245C" w14:textId="77777777" w:rsidR="0099562D" w:rsidRPr="00FB3C2A" w:rsidRDefault="0099562D" w:rsidP="000F6BDE">
            <w:pPr>
              <w:shd w:val="clear" w:color="auto" w:fill="FFFFFF" w:themeFill="background1"/>
              <w:jc w:val="center"/>
            </w:pPr>
            <w:r w:rsidRPr="00FB3C2A">
              <w:lastRenderedPageBreak/>
              <w:t>1</w:t>
            </w:r>
          </w:p>
        </w:tc>
        <w:tc>
          <w:tcPr>
            <w:tcW w:w="802" w:type="dxa"/>
            <w:gridSpan w:val="3"/>
          </w:tcPr>
          <w:p w14:paraId="0017A91B" w14:textId="77777777" w:rsidR="0099562D" w:rsidRPr="00FB3C2A" w:rsidRDefault="0099562D" w:rsidP="000F6BDE">
            <w:pPr>
              <w:shd w:val="clear" w:color="auto" w:fill="FFFFFF" w:themeFill="background1"/>
              <w:jc w:val="center"/>
            </w:pPr>
            <w:r w:rsidRPr="00FB3C2A">
              <w:t>2</w:t>
            </w:r>
          </w:p>
        </w:tc>
        <w:tc>
          <w:tcPr>
            <w:tcW w:w="6308" w:type="dxa"/>
          </w:tcPr>
          <w:p w14:paraId="26BF0F75" w14:textId="77777777" w:rsidR="0099562D" w:rsidRPr="00FB3C2A" w:rsidRDefault="0099562D" w:rsidP="000F6BDE">
            <w:pPr>
              <w:shd w:val="clear" w:color="auto" w:fill="FFFFFF" w:themeFill="background1"/>
              <w:jc w:val="center"/>
            </w:pPr>
            <w:r w:rsidRPr="00FB3C2A">
              <w:t>3</w:t>
            </w:r>
          </w:p>
        </w:tc>
        <w:tc>
          <w:tcPr>
            <w:tcW w:w="1224" w:type="dxa"/>
          </w:tcPr>
          <w:p w14:paraId="0AC0BA26" w14:textId="77777777" w:rsidR="0099562D" w:rsidRPr="00FB3C2A" w:rsidRDefault="0099562D" w:rsidP="000F6BDE">
            <w:pPr>
              <w:shd w:val="clear" w:color="auto" w:fill="FFFFFF" w:themeFill="background1"/>
              <w:jc w:val="center"/>
            </w:pPr>
            <w:r w:rsidRPr="00FB3C2A">
              <w:t>4</w:t>
            </w:r>
          </w:p>
        </w:tc>
        <w:tc>
          <w:tcPr>
            <w:tcW w:w="928" w:type="dxa"/>
            <w:gridSpan w:val="2"/>
          </w:tcPr>
          <w:p w14:paraId="1EB1FF3A" w14:textId="77777777" w:rsidR="0099562D" w:rsidRPr="00FB3C2A" w:rsidRDefault="0099562D" w:rsidP="000F6BDE">
            <w:pPr>
              <w:shd w:val="clear" w:color="auto" w:fill="FFFFFF" w:themeFill="background1"/>
              <w:jc w:val="center"/>
            </w:pPr>
            <w:r w:rsidRPr="00FB3C2A">
              <w:t>5</w:t>
            </w:r>
          </w:p>
        </w:tc>
        <w:tc>
          <w:tcPr>
            <w:tcW w:w="1130" w:type="dxa"/>
          </w:tcPr>
          <w:p w14:paraId="2D99091F" w14:textId="77777777" w:rsidR="0099562D" w:rsidRPr="00FB3C2A" w:rsidRDefault="0099562D" w:rsidP="000F6BDE">
            <w:pPr>
              <w:shd w:val="clear" w:color="auto" w:fill="FFFFFF" w:themeFill="background1"/>
              <w:jc w:val="center"/>
            </w:pPr>
            <w:r w:rsidRPr="00FB3C2A">
              <w:t>6</w:t>
            </w:r>
          </w:p>
        </w:tc>
        <w:tc>
          <w:tcPr>
            <w:tcW w:w="1978" w:type="dxa"/>
          </w:tcPr>
          <w:p w14:paraId="62FFB4D0" w14:textId="77777777" w:rsidR="0099562D" w:rsidRPr="00FB3C2A" w:rsidRDefault="0099562D" w:rsidP="000F6BDE">
            <w:pPr>
              <w:shd w:val="clear" w:color="auto" w:fill="FFFFFF" w:themeFill="background1"/>
              <w:jc w:val="center"/>
            </w:pPr>
            <w:r w:rsidRPr="00FB3C2A">
              <w:t>7</w:t>
            </w:r>
          </w:p>
        </w:tc>
        <w:tc>
          <w:tcPr>
            <w:tcW w:w="1150" w:type="dxa"/>
            <w:gridSpan w:val="2"/>
          </w:tcPr>
          <w:p w14:paraId="06C88581" w14:textId="77777777" w:rsidR="0099562D" w:rsidRPr="00FB3C2A" w:rsidRDefault="0099562D" w:rsidP="000F6BDE">
            <w:pPr>
              <w:shd w:val="clear" w:color="auto" w:fill="FFFFFF" w:themeFill="background1"/>
              <w:jc w:val="center"/>
            </w:pPr>
            <w:r w:rsidRPr="00FB3C2A">
              <w:t>8</w:t>
            </w:r>
          </w:p>
        </w:tc>
        <w:tc>
          <w:tcPr>
            <w:tcW w:w="1268" w:type="dxa"/>
          </w:tcPr>
          <w:p w14:paraId="55B65597" w14:textId="77777777" w:rsidR="0099562D" w:rsidRPr="00FB3C2A" w:rsidRDefault="0099562D" w:rsidP="000F6BDE">
            <w:pPr>
              <w:shd w:val="clear" w:color="auto" w:fill="FFFFFF" w:themeFill="background1"/>
              <w:jc w:val="center"/>
            </w:pPr>
            <w:r w:rsidRPr="00FB3C2A">
              <w:t>9</w:t>
            </w:r>
          </w:p>
        </w:tc>
      </w:tr>
      <w:tr w:rsidR="0099562D" w:rsidRPr="000D07CA" w14:paraId="2927C377" w14:textId="77777777" w:rsidTr="009350E8">
        <w:tc>
          <w:tcPr>
            <w:tcW w:w="523" w:type="dxa"/>
            <w:shd w:val="clear" w:color="auto" w:fill="FFFFFF" w:themeFill="background1"/>
            <w:vAlign w:val="center"/>
          </w:tcPr>
          <w:p w14:paraId="6E8D8E29" w14:textId="77777777" w:rsidR="0099562D" w:rsidRPr="00FB3C2A" w:rsidRDefault="0099562D" w:rsidP="000F6BDE">
            <w:pPr>
              <w:spacing w:before="40"/>
              <w:jc w:val="center"/>
            </w:pPr>
            <w:r w:rsidRPr="00FB3C2A">
              <w:t>7</w:t>
            </w:r>
          </w:p>
        </w:tc>
        <w:tc>
          <w:tcPr>
            <w:tcW w:w="802" w:type="dxa"/>
            <w:gridSpan w:val="3"/>
            <w:shd w:val="clear" w:color="auto" w:fill="FFFFFF" w:themeFill="background1"/>
            <w:vAlign w:val="center"/>
          </w:tcPr>
          <w:p w14:paraId="4793B58D" w14:textId="77777777" w:rsidR="0099562D" w:rsidRPr="00FB3C2A" w:rsidRDefault="0099562D" w:rsidP="000F6BDE">
            <w:pPr>
              <w:spacing w:before="40"/>
              <w:jc w:val="center"/>
            </w:pPr>
            <w:r w:rsidRPr="00FB3C2A">
              <w:rPr>
                <w:iCs/>
              </w:rPr>
              <w:t>1.3.2</w:t>
            </w:r>
          </w:p>
        </w:tc>
        <w:tc>
          <w:tcPr>
            <w:tcW w:w="6308" w:type="dxa"/>
            <w:shd w:val="clear" w:color="auto" w:fill="FFFFFF" w:themeFill="background1"/>
          </w:tcPr>
          <w:p w14:paraId="08A8C967" w14:textId="77777777" w:rsidR="0099562D" w:rsidRPr="00FB3C2A" w:rsidRDefault="0099562D" w:rsidP="000F6BDE">
            <w:pPr>
              <w:spacing w:before="40"/>
              <w:ind w:left="-57"/>
            </w:pPr>
            <w:r w:rsidRPr="00FB3C2A">
              <w:rPr>
                <w:iCs/>
              </w:rPr>
              <w:t>негативна різниця (є потреба у ВЛА</w:t>
            </w:r>
            <w:r w:rsidRPr="00FB3C2A">
              <w:rPr>
                <w:iCs/>
                <w:vertAlign w:val="subscript"/>
              </w:rPr>
              <w:t>ВВ</w:t>
            </w:r>
            <w:r w:rsidRPr="00FB3C2A">
              <w:rPr>
                <w:iCs/>
              </w:rPr>
              <w:t xml:space="preserve">), тис. грн </w:t>
            </w:r>
          </w:p>
        </w:tc>
        <w:tc>
          <w:tcPr>
            <w:tcW w:w="1224" w:type="dxa"/>
            <w:shd w:val="clear" w:color="auto" w:fill="FFFFFF" w:themeFill="background1"/>
            <w:vAlign w:val="center"/>
          </w:tcPr>
          <w:p w14:paraId="4E432C77" w14:textId="77777777" w:rsidR="0099562D" w:rsidRPr="00FB3C2A" w:rsidRDefault="0099562D" w:rsidP="000F6BDE">
            <w:pPr>
              <w:spacing w:before="40"/>
              <w:jc w:val="center"/>
            </w:pPr>
          </w:p>
        </w:tc>
        <w:tc>
          <w:tcPr>
            <w:tcW w:w="928" w:type="dxa"/>
            <w:gridSpan w:val="2"/>
            <w:shd w:val="clear" w:color="auto" w:fill="FFFFFF" w:themeFill="background1"/>
            <w:vAlign w:val="center"/>
          </w:tcPr>
          <w:p w14:paraId="020DA5FA" w14:textId="77777777" w:rsidR="0099562D" w:rsidRPr="00FB3C2A" w:rsidRDefault="0099562D" w:rsidP="000F6BDE">
            <w:pPr>
              <w:spacing w:before="40"/>
              <w:jc w:val="center"/>
            </w:pPr>
          </w:p>
        </w:tc>
        <w:tc>
          <w:tcPr>
            <w:tcW w:w="1130" w:type="dxa"/>
            <w:shd w:val="clear" w:color="auto" w:fill="FFFFFF" w:themeFill="background1"/>
            <w:vAlign w:val="center"/>
          </w:tcPr>
          <w:p w14:paraId="60A52C01" w14:textId="77777777" w:rsidR="0099562D" w:rsidRPr="00FB3C2A" w:rsidRDefault="0099562D" w:rsidP="000F6BDE">
            <w:pPr>
              <w:spacing w:before="40"/>
              <w:jc w:val="center"/>
            </w:pPr>
          </w:p>
        </w:tc>
        <w:tc>
          <w:tcPr>
            <w:tcW w:w="1978" w:type="dxa"/>
            <w:shd w:val="clear" w:color="auto" w:fill="auto"/>
          </w:tcPr>
          <w:p w14:paraId="3B960772" w14:textId="77777777" w:rsidR="0099562D" w:rsidRPr="00FB3C2A" w:rsidRDefault="0099562D" w:rsidP="000F6BDE">
            <w:pPr>
              <w:spacing w:before="40"/>
              <w:jc w:val="center"/>
            </w:pPr>
            <w:r w:rsidRPr="00FB3C2A">
              <w:t>X</w:t>
            </w:r>
          </w:p>
        </w:tc>
        <w:tc>
          <w:tcPr>
            <w:tcW w:w="1150" w:type="dxa"/>
            <w:gridSpan w:val="2"/>
            <w:shd w:val="clear" w:color="auto" w:fill="auto"/>
          </w:tcPr>
          <w:p w14:paraId="05A86C2C" w14:textId="77777777" w:rsidR="0099562D" w:rsidRPr="00FB3C2A" w:rsidRDefault="0099562D" w:rsidP="000F6BDE">
            <w:pPr>
              <w:spacing w:before="40"/>
              <w:jc w:val="center"/>
            </w:pPr>
            <w:r w:rsidRPr="00FB3C2A">
              <w:t>X</w:t>
            </w:r>
          </w:p>
        </w:tc>
        <w:tc>
          <w:tcPr>
            <w:tcW w:w="1268" w:type="dxa"/>
            <w:shd w:val="clear" w:color="auto" w:fill="auto"/>
          </w:tcPr>
          <w:p w14:paraId="294A799A" w14:textId="77777777" w:rsidR="0099562D" w:rsidRPr="00FB3C2A" w:rsidRDefault="0099562D" w:rsidP="000F6BDE">
            <w:pPr>
              <w:spacing w:before="40"/>
              <w:jc w:val="center"/>
            </w:pPr>
            <w:r w:rsidRPr="00FB3C2A">
              <w:t>X</w:t>
            </w:r>
          </w:p>
        </w:tc>
      </w:tr>
      <w:tr w:rsidR="00396DE0" w:rsidRPr="000D07CA" w14:paraId="5C303B95" w14:textId="77777777" w:rsidTr="009350E8">
        <w:tc>
          <w:tcPr>
            <w:tcW w:w="537" w:type="dxa"/>
            <w:gridSpan w:val="2"/>
            <w:shd w:val="clear" w:color="auto" w:fill="FFFFFF" w:themeFill="background1"/>
            <w:vAlign w:val="center"/>
          </w:tcPr>
          <w:p w14:paraId="485BE279" w14:textId="77777777" w:rsidR="00396DE0" w:rsidRPr="00FB3C2A" w:rsidRDefault="00396DE0" w:rsidP="009B5341">
            <w:pPr>
              <w:spacing w:before="40"/>
              <w:jc w:val="center"/>
            </w:pPr>
            <w:r w:rsidRPr="00FB3C2A">
              <w:t>8</w:t>
            </w:r>
          </w:p>
        </w:tc>
        <w:tc>
          <w:tcPr>
            <w:tcW w:w="788" w:type="dxa"/>
            <w:gridSpan w:val="2"/>
            <w:shd w:val="clear" w:color="auto" w:fill="FFFFFF" w:themeFill="background1"/>
            <w:vAlign w:val="center"/>
          </w:tcPr>
          <w:p w14:paraId="080C23E3" w14:textId="77777777" w:rsidR="00396DE0" w:rsidRPr="00FB3C2A" w:rsidRDefault="00396DE0" w:rsidP="009B5341">
            <w:pPr>
              <w:spacing w:before="40"/>
              <w:jc w:val="center"/>
            </w:pPr>
            <w:r w:rsidRPr="00FB3C2A">
              <w:t>1.4</w:t>
            </w:r>
          </w:p>
        </w:tc>
        <w:tc>
          <w:tcPr>
            <w:tcW w:w="6308" w:type="dxa"/>
            <w:shd w:val="clear" w:color="auto" w:fill="FFFFFF" w:themeFill="background1"/>
          </w:tcPr>
          <w:p w14:paraId="54C96C78" w14:textId="77777777" w:rsidR="00396DE0" w:rsidRPr="00FB3C2A" w:rsidRDefault="00396DE0" w:rsidP="009B5341">
            <w:pPr>
              <w:spacing w:before="40"/>
              <w:ind w:left="-57"/>
            </w:pPr>
            <w:r w:rsidRPr="00FB3C2A">
              <w:t>Цільове значення нормативу LCR</w:t>
            </w:r>
            <w:r w:rsidRPr="00FB3C2A">
              <w:rPr>
                <w:vertAlign w:val="subscript"/>
              </w:rPr>
              <w:t>ВВ</w:t>
            </w:r>
            <w:r w:rsidRPr="00FB3C2A">
              <w:t>, %</w:t>
            </w:r>
          </w:p>
        </w:tc>
        <w:tc>
          <w:tcPr>
            <w:tcW w:w="1224" w:type="dxa"/>
            <w:shd w:val="clear" w:color="auto" w:fill="FFFFFF" w:themeFill="background1"/>
            <w:vAlign w:val="center"/>
          </w:tcPr>
          <w:p w14:paraId="4E53097D" w14:textId="77777777" w:rsidR="00396DE0" w:rsidRPr="00FB3C2A" w:rsidRDefault="00396DE0" w:rsidP="009B5341">
            <w:pPr>
              <w:spacing w:before="40"/>
              <w:jc w:val="center"/>
            </w:pPr>
          </w:p>
        </w:tc>
        <w:tc>
          <w:tcPr>
            <w:tcW w:w="928" w:type="dxa"/>
            <w:gridSpan w:val="2"/>
            <w:shd w:val="clear" w:color="auto" w:fill="FFFFFF" w:themeFill="background1"/>
            <w:vAlign w:val="center"/>
          </w:tcPr>
          <w:p w14:paraId="629FEEB4" w14:textId="77777777" w:rsidR="00396DE0" w:rsidRPr="00FB3C2A" w:rsidRDefault="00396DE0" w:rsidP="009B5341">
            <w:pPr>
              <w:spacing w:before="40"/>
              <w:jc w:val="center"/>
            </w:pPr>
          </w:p>
        </w:tc>
        <w:tc>
          <w:tcPr>
            <w:tcW w:w="1130" w:type="dxa"/>
            <w:shd w:val="clear" w:color="auto" w:fill="FFFFFF" w:themeFill="background1"/>
            <w:vAlign w:val="center"/>
          </w:tcPr>
          <w:p w14:paraId="2C95579E" w14:textId="77777777" w:rsidR="00396DE0" w:rsidRPr="00FB3C2A" w:rsidRDefault="00396DE0" w:rsidP="009B5341">
            <w:pPr>
              <w:spacing w:before="40"/>
              <w:jc w:val="center"/>
            </w:pPr>
          </w:p>
        </w:tc>
        <w:tc>
          <w:tcPr>
            <w:tcW w:w="1978" w:type="dxa"/>
            <w:shd w:val="clear" w:color="auto" w:fill="auto"/>
          </w:tcPr>
          <w:p w14:paraId="784F1546" w14:textId="77777777" w:rsidR="00396DE0" w:rsidRPr="00FB3C2A" w:rsidRDefault="00396DE0" w:rsidP="009B5341">
            <w:pPr>
              <w:spacing w:before="40"/>
              <w:jc w:val="center"/>
            </w:pPr>
            <w:r w:rsidRPr="00FB3C2A">
              <w:t>X</w:t>
            </w:r>
          </w:p>
        </w:tc>
        <w:tc>
          <w:tcPr>
            <w:tcW w:w="1150" w:type="dxa"/>
            <w:gridSpan w:val="2"/>
            <w:shd w:val="clear" w:color="auto" w:fill="auto"/>
          </w:tcPr>
          <w:p w14:paraId="0CF00635" w14:textId="77777777" w:rsidR="00396DE0" w:rsidRPr="00FB3C2A" w:rsidRDefault="00396DE0" w:rsidP="009B5341">
            <w:pPr>
              <w:spacing w:before="40"/>
              <w:jc w:val="center"/>
            </w:pPr>
            <w:r w:rsidRPr="00FB3C2A">
              <w:t>X</w:t>
            </w:r>
          </w:p>
        </w:tc>
        <w:tc>
          <w:tcPr>
            <w:tcW w:w="1268" w:type="dxa"/>
            <w:shd w:val="clear" w:color="auto" w:fill="auto"/>
          </w:tcPr>
          <w:p w14:paraId="6F2AE8C2" w14:textId="77777777" w:rsidR="00396DE0" w:rsidRPr="00FB3C2A" w:rsidRDefault="00396DE0" w:rsidP="009B5341">
            <w:pPr>
              <w:spacing w:before="40"/>
              <w:jc w:val="center"/>
            </w:pPr>
            <w:r w:rsidRPr="00FB3C2A">
              <w:t>X</w:t>
            </w:r>
          </w:p>
        </w:tc>
      </w:tr>
      <w:tr w:rsidR="00856D7E" w:rsidRPr="000D07CA" w14:paraId="43A1483F" w14:textId="77777777" w:rsidTr="0099562D">
        <w:tc>
          <w:tcPr>
            <w:tcW w:w="549" w:type="dxa"/>
            <w:gridSpan w:val="3"/>
            <w:tcBorders>
              <w:bottom w:val="single" w:sz="4" w:space="0" w:color="auto"/>
            </w:tcBorders>
            <w:shd w:val="clear" w:color="auto" w:fill="auto"/>
            <w:vAlign w:val="center"/>
          </w:tcPr>
          <w:p w14:paraId="1C363CEE" w14:textId="77777777" w:rsidR="00856D7E" w:rsidRPr="00FB3C2A" w:rsidRDefault="00856D7E" w:rsidP="009B5341">
            <w:pPr>
              <w:spacing w:before="40"/>
              <w:jc w:val="center"/>
            </w:pPr>
            <w:r w:rsidRPr="00FB3C2A">
              <w:t>9</w:t>
            </w:r>
          </w:p>
        </w:tc>
        <w:tc>
          <w:tcPr>
            <w:tcW w:w="776" w:type="dxa"/>
            <w:tcBorders>
              <w:bottom w:val="single" w:sz="4" w:space="0" w:color="auto"/>
            </w:tcBorders>
            <w:shd w:val="clear" w:color="auto" w:fill="auto"/>
            <w:vAlign w:val="center"/>
          </w:tcPr>
          <w:p w14:paraId="67CC3BC4" w14:textId="77777777" w:rsidR="00856D7E" w:rsidRPr="00FB3C2A" w:rsidRDefault="00856D7E" w:rsidP="009B5341">
            <w:pPr>
              <w:spacing w:before="40"/>
              <w:jc w:val="center"/>
            </w:pPr>
            <w:r w:rsidRPr="00FB3C2A">
              <w:t>2</w:t>
            </w:r>
          </w:p>
        </w:tc>
        <w:tc>
          <w:tcPr>
            <w:tcW w:w="13986" w:type="dxa"/>
            <w:gridSpan w:val="9"/>
            <w:tcBorders>
              <w:bottom w:val="single" w:sz="4" w:space="0" w:color="auto"/>
            </w:tcBorders>
            <w:shd w:val="clear" w:color="auto" w:fill="auto"/>
            <w:vAlign w:val="center"/>
          </w:tcPr>
          <w:p w14:paraId="0F3371CC" w14:textId="37E1EF13" w:rsidR="00856D7E" w:rsidRPr="00FB3C2A" w:rsidRDefault="00856D7E" w:rsidP="00856D7E">
            <w:pPr>
              <w:spacing w:before="40"/>
              <w:jc w:val="left"/>
            </w:pPr>
            <w:r w:rsidRPr="00FB3C2A">
              <w:t>Норматив LCR</w:t>
            </w:r>
            <w:r w:rsidRPr="00FB3C2A">
              <w:rPr>
                <w:vertAlign w:val="subscript"/>
              </w:rPr>
              <w:t>ІВ</w:t>
            </w:r>
          </w:p>
        </w:tc>
      </w:tr>
      <w:tr w:rsidR="00396DE0" w:rsidRPr="000D07CA" w14:paraId="3921654B" w14:textId="77777777" w:rsidTr="009350E8">
        <w:trPr>
          <w:trHeight w:val="81"/>
        </w:trPr>
        <w:tc>
          <w:tcPr>
            <w:tcW w:w="549" w:type="dxa"/>
            <w:gridSpan w:val="3"/>
            <w:tcBorders>
              <w:bottom w:val="single" w:sz="4" w:space="0" w:color="auto"/>
            </w:tcBorders>
            <w:shd w:val="clear" w:color="auto" w:fill="FFFFFF" w:themeFill="background1"/>
            <w:vAlign w:val="center"/>
          </w:tcPr>
          <w:p w14:paraId="1D5D6803" w14:textId="77777777" w:rsidR="00396DE0" w:rsidRPr="00FB3C2A" w:rsidRDefault="00396DE0" w:rsidP="009B5341">
            <w:pPr>
              <w:jc w:val="center"/>
            </w:pPr>
            <w:r w:rsidRPr="00FB3C2A">
              <w:t>10</w:t>
            </w:r>
          </w:p>
        </w:tc>
        <w:tc>
          <w:tcPr>
            <w:tcW w:w="776" w:type="dxa"/>
            <w:tcBorders>
              <w:bottom w:val="single" w:sz="4" w:space="0" w:color="auto"/>
            </w:tcBorders>
            <w:shd w:val="clear" w:color="auto" w:fill="FFFFFF" w:themeFill="background1"/>
            <w:vAlign w:val="center"/>
          </w:tcPr>
          <w:p w14:paraId="236C0DBD" w14:textId="77777777" w:rsidR="00396DE0" w:rsidRPr="00FB3C2A" w:rsidRDefault="00396DE0" w:rsidP="009B5341">
            <w:pPr>
              <w:jc w:val="center"/>
              <w:rPr>
                <w:iCs/>
              </w:rPr>
            </w:pPr>
            <w:r w:rsidRPr="00FB3C2A">
              <w:t>2.1</w:t>
            </w:r>
          </w:p>
        </w:tc>
        <w:tc>
          <w:tcPr>
            <w:tcW w:w="6308" w:type="dxa"/>
            <w:tcBorders>
              <w:bottom w:val="single" w:sz="4" w:space="0" w:color="auto"/>
            </w:tcBorders>
            <w:shd w:val="clear" w:color="auto" w:fill="FFFFFF" w:themeFill="background1"/>
            <w:vAlign w:val="center"/>
          </w:tcPr>
          <w:p w14:paraId="0357CC8D" w14:textId="77777777" w:rsidR="00396DE0" w:rsidRPr="00FB3C2A" w:rsidRDefault="00396DE0" w:rsidP="009B5341">
            <w:pPr>
              <w:ind w:left="-57"/>
              <w:rPr>
                <w:iCs/>
              </w:rPr>
            </w:pPr>
            <w:r w:rsidRPr="00FB3C2A">
              <w:t>обсяг необхідної внутрішньої ліквідності (обсяг ВЛА</w:t>
            </w:r>
            <w:r w:rsidRPr="00FB3C2A">
              <w:rPr>
                <w:vertAlign w:val="subscript"/>
              </w:rPr>
              <w:t>ІВ</w:t>
            </w:r>
            <w:r w:rsidRPr="00FB3C2A">
              <w:t>)</w:t>
            </w:r>
          </w:p>
        </w:tc>
        <w:tc>
          <w:tcPr>
            <w:tcW w:w="1231" w:type="dxa"/>
            <w:gridSpan w:val="2"/>
            <w:tcBorders>
              <w:bottom w:val="single" w:sz="4" w:space="0" w:color="auto"/>
            </w:tcBorders>
            <w:shd w:val="clear" w:color="auto" w:fill="FFFFFF" w:themeFill="background1"/>
          </w:tcPr>
          <w:p w14:paraId="5A4EFC3C" w14:textId="77777777" w:rsidR="00396DE0" w:rsidRPr="00FB3C2A" w:rsidRDefault="00396DE0" w:rsidP="009B5341">
            <w:pPr>
              <w:jc w:val="center"/>
            </w:pPr>
          </w:p>
        </w:tc>
        <w:tc>
          <w:tcPr>
            <w:tcW w:w="921" w:type="dxa"/>
            <w:tcBorders>
              <w:bottom w:val="single" w:sz="4" w:space="0" w:color="auto"/>
            </w:tcBorders>
            <w:shd w:val="clear" w:color="auto" w:fill="FFFFFF" w:themeFill="background1"/>
          </w:tcPr>
          <w:p w14:paraId="232F80C9" w14:textId="77777777" w:rsidR="00396DE0" w:rsidRPr="00FB3C2A" w:rsidRDefault="00396DE0" w:rsidP="009B5341">
            <w:pPr>
              <w:jc w:val="center"/>
            </w:pPr>
          </w:p>
        </w:tc>
        <w:tc>
          <w:tcPr>
            <w:tcW w:w="1130" w:type="dxa"/>
            <w:tcBorders>
              <w:bottom w:val="single" w:sz="4" w:space="0" w:color="auto"/>
            </w:tcBorders>
            <w:shd w:val="clear" w:color="auto" w:fill="FFFFFF" w:themeFill="background1"/>
          </w:tcPr>
          <w:p w14:paraId="706C6394" w14:textId="77777777" w:rsidR="00396DE0" w:rsidRPr="00FB3C2A" w:rsidRDefault="00396DE0" w:rsidP="009B5341">
            <w:pPr>
              <w:jc w:val="center"/>
            </w:pPr>
          </w:p>
        </w:tc>
        <w:tc>
          <w:tcPr>
            <w:tcW w:w="1978" w:type="dxa"/>
            <w:tcBorders>
              <w:bottom w:val="single" w:sz="4" w:space="0" w:color="auto"/>
            </w:tcBorders>
            <w:shd w:val="clear" w:color="auto" w:fill="auto"/>
          </w:tcPr>
          <w:p w14:paraId="09350653" w14:textId="77777777" w:rsidR="00396DE0" w:rsidRPr="00FB3C2A" w:rsidRDefault="00396DE0" w:rsidP="009B5341">
            <w:pPr>
              <w:jc w:val="center"/>
            </w:pPr>
            <w:r w:rsidRPr="00FB3C2A">
              <w:t>X</w:t>
            </w:r>
          </w:p>
        </w:tc>
        <w:tc>
          <w:tcPr>
            <w:tcW w:w="1140" w:type="dxa"/>
            <w:tcBorders>
              <w:bottom w:val="single" w:sz="4" w:space="0" w:color="auto"/>
            </w:tcBorders>
            <w:shd w:val="clear" w:color="auto" w:fill="auto"/>
          </w:tcPr>
          <w:p w14:paraId="524064CF" w14:textId="77777777" w:rsidR="00396DE0" w:rsidRPr="00FB3C2A" w:rsidRDefault="00396DE0" w:rsidP="009B5341">
            <w:pPr>
              <w:jc w:val="center"/>
            </w:pPr>
            <w:r w:rsidRPr="00FB3C2A">
              <w:t>X</w:t>
            </w:r>
          </w:p>
        </w:tc>
        <w:tc>
          <w:tcPr>
            <w:tcW w:w="1278" w:type="dxa"/>
            <w:gridSpan w:val="2"/>
            <w:tcBorders>
              <w:bottom w:val="single" w:sz="4" w:space="0" w:color="auto"/>
            </w:tcBorders>
            <w:shd w:val="clear" w:color="auto" w:fill="auto"/>
          </w:tcPr>
          <w:p w14:paraId="0B683E0E" w14:textId="77777777" w:rsidR="00396DE0" w:rsidRPr="00FB3C2A" w:rsidRDefault="00396DE0" w:rsidP="009B5341">
            <w:pPr>
              <w:jc w:val="center"/>
            </w:pPr>
            <w:r w:rsidRPr="00FB3C2A">
              <w:t>X</w:t>
            </w:r>
          </w:p>
        </w:tc>
      </w:tr>
      <w:tr w:rsidR="00396DE0" w:rsidRPr="000D07CA" w14:paraId="20783AA2" w14:textId="77777777" w:rsidTr="009350E8">
        <w:trPr>
          <w:trHeight w:val="81"/>
        </w:trPr>
        <w:tc>
          <w:tcPr>
            <w:tcW w:w="549" w:type="dxa"/>
            <w:gridSpan w:val="3"/>
            <w:shd w:val="clear" w:color="auto" w:fill="FFFFFF" w:themeFill="background1"/>
            <w:vAlign w:val="center"/>
          </w:tcPr>
          <w:p w14:paraId="5137CFA7" w14:textId="77777777" w:rsidR="00396DE0" w:rsidRPr="00FB3C2A" w:rsidRDefault="00396DE0" w:rsidP="009B5341">
            <w:pPr>
              <w:jc w:val="center"/>
            </w:pPr>
            <w:r w:rsidRPr="00FB3C2A">
              <w:t>11</w:t>
            </w:r>
          </w:p>
        </w:tc>
        <w:tc>
          <w:tcPr>
            <w:tcW w:w="776" w:type="dxa"/>
            <w:shd w:val="clear" w:color="auto" w:fill="FFFFFF" w:themeFill="background1"/>
            <w:vAlign w:val="center"/>
          </w:tcPr>
          <w:p w14:paraId="6526189A" w14:textId="77777777" w:rsidR="00396DE0" w:rsidRPr="00FB3C2A" w:rsidRDefault="00396DE0" w:rsidP="009B5341">
            <w:pPr>
              <w:jc w:val="center"/>
              <w:rPr>
                <w:iCs/>
              </w:rPr>
            </w:pPr>
            <w:r w:rsidRPr="00FB3C2A">
              <w:t>2.2</w:t>
            </w:r>
          </w:p>
        </w:tc>
        <w:tc>
          <w:tcPr>
            <w:tcW w:w="6308" w:type="dxa"/>
            <w:shd w:val="clear" w:color="auto" w:fill="FFFFFF" w:themeFill="background1"/>
            <w:vAlign w:val="center"/>
          </w:tcPr>
          <w:p w14:paraId="018AAB1C" w14:textId="77777777" w:rsidR="00396DE0" w:rsidRPr="00FB3C2A" w:rsidRDefault="00396DE0" w:rsidP="009B5341">
            <w:pPr>
              <w:ind w:left="-57"/>
              <w:rPr>
                <w:iCs/>
              </w:rPr>
            </w:pPr>
            <w:r w:rsidRPr="00FB3C2A">
              <w:t>обсяг доступної внутрішньої ліквідності (обсяг ВЛА</w:t>
            </w:r>
            <w:r w:rsidRPr="00FB3C2A">
              <w:rPr>
                <w:vertAlign w:val="subscript"/>
              </w:rPr>
              <w:t>ІВ</w:t>
            </w:r>
            <w:r w:rsidRPr="00FB3C2A">
              <w:t>)</w:t>
            </w:r>
          </w:p>
        </w:tc>
        <w:tc>
          <w:tcPr>
            <w:tcW w:w="1231" w:type="dxa"/>
            <w:gridSpan w:val="2"/>
            <w:shd w:val="clear" w:color="auto" w:fill="FFFFFF" w:themeFill="background1"/>
          </w:tcPr>
          <w:p w14:paraId="3FD2F882" w14:textId="77777777" w:rsidR="00396DE0" w:rsidRPr="00FB3C2A" w:rsidRDefault="00396DE0" w:rsidP="009B5341">
            <w:pPr>
              <w:jc w:val="center"/>
            </w:pPr>
          </w:p>
        </w:tc>
        <w:tc>
          <w:tcPr>
            <w:tcW w:w="921" w:type="dxa"/>
            <w:shd w:val="clear" w:color="auto" w:fill="FFFFFF" w:themeFill="background1"/>
          </w:tcPr>
          <w:p w14:paraId="1B947AEE" w14:textId="77777777" w:rsidR="00396DE0" w:rsidRPr="00FB3C2A" w:rsidRDefault="00396DE0" w:rsidP="009B5341">
            <w:pPr>
              <w:jc w:val="center"/>
            </w:pPr>
          </w:p>
        </w:tc>
        <w:tc>
          <w:tcPr>
            <w:tcW w:w="1130" w:type="dxa"/>
            <w:shd w:val="clear" w:color="auto" w:fill="FFFFFF" w:themeFill="background1"/>
          </w:tcPr>
          <w:p w14:paraId="2A3CCA63" w14:textId="77777777" w:rsidR="00396DE0" w:rsidRPr="00FB3C2A" w:rsidRDefault="00396DE0" w:rsidP="009B5341">
            <w:pPr>
              <w:jc w:val="center"/>
            </w:pPr>
          </w:p>
        </w:tc>
        <w:tc>
          <w:tcPr>
            <w:tcW w:w="1978" w:type="dxa"/>
            <w:shd w:val="clear" w:color="auto" w:fill="auto"/>
          </w:tcPr>
          <w:p w14:paraId="792D0E34" w14:textId="77777777" w:rsidR="00396DE0" w:rsidRPr="00FB3C2A" w:rsidRDefault="00396DE0" w:rsidP="009B5341">
            <w:pPr>
              <w:jc w:val="center"/>
            </w:pPr>
            <w:r w:rsidRPr="00FB3C2A">
              <w:t>X</w:t>
            </w:r>
          </w:p>
        </w:tc>
        <w:tc>
          <w:tcPr>
            <w:tcW w:w="1140" w:type="dxa"/>
            <w:shd w:val="clear" w:color="auto" w:fill="auto"/>
          </w:tcPr>
          <w:p w14:paraId="5086E3B7" w14:textId="77777777" w:rsidR="00396DE0" w:rsidRPr="00FB3C2A" w:rsidRDefault="00396DE0" w:rsidP="009B5341">
            <w:pPr>
              <w:jc w:val="center"/>
            </w:pPr>
            <w:r w:rsidRPr="00FB3C2A">
              <w:t>X</w:t>
            </w:r>
          </w:p>
        </w:tc>
        <w:tc>
          <w:tcPr>
            <w:tcW w:w="1278" w:type="dxa"/>
            <w:gridSpan w:val="2"/>
            <w:shd w:val="clear" w:color="auto" w:fill="auto"/>
          </w:tcPr>
          <w:p w14:paraId="61DAC303" w14:textId="77777777" w:rsidR="00396DE0" w:rsidRPr="00FB3C2A" w:rsidRDefault="00396DE0" w:rsidP="009B5341">
            <w:pPr>
              <w:jc w:val="center"/>
            </w:pPr>
            <w:r w:rsidRPr="00FB3C2A">
              <w:t>X</w:t>
            </w:r>
          </w:p>
        </w:tc>
      </w:tr>
      <w:tr w:rsidR="0091727A" w:rsidRPr="000D07CA" w14:paraId="42AD571E" w14:textId="77777777" w:rsidTr="0099562D">
        <w:trPr>
          <w:trHeight w:val="81"/>
        </w:trPr>
        <w:tc>
          <w:tcPr>
            <w:tcW w:w="549" w:type="dxa"/>
            <w:gridSpan w:val="3"/>
            <w:shd w:val="clear" w:color="auto" w:fill="FFFFFF" w:themeFill="background1"/>
            <w:vAlign w:val="center"/>
          </w:tcPr>
          <w:p w14:paraId="3F6E2BF3" w14:textId="77777777" w:rsidR="0091727A" w:rsidRPr="00FB3C2A" w:rsidRDefault="0091727A" w:rsidP="009B5341">
            <w:pPr>
              <w:jc w:val="center"/>
            </w:pPr>
            <w:r w:rsidRPr="00FB3C2A">
              <w:t>12</w:t>
            </w:r>
          </w:p>
        </w:tc>
        <w:tc>
          <w:tcPr>
            <w:tcW w:w="776" w:type="dxa"/>
            <w:shd w:val="clear" w:color="auto" w:fill="FFFFFF" w:themeFill="background1"/>
            <w:vAlign w:val="center"/>
          </w:tcPr>
          <w:p w14:paraId="0098CD9E" w14:textId="77777777" w:rsidR="0091727A" w:rsidRPr="00FB3C2A" w:rsidRDefault="0091727A" w:rsidP="009B5341">
            <w:pPr>
              <w:jc w:val="center"/>
              <w:rPr>
                <w:iCs/>
              </w:rPr>
            </w:pPr>
            <w:r w:rsidRPr="00FB3C2A">
              <w:t>2.3</w:t>
            </w:r>
          </w:p>
        </w:tc>
        <w:tc>
          <w:tcPr>
            <w:tcW w:w="13986" w:type="dxa"/>
            <w:gridSpan w:val="9"/>
            <w:shd w:val="clear" w:color="auto" w:fill="FFFFFF" w:themeFill="background1"/>
          </w:tcPr>
          <w:p w14:paraId="4FEC98C3" w14:textId="7FA65B8F" w:rsidR="0091727A" w:rsidRPr="00FB3C2A" w:rsidRDefault="0091727A" w:rsidP="0091727A">
            <w:pPr>
              <w:ind w:left="-57"/>
            </w:pPr>
            <w:r w:rsidRPr="00FB3C2A">
              <w:t>різниця між доступною та необхідною внутрішньою ліквідністю</w:t>
            </w:r>
          </w:p>
        </w:tc>
      </w:tr>
      <w:tr w:rsidR="00396DE0" w:rsidRPr="000D07CA" w14:paraId="5835CD39" w14:textId="77777777" w:rsidTr="009350E8">
        <w:trPr>
          <w:trHeight w:val="81"/>
        </w:trPr>
        <w:tc>
          <w:tcPr>
            <w:tcW w:w="549" w:type="dxa"/>
            <w:gridSpan w:val="3"/>
            <w:shd w:val="clear" w:color="auto" w:fill="FFFFFF" w:themeFill="background1"/>
            <w:vAlign w:val="center"/>
          </w:tcPr>
          <w:p w14:paraId="0EF3F16B" w14:textId="77777777" w:rsidR="00396DE0" w:rsidRPr="00FB3C2A" w:rsidRDefault="00396DE0" w:rsidP="009B5341">
            <w:pPr>
              <w:jc w:val="center"/>
            </w:pPr>
            <w:r w:rsidRPr="00FB3C2A">
              <w:t>13</w:t>
            </w:r>
          </w:p>
        </w:tc>
        <w:tc>
          <w:tcPr>
            <w:tcW w:w="776" w:type="dxa"/>
            <w:shd w:val="clear" w:color="auto" w:fill="FFFFFF" w:themeFill="background1"/>
            <w:vAlign w:val="center"/>
          </w:tcPr>
          <w:p w14:paraId="3F814F57" w14:textId="77777777" w:rsidR="00396DE0" w:rsidRPr="00FB3C2A" w:rsidRDefault="00396DE0" w:rsidP="009B5341">
            <w:pPr>
              <w:jc w:val="center"/>
              <w:rPr>
                <w:iCs/>
              </w:rPr>
            </w:pPr>
            <w:r w:rsidRPr="00FB3C2A">
              <w:rPr>
                <w:iCs/>
              </w:rPr>
              <w:t>2.3.1</w:t>
            </w:r>
          </w:p>
        </w:tc>
        <w:tc>
          <w:tcPr>
            <w:tcW w:w="6308" w:type="dxa"/>
            <w:shd w:val="clear" w:color="auto" w:fill="FFFFFF" w:themeFill="background1"/>
          </w:tcPr>
          <w:p w14:paraId="5ECDA2A8" w14:textId="77777777" w:rsidR="00396DE0" w:rsidRPr="00FB3C2A" w:rsidRDefault="00396DE0" w:rsidP="009B5341">
            <w:pPr>
              <w:ind w:left="-57"/>
            </w:pPr>
            <w:r w:rsidRPr="00FB3C2A">
              <w:rPr>
                <w:iCs/>
              </w:rPr>
              <w:t>позитивна різниця (</w:t>
            </w:r>
            <w:r w:rsidRPr="00FB3C2A">
              <w:t xml:space="preserve">немає потреби </w:t>
            </w:r>
            <w:r w:rsidRPr="00FB3C2A">
              <w:rPr>
                <w:iCs/>
              </w:rPr>
              <w:t>у ВЛА</w:t>
            </w:r>
            <w:r w:rsidRPr="00FB3C2A">
              <w:rPr>
                <w:iCs/>
                <w:vertAlign w:val="subscript"/>
              </w:rPr>
              <w:t>ІВ</w:t>
            </w:r>
            <w:r w:rsidRPr="00FB3C2A">
              <w:rPr>
                <w:iCs/>
              </w:rPr>
              <w:t xml:space="preserve">), тис. грн </w:t>
            </w:r>
          </w:p>
        </w:tc>
        <w:tc>
          <w:tcPr>
            <w:tcW w:w="1231" w:type="dxa"/>
            <w:gridSpan w:val="2"/>
            <w:shd w:val="clear" w:color="auto" w:fill="FFFFFF" w:themeFill="background1"/>
          </w:tcPr>
          <w:p w14:paraId="11E5F002" w14:textId="77777777" w:rsidR="00396DE0" w:rsidRPr="00FB3C2A" w:rsidRDefault="00396DE0" w:rsidP="009B5341">
            <w:pPr>
              <w:jc w:val="center"/>
            </w:pPr>
          </w:p>
        </w:tc>
        <w:tc>
          <w:tcPr>
            <w:tcW w:w="921" w:type="dxa"/>
            <w:shd w:val="clear" w:color="auto" w:fill="FFFFFF" w:themeFill="background1"/>
          </w:tcPr>
          <w:p w14:paraId="3D35428F" w14:textId="77777777" w:rsidR="00396DE0" w:rsidRPr="00FB3C2A" w:rsidRDefault="00396DE0" w:rsidP="009B5341">
            <w:pPr>
              <w:jc w:val="center"/>
            </w:pPr>
          </w:p>
        </w:tc>
        <w:tc>
          <w:tcPr>
            <w:tcW w:w="1130" w:type="dxa"/>
            <w:shd w:val="clear" w:color="auto" w:fill="FFFFFF" w:themeFill="background1"/>
          </w:tcPr>
          <w:p w14:paraId="3F474CE1" w14:textId="77777777" w:rsidR="00396DE0" w:rsidRPr="00FB3C2A" w:rsidRDefault="00396DE0" w:rsidP="009B5341">
            <w:pPr>
              <w:jc w:val="center"/>
            </w:pPr>
          </w:p>
        </w:tc>
        <w:tc>
          <w:tcPr>
            <w:tcW w:w="1978" w:type="dxa"/>
            <w:shd w:val="clear" w:color="auto" w:fill="auto"/>
          </w:tcPr>
          <w:p w14:paraId="2D5D20EA" w14:textId="77777777" w:rsidR="00396DE0" w:rsidRPr="00FB3C2A" w:rsidRDefault="00396DE0" w:rsidP="009B5341">
            <w:pPr>
              <w:jc w:val="center"/>
            </w:pPr>
            <w:r w:rsidRPr="00FB3C2A">
              <w:t>X</w:t>
            </w:r>
          </w:p>
        </w:tc>
        <w:tc>
          <w:tcPr>
            <w:tcW w:w="1140" w:type="dxa"/>
            <w:shd w:val="clear" w:color="auto" w:fill="auto"/>
          </w:tcPr>
          <w:p w14:paraId="68C48E4B" w14:textId="77777777" w:rsidR="00396DE0" w:rsidRPr="00FB3C2A" w:rsidRDefault="00396DE0" w:rsidP="009B5341">
            <w:pPr>
              <w:jc w:val="center"/>
            </w:pPr>
            <w:r w:rsidRPr="00FB3C2A">
              <w:t>X</w:t>
            </w:r>
          </w:p>
        </w:tc>
        <w:tc>
          <w:tcPr>
            <w:tcW w:w="1278" w:type="dxa"/>
            <w:gridSpan w:val="2"/>
            <w:shd w:val="clear" w:color="auto" w:fill="auto"/>
          </w:tcPr>
          <w:p w14:paraId="5793B28E" w14:textId="77777777" w:rsidR="00396DE0" w:rsidRPr="00FB3C2A" w:rsidRDefault="00396DE0" w:rsidP="009B5341">
            <w:pPr>
              <w:jc w:val="center"/>
            </w:pPr>
            <w:r w:rsidRPr="00FB3C2A">
              <w:t>X</w:t>
            </w:r>
          </w:p>
        </w:tc>
      </w:tr>
      <w:tr w:rsidR="00396DE0" w:rsidRPr="000D07CA" w14:paraId="7B5489B0" w14:textId="77777777" w:rsidTr="009350E8">
        <w:trPr>
          <w:trHeight w:val="81"/>
        </w:trPr>
        <w:tc>
          <w:tcPr>
            <w:tcW w:w="549" w:type="dxa"/>
            <w:gridSpan w:val="3"/>
            <w:shd w:val="clear" w:color="auto" w:fill="FFFFFF" w:themeFill="background1"/>
            <w:vAlign w:val="center"/>
          </w:tcPr>
          <w:p w14:paraId="230EE32B" w14:textId="77777777" w:rsidR="00396DE0" w:rsidRPr="00FB3C2A" w:rsidRDefault="00396DE0" w:rsidP="009B5341">
            <w:pPr>
              <w:jc w:val="center"/>
            </w:pPr>
            <w:r w:rsidRPr="00FB3C2A">
              <w:t>14</w:t>
            </w:r>
          </w:p>
        </w:tc>
        <w:tc>
          <w:tcPr>
            <w:tcW w:w="776" w:type="dxa"/>
            <w:shd w:val="clear" w:color="auto" w:fill="FFFFFF" w:themeFill="background1"/>
            <w:vAlign w:val="center"/>
          </w:tcPr>
          <w:p w14:paraId="0D2DABD6" w14:textId="77777777" w:rsidR="00396DE0" w:rsidRPr="00FB3C2A" w:rsidRDefault="00396DE0" w:rsidP="009B5341">
            <w:pPr>
              <w:jc w:val="center"/>
              <w:rPr>
                <w:iCs/>
              </w:rPr>
            </w:pPr>
            <w:r w:rsidRPr="00FB3C2A">
              <w:rPr>
                <w:iCs/>
              </w:rPr>
              <w:t>2.3.2</w:t>
            </w:r>
          </w:p>
        </w:tc>
        <w:tc>
          <w:tcPr>
            <w:tcW w:w="6308" w:type="dxa"/>
            <w:shd w:val="clear" w:color="auto" w:fill="FFFFFF" w:themeFill="background1"/>
          </w:tcPr>
          <w:p w14:paraId="2C25E199" w14:textId="77777777" w:rsidR="00396DE0" w:rsidRPr="00FB3C2A" w:rsidRDefault="00396DE0" w:rsidP="009B5341">
            <w:pPr>
              <w:ind w:left="-57"/>
            </w:pPr>
            <w:r w:rsidRPr="00FB3C2A">
              <w:rPr>
                <w:iCs/>
              </w:rPr>
              <w:t>негативна різниця (є потреба у ВЛА</w:t>
            </w:r>
            <w:r w:rsidRPr="00FB3C2A">
              <w:rPr>
                <w:iCs/>
                <w:vertAlign w:val="subscript"/>
              </w:rPr>
              <w:t>ІВ</w:t>
            </w:r>
            <w:r w:rsidRPr="00FB3C2A">
              <w:rPr>
                <w:iCs/>
              </w:rPr>
              <w:t xml:space="preserve">), тис. грн </w:t>
            </w:r>
          </w:p>
        </w:tc>
        <w:tc>
          <w:tcPr>
            <w:tcW w:w="1231" w:type="dxa"/>
            <w:gridSpan w:val="2"/>
            <w:shd w:val="clear" w:color="auto" w:fill="FFFFFF" w:themeFill="background1"/>
          </w:tcPr>
          <w:p w14:paraId="444C6E8B" w14:textId="77777777" w:rsidR="00396DE0" w:rsidRPr="00FB3C2A" w:rsidRDefault="00396DE0" w:rsidP="009B5341">
            <w:pPr>
              <w:jc w:val="center"/>
            </w:pPr>
          </w:p>
        </w:tc>
        <w:tc>
          <w:tcPr>
            <w:tcW w:w="921" w:type="dxa"/>
            <w:shd w:val="clear" w:color="auto" w:fill="FFFFFF" w:themeFill="background1"/>
          </w:tcPr>
          <w:p w14:paraId="43399AAB" w14:textId="77777777" w:rsidR="00396DE0" w:rsidRPr="00FB3C2A" w:rsidRDefault="00396DE0" w:rsidP="009B5341">
            <w:pPr>
              <w:jc w:val="center"/>
            </w:pPr>
          </w:p>
        </w:tc>
        <w:tc>
          <w:tcPr>
            <w:tcW w:w="1130" w:type="dxa"/>
            <w:shd w:val="clear" w:color="auto" w:fill="FFFFFF" w:themeFill="background1"/>
          </w:tcPr>
          <w:p w14:paraId="13EF799A" w14:textId="77777777" w:rsidR="00396DE0" w:rsidRPr="00FB3C2A" w:rsidRDefault="00396DE0" w:rsidP="009B5341">
            <w:pPr>
              <w:jc w:val="center"/>
            </w:pPr>
          </w:p>
        </w:tc>
        <w:tc>
          <w:tcPr>
            <w:tcW w:w="1978" w:type="dxa"/>
            <w:shd w:val="clear" w:color="auto" w:fill="auto"/>
          </w:tcPr>
          <w:p w14:paraId="6518B680" w14:textId="77777777" w:rsidR="00396DE0" w:rsidRPr="00FB3C2A" w:rsidRDefault="00396DE0" w:rsidP="009B5341">
            <w:pPr>
              <w:jc w:val="center"/>
            </w:pPr>
            <w:r w:rsidRPr="00FB3C2A">
              <w:t>X</w:t>
            </w:r>
          </w:p>
        </w:tc>
        <w:tc>
          <w:tcPr>
            <w:tcW w:w="1140" w:type="dxa"/>
            <w:shd w:val="clear" w:color="auto" w:fill="auto"/>
          </w:tcPr>
          <w:p w14:paraId="001E3721" w14:textId="77777777" w:rsidR="00396DE0" w:rsidRPr="00FB3C2A" w:rsidRDefault="00396DE0" w:rsidP="009B5341">
            <w:pPr>
              <w:jc w:val="center"/>
            </w:pPr>
            <w:r w:rsidRPr="00FB3C2A">
              <w:t>X</w:t>
            </w:r>
          </w:p>
        </w:tc>
        <w:tc>
          <w:tcPr>
            <w:tcW w:w="1278" w:type="dxa"/>
            <w:gridSpan w:val="2"/>
            <w:shd w:val="clear" w:color="auto" w:fill="auto"/>
          </w:tcPr>
          <w:p w14:paraId="22358C4F" w14:textId="77777777" w:rsidR="00396DE0" w:rsidRPr="00FB3C2A" w:rsidRDefault="00396DE0" w:rsidP="009B5341">
            <w:pPr>
              <w:jc w:val="center"/>
            </w:pPr>
            <w:r w:rsidRPr="00FB3C2A">
              <w:t>X</w:t>
            </w:r>
          </w:p>
        </w:tc>
      </w:tr>
      <w:tr w:rsidR="00396DE0" w:rsidRPr="000D07CA" w14:paraId="1838294D" w14:textId="77777777" w:rsidTr="009350E8">
        <w:trPr>
          <w:trHeight w:val="81"/>
        </w:trPr>
        <w:tc>
          <w:tcPr>
            <w:tcW w:w="549" w:type="dxa"/>
            <w:gridSpan w:val="3"/>
            <w:shd w:val="clear" w:color="auto" w:fill="FFFFFF" w:themeFill="background1"/>
            <w:vAlign w:val="center"/>
          </w:tcPr>
          <w:p w14:paraId="75332F1A" w14:textId="77777777" w:rsidR="00396DE0" w:rsidRPr="00FB3C2A" w:rsidRDefault="00396DE0" w:rsidP="009B5341">
            <w:pPr>
              <w:jc w:val="center"/>
            </w:pPr>
            <w:r w:rsidRPr="00FB3C2A">
              <w:t>15</w:t>
            </w:r>
          </w:p>
        </w:tc>
        <w:tc>
          <w:tcPr>
            <w:tcW w:w="776" w:type="dxa"/>
            <w:shd w:val="clear" w:color="auto" w:fill="FFFFFF" w:themeFill="background1"/>
            <w:vAlign w:val="center"/>
          </w:tcPr>
          <w:p w14:paraId="47A2F68D" w14:textId="77777777" w:rsidR="00396DE0" w:rsidRPr="00FB3C2A" w:rsidRDefault="00396DE0" w:rsidP="009B5341">
            <w:pPr>
              <w:jc w:val="center"/>
            </w:pPr>
            <w:r w:rsidRPr="00FB3C2A">
              <w:t>2.4</w:t>
            </w:r>
          </w:p>
        </w:tc>
        <w:tc>
          <w:tcPr>
            <w:tcW w:w="6308" w:type="dxa"/>
            <w:shd w:val="clear" w:color="auto" w:fill="FFFFFF" w:themeFill="background1"/>
          </w:tcPr>
          <w:p w14:paraId="51D94DAC" w14:textId="77777777" w:rsidR="00396DE0" w:rsidRPr="00FB3C2A" w:rsidRDefault="00396DE0" w:rsidP="009B5341">
            <w:pPr>
              <w:ind w:left="-57"/>
            </w:pPr>
            <w:r w:rsidRPr="00FB3C2A">
              <w:t>цільове значення нормативу LCR</w:t>
            </w:r>
            <w:r w:rsidRPr="00FB3C2A">
              <w:rPr>
                <w:vertAlign w:val="subscript"/>
              </w:rPr>
              <w:t>ІВ</w:t>
            </w:r>
            <w:r w:rsidRPr="00FB3C2A">
              <w:t>, %</w:t>
            </w:r>
          </w:p>
        </w:tc>
        <w:tc>
          <w:tcPr>
            <w:tcW w:w="1231" w:type="dxa"/>
            <w:gridSpan w:val="2"/>
            <w:shd w:val="clear" w:color="auto" w:fill="FFFFFF" w:themeFill="background1"/>
          </w:tcPr>
          <w:p w14:paraId="1885A025" w14:textId="77777777" w:rsidR="00396DE0" w:rsidRPr="00FB3C2A" w:rsidRDefault="00396DE0" w:rsidP="009B5341">
            <w:pPr>
              <w:jc w:val="center"/>
            </w:pPr>
          </w:p>
        </w:tc>
        <w:tc>
          <w:tcPr>
            <w:tcW w:w="921" w:type="dxa"/>
            <w:shd w:val="clear" w:color="auto" w:fill="FFFFFF" w:themeFill="background1"/>
          </w:tcPr>
          <w:p w14:paraId="595D6B0E" w14:textId="77777777" w:rsidR="00396DE0" w:rsidRPr="00FB3C2A" w:rsidRDefault="00396DE0" w:rsidP="009B5341">
            <w:pPr>
              <w:jc w:val="center"/>
            </w:pPr>
          </w:p>
        </w:tc>
        <w:tc>
          <w:tcPr>
            <w:tcW w:w="1130" w:type="dxa"/>
            <w:shd w:val="clear" w:color="auto" w:fill="FFFFFF" w:themeFill="background1"/>
          </w:tcPr>
          <w:p w14:paraId="6FE0DA17" w14:textId="77777777" w:rsidR="00396DE0" w:rsidRPr="00FB3C2A" w:rsidRDefault="00396DE0" w:rsidP="009B5341">
            <w:pPr>
              <w:jc w:val="center"/>
            </w:pPr>
          </w:p>
        </w:tc>
        <w:tc>
          <w:tcPr>
            <w:tcW w:w="1978" w:type="dxa"/>
            <w:shd w:val="clear" w:color="auto" w:fill="auto"/>
          </w:tcPr>
          <w:p w14:paraId="201B94AD" w14:textId="77777777" w:rsidR="00396DE0" w:rsidRPr="00FB3C2A" w:rsidRDefault="00396DE0" w:rsidP="009B5341">
            <w:pPr>
              <w:jc w:val="center"/>
            </w:pPr>
            <w:r w:rsidRPr="00FB3C2A">
              <w:t>X</w:t>
            </w:r>
          </w:p>
        </w:tc>
        <w:tc>
          <w:tcPr>
            <w:tcW w:w="1140" w:type="dxa"/>
            <w:shd w:val="clear" w:color="auto" w:fill="auto"/>
          </w:tcPr>
          <w:p w14:paraId="5D236F1D" w14:textId="77777777" w:rsidR="00396DE0" w:rsidRPr="00FB3C2A" w:rsidRDefault="00396DE0" w:rsidP="009B5341">
            <w:pPr>
              <w:jc w:val="center"/>
            </w:pPr>
            <w:r w:rsidRPr="00FB3C2A">
              <w:t>X</w:t>
            </w:r>
          </w:p>
        </w:tc>
        <w:tc>
          <w:tcPr>
            <w:tcW w:w="1278" w:type="dxa"/>
            <w:gridSpan w:val="2"/>
            <w:shd w:val="clear" w:color="auto" w:fill="auto"/>
          </w:tcPr>
          <w:p w14:paraId="336A8334" w14:textId="77777777" w:rsidR="00396DE0" w:rsidRPr="00FB3C2A" w:rsidRDefault="00396DE0" w:rsidP="009B5341">
            <w:pPr>
              <w:jc w:val="center"/>
            </w:pPr>
            <w:r w:rsidRPr="00FB3C2A">
              <w:t>X</w:t>
            </w:r>
          </w:p>
        </w:tc>
      </w:tr>
      <w:tr w:rsidR="00396DE0" w:rsidRPr="000D07CA" w14:paraId="04965A99" w14:textId="77777777" w:rsidTr="0099562D">
        <w:trPr>
          <w:trHeight w:val="81"/>
        </w:trPr>
        <w:tc>
          <w:tcPr>
            <w:tcW w:w="549" w:type="dxa"/>
            <w:gridSpan w:val="3"/>
            <w:shd w:val="clear" w:color="auto" w:fill="auto"/>
            <w:vAlign w:val="center"/>
          </w:tcPr>
          <w:p w14:paraId="3D95266C" w14:textId="77777777" w:rsidR="00396DE0" w:rsidRPr="00FB3C2A" w:rsidRDefault="00396DE0" w:rsidP="009B5341">
            <w:pPr>
              <w:spacing w:before="40" w:after="40"/>
              <w:jc w:val="center"/>
            </w:pPr>
            <w:r w:rsidRPr="00FB3C2A">
              <w:t>16</w:t>
            </w:r>
          </w:p>
        </w:tc>
        <w:tc>
          <w:tcPr>
            <w:tcW w:w="776" w:type="dxa"/>
            <w:shd w:val="clear" w:color="auto" w:fill="auto"/>
            <w:vAlign w:val="center"/>
          </w:tcPr>
          <w:p w14:paraId="1DEFC099" w14:textId="77777777" w:rsidR="00396DE0" w:rsidRPr="00FB3C2A" w:rsidRDefault="00396DE0" w:rsidP="009B5341">
            <w:pPr>
              <w:spacing w:before="40" w:after="40"/>
              <w:jc w:val="center"/>
            </w:pPr>
            <w:r w:rsidRPr="00FB3C2A">
              <w:t>ІІ</w:t>
            </w:r>
          </w:p>
        </w:tc>
        <w:tc>
          <w:tcPr>
            <w:tcW w:w="13986" w:type="dxa"/>
            <w:gridSpan w:val="9"/>
            <w:shd w:val="clear" w:color="auto" w:fill="auto"/>
            <w:vAlign w:val="center"/>
          </w:tcPr>
          <w:p w14:paraId="11BC6C60" w14:textId="77777777" w:rsidR="00396DE0" w:rsidRPr="00FB3C2A" w:rsidRDefault="00396DE0" w:rsidP="009B5341">
            <w:pPr>
              <w:spacing w:before="40" w:after="40"/>
              <w:jc w:val="center"/>
            </w:pPr>
            <w:r w:rsidRPr="00FB3C2A">
              <w:t xml:space="preserve">Оцінка достатності </w:t>
            </w:r>
            <w:r w:rsidRPr="00FB3C2A">
              <w:rPr>
                <w:rFonts w:eastAsia="Calibri"/>
              </w:rPr>
              <w:t xml:space="preserve">внутрішньої ліквідності </w:t>
            </w:r>
            <w:r w:rsidRPr="00FB3C2A">
              <w:t>за нормативною перспективою за несприятливим сценарієм</w:t>
            </w:r>
          </w:p>
        </w:tc>
      </w:tr>
      <w:tr w:rsidR="00856D7E" w:rsidRPr="000D07CA" w14:paraId="7DF69FAC" w14:textId="77777777" w:rsidTr="0099562D">
        <w:tc>
          <w:tcPr>
            <w:tcW w:w="549" w:type="dxa"/>
            <w:gridSpan w:val="3"/>
            <w:shd w:val="clear" w:color="auto" w:fill="auto"/>
            <w:vAlign w:val="center"/>
          </w:tcPr>
          <w:p w14:paraId="171E4A25" w14:textId="77777777" w:rsidR="00856D7E" w:rsidRPr="00FB3C2A" w:rsidRDefault="00856D7E" w:rsidP="009B5341">
            <w:pPr>
              <w:spacing w:before="40"/>
              <w:jc w:val="center"/>
            </w:pPr>
            <w:r w:rsidRPr="00FB3C2A">
              <w:t>17</w:t>
            </w:r>
          </w:p>
        </w:tc>
        <w:tc>
          <w:tcPr>
            <w:tcW w:w="776" w:type="dxa"/>
            <w:shd w:val="clear" w:color="auto" w:fill="auto"/>
            <w:vAlign w:val="center"/>
          </w:tcPr>
          <w:p w14:paraId="000F2784" w14:textId="77777777" w:rsidR="00856D7E" w:rsidRPr="00FB3C2A" w:rsidRDefault="00856D7E" w:rsidP="009B5341">
            <w:pPr>
              <w:spacing w:before="40"/>
              <w:jc w:val="center"/>
            </w:pPr>
            <w:r w:rsidRPr="00FB3C2A">
              <w:t>1</w:t>
            </w:r>
          </w:p>
        </w:tc>
        <w:tc>
          <w:tcPr>
            <w:tcW w:w="13986" w:type="dxa"/>
            <w:gridSpan w:val="9"/>
            <w:shd w:val="clear" w:color="auto" w:fill="auto"/>
            <w:vAlign w:val="center"/>
          </w:tcPr>
          <w:p w14:paraId="10D95DF8" w14:textId="68CF0D90" w:rsidR="00856D7E" w:rsidRPr="00FB3C2A" w:rsidRDefault="00856D7E" w:rsidP="00856D7E">
            <w:pPr>
              <w:spacing w:before="40"/>
              <w:jc w:val="left"/>
              <w:rPr>
                <w:b/>
                <w:bCs/>
              </w:rPr>
            </w:pPr>
            <w:r w:rsidRPr="00FB3C2A">
              <w:t>Норматив LCR</w:t>
            </w:r>
            <w:r w:rsidRPr="00FB3C2A">
              <w:rPr>
                <w:vertAlign w:val="subscript"/>
              </w:rPr>
              <w:t>ВВ</w:t>
            </w:r>
          </w:p>
        </w:tc>
      </w:tr>
      <w:tr w:rsidR="00396DE0" w:rsidRPr="000D07CA" w14:paraId="685FEBB9" w14:textId="77777777" w:rsidTr="009350E8">
        <w:tc>
          <w:tcPr>
            <w:tcW w:w="549" w:type="dxa"/>
            <w:gridSpan w:val="3"/>
            <w:shd w:val="clear" w:color="auto" w:fill="auto"/>
            <w:vAlign w:val="center"/>
          </w:tcPr>
          <w:p w14:paraId="79588C9B" w14:textId="77777777" w:rsidR="00396DE0" w:rsidRPr="00FB3C2A" w:rsidRDefault="00396DE0" w:rsidP="009B5341">
            <w:pPr>
              <w:shd w:val="clear" w:color="auto" w:fill="FFFFFF" w:themeFill="background1"/>
              <w:jc w:val="center"/>
            </w:pPr>
            <w:r w:rsidRPr="00FB3C2A">
              <w:t>18</w:t>
            </w:r>
          </w:p>
        </w:tc>
        <w:tc>
          <w:tcPr>
            <w:tcW w:w="776" w:type="dxa"/>
            <w:shd w:val="clear" w:color="auto" w:fill="auto"/>
            <w:vAlign w:val="center"/>
          </w:tcPr>
          <w:p w14:paraId="551711B7" w14:textId="77777777" w:rsidR="00396DE0" w:rsidRPr="00FB3C2A" w:rsidRDefault="00396DE0" w:rsidP="009B5341">
            <w:pPr>
              <w:shd w:val="clear" w:color="auto" w:fill="FFFFFF" w:themeFill="background1"/>
              <w:jc w:val="center"/>
            </w:pPr>
            <w:r w:rsidRPr="00FB3C2A">
              <w:t>1.1</w:t>
            </w:r>
          </w:p>
        </w:tc>
        <w:tc>
          <w:tcPr>
            <w:tcW w:w="6308" w:type="dxa"/>
            <w:shd w:val="clear" w:color="auto" w:fill="auto"/>
            <w:vAlign w:val="center"/>
          </w:tcPr>
          <w:p w14:paraId="710F799C" w14:textId="77777777" w:rsidR="00396DE0" w:rsidRPr="00FB3C2A" w:rsidRDefault="00396DE0" w:rsidP="009B5341">
            <w:pPr>
              <w:shd w:val="clear" w:color="auto" w:fill="FFFFFF" w:themeFill="background1"/>
              <w:ind w:left="-57" w:right="-57"/>
            </w:pPr>
            <w:r w:rsidRPr="00FB3C2A">
              <w:t>обсяг необхідної внутрішньої ліквідності (обсяг ВЛА</w:t>
            </w:r>
            <w:r w:rsidRPr="00FB3C2A">
              <w:rPr>
                <w:vertAlign w:val="subscript"/>
              </w:rPr>
              <w:t>ВВ</w:t>
            </w:r>
            <w:r w:rsidRPr="00FB3C2A">
              <w:t>)</w:t>
            </w:r>
          </w:p>
        </w:tc>
        <w:tc>
          <w:tcPr>
            <w:tcW w:w="1231" w:type="dxa"/>
            <w:gridSpan w:val="2"/>
            <w:shd w:val="clear" w:color="auto" w:fill="auto"/>
            <w:vAlign w:val="center"/>
          </w:tcPr>
          <w:p w14:paraId="79B95798" w14:textId="77777777" w:rsidR="00396DE0" w:rsidRPr="00FB3C2A" w:rsidRDefault="00396DE0" w:rsidP="009B5341">
            <w:pPr>
              <w:shd w:val="clear" w:color="auto" w:fill="FFFFFF" w:themeFill="background1"/>
              <w:jc w:val="center"/>
            </w:pPr>
          </w:p>
        </w:tc>
        <w:tc>
          <w:tcPr>
            <w:tcW w:w="921" w:type="dxa"/>
            <w:shd w:val="clear" w:color="auto" w:fill="auto"/>
            <w:vAlign w:val="center"/>
          </w:tcPr>
          <w:p w14:paraId="56626139" w14:textId="77777777" w:rsidR="00396DE0" w:rsidRPr="00FB3C2A" w:rsidRDefault="00396DE0" w:rsidP="009B5341">
            <w:pPr>
              <w:shd w:val="clear" w:color="auto" w:fill="FFFFFF" w:themeFill="background1"/>
              <w:jc w:val="center"/>
            </w:pPr>
          </w:p>
        </w:tc>
        <w:tc>
          <w:tcPr>
            <w:tcW w:w="1130" w:type="dxa"/>
            <w:shd w:val="clear" w:color="auto" w:fill="auto"/>
            <w:vAlign w:val="center"/>
          </w:tcPr>
          <w:p w14:paraId="17389D0E" w14:textId="77777777" w:rsidR="00396DE0" w:rsidRPr="00FB3C2A" w:rsidRDefault="00396DE0" w:rsidP="009B5341">
            <w:pPr>
              <w:shd w:val="clear" w:color="auto" w:fill="FFFFFF" w:themeFill="background1"/>
              <w:jc w:val="center"/>
            </w:pPr>
          </w:p>
        </w:tc>
        <w:tc>
          <w:tcPr>
            <w:tcW w:w="1978" w:type="dxa"/>
            <w:shd w:val="clear" w:color="auto" w:fill="auto"/>
          </w:tcPr>
          <w:p w14:paraId="71EDD14A" w14:textId="77777777" w:rsidR="00396DE0" w:rsidRPr="00FB3C2A" w:rsidRDefault="00396DE0" w:rsidP="009B5341">
            <w:pPr>
              <w:shd w:val="clear" w:color="auto" w:fill="FFFFFF" w:themeFill="background1"/>
              <w:jc w:val="center"/>
            </w:pPr>
          </w:p>
        </w:tc>
        <w:tc>
          <w:tcPr>
            <w:tcW w:w="1140" w:type="dxa"/>
            <w:shd w:val="clear" w:color="auto" w:fill="auto"/>
          </w:tcPr>
          <w:p w14:paraId="4B82EE5B" w14:textId="77777777" w:rsidR="00396DE0" w:rsidRPr="00FB3C2A" w:rsidRDefault="00396DE0" w:rsidP="009B5341">
            <w:pPr>
              <w:shd w:val="clear" w:color="auto" w:fill="FFFFFF" w:themeFill="background1"/>
              <w:jc w:val="center"/>
            </w:pPr>
          </w:p>
        </w:tc>
        <w:tc>
          <w:tcPr>
            <w:tcW w:w="1278" w:type="dxa"/>
            <w:gridSpan w:val="2"/>
            <w:shd w:val="clear" w:color="auto" w:fill="auto"/>
          </w:tcPr>
          <w:p w14:paraId="78FEF73E" w14:textId="77777777" w:rsidR="00396DE0" w:rsidRPr="00FB3C2A" w:rsidRDefault="00396DE0" w:rsidP="009B5341">
            <w:pPr>
              <w:shd w:val="clear" w:color="auto" w:fill="FFFFFF" w:themeFill="background1"/>
              <w:jc w:val="center"/>
            </w:pPr>
          </w:p>
        </w:tc>
      </w:tr>
      <w:tr w:rsidR="00396DE0" w:rsidRPr="000D07CA" w14:paraId="07398BF7" w14:textId="77777777" w:rsidTr="009350E8">
        <w:tc>
          <w:tcPr>
            <w:tcW w:w="549" w:type="dxa"/>
            <w:gridSpan w:val="3"/>
            <w:shd w:val="clear" w:color="auto" w:fill="auto"/>
            <w:vAlign w:val="center"/>
          </w:tcPr>
          <w:p w14:paraId="42E30F1E" w14:textId="77777777" w:rsidR="00396DE0" w:rsidRPr="00FB3C2A" w:rsidRDefault="00396DE0" w:rsidP="009B5341">
            <w:pPr>
              <w:shd w:val="clear" w:color="auto" w:fill="FFFFFF" w:themeFill="background1"/>
              <w:jc w:val="center"/>
            </w:pPr>
            <w:r w:rsidRPr="00FB3C2A">
              <w:t>19</w:t>
            </w:r>
          </w:p>
        </w:tc>
        <w:tc>
          <w:tcPr>
            <w:tcW w:w="776" w:type="dxa"/>
            <w:shd w:val="clear" w:color="auto" w:fill="auto"/>
            <w:vAlign w:val="center"/>
          </w:tcPr>
          <w:p w14:paraId="1BC7D5DB" w14:textId="77777777" w:rsidR="00396DE0" w:rsidRPr="00FB3C2A" w:rsidRDefault="00396DE0" w:rsidP="009B5341">
            <w:pPr>
              <w:shd w:val="clear" w:color="auto" w:fill="FFFFFF" w:themeFill="background1"/>
              <w:jc w:val="center"/>
            </w:pPr>
            <w:r w:rsidRPr="00FB3C2A">
              <w:t>1.2</w:t>
            </w:r>
          </w:p>
        </w:tc>
        <w:tc>
          <w:tcPr>
            <w:tcW w:w="6308" w:type="dxa"/>
            <w:shd w:val="clear" w:color="auto" w:fill="auto"/>
            <w:vAlign w:val="center"/>
          </w:tcPr>
          <w:p w14:paraId="5C63F1DF" w14:textId="77777777" w:rsidR="00396DE0" w:rsidRPr="00FB3C2A" w:rsidRDefault="00396DE0" w:rsidP="009B5341">
            <w:pPr>
              <w:shd w:val="clear" w:color="auto" w:fill="FFFFFF" w:themeFill="background1"/>
              <w:ind w:left="-57" w:right="-57"/>
            </w:pPr>
            <w:r w:rsidRPr="00FB3C2A">
              <w:t>обсяг доступної внутрішньої ліквідності (обсяг ВЛА</w:t>
            </w:r>
            <w:r w:rsidRPr="00FB3C2A">
              <w:rPr>
                <w:vertAlign w:val="subscript"/>
              </w:rPr>
              <w:t>ВВ</w:t>
            </w:r>
            <w:r w:rsidRPr="00FB3C2A">
              <w:t>)</w:t>
            </w:r>
          </w:p>
        </w:tc>
        <w:tc>
          <w:tcPr>
            <w:tcW w:w="1231" w:type="dxa"/>
            <w:gridSpan w:val="2"/>
            <w:shd w:val="clear" w:color="auto" w:fill="auto"/>
            <w:vAlign w:val="center"/>
          </w:tcPr>
          <w:p w14:paraId="0142E483" w14:textId="77777777" w:rsidR="00396DE0" w:rsidRPr="00FB3C2A" w:rsidRDefault="00396DE0" w:rsidP="009B5341">
            <w:pPr>
              <w:shd w:val="clear" w:color="auto" w:fill="FFFFFF" w:themeFill="background1"/>
              <w:jc w:val="center"/>
            </w:pPr>
          </w:p>
        </w:tc>
        <w:tc>
          <w:tcPr>
            <w:tcW w:w="921" w:type="dxa"/>
            <w:shd w:val="clear" w:color="auto" w:fill="auto"/>
            <w:vAlign w:val="center"/>
          </w:tcPr>
          <w:p w14:paraId="7E4529A9" w14:textId="77777777" w:rsidR="00396DE0" w:rsidRPr="00FB3C2A" w:rsidRDefault="00396DE0" w:rsidP="009B5341">
            <w:pPr>
              <w:shd w:val="clear" w:color="auto" w:fill="FFFFFF" w:themeFill="background1"/>
              <w:jc w:val="center"/>
            </w:pPr>
          </w:p>
        </w:tc>
        <w:tc>
          <w:tcPr>
            <w:tcW w:w="1130" w:type="dxa"/>
            <w:shd w:val="clear" w:color="auto" w:fill="auto"/>
            <w:vAlign w:val="center"/>
          </w:tcPr>
          <w:p w14:paraId="3E5C41D1" w14:textId="77777777" w:rsidR="00396DE0" w:rsidRPr="00FB3C2A" w:rsidRDefault="00396DE0" w:rsidP="009B5341">
            <w:pPr>
              <w:shd w:val="clear" w:color="auto" w:fill="FFFFFF" w:themeFill="background1"/>
              <w:jc w:val="center"/>
            </w:pPr>
          </w:p>
        </w:tc>
        <w:tc>
          <w:tcPr>
            <w:tcW w:w="1978" w:type="dxa"/>
            <w:shd w:val="clear" w:color="auto" w:fill="auto"/>
          </w:tcPr>
          <w:p w14:paraId="7455B2E2" w14:textId="77777777" w:rsidR="00396DE0" w:rsidRPr="00FB3C2A" w:rsidRDefault="00396DE0" w:rsidP="009B5341">
            <w:pPr>
              <w:shd w:val="clear" w:color="auto" w:fill="FFFFFF" w:themeFill="background1"/>
              <w:jc w:val="center"/>
            </w:pPr>
          </w:p>
        </w:tc>
        <w:tc>
          <w:tcPr>
            <w:tcW w:w="1140" w:type="dxa"/>
            <w:shd w:val="clear" w:color="auto" w:fill="auto"/>
          </w:tcPr>
          <w:p w14:paraId="16BC7EA4" w14:textId="77777777" w:rsidR="00396DE0" w:rsidRPr="00FB3C2A" w:rsidRDefault="00396DE0" w:rsidP="009B5341">
            <w:pPr>
              <w:shd w:val="clear" w:color="auto" w:fill="FFFFFF" w:themeFill="background1"/>
              <w:jc w:val="center"/>
            </w:pPr>
          </w:p>
        </w:tc>
        <w:tc>
          <w:tcPr>
            <w:tcW w:w="1278" w:type="dxa"/>
            <w:gridSpan w:val="2"/>
            <w:shd w:val="clear" w:color="auto" w:fill="auto"/>
          </w:tcPr>
          <w:p w14:paraId="58531AD7" w14:textId="77777777" w:rsidR="00396DE0" w:rsidRPr="00FB3C2A" w:rsidRDefault="00396DE0" w:rsidP="009B5341">
            <w:pPr>
              <w:shd w:val="clear" w:color="auto" w:fill="FFFFFF" w:themeFill="background1"/>
              <w:jc w:val="center"/>
            </w:pPr>
          </w:p>
        </w:tc>
      </w:tr>
      <w:tr w:rsidR="0091727A" w:rsidRPr="000D07CA" w14:paraId="11E5BCA5" w14:textId="77777777" w:rsidTr="0099562D">
        <w:tc>
          <w:tcPr>
            <w:tcW w:w="549" w:type="dxa"/>
            <w:gridSpan w:val="3"/>
            <w:shd w:val="clear" w:color="auto" w:fill="auto"/>
            <w:vAlign w:val="center"/>
          </w:tcPr>
          <w:p w14:paraId="45BB3EBF" w14:textId="77777777" w:rsidR="0091727A" w:rsidRPr="00FB3C2A" w:rsidRDefault="0091727A" w:rsidP="009B5341">
            <w:pPr>
              <w:shd w:val="clear" w:color="auto" w:fill="FFFFFF" w:themeFill="background1"/>
              <w:ind w:left="-57" w:right="-57"/>
              <w:jc w:val="center"/>
            </w:pPr>
            <w:r w:rsidRPr="00FB3C2A">
              <w:t>20</w:t>
            </w:r>
          </w:p>
        </w:tc>
        <w:tc>
          <w:tcPr>
            <w:tcW w:w="776" w:type="dxa"/>
            <w:shd w:val="clear" w:color="auto" w:fill="auto"/>
            <w:vAlign w:val="center"/>
          </w:tcPr>
          <w:p w14:paraId="3B63122F" w14:textId="77777777" w:rsidR="0091727A" w:rsidRPr="00FB3C2A" w:rsidRDefault="0091727A" w:rsidP="009B5341">
            <w:pPr>
              <w:shd w:val="clear" w:color="auto" w:fill="FFFFFF" w:themeFill="background1"/>
              <w:jc w:val="center"/>
            </w:pPr>
            <w:r w:rsidRPr="00FB3C2A">
              <w:t>1.3</w:t>
            </w:r>
          </w:p>
        </w:tc>
        <w:tc>
          <w:tcPr>
            <w:tcW w:w="13986" w:type="dxa"/>
            <w:gridSpan w:val="9"/>
            <w:shd w:val="clear" w:color="auto" w:fill="auto"/>
          </w:tcPr>
          <w:p w14:paraId="5B52C894" w14:textId="773A8FBE" w:rsidR="0091727A" w:rsidRPr="00FB3C2A" w:rsidRDefault="0091727A" w:rsidP="0091727A">
            <w:pPr>
              <w:shd w:val="clear" w:color="auto" w:fill="FFFFFF" w:themeFill="background1"/>
              <w:ind w:left="-57" w:right="-57"/>
              <w:rPr>
                <w:i/>
                <w:iCs/>
              </w:rPr>
            </w:pPr>
            <w:r w:rsidRPr="00FB3C2A">
              <w:t xml:space="preserve">різниця між доступною та необхідною внутрішньою ліквідністю </w:t>
            </w:r>
          </w:p>
        </w:tc>
      </w:tr>
      <w:tr w:rsidR="00396DE0" w:rsidRPr="000D07CA" w14:paraId="72E22086" w14:textId="77777777" w:rsidTr="009350E8">
        <w:tc>
          <w:tcPr>
            <w:tcW w:w="549" w:type="dxa"/>
            <w:gridSpan w:val="3"/>
            <w:shd w:val="clear" w:color="auto" w:fill="auto"/>
            <w:vAlign w:val="center"/>
          </w:tcPr>
          <w:p w14:paraId="3582C87B" w14:textId="77777777" w:rsidR="00396DE0" w:rsidRPr="00FB3C2A" w:rsidRDefault="00396DE0" w:rsidP="009B5341">
            <w:pPr>
              <w:shd w:val="clear" w:color="auto" w:fill="FFFFFF" w:themeFill="background1"/>
              <w:ind w:left="-57" w:right="-57"/>
              <w:jc w:val="center"/>
            </w:pPr>
            <w:r w:rsidRPr="00FB3C2A">
              <w:t>21</w:t>
            </w:r>
          </w:p>
        </w:tc>
        <w:tc>
          <w:tcPr>
            <w:tcW w:w="776" w:type="dxa"/>
            <w:shd w:val="clear" w:color="auto" w:fill="auto"/>
            <w:vAlign w:val="center"/>
          </w:tcPr>
          <w:p w14:paraId="7551D58C" w14:textId="77777777" w:rsidR="00396DE0" w:rsidRPr="00FB3C2A" w:rsidRDefault="00396DE0" w:rsidP="009B5341">
            <w:pPr>
              <w:shd w:val="clear" w:color="auto" w:fill="FFFFFF" w:themeFill="background1"/>
              <w:ind w:left="-57" w:right="-57"/>
              <w:jc w:val="center"/>
              <w:rPr>
                <w:iCs/>
              </w:rPr>
            </w:pPr>
            <w:r w:rsidRPr="00FB3C2A">
              <w:rPr>
                <w:iCs/>
              </w:rPr>
              <w:t>1.3.1</w:t>
            </w:r>
          </w:p>
        </w:tc>
        <w:tc>
          <w:tcPr>
            <w:tcW w:w="6308" w:type="dxa"/>
            <w:shd w:val="clear" w:color="auto" w:fill="auto"/>
          </w:tcPr>
          <w:p w14:paraId="5F7A44E8" w14:textId="77777777" w:rsidR="00396DE0" w:rsidRPr="00FB3C2A" w:rsidRDefault="00396DE0" w:rsidP="009B5341">
            <w:pPr>
              <w:shd w:val="clear" w:color="auto" w:fill="FFFFFF" w:themeFill="background1"/>
              <w:ind w:left="-57"/>
            </w:pPr>
            <w:r w:rsidRPr="00FB3C2A">
              <w:rPr>
                <w:iCs/>
              </w:rPr>
              <w:t>позитивна різниця (</w:t>
            </w:r>
            <w:r w:rsidRPr="00FB3C2A">
              <w:t xml:space="preserve">немає потреби </w:t>
            </w:r>
            <w:r w:rsidRPr="00FB3C2A">
              <w:rPr>
                <w:iCs/>
              </w:rPr>
              <w:t>у ВЛА</w:t>
            </w:r>
            <w:r w:rsidRPr="00FB3C2A">
              <w:rPr>
                <w:iCs/>
                <w:vertAlign w:val="subscript"/>
              </w:rPr>
              <w:t>ВВ</w:t>
            </w:r>
            <w:r w:rsidRPr="00FB3C2A">
              <w:rPr>
                <w:iCs/>
              </w:rPr>
              <w:t xml:space="preserve">), тис. грн </w:t>
            </w:r>
          </w:p>
        </w:tc>
        <w:tc>
          <w:tcPr>
            <w:tcW w:w="1231" w:type="dxa"/>
            <w:gridSpan w:val="2"/>
            <w:shd w:val="clear" w:color="auto" w:fill="auto"/>
            <w:vAlign w:val="center"/>
          </w:tcPr>
          <w:p w14:paraId="70B26B98" w14:textId="77777777" w:rsidR="00396DE0" w:rsidRPr="00FB3C2A" w:rsidRDefault="00396DE0" w:rsidP="009B5341">
            <w:pPr>
              <w:shd w:val="clear" w:color="auto" w:fill="FFFFFF" w:themeFill="background1"/>
              <w:jc w:val="center"/>
              <w:rPr>
                <w:i/>
                <w:iCs/>
              </w:rPr>
            </w:pPr>
          </w:p>
        </w:tc>
        <w:tc>
          <w:tcPr>
            <w:tcW w:w="921" w:type="dxa"/>
            <w:shd w:val="clear" w:color="auto" w:fill="auto"/>
            <w:vAlign w:val="center"/>
          </w:tcPr>
          <w:p w14:paraId="07D694F7" w14:textId="77777777" w:rsidR="00396DE0" w:rsidRPr="00FB3C2A" w:rsidRDefault="00396DE0" w:rsidP="009B5341">
            <w:pPr>
              <w:shd w:val="clear" w:color="auto" w:fill="FFFFFF" w:themeFill="background1"/>
              <w:jc w:val="center"/>
              <w:rPr>
                <w:i/>
                <w:iCs/>
              </w:rPr>
            </w:pPr>
          </w:p>
        </w:tc>
        <w:tc>
          <w:tcPr>
            <w:tcW w:w="1130" w:type="dxa"/>
            <w:shd w:val="clear" w:color="auto" w:fill="auto"/>
            <w:vAlign w:val="center"/>
          </w:tcPr>
          <w:p w14:paraId="4E1D8D30" w14:textId="77777777" w:rsidR="00396DE0" w:rsidRPr="00FB3C2A" w:rsidRDefault="00396DE0" w:rsidP="009B5341">
            <w:pPr>
              <w:shd w:val="clear" w:color="auto" w:fill="FFFFFF" w:themeFill="background1"/>
              <w:jc w:val="center"/>
              <w:rPr>
                <w:i/>
                <w:iCs/>
              </w:rPr>
            </w:pPr>
          </w:p>
        </w:tc>
        <w:tc>
          <w:tcPr>
            <w:tcW w:w="1978" w:type="dxa"/>
            <w:shd w:val="clear" w:color="auto" w:fill="auto"/>
          </w:tcPr>
          <w:p w14:paraId="5EBE52E3" w14:textId="77777777" w:rsidR="00396DE0" w:rsidRPr="00FB3C2A" w:rsidRDefault="00396DE0" w:rsidP="009B5341">
            <w:pPr>
              <w:shd w:val="clear" w:color="auto" w:fill="FFFFFF" w:themeFill="background1"/>
              <w:jc w:val="center"/>
              <w:rPr>
                <w:i/>
                <w:iCs/>
              </w:rPr>
            </w:pPr>
          </w:p>
        </w:tc>
        <w:tc>
          <w:tcPr>
            <w:tcW w:w="1140" w:type="dxa"/>
            <w:shd w:val="clear" w:color="auto" w:fill="auto"/>
          </w:tcPr>
          <w:p w14:paraId="467EB03F" w14:textId="77777777" w:rsidR="00396DE0" w:rsidRPr="00FB3C2A" w:rsidRDefault="00396DE0" w:rsidP="009B5341">
            <w:pPr>
              <w:shd w:val="clear" w:color="auto" w:fill="FFFFFF" w:themeFill="background1"/>
              <w:jc w:val="center"/>
              <w:rPr>
                <w:i/>
                <w:iCs/>
              </w:rPr>
            </w:pPr>
          </w:p>
        </w:tc>
        <w:tc>
          <w:tcPr>
            <w:tcW w:w="1278" w:type="dxa"/>
            <w:gridSpan w:val="2"/>
            <w:shd w:val="clear" w:color="auto" w:fill="auto"/>
          </w:tcPr>
          <w:p w14:paraId="053C3C4E" w14:textId="77777777" w:rsidR="00396DE0" w:rsidRPr="00FB3C2A" w:rsidRDefault="00396DE0" w:rsidP="009B5341">
            <w:pPr>
              <w:shd w:val="clear" w:color="auto" w:fill="FFFFFF" w:themeFill="background1"/>
              <w:jc w:val="center"/>
              <w:rPr>
                <w:i/>
                <w:iCs/>
              </w:rPr>
            </w:pPr>
          </w:p>
        </w:tc>
      </w:tr>
      <w:tr w:rsidR="00396DE0" w:rsidRPr="000D07CA" w14:paraId="396685B2" w14:textId="77777777" w:rsidTr="009350E8">
        <w:tc>
          <w:tcPr>
            <w:tcW w:w="549" w:type="dxa"/>
            <w:gridSpan w:val="3"/>
            <w:shd w:val="clear" w:color="auto" w:fill="auto"/>
            <w:vAlign w:val="center"/>
          </w:tcPr>
          <w:p w14:paraId="6806AA9D" w14:textId="77777777" w:rsidR="00396DE0" w:rsidRPr="00FB3C2A" w:rsidRDefault="00396DE0" w:rsidP="009B5341">
            <w:pPr>
              <w:shd w:val="clear" w:color="auto" w:fill="FFFFFF" w:themeFill="background1"/>
              <w:ind w:left="-57" w:right="-57"/>
              <w:jc w:val="center"/>
            </w:pPr>
            <w:r w:rsidRPr="00FB3C2A">
              <w:t>22</w:t>
            </w:r>
          </w:p>
        </w:tc>
        <w:tc>
          <w:tcPr>
            <w:tcW w:w="776" w:type="dxa"/>
            <w:shd w:val="clear" w:color="auto" w:fill="auto"/>
            <w:vAlign w:val="center"/>
          </w:tcPr>
          <w:p w14:paraId="62CC45A4" w14:textId="77777777" w:rsidR="00396DE0" w:rsidRPr="00FB3C2A" w:rsidRDefault="00396DE0" w:rsidP="009B5341">
            <w:pPr>
              <w:shd w:val="clear" w:color="auto" w:fill="FFFFFF" w:themeFill="background1"/>
              <w:ind w:left="-57" w:right="-57"/>
              <w:jc w:val="center"/>
              <w:rPr>
                <w:iCs/>
              </w:rPr>
            </w:pPr>
            <w:r w:rsidRPr="00FB3C2A">
              <w:rPr>
                <w:iCs/>
              </w:rPr>
              <w:t>1.3.2</w:t>
            </w:r>
          </w:p>
        </w:tc>
        <w:tc>
          <w:tcPr>
            <w:tcW w:w="6308" w:type="dxa"/>
            <w:shd w:val="clear" w:color="auto" w:fill="auto"/>
          </w:tcPr>
          <w:p w14:paraId="5198810A" w14:textId="77777777" w:rsidR="00396DE0" w:rsidRPr="00FB3C2A" w:rsidRDefault="00396DE0" w:rsidP="009B5341">
            <w:pPr>
              <w:shd w:val="clear" w:color="auto" w:fill="FFFFFF" w:themeFill="background1"/>
              <w:ind w:left="-57"/>
            </w:pPr>
            <w:r w:rsidRPr="00FB3C2A">
              <w:rPr>
                <w:iCs/>
              </w:rPr>
              <w:t>негативна різниця (є потреба у ВЛА</w:t>
            </w:r>
            <w:r w:rsidRPr="00FB3C2A">
              <w:rPr>
                <w:iCs/>
                <w:vertAlign w:val="subscript"/>
              </w:rPr>
              <w:t>ВВ</w:t>
            </w:r>
            <w:r w:rsidRPr="00FB3C2A">
              <w:rPr>
                <w:iCs/>
              </w:rPr>
              <w:t xml:space="preserve">), тис. грн </w:t>
            </w:r>
          </w:p>
        </w:tc>
        <w:tc>
          <w:tcPr>
            <w:tcW w:w="1231" w:type="dxa"/>
            <w:gridSpan w:val="2"/>
            <w:shd w:val="clear" w:color="auto" w:fill="auto"/>
            <w:vAlign w:val="center"/>
          </w:tcPr>
          <w:p w14:paraId="629B3C04" w14:textId="77777777" w:rsidR="00396DE0" w:rsidRPr="00FB3C2A" w:rsidRDefault="00396DE0" w:rsidP="009B5341">
            <w:pPr>
              <w:shd w:val="clear" w:color="auto" w:fill="FFFFFF" w:themeFill="background1"/>
              <w:jc w:val="center"/>
              <w:rPr>
                <w:i/>
                <w:iCs/>
              </w:rPr>
            </w:pPr>
          </w:p>
        </w:tc>
        <w:tc>
          <w:tcPr>
            <w:tcW w:w="921" w:type="dxa"/>
            <w:shd w:val="clear" w:color="auto" w:fill="auto"/>
            <w:vAlign w:val="center"/>
          </w:tcPr>
          <w:p w14:paraId="785A480E" w14:textId="77777777" w:rsidR="00396DE0" w:rsidRPr="00FB3C2A" w:rsidRDefault="00396DE0" w:rsidP="009B5341">
            <w:pPr>
              <w:shd w:val="clear" w:color="auto" w:fill="FFFFFF" w:themeFill="background1"/>
              <w:jc w:val="center"/>
              <w:rPr>
                <w:i/>
                <w:iCs/>
              </w:rPr>
            </w:pPr>
          </w:p>
        </w:tc>
        <w:tc>
          <w:tcPr>
            <w:tcW w:w="1130" w:type="dxa"/>
            <w:shd w:val="clear" w:color="auto" w:fill="auto"/>
            <w:vAlign w:val="center"/>
          </w:tcPr>
          <w:p w14:paraId="3A8B42CA" w14:textId="77777777" w:rsidR="00396DE0" w:rsidRPr="00FB3C2A" w:rsidRDefault="00396DE0" w:rsidP="009B5341">
            <w:pPr>
              <w:shd w:val="clear" w:color="auto" w:fill="FFFFFF" w:themeFill="background1"/>
              <w:jc w:val="center"/>
              <w:rPr>
                <w:i/>
                <w:iCs/>
              </w:rPr>
            </w:pPr>
          </w:p>
        </w:tc>
        <w:tc>
          <w:tcPr>
            <w:tcW w:w="1978" w:type="dxa"/>
            <w:shd w:val="clear" w:color="auto" w:fill="auto"/>
          </w:tcPr>
          <w:p w14:paraId="0B8E030C" w14:textId="77777777" w:rsidR="00396DE0" w:rsidRPr="00FB3C2A" w:rsidRDefault="00396DE0" w:rsidP="009B5341">
            <w:pPr>
              <w:shd w:val="clear" w:color="auto" w:fill="FFFFFF" w:themeFill="background1"/>
              <w:jc w:val="center"/>
              <w:rPr>
                <w:i/>
                <w:iCs/>
              </w:rPr>
            </w:pPr>
          </w:p>
        </w:tc>
        <w:tc>
          <w:tcPr>
            <w:tcW w:w="1140" w:type="dxa"/>
            <w:shd w:val="clear" w:color="auto" w:fill="auto"/>
          </w:tcPr>
          <w:p w14:paraId="621797A8" w14:textId="77777777" w:rsidR="00396DE0" w:rsidRPr="00FB3C2A" w:rsidRDefault="00396DE0" w:rsidP="009B5341">
            <w:pPr>
              <w:shd w:val="clear" w:color="auto" w:fill="FFFFFF" w:themeFill="background1"/>
              <w:jc w:val="center"/>
              <w:rPr>
                <w:i/>
                <w:iCs/>
              </w:rPr>
            </w:pPr>
          </w:p>
        </w:tc>
        <w:tc>
          <w:tcPr>
            <w:tcW w:w="1278" w:type="dxa"/>
            <w:gridSpan w:val="2"/>
            <w:shd w:val="clear" w:color="auto" w:fill="auto"/>
          </w:tcPr>
          <w:p w14:paraId="3E21FFFE" w14:textId="77777777" w:rsidR="00396DE0" w:rsidRPr="00FB3C2A" w:rsidRDefault="00396DE0" w:rsidP="009B5341">
            <w:pPr>
              <w:shd w:val="clear" w:color="auto" w:fill="FFFFFF" w:themeFill="background1"/>
              <w:jc w:val="center"/>
              <w:rPr>
                <w:i/>
                <w:iCs/>
              </w:rPr>
            </w:pPr>
          </w:p>
        </w:tc>
      </w:tr>
      <w:tr w:rsidR="00396DE0" w:rsidRPr="000D07CA" w14:paraId="0948B104" w14:textId="77777777" w:rsidTr="009350E8">
        <w:tc>
          <w:tcPr>
            <w:tcW w:w="549" w:type="dxa"/>
            <w:gridSpan w:val="3"/>
            <w:shd w:val="clear" w:color="auto" w:fill="auto"/>
            <w:vAlign w:val="center"/>
          </w:tcPr>
          <w:p w14:paraId="2D23D003" w14:textId="77777777" w:rsidR="00396DE0" w:rsidRPr="00FB3C2A" w:rsidRDefault="00396DE0" w:rsidP="009B5341">
            <w:pPr>
              <w:shd w:val="clear" w:color="auto" w:fill="FFFFFF" w:themeFill="background1"/>
              <w:ind w:left="-57" w:right="-57"/>
              <w:jc w:val="center"/>
            </w:pPr>
            <w:r w:rsidRPr="00FB3C2A">
              <w:t>23</w:t>
            </w:r>
          </w:p>
        </w:tc>
        <w:tc>
          <w:tcPr>
            <w:tcW w:w="776" w:type="dxa"/>
            <w:shd w:val="clear" w:color="auto" w:fill="auto"/>
            <w:vAlign w:val="center"/>
          </w:tcPr>
          <w:p w14:paraId="51EFCE78" w14:textId="77777777" w:rsidR="00396DE0" w:rsidRPr="00FB3C2A" w:rsidRDefault="00396DE0" w:rsidP="009B5341">
            <w:pPr>
              <w:shd w:val="clear" w:color="auto" w:fill="FFFFFF" w:themeFill="background1"/>
              <w:jc w:val="center"/>
            </w:pPr>
            <w:r w:rsidRPr="00FB3C2A">
              <w:t>1.4</w:t>
            </w:r>
          </w:p>
        </w:tc>
        <w:tc>
          <w:tcPr>
            <w:tcW w:w="6308" w:type="dxa"/>
            <w:shd w:val="clear" w:color="auto" w:fill="auto"/>
          </w:tcPr>
          <w:p w14:paraId="77D0A117" w14:textId="77777777" w:rsidR="00396DE0" w:rsidRPr="00FB3C2A" w:rsidRDefault="00396DE0" w:rsidP="009B5341">
            <w:pPr>
              <w:shd w:val="clear" w:color="auto" w:fill="FFFFFF" w:themeFill="background1"/>
              <w:ind w:left="-57" w:right="-57"/>
            </w:pPr>
            <w:r w:rsidRPr="00FB3C2A">
              <w:t>цільове значення нормативу LCR</w:t>
            </w:r>
            <w:r w:rsidRPr="00FB3C2A">
              <w:rPr>
                <w:vertAlign w:val="subscript"/>
              </w:rPr>
              <w:t>ВВ</w:t>
            </w:r>
            <w:r w:rsidRPr="00FB3C2A">
              <w:t>, %</w:t>
            </w:r>
          </w:p>
        </w:tc>
        <w:tc>
          <w:tcPr>
            <w:tcW w:w="1231" w:type="dxa"/>
            <w:gridSpan w:val="2"/>
            <w:shd w:val="clear" w:color="auto" w:fill="auto"/>
            <w:vAlign w:val="center"/>
          </w:tcPr>
          <w:p w14:paraId="19C0E4D8" w14:textId="77777777" w:rsidR="00396DE0" w:rsidRPr="00FB3C2A" w:rsidRDefault="00396DE0" w:rsidP="009B5341">
            <w:pPr>
              <w:shd w:val="clear" w:color="auto" w:fill="FFFFFF" w:themeFill="background1"/>
              <w:jc w:val="center"/>
              <w:rPr>
                <w:i/>
                <w:iCs/>
              </w:rPr>
            </w:pPr>
          </w:p>
        </w:tc>
        <w:tc>
          <w:tcPr>
            <w:tcW w:w="921" w:type="dxa"/>
            <w:shd w:val="clear" w:color="auto" w:fill="auto"/>
            <w:vAlign w:val="center"/>
          </w:tcPr>
          <w:p w14:paraId="1818051E" w14:textId="77777777" w:rsidR="00396DE0" w:rsidRPr="00FB3C2A" w:rsidRDefault="00396DE0" w:rsidP="009B5341">
            <w:pPr>
              <w:shd w:val="clear" w:color="auto" w:fill="FFFFFF" w:themeFill="background1"/>
              <w:jc w:val="center"/>
              <w:rPr>
                <w:i/>
                <w:iCs/>
              </w:rPr>
            </w:pPr>
          </w:p>
        </w:tc>
        <w:tc>
          <w:tcPr>
            <w:tcW w:w="1130" w:type="dxa"/>
            <w:shd w:val="clear" w:color="auto" w:fill="auto"/>
            <w:vAlign w:val="center"/>
          </w:tcPr>
          <w:p w14:paraId="6C8910C9" w14:textId="77777777" w:rsidR="00396DE0" w:rsidRPr="00FB3C2A" w:rsidRDefault="00396DE0" w:rsidP="009B5341">
            <w:pPr>
              <w:shd w:val="clear" w:color="auto" w:fill="FFFFFF" w:themeFill="background1"/>
              <w:jc w:val="center"/>
              <w:rPr>
                <w:i/>
                <w:iCs/>
              </w:rPr>
            </w:pPr>
          </w:p>
        </w:tc>
        <w:tc>
          <w:tcPr>
            <w:tcW w:w="1978" w:type="dxa"/>
            <w:shd w:val="clear" w:color="auto" w:fill="auto"/>
          </w:tcPr>
          <w:p w14:paraId="6155D465" w14:textId="77777777" w:rsidR="00396DE0" w:rsidRPr="00FB3C2A" w:rsidRDefault="00396DE0" w:rsidP="009B5341">
            <w:pPr>
              <w:shd w:val="clear" w:color="auto" w:fill="FFFFFF" w:themeFill="background1"/>
              <w:jc w:val="center"/>
              <w:rPr>
                <w:i/>
                <w:iCs/>
              </w:rPr>
            </w:pPr>
          </w:p>
        </w:tc>
        <w:tc>
          <w:tcPr>
            <w:tcW w:w="1140" w:type="dxa"/>
            <w:shd w:val="clear" w:color="auto" w:fill="auto"/>
          </w:tcPr>
          <w:p w14:paraId="34C21DC1" w14:textId="77777777" w:rsidR="00396DE0" w:rsidRPr="00FB3C2A" w:rsidRDefault="00396DE0" w:rsidP="009B5341">
            <w:pPr>
              <w:shd w:val="clear" w:color="auto" w:fill="FFFFFF" w:themeFill="background1"/>
              <w:jc w:val="center"/>
              <w:rPr>
                <w:i/>
                <w:iCs/>
              </w:rPr>
            </w:pPr>
          </w:p>
        </w:tc>
        <w:tc>
          <w:tcPr>
            <w:tcW w:w="1278" w:type="dxa"/>
            <w:gridSpan w:val="2"/>
            <w:shd w:val="clear" w:color="auto" w:fill="auto"/>
          </w:tcPr>
          <w:p w14:paraId="15FC40A5" w14:textId="77777777" w:rsidR="00396DE0" w:rsidRPr="00FB3C2A" w:rsidRDefault="00396DE0" w:rsidP="009B5341">
            <w:pPr>
              <w:shd w:val="clear" w:color="auto" w:fill="FFFFFF" w:themeFill="background1"/>
              <w:jc w:val="center"/>
              <w:rPr>
                <w:i/>
                <w:iCs/>
              </w:rPr>
            </w:pPr>
          </w:p>
        </w:tc>
      </w:tr>
      <w:tr w:rsidR="00856D7E" w:rsidRPr="000D07CA" w14:paraId="7983FD38" w14:textId="77777777" w:rsidTr="0099562D">
        <w:tc>
          <w:tcPr>
            <w:tcW w:w="549" w:type="dxa"/>
            <w:gridSpan w:val="3"/>
            <w:shd w:val="clear" w:color="auto" w:fill="auto"/>
            <w:vAlign w:val="center"/>
          </w:tcPr>
          <w:p w14:paraId="44BBAD56" w14:textId="77777777" w:rsidR="00856D7E" w:rsidRPr="00FB3C2A" w:rsidRDefault="00856D7E" w:rsidP="009B5341">
            <w:pPr>
              <w:spacing w:before="40"/>
              <w:jc w:val="center"/>
            </w:pPr>
            <w:r w:rsidRPr="00FB3C2A">
              <w:t>24</w:t>
            </w:r>
          </w:p>
        </w:tc>
        <w:tc>
          <w:tcPr>
            <w:tcW w:w="776" w:type="dxa"/>
            <w:shd w:val="clear" w:color="auto" w:fill="auto"/>
            <w:vAlign w:val="center"/>
          </w:tcPr>
          <w:p w14:paraId="6EF58FA3" w14:textId="77777777" w:rsidR="00856D7E" w:rsidRPr="00FB3C2A" w:rsidRDefault="00856D7E" w:rsidP="009B5341">
            <w:pPr>
              <w:spacing w:before="40"/>
              <w:jc w:val="center"/>
            </w:pPr>
            <w:r w:rsidRPr="00FB3C2A">
              <w:t>2</w:t>
            </w:r>
          </w:p>
        </w:tc>
        <w:tc>
          <w:tcPr>
            <w:tcW w:w="13986" w:type="dxa"/>
            <w:gridSpan w:val="9"/>
            <w:shd w:val="clear" w:color="auto" w:fill="auto"/>
            <w:vAlign w:val="center"/>
          </w:tcPr>
          <w:p w14:paraId="5BE84AA2" w14:textId="4DACAE65" w:rsidR="00856D7E" w:rsidRPr="00FB3C2A" w:rsidRDefault="00856D7E" w:rsidP="00856D7E">
            <w:pPr>
              <w:spacing w:before="40"/>
              <w:jc w:val="left"/>
              <w:rPr>
                <w:b/>
                <w:bCs/>
              </w:rPr>
            </w:pPr>
            <w:r w:rsidRPr="00FB3C2A">
              <w:t>Норматив LCR</w:t>
            </w:r>
            <w:r w:rsidRPr="00FB3C2A">
              <w:rPr>
                <w:vertAlign w:val="subscript"/>
              </w:rPr>
              <w:t>ІВ</w:t>
            </w:r>
          </w:p>
        </w:tc>
      </w:tr>
      <w:tr w:rsidR="0099562D" w:rsidRPr="000D07CA" w14:paraId="34D2C1D0" w14:textId="77777777" w:rsidTr="009350E8">
        <w:trPr>
          <w:trHeight w:val="106"/>
        </w:trPr>
        <w:tc>
          <w:tcPr>
            <w:tcW w:w="549" w:type="dxa"/>
            <w:gridSpan w:val="3"/>
          </w:tcPr>
          <w:p w14:paraId="4F88368B" w14:textId="77777777" w:rsidR="0099562D" w:rsidRPr="00FB3C2A" w:rsidRDefault="0099562D" w:rsidP="000F6BDE">
            <w:pPr>
              <w:shd w:val="clear" w:color="auto" w:fill="FFFFFF" w:themeFill="background1"/>
              <w:jc w:val="center"/>
            </w:pPr>
            <w:r w:rsidRPr="00FB3C2A">
              <w:lastRenderedPageBreak/>
              <w:t>1</w:t>
            </w:r>
          </w:p>
        </w:tc>
        <w:tc>
          <w:tcPr>
            <w:tcW w:w="776" w:type="dxa"/>
          </w:tcPr>
          <w:p w14:paraId="37A16357" w14:textId="77777777" w:rsidR="0099562D" w:rsidRPr="00FB3C2A" w:rsidRDefault="0099562D" w:rsidP="000F6BDE">
            <w:pPr>
              <w:shd w:val="clear" w:color="auto" w:fill="FFFFFF" w:themeFill="background1"/>
              <w:jc w:val="center"/>
            </w:pPr>
            <w:r w:rsidRPr="00FB3C2A">
              <w:t>2</w:t>
            </w:r>
          </w:p>
        </w:tc>
        <w:tc>
          <w:tcPr>
            <w:tcW w:w="6308" w:type="dxa"/>
          </w:tcPr>
          <w:p w14:paraId="456CC936" w14:textId="77777777" w:rsidR="0099562D" w:rsidRPr="00FB3C2A" w:rsidRDefault="0099562D" w:rsidP="000F6BDE">
            <w:pPr>
              <w:shd w:val="clear" w:color="auto" w:fill="FFFFFF" w:themeFill="background1"/>
              <w:jc w:val="center"/>
            </w:pPr>
            <w:r w:rsidRPr="00FB3C2A">
              <w:t>3</w:t>
            </w:r>
          </w:p>
        </w:tc>
        <w:tc>
          <w:tcPr>
            <w:tcW w:w="1231" w:type="dxa"/>
            <w:gridSpan w:val="2"/>
          </w:tcPr>
          <w:p w14:paraId="796FF6D4" w14:textId="77777777" w:rsidR="0099562D" w:rsidRPr="00FB3C2A" w:rsidRDefault="0099562D" w:rsidP="000F6BDE">
            <w:pPr>
              <w:shd w:val="clear" w:color="auto" w:fill="FFFFFF" w:themeFill="background1"/>
              <w:jc w:val="center"/>
            </w:pPr>
            <w:r w:rsidRPr="00FB3C2A">
              <w:t>4</w:t>
            </w:r>
          </w:p>
        </w:tc>
        <w:tc>
          <w:tcPr>
            <w:tcW w:w="921" w:type="dxa"/>
          </w:tcPr>
          <w:p w14:paraId="575D1787" w14:textId="77777777" w:rsidR="0099562D" w:rsidRPr="00FB3C2A" w:rsidRDefault="0099562D" w:rsidP="000F6BDE">
            <w:pPr>
              <w:shd w:val="clear" w:color="auto" w:fill="FFFFFF" w:themeFill="background1"/>
              <w:jc w:val="center"/>
            </w:pPr>
            <w:r w:rsidRPr="00FB3C2A">
              <w:t>5</w:t>
            </w:r>
          </w:p>
        </w:tc>
        <w:tc>
          <w:tcPr>
            <w:tcW w:w="1130" w:type="dxa"/>
          </w:tcPr>
          <w:p w14:paraId="295C8144" w14:textId="77777777" w:rsidR="0099562D" w:rsidRPr="00FB3C2A" w:rsidRDefault="0099562D" w:rsidP="000F6BDE">
            <w:pPr>
              <w:shd w:val="clear" w:color="auto" w:fill="FFFFFF" w:themeFill="background1"/>
              <w:jc w:val="center"/>
            </w:pPr>
            <w:r w:rsidRPr="00FB3C2A">
              <w:t>6</w:t>
            </w:r>
          </w:p>
        </w:tc>
        <w:tc>
          <w:tcPr>
            <w:tcW w:w="1978" w:type="dxa"/>
          </w:tcPr>
          <w:p w14:paraId="5CD7E4C5" w14:textId="77777777" w:rsidR="0099562D" w:rsidRPr="00FB3C2A" w:rsidRDefault="0099562D" w:rsidP="000F6BDE">
            <w:pPr>
              <w:shd w:val="clear" w:color="auto" w:fill="FFFFFF" w:themeFill="background1"/>
              <w:jc w:val="center"/>
            </w:pPr>
            <w:r w:rsidRPr="00FB3C2A">
              <w:t>7</w:t>
            </w:r>
          </w:p>
        </w:tc>
        <w:tc>
          <w:tcPr>
            <w:tcW w:w="1140" w:type="dxa"/>
          </w:tcPr>
          <w:p w14:paraId="617035F4" w14:textId="77777777" w:rsidR="0099562D" w:rsidRPr="00FB3C2A" w:rsidRDefault="0099562D" w:rsidP="000F6BDE">
            <w:pPr>
              <w:shd w:val="clear" w:color="auto" w:fill="FFFFFF" w:themeFill="background1"/>
              <w:jc w:val="center"/>
            </w:pPr>
            <w:r w:rsidRPr="00FB3C2A">
              <w:t>8</w:t>
            </w:r>
          </w:p>
        </w:tc>
        <w:tc>
          <w:tcPr>
            <w:tcW w:w="1278" w:type="dxa"/>
            <w:gridSpan w:val="2"/>
          </w:tcPr>
          <w:p w14:paraId="28D2AA0F" w14:textId="77777777" w:rsidR="0099562D" w:rsidRPr="00FB3C2A" w:rsidRDefault="0099562D" w:rsidP="000F6BDE">
            <w:pPr>
              <w:shd w:val="clear" w:color="auto" w:fill="FFFFFF" w:themeFill="background1"/>
              <w:jc w:val="center"/>
            </w:pPr>
            <w:r w:rsidRPr="00FB3C2A">
              <w:t>9</w:t>
            </w:r>
          </w:p>
        </w:tc>
      </w:tr>
      <w:tr w:rsidR="0099562D" w:rsidRPr="000D07CA" w14:paraId="2F7E0022" w14:textId="77777777" w:rsidTr="009350E8">
        <w:tc>
          <w:tcPr>
            <w:tcW w:w="549" w:type="dxa"/>
            <w:gridSpan w:val="3"/>
            <w:shd w:val="clear" w:color="auto" w:fill="auto"/>
            <w:vAlign w:val="center"/>
          </w:tcPr>
          <w:p w14:paraId="64724BDF" w14:textId="77777777" w:rsidR="0099562D" w:rsidRPr="00FB3C2A" w:rsidRDefault="0099562D" w:rsidP="000F6BDE">
            <w:pPr>
              <w:shd w:val="clear" w:color="auto" w:fill="FFFFFF" w:themeFill="background1"/>
              <w:jc w:val="center"/>
            </w:pPr>
            <w:r w:rsidRPr="00FB3C2A">
              <w:t>25</w:t>
            </w:r>
          </w:p>
        </w:tc>
        <w:tc>
          <w:tcPr>
            <w:tcW w:w="776" w:type="dxa"/>
            <w:shd w:val="clear" w:color="auto" w:fill="auto"/>
            <w:vAlign w:val="center"/>
          </w:tcPr>
          <w:p w14:paraId="0FD59B02" w14:textId="77777777" w:rsidR="0099562D" w:rsidRPr="00FB3C2A" w:rsidRDefault="0099562D" w:rsidP="000F6BDE">
            <w:pPr>
              <w:shd w:val="clear" w:color="auto" w:fill="FFFFFF" w:themeFill="background1"/>
              <w:jc w:val="center"/>
            </w:pPr>
            <w:r w:rsidRPr="00FB3C2A">
              <w:t>2.1</w:t>
            </w:r>
          </w:p>
        </w:tc>
        <w:tc>
          <w:tcPr>
            <w:tcW w:w="6308" w:type="dxa"/>
            <w:shd w:val="clear" w:color="auto" w:fill="auto"/>
            <w:vAlign w:val="center"/>
          </w:tcPr>
          <w:p w14:paraId="10A84BE9" w14:textId="77777777" w:rsidR="0099562D" w:rsidRPr="00FB3C2A" w:rsidRDefault="0099562D" w:rsidP="000F6BDE">
            <w:pPr>
              <w:shd w:val="clear" w:color="auto" w:fill="FFFFFF" w:themeFill="background1"/>
              <w:ind w:left="-57" w:right="-57"/>
            </w:pPr>
            <w:r w:rsidRPr="00FB3C2A">
              <w:t>обсяг необхідної внутрішньої ліквідності (обсяг ВЛА</w:t>
            </w:r>
            <w:r w:rsidRPr="00FB3C2A">
              <w:rPr>
                <w:vertAlign w:val="subscript"/>
              </w:rPr>
              <w:t>ІВ</w:t>
            </w:r>
            <w:r w:rsidRPr="00FB3C2A">
              <w:t>)</w:t>
            </w:r>
          </w:p>
        </w:tc>
        <w:tc>
          <w:tcPr>
            <w:tcW w:w="1231" w:type="dxa"/>
            <w:gridSpan w:val="2"/>
            <w:shd w:val="clear" w:color="auto" w:fill="auto"/>
            <w:vAlign w:val="center"/>
          </w:tcPr>
          <w:p w14:paraId="2374D541" w14:textId="77777777" w:rsidR="0099562D" w:rsidRPr="00FB3C2A" w:rsidRDefault="0099562D" w:rsidP="000F6BDE">
            <w:pPr>
              <w:shd w:val="clear" w:color="auto" w:fill="FFFFFF" w:themeFill="background1"/>
              <w:jc w:val="center"/>
            </w:pPr>
          </w:p>
        </w:tc>
        <w:tc>
          <w:tcPr>
            <w:tcW w:w="921" w:type="dxa"/>
            <w:shd w:val="clear" w:color="auto" w:fill="auto"/>
            <w:vAlign w:val="center"/>
          </w:tcPr>
          <w:p w14:paraId="5425ED83" w14:textId="77777777" w:rsidR="0099562D" w:rsidRPr="00FB3C2A" w:rsidRDefault="0099562D" w:rsidP="000F6BDE">
            <w:pPr>
              <w:shd w:val="clear" w:color="auto" w:fill="FFFFFF" w:themeFill="background1"/>
              <w:jc w:val="center"/>
            </w:pPr>
          </w:p>
        </w:tc>
        <w:tc>
          <w:tcPr>
            <w:tcW w:w="1130" w:type="dxa"/>
            <w:shd w:val="clear" w:color="auto" w:fill="auto"/>
            <w:vAlign w:val="center"/>
          </w:tcPr>
          <w:p w14:paraId="4E159EB2" w14:textId="77777777" w:rsidR="0099562D" w:rsidRPr="00FB3C2A" w:rsidRDefault="0099562D" w:rsidP="000F6BDE">
            <w:pPr>
              <w:shd w:val="clear" w:color="auto" w:fill="FFFFFF" w:themeFill="background1"/>
              <w:jc w:val="center"/>
            </w:pPr>
          </w:p>
        </w:tc>
        <w:tc>
          <w:tcPr>
            <w:tcW w:w="1978" w:type="dxa"/>
            <w:shd w:val="clear" w:color="auto" w:fill="auto"/>
          </w:tcPr>
          <w:p w14:paraId="2E75DFEB" w14:textId="77777777" w:rsidR="0099562D" w:rsidRPr="00FB3C2A" w:rsidRDefault="0099562D" w:rsidP="000F6BDE">
            <w:pPr>
              <w:shd w:val="clear" w:color="auto" w:fill="FFFFFF" w:themeFill="background1"/>
              <w:jc w:val="center"/>
            </w:pPr>
          </w:p>
        </w:tc>
        <w:tc>
          <w:tcPr>
            <w:tcW w:w="1140" w:type="dxa"/>
            <w:shd w:val="clear" w:color="auto" w:fill="auto"/>
          </w:tcPr>
          <w:p w14:paraId="7B1BF842" w14:textId="77777777" w:rsidR="0099562D" w:rsidRPr="00FB3C2A" w:rsidRDefault="0099562D" w:rsidP="000F6BDE">
            <w:pPr>
              <w:shd w:val="clear" w:color="auto" w:fill="FFFFFF" w:themeFill="background1"/>
              <w:jc w:val="center"/>
            </w:pPr>
          </w:p>
        </w:tc>
        <w:tc>
          <w:tcPr>
            <w:tcW w:w="1278" w:type="dxa"/>
            <w:gridSpan w:val="2"/>
            <w:shd w:val="clear" w:color="auto" w:fill="auto"/>
          </w:tcPr>
          <w:p w14:paraId="7B0FFD86" w14:textId="77777777" w:rsidR="0099562D" w:rsidRPr="00FB3C2A" w:rsidRDefault="0099562D" w:rsidP="000F6BDE">
            <w:pPr>
              <w:shd w:val="clear" w:color="auto" w:fill="FFFFFF" w:themeFill="background1"/>
              <w:jc w:val="center"/>
            </w:pPr>
          </w:p>
        </w:tc>
      </w:tr>
      <w:tr w:rsidR="00396DE0" w:rsidRPr="000D07CA" w14:paraId="4B1169C5" w14:textId="77777777" w:rsidTr="009350E8">
        <w:tc>
          <w:tcPr>
            <w:tcW w:w="549" w:type="dxa"/>
            <w:gridSpan w:val="3"/>
            <w:shd w:val="clear" w:color="auto" w:fill="auto"/>
            <w:vAlign w:val="center"/>
          </w:tcPr>
          <w:p w14:paraId="31AD1524" w14:textId="77777777" w:rsidR="00396DE0" w:rsidRPr="00FB3C2A" w:rsidRDefault="00396DE0" w:rsidP="009B5341">
            <w:pPr>
              <w:shd w:val="clear" w:color="auto" w:fill="FFFFFF" w:themeFill="background1"/>
              <w:ind w:left="-57" w:right="-57"/>
              <w:jc w:val="center"/>
            </w:pPr>
            <w:r w:rsidRPr="00FB3C2A">
              <w:t>26</w:t>
            </w:r>
          </w:p>
        </w:tc>
        <w:tc>
          <w:tcPr>
            <w:tcW w:w="776" w:type="dxa"/>
            <w:shd w:val="clear" w:color="auto" w:fill="auto"/>
            <w:vAlign w:val="center"/>
          </w:tcPr>
          <w:p w14:paraId="5810D98C" w14:textId="77777777" w:rsidR="00396DE0" w:rsidRPr="00FB3C2A" w:rsidRDefault="00396DE0" w:rsidP="009B5341">
            <w:pPr>
              <w:shd w:val="clear" w:color="auto" w:fill="FFFFFF" w:themeFill="background1"/>
              <w:ind w:left="-57" w:right="-57"/>
              <w:jc w:val="center"/>
              <w:rPr>
                <w:i/>
                <w:iCs/>
              </w:rPr>
            </w:pPr>
            <w:r w:rsidRPr="00FB3C2A">
              <w:t>2.2</w:t>
            </w:r>
          </w:p>
        </w:tc>
        <w:tc>
          <w:tcPr>
            <w:tcW w:w="6308" w:type="dxa"/>
            <w:shd w:val="clear" w:color="auto" w:fill="auto"/>
            <w:vAlign w:val="center"/>
          </w:tcPr>
          <w:p w14:paraId="1976B70A" w14:textId="77777777" w:rsidR="00396DE0" w:rsidRPr="00FB3C2A" w:rsidRDefault="00396DE0" w:rsidP="009B5341">
            <w:pPr>
              <w:shd w:val="clear" w:color="auto" w:fill="FFFFFF" w:themeFill="background1"/>
              <w:ind w:left="-57" w:right="-57"/>
              <w:rPr>
                <w:i/>
                <w:iCs/>
              </w:rPr>
            </w:pPr>
            <w:r w:rsidRPr="00FB3C2A">
              <w:t>обсяг доступної внутрішньої ліквідності (обсяг ВЛА</w:t>
            </w:r>
            <w:r w:rsidRPr="00FB3C2A">
              <w:rPr>
                <w:vertAlign w:val="subscript"/>
              </w:rPr>
              <w:t>ІВ</w:t>
            </w:r>
            <w:r w:rsidRPr="00FB3C2A">
              <w:t>)</w:t>
            </w:r>
          </w:p>
        </w:tc>
        <w:tc>
          <w:tcPr>
            <w:tcW w:w="1231" w:type="dxa"/>
            <w:gridSpan w:val="2"/>
            <w:shd w:val="clear" w:color="auto" w:fill="auto"/>
            <w:vAlign w:val="center"/>
          </w:tcPr>
          <w:p w14:paraId="7A58B2AD" w14:textId="77777777" w:rsidR="00396DE0" w:rsidRPr="00FB3C2A" w:rsidRDefault="00396DE0" w:rsidP="009B5341">
            <w:pPr>
              <w:shd w:val="clear" w:color="auto" w:fill="FFFFFF" w:themeFill="background1"/>
              <w:jc w:val="center"/>
              <w:rPr>
                <w:i/>
                <w:iCs/>
              </w:rPr>
            </w:pPr>
          </w:p>
        </w:tc>
        <w:tc>
          <w:tcPr>
            <w:tcW w:w="921" w:type="dxa"/>
            <w:shd w:val="clear" w:color="auto" w:fill="auto"/>
            <w:vAlign w:val="center"/>
          </w:tcPr>
          <w:p w14:paraId="37CB91F5" w14:textId="77777777" w:rsidR="00396DE0" w:rsidRPr="00FB3C2A" w:rsidRDefault="00396DE0" w:rsidP="009B5341">
            <w:pPr>
              <w:shd w:val="clear" w:color="auto" w:fill="FFFFFF" w:themeFill="background1"/>
              <w:jc w:val="center"/>
              <w:rPr>
                <w:i/>
                <w:iCs/>
              </w:rPr>
            </w:pPr>
          </w:p>
        </w:tc>
        <w:tc>
          <w:tcPr>
            <w:tcW w:w="1130" w:type="dxa"/>
            <w:shd w:val="clear" w:color="auto" w:fill="auto"/>
            <w:vAlign w:val="center"/>
          </w:tcPr>
          <w:p w14:paraId="17AB2844" w14:textId="77777777" w:rsidR="00396DE0" w:rsidRPr="00FB3C2A" w:rsidRDefault="00396DE0" w:rsidP="009B5341">
            <w:pPr>
              <w:shd w:val="clear" w:color="auto" w:fill="FFFFFF" w:themeFill="background1"/>
              <w:jc w:val="center"/>
              <w:rPr>
                <w:i/>
                <w:iCs/>
              </w:rPr>
            </w:pPr>
          </w:p>
        </w:tc>
        <w:tc>
          <w:tcPr>
            <w:tcW w:w="1978" w:type="dxa"/>
            <w:shd w:val="clear" w:color="auto" w:fill="auto"/>
          </w:tcPr>
          <w:p w14:paraId="1C347E64" w14:textId="77777777" w:rsidR="00396DE0" w:rsidRPr="00FB3C2A" w:rsidRDefault="00396DE0" w:rsidP="009B5341">
            <w:pPr>
              <w:shd w:val="clear" w:color="auto" w:fill="FFFFFF" w:themeFill="background1"/>
              <w:jc w:val="center"/>
              <w:rPr>
                <w:i/>
                <w:iCs/>
              </w:rPr>
            </w:pPr>
          </w:p>
        </w:tc>
        <w:tc>
          <w:tcPr>
            <w:tcW w:w="1140" w:type="dxa"/>
            <w:shd w:val="clear" w:color="auto" w:fill="auto"/>
          </w:tcPr>
          <w:p w14:paraId="24E172F5" w14:textId="77777777" w:rsidR="00396DE0" w:rsidRPr="00FB3C2A" w:rsidRDefault="00396DE0" w:rsidP="009B5341">
            <w:pPr>
              <w:shd w:val="clear" w:color="auto" w:fill="FFFFFF" w:themeFill="background1"/>
              <w:jc w:val="center"/>
              <w:rPr>
                <w:i/>
                <w:iCs/>
              </w:rPr>
            </w:pPr>
          </w:p>
        </w:tc>
        <w:tc>
          <w:tcPr>
            <w:tcW w:w="1278" w:type="dxa"/>
            <w:gridSpan w:val="2"/>
            <w:shd w:val="clear" w:color="auto" w:fill="auto"/>
          </w:tcPr>
          <w:p w14:paraId="7803F66B" w14:textId="77777777" w:rsidR="00396DE0" w:rsidRPr="00FB3C2A" w:rsidRDefault="00396DE0" w:rsidP="009B5341">
            <w:pPr>
              <w:shd w:val="clear" w:color="auto" w:fill="FFFFFF" w:themeFill="background1"/>
              <w:jc w:val="center"/>
              <w:rPr>
                <w:i/>
                <w:iCs/>
              </w:rPr>
            </w:pPr>
          </w:p>
        </w:tc>
      </w:tr>
      <w:tr w:rsidR="0091727A" w:rsidRPr="000D07CA" w14:paraId="1F5FAF11" w14:textId="77777777" w:rsidTr="0099562D">
        <w:tc>
          <w:tcPr>
            <w:tcW w:w="549" w:type="dxa"/>
            <w:gridSpan w:val="3"/>
            <w:shd w:val="clear" w:color="auto" w:fill="auto"/>
            <w:vAlign w:val="center"/>
          </w:tcPr>
          <w:p w14:paraId="761390FE" w14:textId="77777777" w:rsidR="0091727A" w:rsidRPr="00FB3C2A" w:rsidRDefault="0091727A" w:rsidP="009B5341">
            <w:pPr>
              <w:shd w:val="clear" w:color="auto" w:fill="FFFFFF" w:themeFill="background1"/>
              <w:ind w:left="-57" w:right="-57"/>
              <w:jc w:val="center"/>
            </w:pPr>
            <w:r w:rsidRPr="00FB3C2A">
              <w:t>27</w:t>
            </w:r>
          </w:p>
        </w:tc>
        <w:tc>
          <w:tcPr>
            <w:tcW w:w="776" w:type="dxa"/>
            <w:shd w:val="clear" w:color="auto" w:fill="auto"/>
            <w:vAlign w:val="center"/>
          </w:tcPr>
          <w:p w14:paraId="67AE45B9" w14:textId="77777777" w:rsidR="0091727A" w:rsidRPr="00FB3C2A" w:rsidRDefault="0091727A" w:rsidP="009B5341">
            <w:pPr>
              <w:shd w:val="clear" w:color="auto" w:fill="FFFFFF" w:themeFill="background1"/>
              <w:ind w:left="-57" w:right="-57"/>
              <w:jc w:val="center"/>
              <w:rPr>
                <w:i/>
                <w:iCs/>
              </w:rPr>
            </w:pPr>
            <w:r w:rsidRPr="00FB3C2A">
              <w:t>2.3</w:t>
            </w:r>
          </w:p>
        </w:tc>
        <w:tc>
          <w:tcPr>
            <w:tcW w:w="13986" w:type="dxa"/>
            <w:gridSpan w:val="9"/>
            <w:shd w:val="clear" w:color="auto" w:fill="auto"/>
          </w:tcPr>
          <w:p w14:paraId="3B53F80C" w14:textId="261D25A5" w:rsidR="0091727A" w:rsidRPr="00FB3C2A" w:rsidRDefault="0091727A" w:rsidP="0091727A">
            <w:pPr>
              <w:shd w:val="clear" w:color="auto" w:fill="FFFFFF" w:themeFill="background1"/>
              <w:ind w:left="-57" w:right="-57"/>
              <w:rPr>
                <w:i/>
                <w:iCs/>
              </w:rPr>
            </w:pPr>
            <w:r w:rsidRPr="00FB3C2A">
              <w:t>різниця між доступною та необхідною внутрішньою ліквідністю</w:t>
            </w:r>
          </w:p>
        </w:tc>
      </w:tr>
      <w:tr w:rsidR="00396DE0" w:rsidRPr="000D07CA" w14:paraId="11369283" w14:textId="77777777" w:rsidTr="009350E8">
        <w:tc>
          <w:tcPr>
            <w:tcW w:w="549" w:type="dxa"/>
            <w:gridSpan w:val="3"/>
            <w:shd w:val="clear" w:color="auto" w:fill="auto"/>
            <w:vAlign w:val="center"/>
          </w:tcPr>
          <w:p w14:paraId="34CBD653" w14:textId="77777777" w:rsidR="00396DE0" w:rsidRPr="00FB3C2A" w:rsidRDefault="00396DE0" w:rsidP="009B5341">
            <w:pPr>
              <w:shd w:val="clear" w:color="auto" w:fill="FFFFFF" w:themeFill="background1"/>
              <w:ind w:left="-57" w:right="-57"/>
              <w:jc w:val="center"/>
            </w:pPr>
            <w:r w:rsidRPr="00FB3C2A">
              <w:t>28</w:t>
            </w:r>
          </w:p>
        </w:tc>
        <w:tc>
          <w:tcPr>
            <w:tcW w:w="776" w:type="dxa"/>
            <w:shd w:val="clear" w:color="auto" w:fill="auto"/>
            <w:vAlign w:val="center"/>
          </w:tcPr>
          <w:p w14:paraId="0AE9FC02" w14:textId="77777777" w:rsidR="00396DE0" w:rsidRPr="00FB3C2A" w:rsidRDefault="00396DE0" w:rsidP="009B5341">
            <w:pPr>
              <w:shd w:val="clear" w:color="auto" w:fill="FFFFFF" w:themeFill="background1"/>
              <w:ind w:left="-57" w:right="-57"/>
              <w:jc w:val="center"/>
              <w:rPr>
                <w:iCs/>
              </w:rPr>
            </w:pPr>
            <w:r w:rsidRPr="00FB3C2A">
              <w:rPr>
                <w:iCs/>
              </w:rPr>
              <w:t>2.3.1</w:t>
            </w:r>
          </w:p>
        </w:tc>
        <w:tc>
          <w:tcPr>
            <w:tcW w:w="6308" w:type="dxa"/>
            <w:shd w:val="clear" w:color="auto" w:fill="auto"/>
          </w:tcPr>
          <w:p w14:paraId="4D7581A3" w14:textId="77777777" w:rsidR="00396DE0" w:rsidRPr="00FB3C2A" w:rsidRDefault="00396DE0" w:rsidP="009B5341">
            <w:pPr>
              <w:shd w:val="clear" w:color="auto" w:fill="FFFFFF" w:themeFill="background1"/>
              <w:ind w:left="-57"/>
            </w:pPr>
            <w:r w:rsidRPr="00FB3C2A">
              <w:rPr>
                <w:iCs/>
              </w:rPr>
              <w:t>позитивна різниця (</w:t>
            </w:r>
            <w:r w:rsidRPr="00FB3C2A">
              <w:t xml:space="preserve">немає потреби </w:t>
            </w:r>
            <w:r w:rsidRPr="00FB3C2A">
              <w:rPr>
                <w:iCs/>
              </w:rPr>
              <w:t>у ВЛА</w:t>
            </w:r>
            <w:r w:rsidRPr="00FB3C2A">
              <w:rPr>
                <w:iCs/>
                <w:vertAlign w:val="subscript"/>
              </w:rPr>
              <w:t>ІВ</w:t>
            </w:r>
            <w:r w:rsidRPr="00FB3C2A">
              <w:rPr>
                <w:iCs/>
              </w:rPr>
              <w:t xml:space="preserve">), тис. грн </w:t>
            </w:r>
          </w:p>
        </w:tc>
        <w:tc>
          <w:tcPr>
            <w:tcW w:w="1231" w:type="dxa"/>
            <w:gridSpan w:val="2"/>
            <w:shd w:val="clear" w:color="auto" w:fill="auto"/>
          </w:tcPr>
          <w:p w14:paraId="2FFB2ACC" w14:textId="77777777" w:rsidR="00396DE0" w:rsidRPr="00FB3C2A" w:rsidRDefault="00396DE0" w:rsidP="009B5341">
            <w:pPr>
              <w:shd w:val="clear" w:color="auto" w:fill="FFFFFF" w:themeFill="background1"/>
              <w:jc w:val="center"/>
              <w:rPr>
                <w:i/>
                <w:iCs/>
              </w:rPr>
            </w:pPr>
          </w:p>
        </w:tc>
        <w:tc>
          <w:tcPr>
            <w:tcW w:w="921" w:type="dxa"/>
            <w:shd w:val="clear" w:color="auto" w:fill="auto"/>
          </w:tcPr>
          <w:p w14:paraId="51A5B31E" w14:textId="77777777" w:rsidR="00396DE0" w:rsidRPr="00FB3C2A" w:rsidRDefault="00396DE0" w:rsidP="009B5341">
            <w:pPr>
              <w:shd w:val="clear" w:color="auto" w:fill="FFFFFF" w:themeFill="background1"/>
              <w:jc w:val="center"/>
              <w:rPr>
                <w:i/>
                <w:iCs/>
              </w:rPr>
            </w:pPr>
          </w:p>
        </w:tc>
        <w:tc>
          <w:tcPr>
            <w:tcW w:w="1130" w:type="dxa"/>
            <w:shd w:val="clear" w:color="auto" w:fill="auto"/>
          </w:tcPr>
          <w:p w14:paraId="5CD56C06" w14:textId="77777777" w:rsidR="00396DE0" w:rsidRPr="00FB3C2A" w:rsidRDefault="00396DE0" w:rsidP="009B5341">
            <w:pPr>
              <w:shd w:val="clear" w:color="auto" w:fill="FFFFFF" w:themeFill="background1"/>
              <w:jc w:val="center"/>
              <w:rPr>
                <w:i/>
                <w:iCs/>
              </w:rPr>
            </w:pPr>
          </w:p>
        </w:tc>
        <w:tc>
          <w:tcPr>
            <w:tcW w:w="1978" w:type="dxa"/>
            <w:shd w:val="clear" w:color="auto" w:fill="auto"/>
          </w:tcPr>
          <w:p w14:paraId="029E1220" w14:textId="77777777" w:rsidR="00396DE0" w:rsidRPr="00FB3C2A" w:rsidRDefault="00396DE0" w:rsidP="009B5341">
            <w:pPr>
              <w:shd w:val="clear" w:color="auto" w:fill="FFFFFF" w:themeFill="background1"/>
              <w:jc w:val="center"/>
              <w:rPr>
                <w:i/>
                <w:iCs/>
              </w:rPr>
            </w:pPr>
          </w:p>
        </w:tc>
        <w:tc>
          <w:tcPr>
            <w:tcW w:w="1140" w:type="dxa"/>
            <w:shd w:val="clear" w:color="auto" w:fill="auto"/>
          </w:tcPr>
          <w:p w14:paraId="052A1757" w14:textId="77777777" w:rsidR="00396DE0" w:rsidRPr="00FB3C2A" w:rsidRDefault="00396DE0" w:rsidP="009B5341">
            <w:pPr>
              <w:shd w:val="clear" w:color="auto" w:fill="FFFFFF" w:themeFill="background1"/>
              <w:jc w:val="center"/>
              <w:rPr>
                <w:i/>
                <w:iCs/>
              </w:rPr>
            </w:pPr>
          </w:p>
        </w:tc>
        <w:tc>
          <w:tcPr>
            <w:tcW w:w="1278" w:type="dxa"/>
            <w:gridSpan w:val="2"/>
            <w:shd w:val="clear" w:color="auto" w:fill="auto"/>
          </w:tcPr>
          <w:p w14:paraId="3ACE238C" w14:textId="77777777" w:rsidR="00396DE0" w:rsidRPr="00FB3C2A" w:rsidRDefault="00396DE0" w:rsidP="009B5341">
            <w:pPr>
              <w:shd w:val="clear" w:color="auto" w:fill="FFFFFF" w:themeFill="background1"/>
              <w:jc w:val="center"/>
              <w:rPr>
                <w:i/>
                <w:iCs/>
              </w:rPr>
            </w:pPr>
          </w:p>
        </w:tc>
      </w:tr>
      <w:tr w:rsidR="00396DE0" w:rsidRPr="000D07CA" w14:paraId="01E20C2B" w14:textId="77777777" w:rsidTr="009350E8">
        <w:tc>
          <w:tcPr>
            <w:tcW w:w="549" w:type="dxa"/>
            <w:gridSpan w:val="3"/>
            <w:shd w:val="clear" w:color="auto" w:fill="auto"/>
            <w:vAlign w:val="center"/>
          </w:tcPr>
          <w:p w14:paraId="759F5BEA" w14:textId="77777777" w:rsidR="00396DE0" w:rsidRPr="00FB3C2A" w:rsidRDefault="00396DE0" w:rsidP="009B5341">
            <w:pPr>
              <w:shd w:val="clear" w:color="auto" w:fill="FFFFFF" w:themeFill="background1"/>
              <w:ind w:left="-57" w:right="-57"/>
              <w:jc w:val="center"/>
            </w:pPr>
            <w:r w:rsidRPr="00FB3C2A">
              <w:t>29</w:t>
            </w:r>
          </w:p>
        </w:tc>
        <w:tc>
          <w:tcPr>
            <w:tcW w:w="776" w:type="dxa"/>
            <w:shd w:val="clear" w:color="auto" w:fill="auto"/>
            <w:vAlign w:val="center"/>
          </w:tcPr>
          <w:p w14:paraId="7D962647" w14:textId="77777777" w:rsidR="00396DE0" w:rsidRPr="00FB3C2A" w:rsidRDefault="00396DE0" w:rsidP="009B5341">
            <w:pPr>
              <w:shd w:val="clear" w:color="auto" w:fill="FFFFFF" w:themeFill="background1"/>
              <w:ind w:left="-57" w:right="-57"/>
              <w:jc w:val="center"/>
              <w:rPr>
                <w:iCs/>
              </w:rPr>
            </w:pPr>
            <w:r w:rsidRPr="00FB3C2A">
              <w:rPr>
                <w:iCs/>
              </w:rPr>
              <w:t>2.3.2</w:t>
            </w:r>
          </w:p>
        </w:tc>
        <w:tc>
          <w:tcPr>
            <w:tcW w:w="6308" w:type="dxa"/>
            <w:shd w:val="clear" w:color="auto" w:fill="auto"/>
          </w:tcPr>
          <w:p w14:paraId="04475ED1" w14:textId="77777777" w:rsidR="00396DE0" w:rsidRPr="00FB3C2A" w:rsidRDefault="00396DE0" w:rsidP="009B5341">
            <w:pPr>
              <w:shd w:val="clear" w:color="auto" w:fill="FFFFFF" w:themeFill="background1"/>
              <w:ind w:left="-57"/>
            </w:pPr>
            <w:r w:rsidRPr="00FB3C2A">
              <w:rPr>
                <w:iCs/>
              </w:rPr>
              <w:t>негативна різниця (є потреба у ВЛА</w:t>
            </w:r>
            <w:r w:rsidRPr="00FB3C2A">
              <w:rPr>
                <w:iCs/>
                <w:vertAlign w:val="subscript"/>
              </w:rPr>
              <w:t>ІВ</w:t>
            </w:r>
            <w:r w:rsidRPr="00FB3C2A">
              <w:rPr>
                <w:iCs/>
              </w:rPr>
              <w:t xml:space="preserve">), тис. грн </w:t>
            </w:r>
          </w:p>
        </w:tc>
        <w:tc>
          <w:tcPr>
            <w:tcW w:w="1231" w:type="dxa"/>
            <w:gridSpan w:val="2"/>
            <w:shd w:val="clear" w:color="auto" w:fill="auto"/>
          </w:tcPr>
          <w:p w14:paraId="410D367E" w14:textId="77777777" w:rsidR="00396DE0" w:rsidRPr="00FB3C2A" w:rsidRDefault="00396DE0" w:rsidP="009B5341">
            <w:pPr>
              <w:shd w:val="clear" w:color="auto" w:fill="FFFFFF" w:themeFill="background1"/>
              <w:jc w:val="center"/>
              <w:rPr>
                <w:i/>
                <w:iCs/>
              </w:rPr>
            </w:pPr>
          </w:p>
        </w:tc>
        <w:tc>
          <w:tcPr>
            <w:tcW w:w="921" w:type="dxa"/>
            <w:shd w:val="clear" w:color="auto" w:fill="auto"/>
          </w:tcPr>
          <w:p w14:paraId="32F04CF3" w14:textId="77777777" w:rsidR="00396DE0" w:rsidRPr="00FB3C2A" w:rsidRDefault="00396DE0" w:rsidP="009B5341">
            <w:pPr>
              <w:shd w:val="clear" w:color="auto" w:fill="FFFFFF" w:themeFill="background1"/>
              <w:jc w:val="center"/>
              <w:rPr>
                <w:i/>
                <w:iCs/>
              </w:rPr>
            </w:pPr>
          </w:p>
        </w:tc>
        <w:tc>
          <w:tcPr>
            <w:tcW w:w="1130" w:type="dxa"/>
            <w:shd w:val="clear" w:color="auto" w:fill="auto"/>
          </w:tcPr>
          <w:p w14:paraId="47C4E390" w14:textId="77777777" w:rsidR="00396DE0" w:rsidRPr="00FB3C2A" w:rsidRDefault="00396DE0" w:rsidP="009B5341">
            <w:pPr>
              <w:shd w:val="clear" w:color="auto" w:fill="FFFFFF" w:themeFill="background1"/>
              <w:jc w:val="center"/>
              <w:rPr>
                <w:i/>
                <w:iCs/>
              </w:rPr>
            </w:pPr>
          </w:p>
        </w:tc>
        <w:tc>
          <w:tcPr>
            <w:tcW w:w="1978" w:type="dxa"/>
            <w:shd w:val="clear" w:color="auto" w:fill="auto"/>
          </w:tcPr>
          <w:p w14:paraId="675AEA9F" w14:textId="77777777" w:rsidR="00396DE0" w:rsidRPr="00FB3C2A" w:rsidRDefault="00396DE0" w:rsidP="009B5341">
            <w:pPr>
              <w:shd w:val="clear" w:color="auto" w:fill="FFFFFF" w:themeFill="background1"/>
              <w:jc w:val="center"/>
              <w:rPr>
                <w:i/>
                <w:iCs/>
              </w:rPr>
            </w:pPr>
          </w:p>
        </w:tc>
        <w:tc>
          <w:tcPr>
            <w:tcW w:w="1140" w:type="dxa"/>
            <w:shd w:val="clear" w:color="auto" w:fill="auto"/>
          </w:tcPr>
          <w:p w14:paraId="25E7B167" w14:textId="77777777" w:rsidR="00396DE0" w:rsidRPr="00FB3C2A" w:rsidRDefault="00396DE0" w:rsidP="009B5341">
            <w:pPr>
              <w:shd w:val="clear" w:color="auto" w:fill="FFFFFF" w:themeFill="background1"/>
              <w:jc w:val="center"/>
              <w:rPr>
                <w:i/>
                <w:iCs/>
              </w:rPr>
            </w:pPr>
          </w:p>
        </w:tc>
        <w:tc>
          <w:tcPr>
            <w:tcW w:w="1278" w:type="dxa"/>
            <w:gridSpan w:val="2"/>
            <w:shd w:val="clear" w:color="auto" w:fill="auto"/>
          </w:tcPr>
          <w:p w14:paraId="448D7583" w14:textId="77777777" w:rsidR="00396DE0" w:rsidRPr="00FB3C2A" w:rsidRDefault="00396DE0" w:rsidP="009B5341">
            <w:pPr>
              <w:shd w:val="clear" w:color="auto" w:fill="FFFFFF" w:themeFill="background1"/>
              <w:jc w:val="center"/>
              <w:rPr>
                <w:i/>
                <w:iCs/>
              </w:rPr>
            </w:pPr>
          </w:p>
        </w:tc>
      </w:tr>
      <w:tr w:rsidR="00396DE0" w:rsidRPr="000D07CA" w14:paraId="542BA0A3" w14:textId="77777777" w:rsidTr="009350E8">
        <w:trPr>
          <w:trHeight w:val="189"/>
        </w:trPr>
        <w:tc>
          <w:tcPr>
            <w:tcW w:w="549" w:type="dxa"/>
            <w:gridSpan w:val="3"/>
            <w:shd w:val="clear" w:color="auto" w:fill="auto"/>
            <w:vAlign w:val="center"/>
          </w:tcPr>
          <w:p w14:paraId="57F97E79" w14:textId="77777777" w:rsidR="00396DE0" w:rsidRPr="00FB3C2A" w:rsidRDefault="00396DE0" w:rsidP="009B5341">
            <w:pPr>
              <w:shd w:val="clear" w:color="auto" w:fill="FFFFFF" w:themeFill="background1"/>
              <w:ind w:left="-57" w:right="-57"/>
              <w:jc w:val="center"/>
            </w:pPr>
            <w:r w:rsidRPr="00FB3C2A">
              <w:t>30</w:t>
            </w:r>
          </w:p>
        </w:tc>
        <w:tc>
          <w:tcPr>
            <w:tcW w:w="776" w:type="dxa"/>
            <w:shd w:val="clear" w:color="auto" w:fill="auto"/>
            <w:vAlign w:val="center"/>
          </w:tcPr>
          <w:p w14:paraId="1975D249" w14:textId="77777777" w:rsidR="00396DE0" w:rsidRPr="00FB3C2A" w:rsidRDefault="00396DE0" w:rsidP="009B5341">
            <w:pPr>
              <w:shd w:val="clear" w:color="auto" w:fill="FFFFFF" w:themeFill="background1"/>
              <w:jc w:val="center"/>
            </w:pPr>
            <w:r w:rsidRPr="00FB3C2A">
              <w:t>2.4</w:t>
            </w:r>
          </w:p>
        </w:tc>
        <w:tc>
          <w:tcPr>
            <w:tcW w:w="6308" w:type="dxa"/>
            <w:shd w:val="clear" w:color="auto" w:fill="auto"/>
          </w:tcPr>
          <w:p w14:paraId="5810FB55" w14:textId="77777777" w:rsidR="00396DE0" w:rsidRPr="00FB3C2A" w:rsidRDefault="00396DE0" w:rsidP="009B5341">
            <w:pPr>
              <w:shd w:val="clear" w:color="auto" w:fill="FFFFFF" w:themeFill="background1"/>
              <w:ind w:left="-57" w:right="-57"/>
            </w:pPr>
            <w:r w:rsidRPr="00FB3C2A">
              <w:t>цільове значення нормативу LCR</w:t>
            </w:r>
            <w:r w:rsidRPr="00FB3C2A">
              <w:rPr>
                <w:vertAlign w:val="subscript"/>
              </w:rPr>
              <w:t>ІВ</w:t>
            </w:r>
            <w:r w:rsidRPr="00FB3C2A">
              <w:t>, %</w:t>
            </w:r>
          </w:p>
        </w:tc>
        <w:tc>
          <w:tcPr>
            <w:tcW w:w="1231" w:type="dxa"/>
            <w:gridSpan w:val="2"/>
            <w:shd w:val="clear" w:color="auto" w:fill="auto"/>
          </w:tcPr>
          <w:p w14:paraId="1E86CA4A" w14:textId="77777777" w:rsidR="00396DE0" w:rsidRPr="00FB3C2A" w:rsidRDefault="00396DE0" w:rsidP="009B5341">
            <w:pPr>
              <w:shd w:val="clear" w:color="auto" w:fill="FFFFFF" w:themeFill="background1"/>
              <w:jc w:val="center"/>
              <w:rPr>
                <w:i/>
                <w:iCs/>
              </w:rPr>
            </w:pPr>
          </w:p>
        </w:tc>
        <w:tc>
          <w:tcPr>
            <w:tcW w:w="921" w:type="dxa"/>
            <w:shd w:val="clear" w:color="auto" w:fill="auto"/>
          </w:tcPr>
          <w:p w14:paraId="340B4DA1" w14:textId="77777777" w:rsidR="00396DE0" w:rsidRPr="00FB3C2A" w:rsidRDefault="00396DE0" w:rsidP="009B5341">
            <w:pPr>
              <w:shd w:val="clear" w:color="auto" w:fill="FFFFFF" w:themeFill="background1"/>
              <w:jc w:val="center"/>
              <w:rPr>
                <w:i/>
                <w:iCs/>
              </w:rPr>
            </w:pPr>
          </w:p>
        </w:tc>
        <w:tc>
          <w:tcPr>
            <w:tcW w:w="1130" w:type="dxa"/>
            <w:shd w:val="clear" w:color="auto" w:fill="auto"/>
          </w:tcPr>
          <w:p w14:paraId="30ADDDAD" w14:textId="77777777" w:rsidR="00396DE0" w:rsidRPr="00FB3C2A" w:rsidRDefault="00396DE0" w:rsidP="009B5341">
            <w:pPr>
              <w:shd w:val="clear" w:color="auto" w:fill="FFFFFF" w:themeFill="background1"/>
              <w:jc w:val="center"/>
              <w:rPr>
                <w:i/>
                <w:iCs/>
              </w:rPr>
            </w:pPr>
          </w:p>
        </w:tc>
        <w:tc>
          <w:tcPr>
            <w:tcW w:w="1978" w:type="dxa"/>
            <w:shd w:val="clear" w:color="auto" w:fill="auto"/>
          </w:tcPr>
          <w:p w14:paraId="191DF491" w14:textId="77777777" w:rsidR="00396DE0" w:rsidRPr="00FB3C2A" w:rsidRDefault="00396DE0" w:rsidP="009B5341">
            <w:pPr>
              <w:shd w:val="clear" w:color="auto" w:fill="FFFFFF" w:themeFill="background1"/>
              <w:jc w:val="center"/>
              <w:rPr>
                <w:i/>
                <w:iCs/>
              </w:rPr>
            </w:pPr>
          </w:p>
        </w:tc>
        <w:tc>
          <w:tcPr>
            <w:tcW w:w="1140" w:type="dxa"/>
            <w:shd w:val="clear" w:color="auto" w:fill="auto"/>
          </w:tcPr>
          <w:p w14:paraId="2D3C136D" w14:textId="77777777" w:rsidR="00396DE0" w:rsidRPr="00FB3C2A" w:rsidRDefault="00396DE0" w:rsidP="009B5341">
            <w:pPr>
              <w:shd w:val="clear" w:color="auto" w:fill="FFFFFF" w:themeFill="background1"/>
              <w:jc w:val="center"/>
              <w:rPr>
                <w:i/>
                <w:iCs/>
              </w:rPr>
            </w:pPr>
          </w:p>
        </w:tc>
        <w:tc>
          <w:tcPr>
            <w:tcW w:w="1278" w:type="dxa"/>
            <w:gridSpan w:val="2"/>
            <w:shd w:val="clear" w:color="auto" w:fill="auto"/>
          </w:tcPr>
          <w:p w14:paraId="74C211A3" w14:textId="77777777" w:rsidR="00396DE0" w:rsidRPr="00FB3C2A" w:rsidRDefault="00396DE0" w:rsidP="009B5341">
            <w:pPr>
              <w:shd w:val="clear" w:color="auto" w:fill="FFFFFF" w:themeFill="background1"/>
              <w:jc w:val="center"/>
              <w:rPr>
                <w:i/>
                <w:iCs/>
              </w:rPr>
            </w:pPr>
          </w:p>
        </w:tc>
      </w:tr>
    </w:tbl>
    <w:p w14:paraId="1AE7E004" w14:textId="77777777" w:rsidR="00952EDF" w:rsidRDefault="00952EDF">
      <w:pPr>
        <w:spacing w:after="160" w:line="259" w:lineRule="auto"/>
        <w:jc w:val="left"/>
        <w:sectPr w:rsidR="00952EDF" w:rsidSect="002F4883">
          <w:headerReference w:type="default" r:id="rId13"/>
          <w:pgSz w:w="16838" w:h="11906" w:orient="landscape"/>
          <w:pgMar w:top="567" w:right="794" w:bottom="1701" w:left="851" w:header="709" w:footer="0" w:gutter="0"/>
          <w:pgNumType w:start="1"/>
          <w:cols w:space="720"/>
          <w:formProt w:val="0"/>
          <w:titlePg/>
          <w:docGrid w:linePitch="381"/>
        </w:sectPr>
      </w:pPr>
    </w:p>
    <w:p w14:paraId="5B53520F" w14:textId="77777777" w:rsidR="00396DE0" w:rsidRPr="000D07CA" w:rsidRDefault="00396DE0" w:rsidP="00396DE0">
      <w:pPr>
        <w:ind w:firstLine="851"/>
        <w:jc w:val="center"/>
      </w:pPr>
    </w:p>
    <w:p w14:paraId="2AC0DE8E" w14:textId="35AB0920" w:rsidR="00396DE0" w:rsidRPr="000D07CA" w:rsidRDefault="00396DE0" w:rsidP="00396DE0">
      <w:pPr>
        <w:ind w:firstLine="851"/>
        <w:jc w:val="center"/>
        <w:rPr>
          <w:strike/>
        </w:rPr>
      </w:pPr>
      <w:r w:rsidRPr="000D07CA">
        <w:t xml:space="preserve">2. План підтримання достатності </w:t>
      </w:r>
      <w:r w:rsidRPr="000D07CA">
        <w:rPr>
          <w:bCs/>
        </w:rPr>
        <w:t>довгострокової</w:t>
      </w:r>
      <w:r w:rsidRPr="000D07CA">
        <w:t xml:space="preserve"> ліквідності</w:t>
      </w:r>
    </w:p>
    <w:p w14:paraId="4426AC4D" w14:textId="77777777" w:rsidR="00396DE0" w:rsidRPr="000D07CA" w:rsidRDefault="00396DE0" w:rsidP="00396DE0">
      <w:pPr>
        <w:keepNext/>
        <w:keepLines/>
        <w:tabs>
          <w:tab w:val="left" w:pos="1276"/>
          <w:tab w:val="left" w:pos="1418"/>
        </w:tabs>
        <w:ind w:right="-172"/>
        <w:jc w:val="right"/>
        <w:rPr>
          <w:rFonts w:eastAsia="Calibri"/>
          <w:bCs/>
        </w:rPr>
      </w:pPr>
      <w:r w:rsidRPr="000D07CA">
        <w:rPr>
          <w:rFonts w:eastAsia="Calibri"/>
          <w:bCs/>
        </w:rPr>
        <w:t>Таблиця 2</w:t>
      </w:r>
    </w:p>
    <w:tbl>
      <w:tblPr>
        <w:tblStyle w:val="a3"/>
        <w:tblW w:w="15403" w:type="dxa"/>
        <w:tblInd w:w="137" w:type="dxa"/>
        <w:tblLook w:val="04A0" w:firstRow="1" w:lastRow="0" w:firstColumn="1" w:lastColumn="0" w:noHBand="0" w:noVBand="1"/>
      </w:tblPr>
      <w:tblGrid>
        <w:gridCol w:w="534"/>
        <w:gridCol w:w="14"/>
        <w:gridCol w:w="766"/>
        <w:gridCol w:w="6422"/>
        <w:gridCol w:w="44"/>
        <w:gridCol w:w="1224"/>
        <w:gridCol w:w="18"/>
        <w:gridCol w:w="1157"/>
        <w:gridCol w:w="54"/>
        <w:gridCol w:w="1224"/>
        <w:gridCol w:w="14"/>
        <w:gridCol w:w="1091"/>
        <w:gridCol w:w="143"/>
        <w:gridCol w:w="1225"/>
        <w:gridCol w:w="1233"/>
        <w:gridCol w:w="240"/>
      </w:tblGrid>
      <w:tr w:rsidR="00396DE0" w:rsidRPr="00610ECA" w14:paraId="76974696" w14:textId="77777777" w:rsidTr="0099562D">
        <w:trPr>
          <w:trHeight w:val="189"/>
        </w:trPr>
        <w:tc>
          <w:tcPr>
            <w:tcW w:w="534" w:type="dxa"/>
            <w:vMerge w:val="restart"/>
            <w:shd w:val="clear" w:color="auto" w:fill="auto"/>
            <w:vAlign w:val="center"/>
          </w:tcPr>
          <w:p w14:paraId="21050B0C" w14:textId="77777777" w:rsidR="00ED7F90" w:rsidRDefault="00396DE0" w:rsidP="009B5341">
            <w:pPr>
              <w:shd w:val="clear" w:color="auto" w:fill="FFFFFF" w:themeFill="background1"/>
              <w:spacing w:after="40"/>
              <w:ind w:left="-57" w:right="-57"/>
              <w:jc w:val="center"/>
            </w:pPr>
            <w:r w:rsidRPr="00610ECA">
              <w:t>№</w:t>
            </w:r>
          </w:p>
          <w:p w14:paraId="7543DE08" w14:textId="0D0F1C6B" w:rsidR="00396DE0" w:rsidRPr="00610ECA" w:rsidRDefault="00ED7F90" w:rsidP="009B5341">
            <w:pPr>
              <w:shd w:val="clear" w:color="auto" w:fill="FFFFFF" w:themeFill="background1"/>
              <w:spacing w:after="40"/>
              <w:ind w:left="-57" w:right="-57"/>
              <w:jc w:val="center"/>
            </w:pPr>
            <w:r>
              <w:t>з/п</w:t>
            </w:r>
            <w:r w:rsidR="00396DE0" w:rsidRPr="00610ECA">
              <w:t xml:space="preserve"> </w:t>
            </w:r>
          </w:p>
        </w:tc>
        <w:tc>
          <w:tcPr>
            <w:tcW w:w="780" w:type="dxa"/>
            <w:gridSpan w:val="2"/>
            <w:vMerge w:val="restart"/>
            <w:shd w:val="clear" w:color="auto" w:fill="auto"/>
            <w:vAlign w:val="center"/>
          </w:tcPr>
          <w:p w14:paraId="47A9DF54" w14:textId="77777777" w:rsidR="00396DE0" w:rsidRPr="00610ECA" w:rsidRDefault="00396DE0" w:rsidP="009B5341">
            <w:pPr>
              <w:shd w:val="clear" w:color="auto" w:fill="FFFFFF" w:themeFill="background1"/>
              <w:ind w:left="-170" w:right="-170"/>
              <w:jc w:val="center"/>
            </w:pPr>
            <w:r w:rsidRPr="00610ECA">
              <w:t xml:space="preserve">№ </w:t>
            </w:r>
            <w:r w:rsidRPr="00610ECA">
              <w:br/>
              <w:t>по-</w:t>
            </w:r>
            <w:r w:rsidRPr="00610ECA">
              <w:br/>
            </w:r>
            <w:proofErr w:type="spellStart"/>
            <w:r w:rsidRPr="00610ECA">
              <w:t>каз-ника</w:t>
            </w:r>
            <w:proofErr w:type="spellEnd"/>
          </w:p>
        </w:tc>
        <w:tc>
          <w:tcPr>
            <w:tcW w:w="6466" w:type="dxa"/>
            <w:gridSpan w:val="2"/>
            <w:vMerge w:val="restart"/>
            <w:shd w:val="clear" w:color="auto" w:fill="auto"/>
            <w:vAlign w:val="center"/>
          </w:tcPr>
          <w:p w14:paraId="5AE96E42" w14:textId="77777777" w:rsidR="00396DE0" w:rsidRPr="00610ECA" w:rsidRDefault="00396DE0" w:rsidP="009B5341">
            <w:pPr>
              <w:shd w:val="clear" w:color="auto" w:fill="FFFFFF" w:themeFill="background1"/>
              <w:jc w:val="center"/>
            </w:pPr>
            <w:r w:rsidRPr="00610ECA">
              <w:t>Показник</w:t>
            </w:r>
          </w:p>
        </w:tc>
        <w:tc>
          <w:tcPr>
            <w:tcW w:w="7383" w:type="dxa"/>
            <w:gridSpan w:val="10"/>
            <w:shd w:val="clear" w:color="auto" w:fill="auto"/>
            <w:vAlign w:val="center"/>
          </w:tcPr>
          <w:p w14:paraId="4837C486" w14:textId="77777777" w:rsidR="00396DE0" w:rsidRPr="00610ECA" w:rsidRDefault="00396DE0" w:rsidP="009B5341">
            <w:pPr>
              <w:shd w:val="clear" w:color="auto" w:fill="FFFFFF" w:themeFill="background1"/>
              <w:ind w:left="-113" w:right="-113"/>
              <w:jc w:val="center"/>
            </w:pPr>
            <w:r w:rsidRPr="00610ECA">
              <w:t xml:space="preserve">План на прогнозний період </w:t>
            </w:r>
          </w:p>
        </w:tc>
        <w:tc>
          <w:tcPr>
            <w:tcW w:w="240" w:type="dxa"/>
            <w:tcBorders>
              <w:top w:val="nil"/>
              <w:left w:val="nil"/>
              <w:bottom w:val="nil"/>
              <w:right w:val="nil"/>
            </w:tcBorders>
            <w:shd w:val="clear" w:color="auto" w:fill="auto"/>
          </w:tcPr>
          <w:p w14:paraId="1E7B2DC3" w14:textId="77777777" w:rsidR="00396DE0" w:rsidRPr="00610ECA" w:rsidRDefault="00396DE0" w:rsidP="009B5341"/>
        </w:tc>
      </w:tr>
      <w:tr w:rsidR="00396DE0" w:rsidRPr="00610ECA" w14:paraId="16F4048B" w14:textId="77777777" w:rsidTr="0099562D">
        <w:trPr>
          <w:trHeight w:val="821"/>
        </w:trPr>
        <w:tc>
          <w:tcPr>
            <w:tcW w:w="534" w:type="dxa"/>
            <w:vMerge/>
            <w:shd w:val="clear" w:color="auto" w:fill="auto"/>
            <w:vAlign w:val="center"/>
          </w:tcPr>
          <w:p w14:paraId="247BE3E7" w14:textId="77777777" w:rsidR="00396DE0" w:rsidRPr="00610ECA" w:rsidRDefault="00396DE0" w:rsidP="009B5341">
            <w:pPr>
              <w:shd w:val="clear" w:color="auto" w:fill="FFFFFF" w:themeFill="background1"/>
              <w:spacing w:after="40"/>
              <w:ind w:left="-57" w:right="-57"/>
              <w:jc w:val="center"/>
            </w:pPr>
          </w:p>
        </w:tc>
        <w:tc>
          <w:tcPr>
            <w:tcW w:w="780" w:type="dxa"/>
            <w:gridSpan w:val="2"/>
            <w:vMerge/>
            <w:shd w:val="clear" w:color="auto" w:fill="auto"/>
          </w:tcPr>
          <w:p w14:paraId="3FE2CEB0" w14:textId="77777777" w:rsidR="00396DE0" w:rsidRPr="00610ECA" w:rsidRDefault="00396DE0" w:rsidP="009B5341">
            <w:pPr>
              <w:shd w:val="clear" w:color="auto" w:fill="FFFFFF" w:themeFill="background1"/>
              <w:ind w:left="-170" w:right="-170"/>
              <w:jc w:val="center"/>
            </w:pPr>
          </w:p>
        </w:tc>
        <w:tc>
          <w:tcPr>
            <w:tcW w:w="6466" w:type="dxa"/>
            <w:gridSpan w:val="2"/>
            <w:vMerge/>
            <w:shd w:val="clear" w:color="auto" w:fill="auto"/>
            <w:vAlign w:val="center"/>
          </w:tcPr>
          <w:p w14:paraId="7B20117F" w14:textId="77777777" w:rsidR="00396DE0" w:rsidRPr="00610ECA" w:rsidRDefault="00396DE0" w:rsidP="009B5341">
            <w:pPr>
              <w:shd w:val="clear" w:color="auto" w:fill="FFFFFF" w:themeFill="background1"/>
              <w:jc w:val="center"/>
            </w:pPr>
          </w:p>
        </w:tc>
        <w:tc>
          <w:tcPr>
            <w:tcW w:w="3677" w:type="dxa"/>
            <w:gridSpan w:val="5"/>
            <w:shd w:val="clear" w:color="auto" w:fill="auto"/>
            <w:vAlign w:val="center"/>
          </w:tcPr>
          <w:p w14:paraId="184C33FE" w14:textId="77777777" w:rsidR="00396DE0" w:rsidRPr="00610ECA" w:rsidRDefault="00396DE0" w:rsidP="009B5341">
            <w:pPr>
              <w:shd w:val="clear" w:color="auto" w:fill="FFFFFF" w:themeFill="background1"/>
              <w:ind w:left="-113" w:right="-113"/>
              <w:jc w:val="center"/>
            </w:pPr>
            <w:r w:rsidRPr="00610ECA">
              <w:t>за результатами</w:t>
            </w:r>
            <w:r w:rsidRPr="00610ECA">
              <w:br/>
              <w:t>оцінки достатності внутрішньої ліквідності</w:t>
            </w:r>
          </w:p>
        </w:tc>
        <w:tc>
          <w:tcPr>
            <w:tcW w:w="3706" w:type="dxa"/>
            <w:gridSpan w:val="5"/>
            <w:shd w:val="clear" w:color="auto" w:fill="auto"/>
            <w:vAlign w:val="center"/>
          </w:tcPr>
          <w:p w14:paraId="3E735EAE" w14:textId="77777777" w:rsidR="00396DE0" w:rsidRPr="00610ECA" w:rsidRDefault="00396DE0" w:rsidP="009B5341">
            <w:pPr>
              <w:shd w:val="clear" w:color="auto" w:fill="FFFFFF" w:themeFill="background1"/>
              <w:ind w:left="-113" w:right="-113"/>
              <w:jc w:val="center"/>
            </w:pPr>
            <w:r w:rsidRPr="00610ECA">
              <w:t>з урахуванням заходів щодо підтримання достатності ліквідності</w:t>
            </w:r>
          </w:p>
        </w:tc>
        <w:tc>
          <w:tcPr>
            <w:tcW w:w="240" w:type="dxa"/>
            <w:tcBorders>
              <w:top w:val="nil"/>
              <w:left w:val="nil"/>
              <w:bottom w:val="nil"/>
              <w:right w:val="nil"/>
            </w:tcBorders>
            <w:shd w:val="clear" w:color="auto" w:fill="auto"/>
          </w:tcPr>
          <w:p w14:paraId="6B041705" w14:textId="77777777" w:rsidR="00396DE0" w:rsidRPr="00610ECA" w:rsidRDefault="00396DE0" w:rsidP="009B5341"/>
        </w:tc>
      </w:tr>
      <w:tr w:rsidR="00396DE0" w:rsidRPr="00610ECA" w14:paraId="257F640A" w14:textId="77777777" w:rsidTr="0099562D">
        <w:trPr>
          <w:trHeight w:val="254"/>
        </w:trPr>
        <w:tc>
          <w:tcPr>
            <w:tcW w:w="534" w:type="dxa"/>
            <w:vMerge/>
            <w:shd w:val="clear" w:color="auto" w:fill="auto"/>
            <w:vAlign w:val="center"/>
          </w:tcPr>
          <w:p w14:paraId="2A5F075D" w14:textId="77777777" w:rsidR="00396DE0" w:rsidRPr="00610ECA" w:rsidRDefault="00396DE0" w:rsidP="009B5341">
            <w:pPr>
              <w:shd w:val="clear" w:color="auto" w:fill="FFFFFF" w:themeFill="background1"/>
              <w:jc w:val="center"/>
            </w:pPr>
          </w:p>
        </w:tc>
        <w:tc>
          <w:tcPr>
            <w:tcW w:w="780" w:type="dxa"/>
            <w:gridSpan w:val="2"/>
            <w:vMerge/>
            <w:shd w:val="clear" w:color="auto" w:fill="auto"/>
          </w:tcPr>
          <w:p w14:paraId="1AAA3D79" w14:textId="77777777" w:rsidR="00396DE0" w:rsidRPr="00610ECA" w:rsidRDefault="00396DE0" w:rsidP="009B5341">
            <w:pPr>
              <w:shd w:val="clear" w:color="auto" w:fill="FFFFFF" w:themeFill="background1"/>
              <w:jc w:val="center"/>
            </w:pPr>
          </w:p>
        </w:tc>
        <w:tc>
          <w:tcPr>
            <w:tcW w:w="6466" w:type="dxa"/>
            <w:gridSpan w:val="2"/>
            <w:vMerge/>
            <w:shd w:val="clear" w:color="auto" w:fill="auto"/>
            <w:vAlign w:val="center"/>
          </w:tcPr>
          <w:p w14:paraId="100517C3" w14:textId="77777777" w:rsidR="00396DE0" w:rsidRPr="00610ECA" w:rsidRDefault="00396DE0" w:rsidP="009B5341">
            <w:pPr>
              <w:shd w:val="clear" w:color="auto" w:fill="FFFFFF" w:themeFill="background1"/>
              <w:jc w:val="center"/>
            </w:pPr>
          </w:p>
        </w:tc>
        <w:tc>
          <w:tcPr>
            <w:tcW w:w="1224" w:type="dxa"/>
            <w:shd w:val="clear" w:color="auto" w:fill="auto"/>
            <w:vAlign w:val="center"/>
          </w:tcPr>
          <w:p w14:paraId="2E6D4E49" w14:textId="77777777" w:rsidR="00396DE0" w:rsidRPr="00610ECA" w:rsidRDefault="00396DE0" w:rsidP="009B5341">
            <w:pPr>
              <w:shd w:val="clear" w:color="auto" w:fill="FFFFFF" w:themeFill="background1"/>
              <w:ind w:left="-113" w:right="-113"/>
              <w:jc w:val="center"/>
            </w:pPr>
            <w:r w:rsidRPr="00610ECA">
              <w:t xml:space="preserve">на </w:t>
            </w:r>
          </w:p>
          <w:p w14:paraId="32611412" w14:textId="77777777" w:rsidR="00396DE0" w:rsidRPr="00610ECA" w:rsidRDefault="00396DE0" w:rsidP="009B5341">
            <w:pPr>
              <w:shd w:val="clear" w:color="auto" w:fill="FFFFFF" w:themeFill="background1"/>
              <w:ind w:left="-113" w:right="-113"/>
              <w:jc w:val="center"/>
            </w:pPr>
            <w:r w:rsidRPr="00610ECA">
              <w:t>01.01.20_</w:t>
            </w:r>
          </w:p>
        </w:tc>
        <w:tc>
          <w:tcPr>
            <w:tcW w:w="1229" w:type="dxa"/>
            <w:gridSpan w:val="3"/>
            <w:shd w:val="clear" w:color="auto" w:fill="auto"/>
            <w:vAlign w:val="center"/>
          </w:tcPr>
          <w:p w14:paraId="514BD04D" w14:textId="77777777" w:rsidR="00396DE0" w:rsidRPr="00610ECA" w:rsidRDefault="00396DE0" w:rsidP="009B5341">
            <w:pPr>
              <w:shd w:val="clear" w:color="auto" w:fill="FFFFFF" w:themeFill="background1"/>
              <w:ind w:left="-113" w:right="-113"/>
              <w:jc w:val="center"/>
            </w:pPr>
            <w:r w:rsidRPr="00610ECA">
              <w:t xml:space="preserve">на </w:t>
            </w:r>
          </w:p>
          <w:p w14:paraId="64830B0A" w14:textId="77777777" w:rsidR="00396DE0" w:rsidRPr="00610ECA" w:rsidRDefault="00396DE0" w:rsidP="009B5341">
            <w:pPr>
              <w:shd w:val="clear" w:color="auto" w:fill="FFFFFF" w:themeFill="background1"/>
              <w:ind w:left="-113" w:right="-113"/>
              <w:jc w:val="center"/>
            </w:pPr>
            <w:r w:rsidRPr="00610ECA">
              <w:t>01.01.20_</w:t>
            </w:r>
          </w:p>
        </w:tc>
        <w:tc>
          <w:tcPr>
            <w:tcW w:w="1224" w:type="dxa"/>
            <w:shd w:val="clear" w:color="auto" w:fill="auto"/>
            <w:vAlign w:val="center"/>
          </w:tcPr>
          <w:p w14:paraId="124B5C25" w14:textId="77777777" w:rsidR="00396DE0" w:rsidRPr="00610ECA" w:rsidRDefault="00396DE0" w:rsidP="009B5341">
            <w:pPr>
              <w:shd w:val="clear" w:color="auto" w:fill="FFFFFF" w:themeFill="background1"/>
              <w:ind w:left="-113" w:right="-113"/>
              <w:jc w:val="center"/>
            </w:pPr>
            <w:r w:rsidRPr="00610ECA">
              <w:t xml:space="preserve">на </w:t>
            </w:r>
          </w:p>
          <w:p w14:paraId="701AC54A" w14:textId="77777777" w:rsidR="00396DE0" w:rsidRPr="00610ECA" w:rsidRDefault="00396DE0" w:rsidP="009B5341">
            <w:pPr>
              <w:shd w:val="clear" w:color="auto" w:fill="FFFFFF" w:themeFill="background1"/>
              <w:ind w:left="-113" w:right="-113"/>
              <w:jc w:val="center"/>
            </w:pPr>
            <w:r w:rsidRPr="00610ECA">
              <w:t>01.01.20_</w:t>
            </w:r>
          </w:p>
        </w:tc>
        <w:tc>
          <w:tcPr>
            <w:tcW w:w="1248" w:type="dxa"/>
            <w:gridSpan w:val="3"/>
            <w:shd w:val="clear" w:color="auto" w:fill="auto"/>
            <w:vAlign w:val="center"/>
          </w:tcPr>
          <w:p w14:paraId="4E0F9D85" w14:textId="77777777" w:rsidR="00396DE0" w:rsidRPr="00610ECA" w:rsidRDefault="00396DE0" w:rsidP="009B5341">
            <w:pPr>
              <w:shd w:val="clear" w:color="auto" w:fill="FFFFFF" w:themeFill="background1"/>
              <w:ind w:left="-113" w:right="-113"/>
              <w:jc w:val="center"/>
            </w:pPr>
            <w:r w:rsidRPr="00610ECA">
              <w:t>на 01.01.20_</w:t>
            </w:r>
          </w:p>
        </w:tc>
        <w:tc>
          <w:tcPr>
            <w:tcW w:w="1225" w:type="dxa"/>
            <w:shd w:val="clear" w:color="auto" w:fill="auto"/>
            <w:vAlign w:val="center"/>
          </w:tcPr>
          <w:p w14:paraId="481AD80C" w14:textId="77777777" w:rsidR="00396DE0" w:rsidRPr="00610ECA" w:rsidRDefault="00396DE0" w:rsidP="009B5341">
            <w:pPr>
              <w:shd w:val="clear" w:color="auto" w:fill="FFFFFF" w:themeFill="background1"/>
              <w:ind w:left="-113" w:right="-113"/>
              <w:jc w:val="center"/>
            </w:pPr>
            <w:r w:rsidRPr="00610ECA">
              <w:t>на 01.01.20_</w:t>
            </w:r>
          </w:p>
        </w:tc>
        <w:tc>
          <w:tcPr>
            <w:tcW w:w="1233" w:type="dxa"/>
            <w:shd w:val="clear" w:color="auto" w:fill="auto"/>
            <w:vAlign w:val="center"/>
          </w:tcPr>
          <w:p w14:paraId="48DF314E" w14:textId="77777777" w:rsidR="00396DE0" w:rsidRPr="00610ECA" w:rsidRDefault="00396DE0" w:rsidP="009B5341">
            <w:pPr>
              <w:shd w:val="clear" w:color="auto" w:fill="FFFFFF" w:themeFill="background1"/>
              <w:ind w:left="-104" w:right="-100" w:hanging="151"/>
              <w:jc w:val="center"/>
            </w:pPr>
            <w:r w:rsidRPr="00610ECA">
              <w:t xml:space="preserve">на </w:t>
            </w:r>
            <w:r w:rsidRPr="00610ECA">
              <w:br/>
              <w:t>01.01.20_</w:t>
            </w:r>
          </w:p>
        </w:tc>
        <w:tc>
          <w:tcPr>
            <w:tcW w:w="240" w:type="dxa"/>
            <w:tcBorders>
              <w:top w:val="nil"/>
              <w:left w:val="nil"/>
              <w:bottom w:val="nil"/>
              <w:right w:val="nil"/>
            </w:tcBorders>
            <w:shd w:val="clear" w:color="auto" w:fill="auto"/>
          </w:tcPr>
          <w:p w14:paraId="35735B39" w14:textId="77777777" w:rsidR="00396DE0" w:rsidRPr="00610ECA" w:rsidRDefault="00396DE0" w:rsidP="009B5341"/>
        </w:tc>
      </w:tr>
      <w:tr w:rsidR="00396DE0" w:rsidRPr="00610ECA" w14:paraId="6D5E80F5" w14:textId="77777777" w:rsidTr="0099562D">
        <w:trPr>
          <w:trHeight w:val="106"/>
        </w:trPr>
        <w:tc>
          <w:tcPr>
            <w:tcW w:w="534" w:type="dxa"/>
            <w:shd w:val="clear" w:color="auto" w:fill="auto"/>
            <w:vAlign w:val="center"/>
          </w:tcPr>
          <w:p w14:paraId="232D8E4E" w14:textId="77777777" w:rsidR="00396DE0" w:rsidRPr="00610ECA" w:rsidRDefault="00396DE0" w:rsidP="009B5341">
            <w:pPr>
              <w:shd w:val="clear" w:color="auto" w:fill="FFFFFF" w:themeFill="background1"/>
              <w:jc w:val="center"/>
            </w:pPr>
            <w:r w:rsidRPr="00610ECA">
              <w:t>1</w:t>
            </w:r>
          </w:p>
        </w:tc>
        <w:tc>
          <w:tcPr>
            <w:tcW w:w="780" w:type="dxa"/>
            <w:gridSpan w:val="2"/>
            <w:shd w:val="clear" w:color="auto" w:fill="auto"/>
          </w:tcPr>
          <w:p w14:paraId="25B9026E" w14:textId="77777777" w:rsidR="00396DE0" w:rsidRPr="00610ECA" w:rsidRDefault="00396DE0" w:rsidP="009B5341">
            <w:pPr>
              <w:shd w:val="clear" w:color="auto" w:fill="FFFFFF" w:themeFill="background1"/>
              <w:jc w:val="center"/>
            </w:pPr>
            <w:r w:rsidRPr="00610ECA">
              <w:t>2</w:t>
            </w:r>
          </w:p>
        </w:tc>
        <w:tc>
          <w:tcPr>
            <w:tcW w:w="6466" w:type="dxa"/>
            <w:gridSpan w:val="2"/>
            <w:shd w:val="clear" w:color="auto" w:fill="auto"/>
            <w:vAlign w:val="center"/>
          </w:tcPr>
          <w:p w14:paraId="459F035D" w14:textId="77777777" w:rsidR="00396DE0" w:rsidRPr="00610ECA" w:rsidRDefault="00396DE0" w:rsidP="009B5341">
            <w:pPr>
              <w:shd w:val="clear" w:color="auto" w:fill="FFFFFF" w:themeFill="background1"/>
              <w:jc w:val="center"/>
            </w:pPr>
            <w:r w:rsidRPr="00610ECA">
              <w:t>3</w:t>
            </w:r>
          </w:p>
        </w:tc>
        <w:tc>
          <w:tcPr>
            <w:tcW w:w="1224" w:type="dxa"/>
            <w:shd w:val="clear" w:color="auto" w:fill="auto"/>
            <w:vAlign w:val="center"/>
          </w:tcPr>
          <w:p w14:paraId="0050D29E" w14:textId="77777777" w:rsidR="00396DE0" w:rsidRPr="00610ECA" w:rsidRDefault="00396DE0" w:rsidP="009B5341">
            <w:pPr>
              <w:shd w:val="clear" w:color="auto" w:fill="FFFFFF" w:themeFill="background1"/>
              <w:jc w:val="center"/>
            </w:pPr>
            <w:r w:rsidRPr="00610ECA">
              <w:t>4</w:t>
            </w:r>
          </w:p>
        </w:tc>
        <w:tc>
          <w:tcPr>
            <w:tcW w:w="1229" w:type="dxa"/>
            <w:gridSpan w:val="3"/>
            <w:shd w:val="clear" w:color="auto" w:fill="auto"/>
          </w:tcPr>
          <w:p w14:paraId="37ACA3FB" w14:textId="77777777" w:rsidR="00396DE0" w:rsidRPr="00610ECA" w:rsidRDefault="00396DE0" w:rsidP="009B5341">
            <w:pPr>
              <w:shd w:val="clear" w:color="auto" w:fill="FFFFFF" w:themeFill="background1"/>
              <w:jc w:val="center"/>
            </w:pPr>
            <w:r w:rsidRPr="00610ECA">
              <w:t>5</w:t>
            </w:r>
          </w:p>
        </w:tc>
        <w:tc>
          <w:tcPr>
            <w:tcW w:w="1224" w:type="dxa"/>
            <w:shd w:val="clear" w:color="auto" w:fill="auto"/>
          </w:tcPr>
          <w:p w14:paraId="751BB0F2" w14:textId="77777777" w:rsidR="00396DE0" w:rsidRPr="00610ECA" w:rsidRDefault="00396DE0" w:rsidP="009B5341">
            <w:pPr>
              <w:shd w:val="clear" w:color="auto" w:fill="FFFFFF" w:themeFill="background1"/>
              <w:jc w:val="center"/>
            </w:pPr>
            <w:r w:rsidRPr="00610ECA">
              <w:t>6</w:t>
            </w:r>
          </w:p>
        </w:tc>
        <w:tc>
          <w:tcPr>
            <w:tcW w:w="1248" w:type="dxa"/>
            <w:gridSpan w:val="3"/>
            <w:shd w:val="clear" w:color="auto" w:fill="auto"/>
          </w:tcPr>
          <w:p w14:paraId="42601732" w14:textId="77777777" w:rsidR="00396DE0" w:rsidRPr="00610ECA" w:rsidRDefault="00396DE0" w:rsidP="009B5341">
            <w:pPr>
              <w:shd w:val="clear" w:color="auto" w:fill="FFFFFF" w:themeFill="background1"/>
              <w:jc w:val="center"/>
            </w:pPr>
            <w:r w:rsidRPr="00610ECA">
              <w:t>7</w:t>
            </w:r>
          </w:p>
        </w:tc>
        <w:tc>
          <w:tcPr>
            <w:tcW w:w="1225" w:type="dxa"/>
            <w:shd w:val="clear" w:color="auto" w:fill="auto"/>
          </w:tcPr>
          <w:p w14:paraId="7B66A690" w14:textId="77777777" w:rsidR="00396DE0" w:rsidRPr="00610ECA" w:rsidRDefault="00396DE0" w:rsidP="009B5341">
            <w:pPr>
              <w:shd w:val="clear" w:color="auto" w:fill="FFFFFF" w:themeFill="background1"/>
              <w:jc w:val="center"/>
            </w:pPr>
            <w:r w:rsidRPr="00610ECA">
              <w:t>8</w:t>
            </w:r>
          </w:p>
        </w:tc>
        <w:tc>
          <w:tcPr>
            <w:tcW w:w="1233" w:type="dxa"/>
            <w:shd w:val="clear" w:color="auto" w:fill="auto"/>
          </w:tcPr>
          <w:p w14:paraId="2C10D481" w14:textId="77777777" w:rsidR="00396DE0" w:rsidRPr="00610ECA" w:rsidRDefault="00396DE0" w:rsidP="009B5341">
            <w:pPr>
              <w:shd w:val="clear" w:color="auto" w:fill="FFFFFF" w:themeFill="background1"/>
              <w:jc w:val="center"/>
            </w:pPr>
            <w:r w:rsidRPr="00610ECA">
              <w:t>9</w:t>
            </w:r>
          </w:p>
        </w:tc>
        <w:tc>
          <w:tcPr>
            <w:tcW w:w="240" w:type="dxa"/>
            <w:tcBorders>
              <w:top w:val="nil"/>
              <w:left w:val="nil"/>
              <w:bottom w:val="nil"/>
              <w:right w:val="nil"/>
            </w:tcBorders>
            <w:shd w:val="clear" w:color="auto" w:fill="auto"/>
          </w:tcPr>
          <w:p w14:paraId="1CB52BD0" w14:textId="77777777" w:rsidR="00396DE0" w:rsidRPr="00610ECA" w:rsidRDefault="00396DE0" w:rsidP="009B5341"/>
        </w:tc>
      </w:tr>
      <w:tr w:rsidR="00396DE0" w:rsidRPr="00610ECA" w14:paraId="42128C34" w14:textId="77777777" w:rsidTr="0099562D">
        <w:tc>
          <w:tcPr>
            <w:tcW w:w="534" w:type="dxa"/>
            <w:shd w:val="clear" w:color="auto" w:fill="auto"/>
            <w:vAlign w:val="center"/>
          </w:tcPr>
          <w:p w14:paraId="5D863242" w14:textId="77777777" w:rsidR="00396DE0" w:rsidRPr="00610ECA" w:rsidRDefault="00396DE0" w:rsidP="009B5341">
            <w:pPr>
              <w:spacing w:before="40" w:after="40"/>
              <w:jc w:val="center"/>
            </w:pPr>
            <w:r w:rsidRPr="00610ECA">
              <w:t>1</w:t>
            </w:r>
          </w:p>
        </w:tc>
        <w:tc>
          <w:tcPr>
            <w:tcW w:w="780" w:type="dxa"/>
            <w:gridSpan w:val="2"/>
            <w:shd w:val="clear" w:color="auto" w:fill="auto"/>
            <w:vAlign w:val="center"/>
          </w:tcPr>
          <w:p w14:paraId="0043068A" w14:textId="77777777" w:rsidR="00396DE0" w:rsidRPr="00610ECA" w:rsidRDefault="00396DE0" w:rsidP="009B5341">
            <w:pPr>
              <w:spacing w:before="40" w:after="40"/>
              <w:jc w:val="center"/>
            </w:pPr>
            <w:r w:rsidRPr="00610ECA">
              <w:t>І</w:t>
            </w:r>
          </w:p>
        </w:tc>
        <w:tc>
          <w:tcPr>
            <w:tcW w:w="13849" w:type="dxa"/>
            <w:gridSpan w:val="12"/>
            <w:shd w:val="clear" w:color="auto" w:fill="auto"/>
            <w:vAlign w:val="center"/>
          </w:tcPr>
          <w:p w14:paraId="265E9993" w14:textId="77777777" w:rsidR="00396DE0" w:rsidRPr="00610ECA" w:rsidRDefault="00396DE0" w:rsidP="009B5341">
            <w:pPr>
              <w:spacing w:before="40" w:after="40"/>
              <w:jc w:val="center"/>
            </w:pPr>
            <w:r w:rsidRPr="00610ECA">
              <w:rPr>
                <w:rFonts w:eastAsia="Calibri"/>
              </w:rPr>
              <w:t>Оцінка достатності внутрішньої ліквідності за нормативною перспективою за базовим сценарієм</w:t>
            </w:r>
          </w:p>
        </w:tc>
        <w:tc>
          <w:tcPr>
            <w:tcW w:w="240" w:type="dxa"/>
            <w:tcBorders>
              <w:top w:val="nil"/>
              <w:left w:val="nil"/>
              <w:bottom w:val="nil"/>
              <w:right w:val="nil"/>
            </w:tcBorders>
            <w:shd w:val="clear" w:color="auto" w:fill="auto"/>
          </w:tcPr>
          <w:p w14:paraId="16367426" w14:textId="77777777" w:rsidR="00396DE0" w:rsidRPr="00610ECA" w:rsidRDefault="00396DE0" w:rsidP="009B5341"/>
        </w:tc>
      </w:tr>
      <w:tr w:rsidR="00856D7E" w:rsidRPr="00610ECA" w14:paraId="0D95A622" w14:textId="77777777" w:rsidTr="0099562D">
        <w:tc>
          <w:tcPr>
            <w:tcW w:w="534" w:type="dxa"/>
            <w:shd w:val="clear" w:color="auto" w:fill="auto"/>
            <w:vAlign w:val="center"/>
          </w:tcPr>
          <w:p w14:paraId="5C997BC8" w14:textId="77777777" w:rsidR="00856D7E" w:rsidRPr="00610ECA" w:rsidRDefault="00856D7E" w:rsidP="009B5341">
            <w:pPr>
              <w:spacing w:before="40"/>
              <w:jc w:val="center"/>
            </w:pPr>
            <w:r w:rsidRPr="00610ECA">
              <w:t>2</w:t>
            </w:r>
          </w:p>
        </w:tc>
        <w:tc>
          <w:tcPr>
            <w:tcW w:w="780" w:type="dxa"/>
            <w:gridSpan w:val="2"/>
            <w:shd w:val="clear" w:color="auto" w:fill="auto"/>
            <w:vAlign w:val="center"/>
          </w:tcPr>
          <w:p w14:paraId="072EA025" w14:textId="77777777" w:rsidR="00856D7E" w:rsidRPr="00610ECA" w:rsidRDefault="00856D7E" w:rsidP="009B5341">
            <w:pPr>
              <w:spacing w:before="40"/>
              <w:jc w:val="center"/>
            </w:pPr>
            <w:r w:rsidRPr="00610ECA">
              <w:t>1</w:t>
            </w:r>
          </w:p>
        </w:tc>
        <w:tc>
          <w:tcPr>
            <w:tcW w:w="13849" w:type="dxa"/>
            <w:gridSpan w:val="12"/>
            <w:shd w:val="clear" w:color="auto" w:fill="auto"/>
            <w:vAlign w:val="center"/>
          </w:tcPr>
          <w:p w14:paraId="4D42435F" w14:textId="7DECFBB0" w:rsidR="00856D7E" w:rsidRPr="00610ECA" w:rsidRDefault="00856D7E" w:rsidP="00856D7E">
            <w:pPr>
              <w:spacing w:before="40"/>
              <w:jc w:val="left"/>
            </w:pPr>
            <w:r w:rsidRPr="00610ECA">
              <w:t>Норматив NSFR</w:t>
            </w:r>
          </w:p>
        </w:tc>
        <w:tc>
          <w:tcPr>
            <w:tcW w:w="240" w:type="dxa"/>
            <w:tcBorders>
              <w:top w:val="nil"/>
              <w:left w:val="nil"/>
              <w:bottom w:val="nil"/>
              <w:right w:val="nil"/>
            </w:tcBorders>
            <w:shd w:val="clear" w:color="auto" w:fill="auto"/>
          </w:tcPr>
          <w:p w14:paraId="021F809D" w14:textId="77777777" w:rsidR="00856D7E" w:rsidRPr="00610ECA" w:rsidRDefault="00856D7E" w:rsidP="009B5341">
            <w:pPr>
              <w:spacing w:before="40"/>
            </w:pPr>
          </w:p>
        </w:tc>
      </w:tr>
      <w:tr w:rsidR="00396DE0" w:rsidRPr="00610ECA" w14:paraId="5D3CBF0C" w14:textId="77777777" w:rsidTr="0099562D">
        <w:tc>
          <w:tcPr>
            <w:tcW w:w="534" w:type="dxa"/>
            <w:shd w:val="clear" w:color="auto" w:fill="FFFFFF" w:themeFill="background1"/>
            <w:vAlign w:val="center"/>
          </w:tcPr>
          <w:p w14:paraId="41132871" w14:textId="77777777" w:rsidR="00396DE0" w:rsidRPr="00610ECA" w:rsidRDefault="00396DE0" w:rsidP="009B5341">
            <w:pPr>
              <w:spacing w:before="40"/>
              <w:jc w:val="center"/>
            </w:pPr>
            <w:r w:rsidRPr="00610ECA">
              <w:t>3</w:t>
            </w:r>
          </w:p>
        </w:tc>
        <w:tc>
          <w:tcPr>
            <w:tcW w:w="780" w:type="dxa"/>
            <w:gridSpan w:val="2"/>
            <w:shd w:val="clear" w:color="auto" w:fill="FFFFFF" w:themeFill="background1"/>
            <w:vAlign w:val="center"/>
          </w:tcPr>
          <w:p w14:paraId="1703497A" w14:textId="77777777" w:rsidR="00396DE0" w:rsidRPr="00610ECA" w:rsidRDefault="00396DE0" w:rsidP="009B5341">
            <w:pPr>
              <w:spacing w:before="40"/>
              <w:jc w:val="center"/>
            </w:pPr>
            <w:r w:rsidRPr="00610ECA">
              <w:t>1.1</w:t>
            </w:r>
          </w:p>
        </w:tc>
        <w:tc>
          <w:tcPr>
            <w:tcW w:w="6466" w:type="dxa"/>
            <w:gridSpan w:val="2"/>
            <w:shd w:val="clear" w:color="auto" w:fill="FFFFFF" w:themeFill="background1"/>
            <w:vAlign w:val="center"/>
          </w:tcPr>
          <w:p w14:paraId="7426794D" w14:textId="77777777" w:rsidR="00396DE0" w:rsidRPr="00610ECA" w:rsidRDefault="00396DE0" w:rsidP="009B5341">
            <w:pPr>
              <w:spacing w:before="40"/>
              <w:ind w:left="-57"/>
            </w:pPr>
            <w:r w:rsidRPr="00610ECA">
              <w:t>обсяг необхідної внутрішньої ліквідності (обсяг</w:t>
            </w:r>
            <w:r w:rsidRPr="00610ECA">
              <w:rPr>
                <w:shd w:val="clear" w:color="auto" w:fill="FFFFFF"/>
              </w:rPr>
              <w:t xml:space="preserve"> ASF</w:t>
            </w:r>
            <w:r w:rsidRPr="00610ECA">
              <w:t>)</w:t>
            </w:r>
          </w:p>
        </w:tc>
        <w:tc>
          <w:tcPr>
            <w:tcW w:w="1224" w:type="dxa"/>
            <w:shd w:val="clear" w:color="auto" w:fill="FFFFFF" w:themeFill="background1"/>
            <w:vAlign w:val="center"/>
          </w:tcPr>
          <w:p w14:paraId="030870B8" w14:textId="77777777" w:rsidR="00396DE0" w:rsidRPr="00610ECA" w:rsidRDefault="00396DE0" w:rsidP="009B5341">
            <w:pPr>
              <w:spacing w:before="40"/>
              <w:jc w:val="center"/>
            </w:pPr>
          </w:p>
        </w:tc>
        <w:tc>
          <w:tcPr>
            <w:tcW w:w="1229" w:type="dxa"/>
            <w:gridSpan w:val="3"/>
            <w:shd w:val="clear" w:color="auto" w:fill="FFFFFF" w:themeFill="background1"/>
            <w:vAlign w:val="center"/>
          </w:tcPr>
          <w:p w14:paraId="75D8EC20" w14:textId="77777777" w:rsidR="00396DE0" w:rsidRPr="00610ECA" w:rsidRDefault="00396DE0" w:rsidP="009B5341">
            <w:pPr>
              <w:spacing w:before="40"/>
              <w:jc w:val="center"/>
            </w:pPr>
          </w:p>
        </w:tc>
        <w:tc>
          <w:tcPr>
            <w:tcW w:w="1224" w:type="dxa"/>
            <w:shd w:val="clear" w:color="auto" w:fill="FFFFFF" w:themeFill="background1"/>
            <w:vAlign w:val="center"/>
          </w:tcPr>
          <w:p w14:paraId="1DE78B0E" w14:textId="77777777" w:rsidR="00396DE0" w:rsidRPr="00610ECA" w:rsidRDefault="00396DE0" w:rsidP="009B5341">
            <w:pPr>
              <w:spacing w:before="40"/>
              <w:jc w:val="center"/>
            </w:pPr>
          </w:p>
        </w:tc>
        <w:tc>
          <w:tcPr>
            <w:tcW w:w="1248" w:type="dxa"/>
            <w:gridSpan w:val="3"/>
            <w:shd w:val="clear" w:color="auto" w:fill="auto"/>
          </w:tcPr>
          <w:p w14:paraId="56CE5334" w14:textId="77777777" w:rsidR="00396DE0" w:rsidRPr="00610ECA" w:rsidRDefault="00396DE0" w:rsidP="009B5341">
            <w:pPr>
              <w:spacing w:before="40"/>
              <w:jc w:val="center"/>
            </w:pPr>
            <w:r w:rsidRPr="00610ECA">
              <w:t>X</w:t>
            </w:r>
          </w:p>
        </w:tc>
        <w:tc>
          <w:tcPr>
            <w:tcW w:w="1225" w:type="dxa"/>
            <w:shd w:val="clear" w:color="auto" w:fill="auto"/>
          </w:tcPr>
          <w:p w14:paraId="445AD7CB" w14:textId="77777777" w:rsidR="00396DE0" w:rsidRPr="00610ECA" w:rsidRDefault="00396DE0" w:rsidP="009B5341">
            <w:pPr>
              <w:spacing w:before="40"/>
              <w:jc w:val="center"/>
            </w:pPr>
            <w:r w:rsidRPr="00610ECA">
              <w:t>X</w:t>
            </w:r>
          </w:p>
        </w:tc>
        <w:tc>
          <w:tcPr>
            <w:tcW w:w="1233" w:type="dxa"/>
            <w:shd w:val="clear" w:color="auto" w:fill="auto"/>
          </w:tcPr>
          <w:p w14:paraId="6C1561C8" w14:textId="77777777" w:rsidR="00396DE0" w:rsidRPr="00610ECA" w:rsidRDefault="00396DE0" w:rsidP="009B5341">
            <w:pPr>
              <w:spacing w:before="40"/>
              <w:jc w:val="center"/>
            </w:pPr>
            <w:r w:rsidRPr="00610ECA">
              <w:t>X</w:t>
            </w:r>
          </w:p>
        </w:tc>
        <w:tc>
          <w:tcPr>
            <w:tcW w:w="240" w:type="dxa"/>
            <w:tcBorders>
              <w:top w:val="nil"/>
              <w:left w:val="nil"/>
              <w:bottom w:val="nil"/>
              <w:right w:val="nil"/>
            </w:tcBorders>
            <w:shd w:val="clear" w:color="auto" w:fill="auto"/>
          </w:tcPr>
          <w:p w14:paraId="0B552A19" w14:textId="77777777" w:rsidR="00396DE0" w:rsidRPr="00610ECA" w:rsidRDefault="00396DE0" w:rsidP="009B5341">
            <w:pPr>
              <w:spacing w:before="40"/>
            </w:pPr>
          </w:p>
        </w:tc>
      </w:tr>
      <w:tr w:rsidR="00396DE0" w:rsidRPr="00610ECA" w14:paraId="1657D71C" w14:textId="77777777" w:rsidTr="0099562D">
        <w:tc>
          <w:tcPr>
            <w:tcW w:w="534" w:type="dxa"/>
            <w:shd w:val="clear" w:color="auto" w:fill="FFFFFF" w:themeFill="background1"/>
            <w:vAlign w:val="center"/>
          </w:tcPr>
          <w:p w14:paraId="7E7A1183" w14:textId="77777777" w:rsidR="00396DE0" w:rsidRPr="00610ECA" w:rsidRDefault="00396DE0" w:rsidP="009B5341">
            <w:pPr>
              <w:spacing w:before="40"/>
              <w:jc w:val="center"/>
            </w:pPr>
            <w:r w:rsidRPr="00610ECA">
              <w:t>4</w:t>
            </w:r>
          </w:p>
        </w:tc>
        <w:tc>
          <w:tcPr>
            <w:tcW w:w="780" w:type="dxa"/>
            <w:gridSpan w:val="2"/>
            <w:shd w:val="clear" w:color="auto" w:fill="FFFFFF" w:themeFill="background1"/>
            <w:vAlign w:val="center"/>
          </w:tcPr>
          <w:p w14:paraId="2BFECCD8" w14:textId="77777777" w:rsidR="00396DE0" w:rsidRPr="00610ECA" w:rsidRDefault="00396DE0" w:rsidP="009B5341">
            <w:pPr>
              <w:spacing w:before="40"/>
              <w:jc w:val="center"/>
            </w:pPr>
            <w:r w:rsidRPr="00610ECA">
              <w:t>1.2</w:t>
            </w:r>
          </w:p>
        </w:tc>
        <w:tc>
          <w:tcPr>
            <w:tcW w:w="6466" w:type="dxa"/>
            <w:gridSpan w:val="2"/>
            <w:shd w:val="clear" w:color="auto" w:fill="FFFFFF" w:themeFill="background1"/>
            <w:vAlign w:val="center"/>
          </w:tcPr>
          <w:p w14:paraId="690556DA" w14:textId="77777777" w:rsidR="00396DE0" w:rsidRPr="00610ECA" w:rsidRDefault="00396DE0" w:rsidP="009B5341">
            <w:pPr>
              <w:spacing w:before="40"/>
              <w:ind w:left="-57"/>
            </w:pPr>
            <w:r w:rsidRPr="00610ECA">
              <w:t>обсяг доступної внутрішньої ліквідності (обсяг</w:t>
            </w:r>
            <w:r w:rsidRPr="00610ECA">
              <w:rPr>
                <w:shd w:val="clear" w:color="auto" w:fill="FFFFFF"/>
              </w:rPr>
              <w:t xml:space="preserve"> ASF</w:t>
            </w:r>
            <w:r w:rsidRPr="00610ECA">
              <w:t>)</w:t>
            </w:r>
          </w:p>
        </w:tc>
        <w:tc>
          <w:tcPr>
            <w:tcW w:w="1224" w:type="dxa"/>
            <w:shd w:val="clear" w:color="auto" w:fill="FFFFFF" w:themeFill="background1"/>
            <w:vAlign w:val="center"/>
          </w:tcPr>
          <w:p w14:paraId="0CE1E7FA" w14:textId="77777777" w:rsidR="00396DE0" w:rsidRPr="00610ECA" w:rsidRDefault="00396DE0" w:rsidP="009B5341">
            <w:pPr>
              <w:spacing w:before="40"/>
              <w:jc w:val="center"/>
            </w:pPr>
          </w:p>
        </w:tc>
        <w:tc>
          <w:tcPr>
            <w:tcW w:w="1229" w:type="dxa"/>
            <w:gridSpan w:val="3"/>
            <w:shd w:val="clear" w:color="auto" w:fill="FFFFFF" w:themeFill="background1"/>
            <w:vAlign w:val="center"/>
          </w:tcPr>
          <w:p w14:paraId="518D222F" w14:textId="77777777" w:rsidR="00396DE0" w:rsidRPr="00610ECA" w:rsidRDefault="00396DE0" w:rsidP="009B5341">
            <w:pPr>
              <w:spacing w:before="40"/>
              <w:jc w:val="center"/>
            </w:pPr>
          </w:p>
        </w:tc>
        <w:tc>
          <w:tcPr>
            <w:tcW w:w="1224" w:type="dxa"/>
            <w:shd w:val="clear" w:color="auto" w:fill="FFFFFF" w:themeFill="background1"/>
            <w:vAlign w:val="center"/>
          </w:tcPr>
          <w:p w14:paraId="2E65400A" w14:textId="77777777" w:rsidR="00396DE0" w:rsidRPr="00610ECA" w:rsidRDefault="00396DE0" w:rsidP="009B5341">
            <w:pPr>
              <w:spacing w:before="40"/>
              <w:jc w:val="center"/>
            </w:pPr>
          </w:p>
        </w:tc>
        <w:tc>
          <w:tcPr>
            <w:tcW w:w="1248" w:type="dxa"/>
            <w:gridSpan w:val="3"/>
            <w:shd w:val="clear" w:color="auto" w:fill="auto"/>
          </w:tcPr>
          <w:p w14:paraId="7D5686BD" w14:textId="77777777" w:rsidR="00396DE0" w:rsidRPr="00610ECA" w:rsidRDefault="00396DE0" w:rsidP="009B5341">
            <w:pPr>
              <w:spacing w:before="40"/>
              <w:jc w:val="center"/>
            </w:pPr>
            <w:r w:rsidRPr="00610ECA">
              <w:t>X</w:t>
            </w:r>
          </w:p>
        </w:tc>
        <w:tc>
          <w:tcPr>
            <w:tcW w:w="1225" w:type="dxa"/>
            <w:shd w:val="clear" w:color="auto" w:fill="auto"/>
          </w:tcPr>
          <w:p w14:paraId="7B7BE8F5" w14:textId="77777777" w:rsidR="00396DE0" w:rsidRPr="00610ECA" w:rsidRDefault="00396DE0" w:rsidP="009B5341">
            <w:pPr>
              <w:spacing w:before="40"/>
              <w:jc w:val="center"/>
            </w:pPr>
            <w:r w:rsidRPr="00610ECA">
              <w:t>X</w:t>
            </w:r>
          </w:p>
        </w:tc>
        <w:tc>
          <w:tcPr>
            <w:tcW w:w="1233" w:type="dxa"/>
            <w:shd w:val="clear" w:color="auto" w:fill="auto"/>
          </w:tcPr>
          <w:p w14:paraId="5BA4F936" w14:textId="77777777" w:rsidR="00396DE0" w:rsidRPr="00610ECA" w:rsidRDefault="00396DE0" w:rsidP="009B5341">
            <w:pPr>
              <w:spacing w:before="40"/>
              <w:jc w:val="center"/>
            </w:pPr>
            <w:r w:rsidRPr="00610ECA">
              <w:t>X</w:t>
            </w:r>
          </w:p>
        </w:tc>
        <w:tc>
          <w:tcPr>
            <w:tcW w:w="240" w:type="dxa"/>
            <w:tcBorders>
              <w:top w:val="nil"/>
              <w:left w:val="nil"/>
              <w:bottom w:val="nil"/>
              <w:right w:val="nil"/>
            </w:tcBorders>
            <w:shd w:val="clear" w:color="auto" w:fill="auto"/>
          </w:tcPr>
          <w:p w14:paraId="62F97058" w14:textId="77777777" w:rsidR="00396DE0" w:rsidRPr="00610ECA" w:rsidRDefault="00396DE0" w:rsidP="009B5341">
            <w:pPr>
              <w:spacing w:before="40"/>
            </w:pPr>
          </w:p>
        </w:tc>
      </w:tr>
      <w:tr w:rsidR="0091727A" w:rsidRPr="00610ECA" w14:paraId="2039E21B" w14:textId="77777777" w:rsidTr="0099562D">
        <w:tc>
          <w:tcPr>
            <w:tcW w:w="534" w:type="dxa"/>
            <w:shd w:val="clear" w:color="auto" w:fill="FFFFFF" w:themeFill="background1"/>
            <w:vAlign w:val="center"/>
          </w:tcPr>
          <w:p w14:paraId="42E3F94E" w14:textId="77777777" w:rsidR="0091727A" w:rsidRPr="00610ECA" w:rsidRDefault="0091727A" w:rsidP="009B5341">
            <w:pPr>
              <w:spacing w:before="40"/>
              <w:jc w:val="center"/>
            </w:pPr>
            <w:r w:rsidRPr="00610ECA">
              <w:t>5</w:t>
            </w:r>
          </w:p>
        </w:tc>
        <w:tc>
          <w:tcPr>
            <w:tcW w:w="780" w:type="dxa"/>
            <w:gridSpan w:val="2"/>
            <w:shd w:val="clear" w:color="auto" w:fill="FFFFFF" w:themeFill="background1"/>
            <w:vAlign w:val="center"/>
          </w:tcPr>
          <w:p w14:paraId="3EDFFEA7" w14:textId="77777777" w:rsidR="0091727A" w:rsidRPr="00610ECA" w:rsidRDefault="0091727A" w:rsidP="009B5341">
            <w:pPr>
              <w:spacing w:before="40"/>
              <w:jc w:val="center"/>
            </w:pPr>
            <w:r w:rsidRPr="00610ECA">
              <w:t>1.3</w:t>
            </w:r>
          </w:p>
        </w:tc>
        <w:tc>
          <w:tcPr>
            <w:tcW w:w="13849" w:type="dxa"/>
            <w:gridSpan w:val="12"/>
            <w:shd w:val="clear" w:color="auto" w:fill="FFFFFF" w:themeFill="background1"/>
          </w:tcPr>
          <w:p w14:paraId="602144C9" w14:textId="0B1BA368" w:rsidR="0091727A" w:rsidRPr="00610ECA" w:rsidRDefault="0091727A" w:rsidP="0091727A">
            <w:pPr>
              <w:spacing w:before="40"/>
              <w:ind w:left="-57"/>
            </w:pPr>
            <w:r w:rsidRPr="00610ECA">
              <w:t>різниця між доступною та необхідною внутрішньою ліквідністю</w:t>
            </w:r>
          </w:p>
        </w:tc>
        <w:tc>
          <w:tcPr>
            <w:tcW w:w="240" w:type="dxa"/>
            <w:tcBorders>
              <w:top w:val="nil"/>
              <w:left w:val="nil"/>
              <w:bottom w:val="nil"/>
              <w:right w:val="nil"/>
            </w:tcBorders>
            <w:shd w:val="clear" w:color="auto" w:fill="auto"/>
          </w:tcPr>
          <w:p w14:paraId="7758AEE1" w14:textId="77777777" w:rsidR="0091727A" w:rsidRPr="00610ECA" w:rsidRDefault="0091727A" w:rsidP="009B5341">
            <w:pPr>
              <w:spacing w:before="40"/>
            </w:pPr>
          </w:p>
        </w:tc>
      </w:tr>
      <w:tr w:rsidR="00396DE0" w:rsidRPr="00610ECA" w14:paraId="4450FADF" w14:textId="77777777" w:rsidTr="0099562D">
        <w:tc>
          <w:tcPr>
            <w:tcW w:w="534" w:type="dxa"/>
            <w:shd w:val="clear" w:color="auto" w:fill="FFFFFF" w:themeFill="background1"/>
            <w:vAlign w:val="center"/>
          </w:tcPr>
          <w:p w14:paraId="67A3DCBB" w14:textId="77777777" w:rsidR="00396DE0" w:rsidRPr="00610ECA" w:rsidRDefault="00396DE0" w:rsidP="009B5341">
            <w:pPr>
              <w:spacing w:before="40"/>
              <w:jc w:val="center"/>
            </w:pPr>
            <w:r w:rsidRPr="00610ECA">
              <w:t>6</w:t>
            </w:r>
          </w:p>
        </w:tc>
        <w:tc>
          <w:tcPr>
            <w:tcW w:w="780" w:type="dxa"/>
            <w:gridSpan w:val="2"/>
            <w:shd w:val="clear" w:color="auto" w:fill="FFFFFF" w:themeFill="background1"/>
            <w:vAlign w:val="center"/>
          </w:tcPr>
          <w:p w14:paraId="1457D13F" w14:textId="77777777" w:rsidR="00396DE0" w:rsidRPr="00610ECA" w:rsidRDefault="00396DE0" w:rsidP="009B5341">
            <w:pPr>
              <w:spacing w:before="40"/>
              <w:jc w:val="center"/>
            </w:pPr>
            <w:r w:rsidRPr="00610ECA">
              <w:rPr>
                <w:iCs/>
              </w:rPr>
              <w:t>1.3.1</w:t>
            </w:r>
          </w:p>
        </w:tc>
        <w:tc>
          <w:tcPr>
            <w:tcW w:w="6466" w:type="dxa"/>
            <w:gridSpan w:val="2"/>
            <w:shd w:val="clear" w:color="auto" w:fill="FFFFFF" w:themeFill="background1"/>
          </w:tcPr>
          <w:p w14:paraId="0803132A" w14:textId="22E50BC8" w:rsidR="00396DE0" w:rsidRPr="00610ECA" w:rsidRDefault="00396DE0" w:rsidP="009B5341">
            <w:pPr>
              <w:spacing w:before="40"/>
              <w:ind w:left="-57"/>
            </w:pPr>
            <w:r w:rsidRPr="00610ECA">
              <w:rPr>
                <w:iCs/>
              </w:rPr>
              <w:t xml:space="preserve">позитивна різниця (немає потреби </w:t>
            </w:r>
            <w:r w:rsidR="00574CB3">
              <w:rPr>
                <w:iCs/>
              </w:rPr>
              <w:t>в</w:t>
            </w:r>
            <w:r w:rsidRPr="00610ECA">
              <w:rPr>
                <w:iCs/>
              </w:rPr>
              <w:t xml:space="preserve"> ASF), тис. грн </w:t>
            </w:r>
          </w:p>
        </w:tc>
        <w:tc>
          <w:tcPr>
            <w:tcW w:w="1224" w:type="dxa"/>
            <w:shd w:val="clear" w:color="auto" w:fill="FFFFFF" w:themeFill="background1"/>
            <w:vAlign w:val="center"/>
          </w:tcPr>
          <w:p w14:paraId="7902EB5A" w14:textId="77777777" w:rsidR="00396DE0" w:rsidRPr="00610ECA" w:rsidRDefault="00396DE0" w:rsidP="009B5341">
            <w:pPr>
              <w:spacing w:before="40"/>
              <w:jc w:val="center"/>
            </w:pPr>
          </w:p>
        </w:tc>
        <w:tc>
          <w:tcPr>
            <w:tcW w:w="1229" w:type="dxa"/>
            <w:gridSpan w:val="3"/>
            <w:shd w:val="clear" w:color="auto" w:fill="FFFFFF" w:themeFill="background1"/>
            <w:vAlign w:val="center"/>
          </w:tcPr>
          <w:p w14:paraId="000BC546" w14:textId="77777777" w:rsidR="00396DE0" w:rsidRPr="00610ECA" w:rsidRDefault="00396DE0" w:rsidP="009B5341">
            <w:pPr>
              <w:spacing w:before="40"/>
              <w:jc w:val="center"/>
            </w:pPr>
          </w:p>
        </w:tc>
        <w:tc>
          <w:tcPr>
            <w:tcW w:w="1224" w:type="dxa"/>
            <w:shd w:val="clear" w:color="auto" w:fill="FFFFFF" w:themeFill="background1"/>
            <w:vAlign w:val="center"/>
          </w:tcPr>
          <w:p w14:paraId="5E9BBF5B" w14:textId="77777777" w:rsidR="00396DE0" w:rsidRPr="00610ECA" w:rsidRDefault="00396DE0" w:rsidP="009B5341">
            <w:pPr>
              <w:spacing w:before="40"/>
              <w:jc w:val="center"/>
            </w:pPr>
          </w:p>
        </w:tc>
        <w:tc>
          <w:tcPr>
            <w:tcW w:w="1248" w:type="dxa"/>
            <w:gridSpan w:val="3"/>
            <w:shd w:val="clear" w:color="auto" w:fill="auto"/>
          </w:tcPr>
          <w:p w14:paraId="1808F75B" w14:textId="77777777" w:rsidR="00396DE0" w:rsidRPr="00610ECA" w:rsidRDefault="00396DE0" w:rsidP="009B5341">
            <w:pPr>
              <w:spacing w:before="40"/>
              <w:jc w:val="center"/>
            </w:pPr>
            <w:r w:rsidRPr="00610ECA">
              <w:t>X</w:t>
            </w:r>
          </w:p>
        </w:tc>
        <w:tc>
          <w:tcPr>
            <w:tcW w:w="1225" w:type="dxa"/>
            <w:shd w:val="clear" w:color="auto" w:fill="auto"/>
          </w:tcPr>
          <w:p w14:paraId="2B061163" w14:textId="77777777" w:rsidR="00396DE0" w:rsidRPr="00610ECA" w:rsidRDefault="00396DE0" w:rsidP="009B5341">
            <w:pPr>
              <w:spacing w:before="40"/>
              <w:jc w:val="center"/>
            </w:pPr>
            <w:r w:rsidRPr="00610ECA">
              <w:t>X</w:t>
            </w:r>
          </w:p>
        </w:tc>
        <w:tc>
          <w:tcPr>
            <w:tcW w:w="1233" w:type="dxa"/>
            <w:shd w:val="clear" w:color="auto" w:fill="auto"/>
          </w:tcPr>
          <w:p w14:paraId="22D5C6B4" w14:textId="77777777" w:rsidR="00396DE0" w:rsidRPr="00610ECA" w:rsidRDefault="00396DE0" w:rsidP="009B5341">
            <w:pPr>
              <w:spacing w:before="40"/>
              <w:jc w:val="center"/>
            </w:pPr>
            <w:r w:rsidRPr="00610ECA">
              <w:t>X</w:t>
            </w:r>
          </w:p>
        </w:tc>
        <w:tc>
          <w:tcPr>
            <w:tcW w:w="240" w:type="dxa"/>
            <w:tcBorders>
              <w:top w:val="nil"/>
              <w:left w:val="nil"/>
              <w:bottom w:val="nil"/>
              <w:right w:val="nil"/>
            </w:tcBorders>
            <w:shd w:val="clear" w:color="auto" w:fill="auto"/>
          </w:tcPr>
          <w:p w14:paraId="7E34A2A8" w14:textId="77777777" w:rsidR="00396DE0" w:rsidRPr="00610ECA" w:rsidRDefault="00396DE0" w:rsidP="009B5341">
            <w:pPr>
              <w:spacing w:before="40"/>
            </w:pPr>
          </w:p>
        </w:tc>
      </w:tr>
      <w:tr w:rsidR="00396DE0" w:rsidRPr="00610ECA" w14:paraId="1AEAE407" w14:textId="77777777" w:rsidTr="0099562D">
        <w:tc>
          <w:tcPr>
            <w:tcW w:w="534" w:type="dxa"/>
            <w:shd w:val="clear" w:color="auto" w:fill="FFFFFF" w:themeFill="background1"/>
            <w:vAlign w:val="center"/>
          </w:tcPr>
          <w:p w14:paraId="71B50FF4" w14:textId="77777777" w:rsidR="00396DE0" w:rsidRPr="00610ECA" w:rsidRDefault="00396DE0" w:rsidP="009B5341">
            <w:pPr>
              <w:spacing w:before="40"/>
              <w:jc w:val="center"/>
            </w:pPr>
            <w:r w:rsidRPr="00610ECA">
              <w:t>7</w:t>
            </w:r>
          </w:p>
        </w:tc>
        <w:tc>
          <w:tcPr>
            <w:tcW w:w="780" w:type="dxa"/>
            <w:gridSpan w:val="2"/>
            <w:shd w:val="clear" w:color="auto" w:fill="FFFFFF" w:themeFill="background1"/>
            <w:vAlign w:val="center"/>
          </w:tcPr>
          <w:p w14:paraId="4A3206C4" w14:textId="77777777" w:rsidR="00396DE0" w:rsidRPr="00610ECA" w:rsidRDefault="00396DE0" w:rsidP="009B5341">
            <w:pPr>
              <w:spacing w:before="40"/>
              <w:jc w:val="center"/>
            </w:pPr>
            <w:r w:rsidRPr="00610ECA">
              <w:rPr>
                <w:iCs/>
              </w:rPr>
              <w:t>1.3.2</w:t>
            </w:r>
          </w:p>
        </w:tc>
        <w:tc>
          <w:tcPr>
            <w:tcW w:w="6466" w:type="dxa"/>
            <w:gridSpan w:val="2"/>
            <w:shd w:val="clear" w:color="auto" w:fill="FFFFFF" w:themeFill="background1"/>
          </w:tcPr>
          <w:p w14:paraId="7C3A623E" w14:textId="007521E8" w:rsidR="00396DE0" w:rsidRPr="00610ECA" w:rsidRDefault="00396DE0" w:rsidP="009B5341">
            <w:pPr>
              <w:spacing w:before="40"/>
              <w:ind w:left="-57"/>
            </w:pPr>
            <w:r w:rsidRPr="00610ECA">
              <w:rPr>
                <w:iCs/>
              </w:rPr>
              <w:t xml:space="preserve">негативна різниця (є потреба </w:t>
            </w:r>
            <w:r w:rsidR="00574CB3">
              <w:rPr>
                <w:iCs/>
              </w:rPr>
              <w:t>в</w:t>
            </w:r>
            <w:r w:rsidRPr="00610ECA">
              <w:rPr>
                <w:iCs/>
              </w:rPr>
              <w:t xml:space="preserve"> ASF), тис. грн </w:t>
            </w:r>
          </w:p>
        </w:tc>
        <w:tc>
          <w:tcPr>
            <w:tcW w:w="1224" w:type="dxa"/>
            <w:shd w:val="clear" w:color="auto" w:fill="FFFFFF" w:themeFill="background1"/>
            <w:vAlign w:val="center"/>
          </w:tcPr>
          <w:p w14:paraId="66D7EAF1" w14:textId="77777777" w:rsidR="00396DE0" w:rsidRPr="00610ECA" w:rsidRDefault="00396DE0" w:rsidP="009B5341">
            <w:pPr>
              <w:spacing w:before="40"/>
              <w:jc w:val="center"/>
            </w:pPr>
          </w:p>
        </w:tc>
        <w:tc>
          <w:tcPr>
            <w:tcW w:w="1229" w:type="dxa"/>
            <w:gridSpan w:val="3"/>
            <w:shd w:val="clear" w:color="auto" w:fill="FFFFFF" w:themeFill="background1"/>
            <w:vAlign w:val="center"/>
          </w:tcPr>
          <w:p w14:paraId="045D1AA9" w14:textId="77777777" w:rsidR="00396DE0" w:rsidRPr="00610ECA" w:rsidRDefault="00396DE0" w:rsidP="009B5341">
            <w:pPr>
              <w:spacing w:before="40"/>
              <w:jc w:val="center"/>
            </w:pPr>
          </w:p>
        </w:tc>
        <w:tc>
          <w:tcPr>
            <w:tcW w:w="1224" w:type="dxa"/>
            <w:shd w:val="clear" w:color="auto" w:fill="FFFFFF" w:themeFill="background1"/>
            <w:vAlign w:val="center"/>
          </w:tcPr>
          <w:p w14:paraId="02D48995" w14:textId="77777777" w:rsidR="00396DE0" w:rsidRPr="00610ECA" w:rsidRDefault="00396DE0" w:rsidP="009B5341">
            <w:pPr>
              <w:spacing w:before="40"/>
              <w:jc w:val="center"/>
            </w:pPr>
          </w:p>
        </w:tc>
        <w:tc>
          <w:tcPr>
            <w:tcW w:w="1248" w:type="dxa"/>
            <w:gridSpan w:val="3"/>
            <w:shd w:val="clear" w:color="auto" w:fill="auto"/>
          </w:tcPr>
          <w:p w14:paraId="2EAED7D8" w14:textId="77777777" w:rsidR="00396DE0" w:rsidRPr="00610ECA" w:rsidRDefault="00396DE0" w:rsidP="009B5341">
            <w:pPr>
              <w:spacing w:before="40"/>
              <w:jc w:val="center"/>
            </w:pPr>
            <w:r w:rsidRPr="00610ECA">
              <w:t>X</w:t>
            </w:r>
          </w:p>
        </w:tc>
        <w:tc>
          <w:tcPr>
            <w:tcW w:w="1225" w:type="dxa"/>
            <w:shd w:val="clear" w:color="auto" w:fill="auto"/>
          </w:tcPr>
          <w:p w14:paraId="049B5496" w14:textId="77777777" w:rsidR="00396DE0" w:rsidRPr="00610ECA" w:rsidRDefault="00396DE0" w:rsidP="009B5341">
            <w:pPr>
              <w:spacing w:before="40"/>
              <w:jc w:val="center"/>
            </w:pPr>
            <w:r w:rsidRPr="00610ECA">
              <w:t>X</w:t>
            </w:r>
          </w:p>
        </w:tc>
        <w:tc>
          <w:tcPr>
            <w:tcW w:w="1233" w:type="dxa"/>
            <w:shd w:val="clear" w:color="auto" w:fill="auto"/>
          </w:tcPr>
          <w:p w14:paraId="5608C42D" w14:textId="77777777" w:rsidR="00396DE0" w:rsidRPr="00610ECA" w:rsidRDefault="00396DE0" w:rsidP="009B5341">
            <w:pPr>
              <w:spacing w:before="40"/>
              <w:jc w:val="center"/>
            </w:pPr>
            <w:r w:rsidRPr="00610ECA">
              <w:t>X</w:t>
            </w:r>
          </w:p>
        </w:tc>
        <w:tc>
          <w:tcPr>
            <w:tcW w:w="240" w:type="dxa"/>
            <w:tcBorders>
              <w:top w:val="nil"/>
              <w:left w:val="nil"/>
              <w:bottom w:val="nil"/>
              <w:right w:val="nil"/>
            </w:tcBorders>
            <w:shd w:val="clear" w:color="auto" w:fill="auto"/>
          </w:tcPr>
          <w:p w14:paraId="295AC957" w14:textId="77777777" w:rsidR="00396DE0" w:rsidRPr="00610ECA" w:rsidRDefault="00396DE0" w:rsidP="009B5341">
            <w:pPr>
              <w:spacing w:before="40"/>
            </w:pPr>
          </w:p>
        </w:tc>
      </w:tr>
      <w:tr w:rsidR="00396DE0" w:rsidRPr="00610ECA" w14:paraId="485B441C" w14:textId="77777777" w:rsidTr="0099562D">
        <w:tc>
          <w:tcPr>
            <w:tcW w:w="534" w:type="dxa"/>
            <w:shd w:val="clear" w:color="auto" w:fill="FFFFFF" w:themeFill="background1"/>
            <w:vAlign w:val="center"/>
          </w:tcPr>
          <w:p w14:paraId="403A96B7" w14:textId="77777777" w:rsidR="00396DE0" w:rsidRPr="00610ECA" w:rsidRDefault="00396DE0" w:rsidP="009B5341">
            <w:pPr>
              <w:spacing w:before="40"/>
              <w:jc w:val="center"/>
            </w:pPr>
            <w:r w:rsidRPr="00610ECA">
              <w:t>8</w:t>
            </w:r>
          </w:p>
        </w:tc>
        <w:tc>
          <w:tcPr>
            <w:tcW w:w="780" w:type="dxa"/>
            <w:gridSpan w:val="2"/>
            <w:shd w:val="clear" w:color="auto" w:fill="FFFFFF" w:themeFill="background1"/>
            <w:vAlign w:val="center"/>
          </w:tcPr>
          <w:p w14:paraId="22B4D0D6" w14:textId="77777777" w:rsidR="00396DE0" w:rsidRPr="00610ECA" w:rsidRDefault="00396DE0" w:rsidP="009B5341">
            <w:pPr>
              <w:spacing w:before="40"/>
              <w:jc w:val="center"/>
            </w:pPr>
            <w:r w:rsidRPr="00610ECA">
              <w:t>1.4</w:t>
            </w:r>
          </w:p>
        </w:tc>
        <w:tc>
          <w:tcPr>
            <w:tcW w:w="6466" w:type="dxa"/>
            <w:gridSpan w:val="2"/>
            <w:shd w:val="clear" w:color="auto" w:fill="FFFFFF" w:themeFill="background1"/>
          </w:tcPr>
          <w:p w14:paraId="0DBC59DE" w14:textId="77777777" w:rsidR="00396DE0" w:rsidRPr="00610ECA" w:rsidRDefault="00396DE0" w:rsidP="009B5341">
            <w:pPr>
              <w:spacing w:before="40"/>
              <w:ind w:left="-57"/>
            </w:pPr>
            <w:r w:rsidRPr="00610ECA">
              <w:t>цільове значення нормативу NSFR, %</w:t>
            </w:r>
          </w:p>
        </w:tc>
        <w:tc>
          <w:tcPr>
            <w:tcW w:w="1224" w:type="dxa"/>
            <w:shd w:val="clear" w:color="auto" w:fill="FFFFFF" w:themeFill="background1"/>
            <w:vAlign w:val="center"/>
          </w:tcPr>
          <w:p w14:paraId="0DD04F00" w14:textId="77777777" w:rsidR="00396DE0" w:rsidRPr="00610ECA" w:rsidRDefault="00396DE0" w:rsidP="009B5341">
            <w:pPr>
              <w:spacing w:before="40"/>
              <w:jc w:val="center"/>
            </w:pPr>
          </w:p>
        </w:tc>
        <w:tc>
          <w:tcPr>
            <w:tcW w:w="1229" w:type="dxa"/>
            <w:gridSpan w:val="3"/>
            <w:shd w:val="clear" w:color="auto" w:fill="FFFFFF" w:themeFill="background1"/>
            <w:vAlign w:val="center"/>
          </w:tcPr>
          <w:p w14:paraId="0B737311" w14:textId="77777777" w:rsidR="00396DE0" w:rsidRPr="00610ECA" w:rsidRDefault="00396DE0" w:rsidP="009B5341">
            <w:pPr>
              <w:spacing w:before="40"/>
              <w:jc w:val="center"/>
            </w:pPr>
          </w:p>
        </w:tc>
        <w:tc>
          <w:tcPr>
            <w:tcW w:w="1224" w:type="dxa"/>
            <w:shd w:val="clear" w:color="auto" w:fill="FFFFFF" w:themeFill="background1"/>
            <w:vAlign w:val="center"/>
          </w:tcPr>
          <w:p w14:paraId="67121243" w14:textId="77777777" w:rsidR="00396DE0" w:rsidRPr="00610ECA" w:rsidRDefault="00396DE0" w:rsidP="009B5341">
            <w:pPr>
              <w:spacing w:before="40"/>
              <w:jc w:val="center"/>
            </w:pPr>
          </w:p>
        </w:tc>
        <w:tc>
          <w:tcPr>
            <w:tcW w:w="1248" w:type="dxa"/>
            <w:gridSpan w:val="3"/>
            <w:shd w:val="clear" w:color="auto" w:fill="auto"/>
          </w:tcPr>
          <w:p w14:paraId="3B53924B" w14:textId="77777777" w:rsidR="00396DE0" w:rsidRPr="00610ECA" w:rsidRDefault="00396DE0" w:rsidP="009B5341">
            <w:pPr>
              <w:spacing w:before="40"/>
              <w:jc w:val="center"/>
            </w:pPr>
            <w:r w:rsidRPr="00610ECA">
              <w:t>X</w:t>
            </w:r>
          </w:p>
        </w:tc>
        <w:tc>
          <w:tcPr>
            <w:tcW w:w="1225" w:type="dxa"/>
            <w:shd w:val="clear" w:color="auto" w:fill="auto"/>
          </w:tcPr>
          <w:p w14:paraId="10202E0D" w14:textId="77777777" w:rsidR="00396DE0" w:rsidRPr="00610ECA" w:rsidRDefault="00396DE0" w:rsidP="009B5341">
            <w:pPr>
              <w:spacing w:before="40"/>
              <w:jc w:val="center"/>
            </w:pPr>
            <w:r w:rsidRPr="00610ECA">
              <w:t>X</w:t>
            </w:r>
          </w:p>
        </w:tc>
        <w:tc>
          <w:tcPr>
            <w:tcW w:w="1233" w:type="dxa"/>
            <w:shd w:val="clear" w:color="auto" w:fill="auto"/>
          </w:tcPr>
          <w:p w14:paraId="3D93644B" w14:textId="77777777" w:rsidR="00396DE0" w:rsidRPr="00610ECA" w:rsidRDefault="00396DE0" w:rsidP="009B5341">
            <w:pPr>
              <w:spacing w:before="40"/>
              <w:jc w:val="center"/>
            </w:pPr>
            <w:r w:rsidRPr="00610ECA">
              <w:t>X</w:t>
            </w:r>
          </w:p>
        </w:tc>
        <w:tc>
          <w:tcPr>
            <w:tcW w:w="240" w:type="dxa"/>
            <w:tcBorders>
              <w:top w:val="nil"/>
              <w:left w:val="nil"/>
              <w:bottom w:val="nil"/>
              <w:right w:val="nil"/>
            </w:tcBorders>
            <w:shd w:val="clear" w:color="auto" w:fill="auto"/>
          </w:tcPr>
          <w:p w14:paraId="5A7B543B" w14:textId="77777777" w:rsidR="00396DE0" w:rsidRPr="00610ECA" w:rsidRDefault="00396DE0" w:rsidP="009B5341">
            <w:pPr>
              <w:spacing w:before="40"/>
            </w:pPr>
          </w:p>
        </w:tc>
      </w:tr>
      <w:tr w:rsidR="00396DE0" w:rsidRPr="00610ECA" w14:paraId="3DDDD82D" w14:textId="77777777" w:rsidTr="0099562D">
        <w:tc>
          <w:tcPr>
            <w:tcW w:w="548" w:type="dxa"/>
            <w:gridSpan w:val="2"/>
            <w:shd w:val="clear" w:color="auto" w:fill="auto"/>
            <w:vAlign w:val="center"/>
          </w:tcPr>
          <w:p w14:paraId="7050B67E" w14:textId="77777777" w:rsidR="00396DE0" w:rsidRPr="00610ECA" w:rsidRDefault="00396DE0" w:rsidP="009B5341">
            <w:pPr>
              <w:spacing w:before="40" w:after="40"/>
              <w:jc w:val="center"/>
            </w:pPr>
            <w:r w:rsidRPr="00610ECA">
              <w:t>9</w:t>
            </w:r>
          </w:p>
        </w:tc>
        <w:tc>
          <w:tcPr>
            <w:tcW w:w="766" w:type="dxa"/>
            <w:shd w:val="clear" w:color="auto" w:fill="auto"/>
            <w:vAlign w:val="center"/>
          </w:tcPr>
          <w:p w14:paraId="6375F52F" w14:textId="77777777" w:rsidR="00396DE0" w:rsidRPr="00610ECA" w:rsidRDefault="00396DE0" w:rsidP="009B5341">
            <w:pPr>
              <w:spacing w:before="40" w:after="40"/>
              <w:jc w:val="center"/>
            </w:pPr>
            <w:r w:rsidRPr="00610ECA">
              <w:t>ІІ</w:t>
            </w:r>
          </w:p>
        </w:tc>
        <w:tc>
          <w:tcPr>
            <w:tcW w:w="13849" w:type="dxa"/>
            <w:gridSpan w:val="12"/>
            <w:shd w:val="clear" w:color="auto" w:fill="auto"/>
            <w:vAlign w:val="center"/>
          </w:tcPr>
          <w:p w14:paraId="3F4BFE31" w14:textId="77777777" w:rsidR="00396DE0" w:rsidRPr="00610ECA" w:rsidRDefault="00396DE0" w:rsidP="009B5341">
            <w:pPr>
              <w:spacing w:before="40" w:after="40"/>
              <w:jc w:val="center"/>
            </w:pPr>
            <w:r w:rsidRPr="00610ECA">
              <w:rPr>
                <w:rFonts w:eastAsia="Calibri"/>
              </w:rPr>
              <w:t>Оцінка достатності внутрішньої ліквідності за нормативною перспективою за несприятливим сценарієм</w:t>
            </w:r>
          </w:p>
        </w:tc>
        <w:tc>
          <w:tcPr>
            <w:tcW w:w="240" w:type="dxa"/>
            <w:tcBorders>
              <w:top w:val="nil"/>
              <w:left w:val="nil"/>
              <w:bottom w:val="nil"/>
              <w:right w:val="nil"/>
            </w:tcBorders>
            <w:shd w:val="clear" w:color="auto" w:fill="auto"/>
          </w:tcPr>
          <w:p w14:paraId="616369C7" w14:textId="77777777" w:rsidR="00396DE0" w:rsidRPr="00610ECA" w:rsidRDefault="00396DE0" w:rsidP="009B5341"/>
        </w:tc>
      </w:tr>
      <w:tr w:rsidR="00856D7E" w:rsidRPr="00610ECA" w14:paraId="1CC92EA2" w14:textId="77777777" w:rsidTr="0099562D">
        <w:trPr>
          <w:gridAfter w:val="1"/>
          <w:wAfter w:w="240" w:type="dxa"/>
        </w:trPr>
        <w:tc>
          <w:tcPr>
            <w:tcW w:w="548" w:type="dxa"/>
            <w:gridSpan w:val="2"/>
            <w:shd w:val="clear" w:color="auto" w:fill="auto"/>
            <w:vAlign w:val="center"/>
          </w:tcPr>
          <w:p w14:paraId="02BB0ADF" w14:textId="77777777" w:rsidR="00856D7E" w:rsidRPr="00610ECA" w:rsidRDefault="00856D7E" w:rsidP="009B5341">
            <w:pPr>
              <w:spacing w:before="40"/>
              <w:jc w:val="center"/>
            </w:pPr>
            <w:r w:rsidRPr="00610ECA">
              <w:t>10</w:t>
            </w:r>
          </w:p>
        </w:tc>
        <w:tc>
          <w:tcPr>
            <w:tcW w:w="766" w:type="dxa"/>
            <w:shd w:val="clear" w:color="auto" w:fill="auto"/>
            <w:vAlign w:val="center"/>
          </w:tcPr>
          <w:p w14:paraId="5C9CBC4A" w14:textId="77777777" w:rsidR="00856D7E" w:rsidRPr="00610ECA" w:rsidRDefault="00856D7E" w:rsidP="009B5341">
            <w:pPr>
              <w:spacing w:before="40"/>
              <w:jc w:val="center"/>
            </w:pPr>
            <w:r w:rsidRPr="00610ECA">
              <w:t>1</w:t>
            </w:r>
          </w:p>
        </w:tc>
        <w:tc>
          <w:tcPr>
            <w:tcW w:w="13849" w:type="dxa"/>
            <w:gridSpan w:val="12"/>
            <w:shd w:val="clear" w:color="auto" w:fill="auto"/>
            <w:vAlign w:val="center"/>
          </w:tcPr>
          <w:p w14:paraId="7CE6F33D" w14:textId="75A8F85C" w:rsidR="00856D7E" w:rsidRPr="00610ECA" w:rsidRDefault="00856D7E" w:rsidP="00856D7E">
            <w:pPr>
              <w:spacing w:before="40"/>
              <w:jc w:val="left"/>
            </w:pPr>
            <w:r w:rsidRPr="00610ECA">
              <w:t>Норматив NSFR</w:t>
            </w:r>
          </w:p>
        </w:tc>
      </w:tr>
      <w:tr w:rsidR="00135C5A" w:rsidRPr="00610ECA" w14:paraId="13CC4251" w14:textId="77777777" w:rsidTr="0099562D">
        <w:trPr>
          <w:gridAfter w:val="1"/>
          <w:wAfter w:w="240" w:type="dxa"/>
        </w:trPr>
        <w:tc>
          <w:tcPr>
            <w:tcW w:w="548" w:type="dxa"/>
            <w:gridSpan w:val="2"/>
            <w:shd w:val="clear" w:color="auto" w:fill="auto"/>
            <w:vAlign w:val="center"/>
          </w:tcPr>
          <w:p w14:paraId="6D0EC06F" w14:textId="77777777" w:rsidR="00135C5A" w:rsidRPr="00610ECA" w:rsidRDefault="00135C5A" w:rsidP="009B5341">
            <w:pPr>
              <w:shd w:val="clear" w:color="auto" w:fill="FFFFFF" w:themeFill="background1"/>
              <w:jc w:val="center"/>
            </w:pPr>
            <w:r w:rsidRPr="00610ECA">
              <w:t>11</w:t>
            </w:r>
          </w:p>
        </w:tc>
        <w:tc>
          <w:tcPr>
            <w:tcW w:w="766" w:type="dxa"/>
            <w:shd w:val="clear" w:color="auto" w:fill="auto"/>
            <w:vAlign w:val="center"/>
          </w:tcPr>
          <w:p w14:paraId="69F95C61" w14:textId="77777777" w:rsidR="00135C5A" w:rsidRPr="00610ECA" w:rsidRDefault="00135C5A" w:rsidP="009B5341">
            <w:pPr>
              <w:shd w:val="clear" w:color="auto" w:fill="FFFFFF" w:themeFill="background1"/>
              <w:jc w:val="center"/>
            </w:pPr>
            <w:r w:rsidRPr="00610ECA">
              <w:t>1.1</w:t>
            </w:r>
          </w:p>
        </w:tc>
        <w:tc>
          <w:tcPr>
            <w:tcW w:w="6422" w:type="dxa"/>
            <w:shd w:val="clear" w:color="auto" w:fill="auto"/>
            <w:vAlign w:val="center"/>
          </w:tcPr>
          <w:p w14:paraId="1E59F166" w14:textId="77777777" w:rsidR="00135C5A" w:rsidRPr="00610ECA" w:rsidRDefault="00135C5A" w:rsidP="009B5341">
            <w:pPr>
              <w:shd w:val="clear" w:color="auto" w:fill="FFFFFF" w:themeFill="background1"/>
              <w:ind w:left="-57" w:right="-57"/>
            </w:pPr>
            <w:r w:rsidRPr="00610ECA">
              <w:t>обсяг необхідної внутрішньої ліквідності (обсяг</w:t>
            </w:r>
            <w:r w:rsidRPr="00610ECA">
              <w:rPr>
                <w:shd w:val="clear" w:color="auto" w:fill="FFFFFF"/>
              </w:rPr>
              <w:t xml:space="preserve"> ASF</w:t>
            </w:r>
            <w:r w:rsidRPr="00610ECA">
              <w:t>)</w:t>
            </w:r>
          </w:p>
        </w:tc>
        <w:tc>
          <w:tcPr>
            <w:tcW w:w="1286" w:type="dxa"/>
            <w:gridSpan w:val="3"/>
            <w:shd w:val="clear" w:color="auto" w:fill="auto"/>
            <w:vAlign w:val="center"/>
          </w:tcPr>
          <w:p w14:paraId="7B8E88B4" w14:textId="77777777" w:rsidR="00135C5A" w:rsidRPr="00610ECA" w:rsidRDefault="00135C5A" w:rsidP="009B5341">
            <w:pPr>
              <w:shd w:val="clear" w:color="auto" w:fill="FFFFFF" w:themeFill="background1"/>
              <w:jc w:val="center"/>
            </w:pPr>
          </w:p>
        </w:tc>
        <w:tc>
          <w:tcPr>
            <w:tcW w:w="1157" w:type="dxa"/>
            <w:shd w:val="clear" w:color="auto" w:fill="auto"/>
            <w:vAlign w:val="center"/>
          </w:tcPr>
          <w:p w14:paraId="261F5981" w14:textId="77777777" w:rsidR="00135C5A" w:rsidRPr="00610ECA" w:rsidRDefault="00135C5A" w:rsidP="009B5341">
            <w:pPr>
              <w:shd w:val="clear" w:color="auto" w:fill="FFFFFF" w:themeFill="background1"/>
              <w:jc w:val="center"/>
            </w:pPr>
          </w:p>
        </w:tc>
        <w:tc>
          <w:tcPr>
            <w:tcW w:w="1292" w:type="dxa"/>
            <w:gridSpan w:val="3"/>
            <w:shd w:val="clear" w:color="auto" w:fill="auto"/>
            <w:vAlign w:val="center"/>
          </w:tcPr>
          <w:p w14:paraId="1BB963EF" w14:textId="77777777" w:rsidR="00135C5A" w:rsidRPr="00610ECA" w:rsidRDefault="00135C5A" w:rsidP="009B5341">
            <w:pPr>
              <w:shd w:val="clear" w:color="auto" w:fill="FFFFFF" w:themeFill="background1"/>
              <w:jc w:val="center"/>
            </w:pPr>
          </w:p>
        </w:tc>
        <w:tc>
          <w:tcPr>
            <w:tcW w:w="1091" w:type="dxa"/>
            <w:shd w:val="clear" w:color="auto" w:fill="auto"/>
          </w:tcPr>
          <w:p w14:paraId="323B98E6" w14:textId="77777777" w:rsidR="00135C5A" w:rsidRPr="00610ECA" w:rsidRDefault="00135C5A" w:rsidP="009B5341">
            <w:pPr>
              <w:shd w:val="clear" w:color="auto" w:fill="FFFFFF" w:themeFill="background1"/>
              <w:jc w:val="center"/>
            </w:pPr>
          </w:p>
        </w:tc>
        <w:tc>
          <w:tcPr>
            <w:tcW w:w="1368" w:type="dxa"/>
            <w:gridSpan w:val="2"/>
            <w:shd w:val="clear" w:color="auto" w:fill="auto"/>
          </w:tcPr>
          <w:p w14:paraId="33657790" w14:textId="77777777" w:rsidR="00135C5A" w:rsidRPr="00610ECA" w:rsidRDefault="00135C5A" w:rsidP="009B5341">
            <w:pPr>
              <w:shd w:val="clear" w:color="auto" w:fill="FFFFFF" w:themeFill="background1"/>
              <w:jc w:val="center"/>
            </w:pPr>
          </w:p>
        </w:tc>
        <w:tc>
          <w:tcPr>
            <w:tcW w:w="1233" w:type="dxa"/>
            <w:shd w:val="clear" w:color="auto" w:fill="auto"/>
          </w:tcPr>
          <w:p w14:paraId="56A89824" w14:textId="77777777" w:rsidR="00135C5A" w:rsidRPr="00610ECA" w:rsidRDefault="00135C5A" w:rsidP="009B5341">
            <w:pPr>
              <w:shd w:val="clear" w:color="auto" w:fill="FFFFFF" w:themeFill="background1"/>
              <w:jc w:val="center"/>
            </w:pPr>
          </w:p>
        </w:tc>
      </w:tr>
      <w:tr w:rsidR="00135C5A" w:rsidRPr="00610ECA" w14:paraId="6107C8BD" w14:textId="77777777" w:rsidTr="0099562D">
        <w:trPr>
          <w:gridAfter w:val="1"/>
          <w:wAfter w:w="240" w:type="dxa"/>
        </w:trPr>
        <w:tc>
          <w:tcPr>
            <w:tcW w:w="548" w:type="dxa"/>
            <w:gridSpan w:val="2"/>
            <w:shd w:val="clear" w:color="auto" w:fill="auto"/>
            <w:vAlign w:val="center"/>
          </w:tcPr>
          <w:p w14:paraId="1E18E356" w14:textId="77777777" w:rsidR="00135C5A" w:rsidRPr="00610ECA" w:rsidRDefault="00135C5A" w:rsidP="009B5341">
            <w:pPr>
              <w:shd w:val="clear" w:color="auto" w:fill="FFFFFF" w:themeFill="background1"/>
              <w:jc w:val="center"/>
            </w:pPr>
            <w:r w:rsidRPr="00610ECA">
              <w:t>12</w:t>
            </w:r>
          </w:p>
        </w:tc>
        <w:tc>
          <w:tcPr>
            <w:tcW w:w="766" w:type="dxa"/>
            <w:shd w:val="clear" w:color="auto" w:fill="auto"/>
            <w:vAlign w:val="center"/>
          </w:tcPr>
          <w:p w14:paraId="3BD61FC7" w14:textId="77777777" w:rsidR="00135C5A" w:rsidRPr="00610ECA" w:rsidRDefault="00135C5A" w:rsidP="009B5341">
            <w:pPr>
              <w:shd w:val="clear" w:color="auto" w:fill="FFFFFF" w:themeFill="background1"/>
              <w:jc w:val="center"/>
            </w:pPr>
            <w:r w:rsidRPr="00610ECA">
              <w:t>1.2</w:t>
            </w:r>
          </w:p>
        </w:tc>
        <w:tc>
          <w:tcPr>
            <w:tcW w:w="6422" w:type="dxa"/>
            <w:shd w:val="clear" w:color="auto" w:fill="auto"/>
            <w:vAlign w:val="center"/>
          </w:tcPr>
          <w:p w14:paraId="208DDE5A" w14:textId="77777777" w:rsidR="00135C5A" w:rsidRPr="00610ECA" w:rsidRDefault="00135C5A" w:rsidP="009B5341">
            <w:pPr>
              <w:shd w:val="clear" w:color="auto" w:fill="FFFFFF" w:themeFill="background1"/>
              <w:ind w:left="-57" w:right="-57"/>
            </w:pPr>
            <w:r w:rsidRPr="00610ECA">
              <w:t>обсяг доступної внутрішньої ліквідності (обсяг</w:t>
            </w:r>
            <w:r w:rsidRPr="00610ECA">
              <w:rPr>
                <w:shd w:val="clear" w:color="auto" w:fill="FFFFFF"/>
              </w:rPr>
              <w:t xml:space="preserve"> ASF</w:t>
            </w:r>
            <w:r w:rsidRPr="00610ECA">
              <w:t>)</w:t>
            </w:r>
          </w:p>
        </w:tc>
        <w:tc>
          <w:tcPr>
            <w:tcW w:w="1286" w:type="dxa"/>
            <w:gridSpan w:val="3"/>
            <w:shd w:val="clear" w:color="auto" w:fill="auto"/>
            <w:vAlign w:val="center"/>
          </w:tcPr>
          <w:p w14:paraId="7D97D9FD" w14:textId="77777777" w:rsidR="00135C5A" w:rsidRPr="00610ECA" w:rsidRDefault="00135C5A" w:rsidP="009B5341">
            <w:pPr>
              <w:shd w:val="clear" w:color="auto" w:fill="FFFFFF" w:themeFill="background1"/>
              <w:jc w:val="center"/>
            </w:pPr>
          </w:p>
        </w:tc>
        <w:tc>
          <w:tcPr>
            <w:tcW w:w="1157" w:type="dxa"/>
            <w:shd w:val="clear" w:color="auto" w:fill="auto"/>
            <w:vAlign w:val="center"/>
          </w:tcPr>
          <w:p w14:paraId="4592C110" w14:textId="77777777" w:rsidR="00135C5A" w:rsidRPr="00610ECA" w:rsidRDefault="00135C5A" w:rsidP="009B5341">
            <w:pPr>
              <w:shd w:val="clear" w:color="auto" w:fill="FFFFFF" w:themeFill="background1"/>
              <w:jc w:val="center"/>
            </w:pPr>
          </w:p>
        </w:tc>
        <w:tc>
          <w:tcPr>
            <w:tcW w:w="1292" w:type="dxa"/>
            <w:gridSpan w:val="3"/>
            <w:shd w:val="clear" w:color="auto" w:fill="auto"/>
            <w:vAlign w:val="center"/>
          </w:tcPr>
          <w:p w14:paraId="2A0549EC" w14:textId="77777777" w:rsidR="00135C5A" w:rsidRPr="00610ECA" w:rsidRDefault="00135C5A" w:rsidP="009B5341">
            <w:pPr>
              <w:shd w:val="clear" w:color="auto" w:fill="FFFFFF" w:themeFill="background1"/>
              <w:jc w:val="center"/>
            </w:pPr>
          </w:p>
        </w:tc>
        <w:tc>
          <w:tcPr>
            <w:tcW w:w="1091" w:type="dxa"/>
            <w:shd w:val="clear" w:color="auto" w:fill="auto"/>
          </w:tcPr>
          <w:p w14:paraId="27F1A4AC" w14:textId="77777777" w:rsidR="00135C5A" w:rsidRPr="00610ECA" w:rsidRDefault="00135C5A" w:rsidP="009B5341">
            <w:pPr>
              <w:shd w:val="clear" w:color="auto" w:fill="FFFFFF" w:themeFill="background1"/>
              <w:jc w:val="center"/>
            </w:pPr>
          </w:p>
        </w:tc>
        <w:tc>
          <w:tcPr>
            <w:tcW w:w="1368" w:type="dxa"/>
            <w:gridSpan w:val="2"/>
            <w:shd w:val="clear" w:color="auto" w:fill="auto"/>
          </w:tcPr>
          <w:p w14:paraId="7C472E53" w14:textId="77777777" w:rsidR="00135C5A" w:rsidRPr="00610ECA" w:rsidRDefault="00135C5A" w:rsidP="009B5341">
            <w:pPr>
              <w:shd w:val="clear" w:color="auto" w:fill="FFFFFF" w:themeFill="background1"/>
              <w:jc w:val="center"/>
            </w:pPr>
          </w:p>
        </w:tc>
        <w:tc>
          <w:tcPr>
            <w:tcW w:w="1233" w:type="dxa"/>
            <w:shd w:val="clear" w:color="auto" w:fill="auto"/>
          </w:tcPr>
          <w:p w14:paraId="51C9302B" w14:textId="77777777" w:rsidR="00135C5A" w:rsidRPr="00610ECA" w:rsidRDefault="00135C5A" w:rsidP="009B5341">
            <w:pPr>
              <w:shd w:val="clear" w:color="auto" w:fill="FFFFFF" w:themeFill="background1"/>
              <w:jc w:val="center"/>
            </w:pPr>
          </w:p>
        </w:tc>
      </w:tr>
      <w:tr w:rsidR="0091727A" w:rsidRPr="00610ECA" w14:paraId="5AE5FF84" w14:textId="77777777" w:rsidTr="0099562D">
        <w:trPr>
          <w:gridAfter w:val="1"/>
          <w:wAfter w:w="240" w:type="dxa"/>
        </w:trPr>
        <w:tc>
          <w:tcPr>
            <w:tcW w:w="548" w:type="dxa"/>
            <w:gridSpan w:val="2"/>
            <w:shd w:val="clear" w:color="auto" w:fill="auto"/>
            <w:vAlign w:val="center"/>
          </w:tcPr>
          <w:p w14:paraId="02ACF1BA" w14:textId="77777777" w:rsidR="0091727A" w:rsidRPr="00610ECA" w:rsidRDefault="0091727A" w:rsidP="009B5341">
            <w:pPr>
              <w:shd w:val="clear" w:color="auto" w:fill="FFFFFF" w:themeFill="background1"/>
              <w:ind w:left="-57" w:right="-57"/>
              <w:jc w:val="center"/>
            </w:pPr>
            <w:r w:rsidRPr="00610ECA">
              <w:t>13</w:t>
            </w:r>
          </w:p>
        </w:tc>
        <w:tc>
          <w:tcPr>
            <w:tcW w:w="766" w:type="dxa"/>
            <w:shd w:val="clear" w:color="auto" w:fill="auto"/>
            <w:vAlign w:val="center"/>
          </w:tcPr>
          <w:p w14:paraId="3FC211BC" w14:textId="77777777" w:rsidR="0091727A" w:rsidRPr="00610ECA" w:rsidRDefault="0091727A" w:rsidP="009B5341">
            <w:pPr>
              <w:shd w:val="clear" w:color="auto" w:fill="FFFFFF" w:themeFill="background1"/>
              <w:jc w:val="center"/>
            </w:pPr>
            <w:r w:rsidRPr="00610ECA">
              <w:t>1.3</w:t>
            </w:r>
          </w:p>
        </w:tc>
        <w:tc>
          <w:tcPr>
            <w:tcW w:w="13849" w:type="dxa"/>
            <w:gridSpan w:val="12"/>
            <w:shd w:val="clear" w:color="auto" w:fill="auto"/>
          </w:tcPr>
          <w:p w14:paraId="56EA0801" w14:textId="73EECA99" w:rsidR="0091727A" w:rsidRPr="00610ECA" w:rsidRDefault="0091727A" w:rsidP="0091727A">
            <w:pPr>
              <w:shd w:val="clear" w:color="auto" w:fill="FFFFFF" w:themeFill="background1"/>
              <w:ind w:left="-57"/>
              <w:rPr>
                <w:i/>
                <w:iCs/>
              </w:rPr>
            </w:pPr>
            <w:r w:rsidRPr="00610ECA">
              <w:t>різниця між доступною та необхідною внутрішньою ліквідністю</w:t>
            </w:r>
          </w:p>
        </w:tc>
      </w:tr>
      <w:tr w:rsidR="00396DE0" w:rsidRPr="00610ECA" w14:paraId="0F98BF9F" w14:textId="77777777" w:rsidTr="0099562D">
        <w:tc>
          <w:tcPr>
            <w:tcW w:w="548" w:type="dxa"/>
            <w:gridSpan w:val="2"/>
            <w:shd w:val="clear" w:color="auto" w:fill="auto"/>
            <w:vAlign w:val="center"/>
          </w:tcPr>
          <w:p w14:paraId="44886383" w14:textId="77777777" w:rsidR="00396DE0" w:rsidRPr="00610ECA" w:rsidRDefault="00396DE0" w:rsidP="009B5341">
            <w:pPr>
              <w:shd w:val="clear" w:color="auto" w:fill="FFFFFF" w:themeFill="background1"/>
              <w:ind w:left="-57" w:right="-57"/>
              <w:jc w:val="center"/>
            </w:pPr>
            <w:r w:rsidRPr="00610ECA">
              <w:t>14</w:t>
            </w:r>
          </w:p>
        </w:tc>
        <w:tc>
          <w:tcPr>
            <w:tcW w:w="766" w:type="dxa"/>
            <w:shd w:val="clear" w:color="auto" w:fill="auto"/>
            <w:vAlign w:val="center"/>
          </w:tcPr>
          <w:p w14:paraId="3F5E7C65" w14:textId="77777777" w:rsidR="00396DE0" w:rsidRPr="00610ECA" w:rsidRDefault="00396DE0" w:rsidP="009B5341">
            <w:pPr>
              <w:shd w:val="clear" w:color="auto" w:fill="FFFFFF" w:themeFill="background1"/>
              <w:ind w:left="-113" w:right="-113"/>
              <w:jc w:val="center"/>
            </w:pPr>
            <w:r w:rsidRPr="00610ECA">
              <w:rPr>
                <w:iCs/>
              </w:rPr>
              <w:t>1.3.1</w:t>
            </w:r>
          </w:p>
        </w:tc>
        <w:tc>
          <w:tcPr>
            <w:tcW w:w="6422" w:type="dxa"/>
            <w:shd w:val="clear" w:color="auto" w:fill="auto"/>
          </w:tcPr>
          <w:p w14:paraId="26D7066F" w14:textId="5099E799" w:rsidR="00396DE0" w:rsidRPr="00610ECA" w:rsidRDefault="00396DE0" w:rsidP="009B5341">
            <w:pPr>
              <w:shd w:val="clear" w:color="auto" w:fill="FFFFFF" w:themeFill="background1"/>
              <w:ind w:left="-57"/>
            </w:pPr>
            <w:r w:rsidRPr="00610ECA">
              <w:rPr>
                <w:iCs/>
              </w:rPr>
              <w:t xml:space="preserve">позитивна різниця (немає потреби </w:t>
            </w:r>
            <w:r w:rsidR="00574CB3">
              <w:rPr>
                <w:iCs/>
              </w:rPr>
              <w:t>в</w:t>
            </w:r>
            <w:r w:rsidRPr="00610ECA">
              <w:rPr>
                <w:iCs/>
              </w:rPr>
              <w:t xml:space="preserve"> ASF), тис. грн </w:t>
            </w:r>
          </w:p>
        </w:tc>
        <w:tc>
          <w:tcPr>
            <w:tcW w:w="1286" w:type="dxa"/>
            <w:gridSpan w:val="3"/>
            <w:shd w:val="clear" w:color="auto" w:fill="auto"/>
            <w:vAlign w:val="center"/>
          </w:tcPr>
          <w:p w14:paraId="221E9EB4" w14:textId="77777777" w:rsidR="00396DE0" w:rsidRPr="00610ECA" w:rsidRDefault="00396DE0" w:rsidP="009B5341">
            <w:pPr>
              <w:shd w:val="clear" w:color="auto" w:fill="FFFFFF" w:themeFill="background1"/>
              <w:jc w:val="center"/>
              <w:rPr>
                <w:i/>
                <w:iCs/>
              </w:rPr>
            </w:pPr>
          </w:p>
        </w:tc>
        <w:tc>
          <w:tcPr>
            <w:tcW w:w="1157" w:type="dxa"/>
            <w:shd w:val="clear" w:color="auto" w:fill="auto"/>
            <w:vAlign w:val="center"/>
          </w:tcPr>
          <w:p w14:paraId="0BBB12B8" w14:textId="77777777" w:rsidR="00396DE0" w:rsidRPr="00610ECA" w:rsidRDefault="00396DE0" w:rsidP="009B5341">
            <w:pPr>
              <w:shd w:val="clear" w:color="auto" w:fill="FFFFFF" w:themeFill="background1"/>
              <w:jc w:val="center"/>
              <w:rPr>
                <w:i/>
                <w:iCs/>
              </w:rPr>
            </w:pPr>
          </w:p>
        </w:tc>
        <w:tc>
          <w:tcPr>
            <w:tcW w:w="1292" w:type="dxa"/>
            <w:gridSpan w:val="3"/>
            <w:shd w:val="clear" w:color="auto" w:fill="auto"/>
            <w:vAlign w:val="center"/>
          </w:tcPr>
          <w:p w14:paraId="22C9E095" w14:textId="77777777" w:rsidR="00396DE0" w:rsidRPr="00610ECA" w:rsidRDefault="00396DE0" w:rsidP="009B5341">
            <w:pPr>
              <w:shd w:val="clear" w:color="auto" w:fill="FFFFFF" w:themeFill="background1"/>
              <w:jc w:val="center"/>
              <w:rPr>
                <w:i/>
                <w:iCs/>
              </w:rPr>
            </w:pPr>
          </w:p>
        </w:tc>
        <w:tc>
          <w:tcPr>
            <w:tcW w:w="1091" w:type="dxa"/>
            <w:shd w:val="clear" w:color="auto" w:fill="auto"/>
          </w:tcPr>
          <w:p w14:paraId="35B96F66" w14:textId="77777777" w:rsidR="00396DE0" w:rsidRPr="00610ECA" w:rsidRDefault="00396DE0" w:rsidP="009B5341">
            <w:pPr>
              <w:shd w:val="clear" w:color="auto" w:fill="FFFFFF" w:themeFill="background1"/>
              <w:jc w:val="center"/>
              <w:rPr>
                <w:i/>
                <w:iCs/>
              </w:rPr>
            </w:pPr>
          </w:p>
        </w:tc>
        <w:tc>
          <w:tcPr>
            <w:tcW w:w="1368" w:type="dxa"/>
            <w:gridSpan w:val="2"/>
            <w:shd w:val="clear" w:color="auto" w:fill="auto"/>
          </w:tcPr>
          <w:p w14:paraId="25F36988" w14:textId="77777777" w:rsidR="00396DE0" w:rsidRPr="00610ECA" w:rsidRDefault="00396DE0" w:rsidP="009B5341">
            <w:pPr>
              <w:shd w:val="clear" w:color="auto" w:fill="FFFFFF" w:themeFill="background1"/>
              <w:jc w:val="center"/>
              <w:rPr>
                <w:i/>
                <w:iCs/>
              </w:rPr>
            </w:pPr>
          </w:p>
        </w:tc>
        <w:tc>
          <w:tcPr>
            <w:tcW w:w="1233" w:type="dxa"/>
            <w:shd w:val="clear" w:color="auto" w:fill="auto"/>
          </w:tcPr>
          <w:p w14:paraId="06245935" w14:textId="77777777" w:rsidR="00396DE0" w:rsidRPr="00610ECA" w:rsidRDefault="00396DE0" w:rsidP="009B5341">
            <w:pPr>
              <w:shd w:val="clear" w:color="auto" w:fill="FFFFFF" w:themeFill="background1"/>
              <w:jc w:val="center"/>
              <w:rPr>
                <w:i/>
                <w:iCs/>
              </w:rPr>
            </w:pPr>
          </w:p>
        </w:tc>
        <w:tc>
          <w:tcPr>
            <w:tcW w:w="240" w:type="dxa"/>
            <w:tcBorders>
              <w:top w:val="nil"/>
              <w:left w:val="nil"/>
              <w:bottom w:val="nil"/>
              <w:right w:val="nil"/>
            </w:tcBorders>
            <w:shd w:val="clear" w:color="auto" w:fill="auto"/>
          </w:tcPr>
          <w:p w14:paraId="3B7EEEB7" w14:textId="77777777" w:rsidR="00396DE0" w:rsidRPr="00610ECA" w:rsidRDefault="00396DE0" w:rsidP="009B5341"/>
        </w:tc>
      </w:tr>
      <w:tr w:rsidR="0099562D" w:rsidRPr="00610ECA" w14:paraId="615EA27F" w14:textId="77777777" w:rsidTr="0099562D">
        <w:trPr>
          <w:gridAfter w:val="1"/>
          <w:wAfter w:w="240" w:type="dxa"/>
          <w:trHeight w:val="106"/>
        </w:trPr>
        <w:tc>
          <w:tcPr>
            <w:tcW w:w="548" w:type="dxa"/>
            <w:gridSpan w:val="2"/>
          </w:tcPr>
          <w:p w14:paraId="01B4750C" w14:textId="77777777" w:rsidR="0099562D" w:rsidRPr="00610ECA" w:rsidRDefault="0099562D" w:rsidP="000F6BDE">
            <w:pPr>
              <w:shd w:val="clear" w:color="auto" w:fill="FFFFFF" w:themeFill="background1"/>
              <w:jc w:val="center"/>
            </w:pPr>
            <w:r w:rsidRPr="00610ECA">
              <w:lastRenderedPageBreak/>
              <w:t>1</w:t>
            </w:r>
          </w:p>
        </w:tc>
        <w:tc>
          <w:tcPr>
            <w:tcW w:w="766" w:type="dxa"/>
          </w:tcPr>
          <w:p w14:paraId="02FAF9F2" w14:textId="77777777" w:rsidR="0099562D" w:rsidRPr="00610ECA" w:rsidRDefault="0099562D" w:rsidP="000F6BDE">
            <w:pPr>
              <w:shd w:val="clear" w:color="auto" w:fill="FFFFFF" w:themeFill="background1"/>
              <w:jc w:val="center"/>
            </w:pPr>
            <w:r w:rsidRPr="00610ECA">
              <w:t>2</w:t>
            </w:r>
          </w:p>
        </w:tc>
        <w:tc>
          <w:tcPr>
            <w:tcW w:w="6422" w:type="dxa"/>
          </w:tcPr>
          <w:p w14:paraId="71536F50" w14:textId="77777777" w:rsidR="0099562D" w:rsidRPr="00610ECA" w:rsidRDefault="0099562D" w:rsidP="000F6BDE">
            <w:pPr>
              <w:shd w:val="clear" w:color="auto" w:fill="FFFFFF" w:themeFill="background1"/>
              <w:jc w:val="center"/>
            </w:pPr>
            <w:r w:rsidRPr="00610ECA">
              <w:t>3</w:t>
            </w:r>
          </w:p>
        </w:tc>
        <w:tc>
          <w:tcPr>
            <w:tcW w:w="1286" w:type="dxa"/>
            <w:gridSpan w:val="3"/>
          </w:tcPr>
          <w:p w14:paraId="28E23BF5" w14:textId="77777777" w:rsidR="0099562D" w:rsidRPr="00610ECA" w:rsidRDefault="0099562D" w:rsidP="000F6BDE">
            <w:pPr>
              <w:shd w:val="clear" w:color="auto" w:fill="FFFFFF" w:themeFill="background1"/>
              <w:jc w:val="center"/>
            </w:pPr>
            <w:r w:rsidRPr="00610ECA">
              <w:t>4</w:t>
            </w:r>
          </w:p>
        </w:tc>
        <w:tc>
          <w:tcPr>
            <w:tcW w:w="1157" w:type="dxa"/>
          </w:tcPr>
          <w:p w14:paraId="0A22E792" w14:textId="77777777" w:rsidR="0099562D" w:rsidRPr="00610ECA" w:rsidRDefault="0099562D" w:rsidP="000F6BDE">
            <w:pPr>
              <w:shd w:val="clear" w:color="auto" w:fill="FFFFFF" w:themeFill="background1"/>
              <w:jc w:val="center"/>
            </w:pPr>
            <w:r w:rsidRPr="00610ECA">
              <w:t>5</w:t>
            </w:r>
          </w:p>
        </w:tc>
        <w:tc>
          <w:tcPr>
            <w:tcW w:w="1292" w:type="dxa"/>
            <w:gridSpan w:val="3"/>
          </w:tcPr>
          <w:p w14:paraId="781A7D0A" w14:textId="77777777" w:rsidR="0099562D" w:rsidRPr="00610ECA" w:rsidRDefault="0099562D" w:rsidP="000F6BDE">
            <w:pPr>
              <w:shd w:val="clear" w:color="auto" w:fill="FFFFFF" w:themeFill="background1"/>
              <w:jc w:val="center"/>
            </w:pPr>
            <w:r w:rsidRPr="00610ECA">
              <w:t>6</w:t>
            </w:r>
          </w:p>
        </w:tc>
        <w:tc>
          <w:tcPr>
            <w:tcW w:w="1091" w:type="dxa"/>
          </w:tcPr>
          <w:p w14:paraId="2B3BE0E5" w14:textId="77777777" w:rsidR="0099562D" w:rsidRPr="00610ECA" w:rsidRDefault="0099562D" w:rsidP="000F6BDE">
            <w:pPr>
              <w:shd w:val="clear" w:color="auto" w:fill="FFFFFF" w:themeFill="background1"/>
              <w:jc w:val="center"/>
            </w:pPr>
            <w:r w:rsidRPr="00610ECA">
              <w:t>7</w:t>
            </w:r>
          </w:p>
        </w:tc>
        <w:tc>
          <w:tcPr>
            <w:tcW w:w="1368" w:type="dxa"/>
            <w:gridSpan w:val="2"/>
          </w:tcPr>
          <w:p w14:paraId="332F7933" w14:textId="77777777" w:rsidR="0099562D" w:rsidRPr="00610ECA" w:rsidRDefault="0099562D" w:rsidP="000F6BDE">
            <w:pPr>
              <w:shd w:val="clear" w:color="auto" w:fill="FFFFFF" w:themeFill="background1"/>
              <w:jc w:val="center"/>
            </w:pPr>
            <w:r w:rsidRPr="00610ECA">
              <w:t>8</w:t>
            </w:r>
          </w:p>
        </w:tc>
        <w:tc>
          <w:tcPr>
            <w:tcW w:w="1233" w:type="dxa"/>
          </w:tcPr>
          <w:p w14:paraId="3F49625C" w14:textId="77777777" w:rsidR="0099562D" w:rsidRPr="00610ECA" w:rsidRDefault="0099562D" w:rsidP="000F6BDE">
            <w:pPr>
              <w:shd w:val="clear" w:color="auto" w:fill="FFFFFF" w:themeFill="background1"/>
              <w:jc w:val="center"/>
            </w:pPr>
            <w:r w:rsidRPr="00610ECA">
              <w:t>9</w:t>
            </w:r>
          </w:p>
        </w:tc>
      </w:tr>
      <w:tr w:rsidR="00396DE0" w:rsidRPr="00610ECA" w14:paraId="363BC0D5" w14:textId="77777777" w:rsidTr="00610ECA">
        <w:tc>
          <w:tcPr>
            <w:tcW w:w="548" w:type="dxa"/>
            <w:gridSpan w:val="2"/>
            <w:shd w:val="clear" w:color="auto" w:fill="auto"/>
            <w:vAlign w:val="center"/>
          </w:tcPr>
          <w:p w14:paraId="71FBE1C5" w14:textId="77777777" w:rsidR="00396DE0" w:rsidRPr="00610ECA" w:rsidRDefault="00396DE0" w:rsidP="009B5341">
            <w:pPr>
              <w:shd w:val="clear" w:color="auto" w:fill="FFFFFF" w:themeFill="background1"/>
              <w:ind w:left="-57" w:right="-57"/>
              <w:jc w:val="center"/>
            </w:pPr>
            <w:r w:rsidRPr="00610ECA">
              <w:t>15</w:t>
            </w:r>
          </w:p>
        </w:tc>
        <w:tc>
          <w:tcPr>
            <w:tcW w:w="766" w:type="dxa"/>
            <w:shd w:val="clear" w:color="auto" w:fill="auto"/>
            <w:vAlign w:val="center"/>
          </w:tcPr>
          <w:p w14:paraId="67112672" w14:textId="77777777" w:rsidR="00396DE0" w:rsidRPr="00610ECA" w:rsidRDefault="00396DE0" w:rsidP="009B5341">
            <w:pPr>
              <w:shd w:val="clear" w:color="auto" w:fill="FFFFFF" w:themeFill="background1"/>
              <w:ind w:left="-113" w:right="-113"/>
              <w:jc w:val="center"/>
            </w:pPr>
            <w:r w:rsidRPr="00610ECA">
              <w:rPr>
                <w:iCs/>
              </w:rPr>
              <w:t>1.3.2</w:t>
            </w:r>
          </w:p>
        </w:tc>
        <w:tc>
          <w:tcPr>
            <w:tcW w:w="6422" w:type="dxa"/>
            <w:shd w:val="clear" w:color="auto" w:fill="auto"/>
          </w:tcPr>
          <w:p w14:paraId="17FCC233" w14:textId="44C73276" w:rsidR="00396DE0" w:rsidRPr="00610ECA" w:rsidRDefault="00396DE0" w:rsidP="009B5341">
            <w:pPr>
              <w:shd w:val="clear" w:color="auto" w:fill="FFFFFF" w:themeFill="background1"/>
              <w:ind w:left="-57"/>
            </w:pPr>
            <w:r w:rsidRPr="00610ECA">
              <w:rPr>
                <w:iCs/>
              </w:rPr>
              <w:t xml:space="preserve">негативна різниця (є потреба </w:t>
            </w:r>
            <w:r w:rsidR="00574CB3">
              <w:rPr>
                <w:iCs/>
              </w:rPr>
              <w:t>в</w:t>
            </w:r>
            <w:r w:rsidRPr="00610ECA">
              <w:rPr>
                <w:iCs/>
              </w:rPr>
              <w:t xml:space="preserve"> ASF), тис. грн </w:t>
            </w:r>
          </w:p>
        </w:tc>
        <w:tc>
          <w:tcPr>
            <w:tcW w:w="1286" w:type="dxa"/>
            <w:gridSpan w:val="3"/>
            <w:shd w:val="clear" w:color="auto" w:fill="auto"/>
            <w:vAlign w:val="center"/>
          </w:tcPr>
          <w:p w14:paraId="56B2EFC0" w14:textId="77777777" w:rsidR="00396DE0" w:rsidRPr="00610ECA" w:rsidRDefault="00396DE0" w:rsidP="009B5341">
            <w:pPr>
              <w:shd w:val="clear" w:color="auto" w:fill="FFFFFF" w:themeFill="background1"/>
              <w:jc w:val="center"/>
              <w:rPr>
                <w:i/>
                <w:iCs/>
              </w:rPr>
            </w:pPr>
          </w:p>
        </w:tc>
        <w:tc>
          <w:tcPr>
            <w:tcW w:w="1157" w:type="dxa"/>
            <w:shd w:val="clear" w:color="auto" w:fill="auto"/>
            <w:vAlign w:val="center"/>
          </w:tcPr>
          <w:p w14:paraId="29A46EB2" w14:textId="77777777" w:rsidR="00396DE0" w:rsidRPr="00610ECA" w:rsidRDefault="00396DE0" w:rsidP="009B5341">
            <w:pPr>
              <w:shd w:val="clear" w:color="auto" w:fill="FFFFFF" w:themeFill="background1"/>
              <w:jc w:val="center"/>
              <w:rPr>
                <w:i/>
                <w:iCs/>
              </w:rPr>
            </w:pPr>
          </w:p>
        </w:tc>
        <w:tc>
          <w:tcPr>
            <w:tcW w:w="1292" w:type="dxa"/>
            <w:gridSpan w:val="3"/>
            <w:shd w:val="clear" w:color="auto" w:fill="auto"/>
            <w:vAlign w:val="center"/>
          </w:tcPr>
          <w:p w14:paraId="24376341" w14:textId="77777777" w:rsidR="00396DE0" w:rsidRPr="00610ECA" w:rsidRDefault="00396DE0" w:rsidP="009B5341">
            <w:pPr>
              <w:shd w:val="clear" w:color="auto" w:fill="FFFFFF" w:themeFill="background1"/>
              <w:jc w:val="center"/>
              <w:rPr>
                <w:i/>
                <w:iCs/>
              </w:rPr>
            </w:pPr>
          </w:p>
        </w:tc>
        <w:tc>
          <w:tcPr>
            <w:tcW w:w="1091" w:type="dxa"/>
            <w:shd w:val="clear" w:color="auto" w:fill="auto"/>
          </w:tcPr>
          <w:p w14:paraId="7BE77E1D" w14:textId="77777777" w:rsidR="00396DE0" w:rsidRPr="00610ECA" w:rsidRDefault="00396DE0" w:rsidP="009B5341">
            <w:pPr>
              <w:shd w:val="clear" w:color="auto" w:fill="FFFFFF" w:themeFill="background1"/>
              <w:jc w:val="center"/>
              <w:rPr>
                <w:i/>
                <w:iCs/>
              </w:rPr>
            </w:pPr>
          </w:p>
        </w:tc>
        <w:tc>
          <w:tcPr>
            <w:tcW w:w="1368" w:type="dxa"/>
            <w:gridSpan w:val="2"/>
            <w:shd w:val="clear" w:color="auto" w:fill="auto"/>
          </w:tcPr>
          <w:p w14:paraId="7ADE2601" w14:textId="77777777" w:rsidR="00396DE0" w:rsidRPr="00610ECA" w:rsidRDefault="00396DE0" w:rsidP="009B5341">
            <w:pPr>
              <w:shd w:val="clear" w:color="auto" w:fill="FFFFFF" w:themeFill="background1"/>
              <w:jc w:val="center"/>
              <w:rPr>
                <w:i/>
                <w:iCs/>
              </w:rPr>
            </w:pPr>
          </w:p>
        </w:tc>
        <w:tc>
          <w:tcPr>
            <w:tcW w:w="1233" w:type="dxa"/>
            <w:shd w:val="clear" w:color="auto" w:fill="auto"/>
          </w:tcPr>
          <w:p w14:paraId="3764DDCA" w14:textId="77777777" w:rsidR="00396DE0" w:rsidRPr="00610ECA" w:rsidRDefault="00396DE0" w:rsidP="009B5341">
            <w:pPr>
              <w:shd w:val="clear" w:color="auto" w:fill="FFFFFF" w:themeFill="background1"/>
              <w:jc w:val="center"/>
              <w:rPr>
                <w:i/>
                <w:iCs/>
              </w:rPr>
            </w:pPr>
          </w:p>
        </w:tc>
        <w:tc>
          <w:tcPr>
            <w:tcW w:w="240" w:type="dxa"/>
            <w:tcBorders>
              <w:top w:val="nil"/>
              <w:left w:val="nil"/>
              <w:bottom w:val="nil"/>
              <w:right w:val="nil"/>
            </w:tcBorders>
            <w:shd w:val="clear" w:color="auto" w:fill="auto"/>
          </w:tcPr>
          <w:p w14:paraId="339D57BD" w14:textId="77777777" w:rsidR="00396DE0" w:rsidRPr="00610ECA" w:rsidRDefault="00396DE0" w:rsidP="009B5341"/>
        </w:tc>
      </w:tr>
      <w:tr w:rsidR="00396DE0" w:rsidRPr="00610ECA" w14:paraId="776DA39C" w14:textId="77777777" w:rsidTr="00610ECA">
        <w:tc>
          <w:tcPr>
            <w:tcW w:w="548" w:type="dxa"/>
            <w:gridSpan w:val="2"/>
            <w:shd w:val="clear" w:color="auto" w:fill="auto"/>
            <w:vAlign w:val="center"/>
          </w:tcPr>
          <w:p w14:paraId="2D6176AF" w14:textId="77777777" w:rsidR="00396DE0" w:rsidRPr="00610ECA" w:rsidRDefault="00396DE0" w:rsidP="009B5341">
            <w:pPr>
              <w:shd w:val="clear" w:color="auto" w:fill="FFFFFF" w:themeFill="background1"/>
              <w:ind w:left="-57" w:right="-57"/>
              <w:jc w:val="center"/>
            </w:pPr>
            <w:r w:rsidRPr="00610ECA">
              <w:t>16</w:t>
            </w:r>
          </w:p>
        </w:tc>
        <w:tc>
          <w:tcPr>
            <w:tcW w:w="766" w:type="dxa"/>
            <w:shd w:val="clear" w:color="auto" w:fill="auto"/>
            <w:vAlign w:val="center"/>
          </w:tcPr>
          <w:p w14:paraId="0F12E01C" w14:textId="77777777" w:rsidR="00396DE0" w:rsidRPr="00610ECA" w:rsidRDefault="00396DE0" w:rsidP="009B5341">
            <w:pPr>
              <w:shd w:val="clear" w:color="auto" w:fill="FFFFFF" w:themeFill="background1"/>
              <w:jc w:val="center"/>
            </w:pPr>
            <w:r w:rsidRPr="00610ECA">
              <w:t>1.4</w:t>
            </w:r>
          </w:p>
        </w:tc>
        <w:tc>
          <w:tcPr>
            <w:tcW w:w="6422" w:type="dxa"/>
            <w:shd w:val="clear" w:color="auto" w:fill="auto"/>
          </w:tcPr>
          <w:p w14:paraId="622C3F0D" w14:textId="77777777" w:rsidR="00396DE0" w:rsidRPr="00610ECA" w:rsidRDefault="00396DE0" w:rsidP="009B5341">
            <w:pPr>
              <w:shd w:val="clear" w:color="auto" w:fill="FFFFFF" w:themeFill="background1"/>
              <w:ind w:left="-57" w:right="-57"/>
            </w:pPr>
            <w:r w:rsidRPr="00610ECA">
              <w:t>цільове значення нормативу NSFR, %</w:t>
            </w:r>
          </w:p>
        </w:tc>
        <w:tc>
          <w:tcPr>
            <w:tcW w:w="1286" w:type="dxa"/>
            <w:gridSpan w:val="3"/>
            <w:shd w:val="clear" w:color="auto" w:fill="auto"/>
            <w:vAlign w:val="center"/>
          </w:tcPr>
          <w:p w14:paraId="567BCE5B" w14:textId="77777777" w:rsidR="00396DE0" w:rsidRPr="00610ECA" w:rsidRDefault="00396DE0" w:rsidP="009B5341">
            <w:pPr>
              <w:shd w:val="clear" w:color="auto" w:fill="FFFFFF" w:themeFill="background1"/>
              <w:jc w:val="center"/>
              <w:rPr>
                <w:i/>
                <w:iCs/>
              </w:rPr>
            </w:pPr>
          </w:p>
        </w:tc>
        <w:tc>
          <w:tcPr>
            <w:tcW w:w="1157" w:type="dxa"/>
            <w:shd w:val="clear" w:color="auto" w:fill="auto"/>
            <w:vAlign w:val="center"/>
          </w:tcPr>
          <w:p w14:paraId="66A863D4" w14:textId="77777777" w:rsidR="00396DE0" w:rsidRPr="00610ECA" w:rsidRDefault="00396DE0" w:rsidP="009B5341">
            <w:pPr>
              <w:shd w:val="clear" w:color="auto" w:fill="FFFFFF" w:themeFill="background1"/>
              <w:jc w:val="center"/>
              <w:rPr>
                <w:i/>
                <w:iCs/>
              </w:rPr>
            </w:pPr>
          </w:p>
        </w:tc>
        <w:tc>
          <w:tcPr>
            <w:tcW w:w="1292" w:type="dxa"/>
            <w:gridSpan w:val="3"/>
            <w:shd w:val="clear" w:color="auto" w:fill="auto"/>
            <w:vAlign w:val="center"/>
          </w:tcPr>
          <w:p w14:paraId="650AB5FF" w14:textId="77777777" w:rsidR="00396DE0" w:rsidRPr="00610ECA" w:rsidRDefault="00396DE0" w:rsidP="009B5341">
            <w:pPr>
              <w:shd w:val="clear" w:color="auto" w:fill="FFFFFF" w:themeFill="background1"/>
              <w:jc w:val="center"/>
              <w:rPr>
                <w:i/>
                <w:iCs/>
              </w:rPr>
            </w:pPr>
          </w:p>
        </w:tc>
        <w:tc>
          <w:tcPr>
            <w:tcW w:w="1091" w:type="dxa"/>
            <w:shd w:val="clear" w:color="auto" w:fill="auto"/>
          </w:tcPr>
          <w:p w14:paraId="66F4ECBF" w14:textId="77777777" w:rsidR="00396DE0" w:rsidRPr="00610ECA" w:rsidRDefault="00396DE0" w:rsidP="009B5341">
            <w:pPr>
              <w:shd w:val="clear" w:color="auto" w:fill="FFFFFF" w:themeFill="background1"/>
              <w:jc w:val="center"/>
              <w:rPr>
                <w:i/>
                <w:iCs/>
              </w:rPr>
            </w:pPr>
          </w:p>
        </w:tc>
        <w:tc>
          <w:tcPr>
            <w:tcW w:w="1368" w:type="dxa"/>
            <w:gridSpan w:val="2"/>
            <w:shd w:val="clear" w:color="auto" w:fill="auto"/>
          </w:tcPr>
          <w:p w14:paraId="5D2B57EB" w14:textId="77777777" w:rsidR="00396DE0" w:rsidRPr="00610ECA" w:rsidRDefault="00396DE0" w:rsidP="009B5341">
            <w:pPr>
              <w:shd w:val="clear" w:color="auto" w:fill="FFFFFF" w:themeFill="background1"/>
              <w:jc w:val="center"/>
              <w:rPr>
                <w:i/>
                <w:iCs/>
              </w:rPr>
            </w:pPr>
          </w:p>
        </w:tc>
        <w:tc>
          <w:tcPr>
            <w:tcW w:w="1233" w:type="dxa"/>
            <w:shd w:val="clear" w:color="auto" w:fill="auto"/>
          </w:tcPr>
          <w:p w14:paraId="62D8A7DD" w14:textId="77777777" w:rsidR="00396DE0" w:rsidRPr="00610ECA" w:rsidRDefault="00396DE0" w:rsidP="009B5341">
            <w:pPr>
              <w:shd w:val="clear" w:color="auto" w:fill="FFFFFF" w:themeFill="background1"/>
              <w:jc w:val="center"/>
              <w:rPr>
                <w:i/>
                <w:iCs/>
              </w:rPr>
            </w:pPr>
          </w:p>
        </w:tc>
        <w:tc>
          <w:tcPr>
            <w:tcW w:w="240" w:type="dxa"/>
            <w:tcBorders>
              <w:top w:val="nil"/>
              <w:left w:val="nil"/>
              <w:bottom w:val="nil"/>
              <w:right w:val="nil"/>
            </w:tcBorders>
            <w:shd w:val="clear" w:color="auto" w:fill="auto"/>
          </w:tcPr>
          <w:p w14:paraId="2CACACCB" w14:textId="77777777" w:rsidR="00396DE0" w:rsidRPr="00610ECA" w:rsidRDefault="00396DE0" w:rsidP="009B5341"/>
        </w:tc>
      </w:tr>
    </w:tbl>
    <w:p w14:paraId="442A9CE5" w14:textId="77777777" w:rsidR="00396DE0" w:rsidRPr="000D07CA" w:rsidRDefault="00396DE0" w:rsidP="00396DE0">
      <w:pPr>
        <w:sectPr w:rsidR="00396DE0" w:rsidRPr="000D07CA" w:rsidSect="0099562D">
          <w:headerReference w:type="default" r:id="rId14"/>
          <w:headerReference w:type="first" r:id="rId15"/>
          <w:pgSz w:w="16838" w:h="11906" w:orient="landscape"/>
          <w:pgMar w:top="766" w:right="794" w:bottom="1701" w:left="851" w:header="709" w:footer="0" w:gutter="0"/>
          <w:cols w:space="720"/>
          <w:formProt w:val="0"/>
          <w:titlePg/>
          <w:docGrid w:linePitch="381"/>
        </w:sectPr>
      </w:pPr>
    </w:p>
    <w:p w14:paraId="31D1D588" w14:textId="19A45A13" w:rsidR="00396DE0" w:rsidRPr="000D07CA" w:rsidRDefault="00396DE0" w:rsidP="00396DE0">
      <w:pPr>
        <w:keepNext/>
        <w:keepLines/>
        <w:shd w:val="clear" w:color="auto" w:fill="FFFFFF" w:themeFill="background1"/>
        <w:tabs>
          <w:tab w:val="left" w:pos="1276"/>
          <w:tab w:val="left" w:pos="1418"/>
        </w:tabs>
        <w:ind w:left="4111"/>
      </w:pPr>
      <w:bookmarkStart w:id="64" w:name="_Hlk71646007"/>
      <w:bookmarkEnd w:id="64"/>
      <w:r w:rsidRPr="000D07CA">
        <w:lastRenderedPageBreak/>
        <w:t>Додаток 2</w:t>
      </w:r>
    </w:p>
    <w:p w14:paraId="59F9A22A" w14:textId="77777777" w:rsidR="00396DE0" w:rsidRPr="000D07CA" w:rsidRDefault="00396DE0" w:rsidP="00396DE0">
      <w:pPr>
        <w:keepNext/>
        <w:keepLines/>
        <w:shd w:val="clear" w:color="auto" w:fill="FFFFFF" w:themeFill="background1"/>
        <w:tabs>
          <w:tab w:val="left" w:pos="1276"/>
          <w:tab w:val="left" w:pos="1418"/>
        </w:tabs>
        <w:ind w:left="4111"/>
        <w:rPr>
          <w:rFonts w:eastAsia="Calibri"/>
        </w:rPr>
      </w:pPr>
      <w:r w:rsidRPr="000D07CA">
        <w:t xml:space="preserve">до </w:t>
      </w:r>
      <w:r w:rsidRPr="000D07CA">
        <w:rPr>
          <w:rFonts w:eastAsia="Calibri"/>
        </w:rPr>
        <w:t xml:space="preserve">Положення про організацію </w:t>
      </w:r>
      <w:r w:rsidRPr="000D07CA">
        <w:rPr>
          <w:bCs/>
        </w:rPr>
        <w:t>процесу оцінки достатності внутрішньої ліквідності</w:t>
      </w:r>
      <w:r w:rsidRPr="000D07CA">
        <w:rPr>
          <w:bCs/>
        </w:rPr>
        <w:br/>
      </w:r>
      <w:r w:rsidRPr="000D07CA">
        <w:t>в банках України та банківських групах</w:t>
      </w:r>
    </w:p>
    <w:p w14:paraId="58CF0457" w14:textId="0A3F79CA" w:rsidR="00396DE0" w:rsidRPr="00CE3FB2" w:rsidRDefault="00396DE0" w:rsidP="00396DE0">
      <w:pPr>
        <w:shd w:val="clear" w:color="auto" w:fill="FFFFFF" w:themeFill="background1"/>
        <w:ind w:left="4111"/>
      </w:pPr>
      <w:r w:rsidRPr="00CE3FB2">
        <w:rPr>
          <w:shd w:val="clear" w:color="auto" w:fill="FFFFFF"/>
        </w:rPr>
        <w:t>(пункт</w:t>
      </w:r>
      <w:r w:rsidR="00FB76ED">
        <w:t xml:space="preserve"> </w:t>
      </w:r>
      <w:r w:rsidR="0005221A">
        <w:t>41</w:t>
      </w:r>
      <w:r w:rsidRPr="00CE3FB2">
        <w:rPr>
          <w:shd w:val="clear" w:color="auto" w:fill="FFFFFF"/>
        </w:rPr>
        <w:t xml:space="preserve"> глави 9 розділу IІІ)</w:t>
      </w:r>
    </w:p>
    <w:p w14:paraId="5A9840D9" w14:textId="77777777" w:rsidR="00396DE0" w:rsidRPr="000D07CA" w:rsidRDefault="00396DE0" w:rsidP="00396DE0">
      <w:pPr>
        <w:shd w:val="clear" w:color="auto" w:fill="FFFFFF" w:themeFill="background1"/>
        <w:ind w:left="4536"/>
        <w:rPr>
          <w:highlight w:val="white"/>
        </w:rPr>
      </w:pPr>
    </w:p>
    <w:p w14:paraId="1DFCAD49" w14:textId="77777777" w:rsidR="00396DE0" w:rsidRPr="000D07CA" w:rsidRDefault="00396DE0" w:rsidP="00396DE0">
      <w:pPr>
        <w:shd w:val="clear" w:color="auto" w:fill="FFFFFF" w:themeFill="background1"/>
        <w:ind w:left="4536"/>
        <w:rPr>
          <w:highlight w:val="white"/>
        </w:rPr>
      </w:pPr>
    </w:p>
    <w:p w14:paraId="019084F1" w14:textId="77777777" w:rsidR="00396DE0" w:rsidRPr="000D07CA" w:rsidRDefault="00396DE0" w:rsidP="00396DE0">
      <w:pPr>
        <w:shd w:val="clear" w:color="auto" w:fill="FFFFFF" w:themeFill="background1"/>
        <w:tabs>
          <w:tab w:val="left" w:pos="0"/>
          <w:tab w:val="left" w:pos="709"/>
          <w:tab w:val="left" w:pos="1276"/>
          <w:tab w:val="left" w:pos="1418"/>
        </w:tabs>
        <w:jc w:val="center"/>
      </w:pPr>
      <w:bookmarkStart w:id="65" w:name="_Hlk135388824"/>
      <w:r w:rsidRPr="000D07CA">
        <w:t>Мінімальний перелік критеріїв самооцінки процесу ILAAP</w:t>
      </w:r>
    </w:p>
    <w:p w14:paraId="2048C69A" w14:textId="77777777" w:rsidR="00396DE0" w:rsidRPr="000D07CA" w:rsidRDefault="00396DE0" w:rsidP="00396DE0">
      <w:pPr>
        <w:pStyle w:val="a4"/>
        <w:shd w:val="clear" w:color="auto" w:fill="FFFFFF" w:themeFill="background1"/>
        <w:tabs>
          <w:tab w:val="left" w:pos="426"/>
          <w:tab w:val="left" w:pos="709"/>
          <w:tab w:val="left" w:pos="1276"/>
          <w:tab w:val="left" w:pos="1418"/>
        </w:tabs>
        <w:ind w:left="0" w:firstLine="709"/>
      </w:pPr>
    </w:p>
    <w:p w14:paraId="22F7CC81" w14:textId="77777777" w:rsidR="00396DE0" w:rsidRPr="000D07CA" w:rsidRDefault="00396DE0" w:rsidP="00CC6E29">
      <w:pPr>
        <w:pStyle w:val="a4"/>
        <w:numPr>
          <w:ilvl w:val="0"/>
          <w:numId w:val="29"/>
        </w:numPr>
        <w:shd w:val="clear" w:color="auto" w:fill="FFFFFF" w:themeFill="background1"/>
        <w:tabs>
          <w:tab w:val="left" w:pos="426"/>
          <w:tab w:val="left" w:pos="709"/>
          <w:tab w:val="left" w:pos="1134"/>
          <w:tab w:val="left" w:pos="1276"/>
          <w:tab w:val="left" w:pos="1701"/>
          <w:tab w:val="left" w:pos="1985"/>
        </w:tabs>
        <w:ind w:left="0" w:firstLine="709"/>
        <w:contextualSpacing w:val="0"/>
      </w:pPr>
      <w:r w:rsidRPr="000D07CA">
        <w:rPr>
          <w:shd w:val="clear" w:color="auto" w:fill="FFFFFF"/>
        </w:rPr>
        <w:t xml:space="preserve">Організація процесу ILAAP здійснюється з урахуванням особливостей діяльності банку та з дотриманням принципів та вимог, визначених </w:t>
      </w:r>
      <w:r w:rsidRPr="000D07CA">
        <w:rPr>
          <w:rFonts w:eastAsia="Calibri"/>
        </w:rPr>
        <w:t xml:space="preserve">Положенням про організацію </w:t>
      </w:r>
      <w:r w:rsidRPr="000D07CA">
        <w:rPr>
          <w:bCs/>
        </w:rPr>
        <w:t>процесу оцінки достатності внутрішньої ліквідності</w:t>
      </w:r>
      <w:r w:rsidRPr="000D07CA">
        <w:rPr>
          <w:shd w:val="clear" w:color="auto" w:fill="FFFFFF"/>
        </w:rPr>
        <w:t xml:space="preserve"> (далі – Положення).</w:t>
      </w:r>
    </w:p>
    <w:p w14:paraId="176D2594" w14:textId="43A7F75C" w:rsidR="00396DE0" w:rsidRPr="000D07CA" w:rsidRDefault="00396DE0" w:rsidP="00CC6E29">
      <w:pPr>
        <w:pStyle w:val="a4"/>
        <w:numPr>
          <w:ilvl w:val="0"/>
          <w:numId w:val="29"/>
        </w:numPr>
        <w:shd w:val="clear" w:color="auto" w:fill="FFFFFF" w:themeFill="background1"/>
        <w:tabs>
          <w:tab w:val="left" w:pos="426"/>
          <w:tab w:val="left" w:pos="709"/>
          <w:tab w:val="left" w:pos="1134"/>
          <w:tab w:val="left" w:pos="1418"/>
          <w:tab w:val="left" w:pos="1985"/>
          <w:tab w:val="left" w:pos="2268"/>
        </w:tabs>
        <w:spacing w:before="280"/>
        <w:ind w:left="0" w:firstLine="709"/>
        <w:contextualSpacing w:val="0"/>
        <w:rPr>
          <w:highlight w:val="white"/>
        </w:rPr>
      </w:pPr>
      <w:bookmarkStart w:id="66" w:name="_Hlk39846388"/>
      <w:bookmarkEnd w:id="66"/>
      <w:r w:rsidRPr="000D07CA">
        <w:t>Організація процесу ILAAP ґрунтується на розподілі обов</w:t>
      </w:r>
      <w:r w:rsidR="00ED7F90" w:rsidRPr="00050160">
        <w:t>’</w:t>
      </w:r>
      <w:r w:rsidRPr="000D07CA">
        <w:t>язків, повноважень між підрозділами банку</w:t>
      </w:r>
      <w:r w:rsidR="00ED7F90">
        <w:rPr>
          <w:lang w:val="en-US"/>
        </w:rPr>
        <w:t> </w:t>
      </w:r>
      <w:r w:rsidRPr="000D07CA">
        <w:t>/</w:t>
      </w:r>
      <w:r w:rsidR="00ED7F90">
        <w:rPr>
          <w:lang w:val="en-US"/>
        </w:rPr>
        <w:t> </w:t>
      </w:r>
      <w:r w:rsidRPr="000D07CA">
        <w:t>учасників банківської групи із застосуванням моделі трьох ліній захисту, забезпечується чітке визначення та розмежування функцій.</w:t>
      </w:r>
    </w:p>
    <w:p w14:paraId="51475D25" w14:textId="1AD490C5" w:rsidR="00396DE0" w:rsidRPr="000D07CA" w:rsidRDefault="00396DE0" w:rsidP="00CC6E29">
      <w:pPr>
        <w:pStyle w:val="a4"/>
        <w:numPr>
          <w:ilvl w:val="0"/>
          <w:numId w:val="29"/>
        </w:numPr>
        <w:shd w:val="clear" w:color="auto" w:fill="FFFFFF" w:themeFill="background1"/>
        <w:tabs>
          <w:tab w:val="left" w:pos="426"/>
          <w:tab w:val="left" w:pos="709"/>
          <w:tab w:val="left" w:pos="1134"/>
          <w:tab w:val="left" w:pos="1276"/>
          <w:tab w:val="left" w:pos="1701"/>
          <w:tab w:val="left" w:pos="1985"/>
        </w:tabs>
        <w:spacing w:before="280"/>
        <w:ind w:left="0" w:firstLine="709"/>
        <w:contextualSpacing w:val="0"/>
      </w:pPr>
      <w:bookmarkStart w:id="67" w:name="_Hlk398463881"/>
      <w:bookmarkStart w:id="68" w:name="_Hlk52571433"/>
      <w:bookmarkEnd w:id="67"/>
      <w:bookmarkEnd w:id="68"/>
      <w:r w:rsidRPr="000D07CA">
        <w:rPr>
          <w:shd w:val="clear" w:color="auto" w:fill="FFFFFF"/>
        </w:rPr>
        <w:t>Внутрішньобанківські</w:t>
      </w:r>
      <w:r w:rsidR="00ED7F90">
        <w:rPr>
          <w:shd w:val="clear" w:color="auto" w:fill="FFFFFF"/>
          <w:lang w:val="en-US"/>
        </w:rPr>
        <w:t> </w:t>
      </w:r>
      <w:r w:rsidRPr="000D07CA">
        <w:rPr>
          <w:shd w:val="clear" w:color="auto" w:fill="FFFFFF"/>
        </w:rPr>
        <w:t>/</w:t>
      </w:r>
      <w:r w:rsidR="00ED7F90">
        <w:rPr>
          <w:shd w:val="clear" w:color="auto" w:fill="FFFFFF"/>
          <w:lang w:val="en-US"/>
        </w:rPr>
        <w:t> </w:t>
      </w:r>
      <w:proofErr w:type="spellStart"/>
      <w:r w:rsidRPr="000D07CA">
        <w:rPr>
          <w:shd w:val="clear" w:color="auto" w:fill="FFFFFF"/>
        </w:rPr>
        <w:t>внутрішньогрупові</w:t>
      </w:r>
      <w:proofErr w:type="spellEnd"/>
      <w:r w:rsidRPr="000D07CA">
        <w:rPr>
          <w:shd w:val="clear" w:color="auto" w:fill="FFFFFF"/>
        </w:rPr>
        <w:t xml:space="preserve"> документи щодо</w:t>
      </w:r>
      <w:r w:rsidRPr="000D07CA">
        <w:t xml:space="preserve"> процесу ILAAP відповідають вимогам Положення.</w:t>
      </w:r>
    </w:p>
    <w:p w14:paraId="39CD2361" w14:textId="77777777" w:rsidR="00396DE0" w:rsidRPr="000D07CA" w:rsidRDefault="00396DE0" w:rsidP="00CC6E29">
      <w:pPr>
        <w:pStyle w:val="a4"/>
        <w:numPr>
          <w:ilvl w:val="0"/>
          <w:numId w:val="29"/>
        </w:numPr>
        <w:shd w:val="clear" w:color="auto" w:fill="FFFFFF" w:themeFill="background1"/>
        <w:tabs>
          <w:tab w:val="left" w:pos="426"/>
          <w:tab w:val="left" w:pos="709"/>
          <w:tab w:val="left" w:pos="1134"/>
          <w:tab w:val="left" w:pos="1276"/>
          <w:tab w:val="left" w:pos="1701"/>
          <w:tab w:val="left" w:pos="1985"/>
        </w:tabs>
        <w:spacing w:before="280"/>
        <w:ind w:left="0" w:firstLine="709"/>
        <w:contextualSpacing w:val="0"/>
      </w:pPr>
      <w:r w:rsidRPr="000D07CA">
        <w:t>Оцінка достатності внутрішньої ліквідності відповідає вимогам Положення та ґрунтується на повних, цілісних, достовірних даних.</w:t>
      </w:r>
    </w:p>
    <w:p w14:paraId="0DD3149C" w14:textId="0D07E78D" w:rsidR="00396DE0" w:rsidRPr="000D07CA" w:rsidRDefault="00396DE0" w:rsidP="00CC6E29">
      <w:pPr>
        <w:pStyle w:val="a4"/>
        <w:numPr>
          <w:ilvl w:val="0"/>
          <w:numId w:val="29"/>
        </w:numPr>
        <w:shd w:val="clear" w:color="auto" w:fill="FFFFFF" w:themeFill="background1"/>
        <w:tabs>
          <w:tab w:val="left" w:pos="426"/>
          <w:tab w:val="left" w:pos="709"/>
          <w:tab w:val="left" w:pos="1134"/>
          <w:tab w:val="left" w:pos="1276"/>
          <w:tab w:val="left" w:pos="1418"/>
        </w:tabs>
        <w:spacing w:before="280"/>
        <w:ind w:left="0" w:firstLine="709"/>
        <w:contextualSpacing w:val="0"/>
        <w:rPr>
          <w:highlight w:val="white"/>
        </w:rPr>
      </w:pPr>
      <w:r w:rsidRPr="000D07CA">
        <w:t>Моделі</w:t>
      </w:r>
      <w:r w:rsidR="00ED7F90">
        <w:rPr>
          <w:lang w:val="en-US"/>
        </w:rPr>
        <w:t> </w:t>
      </w:r>
      <w:r w:rsidRPr="000D07CA">
        <w:t>/</w:t>
      </w:r>
      <w:r w:rsidR="00ED7F90">
        <w:rPr>
          <w:lang w:val="en-US"/>
        </w:rPr>
        <w:t> </w:t>
      </w:r>
      <w:r w:rsidRPr="000D07CA">
        <w:t xml:space="preserve">методи та </w:t>
      </w:r>
      <w:r w:rsidRPr="000D07CA">
        <w:rPr>
          <w:shd w:val="clear" w:color="auto" w:fill="FFFFFF"/>
        </w:rPr>
        <w:t xml:space="preserve">інструменти оцінки ризиків ліквідності, що застосовуються банком, відповідають особливостям діяльності </w:t>
      </w:r>
      <w:r w:rsidRPr="000D07CA">
        <w:t>банку та вимогам Положення №</w:t>
      </w:r>
      <w:r w:rsidRPr="000D07CA">
        <w:rPr>
          <w:iCs/>
        </w:rPr>
        <w:t> </w:t>
      </w:r>
      <w:r w:rsidRPr="000D07CA">
        <w:t>64.</w:t>
      </w:r>
    </w:p>
    <w:p w14:paraId="75CA6C60" w14:textId="77777777" w:rsidR="00396DE0" w:rsidRPr="000D07CA" w:rsidRDefault="00396DE0" w:rsidP="00CC6E29">
      <w:pPr>
        <w:pStyle w:val="a4"/>
        <w:numPr>
          <w:ilvl w:val="0"/>
          <w:numId w:val="29"/>
        </w:numPr>
        <w:shd w:val="clear" w:color="auto" w:fill="FFFFFF" w:themeFill="background1"/>
        <w:tabs>
          <w:tab w:val="left" w:pos="426"/>
          <w:tab w:val="left" w:pos="709"/>
          <w:tab w:val="left" w:pos="1134"/>
          <w:tab w:val="left" w:pos="1276"/>
          <w:tab w:val="left" w:pos="1701"/>
          <w:tab w:val="left" w:pos="1985"/>
        </w:tabs>
        <w:spacing w:before="280"/>
        <w:ind w:left="0" w:firstLine="709"/>
        <w:contextualSpacing w:val="0"/>
      </w:pPr>
      <w:r w:rsidRPr="000D07CA">
        <w:t>Стрес-тестування здійснюється із застосуванням адекватного несприятливого стрес-сценарію, що відповідає вимогам Положення.</w:t>
      </w:r>
    </w:p>
    <w:p w14:paraId="71AC988E" w14:textId="3B99A1F1" w:rsidR="00396DE0" w:rsidRPr="000D07CA" w:rsidRDefault="00396DE0" w:rsidP="00CC6E29">
      <w:pPr>
        <w:pStyle w:val="a4"/>
        <w:widowControl w:val="0"/>
        <w:numPr>
          <w:ilvl w:val="0"/>
          <w:numId w:val="29"/>
        </w:numPr>
        <w:shd w:val="clear" w:color="auto" w:fill="FFFFFF" w:themeFill="background1"/>
        <w:tabs>
          <w:tab w:val="left" w:pos="426"/>
          <w:tab w:val="left" w:pos="709"/>
          <w:tab w:val="left" w:pos="851"/>
          <w:tab w:val="left" w:pos="1134"/>
          <w:tab w:val="left" w:pos="5670"/>
        </w:tabs>
        <w:spacing w:before="280"/>
        <w:ind w:left="0" w:right="23" w:firstLine="709"/>
        <w:contextualSpacing w:val="0"/>
      </w:pPr>
      <w:bookmarkStart w:id="69" w:name="_Hlk525714331"/>
      <w:bookmarkEnd w:id="69"/>
      <w:r w:rsidRPr="000D07CA">
        <w:t xml:space="preserve">Забезпечується достатність внутрішньої ліквідності </w:t>
      </w:r>
      <w:r w:rsidRPr="000D07CA">
        <w:rPr>
          <w:bCs/>
        </w:rPr>
        <w:t xml:space="preserve">для </w:t>
      </w:r>
      <w:r w:rsidRPr="000D07CA">
        <w:rPr>
          <w:shd w:val="clear" w:color="auto" w:fill="FFFFFF"/>
        </w:rPr>
        <w:t>одночасного</w:t>
      </w:r>
      <w:r w:rsidRPr="000D07CA">
        <w:rPr>
          <w:bCs/>
        </w:rPr>
        <w:t xml:space="preserve"> покриття всіх суттєвих ризиків, пов</w:t>
      </w:r>
      <w:r w:rsidR="00ED7F90" w:rsidRPr="00050160">
        <w:rPr>
          <w:bCs/>
        </w:rPr>
        <w:t>’</w:t>
      </w:r>
      <w:r w:rsidRPr="000D07CA">
        <w:rPr>
          <w:bCs/>
        </w:rPr>
        <w:t xml:space="preserve">язаних з ліквідністю, </w:t>
      </w:r>
      <w:r w:rsidRPr="000D07CA">
        <w:rPr>
          <w:shd w:val="clear" w:color="auto" w:fill="FFFFFF"/>
        </w:rPr>
        <w:t xml:space="preserve">очікуваних відпливів грошових коштів та </w:t>
      </w:r>
      <w:bookmarkStart w:id="70" w:name="_Hlk91627360"/>
      <w:r w:rsidRPr="000D07CA">
        <w:rPr>
          <w:highlight w:val="white"/>
        </w:rPr>
        <w:t xml:space="preserve">забезпечення </w:t>
      </w:r>
      <w:bookmarkEnd w:id="70"/>
      <w:r w:rsidRPr="000D07CA">
        <w:t>достатнього фінансування</w:t>
      </w:r>
      <w:r w:rsidRPr="000D07CA">
        <w:rPr>
          <w:shd w:val="clear" w:color="auto" w:fill="FFFFFF"/>
        </w:rPr>
        <w:t xml:space="preserve">, </w:t>
      </w:r>
      <w:r w:rsidRPr="000D07CA">
        <w:rPr>
          <w:bCs/>
        </w:rPr>
        <w:t xml:space="preserve">а також дотримання встановлених Національним банком вимог </w:t>
      </w:r>
      <w:r w:rsidRPr="000D07CA">
        <w:rPr>
          <w:shd w:val="clear" w:color="auto" w:fill="FFFFFF"/>
        </w:rPr>
        <w:t>щодо достатності</w:t>
      </w:r>
      <w:r w:rsidRPr="000D07CA">
        <w:rPr>
          <w:bCs/>
        </w:rPr>
        <w:t xml:space="preserve"> ліквідності, включаючи підтримання визначеного банком </w:t>
      </w:r>
      <w:r w:rsidRPr="000D07CA">
        <w:rPr>
          <w:iCs/>
          <w:shd w:val="clear" w:color="auto" w:fill="FFFFFF"/>
        </w:rPr>
        <w:t xml:space="preserve">управлінського запасу внутрішньої ліквідності, </w:t>
      </w:r>
      <w:r w:rsidRPr="000D07CA">
        <w:rPr>
          <w:shd w:val="clear" w:color="auto" w:fill="FFFFFF"/>
        </w:rPr>
        <w:t>як у звичайних, так і в стресових ситуаціях.</w:t>
      </w:r>
      <w:bookmarkStart w:id="71" w:name="_Hlk71576054"/>
      <w:bookmarkEnd w:id="71"/>
    </w:p>
    <w:p w14:paraId="05657F31" w14:textId="73A85124" w:rsidR="00396DE0" w:rsidRDefault="00396DE0" w:rsidP="00CC6E29">
      <w:pPr>
        <w:pStyle w:val="a4"/>
        <w:numPr>
          <w:ilvl w:val="0"/>
          <w:numId w:val="29"/>
        </w:numPr>
        <w:shd w:val="clear" w:color="auto" w:fill="FFFFFF" w:themeFill="background1"/>
        <w:tabs>
          <w:tab w:val="left" w:pos="426"/>
          <w:tab w:val="left" w:pos="709"/>
          <w:tab w:val="left" w:pos="1134"/>
          <w:tab w:val="left" w:pos="1276"/>
          <w:tab w:val="left" w:pos="1701"/>
          <w:tab w:val="left" w:pos="1985"/>
        </w:tabs>
        <w:spacing w:before="280"/>
        <w:ind w:left="0" w:firstLine="709"/>
        <w:contextualSpacing w:val="0"/>
      </w:pPr>
      <w:r w:rsidRPr="000D07CA">
        <w:t>Забезпечується ефективне планування достатності внутрішньої ліквідності.</w:t>
      </w:r>
    </w:p>
    <w:p w14:paraId="1B3DD55B" w14:textId="77777777" w:rsidR="00613408" w:rsidRDefault="00613408" w:rsidP="00613408">
      <w:pPr>
        <w:pStyle w:val="a4"/>
        <w:shd w:val="clear" w:color="auto" w:fill="FFFFFF" w:themeFill="background1"/>
        <w:tabs>
          <w:tab w:val="left" w:pos="426"/>
          <w:tab w:val="left" w:pos="709"/>
          <w:tab w:val="left" w:pos="1134"/>
          <w:tab w:val="left" w:pos="1276"/>
          <w:tab w:val="left" w:pos="1701"/>
          <w:tab w:val="left" w:pos="1985"/>
        </w:tabs>
        <w:ind w:left="709"/>
        <w:contextualSpacing w:val="0"/>
      </w:pPr>
    </w:p>
    <w:p w14:paraId="21CD3B2B" w14:textId="6D5DB374" w:rsidR="00396DE0" w:rsidRDefault="00396DE0" w:rsidP="00050160">
      <w:pPr>
        <w:pStyle w:val="aa"/>
        <w:numPr>
          <w:ilvl w:val="0"/>
          <w:numId w:val="29"/>
        </w:numPr>
        <w:shd w:val="clear" w:color="auto" w:fill="FFFFFF" w:themeFill="background1"/>
        <w:tabs>
          <w:tab w:val="left" w:pos="709"/>
          <w:tab w:val="left" w:pos="1134"/>
          <w:tab w:val="left" w:pos="1276"/>
          <w:tab w:val="left" w:pos="1701"/>
          <w:tab w:val="left" w:pos="1985"/>
        </w:tabs>
        <w:ind w:left="0" w:firstLine="709"/>
        <w:jc w:val="both"/>
        <w:rPr>
          <w:sz w:val="28"/>
          <w:szCs w:val="28"/>
        </w:rPr>
      </w:pPr>
      <w:r w:rsidRPr="000D07CA">
        <w:rPr>
          <w:sz w:val="28"/>
          <w:szCs w:val="28"/>
        </w:rPr>
        <w:lastRenderedPageBreak/>
        <w:t>Моніторинг достатності внутрішньої ліквідності та подання управлінської звітності раді</w:t>
      </w:r>
      <w:r w:rsidR="002A59A3">
        <w:rPr>
          <w:sz w:val="28"/>
          <w:szCs w:val="28"/>
        </w:rPr>
        <w:t xml:space="preserve"> та </w:t>
      </w:r>
      <w:r w:rsidRPr="000D07CA">
        <w:rPr>
          <w:sz w:val="28"/>
          <w:szCs w:val="28"/>
        </w:rPr>
        <w:t>правлінню банку за його результатами забезпечується на регулярній основі.</w:t>
      </w:r>
    </w:p>
    <w:p w14:paraId="5F3C99C0" w14:textId="77777777" w:rsidR="00ED7F90" w:rsidRPr="000D07CA" w:rsidRDefault="00ED7F90" w:rsidP="00050160">
      <w:pPr>
        <w:pStyle w:val="aa"/>
        <w:shd w:val="clear" w:color="auto" w:fill="FFFFFF" w:themeFill="background1"/>
        <w:tabs>
          <w:tab w:val="left" w:pos="709"/>
          <w:tab w:val="left" w:pos="1134"/>
          <w:tab w:val="left" w:pos="1276"/>
          <w:tab w:val="left" w:pos="1701"/>
          <w:tab w:val="left" w:pos="1985"/>
        </w:tabs>
        <w:ind w:left="709"/>
        <w:jc w:val="both"/>
        <w:rPr>
          <w:sz w:val="28"/>
          <w:szCs w:val="28"/>
        </w:rPr>
      </w:pPr>
    </w:p>
    <w:p w14:paraId="4EE65B21" w14:textId="77777777" w:rsidR="00396DE0" w:rsidRPr="000D07CA" w:rsidRDefault="00396DE0" w:rsidP="00CC6E29">
      <w:pPr>
        <w:pStyle w:val="a4"/>
        <w:numPr>
          <w:ilvl w:val="0"/>
          <w:numId w:val="29"/>
        </w:numPr>
        <w:shd w:val="clear" w:color="auto" w:fill="FFFFFF" w:themeFill="background1"/>
        <w:tabs>
          <w:tab w:val="left" w:pos="426"/>
          <w:tab w:val="left" w:pos="709"/>
          <w:tab w:val="left" w:pos="1276"/>
          <w:tab w:val="left" w:pos="1701"/>
          <w:tab w:val="left" w:pos="1985"/>
        </w:tabs>
        <w:ind w:left="0" w:firstLine="709"/>
        <w:contextualSpacing w:val="0"/>
      </w:pPr>
      <w:r w:rsidRPr="000D07CA">
        <w:t>Органи управління банку повною мірою володіють інформацією про процес ILAAP, що, зокрема, підтверджується розглядом та затвердженням управлінської звітності щодо достатності внутрішньої ліквідності.</w:t>
      </w:r>
    </w:p>
    <w:p w14:paraId="7642E4B7" w14:textId="77777777" w:rsidR="00396DE0" w:rsidRPr="000D07CA" w:rsidRDefault="00396DE0" w:rsidP="00CC6E29">
      <w:pPr>
        <w:pStyle w:val="a4"/>
        <w:numPr>
          <w:ilvl w:val="0"/>
          <w:numId w:val="29"/>
        </w:numPr>
        <w:shd w:val="clear" w:color="auto" w:fill="FFFFFF" w:themeFill="background1"/>
        <w:tabs>
          <w:tab w:val="left" w:pos="426"/>
          <w:tab w:val="left" w:pos="709"/>
          <w:tab w:val="left" w:pos="1134"/>
          <w:tab w:val="left" w:pos="1276"/>
          <w:tab w:val="left" w:pos="1701"/>
          <w:tab w:val="left" w:pos="1985"/>
        </w:tabs>
        <w:spacing w:before="280"/>
        <w:ind w:left="0" w:firstLine="709"/>
        <w:contextualSpacing w:val="0"/>
      </w:pPr>
      <w:r w:rsidRPr="000D07CA">
        <w:t>За результатами процесу ILAAP приймаються відповідні управлінські рішення на всіх рівнях, включаючи вжиття своєчасних заходів щодо підтримання на  постійній основі достатнього рівня внутрішньої ліквідності.</w:t>
      </w:r>
    </w:p>
    <w:p w14:paraId="7F4D379D" w14:textId="07780A48" w:rsidR="00396DE0" w:rsidRPr="000D07CA" w:rsidRDefault="00396DE0" w:rsidP="00CC6E29">
      <w:pPr>
        <w:pStyle w:val="a4"/>
        <w:numPr>
          <w:ilvl w:val="0"/>
          <w:numId w:val="29"/>
        </w:numPr>
        <w:shd w:val="clear" w:color="auto" w:fill="FFFFFF" w:themeFill="background1"/>
        <w:tabs>
          <w:tab w:val="left" w:pos="426"/>
          <w:tab w:val="left" w:pos="709"/>
          <w:tab w:val="left" w:pos="1134"/>
          <w:tab w:val="left" w:pos="1276"/>
          <w:tab w:val="left" w:pos="1418"/>
        </w:tabs>
        <w:spacing w:before="280"/>
        <w:ind w:left="0" w:firstLine="709"/>
        <w:contextualSpacing w:val="0"/>
        <w:rPr>
          <w:highlight w:val="white"/>
        </w:rPr>
      </w:pPr>
      <w:r w:rsidRPr="000D07CA">
        <w:t xml:space="preserve">Результати процесу ILAAP </w:t>
      </w:r>
      <w:r w:rsidR="00ED7F90">
        <w:t>у</w:t>
      </w:r>
      <w:r w:rsidRPr="000D07CA">
        <w:t>раховуються під час розроблення та перегляду стратегії та бізнес-плану, визначення ризик-апетиту, розроблення</w:t>
      </w:r>
      <w:r w:rsidRPr="000D07CA">
        <w:rPr>
          <w:shd w:val="clear" w:color="auto" w:fill="FFFFFF"/>
        </w:rPr>
        <w:t xml:space="preserve"> системи показників</w:t>
      </w:r>
      <w:r w:rsidR="00ED7F90">
        <w:rPr>
          <w:shd w:val="clear" w:color="auto" w:fill="FFFFFF"/>
        </w:rPr>
        <w:t> </w:t>
      </w:r>
      <w:r w:rsidRPr="000D07CA">
        <w:rPr>
          <w:shd w:val="clear" w:color="auto" w:fill="FFFFFF"/>
        </w:rPr>
        <w:t>/</w:t>
      </w:r>
      <w:r w:rsidR="00ED7F90">
        <w:rPr>
          <w:shd w:val="clear" w:color="auto" w:fill="FFFFFF"/>
        </w:rPr>
        <w:t> </w:t>
      </w:r>
      <w:r w:rsidRPr="000D07CA">
        <w:rPr>
          <w:shd w:val="clear" w:color="auto" w:fill="FFFFFF"/>
        </w:rPr>
        <w:t>індикаторів ризиків, системи індикаторів плану відновлення діяльності.</w:t>
      </w:r>
    </w:p>
    <w:p w14:paraId="7A5B85F2" w14:textId="4D90CA9A" w:rsidR="001C7CAC" w:rsidRDefault="00396DE0" w:rsidP="00D6686E">
      <w:pPr>
        <w:pStyle w:val="a4"/>
        <w:numPr>
          <w:ilvl w:val="0"/>
          <w:numId w:val="29"/>
        </w:numPr>
        <w:shd w:val="clear" w:color="auto" w:fill="FFFFFF" w:themeFill="background1"/>
        <w:tabs>
          <w:tab w:val="left" w:pos="426"/>
          <w:tab w:val="left" w:pos="709"/>
          <w:tab w:val="left" w:pos="1134"/>
          <w:tab w:val="left" w:pos="1276"/>
          <w:tab w:val="left" w:pos="1418"/>
        </w:tabs>
        <w:spacing w:before="280"/>
        <w:ind w:left="0" w:firstLine="709"/>
        <w:contextualSpacing w:val="0"/>
        <w:sectPr w:rsidR="001C7CAC" w:rsidSect="00050160">
          <w:headerReference w:type="default" r:id="rId16"/>
          <w:headerReference w:type="first" r:id="rId17"/>
          <w:pgSz w:w="11906" w:h="16838"/>
          <w:pgMar w:top="567" w:right="567" w:bottom="1701" w:left="1701" w:header="709" w:footer="0" w:gutter="0"/>
          <w:pgNumType w:start="1"/>
          <w:cols w:space="720"/>
          <w:formProt w:val="0"/>
          <w:titlePg/>
          <w:docGrid w:linePitch="381"/>
        </w:sectPr>
      </w:pPr>
      <w:r w:rsidRPr="000D07CA">
        <w:t xml:space="preserve">Процес ILAAP інтегрований </w:t>
      </w:r>
      <w:r w:rsidR="00ED7F90">
        <w:t>і</w:t>
      </w:r>
      <w:r w:rsidRPr="000D07CA">
        <w:t xml:space="preserve">з бізнес-процесами, процесами прийняття управлінських рішень, </w:t>
      </w:r>
      <w:r w:rsidR="001C7CAC">
        <w:t xml:space="preserve">процесами управління ризиками. </w:t>
      </w:r>
    </w:p>
    <w:bookmarkEnd w:id="65"/>
    <w:p w14:paraId="608C3C52" w14:textId="308E48DB" w:rsidR="00396DE0" w:rsidRPr="000D07CA" w:rsidRDefault="00396DE0" w:rsidP="00ED7F90">
      <w:pPr>
        <w:shd w:val="clear" w:color="auto" w:fill="FFFFFF" w:themeFill="background1"/>
        <w:tabs>
          <w:tab w:val="left" w:pos="142"/>
          <w:tab w:val="left" w:pos="4536"/>
        </w:tabs>
        <w:ind w:left="4536" w:right="-57"/>
      </w:pPr>
      <w:r w:rsidRPr="000D07CA">
        <w:lastRenderedPageBreak/>
        <w:t>Додаток 3</w:t>
      </w:r>
    </w:p>
    <w:p w14:paraId="7EF30222" w14:textId="77777777" w:rsidR="00396DE0" w:rsidRPr="000D07CA" w:rsidRDefault="00396DE0" w:rsidP="00396DE0">
      <w:pPr>
        <w:shd w:val="clear" w:color="auto" w:fill="FFFFFF" w:themeFill="background1"/>
        <w:tabs>
          <w:tab w:val="left" w:pos="142"/>
        </w:tabs>
        <w:ind w:left="4536" w:right="-57"/>
        <w:rPr>
          <w:bCs/>
        </w:rPr>
      </w:pPr>
      <w:r w:rsidRPr="000D07CA">
        <w:t xml:space="preserve">до Положення </w:t>
      </w:r>
      <w:r w:rsidRPr="000D07CA">
        <w:rPr>
          <w:bCs/>
        </w:rPr>
        <w:t xml:space="preserve">про організацію процесу оцінки достатності внутрішньої ліквідності </w:t>
      </w:r>
      <w:r w:rsidRPr="000D07CA">
        <w:t>в банках України та банківських групах</w:t>
      </w:r>
    </w:p>
    <w:p w14:paraId="4BA5C537" w14:textId="42F62631" w:rsidR="00396DE0" w:rsidRPr="000D07CA" w:rsidRDefault="00396DE0" w:rsidP="00396DE0">
      <w:pPr>
        <w:shd w:val="clear" w:color="auto" w:fill="FFFFFF" w:themeFill="background1"/>
        <w:tabs>
          <w:tab w:val="left" w:pos="142"/>
        </w:tabs>
        <w:ind w:left="4536" w:right="-57"/>
        <w:rPr>
          <w:bCs/>
        </w:rPr>
      </w:pPr>
      <w:r w:rsidRPr="00CE3FB2">
        <w:rPr>
          <w:bCs/>
        </w:rPr>
        <w:t>(пункт</w:t>
      </w:r>
      <w:r w:rsidR="00D86624">
        <w:rPr>
          <w:bCs/>
          <w:lang w:val="ru-RU"/>
        </w:rPr>
        <w:t xml:space="preserve"> 46</w:t>
      </w:r>
      <w:r w:rsidRPr="00CE3FB2">
        <w:rPr>
          <w:bCs/>
        </w:rPr>
        <w:t xml:space="preserve"> глави </w:t>
      </w:r>
      <w:r w:rsidR="00D86624">
        <w:rPr>
          <w:bCs/>
          <w:lang w:val="ru-RU"/>
        </w:rPr>
        <w:t>11</w:t>
      </w:r>
      <w:r w:rsidRPr="00CE3FB2">
        <w:rPr>
          <w:bCs/>
        </w:rPr>
        <w:t xml:space="preserve"> розділу І</w:t>
      </w:r>
      <w:r w:rsidR="00D86624">
        <w:rPr>
          <w:bCs/>
          <w:lang w:val="en-US"/>
        </w:rPr>
        <w:t>V</w:t>
      </w:r>
      <w:r w:rsidRPr="00CE3FB2">
        <w:rPr>
          <w:bCs/>
        </w:rPr>
        <w:t>)</w:t>
      </w:r>
    </w:p>
    <w:p w14:paraId="3329EE2C" w14:textId="77777777" w:rsidR="00396DE0" w:rsidRPr="000D07CA" w:rsidRDefault="00396DE0" w:rsidP="00396DE0">
      <w:pPr>
        <w:pStyle w:val="rvps2"/>
        <w:shd w:val="clear" w:color="auto" w:fill="FFFFFF" w:themeFill="background1"/>
        <w:spacing w:beforeAutospacing="0" w:afterAutospacing="0"/>
        <w:jc w:val="both"/>
        <w:rPr>
          <w:sz w:val="28"/>
          <w:szCs w:val="28"/>
        </w:rPr>
      </w:pPr>
    </w:p>
    <w:p w14:paraId="6AA2E726" w14:textId="77777777" w:rsidR="00396DE0" w:rsidRPr="000D07CA" w:rsidRDefault="00396DE0" w:rsidP="00396DE0">
      <w:pPr>
        <w:pStyle w:val="rvps2"/>
        <w:shd w:val="clear" w:color="auto" w:fill="FFFFFF" w:themeFill="background1"/>
        <w:spacing w:beforeAutospacing="0" w:afterAutospacing="0"/>
        <w:jc w:val="center"/>
        <w:rPr>
          <w:sz w:val="28"/>
          <w:szCs w:val="28"/>
          <w:highlight w:val="white"/>
        </w:rPr>
      </w:pPr>
      <w:r w:rsidRPr="000D07CA">
        <w:rPr>
          <w:sz w:val="28"/>
          <w:szCs w:val="28"/>
        </w:rPr>
        <w:t xml:space="preserve">Опис структури та зміст Звіту </w:t>
      </w:r>
      <w:r w:rsidRPr="000D07CA">
        <w:rPr>
          <w:rFonts w:eastAsia="Calibri"/>
          <w:sz w:val="28"/>
          <w:szCs w:val="28"/>
        </w:rPr>
        <w:t xml:space="preserve">щодо </w:t>
      </w:r>
      <w:r w:rsidRPr="000D07CA">
        <w:rPr>
          <w:sz w:val="28"/>
          <w:szCs w:val="28"/>
          <w:lang w:eastAsia="ru-RU"/>
        </w:rPr>
        <w:t>процесу</w:t>
      </w:r>
      <w:r w:rsidRPr="000D07CA">
        <w:rPr>
          <w:sz w:val="28"/>
          <w:szCs w:val="28"/>
        </w:rPr>
        <w:t xml:space="preserve"> ILAAP</w:t>
      </w:r>
    </w:p>
    <w:p w14:paraId="18CE92E1" w14:textId="77777777" w:rsidR="00396DE0" w:rsidRDefault="00396DE0" w:rsidP="00050160">
      <w:pPr>
        <w:pStyle w:val="rvps2"/>
        <w:shd w:val="clear" w:color="auto" w:fill="FFFFFF" w:themeFill="background1"/>
        <w:spacing w:beforeAutospacing="0" w:afterAutospacing="0"/>
        <w:ind w:firstLine="567"/>
        <w:jc w:val="both"/>
        <w:rPr>
          <w:sz w:val="28"/>
          <w:szCs w:val="28"/>
        </w:rPr>
      </w:pPr>
      <w:bookmarkStart w:id="72" w:name="n255"/>
      <w:bookmarkEnd w:id="72"/>
    </w:p>
    <w:p w14:paraId="09B2C8E6" w14:textId="6798109A" w:rsidR="00396DE0" w:rsidRPr="000D07CA" w:rsidRDefault="00396DE0" w:rsidP="00050160">
      <w:pPr>
        <w:pStyle w:val="rvps2"/>
        <w:shd w:val="clear" w:color="auto" w:fill="FFFFFF" w:themeFill="background1"/>
        <w:spacing w:before="0" w:beforeAutospacing="0" w:after="0" w:afterAutospacing="0"/>
        <w:ind w:firstLine="567"/>
        <w:jc w:val="both"/>
        <w:rPr>
          <w:sz w:val="28"/>
          <w:szCs w:val="28"/>
        </w:rPr>
      </w:pPr>
      <w:r w:rsidRPr="000D07CA">
        <w:rPr>
          <w:sz w:val="28"/>
          <w:szCs w:val="28"/>
        </w:rPr>
        <w:t xml:space="preserve">1. </w:t>
      </w:r>
      <w:r w:rsidRPr="00B22B3C">
        <w:rPr>
          <w:sz w:val="28"/>
          <w:szCs w:val="28"/>
        </w:rPr>
        <w:t>Розділ I “Загальна інформація” містить:</w:t>
      </w:r>
    </w:p>
    <w:p w14:paraId="2AD1E4A4" w14:textId="77777777" w:rsidR="00396DE0" w:rsidRPr="000D07CA" w:rsidRDefault="00396DE0" w:rsidP="00050160">
      <w:pPr>
        <w:pStyle w:val="rvps2"/>
        <w:shd w:val="clear" w:color="auto" w:fill="FFFFFF" w:themeFill="background1"/>
        <w:spacing w:before="0" w:beforeAutospacing="0" w:after="0" w:afterAutospacing="0"/>
        <w:ind w:firstLine="567"/>
        <w:jc w:val="both"/>
        <w:rPr>
          <w:sz w:val="28"/>
          <w:szCs w:val="28"/>
        </w:rPr>
      </w:pPr>
    </w:p>
    <w:p w14:paraId="513D2D30" w14:textId="5BCAF6D6" w:rsidR="00396DE0" w:rsidRPr="000D07CA" w:rsidRDefault="00396DE0" w:rsidP="00050160">
      <w:pPr>
        <w:pStyle w:val="rvps2"/>
        <w:shd w:val="clear" w:color="auto" w:fill="FFFFFF" w:themeFill="background1"/>
        <w:spacing w:before="0" w:beforeAutospacing="0" w:after="0" w:afterAutospacing="0"/>
        <w:ind w:firstLine="567"/>
        <w:jc w:val="both"/>
        <w:rPr>
          <w:sz w:val="28"/>
          <w:szCs w:val="28"/>
        </w:rPr>
      </w:pPr>
      <w:r w:rsidRPr="000D07CA">
        <w:rPr>
          <w:sz w:val="28"/>
          <w:szCs w:val="28"/>
        </w:rPr>
        <w:t xml:space="preserve">1) загальні відомості про банк, </w:t>
      </w:r>
      <w:r w:rsidR="00ED7F90">
        <w:rPr>
          <w:sz w:val="28"/>
          <w:szCs w:val="28"/>
        </w:rPr>
        <w:t>в</w:t>
      </w:r>
      <w:r w:rsidRPr="000D07CA">
        <w:rPr>
          <w:sz w:val="28"/>
          <w:szCs w:val="28"/>
        </w:rPr>
        <w:t>ключаючи:</w:t>
      </w:r>
    </w:p>
    <w:p w14:paraId="32FB5A76" w14:textId="77777777" w:rsidR="00396DE0" w:rsidRPr="000D07CA" w:rsidRDefault="00396DE0" w:rsidP="00050160">
      <w:pPr>
        <w:pStyle w:val="rvps2"/>
        <w:shd w:val="clear" w:color="auto" w:fill="FFFFFF" w:themeFill="background1"/>
        <w:spacing w:before="0" w:beforeAutospacing="0" w:after="0" w:afterAutospacing="0"/>
        <w:ind w:firstLine="567"/>
        <w:jc w:val="both"/>
        <w:rPr>
          <w:sz w:val="28"/>
          <w:szCs w:val="28"/>
        </w:rPr>
      </w:pPr>
      <w:bookmarkStart w:id="73" w:name="n257"/>
      <w:bookmarkEnd w:id="73"/>
      <w:r w:rsidRPr="000D07CA">
        <w:rPr>
          <w:sz w:val="28"/>
          <w:szCs w:val="28"/>
        </w:rPr>
        <w:t>найменування банку (повне та скорочене офіційне найменування українською мовою);</w:t>
      </w:r>
    </w:p>
    <w:p w14:paraId="6FCA3A67" w14:textId="77777777" w:rsidR="00396DE0" w:rsidRPr="000D07CA" w:rsidRDefault="00396DE0" w:rsidP="00050160">
      <w:pPr>
        <w:pStyle w:val="rvps2"/>
        <w:shd w:val="clear" w:color="auto" w:fill="FFFFFF" w:themeFill="background1"/>
        <w:spacing w:before="0" w:beforeAutospacing="0" w:after="0" w:afterAutospacing="0"/>
        <w:ind w:firstLine="567"/>
        <w:jc w:val="both"/>
        <w:rPr>
          <w:sz w:val="28"/>
          <w:szCs w:val="28"/>
        </w:rPr>
      </w:pPr>
      <w:r w:rsidRPr="000D07CA">
        <w:rPr>
          <w:sz w:val="28"/>
          <w:szCs w:val="28"/>
        </w:rPr>
        <w:t xml:space="preserve">номер, за яким банк </w:t>
      </w:r>
      <w:proofErr w:type="spellStart"/>
      <w:r w:rsidRPr="000D07CA">
        <w:rPr>
          <w:sz w:val="28"/>
          <w:szCs w:val="28"/>
        </w:rPr>
        <w:t>унесено</w:t>
      </w:r>
      <w:proofErr w:type="spellEnd"/>
      <w:r w:rsidRPr="000D07CA">
        <w:rPr>
          <w:sz w:val="28"/>
          <w:szCs w:val="28"/>
        </w:rPr>
        <w:t xml:space="preserve"> до Єдиного державного реєстру юридичних осіб, фізичних осіб-підприємців та громадських формувань;</w:t>
      </w:r>
    </w:p>
    <w:p w14:paraId="3C2F83F2" w14:textId="77777777" w:rsidR="00396DE0" w:rsidRPr="000D07CA" w:rsidRDefault="00396DE0" w:rsidP="00050160">
      <w:pPr>
        <w:pStyle w:val="rvps2"/>
        <w:shd w:val="clear" w:color="auto" w:fill="FFFFFF" w:themeFill="background1"/>
        <w:spacing w:before="0" w:beforeAutospacing="0" w:after="0" w:afterAutospacing="0"/>
        <w:ind w:firstLine="567"/>
        <w:jc w:val="both"/>
        <w:rPr>
          <w:sz w:val="28"/>
          <w:szCs w:val="28"/>
        </w:rPr>
      </w:pPr>
      <w:r w:rsidRPr="000D07CA">
        <w:rPr>
          <w:sz w:val="28"/>
          <w:szCs w:val="28"/>
        </w:rPr>
        <w:t>місцезнаходження банку;</w:t>
      </w:r>
    </w:p>
    <w:p w14:paraId="05E59E94" w14:textId="77777777" w:rsidR="00396DE0" w:rsidRPr="000D07CA" w:rsidRDefault="00396DE0" w:rsidP="00050160">
      <w:pPr>
        <w:pStyle w:val="rvps2"/>
        <w:shd w:val="clear" w:color="auto" w:fill="FFFFFF" w:themeFill="background1"/>
        <w:spacing w:before="0" w:beforeAutospacing="0" w:after="0" w:afterAutospacing="0"/>
        <w:ind w:firstLine="567"/>
        <w:jc w:val="both"/>
        <w:rPr>
          <w:sz w:val="28"/>
          <w:szCs w:val="28"/>
        </w:rPr>
      </w:pPr>
      <w:bookmarkStart w:id="74" w:name="_Hlk38954513"/>
      <w:bookmarkEnd w:id="74"/>
      <w:r w:rsidRPr="000D07CA">
        <w:rPr>
          <w:sz w:val="28"/>
          <w:szCs w:val="28"/>
        </w:rPr>
        <w:t>організаційну структуру банку, склад органів управління, кількість відокремлених підрозділів;</w:t>
      </w:r>
    </w:p>
    <w:p w14:paraId="55014811" w14:textId="77777777" w:rsidR="00396DE0" w:rsidRPr="000D07CA" w:rsidRDefault="00396DE0" w:rsidP="00050160">
      <w:pPr>
        <w:pStyle w:val="rvps2"/>
        <w:shd w:val="clear" w:color="auto" w:fill="FFFFFF" w:themeFill="background1"/>
        <w:spacing w:before="0" w:beforeAutospacing="0" w:after="0" w:afterAutospacing="0"/>
        <w:ind w:firstLine="567"/>
        <w:jc w:val="both"/>
        <w:rPr>
          <w:sz w:val="28"/>
          <w:szCs w:val="28"/>
        </w:rPr>
      </w:pPr>
      <w:bookmarkStart w:id="75" w:name="_Hlk389545131"/>
      <w:bookmarkEnd w:id="75"/>
      <w:r w:rsidRPr="000D07CA">
        <w:rPr>
          <w:sz w:val="28"/>
          <w:szCs w:val="28"/>
        </w:rPr>
        <w:t>інформацію про керівників банку, власників істотної участі, контролерів банку та ключових осіб банку;</w:t>
      </w:r>
    </w:p>
    <w:p w14:paraId="2D3685C6" w14:textId="77777777" w:rsidR="00396DE0" w:rsidRPr="000D07CA" w:rsidRDefault="00396DE0" w:rsidP="00050160">
      <w:pPr>
        <w:shd w:val="clear" w:color="auto" w:fill="FFFFFF" w:themeFill="background1"/>
        <w:tabs>
          <w:tab w:val="left" w:pos="993"/>
          <w:tab w:val="left" w:pos="1418"/>
        </w:tabs>
        <w:ind w:firstLine="567"/>
      </w:pPr>
    </w:p>
    <w:p w14:paraId="1FB6CF5A" w14:textId="77777777" w:rsidR="00396DE0" w:rsidRPr="000D07CA" w:rsidRDefault="00396DE0" w:rsidP="00050160">
      <w:pPr>
        <w:shd w:val="clear" w:color="auto" w:fill="FFFFFF" w:themeFill="background1"/>
        <w:tabs>
          <w:tab w:val="left" w:pos="851"/>
        </w:tabs>
        <w:ind w:firstLine="567"/>
      </w:pPr>
      <w:r w:rsidRPr="000D07CA">
        <w:t xml:space="preserve">2) загальні відомості про КІП, включаючи її структуру та </w:t>
      </w:r>
      <w:r w:rsidRPr="000D07CA">
        <w:rPr>
          <w:shd w:val="clear" w:color="auto" w:fill="FFFFFF"/>
        </w:rPr>
        <w:t>учасників</w:t>
      </w:r>
      <w:r w:rsidRPr="000D07CA">
        <w:t>;</w:t>
      </w:r>
      <w:bookmarkStart w:id="76" w:name="_Hlk38966539"/>
      <w:bookmarkEnd w:id="76"/>
    </w:p>
    <w:p w14:paraId="433D820B" w14:textId="77777777" w:rsidR="00396DE0" w:rsidRPr="000D07CA" w:rsidRDefault="00396DE0" w:rsidP="00050160">
      <w:pPr>
        <w:shd w:val="clear" w:color="auto" w:fill="FFFFFF" w:themeFill="background1"/>
        <w:tabs>
          <w:tab w:val="left" w:pos="993"/>
          <w:tab w:val="left" w:pos="1418"/>
        </w:tabs>
        <w:ind w:firstLine="567"/>
        <w:rPr>
          <w:rFonts w:eastAsiaTheme="minorEastAsia"/>
        </w:rPr>
      </w:pPr>
    </w:p>
    <w:p w14:paraId="29B2AB60" w14:textId="77777777" w:rsidR="00396DE0" w:rsidRPr="000D07CA" w:rsidRDefault="00396DE0" w:rsidP="00050160">
      <w:pPr>
        <w:pStyle w:val="a4"/>
        <w:keepNext/>
        <w:keepLines/>
        <w:numPr>
          <w:ilvl w:val="0"/>
          <w:numId w:val="26"/>
        </w:numPr>
        <w:shd w:val="clear" w:color="auto" w:fill="FFFFFF" w:themeFill="background1"/>
        <w:tabs>
          <w:tab w:val="left" w:pos="993"/>
          <w:tab w:val="left" w:pos="1276"/>
          <w:tab w:val="left" w:pos="1418"/>
        </w:tabs>
        <w:ind w:hanging="498"/>
        <w:contextualSpacing w:val="0"/>
        <w:rPr>
          <w:rFonts w:eastAsia="Calibri"/>
        </w:rPr>
      </w:pPr>
      <w:bookmarkStart w:id="77" w:name="_Hlk69123249"/>
      <w:bookmarkStart w:id="78" w:name="_Hlk58699436"/>
      <w:r w:rsidRPr="000D07CA">
        <w:t>інформацію про:</w:t>
      </w:r>
    </w:p>
    <w:p w14:paraId="46655160" w14:textId="77777777" w:rsidR="00396DE0" w:rsidRPr="000D07CA" w:rsidRDefault="00396DE0" w:rsidP="00050160">
      <w:pPr>
        <w:keepNext/>
        <w:keepLines/>
        <w:shd w:val="clear" w:color="auto" w:fill="FFFFFF" w:themeFill="background1"/>
        <w:tabs>
          <w:tab w:val="left" w:pos="993"/>
          <w:tab w:val="left" w:pos="1276"/>
          <w:tab w:val="left" w:pos="1418"/>
        </w:tabs>
        <w:ind w:firstLine="567"/>
      </w:pPr>
      <w:r w:rsidRPr="000D07CA">
        <w:t>узгодженість</w:t>
      </w:r>
      <w:r w:rsidRPr="000D07CA">
        <w:rPr>
          <w:rFonts w:eastAsia="Calibri"/>
        </w:rPr>
        <w:t xml:space="preserve"> процесу ILAAP з</w:t>
      </w:r>
      <w:bookmarkEnd w:id="77"/>
      <w:r w:rsidRPr="000D07CA">
        <w:rPr>
          <w:rFonts w:eastAsia="Calibri"/>
        </w:rPr>
        <w:t xml:space="preserve">і </w:t>
      </w:r>
      <w:r w:rsidRPr="000D07CA">
        <w:t xml:space="preserve">стратегією, бізнес-планом банку, </w:t>
      </w:r>
      <w:bookmarkEnd w:id="78"/>
      <w:r w:rsidRPr="000D07CA">
        <w:t xml:space="preserve">системою корпоративного управління, системою внутрішнього контролю, у тому числі системою управління ризиками, </w:t>
      </w:r>
      <w:r w:rsidRPr="000D07CA">
        <w:rPr>
          <w:shd w:val="clear" w:color="auto" w:fill="FFFFFF"/>
        </w:rPr>
        <w:t>планом відновлення діяльності банку,</w:t>
      </w:r>
      <w:r w:rsidRPr="000D07CA">
        <w:t xml:space="preserve"> </w:t>
      </w:r>
      <w:r w:rsidRPr="000D07CA">
        <w:rPr>
          <w:shd w:val="clear" w:color="auto" w:fill="FFFFFF"/>
        </w:rPr>
        <w:t>планом фінансування у кризових ситуаціях та програмою фінансування;</w:t>
      </w:r>
    </w:p>
    <w:p w14:paraId="37EF9F00" w14:textId="77777777" w:rsidR="00396DE0" w:rsidRPr="000D07CA" w:rsidRDefault="00396DE0" w:rsidP="00050160">
      <w:pPr>
        <w:keepNext/>
        <w:keepLines/>
        <w:shd w:val="clear" w:color="auto" w:fill="FFFFFF" w:themeFill="background1"/>
        <w:tabs>
          <w:tab w:val="left" w:pos="993"/>
          <w:tab w:val="left" w:pos="1418"/>
          <w:tab w:val="left" w:pos="1843"/>
        </w:tabs>
        <w:ind w:firstLine="567"/>
      </w:pPr>
      <w:r w:rsidRPr="000D07CA">
        <w:t xml:space="preserve">інтегрованість </w:t>
      </w:r>
      <w:r w:rsidRPr="000D07CA">
        <w:rPr>
          <w:rFonts w:eastAsia="Calibri"/>
        </w:rPr>
        <w:t xml:space="preserve">процесу ILAAP із </w:t>
      </w:r>
      <w:r w:rsidRPr="000D07CA">
        <w:t>бізнес-процесами, процесами прийняття управлінських рішень, процесами управління ризиками в банку.</w:t>
      </w:r>
    </w:p>
    <w:p w14:paraId="7EB395A4" w14:textId="77777777" w:rsidR="00396DE0" w:rsidRPr="000D07CA" w:rsidRDefault="00396DE0" w:rsidP="00050160">
      <w:pPr>
        <w:shd w:val="clear" w:color="auto" w:fill="FFFFFF" w:themeFill="background1"/>
        <w:ind w:firstLine="567"/>
      </w:pPr>
    </w:p>
    <w:p w14:paraId="4A80C231" w14:textId="25C42BA3" w:rsidR="00396DE0" w:rsidRPr="000D07CA" w:rsidRDefault="00396DE0" w:rsidP="00050160">
      <w:pPr>
        <w:shd w:val="clear" w:color="auto" w:fill="FFFFFF" w:themeFill="background1"/>
        <w:tabs>
          <w:tab w:val="left" w:pos="993"/>
          <w:tab w:val="left" w:pos="1418"/>
        </w:tabs>
        <w:ind w:firstLine="567"/>
        <w:rPr>
          <w:highlight w:val="white"/>
        </w:rPr>
      </w:pPr>
      <w:r w:rsidRPr="000D07CA">
        <w:rPr>
          <w:rFonts w:eastAsiaTheme="minorEastAsia"/>
        </w:rPr>
        <w:t xml:space="preserve">2. Розділ II “Загальні підсумки” містить </w:t>
      </w:r>
      <w:r w:rsidRPr="000D07CA">
        <w:rPr>
          <w:rFonts w:eastAsiaTheme="minorEastAsia"/>
          <w:shd w:val="clear" w:color="auto" w:fill="FFFFFF"/>
        </w:rPr>
        <w:t>з</w:t>
      </w:r>
      <w:r w:rsidRPr="000D07CA">
        <w:rPr>
          <w:shd w:val="clear" w:color="auto" w:fill="FFFFFF"/>
        </w:rPr>
        <w:t>агальні висновки про</w:t>
      </w:r>
      <w:r w:rsidRPr="000D07CA">
        <w:t> </w:t>
      </w:r>
      <w:r w:rsidRPr="000D07CA">
        <w:rPr>
          <w:shd w:val="clear" w:color="auto" w:fill="FFFFFF"/>
        </w:rPr>
        <w:t xml:space="preserve"> відповідність процесу ILAAP вимогам </w:t>
      </w:r>
      <w:r w:rsidRPr="000D07CA">
        <w:rPr>
          <w:rFonts w:eastAsia="Calibri"/>
        </w:rPr>
        <w:t xml:space="preserve">Положення про організацію </w:t>
      </w:r>
      <w:r w:rsidRPr="000D07CA">
        <w:rPr>
          <w:bCs/>
        </w:rPr>
        <w:t>процесу оцінки достатності внутрішньої ліквідності</w:t>
      </w:r>
      <w:r w:rsidRPr="000D07CA">
        <w:rPr>
          <w:shd w:val="clear" w:color="auto" w:fill="FFFFFF"/>
        </w:rPr>
        <w:t xml:space="preserve"> (далі – Положення) та спроможність банку забезпечувати підтримку</w:t>
      </w:r>
      <w:bookmarkStart w:id="79" w:name="_Hlk39935890"/>
      <w:r w:rsidRPr="000D07CA">
        <w:rPr>
          <w:shd w:val="clear" w:color="auto" w:fill="FFFFFF"/>
        </w:rPr>
        <w:t xml:space="preserve"> на постійній основі обсягу внутрішньої ліквідності </w:t>
      </w:r>
      <w:r w:rsidRPr="000D07CA">
        <w:rPr>
          <w:bCs/>
        </w:rPr>
        <w:t xml:space="preserve">в розмірі, достатньому для </w:t>
      </w:r>
      <w:r w:rsidRPr="000D07CA">
        <w:rPr>
          <w:shd w:val="clear" w:color="auto" w:fill="FFFFFF"/>
        </w:rPr>
        <w:t>одночасного</w:t>
      </w:r>
      <w:r w:rsidRPr="000D07CA">
        <w:rPr>
          <w:bCs/>
        </w:rPr>
        <w:t xml:space="preserve"> покриття всіх суттєвих ризиків, пов</w:t>
      </w:r>
      <w:r w:rsidR="00ED7F90" w:rsidRPr="00494D97">
        <w:rPr>
          <w:bCs/>
        </w:rPr>
        <w:t>’</w:t>
      </w:r>
      <w:r w:rsidRPr="000D07CA">
        <w:rPr>
          <w:bCs/>
        </w:rPr>
        <w:t xml:space="preserve">язаних з ліквідністю, </w:t>
      </w:r>
      <w:r w:rsidRPr="000D07CA">
        <w:rPr>
          <w:shd w:val="clear" w:color="auto" w:fill="FFFFFF"/>
        </w:rPr>
        <w:t xml:space="preserve">очікуваних відпливів грошових коштів та забезпечення </w:t>
      </w:r>
      <w:r w:rsidRPr="000D07CA">
        <w:t>достатнього фінансування</w:t>
      </w:r>
      <w:r w:rsidRPr="000D07CA">
        <w:rPr>
          <w:shd w:val="clear" w:color="auto" w:fill="FFFFFF"/>
        </w:rPr>
        <w:t xml:space="preserve">, </w:t>
      </w:r>
      <w:r w:rsidRPr="000D07CA">
        <w:rPr>
          <w:bCs/>
        </w:rPr>
        <w:t xml:space="preserve">а також дотримання встановлених Національним банком вимог </w:t>
      </w:r>
      <w:r w:rsidRPr="000D07CA">
        <w:rPr>
          <w:shd w:val="clear" w:color="auto" w:fill="FFFFFF"/>
        </w:rPr>
        <w:t>щодо достатності</w:t>
      </w:r>
      <w:r w:rsidRPr="000D07CA">
        <w:rPr>
          <w:bCs/>
        </w:rPr>
        <w:t xml:space="preserve"> ліквідності, включаючи </w:t>
      </w:r>
      <w:bookmarkEnd w:id="79"/>
      <w:r w:rsidRPr="000D07CA">
        <w:rPr>
          <w:bCs/>
        </w:rPr>
        <w:t xml:space="preserve">підтримання визначеного банком </w:t>
      </w:r>
      <w:r w:rsidRPr="000D07CA">
        <w:rPr>
          <w:iCs/>
          <w:shd w:val="clear" w:color="auto" w:fill="FFFFFF"/>
        </w:rPr>
        <w:t xml:space="preserve">управлінського запасу внутрішньої ліквідності, </w:t>
      </w:r>
      <w:r w:rsidRPr="000D07CA">
        <w:rPr>
          <w:shd w:val="clear" w:color="auto" w:fill="FFFFFF"/>
        </w:rPr>
        <w:t>як у звичайних, так і в стресових ситуаціях.</w:t>
      </w:r>
    </w:p>
    <w:p w14:paraId="22339570" w14:textId="77777777" w:rsidR="00396DE0" w:rsidRPr="000D07CA" w:rsidRDefault="00396DE0" w:rsidP="00050160">
      <w:pPr>
        <w:shd w:val="clear" w:color="auto" w:fill="FFFFFF" w:themeFill="background1"/>
        <w:tabs>
          <w:tab w:val="left" w:pos="993"/>
        </w:tabs>
        <w:ind w:firstLine="567"/>
      </w:pPr>
    </w:p>
    <w:p w14:paraId="2FF8A927" w14:textId="5BF01040" w:rsidR="00396DE0" w:rsidRPr="000D07CA" w:rsidRDefault="00396DE0" w:rsidP="00050160">
      <w:pPr>
        <w:shd w:val="clear" w:color="auto" w:fill="FFFFFF" w:themeFill="background1"/>
        <w:tabs>
          <w:tab w:val="left" w:pos="993"/>
        </w:tabs>
        <w:ind w:firstLine="567"/>
      </w:pPr>
      <w:r w:rsidRPr="000D07CA">
        <w:lastRenderedPageBreak/>
        <w:t>3. Розділ III “Організація процесу ILAAP банку”</w:t>
      </w:r>
      <w:r w:rsidRPr="000D07CA">
        <w:rPr>
          <w:bCs/>
        </w:rPr>
        <w:t xml:space="preserve"> </w:t>
      </w:r>
      <w:r w:rsidRPr="000D07CA">
        <w:t>містить:</w:t>
      </w:r>
    </w:p>
    <w:p w14:paraId="0FA772FF" w14:textId="77777777" w:rsidR="001C7CAC" w:rsidRPr="000D07CA" w:rsidRDefault="001C7CAC" w:rsidP="00050160">
      <w:pPr>
        <w:shd w:val="clear" w:color="auto" w:fill="FFFFFF" w:themeFill="background1"/>
        <w:tabs>
          <w:tab w:val="left" w:pos="993"/>
          <w:tab w:val="left" w:pos="1134"/>
          <w:tab w:val="left" w:pos="1418"/>
        </w:tabs>
      </w:pPr>
    </w:p>
    <w:p w14:paraId="0C68235C" w14:textId="77777777" w:rsidR="00396DE0" w:rsidRPr="000D07CA" w:rsidRDefault="00396DE0" w:rsidP="00050160">
      <w:pPr>
        <w:pStyle w:val="a4"/>
        <w:numPr>
          <w:ilvl w:val="0"/>
          <w:numId w:val="18"/>
        </w:numPr>
        <w:shd w:val="clear" w:color="auto" w:fill="FFFFFF" w:themeFill="background1"/>
        <w:tabs>
          <w:tab w:val="left" w:pos="993"/>
          <w:tab w:val="left" w:pos="1134"/>
          <w:tab w:val="left" w:pos="1418"/>
        </w:tabs>
        <w:ind w:left="0" w:firstLine="567"/>
      </w:pPr>
      <w:r w:rsidRPr="000D07CA">
        <w:t>опис процесу ILAAP, його основні цілі та завдання;</w:t>
      </w:r>
    </w:p>
    <w:p w14:paraId="12213DF1" w14:textId="77777777" w:rsidR="00396DE0" w:rsidRPr="000D07CA" w:rsidRDefault="00396DE0" w:rsidP="00050160">
      <w:pPr>
        <w:shd w:val="clear" w:color="auto" w:fill="FFFFFF" w:themeFill="background1"/>
        <w:tabs>
          <w:tab w:val="left" w:pos="993"/>
          <w:tab w:val="left" w:pos="1134"/>
          <w:tab w:val="left" w:pos="1418"/>
        </w:tabs>
        <w:ind w:firstLine="567"/>
      </w:pPr>
    </w:p>
    <w:p w14:paraId="2051FEE6" w14:textId="48E1CC0C" w:rsidR="00396DE0" w:rsidRPr="000D07CA" w:rsidRDefault="00396DE0" w:rsidP="00050160">
      <w:pPr>
        <w:keepNext/>
        <w:keepLines/>
        <w:numPr>
          <w:ilvl w:val="0"/>
          <w:numId w:val="19"/>
        </w:numPr>
        <w:shd w:val="clear" w:color="auto" w:fill="FFFFFF" w:themeFill="background1"/>
        <w:tabs>
          <w:tab w:val="left" w:pos="993"/>
          <w:tab w:val="left" w:pos="1134"/>
          <w:tab w:val="left" w:pos="1276"/>
          <w:tab w:val="left" w:pos="1418"/>
        </w:tabs>
        <w:ind w:left="0" w:firstLine="567"/>
        <w:contextualSpacing/>
      </w:pPr>
      <w:r w:rsidRPr="000D07CA">
        <w:t xml:space="preserve"> інформацію про розподіл обов</w:t>
      </w:r>
      <w:r w:rsidR="00ED7F90" w:rsidRPr="00494D97">
        <w:t>’</w:t>
      </w:r>
      <w:r w:rsidRPr="000D07CA">
        <w:t>язків, повноважень щодо процесу ILAAP між підрозділами банку</w:t>
      </w:r>
      <w:bookmarkStart w:id="80" w:name="_Hlk86598299"/>
      <w:r w:rsidR="00ED7F90">
        <w:t> </w:t>
      </w:r>
      <w:r w:rsidRPr="000D07CA">
        <w:t>/</w:t>
      </w:r>
      <w:r w:rsidR="00ED7F90">
        <w:t> </w:t>
      </w:r>
      <w:r w:rsidRPr="000D07CA">
        <w:t>учасниками банківської групи</w:t>
      </w:r>
      <w:bookmarkEnd w:id="80"/>
      <w:r w:rsidRPr="000D07CA">
        <w:t>, схематичне зображення їх взаємодії із застосуванням моделі трьох ліній захисту;</w:t>
      </w:r>
    </w:p>
    <w:p w14:paraId="04AC87D0" w14:textId="77777777" w:rsidR="00396DE0" w:rsidRPr="000D07CA" w:rsidRDefault="00396DE0" w:rsidP="00050160">
      <w:pPr>
        <w:shd w:val="clear" w:color="auto" w:fill="FFFFFF" w:themeFill="background1"/>
        <w:tabs>
          <w:tab w:val="left" w:pos="993"/>
          <w:tab w:val="left" w:pos="1134"/>
          <w:tab w:val="left" w:pos="1418"/>
        </w:tabs>
        <w:ind w:left="709" w:firstLine="567"/>
      </w:pPr>
    </w:p>
    <w:p w14:paraId="69E2EA43" w14:textId="77777777" w:rsidR="00396DE0" w:rsidRPr="000D07CA" w:rsidRDefault="00396DE0" w:rsidP="00050160">
      <w:pPr>
        <w:keepNext/>
        <w:keepLines/>
        <w:numPr>
          <w:ilvl w:val="0"/>
          <w:numId w:val="19"/>
        </w:numPr>
        <w:shd w:val="clear" w:color="auto" w:fill="FFFFFF" w:themeFill="background1"/>
        <w:tabs>
          <w:tab w:val="left" w:pos="993"/>
          <w:tab w:val="left" w:pos="1134"/>
          <w:tab w:val="left" w:pos="1276"/>
          <w:tab w:val="left" w:pos="1418"/>
        </w:tabs>
        <w:ind w:left="0" w:firstLine="567"/>
        <w:contextualSpacing/>
      </w:pPr>
      <w:r w:rsidRPr="000D07CA">
        <w:t xml:space="preserve">перелік переданих на </w:t>
      </w:r>
      <w:proofErr w:type="spellStart"/>
      <w:r w:rsidRPr="000D07CA">
        <w:t>аутсорсинг</w:t>
      </w:r>
      <w:proofErr w:type="spellEnd"/>
      <w:r w:rsidRPr="000D07CA">
        <w:t xml:space="preserve"> функцій, які б</w:t>
      </w:r>
      <w:r w:rsidRPr="000D07CA">
        <w:rPr>
          <w:shd w:val="clear" w:color="auto" w:fill="FFFFFF"/>
        </w:rPr>
        <w:t xml:space="preserve">анк має право передавати згідно з </w:t>
      </w:r>
      <w:r w:rsidRPr="000D07CA">
        <w:t>Положенням №</w:t>
      </w:r>
      <w:r w:rsidRPr="000D07CA">
        <w:rPr>
          <w:iCs/>
        </w:rPr>
        <w:t> </w:t>
      </w:r>
      <w:r w:rsidRPr="000D07CA">
        <w:t>64 (за наявності);</w:t>
      </w:r>
    </w:p>
    <w:p w14:paraId="4141F2EB" w14:textId="77777777" w:rsidR="00396DE0" w:rsidRPr="000D07CA" w:rsidRDefault="00396DE0" w:rsidP="00050160">
      <w:pPr>
        <w:shd w:val="clear" w:color="auto" w:fill="FFFFFF" w:themeFill="background1"/>
        <w:tabs>
          <w:tab w:val="left" w:pos="993"/>
          <w:tab w:val="left" w:pos="1134"/>
          <w:tab w:val="left" w:pos="1418"/>
        </w:tabs>
        <w:ind w:firstLine="567"/>
      </w:pPr>
    </w:p>
    <w:p w14:paraId="1A10EE66" w14:textId="1A6DD0FB" w:rsidR="00396DE0" w:rsidRPr="000D07CA" w:rsidRDefault="00396DE0" w:rsidP="00050160">
      <w:pPr>
        <w:pStyle w:val="a4"/>
        <w:widowControl w:val="0"/>
        <w:shd w:val="clear" w:color="auto" w:fill="FFFFFF" w:themeFill="background1"/>
        <w:tabs>
          <w:tab w:val="left" w:pos="426"/>
          <w:tab w:val="left" w:pos="993"/>
          <w:tab w:val="left" w:pos="1276"/>
          <w:tab w:val="left" w:pos="1418"/>
        </w:tabs>
        <w:ind w:left="0" w:firstLine="567"/>
      </w:pPr>
      <w:r w:rsidRPr="000D07CA">
        <w:t>4) опис показників</w:t>
      </w:r>
      <w:r w:rsidR="00ED7F90">
        <w:t> </w:t>
      </w:r>
      <w:r w:rsidRPr="000D07CA">
        <w:t>/</w:t>
      </w:r>
      <w:r w:rsidR="00ED7F90">
        <w:t> </w:t>
      </w:r>
      <w:r w:rsidRPr="000D07CA">
        <w:t>індикаторів ризиків, що застосовуються для оцінки достатності внутрішньої ліквідності, та їх узгодженості із загальною системою показників</w:t>
      </w:r>
      <w:r w:rsidR="00ED7F90">
        <w:t> </w:t>
      </w:r>
      <w:r w:rsidRPr="000D07CA">
        <w:t>/</w:t>
      </w:r>
      <w:r w:rsidR="00ED7F90">
        <w:t> </w:t>
      </w:r>
      <w:r w:rsidRPr="000D07CA">
        <w:t>індикаторів ризиків, системою індикаторів плану відновлення діяльності;</w:t>
      </w:r>
    </w:p>
    <w:p w14:paraId="16968E68" w14:textId="77777777" w:rsidR="00396DE0" w:rsidRPr="000D07CA" w:rsidRDefault="00396DE0" w:rsidP="00050160">
      <w:pPr>
        <w:shd w:val="clear" w:color="auto" w:fill="FFFFFF" w:themeFill="background1"/>
        <w:tabs>
          <w:tab w:val="left" w:pos="993"/>
        </w:tabs>
        <w:ind w:firstLine="567"/>
      </w:pPr>
    </w:p>
    <w:p w14:paraId="28E1ECF8" w14:textId="77777777" w:rsidR="00396DE0" w:rsidRPr="000D07CA" w:rsidRDefault="00396DE0" w:rsidP="00050160">
      <w:pPr>
        <w:keepNext/>
        <w:keepLines/>
        <w:numPr>
          <w:ilvl w:val="0"/>
          <w:numId w:val="20"/>
        </w:numPr>
        <w:shd w:val="clear" w:color="auto" w:fill="FFFFFF" w:themeFill="background1"/>
        <w:tabs>
          <w:tab w:val="left" w:pos="993"/>
          <w:tab w:val="left" w:pos="1134"/>
          <w:tab w:val="left" w:pos="1276"/>
          <w:tab w:val="left" w:pos="1418"/>
        </w:tabs>
        <w:ind w:left="0" w:firstLine="567"/>
        <w:contextualSpacing/>
      </w:pPr>
      <w:r w:rsidRPr="000D07CA">
        <w:t>опис процесу збору даних для агрегування, обробки, зберігання, перевірки якості даних та формування управлінської звітності щодо достатності внутрішньої ліквідності.</w:t>
      </w:r>
    </w:p>
    <w:p w14:paraId="7E4CC0FA" w14:textId="77777777" w:rsidR="00396DE0" w:rsidRPr="000D07CA" w:rsidRDefault="00396DE0" w:rsidP="00050160">
      <w:pPr>
        <w:shd w:val="clear" w:color="auto" w:fill="FFFFFF" w:themeFill="background1"/>
        <w:ind w:firstLine="567"/>
      </w:pPr>
    </w:p>
    <w:p w14:paraId="619443AF" w14:textId="6EA2408B" w:rsidR="00396DE0" w:rsidRPr="000D07CA" w:rsidRDefault="00396DE0" w:rsidP="00050160">
      <w:pPr>
        <w:widowControl w:val="0"/>
        <w:numPr>
          <w:ilvl w:val="0"/>
          <w:numId w:val="21"/>
        </w:numPr>
        <w:shd w:val="clear" w:color="auto" w:fill="FFFFFF" w:themeFill="background1"/>
        <w:tabs>
          <w:tab w:val="left" w:pos="1134"/>
        </w:tabs>
        <w:ind w:left="0" w:firstLine="567"/>
        <w:contextualSpacing/>
      </w:pPr>
      <w:r w:rsidRPr="000D07CA">
        <w:t>Розділ ІV “Оцінка достатності внутрішньої ліквідності”</w:t>
      </w:r>
      <w:r w:rsidRPr="000D07CA">
        <w:rPr>
          <w:bCs/>
        </w:rPr>
        <w:t xml:space="preserve"> містить інформацію про</w:t>
      </w:r>
      <w:r w:rsidRPr="000D07CA">
        <w:t>:</w:t>
      </w:r>
    </w:p>
    <w:p w14:paraId="0FF57D00" w14:textId="77777777" w:rsidR="00396DE0" w:rsidRPr="000D07CA" w:rsidRDefault="00396DE0" w:rsidP="00050160">
      <w:pPr>
        <w:widowControl w:val="0"/>
        <w:shd w:val="clear" w:color="auto" w:fill="FFFFFF" w:themeFill="background1"/>
        <w:tabs>
          <w:tab w:val="left" w:pos="1276"/>
        </w:tabs>
        <w:ind w:firstLine="567"/>
        <w:contextualSpacing/>
      </w:pPr>
      <w:bookmarkStart w:id="81" w:name="_Hlk61192294"/>
      <w:bookmarkEnd w:id="81"/>
    </w:p>
    <w:p w14:paraId="57C9161B" w14:textId="77777777" w:rsidR="00396DE0" w:rsidRPr="000D07CA" w:rsidRDefault="00396DE0" w:rsidP="00050160">
      <w:pPr>
        <w:shd w:val="clear" w:color="auto" w:fill="FFFFFF" w:themeFill="background1"/>
        <w:tabs>
          <w:tab w:val="left" w:pos="993"/>
        </w:tabs>
        <w:ind w:firstLine="567"/>
      </w:pPr>
      <w:bookmarkStart w:id="82" w:name="n269"/>
      <w:bookmarkStart w:id="83" w:name="n256"/>
      <w:bookmarkStart w:id="84" w:name="n263"/>
      <w:bookmarkStart w:id="85" w:name="n272"/>
      <w:bookmarkStart w:id="86" w:name="n273"/>
      <w:bookmarkEnd w:id="82"/>
      <w:bookmarkEnd w:id="83"/>
      <w:bookmarkEnd w:id="84"/>
      <w:bookmarkEnd w:id="85"/>
      <w:bookmarkEnd w:id="86"/>
      <w:r w:rsidRPr="000D07CA">
        <w:t xml:space="preserve">1) оцінку ризику ліквідності щодо </w:t>
      </w:r>
      <w:r w:rsidRPr="000D07CA">
        <w:rPr>
          <w:shd w:val="clear" w:color="auto" w:fill="FFFFFF"/>
        </w:rPr>
        <w:t xml:space="preserve">короткострокової </w:t>
      </w:r>
      <w:r w:rsidRPr="000D07CA">
        <w:t>ліквідності до та після здійснення стрес-тестування:</w:t>
      </w:r>
    </w:p>
    <w:p w14:paraId="5861F0FC" w14:textId="6D41DC74" w:rsidR="00396DE0" w:rsidRPr="000D07CA" w:rsidRDefault="00396DE0" w:rsidP="00050160">
      <w:pPr>
        <w:widowControl w:val="0"/>
        <w:shd w:val="clear" w:color="auto" w:fill="FFFFFF" w:themeFill="background1"/>
        <w:tabs>
          <w:tab w:val="left" w:pos="993"/>
        </w:tabs>
        <w:ind w:firstLine="567"/>
      </w:pPr>
      <w:r w:rsidRPr="000D07CA">
        <w:t>опис підходів</w:t>
      </w:r>
      <w:r w:rsidR="00ED7F90">
        <w:t> </w:t>
      </w:r>
      <w:r w:rsidRPr="000D07CA">
        <w:t>/</w:t>
      </w:r>
      <w:r w:rsidR="00ED7F90">
        <w:t> </w:t>
      </w:r>
      <w:r w:rsidRPr="000D07CA">
        <w:t xml:space="preserve">методології, </w:t>
      </w:r>
      <w:bookmarkStart w:id="87" w:name="_Hlk69579724"/>
      <w:r w:rsidRPr="000D07CA">
        <w:t>моделей</w:t>
      </w:r>
      <w:r w:rsidR="00ED7F90">
        <w:t> </w:t>
      </w:r>
      <w:r w:rsidRPr="000D07CA">
        <w:t>/</w:t>
      </w:r>
      <w:r w:rsidR="00ED7F90">
        <w:t> </w:t>
      </w:r>
      <w:r w:rsidRPr="000D07CA">
        <w:t xml:space="preserve">методів </w:t>
      </w:r>
      <w:bookmarkEnd w:id="87"/>
      <w:r w:rsidRPr="000D07CA">
        <w:t xml:space="preserve">та інструментів оцінки ризику, </w:t>
      </w:r>
      <w:r w:rsidR="00ED7F90">
        <w:t>що</w:t>
      </w:r>
      <w:r w:rsidRPr="000D07CA">
        <w:t xml:space="preserve"> використовувались банком, інформація про </w:t>
      </w:r>
      <w:proofErr w:type="spellStart"/>
      <w:r w:rsidRPr="000D07CA">
        <w:t>валідацію</w:t>
      </w:r>
      <w:proofErr w:type="spellEnd"/>
      <w:r w:rsidRPr="000D07CA">
        <w:t xml:space="preserve"> моделей та інструментів оцінки ризику (опис, процедури </w:t>
      </w:r>
      <w:proofErr w:type="spellStart"/>
      <w:r w:rsidRPr="000D07CA">
        <w:t>валідації</w:t>
      </w:r>
      <w:proofErr w:type="spellEnd"/>
      <w:r w:rsidRPr="000D07CA">
        <w:t xml:space="preserve"> та результати останніх </w:t>
      </w:r>
      <w:proofErr w:type="spellStart"/>
      <w:r w:rsidRPr="000D07CA">
        <w:t>валідацій</w:t>
      </w:r>
      <w:proofErr w:type="spellEnd"/>
      <w:r w:rsidRPr="000D07CA">
        <w:t>);</w:t>
      </w:r>
    </w:p>
    <w:p w14:paraId="4066D1F5" w14:textId="77777777" w:rsidR="00396DE0" w:rsidRPr="000D07CA" w:rsidRDefault="00396DE0" w:rsidP="00050160">
      <w:pPr>
        <w:shd w:val="clear" w:color="auto" w:fill="FFFFFF" w:themeFill="background1"/>
        <w:tabs>
          <w:tab w:val="left" w:pos="142"/>
          <w:tab w:val="left" w:pos="284"/>
          <w:tab w:val="left" w:pos="567"/>
        </w:tabs>
        <w:ind w:firstLine="567"/>
      </w:pPr>
      <w:r w:rsidRPr="000D07CA">
        <w:t>інформація про оцінку ризику ліквідності на горизонті</w:t>
      </w:r>
      <w:r w:rsidRPr="000D07CA">
        <w:rPr>
          <w:shd w:val="clear" w:color="auto" w:fill="F5F5F5"/>
        </w:rPr>
        <w:t xml:space="preserve"> один рік</w:t>
      </w:r>
      <w:r w:rsidRPr="000D07CA">
        <w:t xml:space="preserve"> та управління цим ризиком;</w:t>
      </w:r>
    </w:p>
    <w:p w14:paraId="439178BF" w14:textId="374C5689" w:rsidR="00396DE0" w:rsidRPr="000D07CA" w:rsidRDefault="00396DE0" w:rsidP="00050160">
      <w:pPr>
        <w:shd w:val="clear" w:color="auto" w:fill="FFFFFF" w:themeFill="background1"/>
        <w:tabs>
          <w:tab w:val="left" w:pos="142"/>
          <w:tab w:val="left" w:pos="284"/>
        </w:tabs>
        <w:ind w:firstLine="567"/>
      </w:pPr>
      <w:r w:rsidRPr="000D07CA">
        <w:t xml:space="preserve">інформація про оцінку ризику ліквідності на горизонті 30 </w:t>
      </w:r>
      <w:r w:rsidRPr="000D07CA">
        <w:rPr>
          <w:shd w:val="clear" w:color="auto" w:fill="FFFFFF"/>
        </w:rPr>
        <w:t xml:space="preserve">календарних днів, </w:t>
      </w:r>
      <w:bookmarkStart w:id="88" w:name="_Hlk91629790"/>
      <w:r w:rsidRPr="000D07CA">
        <w:rPr>
          <w:shd w:val="clear" w:color="auto" w:fill="FFFFFF"/>
        </w:rPr>
        <w:t xml:space="preserve">показники, </w:t>
      </w:r>
      <w:r w:rsidR="00040A68">
        <w:rPr>
          <w:shd w:val="clear" w:color="auto" w:fill="FFFFFF"/>
        </w:rPr>
        <w:t>що</w:t>
      </w:r>
      <w:r w:rsidRPr="000D07CA">
        <w:rPr>
          <w:shd w:val="clear" w:color="auto" w:fill="FFFFFF"/>
        </w:rPr>
        <w:t xml:space="preserve"> використовуються банком для оцінки,</w:t>
      </w:r>
      <w:r w:rsidRPr="000D07CA">
        <w:t xml:space="preserve"> </w:t>
      </w:r>
      <w:bookmarkEnd w:id="88"/>
      <w:r w:rsidRPr="000D07CA">
        <w:t xml:space="preserve">та відмінності цієї оцінки від розрахунку LCR </w:t>
      </w:r>
      <w:r w:rsidRPr="001A03FD">
        <w:t xml:space="preserve">згідно з </w:t>
      </w:r>
      <w:r w:rsidR="001A03FD" w:rsidRPr="001A03FD">
        <w:t>методикою розрахунку коефіцієнта покриття ліквідністю (LCR)</w:t>
      </w:r>
      <w:r w:rsidRPr="000D07CA">
        <w:t>;</w:t>
      </w:r>
    </w:p>
    <w:p w14:paraId="3ED221EF" w14:textId="350547FE" w:rsidR="00396DE0" w:rsidRPr="000D07CA" w:rsidRDefault="00396DE0" w:rsidP="00050160">
      <w:pPr>
        <w:shd w:val="clear" w:color="auto" w:fill="FFFFFF" w:themeFill="background1"/>
        <w:tabs>
          <w:tab w:val="left" w:pos="142"/>
          <w:tab w:val="left" w:pos="284"/>
        </w:tabs>
        <w:ind w:firstLine="567"/>
      </w:pPr>
      <w:r w:rsidRPr="000D07CA">
        <w:t>інформація про оцінку ризику ліквідності в межах операційного дня та в межах інших часових інтервалів для короткострокової ліквідності, визначених банком, як у звичайних</w:t>
      </w:r>
      <w:r w:rsidR="004126D4">
        <w:t>,</w:t>
      </w:r>
      <w:r w:rsidRPr="000D07CA">
        <w:t xml:space="preserve"> так і </w:t>
      </w:r>
      <w:r w:rsidR="00040A68">
        <w:t>в</w:t>
      </w:r>
      <w:r w:rsidRPr="000D07CA">
        <w:t xml:space="preserve"> стресових ситуаціях, включаючи </w:t>
      </w:r>
      <w:r w:rsidRPr="000D07CA">
        <w:rPr>
          <w:shd w:val="clear" w:color="auto" w:fill="FFFFFF"/>
        </w:rPr>
        <w:t>опис критеріїв та інструментів вимірювання та моніторингу ризику, оцінка ризику за минулий рік, опис процедур ескалації рішень щодо управління ризиком</w:t>
      </w:r>
      <w:r w:rsidRPr="000D07CA">
        <w:rPr>
          <w:shd w:val="clear" w:color="auto" w:fill="F5F5F5"/>
        </w:rPr>
        <w:t>;</w:t>
      </w:r>
    </w:p>
    <w:p w14:paraId="1E6CB2E8" w14:textId="4C1C6F56" w:rsidR="00396DE0" w:rsidRPr="000D07CA" w:rsidRDefault="00396DE0" w:rsidP="00050160">
      <w:pPr>
        <w:pStyle w:val="Default"/>
        <w:shd w:val="clear" w:color="auto" w:fill="FFFFFF" w:themeFill="background1"/>
        <w:ind w:firstLine="567"/>
        <w:jc w:val="both"/>
        <w:rPr>
          <w:rFonts w:ascii="Times New Roman" w:hAnsi="Times New Roman" w:cs="Times New Roman"/>
          <w:color w:val="auto"/>
          <w:sz w:val="28"/>
          <w:szCs w:val="28"/>
        </w:rPr>
      </w:pPr>
      <w:r w:rsidRPr="000D07CA">
        <w:rPr>
          <w:rFonts w:ascii="Times New Roman" w:hAnsi="Times New Roman" w:cs="Times New Roman"/>
          <w:color w:val="auto"/>
          <w:sz w:val="28"/>
          <w:szCs w:val="28"/>
        </w:rPr>
        <w:t>критерії, застосовані банком для вибору відповідних припущень, зокрема методи вимірювання та прогнозування поточних</w:t>
      </w:r>
      <w:r w:rsidR="00040A68">
        <w:rPr>
          <w:rFonts w:ascii="Times New Roman" w:hAnsi="Times New Roman" w:cs="Times New Roman"/>
          <w:color w:val="auto"/>
          <w:sz w:val="28"/>
          <w:szCs w:val="28"/>
        </w:rPr>
        <w:t> </w:t>
      </w:r>
      <w:r w:rsidRPr="000D07CA">
        <w:rPr>
          <w:rFonts w:ascii="Times New Roman" w:hAnsi="Times New Roman" w:cs="Times New Roman"/>
          <w:color w:val="auto"/>
          <w:sz w:val="28"/>
          <w:szCs w:val="28"/>
        </w:rPr>
        <w:t>/</w:t>
      </w:r>
      <w:r w:rsidR="00040A68">
        <w:rPr>
          <w:rFonts w:ascii="Times New Roman" w:hAnsi="Times New Roman" w:cs="Times New Roman"/>
          <w:color w:val="auto"/>
          <w:sz w:val="28"/>
          <w:szCs w:val="28"/>
        </w:rPr>
        <w:t> </w:t>
      </w:r>
      <w:r w:rsidRPr="000D07CA">
        <w:rPr>
          <w:rFonts w:ascii="Times New Roman" w:hAnsi="Times New Roman" w:cs="Times New Roman"/>
          <w:color w:val="auto"/>
          <w:sz w:val="28"/>
          <w:szCs w:val="28"/>
        </w:rPr>
        <w:t xml:space="preserve">майбутніх очікуваних </w:t>
      </w:r>
      <w:r w:rsidRPr="000D07CA">
        <w:rPr>
          <w:rFonts w:ascii="Times New Roman" w:hAnsi="Times New Roman" w:cs="Times New Roman"/>
          <w:color w:val="auto"/>
          <w:sz w:val="28"/>
          <w:szCs w:val="28"/>
        </w:rPr>
        <w:lastRenderedPageBreak/>
        <w:t>відпливів та надходжень грошових коштів протягом відповідних часових інтервалів;</w:t>
      </w:r>
    </w:p>
    <w:p w14:paraId="4AFCC7FC" w14:textId="3DA39744" w:rsidR="00396DE0" w:rsidRPr="000D07CA" w:rsidRDefault="00396DE0" w:rsidP="00050160">
      <w:pPr>
        <w:shd w:val="clear" w:color="auto" w:fill="FFFFFF" w:themeFill="background1"/>
        <w:tabs>
          <w:tab w:val="left" w:pos="142"/>
          <w:tab w:val="left" w:pos="284"/>
          <w:tab w:val="left" w:pos="567"/>
        </w:tabs>
        <w:ind w:firstLine="567"/>
      </w:pPr>
      <w:r w:rsidRPr="000D07CA">
        <w:t xml:space="preserve">розрахунок на прогнозні дати обсягу необхідної внутрішньої ліквідності за економічною перспективою за всіма валютами загалом, а також </w:t>
      </w:r>
      <w:r w:rsidR="00040A68">
        <w:t>у</w:t>
      </w:r>
      <w:r w:rsidRPr="000D07CA">
        <w:t xml:space="preserve"> розрізі значимих іноземних валют, обґрунтування припущень, що застосовувалися</w:t>
      </w:r>
      <w:r w:rsidRPr="000D07CA">
        <w:rPr>
          <w:shd w:val="clear" w:color="auto" w:fill="F5F5F5"/>
        </w:rPr>
        <w:t xml:space="preserve"> </w:t>
      </w:r>
      <w:r w:rsidRPr="000D07CA">
        <w:rPr>
          <w:shd w:val="clear" w:color="auto" w:fill="FFFFFF"/>
        </w:rPr>
        <w:t>(включаючи припущення щодо відпливу грошових коштів клієнтів з поточних рахунків</w:t>
      </w:r>
      <w:r w:rsidRPr="000D07CA">
        <w:t>, п</w:t>
      </w:r>
      <w:r w:rsidRPr="000D07CA">
        <w:rPr>
          <w:shd w:val="clear" w:color="auto" w:fill="FFFFFF"/>
        </w:rPr>
        <w:t>ролонгації строків погашення заборгованості за наданими</w:t>
      </w:r>
      <w:r w:rsidR="00040A68">
        <w:rPr>
          <w:shd w:val="clear" w:color="auto" w:fill="FFFFFF"/>
        </w:rPr>
        <w:t> </w:t>
      </w:r>
      <w:r w:rsidRPr="000D07CA">
        <w:rPr>
          <w:shd w:val="clear" w:color="auto" w:fill="FFFFFF"/>
        </w:rPr>
        <w:t>/</w:t>
      </w:r>
      <w:r w:rsidR="00040A68">
        <w:rPr>
          <w:shd w:val="clear" w:color="auto" w:fill="FFFFFF"/>
        </w:rPr>
        <w:t> </w:t>
      </w:r>
      <w:r w:rsidRPr="000D07CA">
        <w:rPr>
          <w:shd w:val="clear" w:color="auto" w:fill="FFFFFF"/>
        </w:rPr>
        <w:t>отриманими кредитами та депозитами</w:t>
      </w:r>
      <w:r w:rsidRPr="000D07CA">
        <w:rPr>
          <w:shd w:val="clear" w:color="auto" w:fill="F5F5F5"/>
        </w:rPr>
        <w:t xml:space="preserve">, </w:t>
      </w:r>
      <w:r w:rsidRPr="000D07CA">
        <w:t xml:space="preserve">скорочення обсягів </w:t>
      </w:r>
      <w:r w:rsidRPr="000D07CA">
        <w:rPr>
          <w:shd w:val="clear" w:color="auto" w:fill="FFFFFF"/>
        </w:rPr>
        <w:t>позабалансових банківських операцій</w:t>
      </w:r>
      <w:r w:rsidRPr="000D07CA">
        <w:rPr>
          <w:shd w:val="clear" w:color="auto" w:fill="F5F5F5"/>
        </w:rPr>
        <w:t>)</w:t>
      </w:r>
      <w:r w:rsidRPr="000D07CA">
        <w:t>;</w:t>
      </w:r>
    </w:p>
    <w:p w14:paraId="5E90F918" w14:textId="39B19DD6" w:rsidR="00396DE0" w:rsidRPr="000D07CA" w:rsidRDefault="00396DE0" w:rsidP="00050160">
      <w:pPr>
        <w:shd w:val="clear" w:color="auto" w:fill="FFFFFF" w:themeFill="background1"/>
        <w:tabs>
          <w:tab w:val="left" w:pos="142"/>
          <w:tab w:val="left" w:pos="284"/>
          <w:tab w:val="left" w:pos="567"/>
        </w:tabs>
        <w:ind w:firstLine="567"/>
      </w:pPr>
      <w:r w:rsidRPr="000D07CA">
        <w:t xml:space="preserve">дані щодо обсягу активів, </w:t>
      </w:r>
      <w:r w:rsidR="00040A68">
        <w:t>що</w:t>
      </w:r>
      <w:r w:rsidRPr="000D07CA">
        <w:t xml:space="preserve"> є обтяженими (на дату Звіту </w:t>
      </w:r>
      <w:r w:rsidRPr="000D07CA">
        <w:rPr>
          <w:rFonts w:eastAsia="Calibri"/>
        </w:rPr>
        <w:t xml:space="preserve">щодо </w:t>
      </w:r>
      <w:r w:rsidRPr="000D07CA">
        <w:t xml:space="preserve">процесу ILAAP та </w:t>
      </w:r>
      <w:r w:rsidR="00040A68">
        <w:t>в</w:t>
      </w:r>
      <w:r w:rsidRPr="000D07CA">
        <w:t xml:space="preserve"> прогнозному періоді);</w:t>
      </w:r>
    </w:p>
    <w:p w14:paraId="7AB0F2CB" w14:textId="77777777" w:rsidR="00396DE0" w:rsidRPr="000D07CA" w:rsidRDefault="00396DE0" w:rsidP="00050160">
      <w:pPr>
        <w:shd w:val="clear" w:color="auto" w:fill="FFFFFF" w:themeFill="background1"/>
        <w:tabs>
          <w:tab w:val="left" w:pos="993"/>
        </w:tabs>
        <w:ind w:firstLine="567"/>
      </w:pPr>
    </w:p>
    <w:p w14:paraId="715F5738" w14:textId="77777777" w:rsidR="00396DE0" w:rsidRPr="000D07CA" w:rsidRDefault="00396DE0" w:rsidP="00050160">
      <w:pPr>
        <w:shd w:val="clear" w:color="auto" w:fill="FFFFFF" w:themeFill="background1"/>
        <w:tabs>
          <w:tab w:val="left" w:pos="993"/>
        </w:tabs>
        <w:ind w:firstLine="567"/>
      </w:pPr>
      <w:r w:rsidRPr="000D07CA">
        <w:t>2) оцінку ризику ліквідності щодо довгострокової ліквідності до та після здійснення стрес-тестування:</w:t>
      </w:r>
    </w:p>
    <w:p w14:paraId="71A1FABF" w14:textId="313087BB" w:rsidR="00396DE0" w:rsidRPr="000D07CA" w:rsidRDefault="00396DE0" w:rsidP="00050160">
      <w:pPr>
        <w:widowControl w:val="0"/>
        <w:shd w:val="clear" w:color="auto" w:fill="FFFFFF" w:themeFill="background1"/>
        <w:tabs>
          <w:tab w:val="left" w:pos="993"/>
        </w:tabs>
        <w:ind w:firstLine="567"/>
      </w:pPr>
      <w:r w:rsidRPr="000D07CA">
        <w:t>опис підходів</w:t>
      </w:r>
      <w:r w:rsidR="00040A68">
        <w:t> </w:t>
      </w:r>
      <w:r w:rsidRPr="000D07CA">
        <w:t>/</w:t>
      </w:r>
      <w:r w:rsidR="00040A68">
        <w:t> </w:t>
      </w:r>
      <w:r w:rsidRPr="000D07CA">
        <w:t>методології, моделей</w:t>
      </w:r>
      <w:r w:rsidR="00040A68">
        <w:t> </w:t>
      </w:r>
      <w:r w:rsidRPr="000D07CA">
        <w:t>/</w:t>
      </w:r>
      <w:r w:rsidR="00040A68">
        <w:t> </w:t>
      </w:r>
      <w:r w:rsidRPr="000D07CA">
        <w:t xml:space="preserve">методів та інструментів оцінки ризику, які використовувались банком, інформація про </w:t>
      </w:r>
      <w:proofErr w:type="spellStart"/>
      <w:r w:rsidRPr="000D07CA">
        <w:t>валідацію</w:t>
      </w:r>
      <w:proofErr w:type="spellEnd"/>
      <w:r w:rsidRPr="000D07CA">
        <w:t xml:space="preserve"> моделей та інструментів оцінки ризиків (опис, процедури </w:t>
      </w:r>
      <w:proofErr w:type="spellStart"/>
      <w:r w:rsidRPr="000D07CA">
        <w:t>валідації</w:t>
      </w:r>
      <w:proofErr w:type="spellEnd"/>
      <w:r w:rsidRPr="000D07CA">
        <w:t xml:space="preserve"> та результати останніх </w:t>
      </w:r>
      <w:proofErr w:type="spellStart"/>
      <w:r w:rsidRPr="000D07CA">
        <w:t>валідацій</w:t>
      </w:r>
      <w:proofErr w:type="spellEnd"/>
      <w:r w:rsidRPr="000D07CA">
        <w:t>);</w:t>
      </w:r>
    </w:p>
    <w:p w14:paraId="6E1D77E1" w14:textId="77777777" w:rsidR="00396DE0" w:rsidRPr="000D07CA" w:rsidRDefault="00396DE0" w:rsidP="00050160">
      <w:pPr>
        <w:shd w:val="clear" w:color="auto" w:fill="FFFFFF" w:themeFill="background1"/>
        <w:tabs>
          <w:tab w:val="left" w:pos="142"/>
          <w:tab w:val="left" w:pos="567"/>
        </w:tabs>
        <w:ind w:firstLine="567"/>
      </w:pPr>
      <w:r w:rsidRPr="000D07CA">
        <w:t>опис програми фінансування з урахуванням стратегії управління ризиками, профілю ризику та ризик-апетиту;</w:t>
      </w:r>
    </w:p>
    <w:p w14:paraId="7B8CF4BC" w14:textId="77777777" w:rsidR="00396DE0" w:rsidRPr="000D07CA" w:rsidRDefault="00396DE0" w:rsidP="00050160">
      <w:pPr>
        <w:shd w:val="clear" w:color="auto" w:fill="FFFFFF" w:themeFill="background1"/>
        <w:tabs>
          <w:tab w:val="left" w:pos="142"/>
        </w:tabs>
        <w:ind w:right="-57" w:firstLine="567"/>
      </w:pPr>
      <w:r w:rsidRPr="000D07CA">
        <w:t>оцінку стабільності джерел фінансування у межах профілю ризику фінансування та обставин, за яких вони можуть стати нестабільними;</w:t>
      </w:r>
    </w:p>
    <w:p w14:paraId="6995D631" w14:textId="77777777" w:rsidR="00396DE0" w:rsidRPr="000D07CA" w:rsidRDefault="00396DE0" w:rsidP="00050160">
      <w:pPr>
        <w:shd w:val="clear" w:color="auto" w:fill="FFFFFF" w:themeFill="background1"/>
        <w:tabs>
          <w:tab w:val="left" w:pos="142"/>
          <w:tab w:val="left" w:pos="567"/>
        </w:tabs>
        <w:ind w:firstLine="567"/>
      </w:pPr>
      <w:r w:rsidRPr="000D07CA">
        <w:t>оцінку доступу до пріоритетних ринків з урахуванням поточних чи майбутніх загроз або перешкод цьому доступу та наявності альтернативних джерел залучення коштів у разі обмеження або відсутності доступу до пріоритетних ринків;</w:t>
      </w:r>
    </w:p>
    <w:p w14:paraId="3447066B" w14:textId="77777777" w:rsidR="00396DE0" w:rsidRPr="000D07CA" w:rsidRDefault="00396DE0" w:rsidP="00050160">
      <w:pPr>
        <w:shd w:val="clear" w:color="auto" w:fill="FFFFFF" w:themeFill="background1"/>
        <w:tabs>
          <w:tab w:val="left" w:pos="142"/>
          <w:tab w:val="left" w:pos="567"/>
        </w:tabs>
        <w:ind w:firstLine="567"/>
      </w:pPr>
      <w:r w:rsidRPr="000D07CA">
        <w:t>опис політики фінансування в іноземних валютах, включаючи</w:t>
      </w:r>
      <w:r w:rsidRPr="000D07CA">
        <w:rPr>
          <w:shd w:val="clear" w:color="auto" w:fill="F5F5F5"/>
        </w:rPr>
        <w:t xml:space="preserve"> </w:t>
      </w:r>
      <w:r w:rsidRPr="000D07CA">
        <w:t>обґрунтовані</w:t>
      </w:r>
      <w:r w:rsidRPr="000D07CA">
        <w:rPr>
          <w:shd w:val="clear" w:color="auto" w:fill="F5F5F5"/>
        </w:rPr>
        <w:t xml:space="preserve"> </w:t>
      </w:r>
      <w:r w:rsidRPr="000D07CA">
        <w:t>припущення щодо</w:t>
      </w:r>
      <w:r w:rsidRPr="000D07CA">
        <w:rPr>
          <w:shd w:val="clear" w:color="auto" w:fill="F5F5F5"/>
        </w:rPr>
        <w:t xml:space="preserve"> </w:t>
      </w:r>
      <w:r w:rsidRPr="000D07CA">
        <w:t>доступності</w:t>
      </w:r>
      <w:r w:rsidRPr="000D07CA">
        <w:rPr>
          <w:shd w:val="clear" w:color="auto" w:fill="F5F5F5"/>
        </w:rPr>
        <w:t xml:space="preserve"> </w:t>
      </w:r>
      <w:r w:rsidRPr="000D07CA">
        <w:rPr>
          <w:shd w:val="clear" w:color="auto" w:fill="FFFFFF"/>
        </w:rPr>
        <w:t>та можливості</w:t>
      </w:r>
      <w:r w:rsidRPr="000D07CA">
        <w:rPr>
          <w:shd w:val="clear" w:color="auto" w:fill="F5F5F5"/>
        </w:rPr>
        <w:t xml:space="preserve"> </w:t>
      </w:r>
      <w:r w:rsidRPr="000D07CA">
        <w:t>конвертації</w:t>
      </w:r>
      <w:r w:rsidRPr="000D07CA">
        <w:rPr>
          <w:shd w:val="clear" w:color="auto" w:fill="F5F5F5"/>
        </w:rPr>
        <w:t xml:space="preserve"> </w:t>
      </w:r>
      <w:r w:rsidRPr="000D07CA">
        <w:t>цих</w:t>
      </w:r>
      <w:r w:rsidRPr="000D07CA">
        <w:rPr>
          <w:shd w:val="clear" w:color="auto" w:fill="F5F5F5"/>
        </w:rPr>
        <w:t xml:space="preserve"> </w:t>
      </w:r>
      <w:r w:rsidRPr="000D07CA">
        <w:t>валют;</w:t>
      </w:r>
    </w:p>
    <w:p w14:paraId="23CE10F0" w14:textId="0AEB445F" w:rsidR="00396DE0" w:rsidRPr="000D07CA" w:rsidRDefault="00396DE0" w:rsidP="00050160">
      <w:pPr>
        <w:shd w:val="clear" w:color="auto" w:fill="FFFFFF" w:themeFill="background1"/>
        <w:tabs>
          <w:tab w:val="left" w:pos="142"/>
          <w:tab w:val="left" w:pos="567"/>
        </w:tabs>
        <w:ind w:firstLine="567"/>
      </w:pPr>
      <w:r w:rsidRPr="000D07CA">
        <w:t xml:space="preserve">інформація про оцінку ризику довгострокової ліквідності, </w:t>
      </w:r>
      <w:r w:rsidRPr="000D07CA">
        <w:rPr>
          <w:shd w:val="clear" w:color="auto" w:fill="FFFFFF"/>
        </w:rPr>
        <w:t>показники, які використовуються банком для оцінки,</w:t>
      </w:r>
      <w:r w:rsidRPr="000D07CA">
        <w:t xml:space="preserve"> та відмінності цієї оцінки від розрахунку NSFR згідно з </w:t>
      </w:r>
      <w:r w:rsidR="0023398D" w:rsidRPr="0023398D">
        <w:t>методикою розрахунку коефіцієнта чистого стабільного фінансування (NSFR)</w:t>
      </w:r>
      <w:r w:rsidRPr="000D07CA">
        <w:t>;</w:t>
      </w:r>
    </w:p>
    <w:p w14:paraId="336C8767" w14:textId="19A8F125" w:rsidR="00396DE0" w:rsidRPr="000D07CA" w:rsidRDefault="00396DE0" w:rsidP="00050160">
      <w:pPr>
        <w:shd w:val="clear" w:color="auto" w:fill="FFFFFF" w:themeFill="background1"/>
        <w:tabs>
          <w:tab w:val="left" w:pos="142"/>
          <w:tab w:val="left" w:pos="284"/>
          <w:tab w:val="left" w:pos="567"/>
        </w:tabs>
        <w:ind w:firstLine="567"/>
      </w:pPr>
      <w:r w:rsidRPr="000D07CA">
        <w:t>розрахунок</w:t>
      </w:r>
      <w:r w:rsidRPr="000D07CA">
        <w:rPr>
          <w:shd w:val="clear" w:color="auto" w:fill="FFFFFF"/>
        </w:rPr>
        <w:t xml:space="preserve"> </w:t>
      </w:r>
      <w:r w:rsidRPr="000D07CA">
        <w:t xml:space="preserve">на прогнозні дати обсягу необхідної </w:t>
      </w:r>
      <w:r w:rsidRPr="000D07CA">
        <w:rPr>
          <w:shd w:val="clear" w:color="auto" w:fill="FFFFFF"/>
        </w:rPr>
        <w:t xml:space="preserve">внутрішньої ліквідності </w:t>
      </w:r>
      <w:r w:rsidRPr="000D07CA">
        <w:t xml:space="preserve">за економічною перспективою за всіма валютами загалом, а також </w:t>
      </w:r>
      <w:r w:rsidR="00F227E0">
        <w:t>у</w:t>
      </w:r>
      <w:r w:rsidRPr="000D07CA">
        <w:t xml:space="preserve"> розрізі значимих іноземних валют,</w:t>
      </w:r>
      <w:r w:rsidRPr="000D07CA">
        <w:rPr>
          <w:shd w:val="clear" w:color="auto" w:fill="FFFFFF"/>
        </w:rPr>
        <w:t xml:space="preserve"> обґрунтування припущень, що застосовувалися;</w:t>
      </w:r>
    </w:p>
    <w:p w14:paraId="65934771" w14:textId="77777777" w:rsidR="00396DE0" w:rsidRPr="000D07CA" w:rsidRDefault="00396DE0" w:rsidP="00050160">
      <w:pPr>
        <w:shd w:val="clear" w:color="auto" w:fill="FFFFFF" w:themeFill="background1"/>
        <w:tabs>
          <w:tab w:val="left" w:pos="142"/>
          <w:tab w:val="left" w:pos="567"/>
        </w:tabs>
        <w:ind w:firstLine="567"/>
        <w:rPr>
          <w:highlight w:val="yellow"/>
        </w:rPr>
      </w:pPr>
    </w:p>
    <w:p w14:paraId="424DDE37" w14:textId="3060C112" w:rsidR="00396DE0" w:rsidRPr="000D07CA" w:rsidRDefault="00AF2170" w:rsidP="00050160">
      <w:pPr>
        <w:shd w:val="clear" w:color="auto" w:fill="FFFFFF" w:themeFill="background1"/>
        <w:tabs>
          <w:tab w:val="left" w:pos="567"/>
        </w:tabs>
        <w:ind w:firstLine="567"/>
      </w:pPr>
      <w:r>
        <w:t>3</w:t>
      </w:r>
      <w:r w:rsidR="00396DE0" w:rsidRPr="000D07CA">
        <w:t>)</w:t>
      </w:r>
      <w:r w:rsidR="00396DE0" w:rsidRPr="000D07CA">
        <w:rPr>
          <w:b/>
          <w:bCs/>
        </w:rPr>
        <w:t xml:space="preserve"> </w:t>
      </w:r>
      <w:r w:rsidR="00396DE0" w:rsidRPr="000D07CA">
        <w:t xml:space="preserve">оцінку </w:t>
      </w:r>
      <w:proofErr w:type="spellStart"/>
      <w:r w:rsidR="00396DE0" w:rsidRPr="000D07CA">
        <w:t>внутрішньогрупових</w:t>
      </w:r>
      <w:proofErr w:type="spellEnd"/>
      <w:r w:rsidR="00396DE0" w:rsidRPr="000D07CA">
        <w:t xml:space="preserve"> відпливів</w:t>
      </w:r>
      <w:r w:rsidR="00F227E0">
        <w:t> </w:t>
      </w:r>
      <w:r w:rsidR="00396DE0" w:rsidRPr="000D07CA">
        <w:t>/</w:t>
      </w:r>
      <w:r w:rsidR="00F227E0">
        <w:t> </w:t>
      </w:r>
      <w:r w:rsidR="00396DE0" w:rsidRPr="000D07CA">
        <w:t>надходжень грошових коштів та джерел стабільного фінансування, включаючи будь-які юридичні, регуляторні чи інші перешкоди та обмеження щодо можливостей їх передавання в межах КІП;</w:t>
      </w:r>
    </w:p>
    <w:p w14:paraId="4052CA7C" w14:textId="77777777" w:rsidR="00396DE0" w:rsidRPr="000D07CA" w:rsidRDefault="00396DE0" w:rsidP="00050160">
      <w:pPr>
        <w:shd w:val="clear" w:color="auto" w:fill="FFFFFF" w:themeFill="background1"/>
        <w:tabs>
          <w:tab w:val="left" w:pos="-2268"/>
          <w:tab w:val="left" w:pos="1276"/>
          <w:tab w:val="left" w:pos="1418"/>
        </w:tabs>
        <w:ind w:firstLine="567"/>
        <w:rPr>
          <w:sz w:val="26"/>
          <w:szCs w:val="26"/>
        </w:rPr>
      </w:pPr>
    </w:p>
    <w:p w14:paraId="432EBD1B" w14:textId="7E8F3CFE" w:rsidR="00396DE0" w:rsidRPr="000D07CA" w:rsidRDefault="00396DE0" w:rsidP="00050160">
      <w:pPr>
        <w:pStyle w:val="a4"/>
        <w:widowControl w:val="0"/>
        <w:numPr>
          <w:ilvl w:val="0"/>
          <w:numId w:val="22"/>
        </w:numPr>
        <w:shd w:val="clear" w:color="auto" w:fill="FFFFFF" w:themeFill="background1"/>
        <w:tabs>
          <w:tab w:val="left" w:pos="0"/>
          <w:tab w:val="left" w:pos="993"/>
          <w:tab w:val="left" w:pos="1276"/>
          <w:tab w:val="left" w:pos="1418"/>
          <w:tab w:val="left" w:pos="1560"/>
        </w:tabs>
        <w:ind w:left="0" w:firstLine="567"/>
      </w:pPr>
      <w:r w:rsidRPr="000D07CA">
        <w:t xml:space="preserve">опис стрес-сценарію, </w:t>
      </w:r>
      <w:r w:rsidRPr="000D07CA">
        <w:rPr>
          <w:bCs/>
        </w:rPr>
        <w:t>який банк використав</w:t>
      </w:r>
      <w:r w:rsidRPr="000D07CA">
        <w:t xml:space="preserve"> під час оцінки достатності внутрішньої ліквідності (включаючи опис </w:t>
      </w:r>
      <w:r w:rsidRPr="000D07CA">
        <w:rPr>
          <w:shd w:val="clear" w:color="auto" w:fill="FFFFFF"/>
        </w:rPr>
        <w:t>методології</w:t>
      </w:r>
      <w:r w:rsidR="00F227E0">
        <w:rPr>
          <w:shd w:val="clear" w:color="auto" w:fill="FFFFFF"/>
        </w:rPr>
        <w:t> </w:t>
      </w:r>
      <w:r w:rsidRPr="000D07CA">
        <w:rPr>
          <w:shd w:val="clear" w:color="auto" w:fill="FFFFFF"/>
        </w:rPr>
        <w:t>/</w:t>
      </w:r>
      <w:r w:rsidR="00F227E0">
        <w:rPr>
          <w:shd w:val="clear" w:color="auto" w:fill="FFFFFF"/>
        </w:rPr>
        <w:t> </w:t>
      </w:r>
      <w:r w:rsidRPr="000D07CA">
        <w:rPr>
          <w:shd w:val="clear" w:color="auto" w:fill="FFFFFF"/>
        </w:rPr>
        <w:t xml:space="preserve">моделей та припущень, </w:t>
      </w:r>
      <w:r w:rsidRPr="000D07CA">
        <w:lastRenderedPageBreak/>
        <w:t>часових інтервалів,</w:t>
      </w:r>
      <w:r w:rsidRPr="000D07CA">
        <w:rPr>
          <w:shd w:val="clear" w:color="auto" w:fill="FFFFFF"/>
        </w:rPr>
        <w:t xml:space="preserve"> що </w:t>
      </w:r>
      <w:r w:rsidRPr="000D07CA">
        <w:t>використані, обґрунтування його адекватності);</w:t>
      </w:r>
    </w:p>
    <w:p w14:paraId="73198847" w14:textId="77777777" w:rsidR="00396DE0" w:rsidRPr="000D07CA" w:rsidRDefault="00396DE0" w:rsidP="00396DE0">
      <w:pPr>
        <w:shd w:val="clear" w:color="auto" w:fill="FFFFFF" w:themeFill="background1"/>
        <w:tabs>
          <w:tab w:val="left" w:pos="-2268"/>
          <w:tab w:val="left" w:pos="1276"/>
          <w:tab w:val="left" w:pos="1418"/>
        </w:tabs>
        <w:ind w:firstLine="709"/>
      </w:pPr>
    </w:p>
    <w:p w14:paraId="358DF2F8" w14:textId="31002261" w:rsidR="00396DE0" w:rsidRPr="000D07CA" w:rsidRDefault="00AF2170" w:rsidP="00050160">
      <w:pPr>
        <w:shd w:val="clear" w:color="auto" w:fill="FFFFFF" w:themeFill="background1"/>
        <w:tabs>
          <w:tab w:val="left" w:pos="-2268"/>
          <w:tab w:val="left" w:pos="1276"/>
          <w:tab w:val="left" w:pos="1418"/>
        </w:tabs>
        <w:ind w:firstLine="567"/>
      </w:pPr>
      <w:r>
        <w:t>5</w:t>
      </w:r>
      <w:r w:rsidR="00396DE0" w:rsidRPr="000D07CA">
        <w:t>) судження банку щодо складу визначеної доступної внутрішньої ліквідності за економічною перспективою;</w:t>
      </w:r>
    </w:p>
    <w:p w14:paraId="4F9CF37A" w14:textId="77777777" w:rsidR="00396DE0" w:rsidRPr="000D07CA" w:rsidRDefault="00396DE0" w:rsidP="00050160">
      <w:pPr>
        <w:shd w:val="clear" w:color="auto" w:fill="FFFFFF" w:themeFill="background1"/>
        <w:tabs>
          <w:tab w:val="left" w:pos="-2268"/>
          <w:tab w:val="left" w:pos="1276"/>
          <w:tab w:val="left" w:pos="1418"/>
        </w:tabs>
        <w:ind w:firstLine="567"/>
      </w:pPr>
    </w:p>
    <w:p w14:paraId="533575BF" w14:textId="538354A8" w:rsidR="00396DE0" w:rsidRPr="000D07CA" w:rsidRDefault="00AF2170" w:rsidP="00050160">
      <w:pPr>
        <w:widowControl w:val="0"/>
        <w:shd w:val="clear" w:color="auto" w:fill="FFFFFF" w:themeFill="background1"/>
        <w:tabs>
          <w:tab w:val="left" w:pos="0"/>
          <w:tab w:val="left" w:pos="142"/>
          <w:tab w:val="left" w:pos="284"/>
          <w:tab w:val="left" w:pos="993"/>
          <w:tab w:val="left" w:pos="1418"/>
          <w:tab w:val="left" w:pos="1701"/>
          <w:tab w:val="left" w:pos="1843"/>
        </w:tabs>
        <w:ind w:firstLine="567"/>
      </w:pPr>
      <w:bookmarkStart w:id="89" w:name="_Hlk39009364"/>
      <w:bookmarkStart w:id="90" w:name="_Hlk38013528"/>
      <w:bookmarkEnd w:id="89"/>
      <w:bookmarkEnd w:id="90"/>
      <w:r>
        <w:t>6</w:t>
      </w:r>
      <w:r w:rsidR="00396DE0" w:rsidRPr="000D07CA">
        <w:t>) судження банку щодо визначеного управлінського запасу внутрішньої ліквідності.</w:t>
      </w:r>
    </w:p>
    <w:p w14:paraId="44F305D7" w14:textId="77777777" w:rsidR="00396DE0" w:rsidRPr="000D07CA" w:rsidRDefault="00396DE0" w:rsidP="00050160">
      <w:pPr>
        <w:shd w:val="clear" w:color="auto" w:fill="FFFFFF" w:themeFill="background1"/>
        <w:tabs>
          <w:tab w:val="left" w:pos="1134"/>
          <w:tab w:val="left" w:pos="1418"/>
        </w:tabs>
        <w:ind w:firstLine="567"/>
      </w:pPr>
    </w:p>
    <w:p w14:paraId="3A33E0B3" w14:textId="1273219C" w:rsidR="00396DE0" w:rsidRPr="000D07CA" w:rsidRDefault="00396DE0" w:rsidP="00050160">
      <w:pPr>
        <w:shd w:val="clear" w:color="auto" w:fill="FFFFFF" w:themeFill="background1"/>
        <w:tabs>
          <w:tab w:val="left" w:pos="1134"/>
          <w:tab w:val="left" w:pos="1418"/>
        </w:tabs>
        <w:ind w:firstLine="567"/>
      </w:pPr>
      <w:r w:rsidRPr="000D07CA">
        <w:t>5. Розділ V “Моніторинг достатності внутрішньої ліквідності та самооцінка процесу ILAAP” містить інформацію про:</w:t>
      </w:r>
    </w:p>
    <w:p w14:paraId="733FF376" w14:textId="77777777" w:rsidR="00396DE0" w:rsidRPr="000D07CA" w:rsidRDefault="00396DE0" w:rsidP="00050160">
      <w:pPr>
        <w:widowControl w:val="0"/>
        <w:shd w:val="clear" w:color="auto" w:fill="FFFFFF" w:themeFill="background1"/>
        <w:tabs>
          <w:tab w:val="left" w:pos="1276"/>
          <w:tab w:val="left" w:pos="1418"/>
        </w:tabs>
        <w:ind w:firstLine="567"/>
        <w:contextualSpacing/>
      </w:pPr>
    </w:p>
    <w:p w14:paraId="776BFE29" w14:textId="2D44A7C1" w:rsidR="00396DE0" w:rsidRPr="000D07CA" w:rsidRDefault="00396DE0" w:rsidP="00050160">
      <w:pPr>
        <w:widowControl w:val="0"/>
        <w:shd w:val="clear" w:color="auto" w:fill="FFFFFF" w:themeFill="background1"/>
        <w:tabs>
          <w:tab w:val="left" w:pos="1276"/>
          <w:tab w:val="left" w:pos="1418"/>
        </w:tabs>
        <w:ind w:firstLine="567"/>
        <w:contextualSpacing/>
      </w:pPr>
      <w:r w:rsidRPr="000D07CA">
        <w:t xml:space="preserve">1) періодичність моніторингу та подання </w:t>
      </w:r>
      <w:r w:rsidRPr="00D82928">
        <w:t>раді</w:t>
      </w:r>
      <w:r w:rsidR="002A59A3">
        <w:t xml:space="preserve"> та </w:t>
      </w:r>
      <w:r w:rsidRPr="00D82928">
        <w:t>правлінню</w:t>
      </w:r>
      <w:r w:rsidRPr="000D07CA">
        <w:t xml:space="preserve"> банку</w:t>
      </w:r>
      <w:r w:rsidR="00F227E0">
        <w:t> </w:t>
      </w:r>
      <w:r w:rsidRPr="000D07CA">
        <w:t>/ відповідальної особи банківської групи управлінської звітності щодо достатності внутрішньої ліквідності;</w:t>
      </w:r>
    </w:p>
    <w:p w14:paraId="05025453" w14:textId="77777777" w:rsidR="00396DE0" w:rsidRPr="000D07CA" w:rsidRDefault="00396DE0" w:rsidP="00050160">
      <w:pPr>
        <w:widowControl w:val="0"/>
        <w:shd w:val="clear" w:color="auto" w:fill="FFFFFF" w:themeFill="background1"/>
        <w:tabs>
          <w:tab w:val="left" w:pos="1276"/>
          <w:tab w:val="left" w:pos="1418"/>
        </w:tabs>
        <w:ind w:firstLine="567"/>
        <w:contextualSpacing/>
      </w:pPr>
    </w:p>
    <w:p w14:paraId="45699725" w14:textId="77777777" w:rsidR="00396DE0" w:rsidRPr="000D07CA" w:rsidRDefault="00396DE0" w:rsidP="00050160">
      <w:pPr>
        <w:pStyle w:val="a4"/>
        <w:widowControl w:val="0"/>
        <w:numPr>
          <w:ilvl w:val="0"/>
          <w:numId w:val="23"/>
        </w:numPr>
        <w:shd w:val="clear" w:color="auto" w:fill="FFFFFF" w:themeFill="background1"/>
        <w:tabs>
          <w:tab w:val="left" w:pos="1134"/>
          <w:tab w:val="left" w:pos="2127"/>
        </w:tabs>
        <w:ind w:left="0" w:firstLine="567"/>
      </w:pPr>
      <w:r w:rsidRPr="000D07CA">
        <w:t>результати моніторингу достатності внутрішньої ліквідності та самооцінки процесу ILAAP;</w:t>
      </w:r>
    </w:p>
    <w:p w14:paraId="7ED8399C" w14:textId="77777777" w:rsidR="00396DE0" w:rsidRPr="000D07CA" w:rsidRDefault="00396DE0" w:rsidP="00050160">
      <w:pPr>
        <w:pStyle w:val="a4"/>
        <w:widowControl w:val="0"/>
        <w:shd w:val="clear" w:color="auto" w:fill="FFFFFF" w:themeFill="background1"/>
        <w:tabs>
          <w:tab w:val="left" w:pos="1276"/>
        </w:tabs>
        <w:ind w:left="0" w:firstLine="567"/>
        <w:rPr>
          <w:sz w:val="24"/>
          <w:szCs w:val="24"/>
        </w:rPr>
      </w:pPr>
    </w:p>
    <w:p w14:paraId="48270757" w14:textId="77C16D99" w:rsidR="00396DE0" w:rsidRPr="000D07CA" w:rsidRDefault="00396DE0" w:rsidP="00050160">
      <w:pPr>
        <w:widowControl w:val="0"/>
        <w:shd w:val="clear" w:color="auto" w:fill="FFFFFF" w:themeFill="background1"/>
        <w:tabs>
          <w:tab w:val="left" w:pos="1134"/>
        </w:tabs>
        <w:ind w:firstLine="567"/>
      </w:pPr>
      <w:r w:rsidRPr="000D07CA">
        <w:t>3)</w:t>
      </w:r>
      <w:r w:rsidRPr="000D07CA">
        <w:tab/>
        <w:t>коригуючі дії (за потреби), які банк ужив</w:t>
      </w:r>
      <w:r w:rsidR="00F227E0">
        <w:t> </w:t>
      </w:r>
      <w:r w:rsidRPr="000D07CA">
        <w:t>/</w:t>
      </w:r>
      <w:r w:rsidR="00F227E0">
        <w:t> </w:t>
      </w:r>
      <w:r w:rsidRPr="000D07CA">
        <w:t>планує вжити з метою виправлення виявлених недоліків за результатами самооцінки процесу ILAAP.</w:t>
      </w:r>
    </w:p>
    <w:p w14:paraId="1C515D37" w14:textId="77777777" w:rsidR="00396DE0" w:rsidRPr="000D07CA" w:rsidRDefault="00396DE0" w:rsidP="00050160">
      <w:pPr>
        <w:shd w:val="clear" w:color="auto" w:fill="FFFFFF" w:themeFill="background1"/>
        <w:tabs>
          <w:tab w:val="left" w:pos="426"/>
          <w:tab w:val="left" w:pos="993"/>
          <w:tab w:val="left" w:pos="1276"/>
          <w:tab w:val="left" w:pos="1418"/>
        </w:tabs>
        <w:ind w:firstLine="567"/>
      </w:pPr>
      <w:bookmarkStart w:id="91" w:name="_Hlk390093641"/>
      <w:bookmarkEnd w:id="91"/>
    </w:p>
    <w:p w14:paraId="7871BAD4" w14:textId="77777777" w:rsidR="00396DE0" w:rsidRPr="000D07CA" w:rsidRDefault="00396DE0" w:rsidP="00050160">
      <w:pPr>
        <w:pStyle w:val="a4"/>
        <w:shd w:val="clear" w:color="auto" w:fill="FFFFFF" w:themeFill="background1"/>
        <w:ind w:left="0" w:firstLine="567"/>
      </w:pPr>
      <w:r w:rsidRPr="000D07CA">
        <w:t xml:space="preserve">6. Разом зі Звітом </w:t>
      </w:r>
      <w:r w:rsidRPr="000D07CA">
        <w:rPr>
          <w:rFonts w:eastAsia="Calibri"/>
        </w:rPr>
        <w:t xml:space="preserve">щодо </w:t>
      </w:r>
      <w:r w:rsidRPr="000D07CA">
        <w:rPr>
          <w:lang w:eastAsia="ru-RU"/>
        </w:rPr>
        <w:t>процесу</w:t>
      </w:r>
      <w:r w:rsidRPr="000D07CA">
        <w:t xml:space="preserve"> ILAAP до Національного банку подаються такі документи:</w:t>
      </w:r>
    </w:p>
    <w:p w14:paraId="3E194B88" w14:textId="77777777" w:rsidR="00396DE0" w:rsidRPr="000D07CA" w:rsidRDefault="00396DE0" w:rsidP="00050160">
      <w:pPr>
        <w:pStyle w:val="a4"/>
        <w:shd w:val="clear" w:color="auto" w:fill="FFFFFF" w:themeFill="background1"/>
        <w:ind w:firstLine="567"/>
        <w:rPr>
          <w:sz w:val="24"/>
          <w:szCs w:val="24"/>
        </w:rPr>
      </w:pPr>
    </w:p>
    <w:p w14:paraId="6B736543" w14:textId="73788B26" w:rsidR="00396DE0" w:rsidRPr="000D07CA" w:rsidRDefault="00396DE0" w:rsidP="00050160">
      <w:pPr>
        <w:shd w:val="clear" w:color="auto" w:fill="FFFFFF" w:themeFill="background1"/>
        <w:tabs>
          <w:tab w:val="left" w:pos="1276"/>
        </w:tabs>
        <w:ind w:firstLine="567"/>
      </w:pPr>
      <w:r w:rsidRPr="000D07CA">
        <w:t xml:space="preserve">1) висновки про достатність внутрішньої ліквідності (англійською мовою </w:t>
      </w:r>
      <w:proofErr w:type="spellStart"/>
      <w:r w:rsidRPr="000D07CA">
        <w:t>Liquidity</w:t>
      </w:r>
      <w:proofErr w:type="spellEnd"/>
      <w:r w:rsidRPr="000D07CA">
        <w:t xml:space="preserve"> </w:t>
      </w:r>
      <w:proofErr w:type="spellStart"/>
      <w:r w:rsidRPr="000D07CA">
        <w:t>Adequacy</w:t>
      </w:r>
      <w:proofErr w:type="spellEnd"/>
      <w:r w:rsidRPr="000D07CA">
        <w:t xml:space="preserve"> </w:t>
      </w:r>
      <w:proofErr w:type="spellStart"/>
      <w:r w:rsidRPr="000D07CA">
        <w:t>Statement</w:t>
      </w:r>
      <w:proofErr w:type="spellEnd"/>
      <w:r w:rsidRPr="000D07CA">
        <w:t>) за результатами процесу ILAAP, затверджені радою банку</w:t>
      </w:r>
      <w:r w:rsidR="00F227E0">
        <w:t> </w:t>
      </w:r>
      <w:r w:rsidRPr="000D07CA">
        <w:t>/</w:t>
      </w:r>
      <w:r w:rsidR="009C3ED9">
        <w:t> </w:t>
      </w:r>
      <w:r w:rsidRPr="000D07CA">
        <w:t>відповідальної особи банківської групи;</w:t>
      </w:r>
    </w:p>
    <w:p w14:paraId="4500B8C5" w14:textId="77777777" w:rsidR="00396DE0" w:rsidRPr="000D07CA" w:rsidRDefault="00396DE0" w:rsidP="00050160">
      <w:pPr>
        <w:shd w:val="clear" w:color="auto" w:fill="FFFFFF" w:themeFill="background1"/>
        <w:tabs>
          <w:tab w:val="left" w:pos="1276"/>
        </w:tabs>
        <w:ind w:firstLine="567"/>
      </w:pPr>
    </w:p>
    <w:p w14:paraId="47BD3A1A" w14:textId="77777777" w:rsidR="00396DE0" w:rsidRPr="000D07CA" w:rsidRDefault="00396DE0" w:rsidP="00050160">
      <w:pPr>
        <w:shd w:val="clear" w:color="auto" w:fill="FFFFFF" w:themeFill="background1"/>
        <w:tabs>
          <w:tab w:val="left" w:pos="426"/>
          <w:tab w:val="left" w:pos="993"/>
          <w:tab w:val="left" w:pos="1276"/>
          <w:tab w:val="left" w:pos="1418"/>
        </w:tabs>
        <w:ind w:firstLine="567"/>
        <w:rPr>
          <w:rFonts w:eastAsia="Calibri"/>
        </w:rPr>
      </w:pPr>
      <w:r w:rsidRPr="000D07CA">
        <w:rPr>
          <w:shd w:val="clear" w:color="auto" w:fill="FFFFFF"/>
        </w:rPr>
        <w:t>2) плани банку: план підтримання достатності ліквідності та план фінансування в кризових ситуаціях (якщо він не поданий до Національного</w:t>
      </w:r>
      <w:r w:rsidRPr="000D07CA">
        <w:t xml:space="preserve"> банку разом із планом відновлення діяльності);</w:t>
      </w:r>
    </w:p>
    <w:p w14:paraId="416ADDCC" w14:textId="77777777" w:rsidR="00396DE0" w:rsidRPr="000D07CA" w:rsidRDefault="00396DE0" w:rsidP="00050160">
      <w:pPr>
        <w:shd w:val="clear" w:color="auto" w:fill="FFFFFF" w:themeFill="background1"/>
        <w:tabs>
          <w:tab w:val="left" w:pos="1276"/>
        </w:tabs>
        <w:ind w:firstLine="567"/>
      </w:pPr>
    </w:p>
    <w:p w14:paraId="3BCBB998" w14:textId="0F07E2C2" w:rsidR="00396DE0" w:rsidRPr="000D07CA" w:rsidRDefault="00396DE0" w:rsidP="00050160">
      <w:pPr>
        <w:pStyle w:val="a4"/>
        <w:widowControl w:val="0"/>
        <w:shd w:val="clear" w:color="auto" w:fill="FFFFFF" w:themeFill="background1"/>
        <w:tabs>
          <w:tab w:val="left" w:pos="426"/>
          <w:tab w:val="left" w:pos="993"/>
          <w:tab w:val="left" w:pos="1276"/>
          <w:tab w:val="left" w:pos="1418"/>
        </w:tabs>
        <w:ind w:left="0" w:firstLine="567"/>
        <w:rPr>
          <w:rFonts w:eastAsia="Calibri"/>
        </w:rPr>
      </w:pPr>
      <w:r w:rsidRPr="000D07CA">
        <w:rPr>
          <w:rFonts w:eastAsia="Calibri"/>
        </w:rPr>
        <w:t xml:space="preserve">3) </w:t>
      </w:r>
      <w:r w:rsidRPr="000D07CA">
        <w:t>внутрішньобанківські</w:t>
      </w:r>
      <w:r w:rsidR="009C3ED9">
        <w:t> </w:t>
      </w:r>
      <w:r w:rsidRPr="000D07CA">
        <w:t>/</w:t>
      </w:r>
      <w:r w:rsidR="009C3ED9">
        <w:t> </w:t>
      </w:r>
      <w:proofErr w:type="spellStart"/>
      <w:r w:rsidRPr="000D07CA">
        <w:t>внутрішньогрупові</w:t>
      </w:r>
      <w:proofErr w:type="spellEnd"/>
      <w:r w:rsidRPr="000D07CA">
        <w:t xml:space="preserve"> документи (якщо ці документи не подані разом зі звітом щодо процесу оцінки достатності внутрішнього капіталу), </w:t>
      </w:r>
      <w:r w:rsidR="00F227E0">
        <w:rPr>
          <w:rFonts w:eastAsia="Calibri"/>
        </w:rPr>
        <w:t>в</w:t>
      </w:r>
      <w:r w:rsidRPr="000D07CA">
        <w:rPr>
          <w:rFonts w:eastAsia="Calibri"/>
        </w:rPr>
        <w:t>ключаючи:</w:t>
      </w:r>
    </w:p>
    <w:p w14:paraId="119BD7EF" w14:textId="77777777" w:rsidR="00396DE0" w:rsidRPr="000D07CA" w:rsidRDefault="00396DE0" w:rsidP="00050160">
      <w:pPr>
        <w:pStyle w:val="a4"/>
        <w:widowControl w:val="0"/>
        <w:shd w:val="clear" w:color="auto" w:fill="FFFFFF" w:themeFill="background1"/>
        <w:tabs>
          <w:tab w:val="left" w:pos="426"/>
          <w:tab w:val="left" w:pos="993"/>
          <w:tab w:val="left" w:pos="1276"/>
          <w:tab w:val="left" w:pos="1418"/>
        </w:tabs>
        <w:ind w:left="0" w:firstLine="567"/>
        <w:rPr>
          <w:rFonts w:eastAsia="Calibri"/>
        </w:rPr>
      </w:pPr>
      <w:r w:rsidRPr="000D07CA">
        <w:rPr>
          <w:rFonts w:eastAsia="Calibri"/>
        </w:rPr>
        <w:t>стратегію управління ризиками, політику управління ризиком ліквідності;</w:t>
      </w:r>
    </w:p>
    <w:p w14:paraId="22B7ABE4" w14:textId="77777777" w:rsidR="00396DE0" w:rsidRPr="000D07CA" w:rsidRDefault="00396DE0" w:rsidP="00050160">
      <w:pPr>
        <w:pStyle w:val="a4"/>
        <w:widowControl w:val="0"/>
        <w:shd w:val="clear" w:color="auto" w:fill="FFFFFF" w:themeFill="background1"/>
        <w:tabs>
          <w:tab w:val="left" w:pos="426"/>
          <w:tab w:val="left" w:pos="993"/>
          <w:tab w:val="left" w:pos="1276"/>
          <w:tab w:val="left" w:pos="1418"/>
        </w:tabs>
        <w:ind w:left="0" w:firstLine="567"/>
        <w:rPr>
          <w:rFonts w:eastAsia="Calibri"/>
        </w:rPr>
      </w:pPr>
      <w:r w:rsidRPr="000D07CA">
        <w:t>порядок та процедури управління ризиком ліквідності;</w:t>
      </w:r>
    </w:p>
    <w:p w14:paraId="7B4A08EA" w14:textId="77777777" w:rsidR="00396DE0" w:rsidRPr="000D07CA" w:rsidRDefault="00396DE0" w:rsidP="00050160">
      <w:pPr>
        <w:shd w:val="clear" w:color="auto" w:fill="FFFFFF" w:themeFill="background1"/>
        <w:tabs>
          <w:tab w:val="left" w:pos="1418"/>
          <w:tab w:val="left" w:pos="1560"/>
        </w:tabs>
        <w:ind w:firstLine="567"/>
      </w:pPr>
      <w:r w:rsidRPr="000D07CA">
        <w:t>бізнес-план;</w:t>
      </w:r>
    </w:p>
    <w:p w14:paraId="6244F6F6" w14:textId="77777777" w:rsidR="00396DE0" w:rsidRPr="000D07CA" w:rsidRDefault="00396DE0" w:rsidP="00050160">
      <w:pPr>
        <w:pStyle w:val="a4"/>
        <w:widowControl w:val="0"/>
        <w:shd w:val="clear" w:color="auto" w:fill="FFFFFF" w:themeFill="background1"/>
        <w:tabs>
          <w:tab w:val="left" w:pos="426"/>
          <w:tab w:val="left" w:pos="993"/>
          <w:tab w:val="left" w:pos="1276"/>
          <w:tab w:val="left" w:pos="1418"/>
        </w:tabs>
        <w:ind w:left="0" w:firstLine="567"/>
        <w:rPr>
          <w:rFonts w:eastAsia="Calibri"/>
        </w:rPr>
      </w:pPr>
      <w:r w:rsidRPr="000D07CA">
        <w:rPr>
          <w:rFonts w:eastAsia="Calibri"/>
        </w:rPr>
        <w:t>декларацію схильності до ризиків (RAS);</w:t>
      </w:r>
    </w:p>
    <w:p w14:paraId="0AC3223F" w14:textId="77777777" w:rsidR="00396DE0" w:rsidRPr="000D07CA" w:rsidRDefault="00396DE0" w:rsidP="00050160">
      <w:pPr>
        <w:shd w:val="clear" w:color="auto" w:fill="FFFFFF" w:themeFill="background1"/>
        <w:tabs>
          <w:tab w:val="left" w:pos="1418"/>
          <w:tab w:val="left" w:pos="1560"/>
        </w:tabs>
        <w:ind w:firstLine="567"/>
      </w:pPr>
      <w:r w:rsidRPr="000D07CA">
        <w:t>інформацію щодо профілю ризику ліквідності на дату складання Звіту про ILAAP;</w:t>
      </w:r>
    </w:p>
    <w:p w14:paraId="7B058D6B" w14:textId="77777777" w:rsidR="00396DE0" w:rsidRPr="000D07CA" w:rsidRDefault="00396DE0" w:rsidP="00050160">
      <w:pPr>
        <w:shd w:val="clear" w:color="auto" w:fill="FFFFFF" w:themeFill="background1"/>
        <w:tabs>
          <w:tab w:val="left" w:pos="1418"/>
          <w:tab w:val="left" w:pos="1560"/>
        </w:tabs>
        <w:ind w:firstLine="567"/>
      </w:pPr>
      <w:r w:rsidRPr="000D07CA">
        <w:t>методику виявлення суттєвих ризиків;</w:t>
      </w:r>
    </w:p>
    <w:p w14:paraId="1F0F4D77" w14:textId="77777777" w:rsidR="00396DE0" w:rsidRPr="000D07CA" w:rsidRDefault="00396DE0" w:rsidP="00050160">
      <w:pPr>
        <w:pStyle w:val="a4"/>
        <w:widowControl w:val="0"/>
        <w:shd w:val="clear" w:color="auto" w:fill="FFFFFF" w:themeFill="background1"/>
        <w:tabs>
          <w:tab w:val="left" w:pos="426"/>
          <w:tab w:val="left" w:pos="993"/>
          <w:tab w:val="left" w:pos="1276"/>
          <w:tab w:val="left" w:pos="1418"/>
        </w:tabs>
        <w:ind w:left="0" w:firstLine="567"/>
      </w:pPr>
      <w:r w:rsidRPr="000D07CA">
        <w:t>програму проведення стрес-тестування;</w:t>
      </w:r>
    </w:p>
    <w:p w14:paraId="291B90FE" w14:textId="028C8F05" w:rsidR="00396DE0" w:rsidRPr="00B22B3C" w:rsidRDefault="00396DE0" w:rsidP="00050160">
      <w:pPr>
        <w:pStyle w:val="a4"/>
        <w:widowControl w:val="0"/>
        <w:shd w:val="clear" w:color="auto" w:fill="FFFFFF" w:themeFill="background1"/>
        <w:tabs>
          <w:tab w:val="left" w:pos="426"/>
          <w:tab w:val="left" w:pos="993"/>
          <w:tab w:val="left" w:pos="1276"/>
          <w:tab w:val="left" w:pos="1418"/>
        </w:tabs>
        <w:ind w:left="0" w:firstLine="567"/>
      </w:pPr>
      <w:r w:rsidRPr="00B22B3C">
        <w:rPr>
          <w:shd w:val="clear" w:color="auto" w:fill="FFFFFF"/>
        </w:rPr>
        <w:t>програму фінансування (</w:t>
      </w:r>
      <w:r w:rsidR="00B22B3C" w:rsidRPr="00B22B3C">
        <w:rPr>
          <w:shd w:val="clear" w:color="auto" w:fill="FFFFFF"/>
        </w:rPr>
        <w:t xml:space="preserve">англійською мовою </w:t>
      </w:r>
      <w:proofErr w:type="spellStart"/>
      <w:r w:rsidRPr="00B22B3C">
        <w:rPr>
          <w:shd w:val="clear" w:color="auto" w:fill="FFFFFF"/>
        </w:rPr>
        <w:t>funding</w:t>
      </w:r>
      <w:proofErr w:type="spellEnd"/>
      <w:r w:rsidRPr="00B22B3C">
        <w:rPr>
          <w:shd w:val="clear" w:color="auto" w:fill="FFFFFF"/>
        </w:rPr>
        <w:t xml:space="preserve"> </w:t>
      </w:r>
      <w:proofErr w:type="spellStart"/>
      <w:r w:rsidRPr="00B22B3C">
        <w:rPr>
          <w:shd w:val="clear" w:color="auto" w:fill="FFFFFF"/>
        </w:rPr>
        <w:t>strategy</w:t>
      </w:r>
      <w:proofErr w:type="spellEnd"/>
      <w:r w:rsidRPr="00B22B3C">
        <w:rPr>
          <w:shd w:val="clear" w:color="auto" w:fill="FFFFFF"/>
        </w:rPr>
        <w:t>);</w:t>
      </w:r>
    </w:p>
    <w:p w14:paraId="2196340C" w14:textId="77777777" w:rsidR="00396DE0" w:rsidRPr="000D07CA" w:rsidRDefault="00396DE0" w:rsidP="00396DE0">
      <w:pPr>
        <w:pStyle w:val="a4"/>
        <w:widowControl w:val="0"/>
        <w:shd w:val="clear" w:color="auto" w:fill="FFFFFF" w:themeFill="background1"/>
        <w:tabs>
          <w:tab w:val="left" w:pos="426"/>
          <w:tab w:val="left" w:pos="993"/>
          <w:tab w:val="left" w:pos="1276"/>
          <w:tab w:val="left" w:pos="1418"/>
        </w:tabs>
        <w:ind w:left="0" w:firstLine="709"/>
        <w:rPr>
          <w:sz w:val="24"/>
          <w:szCs w:val="24"/>
        </w:rPr>
      </w:pPr>
      <w:bookmarkStart w:id="92" w:name="_Hlk70246022"/>
      <w:bookmarkEnd w:id="92"/>
    </w:p>
    <w:p w14:paraId="1A5766AF" w14:textId="58913542" w:rsidR="00396DE0" w:rsidRPr="000D07CA" w:rsidRDefault="00396DE0" w:rsidP="00050160">
      <w:pPr>
        <w:pStyle w:val="a4"/>
        <w:widowControl w:val="0"/>
        <w:numPr>
          <w:ilvl w:val="0"/>
          <w:numId w:val="24"/>
        </w:numPr>
        <w:shd w:val="clear" w:color="auto" w:fill="FFFFFF" w:themeFill="background1"/>
        <w:tabs>
          <w:tab w:val="left" w:pos="426"/>
          <w:tab w:val="left" w:pos="993"/>
          <w:tab w:val="left" w:pos="1276"/>
          <w:tab w:val="left" w:pos="1418"/>
          <w:tab w:val="left" w:pos="1560"/>
        </w:tabs>
        <w:ind w:left="0" w:firstLine="567"/>
      </w:pPr>
      <w:r w:rsidRPr="000D07CA">
        <w:t>висновки підрозділу контролю за дотриманням норм (</w:t>
      </w:r>
      <w:proofErr w:type="spellStart"/>
      <w:r w:rsidRPr="000D07CA">
        <w:t>комплаєнс</w:t>
      </w:r>
      <w:proofErr w:type="spellEnd"/>
      <w:r w:rsidRPr="000D07CA">
        <w:t xml:space="preserve">) банку про відповідність процесу ІLААР вимогам цього Положення, підготовлені з урахуванням періодичності, визначеної </w:t>
      </w:r>
      <w:r w:rsidR="00F227E0">
        <w:t xml:space="preserve">в </w:t>
      </w:r>
      <w:r w:rsidR="009C3ED9">
        <w:t>підпункт</w:t>
      </w:r>
      <w:r w:rsidR="00F227E0">
        <w:t>і</w:t>
      </w:r>
      <w:r w:rsidR="009C3ED9">
        <w:t xml:space="preserve"> 1 </w:t>
      </w:r>
      <w:r w:rsidRPr="000D07CA">
        <w:t>пункт</w:t>
      </w:r>
      <w:r w:rsidR="009C3ED9">
        <w:t>у</w:t>
      </w:r>
      <w:r w:rsidRPr="000D07CA">
        <w:t xml:space="preserve"> </w:t>
      </w:r>
      <w:r w:rsidR="00294C24">
        <w:t>4</w:t>
      </w:r>
      <w:r w:rsidR="0005221A">
        <w:t>2</w:t>
      </w:r>
      <w:r w:rsidRPr="000D07CA">
        <w:t xml:space="preserve"> глави 9 розділу ІІІ цього Положення;</w:t>
      </w:r>
    </w:p>
    <w:p w14:paraId="260B1580" w14:textId="77777777" w:rsidR="00396DE0" w:rsidRDefault="00396DE0" w:rsidP="00050160">
      <w:pPr>
        <w:pStyle w:val="a4"/>
        <w:ind w:firstLine="567"/>
      </w:pPr>
    </w:p>
    <w:p w14:paraId="3C77E26E" w14:textId="762BDB92" w:rsidR="00396DE0" w:rsidRPr="000D07CA" w:rsidRDefault="00396DE0" w:rsidP="00050160">
      <w:pPr>
        <w:pStyle w:val="a4"/>
        <w:widowControl w:val="0"/>
        <w:numPr>
          <w:ilvl w:val="0"/>
          <w:numId w:val="24"/>
        </w:numPr>
        <w:shd w:val="clear" w:color="auto" w:fill="FFFFFF" w:themeFill="background1"/>
        <w:tabs>
          <w:tab w:val="left" w:pos="426"/>
          <w:tab w:val="left" w:pos="993"/>
          <w:tab w:val="left" w:pos="1276"/>
          <w:tab w:val="left" w:pos="1418"/>
        </w:tabs>
        <w:ind w:left="0" w:firstLine="567"/>
      </w:pPr>
      <w:r w:rsidRPr="000D07CA">
        <w:t xml:space="preserve">висновки підрозділу внутрішнього аудиту про ефективність процесу ILAAP, підготовлені з урахуванням періодичності, визначеної </w:t>
      </w:r>
      <w:r w:rsidR="00F227E0">
        <w:t xml:space="preserve">в </w:t>
      </w:r>
      <w:r w:rsidR="009C3ED9">
        <w:t>підпункт</w:t>
      </w:r>
      <w:r w:rsidR="00F227E0">
        <w:t>і</w:t>
      </w:r>
      <w:r w:rsidR="009C3ED9">
        <w:t xml:space="preserve"> 2 </w:t>
      </w:r>
      <w:r w:rsidRPr="000D07CA">
        <w:t>пункт</w:t>
      </w:r>
      <w:r w:rsidR="009C3ED9">
        <w:t>у</w:t>
      </w:r>
      <w:r w:rsidRPr="000D07CA">
        <w:t xml:space="preserve"> </w:t>
      </w:r>
      <w:r w:rsidR="00294C24">
        <w:t>4</w:t>
      </w:r>
      <w:r w:rsidR="0005221A">
        <w:t>2</w:t>
      </w:r>
      <w:r w:rsidRPr="000D07CA">
        <w:t xml:space="preserve"> глави 9 розділу ІІІ цього Положення;</w:t>
      </w:r>
    </w:p>
    <w:p w14:paraId="5E3678A4" w14:textId="77777777" w:rsidR="00396DE0" w:rsidRPr="000D07CA" w:rsidRDefault="00396DE0" w:rsidP="00050160">
      <w:pPr>
        <w:pStyle w:val="a4"/>
        <w:ind w:firstLine="567"/>
      </w:pPr>
    </w:p>
    <w:p w14:paraId="6ABF0DE2" w14:textId="77777777" w:rsidR="00396DE0" w:rsidRPr="000D07CA" w:rsidRDefault="00396DE0" w:rsidP="00050160">
      <w:pPr>
        <w:pStyle w:val="a4"/>
        <w:widowControl w:val="0"/>
        <w:numPr>
          <w:ilvl w:val="0"/>
          <w:numId w:val="24"/>
        </w:numPr>
        <w:shd w:val="clear" w:color="auto" w:fill="FFFFFF" w:themeFill="background1"/>
        <w:tabs>
          <w:tab w:val="left" w:pos="0"/>
          <w:tab w:val="left" w:pos="993"/>
          <w:tab w:val="left" w:pos="1418"/>
          <w:tab w:val="left" w:pos="1560"/>
          <w:tab w:val="left" w:pos="1985"/>
        </w:tabs>
        <w:ind w:left="0" w:firstLine="567"/>
      </w:pPr>
      <w:r w:rsidRPr="000D07CA">
        <w:t>інформацію про результати оцінки достатності внутрішньої ліквідності станом на 01 січня року, наступного за звітним, за форматом, визначеним у таблицях 1, 2 та 3 додатка 3 до цього Положення;</w:t>
      </w:r>
    </w:p>
    <w:p w14:paraId="3E847CEE" w14:textId="77777777" w:rsidR="00396DE0" w:rsidRPr="000D07CA" w:rsidRDefault="00396DE0" w:rsidP="00050160">
      <w:pPr>
        <w:shd w:val="clear" w:color="auto" w:fill="FFFFFF" w:themeFill="background1"/>
        <w:tabs>
          <w:tab w:val="left" w:pos="1276"/>
        </w:tabs>
        <w:ind w:firstLine="567"/>
      </w:pPr>
    </w:p>
    <w:p w14:paraId="7BB98A87" w14:textId="00FF8D71" w:rsidR="00396DE0" w:rsidRPr="000D07CA" w:rsidRDefault="00396DE0" w:rsidP="00050160">
      <w:pPr>
        <w:shd w:val="clear" w:color="auto" w:fill="FFFFFF" w:themeFill="background1"/>
        <w:tabs>
          <w:tab w:val="left" w:pos="1276"/>
        </w:tabs>
        <w:ind w:firstLine="567"/>
      </w:pPr>
      <w:r w:rsidRPr="000D07CA">
        <w:rPr>
          <w:shd w:val="clear" w:color="auto" w:fill="FFFFFF"/>
        </w:rPr>
        <w:t xml:space="preserve">7) перелік документів, які подаються разом зі </w:t>
      </w:r>
      <w:r w:rsidRPr="000D07CA">
        <w:t xml:space="preserve">Звітом </w:t>
      </w:r>
      <w:r w:rsidRPr="000D07CA">
        <w:rPr>
          <w:rFonts w:eastAsia="Calibri"/>
        </w:rPr>
        <w:t xml:space="preserve">щодо </w:t>
      </w:r>
      <w:r w:rsidRPr="000D07CA">
        <w:t>процесу ILAAP</w:t>
      </w:r>
      <w:r w:rsidRPr="000D07CA">
        <w:rPr>
          <w:shd w:val="clear" w:color="auto" w:fill="FFFFFF"/>
        </w:rPr>
        <w:t xml:space="preserve">, із зазначенням їх назв, інформації про затвердження, а також назв </w:t>
      </w:r>
      <w:r w:rsidRPr="000D07CA">
        <w:t xml:space="preserve">файлів документів, </w:t>
      </w:r>
      <w:r w:rsidR="00F227E0">
        <w:t>у</w:t>
      </w:r>
      <w:r w:rsidRPr="000D07CA">
        <w:t xml:space="preserve"> яких вони пода</w:t>
      </w:r>
      <w:r w:rsidR="00F227E0">
        <w:t>ю</w:t>
      </w:r>
      <w:r w:rsidRPr="000D07CA">
        <w:t>ться в електронн</w:t>
      </w:r>
      <w:r w:rsidR="00F227E0">
        <w:t>ій формі</w:t>
      </w:r>
      <w:r w:rsidRPr="000D07CA">
        <w:t>.</w:t>
      </w:r>
      <w:bookmarkStart w:id="93" w:name="_Hlk48820336"/>
      <w:bookmarkEnd w:id="93"/>
    </w:p>
    <w:p w14:paraId="1804559B" w14:textId="77777777" w:rsidR="00396DE0" w:rsidRPr="000D07CA" w:rsidRDefault="00396DE0" w:rsidP="00396DE0">
      <w:pPr>
        <w:shd w:val="clear" w:color="auto" w:fill="FFFFFF" w:themeFill="background1"/>
        <w:tabs>
          <w:tab w:val="left" w:pos="1276"/>
        </w:tabs>
        <w:ind w:firstLine="709"/>
        <w:rPr>
          <w:i/>
          <w:iCs/>
          <w:highlight w:val="white"/>
        </w:rPr>
        <w:sectPr w:rsidR="00396DE0" w:rsidRPr="000D07CA" w:rsidSect="002F4883">
          <w:headerReference w:type="default" r:id="rId18"/>
          <w:headerReference w:type="first" r:id="rId19"/>
          <w:pgSz w:w="11906" w:h="16838"/>
          <w:pgMar w:top="567" w:right="567" w:bottom="1701" w:left="1701" w:header="709" w:footer="0" w:gutter="0"/>
          <w:pgNumType w:start="1"/>
          <w:cols w:space="720"/>
          <w:formProt w:val="0"/>
          <w:titlePg/>
          <w:docGrid w:linePitch="381"/>
        </w:sectPr>
      </w:pPr>
    </w:p>
    <w:p w14:paraId="23E7BB0B" w14:textId="43F2BA92" w:rsidR="00396DE0" w:rsidRPr="000D07CA" w:rsidRDefault="00396DE0" w:rsidP="001C7CAC">
      <w:pPr>
        <w:jc w:val="center"/>
      </w:pPr>
      <w:r w:rsidRPr="000D07CA">
        <w:lastRenderedPageBreak/>
        <w:t>7. Інформація про результати оцінки достатності внутрішньої ліквідності</w:t>
      </w:r>
    </w:p>
    <w:p w14:paraId="0BFF48B3" w14:textId="77777777" w:rsidR="00396DE0" w:rsidRPr="000D07CA" w:rsidRDefault="00396DE0" w:rsidP="00396DE0">
      <w:pPr>
        <w:jc w:val="center"/>
        <w:rPr>
          <w:sz w:val="20"/>
          <w:szCs w:val="20"/>
        </w:rPr>
      </w:pPr>
    </w:p>
    <w:p w14:paraId="5B94BB3D" w14:textId="4840E88C" w:rsidR="00396DE0" w:rsidRPr="000D07CA" w:rsidRDefault="00952578" w:rsidP="00396DE0">
      <w:pPr>
        <w:jc w:val="center"/>
        <w:rPr>
          <w:bCs/>
        </w:rPr>
      </w:pPr>
      <w:r>
        <w:t>7.1</w:t>
      </w:r>
      <w:r w:rsidR="00311853" w:rsidRPr="00311853">
        <w:rPr>
          <w:lang w:val="ru-RU"/>
        </w:rPr>
        <w:t>.</w:t>
      </w:r>
      <w:r>
        <w:t xml:space="preserve"> </w:t>
      </w:r>
      <w:r w:rsidR="00396DE0" w:rsidRPr="000D07CA">
        <w:t xml:space="preserve">Про результати оцінки достатності внутрішньої ліквідності за економічною </w:t>
      </w:r>
      <w:r w:rsidR="00396DE0" w:rsidRPr="000D07CA">
        <w:rPr>
          <w:bCs/>
        </w:rPr>
        <w:t>перспективою</w:t>
      </w:r>
    </w:p>
    <w:p w14:paraId="73E0068C" w14:textId="77777777" w:rsidR="00396DE0" w:rsidRPr="000D07CA" w:rsidRDefault="00396DE0" w:rsidP="00396DE0">
      <w:pPr>
        <w:jc w:val="center"/>
        <w:rPr>
          <w:sz w:val="2"/>
          <w:szCs w:val="2"/>
        </w:rPr>
      </w:pPr>
    </w:p>
    <w:p w14:paraId="74681E92" w14:textId="77777777" w:rsidR="00396DE0" w:rsidRPr="000D07CA" w:rsidRDefault="00396DE0" w:rsidP="00396DE0">
      <w:pPr>
        <w:jc w:val="right"/>
      </w:pPr>
      <w:r w:rsidRPr="000D07CA">
        <w:t>Таблиця 1</w:t>
      </w:r>
    </w:p>
    <w:p w14:paraId="5969AEAA" w14:textId="77777777" w:rsidR="00396DE0" w:rsidRPr="000D07CA" w:rsidRDefault="00396DE0" w:rsidP="00396DE0">
      <w:pPr>
        <w:jc w:val="right"/>
      </w:pPr>
      <w:r w:rsidRPr="000D07CA">
        <w:t>тис. грн</w:t>
      </w:r>
    </w:p>
    <w:tbl>
      <w:tblPr>
        <w:tblW w:w="15226" w:type="dxa"/>
        <w:tblInd w:w="13" w:type="dxa"/>
        <w:tblCellMar>
          <w:top w:w="15" w:type="dxa"/>
          <w:left w:w="15" w:type="dxa"/>
          <w:right w:w="15" w:type="dxa"/>
        </w:tblCellMar>
        <w:tblLook w:val="04A0" w:firstRow="1" w:lastRow="0" w:firstColumn="1" w:lastColumn="0" w:noHBand="0" w:noVBand="1"/>
      </w:tblPr>
      <w:tblGrid>
        <w:gridCol w:w="519"/>
        <w:gridCol w:w="785"/>
        <w:gridCol w:w="1515"/>
        <w:gridCol w:w="2127"/>
        <w:gridCol w:w="2126"/>
        <w:gridCol w:w="2993"/>
        <w:gridCol w:w="2541"/>
        <w:gridCol w:w="2620"/>
      </w:tblGrid>
      <w:tr w:rsidR="00396DE0" w:rsidRPr="00565FAA" w14:paraId="3018D8DF" w14:textId="77777777" w:rsidTr="00494D97">
        <w:trPr>
          <w:trHeight w:val="900"/>
        </w:trPr>
        <w:tc>
          <w:tcPr>
            <w:tcW w:w="519" w:type="dxa"/>
            <w:vMerge w:val="restart"/>
            <w:tcBorders>
              <w:top w:val="single" w:sz="2" w:space="0" w:color="4C4C4C"/>
              <w:left w:val="single" w:sz="2" w:space="0" w:color="4C4C4C"/>
              <w:bottom w:val="single" w:sz="2" w:space="0" w:color="4C4C4C"/>
              <w:right w:val="single" w:sz="2" w:space="0" w:color="4C4C4C"/>
            </w:tcBorders>
            <w:shd w:val="clear" w:color="auto" w:fill="auto"/>
            <w:vAlign w:val="center"/>
          </w:tcPr>
          <w:p w14:paraId="465E91B0" w14:textId="00D8295F" w:rsidR="00396DE0" w:rsidRPr="00565FAA" w:rsidRDefault="00396DE0" w:rsidP="009B5341">
            <w:pPr>
              <w:jc w:val="center"/>
              <w:textAlignment w:val="bottom"/>
            </w:pPr>
            <w:r w:rsidRPr="00565FAA">
              <w:rPr>
                <w:rFonts w:eastAsia="SimSun"/>
                <w:lang w:eastAsia="zh-CN" w:bidi="ar"/>
              </w:rPr>
              <w:t>№ з</w:t>
            </w:r>
            <w:r w:rsidR="00A733F1">
              <w:rPr>
                <w:rFonts w:eastAsia="SimSun"/>
                <w:lang w:eastAsia="zh-CN" w:bidi="ar"/>
              </w:rPr>
              <w:t>/</w:t>
            </w:r>
            <w:r w:rsidRPr="00565FAA">
              <w:rPr>
                <w:rFonts w:eastAsia="SimSun"/>
                <w:lang w:eastAsia="zh-CN" w:bidi="ar"/>
              </w:rPr>
              <w:t>п</w:t>
            </w:r>
          </w:p>
        </w:tc>
        <w:tc>
          <w:tcPr>
            <w:tcW w:w="785" w:type="dxa"/>
            <w:vMerge w:val="restart"/>
            <w:tcBorders>
              <w:top w:val="single" w:sz="2" w:space="0" w:color="4C4C4C"/>
              <w:left w:val="single" w:sz="2" w:space="0" w:color="4C4C4C"/>
              <w:bottom w:val="single" w:sz="2" w:space="0" w:color="4C4C4C"/>
              <w:right w:val="single" w:sz="2" w:space="0" w:color="4C4C4C"/>
            </w:tcBorders>
            <w:shd w:val="clear" w:color="auto" w:fill="auto"/>
            <w:vAlign w:val="center"/>
          </w:tcPr>
          <w:p w14:paraId="3507F64A" w14:textId="77777777" w:rsidR="00396DE0" w:rsidRPr="00565FAA" w:rsidRDefault="00396DE0" w:rsidP="009B5341">
            <w:pPr>
              <w:jc w:val="center"/>
              <w:textAlignment w:val="bottom"/>
            </w:pPr>
            <w:r w:rsidRPr="00565FAA">
              <w:rPr>
                <w:rFonts w:eastAsia="SimSun"/>
                <w:lang w:eastAsia="zh-CN" w:bidi="ar"/>
              </w:rPr>
              <w:t>№ показ-</w:t>
            </w:r>
            <w:proofErr w:type="spellStart"/>
            <w:r w:rsidRPr="00565FAA">
              <w:rPr>
                <w:rFonts w:eastAsia="SimSun"/>
                <w:lang w:eastAsia="zh-CN" w:bidi="ar"/>
              </w:rPr>
              <w:t>ника</w:t>
            </w:r>
            <w:proofErr w:type="spellEnd"/>
          </w:p>
        </w:tc>
        <w:tc>
          <w:tcPr>
            <w:tcW w:w="1515" w:type="dxa"/>
            <w:vMerge w:val="restart"/>
            <w:tcBorders>
              <w:top w:val="single" w:sz="2" w:space="0" w:color="4C4C4C"/>
              <w:left w:val="single" w:sz="2" w:space="0" w:color="4C4C4C"/>
              <w:bottom w:val="single" w:sz="2" w:space="0" w:color="4C4C4C"/>
              <w:right w:val="single" w:sz="2" w:space="0" w:color="4C4C4C"/>
            </w:tcBorders>
            <w:shd w:val="clear" w:color="auto" w:fill="auto"/>
            <w:vAlign w:val="center"/>
          </w:tcPr>
          <w:p w14:paraId="0D803733" w14:textId="77777777" w:rsidR="00396DE0" w:rsidRPr="00565FAA" w:rsidRDefault="00396DE0" w:rsidP="009B5341">
            <w:pPr>
              <w:jc w:val="center"/>
              <w:textAlignment w:val="center"/>
            </w:pPr>
            <w:r w:rsidRPr="00565FAA">
              <w:rPr>
                <w:rFonts w:eastAsia="SimSun"/>
                <w:lang w:eastAsia="zh-CN" w:bidi="ar"/>
              </w:rPr>
              <w:t>Дата</w:t>
            </w:r>
          </w:p>
        </w:tc>
        <w:tc>
          <w:tcPr>
            <w:tcW w:w="4253" w:type="dxa"/>
            <w:gridSpan w:val="2"/>
            <w:tcBorders>
              <w:top w:val="single" w:sz="2" w:space="0" w:color="4C4C4C"/>
              <w:left w:val="single" w:sz="2" w:space="0" w:color="4C4C4C"/>
              <w:bottom w:val="single" w:sz="2" w:space="0" w:color="4C4C4C"/>
              <w:right w:val="single" w:sz="2" w:space="0" w:color="4C4C4C"/>
            </w:tcBorders>
            <w:shd w:val="clear" w:color="auto" w:fill="auto"/>
            <w:vAlign w:val="center"/>
          </w:tcPr>
          <w:p w14:paraId="0AD2497E" w14:textId="77777777" w:rsidR="00396DE0" w:rsidRPr="00565FAA" w:rsidRDefault="00396DE0" w:rsidP="009B5341">
            <w:pPr>
              <w:jc w:val="center"/>
              <w:textAlignment w:val="bottom"/>
            </w:pPr>
            <w:r w:rsidRPr="00565FAA">
              <w:rPr>
                <w:rFonts w:eastAsia="SimSun"/>
                <w:lang w:eastAsia="zh-CN" w:bidi="ar"/>
              </w:rPr>
              <w:t>Обсяг необхідної</w:t>
            </w:r>
            <w:r w:rsidRPr="00565FAA">
              <w:rPr>
                <w:rFonts w:eastAsia="SimSun"/>
                <w:lang w:eastAsia="zh-CN" w:bidi="ar"/>
              </w:rPr>
              <w:br/>
              <w:t xml:space="preserve">внутрішньої ліквідності </w:t>
            </w:r>
          </w:p>
        </w:tc>
        <w:tc>
          <w:tcPr>
            <w:tcW w:w="2993" w:type="dxa"/>
            <w:vMerge w:val="restart"/>
            <w:tcBorders>
              <w:top w:val="single" w:sz="2" w:space="0" w:color="4C4C4C"/>
              <w:left w:val="single" w:sz="2" w:space="0" w:color="4C4C4C"/>
              <w:bottom w:val="single" w:sz="2" w:space="0" w:color="4C4C4C"/>
              <w:right w:val="single" w:sz="2" w:space="0" w:color="4C4C4C"/>
            </w:tcBorders>
            <w:shd w:val="clear" w:color="auto" w:fill="auto"/>
            <w:vAlign w:val="center"/>
          </w:tcPr>
          <w:p w14:paraId="405A0F76" w14:textId="77777777" w:rsidR="00396DE0" w:rsidRPr="00565FAA" w:rsidRDefault="00396DE0" w:rsidP="009B5341">
            <w:pPr>
              <w:jc w:val="center"/>
              <w:textAlignment w:val="center"/>
            </w:pPr>
            <w:r w:rsidRPr="00565FAA">
              <w:rPr>
                <w:rFonts w:eastAsia="SimSun"/>
                <w:lang w:eastAsia="zh-CN" w:bidi="ar"/>
              </w:rPr>
              <w:t>Обсяг доступної</w:t>
            </w:r>
            <w:r w:rsidRPr="00565FAA">
              <w:rPr>
                <w:rFonts w:eastAsia="SimSun"/>
                <w:lang w:eastAsia="zh-CN" w:bidi="ar"/>
              </w:rPr>
              <w:br/>
              <w:t xml:space="preserve">внутрішньої ліквідності </w:t>
            </w:r>
          </w:p>
        </w:tc>
        <w:tc>
          <w:tcPr>
            <w:tcW w:w="5161" w:type="dxa"/>
            <w:gridSpan w:val="2"/>
            <w:tcBorders>
              <w:top w:val="single" w:sz="2" w:space="0" w:color="4C4C4C"/>
              <w:left w:val="single" w:sz="2" w:space="0" w:color="4C4C4C"/>
              <w:bottom w:val="single" w:sz="2" w:space="0" w:color="4C4C4C"/>
              <w:right w:val="single" w:sz="2" w:space="0" w:color="4C4C4C"/>
            </w:tcBorders>
            <w:shd w:val="clear" w:color="auto" w:fill="auto"/>
            <w:vAlign w:val="center"/>
          </w:tcPr>
          <w:p w14:paraId="5A0FED8B" w14:textId="77777777" w:rsidR="00396DE0" w:rsidRPr="00565FAA" w:rsidRDefault="00396DE0" w:rsidP="009B5341">
            <w:pPr>
              <w:jc w:val="center"/>
              <w:textAlignment w:val="bottom"/>
            </w:pPr>
            <w:r w:rsidRPr="00565FAA">
              <w:rPr>
                <w:rFonts w:eastAsia="SimSun"/>
                <w:lang w:eastAsia="zh-CN" w:bidi="ar"/>
              </w:rPr>
              <w:t>Достатність внутрішньої ліквідності</w:t>
            </w:r>
            <w:r w:rsidRPr="00565FAA">
              <w:rPr>
                <w:rFonts w:eastAsia="SimSun"/>
                <w:lang w:eastAsia="zh-CN" w:bidi="ar"/>
              </w:rPr>
              <w:br/>
              <w:t>(різниця між доступною та необхідною внутрішньою ліквідністю)</w:t>
            </w:r>
          </w:p>
        </w:tc>
      </w:tr>
      <w:tr w:rsidR="00396DE0" w:rsidRPr="00565FAA" w14:paraId="654E786E" w14:textId="77777777" w:rsidTr="00494D97">
        <w:trPr>
          <w:trHeight w:val="533"/>
        </w:trPr>
        <w:tc>
          <w:tcPr>
            <w:tcW w:w="519" w:type="dxa"/>
            <w:vMerge/>
            <w:tcBorders>
              <w:top w:val="single" w:sz="2" w:space="0" w:color="4C4C4C"/>
              <w:left w:val="single" w:sz="2" w:space="0" w:color="4C4C4C"/>
              <w:bottom w:val="single" w:sz="2" w:space="0" w:color="4C4C4C"/>
              <w:right w:val="single" w:sz="2" w:space="0" w:color="4C4C4C"/>
            </w:tcBorders>
            <w:shd w:val="clear" w:color="auto" w:fill="auto"/>
            <w:vAlign w:val="center"/>
          </w:tcPr>
          <w:p w14:paraId="4444A1A7" w14:textId="77777777" w:rsidR="00396DE0" w:rsidRPr="00565FAA" w:rsidRDefault="00396DE0" w:rsidP="009B5341"/>
        </w:tc>
        <w:tc>
          <w:tcPr>
            <w:tcW w:w="785" w:type="dxa"/>
            <w:vMerge/>
            <w:tcBorders>
              <w:top w:val="single" w:sz="2" w:space="0" w:color="4C4C4C"/>
              <w:left w:val="single" w:sz="2" w:space="0" w:color="4C4C4C"/>
              <w:bottom w:val="single" w:sz="2" w:space="0" w:color="4C4C4C"/>
              <w:right w:val="single" w:sz="2" w:space="0" w:color="4C4C4C"/>
            </w:tcBorders>
            <w:shd w:val="clear" w:color="auto" w:fill="auto"/>
            <w:vAlign w:val="center"/>
          </w:tcPr>
          <w:p w14:paraId="17FA57D1" w14:textId="77777777" w:rsidR="00396DE0" w:rsidRPr="00565FAA" w:rsidRDefault="00396DE0" w:rsidP="009B5341"/>
        </w:tc>
        <w:tc>
          <w:tcPr>
            <w:tcW w:w="1515" w:type="dxa"/>
            <w:vMerge/>
            <w:tcBorders>
              <w:top w:val="single" w:sz="2" w:space="0" w:color="4C4C4C"/>
              <w:left w:val="single" w:sz="2" w:space="0" w:color="4C4C4C"/>
              <w:bottom w:val="single" w:sz="2" w:space="0" w:color="4C4C4C"/>
              <w:right w:val="single" w:sz="2" w:space="0" w:color="4C4C4C"/>
            </w:tcBorders>
            <w:shd w:val="clear" w:color="auto" w:fill="auto"/>
            <w:vAlign w:val="center"/>
          </w:tcPr>
          <w:p w14:paraId="7A079FB9" w14:textId="77777777" w:rsidR="00396DE0" w:rsidRPr="00565FAA" w:rsidRDefault="00396DE0" w:rsidP="009B5341">
            <w:pPr>
              <w:jc w:val="center"/>
            </w:pP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1878242" w14:textId="77777777" w:rsidR="00396DE0" w:rsidRPr="00565FAA" w:rsidRDefault="00396DE0" w:rsidP="009B5341">
            <w:pPr>
              <w:ind w:left="-113" w:right="-57"/>
              <w:jc w:val="center"/>
              <w:textAlignment w:val="bottom"/>
            </w:pPr>
            <w:r w:rsidRPr="00565FAA">
              <w:rPr>
                <w:rFonts w:eastAsia="SimSun"/>
                <w:lang w:eastAsia="zh-CN" w:bidi="ar"/>
              </w:rPr>
              <w:t>без урахування стрес-тестування</w:t>
            </w:r>
          </w:p>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69CCFCF" w14:textId="77777777" w:rsidR="00396DE0" w:rsidRPr="00565FAA" w:rsidRDefault="00396DE0" w:rsidP="009B5341">
            <w:pPr>
              <w:jc w:val="center"/>
              <w:textAlignment w:val="bottom"/>
            </w:pPr>
            <w:r w:rsidRPr="00565FAA">
              <w:rPr>
                <w:rFonts w:eastAsia="SimSun"/>
                <w:lang w:eastAsia="zh-CN" w:bidi="ar"/>
              </w:rPr>
              <w:t xml:space="preserve">з урахуванням стрес-тестування </w:t>
            </w:r>
          </w:p>
        </w:tc>
        <w:tc>
          <w:tcPr>
            <w:tcW w:w="2993" w:type="dxa"/>
            <w:vMerge/>
            <w:tcBorders>
              <w:top w:val="single" w:sz="2" w:space="0" w:color="4C4C4C"/>
              <w:left w:val="single" w:sz="2" w:space="0" w:color="4C4C4C"/>
              <w:bottom w:val="single" w:sz="2" w:space="0" w:color="4C4C4C"/>
              <w:right w:val="single" w:sz="2" w:space="0" w:color="4C4C4C"/>
            </w:tcBorders>
            <w:shd w:val="clear" w:color="auto" w:fill="auto"/>
            <w:vAlign w:val="center"/>
          </w:tcPr>
          <w:p w14:paraId="18DCE3A9" w14:textId="77777777" w:rsidR="00396DE0" w:rsidRPr="00565FAA" w:rsidRDefault="00396DE0" w:rsidP="009B5341">
            <w:pPr>
              <w:jc w:val="center"/>
            </w:pPr>
          </w:p>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D168B5B" w14:textId="75687110" w:rsidR="00396DE0" w:rsidRPr="00565FAA" w:rsidRDefault="00396DE0" w:rsidP="009B5341">
            <w:pPr>
              <w:jc w:val="center"/>
              <w:textAlignment w:val="center"/>
            </w:pPr>
            <w:r w:rsidRPr="00565FAA">
              <w:rPr>
                <w:rFonts w:eastAsia="SimSun"/>
                <w:lang w:eastAsia="zh-CN" w:bidi="ar"/>
              </w:rPr>
              <w:t>позитивна (немає потреби в ліквідності)</w:t>
            </w:r>
          </w:p>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4ED0E68" w14:textId="77777777" w:rsidR="00396DE0" w:rsidRPr="00565FAA" w:rsidRDefault="00396DE0" w:rsidP="009B5341">
            <w:pPr>
              <w:ind w:left="-57" w:right="-57"/>
              <w:jc w:val="center"/>
              <w:textAlignment w:val="center"/>
            </w:pPr>
            <w:r w:rsidRPr="00565FAA">
              <w:rPr>
                <w:rFonts w:eastAsia="SimSun"/>
                <w:lang w:eastAsia="zh-CN" w:bidi="ar"/>
              </w:rPr>
              <w:t>негативна (є потреба</w:t>
            </w:r>
            <w:r w:rsidRPr="00565FAA">
              <w:rPr>
                <w:rFonts w:eastAsia="SimSun"/>
                <w:lang w:eastAsia="zh-CN" w:bidi="ar"/>
              </w:rPr>
              <w:br/>
              <w:t>в ліквідності)</w:t>
            </w:r>
          </w:p>
        </w:tc>
      </w:tr>
      <w:tr w:rsidR="00396DE0" w:rsidRPr="00565FAA" w14:paraId="00653F03" w14:textId="77777777" w:rsidTr="00494D97">
        <w:trPr>
          <w:trHeight w:val="66"/>
        </w:trPr>
        <w:tc>
          <w:tcPr>
            <w:tcW w:w="519" w:type="dxa"/>
            <w:tcBorders>
              <w:left w:val="single" w:sz="2" w:space="0" w:color="4C4C4C"/>
              <w:bottom w:val="single" w:sz="2" w:space="0" w:color="4C4C4C"/>
              <w:right w:val="single" w:sz="2" w:space="0" w:color="4C4C4C"/>
            </w:tcBorders>
            <w:shd w:val="clear" w:color="auto" w:fill="auto"/>
            <w:vAlign w:val="center"/>
          </w:tcPr>
          <w:p w14:paraId="0E6F0D33" w14:textId="77777777" w:rsidR="00396DE0" w:rsidRPr="00565FAA" w:rsidRDefault="00396DE0" w:rsidP="009B5341">
            <w:pPr>
              <w:jc w:val="center"/>
              <w:textAlignment w:val="bottom"/>
            </w:pPr>
            <w:r w:rsidRPr="00565FAA">
              <w:rPr>
                <w:rFonts w:eastAsia="SimSun"/>
                <w:lang w:eastAsia="zh-CN" w:bidi="ar"/>
              </w:rPr>
              <w:t>1</w:t>
            </w:r>
          </w:p>
        </w:tc>
        <w:tc>
          <w:tcPr>
            <w:tcW w:w="785" w:type="dxa"/>
            <w:tcBorders>
              <w:left w:val="single" w:sz="2" w:space="0" w:color="4C4C4C"/>
              <w:bottom w:val="single" w:sz="2" w:space="0" w:color="4C4C4C"/>
              <w:right w:val="single" w:sz="2" w:space="0" w:color="4C4C4C"/>
            </w:tcBorders>
            <w:shd w:val="clear" w:color="auto" w:fill="auto"/>
            <w:vAlign w:val="center"/>
          </w:tcPr>
          <w:p w14:paraId="555A0CF5" w14:textId="77777777" w:rsidR="00396DE0" w:rsidRPr="00565FAA" w:rsidRDefault="00396DE0" w:rsidP="009B5341">
            <w:pPr>
              <w:jc w:val="center"/>
              <w:textAlignment w:val="bottom"/>
            </w:pPr>
            <w:r w:rsidRPr="00565FAA">
              <w:rPr>
                <w:rFonts w:eastAsia="SimSun"/>
                <w:lang w:eastAsia="zh-CN" w:bidi="ar"/>
              </w:rPr>
              <w:t>2</w:t>
            </w:r>
          </w:p>
        </w:tc>
        <w:tc>
          <w:tcPr>
            <w:tcW w:w="1515" w:type="dxa"/>
            <w:tcBorders>
              <w:left w:val="single" w:sz="2" w:space="0" w:color="4C4C4C"/>
              <w:bottom w:val="single" w:sz="2" w:space="0" w:color="4C4C4C"/>
              <w:right w:val="single" w:sz="2" w:space="0" w:color="4C4C4C"/>
            </w:tcBorders>
            <w:shd w:val="clear" w:color="auto" w:fill="auto"/>
            <w:vAlign w:val="center"/>
          </w:tcPr>
          <w:p w14:paraId="7AAFEC04" w14:textId="77777777" w:rsidR="00396DE0" w:rsidRPr="00565FAA" w:rsidRDefault="00396DE0" w:rsidP="009B5341">
            <w:pPr>
              <w:jc w:val="center"/>
              <w:textAlignment w:val="bottom"/>
            </w:pPr>
            <w:r w:rsidRPr="00565FAA">
              <w:rPr>
                <w:rFonts w:eastAsia="SimSun"/>
                <w:lang w:eastAsia="zh-CN" w:bidi="ar"/>
              </w:rPr>
              <w:t>3</w:t>
            </w:r>
          </w:p>
        </w:tc>
        <w:tc>
          <w:tcPr>
            <w:tcW w:w="2127" w:type="dxa"/>
            <w:tcBorders>
              <w:left w:val="single" w:sz="2" w:space="0" w:color="4C4C4C"/>
              <w:bottom w:val="single" w:sz="2" w:space="0" w:color="4C4C4C"/>
              <w:right w:val="single" w:sz="2" w:space="0" w:color="4C4C4C"/>
            </w:tcBorders>
            <w:shd w:val="clear" w:color="auto" w:fill="auto"/>
            <w:vAlign w:val="center"/>
          </w:tcPr>
          <w:p w14:paraId="49FE4D90" w14:textId="77777777" w:rsidR="00396DE0" w:rsidRPr="00565FAA" w:rsidRDefault="00396DE0" w:rsidP="009B5341">
            <w:pPr>
              <w:jc w:val="center"/>
              <w:textAlignment w:val="bottom"/>
            </w:pPr>
            <w:r w:rsidRPr="00565FAA">
              <w:rPr>
                <w:rFonts w:eastAsia="SimSun"/>
                <w:lang w:eastAsia="zh-CN" w:bidi="ar"/>
              </w:rPr>
              <w:t>4</w:t>
            </w:r>
          </w:p>
        </w:tc>
        <w:tc>
          <w:tcPr>
            <w:tcW w:w="2126" w:type="dxa"/>
            <w:tcBorders>
              <w:left w:val="single" w:sz="2" w:space="0" w:color="4C4C4C"/>
              <w:bottom w:val="single" w:sz="2" w:space="0" w:color="4C4C4C"/>
              <w:right w:val="single" w:sz="2" w:space="0" w:color="4C4C4C"/>
            </w:tcBorders>
            <w:shd w:val="clear" w:color="auto" w:fill="auto"/>
            <w:vAlign w:val="center"/>
          </w:tcPr>
          <w:p w14:paraId="3BF26DBF" w14:textId="77777777" w:rsidR="00396DE0" w:rsidRPr="00565FAA" w:rsidRDefault="00396DE0" w:rsidP="009B5341">
            <w:pPr>
              <w:jc w:val="center"/>
              <w:textAlignment w:val="bottom"/>
            </w:pPr>
            <w:r w:rsidRPr="00565FAA">
              <w:rPr>
                <w:rFonts w:eastAsia="SimSun"/>
                <w:lang w:eastAsia="zh-CN" w:bidi="ar"/>
              </w:rPr>
              <w:t>5</w:t>
            </w:r>
          </w:p>
        </w:tc>
        <w:tc>
          <w:tcPr>
            <w:tcW w:w="2993" w:type="dxa"/>
            <w:tcBorders>
              <w:left w:val="single" w:sz="2" w:space="0" w:color="4C4C4C"/>
              <w:bottom w:val="single" w:sz="2" w:space="0" w:color="4C4C4C"/>
              <w:right w:val="single" w:sz="2" w:space="0" w:color="4C4C4C"/>
            </w:tcBorders>
            <w:shd w:val="clear" w:color="auto" w:fill="auto"/>
            <w:vAlign w:val="center"/>
          </w:tcPr>
          <w:p w14:paraId="5E690975" w14:textId="77777777" w:rsidR="00396DE0" w:rsidRPr="00565FAA" w:rsidRDefault="00396DE0" w:rsidP="009B5341">
            <w:pPr>
              <w:jc w:val="center"/>
            </w:pPr>
            <w:r w:rsidRPr="00565FAA">
              <w:rPr>
                <w:rFonts w:eastAsia="SimSun"/>
                <w:lang w:eastAsia="zh-CN" w:bidi="ar"/>
              </w:rPr>
              <w:t>6</w:t>
            </w:r>
          </w:p>
        </w:tc>
        <w:tc>
          <w:tcPr>
            <w:tcW w:w="2541" w:type="dxa"/>
            <w:tcBorders>
              <w:left w:val="single" w:sz="2" w:space="0" w:color="4C4C4C"/>
              <w:bottom w:val="single" w:sz="2" w:space="0" w:color="4C4C4C"/>
              <w:right w:val="single" w:sz="2" w:space="0" w:color="4C4C4C"/>
            </w:tcBorders>
            <w:shd w:val="clear" w:color="auto" w:fill="auto"/>
            <w:vAlign w:val="center"/>
          </w:tcPr>
          <w:p w14:paraId="7E9CBBDF" w14:textId="77777777" w:rsidR="00396DE0" w:rsidRPr="00565FAA" w:rsidRDefault="00396DE0" w:rsidP="009B5341">
            <w:pPr>
              <w:jc w:val="center"/>
              <w:textAlignment w:val="bottom"/>
            </w:pPr>
            <w:r w:rsidRPr="00565FAA">
              <w:rPr>
                <w:rFonts w:eastAsia="SimSun"/>
                <w:lang w:eastAsia="zh-CN" w:bidi="ar"/>
              </w:rPr>
              <w:t>7</w:t>
            </w:r>
          </w:p>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DE04934" w14:textId="77777777" w:rsidR="00396DE0" w:rsidRPr="00565FAA" w:rsidRDefault="00396DE0" w:rsidP="009B5341">
            <w:pPr>
              <w:jc w:val="center"/>
              <w:textAlignment w:val="bottom"/>
            </w:pPr>
            <w:r w:rsidRPr="00565FAA">
              <w:rPr>
                <w:rFonts w:eastAsia="SimSun"/>
                <w:lang w:eastAsia="zh-CN" w:bidi="ar"/>
              </w:rPr>
              <w:t>8</w:t>
            </w:r>
          </w:p>
        </w:tc>
      </w:tr>
      <w:tr w:rsidR="00396DE0" w:rsidRPr="00565FAA" w14:paraId="202C7155" w14:textId="77777777" w:rsidTr="00050160">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72F17E0" w14:textId="77777777" w:rsidR="00396DE0" w:rsidRPr="00565FAA" w:rsidRDefault="00396DE0" w:rsidP="009B5341">
            <w:pPr>
              <w:spacing w:before="100" w:beforeAutospacing="1" w:after="100" w:afterAutospacing="1"/>
              <w:jc w:val="center"/>
              <w:textAlignment w:val="bottom"/>
            </w:pPr>
            <w:r w:rsidRPr="00565FAA">
              <w:rPr>
                <w:rFonts w:eastAsia="SimSun"/>
                <w:lang w:eastAsia="zh-CN" w:bidi="ar"/>
              </w:rPr>
              <w:t>1</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4B3D8A5" w14:textId="77777777" w:rsidR="00396DE0" w:rsidRPr="00565FAA" w:rsidRDefault="00396DE0" w:rsidP="009B5341">
            <w:pPr>
              <w:spacing w:before="100" w:beforeAutospacing="1" w:after="100" w:afterAutospacing="1"/>
              <w:jc w:val="center"/>
              <w:textAlignment w:val="bottom"/>
            </w:pPr>
            <w:r w:rsidRPr="00565FAA">
              <w:rPr>
                <w:rFonts w:eastAsia="SimSun"/>
                <w:lang w:eastAsia="zh-CN" w:bidi="ar"/>
              </w:rPr>
              <w:t>1</w:t>
            </w:r>
          </w:p>
        </w:tc>
        <w:tc>
          <w:tcPr>
            <w:tcW w:w="13922" w:type="dxa"/>
            <w:gridSpan w:val="6"/>
            <w:tcBorders>
              <w:top w:val="single" w:sz="2" w:space="0" w:color="4C4C4C"/>
              <w:left w:val="single" w:sz="2" w:space="0" w:color="4C4C4C"/>
              <w:bottom w:val="single" w:sz="2" w:space="0" w:color="4C4C4C"/>
              <w:right w:val="single" w:sz="2" w:space="0" w:color="4C4C4C"/>
            </w:tcBorders>
            <w:shd w:val="clear" w:color="auto" w:fill="auto"/>
            <w:vAlign w:val="center"/>
          </w:tcPr>
          <w:p w14:paraId="328B2C3A" w14:textId="77777777" w:rsidR="00396DE0" w:rsidRPr="00565FAA" w:rsidRDefault="00396DE0" w:rsidP="009B5341">
            <w:pPr>
              <w:spacing w:before="100" w:beforeAutospacing="1" w:after="100" w:afterAutospacing="1"/>
              <w:jc w:val="center"/>
              <w:textAlignment w:val="bottom"/>
            </w:pPr>
            <w:r w:rsidRPr="00565FAA">
              <w:rPr>
                <w:rFonts w:eastAsia="SimSun"/>
                <w:lang w:eastAsia="zh-CN" w:bidi="ar"/>
              </w:rPr>
              <w:t>Щодо короткострокової ліквідності (в усіх валютах/значимих іноземних валютах)</w:t>
            </w:r>
          </w:p>
        </w:tc>
      </w:tr>
      <w:tr w:rsidR="00396DE0" w:rsidRPr="00565FAA" w14:paraId="58738387"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4048F8F" w14:textId="77777777" w:rsidR="00396DE0" w:rsidRPr="00565FAA" w:rsidRDefault="00396DE0" w:rsidP="009B5341">
            <w:pPr>
              <w:jc w:val="center"/>
              <w:textAlignment w:val="bottom"/>
            </w:pPr>
            <w:r w:rsidRPr="00565FAA">
              <w:rPr>
                <w:rFonts w:eastAsia="SimSun"/>
                <w:lang w:eastAsia="zh-CN" w:bidi="ar"/>
              </w:rPr>
              <w:t>2</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E045E4F" w14:textId="77777777" w:rsidR="00396DE0" w:rsidRPr="00565FAA" w:rsidRDefault="00396DE0" w:rsidP="009B5341">
            <w:pPr>
              <w:jc w:val="center"/>
              <w:textAlignment w:val="bottom"/>
            </w:pPr>
            <w:r w:rsidRPr="00565FAA">
              <w:rPr>
                <w:rFonts w:eastAsia="SimSun"/>
                <w:lang w:eastAsia="zh-CN" w:bidi="ar"/>
              </w:rPr>
              <w:t>1.1</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8A2ABC2" w14:textId="77777777" w:rsidR="00396DE0" w:rsidRPr="00565FAA" w:rsidRDefault="00396DE0" w:rsidP="009B5341">
            <w:pPr>
              <w:jc w:val="center"/>
              <w:textAlignment w:val="bottom"/>
            </w:pPr>
            <w:r w:rsidRPr="00565FAA">
              <w:rPr>
                <w:rFonts w:eastAsia="SimSun"/>
                <w:iCs/>
                <w:lang w:eastAsia="zh-CN" w:bidi="ar"/>
              </w:rPr>
              <w:t>на 01.02.__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3A3E7A7" w14:textId="77777777" w:rsidR="00396DE0" w:rsidRPr="00565FAA" w:rsidRDefault="00396DE0" w:rsidP="009B5341">
            <w:pPr>
              <w:jc w:val="right"/>
              <w:textAlignment w:val="bottom"/>
            </w:pPr>
          </w:p>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1FAB1A8" w14:textId="77777777" w:rsidR="00396DE0" w:rsidRPr="00565FAA" w:rsidRDefault="00396DE0" w:rsidP="009B5341">
            <w:pPr>
              <w:jc w:val="right"/>
              <w:textAlignment w:val="bottom"/>
            </w:pPr>
          </w:p>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97E5884" w14:textId="77777777" w:rsidR="00396DE0" w:rsidRPr="00565FAA" w:rsidRDefault="00396DE0" w:rsidP="009B5341">
            <w:pPr>
              <w:jc w:val="right"/>
              <w:textAlignment w:val="bottom"/>
            </w:pPr>
          </w:p>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F169BAB" w14:textId="77777777" w:rsidR="00396DE0" w:rsidRPr="00565FAA" w:rsidRDefault="00396DE0" w:rsidP="009B5341">
            <w:pPr>
              <w:jc w:val="right"/>
              <w:textAlignment w:val="bottom"/>
            </w:pPr>
          </w:p>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15EAF2F" w14:textId="77777777" w:rsidR="00396DE0" w:rsidRPr="00565FAA" w:rsidRDefault="00396DE0" w:rsidP="009B5341"/>
        </w:tc>
      </w:tr>
      <w:tr w:rsidR="00396DE0" w:rsidRPr="00565FAA" w14:paraId="05124B18"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289A9C8" w14:textId="77777777" w:rsidR="00396DE0" w:rsidRPr="00565FAA" w:rsidRDefault="00396DE0" w:rsidP="009B5341">
            <w:pPr>
              <w:jc w:val="center"/>
              <w:textAlignment w:val="bottom"/>
            </w:pPr>
            <w:r w:rsidRPr="00565FAA">
              <w:rPr>
                <w:rFonts w:eastAsia="SimSun"/>
                <w:lang w:eastAsia="zh-CN" w:bidi="ar"/>
              </w:rPr>
              <w:t>3</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6435265" w14:textId="77777777" w:rsidR="00396DE0" w:rsidRPr="00565FAA" w:rsidRDefault="00396DE0" w:rsidP="009B5341">
            <w:pPr>
              <w:jc w:val="center"/>
              <w:textAlignment w:val="bottom"/>
            </w:pPr>
            <w:r w:rsidRPr="00565FAA">
              <w:rPr>
                <w:rFonts w:eastAsia="SimSun"/>
                <w:lang w:eastAsia="zh-CN" w:bidi="ar"/>
              </w:rPr>
              <w:t>1.2</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FBCC661" w14:textId="77777777" w:rsidR="00396DE0" w:rsidRPr="00565FAA" w:rsidRDefault="00396DE0" w:rsidP="009B5341">
            <w:pPr>
              <w:jc w:val="center"/>
              <w:textAlignment w:val="bottom"/>
            </w:pPr>
            <w:r w:rsidRPr="00565FAA">
              <w:rPr>
                <w:rFonts w:eastAsia="SimSun"/>
                <w:iCs/>
                <w:lang w:eastAsia="zh-CN" w:bidi="ar"/>
              </w:rPr>
              <w:t>на 01.03.__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8136156" w14:textId="77777777" w:rsidR="00396DE0" w:rsidRPr="00565FAA" w:rsidRDefault="00396DE0" w:rsidP="009B5341">
            <w:pPr>
              <w:jc w:val="right"/>
              <w:textAlignment w:val="bottom"/>
            </w:pPr>
          </w:p>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A8A01DF" w14:textId="77777777" w:rsidR="00396DE0" w:rsidRPr="00565FAA" w:rsidRDefault="00396DE0" w:rsidP="009B5341">
            <w:pPr>
              <w:jc w:val="right"/>
              <w:textAlignment w:val="bottom"/>
            </w:pPr>
          </w:p>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B76BBD9" w14:textId="77777777" w:rsidR="00396DE0" w:rsidRPr="00565FAA" w:rsidRDefault="00396DE0" w:rsidP="009B5341">
            <w:pPr>
              <w:jc w:val="right"/>
              <w:textAlignment w:val="bottom"/>
            </w:pPr>
          </w:p>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5116CFE" w14:textId="77777777" w:rsidR="00396DE0" w:rsidRPr="00565FAA" w:rsidRDefault="00396DE0" w:rsidP="009B5341">
            <w:pPr>
              <w:jc w:val="right"/>
              <w:textAlignment w:val="bottom"/>
            </w:pPr>
          </w:p>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88F1B2C" w14:textId="77777777" w:rsidR="00396DE0" w:rsidRPr="00565FAA" w:rsidRDefault="00396DE0" w:rsidP="009B5341"/>
        </w:tc>
      </w:tr>
      <w:tr w:rsidR="00396DE0" w:rsidRPr="00565FAA" w14:paraId="14C3010A"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9D77E9C"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4</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B20E490"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1.3</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7ED4380" w14:textId="77777777" w:rsidR="00396DE0" w:rsidRPr="00565FAA" w:rsidRDefault="00396DE0" w:rsidP="009B5341">
            <w:pPr>
              <w:jc w:val="center"/>
              <w:textAlignment w:val="bottom"/>
              <w:rPr>
                <w:rFonts w:eastAsia="SimSun"/>
                <w:iCs/>
                <w:lang w:eastAsia="zh-CN" w:bidi="ar"/>
              </w:rPr>
            </w:pPr>
            <w:r w:rsidRPr="00565FAA">
              <w:rPr>
                <w:rFonts w:eastAsia="SimSun"/>
                <w:iCs/>
                <w:lang w:eastAsia="zh-CN" w:bidi="ar"/>
              </w:rPr>
              <w:t>на 01.04.__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4436182" w14:textId="77777777" w:rsidR="00396DE0" w:rsidRPr="00565FAA" w:rsidRDefault="00396DE0" w:rsidP="009B5341"/>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800BA87" w14:textId="77777777" w:rsidR="00396DE0" w:rsidRPr="00565FAA" w:rsidRDefault="00396DE0" w:rsidP="009B5341"/>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F00A217" w14:textId="77777777" w:rsidR="00396DE0" w:rsidRPr="00565FAA" w:rsidRDefault="00396DE0" w:rsidP="009B5341"/>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657060D" w14:textId="77777777" w:rsidR="00396DE0" w:rsidRPr="00565FAA" w:rsidRDefault="00396DE0" w:rsidP="009B5341"/>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38FF552" w14:textId="77777777" w:rsidR="00396DE0" w:rsidRPr="00565FAA" w:rsidRDefault="00396DE0" w:rsidP="009B5341"/>
        </w:tc>
      </w:tr>
      <w:tr w:rsidR="00396DE0" w:rsidRPr="00565FAA" w14:paraId="0AFD6979"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80BA398"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5</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18FB239"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1.4</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0B4EA6E" w14:textId="77777777" w:rsidR="00396DE0" w:rsidRPr="00565FAA" w:rsidRDefault="00396DE0" w:rsidP="009B5341">
            <w:pPr>
              <w:jc w:val="center"/>
              <w:textAlignment w:val="bottom"/>
              <w:rPr>
                <w:rFonts w:eastAsia="SimSun"/>
                <w:iCs/>
                <w:lang w:eastAsia="zh-CN" w:bidi="ar"/>
              </w:rPr>
            </w:pPr>
            <w:r w:rsidRPr="00565FAA">
              <w:rPr>
                <w:rFonts w:eastAsia="SimSun"/>
                <w:iCs/>
                <w:lang w:eastAsia="zh-CN" w:bidi="ar"/>
              </w:rPr>
              <w:t>на 01.05.__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79260DE" w14:textId="77777777" w:rsidR="00396DE0" w:rsidRPr="00565FAA" w:rsidRDefault="00396DE0" w:rsidP="009B5341"/>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59AF57F" w14:textId="77777777" w:rsidR="00396DE0" w:rsidRPr="00565FAA" w:rsidRDefault="00396DE0" w:rsidP="009B5341"/>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4C8E29A" w14:textId="77777777" w:rsidR="00396DE0" w:rsidRPr="00565FAA" w:rsidRDefault="00396DE0" w:rsidP="009B5341"/>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9AA0324" w14:textId="77777777" w:rsidR="00396DE0" w:rsidRPr="00565FAA" w:rsidRDefault="00396DE0" w:rsidP="009B5341"/>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A4743B6" w14:textId="77777777" w:rsidR="00396DE0" w:rsidRPr="00565FAA" w:rsidRDefault="00396DE0" w:rsidP="009B5341"/>
        </w:tc>
      </w:tr>
      <w:tr w:rsidR="00396DE0" w:rsidRPr="00565FAA" w14:paraId="353E1CBB"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6C3FDF5"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6</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7F25FEC"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1.5</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85691E3" w14:textId="77777777" w:rsidR="00396DE0" w:rsidRPr="00565FAA" w:rsidRDefault="00396DE0" w:rsidP="009B5341">
            <w:pPr>
              <w:jc w:val="center"/>
              <w:textAlignment w:val="bottom"/>
              <w:rPr>
                <w:rFonts w:eastAsia="SimSun"/>
                <w:iCs/>
                <w:lang w:eastAsia="zh-CN" w:bidi="ar"/>
              </w:rPr>
            </w:pPr>
            <w:r w:rsidRPr="00565FAA">
              <w:rPr>
                <w:rFonts w:eastAsia="SimSun"/>
                <w:iCs/>
                <w:lang w:eastAsia="zh-CN" w:bidi="ar"/>
              </w:rPr>
              <w:t>на 01.06.__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C27914C" w14:textId="77777777" w:rsidR="00396DE0" w:rsidRPr="00565FAA" w:rsidRDefault="00396DE0" w:rsidP="009B5341"/>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4FDF6A9" w14:textId="77777777" w:rsidR="00396DE0" w:rsidRPr="00565FAA" w:rsidRDefault="00396DE0" w:rsidP="009B5341"/>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DEC9A5F" w14:textId="77777777" w:rsidR="00396DE0" w:rsidRPr="00565FAA" w:rsidRDefault="00396DE0" w:rsidP="009B5341"/>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8EAF458" w14:textId="77777777" w:rsidR="00396DE0" w:rsidRPr="00565FAA" w:rsidRDefault="00396DE0" w:rsidP="009B5341"/>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8ACB8E6" w14:textId="77777777" w:rsidR="00396DE0" w:rsidRPr="00565FAA" w:rsidRDefault="00396DE0" w:rsidP="009B5341"/>
        </w:tc>
      </w:tr>
      <w:tr w:rsidR="00396DE0" w:rsidRPr="00565FAA" w14:paraId="3A0986A6"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AE10F39"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7</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711B6A8"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1.6</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D99004F" w14:textId="77777777" w:rsidR="00396DE0" w:rsidRPr="00565FAA" w:rsidRDefault="00396DE0" w:rsidP="009B5341">
            <w:pPr>
              <w:jc w:val="center"/>
              <w:textAlignment w:val="bottom"/>
              <w:rPr>
                <w:rFonts w:eastAsia="SimSun"/>
                <w:iCs/>
                <w:lang w:eastAsia="zh-CN" w:bidi="ar"/>
              </w:rPr>
            </w:pPr>
            <w:r w:rsidRPr="00565FAA">
              <w:rPr>
                <w:rFonts w:eastAsia="SimSun"/>
                <w:iCs/>
                <w:lang w:eastAsia="zh-CN" w:bidi="ar"/>
              </w:rPr>
              <w:t>на 01.07.__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1AD8FCC" w14:textId="77777777" w:rsidR="00396DE0" w:rsidRPr="00565FAA" w:rsidRDefault="00396DE0" w:rsidP="009B5341"/>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A724852" w14:textId="77777777" w:rsidR="00396DE0" w:rsidRPr="00565FAA" w:rsidRDefault="00396DE0" w:rsidP="009B5341"/>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D4D4902" w14:textId="77777777" w:rsidR="00396DE0" w:rsidRPr="00565FAA" w:rsidRDefault="00396DE0" w:rsidP="009B5341"/>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8F695B0" w14:textId="77777777" w:rsidR="00396DE0" w:rsidRPr="00565FAA" w:rsidRDefault="00396DE0" w:rsidP="009B5341"/>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6D9511C" w14:textId="77777777" w:rsidR="00396DE0" w:rsidRPr="00565FAA" w:rsidRDefault="00396DE0" w:rsidP="009B5341"/>
        </w:tc>
      </w:tr>
      <w:tr w:rsidR="00396DE0" w:rsidRPr="00565FAA" w14:paraId="433C91AA"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A7F623A"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8</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3E80F55"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1.7</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8A0F591" w14:textId="77777777" w:rsidR="00396DE0" w:rsidRPr="00565FAA" w:rsidRDefault="00396DE0" w:rsidP="009B5341">
            <w:pPr>
              <w:jc w:val="center"/>
              <w:textAlignment w:val="bottom"/>
              <w:rPr>
                <w:rFonts w:eastAsia="SimSun"/>
                <w:iCs/>
                <w:lang w:eastAsia="zh-CN" w:bidi="ar"/>
              </w:rPr>
            </w:pPr>
            <w:r w:rsidRPr="00565FAA">
              <w:rPr>
                <w:rFonts w:eastAsia="SimSun"/>
                <w:iCs/>
                <w:lang w:eastAsia="zh-CN" w:bidi="ar"/>
              </w:rPr>
              <w:t>на 01.08.__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1F96C4D" w14:textId="77777777" w:rsidR="00396DE0" w:rsidRPr="00565FAA" w:rsidRDefault="00396DE0" w:rsidP="009B5341"/>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8BCC1C2" w14:textId="77777777" w:rsidR="00396DE0" w:rsidRPr="00565FAA" w:rsidRDefault="00396DE0" w:rsidP="009B5341"/>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C61E5A6" w14:textId="77777777" w:rsidR="00396DE0" w:rsidRPr="00565FAA" w:rsidRDefault="00396DE0" w:rsidP="009B5341"/>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2B3F7A8" w14:textId="77777777" w:rsidR="00396DE0" w:rsidRPr="00565FAA" w:rsidRDefault="00396DE0" w:rsidP="009B5341"/>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D30C684" w14:textId="77777777" w:rsidR="00396DE0" w:rsidRPr="00565FAA" w:rsidRDefault="00396DE0" w:rsidP="009B5341"/>
        </w:tc>
      </w:tr>
      <w:tr w:rsidR="00396DE0" w:rsidRPr="00565FAA" w14:paraId="2316A4A6"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5AD0D30"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9</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ADFA987"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1.8</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17777A2" w14:textId="77777777" w:rsidR="00396DE0" w:rsidRPr="00565FAA" w:rsidRDefault="00396DE0" w:rsidP="009B5341">
            <w:pPr>
              <w:jc w:val="center"/>
              <w:textAlignment w:val="bottom"/>
              <w:rPr>
                <w:rFonts w:eastAsia="SimSun"/>
                <w:iCs/>
                <w:lang w:eastAsia="zh-CN" w:bidi="ar"/>
              </w:rPr>
            </w:pPr>
            <w:r w:rsidRPr="00565FAA">
              <w:rPr>
                <w:rFonts w:eastAsia="SimSun"/>
                <w:iCs/>
                <w:lang w:eastAsia="zh-CN" w:bidi="ar"/>
              </w:rPr>
              <w:t>на 01.09.__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F3568A7" w14:textId="77777777" w:rsidR="00396DE0" w:rsidRPr="00565FAA" w:rsidRDefault="00396DE0" w:rsidP="009B5341"/>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EFCB099" w14:textId="77777777" w:rsidR="00396DE0" w:rsidRPr="00565FAA" w:rsidRDefault="00396DE0" w:rsidP="009B5341"/>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F0FC701" w14:textId="77777777" w:rsidR="00396DE0" w:rsidRPr="00565FAA" w:rsidRDefault="00396DE0" w:rsidP="009B5341"/>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B526115" w14:textId="77777777" w:rsidR="00396DE0" w:rsidRPr="00565FAA" w:rsidRDefault="00396DE0" w:rsidP="009B5341"/>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26335E0" w14:textId="77777777" w:rsidR="00396DE0" w:rsidRPr="00565FAA" w:rsidRDefault="00396DE0" w:rsidP="009B5341"/>
        </w:tc>
      </w:tr>
      <w:tr w:rsidR="00396DE0" w:rsidRPr="00565FAA" w14:paraId="5924EA08"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6B738B7"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10</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E07981A" w14:textId="77777777" w:rsidR="00396DE0" w:rsidRPr="00565FAA" w:rsidRDefault="00396DE0" w:rsidP="009B5341">
            <w:pPr>
              <w:jc w:val="center"/>
              <w:textAlignment w:val="bottom"/>
              <w:rPr>
                <w:rFonts w:eastAsia="SimSun"/>
                <w:lang w:eastAsia="zh-CN" w:bidi="ar"/>
              </w:rPr>
            </w:pPr>
            <w:r w:rsidRPr="00565FAA">
              <w:rPr>
                <w:rFonts w:eastAsia="SimSun"/>
                <w:lang w:eastAsia="zh-CN" w:bidi="ar"/>
              </w:rPr>
              <w:t>1.9</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462EC31" w14:textId="77777777" w:rsidR="00396DE0" w:rsidRPr="00565FAA" w:rsidRDefault="00396DE0" w:rsidP="009B5341">
            <w:pPr>
              <w:jc w:val="center"/>
              <w:textAlignment w:val="bottom"/>
              <w:rPr>
                <w:rFonts w:eastAsia="SimSun"/>
                <w:iCs/>
                <w:lang w:eastAsia="zh-CN" w:bidi="ar"/>
              </w:rPr>
            </w:pPr>
            <w:r w:rsidRPr="00565FAA">
              <w:rPr>
                <w:rFonts w:eastAsia="SimSun"/>
                <w:iCs/>
                <w:lang w:eastAsia="zh-CN" w:bidi="ar"/>
              </w:rPr>
              <w:t>на 01.10.__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20C1056" w14:textId="77777777" w:rsidR="00396DE0" w:rsidRPr="00565FAA" w:rsidRDefault="00396DE0" w:rsidP="009B5341"/>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3DB6285" w14:textId="77777777" w:rsidR="00396DE0" w:rsidRPr="00565FAA" w:rsidRDefault="00396DE0" w:rsidP="009B5341"/>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25F79C2" w14:textId="77777777" w:rsidR="00396DE0" w:rsidRPr="00565FAA" w:rsidRDefault="00396DE0" w:rsidP="009B5341"/>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3CEE19D" w14:textId="77777777" w:rsidR="00396DE0" w:rsidRPr="00565FAA" w:rsidRDefault="00396DE0" w:rsidP="009B5341"/>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2B23195" w14:textId="77777777" w:rsidR="00396DE0" w:rsidRPr="00565FAA" w:rsidRDefault="00396DE0" w:rsidP="009B5341"/>
        </w:tc>
      </w:tr>
      <w:tr w:rsidR="00396DE0" w:rsidRPr="00565FAA" w14:paraId="37E25C7B"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8332AFD" w14:textId="77777777" w:rsidR="00396DE0" w:rsidRPr="00565FAA" w:rsidRDefault="00396DE0" w:rsidP="009B5341">
            <w:pPr>
              <w:jc w:val="center"/>
              <w:textAlignment w:val="bottom"/>
            </w:pPr>
            <w:r w:rsidRPr="00565FAA">
              <w:rPr>
                <w:rFonts w:eastAsia="SimSun"/>
                <w:lang w:eastAsia="zh-CN" w:bidi="ar"/>
              </w:rPr>
              <w:t>11</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E05364D" w14:textId="77777777" w:rsidR="00396DE0" w:rsidRPr="00565FAA" w:rsidRDefault="00396DE0" w:rsidP="009B5341">
            <w:pPr>
              <w:jc w:val="center"/>
              <w:textAlignment w:val="bottom"/>
            </w:pPr>
            <w:r w:rsidRPr="00565FAA">
              <w:rPr>
                <w:rFonts w:eastAsia="SimSun"/>
                <w:lang w:eastAsia="zh-CN" w:bidi="ar"/>
              </w:rPr>
              <w:t>1.10</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90114B3" w14:textId="77777777" w:rsidR="00396DE0" w:rsidRPr="00565FAA" w:rsidRDefault="00396DE0" w:rsidP="009B5341">
            <w:pPr>
              <w:jc w:val="center"/>
              <w:textAlignment w:val="bottom"/>
            </w:pPr>
            <w:r w:rsidRPr="00565FAA">
              <w:rPr>
                <w:rFonts w:eastAsia="SimSun"/>
                <w:iCs/>
                <w:lang w:eastAsia="zh-CN" w:bidi="ar"/>
              </w:rPr>
              <w:t>на 01.11.__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983B9A6" w14:textId="77777777" w:rsidR="00396DE0" w:rsidRPr="00565FAA" w:rsidRDefault="00396DE0" w:rsidP="009B5341"/>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D75C5A3" w14:textId="77777777" w:rsidR="00396DE0" w:rsidRPr="00565FAA" w:rsidRDefault="00396DE0" w:rsidP="009B5341"/>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A2BB7C2" w14:textId="77777777" w:rsidR="00396DE0" w:rsidRPr="00565FAA" w:rsidRDefault="00396DE0" w:rsidP="009B5341"/>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A357A80" w14:textId="77777777" w:rsidR="00396DE0" w:rsidRPr="00565FAA" w:rsidRDefault="00396DE0" w:rsidP="009B5341"/>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0A93EFE" w14:textId="77777777" w:rsidR="00396DE0" w:rsidRPr="00565FAA" w:rsidRDefault="00396DE0" w:rsidP="009B5341"/>
        </w:tc>
      </w:tr>
      <w:tr w:rsidR="00396DE0" w:rsidRPr="00565FAA" w14:paraId="65EE428E"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202BC18" w14:textId="77777777" w:rsidR="00396DE0" w:rsidRPr="00565FAA" w:rsidRDefault="00396DE0" w:rsidP="009B5341">
            <w:pPr>
              <w:jc w:val="center"/>
              <w:textAlignment w:val="bottom"/>
            </w:pPr>
            <w:r w:rsidRPr="00565FAA">
              <w:rPr>
                <w:rFonts w:eastAsia="SimSun"/>
                <w:lang w:eastAsia="zh-CN" w:bidi="ar"/>
              </w:rPr>
              <w:t>12</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DF69D4A" w14:textId="77777777" w:rsidR="00396DE0" w:rsidRPr="00565FAA" w:rsidRDefault="00396DE0" w:rsidP="009B5341">
            <w:pPr>
              <w:jc w:val="center"/>
              <w:textAlignment w:val="bottom"/>
            </w:pPr>
            <w:r w:rsidRPr="00565FAA">
              <w:rPr>
                <w:rFonts w:eastAsia="SimSun"/>
                <w:lang w:eastAsia="zh-CN" w:bidi="ar"/>
              </w:rPr>
              <w:t>1.11</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8FCFF0B" w14:textId="77777777" w:rsidR="00396DE0" w:rsidRPr="00565FAA" w:rsidRDefault="00396DE0" w:rsidP="009B5341">
            <w:pPr>
              <w:jc w:val="center"/>
              <w:textAlignment w:val="bottom"/>
            </w:pPr>
            <w:r w:rsidRPr="00565FAA">
              <w:rPr>
                <w:rFonts w:eastAsia="SimSun"/>
                <w:iCs/>
                <w:lang w:eastAsia="zh-CN" w:bidi="ar"/>
              </w:rPr>
              <w:t>на 01.12.__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CD12DB3" w14:textId="77777777" w:rsidR="00396DE0" w:rsidRPr="00565FAA" w:rsidRDefault="00396DE0" w:rsidP="009B5341">
            <w:pPr>
              <w:jc w:val="right"/>
              <w:textAlignment w:val="bottom"/>
            </w:pPr>
          </w:p>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FD30AA9" w14:textId="77777777" w:rsidR="00396DE0" w:rsidRPr="00565FAA" w:rsidRDefault="00396DE0" w:rsidP="009B5341">
            <w:pPr>
              <w:jc w:val="right"/>
              <w:textAlignment w:val="bottom"/>
            </w:pPr>
          </w:p>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E4CDF0B" w14:textId="77777777" w:rsidR="00396DE0" w:rsidRPr="00565FAA" w:rsidRDefault="00396DE0" w:rsidP="009B5341">
            <w:pPr>
              <w:jc w:val="right"/>
              <w:textAlignment w:val="bottom"/>
            </w:pPr>
          </w:p>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615872F" w14:textId="77777777" w:rsidR="00396DE0" w:rsidRPr="00565FAA" w:rsidRDefault="00396DE0" w:rsidP="009B5341">
            <w:pPr>
              <w:jc w:val="right"/>
              <w:textAlignment w:val="bottom"/>
            </w:pPr>
          </w:p>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2EFD5EA" w14:textId="77777777" w:rsidR="00396DE0" w:rsidRPr="00565FAA" w:rsidRDefault="00396DE0" w:rsidP="009B5341"/>
        </w:tc>
      </w:tr>
      <w:tr w:rsidR="00396DE0" w:rsidRPr="00565FAA" w14:paraId="4D3C275E"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07C258B" w14:textId="77777777" w:rsidR="00396DE0" w:rsidRPr="00565FAA" w:rsidRDefault="00396DE0" w:rsidP="009B5341">
            <w:pPr>
              <w:jc w:val="center"/>
              <w:textAlignment w:val="bottom"/>
            </w:pPr>
            <w:r w:rsidRPr="00565FAA">
              <w:rPr>
                <w:rFonts w:eastAsia="SimSun"/>
                <w:lang w:eastAsia="zh-CN" w:bidi="ar"/>
              </w:rPr>
              <w:t>13</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5B904D0" w14:textId="77777777" w:rsidR="00396DE0" w:rsidRPr="00565FAA" w:rsidRDefault="00396DE0" w:rsidP="009B5341">
            <w:pPr>
              <w:jc w:val="center"/>
              <w:textAlignment w:val="bottom"/>
            </w:pPr>
            <w:r w:rsidRPr="00565FAA">
              <w:rPr>
                <w:rFonts w:eastAsia="SimSun"/>
                <w:lang w:eastAsia="zh-CN" w:bidi="ar"/>
              </w:rPr>
              <w:t>1.12</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5FA65B3" w14:textId="77777777" w:rsidR="00396DE0" w:rsidRPr="00565FAA" w:rsidRDefault="00396DE0" w:rsidP="009B5341">
            <w:pPr>
              <w:jc w:val="center"/>
              <w:textAlignment w:val="bottom"/>
            </w:pPr>
            <w:r w:rsidRPr="00565FAA">
              <w:rPr>
                <w:rFonts w:eastAsia="SimSun"/>
                <w:iCs/>
                <w:lang w:eastAsia="zh-CN" w:bidi="ar"/>
              </w:rPr>
              <w:t>на 01.01.__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21C4391" w14:textId="77777777" w:rsidR="00396DE0" w:rsidRPr="00565FAA" w:rsidRDefault="00396DE0" w:rsidP="009B5341">
            <w:pPr>
              <w:jc w:val="right"/>
              <w:textAlignment w:val="bottom"/>
            </w:pPr>
          </w:p>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158ECB7" w14:textId="77777777" w:rsidR="00396DE0" w:rsidRPr="00565FAA" w:rsidRDefault="00396DE0" w:rsidP="009B5341">
            <w:pPr>
              <w:jc w:val="right"/>
              <w:textAlignment w:val="bottom"/>
            </w:pPr>
          </w:p>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B7DF68E" w14:textId="77777777" w:rsidR="00396DE0" w:rsidRPr="00565FAA" w:rsidRDefault="00396DE0" w:rsidP="009B5341">
            <w:pPr>
              <w:jc w:val="right"/>
              <w:textAlignment w:val="bottom"/>
            </w:pPr>
          </w:p>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A6889C5" w14:textId="77777777" w:rsidR="00396DE0" w:rsidRPr="00565FAA" w:rsidRDefault="00396DE0" w:rsidP="009B5341">
            <w:pPr>
              <w:jc w:val="right"/>
              <w:textAlignment w:val="bottom"/>
            </w:pPr>
          </w:p>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779F86C" w14:textId="77777777" w:rsidR="00396DE0" w:rsidRPr="00565FAA" w:rsidRDefault="00396DE0" w:rsidP="009B5341"/>
        </w:tc>
      </w:tr>
      <w:tr w:rsidR="00396DE0" w:rsidRPr="00565FAA" w14:paraId="00609F36" w14:textId="77777777" w:rsidTr="00050160">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7BF1CB7" w14:textId="77777777" w:rsidR="00396DE0" w:rsidRPr="00565FAA" w:rsidRDefault="00396DE0" w:rsidP="009B5341">
            <w:pPr>
              <w:spacing w:before="100" w:beforeAutospacing="1" w:after="100" w:afterAutospacing="1"/>
              <w:jc w:val="center"/>
              <w:textAlignment w:val="bottom"/>
            </w:pPr>
            <w:r w:rsidRPr="00565FAA">
              <w:rPr>
                <w:rFonts w:eastAsia="SimSun"/>
                <w:lang w:eastAsia="zh-CN" w:bidi="ar"/>
              </w:rPr>
              <w:t>14</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9BD4A9C" w14:textId="77777777" w:rsidR="00396DE0" w:rsidRPr="00565FAA" w:rsidRDefault="00396DE0" w:rsidP="009B5341">
            <w:pPr>
              <w:spacing w:before="100" w:beforeAutospacing="1" w:after="100" w:afterAutospacing="1"/>
              <w:jc w:val="center"/>
              <w:textAlignment w:val="bottom"/>
            </w:pPr>
            <w:r w:rsidRPr="00565FAA">
              <w:rPr>
                <w:rFonts w:eastAsia="SimSun"/>
                <w:lang w:eastAsia="zh-CN" w:bidi="ar"/>
              </w:rPr>
              <w:t>2</w:t>
            </w:r>
          </w:p>
        </w:tc>
        <w:tc>
          <w:tcPr>
            <w:tcW w:w="13922" w:type="dxa"/>
            <w:gridSpan w:val="6"/>
            <w:tcBorders>
              <w:top w:val="single" w:sz="2" w:space="0" w:color="4C4C4C"/>
              <w:left w:val="single" w:sz="2" w:space="0" w:color="4C4C4C"/>
              <w:bottom w:val="single" w:sz="2" w:space="0" w:color="4C4C4C"/>
              <w:right w:val="single" w:sz="2" w:space="0" w:color="4C4C4C"/>
            </w:tcBorders>
            <w:shd w:val="clear" w:color="auto" w:fill="auto"/>
            <w:vAlign w:val="center"/>
          </w:tcPr>
          <w:p w14:paraId="0DE40A02" w14:textId="7013EA65" w:rsidR="00396DE0" w:rsidRPr="00565FAA" w:rsidRDefault="00396DE0" w:rsidP="001B4BB3">
            <w:pPr>
              <w:spacing w:before="100" w:beforeAutospacing="1" w:after="100" w:afterAutospacing="1"/>
              <w:jc w:val="center"/>
              <w:textAlignment w:val="bottom"/>
            </w:pPr>
            <w:r w:rsidRPr="00565FAA">
              <w:rPr>
                <w:rFonts w:eastAsia="SimSun"/>
                <w:lang w:eastAsia="zh-CN" w:bidi="ar"/>
              </w:rPr>
              <w:t>Щодо довгострокової ліквідності (в усіх валютах</w:t>
            </w:r>
            <w:r w:rsidR="001B4BB3">
              <w:rPr>
                <w:rFonts w:eastAsia="SimSun"/>
                <w:lang w:val="en-US" w:eastAsia="zh-CN" w:bidi="ar"/>
              </w:rPr>
              <w:t> </w:t>
            </w:r>
            <w:r w:rsidRPr="00565FAA">
              <w:rPr>
                <w:rFonts w:eastAsia="SimSun"/>
                <w:lang w:eastAsia="zh-CN" w:bidi="ar"/>
              </w:rPr>
              <w:t>/</w:t>
            </w:r>
            <w:r w:rsidR="001B4BB3">
              <w:rPr>
                <w:rFonts w:eastAsia="SimSun"/>
                <w:lang w:val="en-US" w:eastAsia="zh-CN" w:bidi="ar"/>
              </w:rPr>
              <w:t> </w:t>
            </w:r>
            <w:r w:rsidRPr="00565FAA">
              <w:rPr>
                <w:rFonts w:eastAsia="SimSun"/>
                <w:lang w:eastAsia="zh-CN" w:bidi="ar"/>
              </w:rPr>
              <w:t>значимих іноземних валютах)</w:t>
            </w:r>
          </w:p>
        </w:tc>
      </w:tr>
      <w:tr w:rsidR="00396DE0" w:rsidRPr="00565FAA" w14:paraId="5964F364"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5C87BBD" w14:textId="77777777" w:rsidR="00396DE0" w:rsidRPr="00565FAA" w:rsidRDefault="00396DE0" w:rsidP="009B5341">
            <w:pPr>
              <w:jc w:val="center"/>
              <w:textAlignment w:val="bottom"/>
            </w:pPr>
            <w:r w:rsidRPr="00565FAA">
              <w:rPr>
                <w:rFonts w:eastAsia="SimSun"/>
                <w:lang w:eastAsia="zh-CN" w:bidi="ar"/>
              </w:rPr>
              <w:t>15</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473FC014" w14:textId="77777777" w:rsidR="00396DE0" w:rsidRPr="00565FAA" w:rsidRDefault="00396DE0" w:rsidP="009B5341">
            <w:pPr>
              <w:jc w:val="center"/>
              <w:textAlignment w:val="bottom"/>
            </w:pPr>
            <w:r w:rsidRPr="00565FAA">
              <w:rPr>
                <w:rFonts w:eastAsia="SimSun"/>
                <w:lang w:eastAsia="zh-CN" w:bidi="ar"/>
              </w:rPr>
              <w:t>2.1</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3B88CDF" w14:textId="77777777" w:rsidR="00396DE0" w:rsidRPr="00565FAA" w:rsidRDefault="00396DE0" w:rsidP="009B5341">
            <w:pPr>
              <w:jc w:val="center"/>
              <w:textAlignment w:val="bottom"/>
            </w:pPr>
            <w:r w:rsidRPr="00565FAA">
              <w:rPr>
                <w:rFonts w:eastAsia="SimSun"/>
                <w:iCs/>
                <w:lang w:eastAsia="zh-CN" w:bidi="ar"/>
              </w:rPr>
              <w:t>на 01.01.__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A012F9D" w14:textId="77777777" w:rsidR="00396DE0" w:rsidRPr="00565FAA" w:rsidRDefault="00396DE0" w:rsidP="009B5341">
            <w:pPr>
              <w:jc w:val="right"/>
              <w:textAlignment w:val="bottom"/>
            </w:pPr>
          </w:p>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A8C6363" w14:textId="77777777" w:rsidR="00396DE0" w:rsidRPr="00565FAA" w:rsidRDefault="00396DE0" w:rsidP="009B5341">
            <w:pPr>
              <w:jc w:val="right"/>
              <w:textAlignment w:val="bottom"/>
            </w:pPr>
          </w:p>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6CDC680" w14:textId="77777777" w:rsidR="00396DE0" w:rsidRPr="00565FAA" w:rsidRDefault="00396DE0" w:rsidP="009B5341">
            <w:pPr>
              <w:jc w:val="right"/>
              <w:textAlignment w:val="bottom"/>
            </w:pPr>
          </w:p>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F44E7CE" w14:textId="77777777" w:rsidR="00396DE0" w:rsidRPr="00565FAA" w:rsidRDefault="00396DE0" w:rsidP="009B5341">
            <w:pPr>
              <w:jc w:val="right"/>
              <w:textAlignment w:val="bottom"/>
            </w:pPr>
          </w:p>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17D925E" w14:textId="77777777" w:rsidR="00396DE0" w:rsidRPr="00565FAA" w:rsidRDefault="00396DE0" w:rsidP="009B5341"/>
        </w:tc>
      </w:tr>
      <w:tr w:rsidR="00253A63" w:rsidRPr="00565FAA" w14:paraId="08D8FFEC" w14:textId="77777777" w:rsidTr="00253A63">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BDFC5E8" w14:textId="77777777" w:rsidR="00253A63" w:rsidRPr="00253A63" w:rsidRDefault="00253A63" w:rsidP="00253A63">
            <w:pPr>
              <w:jc w:val="center"/>
              <w:textAlignment w:val="bottom"/>
              <w:rPr>
                <w:rFonts w:eastAsia="SimSun"/>
                <w:lang w:eastAsia="zh-CN" w:bidi="ar"/>
              </w:rPr>
            </w:pPr>
            <w:r w:rsidRPr="00565FAA">
              <w:rPr>
                <w:rFonts w:eastAsia="SimSun"/>
                <w:lang w:eastAsia="zh-CN" w:bidi="ar"/>
              </w:rPr>
              <w:lastRenderedPageBreak/>
              <w:t>1</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2B84A40" w14:textId="77777777" w:rsidR="00253A63" w:rsidRPr="00253A63" w:rsidRDefault="00253A63" w:rsidP="00253A63">
            <w:pPr>
              <w:jc w:val="center"/>
              <w:textAlignment w:val="bottom"/>
              <w:rPr>
                <w:rFonts w:eastAsia="SimSun"/>
                <w:lang w:eastAsia="zh-CN" w:bidi="ar"/>
              </w:rPr>
            </w:pPr>
            <w:r w:rsidRPr="00565FAA">
              <w:rPr>
                <w:rFonts w:eastAsia="SimSun"/>
                <w:lang w:eastAsia="zh-CN" w:bidi="ar"/>
              </w:rPr>
              <w:t>2</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3051B31" w14:textId="77777777" w:rsidR="00253A63" w:rsidRPr="00253A63" w:rsidRDefault="00253A63" w:rsidP="00253A63">
            <w:pPr>
              <w:jc w:val="center"/>
              <w:textAlignment w:val="bottom"/>
              <w:rPr>
                <w:rFonts w:eastAsia="SimSun"/>
                <w:iCs/>
                <w:lang w:eastAsia="zh-CN" w:bidi="ar"/>
              </w:rPr>
            </w:pPr>
            <w:r w:rsidRPr="00253A63">
              <w:rPr>
                <w:rFonts w:eastAsia="SimSun"/>
                <w:iCs/>
                <w:lang w:eastAsia="zh-CN" w:bidi="ar"/>
              </w:rPr>
              <w:t>3</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5F10B82" w14:textId="77777777" w:rsidR="00253A63" w:rsidRPr="00565FAA" w:rsidRDefault="00253A63" w:rsidP="000F13DD">
            <w:pPr>
              <w:jc w:val="center"/>
              <w:textAlignment w:val="bottom"/>
            </w:pPr>
            <w:r w:rsidRPr="00253A63">
              <w:t>4</w:t>
            </w:r>
          </w:p>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B534994" w14:textId="77777777" w:rsidR="00253A63" w:rsidRPr="00565FAA" w:rsidRDefault="00253A63" w:rsidP="000F13DD">
            <w:pPr>
              <w:jc w:val="center"/>
              <w:textAlignment w:val="bottom"/>
            </w:pPr>
            <w:r w:rsidRPr="00253A63">
              <w:t>5</w:t>
            </w:r>
          </w:p>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53A73F4" w14:textId="77777777" w:rsidR="00253A63" w:rsidRPr="00565FAA" w:rsidRDefault="00253A63" w:rsidP="000F13DD">
            <w:pPr>
              <w:jc w:val="center"/>
              <w:textAlignment w:val="bottom"/>
            </w:pPr>
            <w:r w:rsidRPr="00253A63">
              <w:t>6</w:t>
            </w:r>
          </w:p>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E7F3288" w14:textId="77777777" w:rsidR="00253A63" w:rsidRPr="00565FAA" w:rsidRDefault="00253A63" w:rsidP="000F13DD">
            <w:pPr>
              <w:jc w:val="center"/>
              <w:textAlignment w:val="bottom"/>
            </w:pPr>
            <w:r w:rsidRPr="00253A63">
              <w:t>7</w:t>
            </w:r>
          </w:p>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0C24B8C" w14:textId="77777777" w:rsidR="00253A63" w:rsidRPr="00565FAA" w:rsidRDefault="00253A63" w:rsidP="000F13DD">
            <w:pPr>
              <w:jc w:val="center"/>
            </w:pPr>
            <w:r w:rsidRPr="00253A63">
              <w:t>8</w:t>
            </w:r>
          </w:p>
        </w:tc>
      </w:tr>
      <w:tr w:rsidR="00396DE0" w:rsidRPr="00565FAA" w14:paraId="0C83F3C9"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0DA3BF7" w14:textId="77777777" w:rsidR="00396DE0" w:rsidRPr="00565FAA" w:rsidRDefault="00396DE0" w:rsidP="009B5341">
            <w:pPr>
              <w:jc w:val="center"/>
              <w:textAlignment w:val="bottom"/>
            </w:pPr>
            <w:r w:rsidRPr="00565FAA">
              <w:rPr>
                <w:rFonts w:eastAsia="SimSun"/>
                <w:lang w:eastAsia="zh-CN" w:bidi="ar"/>
              </w:rPr>
              <w:t>16</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F3B3724" w14:textId="77777777" w:rsidR="00396DE0" w:rsidRPr="00565FAA" w:rsidRDefault="00396DE0" w:rsidP="009B5341">
            <w:pPr>
              <w:jc w:val="center"/>
              <w:textAlignment w:val="bottom"/>
            </w:pPr>
            <w:r w:rsidRPr="00565FAA">
              <w:rPr>
                <w:rFonts w:eastAsia="SimSun"/>
                <w:lang w:eastAsia="zh-CN" w:bidi="ar"/>
              </w:rPr>
              <w:t>2.2</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DBF33B3" w14:textId="77777777" w:rsidR="00396DE0" w:rsidRPr="00565FAA" w:rsidRDefault="00396DE0" w:rsidP="009B5341">
            <w:pPr>
              <w:jc w:val="center"/>
              <w:textAlignment w:val="bottom"/>
            </w:pPr>
            <w:r w:rsidRPr="00565FAA">
              <w:rPr>
                <w:rFonts w:eastAsia="SimSun"/>
                <w:iCs/>
                <w:lang w:eastAsia="zh-CN" w:bidi="ar"/>
              </w:rPr>
              <w:t>на 01.01.__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B2F28C6" w14:textId="77777777" w:rsidR="00396DE0" w:rsidRPr="00565FAA" w:rsidRDefault="00396DE0" w:rsidP="009B5341">
            <w:pPr>
              <w:jc w:val="right"/>
              <w:textAlignment w:val="bottom"/>
            </w:pPr>
          </w:p>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B3C3077" w14:textId="77777777" w:rsidR="00396DE0" w:rsidRPr="00565FAA" w:rsidRDefault="00396DE0" w:rsidP="009B5341">
            <w:pPr>
              <w:jc w:val="right"/>
              <w:textAlignment w:val="bottom"/>
            </w:pPr>
          </w:p>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1F1BF483" w14:textId="77777777" w:rsidR="00396DE0" w:rsidRPr="00565FAA" w:rsidRDefault="00396DE0" w:rsidP="009B5341">
            <w:pPr>
              <w:jc w:val="right"/>
              <w:textAlignment w:val="bottom"/>
            </w:pPr>
          </w:p>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0E8010AC" w14:textId="77777777" w:rsidR="00396DE0" w:rsidRPr="00565FAA" w:rsidRDefault="00396DE0" w:rsidP="009B5341">
            <w:pPr>
              <w:jc w:val="right"/>
              <w:textAlignment w:val="bottom"/>
            </w:pPr>
          </w:p>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620C4A1C" w14:textId="77777777" w:rsidR="00396DE0" w:rsidRPr="00565FAA" w:rsidRDefault="00396DE0" w:rsidP="009B5341"/>
        </w:tc>
      </w:tr>
      <w:tr w:rsidR="00396DE0" w:rsidRPr="00565FAA" w14:paraId="53A524F3" w14:textId="77777777" w:rsidTr="00494D97">
        <w:trPr>
          <w:trHeight w:val="300"/>
        </w:trPr>
        <w:tc>
          <w:tcPr>
            <w:tcW w:w="519" w:type="dxa"/>
            <w:tcBorders>
              <w:top w:val="single" w:sz="2" w:space="0" w:color="4C4C4C"/>
              <w:left w:val="single" w:sz="2" w:space="0" w:color="4C4C4C"/>
              <w:bottom w:val="single" w:sz="2" w:space="0" w:color="4C4C4C"/>
              <w:right w:val="single" w:sz="2" w:space="0" w:color="4C4C4C"/>
            </w:tcBorders>
            <w:shd w:val="clear" w:color="auto" w:fill="auto"/>
            <w:vAlign w:val="center"/>
          </w:tcPr>
          <w:p w14:paraId="3D2C10CE" w14:textId="77777777" w:rsidR="00396DE0" w:rsidRPr="00565FAA" w:rsidRDefault="00396DE0" w:rsidP="009B5341">
            <w:pPr>
              <w:jc w:val="center"/>
              <w:textAlignment w:val="bottom"/>
            </w:pPr>
            <w:r w:rsidRPr="00565FAA">
              <w:rPr>
                <w:rFonts w:eastAsia="SimSun"/>
                <w:lang w:eastAsia="zh-CN" w:bidi="ar"/>
              </w:rPr>
              <w:t>17</w:t>
            </w:r>
          </w:p>
        </w:tc>
        <w:tc>
          <w:tcPr>
            <w:tcW w:w="78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5E8D7DCF" w14:textId="77777777" w:rsidR="00396DE0" w:rsidRPr="00565FAA" w:rsidRDefault="00396DE0" w:rsidP="009B5341">
            <w:pPr>
              <w:jc w:val="center"/>
              <w:textAlignment w:val="bottom"/>
            </w:pPr>
            <w:r w:rsidRPr="00565FAA">
              <w:rPr>
                <w:rFonts w:eastAsia="SimSun"/>
                <w:lang w:eastAsia="zh-CN" w:bidi="ar"/>
              </w:rPr>
              <w:t>2.3</w:t>
            </w:r>
          </w:p>
        </w:tc>
        <w:tc>
          <w:tcPr>
            <w:tcW w:w="1515"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5205945" w14:textId="77777777" w:rsidR="00396DE0" w:rsidRPr="00565FAA" w:rsidRDefault="00396DE0" w:rsidP="009B5341">
            <w:pPr>
              <w:jc w:val="center"/>
              <w:textAlignment w:val="bottom"/>
            </w:pPr>
            <w:r w:rsidRPr="00565FAA">
              <w:rPr>
                <w:rFonts w:eastAsia="SimSun"/>
                <w:iCs/>
                <w:lang w:eastAsia="zh-CN" w:bidi="ar"/>
              </w:rPr>
              <w:t>на 01.01.__</w:t>
            </w:r>
          </w:p>
        </w:tc>
        <w:tc>
          <w:tcPr>
            <w:tcW w:w="2127"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50D9B8F" w14:textId="77777777" w:rsidR="00396DE0" w:rsidRPr="00565FAA" w:rsidRDefault="00396DE0" w:rsidP="009B5341">
            <w:pPr>
              <w:jc w:val="right"/>
              <w:textAlignment w:val="bottom"/>
            </w:pPr>
          </w:p>
        </w:tc>
        <w:tc>
          <w:tcPr>
            <w:tcW w:w="2126"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615A194" w14:textId="77777777" w:rsidR="00396DE0" w:rsidRPr="00565FAA" w:rsidRDefault="00396DE0" w:rsidP="009B5341">
            <w:pPr>
              <w:jc w:val="right"/>
              <w:textAlignment w:val="bottom"/>
            </w:pPr>
          </w:p>
        </w:tc>
        <w:tc>
          <w:tcPr>
            <w:tcW w:w="2993"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6E48282" w14:textId="77777777" w:rsidR="00396DE0" w:rsidRPr="00565FAA" w:rsidRDefault="00396DE0" w:rsidP="009B5341">
            <w:pPr>
              <w:jc w:val="right"/>
              <w:textAlignment w:val="bottom"/>
            </w:pPr>
          </w:p>
        </w:tc>
        <w:tc>
          <w:tcPr>
            <w:tcW w:w="2541" w:type="dxa"/>
            <w:tcBorders>
              <w:top w:val="single" w:sz="2" w:space="0" w:color="4C4C4C"/>
              <w:left w:val="single" w:sz="2" w:space="0" w:color="4C4C4C"/>
              <w:bottom w:val="single" w:sz="2" w:space="0" w:color="4C4C4C"/>
              <w:right w:val="single" w:sz="2" w:space="0" w:color="4C4C4C"/>
            </w:tcBorders>
            <w:shd w:val="clear" w:color="auto" w:fill="auto"/>
            <w:vAlign w:val="center"/>
          </w:tcPr>
          <w:p w14:paraId="276F839A" w14:textId="77777777" w:rsidR="00396DE0" w:rsidRPr="00565FAA" w:rsidRDefault="00396DE0" w:rsidP="009B5341"/>
        </w:tc>
        <w:tc>
          <w:tcPr>
            <w:tcW w:w="2620" w:type="dxa"/>
            <w:tcBorders>
              <w:top w:val="single" w:sz="2" w:space="0" w:color="4C4C4C"/>
              <w:left w:val="single" w:sz="2" w:space="0" w:color="4C4C4C"/>
              <w:bottom w:val="single" w:sz="2" w:space="0" w:color="4C4C4C"/>
              <w:right w:val="single" w:sz="2" w:space="0" w:color="4C4C4C"/>
            </w:tcBorders>
            <w:shd w:val="clear" w:color="auto" w:fill="auto"/>
            <w:vAlign w:val="center"/>
          </w:tcPr>
          <w:p w14:paraId="7C1884A2" w14:textId="77777777" w:rsidR="00396DE0" w:rsidRPr="00565FAA" w:rsidRDefault="00396DE0" w:rsidP="009B5341">
            <w:pPr>
              <w:jc w:val="right"/>
              <w:textAlignment w:val="bottom"/>
            </w:pPr>
          </w:p>
        </w:tc>
      </w:tr>
    </w:tbl>
    <w:p w14:paraId="615D9B3C" w14:textId="77777777" w:rsidR="000F13DD" w:rsidRDefault="000F13DD" w:rsidP="00823387">
      <w:pPr>
        <w:jc w:val="right"/>
        <w:sectPr w:rsidR="000F13DD" w:rsidSect="00253A63">
          <w:headerReference w:type="default" r:id="rId20"/>
          <w:headerReference w:type="first" r:id="rId21"/>
          <w:pgSz w:w="16838" w:h="11906" w:orient="landscape"/>
          <w:pgMar w:top="567" w:right="851" w:bottom="1701" w:left="851" w:header="709" w:footer="0" w:gutter="0"/>
          <w:cols w:space="720"/>
          <w:formProt w:val="0"/>
          <w:titlePg/>
          <w:docGrid w:linePitch="381"/>
        </w:sectPr>
      </w:pPr>
    </w:p>
    <w:p w14:paraId="53064E6A" w14:textId="2298F78D" w:rsidR="009D1F71" w:rsidRDefault="00952578" w:rsidP="00823387">
      <w:pPr>
        <w:jc w:val="right"/>
        <w:rPr>
          <w:lang w:val="ru-RU"/>
        </w:rPr>
      </w:pPr>
      <w:r>
        <w:t>7.2</w:t>
      </w:r>
      <w:r w:rsidR="00311853" w:rsidRPr="00311853">
        <w:rPr>
          <w:lang w:val="ru-RU"/>
        </w:rPr>
        <w:t>.</w:t>
      </w:r>
      <w:r>
        <w:t xml:space="preserve"> </w:t>
      </w:r>
      <w:r w:rsidR="00396DE0" w:rsidRPr="000D07CA">
        <w:t xml:space="preserve">Про результати оцінки достатності внутрішньої ліквідності за нормативною </w:t>
      </w:r>
      <w:r w:rsidR="00396DE0" w:rsidRPr="000D07CA">
        <w:rPr>
          <w:bCs/>
        </w:rPr>
        <w:t>перспективою (к</w:t>
      </w:r>
      <w:r w:rsidR="00396DE0" w:rsidRPr="000D07CA">
        <w:t>ороткострокова ліквідність)</w:t>
      </w:r>
      <w:r w:rsidR="001C7CAC" w:rsidRPr="00336596">
        <w:rPr>
          <w:lang w:val="ru-RU"/>
        </w:rPr>
        <w:t xml:space="preserve">                                           </w:t>
      </w:r>
    </w:p>
    <w:p w14:paraId="6A169BC7" w14:textId="33AEFDF8" w:rsidR="00396DE0" w:rsidRPr="000D07CA" w:rsidRDefault="00396DE0" w:rsidP="00823387">
      <w:pPr>
        <w:jc w:val="right"/>
      </w:pPr>
      <w:r w:rsidRPr="000D07CA">
        <w:t>Таблиця 2</w:t>
      </w:r>
    </w:p>
    <w:tbl>
      <w:tblPr>
        <w:tblW w:w="15333" w:type="dxa"/>
        <w:tblLayout w:type="fixed"/>
        <w:tblLook w:val="04A0" w:firstRow="1" w:lastRow="0" w:firstColumn="1" w:lastColumn="0" w:noHBand="0" w:noVBand="1"/>
      </w:tblPr>
      <w:tblGrid>
        <w:gridCol w:w="562"/>
        <w:gridCol w:w="709"/>
        <w:gridCol w:w="6051"/>
        <w:gridCol w:w="822"/>
        <w:gridCol w:w="1069"/>
        <w:gridCol w:w="1275"/>
        <w:gridCol w:w="1105"/>
        <w:gridCol w:w="12"/>
        <w:gridCol w:w="1290"/>
        <w:gridCol w:w="1131"/>
        <w:gridCol w:w="1307"/>
      </w:tblGrid>
      <w:tr w:rsidR="00396DE0" w:rsidRPr="00FB3C2A" w14:paraId="4CFFC0F5" w14:textId="77777777" w:rsidTr="00311853">
        <w:trPr>
          <w:trHeight w:val="184"/>
        </w:trPr>
        <w:tc>
          <w:tcPr>
            <w:tcW w:w="562" w:type="dxa"/>
            <w:vMerge w:val="restart"/>
            <w:tcBorders>
              <w:top w:val="single" w:sz="4" w:space="0" w:color="000000"/>
              <w:left w:val="single" w:sz="4" w:space="0" w:color="000000"/>
              <w:right w:val="single" w:sz="4" w:space="0" w:color="000000"/>
            </w:tcBorders>
            <w:shd w:val="clear" w:color="auto" w:fill="auto"/>
            <w:vAlign w:val="center"/>
          </w:tcPr>
          <w:p w14:paraId="72430242" w14:textId="77777777" w:rsidR="00396DE0" w:rsidRPr="00FB3C2A" w:rsidRDefault="00396DE0" w:rsidP="009B5341">
            <w:pPr>
              <w:jc w:val="center"/>
            </w:pPr>
            <w:r w:rsidRPr="00FB3C2A">
              <w:t>№ з/п</w:t>
            </w:r>
          </w:p>
        </w:tc>
        <w:tc>
          <w:tcPr>
            <w:tcW w:w="709" w:type="dxa"/>
            <w:vMerge w:val="restart"/>
            <w:tcBorders>
              <w:top w:val="single" w:sz="4" w:space="0" w:color="000000"/>
              <w:left w:val="single" w:sz="4" w:space="0" w:color="000000"/>
              <w:right w:val="single" w:sz="4" w:space="0" w:color="000000"/>
            </w:tcBorders>
            <w:shd w:val="clear" w:color="auto" w:fill="auto"/>
            <w:vAlign w:val="center"/>
          </w:tcPr>
          <w:p w14:paraId="0FBAA155" w14:textId="484B5395" w:rsidR="00396DE0" w:rsidRPr="00FB3C2A" w:rsidRDefault="00311853" w:rsidP="009B5341">
            <w:pPr>
              <w:ind w:left="-113" w:right="-113"/>
              <w:jc w:val="center"/>
            </w:pPr>
            <w:r>
              <w:t xml:space="preserve">№ </w:t>
            </w:r>
            <w:proofErr w:type="spellStart"/>
            <w:r>
              <w:t>пока</w:t>
            </w:r>
            <w:r w:rsidR="00A733F1">
              <w:t>-</w:t>
            </w:r>
            <w:r>
              <w:t>з</w:t>
            </w:r>
            <w:r w:rsidR="00396DE0" w:rsidRPr="00FB3C2A">
              <w:t>ника</w:t>
            </w:r>
            <w:proofErr w:type="spellEnd"/>
          </w:p>
        </w:tc>
        <w:tc>
          <w:tcPr>
            <w:tcW w:w="6051" w:type="dxa"/>
            <w:vMerge w:val="restart"/>
            <w:tcBorders>
              <w:top w:val="single" w:sz="4" w:space="0" w:color="000000"/>
              <w:left w:val="single" w:sz="4" w:space="0" w:color="000000"/>
              <w:right w:val="single" w:sz="4" w:space="0" w:color="000000"/>
            </w:tcBorders>
            <w:shd w:val="clear" w:color="auto" w:fill="auto"/>
            <w:vAlign w:val="center"/>
          </w:tcPr>
          <w:p w14:paraId="05CBE56B" w14:textId="77777777" w:rsidR="00396DE0" w:rsidRPr="00FB3C2A" w:rsidRDefault="00396DE0" w:rsidP="009B5341">
            <w:pPr>
              <w:jc w:val="center"/>
            </w:pPr>
            <w:r w:rsidRPr="00FB3C2A">
              <w:t>Назва показника</w:t>
            </w:r>
          </w:p>
        </w:tc>
        <w:tc>
          <w:tcPr>
            <w:tcW w:w="822" w:type="dxa"/>
            <w:vMerge w:val="restart"/>
            <w:tcBorders>
              <w:top w:val="single" w:sz="4" w:space="0" w:color="000000"/>
              <w:left w:val="single" w:sz="4" w:space="0" w:color="000000"/>
              <w:right w:val="single" w:sz="4" w:space="0" w:color="000000"/>
            </w:tcBorders>
            <w:shd w:val="clear" w:color="auto" w:fill="auto"/>
            <w:vAlign w:val="center"/>
          </w:tcPr>
          <w:p w14:paraId="7A2CDB70" w14:textId="77777777" w:rsidR="00396DE0" w:rsidRPr="00FB3C2A" w:rsidRDefault="00396DE0" w:rsidP="009B5341">
            <w:pPr>
              <w:ind w:left="-227" w:right="-227"/>
              <w:jc w:val="center"/>
            </w:pPr>
            <w:r w:rsidRPr="00FB3C2A">
              <w:t>На</w:t>
            </w:r>
            <w:r w:rsidRPr="00FB3C2A">
              <w:br/>
              <w:t>01.01.</w:t>
            </w:r>
            <w:r w:rsidRPr="00FB3C2A">
              <w:br/>
              <w:t>20__</w:t>
            </w:r>
          </w:p>
        </w:tc>
        <w:tc>
          <w:tcPr>
            <w:tcW w:w="7189" w:type="dxa"/>
            <w:gridSpan w:val="7"/>
            <w:tcBorders>
              <w:top w:val="single" w:sz="4" w:space="0" w:color="000000"/>
              <w:bottom w:val="single" w:sz="4" w:space="0" w:color="000000"/>
              <w:right w:val="single" w:sz="4" w:space="0" w:color="000000"/>
            </w:tcBorders>
            <w:shd w:val="clear" w:color="auto" w:fill="auto"/>
            <w:vAlign w:val="center"/>
          </w:tcPr>
          <w:p w14:paraId="25EB3FEA" w14:textId="588D5885" w:rsidR="00396DE0" w:rsidRPr="00FB3C2A" w:rsidRDefault="00396DE0" w:rsidP="00952578">
            <w:pPr>
              <w:jc w:val="center"/>
            </w:pPr>
            <w:r w:rsidRPr="00FB3C2A">
              <w:t>Результати ILAAP (на прогнозні дати)</w:t>
            </w:r>
          </w:p>
        </w:tc>
      </w:tr>
      <w:tr w:rsidR="00396DE0" w:rsidRPr="00FB3C2A" w14:paraId="062DC075" w14:textId="77777777" w:rsidTr="00311853">
        <w:trPr>
          <w:trHeight w:val="345"/>
        </w:trPr>
        <w:tc>
          <w:tcPr>
            <w:tcW w:w="562" w:type="dxa"/>
            <w:vMerge/>
            <w:tcBorders>
              <w:left w:val="single" w:sz="4" w:space="0" w:color="000000"/>
              <w:right w:val="single" w:sz="4" w:space="0" w:color="000000"/>
            </w:tcBorders>
            <w:shd w:val="clear" w:color="auto" w:fill="auto"/>
          </w:tcPr>
          <w:p w14:paraId="0A9A65C0" w14:textId="77777777" w:rsidR="00396DE0" w:rsidRPr="00FB3C2A" w:rsidRDefault="00396DE0" w:rsidP="009B5341">
            <w:pPr>
              <w:jc w:val="center"/>
            </w:pPr>
          </w:p>
        </w:tc>
        <w:tc>
          <w:tcPr>
            <w:tcW w:w="709" w:type="dxa"/>
            <w:vMerge/>
            <w:tcBorders>
              <w:left w:val="single" w:sz="4" w:space="0" w:color="000000"/>
              <w:right w:val="single" w:sz="4" w:space="0" w:color="000000"/>
            </w:tcBorders>
            <w:shd w:val="clear" w:color="auto" w:fill="auto"/>
          </w:tcPr>
          <w:p w14:paraId="603E3C0F" w14:textId="77777777" w:rsidR="00396DE0" w:rsidRPr="00FB3C2A" w:rsidRDefault="00396DE0" w:rsidP="009B5341"/>
        </w:tc>
        <w:tc>
          <w:tcPr>
            <w:tcW w:w="6051" w:type="dxa"/>
            <w:vMerge/>
            <w:tcBorders>
              <w:left w:val="single" w:sz="4" w:space="0" w:color="000000"/>
              <w:right w:val="single" w:sz="4" w:space="0" w:color="000000"/>
            </w:tcBorders>
            <w:shd w:val="clear" w:color="auto" w:fill="auto"/>
            <w:vAlign w:val="center"/>
          </w:tcPr>
          <w:p w14:paraId="4E92E5F6" w14:textId="77777777" w:rsidR="00396DE0" w:rsidRPr="00FB3C2A" w:rsidRDefault="00396DE0" w:rsidP="009B5341"/>
        </w:tc>
        <w:tc>
          <w:tcPr>
            <w:tcW w:w="822" w:type="dxa"/>
            <w:vMerge/>
            <w:tcBorders>
              <w:left w:val="single" w:sz="4" w:space="0" w:color="000000"/>
              <w:right w:val="single" w:sz="4" w:space="0" w:color="000000"/>
            </w:tcBorders>
            <w:shd w:val="clear" w:color="auto" w:fill="auto"/>
            <w:vAlign w:val="center"/>
          </w:tcPr>
          <w:p w14:paraId="748CF863" w14:textId="77777777" w:rsidR="00396DE0" w:rsidRPr="00FB3C2A" w:rsidRDefault="00396DE0" w:rsidP="009B5341"/>
        </w:tc>
        <w:tc>
          <w:tcPr>
            <w:tcW w:w="2344" w:type="dxa"/>
            <w:gridSpan w:val="2"/>
            <w:tcBorders>
              <w:top w:val="single" w:sz="4" w:space="0" w:color="000000"/>
              <w:bottom w:val="single" w:sz="4" w:space="0" w:color="000000"/>
              <w:right w:val="single" w:sz="4" w:space="0" w:color="000000"/>
            </w:tcBorders>
            <w:shd w:val="clear" w:color="auto" w:fill="auto"/>
            <w:vAlign w:val="center"/>
          </w:tcPr>
          <w:p w14:paraId="5F21EEFD" w14:textId="77777777" w:rsidR="00396DE0" w:rsidRPr="00FB3C2A" w:rsidRDefault="00396DE0" w:rsidP="009B5341">
            <w:pPr>
              <w:jc w:val="center"/>
            </w:pPr>
            <w:r w:rsidRPr="00FB3C2A">
              <w:t>на 01.02.20_</w:t>
            </w:r>
          </w:p>
        </w:tc>
        <w:tc>
          <w:tcPr>
            <w:tcW w:w="2407" w:type="dxa"/>
            <w:gridSpan w:val="3"/>
            <w:tcBorders>
              <w:top w:val="single" w:sz="4" w:space="0" w:color="000000"/>
              <w:bottom w:val="single" w:sz="4" w:space="0" w:color="000000"/>
              <w:right w:val="single" w:sz="4" w:space="0" w:color="000000"/>
            </w:tcBorders>
            <w:shd w:val="clear" w:color="auto" w:fill="auto"/>
            <w:vAlign w:val="center"/>
          </w:tcPr>
          <w:p w14:paraId="33DA5805" w14:textId="77777777" w:rsidR="00396DE0" w:rsidRPr="00FB3C2A" w:rsidRDefault="00396DE0" w:rsidP="009B5341">
            <w:pPr>
              <w:jc w:val="center"/>
            </w:pPr>
            <w:r w:rsidRPr="00FB3C2A">
              <w:t>…_</w:t>
            </w:r>
          </w:p>
        </w:tc>
        <w:tc>
          <w:tcPr>
            <w:tcW w:w="2438" w:type="dxa"/>
            <w:gridSpan w:val="2"/>
            <w:tcBorders>
              <w:top w:val="single" w:sz="4" w:space="0" w:color="000000"/>
              <w:bottom w:val="single" w:sz="4" w:space="0" w:color="000000"/>
              <w:right w:val="single" w:sz="4" w:space="0" w:color="000000"/>
            </w:tcBorders>
            <w:shd w:val="clear" w:color="auto" w:fill="auto"/>
            <w:vAlign w:val="center"/>
          </w:tcPr>
          <w:p w14:paraId="5A6F982C" w14:textId="77777777" w:rsidR="00396DE0" w:rsidRPr="00FB3C2A" w:rsidRDefault="00396DE0" w:rsidP="009B5341">
            <w:pPr>
              <w:jc w:val="center"/>
            </w:pPr>
            <w:r w:rsidRPr="00FB3C2A">
              <w:t>на 01.01.20_</w:t>
            </w:r>
          </w:p>
        </w:tc>
      </w:tr>
      <w:tr w:rsidR="00396DE0" w:rsidRPr="00FB3C2A" w14:paraId="27C1E612" w14:textId="77777777" w:rsidTr="00311853">
        <w:trPr>
          <w:trHeight w:val="730"/>
        </w:trPr>
        <w:tc>
          <w:tcPr>
            <w:tcW w:w="562" w:type="dxa"/>
            <w:vMerge/>
            <w:tcBorders>
              <w:left w:val="single" w:sz="4" w:space="0" w:color="000000"/>
              <w:bottom w:val="single" w:sz="4" w:space="0" w:color="000000"/>
              <w:right w:val="single" w:sz="4" w:space="0" w:color="000000"/>
            </w:tcBorders>
            <w:shd w:val="clear" w:color="auto" w:fill="auto"/>
          </w:tcPr>
          <w:p w14:paraId="243CEE45" w14:textId="77777777" w:rsidR="00396DE0" w:rsidRPr="00FB3C2A" w:rsidRDefault="00396DE0" w:rsidP="009B5341">
            <w:pPr>
              <w:jc w:val="center"/>
            </w:pPr>
          </w:p>
        </w:tc>
        <w:tc>
          <w:tcPr>
            <w:tcW w:w="709" w:type="dxa"/>
            <w:vMerge/>
            <w:tcBorders>
              <w:left w:val="single" w:sz="4" w:space="0" w:color="000000"/>
              <w:bottom w:val="single" w:sz="4" w:space="0" w:color="000000"/>
              <w:right w:val="single" w:sz="4" w:space="0" w:color="000000"/>
            </w:tcBorders>
            <w:shd w:val="clear" w:color="auto" w:fill="auto"/>
          </w:tcPr>
          <w:p w14:paraId="508D9585" w14:textId="77777777" w:rsidR="00396DE0" w:rsidRPr="00FB3C2A" w:rsidRDefault="00396DE0" w:rsidP="009B5341"/>
        </w:tc>
        <w:tc>
          <w:tcPr>
            <w:tcW w:w="6051" w:type="dxa"/>
            <w:vMerge/>
            <w:tcBorders>
              <w:left w:val="single" w:sz="4" w:space="0" w:color="000000"/>
              <w:bottom w:val="single" w:sz="4" w:space="0" w:color="000000"/>
              <w:right w:val="single" w:sz="4" w:space="0" w:color="000000"/>
            </w:tcBorders>
            <w:shd w:val="clear" w:color="auto" w:fill="auto"/>
            <w:vAlign w:val="center"/>
          </w:tcPr>
          <w:p w14:paraId="62AE01F4" w14:textId="77777777" w:rsidR="00396DE0" w:rsidRPr="00FB3C2A" w:rsidRDefault="00396DE0" w:rsidP="009B5341"/>
        </w:tc>
        <w:tc>
          <w:tcPr>
            <w:tcW w:w="822" w:type="dxa"/>
            <w:vMerge/>
            <w:tcBorders>
              <w:left w:val="single" w:sz="4" w:space="0" w:color="000000"/>
              <w:bottom w:val="single" w:sz="4" w:space="0" w:color="000000"/>
              <w:right w:val="single" w:sz="4" w:space="0" w:color="000000"/>
            </w:tcBorders>
            <w:shd w:val="clear" w:color="auto" w:fill="auto"/>
            <w:vAlign w:val="center"/>
          </w:tcPr>
          <w:p w14:paraId="488DEA65" w14:textId="77777777" w:rsidR="00396DE0" w:rsidRPr="00FB3C2A" w:rsidRDefault="00396DE0" w:rsidP="009B5341"/>
        </w:tc>
        <w:tc>
          <w:tcPr>
            <w:tcW w:w="1069" w:type="dxa"/>
            <w:tcBorders>
              <w:top w:val="single" w:sz="4" w:space="0" w:color="000000"/>
              <w:bottom w:val="single" w:sz="4" w:space="0" w:color="000000"/>
              <w:right w:val="single" w:sz="4" w:space="0" w:color="000000"/>
            </w:tcBorders>
            <w:shd w:val="clear" w:color="auto" w:fill="auto"/>
            <w:vAlign w:val="center"/>
          </w:tcPr>
          <w:p w14:paraId="07660F18" w14:textId="77777777" w:rsidR="00396DE0" w:rsidRPr="00FB3C2A" w:rsidRDefault="00396DE0" w:rsidP="009B5341">
            <w:pPr>
              <w:ind w:left="-113" w:right="-113"/>
              <w:jc w:val="center"/>
            </w:pPr>
            <w:r w:rsidRPr="00FB3C2A">
              <w:t>базовий сценарій</w:t>
            </w:r>
          </w:p>
        </w:tc>
        <w:tc>
          <w:tcPr>
            <w:tcW w:w="1275" w:type="dxa"/>
            <w:tcBorders>
              <w:top w:val="single" w:sz="4" w:space="0" w:color="000000"/>
              <w:bottom w:val="single" w:sz="4" w:space="0" w:color="000000"/>
              <w:right w:val="single" w:sz="4" w:space="0" w:color="000000"/>
            </w:tcBorders>
            <w:shd w:val="clear" w:color="auto" w:fill="auto"/>
            <w:vAlign w:val="center"/>
          </w:tcPr>
          <w:p w14:paraId="715DBC7F" w14:textId="16FB8038" w:rsidR="00396DE0" w:rsidRPr="00FB3C2A" w:rsidRDefault="00311853" w:rsidP="009B5341">
            <w:pPr>
              <w:ind w:left="-57" w:right="-57"/>
              <w:jc w:val="center"/>
            </w:pPr>
            <w:proofErr w:type="spellStart"/>
            <w:r>
              <w:t>несприя</w:t>
            </w:r>
            <w:r w:rsidR="00A733F1">
              <w:t>-</w:t>
            </w:r>
            <w:r>
              <w:t>т</w:t>
            </w:r>
            <w:r w:rsidR="00396DE0" w:rsidRPr="00FB3C2A">
              <w:t>ливий</w:t>
            </w:r>
            <w:proofErr w:type="spellEnd"/>
            <w:r w:rsidR="00396DE0" w:rsidRPr="00FB3C2A">
              <w:t xml:space="preserve"> сценарій</w:t>
            </w:r>
          </w:p>
        </w:tc>
        <w:tc>
          <w:tcPr>
            <w:tcW w:w="1105" w:type="dxa"/>
            <w:tcBorders>
              <w:top w:val="single" w:sz="4" w:space="0" w:color="000000"/>
              <w:bottom w:val="single" w:sz="4" w:space="0" w:color="000000"/>
              <w:right w:val="single" w:sz="4" w:space="0" w:color="000000"/>
            </w:tcBorders>
            <w:shd w:val="clear" w:color="auto" w:fill="auto"/>
            <w:vAlign w:val="center"/>
          </w:tcPr>
          <w:p w14:paraId="3415377E" w14:textId="77777777" w:rsidR="00396DE0" w:rsidRPr="00FB3C2A" w:rsidRDefault="00396DE0" w:rsidP="009B5341">
            <w:pPr>
              <w:ind w:left="-113" w:right="-113"/>
              <w:jc w:val="center"/>
            </w:pPr>
            <w:r w:rsidRPr="00FB3C2A">
              <w:t>базовий сценарій</w:t>
            </w:r>
          </w:p>
        </w:tc>
        <w:tc>
          <w:tcPr>
            <w:tcW w:w="1302" w:type="dxa"/>
            <w:gridSpan w:val="2"/>
            <w:tcBorders>
              <w:top w:val="single" w:sz="4" w:space="0" w:color="000000"/>
              <w:bottom w:val="single" w:sz="4" w:space="0" w:color="000000"/>
              <w:right w:val="single" w:sz="4" w:space="0" w:color="000000"/>
            </w:tcBorders>
            <w:shd w:val="clear" w:color="auto" w:fill="auto"/>
            <w:vAlign w:val="center"/>
          </w:tcPr>
          <w:p w14:paraId="2CFEB138" w14:textId="389E8984" w:rsidR="00396DE0" w:rsidRPr="00FB3C2A" w:rsidRDefault="00396DE0" w:rsidP="00311853">
            <w:pPr>
              <w:ind w:left="-57" w:right="-57"/>
              <w:jc w:val="center"/>
            </w:pPr>
            <w:proofErr w:type="spellStart"/>
            <w:r w:rsidRPr="00FB3C2A">
              <w:t>несприя</w:t>
            </w:r>
            <w:r w:rsidR="00A733F1">
              <w:t>-</w:t>
            </w:r>
            <w:r w:rsidRPr="00FB3C2A">
              <w:t>тливий</w:t>
            </w:r>
            <w:proofErr w:type="spellEnd"/>
            <w:r w:rsidRPr="00FB3C2A">
              <w:t xml:space="preserve"> сценарій</w:t>
            </w:r>
          </w:p>
        </w:tc>
        <w:tc>
          <w:tcPr>
            <w:tcW w:w="1131" w:type="dxa"/>
            <w:tcBorders>
              <w:top w:val="single" w:sz="4" w:space="0" w:color="000000"/>
              <w:bottom w:val="single" w:sz="4" w:space="0" w:color="000000"/>
              <w:right w:val="single" w:sz="4" w:space="0" w:color="000000"/>
            </w:tcBorders>
            <w:shd w:val="clear" w:color="auto" w:fill="auto"/>
            <w:vAlign w:val="center"/>
          </w:tcPr>
          <w:p w14:paraId="41E18005" w14:textId="77777777" w:rsidR="00396DE0" w:rsidRPr="00FB3C2A" w:rsidRDefault="00396DE0" w:rsidP="009B5341">
            <w:pPr>
              <w:ind w:left="-113" w:right="-113"/>
              <w:jc w:val="center"/>
            </w:pPr>
            <w:r w:rsidRPr="00FB3C2A">
              <w:t>базовий сценарій</w:t>
            </w:r>
          </w:p>
        </w:tc>
        <w:tc>
          <w:tcPr>
            <w:tcW w:w="1307" w:type="dxa"/>
            <w:tcBorders>
              <w:top w:val="single" w:sz="4" w:space="0" w:color="000000"/>
              <w:bottom w:val="single" w:sz="4" w:space="0" w:color="000000"/>
              <w:right w:val="single" w:sz="4" w:space="0" w:color="000000"/>
            </w:tcBorders>
            <w:shd w:val="clear" w:color="auto" w:fill="auto"/>
            <w:vAlign w:val="center"/>
          </w:tcPr>
          <w:p w14:paraId="02F90F05" w14:textId="58633CE7" w:rsidR="00396DE0" w:rsidRPr="00FB3C2A" w:rsidRDefault="00396DE0" w:rsidP="00311853">
            <w:pPr>
              <w:ind w:left="-57" w:right="-57"/>
              <w:jc w:val="center"/>
            </w:pPr>
            <w:proofErr w:type="spellStart"/>
            <w:r w:rsidRPr="00FB3C2A">
              <w:t>несприя</w:t>
            </w:r>
            <w:r w:rsidR="00A733F1">
              <w:t>-</w:t>
            </w:r>
            <w:r w:rsidRPr="00FB3C2A">
              <w:t>тливий</w:t>
            </w:r>
            <w:proofErr w:type="spellEnd"/>
            <w:r w:rsidRPr="00FB3C2A">
              <w:t xml:space="preserve"> сценарій</w:t>
            </w:r>
          </w:p>
        </w:tc>
      </w:tr>
      <w:tr w:rsidR="00396DE0" w:rsidRPr="00FB3C2A" w14:paraId="705D3EEE" w14:textId="77777777" w:rsidTr="00311853">
        <w:trPr>
          <w:trHeight w:val="360"/>
        </w:trPr>
        <w:tc>
          <w:tcPr>
            <w:tcW w:w="562" w:type="dxa"/>
            <w:tcBorders>
              <w:left w:val="single" w:sz="4" w:space="0" w:color="000000"/>
              <w:bottom w:val="single" w:sz="4" w:space="0" w:color="000000"/>
              <w:right w:val="single" w:sz="4" w:space="0" w:color="000000"/>
            </w:tcBorders>
            <w:shd w:val="clear" w:color="auto" w:fill="auto"/>
          </w:tcPr>
          <w:p w14:paraId="54A3FD4F" w14:textId="77777777" w:rsidR="00396DE0" w:rsidRPr="00FB3C2A" w:rsidRDefault="00396DE0" w:rsidP="009B5341">
            <w:pPr>
              <w:jc w:val="center"/>
            </w:pPr>
            <w:r w:rsidRPr="00FB3C2A">
              <w:t>1</w:t>
            </w:r>
          </w:p>
        </w:tc>
        <w:tc>
          <w:tcPr>
            <w:tcW w:w="709" w:type="dxa"/>
            <w:tcBorders>
              <w:left w:val="single" w:sz="4" w:space="0" w:color="000000"/>
              <w:bottom w:val="single" w:sz="4" w:space="0" w:color="000000"/>
              <w:right w:val="single" w:sz="4" w:space="0" w:color="000000"/>
            </w:tcBorders>
            <w:shd w:val="clear" w:color="auto" w:fill="auto"/>
          </w:tcPr>
          <w:p w14:paraId="32399618" w14:textId="77777777" w:rsidR="00396DE0" w:rsidRPr="00FB3C2A" w:rsidRDefault="00396DE0" w:rsidP="009B5341">
            <w:pPr>
              <w:jc w:val="center"/>
            </w:pPr>
            <w:r w:rsidRPr="00FB3C2A">
              <w:t>2</w:t>
            </w:r>
          </w:p>
        </w:tc>
        <w:tc>
          <w:tcPr>
            <w:tcW w:w="6051" w:type="dxa"/>
            <w:tcBorders>
              <w:left w:val="single" w:sz="4" w:space="0" w:color="000000"/>
              <w:bottom w:val="single" w:sz="4" w:space="0" w:color="000000"/>
              <w:right w:val="single" w:sz="4" w:space="0" w:color="000000"/>
            </w:tcBorders>
            <w:shd w:val="clear" w:color="auto" w:fill="auto"/>
            <w:vAlign w:val="center"/>
          </w:tcPr>
          <w:p w14:paraId="663FDAC0" w14:textId="77777777" w:rsidR="00396DE0" w:rsidRPr="00FB3C2A" w:rsidRDefault="00396DE0" w:rsidP="009B5341">
            <w:pPr>
              <w:jc w:val="center"/>
            </w:pPr>
            <w:r w:rsidRPr="00FB3C2A">
              <w:t>3</w:t>
            </w:r>
          </w:p>
        </w:tc>
        <w:tc>
          <w:tcPr>
            <w:tcW w:w="822" w:type="dxa"/>
            <w:tcBorders>
              <w:bottom w:val="single" w:sz="4" w:space="0" w:color="000000"/>
              <w:right w:val="single" w:sz="4" w:space="0" w:color="000000"/>
            </w:tcBorders>
            <w:shd w:val="clear" w:color="auto" w:fill="auto"/>
            <w:vAlign w:val="center"/>
          </w:tcPr>
          <w:p w14:paraId="3AB7F541" w14:textId="77777777" w:rsidR="00396DE0" w:rsidRPr="00FB3C2A" w:rsidRDefault="00396DE0" w:rsidP="009B5341">
            <w:pPr>
              <w:jc w:val="center"/>
            </w:pPr>
            <w:r w:rsidRPr="00FB3C2A">
              <w:t>4</w:t>
            </w:r>
          </w:p>
        </w:tc>
        <w:tc>
          <w:tcPr>
            <w:tcW w:w="1069" w:type="dxa"/>
            <w:tcBorders>
              <w:bottom w:val="single" w:sz="4" w:space="0" w:color="000000"/>
              <w:right w:val="single" w:sz="4" w:space="0" w:color="000000"/>
            </w:tcBorders>
            <w:shd w:val="clear" w:color="auto" w:fill="auto"/>
            <w:vAlign w:val="center"/>
          </w:tcPr>
          <w:p w14:paraId="3E48A1F8" w14:textId="77777777" w:rsidR="00396DE0" w:rsidRPr="00FB3C2A" w:rsidRDefault="00396DE0" w:rsidP="009B5341">
            <w:pPr>
              <w:jc w:val="center"/>
            </w:pPr>
            <w:r w:rsidRPr="00FB3C2A">
              <w:t>5</w:t>
            </w:r>
          </w:p>
        </w:tc>
        <w:tc>
          <w:tcPr>
            <w:tcW w:w="1275" w:type="dxa"/>
            <w:tcBorders>
              <w:bottom w:val="single" w:sz="4" w:space="0" w:color="000000"/>
              <w:right w:val="single" w:sz="4" w:space="0" w:color="000000"/>
            </w:tcBorders>
            <w:shd w:val="clear" w:color="auto" w:fill="auto"/>
            <w:vAlign w:val="center"/>
          </w:tcPr>
          <w:p w14:paraId="037A7B64" w14:textId="77777777" w:rsidR="00396DE0" w:rsidRPr="00FB3C2A" w:rsidRDefault="00396DE0" w:rsidP="009B5341">
            <w:pPr>
              <w:jc w:val="center"/>
            </w:pPr>
            <w:r w:rsidRPr="00FB3C2A">
              <w:t>6</w:t>
            </w:r>
          </w:p>
        </w:tc>
        <w:tc>
          <w:tcPr>
            <w:tcW w:w="1105" w:type="dxa"/>
            <w:tcBorders>
              <w:bottom w:val="single" w:sz="4" w:space="0" w:color="000000"/>
              <w:right w:val="single" w:sz="4" w:space="0" w:color="000000"/>
            </w:tcBorders>
            <w:shd w:val="clear" w:color="auto" w:fill="auto"/>
            <w:vAlign w:val="center"/>
          </w:tcPr>
          <w:p w14:paraId="0CDC6C12" w14:textId="77777777" w:rsidR="00396DE0" w:rsidRPr="00FB3C2A" w:rsidRDefault="00396DE0" w:rsidP="009B5341">
            <w:pPr>
              <w:jc w:val="center"/>
            </w:pPr>
            <w:r w:rsidRPr="00FB3C2A">
              <w:t>7</w:t>
            </w:r>
          </w:p>
        </w:tc>
        <w:tc>
          <w:tcPr>
            <w:tcW w:w="1302" w:type="dxa"/>
            <w:gridSpan w:val="2"/>
            <w:tcBorders>
              <w:bottom w:val="single" w:sz="4" w:space="0" w:color="000000"/>
              <w:right w:val="single" w:sz="4" w:space="0" w:color="000000"/>
            </w:tcBorders>
            <w:shd w:val="clear" w:color="auto" w:fill="auto"/>
            <w:vAlign w:val="center"/>
          </w:tcPr>
          <w:p w14:paraId="7F2A9F9D" w14:textId="77777777" w:rsidR="00396DE0" w:rsidRPr="00FB3C2A" w:rsidRDefault="00396DE0" w:rsidP="009B5341">
            <w:pPr>
              <w:jc w:val="center"/>
            </w:pPr>
            <w:r w:rsidRPr="00FB3C2A">
              <w:t>8</w:t>
            </w:r>
          </w:p>
        </w:tc>
        <w:tc>
          <w:tcPr>
            <w:tcW w:w="1131" w:type="dxa"/>
            <w:tcBorders>
              <w:bottom w:val="single" w:sz="4" w:space="0" w:color="000000"/>
              <w:right w:val="single" w:sz="4" w:space="0" w:color="000000"/>
            </w:tcBorders>
            <w:shd w:val="clear" w:color="auto" w:fill="auto"/>
            <w:vAlign w:val="center"/>
          </w:tcPr>
          <w:p w14:paraId="213A4944" w14:textId="77777777" w:rsidR="00396DE0" w:rsidRPr="00FB3C2A" w:rsidRDefault="00396DE0" w:rsidP="009B5341">
            <w:pPr>
              <w:jc w:val="center"/>
            </w:pPr>
            <w:r w:rsidRPr="00FB3C2A">
              <w:t>9</w:t>
            </w:r>
          </w:p>
        </w:tc>
        <w:tc>
          <w:tcPr>
            <w:tcW w:w="1307" w:type="dxa"/>
            <w:tcBorders>
              <w:bottom w:val="single" w:sz="4" w:space="0" w:color="000000"/>
              <w:right w:val="single" w:sz="4" w:space="0" w:color="000000"/>
            </w:tcBorders>
            <w:shd w:val="clear" w:color="auto" w:fill="auto"/>
            <w:vAlign w:val="center"/>
          </w:tcPr>
          <w:p w14:paraId="541979AA" w14:textId="77777777" w:rsidR="00396DE0" w:rsidRPr="00FB3C2A" w:rsidRDefault="00396DE0" w:rsidP="009B5341">
            <w:pPr>
              <w:jc w:val="center"/>
            </w:pPr>
            <w:r w:rsidRPr="00FB3C2A">
              <w:t>10</w:t>
            </w:r>
          </w:p>
        </w:tc>
      </w:tr>
      <w:tr w:rsidR="00396DE0" w:rsidRPr="00FB3C2A" w14:paraId="338C05E6" w14:textId="77777777" w:rsidTr="00311853">
        <w:trPr>
          <w:trHeight w:val="360"/>
        </w:trPr>
        <w:tc>
          <w:tcPr>
            <w:tcW w:w="562" w:type="dxa"/>
            <w:tcBorders>
              <w:left w:val="single" w:sz="4" w:space="0" w:color="000000"/>
              <w:bottom w:val="single" w:sz="4" w:space="0" w:color="000000"/>
              <w:right w:val="single" w:sz="4" w:space="0" w:color="000000"/>
            </w:tcBorders>
            <w:shd w:val="clear" w:color="auto" w:fill="FFFFFF" w:themeFill="background1"/>
          </w:tcPr>
          <w:p w14:paraId="444417F0" w14:textId="77777777" w:rsidR="00396DE0" w:rsidRPr="00FB3C2A" w:rsidRDefault="00396DE0" w:rsidP="009B5341">
            <w:pPr>
              <w:jc w:val="center"/>
            </w:pPr>
            <w:r w:rsidRPr="00FB3C2A">
              <w:t>1</w:t>
            </w: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03572630" w14:textId="77777777" w:rsidR="00396DE0" w:rsidRPr="00FB3C2A" w:rsidRDefault="00396DE0" w:rsidP="009B5341">
            <w:pPr>
              <w:jc w:val="center"/>
            </w:pPr>
            <w:r w:rsidRPr="00FB3C2A">
              <w:t>1</w:t>
            </w:r>
          </w:p>
        </w:tc>
        <w:tc>
          <w:tcPr>
            <w:tcW w:w="14062" w:type="dxa"/>
            <w:gridSpan w:val="9"/>
            <w:tcBorders>
              <w:left w:val="single" w:sz="4" w:space="0" w:color="000000"/>
              <w:bottom w:val="single" w:sz="4" w:space="0" w:color="000000"/>
              <w:right w:val="single" w:sz="4" w:space="0" w:color="000000"/>
            </w:tcBorders>
            <w:shd w:val="clear" w:color="auto" w:fill="FFFFFF" w:themeFill="background1"/>
            <w:vAlign w:val="center"/>
          </w:tcPr>
          <w:p w14:paraId="4160A44D" w14:textId="77777777" w:rsidR="00396DE0" w:rsidRPr="00FB3C2A" w:rsidRDefault="00396DE0" w:rsidP="009B5341">
            <w:pPr>
              <w:ind w:left="-57"/>
              <w:rPr>
                <w:bCs/>
              </w:rPr>
            </w:pPr>
            <w:r w:rsidRPr="00FB3C2A">
              <w:rPr>
                <w:bCs/>
              </w:rPr>
              <w:t>Регуляторні та наглядові вимоги щодо достатності ліквідності, встановлені Національним банком, %:</w:t>
            </w:r>
          </w:p>
        </w:tc>
      </w:tr>
      <w:tr w:rsidR="00396DE0" w:rsidRPr="00FB3C2A" w14:paraId="2DB1E03B" w14:textId="77777777" w:rsidTr="00311853">
        <w:trPr>
          <w:trHeight w:val="102"/>
        </w:trPr>
        <w:tc>
          <w:tcPr>
            <w:tcW w:w="562" w:type="dxa"/>
            <w:tcBorders>
              <w:left w:val="single" w:sz="4" w:space="0" w:color="000000"/>
              <w:bottom w:val="single" w:sz="4" w:space="0" w:color="000000"/>
              <w:right w:val="single" w:sz="4" w:space="0" w:color="000000"/>
            </w:tcBorders>
            <w:shd w:val="clear" w:color="auto" w:fill="auto"/>
            <w:vAlign w:val="center"/>
          </w:tcPr>
          <w:p w14:paraId="1DCB1FEC" w14:textId="77777777" w:rsidR="00396DE0" w:rsidRPr="00FB3C2A" w:rsidRDefault="00396DE0" w:rsidP="009B5341">
            <w:pPr>
              <w:jc w:val="center"/>
              <w:textAlignment w:val="bottom"/>
            </w:pPr>
            <w:r w:rsidRPr="00FB3C2A">
              <w:rPr>
                <w:rFonts w:eastAsia="SimSun"/>
                <w:lang w:eastAsia="zh-CN" w:bidi="ar"/>
              </w:rPr>
              <w:t>2</w:t>
            </w:r>
          </w:p>
        </w:tc>
        <w:tc>
          <w:tcPr>
            <w:tcW w:w="709" w:type="dxa"/>
            <w:tcBorders>
              <w:left w:val="single" w:sz="4" w:space="0" w:color="000000"/>
              <w:bottom w:val="single" w:sz="4" w:space="0" w:color="000000"/>
              <w:right w:val="single" w:sz="4" w:space="0" w:color="000000"/>
            </w:tcBorders>
            <w:shd w:val="clear" w:color="auto" w:fill="auto"/>
            <w:vAlign w:val="center"/>
          </w:tcPr>
          <w:p w14:paraId="149472A2" w14:textId="77777777" w:rsidR="00396DE0" w:rsidRPr="00FB3C2A" w:rsidRDefault="00396DE0" w:rsidP="009B5341">
            <w:pPr>
              <w:jc w:val="center"/>
              <w:rPr>
                <w:iCs/>
              </w:rPr>
            </w:pPr>
            <w:r w:rsidRPr="00FB3C2A">
              <w:rPr>
                <w:iCs/>
              </w:rPr>
              <w:t>1.1</w:t>
            </w:r>
          </w:p>
        </w:tc>
        <w:tc>
          <w:tcPr>
            <w:tcW w:w="6051" w:type="dxa"/>
            <w:tcBorders>
              <w:left w:val="single" w:sz="4" w:space="0" w:color="000000"/>
              <w:bottom w:val="single" w:sz="4" w:space="0" w:color="000000"/>
              <w:right w:val="single" w:sz="4" w:space="0" w:color="000000"/>
            </w:tcBorders>
            <w:shd w:val="clear" w:color="auto" w:fill="auto"/>
            <w:vAlign w:val="center"/>
          </w:tcPr>
          <w:p w14:paraId="1DFE78C9" w14:textId="77777777" w:rsidR="00396DE0" w:rsidRPr="00FB3C2A" w:rsidRDefault="00396DE0" w:rsidP="009B5341">
            <w:pPr>
              <w:ind w:left="-57"/>
              <w:rPr>
                <w:iCs/>
              </w:rPr>
            </w:pPr>
            <w:r w:rsidRPr="00FB3C2A">
              <w:rPr>
                <w:iCs/>
              </w:rPr>
              <w:t>мінімальне значення нормативу LCR</w:t>
            </w:r>
            <w:r w:rsidRPr="00FB3C2A">
              <w:rPr>
                <w:iCs/>
                <w:vertAlign w:val="subscript"/>
              </w:rPr>
              <w:t>ВВ</w:t>
            </w:r>
            <w:r w:rsidRPr="00FB3C2A">
              <w:rPr>
                <w:iCs/>
              </w:rPr>
              <w:t>/LCR</w:t>
            </w:r>
            <w:r w:rsidRPr="00FB3C2A">
              <w:rPr>
                <w:iCs/>
                <w:vertAlign w:val="subscript"/>
              </w:rPr>
              <w:t>ІВ</w:t>
            </w:r>
            <w:r w:rsidRPr="00FB3C2A">
              <w:rPr>
                <w:iCs/>
                <w:vertAlign w:val="subscript"/>
              </w:rPr>
              <w:br/>
            </w:r>
            <w:r w:rsidRPr="00FB3C2A">
              <w:rPr>
                <w:iCs/>
              </w:rPr>
              <w:t xml:space="preserve">(у разі </w:t>
            </w:r>
            <w:proofErr w:type="spellStart"/>
            <w:r w:rsidRPr="00FB3C2A">
              <w:rPr>
                <w:iCs/>
              </w:rPr>
              <w:t>невстановлення</w:t>
            </w:r>
            <w:proofErr w:type="spellEnd"/>
            <w:r w:rsidRPr="00FB3C2A">
              <w:rPr>
                <w:iCs/>
              </w:rPr>
              <w:t xml:space="preserve"> банку підвищеного значення)</w:t>
            </w:r>
          </w:p>
        </w:tc>
        <w:tc>
          <w:tcPr>
            <w:tcW w:w="822" w:type="dxa"/>
            <w:tcBorders>
              <w:bottom w:val="single" w:sz="4" w:space="0" w:color="000000"/>
              <w:right w:val="single" w:sz="4" w:space="0" w:color="000000"/>
            </w:tcBorders>
            <w:shd w:val="clear" w:color="auto" w:fill="auto"/>
            <w:vAlign w:val="center"/>
          </w:tcPr>
          <w:p w14:paraId="466C78E2" w14:textId="77777777" w:rsidR="00396DE0" w:rsidRPr="00FB3C2A" w:rsidRDefault="00396DE0" w:rsidP="009B5341">
            <w:pPr>
              <w:jc w:val="center"/>
            </w:pPr>
          </w:p>
        </w:tc>
        <w:tc>
          <w:tcPr>
            <w:tcW w:w="2344" w:type="dxa"/>
            <w:gridSpan w:val="2"/>
            <w:tcBorders>
              <w:top w:val="single" w:sz="4" w:space="0" w:color="000000"/>
              <w:bottom w:val="single" w:sz="4" w:space="0" w:color="000000"/>
              <w:right w:val="single" w:sz="4" w:space="0" w:color="000000"/>
            </w:tcBorders>
            <w:shd w:val="clear" w:color="auto" w:fill="auto"/>
            <w:vAlign w:val="center"/>
          </w:tcPr>
          <w:p w14:paraId="4A6642FA" w14:textId="77777777" w:rsidR="00396DE0" w:rsidRPr="00FB3C2A" w:rsidRDefault="00396DE0" w:rsidP="009B5341">
            <w:pPr>
              <w:jc w:val="center"/>
            </w:pPr>
          </w:p>
        </w:tc>
        <w:tc>
          <w:tcPr>
            <w:tcW w:w="2407" w:type="dxa"/>
            <w:gridSpan w:val="3"/>
            <w:tcBorders>
              <w:top w:val="single" w:sz="4" w:space="0" w:color="000000"/>
              <w:bottom w:val="single" w:sz="4" w:space="0" w:color="000000"/>
              <w:right w:val="single" w:sz="4" w:space="0" w:color="000000"/>
            </w:tcBorders>
            <w:shd w:val="clear" w:color="auto" w:fill="auto"/>
            <w:vAlign w:val="center"/>
          </w:tcPr>
          <w:p w14:paraId="50245898" w14:textId="77777777" w:rsidR="00396DE0" w:rsidRPr="00FB3C2A" w:rsidRDefault="00396DE0" w:rsidP="009B5341">
            <w:pPr>
              <w:jc w:val="center"/>
            </w:pPr>
          </w:p>
        </w:tc>
        <w:tc>
          <w:tcPr>
            <w:tcW w:w="2438" w:type="dxa"/>
            <w:gridSpan w:val="2"/>
            <w:tcBorders>
              <w:top w:val="single" w:sz="4" w:space="0" w:color="000000"/>
              <w:bottom w:val="single" w:sz="4" w:space="0" w:color="000000"/>
              <w:right w:val="single" w:sz="4" w:space="0" w:color="000000"/>
            </w:tcBorders>
            <w:shd w:val="clear" w:color="auto" w:fill="auto"/>
            <w:vAlign w:val="center"/>
          </w:tcPr>
          <w:p w14:paraId="1D67AF04" w14:textId="77777777" w:rsidR="00396DE0" w:rsidRPr="00FB3C2A" w:rsidRDefault="00396DE0" w:rsidP="009B5341">
            <w:pPr>
              <w:jc w:val="center"/>
            </w:pPr>
          </w:p>
        </w:tc>
      </w:tr>
      <w:tr w:rsidR="00856D7E" w:rsidRPr="00FB3C2A" w14:paraId="25D7002D" w14:textId="77777777" w:rsidTr="00311853">
        <w:trPr>
          <w:trHeight w:val="371"/>
        </w:trPr>
        <w:tc>
          <w:tcPr>
            <w:tcW w:w="562" w:type="dxa"/>
            <w:tcBorders>
              <w:left w:val="single" w:sz="4" w:space="0" w:color="000000"/>
              <w:bottom w:val="single" w:sz="4" w:space="0" w:color="000000"/>
              <w:right w:val="single" w:sz="4" w:space="0" w:color="000000"/>
            </w:tcBorders>
            <w:shd w:val="clear" w:color="auto" w:fill="auto"/>
            <w:vAlign w:val="center"/>
          </w:tcPr>
          <w:p w14:paraId="1BF3FE9E" w14:textId="77777777" w:rsidR="00856D7E" w:rsidRPr="00FB3C2A" w:rsidRDefault="00856D7E" w:rsidP="009B5341">
            <w:pPr>
              <w:jc w:val="center"/>
              <w:textAlignment w:val="bottom"/>
            </w:pPr>
            <w:r w:rsidRPr="00FB3C2A">
              <w:rPr>
                <w:rFonts w:eastAsia="SimSun"/>
                <w:lang w:eastAsia="zh-CN" w:bidi="ar"/>
              </w:rPr>
              <w:t>3</w:t>
            </w:r>
          </w:p>
        </w:tc>
        <w:tc>
          <w:tcPr>
            <w:tcW w:w="709" w:type="dxa"/>
            <w:tcBorders>
              <w:left w:val="single" w:sz="4" w:space="0" w:color="000000"/>
              <w:bottom w:val="single" w:sz="4" w:space="0" w:color="000000"/>
              <w:right w:val="single" w:sz="4" w:space="0" w:color="000000"/>
            </w:tcBorders>
            <w:shd w:val="clear" w:color="auto" w:fill="auto"/>
            <w:vAlign w:val="center"/>
          </w:tcPr>
          <w:p w14:paraId="7A7BBC4D" w14:textId="77777777" w:rsidR="00856D7E" w:rsidRPr="00FB3C2A" w:rsidRDefault="00856D7E" w:rsidP="009B5341">
            <w:pPr>
              <w:jc w:val="center"/>
              <w:rPr>
                <w:iCs/>
              </w:rPr>
            </w:pPr>
            <w:r w:rsidRPr="00FB3C2A">
              <w:rPr>
                <w:iCs/>
              </w:rPr>
              <w:t>1.2</w:t>
            </w:r>
          </w:p>
        </w:tc>
        <w:tc>
          <w:tcPr>
            <w:tcW w:w="6051" w:type="dxa"/>
            <w:tcBorders>
              <w:left w:val="single" w:sz="4" w:space="0" w:color="000000"/>
              <w:bottom w:val="single" w:sz="4" w:space="0" w:color="000000"/>
              <w:right w:val="single" w:sz="4" w:space="0" w:color="000000"/>
            </w:tcBorders>
            <w:shd w:val="clear" w:color="auto" w:fill="auto"/>
            <w:vAlign w:val="center"/>
          </w:tcPr>
          <w:p w14:paraId="77F3CC0E" w14:textId="77777777" w:rsidR="00856D7E" w:rsidRPr="00FB3C2A" w:rsidRDefault="00856D7E" w:rsidP="009B5341">
            <w:pPr>
              <w:ind w:left="-57"/>
            </w:pPr>
            <w:r w:rsidRPr="00FB3C2A">
              <w:rPr>
                <w:iCs/>
              </w:rPr>
              <w:t>підвищене значення нормативу LCR</w:t>
            </w:r>
            <w:r w:rsidRPr="00FB3C2A">
              <w:rPr>
                <w:iCs/>
                <w:vertAlign w:val="subscript"/>
              </w:rPr>
              <w:t>ВВ</w:t>
            </w:r>
            <w:r w:rsidRPr="00FB3C2A">
              <w:rPr>
                <w:iCs/>
              </w:rPr>
              <w:t>/LCR</w:t>
            </w:r>
            <w:r w:rsidRPr="00FB3C2A">
              <w:rPr>
                <w:iCs/>
                <w:vertAlign w:val="subscript"/>
              </w:rPr>
              <w:t>ІВ</w:t>
            </w:r>
            <w:r w:rsidRPr="00FB3C2A">
              <w:rPr>
                <w:iCs/>
              </w:rPr>
              <w:t>,</w:t>
            </w:r>
            <w:r w:rsidRPr="00FB3C2A">
              <w:rPr>
                <w:iCs/>
              </w:rPr>
              <w:br/>
              <w:t>встановлене банку</w:t>
            </w:r>
          </w:p>
        </w:tc>
        <w:tc>
          <w:tcPr>
            <w:tcW w:w="822" w:type="dxa"/>
            <w:tcBorders>
              <w:bottom w:val="single" w:sz="4" w:space="0" w:color="000000"/>
              <w:right w:val="single" w:sz="4" w:space="0" w:color="000000"/>
            </w:tcBorders>
            <w:shd w:val="clear" w:color="auto" w:fill="auto"/>
            <w:vAlign w:val="center"/>
          </w:tcPr>
          <w:p w14:paraId="5EE83F7A" w14:textId="77777777" w:rsidR="00856D7E" w:rsidRPr="00FB3C2A" w:rsidRDefault="00856D7E" w:rsidP="009B5341">
            <w:pPr>
              <w:jc w:val="center"/>
            </w:pPr>
          </w:p>
        </w:tc>
        <w:tc>
          <w:tcPr>
            <w:tcW w:w="2344" w:type="dxa"/>
            <w:gridSpan w:val="2"/>
            <w:tcBorders>
              <w:top w:val="single" w:sz="4" w:space="0" w:color="000000"/>
              <w:bottom w:val="single" w:sz="4" w:space="0" w:color="000000"/>
              <w:right w:val="single" w:sz="4" w:space="0" w:color="000000"/>
            </w:tcBorders>
            <w:shd w:val="clear" w:color="auto" w:fill="auto"/>
            <w:vAlign w:val="center"/>
          </w:tcPr>
          <w:p w14:paraId="131F26FB" w14:textId="77777777" w:rsidR="00856D7E" w:rsidRPr="00FB3C2A" w:rsidRDefault="00856D7E" w:rsidP="009B5341">
            <w:pPr>
              <w:jc w:val="center"/>
            </w:pPr>
          </w:p>
        </w:tc>
        <w:tc>
          <w:tcPr>
            <w:tcW w:w="2407" w:type="dxa"/>
            <w:gridSpan w:val="3"/>
            <w:tcBorders>
              <w:top w:val="single" w:sz="4" w:space="0" w:color="000000"/>
              <w:bottom w:val="single" w:sz="4" w:space="0" w:color="000000"/>
              <w:right w:val="single" w:sz="4" w:space="0" w:color="000000"/>
            </w:tcBorders>
            <w:shd w:val="clear" w:color="auto" w:fill="auto"/>
            <w:vAlign w:val="center"/>
          </w:tcPr>
          <w:p w14:paraId="5057507F" w14:textId="77777777" w:rsidR="00856D7E" w:rsidRPr="00FB3C2A" w:rsidRDefault="00856D7E" w:rsidP="009B5341">
            <w:pPr>
              <w:jc w:val="center"/>
            </w:pPr>
          </w:p>
        </w:tc>
        <w:tc>
          <w:tcPr>
            <w:tcW w:w="2438" w:type="dxa"/>
            <w:gridSpan w:val="2"/>
            <w:tcBorders>
              <w:top w:val="single" w:sz="4" w:space="0" w:color="000000"/>
              <w:bottom w:val="single" w:sz="4" w:space="0" w:color="000000"/>
              <w:right w:val="single" w:sz="4" w:space="0" w:color="000000"/>
            </w:tcBorders>
            <w:shd w:val="clear" w:color="auto" w:fill="auto"/>
            <w:vAlign w:val="center"/>
          </w:tcPr>
          <w:p w14:paraId="6EAAB462" w14:textId="77777777" w:rsidR="00856D7E" w:rsidRPr="00FB3C2A" w:rsidRDefault="00856D7E" w:rsidP="009B5341">
            <w:pPr>
              <w:jc w:val="center"/>
            </w:pPr>
          </w:p>
        </w:tc>
      </w:tr>
      <w:tr w:rsidR="00396DE0" w:rsidRPr="00FB3C2A" w14:paraId="3ADEFCEA" w14:textId="77777777" w:rsidTr="00311853">
        <w:trPr>
          <w:trHeight w:val="371"/>
        </w:trPr>
        <w:tc>
          <w:tcPr>
            <w:tcW w:w="562" w:type="dxa"/>
            <w:tcBorders>
              <w:left w:val="single" w:sz="4" w:space="0" w:color="000000"/>
              <w:bottom w:val="single" w:sz="4" w:space="0" w:color="000000"/>
              <w:right w:val="single" w:sz="4" w:space="0" w:color="000000"/>
            </w:tcBorders>
            <w:shd w:val="clear" w:color="auto" w:fill="auto"/>
            <w:vAlign w:val="center"/>
          </w:tcPr>
          <w:p w14:paraId="442E7977" w14:textId="77777777" w:rsidR="00396DE0" w:rsidRPr="00FB3C2A" w:rsidRDefault="00396DE0" w:rsidP="009B5341">
            <w:pPr>
              <w:jc w:val="center"/>
            </w:pPr>
            <w:r w:rsidRPr="00FB3C2A">
              <w:t>4</w:t>
            </w:r>
          </w:p>
        </w:tc>
        <w:tc>
          <w:tcPr>
            <w:tcW w:w="709" w:type="dxa"/>
            <w:tcBorders>
              <w:left w:val="single" w:sz="4" w:space="0" w:color="000000"/>
              <w:bottom w:val="single" w:sz="4" w:space="0" w:color="000000"/>
              <w:right w:val="single" w:sz="4" w:space="0" w:color="000000"/>
            </w:tcBorders>
            <w:shd w:val="clear" w:color="auto" w:fill="auto"/>
            <w:vAlign w:val="center"/>
          </w:tcPr>
          <w:p w14:paraId="45F6B022" w14:textId="77777777" w:rsidR="00396DE0" w:rsidRPr="00FB3C2A" w:rsidRDefault="00396DE0" w:rsidP="009B5341">
            <w:pPr>
              <w:jc w:val="center"/>
            </w:pPr>
            <w:r w:rsidRPr="00FB3C2A">
              <w:t>2</w:t>
            </w:r>
          </w:p>
        </w:tc>
        <w:tc>
          <w:tcPr>
            <w:tcW w:w="6051" w:type="dxa"/>
            <w:tcBorders>
              <w:left w:val="single" w:sz="4" w:space="0" w:color="000000"/>
              <w:bottom w:val="single" w:sz="4" w:space="0" w:color="000000"/>
              <w:right w:val="single" w:sz="4" w:space="0" w:color="000000"/>
            </w:tcBorders>
            <w:shd w:val="clear" w:color="auto" w:fill="auto"/>
            <w:vAlign w:val="center"/>
          </w:tcPr>
          <w:p w14:paraId="23CFE364" w14:textId="77777777" w:rsidR="00396DE0" w:rsidRPr="00FB3C2A" w:rsidRDefault="00396DE0" w:rsidP="009B5341">
            <w:pPr>
              <w:ind w:left="-57"/>
            </w:pPr>
            <w:r w:rsidRPr="00FB3C2A">
              <w:t>Управлінський запас внутрішньої ліквідності, визначений банком, %</w:t>
            </w:r>
          </w:p>
        </w:tc>
        <w:tc>
          <w:tcPr>
            <w:tcW w:w="822" w:type="dxa"/>
            <w:tcBorders>
              <w:bottom w:val="single" w:sz="4" w:space="0" w:color="000000"/>
              <w:right w:val="single" w:sz="4" w:space="0" w:color="000000"/>
            </w:tcBorders>
            <w:shd w:val="clear" w:color="auto" w:fill="auto"/>
            <w:vAlign w:val="center"/>
          </w:tcPr>
          <w:p w14:paraId="79534166" w14:textId="77777777" w:rsidR="00396DE0" w:rsidRPr="00FB3C2A" w:rsidRDefault="00396DE0" w:rsidP="009B5341">
            <w:pPr>
              <w:jc w:val="center"/>
            </w:pPr>
          </w:p>
        </w:tc>
        <w:tc>
          <w:tcPr>
            <w:tcW w:w="1069" w:type="dxa"/>
            <w:tcBorders>
              <w:top w:val="single" w:sz="4" w:space="0" w:color="000000"/>
              <w:bottom w:val="single" w:sz="4" w:space="0" w:color="000000"/>
              <w:right w:val="single" w:sz="4" w:space="0" w:color="000000"/>
            </w:tcBorders>
            <w:shd w:val="clear" w:color="auto" w:fill="auto"/>
            <w:vAlign w:val="center"/>
          </w:tcPr>
          <w:p w14:paraId="0A00F09A" w14:textId="77777777" w:rsidR="00396DE0" w:rsidRPr="00FB3C2A" w:rsidRDefault="00396DE0" w:rsidP="009B5341">
            <w:pPr>
              <w:jc w:val="center"/>
            </w:pPr>
          </w:p>
        </w:tc>
        <w:tc>
          <w:tcPr>
            <w:tcW w:w="1275" w:type="dxa"/>
            <w:tcBorders>
              <w:top w:val="single" w:sz="4" w:space="0" w:color="000000"/>
              <w:bottom w:val="single" w:sz="4" w:space="0" w:color="000000"/>
              <w:right w:val="single" w:sz="4" w:space="0" w:color="000000"/>
            </w:tcBorders>
            <w:shd w:val="clear" w:color="auto" w:fill="auto"/>
            <w:vAlign w:val="center"/>
          </w:tcPr>
          <w:p w14:paraId="611AF1E0" w14:textId="77777777" w:rsidR="00396DE0" w:rsidRPr="00FB3C2A" w:rsidRDefault="00396DE0" w:rsidP="009B5341">
            <w:pPr>
              <w:jc w:val="center"/>
            </w:pPr>
          </w:p>
        </w:tc>
        <w:tc>
          <w:tcPr>
            <w:tcW w:w="1105" w:type="dxa"/>
            <w:tcBorders>
              <w:top w:val="single" w:sz="4" w:space="0" w:color="000000"/>
              <w:bottom w:val="single" w:sz="4" w:space="0" w:color="000000"/>
              <w:right w:val="single" w:sz="4" w:space="0" w:color="000000"/>
            </w:tcBorders>
            <w:shd w:val="clear" w:color="auto" w:fill="auto"/>
            <w:vAlign w:val="center"/>
          </w:tcPr>
          <w:p w14:paraId="61BE0579" w14:textId="77777777" w:rsidR="00396DE0" w:rsidRPr="00FB3C2A" w:rsidRDefault="00396DE0" w:rsidP="009B5341">
            <w:pPr>
              <w:jc w:val="center"/>
            </w:pPr>
          </w:p>
        </w:tc>
        <w:tc>
          <w:tcPr>
            <w:tcW w:w="1302" w:type="dxa"/>
            <w:gridSpan w:val="2"/>
            <w:tcBorders>
              <w:top w:val="single" w:sz="4" w:space="0" w:color="000000"/>
              <w:bottom w:val="single" w:sz="4" w:space="0" w:color="000000"/>
              <w:right w:val="single" w:sz="4" w:space="0" w:color="000000"/>
            </w:tcBorders>
            <w:shd w:val="clear" w:color="auto" w:fill="auto"/>
            <w:vAlign w:val="center"/>
          </w:tcPr>
          <w:p w14:paraId="51E4F0C3" w14:textId="77777777" w:rsidR="00396DE0" w:rsidRPr="00FB3C2A" w:rsidRDefault="00396DE0" w:rsidP="009B5341">
            <w:pPr>
              <w:jc w:val="center"/>
            </w:pPr>
          </w:p>
        </w:tc>
        <w:tc>
          <w:tcPr>
            <w:tcW w:w="1131" w:type="dxa"/>
            <w:tcBorders>
              <w:top w:val="single" w:sz="4" w:space="0" w:color="000000"/>
              <w:bottom w:val="single" w:sz="4" w:space="0" w:color="000000"/>
              <w:right w:val="single" w:sz="4" w:space="0" w:color="000000"/>
            </w:tcBorders>
            <w:shd w:val="clear" w:color="auto" w:fill="auto"/>
            <w:vAlign w:val="center"/>
          </w:tcPr>
          <w:p w14:paraId="56F541B4" w14:textId="77777777" w:rsidR="00396DE0" w:rsidRPr="00FB3C2A" w:rsidRDefault="00396DE0" w:rsidP="009B5341">
            <w:pPr>
              <w:jc w:val="center"/>
            </w:pPr>
          </w:p>
        </w:tc>
        <w:tc>
          <w:tcPr>
            <w:tcW w:w="1307" w:type="dxa"/>
            <w:tcBorders>
              <w:top w:val="single" w:sz="4" w:space="0" w:color="000000"/>
              <w:bottom w:val="single" w:sz="4" w:space="0" w:color="000000"/>
              <w:right w:val="single" w:sz="4" w:space="0" w:color="000000"/>
            </w:tcBorders>
            <w:shd w:val="clear" w:color="auto" w:fill="auto"/>
            <w:vAlign w:val="center"/>
          </w:tcPr>
          <w:p w14:paraId="19E68091" w14:textId="77777777" w:rsidR="00396DE0" w:rsidRPr="00FB3C2A" w:rsidRDefault="00396DE0" w:rsidP="009B5341">
            <w:pPr>
              <w:jc w:val="center"/>
            </w:pPr>
          </w:p>
        </w:tc>
      </w:tr>
      <w:tr w:rsidR="00396DE0" w:rsidRPr="00FB3C2A" w14:paraId="206342B2" w14:textId="77777777" w:rsidTr="00311853">
        <w:trPr>
          <w:trHeight w:val="323"/>
        </w:trPr>
        <w:tc>
          <w:tcPr>
            <w:tcW w:w="562" w:type="dxa"/>
            <w:tcBorders>
              <w:left w:val="single" w:sz="4" w:space="0" w:color="000000"/>
              <w:bottom w:val="single" w:sz="4" w:space="0" w:color="000000"/>
              <w:right w:val="single" w:sz="4" w:space="0" w:color="000000"/>
            </w:tcBorders>
            <w:shd w:val="clear" w:color="auto" w:fill="auto"/>
            <w:vAlign w:val="center"/>
          </w:tcPr>
          <w:p w14:paraId="1799665E" w14:textId="77777777" w:rsidR="00396DE0" w:rsidRPr="00FB3C2A" w:rsidRDefault="00396DE0" w:rsidP="009B5341">
            <w:pPr>
              <w:jc w:val="center"/>
            </w:pPr>
            <w:r w:rsidRPr="00FB3C2A">
              <w:t>5</w:t>
            </w:r>
          </w:p>
        </w:tc>
        <w:tc>
          <w:tcPr>
            <w:tcW w:w="709" w:type="dxa"/>
            <w:tcBorders>
              <w:left w:val="single" w:sz="4" w:space="0" w:color="000000"/>
              <w:bottom w:val="single" w:sz="4" w:space="0" w:color="000000"/>
              <w:right w:val="single" w:sz="4" w:space="0" w:color="000000"/>
            </w:tcBorders>
            <w:shd w:val="clear" w:color="auto" w:fill="auto"/>
            <w:vAlign w:val="center"/>
          </w:tcPr>
          <w:p w14:paraId="72F8D0F4" w14:textId="77777777" w:rsidR="00396DE0" w:rsidRPr="00FB3C2A" w:rsidRDefault="00396DE0" w:rsidP="009B5341">
            <w:pPr>
              <w:jc w:val="center"/>
            </w:pPr>
            <w:r w:rsidRPr="00FB3C2A">
              <w:t>3</w:t>
            </w:r>
          </w:p>
        </w:tc>
        <w:tc>
          <w:tcPr>
            <w:tcW w:w="6051" w:type="dxa"/>
            <w:tcBorders>
              <w:left w:val="single" w:sz="4" w:space="0" w:color="000000"/>
              <w:bottom w:val="single" w:sz="4" w:space="0" w:color="000000"/>
              <w:right w:val="single" w:sz="4" w:space="0" w:color="000000"/>
            </w:tcBorders>
            <w:shd w:val="clear" w:color="auto" w:fill="auto"/>
            <w:vAlign w:val="center"/>
          </w:tcPr>
          <w:p w14:paraId="4E75124E" w14:textId="77777777" w:rsidR="00396DE0" w:rsidRPr="00FB3C2A" w:rsidRDefault="00396DE0" w:rsidP="009B5341">
            <w:pPr>
              <w:ind w:left="-57"/>
              <w:rPr>
                <w:bCs/>
              </w:rPr>
            </w:pPr>
            <w:r w:rsidRPr="00FB3C2A">
              <w:rPr>
                <w:bCs/>
              </w:rPr>
              <w:t xml:space="preserve">Цільове значення нормативу </w:t>
            </w:r>
            <w:r w:rsidRPr="00FB3C2A">
              <w:rPr>
                <w:iCs/>
              </w:rPr>
              <w:t>LCR</w:t>
            </w:r>
            <w:r w:rsidRPr="00FB3C2A">
              <w:rPr>
                <w:iCs/>
                <w:vertAlign w:val="subscript"/>
              </w:rPr>
              <w:t>ВВ</w:t>
            </w:r>
            <w:r w:rsidRPr="00FB3C2A">
              <w:rPr>
                <w:iCs/>
              </w:rPr>
              <w:t>/LCR</w:t>
            </w:r>
            <w:r w:rsidRPr="00FB3C2A">
              <w:rPr>
                <w:iCs/>
                <w:vertAlign w:val="subscript"/>
              </w:rPr>
              <w:t>ІВ</w:t>
            </w:r>
            <w:r w:rsidRPr="00FB3C2A">
              <w:rPr>
                <w:bCs/>
              </w:rPr>
              <w:t>, %</w:t>
            </w:r>
          </w:p>
        </w:tc>
        <w:tc>
          <w:tcPr>
            <w:tcW w:w="822" w:type="dxa"/>
            <w:tcBorders>
              <w:bottom w:val="single" w:sz="4" w:space="0" w:color="000000"/>
              <w:right w:val="single" w:sz="4" w:space="0" w:color="000000"/>
            </w:tcBorders>
            <w:shd w:val="clear" w:color="auto" w:fill="auto"/>
            <w:vAlign w:val="center"/>
          </w:tcPr>
          <w:p w14:paraId="7C4C294D" w14:textId="77777777" w:rsidR="00396DE0" w:rsidRPr="00FB3C2A" w:rsidRDefault="00396DE0" w:rsidP="009B5341">
            <w:pPr>
              <w:jc w:val="center"/>
              <w:rPr>
                <w:b/>
                <w:bCs/>
              </w:rPr>
            </w:pPr>
          </w:p>
        </w:tc>
        <w:tc>
          <w:tcPr>
            <w:tcW w:w="1069" w:type="dxa"/>
            <w:tcBorders>
              <w:bottom w:val="single" w:sz="4" w:space="0" w:color="000000"/>
              <w:right w:val="single" w:sz="4" w:space="0" w:color="000000"/>
            </w:tcBorders>
            <w:shd w:val="clear" w:color="auto" w:fill="auto"/>
            <w:vAlign w:val="center"/>
          </w:tcPr>
          <w:p w14:paraId="10D96F8E" w14:textId="77777777" w:rsidR="00396DE0" w:rsidRPr="00FB3C2A" w:rsidRDefault="00396DE0" w:rsidP="009B5341">
            <w:pPr>
              <w:jc w:val="center"/>
              <w:rPr>
                <w:b/>
                <w:bCs/>
              </w:rPr>
            </w:pPr>
          </w:p>
        </w:tc>
        <w:tc>
          <w:tcPr>
            <w:tcW w:w="1275" w:type="dxa"/>
            <w:tcBorders>
              <w:bottom w:val="single" w:sz="4" w:space="0" w:color="000000"/>
              <w:right w:val="single" w:sz="4" w:space="0" w:color="000000"/>
            </w:tcBorders>
            <w:shd w:val="clear" w:color="auto" w:fill="auto"/>
            <w:vAlign w:val="center"/>
          </w:tcPr>
          <w:p w14:paraId="00994261" w14:textId="77777777" w:rsidR="00396DE0" w:rsidRPr="00FB3C2A" w:rsidRDefault="00396DE0" w:rsidP="009B5341">
            <w:pPr>
              <w:jc w:val="center"/>
              <w:rPr>
                <w:b/>
                <w:bCs/>
              </w:rPr>
            </w:pPr>
          </w:p>
        </w:tc>
        <w:tc>
          <w:tcPr>
            <w:tcW w:w="1105" w:type="dxa"/>
            <w:tcBorders>
              <w:bottom w:val="single" w:sz="4" w:space="0" w:color="000000"/>
              <w:right w:val="single" w:sz="4" w:space="0" w:color="000000"/>
            </w:tcBorders>
            <w:shd w:val="clear" w:color="auto" w:fill="auto"/>
            <w:vAlign w:val="center"/>
          </w:tcPr>
          <w:p w14:paraId="129421AA" w14:textId="77777777" w:rsidR="00396DE0" w:rsidRPr="00FB3C2A" w:rsidRDefault="00396DE0" w:rsidP="009B5341">
            <w:pPr>
              <w:jc w:val="center"/>
              <w:rPr>
                <w:b/>
                <w:bCs/>
              </w:rPr>
            </w:pPr>
          </w:p>
        </w:tc>
        <w:tc>
          <w:tcPr>
            <w:tcW w:w="1302" w:type="dxa"/>
            <w:gridSpan w:val="2"/>
            <w:tcBorders>
              <w:bottom w:val="single" w:sz="4" w:space="0" w:color="000000"/>
              <w:right w:val="single" w:sz="4" w:space="0" w:color="000000"/>
            </w:tcBorders>
            <w:shd w:val="clear" w:color="auto" w:fill="auto"/>
            <w:vAlign w:val="center"/>
          </w:tcPr>
          <w:p w14:paraId="57DC207E" w14:textId="77777777" w:rsidR="00396DE0" w:rsidRPr="00FB3C2A" w:rsidRDefault="00396DE0" w:rsidP="009B5341">
            <w:pPr>
              <w:jc w:val="center"/>
              <w:rPr>
                <w:b/>
                <w:bCs/>
              </w:rPr>
            </w:pPr>
          </w:p>
        </w:tc>
        <w:tc>
          <w:tcPr>
            <w:tcW w:w="1131" w:type="dxa"/>
            <w:tcBorders>
              <w:bottom w:val="single" w:sz="4" w:space="0" w:color="000000"/>
              <w:right w:val="single" w:sz="4" w:space="0" w:color="000000"/>
            </w:tcBorders>
            <w:shd w:val="clear" w:color="auto" w:fill="auto"/>
            <w:vAlign w:val="center"/>
          </w:tcPr>
          <w:p w14:paraId="32D76DC9" w14:textId="77777777" w:rsidR="00396DE0" w:rsidRPr="00FB3C2A" w:rsidRDefault="00396DE0" w:rsidP="009B5341">
            <w:pPr>
              <w:jc w:val="center"/>
              <w:rPr>
                <w:b/>
                <w:bCs/>
              </w:rPr>
            </w:pPr>
          </w:p>
        </w:tc>
        <w:tc>
          <w:tcPr>
            <w:tcW w:w="1307" w:type="dxa"/>
            <w:tcBorders>
              <w:bottom w:val="single" w:sz="4" w:space="0" w:color="000000"/>
              <w:right w:val="single" w:sz="4" w:space="0" w:color="000000"/>
            </w:tcBorders>
            <w:shd w:val="clear" w:color="auto" w:fill="auto"/>
            <w:vAlign w:val="center"/>
          </w:tcPr>
          <w:p w14:paraId="0D9B7850" w14:textId="77777777" w:rsidR="00396DE0" w:rsidRPr="00FB3C2A" w:rsidRDefault="00396DE0" w:rsidP="009B5341">
            <w:pPr>
              <w:jc w:val="center"/>
              <w:rPr>
                <w:b/>
                <w:bCs/>
              </w:rPr>
            </w:pPr>
          </w:p>
        </w:tc>
      </w:tr>
      <w:tr w:rsidR="00396DE0" w:rsidRPr="00FB3C2A" w14:paraId="781FA68C" w14:textId="77777777" w:rsidTr="00311853">
        <w:trPr>
          <w:trHeight w:val="245"/>
        </w:trPr>
        <w:tc>
          <w:tcPr>
            <w:tcW w:w="562" w:type="dxa"/>
            <w:tcBorders>
              <w:left w:val="single" w:sz="4" w:space="0" w:color="000000"/>
              <w:bottom w:val="single" w:sz="4" w:space="0" w:color="000000"/>
              <w:right w:val="single" w:sz="4" w:space="0" w:color="000000"/>
            </w:tcBorders>
            <w:shd w:val="clear" w:color="auto" w:fill="auto"/>
            <w:vAlign w:val="center"/>
          </w:tcPr>
          <w:p w14:paraId="1B0271E5" w14:textId="77777777" w:rsidR="00396DE0" w:rsidRPr="00FB3C2A" w:rsidRDefault="00396DE0" w:rsidP="009B5341">
            <w:pPr>
              <w:jc w:val="center"/>
            </w:pPr>
            <w:r w:rsidRPr="00FB3C2A">
              <w:t>6</w:t>
            </w:r>
          </w:p>
        </w:tc>
        <w:tc>
          <w:tcPr>
            <w:tcW w:w="709" w:type="dxa"/>
            <w:tcBorders>
              <w:left w:val="single" w:sz="4" w:space="0" w:color="000000"/>
              <w:bottom w:val="single" w:sz="4" w:space="0" w:color="000000"/>
              <w:right w:val="single" w:sz="4" w:space="0" w:color="000000"/>
            </w:tcBorders>
            <w:shd w:val="clear" w:color="auto" w:fill="auto"/>
            <w:vAlign w:val="center"/>
          </w:tcPr>
          <w:p w14:paraId="47D81FC1" w14:textId="77777777" w:rsidR="00396DE0" w:rsidRPr="00FB3C2A" w:rsidRDefault="00396DE0" w:rsidP="009B5341">
            <w:pPr>
              <w:jc w:val="center"/>
            </w:pPr>
            <w:r w:rsidRPr="00FB3C2A">
              <w:t>4</w:t>
            </w:r>
          </w:p>
        </w:tc>
        <w:tc>
          <w:tcPr>
            <w:tcW w:w="6051" w:type="dxa"/>
            <w:tcBorders>
              <w:left w:val="single" w:sz="4" w:space="0" w:color="000000"/>
              <w:bottom w:val="single" w:sz="4" w:space="0" w:color="000000"/>
              <w:right w:val="single" w:sz="4" w:space="0" w:color="000000"/>
            </w:tcBorders>
            <w:shd w:val="clear" w:color="auto" w:fill="auto"/>
            <w:vAlign w:val="center"/>
          </w:tcPr>
          <w:p w14:paraId="4947067B" w14:textId="0EF53AAE" w:rsidR="00396DE0" w:rsidRPr="00FB3C2A" w:rsidRDefault="00396DE0" w:rsidP="009B5341">
            <w:pPr>
              <w:ind w:left="-57" w:right="-113"/>
            </w:pPr>
            <w:r w:rsidRPr="00FB3C2A">
              <w:t>Чистий очікуваний відплив грошових коштів, тис</w:t>
            </w:r>
            <w:r w:rsidR="001B4BB3">
              <w:t>.</w:t>
            </w:r>
            <w:r w:rsidRPr="00FB3C2A">
              <w:t xml:space="preserve"> грн</w:t>
            </w:r>
          </w:p>
        </w:tc>
        <w:tc>
          <w:tcPr>
            <w:tcW w:w="822" w:type="dxa"/>
            <w:tcBorders>
              <w:bottom w:val="single" w:sz="4" w:space="0" w:color="000000"/>
              <w:right w:val="single" w:sz="4" w:space="0" w:color="000000"/>
            </w:tcBorders>
            <w:shd w:val="clear" w:color="auto" w:fill="auto"/>
            <w:vAlign w:val="center"/>
          </w:tcPr>
          <w:p w14:paraId="44D06E95" w14:textId="77777777" w:rsidR="00396DE0" w:rsidRPr="00FB3C2A" w:rsidRDefault="00396DE0" w:rsidP="009B5341">
            <w:pPr>
              <w:jc w:val="center"/>
              <w:rPr>
                <w:b/>
                <w:bCs/>
              </w:rPr>
            </w:pPr>
          </w:p>
        </w:tc>
        <w:tc>
          <w:tcPr>
            <w:tcW w:w="1069" w:type="dxa"/>
            <w:tcBorders>
              <w:bottom w:val="single" w:sz="4" w:space="0" w:color="000000"/>
              <w:right w:val="single" w:sz="4" w:space="0" w:color="000000"/>
            </w:tcBorders>
            <w:shd w:val="clear" w:color="auto" w:fill="auto"/>
            <w:vAlign w:val="center"/>
          </w:tcPr>
          <w:p w14:paraId="0B2F1210" w14:textId="77777777" w:rsidR="00396DE0" w:rsidRPr="00FB3C2A" w:rsidRDefault="00396DE0" w:rsidP="009B5341">
            <w:pPr>
              <w:jc w:val="center"/>
              <w:rPr>
                <w:b/>
                <w:bCs/>
              </w:rPr>
            </w:pPr>
          </w:p>
        </w:tc>
        <w:tc>
          <w:tcPr>
            <w:tcW w:w="1275" w:type="dxa"/>
            <w:tcBorders>
              <w:bottom w:val="single" w:sz="4" w:space="0" w:color="000000"/>
              <w:right w:val="single" w:sz="4" w:space="0" w:color="000000"/>
            </w:tcBorders>
            <w:shd w:val="clear" w:color="auto" w:fill="auto"/>
            <w:vAlign w:val="center"/>
          </w:tcPr>
          <w:p w14:paraId="27D4B1AD" w14:textId="77777777" w:rsidR="00396DE0" w:rsidRPr="00FB3C2A" w:rsidRDefault="00396DE0" w:rsidP="009B5341">
            <w:pPr>
              <w:jc w:val="center"/>
              <w:rPr>
                <w:b/>
                <w:bCs/>
              </w:rPr>
            </w:pPr>
          </w:p>
        </w:tc>
        <w:tc>
          <w:tcPr>
            <w:tcW w:w="1117" w:type="dxa"/>
            <w:gridSpan w:val="2"/>
            <w:tcBorders>
              <w:bottom w:val="single" w:sz="4" w:space="0" w:color="000000"/>
              <w:right w:val="single" w:sz="4" w:space="0" w:color="000000"/>
            </w:tcBorders>
            <w:shd w:val="clear" w:color="auto" w:fill="auto"/>
            <w:vAlign w:val="center"/>
          </w:tcPr>
          <w:p w14:paraId="25B106BA" w14:textId="77777777" w:rsidR="00396DE0" w:rsidRPr="00FB3C2A" w:rsidRDefault="00396DE0" w:rsidP="009B5341">
            <w:pPr>
              <w:jc w:val="center"/>
              <w:rPr>
                <w:b/>
                <w:bCs/>
              </w:rPr>
            </w:pPr>
          </w:p>
        </w:tc>
        <w:tc>
          <w:tcPr>
            <w:tcW w:w="1290" w:type="dxa"/>
            <w:tcBorders>
              <w:bottom w:val="single" w:sz="4" w:space="0" w:color="000000"/>
              <w:right w:val="single" w:sz="4" w:space="0" w:color="000000"/>
            </w:tcBorders>
            <w:shd w:val="clear" w:color="auto" w:fill="auto"/>
            <w:vAlign w:val="center"/>
          </w:tcPr>
          <w:p w14:paraId="135BCEFC" w14:textId="77777777" w:rsidR="00396DE0" w:rsidRPr="00FB3C2A" w:rsidRDefault="00396DE0" w:rsidP="009B5341">
            <w:pPr>
              <w:jc w:val="center"/>
              <w:rPr>
                <w:b/>
                <w:bCs/>
              </w:rPr>
            </w:pPr>
          </w:p>
        </w:tc>
        <w:tc>
          <w:tcPr>
            <w:tcW w:w="1131" w:type="dxa"/>
            <w:tcBorders>
              <w:bottom w:val="single" w:sz="4" w:space="0" w:color="000000"/>
              <w:right w:val="single" w:sz="4" w:space="0" w:color="000000"/>
            </w:tcBorders>
            <w:shd w:val="clear" w:color="auto" w:fill="auto"/>
            <w:vAlign w:val="center"/>
          </w:tcPr>
          <w:p w14:paraId="442062FA" w14:textId="77777777" w:rsidR="00396DE0" w:rsidRPr="00FB3C2A" w:rsidRDefault="00396DE0" w:rsidP="009B5341">
            <w:pPr>
              <w:jc w:val="center"/>
              <w:rPr>
                <w:b/>
                <w:bCs/>
              </w:rPr>
            </w:pPr>
          </w:p>
        </w:tc>
        <w:tc>
          <w:tcPr>
            <w:tcW w:w="1307" w:type="dxa"/>
            <w:tcBorders>
              <w:bottom w:val="single" w:sz="4" w:space="0" w:color="000000"/>
              <w:right w:val="single" w:sz="4" w:space="0" w:color="000000"/>
            </w:tcBorders>
            <w:shd w:val="clear" w:color="auto" w:fill="auto"/>
            <w:vAlign w:val="center"/>
          </w:tcPr>
          <w:p w14:paraId="2981EAF6" w14:textId="77777777" w:rsidR="00396DE0" w:rsidRPr="00FB3C2A" w:rsidRDefault="00396DE0" w:rsidP="009B5341">
            <w:pPr>
              <w:jc w:val="center"/>
              <w:rPr>
                <w:b/>
                <w:bCs/>
              </w:rPr>
            </w:pPr>
          </w:p>
        </w:tc>
      </w:tr>
      <w:tr w:rsidR="00396DE0" w:rsidRPr="00FB3C2A" w14:paraId="0C18E17E" w14:textId="77777777" w:rsidTr="00311853">
        <w:trPr>
          <w:trHeight w:val="256"/>
        </w:trPr>
        <w:tc>
          <w:tcPr>
            <w:tcW w:w="562" w:type="dxa"/>
            <w:tcBorders>
              <w:left w:val="single" w:sz="4" w:space="0" w:color="000000"/>
              <w:bottom w:val="single" w:sz="4" w:space="0" w:color="000000"/>
              <w:right w:val="single" w:sz="4" w:space="0" w:color="000000"/>
            </w:tcBorders>
            <w:shd w:val="clear" w:color="auto" w:fill="auto"/>
            <w:vAlign w:val="center"/>
          </w:tcPr>
          <w:p w14:paraId="71453820" w14:textId="77777777" w:rsidR="00396DE0" w:rsidRPr="00FB3C2A" w:rsidRDefault="00396DE0" w:rsidP="009B5341">
            <w:pPr>
              <w:jc w:val="center"/>
            </w:pPr>
            <w:r w:rsidRPr="00FB3C2A">
              <w:t>7</w:t>
            </w:r>
          </w:p>
        </w:tc>
        <w:tc>
          <w:tcPr>
            <w:tcW w:w="709" w:type="dxa"/>
            <w:tcBorders>
              <w:left w:val="single" w:sz="4" w:space="0" w:color="000000"/>
              <w:bottom w:val="single" w:sz="4" w:space="0" w:color="000000"/>
              <w:right w:val="single" w:sz="4" w:space="0" w:color="000000"/>
            </w:tcBorders>
            <w:shd w:val="clear" w:color="auto" w:fill="auto"/>
            <w:vAlign w:val="center"/>
          </w:tcPr>
          <w:p w14:paraId="078719CA" w14:textId="77777777" w:rsidR="00396DE0" w:rsidRPr="00FB3C2A" w:rsidRDefault="00396DE0" w:rsidP="009B5341">
            <w:pPr>
              <w:jc w:val="center"/>
            </w:pPr>
            <w:r w:rsidRPr="00FB3C2A">
              <w:t>5</w:t>
            </w:r>
          </w:p>
        </w:tc>
        <w:tc>
          <w:tcPr>
            <w:tcW w:w="6051" w:type="dxa"/>
            <w:tcBorders>
              <w:left w:val="single" w:sz="4" w:space="0" w:color="000000"/>
              <w:bottom w:val="single" w:sz="4" w:space="0" w:color="000000"/>
              <w:right w:val="single" w:sz="4" w:space="0" w:color="000000"/>
            </w:tcBorders>
            <w:shd w:val="clear" w:color="auto" w:fill="auto"/>
            <w:vAlign w:val="center"/>
          </w:tcPr>
          <w:p w14:paraId="64F51F17" w14:textId="320FBE26" w:rsidR="00396DE0" w:rsidRPr="00FB3C2A" w:rsidRDefault="00396DE0" w:rsidP="009B5341">
            <w:pPr>
              <w:ind w:left="-57"/>
            </w:pPr>
            <w:r w:rsidRPr="00FB3C2A">
              <w:t>Обсяг необхідної внутрішньої ліквідності, тис</w:t>
            </w:r>
            <w:r w:rsidR="001B4BB3">
              <w:t>.</w:t>
            </w:r>
            <w:r w:rsidRPr="00FB3C2A">
              <w:t xml:space="preserve"> грн</w:t>
            </w:r>
          </w:p>
        </w:tc>
        <w:tc>
          <w:tcPr>
            <w:tcW w:w="822" w:type="dxa"/>
            <w:tcBorders>
              <w:bottom w:val="single" w:sz="4" w:space="0" w:color="000000"/>
              <w:right w:val="single" w:sz="4" w:space="0" w:color="000000"/>
            </w:tcBorders>
            <w:shd w:val="clear" w:color="auto" w:fill="auto"/>
            <w:vAlign w:val="center"/>
          </w:tcPr>
          <w:p w14:paraId="2AB6A4DA" w14:textId="77777777" w:rsidR="00396DE0" w:rsidRPr="00FB3C2A" w:rsidRDefault="00396DE0" w:rsidP="009B5341">
            <w:pPr>
              <w:jc w:val="center"/>
            </w:pPr>
          </w:p>
        </w:tc>
        <w:tc>
          <w:tcPr>
            <w:tcW w:w="1069" w:type="dxa"/>
            <w:tcBorders>
              <w:bottom w:val="single" w:sz="4" w:space="0" w:color="000000"/>
              <w:right w:val="single" w:sz="4" w:space="0" w:color="000000"/>
            </w:tcBorders>
            <w:shd w:val="clear" w:color="auto" w:fill="auto"/>
            <w:vAlign w:val="center"/>
          </w:tcPr>
          <w:p w14:paraId="3BDEFD76" w14:textId="77777777" w:rsidR="00396DE0" w:rsidRPr="00FB3C2A" w:rsidRDefault="00396DE0" w:rsidP="009B5341">
            <w:pPr>
              <w:jc w:val="center"/>
              <w:rPr>
                <w:b/>
                <w:bCs/>
              </w:rPr>
            </w:pPr>
          </w:p>
        </w:tc>
        <w:tc>
          <w:tcPr>
            <w:tcW w:w="1275" w:type="dxa"/>
            <w:tcBorders>
              <w:bottom w:val="single" w:sz="4" w:space="0" w:color="000000"/>
              <w:right w:val="single" w:sz="4" w:space="0" w:color="000000"/>
            </w:tcBorders>
            <w:shd w:val="clear" w:color="auto" w:fill="auto"/>
            <w:vAlign w:val="center"/>
          </w:tcPr>
          <w:p w14:paraId="74AE6F88" w14:textId="77777777" w:rsidR="00396DE0" w:rsidRPr="00FB3C2A" w:rsidRDefault="00396DE0" w:rsidP="009B5341">
            <w:pPr>
              <w:jc w:val="center"/>
              <w:rPr>
                <w:b/>
                <w:bCs/>
              </w:rPr>
            </w:pPr>
          </w:p>
        </w:tc>
        <w:tc>
          <w:tcPr>
            <w:tcW w:w="1105" w:type="dxa"/>
            <w:tcBorders>
              <w:bottom w:val="single" w:sz="4" w:space="0" w:color="000000"/>
              <w:right w:val="single" w:sz="4" w:space="0" w:color="000000"/>
            </w:tcBorders>
            <w:shd w:val="clear" w:color="auto" w:fill="auto"/>
            <w:vAlign w:val="center"/>
          </w:tcPr>
          <w:p w14:paraId="62F9A22D" w14:textId="77777777" w:rsidR="00396DE0" w:rsidRPr="00FB3C2A" w:rsidRDefault="00396DE0" w:rsidP="009B5341">
            <w:pPr>
              <w:jc w:val="center"/>
              <w:rPr>
                <w:b/>
                <w:bCs/>
              </w:rPr>
            </w:pPr>
          </w:p>
        </w:tc>
        <w:tc>
          <w:tcPr>
            <w:tcW w:w="1302" w:type="dxa"/>
            <w:gridSpan w:val="2"/>
            <w:tcBorders>
              <w:bottom w:val="single" w:sz="4" w:space="0" w:color="000000"/>
              <w:right w:val="single" w:sz="4" w:space="0" w:color="000000"/>
            </w:tcBorders>
            <w:shd w:val="clear" w:color="auto" w:fill="auto"/>
            <w:vAlign w:val="center"/>
          </w:tcPr>
          <w:p w14:paraId="1DCF763C" w14:textId="77777777" w:rsidR="00396DE0" w:rsidRPr="00FB3C2A" w:rsidRDefault="00396DE0" w:rsidP="009B5341">
            <w:pPr>
              <w:jc w:val="center"/>
              <w:rPr>
                <w:b/>
                <w:bCs/>
              </w:rPr>
            </w:pPr>
          </w:p>
        </w:tc>
        <w:tc>
          <w:tcPr>
            <w:tcW w:w="1131" w:type="dxa"/>
            <w:tcBorders>
              <w:bottom w:val="single" w:sz="4" w:space="0" w:color="000000"/>
              <w:right w:val="single" w:sz="4" w:space="0" w:color="000000"/>
            </w:tcBorders>
            <w:shd w:val="clear" w:color="auto" w:fill="auto"/>
            <w:vAlign w:val="center"/>
          </w:tcPr>
          <w:p w14:paraId="3AF7A620" w14:textId="77777777" w:rsidR="00396DE0" w:rsidRPr="00FB3C2A" w:rsidRDefault="00396DE0" w:rsidP="009B5341">
            <w:pPr>
              <w:jc w:val="center"/>
              <w:rPr>
                <w:b/>
                <w:bCs/>
              </w:rPr>
            </w:pPr>
          </w:p>
        </w:tc>
        <w:tc>
          <w:tcPr>
            <w:tcW w:w="1307" w:type="dxa"/>
            <w:tcBorders>
              <w:bottom w:val="single" w:sz="4" w:space="0" w:color="000000"/>
              <w:right w:val="single" w:sz="4" w:space="0" w:color="000000"/>
            </w:tcBorders>
            <w:shd w:val="clear" w:color="auto" w:fill="auto"/>
            <w:vAlign w:val="center"/>
          </w:tcPr>
          <w:p w14:paraId="49ACFAA8" w14:textId="77777777" w:rsidR="00396DE0" w:rsidRPr="00FB3C2A" w:rsidRDefault="00396DE0" w:rsidP="009B5341">
            <w:pPr>
              <w:jc w:val="center"/>
              <w:rPr>
                <w:b/>
                <w:bCs/>
              </w:rPr>
            </w:pPr>
          </w:p>
        </w:tc>
      </w:tr>
    </w:tbl>
    <w:p w14:paraId="1AAC0C33" w14:textId="77777777" w:rsidR="00253A63" w:rsidRDefault="00253A63"/>
    <w:tbl>
      <w:tblPr>
        <w:tblW w:w="15333" w:type="dxa"/>
        <w:tblLayout w:type="fixed"/>
        <w:tblLook w:val="04A0" w:firstRow="1" w:lastRow="0" w:firstColumn="1" w:lastColumn="0" w:noHBand="0" w:noVBand="1"/>
      </w:tblPr>
      <w:tblGrid>
        <w:gridCol w:w="562"/>
        <w:gridCol w:w="709"/>
        <w:gridCol w:w="6051"/>
        <w:gridCol w:w="822"/>
        <w:gridCol w:w="1069"/>
        <w:gridCol w:w="1275"/>
        <w:gridCol w:w="1105"/>
        <w:gridCol w:w="1302"/>
        <w:gridCol w:w="1131"/>
        <w:gridCol w:w="1307"/>
      </w:tblGrid>
      <w:tr w:rsidR="00253A63" w:rsidRPr="00FB3C2A" w14:paraId="2A9C65B5" w14:textId="77777777" w:rsidTr="000F13DD">
        <w:trPr>
          <w:trHeight w:val="357"/>
        </w:trPr>
        <w:tc>
          <w:tcPr>
            <w:tcW w:w="562" w:type="dxa"/>
            <w:tcBorders>
              <w:top w:val="single" w:sz="4" w:space="0" w:color="auto"/>
              <w:left w:val="single" w:sz="4" w:space="0" w:color="000000"/>
              <w:bottom w:val="single" w:sz="4" w:space="0" w:color="000000"/>
              <w:right w:val="single" w:sz="4" w:space="0" w:color="000000"/>
            </w:tcBorders>
            <w:shd w:val="clear" w:color="auto" w:fill="auto"/>
          </w:tcPr>
          <w:p w14:paraId="152D86D4" w14:textId="2318DA4C" w:rsidR="00253A63" w:rsidRPr="00FB3C2A" w:rsidRDefault="00253A63" w:rsidP="00253A63">
            <w:pPr>
              <w:jc w:val="center"/>
            </w:pPr>
            <w:r w:rsidRPr="00FB3C2A">
              <w:lastRenderedPageBreak/>
              <w:t>1</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14:paraId="0E9A21B4" w14:textId="0B7B49C3" w:rsidR="00253A63" w:rsidRPr="00FB3C2A" w:rsidRDefault="00253A63" w:rsidP="00253A63">
            <w:pPr>
              <w:jc w:val="center"/>
            </w:pPr>
            <w:r w:rsidRPr="00FB3C2A">
              <w:t>2</w:t>
            </w:r>
          </w:p>
        </w:tc>
        <w:tc>
          <w:tcPr>
            <w:tcW w:w="6051" w:type="dxa"/>
            <w:tcBorders>
              <w:top w:val="single" w:sz="4" w:space="0" w:color="auto"/>
              <w:left w:val="single" w:sz="4" w:space="0" w:color="000000"/>
              <w:bottom w:val="single" w:sz="4" w:space="0" w:color="000000"/>
              <w:right w:val="single" w:sz="4" w:space="0" w:color="000000"/>
            </w:tcBorders>
            <w:shd w:val="clear" w:color="auto" w:fill="auto"/>
            <w:vAlign w:val="center"/>
          </w:tcPr>
          <w:p w14:paraId="4A0BA0BA" w14:textId="13C98181" w:rsidR="00253A63" w:rsidRPr="00FB3C2A" w:rsidRDefault="00253A63" w:rsidP="000F13DD">
            <w:pPr>
              <w:ind w:left="-57"/>
              <w:jc w:val="center"/>
            </w:pPr>
            <w:r w:rsidRPr="00FB3C2A">
              <w:t>3</w:t>
            </w:r>
          </w:p>
        </w:tc>
        <w:tc>
          <w:tcPr>
            <w:tcW w:w="822" w:type="dxa"/>
            <w:tcBorders>
              <w:top w:val="single" w:sz="4" w:space="0" w:color="auto"/>
              <w:bottom w:val="single" w:sz="4" w:space="0" w:color="000000"/>
              <w:right w:val="single" w:sz="4" w:space="0" w:color="000000"/>
            </w:tcBorders>
            <w:shd w:val="clear" w:color="auto" w:fill="auto"/>
            <w:vAlign w:val="center"/>
          </w:tcPr>
          <w:p w14:paraId="3B21CB19" w14:textId="3479E62A" w:rsidR="00253A63" w:rsidRPr="00FB3C2A" w:rsidRDefault="00253A63" w:rsidP="00253A63">
            <w:pPr>
              <w:jc w:val="center"/>
            </w:pPr>
            <w:r w:rsidRPr="00FB3C2A">
              <w:t>4</w:t>
            </w:r>
          </w:p>
        </w:tc>
        <w:tc>
          <w:tcPr>
            <w:tcW w:w="1069" w:type="dxa"/>
            <w:tcBorders>
              <w:top w:val="single" w:sz="4" w:space="0" w:color="auto"/>
              <w:bottom w:val="single" w:sz="4" w:space="0" w:color="000000"/>
              <w:right w:val="single" w:sz="4" w:space="0" w:color="000000"/>
            </w:tcBorders>
            <w:shd w:val="clear" w:color="auto" w:fill="auto"/>
            <w:vAlign w:val="center"/>
          </w:tcPr>
          <w:p w14:paraId="1A795B85" w14:textId="437FAADB" w:rsidR="00253A63" w:rsidRPr="00FB3C2A" w:rsidRDefault="00253A63" w:rsidP="00253A63">
            <w:pPr>
              <w:jc w:val="center"/>
              <w:rPr>
                <w:b/>
                <w:bCs/>
              </w:rPr>
            </w:pPr>
            <w:r w:rsidRPr="00FB3C2A">
              <w:t>5</w:t>
            </w:r>
          </w:p>
        </w:tc>
        <w:tc>
          <w:tcPr>
            <w:tcW w:w="1275" w:type="dxa"/>
            <w:tcBorders>
              <w:top w:val="single" w:sz="4" w:space="0" w:color="auto"/>
              <w:bottom w:val="single" w:sz="4" w:space="0" w:color="000000"/>
              <w:right w:val="single" w:sz="4" w:space="0" w:color="000000"/>
            </w:tcBorders>
            <w:shd w:val="clear" w:color="auto" w:fill="auto"/>
            <w:vAlign w:val="center"/>
          </w:tcPr>
          <w:p w14:paraId="3CB8C433" w14:textId="13CA65FC" w:rsidR="00253A63" w:rsidRPr="00FB3C2A" w:rsidRDefault="00253A63" w:rsidP="00253A63">
            <w:pPr>
              <w:jc w:val="center"/>
              <w:rPr>
                <w:b/>
                <w:bCs/>
              </w:rPr>
            </w:pPr>
            <w:r w:rsidRPr="00FB3C2A">
              <w:t>6</w:t>
            </w:r>
          </w:p>
        </w:tc>
        <w:tc>
          <w:tcPr>
            <w:tcW w:w="1105" w:type="dxa"/>
            <w:tcBorders>
              <w:top w:val="single" w:sz="4" w:space="0" w:color="auto"/>
              <w:bottom w:val="single" w:sz="4" w:space="0" w:color="000000"/>
              <w:right w:val="single" w:sz="4" w:space="0" w:color="000000"/>
            </w:tcBorders>
            <w:shd w:val="clear" w:color="auto" w:fill="auto"/>
            <w:vAlign w:val="center"/>
          </w:tcPr>
          <w:p w14:paraId="174BABED" w14:textId="56B72087" w:rsidR="00253A63" w:rsidRPr="00FB3C2A" w:rsidRDefault="00253A63" w:rsidP="00253A63">
            <w:pPr>
              <w:jc w:val="center"/>
              <w:rPr>
                <w:b/>
                <w:bCs/>
              </w:rPr>
            </w:pPr>
            <w:r w:rsidRPr="00FB3C2A">
              <w:t>7</w:t>
            </w:r>
          </w:p>
        </w:tc>
        <w:tc>
          <w:tcPr>
            <w:tcW w:w="1302" w:type="dxa"/>
            <w:tcBorders>
              <w:top w:val="single" w:sz="4" w:space="0" w:color="auto"/>
              <w:bottom w:val="single" w:sz="4" w:space="0" w:color="000000"/>
              <w:right w:val="single" w:sz="4" w:space="0" w:color="000000"/>
            </w:tcBorders>
            <w:shd w:val="clear" w:color="auto" w:fill="auto"/>
            <w:vAlign w:val="center"/>
          </w:tcPr>
          <w:p w14:paraId="4D0F5CF1" w14:textId="4A67CCC9" w:rsidR="00253A63" w:rsidRPr="00FB3C2A" w:rsidRDefault="00253A63" w:rsidP="00253A63">
            <w:pPr>
              <w:jc w:val="center"/>
              <w:rPr>
                <w:b/>
                <w:bCs/>
              </w:rPr>
            </w:pPr>
            <w:r w:rsidRPr="00FB3C2A">
              <w:t>8</w:t>
            </w:r>
          </w:p>
        </w:tc>
        <w:tc>
          <w:tcPr>
            <w:tcW w:w="1131" w:type="dxa"/>
            <w:tcBorders>
              <w:top w:val="single" w:sz="4" w:space="0" w:color="auto"/>
              <w:bottom w:val="single" w:sz="4" w:space="0" w:color="000000"/>
              <w:right w:val="single" w:sz="4" w:space="0" w:color="000000"/>
            </w:tcBorders>
            <w:shd w:val="clear" w:color="auto" w:fill="auto"/>
            <w:vAlign w:val="center"/>
          </w:tcPr>
          <w:p w14:paraId="616D6C14" w14:textId="0B280A86" w:rsidR="00253A63" w:rsidRPr="00FB3C2A" w:rsidRDefault="00253A63" w:rsidP="00253A63">
            <w:pPr>
              <w:jc w:val="center"/>
              <w:rPr>
                <w:b/>
                <w:bCs/>
              </w:rPr>
            </w:pPr>
            <w:r w:rsidRPr="00FB3C2A">
              <w:t>9</w:t>
            </w:r>
          </w:p>
        </w:tc>
        <w:tc>
          <w:tcPr>
            <w:tcW w:w="1307" w:type="dxa"/>
            <w:tcBorders>
              <w:top w:val="single" w:sz="4" w:space="0" w:color="auto"/>
              <w:bottom w:val="single" w:sz="4" w:space="0" w:color="000000"/>
              <w:right w:val="single" w:sz="4" w:space="0" w:color="000000"/>
            </w:tcBorders>
            <w:shd w:val="clear" w:color="auto" w:fill="auto"/>
            <w:vAlign w:val="center"/>
          </w:tcPr>
          <w:p w14:paraId="3DD83600" w14:textId="1A285F71" w:rsidR="00253A63" w:rsidRPr="00FB3C2A" w:rsidRDefault="00253A63" w:rsidP="00253A63">
            <w:pPr>
              <w:jc w:val="center"/>
              <w:rPr>
                <w:b/>
                <w:bCs/>
              </w:rPr>
            </w:pPr>
            <w:r w:rsidRPr="00FB3C2A">
              <w:t>10</w:t>
            </w:r>
          </w:p>
        </w:tc>
      </w:tr>
      <w:tr w:rsidR="00396DE0" w:rsidRPr="00FB3C2A" w14:paraId="2E9952FA" w14:textId="77777777" w:rsidTr="00311853">
        <w:trPr>
          <w:trHeight w:val="357"/>
        </w:trPr>
        <w:tc>
          <w:tcPr>
            <w:tcW w:w="562" w:type="dxa"/>
            <w:tcBorders>
              <w:left w:val="single" w:sz="4" w:space="0" w:color="000000"/>
              <w:bottom w:val="single" w:sz="4" w:space="0" w:color="000000"/>
              <w:right w:val="single" w:sz="4" w:space="0" w:color="000000"/>
            </w:tcBorders>
            <w:shd w:val="clear" w:color="auto" w:fill="auto"/>
            <w:vAlign w:val="center"/>
          </w:tcPr>
          <w:p w14:paraId="318F45D0" w14:textId="77777777" w:rsidR="00396DE0" w:rsidRPr="00FB3C2A" w:rsidRDefault="00396DE0" w:rsidP="009B5341">
            <w:pPr>
              <w:jc w:val="center"/>
            </w:pPr>
            <w:r w:rsidRPr="00FB3C2A">
              <w:t>8</w:t>
            </w:r>
          </w:p>
        </w:tc>
        <w:tc>
          <w:tcPr>
            <w:tcW w:w="709" w:type="dxa"/>
            <w:tcBorders>
              <w:left w:val="single" w:sz="4" w:space="0" w:color="000000"/>
              <w:bottom w:val="single" w:sz="4" w:space="0" w:color="000000"/>
              <w:right w:val="single" w:sz="4" w:space="0" w:color="000000"/>
            </w:tcBorders>
            <w:shd w:val="clear" w:color="auto" w:fill="auto"/>
            <w:vAlign w:val="center"/>
          </w:tcPr>
          <w:p w14:paraId="60760863" w14:textId="77777777" w:rsidR="00396DE0" w:rsidRPr="00FB3C2A" w:rsidRDefault="00396DE0" w:rsidP="009B5341">
            <w:pPr>
              <w:jc w:val="center"/>
            </w:pPr>
            <w:r w:rsidRPr="00FB3C2A">
              <w:t>6</w:t>
            </w:r>
          </w:p>
        </w:tc>
        <w:tc>
          <w:tcPr>
            <w:tcW w:w="6051" w:type="dxa"/>
            <w:tcBorders>
              <w:left w:val="single" w:sz="4" w:space="0" w:color="000000"/>
              <w:bottom w:val="single" w:sz="4" w:space="0" w:color="000000"/>
              <w:right w:val="single" w:sz="4" w:space="0" w:color="000000"/>
            </w:tcBorders>
            <w:shd w:val="clear" w:color="auto" w:fill="auto"/>
            <w:vAlign w:val="center"/>
          </w:tcPr>
          <w:p w14:paraId="2B2CB746" w14:textId="529FEB14" w:rsidR="00396DE0" w:rsidRPr="00FB3C2A" w:rsidRDefault="00396DE0" w:rsidP="009B5341">
            <w:pPr>
              <w:ind w:left="-57"/>
            </w:pPr>
            <w:r w:rsidRPr="00FB3C2A">
              <w:t>Обсяг доступної внутрішньої ліквідності, тис</w:t>
            </w:r>
            <w:r w:rsidR="001B4BB3">
              <w:t>.</w:t>
            </w:r>
            <w:r w:rsidRPr="00FB3C2A">
              <w:t xml:space="preserve"> грн</w:t>
            </w:r>
          </w:p>
        </w:tc>
        <w:tc>
          <w:tcPr>
            <w:tcW w:w="822" w:type="dxa"/>
            <w:tcBorders>
              <w:bottom w:val="single" w:sz="4" w:space="0" w:color="000000"/>
              <w:right w:val="single" w:sz="4" w:space="0" w:color="000000"/>
            </w:tcBorders>
            <w:shd w:val="clear" w:color="auto" w:fill="auto"/>
            <w:vAlign w:val="center"/>
          </w:tcPr>
          <w:p w14:paraId="6D7FD530" w14:textId="77777777" w:rsidR="00396DE0" w:rsidRPr="00FB3C2A" w:rsidRDefault="00396DE0" w:rsidP="009B5341">
            <w:pPr>
              <w:jc w:val="center"/>
            </w:pPr>
          </w:p>
        </w:tc>
        <w:tc>
          <w:tcPr>
            <w:tcW w:w="1069" w:type="dxa"/>
            <w:tcBorders>
              <w:bottom w:val="single" w:sz="4" w:space="0" w:color="000000"/>
              <w:right w:val="single" w:sz="4" w:space="0" w:color="000000"/>
            </w:tcBorders>
            <w:shd w:val="clear" w:color="auto" w:fill="auto"/>
            <w:vAlign w:val="center"/>
          </w:tcPr>
          <w:p w14:paraId="5C228DB1" w14:textId="77777777" w:rsidR="00396DE0" w:rsidRPr="00FB3C2A" w:rsidRDefault="00396DE0" w:rsidP="009B5341">
            <w:pPr>
              <w:jc w:val="center"/>
              <w:rPr>
                <w:b/>
                <w:bCs/>
              </w:rPr>
            </w:pPr>
          </w:p>
        </w:tc>
        <w:tc>
          <w:tcPr>
            <w:tcW w:w="1275" w:type="dxa"/>
            <w:tcBorders>
              <w:bottom w:val="single" w:sz="4" w:space="0" w:color="000000"/>
              <w:right w:val="single" w:sz="4" w:space="0" w:color="000000"/>
            </w:tcBorders>
            <w:shd w:val="clear" w:color="auto" w:fill="auto"/>
            <w:vAlign w:val="center"/>
          </w:tcPr>
          <w:p w14:paraId="34A2B7DD" w14:textId="77777777" w:rsidR="00396DE0" w:rsidRPr="00FB3C2A" w:rsidRDefault="00396DE0" w:rsidP="009B5341">
            <w:pPr>
              <w:jc w:val="center"/>
              <w:rPr>
                <w:b/>
                <w:bCs/>
              </w:rPr>
            </w:pPr>
          </w:p>
        </w:tc>
        <w:tc>
          <w:tcPr>
            <w:tcW w:w="1105" w:type="dxa"/>
            <w:tcBorders>
              <w:bottom w:val="single" w:sz="4" w:space="0" w:color="000000"/>
              <w:right w:val="single" w:sz="4" w:space="0" w:color="000000"/>
            </w:tcBorders>
            <w:shd w:val="clear" w:color="auto" w:fill="auto"/>
            <w:vAlign w:val="center"/>
          </w:tcPr>
          <w:p w14:paraId="617456BA" w14:textId="77777777" w:rsidR="00396DE0" w:rsidRPr="00FB3C2A" w:rsidRDefault="00396DE0" w:rsidP="009B5341">
            <w:pPr>
              <w:jc w:val="center"/>
              <w:rPr>
                <w:b/>
                <w:bCs/>
              </w:rPr>
            </w:pPr>
          </w:p>
        </w:tc>
        <w:tc>
          <w:tcPr>
            <w:tcW w:w="1302" w:type="dxa"/>
            <w:tcBorders>
              <w:bottom w:val="single" w:sz="4" w:space="0" w:color="000000"/>
              <w:right w:val="single" w:sz="4" w:space="0" w:color="000000"/>
            </w:tcBorders>
            <w:shd w:val="clear" w:color="auto" w:fill="auto"/>
            <w:vAlign w:val="center"/>
          </w:tcPr>
          <w:p w14:paraId="472FF550" w14:textId="77777777" w:rsidR="00396DE0" w:rsidRPr="00FB3C2A" w:rsidRDefault="00396DE0" w:rsidP="009B5341">
            <w:pPr>
              <w:jc w:val="center"/>
              <w:rPr>
                <w:b/>
                <w:bCs/>
              </w:rPr>
            </w:pPr>
          </w:p>
        </w:tc>
        <w:tc>
          <w:tcPr>
            <w:tcW w:w="1131" w:type="dxa"/>
            <w:tcBorders>
              <w:bottom w:val="single" w:sz="4" w:space="0" w:color="000000"/>
              <w:right w:val="single" w:sz="4" w:space="0" w:color="000000"/>
            </w:tcBorders>
            <w:shd w:val="clear" w:color="auto" w:fill="auto"/>
            <w:vAlign w:val="center"/>
          </w:tcPr>
          <w:p w14:paraId="15E2CC71" w14:textId="77777777" w:rsidR="00396DE0" w:rsidRPr="00FB3C2A" w:rsidRDefault="00396DE0" w:rsidP="009B5341">
            <w:pPr>
              <w:jc w:val="center"/>
              <w:rPr>
                <w:b/>
                <w:bCs/>
              </w:rPr>
            </w:pPr>
          </w:p>
        </w:tc>
        <w:tc>
          <w:tcPr>
            <w:tcW w:w="1307" w:type="dxa"/>
            <w:tcBorders>
              <w:bottom w:val="single" w:sz="4" w:space="0" w:color="000000"/>
              <w:right w:val="single" w:sz="4" w:space="0" w:color="000000"/>
            </w:tcBorders>
            <w:shd w:val="clear" w:color="auto" w:fill="auto"/>
            <w:vAlign w:val="center"/>
          </w:tcPr>
          <w:p w14:paraId="38C9BE61" w14:textId="77777777" w:rsidR="00396DE0" w:rsidRPr="00FB3C2A" w:rsidRDefault="00396DE0" w:rsidP="009B5341">
            <w:pPr>
              <w:jc w:val="center"/>
              <w:rPr>
                <w:b/>
                <w:bCs/>
              </w:rPr>
            </w:pPr>
          </w:p>
        </w:tc>
      </w:tr>
      <w:tr w:rsidR="0091727A" w:rsidRPr="00FB3C2A" w14:paraId="0C77CACD" w14:textId="77777777" w:rsidTr="00311853">
        <w:trPr>
          <w:trHeight w:val="357"/>
        </w:trPr>
        <w:tc>
          <w:tcPr>
            <w:tcW w:w="562" w:type="dxa"/>
            <w:tcBorders>
              <w:left w:val="single" w:sz="4" w:space="0" w:color="000000"/>
              <w:bottom w:val="single" w:sz="4" w:space="0" w:color="000000"/>
              <w:right w:val="single" w:sz="4" w:space="0" w:color="000000"/>
            </w:tcBorders>
            <w:shd w:val="clear" w:color="auto" w:fill="auto"/>
            <w:vAlign w:val="center"/>
          </w:tcPr>
          <w:p w14:paraId="4B10FC17" w14:textId="77777777" w:rsidR="0091727A" w:rsidRPr="00FB3C2A" w:rsidRDefault="0091727A" w:rsidP="009B5341">
            <w:pPr>
              <w:jc w:val="center"/>
              <w:textAlignment w:val="bottom"/>
            </w:pPr>
            <w:r w:rsidRPr="00FB3C2A">
              <w:t>9</w:t>
            </w:r>
          </w:p>
        </w:tc>
        <w:tc>
          <w:tcPr>
            <w:tcW w:w="709" w:type="dxa"/>
            <w:tcBorders>
              <w:left w:val="single" w:sz="4" w:space="0" w:color="000000"/>
              <w:bottom w:val="single" w:sz="4" w:space="0" w:color="000000"/>
              <w:right w:val="single" w:sz="4" w:space="0" w:color="000000"/>
            </w:tcBorders>
            <w:shd w:val="clear" w:color="auto" w:fill="auto"/>
            <w:vAlign w:val="center"/>
          </w:tcPr>
          <w:p w14:paraId="65A3CBD4" w14:textId="77777777" w:rsidR="0091727A" w:rsidRPr="00FB3C2A" w:rsidRDefault="0091727A" w:rsidP="009B5341">
            <w:pPr>
              <w:jc w:val="center"/>
            </w:pPr>
            <w:r w:rsidRPr="00FB3C2A">
              <w:t>7</w:t>
            </w:r>
          </w:p>
        </w:tc>
        <w:tc>
          <w:tcPr>
            <w:tcW w:w="14062" w:type="dxa"/>
            <w:gridSpan w:val="8"/>
            <w:tcBorders>
              <w:left w:val="single" w:sz="4" w:space="0" w:color="000000"/>
              <w:bottom w:val="single" w:sz="4" w:space="0" w:color="000000"/>
              <w:right w:val="single" w:sz="4" w:space="0" w:color="000000"/>
            </w:tcBorders>
            <w:shd w:val="clear" w:color="auto" w:fill="auto"/>
            <w:vAlign w:val="center"/>
          </w:tcPr>
          <w:p w14:paraId="1C01CF3B" w14:textId="2242A3D4" w:rsidR="0091727A" w:rsidRPr="00FB3C2A" w:rsidRDefault="0091727A" w:rsidP="0091727A">
            <w:pPr>
              <w:jc w:val="left"/>
              <w:rPr>
                <w:b/>
                <w:bCs/>
              </w:rPr>
            </w:pPr>
            <w:r w:rsidRPr="00FB3C2A">
              <w:t>Різниця між доступною та необхідною внутрішньою ліквідністю</w:t>
            </w:r>
            <w:r w:rsidR="009C3ED9" w:rsidRPr="00FB3C2A">
              <w:t>:</w:t>
            </w:r>
          </w:p>
        </w:tc>
      </w:tr>
      <w:tr w:rsidR="00396DE0" w:rsidRPr="00FB3C2A" w14:paraId="0BAF297D" w14:textId="77777777" w:rsidTr="00311853">
        <w:trPr>
          <w:trHeight w:val="357"/>
        </w:trPr>
        <w:tc>
          <w:tcPr>
            <w:tcW w:w="562" w:type="dxa"/>
            <w:tcBorders>
              <w:left w:val="single" w:sz="4" w:space="0" w:color="000000"/>
              <w:bottom w:val="single" w:sz="4" w:space="0" w:color="000000"/>
              <w:right w:val="single" w:sz="4" w:space="0" w:color="000000"/>
            </w:tcBorders>
            <w:shd w:val="clear" w:color="auto" w:fill="auto"/>
            <w:vAlign w:val="center"/>
          </w:tcPr>
          <w:p w14:paraId="6AABCF12" w14:textId="77777777" w:rsidR="00396DE0" w:rsidRPr="00FB3C2A" w:rsidRDefault="00396DE0" w:rsidP="009B5341">
            <w:pPr>
              <w:jc w:val="center"/>
              <w:textAlignment w:val="bottom"/>
            </w:pPr>
            <w:r w:rsidRPr="00FB3C2A">
              <w:t>10</w:t>
            </w:r>
          </w:p>
        </w:tc>
        <w:tc>
          <w:tcPr>
            <w:tcW w:w="709" w:type="dxa"/>
            <w:tcBorders>
              <w:left w:val="single" w:sz="4" w:space="0" w:color="000000"/>
              <w:bottom w:val="single" w:sz="4" w:space="0" w:color="000000"/>
              <w:right w:val="single" w:sz="4" w:space="0" w:color="000000"/>
            </w:tcBorders>
            <w:shd w:val="clear" w:color="auto" w:fill="auto"/>
            <w:vAlign w:val="center"/>
          </w:tcPr>
          <w:p w14:paraId="5C33D302" w14:textId="77777777" w:rsidR="00396DE0" w:rsidRPr="00FB3C2A" w:rsidRDefault="00396DE0" w:rsidP="009B5341">
            <w:pPr>
              <w:jc w:val="center"/>
              <w:rPr>
                <w:iCs/>
              </w:rPr>
            </w:pPr>
            <w:r w:rsidRPr="00FB3C2A">
              <w:rPr>
                <w:iCs/>
              </w:rPr>
              <w:t>7.1</w:t>
            </w:r>
          </w:p>
        </w:tc>
        <w:tc>
          <w:tcPr>
            <w:tcW w:w="6051" w:type="dxa"/>
            <w:tcBorders>
              <w:left w:val="single" w:sz="4" w:space="0" w:color="000000"/>
              <w:bottom w:val="single" w:sz="4" w:space="0" w:color="000000"/>
              <w:right w:val="single" w:sz="4" w:space="0" w:color="000000"/>
            </w:tcBorders>
            <w:shd w:val="clear" w:color="auto" w:fill="auto"/>
            <w:vAlign w:val="center"/>
          </w:tcPr>
          <w:p w14:paraId="4B32DC07" w14:textId="77777777" w:rsidR="00396DE0" w:rsidRPr="00FB3C2A" w:rsidRDefault="00396DE0" w:rsidP="009B5341">
            <w:pPr>
              <w:ind w:left="-57"/>
              <w:rPr>
                <w:iCs/>
              </w:rPr>
            </w:pPr>
            <w:r w:rsidRPr="00FB3C2A">
              <w:rPr>
                <w:iCs/>
              </w:rPr>
              <w:t>позитивна різниця (немає потреби в ліквідності), тис. грн</w:t>
            </w:r>
          </w:p>
        </w:tc>
        <w:tc>
          <w:tcPr>
            <w:tcW w:w="822" w:type="dxa"/>
            <w:tcBorders>
              <w:bottom w:val="single" w:sz="4" w:space="0" w:color="000000"/>
              <w:right w:val="single" w:sz="4" w:space="0" w:color="000000"/>
            </w:tcBorders>
            <w:shd w:val="clear" w:color="auto" w:fill="auto"/>
            <w:vAlign w:val="center"/>
          </w:tcPr>
          <w:p w14:paraId="792FCC62" w14:textId="77777777" w:rsidR="00396DE0" w:rsidRPr="00FB3C2A" w:rsidRDefault="00396DE0" w:rsidP="009B5341">
            <w:pPr>
              <w:jc w:val="center"/>
            </w:pPr>
          </w:p>
        </w:tc>
        <w:tc>
          <w:tcPr>
            <w:tcW w:w="1069" w:type="dxa"/>
            <w:tcBorders>
              <w:bottom w:val="single" w:sz="4" w:space="0" w:color="000000"/>
              <w:right w:val="single" w:sz="4" w:space="0" w:color="000000"/>
            </w:tcBorders>
            <w:shd w:val="clear" w:color="auto" w:fill="auto"/>
            <w:vAlign w:val="center"/>
          </w:tcPr>
          <w:p w14:paraId="39C0D59F" w14:textId="77777777" w:rsidR="00396DE0" w:rsidRPr="00FB3C2A" w:rsidRDefault="00396DE0" w:rsidP="009B5341">
            <w:pPr>
              <w:jc w:val="center"/>
              <w:rPr>
                <w:b/>
                <w:bCs/>
              </w:rPr>
            </w:pPr>
          </w:p>
        </w:tc>
        <w:tc>
          <w:tcPr>
            <w:tcW w:w="1275" w:type="dxa"/>
            <w:tcBorders>
              <w:bottom w:val="single" w:sz="4" w:space="0" w:color="000000"/>
              <w:right w:val="single" w:sz="4" w:space="0" w:color="000000"/>
            </w:tcBorders>
            <w:shd w:val="clear" w:color="auto" w:fill="auto"/>
            <w:vAlign w:val="center"/>
          </w:tcPr>
          <w:p w14:paraId="35CFFEB8" w14:textId="77777777" w:rsidR="00396DE0" w:rsidRPr="00FB3C2A" w:rsidRDefault="00396DE0" w:rsidP="009B5341">
            <w:pPr>
              <w:jc w:val="center"/>
              <w:rPr>
                <w:b/>
                <w:bCs/>
              </w:rPr>
            </w:pPr>
          </w:p>
        </w:tc>
        <w:tc>
          <w:tcPr>
            <w:tcW w:w="1105" w:type="dxa"/>
            <w:tcBorders>
              <w:bottom w:val="single" w:sz="4" w:space="0" w:color="000000"/>
              <w:right w:val="single" w:sz="4" w:space="0" w:color="000000"/>
            </w:tcBorders>
            <w:shd w:val="clear" w:color="auto" w:fill="auto"/>
            <w:vAlign w:val="center"/>
          </w:tcPr>
          <w:p w14:paraId="076B970A" w14:textId="77777777" w:rsidR="00396DE0" w:rsidRPr="00FB3C2A" w:rsidRDefault="00396DE0" w:rsidP="009B5341">
            <w:pPr>
              <w:jc w:val="center"/>
              <w:rPr>
                <w:b/>
                <w:bCs/>
              </w:rPr>
            </w:pPr>
          </w:p>
        </w:tc>
        <w:tc>
          <w:tcPr>
            <w:tcW w:w="1302" w:type="dxa"/>
            <w:tcBorders>
              <w:bottom w:val="single" w:sz="4" w:space="0" w:color="000000"/>
              <w:right w:val="single" w:sz="4" w:space="0" w:color="000000"/>
            </w:tcBorders>
            <w:shd w:val="clear" w:color="auto" w:fill="auto"/>
            <w:vAlign w:val="center"/>
          </w:tcPr>
          <w:p w14:paraId="458E04F8" w14:textId="77777777" w:rsidR="00396DE0" w:rsidRPr="00FB3C2A" w:rsidRDefault="00396DE0" w:rsidP="009B5341">
            <w:pPr>
              <w:jc w:val="center"/>
              <w:rPr>
                <w:b/>
                <w:bCs/>
              </w:rPr>
            </w:pPr>
          </w:p>
        </w:tc>
        <w:tc>
          <w:tcPr>
            <w:tcW w:w="1131" w:type="dxa"/>
            <w:tcBorders>
              <w:bottom w:val="single" w:sz="4" w:space="0" w:color="000000"/>
              <w:right w:val="single" w:sz="4" w:space="0" w:color="000000"/>
            </w:tcBorders>
            <w:shd w:val="clear" w:color="auto" w:fill="auto"/>
            <w:vAlign w:val="center"/>
          </w:tcPr>
          <w:p w14:paraId="7461699E" w14:textId="77777777" w:rsidR="00396DE0" w:rsidRPr="00FB3C2A" w:rsidRDefault="00396DE0" w:rsidP="009B5341">
            <w:pPr>
              <w:jc w:val="center"/>
              <w:rPr>
                <w:b/>
                <w:bCs/>
              </w:rPr>
            </w:pPr>
          </w:p>
        </w:tc>
        <w:tc>
          <w:tcPr>
            <w:tcW w:w="1307" w:type="dxa"/>
            <w:tcBorders>
              <w:bottom w:val="single" w:sz="4" w:space="0" w:color="000000"/>
              <w:right w:val="single" w:sz="4" w:space="0" w:color="000000"/>
            </w:tcBorders>
            <w:shd w:val="clear" w:color="auto" w:fill="auto"/>
            <w:vAlign w:val="center"/>
          </w:tcPr>
          <w:p w14:paraId="581DD632" w14:textId="77777777" w:rsidR="00396DE0" w:rsidRPr="00FB3C2A" w:rsidRDefault="00396DE0" w:rsidP="009B5341">
            <w:pPr>
              <w:jc w:val="center"/>
              <w:rPr>
                <w:b/>
                <w:bCs/>
              </w:rPr>
            </w:pPr>
          </w:p>
        </w:tc>
      </w:tr>
      <w:tr w:rsidR="00396DE0" w:rsidRPr="00FB3C2A" w14:paraId="3A00C1FE" w14:textId="77777777" w:rsidTr="00311853">
        <w:trPr>
          <w:trHeight w:val="357"/>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75469" w14:textId="77777777" w:rsidR="00396DE0" w:rsidRPr="00FB3C2A" w:rsidRDefault="00396DE0" w:rsidP="009B5341">
            <w:pPr>
              <w:jc w:val="center"/>
              <w:textAlignment w:val="bottom"/>
            </w:pPr>
            <w:r w:rsidRPr="00FB3C2A">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E1C3B" w14:textId="77777777" w:rsidR="00396DE0" w:rsidRPr="00FB3C2A" w:rsidRDefault="00396DE0" w:rsidP="009B5341">
            <w:pPr>
              <w:jc w:val="center"/>
              <w:rPr>
                <w:iCs/>
              </w:rPr>
            </w:pPr>
            <w:r w:rsidRPr="00FB3C2A">
              <w:rPr>
                <w:iCs/>
              </w:rPr>
              <w:t>7.2</w:t>
            </w:r>
          </w:p>
        </w:tc>
        <w:tc>
          <w:tcPr>
            <w:tcW w:w="6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DE656" w14:textId="77777777" w:rsidR="00396DE0" w:rsidRPr="00FB3C2A" w:rsidRDefault="00396DE0" w:rsidP="009B5341">
            <w:pPr>
              <w:ind w:left="-57"/>
              <w:rPr>
                <w:iCs/>
              </w:rPr>
            </w:pPr>
            <w:r w:rsidRPr="00FB3C2A">
              <w:rPr>
                <w:iCs/>
              </w:rPr>
              <w:t>негативна різниця (є потреба в ліквідності), тис. грн</w:t>
            </w:r>
          </w:p>
        </w:tc>
        <w:tc>
          <w:tcPr>
            <w:tcW w:w="822" w:type="dxa"/>
            <w:tcBorders>
              <w:top w:val="single" w:sz="4" w:space="0" w:color="000000"/>
              <w:bottom w:val="single" w:sz="4" w:space="0" w:color="000000"/>
              <w:right w:val="single" w:sz="4" w:space="0" w:color="000000"/>
            </w:tcBorders>
            <w:shd w:val="clear" w:color="auto" w:fill="auto"/>
            <w:vAlign w:val="center"/>
          </w:tcPr>
          <w:p w14:paraId="301A6874" w14:textId="77777777" w:rsidR="00396DE0" w:rsidRPr="00FB3C2A" w:rsidRDefault="00396DE0" w:rsidP="009B5341">
            <w:pPr>
              <w:jc w:val="center"/>
            </w:pPr>
          </w:p>
        </w:tc>
        <w:tc>
          <w:tcPr>
            <w:tcW w:w="1069" w:type="dxa"/>
            <w:tcBorders>
              <w:top w:val="single" w:sz="4" w:space="0" w:color="000000"/>
              <w:bottom w:val="single" w:sz="4" w:space="0" w:color="000000"/>
              <w:right w:val="single" w:sz="4" w:space="0" w:color="000000"/>
            </w:tcBorders>
            <w:shd w:val="clear" w:color="auto" w:fill="auto"/>
            <w:vAlign w:val="center"/>
          </w:tcPr>
          <w:p w14:paraId="0026039C" w14:textId="77777777" w:rsidR="00396DE0" w:rsidRPr="00FB3C2A" w:rsidRDefault="00396DE0" w:rsidP="009B5341">
            <w:pPr>
              <w:jc w:val="center"/>
              <w:rPr>
                <w:b/>
                <w:bCs/>
              </w:rPr>
            </w:pPr>
          </w:p>
        </w:tc>
        <w:tc>
          <w:tcPr>
            <w:tcW w:w="1275" w:type="dxa"/>
            <w:tcBorders>
              <w:top w:val="single" w:sz="4" w:space="0" w:color="000000"/>
              <w:bottom w:val="single" w:sz="4" w:space="0" w:color="000000"/>
              <w:right w:val="single" w:sz="4" w:space="0" w:color="000000"/>
            </w:tcBorders>
            <w:shd w:val="clear" w:color="auto" w:fill="auto"/>
            <w:vAlign w:val="center"/>
          </w:tcPr>
          <w:p w14:paraId="4D652680" w14:textId="77777777" w:rsidR="00396DE0" w:rsidRPr="00FB3C2A" w:rsidRDefault="00396DE0" w:rsidP="009B5341">
            <w:pPr>
              <w:jc w:val="center"/>
              <w:rPr>
                <w:b/>
                <w:bCs/>
              </w:rPr>
            </w:pPr>
          </w:p>
        </w:tc>
        <w:tc>
          <w:tcPr>
            <w:tcW w:w="1105" w:type="dxa"/>
            <w:tcBorders>
              <w:top w:val="single" w:sz="4" w:space="0" w:color="000000"/>
              <w:bottom w:val="single" w:sz="4" w:space="0" w:color="000000"/>
              <w:right w:val="single" w:sz="4" w:space="0" w:color="000000"/>
            </w:tcBorders>
            <w:shd w:val="clear" w:color="auto" w:fill="auto"/>
            <w:vAlign w:val="center"/>
          </w:tcPr>
          <w:p w14:paraId="3C82EA7F" w14:textId="77777777" w:rsidR="00396DE0" w:rsidRPr="00FB3C2A" w:rsidRDefault="00396DE0" w:rsidP="009B5341">
            <w:pPr>
              <w:jc w:val="center"/>
              <w:rPr>
                <w:b/>
                <w:bCs/>
              </w:rPr>
            </w:pPr>
          </w:p>
        </w:tc>
        <w:tc>
          <w:tcPr>
            <w:tcW w:w="1302" w:type="dxa"/>
            <w:tcBorders>
              <w:top w:val="single" w:sz="4" w:space="0" w:color="000000"/>
              <w:bottom w:val="single" w:sz="4" w:space="0" w:color="000000"/>
              <w:right w:val="single" w:sz="4" w:space="0" w:color="000000"/>
            </w:tcBorders>
            <w:shd w:val="clear" w:color="auto" w:fill="auto"/>
            <w:vAlign w:val="center"/>
          </w:tcPr>
          <w:p w14:paraId="056AE4E1" w14:textId="77777777" w:rsidR="00396DE0" w:rsidRPr="00FB3C2A" w:rsidRDefault="00396DE0" w:rsidP="009B5341">
            <w:pPr>
              <w:jc w:val="center"/>
              <w:rPr>
                <w:b/>
                <w:bCs/>
              </w:rPr>
            </w:pPr>
          </w:p>
        </w:tc>
        <w:tc>
          <w:tcPr>
            <w:tcW w:w="1131" w:type="dxa"/>
            <w:tcBorders>
              <w:top w:val="single" w:sz="4" w:space="0" w:color="000000"/>
              <w:bottom w:val="single" w:sz="4" w:space="0" w:color="000000"/>
              <w:right w:val="single" w:sz="4" w:space="0" w:color="000000"/>
            </w:tcBorders>
            <w:shd w:val="clear" w:color="auto" w:fill="auto"/>
            <w:vAlign w:val="center"/>
          </w:tcPr>
          <w:p w14:paraId="70DB3DF0" w14:textId="77777777" w:rsidR="00396DE0" w:rsidRPr="00FB3C2A" w:rsidRDefault="00396DE0" w:rsidP="009B5341">
            <w:pPr>
              <w:jc w:val="center"/>
              <w:rPr>
                <w:b/>
                <w:bCs/>
              </w:rPr>
            </w:pPr>
          </w:p>
        </w:tc>
        <w:tc>
          <w:tcPr>
            <w:tcW w:w="1307" w:type="dxa"/>
            <w:tcBorders>
              <w:top w:val="single" w:sz="4" w:space="0" w:color="000000"/>
              <w:bottom w:val="single" w:sz="4" w:space="0" w:color="000000"/>
              <w:right w:val="single" w:sz="4" w:space="0" w:color="000000"/>
            </w:tcBorders>
            <w:shd w:val="clear" w:color="auto" w:fill="auto"/>
            <w:vAlign w:val="center"/>
          </w:tcPr>
          <w:p w14:paraId="25E414DA" w14:textId="77777777" w:rsidR="00396DE0" w:rsidRPr="00FB3C2A" w:rsidRDefault="00396DE0" w:rsidP="009B5341">
            <w:pPr>
              <w:jc w:val="center"/>
            </w:pPr>
            <w:bookmarkStart w:id="94" w:name="_Hlk84085576"/>
            <w:bookmarkEnd w:id="94"/>
          </w:p>
        </w:tc>
      </w:tr>
    </w:tbl>
    <w:p w14:paraId="0B5B0247" w14:textId="77777777" w:rsidR="00891B48" w:rsidRPr="00891B48" w:rsidRDefault="00891B48" w:rsidP="004604BB">
      <w:pPr>
        <w:shd w:val="clear" w:color="auto" w:fill="FFFFFF" w:themeFill="background1"/>
        <w:tabs>
          <w:tab w:val="left" w:pos="993"/>
          <w:tab w:val="left" w:pos="1134"/>
          <w:tab w:val="left" w:pos="1418"/>
        </w:tabs>
        <w:ind w:firstLine="142"/>
        <w:rPr>
          <w:sz w:val="24"/>
          <w:szCs w:val="24"/>
        </w:rPr>
      </w:pPr>
    </w:p>
    <w:p w14:paraId="778A5274" w14:textId="1AA01BE6" w:rsidR="001C7CAC" w:rsidRDefault="00952578" w:rsidP="004604BB">
      <w:pPr>
        <w:shd w:val="clear" w:color="auto" w:fill="FFFFFF" w:themeFill="background1"/>
        <w:tabs>
          <w:tab w:val="left" w:pos="993"/>
          <w:tab w:val="left" w:pos="1134"/>
          <w:tab w:val="left" w:pos="1418"/>
        </w:tabs>
        <w:ind w:firstLine="142"/>
      </w:pPr>
      <w:r w:rsidRPr="00952578">
        <w:t>7.</w:t>
      </w:r>
      <w:r>
        <w:t>3</w:t>
      </w:r>
      <w:r w:rsidR="00311853" w:rsidRPr="00311853">
        <w:rPr>
          <w:lang w:val="ru-RU"/>
        </w:rPr>
        <w:t>.</w:t>
      </w:r>
      <w:r w:rsidRPr="00952578">
        <w:t xml:space="preserve"> </w:t>
      </w:r>
      <w:r w:rsidR="00FB3C2A">
        <w:t>Пояснення до т</w:t>
      </w:r>
      <w:r w:rsidR="00353199">
        <w:t>аблиці 2</w:t>
      </w:r>
      <w:r>
        <w:t xml:space="preserve"> додатк</w:t>
      </w:r>
      <w:r w:rsidR="001B4BB3">
        <w:t>а</w:t>
      </w:r>
      <w:r>
        <w:t xml:space="preserve"> 3 до цього Положення:</w:t>
      </w:r>
    </w:p>
    <w:p w14:paraId="3454CA47" w14:textId="40A708A5" w:rsidR="00610ECA" w:rsidRDefault="00311853" w:rsidP="00952578">
      <w:pPr>
        <w:shd w:val="clear" w:color="auto" w:fill="FFFFFF" w:themeFill="background1"/>
        <w:tabs>
          <w:tab w:val="left" w:pos="993"/>
          <w:tab w:val="left" w:pos="1134"/>
          <w:tab w:val="left" w:pos="1418"/>
        </w:tabs>
        <w:ind w:firstLine="709"/>
      </w:pPr>
      <w:r w:rsidRPr="004604BB">
        <w:t>р</w:t>
      </w:r>
      <w:r w:rsidR="00952578" w:rsidRPr="004604BB">
        <w:t>езультати ILAAP</w:t>
      </w:r>
      <w:r w:rsidR="00952578" w:rsidRPr="00952578">
        <w:t xml:space="preserve"> </w:t>
      </w:r>
      <w:r w:rsidR="00952578">
        <w:t xml:space="preserve">відображаються </w:t>
      </w:r>
      <w:r w:rsidR="00952578" w:rsidRPr="00952578">
        <w:t>на прогнозні дати</w:t>
      </w:r>
      <w:r w:rsidR="00952578">
        <w:t xml:space="preserve"> </w:t>
      </w:r>
      <w:r w:rsidR="00952578" w:rsidRPr="00952578">
        <w:t>станом на 01 число кожного місяця</w:t>
      </w:r>
      <w:r w:rsidR="00952578">
        <w:t>.</w:t>
      </w:r>
    </w:p>
    <w:p w14:paraId="24ABADC9" w14:textId="77777777" w:rsidR="000F13DD" w:rsidRDefault="000F13DD" w:rsidP="00952578">
      <w:pPr>
        <w:shd w:val="clear" w:color="auto" w:fill="FFFFFF" w:themeFill="background1"/>
        <w:tabs>
          <w:tab w:val="left" w:pos="993"/>
          <w:tab w:val="left" w:pos="1134"/>
          <w:tab w:val="left" w:pos="1418"/>
        </w:tabs>
        <w:ind w:firstLine="709"/>
        <w:rPr>
          <w:sz w:val="20"/>
          <w:szCs w:val="20"/>
        </w:rPr>
        <w:sectPr w:rsidR="000F13DD" w:rsidSect="000F13DD">
          <w:headerReference w:type="default" r:id="rId22"/>
          <w:type w:val="continuous"/>
          <w:pgSz w:w="16838" w:h="11906" w:orient="landscape"/>
          <w:pgMar w:top="567" w:right="851" w:bottom="1701" w:left="851" w:header="709" w:footer="0" w:gutter="0"/>
          <w:cols w:space="720"/>
          <w:formProt w:val="0"/>
          <w:titlePg/>
          <w:docGrid w:linePitch="381"/>
        </w:sectPr>
      </w:pPr>
    </w:p>
    <w:p w14:paraId="63038B5D" w14:textId="0B8266BA" w:rsidR="00FD020B" w:rsidRPr="00FD020B" w:rsidRDefault="00FD020B" w:rsidP="00952578">
      <w:pPr>
        <w:shd w:val="clear" w:color="auto" w:fill="FFFFFF" w:themeFill="background1"/>
        <w:tabs>
          <w:tab w:val="left" w:pos="993"/>
          <w:tab w:val="left" w:pos="1134"/>
          <w:tab w:val="left" w:pos="1418"/>
        </w:tabs>
        <w:ind w:firstLine="709"/>
        <w:rPr>
          <w:sz w:val="20"/>
          <w:szCs w:val="20"/>
        </w:rPr>
      </w:pPr>
    </w:p>
    <w:p w14:paraId="1F17C040" w14:textId="6C18A911" w:rsidR="00396DE0" w:rsidRDefault="00952578" w:rsidP="007721E0">
      <w:pPr>
        <w:pStyle w:val="a4"/>
        <w:ind w:left="0"/>
        <w:jc w:val="center"/>
      </w:pPr>
      <w:r>
        <w:t>7.4</w:t>
      </w:r>
      <w:r w:rsidR="00311853">
        <w:t>.</w:t>
      </w:r>
      <w:r>
        <w:t xml:space="preserve"> </w:t>
      </w:r>
      <w:r w:rsidR="00396DE0" w:rsidRPr="000D07CA">
        <w:t xml:space="preserve">Про результати оцінки достатності внутрішньої ліквідності за нормативною </w:t>
      </w:r>
      <w:r w:rsidR="00396DE0" w:rsidRPr="00396DE0">
        <w:rPr>
          <w:bCs/>
        </w:rPr>
        <w:t>перспективою (довго</w:t>
      </w:r>
      <w:r w:rsidR="00396DE0" w:rsidRPr="000D07CA">
        <w:t>строкова ліквідність)</w:t>
      </w:r>
    </w:p>
    <w:p w14:paraId="5A6BF95C" w14:textId="2C21ABAA" w:rsidR="00396DE0" w:rsidRPr="000D07CA" w:rsidRDefault="00396DE0" w:rsidP="00610ECA">
      <w:pPr>
        <w:pStyle w:val="a4"/>
        <w:spacing w:before="240"/>
        <w:ind w:left="12361"/>
      </w:pPr>
      <w:r>
        <w:t xml:space="preserve">                      </w:t>
      </w:r>
      <w:r w:rsidRPr="000D07CA">
        <w:t>Таблиця 3</w:t>
      </w:r>
      <w:r>
        <w:t xml:space="preserve"> </w:t>
      </w:r>
    </w:p>
    <w:tbl>
      <w:tblPr>
        <w:tblW w:w="15333" w:type="dxa"/>
        <w:tblLayout w:type="fixed"/>
        <w:tblLook w:val="04A0" w:firstRow="1" w:lastRow="0" w:firstColumn="1" w:lastColumn="0" w:noHBand="0" w:noVBand="1"/>
      </w:tblPr>
      <w:tblGrid>
        <w:gridCol w:w="545"/>
        <w:gridCol w:w="17"/>
        <w:gridCol w:w="851"/>
        <w:gridCol w:w="5940"/>
        <w:gridCol w:w="7"/>
        <w:gridCol w:w="686"/>
        <w:gridCol w:w="1157"/>
        <w:gridCol w:w="1276"/>
        <w:gridCol w:w="1111"/>
        <w:gridCol w:w="1298"/>
        <w:gridCol w:w="1137"/>
        <w:gridCol w:w="1308"/>
      </w:tblGrid>
      <w:tr w:rsidR="00396DE0" w:rsidRPr="00565FAA" w14:paraId="15ACDEDC" w14:textId="77777777" w:rsidTr="00891B48">
        <w:trPr>
          <w:trHeight w:val="361"/>
        </w:trPr>
        <w:tc>
          <w:tcPr>
            <w:tcW w:w="562" w:type="dxa"/>
            <w:gridSpan w:val="2"/>
            <w:vMerge w:val="restart"/>
            <w:tcBorders>
              <w:top w:val="single" w:sz="4" w:space="0" w:color="000000"/>
              <w:left w:val="single" w:sz="4" w:space="0" w:color="000000"/>
              <w:right w:val="single" w:sz="4" w:space="0" w:color="000000"/>
            </w:tcBorders>
            <w:shd w:val="clear" w:color="auto" w:fill="auto"/>
            <w:vAlign w:val="center"/>
          </w:tcPr>
          <w:p w14:paraId="7B4A1D34" w14:textId="77777777" w:rsidR="00396DE0" w:rsidRPr="00565FAA" w:rsidRDefault="00396DE0" w:rsidP="009B5341">
            <w:pPr>
              <w:jc w:val="center"/>
            </w:pPr>
            <w:r w:rsidRPr="00565FAA">
              <w:t>№ з/п</w:t>
            </w:r>
          </w:p>
        </w:tc>
        <w:tc>
          <w:tcPr>
            <w:tcW w:w="851" w:type="dxa"/>
            <w:vMerge w:val="restart"/>
            <w:tcBorders>
              <w:top w:val="single" w:sz="4" w:space="0" w:color="000000"/>
              <w:left w:val="single" w:sz="4" w:space="0" w:color="000000"/>
              <w:right w:val="single" w:sz="4" w:space="0" w:color="000000"/>
            </w:tcBorders>
            <w:shd w:val="clear" w:color="auto" w:fill="auto"/>
            <w:vAlign w:val="center"/>
          </w:tcPr>
          <w:p w14:paraId="654F4B79" w14:textId="7FD8EF0F" w:rsidR="00396DE0" w:rsidRPr="00565FAA" w:rsidRDefault="00311853" w:rsidP="009B5341">
            <w:pPr>
              <w:ind w:left="-113" w:right="-113"/>
              <w:jc w:val="center"/>
            </w:pPr>
            <w:r>
              <w:t>№ показ</w:t>
            </w:r>
            <w:r w:rsidR="001B4BB3">
              <w:t>-</w:t>
            </w:r>
            <w:proofErr w:type="spellStart"/>
            <w:r w:rsidR="00396DE0" w:rsidRPr="00565FAA">
              <w:t>ника</w:t>
            </w:r>
            <w:proofErr w:type="spellEnd"/>
          </w:p>
        </w:tc>
        <w:tc>
          <w:tcPr>
            <w:tcW w:w="5947" w:type="dxa"/>
            <w:gridSpan w:val="2"/>
            <w:vMerge w:val="restart"/>
            <w:tcBorders>
              <w:top w:val="single" w:sz="4" w:space="0" w:color="000000"/>
              <w:left w:val="single" w:sz="4" w:space="0" w:color="000000"/>
              <w:right w:val="single" w:sz="4" w:space="0" w:color="000000"/>
            </w:tcBorders>
            <w:shd w:val="clear" w:color="auto" w:fill="auto"/>
            <w:vAlign w:val="center"/>
          </w:tcPr>
          <w:p w14:paraId="2E0F5D44" w14:textId="77777777" w:rsidR="00396DE0" w:rsidRPr="00565FAA" w:rsidRDefault="00396DE0" w:rsidP="009B5341">
            <w:pPr>
              <w:jc w:val="center"/>
            </w:pPr>
            <w:r w:rsidRPr="00565FAA">
              <w:t>Назва показника</w:t>
            </w:r>
          </w:p>
        </w:tc>
        <w:tc>
          <w:tcPr>
            <w:tcW w:w="686" w:type="dxa"/>
            <w:vMerge w:val="restart"/>
            <w:tcBorders>
              <w:top w:val="single" w:sz="4" w:space="0" w:color="000000"/>
              <w:left w:val="single" w:sz="4" w:space="0" w:color="000000"/>
              <w:right w:val="single" w:sz="4" w:space="0" w:color="000000"/>
            </w:tcBorders>
            <w:shd w:val="clear" w:color="auto" w:fill="auto"/>
            <w:vAlign w:val="center"/>
          </w:tcPr>
          <w:p w14:paraId="1E79BA4B" w14:textId="77777777" w:rsidR="00396DE0" w:rsidRPr="00565FAA" w:rsidRDefault="00396DE0" w:rsidP="009B5341">
            <w:pPr>
              <w:ind w:left="-227" w:right="-227"/>
              <w:jc w:val="center"/>
            </w:pPr>
            <w:r w:rsidRPr="00565FAA">
              <w:t>На</w:t>
            </w:r>
            <w:r w:rsidRPr="00565FAA">
              <w:br/>
              <w:t>01.01.</w:t>
            </w:r>
            <w:r w:rsidRPr="00565FAA">
              <w:br/>
              <w:t>20__</w:t>
            </w:r>
          </w:p>
        </w:tc>
        <w:tc>
          <w:tcPr>
            <w:tcW w:w="7287" w:type="dxa"/>
            <w:gridSpan w:val="6"/>
            <w:tcBorders>
              <w:top w:val="single" w:sz="4" w:space="0" w:color="000000"/>
              <w:bottom w:val="single" w:sz="4" w:space="0" w:color="000000"/>
              <w:right w:val="single" w:sz="4" w:space="0" w:color="000000"/>
            </w:tcBorders>
            <w:shd w:val="clear" w:color="auto" w:fill="auto"/>
            <w:vAlign w:val="center"/>
          </w:tcPr>
          <w:p w14:paraId="3EEC98C0" w14:textId="77777777" w:rsidR="00396DE0" w:rsidRPr="00565FAA" w:rsidRDefault="00396DE0" w:rsidP="009B5341">
            <w:pPr>
              <w:spacing w:before="60" w:after="60"/>
              <w:jc w:val="center"/>
            </w:pPr>
            <w:r w:rsidRPr="00565FAA">
              <w:t>Результати ILAAP</w:t>
            </w:r>
          </w:p>
        </w:tc>
      </w:tr>
      <w:tr w:rsidR="00396DE0" w:rsidRPr="00565FAA" w14:paraId="5D57D4C7" w14:textId="77777777" w:rsidTr="00050160">
        <w:trPr>
          <w:trHeight w:val="280"/>
        </w:trPr>
        <w:tc>
          <w:tcPr>
            <w:tcW w:w="562" w:type="dxa"/>
            <w:gridSpan w:val="2"/>
            <w:vMerge/>
            <w:tcBorders>
              <w:left w:val="single" w:sz="4" w:space="0" w:color="000000"/>
              <w:right w:val="single" w:sz="4" w:space="0" w:color="000000"/>
            </w:tcBorders>
            <w:shd w:val="clear" w:color="auto" w:fill="auto"/>
          </w:tcPr>
          <w:p w14:paraId="23EE60FC" w14:textId="77777777" w:rsidR="00396DE0" w:rsidRPr="00565FAA" w:rsidRDefault="00396DE0" w:rsidP="009B5341">
            <w:pPr>
              <w:jc w:val="center"/>
            </w:pPr>
          </w:p>
        </w:tc>
        <w:tc>
          <w:tcPr>
            <w:tcW w:w="851" w:type="dxa"/>
            <w:vMerge/>
            <w:tcBorders>
              <w:left w:val="single" w:sz="4" w:space="0" w:color="000000"/>
              <w:right w:val="single" w:sz="4" w:space="0" w:color="000000"/>
            </w:tcBorders>
            <w:shd w:val="clear" w:color="auto" w:fill="auto"/>
          </w:tcPr>
          <w:p w14:paraId="0B0B6CD5" w14:textId="77777777" w:rsidR="00396DE0" w:rsidRPr="00565FAA" w:rsidRDefault="00396DE0" w:rsidP="009B5341"/>
        </w:tc>
        <w:tc>
          <w:tcPr>
            <w:tcW w:w="5947" w:type="dxa"/>
            <w:gridSpan w:val="2"/>
            <w:vMerge/>
            <w:tcBorders>
              <w:left w:val="single" w:sz="4" w:space="0" w:color="000000"/>
              <w:right w:val="single" w:sz="4" w:space="0" w:color="000000"/>
            </w:tcBorders>
            <w:shd w:val="clear" w:color="auto" w:fill="auto"/>
            <w:vAlign w:val="center"/>
          </w:tcPr>
          <w:p w14:paraId="505ACD38" w14:textId="77777777" w:rsidR="00396DE0" w:rsidRPr="00565FAA" w:rsidRDefault="00396DE0" w:rsidP="009B5341"/>
        </w:tc>
        <w:tc>
          <w:tcPr>
            <w:tcW w:w="686" w:type="dxa"/>
            <w:vMerge/>
            <w:tcBorders>
              <w:left w:val="single" w:sz="4" w:space="0" w:color="000000"/>
              <w:right w:val="single" w:sz="4" w:space="0" w:color="000000"/>
            </w:tcBorders>
            <w:shd w:val="clear" w:color="auto" w:fill="auto"/>
            <w:vAlign w:val="center"/>
          </w:tcPr>
          <w:p w14:paraId="467FACC5" w14:textId="77777777" w:rsidR="00396DE0" w:rsidRPr="00565FAA" w:rsidRDefault="00396DE0" w:rsidP="009B5341"/>
        </w:tc>
        <w:tc>
          <w:tcPr>
            <w:tcW w:w="2433" w:type="dxa"/>
            <w:gridSpan w:val="2"/>
            <w:tcBorders>
              <w:top w:val="single" w:sz="4" w:space="0" w:color="000000"/>
              <w:bottom w:val="single" w:sz="4" w:space="0" w:color="000000"/>
              <w:right w:val="single" w:sz="4" w:space="0" w:color="000000"/>
            </w:tcBorders>
            <w:shd w:val="clear" w:color="auto" w:fill="auto"/>
            <w:vAlign w:val="center"/>
          </w:tcPr>
          <w:p w14:paraId="2B13C9B9" w14:textId="77777777" w:rsidR="00396DE0" w:rsidRPr="00565FAA" w:rsidRDefault="00396DE0" w:rsidP="009B5341">
            <w:pPr>
              <w:jc w:val="center"/>
            </w:pPr>
            <w:r w:rsidRPr="00565FAA">
              <w:t>на 01.01.20___</w:t>
            </w:r>
          </w:p>
        </w:tc>
        <w:tc>
          <w:tcPr>
            <w:tcW w:w="2409" w:type="dxa"/>
            <w:gridSpan w:val="2"/>
            <w:tcBorders>
              <w:top w:val="single" w:sz="4" w:space="0" w:color="000000"/>
              <w:bottom w:val="single" w:sz="4" w:space="0" w:color="000000"/>
              <w:right w:val="single" w:sz="4" w:space="0" w:color="000000"/>
            </w:tcBorders>
            <w:shd w:val="clear" w:color="auto" w:fill="auto"/>
            <w:vAlign w:val="center"/>
          </w:tcPr>
          <w:p w14:paraId="312E94FA" w14:textId="77777777" w:rsidR="00396DE0" w:rsidRPr="00565FAA" w:rsidRDefault="00396DE0" w:rsidP="009B5341">
            <w:pPr>
              <w:jc w:val="center"/>
            </w:pPr>
            <w:r w:rsidRPr="00565FAA">
              <w:t>на 01.01.20___</w:t>
            </w:r>
          </w:p>
        </w:tc>
        <w:tc>
          <w:tcPr>
            <w:tcW w:w="2445" w:type="dxa"/>
            <w:gridSpan w:val="2"/>
            <w:tcBorders>
              <w:top w:val="single" w:sz="4" w:space="0" w:color="000000"/>
              <w:bottom w:val="single" w:sz="4" w:space="0" w:color="000000"/>
              <w:right w:val="single" w:sz="4" w:space="0" w:color="000000"/>
            </w:tcBorders>
            <w:shd w:val="clear" w:color="auto" w:fill="auto"/>
            <w:vAlign w:val="center"/>
          </w:tcPr>
          <w:p w14:paraId="6315FB55" w14:textId="77777777" w:rsidR="00396DE0" w:rsidRPr="00565FAA" w:rsidRDefault="00396DE0" w:rsidP="009B5341">
            <w:pPr>
              <w:jc w:val="center"/>
            </w:pPr>
            <w:r w:rsidRPr="00565FAA">
              <w:t>на 01.01.20___</w:t>
            </w:r>
          </w:p>
        </w:tc>
      </w:tr>
      <w:tr w:rsidR="00396DE0" w:rsidRPr="00565FAA" w14:paraId="3862A7B7" w14:textId="77777777" w:rsidTr="00050160">
        <w:trPr>
          <w:trHeight w:val="730"/>
        </w:trPr>
        <w:tc>
          <w:tcPr>
            <w:tcW w:w="562" w:type="dxa"/>
            <w:gridSpan w:val="2"/>
            <w:vMerge/>
            <w:tcBorders>
              <w:left w:val="single" w:sz="4" w:space="0" w:color="000000"/>
              <w:bottom w:val="single" w:sz="4" w:space="0" w:color="000000"/>
              <w:right w:val="single" w:sz="4" w:space="0" w:color="000000"/>
            </w:tcBorders>
            <w:shd w:val="clear" w:color="auto" w:fill="auto"/>
          </w:tcPr>
          <w:p w14:paraId="0D8ABB86" w14:textId="77777777" w:rsidR="00396DE0" w:rsidRPr="00565FAA" w:rsidRDefault="00396DE0" w:rsidP="009B5341">
            <w:pPr>
              <w:jc w:val="center"/>
            </w:pPr>
          </w:p>
        </w:tc>
        <w:tc>
          <w:tcPr>
            <w:tcW w:w="851" w:type="dxa"/>
            <w:vMerge/>
            <w:tcBorders>
              <w:left w:val="single" w:sz="4" w:space="0" w:color="000000"/>
              <w:bottom w:val="single" w:sz="4" w:space="0" w:color="000000"/>
              <w:right w:val="single" w:sz="4" w:space="0" w:color="000000"/>
            </w:tcBorders>
            <w:shd w:val="clear" w:color="auto" w:fill="auto"/>
          </w:tcPr>
          <w:p w14:paraId="1E48C65E" w14:textId="77777777" w:rsidR="00396DE0" w:rsidRPr="00565FAA" w:rsidRDefault="00396DE0" w:rsidP="009B5341"/>
        </w:tc>
        <w:tc>
          <w:tcPr>
            <w:tcW w:w="5947" w:type="dxa"/>
            <w:gridSpan w:val="2"/>
            <w:vMerge/>
            <w:tcBorders>
              <w:left w:val="single" w:sz="4" w:space="0" w:color="000000"/>
              <w:bottom w:val="single" w:sz="4" w:space="0" w:color="000000"/>
              <w:right w:val="single" w:sz="4" w:space="0" w:color="000000"/>
            </w:tcBorders>
            <w:shd w:val="clear" w:color="auto" w:fill="auto"/>
            <w:vAlign w:val="center"/>
          </w:tcPr>
          <w:p w14:paraId="68EED0F3" w14:textId="77777777" w:rsidR="00396DE0" w:rsidRPr="00565FAA" w:rsidRDefault="00396DE0" w:rsidP="009B5341"/>
        </w:tc>
        <w:tc>
          <w:tcPr>
            <w:tcW w:w="686" w:type="dxa"/>
            <w:vMerge/>
            <w:tcBorders>
              <w:left w:val="single" w:sz="4" w:space="0" w:color="000000"/>
              <w:bottom w:val="single" w:sz="4" w:space="0" w:color="000000"/>
              <w:right w:val="single" w:sz="4" w:space="0" w:color="000000"/>
            </w:tcBorders>
            <w:shd w:val="clear" w:color="auto" w:fill="auto"/>
            <w:vAlign w:val="center"/>
          </w:tcPr>
          <w:p w14:paraId="2CD2DB16" w14:textId="77777777" w:rsidR="00396DE0" w:rsidRPr="00565FAA" w:rsidRDefault="00396DE0" w:rsidP="009B5341"/>
        </w:tc>
        <w:tc>
          <w:tcPr>
            <w:tcW w:w="1157" w:type="dxa"/>
            <w:tcBorders>
              <w:top w:val="single" w:sz="4" w:space="0" w:color="000000"/>
              <w:bottom w:val="single" w:sz="4" w:space="0" w:color="000000"/>
              <w:right w:val="single" w:sz="4" w:space="0" w:color="000000"/>
            </w:tcBorders>
            <w:shd w:val="clear" w:color="auto" w:fill="auto"/>
            <w:vAlign w:val="center"/>
          </w:tcPr>
          <w:p w14:paraId="302BA88B" w14:textId="77777777" w:rsidR="00396DE0" w:rsidRPr="00565FAA" w:rsidRDefault="00396DE0" w:rsidP="009B5341">
            <w:pPr>
              <w:ind w:left="-113" w:right="-113"/>
              <w:jc w:val="center"/>
            </w:pPr>
            <w:r w:rsidRPr="00565FAA">
              <w:t>базовий сценарій</w:t>
            </w:r>
          </w:p>
        </w:tc>
        <w:tc>
          <w:tcPr>
            <w:tcW w:w="1276" w:type="dxa"/>
            <w:tcBorders>
              <w:top w:val="single" w:sz="4" w:space="0" w:color="000000"/>
              <w:bottom w:val="single" w:sz="4" w:space="0" w:color="000000"/>
              <w:right w:val="single" w:sz="4" w:space="0" w:color="000000"/>
            </w:tcBorders>
            <w:shd w:val="clear" w:color="auto" w:fill="auto"/>
            <w:vAlign w:val="center"/>
          </w:tcPr>
          <w:p w14:paraId="15EDB643" w14:textId="0CB3E678" w:rsidR="00396DE0" w:rsidRPr="00565FAA" w:rsidRDefault="00311853" w:rsidP="009B5341">
            <w:pPr>
              <w:ind w:left="-57" w:right="-57"/>
              <w:jc w:val="center"/>
            </w:pPr>
            <w:r>
              <w:t>несприя</w:t>
            </w:r>
            <w:r w:rsidR="00A733F1">
              <w:t>-</w:t>
            </w:r>
            <w:r>
              <w:t>т</w:t>
            </w:r>
            <w:r w:rsidR="00396DE0" w:rsidRPr="00565FAA">
              <w:t>ливий сценарій</w:t>
            </w:r>
          </w:p>
        </w:tc>
        <w:tc>
          <w:tcPr>
            <w:tcW w:w="1111" w:type="dxa"/>
            <w:tcBorders>
              <w:top w:val="single" w:sz="4" w:space="0" w:color="000000"/>
              <w:bottom w:val="single" w:sz="4" w:space="0" w:color="000000"/>
              <w:right w:val="single" w:sz="4" w:space="0" w:color="000000"/>
            </w:tcBorders>
            <w:shd w:val="clear" w:color="auto" w:fill="auto"/>
            <w:vAlign w:val="center"/>
          </w:tcPr>
          <w:p w14:paraId="5B75F30B" w14:textId="77777777" w:rsidR="00396DE0" w:rsidRPr="00565FAA" w:rsidRDefault="00396DE0" w:rsidP="009B5341">
            <w:pPr>
              <w:ind w:left="-113" w:right="-113"/>
              <w:jc w:val="center"/>
            </w:pPr>
            <w:r w:rsidRPr="00565FAA">
              <w:t>базовий сценарій</w:t>
            </w:r>
          </w:p>
        </w:tc>
        <w:tc>
          <w:tcPr>
            <w:tcW w:w="1298" w:type="dxa"/>
            <w:tcBorders>
              <w:top w:val="single" w:sz="4" w:space="0" w:color="000000"/>
              <w:bottom w:val="single" w:sz="4" w:space="0" w:color="000000"/>
              <w:right w:val="single" w:sz="4" w:space="0" w:color="000000"/>
            </w:tcBorders>
            <w:shd w:val="clear" w:color="auto" w:fill="auto"/>
            <w:vAlign w:val="center"/>
          </w:tcPr>
          <w:p w14:paraId="56F9CA81" w14:textId="77777777" w:rsidR="00396DE0" w:rsidRPr="00565FAA" w:rsidRDefault="00396DE0" w:rsidP="009B5341">
            <w:pPr>
              <w:ind w:left="-57" w:right="-57"/>
              <w:jc w:val="center"/>
            </w:pPr>
            <w:proofErr w:type="spellStart"/>
            <w:r w:rsidRPr="00565FAA">
              <w:t>несприят-ливий</w:t>
            </w:r>
            <w:proofErr w:type="spellEnd"/>
            <w:r w:rsidRPr="00565FAA">
              <w:t xml:space="preserve"> сценарій</w:t>
            </w:r>
          </w:p>
        </w:tc>
        <w:tc>
          <w:tcPr>
            <w:tcW w:w="1137" w:type="dxa"/>
            <w:tcBorders>
              <w:top w:val="single" w:sz="4" w:space="0" w:color="000000"/>
              <w:bottom w:val="single" w:sz="4" w:space="0" w:color="000000"/>
              <w:right w:val="single" w:sz="4" w:space="0" w:color="000000"/>
            </w:tcBorders>
            <w:shd w:val="clear" w:color="auto" w:fill="auto"/>
            <w:vAlign w:val="center"/>
          </w:tcPr>
          <w:p w14:paraId="47DAAB14" w14:textId="77777777" w:rsidR="00396DE0" w:rsidRPr="00565FAA" w:rsidRDefault="00396DE0" w:rsidP="009B5341">
            <w:pPr>
              <w:ind w:left="-113" w:right="-113"/>
              <w:jc w:val="center"/>
            </w:pPr>
            <w:r w:rsidRPr="00565FAA">
              <w:t>базовий сценарій</w:t>
            </w:r>
          </w:p>
        </w:tc>
        <w:tc>
          <w:tcPr>
            <w:tcW w:w="1308" w:type="dxa"/>
            <w:tcBorders>
              <w:top w:val="single" w:sz="4" w:space="0" w:color="000000"/>
              <w:bottom w:val="single" w:sz="4" w:space="0" w:color="000000"/>
              <w:right w:val="single" w:sz="4" w:space="0" w:color="000000"/>
            </w:tcBorders>
            <w:shd w:val="clear" w:color="auto" w:fill="auto"/>
            <w:vAlign w:val="center"/>
          </w:tcPr>
          <w:p w14:paraId="2AE1ED8B" w14:textId="77777777" w:rsidR="00396DE0" w:rsidRPr="00565FAA" w:rsidRDefault="00396DE0" w:rsidP="009B5341">
            <w:pPr>
              <w:ind w:left="-57" w:right="-57"/>
              <w:jc w:val="center"/>
            </w:pPr>
            <w:proofErr w:type="spellStart"/>
            <w:r w:rsidRPr="00565FAA">
              <w:t>несприят-ливий</w:t>
            </w:r>
            <w:proofErr w:type="spellEnd"/>
            <w:r w:rsidRPr="00565FAA">
              <w:t xml:space="preserve"> сценарій</w:t>
            </w:r>
          </w:p>
        </w:tc>
      </w:tr>
      <w:tr w:rsidR="00396DE0" w:rsidRPr="00565FAA" w14:paraId="11BAD90D" w14:textId="77777777" w:rsidTr="00050160">
        <w:trPr>
          <w:trHeight w:val="360"/>
        </w:trPr>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14:paraId="3BC8F67D" w14:textId="77777777" w:rsidR="00396DE0" w:rsidRPr="00565FAA" w:rsidRDefault="00396DE0" w:rsidP="009B5341">
            <w:pPr>
              <w:jc w:val="center"/>
            </w:pPr>
            <w:r w:rsidRPr="00565FAA">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A4FF8A" w14:textId="77777777" w:rsidR="00396DE0" w:rsidRPr="00565FAA" w:rsidRDefault="00396DE0" w:rsidP="009B5341">
            <w:pPr>
              <w:jc w:val="center"/>
            </w:pPr>
            <w:r w:rsidRPr="00565FAA">
              <w:t>2</w:t>
            </w:r>
          </w:p>
        </w:tc>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C1AB5" w14:textId="77777777" w:rsidR="00396DE0" w:rsidRPr="00565FAA" w:rsidRDefault="00396DE0" w:rsidP="009B5341">
            <w:pPr>
              <w:jc w:val="center"/>
            </w:pPr>
            <w:r w:rsidRPr="00565FAA">
              <w:t>3</w:t>
            </w:r>
          </w:p>
        </w:tc>
        <w:tc>
          <w:tcPr>
            <w:tcW w:w="693" w:type="dxa"/>
            <w:gridSpan w:val="2"/>
            <w:tcBorders>
              <w:top w:val="single" w:sz="4" w:space="0" w:color="000000"/>
              <w:bottom w:val="single" w:sz="4" w:space="0" w:color="000000"/>
              <w:right w:val="single" w:sz="4" w:space="0" w:color="000000"/>
            </w:tcBorders>
            <w:shd w:val="clear" w:color="auto" w:fill="auto"/>
            <w:vAlign w:val="center"/>
          </w:tcPr>
          <w:p w14:paraId="1FC9A032" w14:textId="77777777" w:rsidR="00396DE0" w:rsidRPr="00565FAA" w:rsidRDefault="00396DE0" w:rsidP="009B5341">
            <w:pPr>
              <w:jc w:val="center"/>
            </w:pPr>
            <w:r w:rsidRPr="00565FAA">
              <w:t>4</w:t>
            </w:r>
          </w:p>
        </w:tc>
        <w:tc>
          <w:tcPr>
            <w:tcW w:w="1157" w:type="dxa"/>
            <w:tcBorders>
              <w:top w:val="single" w:sz="4" w:space="0" w:color="000000"/>
              <w:bottom w:val="single" w:sz="4" w:space="0" w:color="000000"/>
              <w:right w:val="single" w:sz="4" w:space="0" w:color="000000"/>
            </w:tcBorders>
            <w:shd w:val="clear" w:color="auto" w:fill="auto"/>
            <w:vAlign w:val="center"/>
          </w:tcPr>
          <w:p w14:paraId="15135D2F" w14:textId="77777777" w:rsidR="00396DE0" w:rsidRPr="00565FAA" w:rsidRDefault="00396DE0" w:rsidP="009B5341">
            <w:pPr>
              <w:jc w:val="center"/>
            </w:pPr>
            <w:r w:rsidRPr="00565FAA">
              <w:t>5</w:t>
            </w:r>
          </w:p>
        </w:tc>
        <w:tc>
          <w:tcPr>
            <w:tcW w:w="1276" w:type="dxa"/>
            <w:tcBorders>
              <w:top w:val="single" w:sz="4" w:space="0" w:color="000000"/>
              <w:bottom w:val="single" w:sz="4" w:space="0" w:color="000000"/>
              <w:right w:val="single" w:sz="4" w:space="0" w:color="000000"/>
            </w:tcBorders>
            <w:shd w:val="clear" w:color="auto" w:fill="auto"/>
            <w:vAlign w:val="center"/>
          </w:tcPr>
          <w:p w14:paraId="22EA7E56" w14:textId="77777777" w:rsidR="00396DE0" w:rsidRPr="00565FAA" w:rsidRDefault="00396DE0" w:rsidP="009B5341">
            <w:pPr>
              <w:jc w:val="center"/>
            </w:pPr>
            <w:r w:rsidRPr="00565FAA">
              <w:t>6</w:t>
            </w:r>
          </w:p>
        </w:tc>
        <w:tc>
          <w:tcPr>
            <w:tcW w:w="1111" w:type="dxa"/>
            <w:tcBorders>
              <w:top w:val="single" w:sz="4" w:space="0" w:color="000000"/>
              <w:bottom w:val="single" w:sz="4" w:space="0" w:color="000000"/>
              <w:right w:val="single" w:sz="4" w:space="0" w:color="000000"/>
            </w:tcBorders>
            <w:shd w:val="clear" w:color="auto" w:fill="auto"/>
            <w:vAlign w:val="center"/>
          </w:tcPr>
          <w:p w14:paraId="18FD6DCE" w14:textId="77777777" w:rsidR="00396DE0" w:rsidRPr="00565FAA" w:rsidRDefault="00396DE0" w:rsidP="009B5341">
            <w:pPr>
              <w:jc w:val="center"/>
            </w:pPr>
            <w:r w:rsidRPr="00565FAA">
              <w:t>7</w:t>
            </w:r>
          </w:p>
        </w:tc>
        <w:tc>
          <w:tcPr>
            <w:tcW w:w="1298" w:type="dxa"/>
            <w:tcBorders>
              <w:top w:val="single" w:sz="4" w:space="0" w:color="000000"/>
              <w:bottom w:val="single" w:sz="4" w:space="0" w:color="000000"/>
              <w:right w:val="single" w:sz="4" w:space="0" w:color="000000"/>
            </w:tcBorders>
            <w:shd w:val="clear" w:color="auto" w:fill="auto"/>
            <w:vAlign w:val="center"/>
          </w:tcPr>
          <w:p w14:paraId="4D6A3307" w14:textId="77777777" w:rsidR="00396DE0" w:rsidRPr="00565FAA" w:rsidRDefault="00396DE0" w:rsidP="009B5341">
            <w:pPr>
              <w:jc w:val="center"/>
            </w:pPr>
            <w:r w:rsidRPr="00565FAA">
              <w:t>8</w:t>
            </w:r>
          </w:p>
        </w:tc>
        <w:tc>
          <w:tcPr>
            <w:tcW w:w="1137" w:type="dxa"/>
            <w:tcBorders>
              <w:top w:val="single" w:sz="4" w:space="0" w:color="000000"/>
              <w:bottom w:val="single" w:sz="4" w:space="0" w:color="000000"/>
              <w:right w:val="single" w:sz="4" w:space="0" w:color="000000"/>
            </w:tcBorders>
            <w:shd w:val="clear" w:color="auto" w:fill="auto"/>
            <w:vAlign w:val="center"/>
          </w:tcPr>
          <w:p w14:paraId="7E348069" w14:textId="77777777" w:rsidR="00396DE0" w:rsidRPr="00565FAA" w:rsidRDefault="00396DE0" w:rsidP="009B5341">
            <w:pPr>
              <w:jc w:val="center"/>
            </w:pPr>
            <w:r w:rsidRPr="00565FAA">
              <w:t>9</w:t>
            </w:r>
          </w:p>
        </w:tc>
        <w:tc>
          <w:tcPr>
            <w:tcW w:w="1308" w:type="dxa"/>
            <w:tcBorders>
              <w:top w:val="single" w:sz="4" w:space="0" w:color="000000"/>
              <w:bottom w:val="single" w:sz="4" w:space="0" w:color="000000"/>
              <w:right w:val="single" w:sz="4" w:space="0" w:color="000000"/>
            </w:tcBorders>
            <w:shd w:val="clear" w:color="auto" w:fill="auto"/>
            <w:vAlign w:val="center"/>
          </w:tcPr>
          <w:p w14:paraId="3F2F396D" w14:textId="77777777" w:rsidR="00396DE0" w:rsidRPr="00565FAA" w:rsidRDefault="00396DE0" w:rsidP="009B5341">
            <w:pPr>
              <w:jc w:val="center"/>
            </w:pPr>
            <w:r w:rsidRPr="00565FAA">
              <w:t>10</w:t>
            </w:r>
          </w:p>
        </w:tc>
      </w:tr>
      <w:tr w:rsidR="00396DE0" w:rsidRPr="00565FAA" w14:paraId="2251FE0D" w14:textId="77777777" w:rsidTr="00050160">
        <w:trPr>
          <w:trHeight w:val="360"/>
        </w:trPr>
        <w:tc>
          <w:tcPr>
            <w:tcW w:w="562" w:type="dxa"/>
            <w:gridSpan w:val="2"/>
            <w:tcBorders>
              <w:left w:val="single" w:sz="4" w:space="0" w:color="000000"/>
              <w:bottom w:val="single" w:sz="4" w:space="0" w:color="000000"/>
              <w:right w:val="single" w:sz="4" w:space="0" w:color="000000"/>
            </w:tcBorders>
            <w:shd w:val="clear" w:color="auto" w:fill="FFFFFF" w:themeFill="background1"/>
          </w:tcPr>
          <w:p w14:paraId="48258204" w14:textId="77777777" w:rsidR="00396DE0" w:rsidRPr="00565FAA" w:rsidRDefault="00396DE0" w:rsidP="009B5341">
            <w:pPr>
              <w:jc w:val="center"/>
            </w:pPr>
            <w:r w:rsidRPr="00565FAA">
              <w:t>1</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61F9B96E" w14:textId="77777777" w:rsidR="00396DE0" w:rsidRPr="00565FAA" w:rsidRDefault="00396DE0" w:rsidP="009B5341">
            <w:pPr>
              <w:jc w:val="center"/>
            </w:pPr>
            <w:r w:rsidRPr="00565FAA">
              <w:t>1</w:t>
            </w:r>
          </w:p>
        </w:tc>
        <w:tc>
          <w:tcPr>
            <w:tcW w:w="13920" w:type="dxa"/>
            <w:gridSpan w:val="9"/>
            <w:tcBorders>
              <w:left w:val="single" w:sz="4" w:space="0" w:color="000000"/>
              <w:bottom w:val="single" w:sz="4" w:space="0" w:color="000000"/>
              <w:right w:val="single" w:sz="4" w:space="0" w:color="000000"/>
            </w:tcBorders>
            <w:shd w:val="clear" w:color="auto" w:fill="FFFFFF" w:themeFill="background1"/>
            <w:vAlign w:val="center"/>
          </w:tcPr>
          <w:p w14:paraId="444B92F8" w14:textId="77777777" w:rsidR="00396DE0" w:rsidRPr="00565FAA" w:rsidRDefault="00396DE0" w:rsidP="009B5341">
            <w:pPr>
              <w:ind w:left="-57"/>
              <w:rPr>
                <w:bCs/>
              </w:rPr>
            </w:pPr>
            <w:r w:rsidRPr="00565FAA">
              <w:rPr>
                <w:bCs/>
              </w:rPr>
              <w:t>Регуляторні та наглядові вимоги щодо достатності ліквідності, встановлені Національним банком, %:</w:t>
            </w:r>
          </w:p>
        </w:tc>
      </w:tr>
      <w:tr w:rsidR="00856D7E" w:rsidRPr="00565FAA" w14:paraId="6E324CA1" w14:textId="77777777" w:rsidTr="00050160">
        <w:trPr>
          <w:trHeight w:val="102"/>
        </w:trPr>
        <w:tc>
          <w:tcPr>
            <w:tcW w:w="562" w:type="dxa"/>
            <w:gridSpan w:val="2"/>
            <w:tcBorders>
              <w:left w:val="single" w:sz="4" w:space="0" w:color="000000"/>
              <w:bottom w:val="single" w:sz="4" w:space="0" w:color="000000"/>
              <w:right w:val="single" w:sz="4" w:space="0" w:color="000000"/>
            </w:tcBorders>
            <w:shd w:val="clear" w:color="auto" w:fill="FFFFFF" w:themeFill="background1"/>
            <w:vAlign w:val="center"/>
          </w:tcPr>
          <w:p w14:paraId="3E8BF6EA" w14:textId="77777777" w:rsidR="00856D7E" w:rsidRPr="00565FAA" w:rsidRDefault="00856D7E" w:rsidP="009B5341">
            <w:pPr>
              <w:jc w:val="center"/>
              <w:textAlignment w:val="bottom"/>
            </w:pPr>
            <w:r w:rsidRPr="00565FAA">
              <w:rPr>
                <w:rFonts w:eastAsia="SimSun"/>
                <w:lang w:eastAsia="zh-CN" w:bidi="ar"/>
              </w:rPr>
              <w:t>2</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1A8C3FB5" w14:textId="77777777" w:rsidR="00856D7E" w:rsidRPr="00565FAA" w:rsidRDefault="00856D7E" w:rsidP="009B5341">
            <w:pPr>
              <w:jc w:val="center"/>
              <w:rPr>
                <w:iCs/>
              </w:rPr>
            </w:pPr>
            <w:r w:rsidRPr="00565FAA">
              <w:rPr>
                <w:iCs/>
              </w:rPr>
              <w:t>1.1</w:t>
            </w:r>
          </w:p>
        </w:tc>
        <w:tc>
          <w:tcPr>
            <w:tcW w:w="5940" w:type="dxa"/>
            <w:tcBorders>
              <w:left w:val="single" w:sz="4" w:space="0" w:color="000000"/>
              <w:bottom w:val="single" w:sz="4" w:space="0" w:color="000000"/>
              <w:right w:val="single" w:sz="4" w:space="0" w:color="000000"/>
            </w:tcBorders>
            <w:shd w:val="clear" w:color="auto" w:fill="auto"/>
            <w:vAlign w:val="center"/>
          </w:tcPr>
          <w:p w14:paraId="1174CE49" w14:textId="77777777" w:rsidR="00856D7E" w:rsidRPr="00565FAA" w:rsidRDefault="00856D7E" w:rsidP="009B5341">
            <w:pPr>
              <w:ind w:left="-57"/>
              <w:rPr>
                <w:iCs/>
              </w:rPr>
            </w:pPr>
            <w:r w:rsidRPr="00565FAA">
              <w:rPr>
                <w:iCs/>
              </w:rPr>
              <w:t>мінімальне значення нормативу NSFR</w:t>
            </w:r>
            <w:r w:rsidRPr="00565FAA">
              <w:rPr>
                <w:iCs/>
              </w:rPr>
              <w:br/>
              <w:t xml:space="preserve">(у разі </w:t>
            </w:r>
            <w:proofErr w:type="spellStart"/>
            <w:r w:rsidRPr="00565FAA">
              <w:rPr>
                <w:iCs/>
              </w:rPr>
              <w:t>невстановлення</w:t>
            </w:r>
            <w:proofErr w:type="spellEnd"/>
            <w:r w:rsidRPr="00565FAA">
              <w:rPr>
                <w:iCs/>
              </w:rPr>
              <w:t xml:space="preserve"> банку підвищеного значення)</w:t>
            </w:r>
          </w:p>
        </w:tc>
        <w:tc>
          <w:tcPr>
            <w:tcW w:w="693" w:type="dxa"/>
            <w:gridSpan w:val="2"/>
            <w:tcBorders>
              <w:bottom w:val="single" w:sz="4" w:space="0" w:color="000000"/>
              <w:right w:val="single" w:sz="4" w:space="0" w:color="000000"/>
            </w:tcBorders>
            <w:shd w:val="clear" w:color="auto" w:fill="auto"/>
            <w:vAlign w:val="center"/>
          </w:tcPr>
          <w:p w14:paraId="491A7D97" w14:textId="77777777" w:rsidR="00856D7E" w:rsidRPr="00565FAA" w:rsidRDefault="00856D7E" w:rsidP="009B5341">
            <w:pPr>
              <w:jc w:val="center"/>
            </w:pPr>
          </w:p>
        </w:tc>
        <w:tc>
          <w:tcPr>
            <w:tcW w:w="2433" w:type="dxa"/>
            <w:gridSpan w:val="2"/>
            <w:tcBorders>
              <w:top w:val="single" w:sz="4" w:space="0" w:color="000000"/>
              <w:bottom w:val="single" w:sz="4" w:space="0" w:color="000000"/>
              <w:right w:val="single" w:sz="4" w:space="0" w:color="000000"/>
            </w:tcBorders>
            <w:shd w:val="clear" w:color="auto" w:fill="auto"/>
            <w:vAlign w:val="center"/>
          </w:tcPr>
          <w:p w14:paraId="752473D6" w14:textId="77777777" w:rsidR="00856D7E" w:rsidRPr="00565FAA" w:rsidRDefault="00856D7E" w:rsidP="009B5341">
            <w:pPr>
              <w:jc w:val="center"/>
            </w:pPr>
          </w:p>
        </w:tc>
        <w:tc>
          <w:tcPr>
            <w:tcW w:w="2409" w:type="dxa"/>
            <w:gridSpan w:val="2"/>
            <w:tcBorders>
              <w:top w:val="single" w:sz="4" w:space="0" w:color="000000"/>
              <w:bottom w:val="single" w:sz="4" w:space="0" w:color="000000"/>
              <w:right w:val="single" w:sz="4" w:space="0" w:color="000000"/>
            </w:tcBorders>
            <w:shd w:val="clear" w:color="auto" w:fill="auto"/>
            <w:vAlign w:val="center"/>
          </w:tcPr>
          <w:p w14:paraId="5B8FE298" w14:textId="77777777" w:rsidR="00856D7E" w:rsidRPr="00565FAA" w:rsidRDefault="00856D7E" w:rsidP="009B5341">
            <w:pPr>
              <w:jc w:val="center"/>
            </w:pPr>
          </w:p>
        </w:tc>
        <w:tc>
          <w:tcPr>
            <w:tcW w:w="2445" w:type="dxa"/>
            <w:gridSpan w:val="2"/>
            <w:tcBorders>
              <w:top w:val="single" w:sz="4" w:space="0" w:color="000000"/>
              <w:bottom w:val="single" w:sz="4" w:space="0" w:color="000000"/>
              <w:right w:val="single" w:sz="4" w:space="0" w:color="000000"/>
            </w:tcBorders>
            <w:shd w:val="clear" w:color="auto" w:fill="auto"/>
            <w:vAlign w:val="center"/>
          </w:tcPr>
          <w:p w14:paraId="7BE7298F" w14:textId="77777777" w:rsidR="00856D7E" w:rsidRPr="00565FAA" w:rsidRDefault="00856D7E" w:rsidP="009B5341">
            <w:pPr>
              <w:jc w:val="center"/>
            </w:pPr>
          </w:p>
        </w:tc>
      </w:tr>
      <w:tr w:rsidR="00856D7E" w:rsidRPr="00565FAA" w14:paraId="7367B6DC" w14:textId="77777777" w:rsidTr="000F13DD">
        <w:trPr>
          <w:trHeight w:val="102"/>
        </w:trPr>
        <w:tc>
          <w:tcPr>
            <w:tcW w:w="545" w:type="dxa"/>
            <w:tcBorders>
              <w:left w:val="single" w:sz="4" w:space="0" w:color="000000"/>
              <w:bottom w:val="single" w:sz="4" w:space="0" w:color="auto"/>
              <w:right w:val="single" w:sz="4" w:space="0" w:color="000000"/>
            </w:tcBorders>
            <w:shd w:val="clear" w:color="auto" w:fill="FFFFFF" w:themeFill="background1"/>
            <w:vAlign w:val="center"/>
          </w:tcPr>
          <w:p w14:paraId="1AB2BC18" w14:textId="77777777" w:rsidR="00856D7E" w:rsidRPr="00565FAA" w:rsidRDefault="00856D7E" w:rsidP="009B5341">
            <w:pPr>
              <w:jc w:val="center"/>
              <w:textAlignment w:val="bottom"/>
            </w:pPr>
            <w:r w:rsidRPr="00565FAA">
              <w:rPr>
                <w:rFonts w:eastAsia="SimSun"/>
                <w:lang w:eastAsia="zh-CN" w:bidi="ar"/>
              </w:rPr>
              <w:t>3</w:t>
            </w:r>
          </w:p>
        </w:tc>
        <w:tc>
          <w:tcPr>
            <w:tcW w:w="868" w:type="dxa"/>
            <w:gridSpan w:val="2"/>
            <w:tcBorders>
              <w:left w:val="single" w:sz="4" w:space="0" w:color="000000"/>
              <w:bottom w:val="single" w:sz="4" w:space="0" w:color="auto"/>
              <w:right w:val="single" w:sz="4" w:space="0" w:color="000000"/>
            </w:tcBorders>
            <w:shd w:val="clear" w:color="auto" w:fill="FFFFFF" w:themeFill="background1"/>
            <w:vAlign w:val="center"/>
          </w:tcPr>
          <w:p w14:paraId="55E6A515" w14:textId="77777777" w:rsidR="00856D7E" w:rsidRPr="00565FAA" w:rsidRDefault="00856D7E" w:rsidP="009B5341">
            <w:pPr>
              <w:jc w:val="center"/>
              <w:rPr>
                <w:iCs/>
              </w:rPr>
            </w:pPr>
            <w:r w:rsidRPr="00565FAA">
              <w:rPr>
                <w:iCs/>
              </w:rPr>
              <w:t>1.2</w:t>
            </w:r>
          </w:p>
        </w:tc>
        <w:tc>
          <w:tcPr>
            <w:tcW w:w="5940" w:type="dxa"/>
            <w:tcBorders>
              <w:left w:val="single" w:sz="4" w:space="0" w:color="000000"/>
              <w:bottom w:val="single" w:sz="4" w:space="0" w:color="auto"/>
              <w:right w:val="single" w:sz="4" w:space="0" w:color="000000"/>
            </w:tcBorders>
            <w:shd w:val="clear" w:color="auto" w:fill="auto"/>
            <w:vAlign w:val="center"/>
          </w:tcPr>
          <w:p w14:paraId="0C57F198" w14:textId="54F0510F" w:rsidR="00856D7E" w:rsidRPr="00565FAA" w:rsidRDefault="00856D7E" w:rsidP="009B5341">
            <w:pPr>
              <w:ind w:left="-57"/>
              <w:rPr>
                <w:iCs/>
              </w:rPr>
            </w:pPr>
            <w:r w:rsidRPr="00565FAA">
              <w:rPr>
                <w:iCs/>
              </w:rPr>
              <w:t>підвищене значення нормативу NSFR,</w:t>
            </w:r>
            <w:r w:rsidRPr="00565FAA">
              <w:rPr>
                <w:iCs/>
              </w:rPr>
              <w:br/>
              <w:t>встановлене банку</w:t>
            </w:r>
          </w:p>
        </w:tc>
        <w:tc>
          <w:tcPr>
            <w:tcW w:w="693" w:type="dxa"/>
            <w:gridSpan w:val="2"/>
            <w:tcBorders>
              <w:bottom w:val="single" w:sz="4" w:space="0" w:color="auto"/>
              <w:right w:val="single" w:sz="4" w:space="0" w:color="000000"/>
            </w:tcBorders>
            <w:shd w:val="clear" w:color="auto" w:fill="auto"/>
            <w:vAlign w:val="center"/>
          </w:tcPr>
          <w:p w14:paraId="24DC1B54" w14:textId="77777777" w:rsidR="00856D7E" w:rsidRPr="00565FAA" w:rsidRDefault="00856D7E" w:rsidP="009B5341">
            <w:pPr>
              <w:jc w:val="center"/>
            </w:pPr>
          </w:p>
        </w:tc>
        <w:tc>
          <w:tcPr>
            <w:tcW w:w="2433" w:type="dxa"/>
            <w:gridSpan w:val="2"/>
            <w:tcBorders>
              <w:top w:val="single" w:sz="4" w:space="0" w:color="000000"/>
              <w:bottom w:val="single" w:sz="4" w:space="0" w:color="auto"/>
              <w:right w:val="single" w:sz="4" w:space="0" w:color="000000"/>
            </w:tcBorders>
            <w:shd w:val="clear" w:color="auto" w:fill="auto"/>
            <w:vAlign w:val="center"/>
          </w:tcPr>
          <w:p w14:paraId="4C2360FC" w14:textId="77777777" w:rsidR="00856D7E" w:rsidRPr="00565FAA" w:rsidRDefault="00856D7E" w:rsidP="009B5341">
            <w:pPr>
              <w:jc w:val="center"/>
            </w:pPr>
          </w:p>
        </w:tc>
        <w:tc>
          <w:tcPr>
            <w:tcW w:w="2409" w:type="dxa"/>
            <w:gridSpan w:val="2"/>
            <w:tcBorders>
              <w:top w:val="single" w:sz="4" w:space="0" w:color="000000"/>
              <w:bottom w:val="single" w:sz="4" w:space="0" w:color="auto"/>
              <w:right w:val="single" w:sz="4" w:space="0" w:color="000000"/>
            </w:tcBorders>
            <w:shd w:val="clear" w:color="auto" w:fill="auto"/>
            <w:vAlign w:val="center"/>
          </w:tcPr>
          <w:p w14:paraId="06EB9FB3" w14:textId="77777777" w:rsidR="00856D7E" w:rsidRPr="00565FAA" w:rsidRDefault="00856D7E" w:rsidP="009B5341">
            <w:pPr>
              <w:jc w:val="center"/>
            </w:pPr>
          </w:p>
        </w:tc>
        <w:tc>
          <w:tcPr>
            <w:tcW w:w="2445" w:type="dxa"/>
            <w:gridSpan w:val="2"/>
            <w:tcBorders>
              <w:top w:val="single" w:sz="4" w:space="0" w:color="000000"/>
              <w:bottom w:val="single" w:sz="4" w:space="0" w:color="auto"/>
              <w:right w:val="single" w:sz="4" w:space="0" w:color="000000"/>
            </w:tcBorders>
            <w:shd w:val="clear" w:color="auto" w:fill="auto"/>
            <w:vAlign w:val="center"/>
          </w:tcPr>
          <w:p w14:paraId="5A471118" w14:textId="77777777" w:rsidR="00856D7E" w:rsidRPr="00565FAA" w:rsidRDefault="00856D7E" w:rsidP="009B5341">
            <w:pPr>
              <w:jc w:val="center"/>
            </w:pPr>
          </w:p>
        </w:tc>
      </w:tr>
      <w:tr w:rsidR="000F13DD" w:rsidRPr="00565FAA" w14:paraId="5F5CA5E2" w14:textId="77777777" w:rsidTr="00EC2148">
        <w:trPr>
          <w:trHeight w:val="360"/>
        </w:trPr>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14:paraId="622B4D97" w14:textId="77777777" w:rsidR="000F13DD" w:rsidRPr="00565FAA" w:rsidRDefault="000F13DD" w:rsidP="00EC2148">
            <w:pPr>
              <w:jc w:val="center"/>
            </w:pPr>
            <w:r w:rsidRPr="00565FAA">
              <w:lastRenderedPageBreak/>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4C775E" w14:textId="77777777" w:rsidR="000F13DD" w:rsidRPr="00565FAA" w:rsidRDefault="000F13DD" w:rsidP="00EC2148">
            <w:pPr>
              <w:jc w:val="center"/>
            </w:pPr>
            <w:r w:rsidRPr="00565FAA">
              <w:t>2</w:t>
            </w:r>
          </w:p>
        </w:tc>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C1F00" w14:textId="77777777" w:rsidR="000F13DD" w:rsidRPr="00565FAA" w:rsidRDefault="000F13DD" w:rsidP="00EC2148">
            <w:pPr>
              <w:jc w:val="center"/>
            </w:pPr>
            <w:r w:rsidRPr="00565FAA">
              <w:t>3</w:t>
            </w:r>
          </w:p>
        </w:tc>
        <w:tc>
          <w:tcPr>
            <w:tcW w:w="693" w:type="dxa"/>
            <w:gridSpan w:val="2"/>
            <w:tcBorders>
              <w:top w:val="single" w:sz="4" w:space="0" w:color="000000"/>
              <w:bottom w:val="single" w:sz="4" w:space="0" w:color="000000"/>
              <w:right w:val="single" w:sz="4" w:space="0" w:color="000000"/>
            </w:tcBorders>
            <w:shd w:val="clear" w:color="auto" w:fill="auto"/>
            <w:vAlign w:val="center"/>
          </w:tcPr>
          <w:p w14:paraId="2C8E1247" w14:textId="77777777" w:rsidR="000F13DD" w:rsidRPr="00565FAA" w:rsidRDefault="000F13DD" w:rsidP="00EC2148">
            <w:pPr>
              <w:jc w:val="center"/>
            </w:pPr>
            <w:r w:rsidRPr="00565FAA">
              <w:t>4</w:t>
            </w:r>
          </w:p>
        </w:tc>
        <w:tc>
          <w:tcPr>
            <w:tcW w:w="1157" w:type="dxa"/>
            <w:tcBorders>
              <w:top w:val="single" w:sz="4" w:space="0" w:color="000000"/>
              <w:bottom w:val="single" w:sz="4" w:space="0" w:color="000000"/>
              <w:right w:val="single" w:sz="4" w:space="0" w:color="000000"/>
            </w:tcBorders>
            <w:shd w:val="clear" w:color="auto" w:fill="auto"/>
            <w:vAlign w:val="center"/>
          </w:tcPr>
          <w:p w14:paraId="615FE803" w14:textId="77777777" w:rsidR="000F13DD" w:rsidRPr="00565FAA" w:rsidRDefault="000F13DD" w:rsidP="00EC2148">
            <w:pPr>
              <w:jc w:val="center"/>
            </w:pPr>
            <w:r w:rsidRPr="00565FAA">
              <w:t>5</w:t>
            </w:r>
          </w:p>
        </w:tc>
        <w:tc>
          <w:tcPr>
            <w:tcW w:w="1276" w:type="dxa"/>
            <w:tcBorders>
              <w:top w:val="single" w:sz="4" w:space="0" w:color="000000"/>
              <w:bottom w:val="single" w:sz="4" w:space="0" w:color="000000"/>
              <w:right w:val="single" w:sz="4" w:space="0" w:color="000000"/>
            </w:tcBorders>
            <w:shd w:val="clear" w:color="auto" w:fill="auto"/>
            <w:vAlign w:val="center"/>
          </w:tcPr>
          <w:p w14:paraId="37549A1A" w14:textId="77777777" w:rsidR="000F13DD" w:rsidRPr="00565FAA" w:rsidRDefault="000F13DD" w:rsidP="00EC2148">
            <w:pPr>
              <w:jc w:val="center"/>
            </w:pPr>
            <w:r w:rsidRPr="00565FAA">
              <w:t>6</w:t>
            </w:r>
          </w:p>
        </w:tc>
        <w:tc>
          <w:tcPr>
            <w:tcW w:w="1111" w:type="dxa"/>
            <w:tcBorders>
              <w:top w:val="single" w:sz="4" w:space="0" w:color="000000"/>
              <w:bottom w:val="single" w:sz="4" w:space="0" w:color="000000"/>
              <w:right w:val="single" w:sz="4" w:space="0" w:color="000000"/>
            </w:tcBorders>
            <w:shd w:val="clear" w:color="auto" w:fill="auto"/>
            <w:vAlign w:val="center"/>
          </w:tcPr>
          <w:p w14:paraId="43A89736" w14:textId="77777777" w:rsidR="000F13DD" w:rsidRPr="00565FAA" w:rsidRDefault="000F13DD" w:rsidP="00EC2148">
            <w:pPr>
              <w:jc w:val="center"/>
            </w:pPr>
            <w:r w:rsidRPr="00565FAA">
              <w:t>7</w:t>
            </w:r>
          </w:p>
        </w:tc>
        <w:tc>
          <w:tcPr>
            <w:tcW w:w="1298" w:type="dxa"/>
            <w:tcBorders>
              <w:top w:val="single" w:sz="4" w:space="0" w:color="000000"/>
              <w:bottom w:val="single" w:sz="4" w:space="0" w:color="000000"/>
              <w:right w:val="single" w:sz="4" w:space="0" w:color="000000"/>
            </w:tcBorders>
            <w:shd w:val="clear" w:color="auto" w:fill="auto"/>
            <w:vAlign w:val="center"/>
          </w:tcPr>
          <w:p w14:paraId="35BDBC33" w14:textId="77777777" w:rsidR="000F13DD" w:rsidRPr="00565FAA" w:rsidRDefault="000F13DD" w:rsidP="00EC2148">
            <w:pPr>
              <w:jc w:val="center"/>
            </w:pPr>
            <w:r w:rsidRPr="00565FAA">
              <w:t>8</w:t>
            </w:r>
          </w:p>
        </w:tc>
        <w:tc>
          <w:tcPr>
            <w:tcW w:w="1137" w:type="dxa"/>
            <w:tcBorders>
              <w:top w:val="single" w:sz="4" w:space="0" w:color="000000"/>
              <w:bottom w:val="single" w:sz="4" w:space="0" w:color="000000"/>
              <w:right w:val="single" w:sz="4" w:space="0" w:color="000000"/>
            </w:tcBorders>
            <w:shd w:val="clear" w:color="auto" w:fill="auto"/>
            <w:vAlign w:val="center"/>
          </w:tcPr>
          <w:p w14:paraId="4AE9B23D" w14:textId="77777777" w:rsidR="000F13DD" w:rsidRPr="00565FAA" w:rsidRDefault="000F13DD" w:rsidP="00EC2148">
            <w:pPr>
              <w:jc w:val="center"/>
            </w:pPr>
            <w:r w:rsidRPr="00565FAA">
              <w:t>9</w:t>
            </w:r>
          </w:p>
        </w:tc>
        <w:tc>
          <w:tcPr>
            <w:tcW w:w="1308" w:type="dxa"/>
            <w:tcBorders>
              <w:top w:val="single" w:sz="4" w:space="0" w:color="000000"/>
              <w:bottom w:val="single" w:sz="4" w:space="0" w:color="000000"/>
              <w:right w:val="single" w:sz="4" w:space="0" w:color="000000"/>
            </w:tcBorders>
            <w:shd w:val="clear" w:color="auto" w:fill="auto"/>
            <w:vAlign w:val="center"/>
          </w:tcPr>
          <w:p w14:paraId="0267B378" w14:textId="77777777" w:rsidR="000F13DD" w:rsidRPr="00565FAA" w:rsidRDefault="000F13DD" w:rsidP="00EC2148">
            <w:pPr>
              <w:jc w:val="center"/>
            </w:pPr>
            <w:r w:rsidRPr="00565FAA">
              <w:t>10</w:t>
            </w:r>
          </w:p>
        </w:tc>
      </w:tr>
      <w:tr w:rsidR="00396DE0" w:rsidRPr="00565FAA" w14:paraId="46F44E7B" w14:textId="77777777" w:rsidTr="000F13DD">
        <w:trPr>
          <w:trHeight w:val="371"/>
        </w:trPr>
        <w:tc>
          <w:tcPr>
            <w:tcW w:w="562"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CDEFA66" w14:textId="77777777" w:rsidR="00396DE0" w:rsidRPr="00565FAA" w:rsidRDefault="00396DE0" w:rsidP="009B5341">
            <w:pPr>
              <w:jc w:val="center"/>
            </w:pPr>
            <w:r w:rsidRPr="00565FAA">
              <w:t>4</w:t>
            </w:r>
          </w:p>
        </w:tc>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1390B39" w14:textId="77777777" w:rsidR="00396DE0" w:rsidRPr="00565FAA" w:rsidRDefault="00396DE0" w:rsidP="009B5341">
            <w:pPr>
              <w:jc w:val="center"/>
            </w:pPr>
            <w:r w:rsidRPr="00565FAA">
              <w:t>2</w:t>
            </w:r>
          </w:p>
        </w:tc>
        <w:tc>
          <w:tcPr>
            <w:tcW w:w="5940" w:type="dxa"/>
            <w:tcBorders>
              <w:top w:val="single" w:sz="4" w:space="0" w:color="auto"/>
              <w:left w:val="single" w:sz="4" w:space="0" w:color="000000"/>
              <w:bottom w:val="single" w:sz="4" w:space="0" w:color="000000"/>
              <w:right w:val="single" w:sz="4" w:space="0" w:color="000000"/>
            </w:tcBorders>
            <w:shd w:val="clear" w:color="auto" w:fill="auto"/>
            <w:vAlign w:val="center"/>
          </w:tcPr>
          <w:p w14:paraId="44706066" w14:textId="77777777" w:rsidR="00396DE0" w:rsidRPr="00565FAA" w:rsidRDefault="00396DE0" w:rsidP="009B5341">
            <w:pPr>
              <w:ind w:left="-57"/>
            </w:pPr>
            <w:r w:rsidRPr="00565FAA">
              <w:t>Управлінський запас внутрішньої ліквідності, визначений банком, %</w:t>
            </w:r>
          </w:p>
        </w:tc>
        <w:tc>
          <w:tcPr>
            <w:tcW w:w="693" w:type="dxa"/>
            <w:gridSpan w:val="2"/>
            <w:tcBorders>
              <w:top w:val="single" w:sz="4" w:space="0" w:color="auto"/>
              <w:bottom w:val="single" w:sz="4" w:space="0" w:color="000000"/>
              <w:right w:val="single" w:sz="4" w:space="0" w:color="000000"/>
            </w:tcBorders>
            <w:shd w:val="clear" w:color="auto" w:fill="auto"/>
            <w:vAlign w:val="center"/>
          </w:tcPr>
          <w:p w14:paraId="262F08F7" w14:textId="77777777" w:rsidR="00396DE0" w:rsidRPr="00565FAA" w:rsidRDefault="00396DE0" w:rsidP="009B5341">
            <w:pPr>
              <w:jc w:val="center"/>
            </w:pPr>
          </w:p>
        </w:tc>
        <w:tc>
          <w:tcPr>
            <w:tcW w:w="1157" w:type="dxa"/>
            <w:tcBorders>
              <w:top w:val="single" w:sz="4" w:space="0" w:color="auto"/>
              <w:bottom w:val="single" w:sz="4" w:space="0" w:color="000000"/>
              <w:right w:val="single" w:sz="4" w:space="0" w:color="000000"/>
            </w:tcBorders>
            <w:shd w:val="clear" w:color="auto" w:fill="auto"/>
            <w:vAlign w:val="center"/>
          </w:tcPr>
          <w:p w14:paraId="7577B263" w14:textId="77777777" w:rsidR="00396DE0" w:rsidRPr="00565FAA" w:rsidRDefault="00396DE0" w:rsidP="009B5341">
            <w:pPr>
              <w:jc w:val="center"/>
            </w:pPr>
          </w:p>
        </w:tc>
        <w:tc>
          <w:tcPr>
            <w:tcW w:w="1276" w:type="dxa"/>
            <w:tcBorders>
              <w:top w:val="single" w:sz="4" w:space="0" w:color="auto"/>
              <w:bottom w:val="single" w:sz="4" w:space="0" w:color="000000"/>
              <w:right w:val="single" w:sz="4" w:space="0" w:color="000000"/>
            </w:tcBorders>
            <w:shd w:val="clear" w:color="auto" w:fill="auto"/>
            <w:vAlign w:val="center"/>
          </w:tcPr>
          <w:p w14:paraId="0C0364D2" w14:textId="77777777" w:rsidR="00396DE0" w:rsidRPr="00565FAA" w:rsidRDefault="00396DE0" w:rsidP="009B5341">
            <w:pPr>
              <w:jc w:val="center"/>
            </w:pPr>
          </w:p>
        </w:tc>
        <w:tc>
          <w:tcPr>
            <w:tcW w:w="1111" w:type="dxa"/>
            <w:tcBorders>
              <w:top w:val="single" w:sz="4" w:space="0" w:color="auto"/>
              <w:bottom w:val="single" w:sz="4" w:space="0" w:color="000000"/>
              <w:right w:val="single" w:sz="4" w:space="0" w:color="000000"/>
            </w:tcBorders>
            <w:shd w:val="clear" w:color="auto" w:fill="auto"/>
            <w:vAlign w:val="center"/>
          </w:tcPr>
          <w:p w14:paraId="793F92A5" w14:textId="77777777" w:rsidR="00396DE0" w:rsidRPr="00565FAA" w:rsidRDefault="00396DE0" w:rsidP="009B5341">
            <w:pPr>
              <w:jc w:val="center"/>
            </w:pPr>
          </w:p>
        </w:tc>
        <w:tc>
          <w:tcPr>
            <w:tcW w:w="1298" w:type="dxa"/>
            <w:tcBorders>
              <w:top w:val="single" w:sz="4" w:space="0" w:color="auto"/>
              <w:bottom w:val="single" w:sz="4" w:space="0" w:color="000000"/>
              <w:right w:val="single" w:sz="4" w:space="0" w:color="000000"/>
            </w:tcBorders>
            <w:shd w:val="clear" w:color="auto" w:fill="auto"/>
            <w:vAlign w:val="center"/>
          </w:tcPr>
          <w:p w14:paraId="16E9B34A" w14:textId="77777777" w:rsidR="00396DE0" w:rsidRPr="00565FAA" w:rsidRDefault="00396DE0" w:rsidP="009B5341">
            <w:pPr>
              <w:jc w:val="center"/>
            </w:pPr>
          </w:p>
        </w:tc>
        <w:tc>
          <w:tcPr>
            <w:tcW w:w="1137" w:type="dxa"/>
            <w:tcBorders>
              <w:top w:val="single" w:sz="4" w:space="0" w:color="auto"/>
              <w:bottom w:val="single" w:sz="4" w:space="0" w:color="000000"/>
              <w:right w:val="single" w:sz="4" w:space="0" w:color="000000"/>
            </w:tcBorders>
            <w:shd w:val="clear" w:color="auto" w:fill="auto"/>
            <w:vAlign w:val="center"/>
          </w:tcPr>
          <w:p w14:paraId="1E8FCE5D" w14:textId="77777777" w:rsidR="00396DE0" w:rsidRPr="00565FAA" w:rsidRDefault="00396DE0" w:rsidP="009B5341">
            <w:pPr>
              <w:jc w:val="center"/>
            </w:pPr>
          </w:p>
        </w:tc>
        <w:tc>
          <w:tcPr>
            <w:tcW w:w="1308" w:type="dxa"/>
            <w:tcBorders>
              <w:top w:val="single" w:sz="4" w:space="0" w:color="auto"/>
              <w:bottom w:val="single" w:sz="4" w:space="0" w:color="000000"/>
              <w:right w:val="single" w:sz="4" w:space="0" w:color="000000"/>
            </w:tcBorders>
            <w:shd w:val="clear" w:color="auto" w:fill="auto"/>
            <w:vAlign w:val="center"/>
          </w:tcPr>
          <w:p w14:paraId="0DEC8D45" w14:textId="77777777" w:rsidR="00396DE0" w:rsidRPr="00565FAA" w:rsidRDefault="00396DE0" w:rsidP="009B5341">
            <w:pPr>
              <w:jc w:val="center"/>
            </w:pPr>
          </w:p>
        </w:tc>
      </w:tr>
      <w:tr w:rsidR="00396DE0" w:rsidRPr="00565FAA" w14:paraId="7336EF21" w14:textId="77777777" w:rsidTr="00494D97">
        <w:trPr>
          <w:trHeight w:val="323"/>
        </w:trPr>
        <w:tc>
          <w:tcPr>
            <w:tcW w:w="562" w:type="dxa"/>
            <w:gridSpan w:val="2"/>
            <w:tcBorders>
              <w:left w:val="single" w:sz="4" w:space="0" w:color="000000"/>
              <w:bottom w:val="single" w:sz="4" w:space="0" w:color="000000"/>
              <w:right w:val="single" w:sz="4" w:space="0" w:color="000000"/>
            </w:tcBorders>
            <w:shd w:val="clear" w:color="auto" w:fill="FFFFFF" w:themeFill="background1"/>
            <w:vAlign w:val="center"/>
          </w:tcPr>
          <w:p w14:paraId="2573AA4A" w14:textId="77777777" w:rsidR="00396DE0" w:rsidRPr="00565FAA" w:rsidRDefault="00396DE0" w:rsidP="009B5341">
            <w:pPr>
              <w:jc w:val="center"/>
            </w:pPr>
            <w:r w:rsidRPr="00565FAA">
              <w:t>5</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6158980C" w14:textId="77777777" w:rsidR="00396DE0" w:rsidRPr="00565FAA" w:rsidRDefault="00396DE0" w:rsidP="009B5341">
            <w:pPr>
              <w:jc w:val="center"/>
            </w:pPr>
            <w:r w:rsidRPr="00565FAA">
              <w:t>3</w:t>
            </w:r>
          </w:p>
        </w:tc>
        <w:tc>
          <w:tcPr>
            <w:tcW w:w="5940" w:type="dxa"/>
            <w:tcBorders>
              <w:left w:val="single" w:sz="4" w:space="0" w:color="000000"/>
              <w:bottom w:val="single" w:sz="4" w:space="0" w:color="000000"/>
              <w:right w:val="single" w:sz="4" w:space="0" w:color="000000"/>
            </w:tcBorders>
            <w:shd w:val="clear" w:color="auto" w:fill="auto"/>
            <w:vAlign w:val="center"/>
          </w:tcPr>
          <w:p w14:paraId="1ECDE2EC" w14:textId="77777777" w:rsidR="00396DE0" w:rsidRPr="00565FAA" w:rsidRDefault="00396DE0" w:rsidP="009B5341">
            <w:pPr>
              <w:ind w:left="-57"/>
              <w:rPr>
                <w:bCs/>
              </w:rPr>
            </w:pPr>
            <w:r w:rsidRPr="00565FAA">
              <w:rPr>
                <w:bCs/>
              </w:rPr>
              <w:t>Цільове значення нормативу NSFR, %</w:t>
            </w:r>
          </w:p>
        </w:tc>
        <w:tc>
          <w:tcPr>
            <w:tcW w:w="693" w:type="dxa"/>
            <w:gridSpan w:val="2"/>
            <w:tcBorders>
              <w:bottom w:val="single" w:sz="4" w:space="0" w:color="000000"/>
              <w:right w:val="single" w:sz="4" w:space="0" w:color="000000"/>
            </w:tcBorders>
            <w:shd w:val="clear" w:color="auto" w:fill="auto"/>
            <w:vAlign w:val="center"/>
          </w:tcPr>
          <w:p w14:paraId="5B87340D" w14:textId="77777777" w:rsidR="00396DE0" w:rsidRPr="00565FAA" w:rsidRDefault="00396DE0" w:rsidP="009B5341">
            <w:pPr>
              <w:jc w:val="center"/>
              <w:rPr>
                <w:b/>
                <w:bCs/>
              </w:rPr>
            </w:pPr>
          </w:p>
        </w:tc>
        <w:tc>
          <w:tcPr>
            <w:tcW w:w="1157" w:type="dxa"/>
            <w:tcBorders>
              <w:bottom w:val="single" w:sz="4" w:space="0" w:color="000000"/>
              <w:right w:val="single" w:sz="4" w:space="0" w:color="000000"/>
            </w:tcBorders>
            <w:shd w:val="clear" w:color="auto" w:fill="auto"/>
            <w:vAlign w:val="center"/>
          </w:tcPr>
          <w:p w14:paraId="6CE4B907" w14:textId="77777777" w:rsidR="00396DE0" w:rsidRPr="00565FAA" w:rsidRDefault="00396DE0" w:rsidP="009B5341">
            <w:pPr>
              <w:jc w:val="center"/>
              <w:rPr>
                <w:b/>
                <w:bCs/>
              </w:rPr>
            </w:pPr>
          </w:p>
        </w:tc>
        <w:tc>
          <w:tcPr>
            <w:tcW w:w="1276" w:type="dxa"/>
            <w:tcBorders>
              <w:bottom w:val="single" w:sz="4" w:space="0" w:color="000000"/>
              <w:right w:val="single" w:sz="4" w:space="0" w:color="000000"/>
            </w:tcBorders>
            <w:shd w:val="clear" w:color="auto" w:fill="auto"/>
            <w:vAlign w:val="center"/>
          </w:tcPr>
          <w:p w14:paraId="1D9B275F" w14:textId="77777777" w:rsidR="00396DE0" w:rsidRPr="00565FAA" w:rsidRDefault="00396DE0" w:rsidP="009B5341">
            <w:pPr>
              <w:jc w:val="center"/>
              <w:rPr>
                <w:b/>
                <w:bCs/>
              </w:rPr>
            </w:pPr>
          </w:p>
        </w:tc>
        <w:tc>
          <w:tcPr>
            <w:tcW w:w="1111" w:type="dxa"/>
            <w:tcBorders>
              <w:bottom w:val="single" w:sz="4" w:space="0" w:color="000000"/>
              <w:right w:val="single" w:sz="4" w:space="0" w:color="000000"/>
            </w:tcBorders>
            <w:shd w:val="clear" w:color="auto" w:fill="auto"/>
            <w:vAlign w:val="center"/>
          </w:tcPr>
          <w:p w14:paraId="64423BA8" w14:textId="77777777" w:rsidR="00396DE0" w:rsidRPr="00565FAA" w:rsidRDefault="00396DE0" w:rsidP="009B5341">
            <w:pPr>
              <w:jc w:val="center"/>
              <w:rPr>
                <w:b/>
                <w:bCs/>
              </w:rPr>
            </w:pPr>
          </w:p>
        </w:tc>
        <w:tc>
          <w:tcPr>
            <w:tcW w:w="1298" w:type="dxa"/>
            <w:tcBorders>
              <w:bottom w:val="single" w:sz="4" w:space="0" w:color="000000"/>
              <w:right w:val="single" w:sz="4" w:space="0" w:color="000000"/>
            </w:tcBorders>
            <w:shd w:val="clear" w:color="auto" w:fill="auto"/>
            <w:vAlign w:val="center"/>
          </w:tcPr>
          <w:p w14:paraId="5BF77532" w14:textId="77777777" w:rsidR="00396DE0" w:rsidRPr="00565FAA" w:rsidRDefault="00396DE0" w:rsidP="009B5341">
            <w:pPr>
              <w:jc w:val="center"/>
              <w:rPr>
                <w:b/>
                <w:bCs/>
              </w:rPr>
            </w:pPr>
          </w:p>
        </w:tc>
        <w:tc>
          <w:tcPr>
            <w:tcW w:w="1137" w:type="dxa"/>
            <w:tcBorders>
              <w:bottom w:val="single" w:sz="4" w:space="0" w:color="000000"/>
              <w:right w:val="single" w:sz="4" w:space="0" w:color="000000"/>
            </w:tcBorders>
            <w:shd w:val="clear" w:color="auto" w:fill="auto"/>
            <w:vAlign w:val="center"/>
          </w:tcPr>
          <w:p w14:paraId="3F57DED9" w14:textId="77777777" w:rsidR="00396DE0" w:rsidRPr="00565FAA" w:rsidRDefault="00396DE0" w:rsidP="009B5341">
            <w:pPr>
              <w:jc w:val="center"/>
              <w:rPr>
                <w:b/>
                <w:bCs/>
              </w:rPr>
            </w:pPr>
          </w:p>
        </w:tc>
        <w:tc>
          <w:tcPr>
            <w:tcW w:w="1308" w:type="dxa"/>
            <w:tcBorders>
              <w:bottom w:val="single" w:sz="4" w:space="0" w:color="000000"/>
              <w:right w:val="single" w:sz="4" w:space="0" w:color="000000"/>
            </w:tcBorders>
            <w:shd w:val="clear" w:color="auto" w:fill="auto"/>
            <w:vAlign w:val="center"/>
          </w:tcPr>
          <w:p w14:paraId="290D02F3" w14:textId="77777777" w:rsidR="00396DE0" w:rsidRPr="00565FAA" w:rsidRDefault="00396DE0" w:rsidP="009B5341">
            <w:pPr>
              <w:jc w:val="center"/>
              <w:rPr>
                <w:b/>
                <w:bCs/>
              </w:rPr>
            </w:pPr>
          </w:p>
        </w:tc>
      </w:tr>
      <w:tr w:rsidR="00396DE0" w:rsidRPr="00565FAA" w14:paraId="41015308" w14:textId="77777777" w:rsidTr="00494D97">
        <w:trPr>
          <w:trHeight w:val="245"/>
        </w:trPr>
        <w:tc>
          <w:tcPr>
            <w:tcW w:w="562" w:type="dxa"/>
            <w:gridSpan w:val="2"/>
            <w:tcBorders>
              <w:left w:val="single" w:sz="4" w:space="0" w:color="000000"/>
              <w:bottom w:val="single" w:sz="4" w:space="0" w:color="000000"/>
              <w:right w:val="single" w:sz="4" w:space="0" w:color="000000"/>
            </w:tcBorders>
            <w:shd w:val="clear" w:color="auto" w:fill="FFFFFF" w:themeFill="background1"/>
            <w:vAlign w:val="center"/>
          </w:tcPr>
          <w:p w14:paraId="1D80B070" w14:textId="77777777" w:rsidR="00396DE0" w:rsidRPr="00565FAA" w:rsidRDefault="00396DE0" w:rsidP="009B5341">
            <w:pPr>
              <w:jc w:val="center"/>
            </w:pPr>
            <w:r w:rsidRPr="00565FAA">
              <w:t>6</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6CFD7E71" w14:textId="77777777" w:rsidR="00396DE0" w:rsidRPr="00565FAA" w:rsidRDefault="00396DE0" w:rsidP="009B5341">
            <w:pPr>
              <w:jc w:val="center"/>
            </w:pPr>
            <w:r w:rsidRPr="00565FAA">
              <w:t>4</w:t>
            </w:r>
          </w:p>
        </w:tc>
        <w:tc>
          <w:tcPr>
            <w:tcW w:w="5940" w:type="dxa"/>
            <w:tcBorders>
              <w:left w:val="single" w:sz="4" w:space="0" w:color="000000"/>
              <w:bottom w:val="single" w:sz="4" w:space="0" w:color="000000"/>
              <w:right w:val="single" w:sz="4" w:space="0" w:color="000000"/>
            </w:tcBorders>
            <w:shd w:val="clear" w:color="auto" w:fill="auto"/>
            <w:vAlign w:val="center"/>
          </w:tcPr>
          <w:p w14:paraId="53E8B960" w14:textId="77777777" w:rsidR="00396DE0" w:rsidRPr="00565FAA" w:rsidRDefault="00396DE0" w:rsidP="009B5341">
            <w:pPr>
              <w:ind w:left="-57"/>
            </w:pPr>
            <w:r w:rsidRPr="00565FAA">
              <w:t>Необхідне стабільне фінансування (RSF)</w:t>
            </w:r>
          </w:p>
        </w:tc>
        <w:tc>
          <w:tcPr>
            <w:tcW w:w="693" w:type="dxa"/>
            <w:gridSpan w:val="2"/>
            <w:tcBorders>
              <w:bottom w:val="single" w:sz="4" w:space="0" w:color="000000"/>
              <w:right w:val="single" w:sz="4" w:space="0" w:color="000000"/>
            </w:tcBorders>
            <w:shd w:val="clear" w:color="auto" w:fill="auto"/>
            <w:vAlign w:val="center"/>
          </w:tcPr>
          <w:p w14:paraId="221C6953" w14:textId="77777777" w:rsidR="00396DE0" w:rsidRPr="00565FAA" w:rsidRDefault="00396DE0" w:rsidP="009B5341">
            <w:pPr>
              <w:jc w:val="center"/>
              <w:rPr>
                <w:b/>
                <w:bCs/>
              </w:rPr>
            </w:pPr>
          </w:p>
        </w:tc>
        <w:tc>
          <w:tcPr>
            <w:tcW w:w="1157" w:type="dxa"/>
            <w:tcBorders>
              <w:bottom w:val="single" w:sz="4" w:space="0" w:color="000000"/>
              <w:right w:val="single" w:sz="4" w:space="0" w:color="000000"/>
            </w:tcBorders>
            <w:shd w:val="clear" w:color="auto" w:fill="auto"/>
            <w:vAlign w:val="center"/>
          </w:tcPr>
          <w:p w14:paraId="370159A3" w14:textId="77777777" w:rsidR="00396DE0" w:rsidRPr="00565FAA" w:rsidRDefault="00396DE0" w:rsidP="009B5341">
            <w:pPr>
              <w:jc w:val="center"/>
              <w:rPr>
                <w:b/>
                <w:bCs/>
              </w:rPr>
            </w:pPr>
          </w:p>
        </w:tc>
        <w:tc>
          <w:tcPr>
            <w:tcW w:w="1276" w:type="dxa"/>
            <w:tcBorders>
              <w:bottom w:val="single" w:sz="4" w:space="0" w:color="000000"/>
              <w:right w:val="single" w:sz="4" w:space="0" w:color="000000"/>
            </w:tcBorders>
            <w:shd w:val="clear" w:color="auto" w:fill="auto"/>
            <w:vAlign w:val="center"/>
          </w:tcPr>
          <w:p w14:paraId="49D89CCE" w14:textId="77777777" w:rsidR="00396DE0" w:rsidRPr="00565FAA" w:rsidRDefault="00396DE0" w:rsidP="009B5341">
            <w:pPr>
              <w:jc w:val="center"/>
              <w:rPr>
                <w:b/>
                <w:bCs/>
              </w:rPr>
            </w:pPr>
          </w:p>
        </w:tc>
        <w:tc>
          <w:tcPr>
            <w:tcW w:w="1111" w:type="dxa"/>
            <w:tcBorders>
              <w:bottom w:val="single" w:sz="4" w:space="0" w:color="000000"/>
              <w:right w:val="single" w:sz="4" w:space="0" w:color="000000"/>
            </w:tcBorders>
            <w:shd w:val="clear" w:color="auto" w:fill="auto"/>
            <w:vAlign w:val="center"/>
          </w:tcPr>
          <w:p w14:paraId="16045578" w14:textId="77777777" w:rsidR="00396DE0" w:rsidRPr="00565FAA" w:rsidRDefault="00396DE0" w:rsidP="009B5341">
            <w:pPr>
              <w:jc w:val="center"/>
              <w:rPr>
                <w:b/>
                <w:bCs/>
              </w:rPr>
            </w:pPr>
          </w:p>
        </w:tc>
        <w:tc>
          <w:tcPr>
            <w:tcW w:w="1298" w:type="dxa"/>
            <w:tcBorders>
              <w:bottom w:val="single" w:sz="4" w:space="0" w:color="000000"/>
              <w:right w:val="single" w:sz="4" w:space="0" w:color="000000"/>
            </w:tcBorders>
            <w:shd w:val="clear" w:color="auto" w:fill="auto"/>
            <w:vAlign w:val="center"/>
          </w:tcPr>
          <w:p w14:paraId="3F4F8CC6" w14:textId="77777777" w:rsidR="00396DE0" w:rsidRPr="00565FAA" w:rsidRDefault="00396DE0" w:rsidP="009B5341">
            <w:pPr>
              <w:jc w:val="center"/>
              <w:rPr>
                <w:b/>
                <w:bCs/>
              </w:rPr>
            </w:pPr>
          </w:p>
        </w:tc>
        <w:tc>
          <w:tcPr>
            <w:tcW w:w="1137" w:type="dxa"/>
            <w:tcBorders>
              <w:bottom w:val="single" w:sz="4" w:space="0" w:color="000000"/>
              <w:right w:val="single" w:sz="4" w:space="0" w:color="000000"/>
            </w:tcBorders>
            <w:shd w:val="clear" w:color="auto" w:fill="auto"/>
            <w:vAlign w:val="center"/>
          </w:tcPr>
          <w:p w14:paraId="69D859E6" w14:textId="77777777" w:rsidR="00396DE0" w:rsidRPr="00565FAA" w:rsidRDefault="00396DE0" w:rsidP="009B5341">
            <w:pPr>
              <w:jc w:val="center"/>
              <w:rPr>
                <w:b/>
                <w:bCs/>
              </w:rPr>
            </w:pPr>
          </w:p>
        </w:tc>
        <w:tc>
          <w:tcPr>
            <w:tcW w:w="1308" w:type="dxa"/>
            <w:tcBorders>
              <w:bottom w:val="single" w:sz="4" w:space="0" w:color="000000"/>
              <w:right w:val="single" w:sz="4" w:space="0" w:color="000000"/>
            </w:tcBorders>
            <w:shd w:val="clear" w:color="auto" w:fill="auto"/>
            <w:vAlign w:val="center"/>
          </w:tcPr>
          <w:p w14:paraId="2BFDC1D2" w14:textId="77777777" w:rsidR="00396DE0" w:rsidRPr="00565FAA" w:rsidRDefault="00396DE0" w:rsidP="009B5341">
            <w:pPr>
              <w:jc w:val="center"/>
              <w:rPr>
                <w:b/>
                <w:bCs/>
              </w:rPr>
            </w:pPr>
          </w:p>
        </w:tc>
      </w:tr>
      <w:tr w:rsidR="00396DE0" w:rsidRPr="00565FAA" w14:paraId="4728E0BD" w14:textId="77777777" w:rsidTr="00494D97">
        <w:trPr>
          <w:trHeight w:val="256"/>
        </w:trPr>
        <w:tc>
          <w:tcPr>
            <w:tcW w:w="562" w:type="dxa"/>
            <w:gridSpan w:val="2"/>
            <w:tcBorders>
              <w:left w:val="single" w:sz="4" w:space="0" w:color="000000"/>
              <w:bottom w:val="single" w:sz="4" w:space="0" w:color="000000"/>
              <w:right w:val="single" w:sz="4" w:space="0" w:color="000000"/>
            </w:tcBorders>
            <w:shd w:val="clear" w:color="auto" w:fill="auto"/>
            <w:vAlign w:val="center"/>
          </w:tcPr>
          <w:p w14:paraId="6ADB2728" w14:textId="77777777" w:rsidR="00396DE0" w:rsidRPr="00565FAA" w:rsidRDefault="00396DE0" w:rsidP="009B5341">
            <w:pPr>
              <w:jc w:val="center"/>
            </w:pPr>
            <w:r w:rsidRPr="00565FAA">
              <w:t>7</w:t>
            </w:r>
          </w:p>
        </w:tc>
        <w:tc>
          <w:tcPr>
            <w:tcW w:w="851" w:type="dxa"/>
            <w:tcBorders>
              <w:left w:val="single" w:sz="4" w:space="0" w:color="000000"/>
              <w:bottom w:val="single" w:sz="4" w:space="0" w:color="000000"/>
              <w:right w:val="single" w:sz="4" w:space="0" w:color="000000"/>
            </w:tcBorders>
            <w:shd w:val="clear" w:color="auto" w:fill="auto"/>
            <w:vAlign w:val="center"/>
          </w:tcPr>
          <w:p w14:paraId="747A0DC8" w14:textId="77777777" w:rsidR="00396DE0" w:rsidRPr="00565FAA" w:rsidRDefault="00396DE0" w:rsidP="009B5341">
            <w:pPr>
              <w:jc w:val="center"/>
            </w:pPr>
            <w:r w:rsidRPr="00565FAA">
              <w:t>5</w:t>
            </w:r>
          </w:p>
        </w:tc>
        <w:tc>
          <w:tcPr>
            <w:tcW w:w="5940" w:type="dxa"/>
            <w:tcBorders>
              <w:left w:val="single" w:sz="4" w:space="0" w:color="000000"/>
              <w:bottom w:val="single" w:sz="4" w:space="0" w:color="000000"/>
              <w:right w:val="single" w:sz="4" w:space="0" w:color="000000"/>
            </w:tcBorders>
            <w:shd w:val="clear" w:color="auto" w:fill="auto"/>
            <w:vAlign w:val="center"/>
          </w:tcPr>
          <w:p w14:paraId="096FB35C" w14:textId="4FFA3D63" w:rsidR="00396DE0" w:rsidRPr="00565FAA" w:rsidRDefault="00396DE0" w:rsidP="009B5341">
            <w:pPr>
              <w:ind w:left="-57"/>
            </w:pPr>
            <w:r w:rsidRPr="00565FAA">
              <w:t>Обсяг необхідної внутрішньої ліквідності, тис</w:t>
            </w:r>
            <w:r w:rsidR="001B4BB3">
              <w:t>.</w:t>
            </w:r>
            <w:r w:rsidRPr="00565FAA">
              <w:t xml:space="preserve"> грн</w:t>
            </w:r>
          </w:p>
        </w:tc>
        <w:tc>
          <w:tcPr>
            <w:tcW w:w="693" w:type="dxa"/>
            <w:gridSpan w:val="2"/>
            <w:tcBorders>
              <w:bottom w:val="single" w:sz="4" w:space="0" w:color="000000"/>
              <w:right w:val="single" w:sz="4" w:space="0" w:color="000000"/>
            </w:tcBorders>
            <w:shd w:val="clear" w:color="auto" w:fill="auto"/>
            <w:vAlign w:val="center"/>
          </w:tcPr>
          <w:p w14:paraId="1D409416" w14:textId="77777777" w:rsidR="00396DE0" w:rsidRPr="00565FAA" w:rsidRDefault="00396DE0" w:rsidP="009B5341">
            <w:pPr>
              <w:jc w:val="center"/>
            </w:pPr>
          </w:p>
        </w:tc>
        <w:tc>
          <w:tcPr>
            <w:tcW w:w="1157" w:type="dxa"/>
            <w:tcBorders>
              <w:bottom w:val="single" w:sz="4" w:space="0" w:color="000000"/>
              <w:right w:val="single" w:sz="4" w:space="0" w:color="000000"/>
            </w:tcBorders>
            <w:shd w:val="clear" w:color="auto" w:fill="auto"/>
            <w:vAlign w:val="center"/>
          </w:tcPr>
          <w:p w14:paraId="517DC44B" w14:textId="77777777" w:rsidR="00396DE0" w:rsidRPr="00565FAA" w:rsidRDefault="00396DE0" w:rsidP="009B5341">
            <w:pPr>
              <w:jc w:val="center"/>
              <w:rPr>
                <w:b/>
                <w:bCs/>
              </w:rPr>
            </w:pPr>
          </w:p>
        </w:tc>
        <w:tc>
          <w:tcPr>
            <w:tcW w:w="1276" w:type="dxa"/>
            <w:tcBorders>
              <w:bottom w:val="single" w:sz="4" w:space="0" w:color="000000"/>
              <w:right w:val="single" w:sz="4" w:space="0" w:color="000000"/>
            </w:tcBorders>
            <w:shd w:val="clear" w:color="auto" w:fill="auto"/>
            <w:vAlign w:val="center"/>
          </w:tcPr>
          <w:p w14:paraId="60E042D7" w14:textId="77777777" w:rsidR="00396DE0" w:rsidRPr="00565FAA" w:rsidRDefault="00396DE0" w:rsidP="009B5341">
            <w:pPr>
              <w:jc w:val="center"/>
              <w:rPr>
                <w:b/>
                <w:bCs/>
              </w:rPr>
            </w:pPr>
          </w:p>
        </w:tc>
        <w:tc>
          <w:tcPr>
            <w:tcW w:w="1111" w:type="dxa"/>
            <w:tcBorders>
              <w:bottom w:val="single" w:sz="4" w:space="0" w:color="000000"/>
              <w:right w:val="single" w:sz="4" w:space="0" w:color="000000"/>
            </w:tcBorders>
            <w:shd w:val="clear" w:color="auto" w:fill="auto"/>
            <w:vAlign w:val="center"/>
          </w:tcPr>
          <w:p w14:paraId="16712AE5" w14:textId="77777777" w:rsidR="00396DE0" w:rsidRPr="00565FAA" w:rsidRDefault="00396DE0" w:rsidP="009B5341">
            <w:pPr>
              <w:jc w:val="center"/>
              <w:rPr>
                <w:b/>
                <w:bCs/>
              </w:rPr>
            </w:pPr>
          </w:p>
        </w:tc>
        <w:tc>
          <w:tcPr>
            <w:tcW w:w="1298" w:type="dxa"/>
            <w:tcBorders>
              <w:bottom w:val="single" w:sz="4" w:space="0" w:color="000000"/>
              <w:right w:val="single" w:sz="4" w:space="0" w:color="000000"/>
            </w:tcBorders>
            <w:shd w:val="clear" w:color="auto" w:fill="auto"/>
            <w:vAlign w:val="center"/>
          </w:tcPr>
          <w:p w14:paraId="0E873F2D" w14:textId="77777777" w:rsidR="00396DE0" w:rsidRPr="00565FAA" w:rsidRDefault="00396DE0" w:rsidP="009B5341">
            <w:pPr>
              <w:jc w:val="center"/>
              <w:rPr>
                <w:b/>
                <w:bCs/>
              </w:rPr>
            </w:pPr>
          </w:p>
        </w:tc>
        <w:tc>
          <w:tcPr>
            <w:tcW w:w="1137" w:type="dxa"/>
            <w:tcBorders>
              <w:bottom w:val="single" w:sz="4" w:space="0" w:color="000000"/>
              <w:right w:val="single" w:sz="4" w:space="0" w:color="000000"/>
            </w:tcBorders>
            <w:shd w:val="clear" w:color="auto" w:fill="auto"/>
            <w:vAlign w:val="center"/>
          </w:tcPr>
          <w:p w14:paraId="758F6CB9" w14:textId="77777777" w:rsidR="00396DE0" w:rsidRPr="00565FAA" w:rsidRDefault="00396DE0" w:rsidP="009B5341">
            <w:pPr>
              <w:jc w:val="center"/>
              <w:rPr>
                <w:b/>
                <w:bCs/>
              </w:rPr>
            </w:pPr>
          </w:p>
        </w:tc>
        <w:tc>
          <w:tcPr>
            <w:tcW w:w="1308" w:type="dxa"/>
            <w:tcBorders>
              <w:bottom w:val="single" w:sz="4" w:space="0" w:color="000000"/>
              <w:right w:val="single" w:sz="4" w:space="0" w:color="000000"/>
            </w:tcBorders>
            <w:shd w:val="clear" w:color="auto" w:fill="auto"/>
            <w:vAlign w:val="center"/>
          </w:tcPr>
          <w:p w14:paraId="1A4AEB12" w14:textId="77777777" w:rsidR="00396DE0" w:rsidRPr="00565FAA" w:rsidRDefault="00396DE0" w:rsidP="009B5341">
            <w:pPr>
              <w:jc w:val="center"/>
              <w:rPr>
                <w:b/>
                <w:bCs/>
              </w:rPr>
            </w:pPr>
          </w:p>
        </w:tc>
      </w:tr>
      <w:tr w:rsidR="00396DE0" w:rsidRPr="00565FAA" w14:paraId="0FB26052" w14:textId="77777777" w:rsidTr="00494D97">
        <w:trPr>
          <w:trHeight w:val="357"/>
        </w:trPr>
        <w:tc>
          <w:tcPr>
            <w:tcW w:w="562" w:type="dxa"/>
            <w:gridSpan w:val="2"/>
            <w:tcBorders>
              <w:left w:val="single" w:sz="4" w:space="0" w:color="000000"/>
              <w:bottom w:val="single" w:sz="4" w:space="0" w:color="000000"/>
              <w:right w:val="single" w:sz="4" w:space="0" w:color="000000"/>
            </w:tcBorders>
            <w:shd w:val="clear" w:color="auto" w:fill="auto"/>
            <w:vAlign w:val="center"/>
          </w:tcPr>
          <w:p w14:paraId="06428C47" w14:textId="77777777" w:rsidR="00396DE0" w:rsidRPr="00565FAA" w:rsidRDefault="00396DE0" w:rsidP="009B5341">
            <w:pPr>
              <w:jc w:val="center"/>
            </w:pPr>
            <w:r w:rsidRPr="00565FAA">
              <w:t>8</w:t>
            </w:r>
          </w:p>
        </w:tc>
        <w:tc>
          <w:tcPr>
            <w:tcW w:w="851" w:type="dxa"/>
            <w:tcBorders>
              <w:left w:val="single" w:sz="4" w:space="0" w:color="000000"/>
              <w:bottom w:val="single" w:sz="4" w:space="0" w:color="000000"/>
              <w:right w:val="single" w:sz="4" w:space="0" w:color="000000"/>
            </w:tcBorders>
            <w:shd w:val="clear" w:color="auto" w:fill="auto"/>
            <w:vAlign w:val="center"/>
          </w:tcPr>
          <w:p w14:paraId="420C3C8F" w14:textId="77777777" w:rsidR="00396DE0" w:rsidRPr="00565FAA" w:rsidRDefault="00396DE0" w:rsidP="009B5341">
            <w:pPr>
              <w:jc w:val="center"/>
            </w:pPr>
            <w:r w:rsidRPr="00565FAA">
              <w:t>6</w:t>
            </w:r>
          </w:p>
        </w:tc>
        <w:tc>
          <w:tcPr>
            <w:tcW w:w="5940" w:type="dxa"/>
            <w:tcBorders>
              <w:left w:val="single" w:sz="4" w:space="0" w:color="000000"/>
              <w:bottom w:val="single" w:sz="4" w:space="0" w:color="000000"/>
              <w:right w:val="single" w:sz="4" w:space="0" w:color="000000"/>
            </w:tcBorders>
            <w:shd w:val="clear" w:color="auto" w:fill="auto"/>
            <w:vAlign w:val="center"/>
          </w:tcPr>
          <w:p w14:paraId="6A7C1FB3" w14:textId="35BE5909" w:rsidR="00396DE0" w:rsidRPr="00565FAA" w:rsidRDefault="00396DE0" w:rsidP="009B5341">
            <w:pPr>
              <w:ind w:left="-57"/>
            </w:pPr>
            <w:r w:rsidRPr="00565FAA">
              <w:t>Обсяг доступної внутрішньої ліквідності, тис</w:t>
            </w:r>
            <w:r w:rsidR="001B4BB3">
              <w:t>.</w:t>
            </w:r>
            <w:r w:rsidRPr="00565FAA">
              <w:t xml:space="preserve"> грн</w:t>
            </w:r>
          </w:p>
        </w:tc>
        <w:tc>
          <w:tcPr>
            <w:tcW w:w="693" w:type="dxa"/>
            <w:gridSpan w:val="2"/>
            <w:tcBorders>
              <w:bottom w:val="single" w:sz="4" w:space="0" w:color="000000"/>
              <w:right w:val="single" w:sz="4" w:space="0" w:color="000000"/>
            </w:tcBorders>
            <w:shd w:val="clear" w:color="auto" w:fill="auto"/>
            <w:vAlign w:val="center"/>
          </w:tcPr>
          <w:p w14:paraId="36D9097E" w14:textId="77777777" w:rsidR="00396DE0" w:rsidRPr="00565FAA" w:rsidRDefault="00396DE0" w:rsidP="009B5341">
            <w:pPr>
              <w:jc w:val="center"/>
            </w:pPr>
          </w:p>
        </w:tc>
        <w:tc>
          <w:tcPr>
            <w:tcW w:w="1157" w:type="dxa"/>
            <w:tcBorders>
              <w:bottom w:val="single" w:sz="4" w:space="0" w:color="000000"/>
              <w:right w:val="single" w:sz="4" w:space="0" w:color="000000"/>
            </w:tcBorders>
            <w:shd w:val="clear" w:color="auto" w:fill="auto"/>
            <w:vAlign w:val="center"/>
          </w:tcPr>
          <w:p w14:paraId="3F4DFD17" w14:textId="77777777" w:rsidR="00396DE0" w:rsidRPr="00565FAA" w:rsidRDefault="00396DE0" w:rsidP="009B5341">
            <w:pPr>
              <w:jc w:val="center"/>
              <w:rPr>
                <w:b/>
                <w:bCs/>
              </w:rPr>
            </w:pPr>
          </w:p>
        </w:tc>
        <w:tc>
          <w:tcPr>
            <w:tcW w:w="1276" w:type="dxa"/>
            <w:tcBorders>
              <w:bottom w:val="single" w:sz="4" w:space="0" w:color="000000"/>
              <w:right w:val="single" w:sz="4" w:space="0" w:color="000000"/>
            </w:tcBorders>
            <w:shd w:val="clear" w:color="auto" w:fill="auto"/>
            <w:vAlign w:val="center"/>
          </w:tcPr>
          <w:p w14:paraId="2DF33EC9" w14:textId="77777777" w:rsidR="00396DE0" w:rsidRPr="00565FAA" w:rsidRDefault="00396DE0" w:rsidP="009B5341">
            <w:pPr>
              <w:jc w:val="center"/>
              <w:rPr>
                <w:b/>
                <w:bCs/>
              </w:rPr>
            </w:pPr>
          </w:p>
        </w:tc>
        <w:tc>
          <w:tcPr>
            <w:tcW w:w="1111" w:type="dxa"/>
            <w:tcBorders>
              <w:bottom w:val="single" w:sz="4" w:space="0" w:color="000000"/>
              <w:right w:val="single" w:sz="4" w:space="0" w:color="000000"/>
            </w:tcBorders>
            <w:shd w:val="clear" w:color="auto" w:fill="auto"/>
            <w:vAlign w:val="center"/>
          </w:tcPr>
          <w:p w14:paraId="67BC8048" w14:textId="77777777" w:rsidR="00396DE0" w:rsidRPr="00565FAA" w:rsidRDefault="00396DE0" w:rsidP="009B5341">
            <w:pPr>
              <w:jc w:val="center"/>
              <w:rPr>
                <w:b/>
                <w:bCs/>
              </w:rPr>
            </w:pPr>
          </w:p>
        </w:tc>
        <w:tc>
          <w:tcPr>
            <w:tcW w:w="1298" w:type="dxa"/>
            <w:tcBorders>
              <w:bottom w:val="single" w:sz="4" w:space="0" w:color="000000"/>
              <w:right w:val="single" w:sz="4" w:space="0" w:color="000000"/>
            </w:tcBorders>
            <w:shd w:val="clear" w:color="auto" w:fill="auto"/>
            <w:vAlign w:val="center"/>
          </w:tcPr>
          <w:p w14:paraId="45922D23" w14:textId="77777777" w:rsidR="00396DE0" w:rsidRPr="00565FAA" w:rsidRDefault="00396DE0" w:rsidP="009B5341">
            <w:pPr>
              <w:jc w:val="center"/>
              <w:rPr>
                <w:b/>
                <w:bCs/>
              </w:rPr>
            </w:pPr>
          </w:p>
        </w:tc>
        <w:tc>
          <w:tcPr>
            <w:tcW w:w="1137" w:type="dxa"/>
            <w:tcBorders>
              <w:bottom w:val="single" w:sz="4" w:space="0" w:color="000000"/>
              <w:right w:val="single" w:sz="4" w:space="0" w:color="000000"/>
            </w:tcBorders>
            <w:shd w:val="clear" w:color="auto" w:fill="auto"/>
            <w:vAlign w:val="center"/>
          </w:tcPr>
          <w:p w14:paraId="13DA6F89" w14:textId="77777777" w:rsidR="00396DE0" w:rsidRPr="00565FAA" w:rsidRDefault="00396DE0" w:rsidP="009B5341">
            <w:pPr>
              <w:jc w:val="center"/>
              <w:rPr>
                <w:b/>
                <w:bCs/>
              </w:rPr>
            </w:pPr>
          </w:p>
        </w:tc>
        <w:tc>
          <w:tcPr>
            <w:tcW w:w="1308" w:type="dxa"/>
            <w:tcBorders>
              <w:bottom w:val="single" w:sz="4" w:space="0" w:color="000000"/>
              <w:right w:val="single" w:sz="4" w:space="0" w:color="000000"/>
            </w:tcBorders>
            <w:shd w:val="clear" w:color="auto" w:fill="auto"/>
            <w:vAlign w:val="center"/>
          </w:tcPr>
          <w:p w14:paraId="3DF589C0" w14:textId="77777777" w:rsidR="00396DE0" w:rsidRPr="00565FAA" w:rsidRDefault="00396DE0" w:rsidP="009B5341">
            <w:pPr>
              <w:jc w:val="center"/>
              <w:rPr>
                <w:b/>
                <w:bCs/>
              </w:rPr>
            </w:pPr>
          </w:p>
        </w:tc>
      </w:tr>
      <w:tr w:rsidR="0091727A" w:rsidRPr="00565FAA" w14:paraId="25A69AE0" w14:textId="77777777" w:rsidTr="00494D97">
        <w:trPr>
          <w:trHeight w:val="357"/>
        </w:trPr>
        <w:tc>
          <w:tcPr>
            <w:tcW w:w="562" w:type="dxa"/>
            <w:gridSpan w:val="2"/>
            <w:tcBorders>
              <w:left w:val="single" w:sz="4" w:space="0" w:color="000000"/>
              <w:bottom w:val="single" w:sz="4" w:space="0" w:color="000000"/>
              <w:right w:val="single" w:sz="4" w:space="0" w:color="000000"/>
            </w:tcBorders>
            <w:shd w:val="clear" w:color="auto" w:fill="auto"/>
            <w:vAlign w:val="center"/>
          </w:tcPr>
          <w:p w14:paraId="4925EDE6" w14:textId="77777777" w:rsidR="0091727A" w:rsidRPr="00565FAA" w:rsidRDefault="0091727A" w:rsidP="009B5341">
            <w:pPr>
              <w:jc w:val="center"/>
              <w:textAlignment w:val="bottom"/>
            </w:pPr>
            <w:r w:rsidRPr="00565FAA">
              <w:t>9</w:t>
            </w:r>
          </w:p>
        </w:tc>
        <w:tc>
          <w:tcPr>
            <w:tcW w:w="851" w:type="dxa"/>
            <w:tcBorders>
              <w:left w:val="single" w:sz="4" w:space="0" w:color="000000"/>
              <w:bottom w:val="single" w:sz="4" w:space="0" w:color="000000"/>
              <w:right w:val="single" w:sz="4" w:space="0" w:color="000000"/>
            </w:tcBorders>
            <w:shd w:val="clear" w:color="auto" w:fill="auto"/>
            <w:vAlign w:val="center"/>
          </w:tcPr>
          <w:p w14:paraId="4F246EAA" w14:textId="77777777" w:rsidR="0091727A" w:rsidRPr="00565FAA" w:rsidRDefault="0091727A" w:rsidP="009B5341">
            <w:pPr>
              <w:jc w:val="center"/>
            </w:pPr>
            <w:r w:rsidRPr="00565FAA">
              <w:t>7</w:t>
            </w:r>
          </w:p>
        </w:tc>
        <w:tc>
          <w:tcPr>
            <w:tcW w:w="13920" w:type="dxa"/>
            <w:gridSpan w:val="9"/>
            <w:tcBorders>
              <w:left w:val="single" w:sz="4" w:space="0" w:color="000000"/>
              <w:bottom w:val="single" w:sz="4" w:space="0" w:color="000000"/>
              <w:right w:val="single" w:sz="4" w:space="0" w:color="000000"/>
            </w:tcBorders>
            <w:shd w:val="clear" w:color="auto" w:fill="auto"/>
            <w:vAlign w:val="center"/>
          </w:tcPr>
          <w:p w14:paraId="1288D02A" w14:textId="3F4AA0E7" w:rsidR="0091727A" w:rsidRPr="00565FAA" w:rsidRDefault="0091727A" w:rsidP="0091727A">
            <w:pPr>
              <w:jc w:val="left"/>
              <w:rPr>
                <w:b/>
                <w:bCs/>
              </w:rPr>
            </w:pPr>
            <w:r w:rsidRPr="00565FAA">
              <w:t>Різниця між доступною та необхідною внутрішньою ліквідністю</w:t>
            </w:r>
            <w:r w:rsidR="009C3ED9" w:rsidRPr="00565FAA">
              <w:t>:</w:t>
            </w:r>
          </w:p>
        </w:tc>
      </w:tr>
      <w:tr w:rsidR="00396DE0" w:rsidRPr="00565FAA" w14:paraId="4F279DEB" w14:textId="77777777" w:rsidTr="00494D97">
        <w:trPr>
          <w:trHeight w:val="357"/>
        </w:trPr>
        <w:tc>
          <w:tcPr>
            <w:tcW w:w="562" w:type="dxa"/>
            <w:gridSpan w:val="2"/>
            <w:tcBorders>
              <w:left w:val="single" w:sz="4" w:space="0" w:color="000000"/>
              <w:bottom w:val="single" w:sz="4" w:space="0" w:color="000000"/>
              <w:right w:val="single" w:sz="4" w:space="0" w:color="000000"/>
            </w:tcBorders>
            <w:shd w:val="clear" w:color="auto" w:fill="auto"/>
            <w:vAlign w:val="center"/>
          </w:tcPr>
          <w:p w14:paraId="03903F06" w14:textId="77777777" w:rsidR="00396DE0" w:rsidRPr="00565FAA" w:rsidRDefault="00396DE0" w:rsidP="009B5341">
            <w:pPr>
              <w:jc w:val="center"/>
              <w:textAlignment w:val="bottom"/>
            </w:pPr>
            <w:r w:rsidRPr="00565FAA">
              <w:t>10</w:t>
            </w:r>
          </w:p>
        </w:tc>
        <w:tc>
          <w:tcPr>
            <w:tcW w:w="851" w:type="dxa"/>
            <w:tcBorders>
              <w:left w:val="single" w:sz="4" w:space="0" w:color="000000"/>
              <w:bottom w:val="single" w:sz="4" w:space="0" w:color="000000"/>
              <w:right w:val="single" w:sz="4" w:space="0" w:color="000000"/>
            </w:tcBorders>
            <w:shd w:val="clear" w:color="auto" w:fill="auto"/>
            <w:vAlign w:val="center"/>
          </w:tcPr>
          <w:p w14:paraId="4FCE6CC5" w14:textId="77777777" w:rsidR="00396DE0" w:rsidRPr="00565FAA" w:rsidRDefault="00396DE0" w:rsidP="009B5341">
            <w:pPr>
              <w:jc w:val="center"/>
              <w:rPr>
                <w:iCs/>
              </w:rPr>
            </w:pPr>
            <w:r w:rsidRPr="00565FAA">
              <w:rPr>
                <w:iCs/>
              </w:rPr>
              <w:t>7.1</w:t>
            </w:r>
          </w:p>
        </w:tc>
        <w:tc>
          <w:tcPr>
            <w:tcW w:w="5940" w:type="dxa"/>
            <w:tcBorders>
              <w:left w:val="single" w:sz="4" w:space="0" w:color="000000"/>
              <w:bottom w:val="single" w:sz="4" w:space="0" w:color="000000"/>
              <w:right w:val="single" w:sz="4" w:space="0" w:color="000000"/>
            </w:tcBorders>
            <w:shd w:val="clear" w:color="auto" w:fill="auto"/>
            <w:vAlign w:val="center"/>
          </w:tcPr>
          <w:p w14:paraId="3D2FA61F" w14:textId="1C285939" w:rsidR="00396DE0" w:rsidRPr="00565FAA" w:rsidRDefault="00396DE0" w:rsidP="009B5341">
            <w:pPr>
              <w:ind w:left="-57" w:right="-170"/>
              <w:rPr>
                <w:iCs/>
              </w:rPr>
            </w:pPr>
            <w:r w:rsidRPr="00565FAA">
              <w:rPr>
                <w:iCs/>
              </w:rPr>
              <w:t>позитивна різниця (немає потреби в ліквідності)</w:t>
            </w:r>
            <w:r w:rsidR="007B170C">
              <w:rPr>
                <w:iCs/>
              </w:rPr>
              <w:t>,</w:t>
            </w:r>
            <w:r w:rsidRPr="00565FAA">
              <w:rPr>
                <w:iCs/>
              </w:rPr>
              <w:t>,</w:t>
            </w:r>
            <w:r w:rsidRPr="00565FAA">
              <w:rPr>
                <w:iCs/>
              </w:rPr>
              <w:br/>
              <w:t>тис. грн</w:t>
            </w:r>
          </w:p>
        </w:tc>
        <w:tc>
          <w:tcPr>
            <w:tcW w:w="693" w:type="dxa"/>
            <w:gridSpan w:val="2"/>
            <w:tcBorders>
              <w:bottom w:val="single" w:sz="4" w:space="0" w:color="000000"/>
              <w:right w:val="single" w:sz="4" w:space="0" w:color="000000"/>
            </w:tcBorders>
            <w:shd w:val="clear" w:color="auto" w:fill="auto"/>
            <w:vAlign w:val="center"/>
          </w:tcPr>
          <w:p w14:paraId="6804C3F5" w14:textId="77777777" w:rsidR="00396DE0" w:rsidRPr="00565FAA" w:rsidRDefault="00396DE0" w:rsidP="009B5341">
            <w:pPr>
              <w:jc w:val="center"/>
            </w:pPr>
          </w:p>
        </w:tc>
        <w:tc>
          <w:tcPr>
            <w:tcW w:w="1157" w:type="dxa"/>
            <w:tcBorders>
              <w:bottom w:val="single" w:sz="4" w:space="0" w:color="000000"/>
              <w:right w:val="single" w:sz="4" w:space="0" w:color="000000"/>
            </w:tcBorders>
            <w:shd w:val="clear" w:color="auto" w:fill="auto"/>
            <w:vAlign w:val="center"/>
          </w:tcPr>
          <w:p w14:paraId="19DE7FE6" w14:textId="77777777" w:rsidR="00396DE0" w:rsidRPr="00565FAA" w:rsidRDefault="00396DE0" w:rsidP="009B5341">
            <w:pPr>
              <w:jc w:val="center"/>
              <w:rPr>
                <w:b/>
                <w:bCs/>
              </w:rPr>
            </w:pPr>
          </w:p>
        </w:tc>
        <w:tc>
          <w:tcPr>
            <w:tcW w:w="1276" w:type="dxa"/>
            <w:tcBorders>
              <w:bottom w:val="single" w:sz="4" w:space="0" w:color="000000"/>
              <w:right w:val="single" w:sz="4" w:space="0" w:color="000000"/>
            </w:tcBorders>
            <w:shd w:val="clear" w:color="auto" w:fill="auto"/>
            <w:vAlign w:val="center"/>
          </w:tcPr>
          <w:p w14:paraId="07DD51A1" w14:textId="77777777" w:rsidR="00396DE0" w:rsidRPr="00565FAA" w:rsidRDefault="00396DE0" w:rsidP="009B5341">
            <w:pPr>
              <w:jc w:val="center"/>
              <w:rPr>
                <w:b/>
                <w:bCs/>
              </w:rPr>
            </w:pPr>
          </w:p>
        </w:tc>
        <w:tc>
          <w:tcPr>
            <w:tcW w:w="1111" w:type="dxa"/>
            <w:tcBorders>
              <w:bottom w:val="single" w:sz="4" w:space="0" w:color="000000"/>
              <w:right w:val="single" w:sz="4" w:space="0" w:color="000000"/>
            </w:tcBorders>
            <w:shd w:val="clear" w:color="auto" w:fill="auto"/>
            <w:vAlign w:val="center"/>
          </w:tcPr>
          <w:p w14:paraId="5091545F" w14:textId="77777777" w:rsidR="00396DE0" w:rsidRPr="00565FAA" w:rsidRDefault="00396DE0" w:rsidP="009B5341">
            <w:pPr>
              <w:jc w:val="center"/>
              <w:rPr>
                <w:b/>
                <w:bCs/>
              </w:rPr>
            </w:pPr>
          </w:p>
        </w:tc>
        <w:tc>
          <w:tcPr>
            <w:tcW w:w="1298" w:type="dxa"/>
            <w:tcBorders>
              <w:bottom w:val="single" w:sz="4" w:space="0" w:color="000000"/>
              <w:right w:val="single" w:sz="4" w:space="0" w:color="000000"/>
            </w:tcBorders>
            <w:shd w:val="clear" w:color="auto" w:fill="auto"/>
            <w:vAlign w:val="center"/>
          </w:tcPr>
          <w:p w14:paraId="725E93E7" w14:textId="77777777" w:rsidR="00396DE0" w:rsidRPr="00565FAA" w:rsidRDefault="00396DE0" w:rsidP="009B5341">
            <w:pPr>
              <w:jc w:val="center"/>
              <w:rPr>
                <w:b/>
                <w:bCs/>
              </w:rPr>
            </w:pPr>
          </w:p>
        </w:tc>
        <w:tc>
          <w:tcPr>
            <w:tcW w:w="1137" w:type="dxa"/>
            <w:tcBorders>
              <w:bottom w:val="single" w:sz="4" w:space="0" w:color="000000"/>
              <w:right w:val="single" w:sz="4" w:space="0" w:color="000000"/>
            </w:tcBorders>
            <w:shd w:val="clear" w:color="auto" w:fill="auto"/>
            <w:vAlign w:val="center"/>
          </w:tcPr>
          <w:p w14:paraId="315D0B7E" w14:textId="77777777" w:rsidR="00396DE0" w:rsidRPr="00565FAA" w:rsidRDefault="00396DE0" w:rsidP="009B5341">
            <w:pPr>
              <w:jc w:val="center"/>
              <w:rPr>
                <w:b/>
                <w:bCs/>
              </w:rPr>
            </w:pPr>
          </w:p>
        </w:tc>
        <w:tc>
          <w:tcPr>
            <w:tcW w:w="1308" w:type="dxa"/>
            <w:tcBorders>
              <w:bottom w:val="single" w:sz="4" w:space="0" w:color="000000"/>
              <w:right w:val="single" w:sz="4" w:space="0" w:color="000000"/>
            </w:tcBorders>
            <w:shd w:val="clear" w:color="auto" w:fill="auto"/>
            <w:vAlign w:val="center"/>
          </w:tcPr>
          <w:p w14:paraId="598E9CF1" w14:textId="77777777" w:rsidR="00396DE0" w:rsidRPr="00565FAA" w:rsidRDefault="00396DE0" w:rsidP="009B5341">
            <w:pPr>
              <w:jc w:val="center"/>
              <w:rPr>
                <w:b/>
                <w:bCs/>
              </w:rPr>
            </w:pPr>
          </w:p>
        </w:tc>
      </w:tr>
      <w:tr w:rsidR="00396DE0" w:rsidRPr="00FD020B" w14:paraId="5F792CA4" w14:textId="77777777" w:rsidTr="00494D97">
        <w:trPr>
          <w:trHeight w:val="357"/>
        </w:trPr>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E22E71" w14:textId="77777777" w:rsidR="00396DE0" w:rsidRPr="00FD020B" w:rsidRDefault="00396DE0" w:rsidP="009B5341">
            <w:pPr>
              <w:jc w:val="center"/>
              <w:textAlignment w:val="bottom"/>
            </w:pPr>
            <w:r w:rsidRPr="00FD020B">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785F" w14:textId="77777777" w:rsidR="00396DE0" w:rsidRPr="00FD020B" w:rsidRDefault="00396DE0" w:rsidP="009B5341">
            <w:pPr>
              <w:jc w:val="center"/>
              <w:rPr>
                <w:iCs/>
              </w:rPr>
            </w:pPr>
            <w:r w:rsidRPr="00FD020B">
              <w:rPr>
                <w:iCs/>
              </w:rPr>
              <w:t>7.2</w:t>
            </w:r>
          </w:p>
        </w:tc>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2ADC0" w14:textId="77777777" w:rsidR="00396DE0" w:rsidRPr="00FD020B" w:rsidRDefault="00396DE0" w:rsidP="009B5341">
            <w:pPr>
              <w:ind w:left="-57"/>
              <w:rPr>
                <w:iCs/>
              </w:rPr>
            </w:pPr>
            <w:r w:rsidRPr="00FD020B">
              <w:rPr>
                <w:iCs/>
              </w:rPr>
              <w:t>негативна різниця (є потреба в ліквідності), тис. грн</w:t>
            </w:r>
          </w:p>
        </w:tc>
        <w:tc>
          <w:tcPr>
            <w:tcW w:w="693" w:type="dxa"/>
            <w:gridSpan w:val="2"/>
            <w:tcBorders>
              <w:top w:val="single" w:sz="4" w:space="0" w:color="000000"/>
              <w:bottom w:val="single" w:sz="4" w:space="0" w:color="000000"/>
              <w:right w:val="single" w:sz="4" w:space="0" w:color="000000"/>
            </w:tcBorders>
            <w:shd w:val="clear" w:color="auto" w:fill="auto"/>
            <w:vAlign w:val="center"/>
          </w:tcPr>
          <w:p w14:paraId="4D108567" w14:textId="77777777" w:rsidR="00396DE0" w:rsidRPr="00FD020B" w:rsidRDefault="00396DE0" w:rsidP="009B5341">
            <w:pPr>
              <w:jc w:val="center"/>
            </w:pPr>
          </w:p>
        </w:tc>
        <w:tc>
          <w:tcPr>
            <w:tcW w:w="1157" w:type="dxa"/>
            <w:tcBorders>
              <w:top w:val="single" w:sz="4" w:space="0" w:color="000000"/>
              <w:bottom w:val="single" w:sz="4" w:space="0" w:color="000000"/>
              <w:right w:val="single" w:sz="4" w:space="0" w:color="000000"/>
            </w:tcBorders>
            <w:shd w:val="clear" w:color="auto" w:fill="auto"/>
            <w:vAlign w:val="center"/>
          </w:tcPr>
          <w:p w14:paraId="0DDA946A" w14:textId="77777777" w:rsidR="00396DE0" w:rsidRPr="00FD020B" w:rsidRDefault="00396DE0" w:rsidP="009B5341">
            <w:pPr>
              <w:jc w:val="center"/>
              <w:rPr>
                <w:b/>
                <w:bCs/>
              </w:rPr>
            </w:pPr>
          </w:p>
        </w:tc>
        <w:tc>
          <w:tcPr>
            <w:tcW w:w="1276" w:type="dxa"/>
            <w:tcBorders>
              <w:top w:val="single" w:sz="4" w:space="0" w:color="000000"/>
              <w:bottom w:val="single" w:sz="4" w:space="0" w:color="000000"/>
              <w:right w:val="single" w:sz="4" w:space="0" w:color="000000"/>
            </w:tcBorders>
            <w:shd w:val="clear" w:color="auto" w:fill="auto"/>
            <w:vAlign w:val="center"/>
          </w:tcPr>
          <w:p w14:paraId="157C71BD" w14:textId="77777777" w:rsidR="00396DE0" w:rsidRPr="00FD020B" w:rsidRDefault="00396DE0" w:rsidP="009B5341">
            <w:pPr>
              <w:jc w:val="center"/>
              <w:rPr>
                <w:b/>
                <w:bCs/>
              </w:rPr>
            </w:pPr>
          </w:p>
        </w:tc>
        <w:tc>
          <w:tcPr>
            <w:tcW w:w="1111" w:type="dxa"/>
            <w:tcBorders>
              <w:top w:val="single" w:sz="4" w:space="0" w:color="000000"/>
              <w:bottom w:val="single" w:sz="4" w:space="0" w:color="000000"/>
              <w:right w:val="single" w:sz="4" w:space="0" w:color="000000"/>
            </w:tcBorders>
            <w:shd w:val="clear" w:color="auto" w:fill="auto"/>
            <w:vAlign w:val="center"/>
          </w:tcPr>
          <w:p w14:paraId="62242138" w14:textId="77777777" w:rsidR="00396DE0" w:rsidRPr="00FD020B" w:rsidRDefault="00396DE0" w:rsidP="009B5341">
            <w:pPr>
              <w:jc w:val="center"/>
              <w:rPr>
                <w:b/>
                <w:bCs/>
              </w:rPr>
            </w:pPr>
          </w:p>
        </w:tc>
        <w:tc>
          <w:tcPr>
            <w:tcW w:w="1298" w:type="dxa"/>
            <w:tcBorders>
              <w:top w:val="single" w:sz="4" w:space="0" w:color="000000"/>
              <w:bottom w:val="single" w:sz="4" w:space="0" w:color="000000"/>
              <w:right w:val="single" w:sz="4" w:space="0" w:color="000000"/>
            </w:tcBorders>
            <w:shd w:val="clear" w:color="auto" w:fill="auto"/>
            <w:vAlign w:val="center"/>
          </w:tcPr>
          <w:p w14:paraId="1F1B5F13" w14:textId="77777777" w:rsidR="00396DE0" w:rsidRPr="00FD020B" w:rsidRDefault="00396DE0" w:rsidP="009B5341">
            <w:pPr>
              <w:jc w:val="center"/>
              <w:rPr>
                <w:b/>
                <w:bCs/>
              </w:rPr>
            </w:pPr>
          </w:p>
        </w:tc>
        <w:tc>
          <w:tcPr>
            <w:tcW w:w="1137" w:type="dxa"/>
            <w:tcBorders>
              <w:top w:val="single" w:sz="4" w:space="0" w:color="000000"/>
              <w:bottom w:val="single" w:sz="4" w:space="0" w:color="000000"/>
              <w:right w:val="single" w:sz="4" w:space="0" w:color="000000"/>
            </w:tcBorders>
            <w:shd w:val="clear" w:color="auto" w:fill="auto"/>
            <w:vAlign w:val="center"/>
          </w:tcPr>
          <w:p w14:paraId="781B2DCC" w14:textId="77777777" w:rsidR="00396DE0" w:rsidRPr="00FD020B" w:rsidRDefault="00396DE0" w:rsidP="009B5341">
            <w:pPr>
              <w:jc w:val="center"/>
              <w:rPr>
                <w:b/>
                <w:bCs/>
              </w:rPr>
            </w:pPr>
          </w:p>
        </w:tc>
        <w:tc>
          <w:tcPr>
            <w:tcW w:w="1308" w:type="dxa"/>
            <w:tcBorders>
              <w:top w:val="single" w:sz="4" w:space="0" w:color="000000"/>
              <w:bottom w:val="single" w:sz="4" w:space="0" w:color="000000"/>
              <w:right w:val="single" w:sz="4" w:space="0" w:color="000000"/>
            </w:tcBorders>
            <w:shd w:val="clear" w:color="auto" w:fill="auto"/>
            <w:vAlign w:val="center"/>
          </w:tcPr>
          <w:p w14:paraId="45B8D967" w14:textId="77777777" w:rsidR="00396DE0" w:rsidRPr="00FD020B" w:rsidRDefault="00396DE0" w:rsidP="009B5341">
            <w:pPr>
              <w:jc w:val="center"/>
              <w:rPr>
                <w:b/>
                <w:bCs/>
              </w:rPr>
            </w:pPr>
          </w:p>
        </w:tc>
      </w:tr>
    </w:tbl>
    <w:p w14:paraId="495173B4" w14:textId="77777777" w:rsidR="00396DE0" w:rsidRPr="000D07CA" w:rsidRDefault="00396DE0" w:rsidP="00396DE0">
      <w:pPr>
        <w:jc w:val="center"/>
        <w:rPr>
          <w:sz w:val="4"/>
          <w:szCs w:val="4"/>
        </w:rPr>
      </w:pPr>
    </w:p>
    <w:p w14:paraId="53391FC0" w14:textId="1993A493" w:rsidR="008F621B" w:rsidRPr="00FD020B" w:rsidRDefault="008F621B" w:rsidP="00FD020B">
      <w:pPr>
        <w:ind w:left="5528"/>
        <w:jc w:val="left"/>
        <w:rPr>
          <w:sz w:val="2"/>
          <w:szCs w:val="2"/>
        </w:rPr>
      </w:pPr>
    </w:p>
    <w:sectPr w:rsidR="008F621B" w:rsidRPr="00FD020B" w:rsidSect="000F13DD">
      <w:headerReference w:type="default" r:id="rId23"/>
      <w:type w:val="continuous"/>
      <w:pgSz w:w="16838" w:h="11906" w:orient="landscape"/>
      <w:pgMar w:top="567" w:right="851" w:bottom="1701" w:left="851" w:header="709"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4794E" w14:textId="77777777" w:rsidR="00AA4955" w:rsidRDefault="00AA4955" w:rsidP="00B812CD">
      <w:r>
        <w:separator/>
      </w:r>
    </w:p>
  </w:endnote>
  <w:endnote w:type="continuationSeparator" w:id="0">
    <w:p w14:paraId="4F8374C6" w14:textId="77777777" w:rsidR="00AA4955" w:rsidRDefault="00AA4955" w:rsidP="00B8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default"/>
    <w:sig w:usb0="A00002AF" w:usb1="500078FB" w:usb2="00000000" w:usb3="00000000" w:csb0="6000009F" w:csb1="DFD70000"/>
  </w:font>
  <w:font w:name="Noto Sans CJK SC">
    <w:charset w:val="86"/>
    <w:family w:val="auto"/>
    <w:pitch w:val="default"/>
    <w:sig w:usb0="30000003" w:usb1="2BDF3C10" w:usb2="00000016" w:usb3="00000000" w:csb0="602E0107" w:csb1="00000000"/>
  </w:font>
  <w:font w:name="FreeSans">
    <w:altName w:val="Times New Roman"/>
    <w:charset w:val="00"/>
    <w:family w:val="auto"/>
    <w:pitch w:val="default"/>
    <w:sig w:usb0="E4839EFF" w:usb1="4600FDFF" w:usb2="000030A0" w:usb3="00000584" w:csb0="600001BF" w:csb1="DFF7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B49E" w14:textId="77777777" w:rsidR="00AA4955" w:rsidRDefault="00AA4955" w:rsidP="00B812CD">
      <w:r>
        <w:separator/>
      </w:r>
    </w:p>
  </w:footnote>
  <w:footnote w:type="continuationSeparator" w:id="0">
    <w:p w14:paraId="63AF9508" w14:textId="77777777" w:rsidR="00AA4955" w:rsidRDefault="00AA4955" w:rsidP="00B8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14547"/>
      <w:docPartObj>
        <w:docPartGallery w:val="Page Numbers (Top of Page)"/>
        <w:docPartUnique/>
      </w:docPartObj>
    </w:sdtPr>
    <w:sdtEndPr/>
    <w:sdtContent>
      <w:p w14:paraId="760C98C0" w14:textId="0F537AAA" w:rsidR="00EC2148" w:rsidRDefault="00EC2148">
        <w:pPr>
          <w:pStyle w:val="a5"/>
          <w:jc w:val="center"/>
        </w:pPr>
        <w:r>
          <w:fldChar w:fldCharType="begin"/>
        </w:r>
        <w:r>
          <w:instrText>PAGE   \* MERGEFORMAT</w:instrText>
        </w:r>
        <w:r>
          <w:fldChar w:fldCharType="separate"/>
        </w:r>
        <w:r w:rsidR="006A4626">
          <w:rPr>
            <w:noProof/>
          </w:rPr>
          <w:t>2</w:t>
        </w:r>
        <w:r>
          <w:fldChar w:fldCharType="end"/>
        </w:r>
      </w:p>
    </w:sdtContent>
  </w:sdt>
  <w:p w14:paraId="5C4D01B3" w14:textId="77777777" w:rsidR="00EC2148" w:rsidRDefault="00EC2148">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1918" w14:textId="6AA2ADD1" w:rsidR="00EC2148" w:rsidRPr="000F13DD" w:rsidRDefault="00EC2148" w:rsidP="00952EDF">
    <w:pPr>
      <w:pStyle w:val="a5"/>
      <w:jc w:val="cent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723114"/>
    </w:sdtPr>
    <w:sdtEndPr/>
    <w:sdtContent>
      <w:p w14:paraId="0FABA4E4" w14:textId="4B1E5A73" w:rsidR="00EC2148" w:rsidRDefault="00EC2148" w:rsidP="00FE65B4">
        <w:pPr>
          <w:pStyle w:val="a5"/>
          <w:jc w:val="right"/>
        </w:pPr>
        <w:r>
          <w:fldChar w:fldCharType="begin"/>
        </w:r>
        <w:r>
          <w:instrText>PAGE</w:instrText>
        </w:r>
        <w:r>
          <w:fldChar w:fldCharType="separate"/>
        </w:r>
        <w:r w:rsidR="006A4626">
          <w:rPr>
            <w:noProof/>
          </w:rPr>
          <w:t>7</w:t>
        </w:r>
        <w:r>
          <w:fldChar w:fldCharType="end"/>
        </w:r>
        <w:r>
          <w:rPr>
            <w:lang w:val="en-US"/>
          </w:rPr>
          <w:t xml:space="preserve">                                                                           </w:t>
        </w:r>
        <w:r w:rsidRPr="000D07CA">
          <w:t>Продовження додатка 3</w:t>
        </w:r>
      </w:p>
      <w:p w14:paraId="46E16C9C" w14:textId="55024AD2" w:rsidR="00EC2148" w:rsidRDefault="00EC2148" w:rsidP="00FE65B4">
        <w:pPr>
          <w:pStyle w:val="a5"/>
          <w:jc w:val="right"/>
        </w:pPr>
        <w:r w:rsidRPr="000D07CA">
          <w:t xml:space="preserve">Продовження </w:t>
        </w:r>
        <w:r>
          <w:rPr>
            <w:lang w:val="ru-RU"/>
          </w:rPr>
          <w:t>таблиц</w:t>
        </w:r>
        <w:r>
          <w:t>і 1</w:t>
        </w:r>
      </w:p>
    </w:sdtContent>
  </w:sdt>
  <w:p w14:paraId="511075D6" w14:textId="77777777" w:rsidR="00EC2148" w:rsidRDefault="00EC2148" w:rsidP="001C7CAC">
    <w:pPr>
      <w:jc w:val="right"/>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880D" w14:textId="64BF594F" w:rsidR="00EC2148" w:rsidRDefault="00AA4955" w:rsidP="000F13DD">
    <w:pPr>
      <w:pStyle w:val="aa"/>
      <w:shd w:val="clear" w:color="auto" w:fill="FFFFFF" w:themeFill="background1"/>
      <w:tabs>
        <w:tab w:val="left" w:pos="709"/>
        <w:tab w:val="left" w:pos="1134"/>
        <w:tab w:val="left" w:pos="1276"/>
        <w:tab w:val="left" w:pos="1701"/>
        <w:tab w:val="left" w:pos="1985"/>
      </w:tabs>
      <w:ind w:left="709"/>
      <w:jc w:val="right"/>
      <w:rPr>
        <w:sz w:val="28"/>
        <w:szCs w:val="28"/>
      </w:rPr>
    </w:pPr>
    <w:sdt>
      <w:sdtPr>
        <w:id w:val="827174489"/>
      </w:sdtPr>
      <w:sdtEndPr/>
      <w:sdtContent>
        <w:r w:rsidR="00EC2148" w:rsidRPr="001C7CAC">
          <w:rPr>
            <w:sz w:val="28"/>
            <w:szCs w:val="28"/>
          </w:rPr>
          <w:fldChar w:fldCharType="begin"/>
        </w:r>
        <w:r w:rsidR="00EC2148" w:rsidRPr="001C7CAC">
          <w:rPr>
            <w:sz w:val="28"/>
            <w:szCs w:val="28"/>
          </w:rPr>
          <w:instrText>PAGE</w:instrText>
        </w:r>
        <w:r w:rsidR="00EC2148" w:rsidRPr="001C7CAC">
          <w:rPr>
            <w:sz w:val="28"/>
            <w:szCs w:val="28"/>
          </w:rPr>
          <w:fldChar w:fldCharType="separate"/>
        </w:r>
        <w:r w:rsidR="006A4626">
          <w:rPr>
            <w:noProof/>
            <w:sz w:val="28"/>
            <w:szCs w:val="28"/>
          </w:rPr>
          <w:t>6</w:t>
        </w:r>
        <w:r w:rsidR="00EC2148" w:rsidRPr="001C7CAC">
          <w:rPr>
            <w:sz w:val="28"/>
            <w:szCs w:val="28"/>
          </w:rPr>
          <w:fldChar w:fldCharType="end"/>
        </w:r>
        <w:r w:rsidR="00EC2148" w:rsidRPr="001C7CAC">
          <w:rPr>
            <w:sz w:val="28"/>
            <w:szCs w:val="28"/>
            <w:lang w:val="en-US"/>
          </w:rPr>
          <w:t xml:space="preserve">  </w:t>
        </w:r>
        <w:r w:rsidR="00EC2148">
          <w:rPr>
            <w:lang w:val="en-US"/>
          </w:rPr>
          <w:t xml:space="preserve">         </w:t>
        </w:r>
        <w:r w:rsidR="00EC2148">
          <w:t xml:space="preserve">                                                    </w:t>
        </w:r>
        <w:r w:rsidR="00EC2148">
          <w:rPr>
            <w:lang w:val="en-US"/>
          </w:rPr>
          <w:t xml:space="preserve">                                </w:t>
        </w:r>
        <w:r w:rsidR="00EC2148" w:rsidRPr="000D07CA">
          <w:rPr>
            <w:sz w:val="28"/>
            <w:szCs w:val="28"/>
          </w:rPr>
          <w:t xml:space="preserve">Продовження додатка </w:t>
        </w:r>
        <w:r w:rsidR="00EC2148">
          <w:rPr>
            <w:sz w:val="28"/>
            <w:szCs w:val="28"/>
            <w:lang w:val="en-US"/>
          </w:rPr>
          <w:t>3</w:t>
        </w:r>
      </w:sdtContent>
    </w:sdt>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66162"/>
    </w:sdtPr>
    <w:sdtEndPr/>
    <w:sdtContent>
      <w:p w14:paraId="4D4E31F8" w14:textId="31D18746" w:rsidR="00EC2148" w:rsidRDefault="00EC2148" w:rsidP="00FE65B4">
        <w:pPr>
          <w:pStyle w:val="a5"/>
          <w:jc w:val="right"/>
        </w:pPr>
        <w:r>
          <w:fldChar w:fldCharType="begin"/>
        </w:r>
        <w:r>
          <w:instrText>PAGE</w:instrText>
        </w:r>
        <w:r>
          <w:fldChar w:fldCharType="separate"/>
        </w:r>
        <w:r w:rsidR="006A4626">
          <w:rPr>
            <w:noProof/>
          </w:rPr>
          <w:t>8</w:t>
        </w:r>
        <w:r>
          <w:fldChar w:fldCharType="end"/>
        </w:r>
        <w:r>
          <w:rPr>
            <w:lang w:val="en-US"/>
          </w:rPr>
          <w:t xml:space="preserve">                                                                           </w:t>
        </w:r>
        <w:r w:rsidRPr="000D07CA">
          <w:t>Продовження додатка 3</w:t>
        </w:r>
      </w:p>
      <w:p w14:paraId="4BDFCD69" w14:textId="1186AC92" w:rsidR="00EC2148" w:rsidRDefault="00EC2148" w:rsidP="00FE65B4">
        <w:pPr>
          <w:pStyle w:val="a5"/>
          <w:jc w:val="right"/>
        </w:pPr>
        <w:r w:rsidRPr="000D07CA">
          <w:t xml:space="preserve">Продовження </w:t>
        </w:r>
        <w:r>
          <w:rPr>
            <w:lang w:val="ru-RU"/>
          </w:rPr>
          <w:t>таблиц</w:t>
        </w:r>
        <w:r>
          <w:t>і 2</w:t>
        </w:r>
      </w:p>
    </w:sdtContent>
  </w:sdt>
  <w:p w14:paraId="63D81893" w14:textId="77777777" w:rsidR="00EC2148" w:rsidRDefault="00EC2148" w:rsidP="001C7CAC">
    <w:pPr>
      <w:jc w:val="right"/>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58287"/>
    </w:sdtPr>
    <w:sdtEndPr/>
    <w:sdtContent>
      <w:p w14:paraId="79D9C836" w14:textId="44A2D175" w:rsidR="00EC2148" w:rsidRDefault="00EC2148" w:rsidP="00FE65B4">
        <w:pPr>
          <w:pStyle w:val="a5"/>
          <w:jc w:val="right"/>
        </w:pPr>
        <w:r>
          <w:fldChar w:fldCharType="begin"/>
        </w:r>
        <w:r>
          <w:instrText>PAGE</w:instrText>
        </w:r>
        <w:r>
          <w:fldChar w:fldCharType="separate"/>
        </w:r>
        <w:r w:rsidR="006A4626">
          <w:rPr>
            <w:noProof/>
          </w:rPr>
          <w:t>9</w:t>
        </w:r>
        <w:r>
          <w:fldChar w:fldCharType="end"/>
        </w:r>
        <w:r>
          <w:rPr>
            <w:lang w:val="en-US"/>
          </w:rPr>
          <w:t xml:space="preserve">                                                                           </w:t>
        </w:r>
        <w:r w:rsidRPr="000D07CA">
          <w:t>Продовження додатка 3</w:t>
        </w:r>
      </w:p>
      <w:p w14:paraId="32E2C84A" w14:textId="57F27DF9" w:rsidR="00EC2148" w:rsidRDefault="00EC2148" w:rsidP="00FE65B4">
        <w:pPr>
          <w:pStyle w:val="a5"/>
          <w:jc w:val="right"/>
        </w:pPr>
        <w:r w:rsidRPr="000D07CA">
          <w:t xml:space="preserve">Продовження </w:t>
        </w:r>
        <w:r>
          <w:rPr>
            <w:lang w:val="ru-RU"/>
          </w:rPr>
          <w:t>таблиц</w:t>
        </w:r>
        <w:r>
          <w:t>і 3</w:t>
        </w:r>
      </w:p>
    </w:sdtContent>
  </w:sdt>
  <w:p w14:paraId="412A7E59" w14:textId="77777777" w:rsidR="00EC2148" w:rsidRDefault="00EC2148" w:rsidP="001C7CAC">
    <w:pPr>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231D" w14:textId="24752A07" w:rsidR="00EC2148" w:rsidRDefault="00EC2148" w:rsidP="00E46D8B">
    <w:pPr>
      <w:pStyle w:val="aa"/>
      <w:shd w:val="clear" w:color="auto" w:fill="FFFFFF" w:themeFill="background1"/>
      <w:tabs>
        <w:tab w:val="left" w:pos="709"/>
        <w:tab w:val="left" w:pos="1134"/>
        <w:tab w:val="left" w:pos="1276"/>
        <w:tab w:val="left" w:pos="1701"/>
        <w:tab w:val="left" w:pos="1985"/>
      </w:tabs>
      <w:ind w:left="709"/>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605206"/>
      <w:docPartObj>
        <w:docPartGallery w:val="Page Numbers (Top of Page)"/>
        <w:docPartUnique/>
      </w:docPartObj>
    </w:sdtPr>
    <w:sdtEndPr/>
    <w:sdtContent>
      <w:p w14:paraId="5F44176D" w14:textId="1459805B" w:rsidR="00EC2148" w:rsidRDefault="00EC2148">
        <w:pPr>
          <w:pStyle w:val="a5"/>
          <w:jc w:val="center"/>
        </w:pPr>
        <w:r>
          <w:fldChar w:fldCharType="begin"/>
        </w:r>
        <w:r>
          <w:instrText>PAGE   \* MERGEFORMAT</w:instrText>
        </w:r>
        <w:r>
          <w:fldChar w:fldCharType="separate"/>
        </w:r>
        <w:r w:rsidR="006A4626" w:rsidRPr="006A4626">
          <w:rPr>
            <w:noProof/>
            <w:lang w:val="ru-RU"/>
          </w:rPr>
          <w:t>19</w:t>
        </w:r>
        <w:r>
          <w:fldChar w:fldCharType="end"/>
        </w:r>
      </w:p>
    </w:sdtContent>
  </w:sdt>
  <w:p w14:paraId="52439E24" w14:textId="77777777" w:rsidR="00EC2148" w:rsidRDefault="00EC2148">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072049403"/>
    </w:sdtPr>
    <w:sdtEndPr/>
    <w:sdtContent>
      <w:p w14:paraId="34F3FB75" w14:textId="6E79922A" w:rsidR="00EC2148" w:rsidRDefault="00EC2148" w:rsidP="00135C5A">
        <w:pPr>
          <w:pStyle w:val="aa"/>
          <w:shd w:val="clear" w:color="auto" w:fill="FFFFFF" w:themeFill="background1"/>
          <w:tabs>
            <w:tab w:val="left" w:pos="709"/>
            <w:tab w:val="left" w:pos="1134"/>
            <w:tab w:val="left" w:pos="1276"/>
            <w:tab w:val="left" w:pos="1701"/>
            <w:tab w:val="left" w:pos="1985"/>
          </w:tabs>
          <w:ind w:left="709"/>
          <w:jc w:val="right"/>
          <w:rPr>
            <w:sz w:val="28"/>
            <w:szCs w:val="28"/>
            <w:lang w:val="en-US"/>
          </w:rPr>
        </w:pPr>
        <w:r w:rsidRPr="001A03FD">
          <w:rPr>
            <w:sz w:val="28"/>
            <w:szCs w:val="28"/>
          </w:rPr>
          <w:fldChar w:fldCharType="begin"/>
        </w:r>
        <w:r w:rsidRPr="001A03FD">
          <w:rPr>
            <w:sz w:val="28"/>
            <w:szCs w:val="28"/>
          </w:rPr>
          <w:instrText>PAGE</w:instrText>
        </w:r>
        <w:r w:rsidRPr="001A03FD">
          <w:rPr>
            <w:sz w:val="28"/>
            <w:szCs w:val="28"/>
          </w:rPr>
          <w:fldChar w:fldCharType="separate"/>
        </w:r>
        <w:r w:rsidR="006A4626">
          <w:rPr>
            <w:noProof/>
            <w:sz w:val="28"/>
            <w:szCs w:val="28"/>
          </w:rPr>
          <w:t>3</w:t>
        </w:r>
        <w:r w:rsidRPr="001A03FD">
          <w:rPr>
            <w:sz w:val="28"/>
            <w:szCs w:val="28"/>
          </w:rPr>
          <w:fldChar w:fldCharType="end"/>
        </w:r>
        <w:r w:rsidRPr="001A03FD">
          <w:rPr>
            <w:sz w:val="28"/>
            <w:szCs w:val="28"/>
            <w:lang w:val="en-US"/>
          </w:rPr>
          <w:t xml:space="preserve">  </w:t>
        </w:r>
        <w:r>
          <w:rPr>
            <w:sz w:val="28"/>
            <w:szCs w:val="28"/>
          </w:rPr>
          <w:t xml:space="preserve">                                                                    </w:t>
        </w:r>
        <w:r w:rsidRPr="001A03FD">
          <w:rPr>
            <w:sz w:val="28"/>
            <w:szCs w:val="28"/>
            <w:lang w:val="en-US"/>
          </w:rPr>
          <w:t xml:space="preserve">  </w:t>
        </w:r>
        <w:proofErr w:type="spellStart"/>
        <w:r w:rsidRPr="001A03FD">
          <w:rPr>
            <w:sz w:val="28"/>
            <w:szCs w:val="28"/>
            <w:lang w:val="en-US"/>
          </w:rPr>
          <w:t>Продовження</w:t>
        </w:r>
        <w:proofErr w:type="spellEnd"/>
        <w:r w:rsidRPr="001A03FD">
          <w:rPr>
            <w:sz w:val="28"/>
            <w:szCs w:val="28"/>
            <w:lang w:val="en-US"/>
          </w:rPr>
          <w:t xml:space="preserve"> </w:t>
        </w:r>
        <w:proofErr w:type="spellStart"/>
        <w:r w:rsidRPr="001A03FD">
          <w:rPr>
            <w:sz w:val="28"/>
            <w:szCs w:val="28"/>
            <w:lang w:val="en-US"/>
          </w:rPr>
          <w:t>додатка</w:t>
        </w:r>
        <w:proofErr w:type="spellEnd"/>
        <w:r w:rsidRPr="001A03FD">
          <w:rPr>
            <w:sz w:val="28"/>
            <w:szCs w:val="28"/>
            <w:lang w:val="en-US"/>
          </w:rPr>
          <w:t xml:space="preserve"> 1</w:t>
        </w:r>
      </w:p>
      <w:p w14:paraId="0DF7B80F" w14:textId="3A64FFED" w:rsidR="00EC2148" w:rsidRPr="001A03FD" w:rsidRDefault="00EC2148" w:rsidP="00135C5A">
        <w:pPr>
          <w:pStyle w:val="aa"/>
          <w:shd w:val="clear" w:color="auto" w:fill="FFFFFF" w:themeFill="background1"/>
          <w:tabs>
            <w:tab w:val="left" w:pos="709"/>
            <w:tab w:val="left" w:pos="1134"/>
            <w:tab w:val="left" w:pos="1276"/>
            <w:tab w:val="left" w:pos="1701"/>
            <w:tab w:val="left" w:pos="1985"/>
          </w:tabs>
          <w:ind w:left="709"/>
          <w:jc w:val="right"/>
          <w:rPr>
            <w:sz w:val="28"/>
            <w:szCs w:val="28"/>
          </w:rPr>
        </w:pPr>
        <w:r w:rsidRPr="000D07CA">
          <w:rPr>
            <w:sz w:val="28"/>
            <w:szCs w:val="28"/>
          </w:rPr>
          <w:t xml:space="preserve">Продовження </w:t>
        </w:r>
        <w:r>
          <w:rPr>
            <w:sz w:val="28"/>
            <w:szCs w:val="28"/>
          </w:rPr>
          <w:t xml:space="preserve">таблиці </w:t>
        </w:r>
        <w:r>
          <w:rPr>
            <w:sz w:val="28"/>
            <w:szCs w:val="28"/>
            <w:lang w:val="en-US"/>
          </w:rPr>
          <w:t>1</w:t>
        </w:r>
      </w:p>
    </w:sdtContent>
  </w:sdt>
  <w:p w14:paraId="735CD51D" w14:textId="77777777" w:rsidR="00EC2148" w:rsidRDefault="00EC2148">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884931"/>
    </w:sdtPr>
    <w:sdtEndPr/>
    <w:sdtContent>
      <w:p w14:paraId="165842C6" w14:textId="0BCC792F" w:rsidR="00EC2148" w:rsidRDefault="00EC2148" w:rsidP="00135C5A">
        <w:pPr>
          <w:pStyle w:val="aa"/>
          <w:shd w:val="clear" w:color="auto" w:fill="FFFFFF" w:themeFill="background1"/>
          <w:tabs>
            <w:tab w:val="left" w:pos="709"/>
            <w:tab w:val="left" w:pos="1134"/>
            <w:tab w:val="left" w:pos="1276"/>
            <w:tab w:val="left" w:pos="1701"/>
            <w:tab w:val="left" w:pos="1985"/>
          </w:tabs>
          <w:ind w:left="709"/>
          <w:jc w:val="right"/>
          <w:rPr>
            <w:sz w:val="28"/>
            <w:szCs w:val="28"/>
          </w:rPr>
        </w:pPr>
        <w:r w:rsidRPr="00135C5A">
          <w:rPr>
            <w:sz w:val="28"/>
            <w:szCs w:val="28"/>
          </w:rPr>
          <w:fldChar w:fldCharType="begin"/>
        </w:r>
        <w:r w:rsidRPr="00135C5A">
          <w:rPr>
            <w:sz w:val="28"/>
            <w:szCs w:val="28"/>
          </w:rPr>
          <w:instrText>PAGE</w:instrText>
        </w:r>
        <w:r w:rsidRPr="00135C5A">
          <w:rPr>
            <w:sz w:val="28"/>
            <w:szCs w:val="28"/>
          </w:rPr>
          <w:fldChar w:fldCharType="separate"/>
        </w:r>
        <w:r w:rsidR="006A4626">
          <w:rPr>
            <w:noProof/>
            <w:sz w:val="28"/>
            <w:szCs w:val="28"/>
          </w:rPr>
          <w:t>5</w:t>
        </w:r>
        <w:r w:rsidRPr="00135C5A">
          <w:rPr>
            <w:sz w:val="28"/>
            <w:szCs w:val="28"/>
          </w:rPr>
          <w:fldChar w:fldCharType="end"/>
        </w:r>
        <w:r w:rsidRPr="00135C5A">
          <w:rPr>
            <w:sz w:val="28"/>
            <w:szCs w:val="28"/>
            <w:lang w:val="en-US"/>
          </w:rPr>
          <w:t xml:space="preserve">   </w:t>
        </w:r>
        <w:r>
          <w:rPr>
            <w:lang w:val="en-US"/>
          </w:rPr>
          <w:t xml:space="preserve">                                                                </w:t>
        </w:r>
        <w:r w:rsidRPr="000D07CA">
          <w:rPr>
            <w:sz w:val="28"/>
            <w:szCs w:val="28"/>
          </w:rPr>
          <w:t xml:space="preserve">Продовження додатка </w:t>
        </w:r>
        <w:r>
          <w:rPr>
            <w:sz w:val="28"/>
            <w:szCs w:val="28"/>
          </w:rPr>
          <w:t>1</w:t>
        </w:r>
      </w:p>
      <w:p w14:paraId="53065C7A" w14:textId="08DF401F" w:rsidR="00EC2148" w:rsidRDefault="00EC2148" w:rsidP="00135C5A">
        <w:pPr>
          <w:pStyle w:val="aa"/>
          <w:shd w:val="clear" w:color="auto" w:fill="FFFFFF" w:themeFill="background1"/>
          <w:tabs>
            <w:tab w:val="left" w:pos="709"/>
            <w:tab w:val="left" w:pos="1134"/>
            <w:tab w:val="left" w:pos="1276"/>
            <w:tab w:val="left" w:pos="1701"/>
            <w:tab w:val="left" w:pos="1985"/>
          </w:tabs>
          <w:ind w:left="709"/>
          <w:jc w:val="right"/>
        </w:pPr>
        <w:r w:rsidRPr="000D07CA">
          <w:rPr>
            <w:sz w:val="28"/>
            <w:szCs w:val="28"/>
          </w:rPr>
          <w:t xml:space="preserve">Продовження </w:t>
        </w:r>
        <w:r>
          <w:rPr>
            <w:sz w:val="28"/>
            <w:szCs w:val="28"/>
          </w:rPr>
          <w:t xml:space="preserve">таблиці </w:t>
        </w:r>
        <w:r>
          <w:rPr>
            <w:sz w:val="28"/>
            <w:szCs w:val="28"/>
            <w:lang w:val="en-US"/>
          </w:rPr>
          <w:t>2</w:t>
        </w:r>
      </w:p>
    </w:sdtContent>
  </w:sdt>
  <w:p w14:paraId="36169727" w14:textId="77777777" w:rsidR="00EC2148" w:rsidRDefault="00EC2148">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9DB5" w14:textId="4F2794D5" w:rsidR="00EC2148" w:rsidRDefault="00EC2148" w:rsidP="00E46D8B">
    <w:pPr>
      <w:pStyle w:val="aa"/>
      <w:shd w:val="clear" w:color="auto" w:fill="FFFFFF" w:themeFill="background1"/>
      <w:tabs>
        <w:tab w:val="left" w:pos="709"/>
        <w:tab w:val="left" w:pos="1134"/>
        <w:tab w:val="left" w:pos="1276"/>
        <w:tab w:val="left" w:pos="1701"/>
        <w:tab w:val="left" w:pos="1985"/>
      </w:tabs>
      <w:ind w:left="709"/>
      <w:jc w:val="right"/>
    </w:pPr>
    <w:r w:rsidRPr="00135C5A">
      <w:rPr>
        <w:sz w:val="28"/>
        <w:szCs w:val="28"/>
      </w:rPr>
      <w:fldChar w:fldCharType="begin"/>
    </w:r>
    <w:r w:rsidRPr="00135C5A">
      <w:rPr>
        <w:sz w:val="28"/>
        <w:szCs w:val="28"/>
      </w:rPr>
      <w:instrText>PAGE</w:instrText>
    </w:r>
    <w:r w:rsidRPr="00135C5A">
      <w:rPr>
        <w:sz w:val="28"/>
        <w:szCs w:val="28"/>
      </w:rPr>
      <w:fldChar w:fldCharType="separate"/>
    </w:r>
    <w:r w:rsidR="006A4626">
      <w:rPr>
        <w:noProof/>
        <w:sz w:val="28"/>
        <w:szCs w:val="28"/>
      </w:rPr>
      <w:t>4</w:t>
    </w:r>
    <w:r w:rsidRPr="00135C5A">
      <w:rPr>
        <w:sz w:val="28"/>
        <w:szCs w:val="28"/>
      </w:rPr>
      <w:fldChar w:fldCharType="end"/>
    </w:r>
    <w:r>
      <w:rPr>
        <w:sz w:val="28"/>
        <w:szCs w:val="28"/>
      </w:rPr>
      <w:t xml:space="preserve">                                                                      </w:t>
    </w:r>
    <w:proofErr w:type="spellStart"/>
    <w:r w:rsidRPr="001A03FD">
      <w:rPr>
        <w:sz w:val="28"/>
        <w:szCs w:val="28"/>
        <w:lang w:val="en-US"/>
      </w:rPr>
      <w:t>Продовження</w:t>
    </w:r>
    <w:proofErr w:type="spellEnd"/>
    <w:r w:rsidRPr="001A03FD">
      <w:rPr>
        <w:sz w:val="28"/>
        <w:szCs w:val="28"/>
        <w:lang w:val="en-US"/>
      </w:rPr>
      <w:t xml:space="preserve"> </w:t>
    </w:r>
    <w:proofErr w:type="spellStart"/>
    <w:r w:rsidRPr="001A03FD">
      <w:rPr>
        <w:sz w:val="28"/>
        <w:szCs w:val="28"/>
        <w:lang w:val="en-US"/>
      </w:rPr>
      <w:t>додатка</w:t>
    </w:r>
    <w:proofErr w:type="spellEnd"/>
    <w:r w:rsidRPr="001A03FD">
      <w:rPr>
        <w:sz w:val="28"/>
        <w:szCs w:val="28"/>
        <w:lang w:val="en-US"/>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633745"/>
    </w:sdtPr>
    <w:sdtEndPr/>
    <w:sdtContent>
      <w:p w14:paraId="08BC1B3D" w14:textId="6984E486" w:rsidR="00EC2148" w:rsidRDefault="00EC2148" w:rsidP="001C7CAC">
        <w:pPr>
          <w:pStyle w:val="aa"/>
          <w:shd w:val="clear" w:color="auto" w:fill="FFFFFF" w:themeFill="background1"/>
          <w:tabs>
            <w:tab w:val="left" w:pos="709"/>
            <w:tab w:val="left" w:pos="1134"/>
            <w:tab w:val="left" w:pos="1276"/>
            <w:tab w:val="left" w:pos="1701"/>
            <w:tab w:val="left" w:pos="1985"/>
          </w:tabs>
          <w:ind w:left="709"/>
          <w:jc w:val="right"/>
        </w:pPr>
        <w:r w:rsidRPr="001C7CAC">
          <w:rPr>
            <w:sz w:val="28"/>
            <w:szCs w:val="28"/>
          </w:rPr>
          <w:fldChar w:fldCharType="begin"/>
        </w:r>
        <w:r w:rsidRPr="001C7CAC">
          <w:rPr>
            <w:sz w:val="28"/>
            <w:szCs w:val="28"/>
          </w:rPr>
          <w:instrText>PAGE</w:instrText>
        </w:r>
        <w:r w:rsidRPr="001C7CAC">
          <w:rPr>
            <w:sz w:val="28"/>
            <w:szCs w:val="28"/>
          </w:rPr>
          <w:fldChar w:fldCharType="separate"/>
        </w:r>
        <w:r w:rsidR="006A4626">
          <w:rPr>
            <w:noProof/>
            <w:sz w:val="28"/>
            <w:szCs w:val="28"/>
          </w:rPr>
          <w:t>2</w:t>
        </w:r>
        <w:r w:rsidRPr="001C7CAC">
          <w:rPr>
            <w:sz w:val="28"/>
            <w:szCs w:val="28"/>
          </w:rPr>
          <w:fldChar w:fldCharType="end"/>
        </w:r>
        <w:r w:rsidRPr="001C7CAC">
          <w:rPr>
            <w:sz w:val="28"/>
            <w:szCs w:val="28"/>
            <w:lang w:val="en-US"/>
          </w:rPr>
          <w:t xml:space="preserve">  </w:t>
        </w:r>
        <w:r>
          <w:rPr>
            <w:lang w:val="en-US"/>
          </w:rPr>
          <w:t xml:space="preserve">                                       </w:t>
        </w:r>
        <w:r w:rsidRPr="000D07CA">
          <w:rPr>
            <w:sz w:val="28"/>
            <w:szCs w:val="28"/>
          </w:rPr>
          <w:t>Продовження додатка 2</w:t>
        </w:r>
      </w:p>
    </w:sdtContent>
  </w:sdt>
  <w:p w14:paraId="336DB58C" w14:textId="77777777" w:rsidR="00EC2148" w:rsidRDefault="00EC2148">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FEBE" w14:textId="40E23E3C" w:rsidR="00EC2148" w:rsidRPr="00952EDF" w:rsidRDefault="00EC2148" w:rsidP="00952EDF">
    <w:pPr>
      <w:pStyle w:val="a5"/>
      <w:jc w:val="center"/>
      <w:rPr>
        <w:lang w:val="ru-R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599573"/>
    </w:sdtPr>
    <w:sdtEndPr/>
    <w:sdtContent>
      <w:p w14:paraId="71901411" w14:textId="5D01C1BD" w:rsidR="00EC2148" w:rsidRDefault="00EC2148" w:rsidP="001C7CAC">
        <w:pPr>
          <w:pStyle w:val="aa"/>
          <w:shd w:val="clear" w:color="auto" w:fill="FFFFFF" w:themeFill="background1"/>
          <w:tabs>
            <w:tab w:val="left" w:pos="709"/>
            <w:tab w:val="left" w:pos="1134"/>
            <w:tab w:val="left" w:pos="1276"/>
            <w:tab w:val="left" w:pos="1701"/>
            <w:tab w:val="left" w:pos="1985"/>
          </w:tabs>
          <w:ind w:left="709"/>
          <w:jc w:val="right"/>
        </w:pPr>
        <w:r w:rsidRPr="001C7CAC">
          <w:rPr>
            <w:sz w:val="28"/>
            <w:szCs w:val="28"/>
          </w:rPr>
          <w:fldChar w:fldCharType="begin"/>
        </w:r>
        <w:r w:rsidRPr="001C7CAC">
          <w:rPr>
            <w:sz w:val="28"/>
            <w:szCs w:val="28"/>
          </w:rPr>
          <w:instrText>PAGE</w:instrText>
        </w:r>
        <w:r w:rsidRPr="001C7CAC">
          <w:rPr>
            <w:sz w:val="28"/>
            <w:szCs w:val="28"/>
          </w:rPr>
          <w:fldChar w:fldCharType="separate"/>
        </w:r>
        <w:r w:rsidR="006A4626">
          <w:rPr>
            <w:noProof/>
            <w:sz w:val="28"/>
            <w:szCs w:val="28"/>
          </w:rPr>
          <w:t>5</w:t>
        </w:r>
        <w:r w:rsidRPr="001C7CAC">
          <w:rPr>
            <w:sz w:val="28"/>
            <w:szCs w:val="28"/>
          </w:rPr>
          <w:fldChar w:fldCharType="end"/>
        </w:r>
        <w:r w:rsidRPr="001C7CAC">
          <w:rPr>
            <w:sz w:val="28"/>
            <w:szCs w:val="28"/>
            <w:lang w:val="en-US"/>
          </w:rPr>
          <w:t xml:space="preserve">  </w:t>
        </w:r>
        <w:r>
          <w:rPr>
            <w:lang w:val="en-US"/>
          </w:rPr>
          <w:t xml:space="preserve">                                         </w:t>
        </w:r>
        <w:r w:rsidRPr="000D07CA">
          <w:rPr>
            <w:sz w:val="28"/>
            <w:szCs w:val="28"/>
          </w:rPr>
          <w:t xml:space="preserve">Продовження додатка </w:t>
        </w:r>
        <w:r>
          <w:rPr>
            <w:sz w:val="28"/>
            <w:szCs w:val="28"/>
            <w:lang w:val="en-US"/>
          </w:rPr>
          <w:t>3</w:t>
        </w:r>
      </w:p>
    </w:sdtContent>
  </w:sdt>
  <w:p w14:paraId="3F5ED34D" w14:textId="77777777" w:rsidR="00EC2148" w:rsidRDefault="00EC214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2FA"/>
    <w:multiLevelType w:val="multilevel"/>
    <w:tmpl w:val="C65E7902"/>
    <w:lvl w:ilvl="0">
      <w:start w:val="1"/>
      <w:numFmt w:val="decimal"/>
      <w:lvlText w:val="%1)"/>
      <w:lvlJc w:val="left"/>
      <w:pPr>
        <w:ind w:left="30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4774B"/>
    <w:multiLevelType w:val="multilevel"/>
    <w:tmpl w:val="80D27C96"/>
    <w:lvl w:ilvl="0">
      <w:start w:val="1"/>
      <w:numFmt w:val="decimal"/>
      <w:lvlText w:val="%1)"/>
      <w:lvlJc w:val="left"/>
      <w:pPr>
        <w:ind w:left="1273" w:hanging="56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182672E"/>
    <w:multiLevelType w:val="multilevel"/>
    <w:tmpl w:val="244CF12A"/>
    <w:lvl w:ilvl="0">
      <w:start w:val="22"/>
      <w:numFmt w:val="decimal"/>
      <w:lvlText w:val="%1)"/>
      <w:lvlJc w:val="left"/>
      <w:pPr>
        <w:tabs>
          <w:tab w:val="num" w:pos="999"/>
        </w:tabs>
        <w:ind w:left="999"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18B50AAB"/>
    <w:multiLevelType w:val="multilevel"/>
    <w:tmpl w:val="FFA4BF08"/>
    <w:lvl w:ilvl="0">
      <w:start w:val="3"/>
      <w:numFmt w:val="decimal"/>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F4AF4"/>
    <w:multiLevelType w:val="multilevel"/>
    <w:tmpl w:val="4F8ABC86"/>
    <w:lvl w:ilvl="0">
      <w:start w:val="5"/>
      <w:numFmt w:val="decimal"/>
      <w:lvlText w:val="%1)"/>
      <w:lvlJc w:val="left"/>
      <w:pPr>
        <w:ind w:left="30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ED56A9"/>
    <w:multiLevelType w:val="multilevel"/>
    <w:tmpl w:val="D3B0873C"/>
    <w:lvl w:ilvl="0">
      <w:start w:val="1"/>
      <w:numFmt w:val="decimal"/>
      <w:lvlText w:val="%1)"/>
      <w:lvlJc w:val="left"/>
      <w:pPr>
        <w:ind w:left="1378" w:hanging="8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0DC4E9D"/>
    <w:multiLevelType w:val="multilevel"/>
    <w:tmpl w:val="4A4CCD9A"/>
    <w:lvl w:ilvl="0">
      <w:start w:val="1"/>
      <w:numFmt w:val="decimal"/>
      <w:lvlText w:val="%1)"/>
      <w:lvlJc w:val="left"/>
      <w:pPr>
        <w:ind w:left="6172" w:hanging="360"/>
      </w:pPr>
      <w:rPr>
        <w:rFonts w:ascii="Times New Roman" w:hAnsi="Times New Roman"/>
        <w:color w:val="auto"/>
        <w:sz w:val="28"/>
      </w:rPr>
    </w:lvl>
    <w:lvl w:ilvl="1">
      <w:start w:val="1"/>
      <w:numFmt w:val="lowerLetter"/>
      <w:lvlText w:val="%2."/>
      <w:lvlJc w:val="left"/>
      <w:pPr>
        <w:ind w:left="6892" w:hanging="360"/>
      </w:pPr>
    </w:lvl>
    <w:lvl w:ilvl="2">
      <w:start w:val="1"/>
      <w:numFmt w:val="lowerRoman"/>
      <w:lvlText w:val="%3."/>
      <w:lvlJc w:val="right"/>
      <w:pPr>
        <w:ind w:left="7612" w:hanging="180"/>
      </w:pPr>
    </w:lvl>
    <w:lvl w:ilvl="3">
      <w:start w:val="1"/>
      <w:numFmt w:val="decimal"/>
      <w:lvlText w:val="%4."/>
      <w:lvlJc w:val="left"/>
      <w:pPr>
        <w:ind w:left="8332" w:hanging="360"/>
      </w:pPr>
    </w:lvl>
    <w:lvl w:ilvl="4">
      <w:start w:val="1"/>
      <w:numFmt w:val="lowerLetter"/>
      <w:lvlText w:val="%5."/>
      <w:lvlJc w:val="left"/>
      <w:pPr>
        <w:ind w:left="9052" w:hanging="360"/>
      </w:pPr>
    </w:lvl>
    <w:lvl w:ilvl="5">
      <w:start w:val="1"/>
      <w:numFmt w:val="lowerRoman"/>
      <w:lvlText w:val="%6."/>
      <w:lvlJc w:val="right"/>
      <w:pPr>
        <w:ind w:left="9772" w:hanging="180"/>
      </w:pPr>
    </w:lvl>
    <w:lvl w:ilvl="6">
      <w:start w:val="1"/>
      <w:numFmt w:val="decimal"/>
      <w:lvlText w:val="%7."/>
      <w:lvlJc w:val="left"/>
      <w:pPr>
        <w:ind w:left="10492" w:hanging="360"/>
      </w:pPr>
    </w:lvl>
    <w:lvl w:ilvl="7">
      <w:start w:val="1"/>
      <w:numFmt w:val="lowerLetter"/>
      <w:lvlText w:val="%8."/>
      <w:lvlJc w:val="left"/>
      <w:pPr>
        <w:ind w:left="11212" w:hanging="360"/>
      </w:pPr>
    </w:lvl>
    <w:lvl w:ilvl="8">
      <w:start w:val="1"/>
      <w:numFmt w:val="lowerRoman"/>
      <w:lvlText w:val="%9."/>
      <w:lvlJc w:val="right"/>
      <w:pPr>
        <w:ind w:left="11932" w:hanging="180"/>
      </w:pPr>
    </w:lvl>
  </w:abstractNum>
  <w:abstractNum w:abstractNumId="7" w15:restartNumberingAfterBreak="0">
    <w:nsid w:val="24D963DE"/>
    <w:multiLevelType w:val="multilevel"/>
    <w:tmpl w:val="140C5DA6"/>
    <w:lvl w:ilvl="0">
      <w:start w:val="4"/>
      <w:numFmt w:val="decimal"/>
      <w:lvlText w:val="%1)"/>
      <w:lvlJc w:val="left"/>
      <w:pPr>
        <w:ind w:left="26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9675A"/>
    <w:multiLevelType w:val="multilevel"/>
    <w:tmpl w:val="392A5F8E"/>
    <w:lvl w:ilvl="0">
      <w:start w:val="4"/>
      <w:numFmt w:val="decimal"/>
      <w:lvlText w:val="%1)"/>
      <w:lvlJc w:val="left"/>
      <w:pPr>
        <w:tabs>
          <w:tab w:val="num" w:pos="432"/>
        </w:tabs>
        <w:ind w:left="432"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33F338D8"/>
    <w:multiLevelType w:val="multilevel"/>
    <w:tmpl w:val="C58073CA"/>
    <w:lvl w:ilvl="0">
      <w:start w:val="1"/>
      <w:numFmt w:val="decimal"/>
      <w:lvlText w:val="%1)"/>
      <w:lvlJc w:val="left"/>
      <w:pPr>
        <w:ind w:left="1519" w:hanging="81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0" w15:restartNumberingAfterBreak="0">
    <w:nsid w:val="473B5EA3"/>
    <w:multiLevelType w:val="multilevel"/>
    <w:tmpl w:val="BC3E447E"/>
    <w:lvl w:ilvl="0">
      <w:start w:val="1"/>
      <w:numFmt w:val="decimal"/>
      <w:lvlText w:val="%1."/>
      <w:lvlJc w:val="left"/>
      <w:pPr>
        <w:ind w:left="786" w:hanging="360"/>
      </w:pPr>
      <w:rPr>
        <w:rFonts w:ascii="Times New Roman" w:hAnsi="Times New Roman"/>
        <w:color w:val="auto"/>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7ED21A0"/>
    <w:multiLevelType w:val="multilevel"/>
    <w:tmpl w:val="E9D42864"/>
    <w:lvl w:ilvl="0">
      <w:start w:val="13"/>
      <w:numFmt w:val="decimal"/>
      <w:lvlText w:val="%1."/>
      <w:lvlJc w:val="left"/>
      <w:pPr>
        <w:tabs>
          <w:tab w:val="num" w:pos="432"/>
        </w:tabs>
        <w:ind w:left="432"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4BBF33FB"/>
    <w:multiLevelType w:val="multilevel"/>
    <w:tmpl w:val="DE4473AE"/>
    <w:lvl w:ilvl="0">
      <w:start w:val="4"/>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D927D7"/>
    <w:multiLevelType w:val="multilevel"/>
    <w:tmpl w:val="312273F8"/>
    <w:lvl w:ilvl="0">
      <w:start w:val="23"/>
      <w:numFmt w:val="decimal"/>
      <w:lvlText w:val="%1)"/>
      <w:lvlJc w:val="left"/>
      <w:pPr>
        <w:tabs>
          <w:tab w:val="num" w:pos="999"/>
        </w:tabs>
        <w:ind w:left="999"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4F547DFB"/>
    <w:multiLevelType w:val="multilevel"/>
    <w:tmpl w:val="BE987F98"/>
    <w:lvl w:ilvl="0">
      <w:start w:val="1"/>
      <w:numFmt w:val="decimal"/>
      <w:lvlText w:val="%1)"/>
      <w:lvlJc w:val="left"/>
      <w:pPr>
        <w:ind w:left="1069" w:hanging="360"/>
      </w:pPr>
      <w:rPr>
        <w:rFonts w:ascii="Times New Roman" w:eastAsia="Calibri"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0C13A44"/>
    <w:multiLevelType w:val="multilevel"/>
    <w:tmpl w:val="ED6AC4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27C2519"/>
    <w:multiLevelType w:val="multilevel"/>
    <w:tmpl w:val="B56EB88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53D904DB"/>
    <w:multiLevelType w:val="multilevel"/>
    <w:tmpl w:val="D66A210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C33A5B"/>
    <w:multiLevelType w:val="multilevel"/>
    <w:tmpl w:val="84A40B2E"/>
    <w:lvl w:ilvl="0">
      <w:start w:val="15"/>
      <w:numFmt w:val="decimal"/>
      <w:lvlText w:val="%1."/>
      <w:lvlJc w:val="left"/>
      <w:pPr>
        <w:tabs>
          <w:tab w:val="num" w:pos="1141"/>
        </w:tabs>
        <w:ind w:left="1141" w:hanging="432"/>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19" w15:restartNumberingAfterBreak="0">
    <w:nsid w:val="58F5084F"/>
    <w:multiLevelType w:val="multilevel"/>
    <w:tmpl w:val="D332BFB6"/>
    <w:lvl w:ilvl="0">
      <w:start w:val="8"/>
      <w:numFmt w:val="decimal"/>
      <w:lvlText w:val="%1)"/>
      <w:lvlJc w:val="left"/>
      <w:pPr>
        <w:tabs>
          <w:tab w:val="num" w:pos="1283"/>
        </w:tabs>
        <w:ind w:left="1283"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65DD0DDE"/>
    <w:multiLevelType w:val="multilevel"/>
    <w:tmpl w:val="9C841AD2"/>
    <w:lvl w:ilvl="0">
      <w:start w:val="17"/>
      <w:numFmt w:val="decimal"/>
      <w:lvlText w:val="%1."/>
      <w:lvlJc w:val="left"/>
      <w:pPr>
        <w:tabs>
          <w:tab w:val="num" w:pos="432"/>
        </w:tabs>
        <w:ind w:left="432"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67B25448"/>
    <w:multiLevelType w:val="multilevel"/>
    <w:tmpl w:val="D78CC4AA"/>
    <w:lvl w:ilvl="0">
      <w:start w:val="2"/>
      <w:numFmt w:val="decimal"/>
      <w:lvlText w:val="%1)"/>
      <w:lvlJc w:val="left"/>
      <w:pPr>
        <w:tabs>
          <w:tab w:val="num" w:pos="432"/>
        </w:tabs>
        <w:ind w:left="432"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9471C22"/>
    <w:multiLevelType w:val="multilevel"/>
    <w:tmpl w:val="0AC458CA"/>
    <w:lvl w:ilvl="0">
      <w:start w:val="4"/>
      <w:numFmt w:val="decimal"/>
      <w:lvlText w:val="%1."/>
      <w:lvlJc w:val="left"/>
      <w:pPr>
        <w:ind w:left="30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F5385D"/>
    <w:multiLevelType w:val="multilevel"/>
    <w:tmpl w:val="7DE8B15A"/>
    <w:lvl w:ilvl="0">
      <w:start w:val="4"/>
      <w:numFmt w:val="decimal"/>
      <w:lvlText w:val="%1)"/>
      <w:lvlJc w:val="left"/>
      <w:pPr>
        <w:ind w:left="305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B53B0F"/>
    <w:multiLevelType w:val="multilevel"/>
    <w:tmpl w:val="F240064A"/>
    <w:lvl w:ilvl="0">
      <w:start w:val="1"/>
      <w:numFmt w:val="decimal"/>
      <w:lvlText w:val="%1."/>
      <w:lvlJc w:val="left"/>
      <w:pPr>
        <w:ind w:left="4754" w:hanging="360"/>
      </w:pPr>
    </w:lvl>
    <w:lvl w:ilvl="1">
      <w:start w:val="1"/>
      <w:numFmt w:val="decimal"/>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5" w15:restartNumberingAfterBreak="0">
    <w:nsid w:val="6D7F653A"/>
    <w:multiLevelType w:val="hybridMultilevel"/>
    <w:tmpl w:val="40F69D88"/>
    <w:lvl w:ilvl="0" w:tplc="04220011">
      <w:start w:val="1"/>
      <w:numFmt w:val="decimal"/>
      <w:lvlText w:val="%1)"/>
      <w:lvlJc w:val="left"/>
      <w:pPr>
        <w:ind w:left="1426" w:hanging="360"/>
      </w:pPr>
    </w:lvl>
    <w:lvl w:ilvl="1" w:tplc="04220019" w:tentative="1">
      <w:start w:val="1"/>
      <w:numFmt w:val="lowerLetter"/>
      <w:lvlText w:val="%2."/>
      <w:lvlJc w:val="left"/>
      <w:pPr>
        <w:ind w:left="2146" w:hanging="360"/>
      </w:pPr>
    </w:lvl>
    <w:lvl w:ilvl="2" w:tplc="0422001B" w:tentative="1">
      <w:start w:val="1"/>
      <w:numFmt w:val="lowerRoman"/>
      <w:lvlText w:val="%3."/>
      <w:lvlJc w:val="right"/>
      <w:pPr>
        <w:ind w:left="2866" w:hanging="180"/>
      </w:pPr>
    </w:lvl>
    <w:lvl w:ilvl="3" w:tplc="0422000F" w:tentative="1">
      <w:start w:val="1"/>
      <w:numFmt w:val="decimal"/>
      <w:lvlText w:val="%4."/>
      <w:lvlJc w:val="left"/>
      <w:pPr>
        <w:ind w:left="3586" w:hanging="360"/>
      </w:pPr>
    </w:lvl>
    <w:lvl w:ilvl="4" w:tplc="04220019" w:tentative="1">
      <w:start w:val="1"/>
      <w:numFmt w:val="lowerLetter"/>
      <w:lvlText w:val="%5."/>
      <w:lvlJc w:val="left"/>
      <w:pPr>
        <w:ind w:left="4306" w:hanging="360"/>
      </w:pPr>
    </w:lvl>
    <w:lvl w:ilvl="5" w:tplc="0422001B" w:tentative="1">
      <w:start w:val="1"/>
      <w:numFmt w:val="lowerRoman"/>
      <w:lvlText w:val="%6."/>
      <w:lvlJc w:val="right"/>
      <w:pPr>
        <w:ind w:left="5026" w:hanging="180"/>
      </w:pPr>
    </w:lvl>
    <w:lvl w:ilvl="6" w:tplc="0422000F" w:tentative="1">
      <w:start w:val="1"/>
      <w:numFmt w:val="decimal"/>
      <w:lvlText w:val="%7."/>
      <w:lvlJc w:val="left"/>
      <w:pPr>
        <w:ind w:left="5746" w:hanging="360"/>
      </w:pPr>
    </w:lvl>
    <w:lvl w:ilvl="7" w:tplc="04220019" w:tentative="1">
      <w:start w:val="1"/>
      <w:numFmt w:val="lowerLetter"/>
      <w:lvlText w:val="%8."/>
      <w:lvlJc w:val="left"/>
      <w:pPr>
        <w:ind w:left="6466" w:hanging="360"/>
      </w:pPr>
    </w:lvl>
    <w:lvl w:ilvl="8" w:tplc="0422001B" w:tentative="1">
      <w:start w:val="1"/>
      <w:numFmt w:val="lowerRoman"/>
      <w:lvlText w:val="%9."/>
      <w:lvlJc w:val="right"/>
      <w:pPr>
        <w:ind w:left="7186" w:hanging="180"/>
      </w:pPr>
    </w:lvl>
  </w:abstractNum>
  <w:abstractNum w:abstractNumId="26" w15:restartNumberingAfterBreak="0">
    <w:nsid w:val="77D33DEE"/>
    <w:multiLevelType w:val="multilevel"/>
    <w:tmpl w:val="FE104C76"/>
    <w:lvl w:ilvl="0">
      <w:start w:val="14"/>
      <w:numFmt w:val="decimal"/>
      <w:lvlText w:val="%1."/>
      <w:lvlJc w:val="left"/>
      <w:pPr>
        <w:tabs>
          <w:tab w:val="num" w:pos="432"/>
        </w:tabs>
        <w:ind w:left="432"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780B2281"/>
    <w:multiLevelType w:val="hybridMultilevel"/>
    <w:tmpl w:val="DF80D65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797C5AE4"/>
    <w:multiLevelType w:val="multilevel"/>
    <w:tmpl w:val="5A68B9E8"/>
    <w:lvl w:ilvl="0">
      <w:start w:val="3"/>
      <w:numFmt w:val="decimal"/>
      <w:lvlText w:val="%1)"/>
      <w:lvlJc w:val="left"/>
      <w:pPr>
        <w:ind w:left="1132" w:hanging="564"/>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29" w15:restartNumberingAfterBreak="0">
    <w:nsid w:val="7A4B6D14"/>
    <w:multiLevelType w:val="hybridMultilevel"/>
    <w:tmpl w:val="C382F1A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7B860F88"/>
    <w:multiLevelType w:val="multilevel"/>
    <w:tmpl w:val="11DA501A"/>
    <w:lvl w:ilvl="0">
      <w:start w:val="1"/>
      <w:numFmt w:val="decimal"/>
      <w:lvlText w:val="%1)"/>
      <w:lvlJc w:val="left"/>
      <w:pPr>
        <w:ind w:left="26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7B9D110D"/>
    <w:multiLevelType w:val="multilevel"/>
    <w:tmpl w:val="9EEE7736"/>
    <w:lvl w:ilvl="0">
      <w:start w:val="2"/>
      <w:numFmt w:val="decimal"/>
      <w:lvlText w:val="%1)"/>
      <w:lvlJc w:val="left"/>
      <w:pPr>
        <w:ind w:left="1211"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DBF6402"/>
    <w:multiLevelType w:val="multilevel"/>
    <w:tmpl w:val="B4C22BDA"/>
    <w:lvl w:ilvl="0">
      <w:start w:val="2"/>
      <w:numFmt w:val="decimal"/>
      <w:lvlText w:val="%1)"/>
      <w:lvlJc w:val="left"/>
      <w:pPr>
        <w:ind w:left="1740" w:hanging="10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5"/>
  </w:num>
  <w:num w:numId="3">
    <w:abstractNumId w:val="31"/>
  </w:num>
  <w:num w:numId="4">
    <w:abstractNumId w:val="21"/>
  </w:num>
  <w:num w:numId="5">
    <w:abstractNumId w:val="8"/>
  </w:num>
  <w:num w:numId="6">
    <w:abstractNumId w:val="2"/>
  </w:num>
  <w:num w:numId="7">
    <w:abstractNumId w:val="1"/>
  </w:num>
  <w:num w:numId="8">
    <w:abstractNumId w:val="28"/>
  </w:num>
  <w:num w:numId="9">
    <w:abstractNumId w:val="14"/>
  </w:num>
  <w:num w:numId="10">
    <w:abstractNumId w:val="11"/>
  </w:num>
  <w:num w:numId="11">
    <w:abstractNumId w:val="26"/>
  </w:num>
  <w:num w:numId="12">
    <w:abstractNumId w:val="18"/>
  </w:num>
  <w:num w:numId="13">
    <w:abstractNumId w:val="20"/>
  </w:num>
  <w:num w:numId="14">
    <w:abstractNumId w:val="9"/>
  </w:num>
  <w:num w:numId="15">
    <w:abstractNumId w:val="16"/>
  </w:num>
  <w:num w:numId="16">
    <w:abstractNumId w:val="30"/>
  </w:num>
  <w:num w:numId="17">
    <w:abstractNumId w:val="7"/>
  </w:num>
  <w:num w:numId="18">
    <w:abstractNumId w:val="0"/>
  </w:num>
  <w:num w:numId="19">
    <w:abstractNumId w:val="17"/>
  </w:num>
  <w:num w:numId="20">
    <w:abstractNumId w:val="4"/>
  </w:num>
  <w:num w:numId="21">
    <w:abstractNumId w:val="22"/>
  </w:num>
  <w:num w:numId="22">
    <w:abstractNumId w:val="23"/>
  </w:num>
  <w:num w:numId="23">
    <w:abstractNumId w:val="32"/>
  </w:num>
  <w:num w:numId="24">
    <w:abstractNumId w:val="12"/>
  </w:num>
  <w:num w:numId="25">
    <w:abstractNumId w:val="6"/>
  </w:num>
  <w:num w:numId="26">
    <w:abstractNumId w:val="3"/>
  </w:num>
  <w:num w:numId="27">
    <w:abstractNumId w:val="5"/>
  </w:num>
  <w:num w:numId="28">
    <w:abstractNumId w:val="19"/>
  </w:num>
  <w:num w:numId="29">
    <w:abstractNumId w:val="10"/>
  </w:num>
  <w:num w:numId="30">
    <w:abstractNumId w:val="13"/>
  </w:num>
  <w:num w:numId="31">
    <w:abstractNumId w:val="25"/>
  </w:num>
  <w:num w:numId="32">
    <w:abstractNumId w:val="27"/>
  </w:num>
  <w:num w:numId="3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27"/>
    <w:rsid w:val="0000024D"/>
    <w:rsid w:val="00001925"/>
    <w:rsid w:val="00003463"/>
    <w:rsid w:val="00003A6A"/>
    <w:rsid w:val="0000651C"/>
    <w:rsid w:val="0001020C"/>
    <w:rsid w:val="00013C24"/>
    <w:rsid w:val="00021D8F"/>
    <w:rsid w:val="0002207E"/>
    <w:rsid w:val="00024B9A"/>
    <w:rsid w:val="00024C81"/>
    <w:rsid w:val="0002501F"/>
    <w:rsid w:val="00035A88"/>
    <w:rsid w:val="00040A68"/>
    <w:rsid w:val="00042248"/>
    <w:rsid w:val="000475A9"/>
    <w:rsid w:val="00050160"/>
    <w:rsid w:val="0005221A"/>
    <w:rsid w:val="00054F39"/>
    <w:rsid w:val="000558B2"/>
    <w:rsid w:val="00062F2D"/>
    <w:rsid w:val="00063C3A"/>
    <w:rsid w:val="00070387"/>
    <w:rsid w:val="00072374"/>
    <w:rsid w:val="00084E24"/>
    <w:rsid w:val="00086602"/>
    <w:rsid w:val="000875CF"/>
    <w:rsid w:val="000948FE"/>
    <w:rsid w:val="0009550D"/>
    <w:rsid w:val="000977F9"/>
    <w:rsid w:val="000A2458"/>
    <w:rsid w:val="000A7888"/>
    <w:rsid w:val="000B1CE1"/>
    <w:rsid w:val="000B26CE"/>
    <w:rsid w:val="000C0BC5"/>
    <w:rsid w:val="000C11F9"/>
    <w:rsid w:val="000D29D8"/>
    <w:rsid w:val="000D4834"/>
    <w:rsid w:val="000D797F"/>
    <w:rsid w:val="000E01DF"/>
    <w:rsid w:val="000E7E13"/>
    <w:rsid w:val="000F02AE"/>
    <w:rsid w:val="000F0E4B"/>
    <w:rsid w:val="000F13DD"/>
    <w:rsid w:val="000F29D1"/>
    <w:rsid w:val="000F6BDE"/>
    <w:rsid w:val="001001C1"/>
    <w:rsid w:val="00107B88"/>
    <w:rsid w:val="00116498"/>
    <w:rsid w:val="001229A4"/>
    <w:rsid w:val="0012373A"/>
    <w:rsid w:val="001237A4"/>
    <w:rsid w:val="00123B2A"/>
    <w:rsid w:val="001244D9"/>
    <w:rsid w:val="00133E2E"/>
    <w:rsid w:val="00135C5A"/>
    <w:rsid w:val="00144186"/>
    <w:rsid w:val="001473FA"/>
    <w:rsid w:val="0015037E"/>
    <w:rsid w:val="00152C31"/>
    <w:rsid w:val="0017017A"/>
    <w:rsid w:val="00172ACE"/>
    <w:rsid w:val="00172E26"/>
    <w:rsid w:val="001850A1"/>
    <w:rsid w:val="001874D8"/>
    <w:rsid w:val="00192C8C"/>
    <w:rsid w:val="00192F43"/>
    <w:rsid w:val="001964E8"/>
    <w:rsid w:val="001A03FD"/>
    <w:rsid w:val="001A2AB5"/>
    <w:rsid w:val="001A627B"/>
    <w:rsid w:val="001B3093"/>
    <w:rsid w:val="001B4BB3"/>
    <w:rsid w:val="001B53B4"/>
    <w:rsid w:val="001B5F15"/>
    <w:rsid w:val="001B6CF4"/>
    <w:rsid w:val="001C1A2F"/>
    <w:rsid w:val="001C2E93"/>
    <w:rsid w:val="001C7CAC"/>
    <w:rsid w:val="001D1F41"/>
    <w:rsid w:val="001E2DCF"/>
    <w:rsid w:val="001F4C7F"/>
    <w:rsid w:val="001F7CE6"/>
    <w:rsid w:val="00200D08"/>
    <w:rsid w:val="00207392"/>
    <w:rsid w:val="0021075F"/>
    <w:rsid w:val="00213714"/>
    <w:rsid w:val="002141F4"/>
    <w:rsid w:val="00214DCC"/>
    <w:rsid w:val="00225FF7"/>
    <w:rsid w:val="00227FAC"/>
    <w:rsid w:val="002322C6"/>
    <w:rsid w:val="0023398D"/>
    <w:rsid w:val="0024068E"/>
    <w:rsid w:val="00245858"/>
    <w:rsid w:val="002465CB"/>
    <w:rsid w:val="00253A63"/>
    <w:rsid w:val="00262415"/>
    <w:rsid w:val="0026382F"/>
    <w:rsid w:val="00266E51"/>
    <w:rsid w:val="002721CA"/>
    <w:rsid w:val="00275D94"/>
    <w:rsid w:val="00280A9E"/>
    <w:rsid w:val="00287CAE"/>
    <w:rsid w:val="002913D4"/>
    <w:rsid w:val="00294C24"/>
    <w:rsid w:val="002A551E"/>
    <w:rsid w:val="002A59A3"/>
    <w:rsid w:val="002B2761"/>
    <w:rsid w:val="002B374B"/>
    <w:rsid w:val="002B54FC"/>
    <w:rsid w:val="002D2736"/>
    <w:rsid w:val="002D4A9D"/>
    <w:rsid w:val="002D687D"/>
    <w:rsid w:val="002D6DDA"/>
    <w:rsid w:val="002D7334"/>
    <w:rsid w:val="002E34AF"/>
    <w:rsid w:val="002F02B8"/>
    <w:rsid w:val="002F1C7D"/>
    <w:rsid w:val="002F1CD7"/>
    <w:rsid w:val="002F4883"/>
    <w:rsid w:val="00300BA6"/>
    <w:rsid w:val="00311853"/>
    <w:rsid w:val="00316D63"/>
    <w:rsid w:val="003222FD"/>
    <w:rsid w:val="00323A04"/>
    <w:rsid w:val="0032404A"/>
    <w:rsid w:val="003253F6"/>
    <w:rsid w:val="00330739"/>
    <w:rsid w:val="00333E18"/>
    <w:rsid w:val="00334484"/>
    <w:rsid w:val="00334836"/>
    <w:rsid w:val="00336444"/>
    <w:rsid w:val="00336596"/>
    <w:rsid w:val="00336E64"/>
    <w:rsid w:val="00343DD0"/>
    <w:rsid w:val="00353199"/>
    <w:rsid w:val="0035505D"/>
    <w:rsid w:val="0035605C"/>
    <w:rsid w:val="00357DA8"/>
    <w:rsid w:val="00367794"/>
    <w:rsid w:val="00373685"/>
    <w:rsid w:val="00376FE5"/>
    <w:rsid w:val="003873E1"/>
    <w:rsid w:val="0039080C"/>
    <w:rsid w:val="00394D56"/>
    <w:rsid w:val="00395029"/>
    <w:rsid w:val="00395612"/>
    <w:rsid w:val="00396A26"/>
    <w:rsid w:val="00396DE0"/>
    <w:rsid w:val="003A1892"/>
    <w:rsid w:val="003A593D"/>
    <w:rsid w:val="003B580F"/>
    <w:rsid w:val="003B5E30"/>
    <w:rsid w:val="003C1D93"/>
    <w:rsid w:val="003D443B"/>
    <w:rsid w:val="003D714E"/>
    <w:rsid w:val="003E4D06"/>
    <w:rsid w:val="003E5FC2"/>
    <w:rsid w:val="003E69D7"/>
    <w:rsid w:val="003E6B7D"/>
    <w:rsid w:val="003E7612"/>
    <w:rsid w:val="003F16BD"/>
    <w:rsid w:val="003F24BA"/>
    <w:rsid w:val="003F5BC0"/>
    <w:rsid w:val="003F74F3"/>
    <w:rsid w:val="00403CF2"/>
    <w:rsid w:val="00404DC2"/>
    <w:rsid w:val="0040545C"/>
    <w:rsid w:val="004076E8"/>
    <w:rsid w:val="004126D4"/>
    <w:rsid w:val="004155D0"/>
    <w:rsid w:val="0041776C"/>
    <w:rsid w:val="00417DEC"/>
    <w:rsid w:val="004321C2"/>
    <w:rsid w:val="00433732"/>
    <w:rsid w:val="00433AAF"/>
    <w:rsid w:val="00433C81"/>
    <w:rsid w:val="00442F6F"/>
    <w:rsid w:val="0044444F"/>
    <w:rsid w:val="004470BA"/>
    <w:rsid w:val="004543DA"/>
    <w:rsid w:val="00455BC3"/>
    <w:rsid w:val="00456F4A"/>
    <w:rsid w:val="004604BB"/>
    <w:rsid w:val="004642AF"/>
    <w:rsid w:val="00465B38"/>
    <w:rsid w:val="00473331"/>
    <w:rsid w:val="00487B19"/>
    <w:rsid w:val="004947E2"/>
    <w:rsid w:val="00494D97"/>
    <w:rsid w:val="00495FF9"/>
    <w:rsid w:val="0049609E"/>
    <w:rsid w:val="004A0BDF"/>
    <w:rsid w:val="004A0FAB"/>
    <w:rsid w:val="004B0D47"/>
    <w:rsid w:val="004B3D43"/>
    <w:rsid w:val="004B40ED"/>
    <w:rsid w:val="004B5686"/>
    <w:rsid w:val="004B6D87"/>
    <w:rsid w:val="004C070B"/>
    <w:rsid w:val="004C34F6"/>
    <w:rsid w:val="004D2B96"/>
    <w:rsid w:val="004F6641"/>
    <w:rsid w:val="004F6D6F"/>
    <w:rsid w:val="005104CF"/>
    <w:rsid w:val="00511BED"/>
    <w:rsid w:val="00512504"/>
    <w:rsid w:val="005140B2"/>
    <w:rsid w:val="0051499D"/>
    <w:rsid w:val="00516755"/>
    <w:rsid w:val="00517F0E"/>
    <w:rsid w:val="00534696"/>
    <w:rsid w:val="00534C7E"/>
    <w:rsid w:val="005426F2"/>
    <w:rsid w:val="00542AD8"/>
    <w:rsid w:val="00542E9E"/>
    <w:rsid w:val="00543817"/>
    <w:rsid w:val="00543C15"/>
    <w:rsid w:val="00550BD1"/>
    <w:rsid w:val="00550D94"/>
    <w:rsid w:val="005578A5"/>
    <w:rsid w:val="005610A6"/>
    <w:rsid w:val="00564059"/>
    <w:rsid w:val="00565FAA"/>
    <w:rsid w:val="0057203A"/>
    <w:rsid w:val="0057225B"/>
    <w:rsid w:val="00574CB3"/>
    <w:rsid w:val="00574D75"/>
    <w:rsid w:val="005751AA"/>
    <w:rsid w:val="00577409"/>
    <w:rsid w:val="0058144F"/>
    <w:rsid w:val="00586DFB"/>
    <w:rsid w:val="005A31D9"/>
    <w:rsid w:val="005A4114"/>
    <w:rsid w:val="005A5F88"/>
    <w:rsid w:val="005B2161"/>
    <w:rsid w:val="005B46DF"/>
    <w:rsid w:val="005B4858"/>
    <w:rsid w:val="005B510D"/>
    <w:rsid w:val="005B5532"/>
    <w:rsid w:val="005B6EC9"/>
    <w:rsid w:val="005C3B9E"/>
    <w:rsid w:val="005C5528"/>
    <w:rsid w:val="005C7690"/>
    <w:rsid w:val="005C79D8"/>
    <w:rsid w:val="005D1FFE"/>
    <w:rsid w:val="005D3225"/>
    <w:rsid w:val="005D5CCB"/>
    <w:rsid w:val="005D5CCF"/>
    <w:rsid w:val="005F2248"/>
    <w:rsid w:val="005F508A"/>
    <w:rsid w:val="006011EE"/>
    <w:rsid w:val="00602464"/>
    <w:rsid w:val="006108CC"/>
    <w:rsid w:val="00610ECA"/>
    <w:rsid w:val="00611A2C"/>
    <w:rsid w:val="00613408"/>
    <w:rsid w:val="00614959"/>
    <w:rsid w:val="00623F97"/>
    <w:rsid w:val="00626D9F"/>
    <w:rsid w:val="00634936"/>
    <w:rsid w:val="00637938"/>
    <w:rsid w:val="00643CE1"/>
    <w:rsid w:val="00645A21"/>
    <w:rsid w:val="00647B23"/>
    <w:rsid w:val="00653BD1"/>
    <w:rsid w:val="00654972"/>
    <w:rsid w:val="00655E61"/>
    <w:rsid w:val="00657FB3"/>
    <w:rsid w:val="00662074"/>
    <w:rsid w:val="00662C41"/>
    <w:rsid w:val="00674FD1"/>
    <w:rsid w:val="006840EA"/>
    <w:rsid w:val="006852EC"/>
    <w:rsid w:val="00691B1B"/>
    <w:rsid w:val="00696727"/>
    <w:rsid w:val="006A0217"/>
    <w:rsid w:val="006A1D2E"/>
    <w:rsid w:val="006A4626"/>
    <w:rsid w:val="006A5106"/>
    <w:rsid w:val="006B194D"/>
    <w:rsid w:val="006B3FA8"/>
    <w:rsid w:val="006C0B3A"/>
    <w:rsid w:val="006C3D13"/>
    <w:rsid w:val="006D28EB"/>
    <w:rsid w:val="006D58D6"/>
    <w:rsid w:val="006F15EA"/>
    <w:rsid w:val="006F5A68"/>
    <w:rsid w:val="006F788D"/>
    <w:rsid w:val="00704EAE"/>
    <w:rsid w:val="00716F9E"/>
    <w:rsid w:val="00723367"/>
    <w:rsid w:val="00724059"/>
    <w:rsid w:val="00724615"/>
    <w:rsid w:val="0073126B"/>
    <w:rsid w:val="00735653"/>
    <w:rsid w:val="00737397"/>
    <w:rsid w:val="00744A89"/>
    <w:rsid w:val="007454B8"/>
    <w:rsid w:val="007616D2"/>
    <w:rsid w:val="00761805"/>
    <w:rsid w:val="00763410"/>
    <w:rsid w:val="007721E0"/>
    <w:rsid w:val="007736A0"/>
    <w:rsid w:val="00774AC9"/>
    <w:rsid w:val="00775338"/>
    <w:rsid w:val="00787132"/>
    <w:rsid w:val="00792BFF"/>
    <w:rsid w:val="007A2B11"/>
    <w:rsid w:val="007A6DBA"/>
    <w:rsid w:val="007A7D82"/>
    <w:rsid w:val="007B170C"/>
    <w:rsid w:val="007C2290"/>
    <w:rsid w:val="007C5A75"/>
    <w:rsid w:val="007C7B74"/>
    <w:rsid w:val="007D21D9"/>
    <w:rsid w:val="007D4D17"/>
    <w:rsid w:val="007D59E2"/>
    <w:rsid w:val="007E1A27"/>
    <w:rsid w:val="007E542A"/>
    <w:rsid w:val="007E7DB9"/>
    <w:rsid w:val="007F6471"/>
    <w:rsid w:val="008047B3"/>
    <w:rsid w:val="0080645F"/>
    <w:rsid w:val="00811D51"/>
    <w:rsid w:val="00813F32"/>
    <w:rsid w:val="00814094"/>
    <w:rsid w:val="00815E05"/>
    <w:rsid w:val="008175B2"/>
    <w:rsid w:val="00822330"/>
    <w:rsid w:val="00823387"/>
    <w:rsid w:val="00824010"/>
    <w:rsid w:val="00826B22"/>
    <w:rsid w:val="0083245E"/>
    <w:rsid w:val="00834883"/>
    <w:rsid w:val="00834D31"/>
    <w:rsid w:val="00836CD3"/>
    <w:rsid w:val="00837EB9"/>
    <w:rsid w:val="00840830"/>
    <w:rsid w:val="00841647"/>
    <w:rsid w:val="008419E2"/>
    <w:rsid w:val="008437BC"/>
    <w:rsid w:val="00843DB1"/>
    <w:rsid w:val="00856D7E"/>
    <w:rsid w:val="00865352"/>
    <w:rsid w:val="00870B34"/>
    <w:rsid w:val="00870F34"/>
    <w:rsid w:val="008755CE"/>
    <w:rsid w:val="0087652B"/>
    <w:rsid w:val="00876E74"/>
    <w:rsid w:val="00883250"/>
    <w:rsid w:val="00885559"/>
    <w:rsid w:val="0089170F"/>
    <w:rsid w:val="00891B48"/>
    <w:rsid w:val="008A5FC2"/>
    <w:rsid w:val="008A74DD"/>
    <w:rsid w:val="008B0497"/>
    <w:rsid w:val="008B6236"/>
    <w:rsid w:val="008B6EB2"/>
    <w:rsid w:val="008C1D38"/>
    <w:rsid w:val="008C3D6D"/>
    <w:rsid w:val="008D1CAF"/>
    <w:rsid w:val="008D3B69"/>
    <w:rsid w:val="008D56B2"/>
    <w:rsid w:val="008E0C86"/>
    <w:rsid w:val="008E0D53"/>
    <w:rsid w:val="008E0D6B"/>
    <w:rsid w:val="008E5FE8"/>
    <w:rsid w:val="008E7139"/>
    <w:rsid w:val="008F0792"/>
    <w:rsid w:val="008F3FF4"/>
    <w:rsid w:val="008F621B"/>
    <w:rsid w:val="008F74F5"/>
    <w:rsid w:val="00903A4C"/>
    <w:rsid w:val="009062F6"/>
    <w:rsid w:val="00915920"/>
    <w:rsid w:val="00916DFB"/>
    <w:rsid w:val="0091727A"/>
    <w:rsid w:val="00917F8E"/>
    <w:rsid w:val="009221EF"/>
    <w:rsid w:val="009244D3"/>
    <w:rsid w:val="00925A79"/>
    <w:rsid w:val="009261AE"/>
    <w:rsid w:val="00930FF1"/>
    <w:rsid w:val="009350E8"/>
    <w:rsid w:val="00937442"/>
    <w:rsid w:val="00937825"/>
    <w:rsid w:val="00940D77"/>
    <w:rsid w:val="00944319"/>
    <w:rsid w:val="00946C5C"/>
    <w:rsid w:val="00947BF9"/>
    <w:rsid w:val="00952578"/>
    <w:rsid w:val="00952EDF"/>
    <w:rsid w:val="009540C5"/>
    <w:rsid w:val="009563C3"/>
    <w:rsid w:val="00960DC2"/>
    <w:rsid w:val="009711C7"/>
    <w:rsid w:val="0098684D"/>
    <w:rsid w:val="00990180"/>
    <w:rsid w:val="00990A5B"/>
    <w:rsid w:val="0099562D"/>
    <w:rsid w:val="009A1B5E"/>
    <w:rsid w:val="009A627B"/>
    <w:rsid w:val="009A79B5"/>
    <w:rsid w:val="009B2A34"/>
    <w:rsid w:val="009B2EA7"/>
    <w:rsid w:val="009B5341"/>
    <w:rsid w:val="009B671E"/>
    <w:rsid w:val="009C1C85"/>
    <w:rsid w:val="009C3ED9"/>
    <w:rsid w:val="009D1F71"/>
    <w:rsid w:val="009E112A"/>
    <w:rsid w:val="009E3394"/>
    <w:rsid w:val="009E5856"/>
    <w:rsid w:val="009E70DD"/>
    <w:rsid w:val="009E7498"/>
    <w:rsid w:val="009E7AD6"/>
    <w:rsid w:val="00A0583E"/>
    <w:rsid w:val="00A10997"/>
    <w:rsid w:val="00A15DFA"/>
    <w:rsid w:val="00A17B0D"/>
    <w:rsid w:val="00A22622"/>
    <w:rsid w:val="00A25AAA"/>
    <w:rsid w:val="00A278F1"/>
    <w:rsid w:val="00A331F4"/>
    <w:rsid w:val="00A3352A"/>
    <w:rsid w:val="00A4577B"/>
    <w:rsid w:val="00A47499"/>
    <w:rsid w:val="00A513DA"/>
    <w:rsid w:val="00A514A1"/>
    <w:rsid w:val="00A51A6A"/>
    <w:rsid w:val="00A55A78"/>
    <w:rsid w:val="00A66915"/>
    <w:rsid w:val="00A66D2A"/>
    <w:rsid w:val="00A7044E"/>
    <w:rsid w:val="00A71926"/>
    <w:rsid w:val="00A733F1"/>
    <w:rsid w:val="00A744D8"/>
    <w:rsid w:val="00A75ECA"/>
    <w:rsid w:val="00A77236"/>
    <w:rsid w:val="00A85F27"/>
    <w:rsid w:val="00A861A1"/>
    <w:rsid w:val="00A87620"/>
    <w:rsid w:val="00A91546"/>
    <w:rsid w:val="00A9670F"/>
    <w:rsid w:val="00A97CDC"/>
    <w:rsid w:val="00AA4955"/>
    <w:rsid w:val="00AA4BAC"/>
    <w:rsid w:val="00AA7622"/>
    <w:rsid w:val="00AC11FD"/>
    <w:rsid w:val="00AC270D"/>
    <w:rsid w:val="00AC3576"/>
    <w:rsid w:val="00AC46AA"/>
    <w:rsid w:val="00AC5C36"/>
    <w:rsid w:val="00AD19F1"/>
    <w:rsid w:val="00AD3FDA"/>
    <w:rsid w:val="00AD611D"/>
    <w:rsid w:val="00AD7053"/>
    <w:rsid w:val="00AE38AA"/>
    <w:rsid w:val="00AF2170"/>
    <w:rsid w:val="00AF2756"/>
    <w:rsid w:val="00AF376E"/>
    <w:rsid w:val="00AF538F"/>
    <w:rsid w:val="00AF5AA1"/>
    <w:rsid w:val="00AF6B0F"/>
    <w:rsid w:val="00B0188C"/>
    <w:rsid w:val="00B027A3"/>
    <w:rsid w:val="00B028E1"/>
    <w:rsid w:val="00B17511"/>
    <w:rsid w:val="00B22A51"/>
    <w:rsid w:val="00B22B3C"/>
    <w:rsid w:val="00B33537"/>
    <w:rsid w:val="00B33B50"/>
    <w:rsid w:val="00B40A25"/>
    <w:rsid w:val="00B42D76"/>
    <w:rsid w:val="00B52EB3"/>
    <w:rsid w:val="00B642EC"/>
    <w:rsid w:val="00B64BDE"/>
    <w:rsid w:val="00B65187"/>
    <w:rsid w:val="00B72153"/>
    <w:rsid w:val="00B7295D"/>
    <w:rsid w:val="00B758AC"/>
    <w:rsid w:val="00B812CD"/>
    <w:rsid w:val="00B81399"/>
    <w:rsid w:val="00B83CFF"/>
    <w:rsid w:val="00BA1E0E"/>
    <w:rsid w:val="00BB3882"/>
    <w:rsid w:val="00BB6BF0"/>
    <w:rsid w:val="00BC03D0"/>
    <w:rsid w:val="00BC73FB"/>
    <w:rsid w:val="00BD00E4"/>
    <w:rsid w:val="00BD4A4C"/>
    <w:rsid w:val="00BD6FAD"/>
    <w:rsid w:val="00BE3057"/>
    <w:rsid w:val="00BE7BAF"/>
    <w:rsid w:val="00BF0278"/>
    <w:rsid w:val="00BF1446"/>
    <w:rsid w:val="00BF240D"/>
    <w:rsid w:val="00BF4105"/>
    <w:rsid w:val="00BF606B"/>
    <w:rsid w:val="00BF66C0"/>
    <w:rsid w:val="00C05D30"/>
    <w:rsid w:val="00C06DA1"/>
    <w:rsid w:val="00C24D3D"/>
    <w:rsid w:val="00C4612A"/>
    <w:rsid w:val="00C527B6"/>
    <w:rsid w:val="00C6120B"/>
    <w:rsid w:val="00C63E70"/>
    <w:rsid w:val="00C642C2"/>
    <w:rsid w:val="00C7024A"/>
    <w:rsid w:val="00C807A3"/>
    <w:rsid w:val="00C80C63"/>
    <w:rsid w:val="00C92923"/>
    <w:rsid w:val="00C977D1"/>
    <w:rsid w:val="00CA020A"/>
    <w:rsid w:val="00CA0400"/>
    <w:rsid w:val="00CA7DC5"/>
    <w:rsid w:val="00CB4715"/>
    <w:rsid w:val="00CB5853"/>
    <w:rsid w:val="00CB63BA"/>
    <w:rsid w:val="00CC6E29"/>
    <w:rsid w:val="00CE6440"/>
    <w:rsid w:val="00CE71B8"/>
    <w:rsid w:val="00CF604D"/>
    <w:rsid w:val="00CF60A5"/>
    <w:rsid w:val="00CF628D"/>
    <w:rsid w:val="00D05247"/>
    <w:rsid w:val="00D070D0"/>
    <w:rsid w:val="00D1001C"/>
    <w:rsid w:val="00D1294F"/>
    <w:rsid w:val="00D14226"/>
    <w:rsid w:val="00D14885"/>
    <w:rsid w:val="00D16A9A"/>
    <w:rsid w:val="00D17EC0"/>
    <w:rsid w:val="00D21DD6"/>
    <w:rsid w:val="00D23669"/>
    <w:rsid w:val="00D237F9"/>
    <w:rsid w:val="00D278E1"/>
    <w:rsid w:val="00D3042E"/>
    <w:rsid w:val="00D30941"/>
    <w:rsid w:val="00D30F33"/>
    <w:rsid w:val="00D34542"/>
    <w:rsid w:val="00D36863"/>
    <w:rsid w:val="00D4081F"/>
    <w:rsid w:val="00D4428B"/>
    <w:rsid w:val="00D442A5"/>
    <w:rsid w:val="00D45F6B"/>
    <w:rsid w:val="00D504AB"/>
    <w:rsid w:val="00D50FF3"/>
    <w:rsid w:val="00D52318"/>
    <w:rsid w:val="00D6686E"/>
    <w:rsid w:val="00D72C5B"/>
    <w:rsid w:val="00D748EB"/>
    <w:rsid w:val="00D75C7A"/>
    <w:rsid w:val="00D81963"/>
    <w:rsid w:val="00D82928"/>
    <w:rsid w:val="00D82F8D"/>
    <w:rsid w:val="00D86624"/>
    <w:rsid w:val="00D86845"/>
    <w:rsid w:val="00D97292"/>
    <w:rsid w:val="00DA08E3"/>
    <w:rsid w:val="00DA58FF"/>
    <w:rsid w:val="00DA5C9D"/>
    <w:rsid w:val="00DA7C95"/>
    <w:rsid w:val="00DB2DA6"/>
    <w:rsid w:val="00DC44F3"/>
    <w:rsid w:val="00DE0771"/>
    <w:rsid w:val="00DE3D44"/>
    <w:rsid w:val="00DE477F"/>
    <w:rsid w:val="00DF52B3"/>
    <w:rsid w:val="00DF55F8"/>
    <w:rsid w:val="00DF6EB0"/>
    <w:rsid w:val="00DF7AB5"/>
    <w:rsid w:val="00E0156D"/>
    <w:rsid w:val="00E02C37"/>
    <w:rsid w:val="00E044E5"/>
    <w:rsid w:val="00E06213"/>
    <w:rsid w:val="00E13FAA"/>
    <w:rsid w:val="00E22A97"/>
    <w:rsid w:val="00E2464B"/>
    <w:rsid w:val="00E25416"/>
    <w:rsid w:val="00E26C6E"/>
    <w:rsid w:val="00E3438A"/>
    <w:rsid w:val="00E37A70"/>
    <w:rsid w:val="00E45B7F"/>
    <w:rsid w:val="00E46B3F"/>
    <w:rsid w:val="00E46D8B"/>
    <w:rsid w:val="00E61CCA"/>
    <w:rsid w:val="00E64283"/>
    <w:rsid w:val="00E80528"/>
    <w:rsid w:val="00E877B1"/>
    <w:rsid w:val="00E95146"/>
    <w:rsid w:val="00EA3743"/>
    <w:rsid w:val="00EA3793"/>
    <w:rsid w:val="00EA418E"/>
    <w:rsid w:val="00EA4E84"/>
    <w:rsid w:val="00EB00B9"/>
    <w:rsid w:val="00EB0118"/>
    <w:rsid w:val="00EC0986"/>
    <w:rsid w:val="00EC1BEE"/>
    <w:rsid w:val="00EC1CA0"/>
    <w:rsid w:val="00EC1F0B"/>
    <w:rsid w:val="00EC2148"/>
    <w:rsid w:val="00ED7344"/>
    <w:rsid w:val="00ED7F90"/>
    <w:rsid w:val="00EE360B"/>
    <w:rsid w:val="00EE6B9E"/>
    <w:rsid w:val="00EF389F"/>
    <w:rsid w:val="00F00601"/>
    <w:rsid w:val="00F03FD9"/>
    <w:rsid w:val="00F06596"/>
    <w:rsid w:val="00F10C46"/>
    <w:rsid w:val="00F10C6B"/>
    <w:rsid w:val="00F2121B"/>
    <w:rsid w:val="00F227E0"/>
    <w:rsid w:val="00F318F5"/>
    <w:rsid w:val="00F33AD3"/>
    <w:rsid w:val="00F3447B"/>
    <w:rsid w:val="00F36CCB"/>
    <w:rsid w:val="00F4215A"/>
    <w:rsid w:val="00F42FF4"/>
    <w:rsid w:val="00F467A8"/>
    <w:rsid w:val="00F477C8"/>
    <w:rsid w:val="00F47D78"/>
    <w:rsid w:val="00F50BD1"/>
    <w:rsid w:val="00F51673"/>
    <w:rsid w:val="00F57025"/>
    <w:rsid w:val="00F61710"/>
    <w:rsid w:val="00F63626"/>
    <w:rsid w:val="00F67DC1"/>
    <w:rsid w:val="00F70E4B"/>
    <w:rsid w:val="00F7671A"/>
    <w:rsid w:val="00F92747"/>
    <w:rsid w:val="00FA0B59"/>
    <w:rsid w:val="00FA1098"/>
    <w:rsid w:val="00FA158E"/>
    <w:rsid w:val="00FA5079"/>
    <w:rsid w:val="00FA54DF"/>
    <w:rsid w:val="00FB3C2A"/>
    <w:rsid w:val="00FB6086"/>
    <w:rsid w:val="00FB76ED"/>
    <w:rsid w:val="00FB7F72"/>
    <w:rsid w:val="00FC01AC"/>
    <w:rsid w:val="00FC2848"/>
    <w:rsid w:val="00FC2A50"/>
    <w:rsid w:val="00FC386A"/>
    <w:rsid w:val="00FD020B"/>
    <w:rsid w:val="00FD47D3"/>
    <w:rsid w:val="00FD7D47"/>
    <w:rsid w:val="00FE65B4"/>
    <w:rsid w:val="00FE6A09"/>
    <w:rsid w:val="00FF180F"/>
    <w:rsid w:val="00FF7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4998"/>
  <w15:chartTrackingRefBased/>
  <w15:docId w15:val="{A454B82C-7F9F-45F3-A590-C4EF294F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27"/>
    <w:pPr>
      <w:spacing w:after="0" w:line="240" w:lineRule="auto"/>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396DE0"/>
    <w:pPr>
      <w:keepNext/>
      <w:keepLines/>
      <w:spacing w:before="240"/>
      <w:jc w:val="left"/>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396DE0"/>
    <w:pPr>
      <w:keepNext/>
      <w:keepLines/>
      <w:spacing w:before="40"/>
      <w:jc w:val="left"/>
      <w:outlineLvl w:val="1"/>
    </w:pPr>
    <w:rPr>
      <w:rFonts w:asciiTheme="majorHAnsi" w:eastAsiaTheme="majorEastAsia" w:hAnsiTheme="majorHAnsi" w:cstheme="majorBidi"/>
      <w:color w:val="2E74B5" w:themeColor="accent1" w:themeShade="BF"/>
      <w:sz w:val="26"/>
      <w:szCs w:val="26"/>
      <w:lang w:eastAsia="ru-RU"/>
    </w:rPr>
  </w:style>
  <w:style w:type="paragraph" w:styleId="6">
    <w:name w:val="heading 6"/>
    <w:basedOn w:val="a"/>
    <w:next w:val="a"/>
    <w:link w:val="60"/>
    <w:uiPriority w:val="9"/>
    <w:qFormat/>
    <w:rsid w:val="00396DE0"/>
    <w:pPr>
      <w:keepNext/>
      <w:ind w:firstLine="720"/>
      <w:jc w:val="right"/>
      <w:outlineLvl w:val="5"/>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E1A2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s,Normal bullet 2"/>
    <w:basedOn w:val="a"/>
    <w:link w:val="11"/>
    <w:uiPriority w:val="34"/>
    <w:qFormat/>
    <w:rsid w:val="007E1A27"/>
    <w:pPr>
      <w:ind w:left="720"/>
      <w:contextualSpacing/>
    </w:pPr>
  </w:style>
  <w:style w:type="paragraph" w:styleId="a5">
    <w:name w:val="header"/>
    <w:basedOn w:val="a"/>
    <w:link w:val="a6"/>
    <w:uiPriority w:val="99"/>
    <w:unhideWhenUsed/>
    <w:rsid w:val="00B812CD"/>
    <w:pPr>
      <w:tabs>
        <w:tab w:val="center" w:pos="4819"/>
        <w:tab w:val="right" w:pos="9639"/>
      </w:tabs>
    </w:pPr>
  </w:style>
  <w:style w:type="character" w:customStyle="1" w:styleId="a6">
    <w:name w:val="Верхній колонтитул Знак"/>
    <w:basedOn w:val="a0"/>
    <w:link w:val="a5"/>
    <w:uiPriority w:val="99"/>
    <w:qFormat/>
    <w:rsid w:val="00B812CD"/>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B812CD"/>
    <w:pPr>
      <w:tabs>
        <w:tab w:val="center" w:pos="4819"/>
        <w:tab w:val="right" w:pos="9639"/>
      </w:tabs>
    </w:pPr>
  </w:style>
  <w:style w:type="character" w:customStyle="1" w:styleId="a8">
    <w:name w:val="Нижній колонтитул Знак"/>
    <w:basedOn w:val="a0"/>
    <w:link w:val="a7"/>
    <w:uiPriority w:val="99"/>
    <w:qFormat/>
    <w:rsid w:val="00B812CD"/>
    <w:rPr>
      <w:rFonts w:ascii="Times New Roman" w:eastAsia="Times New Roman" w:hAnsi="Times New Roman" w:cs="Times New Roman"/>
      <w:sz w:val="28"/>
      <w:szCs w:val="28"/>
      <w:lang w:eastAsia="uk-UA"/>
    </w:rPr>
  </w:style>
  <w:style w:type="character" w:styleId="a9">
    <w:name w:val="annotation reference"/>
    <w:basedOn w:val="a0"/>
    <w:uiPriority w:val="99"/>
    <w:semiHidden/>
    <w:unhideWhenUsed/>
    <w:qFormat/>
    <w:rsid w:val="00024C81"/>
    <w:rPr>
      <w:sz w:val="16"/>
      <w:szCs w:val="16"/>
    </w:rPr>
  </w:style>
  <w:style w:type="paragraph" w:styleId="aa">
    <w:name w:val="annotation text"/>
    <w:basedOn w:val="a"/>
    <w:link w:val="ab"/>
    <w:uiPriority w:val="99"/>
    <w:unhideWhenUsed/>
    <w:qFormat/>
    <w:rsid w:val="00024C81"/>
    <w:pPr>
      <w:jc w:val="left"/>
    </w:pPr>
    <w:rPr>
      <w:sz w:val="20"/>
      <w:szCs w:val="20"/>
    </w:rPr>
  </w:style>
  <w:style w:type="character" w:customStyle="1" w:styleId="ab">
    <w:name w:val="Текст примітки Знак"/>
    <w:basedOn w:val="a0"/>
    <w:link w:val="aa"/>
    <w:uiPriority w:val="99"/>
    <w:qFormat/>
    <w:rsid w:val="00024C81"/>
    <w:rPr>
      <w:rFonts w:ascii="Times New Roman" w:eastAsia="Times New Roman" w:hAnsi="Times New Roman" w:cs="Times New Roman"/>
      <w:sz w:val="20"/>
      <w:szCs w:val="20"/>
      <w:lang w:eastAsia="uk-UA"/>
    </w:rPr>
  </w:style>
  <w:style w:type="paragraph" w:styleId="ac">
    <w:name w:val="Balloon Text"/>
    <w:basedOn w:val="a"/>
    <w:link w:val="ad"/>
    <w:uiPriority w:val="99"/>
    <w:semiHidden/>
    <w:unhideWhenUsed/>
    <w:qFormat/>
    <w:rsid w:val="00024C81"/>
    <w:rPr>
      <w:rFonts w:ascii="Segoe UI" w:hAnsi="Segoe UI" w:cs="Segoe UI"/>
      <w:sz w:val="18"/>
      <w:szCs w:val="18"/>
    </w:rPr>
  </w:style>
  <w:style w:type="character" w:customStyle="1" w:styleId="ad">
    <w:name w:val="Текст у виносці Знак"/>
    <w:basedOn w:val="a0"/>
    <w:link w:val="ac"/>
    <w:uiPriority w:val="99"/>
    <w:semiHidden/>
    <w:qFormat/>
    <w:rsid w:val="00024C81"/>
    <w:rPr>
      <w:rFonts w:ascii="Segoe UI" w:eastAsia="Times New Roman" w:hAnsi="Segoe UI" w:cs="Segoe UI"/>
      <w:sz w:val="18"/>
      <w:szCs w:val="18"/>
      <w:lang w:eastAsia="uk-UA"/>
    </w:rPr>
  </w:style>
  <w:style w:type="paragraph" w:customStyle="1" w:styleId="rvps2">
    <w:name w:val="rvps2"/>
    <w:basedOn w:val="a"/>
    <w:qFormat/>
    <w:rsid w:val="00735653"/>
    <w:pPr>
      <w:spacing w:before="100" w:beforeAutospacing="1" w:after="100" w:afterAutospacing="1"/>
      <w:jc w:val="left"/>
    </w:pPr>
    <w:rPr>
      <w:sz w:val="24"/>
      <w:szCs w:val="24"/>
    </w:rPr>
  </w:style>
  <w:style w:type="character" w:styleId="ae">
    <w:name w:val="Hyperlink"/>
    <w:basedOn w:val="a0"/>
    <w:uiPriority w:val="99"/>
    <w:unhideWhenUsed/>
    <w:rsid w:val="00735653"/>
    <w:rPr>
      <w:color w:val="0000FF"/>
      <w:u w:val="single"/>
    </w:rPr>
  </w:style>
  <w:style w:type="paragraph" w:styleId="af">
    <w:name w:val="annotation subject"/>
    <w:basedOn w:val="aa"/>
    <w:next w:val="aa"/>
    <w:link w:val="af0"/>
    <w:uiPriority w:val="99"/>
    <w:semiHidden/>
    <w:unhideWhenUsed/>
    <w:qFormat/>
    <w:rsid w:val="00F477C8"/>
    <w:pPr>
      <w:jc w:val="both"/>
    </w:pPr>
    <w:rPr>
      <w:b/>
      <w:bCs/>
    </w:rPr>
  </w:style>
  <w:style w:type="character" w:customStyle="1" w:styleId="af0">
    <w:name w:val="Тема примітки Знак"/>
    <w:basedOn w:val="ab"/>
    <w:link w:val="af"/>
    <w:uiPriority w:val="99"/>
    <w:semiHidden/>
    <w:qFormat/>
    <w:rsid w:val="00F477C8"/>
    <w:rPr>
      <w:rFonts w:ascii="Times New Roman" w:eastAsia="Times New Roman" w:hAnsi="Times New Roman" w:cs="Times New Roman"/>
      <w:b/>
      <w:bCs/>
      <w:sz w:val="20"/>
      <w:szCs w:val="20"/>
      <w:lang w:eastAsia="uk-UA"/>
    </w:rPr>
  </w:style>
  <w:style w:type="paragraph" w:styleId="af1">
    <w:name w:val="Revision"/>
    <w:hidden/>
    <w:uiPriority w:val="99"/>
    <w:semiHidden/>
    <w:rsid w:val="000D4834"/>
    <w:pPr>
      <w:spacing w:after="0" w:line="240" w:lineRule="auto"/>
    </w:pPr>
    <w:rPr>
      <w:rFonts w:ascii="Times New Roman" w:eastAsia="Times New Roman" w:hAnsi="Times New Roman" w:cs="Times New Roman"/>
      <w:sz w:val="28"/>
      <w:szCs w:val="28"/>
      <w:lang w:eastAsia="uk-UA"/>
    </w:rPr>
  </w:style>
  <w:style w:type="character" w:customStyle="1" w:styleId="10">
    <w:name w:val="Заголовок 1 Знак"/>
    <w:basedOn w:val="a0"/>
    <w:link w:val="1"/>
    <w:uiPriority w:val="9"/>
    <w:qFormat/>
    <w:rsid w:val="00396DE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qFormat/>
    <w:rsid w:val="00396DE0"/>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qFormat/>
    <w:rsid w:val="00396DE0"/>
    <w:rPr>
      <w:rFonts w:ascii="Times New Roman" w:eastAsia="Times New Roman" w:hAnsi="Times New Roman" w:cs="Times New Roman"/>
      <w:sz w:val="28"/>
      <w:szCs w:val="20"/>
      <w:lang w:eastAsia="ru-RU"/>
    </w:rPr>
  </w:style>
  <w:style w:type="character" w:styleId="af2">
    <w:name w:val="Strong"/>
    <w:basedOn w:val="a0"/>
    <w:uiPriority w:val="22"/>
    <w:qFormat/>
    <w:rsid w:val="00396DE0"/>
    <w:rPr>
      <w:b/>
      <w:bCs/>
    </w:rPr>
  </w:style>
  <w:style w:type="character" w:customStyle="1" w:styleId="af3">
    <w:name w:val="Абзац списку Знак"/>
    <w:uiPriority w:val="34"/>
    <w:qFormat/>
    <w:locked/>
    <w:rsid w:val="00396DE0"/>
    <w:rPr>
      <w:rFonts w:ascii="Calibri" w:eastAsia="Times New Roman" w:hAnsi="Calibri" w:cs="Times New Roman"/>
      <w:lang w:val="uk-UA"/>
    </w:rPr>
  </w:style>
  <w:style w:type="character" w:customStyle="1" w:styleId="af4">
    <w:name w:val="Текст виноски Знак"/>
    <w:basedOn w:val="a0"/>
    <w:uiPriority w:val="99"/>
    <w:qFormat/>
    <w:rsid w:val="00396DE0"/>
    <w:rPr>
      <w:rFonts w:ascii="Times New Roman" w:eastAsia="Times New Roman" w:hAnsi="Times New Roman" w:cs="Times New Roman"/>
      <w:sz w:val="20"/>
      <w:szCs w:val="20"/>
      <w:lang w:val="uk-UA" w:eastAsia="ru-RU"/>
    </w:rPr>
  </w:style>
  <w:style w:type="character" w:customStyle="1" w:styleId="FootnoteCharacters">
    <w:name w:val="Footnote Characters"/>
    <w:basedOn w:val="a0"/>
    <w:semiHidden/>
    <w:unhideWhenUsed/>
    <w:qFormat/>
    <w:rsid w:val="00396DE0"/>
    <w:rPr>
      <w:vertAlign w:val="superscript"/>
    </w:rPr>
  </w:style>
  <w:style w:type="character" w:customStyle="1" w:styleId="FootnoteAnchor">
    <w:name w:val="Footnote Anchor"/>
    <w:rsid w:val="00396DE0"/>
    <w:rPr>
      <w:vertAlign w:val="superscript"/>
    </w:rPr>
  </w:style>
  <w:style w:type="character" w:customStyle="1" w:styleId="InternetLink">
    <w:name w:val="Internet Link"/>
    <w:basedOn w:val="a0"/>
    <w:uiPriority w:val="99"/>
    <w:semiHidden/>
    <w:unhideWhenUsed/>
    <w:rsid w:val="00396DE0"/>
    <w:rPr>
      <w:color w:val="0000FF"/>
      <w:u w:val="single"/>
    </w:rPr>
  </w:style>
  <w:style w:type="character" w:customStyle="1" w:styleId="12">
    <w:name w:val="Неразрешенное упоминание1"/>
    <w:basedOn w:val="a0"/>
    <w:uiPriority w:val="99"/>
    <w:semiHidden/>
    <w:unhideWhenUsed/>
    <w:qFormat/>
    <w:rsid w:val="00396DE0"/>
    <w:rPr>
      <w:color w:val="605E5C"/>
      <w:shd w:val="clear" w:color="auto" w:fill="E1DFDD"/>
    </w:rPr>
  </w:style>
  <w:style w:type="character" w:customStyle="1" w:styleId="spelle">
    <w:name w:val="spelle"/>
    <w:basedOn w:val="a0"/>
    <w:qFormat/>
    <w:rsid w:val="00396DE0"/>
  </w:style>
  <w:style w:type="character" w:customStyle="1" w:styleId="shorttext">
    <w:name w:val="short_text"/>
    <w:basedOn w:val="a0"/>
    <w:qFormat/>
    <w:rsid w:val="00396DE0"/>
  </w:style>
  <w:style w:type="character" w:customStyle="1" w:styleId="rvts15">
    <w:name w:val="rvts15"/>
    <w:basedOn w:val="a0"/>
    <w:qFormat/>
    <w:rsid w:val="00396DE0"/>
  </w:style>
  <w:style w:type="character" w:customStyle="1" w:styleId="rvts23">
    <w:name w:val="rvts23"/>
    <w:basedOn w:val="a0"/>
    <w:qFormat/>
    <w:rsid w:val="00396DE0"/>
  </w:style>
  <w:style w:type="character" w:customStyle="1" w:styleId="rvts40">
    <w:name w:val="rvts40"/>
    <w:qFormat/>
    <w:rsid w:val="00396DE0"/>
  </w:style>
  <w:style w:type="character" w:customStyle="1" w:styleId="rvts44">
    <w:name w:val="rvts44"/>
    <w:basedOn w:val="a0"/>
    <w:qFormat/>
    <w:rsid w:val="00396DE0"/>
  </w:style>
  <w:style w:type="character" w:customStyle="1" w:styleId="HTML">
    <w:name w:val="Стандартний HTML Знак"/>
    <w:basedOn w:val="a0"/>
    <w:uiPriority w:val="99"/>
    <w:qFormat/>
    <w:rsid w:val="00396DE0"/>
    <w:rPr>
      <w:rFonts w:ascii="Courier New" w:eastAsia="Times New Roman" w:hAnsi="Courier New" w:cs="Courier New"/>
      <w:sz w:val="20"/>
      <w:szCs w:val="20"/>
      <w:lang w:eastAsia="ru-RU"/>
    </w:rPr>
  </w:style>
  <w:style w:type="character" w:customStyle="1" w:styleId="af5">
    <w:name w:val="Основний текст_"/>
    <w:basedOn w:val="a0"/>
    <w:qFormat/>
    <w:rsid w:val="00396DE0"/>
    <w:rPr>
      <w:rFonts w:ascii="Arial" w:eastAsia="Arial" w:hAnsi="Arial" w:cs="Arial"/>
      <w:sz w:val="18"/>
      <w:szCs w:val="18"/>
      <w:shd w:val="clear" w:color="auto" w:fill="FFFFFF"/>
    </w:rPr>
  </w:style>
  <w:style w:type="character" w:customStyle="1" w:styleId="jlqj4b">
    <w:name w:val="jlqj4b"/>
    <w:basedOn w:val="a0"/>
    <w:qFormat/>
    <w:rsid w:val="00396DE0"/>
  </w:style>
  <w:style w:type="character" w:customStyle="1" w:styleId="ListLabel1">
    <w:name w:val="ListLabel 1"/>
    <w:qFormat/>
    <w:rsid w:val="00396DE0"/>
    <w:rPr>
      <w:rFonts w:ascii="Times New Roman" w:hAnsi="Times New Roman"/>
      <w:color w:val="auto"/>
      <w:sz w:val="28"/>
    </w:rPr>
  </w:style>
  <w:style w:type="character" w:customStyle="1" w:styleId="ListLabel2">
    <w:name w:val="ListLabel 2"/>
    <w:qFormat/>
    <w:rsid w:val="00396DE0"/>
    <w:rPr>
      <w:color w:val="auto"/>
    </w:rPr>
  </w:style>
  <w:style w:type="character" w:customStyle="1" w:styleId="ListLabel3">
    <w:name w:val="ListLabel 3"/>
    <w:qFormat/>
    <w:rsid w:val="00396DE0"/>
    <w:rPr>
      <w:rFonts w:ascii="Times New Roman" w:hAnsi="Times New Roman"/>
      <w:sz w:val="28"/>
      <w:szCs w:val="28"/>
    </w:rPr>
  </w:style>
  <w:style w:type="character" w:customStyle="1" w:styleId="ListLabel4">
    <w:name w:val="ListLabel 4"/>
    <w:qFormat/>
    <w:rsid w:val="00396DE0"/>
    <w:rPr>
      <w:rFonts w:ascii="Times New Roman" w:hAnsi="Times New Roman"/>
      <w:color w:val="auto"/>
      <w:sz w:val="28"/>
    </w:rPr>
  </w:style>
  <w:style w:type="character" w:customStyle="1" w:styleId="ListLabel5">
    <w:name w:val="ListLabel 5"/>
    <w:qFormat/>
    <w:rsid w:val="00396DE0"/>
    <w:rPr>
      <w:rFonts w:ascii="Times New Roman" w:hAnsi="Times New Roman"/>
      <w:color w:val="auto"/>
      <w:sz w:val="28"/>
    </w:rPr>
  </w:style>
  <w:style w:type="character" w:customStyle="1" w:styleId="EndnoteAnchor">
    <w:name w:val="Endnote Anchor"/>
    <w:rsid w:val="00396DE0"/>
    <w:rPr>
      <w:vertAlign w:val="superscript"/>
    </w:rPr>
  </w:style>
  <w:style w:type="character" w:customStyle="1" w:styleId="EndnoteCharacters">
    <w:name w:val="Endnote Characters"/>
    <w:qFormat/>
    <w:rsid w:val="00396DE0"/>
  </w:style>
  <w:style w:type="character" w:customStyle="1" w:styleId="ListLabel6">
    <w:name w:val="ListLabel 6"/>
    <w:qFormat/>
    <w:rsid w:val="00396DE0"/>
    <w:rPr>
      <w:rFonts w:ascii="Times New Roman" w:hAnsi="Times New Roman"/>
      <w:position w:val="0"/>
      <w:sz w:val="28"/>
      <w:szCs w:val="28"/>
      <w:vertAlign w:val="baseline"/>
    </w:rPr>
  </w:style>
  <w:style w:type="character" w:customStyle="1" w:styleId="ListLabel7">
    <w:name w:val="ListLabel 7"/>
    <w:qFormat/>
    <w:rsid w:val="00396DE0"/>
    <w:rPr>
      <w:rFonts w:ascii="Times New Roman" w:hAnsi="Times New Roman"/>
      <w:sz w:val="28"/>
      <w:szCs w:val="28"/>
    </w:rPr>
  </w:style>
  <w:style w:type="character" w:customStyle="1" w:styleId="ListLabel8">
    <w:name w:val="ListLabel 8"/>
    <w:qFormat/>
    <w:rsid w:val="00396DE0"/>
    <w:rPr>
      <w:rFonts w:ascii="Times New Roman" w:hAnsi="Times New Roman"/>
      <w:sz w:val="28"/>
    </w:rPr>
  </w:style>
  <w:style w:type="character" w:customStyle="1" w:styleId="ListLabel9">
    <w:name w:val="ListLabel 9"/>
    <w:qFormat/>
    <w:rsid w:val="00396DE0"/>
    <w:rPr>
      <w:rFonts w:ascii="Times New Roman" w:eastAsia="Calibri" w:hAnsi="Times New Roman"/>
      <w:sz w:val="28"/>
    </w:rPr>
  </w:style>
  <w:style w:type="character" w:customStyle="1" w:styleId="ListLabel10">
    <w:name w:val="ListLabel 10"/>
    <w:qFormat/>
    <w:rsid w:val="00396DE0"/>
    <w:rPr>
      <w:rFonts w:ascii="Times New Roman" w:hAnsi="Times New Roman"/>
      <w:color w:val="auto"/>
      <w:sz w:val="28"/>
    </w:rPr>
  </w:style>
  <w:style w:type="character" w:customStyle="1" w:styleId="ListLabel11">
    <w:name w:val="ListLabel 11"/>
    <w:qFormat/>
    <w:rsid w:val="00396DE0"/>
    <w:rPr>
      <w:rFonts w:ascii="Times New Roman" w:hAnsi="Times New Roman"/>
      <w:color w:val="auto"/>
      <w:sz w:val="28"/>
    </w:rPr>
  </w:style>
  <w:style w:type="character" w:customStyle="1" w:styleId="ListLabel12">
    <w:name w:val="ListLabel 12"/>
    <w:qFormat/>
    <w:rsid w:val="00396DE0"/>
    <w:rPr>
      <w:rFonts w:ascii="Times New Roman" w:hAnsi="Times New Roman"/>
      <w:color w:val="auto"/>
      <w:sz w:val="28"/>
    </w:rPr>
  </w:style>
  <w:style w:type="character" w:customStyle="1" w:styleId="ListLabel13">
    <w:name w:val="ListLabel 13"/>
    <w:qFormat/>
    <w:rsid w:val="00396DE0"/>
    <w:rPr>
      <w:rFonts w:ascii="Times New Roman" w:eastAsia="Calibri" w:hAnsi="Times New Roman"/>
      <w:sz w:val="28"/>
    </w:rPr>
  </w:style>
  <w:style w:type="character" w:customStyle="1" w:styleId="ListLabel14">
    <w:name w:val="ListLabel 14"/>
    <w:qFormat/>
    <w:rsid w:val="00396DE0"/>
    <w:rPr>
      <w:rFonts w:ascii="Times New Roman" w:hAnsi="Times New Roman"/>
      <w:color w:val="auto"/>
      <w:sz w:val="28"/>
    </w:rPr>
  </w:style>
  <w:style w:type="character" w:customStyle="1" w:styleId="ListLabel15">
    <w:name w:val="ListLabel 15"/>
    <w:qFormat/>
    <w:rsid w:val="00396DE0"/>
    <w:rPr>
      <w:rFonts w:ascii="Times New Roman" w:hAnsi="Times New Roman"/>
      <w:color w:val="auto"/>
      <w:sz w:val="28"/>
    </w:rPr>
  </w:style>
  <w:style w:type="character" w:customStyle="1" w:styleId="ListLabel16">
    <w:name w:val="ListLabel 16"/>
    <w:qFormat/>
    <w:rsid w:val="00396DE0"/>
    <w:rPr>
      <w:rFonts w:ascii="Times New Roman" w:hAnsi="Times New Roman"/>
      <w:color w:val="auto"/>
      <w:sz w:val="28"/>
    </w:rPr>
  </w:style>
  <w:style w:type="character" w:customStyle="1" w:styleId="11">
    <w:name w:val="Абзац списку Знак1"/>
    <w:aliases w:val="Bullets Знак,Normal bullet 2 Знак"/>
    <w:link w:val="a4"/>
    <w:uiPriority w:val="34"/>
    <w:qFormat/>
    <w:locked/>
    <w:rsid w:val="00396DE0"/>
    <w:rPr>
      <w:rFonts w:ascii="Times New Roman" w:eastAsia="Times New Roman" w:hAnsi="Times New Roman" w:cs="Times New Roman"/>
      <w:sz w:val="28"/>
      <w:szCs w:val="28"/>
      <w:lang w:eastAsia="uk-UA"/>
    </w:rPr>
  </w:style>
  <w:style w:type="character" w:customStyle="1" w:styleId="rvts46">
    <w:name w:val="rvts46"/>
    <w:basedOn w:val="a0"/>
    <w:qFormat/>
    <w:rsid w:val="00396DE0"/>
  </w:style>
  <w:style w:type="character" w:customStyle="1" w:styleId="rvts11">
    <w:name w:val="rvts11"/>
    <w:basedOn w:val="a0"/>
    <w:qFormat/>
    <w:rsid w:val="00396DE0"/>
  </w:style>
  <w:style w:type="character" w:customStyle="1" w:styleId="ListLabel17">
    <w:name w:val="ListLabel 17"/>
    <w:qFormat/>
    <w:rsid w:val="00396DE0"/>
    <w:rPr>
      <w:rFonts w:ascii="Times New Roman" w:eastAsia="Calibri" w:hAnsi="Times New Roman"/>
      <w:sz w:val="28"/>
    </w:rPr>
  </w:style>
  <w:style w:type="character" w:customStyle="1" w:styleId="ListLabel18">
    <w:name w:val="ListLabel 18"/>
    <w:qFormat/>
    <w:rsid w:val="00396DE0"/>
    <w:rPr>
      <w:color w:val="auto"/>
      <w:sz w:val="28"/>
    </w:rPr>
  </w:style>
  <w:style w:type="character" w:customStyle="1" w:styleId="ListLabel19">
    <w:name w:val="ListLabel 19"/>
    <w:qFormat/>
    <w:rsid w:val="00396DE0"/>
    <w:rPr>
      <w:rFonts w:ascii="Times New Roman" w:hAnsi="Times New Roman"/>
      <w:color w:val="auto"/>
      <w:sz w:val="28"/>
    </w:rPr>
  </w:style>
  <w:style w:type="character" w:customStyle="1" w:styleId="ListLabel20">
    <w:name w:val="ListLabel 20"/>
    <w:qFormat/>
    <w:rsid w:val="00396DE0"/>
    <w:rPr>
      <w:color w:val="auto"/>
    </w:rPr>
  </w:style>
  <w:style w:type="character" w:customStyle="1" w:styleId="ListLabel21">
    <w:name w:val="ListLabel 21"/>
    <w:qFormat/>
    <w:rsid w:val="00396DE0"/>
    <w:rPr>
      <w:rFonts w:ascii="Times New Roman" w:hAnsi="Times New Roman"/>
      <w:color w:val="auto"/>
      <w:sz w:val="28"/>
    </w:rPr>
  </w:style>
  <w:style w:type="character" w:customStyle="1" w:styleId="ListLabel22">
    <w:name w:val="ListLabel 22"/>
    <w:qFormat/>
    <w:rsid w:val="00396DE0"/>
    <w:rPr>
      <w:strike w:val="0"/>
      <w:dstrike w:val="0"/>
      <w:u w:val="none"/>
      <w:effect w:val="none"/>
    </w:rPr>
  </w:style>
  <w:style w:type="character" w:customStyle="1" w:styleId="ListLabel23">
    <w:name w:val="ListLabel 23"/>
    <w:qFormat/>
    <w:rsid w:val="00396DE0"/>
    <w:rPr>
      <w:color w:val="auto"/>
    </w:rPr>
  </w:style>
  <w:style w:type="character" w:customStyle="1" w:styleId="ListLabel24">
    <w:name w:val="ListLabel 24"/>
    <w:qFormat/>
    <w:rsid w:val="00396DE0"/>
    <w:rPr>
      <w:color w:val="auto"/>
    </w:rPr>
  </w:style>
  <w:style w:type="paragraph" w:customStyle="1" w:styleId="Heading">
    <w:name w:val="Heading"/>
    <w:basedOn w:val="a"/>
    <w:next w:val="af6"/>
    <w:qFormat/>
    <w:rsid w:val="00396DE0"/>
    <w:pPr>
      <w:keepNext/>
      <w:spacing w:before="240" w:after="120"/>
      <w:jc w:val="left"/>
    </w:pPr>
    <w:rPr>
      <w:rFonts w:ascii="Liberation Sans" w:eastAsia="Noto Sans CJK SC" w:hAnsi="Liberation Sans" w:cs="FreeSans"/>
      <w:lang w:eastAsia="ru-RU"/>
    </w:rPr>
  </w:style>
  <w:style w:type="paragraph" w:styleId="af6">
    <w:name w:val="Body Text"/>
    <w:basedOn w:val="a"/>
    <w:link w:val="af7"/>
    <w:rsid w:val="00396DE0"/>
    <w:pPr>
      <w:spacing w:after="140" w:line="276" w:lineRule="auto"/>
      <w:jc w:val="left"/>
    </w:pPr>
    <w:rPr>
      <w:sz w:val="24"/>
      <w:szCs w:val="24"/>
      <w:lang w:eastAsia="ru-RU"/>
    </w:rPr>
  </w:style>
  <w:style w:type="character" w:customStyle="1" w:styleId="af7">
    <w:name w:val="Основний текст Знак"/>
    <w:basedOn w:val="a0"/>
    <w:link w:val="af6"/>
    <w:rsid w:val="00396DE0"/>
    <w:rPr>
      <w:rFonts w:ascii="Times New Roman" w:eastAsia="Times New Roman" w:hAnsi="Times New Roman" w:cs="Times New Roman"/>
      <w:sz w:val="24"/>
      <w:szCs w:val="24"/>
      <w:lang w:eastAsia="ru-RU"/>
    </w:rPr>
  </w:style>
  <w:style w:type="paragraph" w:styleId="af8">
    <w:name w:val="List"/>
    <w:basedOn w:val="af6"/>
    <w:rsid w:val="00396DE0"/>
    <w:rPr>
      <w:rFonts w:cs="FreeSans"/>
    </w:rPr>
  </w:style>
  <w:style w:type="paragraph" w:styleId="af9">
    <w:name w:val="caption"/>
    <w:basedOn w:val="a"/>
    <w:next w:val="a"/>
    <w:qFormat/>
    <w:rsid w:val="00396DE0"/>
    <w:pPr>
      <w:suppressLineNumbers/>
      <w:spacing w:before="120" w:after="120"/>
      <w:jc w:val="left"/>
    </w:pPr>
    <w:rPr>
      <w:rFonts w:cs="FreeSans"/>
      <w:i/>
      <w:iCs/>
      <w:sz w:val="24"/>
      <w:szCs w:val="24"/>
      <w:lang w:eastAsia="ru-RU"/>
    </w:rPr>
  </w:style>
  <w:style w:type="paragraph" w:customStyle="1" w:styleId="Index">
    <w:name w:val="Index"/>
    <w:basedOn w:val="a"/>
    <w:qFormat/>
    <w:rsid w:val="00396DE0"/>
    <w:pPr>
      <w:suppressLineNumbers/>
      <w:jc w:val="left"/>
    </w:pPr>
    <w:rPr>
      <w:rFonts w:cs="FreeSans"/>
      <w:sz w:val="24"/>
      <w:szCs w:val="24"/>
      <w:lang w:eastAsia="ru-RU"/>
    </w:rPr>
  </w:style>
  <w:style w:type="character" w:customStyle="1" w:styleId="13">
    <w:name w:val="Текст у виносці Знак1"/>
    <w:basedOn w:val="a0"/>
    <w:uiPriority w:val="99"/>
    <w:semiHidden/>
    <w:rsid w:val="00396DE0"/>
    <w:rPr>
      <w:rFonts w:ascii="Segoe UI" w:eastAsia="Times New Roman" w:hAnsi="Segoe UI" w:cs="Segoe UI"/>
      <w:sz w:val="18"/>
      <w:szCs w:val="18"/>
      <w:lang w:val="uk-UA" w:eastAsia="ru-RU" w:bidi="ar-SA"/>
    </w:rPr>
  </w:style>
  <w:style w:type="character" w:customStyle="1" w:styleId="14">
    <w:name w:val="Текст примітки Знак1"/>
    <w:basedOn w:val="a0"/>
    <w:uiPriority w:val="99"/>
    <w:rsid w:val="00396DE0"/>
    <w:rPr>
      <w:lang w:val="uk-UA" w:eastAsia="en-US" w:bidi="ar-SA"/>
    </w:rPr>
  </w:style>
  <w:style w:type="character" w:customStyle="1" w:styleId="15">
    <w:name w:val="Тема примітки Знак1"/>
    <w:basedOn w:val="14"/>
    <w:uiPriority w:val="99"/>
    <w:semiHidden/>
    <w:rsid w:val="00396DE0"/>
    <w:rPr>
      <w:rFonts w:ascii="Times New Roman" w:eastAsia="Times New Roman" w:hAnsi="Times New Roman" w:cs="Times New Roman"/>
      <w:b/>
      <w:bCs/>
      <w:lang w:val="uk-UA" w:eastAsia="ru-RU" w:bidi="ar-SA"/>
    </w:rPr>
  </w:style>
  <w:style w:type="character" w:customStyle="1" w:styleId="16">
    <w:name w:val="Нижній колонтитул Знак1"/>
    <w:basedOn w:val="a0"/>
    <w:uiPriority w:val="99"/>
    <w:rsid w:val="00396DE0"/>
    <w:rPr>
      <w:rFonts w:ascii="Times New Roman" w:eastAsia="Times New Roman" w:hAnsi="Times New Roman" w:cs="Times New Roman"/>
      <w:sz w:val="24"/>
      <w:szCs w:val="24"/>
      <w:lang w:val="uk-UA" w:eastAsia="ru-RU" w:bidi="ar-SA"/>
    </w:rPr>
  </w:style>
  <w:style w:type="paragraph" w:styleId="afa">
    <w:name w:val="footnote text"/>
    <w:basedOn w:val="a"/>
    <w:link w:val="17"/>
    <w:uiPriority w:val="99"/>
    <w:unhideWhenUsed/>
    <w:rsid w:val="00396DE0"/>
    <w:pPr>
      <w:jc w:val="left"/>
    </w:pPr>
    <w:rPr>
      <w:sz w:val="20"/>
      <w:szCs w:val="20"/>
      <w:lang w:eastAsia="ru-RU"/>
    </w:rPr>
  </w:style>
  <w:style w:type="character" w:customStyle="1" w:styleId="17">
    <w:name w:val="Текст виноски Знак1"/>
    <w:basedOn w:val="a0"/>
    <w:link w:val="afa"/>
    <w:uiPriority w:val="99"/>
    <w:rsid w:val="00396DE0"/>
    <w:rPr>
      <w:rFonts w:ascii="Times New Roman" w:eastAsia="Times New Roman" w:hAnsi="Times New Roman" w:cs="Times New Roman"/>
      <w:sz w:val="20"/>
      <w:szCs w:val="20"/>
      <w:lang w:eastAsia="ru-RU"/>
    </w:rPr>
  </w:style>
  <w:style w:type="character" w:customStyle="1" w:styleId="18">
    <w:name w:val="Верхній колонтитул Знак1"/>
    <w:basedOn w:val="a0"/>
    <w:uiPriority w:val="99"/>
    <w:rsid w:val="00396DE0"/>
    <w:rPr>
      <w:sz w:val="22"/>
      <w:szCs w:val="22"/>
      <w:lang w:val="uk-UA" w:eastAsia="en-US" w:bidi="ar-SA"/>
    </w:rPr>
  </w:style>
  <w:style w:type="paragraph" w:styleId="HTML0">
    <w:name w:val="HTML Preformatted"/>
    <w:basedOn w:val="a"/>
    <w:link w:val="HTML1"/>
    <w:uiPriority w:val="99"/>
    <w:unhideWhenUsed/>
    <w:qFormat/>
    <w:rsid w:val="0039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ru-RU" w:eastAsia="ru-RU"/>
    </w:rPr>
  </w:style>
  <w:style w:type="character" w:customStyle="1" w:styleId="HTML1">
    <w:name w:val="Стандартний HTML Знак1"/>
    <w:basedOn w:val="a0"/>
    <w:link w:val="HTML0"/>
    <w:uiPriority w:val="99"/>
    <w:rsid w:val="00396DE0"/>
    <w:rPr>
      <w:rFonts w:ascii="Courier New" w:eastAsia="Times New Roman" w:hAnsi="Courier New" w:cs="Courier New"/>
      <w:sz w:val="20"/>
      <w:szCs w:val="20"/>
      <w:lang w:val="ru-RU" w:eastAsia="ru-RU"/>
    </w:rPr>
  </w:style>
  <w:style w:type="paragraph" w:styleId="afb">
    <w:name w:val="Normal (Web)"/>
    <w:basedOn w:val="a"/>
    <w:uiPriority w:val="99"/>
    <w:qFormat/>
    <w:rsid w:val="00396DE0"/>
    <w:pPr>
      <w:spacing w:beforeAutospacing="1" w:afterAutospacing="1"/>
      <w:jc w:val="left"/>
    </w:pPr>
    <w:rPr>
      <w:sz w:val="24"/>
      <w:szCs w:val="24"/>
    </w:rPr>
  </w:style>
  <w:style w:type="paragraph" w:customStyle="1" w:styleId="rvps7">
    <w:name w:val="rvps7"/>
    <w:basedOn w:val="a"/>
    <w:qFormat/>
    <w:rsid w:val="00396DE0"/>
    <w:pPr>
      <w:spacing w:beforeAutospacing="1" w:afterAutospacing="1"/>
      <w:jc w:val="left"/>
    </w:pPr>
    <w:rPr>
      <w:sz w:val="24"/>
      <w:szCs w:val="24"/>
    </w:rPr>
  </w:style>
  <w:style w:type="paragraph" w:customStyle="1" w:styleId="Default">
    <w:name w:val="Default"/>
    <w:qFormat/>
    <w:rsid w:val="00396DE0"/>
    <w:pPr>
      <w:spacing w:after="0" w:line="240" w:lineRule="auto"/>
    </w:pPr>
    <w:rPr>
      <w:rFonts w:ascii="Calibri" w:eastAsia="Calibri" w:hAnsi="Calibri" w:cs="Calibri"/>
      <w:color w:val="000000"/>
      <w:sz w:val="24"/>
      <w:szCs w:val="24"/>
    </w:rPr>
  </w:style>
  <w:style w:type="paragraph" w:customStyle="1" w:styleId="19">
    <w:name w:val="Рецензия1"/>
    <w:uiPriority w:val="99"/>
    <w:semiHidden/>
    <w:qFormat/>
    <w:rsid w:val="00396DE0"/>
    <w:pPr>
      <w:spacing w:after="0" w:line="240" w:lineRule="auto"/>
    </w:pPr>
    <w:rPr>
      <w:rFonts w:ascii="Times New Roman" w:eastAsia="Times New Roman" w:hAnsi="Times New Roman" w:cs="Times New Roman"/>
      <w:sz w:val="24"/>
      <w:szCs w:val="24"/>
      <w:lang w:eastAsia="ru-RU"/>
    </w:rPr>
  </w:style>
  <w:style w:type="paragraph" w:customStyle="1" w:styleId="rvps4">
    <w:name w:val="rvps4"/>
    <w:basedOn w:val="a"/>
    <w:qFormat/>
    <w:rsid w:val="00396DE0"/>
    <w:pPr>
      <w:spacing w:beforeAutospacing="1" w:afterAutospacing="1"/>
      <w:jc w:val="left"/>
    </w:pPr>
    <w:rPr>
      <w:sz w:val="24"/>
      <w:szCs w:val="24"/>
      <w:lang w:val="ru-RU" w:eastAsia="ru-RU"/>
    </w:rPr>
  </w:style>
  <w:style w:type="paragraph" w:customStyle="1" w:styleId="rvps15">
    <w:name w:val="rvps15"/>
    <w:basedOn w:val="a"/>
    <w:qFormat/>
    <w:rsid w:val="00396DE0"/>
    <w:pPr>
      <w:spacing w:beforeAutospacing="1" w:afterAutospacing="1"/>
      <w:jc w:val="left"/>
    </w:pPr>
    <w:rPr>
      <w:sz w:val="24"/>
      <w:szCs w:val="24"/>
      <w:lang w:val="ru-RU" w:eastAsia="ru-RU"/>
    </w:rPr>
  </w:style>
  <w:style w:type="paragraph" w:customStyle="1" w:styleId="rvps14">
    <w:name w:val="rvps14"/>
    <w:basedOn w:val="a"/>
    <w:qFormat/>
    <w:rsid w:val="00396DE0"/>
    <w:pPr>
      <w:spacing w:beforeAutospacing="1" w:afterAutospacing="1"/>
      <w:jc w:val="left"/>
    </w:pPr>
    <w:rPr>
      <w:sz w:val="24"/>
      <w:szCs w:val="24"/>
      <w:lang w:val="ru-RU" w:eastAsia="ru-RU"/>
    </w:rPr>
  </w:style>
  <w:style w:type="paragraph" w:customStyle="1" w:styleId="rvps11">
    <w:name w:val="rvps11"/>
    <w:basedOn w:val="a"/>
    <w:qFormat/>
    <w:rsid w:val="00396DE0"/>
    <w:pPr>
      <w:spacing w:beforeAutospacing="1" w:afterAutospacing="1"/>
      <w:jc w:val="left"/>
    </w:pPr>
    <w:rPr>
      <w:sz w:val="24"/>
      <w:szCs w:val="24"/>
      <w:lang w:val="ru-RU" w:eastAsia="ru-RU"/>
    </w:rPr>
  </w:style>
  <w:style w:type="paragraph" w:customStyle="1" w:styleId="21">
    <w:name w:val="Основний текст2"/>
    <w:basedOn w:val="a"/>
    <w:qFormat/>
    <w:rsid w:val="00396DE0"/>
    <w:pPr>
      <w:shd w:val="clear" w:color="auto" w:fill="FFFFFF"/>
      <w:spacing w:after="120" w:line="278" w:lineRule="exact"/>
      <w:ind w:hanging="420"/>
      <w:jc w:val="left"/>
    </w:pPr>
    <w:rPr>
      <w:rFonts w:ascii="Arial" w:eastAsia="Arial" w:hAnsi="Arial" w:cs="Arial"/>
      <w:sz w:val="18"/>
      <w:szCs w:val="18"/>
      <w:lang w:val="ru-RU" w:eastAsia="en-US"/>
    </w:rPr>
  </w:style>
  <w:style w:type="table" w:customStyle="1" w:styleId="22">
    <w:name w:val="Сітка таблиці2"/>
    <w:uiPriority w:val="39"/>
    <w:rsid w:val="00396DE0"/>
    <w:pPr>
      <w:spacing w:after="0" w:line="240" w:lineRule="auto"/>
    </w:pPr>
    <w:rPr>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c">
    <w:name w:val="footnote reference"/>
    <w:basedOn w:val="a0"/>
    <w:semiHidden/>
    <w:unhideWhenUsed/>
    <w:rsid w:val="00396DE0"/>
    <w:rPr>
      <w:vertAlign w:val="superscript"/>
    </w:rPr>
  </w:style>
  <w:style w:type="character" w:customStyle="1" w:styleId="rynqvb">
    <w:name w:val="rynqvb"/>
    <w:basedOn w:val="a0"/>
    <w:rsid w:val="00396DE0"/>
  </w:style>
  <w:style w:type="paragraph" w:customStyle="1" w:styleId="xmsonormal">
    <w:name w:val="x_msonormal"/>
    <w:basedOn w:val="a"/>
    <w:rsid w:val="00396DE0"/>
    <w:pPr>
      <w:spacing w:before="100" w:beforeAutospacing="1" w:after="100" w:afterAutospacing="1"/>
      <w:jc w:val="left"/>
    </w:pPr>
    <w:rPr>
      <w:sz w:val="24"/>
      <w:szCs w:val="24"/>
      <w:lang w:val="ru-RU" w:eastAsia="ru-RU"/>
    </w:rPr>
  </w:style>
  <w:style w:type="character" w:customStyle="1" w:styleId="rvts9">
    <w:name w:val="rvts9"/>
    <w:basedOn w:val="a0"/>
    <w:rsid w:val="00396DE0"/>
  </w:style>
  <w:style w:type="character" w:customStyle="1" w:styleId="rvts37">
    <w:name w:val="rvts37"/>
    <w:basedOn w:val="a0"/>
    <w:rsid w:val="0039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6649">
      <w:bodyDiv w:val="1"/>
      <w:marLeft w:val="0"/>
      <w:marRight w:val="0"/>
      <w:marTop w:val="0"/>
      <w:marBottom w:val="0"/>
      <w:divBdr>
        <w:top w:val="none" w:sz="0" w:space="0" w:color="auto"/>
        <w:left w:val="none" w:sz="0" w:space="0" w:color="auto"/>
        <w:bottom w:val="none" w:sz="0" w:space="0" w:color="auto"/>
        <w:right w:val="none" w:sz="0" w:space="0" w:color="auto"/>
      </w:divBdr>
    </w:div>
    <w:div w:id="5491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F369-40B2-406F-B9FA-5CFC7721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39015</Words>
  <Characters>22240</Characters>
  <Application>Microsoft Office Word</Application>
  <DocSecurity>0</DocSecurity>
  <Lines>185</Lines>
  <Paragraphs>122</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61133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Марія Григорівна</dc:creator>
  <cp:keywords/>
  <dc:description/>
  <cp:lastModifiedBy>Тарасенко Валерій Вікторович</cp:lastModifiedBy>
  <cp:revision>3</cp:revision>
  <cp:lastPrinted>2024-07-11T13:04:00Z</cp:lastPrinted>
  <dcterms:created xsi:type="dcterms:W3CDTF">2024-07-19T07:00:00Z</dcterms:created>
  <dcterms:modified xsi:type="dcterms:W3CDTF">2024-07-19T13:43:00Z</dcterms:modified>
</cp:coreProperties>
</file>