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CD0CD4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E565F9" w:rsidTr="00E565F9">
        <w:trPr>
          <w:trHeight w:val="93"/>
        </w:trPr>
        <w:tc>
          <w:tcPr>
            <w:tcW w:w="3207" w:type="dxa"/>
            <w:shd w:val="clear" w:color="auto" w:fill="FFFFFF" w:themeFill="background1"/>
          </w:tcPr>
          <w:p w:rsidR="00E565F9" w:rsidRDefault="00E565F9" w:rsidP="00E054A9"/>
        </w:tc>
        <w:tc>
          <w:tcPr>
            <w:tcW w:w="6431" w:type="dxa"/>
            <w:gridSpan w:val="2"/>
            <w:shd w:val="clear" w:color="auto" w:fill="auto"/>
          </w:tcPr>
          <w:p w:rsidR="00E565F9" w:rsidRPr="00E565F9" w:rsidRDefault="00E565F9" w:rsidP="00E565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Офіційно опубліковано 20.08.2021</w:t>
            </w:r>
          </w:p>
        </w:tc>
      </w:tr>
      <w:tr w:rsidR="00657593" w:rsidTr="00E565F9">
        <w:trPr>
          <w:trHeight w:val="851"/>
        </w:trPr>
        <w:tc>
          <w:tcPr>
            <w:tcW w:w="3207" w:type="dxa"/>
            <w:shd w:val="clear" w:color="auto" w:fill="auto"/>
          </w:tcPr>
          <w:p w:rsidR="00657593" w:rsidRDefault="00657593" w:rsidP="00E054A9"/>
        </w:tc>
        <w:tc>
          <w:tcPr>
            <w:tcW w:w="3227" w:type="dxa"/>
            <w:vMerge w:val="restart"/>
            <w:shd w:val="clear" w:color="auto" w:fill="auto"/>
          </w:tcPr>
          <w:p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pt;height:47.8pt" o:ole="">
                  <v:imagedata r:id="rId12" o:title=""/>
                </v:shape>
                <o:OLEObject Type="Embed" ProgID="CorelDraw.Graphic.16" ShapeID="_x0000_i1025" DrawAspect="Content" ObjectID="_1690967194" r:id="rId13"/>
              </w:object>
            </w:r>
          </w:p>
        </w:tc>
        <w:tc>
          <w:tcPr>
            <w:tcW w:w="3204" w:type="dxa"/>
            <w:shd w:val="clear" w:color="auto" w:fill="auto"/>
          </w:tcPr>
          <w:p w:rsidR="00657593" w:rsidRDefault="00657593" w:rsidP="00E054A9"/>
        </w:tc>
      </w:tr>
      <w:tr w:rsidR="00657593" w:rsidTr="00E565F9">
        <w:tc>
          <w:tcPr>
            <w:tcW w:w="3207" w:type="dxa"/>
            <w:shd w:val="clear" w:color="auto" w:fill="auto"/>
          </w:tcPr>
          <w:p w:rsidR="00657593" w:rsidRDefault="00657593" w:rsidP="00E054A9"/>
        </w:tc>
        <w:tc>
          <w:tcPr>
            <w:tcW w:w="3227" w:type="dxa"/>
            <w:vMerge/>
            <w:shd w:val="clear" w:color="auto" w:fill="auto"/>
          </w:tcPr>
          <w:p w:rsidR="00657593" w:rsidRDefault="00657593" w:rsidP="00E054A9"/>
        </w:tc>
        <w:tc>
          <w:tcPr>
            <w:tcW w:w="3204" w:type="dxa"/>
            <w:shd w:val="clear" w:color="auto" w:fill="auto"/>
          </w:tcPr>
          <w:p w:rsidR="00657593" w:rsidRDefault="00657593" w:rsidP="00E054A9"/>
        </w:tc>
      </w:tr>
      <w:tr w:rsidR="00657593" w:rsidTr="00E565F9">
        <w:tc>
          <w:tcPr>
            <w:tcW w:w="9638" w:type="dxa"/>
            <w:gridSpan w:val="3"/>
            <w:shd w:val="clear" w:color="auto" w:fill="auto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657593" w:rsidTr="0076356A">
        <w:tc>
          <w:tcPr>
            <w:tcW w:w="3510" w:type="dxa"/>
            <w:vAlign w:val="bottom"/>
          </w:tcPr>
          <w:p w:rsidR="00657593" w:rsidRPr="00566BA2" w:rsidRDefault="00F01E4C" w:rsidP="00E054A9">
            <w:r>
              <w:t>19</w:t>
            </w:r>
            <w:bookmarkStart w:id="0" w:name="_GoBack"/>
            <w:bookmarkEnd w:id="0"/>
            <w:r w:rsidR="00B137C1">
              <w:t xml:space="preserve"> серпня 2021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B137C1" w:rsidP="00B137C1">
            <w:pPr>
              <w:jc w:val="center"/>
            </w:pPr>
            <w:r>
              <w:t>№ 89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854670" w:rsidTr="005212C5">
        <w:trPr>
          <w:jc w:val="center"/>
        </w:trPr>
        <w:tc>
          <w:tcPr>
            <w:tcW w:w="5000" w:type="pct"/>
          </w:tcPr>
          <w:p w:rsidR="002B3F71" w:rsidRPr="00854670" w:rsidRDefault="00CF2335" w:rsidP="00CF2335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54670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A33C82" w:rsidRPr="00854670">
              <w:rPr>
                <w:rFonts w:eastAsiaTheme="minorEastAsia"/>
                <w:color w:val="000000" w:themeColor="text1"/>
                <w:lang w:eastAsia="en-US"/>
              </w:rPr>
              <w:t>внес</w:t>
            </w:r>
            <w:r w:rsidRPr="00854670">
              <w:rPr>
                <w:rFonts w:eastAsiaTheme="minorEastAsia"/>
                <w:color w:val="000000" w:themeColor="text1"/>
                <w:lang w:eastAsia="en-US"/>
              </w:rPr>
              <w:t xml:space="preserve">ення </w:t>
            </w:r>
            <w:r w:rsidR="00A33C82" w:rsidRPr="00854670">
              <w:rPr>
                <w:rFonts w:eastAsiaTheme="minorEastAsia"/>
                <w:color w:val="000000" w:themeColor="text1"/>
                <w:lang w:eastAsia="en-US"/>
              </w:rPr>
              <w:t>з</w:t>
            </w:r>
            <w:r w:rsidRPr="00854670">
              <w:rPr>
                <w:rFonts w:eastAsiaTheme="minorEastAsia"/>
                <w:color w:val="000000" w:themeColor="text1"/>
                <w:lang w:eastAsia="en-US"/>
              </w:rPr>
              <w:t xml:space="preserve">мін до </w:t>
            </w:r>
            <w:r w:rsidR="007E65CA" w:rsidRPr="007E65CA">
              <w:rPr>
                <w:rFonts w:eastAsiaTheme="minorEastAsia"/>
                <w:lang w:eastAsia="en-US"/>
              </w:rPr>
              <w:t>Правил роботи банків України у зв’язку з установленням карантину та запровадженням обмежувальних протиепідемічних заходів із метою запобігання поширенню коронавірусної хвороби COVID-19</w:t>
            </w:r>
          </w:p>
        </w:tc>
      </w:tr>
    </w:tbl>
    <w:p w:rsidR="00E53CCD" w:rsidRPr="00854670" w:rsidRDefault="00CF2335" w:rsidP="00E62607">
      <w:pPr>
        <w:spacing w:before="240" w:after="240"/>
        <w:ind w:firstLine="709"/>
        <w:rPr>
          <w:b/>
        </w:rPr>
      </w:pPr>
      <w:r w:rsidRPr="00854670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“Про Національний  банк України”, статті 66 Закону України “Про банки і банківську діяльність”, у зв’язку з продовженням дії карантину, установленого постановою Кабінету Міністрів України від 11 березня 2020 року № 211 “Про запобігання поширенню на території України гострої респіраторної хвороби COVID-19, спричиненої коронавірусом SARS-CoV-2” (зі змінами), згідно з постановою Кабінету Міністрів України від 22 липня 2020 року № 641 “Про встановлення карантину та </w:t>
      </w:r>
      <w:r w:rsidRPr="00854670">
        <w:rPr>
          <w:rFonts w:eastAsiaTheme="minorEastAsia"/>
          <w:lang w:eastAsia="en-US"/>
        </w:rPr>
        <w:t xml:space="preserve">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SARS-CoV-2” (зі змінами),  </w:t>
      </w:r>
      <w:r w:rsidR="003540D5" w:rsidRPr="00854670">
        <w:rPr>
          <w:rFonts w:eastAsiaTheme="minorEastAsia"/>
          <w:lang w:eastAsia="en-US"/>
        </w:rPr>
        <w:t>та постановою Кабінету Міністрів України від 09 грудня 2020 року №</w:t>
      </w:r>
      <w:r w:rsidR="0095054F" w:rsidRPr="00854670">
        <w:rPr>
          <w:rFonts w:eastAsiaTheme="minorEastAsia"/>
          <w:lang w:eastAsia="en-US"/>
        </w:rPr>
        <w:t> </w:t>
      </w:r>
      <w:r w:rsidR="003540D5" w:rsidRPr="00854670">
        <w:rPr>
          <w:rFonts w:eastAsiaTheme="minorEastAsia"/>
          <w:lang w:eastAsia="en-US"/>
        </w:rPr>
        <w:t>1236 “Про встановлення карантину та запровадження обмежувальних протиепідемічних заходів з метою запобігання поширенн</w:t>
      </w:r>
      <w:r w:rsidR="0095054F" w:rsidRPr="00854670">
        <w:rPr>
          <w:rFonts w:eastAsiaTheme="minorEastAsia"/>
          <w:lang w:eastAsia="en-US"/>
        </w:rPr>
        <w:t>ю</w:t>
      </w:r>
      <w:r w:rsidR="003540D5" w:rsidRPr="00854670">
        <w:rPr>
          <w:rFonts w:eastAsiaTheme="minorEastAsia"/>
          <w:lang w:eastAsia="en-US"/>
        </w:rPr>
        <w:t xml:space="preserve"> на території України гострої респіраторної хвороби COVID-19, спричиненої коронавірусом SARS-CoV-2” (зі змінами), </w:t>
      </w:r>
      <w:r w:rsidR="002E638B" w:rsidRPr="00854670">
        <w:t>для мінімізації негативного впливу карантинних обмежень на банківську систему, фінансову стабільність та економіку України</w:t>
      </w:r>
      <w:r w:rsidR="00FA508E" w:rsidRPr="00854670">
        <w:rPr>
          <w:b/>
        </w:rPr>
        <w:t xml:space="preserve"> </w:t>
      </w:r>
      <w:r w:rsidR="00115ECF" w:rsidRPr="00854670">
        <w:t xml:space="preserve">Правління Національного банку </w:t>
      </w:r>
      <w:r w:rsidR="00562C46" w:rsidRPr="00854670">
        <w:t>України</w:t>
      </w:r>
      <w:r w:rsidR="00562C46" w:rsidRPr="00854670">
        <w:rPr>
          <w:b/>
        </w:rPr>
        <w:t xml:space="preserve"> </w:t>
      </w:r>
      <w:r w:rsidR="00FA508E" w:rsidRPr="00854670">
        <w:rPr>
          <w:b/>
        </w:rPr>
        <w:t>постановляє:</w:t>
      </w:r>
      <w:r w:rsidR="00792844" w:rsidRPr="00854670">
        <w:rPr>
          <w:b/>
        </w:rPr>
        <w:t xml:space="preserve">  </w:t>
      </w:r>
    </w:p>
    <w:p w:rsidR="007E65CA" w:rsidRPr="00854670" w:rsidRDefault="00E55635" w:rsidP="007E65CA">
      <w:pPr>
        <w:spacing w:before="240"/>
        <w:ind w:firstLine="709"/>
      </w:pPr>
      <w:r w:rsidRPr="00854670">
        <w:rPr>
          <w:rFonts w:eastAsiaTheme="minorEastAsia"/>
          <w:noProof/>
          <w:lang w:eastAsia="en-US"/>
        </w:rPr>
        <w:t>1</w:t>
      </w:r>
      <w:r w:rsidR="00AD7DF9" w:rsidRPr="00854670">
        <w:rPr>
          <w:rFonts w:eastAsiaTheme="minorEastAsia"/>
          <w:noProof/>
          <w:lang w:eastAsia="en-US"/>
        </w:rPr>
        <w:t>. </w:t>
      </w:r>
      <w:r w:rsidR="007E65CA" w:rsidRPr="00854670">
        <w:t>Пункт 8</w:t>
      </w:r>
      <w:r w:rsidR="007E65CA">
        <w:t xml:space="preserve"> </w:t>
      </w:r>
      <w:r w:rsidR="007E65CA" w:rsidRPr="00854670">
        <w:t xml:space="preserve">Правил роботи банків України у зв’язку з установленням карантину та запровадженням обмежувальних протиепідемічних заходів із метою запобігання поширенню коронавірусної хвороби COVID-19, затверджених постановою Правління Національного банку України </w:t>
      </w:r>
      <w:r w:rsidR="007E65CA">
        <w:t>від 21 грудня 2020 року № 160</w:t>
      </w:r>
      <w:r w:rsidR="00527979">
        <w:t xml:space="preserve"> (зі змінами)</w:t>
      </w:r>
      <w:r w:rsidR="007701FD" w:rsidRPr="00854670">
        <w:t xml:space="preserve">, </w:t>
      </w:r>
      <w:r w:rsidR="007E65CA" w:rsidRPr="00854670">
        <w:t xml:space="preserve">доповнити </w:t>
      </w:r>
      <w:r w:rsidR="007E65CA">
        <w:t xml:space="preserve">двома </w:t>
      </w:r>
      <w:r w:rsidR="007E65CA" w:rsidRPr="00854670">
        <w:t>новим</w:t>
      </w:r>
      <w:r w:rsidR="007E65CA">
        <w:t>и підпунктами</w:t>
      </w:r>
      <w:r w:rsidR="007E65CA" w:rsidRPr="00854670">
        <w:t xml:space="preserve"> такого змісту:</w:t>
      </w:r>
    </w:p>
    <w:p w:rsidR="007E65CA" w:rsidRDefault="00E55635" w:rsidP="002A2784">
      <w:pPr>
        <w:shd w:val="clear" w:color="auto" w:fill="FFFFFF"/>
        <w:tabs>
          <w:tab w:val="left" w:pos="851"/>
        </w:tabs>
        <w:ind w:firstLine="709"/>
      </w:pPr>
      <w:r w:rsidRPr="00854670">
        <w:t>“</w:t>
      </w:r>
      <w:r w:rsidR="007E65CA">
        <w:t xml:space="preserve">4) не пізніше 31 грудня 2021 року подають до Національного банку України плани відновлення діяльності, розроблені в 2021 році з урахуванням </w:t>
      </w:r>
      <w:r w:rsidR="007E65CA">
        <w:lastRenderedPageBreak/>
        <w:t>здійсненого стрес-тестування відповідно до вимог розділу V Положення № 95 із застосуванням:</w:t>
      </w:r>
    </w:p>
    <w:p w:rsidR="007E65CA" w:rsidRDefault="007E65CA" w:rsidP="007E65CA">
      <w:pPr>
        <w:shd w:val="clear" w:color="auto" w:fill="FFFFFF"/>
        <w:tabs>
          <w:tab w:val="left" w:pos="851"/>
        </w:tabs>
        <w:ind w:firstLine="709"/>
      </w:pPr>
      <w:r>
        <w:t>для банків, які набули статусу системно</w:t>
      </w:r>
      <w:r w:rsidR="00751ECC" w:rsidRPr="00A7315A">
        <w:rPr>
          <w:lang w:val="ru-RU"/>
        </w:rPr>
        <w:t xml:space="preserve"> </w:t>
      </w:r>
      <w:r>
        <w:t xml:space="preserve">важливого банку, </w:t>
      </w:r>
      <w:r w:rsidR="00751ECC" w:rsidRPr="00A7315A">
        <w:rPr>
          <w:lang w:val="ru-RU"/>
        </w:rPr>
        <w:t>–</w:t>
      </w:r>
      <w:r w:rsidR="00751ECC">
        <w:t xml:space="preserve"> </w:t>
      </w:r>
      <w:r>
        <w:t>двох стрес-сценаріїв: комбінованого (най</w:t>
      </w:r>
      <w:r w:rsidR="00A7315A">
        <w:t xml:space="preserve">більш </w:t>
      </w:r>
      <w:r>
        <w:t>жорстк</w:t>
      </w:r>
      <w:r w:rsidR="00A7315A">
        <w:t>о</w:t>
      </w:r>
      <w:r>
        <w:t>го) стрес-сценарію та стрес-сценарію, визначеного Національним банком України;</w:t>
      </w:r>
    </w:p>
    <w:p w:rsidR="007E65CA" w:rsidRDefault="007E65CA" w:rsidP="007E65CA">
      <w:pPr>
        <w:shd w:val="clear" w:color="auto" w:fill="FFFFFF"/>
        <w:tabs>
          <w:tab w:val="left" w:pos="851"/>
        </w:tabs>
        <w:ind w:firstLine="709"/>
      </w:pPr>
      <w:r>
        <w:t>для банків, які не набули статусу системно</w:t>
      </w:r>
      <w:r w:rsidR="00751ECC" w:rsidRPr="00A7315A">
        <w:rPr>
          <w:lang w:val="ru-RU"/>
        </w:rPr>
        <w:t xml:space="preserve"> </w:t>
      </w:r>
      <w:r>
        <w:t xml:space="preserve">важливого банку, </w:t>
      </w:r>
      <w:r w:rsidR="003A06AA">
        <w:t>–</w:t>
      </w:r>
      <w:r>
        <w:t>комбінованого (найбільш жорсткого) стрес-сценарію;</w:t>
      </w:r>
    </w:p>
    <w:p w:rsidR="00492E61" w:rsidRDefault="00492E61" w:rsidP="007E65CA">
      <w:pPr>
        <w:shd w:val="clear" w:color="auto" w:fill="FFFFFF"/>
        <w:tabs>
          <w:tab w:val="left" w:pos="851"/>
        </w:tabs>
        <w:ind w:firstLine="709"/>
      </w:pPr>
    </w:p>
    <w:p w:rsidR="00E55635" w:rsidRPr="00854670" w:rsidRDefault="007E65CA" w:rsidP="007E65CA">
      <w:pPr>
        <w:shd w:val="clear" w:color="auto" w:fill="FFFFFF"/>
        <w:tabs>
          <w:tab w:val="left" w:pos="851"/>
        </w:tabs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t xml:space="preserve">5) у разі отримання від Національного банку України листа із зазначенням переліку недоліків, виявлених за результатами розгляду планів відновлення діяльності, поданих згідно з підпунктом 4 пункту 8 цих Правил, </w:t>
      </w:r>
      <w:r w:rsidR="00751ECC">
        <w:t xml:space="preserve">уживають заходів </w:t>
      </w:r>
      <w:r>
        <w:t>щодо недопущення таких недоліків під час розроблення планів відновлення діяльності в 2022 році.</w:t>
      </w:r>
      <w:r w:rsidR="00E55635" w:rsidRPr="00854670">
        <w:t>”.</w:t>
      </w:r>
    </w:p>
    <w:p w:rsidR="00AD7DF9" w:rsidRPr="00854670" w:rsidRDefault="007E65CA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D7DF9" w:rsidRPr="00854670">
        <w:rPr>
          <w:rFonts w:eastAsiaTheme="minorEastAsia"/>
          <w:noProof/>
          <w:color w:val="000000" w:themeColor="text1"/>
          <w:lang w:eastAsia="en-US"/>
        </w:rPr>
        <w:t>. </w:t>
      </w:r>
      <w:r w:rsidR="00CF2335" w:rsidRPr="00854670"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:rsidR="00AD7DF9" w:rsidRPr="00854670" w:rsidRDefault="007E65CA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AD7DF9" w:rsidRPr="00854670">
        <w:rPr>
          <w:rFonts w:eastAsiaTheme="minorEastAsia"/>
          <w:noProof/>
          <w:color w:val="000000" w:themeColor="text1"/>
          <w:lang w:eastAsia="en-US"/>
        </w:rPr>
        <w:t>. </w:t>
      </w:r>
      <w:r w:rsidR="00CF2335" w:rsidRPr="00854670">
        <w:rPr>
          <w:bCs/>
          <w:bdr w:val="none" w:sz="0" w:space="0" w:color="auto" w:frame="1"/>
        </w:rPr>
        <w:t>Постанова набирає чинності з дня, наступного за днем її офіційного опублікування.</w:t>
      </w:r>
    </w:p>
    <w:p w:rsidR="00AD7DF9" w:rsidRPr="00854670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:rsidR="00E42621" w:rsidRPr="00854670" w:rsidRDefault="00E42621" w:rsidP="00E42621">
      <w:pPr>
        <w:tabs>
          <w:tab w:val="left" w:pos="993"/>
        </w:tabs>
        <w:spacing w:after="120"/>
      </w:pPr>
    </w:p>
    <w:p w:rsidR="0095741D" w:rsidRPr="00854670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854670" w:rsidTr="00BD6D34">
        <w:tc>
          <w:tcPr>
            <w:tcW w:w="5495" w:type="dxa"/>
            <w:vAlign w:val="bottom"/>
          </w:tcPr>
          <w:p w:rsidR="00DD60CC" w:rsidRPr="00854670" w:rsidRDefault="00CF2335" w:rsidP="003C10F1">
            <w:pPr>
              <w:autoSpaceDE w:val="0"/>
              <w:autoSpaceDN w:val="0"/>
              <w:jc w:val="left"/>
            </w:pPr>
            <w:r w:rsidRPr="00854670">
              <w:t>Голова</w:t>
            </w:r>
          </w:p>
        </w:tc>
        <w:tc>
          <w:tcPr>
            <w:tcW w:w="4252" w:type="dxa"/>
            <w:vAlign w:val="bottom"/>
          </w:tcPr>
          <w:p w:rsidR="00DD60CC" w:rsidRPr="00854670" w:rsidRDefault="00CF2335" w:rsidP="002545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854670">
              <w:t>Кирило ШЕВЧЕНКО</w:t>
            </w:r>
          </w:p>
        </w:tc>
      </w:tr>
    </w:tbl>
    <w:p w:rsidR="008D10FD" w:rsidRPr="00854670" w:rsidRDefault="008D10FD" w:rsidP="00E53CCD"/>
    <w:p w:rsidR="00FA508E" w:rsidRPr="00854670" w:rsidRDefault="00FA508E" w:rsidP="00E53CCD"/>
    <w:p w:rsidR="00FA508E" w:rsidRPr="00854670" w:rsidRDefault="00FA508E" w:rsidP="00FA508E">
      <w:pPr>
        <w:jc w:val="left"/>
      </w:pPr>
      <w:r w:rsidRPr="00854670">
        <w:t xml:space="preserve">Інд. </w:t>
      </w:r>
      <w:r w:rsidR="00CF2335" w:rsidRPr="00854670">
        <w:t>22</w:t>
      </w:r>
    </w:p>
    <w:sectPr w:rsidR="00FA508E" w:rsidRPr="00854670" w:rsidSect="00D05A3A">
      <w:headerReference w:type="default" r:id="rId14"/>
      <w:footerReference w:type="first" r:id="rId15"/>
      <w:pgSz w:w="11906" w:h="16838" w:code="9"/>
      <w:pgMar w:top="567" w:right="567" w:bottom="198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CB" w:rsidRDefault="006F0BCB" w:rsidP="00E53CCD">
      <w:r>
        <w:separator/>
      </w:r>
    </w:p>
  </w:endnote>
  <w:endnote w:type="continuationSeparator" w:id="0">
    <w:p w:rsidR="006F0BCB" w:rsidRDefault="006F0BCB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CB" w:rsidRDefault="006F0BCB" w:rsidP="00E53CCD">
      <w:r>
        <w:separator/>
      </w:r>
    </w:p>
  </w:footnote>
  <w:footnote w:type="continuationSeparator" w:id="0">
    <w:p w:rsidR="006F0BCB" w:rsidRDefault="006F0BCB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137C1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57AA1"/>
    <w:rsid w:val="000600A8"/>
    <w:rsid w:val="00061C52"/>
    <w:rsid w:val="00063480"/>
    <w:rsid w:val="000638F2"/>
    <w:rsid w:val="00066C6F"/>
    <w:rsid w:val="00070DD0"/>
    <w:rsid w:val="000B2990"/>
    <w:rsid w:val="000C21D8"/>
    <w:rsid w:val="000D778F"/>
    <w:rsid w:val="000E0CB3"/>
    <w:rsid w:val="000E5B8C"/>
    <w:rsid w:val="000E7A13"/>
    <w:rsid w:val="000F2C72"/>
    <w:rsid w:val="00106229"/>
    <w:rsid w:val="00115ECF"/>
    <w:rsid w:val="001631E2"/>
    <w:rsid w:val="001716B0"/>
    <w:rsid w:val="00171A80"/>
    <w:rsid w:val="001740C0"/>
    <w:rsid w:val="00190E1A"/>
    <w:rsid w:val="00195899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A2784"/>
    <w:rsid w:val="002B351E"/>
    <w:rsid w:val="002B3F71"/>
    <w:rsid w:val="002B582B"/>
    <w:rsid w:val="002C01D9"/>
    <w:rsid w:val="002C1FDB"/>
    <w:rsid w:val="002D1790"/>
    <w:rsid w:val="002E1C73"/>
    <w:rsid w:val="002E638B"/>
    <w:rsid w:val="002F48EF"/>
    <w:rsid w:val="0031531F"/>
    <w:rsid w:val="00315E44"/>
    <w:rsid w:val="00332701"/>
    <w:rsid w:val="00340D07"/>
    <w:rsid w:val="00345982"/>
    <w:rsid w:val="00347DBC"/>
    <w:rsid w:val="003540D5"/>
    <w:rsid w:val="00356E34"/>
    <w:rsid w:val="00357676"/>
    <w:rsid w:val="0038385E"/>
    <w:rsid w:val="00384F65"/>
    <w:rsid w:val="0039725C"/>
    <w:rsid w:val="003A06AA"/>
    <w:rsid w:val="003A16E7"/>
    <w:rsid w:val="003A751F"/>
    <w:rsid w:val="003C10F1"/>
    <w:rsid w:val="003C3282"/>
    <w:rsid w:val="003C3985"/>
    <w:rsid w:val="003D6B33"/>
    <w:rsid w:val="003D6FF6"/>
    <w:rsid w:val="003F0441"/>
    <w:rsid w:val="003F28B5"/>
    <w:rsid w:val="003F7093"/>
    <w:rsid w:val="003F76CC"/>
    <w:rsid w:val="00401EDB"/>
    <w:rsid w:val="00404C93"/>
    <w:rsid w:val="00407877"/>
    <w:rsid w:val="00412821"/>
    <w:rsid w:val="004130B9"/>
    <w:rsid w:val="00435655"/>
    <w:rsid w:val="00445444"/>
    <w:rsid w:val="00446704"/>
    <w:rsid w:val="00455B45"/>
    <w:rsid w:val="00460BA2"/>
    <w:rsid w:val="004666D6"/>
    <w:rsid w:val="00492E61"/>
    <w:rsid w:val="004A1CFC"/>
    <w:rsid w:val="004A7F75"/>
    <w:rsid w:val="004B1FE9"/>
    <w:rsid w:val="004B5574"/>
    <w:rsid w:val="004D2B57"/>
    <w:rsid w:val="004E00E8"/>
    <w:rsid w:val="004E22E2"/>
    <w:rsid w:val="004E26F3"/>
    <w:rsid w:val="0050563F"/>
    <w:rsid w:val="00514EFE"/>
    <w:rsid w:val="0051575C"/>
    <w:rsid w:val="005159DC"/>
    <w:rsid w:val="005212A1"/>
    <w:rsid w:val="005212C5"/>
    <w:rsid w:val="00523C13"/>
    <w:rsid w:val="00524F07"/>
    <w:rsid w:val="005257C2"/>
    <w:rsid w:val="00527979"/>
    <w:rsid w:val="00532633"/>
    <w:rsid w:val="005403F1"/>
    <w:rsid w:val="00542533"/>
    <w:rsid w:val="0055264F"/>
    <w:rsid w:val="005624B6"/>
    <w:rsid w:val="00562C46"/>
    <w:rsid w:val="0057237F"/>
    <w:rsid w:val="00577402"/>
    <w:rsid w:val="005822CB"/>
    <w:rsid w:val="00591A97"/>
    <w:rsid w:val="00597AB6"/>
    <w:rsid w:val="005A0F4B"/>
    <w:rsid w:val="005A1D3C"/>
    <w:rsid w:val="005A3F34"/>
    <w:rsid w:val="005B2D03"/>
    <w:rsid w:val="005B2D06"/>
    <w:rsid w:val="005C5CBF"/>
    <w:rsid w:val="005D3B88"/>
    <w:rsid w:val="005D45F5"/>
    <w:rsid w:val="005E3D7E"/>
    <w:rsid w:val="005E3FA8"/>
    <w:rsid w:val="005F4CB4"/>
    <w:rsid w:val="005F6B35"/>
    <w:rsid w:val="00620B63"/>
    <w:rsid w:val="00640612"/>
    <w:rsid w:val="0064227D"/>
    <w:rsid w:val="0065179F"/>
    <w:rsid w:val="00657593"/>
    <w:rsid w:val="00670C95"/>
    <w:rsid w:val="00673BBD"/>
    <w:rsid w:val="0067505F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F0BCB"/>
    <w:rsid w:val="006F645F"/>
    <w:rsid w:val="00700AA3"/>
    <w:rsid w:val="007142BA"/>
    <w:rsid w:val="00714823"/>
    <w:rsid w:val="00714D3A"/>
    <w:rsid w:val="00715B03"/>
    <w:rsid w:val="00717197"/>
    <w:rsid w:val="0071789F"/>
    <w:rsid w:val="00717BBA"/>
    <w:rsid w:val="00730088"/>
    <w:rsid w:val="00747222"/>
    <w:rsid w:val="00750898"/>
    <w:rsid w:val="00751ECC"/>
    <w:rsid w:val="0076356A"/>
    <w:rsid w:val="007701FD"/>
    <w:rsid w:val="00773559"/>
    <w:rsid w:val="0078127A"/>
    <w:rsid w:val="00783AF2"/>
    <w:rsid w:val="00787E46"/>
    <w:rsid w:val="00792844"/>
    <w:rsid w:val="007A6609"/>
    <w:rsid w:val="007B7B73"/>
    <w:rsid w:val="007C2CED"/>
    <w:rsid w:val="007E65CA"/>
    <w:rsid w:val="007F16F3"/>
    <w:rsid w:val="00802988"/>
    <w:rsid w:val="008274C0"/>
    <w:rsid w:val="008415A0"/>
    <w:rsid w:val="0085364B"/>
    <w:rsid w:val="00854670"/>
    <w:rsid w:val="008634C5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0BAA"/>
    <w:rsid w:val="00904F17"/>
    <w:rsid w:val="00922966"/>
    <w:rsid w:val="009269EA"/>
    <w:rsid w:val="0092710A"/>
    <w:rsid w:val="00937AE3"/>
    <w:rsid w:val="00937D24"/>
    <w:rsid w:val="00943175"/>
    <w:rsid w:val="0095054F"/>
    <w:rsid w:val="0095741D"/>
    <w:rsid w:val="0097288F"/>
    <w:rsid w:val="00975A0B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33C82"/>
    <w:rsid w:val="00A379DA"/>
    <w:rsid w:val="00A46C15"/>
    <w:rsid w:val="00A50DC0"/>
    <w:rsid w:val="00A63695"/>
    <w:rsid w:val="00A72F06"/>
    <w:rsid w:val="00A730F2"/>
    <w:rsid w:val="00A7315A"/>
    <w:rsid w:val="00A77FFD"/>
    <w:rsid w:val="00AB4554"/>
    <w:rsid w:val="00AB4848"/>
    <w:rsid w:val="00AC47B6"/>
    <w:rsid w:val="00AC511F"/>
    <w:rsid w:val="00AD7DF9"/>
    <w:rsid w:val="00AE29BB"/>
    <w:rsid w:val="00AE2CAF"/>
    <w:rsid w:val="00AE37B4"/>
    <w:rsid w:val="00AF33D9"/>
    <w:rsid w:val="00B002E4"/>
    <w:rsid w:val="00B137C1"/>
    <w:rsid w:val="00B21F79"/>
    <w:rsid w:val="00B332B2"/>
    <w:rsid w:val="00B34CCC"/>
    <w:rsid w:val="00B36EC7"/>
    <w:rsid w:val="00B36EDD"/>
    <w:rsid w:val="00B45B32"/>
    <w:rsid w:val="00B61C97"/>
    <w:rsid w:val="00B628C5"/>
    <w:rsid w:val="00B71933"/>
    <w:rsid w:val="00B8078D"/>
    <w:rsid w:val="00BD12A3"/>
    <w:rsid w:val="00BD3D2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572F3"/>
    <w:rsid w:val="00C65B33"/>
    <w:rsid w:val="00C82259"/>
    <w:rsid w:val="00C9297C"/>
    <w:rsid w:val="00C94014"/>
    <w:rsid w:val="00CB0A99"/>
    <w:rsid w:val="00CB5A09"/>
    <w:rsid w:val="00CD0CD4"/>
    <w:rsid w:val="00CE3B9F"/>
    <w:rsid w:val="00CF1FB8"/>
    <w:rsid w:val="00CF2335"/>
    <w:rsid w:val="00CF2C65"/>
    <w:rsid w:val="00D05A3A"/>
    <w:rsid w:val="00D07779"/>
    <w:rsid w:val="00D078B6"/>
    <w:rsid w:val="00D1022C"/>
    <w:rsid w:val="00D27115"/>
    <w:rsid w:val="00D339ED"/>
    <w:rsid w:val="00D34DCC"/>
    <w:rsid w:val="00D61D9B"/>
    <w:rsid w:val="00D823A9"/>
    <w:rsid w:val="00DA2F09"/>
    <w:rsid w:val="00DC1E60"/>
    <w:rsid w:val="00DD60CC"/>
    <w:rsid w:val="00DE1BC8"/>
    <w:rsid w:val="00DF4D12"/>
    <w:rsid w:val="00E0593E"/>
    <w:rsid w:val="00E10AE2"/>
    <w:rsid w:val="00E10F0A"/>
    <w:rsid w:val="00E21875"/>
    <w:rsid w:val="00E22143"/>
    <w:rsid w:val="00E25407"/>
    <w:rsid w:val="00E32599"/>
    <w:rsid w:val="00E33B0E"/>
    <w:rsid w:val="00E42621"/>
    <w:rsid w:val="00E446A6"/>
    <w:rsid w:val="00E53CB5"/>
    <w:rsid w:val="00E53CCD"/>
    <w:rsid w:val="00E55635"/>
    <w:rsid w:val="00E565F9"/>
    <w:rsid w:val="00E62607"/>
    <w:rsid w:val="00E71855"/>
    <w:rsid w:val="00E719A9"/>
    <w:rsid w:val="00EA1DE4"/>
    <w:rsid w:val="00EA4E5D"/>
    <w:rsid w:val="00EA60EA"/>
    <w:rsid w:val="00EB29BF"/>
    <w:rsid w:val="00EC7C7F"/>
    <w:rsid w:val="00ED5690"/>
    <w:rsid w:val="00EE1B30"/>
    <w:rsid w:val="00EF4B42"/>
    <w:rsid w:val="00F003D3"/>
    <w:rsid w:val="00F008AB"/>
    <w:rsid w:val="00F01E4C"/>
    <w:rsid w:val="00F03E32"/>
    <w:rsid w:val="00F13086"/>
    <w:rsid w:val="00F42289"/>
    <w:rsid w:val="00F42E75"/>
    <w:rsid w:val="00F45D65"/>
    <w:rsid w:val="00F517FA"/>
    <w:rsid w:val="00F52D16"/>
    <w:rsid w:val="00F56E2E"/>
    <w:rsid w:val="00F62D67"/>
    <w:rsid w:val="00F63BD9"/>
    <w:rsid w:val="00F6694C"/>
    <w:rsid w:val="00F8145F"/>
    <w:rsid w:val="00F9283D"/>
    <w:rsid w:val="00F92869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2C06A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F76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F76CC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3F76CC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F76CC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3F76CC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525AFC-58FA-4502-A607-ACCE7100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Степанова Катерина Сергіївна</cp:lastModifiedBy>
  <cp:revision>6</cp:revision>
  <cp:lastPrinted>2021-08-16T14:18:00Z</cp:lastPrinted>
  <dcterms:created xsi:type="dcterms:W3CDTF">2021-08-16T14:32:00Z</dcterms:created>
  <dcterms:modified xsi:type="dcterms:W3CDTF">2021-08-20T09:20:00Z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