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68FE7" w14:textId="77777777" w:rsidR="00FA7846" w:rsidRPr="00CD0CD4" w:rsidRDefault="00FA7846" w:rsidP="00FA7846">
      <w:pPr>
        <w:rPr>
          <w:sz w:val="2"/>
          <w:szCs w:val="2"/>
        </w:rPr>
      </w:pPr>
    </w:p>
    <w:p w14:paraId="656B7180" w14:textId="77777777" w:rsidR="00657593" w:rsidRPr="00566BA2" w:rsidRDefault="00657593" w:rsidP="00657593">
      <w:pPr>
        <w:rPr>
          <w:sz w:val="2"/>
          <w:szCs w:val="2"/>
          <w:lang w:val="en-US"/>
        </w:rPr>
      </w:pPr>
    </w:p>
    <w:p w14:paraId="586F64D9" w14:textId="261C8D34" w:rsidR="00E42621" w:rsidRDefault="00366E99" w:rsidP="00366E99">
      <w:pPr>
        <w:ind w:firstLine="709"/>
        <w:jc w:val="right"/>
        <w:rPr>
          <w:rFonts w:eastAsiaTheme="minorEastAsia"/>
          <w:color w:val="000000" w:themeColor="text1"/>
          <w:lang w:eastAsia="en-US"/>
        </w:rPr>
      </w:pPr>
      <w:r w:rsidRPr="00366E99">
        <w:rPr>
          <w:sz w:val="24"/>
        </w:rPr>
        <w:t>Офіційно опубліковано 21.10.2021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27"/>
        <w:gridCol w:w="3204"/>
      </w:tblGrid>
      <w:tr w:rsidR="00366E99" w14:paraId="3DAA630C" w14:textId="77777777" w:rsidTr="002E51FF">
        <w:trPr>
          <w:trHeight w:val="851"/>
        </w:trPr>
        <w:tc>
          <w:tcPr>
            <w:tcW w:w="3284" w:type="dxa"/>
          </w:tcPr>
          <w:p w14:paraId="333F7278" w14:textId="77777777" w:rsidR="00366E99" w:rsidRDefault="00366E99" w:rsidP="002E51FF"/>
        </w:tc>
        <w:tc>
          <w:tcPr>
            <w:tcW w:w="3285" w:type="dxa"/>
            <w:vMerge w:val="restart"/>
          </w:tcPr>
          <w:p w14:paraId="241728CE" w14:textId="77777777" w:rsidR="00366E99" w:rsidRDefault="00366E99" w:rsidP="002E51FF">
            <w:pPr>
              <w:jc w:val="center"/>
            </w:pPr>
            <w:r>
              <w:object w:dxaOrig="1595" w:dyaOrig="2201" w14:anchorId="2C116A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35pt;height:47.7pt" o:ole="">
                  <v:imagedata r:id="rId12" o:title=""/>
                </v:shape>
                <o:OLEObject Type="Embed" ProgID="CorelDraw.Graphic.16" ShapeID="_x0000_i1025" DrawAspect="Content" ObjectID="_1696332337" r:id="rId13"/>
              </w:object>
            </w:r>
          </w:p>
        </w:tc>
        <w:tc>
          <w:tcPr>
            <w:tcW w:w="3285" w:type="dxa"/>
          </w:tcPr>
          <w:p w14:paraId="27853E0E" w14:textId="79A87CEB" w:rsidR="00366E99" w:rsidRPr="00366E99" w:rsidRDefault="00366E99" w:rsidP="002E51FF">
            <w:pPr>
              <w:rPr>
                <w:sz w:val="24"/>
              </w:rPr>
            </w:pPr>
          </w:p>
        </w:tc>
      </w:tr>
      <w:tr w:rsidR="00366E99" w14:paraId="4BD2BB70" w14:textId="77777777" w:rsidTr="002E51FF">
        <w:tc>
          <w:tcPr>
            <w:tcW w:w="3284" w:type="dxa"/>
          </w:tcPr>
          <w:p w14:paraId="4CA69388" w14:textId="77777777" w:rsidR="00366E99" w:rsidRDefault="00366E99" w:rsidP="002E51FF"/>
        </w:tc>
        <w:tc>
          <w:tcPr>
            <w:tcW w:w="3285" w:type="dxa"/>
            <w:vMerge/>
          </w:tcPr>
          <w:p w14:paraId="2D76AFE2" w14:textId="77777777" w:rsidR="00366E99" w:rsidRDefault="00366E99" w:rsidP="002E51FF"/>
        </w:tc>
        <w:tc>
          <w:tcPr>
            <w:tcW w:w="3285" w:type="dxa"/>
          </w:tcPr>
          <w:p w14:paraId="3D464506" w14:textId="77777777" w:rsidR="00366E99" w:rsidRDefault="00366E99" w:rsidP="002E51FF"/>
        </w:tc>
      </w:tr>
      <w:tr w:rsidR="00366E99" w14:paraId="51DBFE60" w14:textId="77777777" w:rsidTr="002E51FF">
        <w:tc>
          <w:tcPr>
            <w:tcW w:w="9854" w:type="dxa"/>
            <w:gridSpan w:val="3"/>
          </w:tcPr>
          <w:p w14:paraId="6E6DA3BB" w14:textId="77777777" w:rsidR="00366E99" w:rsidRPr="00E10F0A" w:rsidRDefault="00366E99" w:rsidP="002E51FF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E10F0A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14:paraId="7F2F3A49" w14:textId="77777777" w:rsidR="00366E99" w:rsidRDefault="00366E99" w:rsidP="002E51FF">
            <w:pPr>
              <w:jc w:val="center"/>
            </w:pPr>
            <w:r w:rsidRPr="00E10F0A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</w:tbl>
    <w:p w14:paraId="7FBA8C73" w14:textId="77777777" w:rsidR="00366E99" w:rsidRPr="00566BA2" w:rsidRDefault="00366E99" w:rsidP="00366E99">
      <w:pPr>
        <w:rPr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4"/>
        <w:gridCol w:w="2633"/>
        <w:gridCol w:w="1666"/>
        <w:gridCol w:w="1905"/>
      </w:tblGrid>
      <w:tr w:rsidR="00366E99" w14:paraId="285B1601" w14:textId="77777777" w:rsidTr="002E51FF">
        <w:tc>
          <w:tcPr>
            <w:tcW w:w="3510" w:type="dxa"/>
            <w:vAlign w:val="bottom"/>
          </w:tcPr>
          <w:p w14:paraId="32AB2757" w14:textId="77777777" w:rsidR="00366E99" w:rsidRPr="00566BA2" w:rsidRDefault="00366E99" w:rsidP="002E51FF">
            <w:r>
              <w:t>20 жовтня 2021 року</w:t>
            </w:r>
          </w:p>
        </w:tc>
        <w:tc>
          <w:tcPr>
            <w:tcW w:w="2694" w:type="dxa"/>
          </w:tcPr>
          <w:p w14:paraId="6B110F57" w14:textId="77777777" w:rsidR="00366E99" w:rsidRDefault="00366E99" w:rsidP="002E51FF">
            <w:pPr>
              <w:spacing w:before="240"/>
              <w:jc w:val="center"/>
            </w:pPr>
            <w:r w:rsidRPr="00E10F0A">
              <w:rPr>
                <w:color w:val="006600"/>
              </w:rPr>
              <w:t>м. Київ</w:t>
            </w:r>
          </w:p>
        </w:tc>
        <w:tc>
          <w:tcPr>
            <w:tcW w:w="1713" w:type="dxa"/>
            <w:vAlign w:val="bottom"/>
          </w:tcPr>
          <w:p w14:paraId="08867B8A" w14:textId="77777777" w:rsidR="00366E99" w:rsidRPr="00101D5A" w:rsidRDefault="00366E99" w:rsidP="002E51FF">
            <w:pPr>
              <w:jc w:val="right"/>
            </w:pPr>
          </w:p>
        </w:tc>
        <w:tc>
          <w:tcPr>
            <w:tcW w:w="1937" w:type="dxa"/>
            <w:vAlign w:val="bottom"/>
          </w:tcPr>
          <w:p w14:paraId="2A3E0539" w14:textId="77777777" w:rsidR="00366E99" w:rsidRDefault="00366E99" w:rsidP="002E51FF">
            <w:pPr>
              <w:jc w:val="left"/>
            </w:pPr>
            <w:r w:rsidRPr="00F85968">
              <w:t>№107</w:t>
            </w:r>
          </w:p>
        </w:tc>
      </w:tr>
    </w:tbl>
    <w:p w14:paraId="4967E3FA" w14:textId="77777777" w:rsidR="00366E99" w:rsidRPr="00CD0CD4" w:rsidRDefault="00366E99" w:rsidP="00366E99">
      <w:pPr>
        <w:rPr>
          <w:sz w:val="2"/>
          <w:szCs w:val="2"/>
        </w:rPr>
      </w:pPr>
    </w:p>
    <w:p w14:paraId="09B8B3C8" w14:textId="77777777" w:rsidR="00A44032" w:rsidRPr="00CD0CD4" w:rsidRDefault="00A44032" w:rsidP="00562C46">
      <w:pPr>
        <w:ind w:firstLine="709"/>
        <w:jc w:val="center"/>
        <w:rPr>
          <w:rFonts w:eastAsiaTheme="minorEastAsia"/>
          <w:color w:val="000000" w:themeColor="text1"/>
          <w:lang w:eastAsia="en-US"/>
        </w:rPr>
      </w:pPr>
    </w:p>
    <w:tbl>
      <w:tblPr>
        <w:tblStyle w:val="a9"/>
        <w:tblW w:w="345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4"/>
      </w:tblGrid>
      <w:tr w:rsidR="002B3F71" w:rsidRPr="00CD0CD4" w14:paraId="033D6FDA" w14:textId="77777777" w:rsidTr="005212C5">
        <w:trPr>
          <w:jc w:val="center"/>
        </w:trPr>
        <w:tc>
          <w:tcPr>
            <w:tcW w:w="5000" w:type="pct"/>
          </w:tcPr>
          <w:p w14:paraId="447CCFD1" w14:textId="77777777" w:rsidR="002B3F71" w:rsidRPr="00CD0CD4" w:rsidRDefault="00943064" w:rsidP="00B412E9">
            <w:pPr>
              <w:tabs>
                <w:tab w:val="left" w:pos="840"/>
                <w:tab w:val="center" w:pos="3293"/>
              </w:tabs>
              <w:spacing w:before="240" w:after="240"/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 w:rsidRPr="00943064">
              <w:rPr>
                <w:rFonts w:eastAsiaTheme="minorEastAsia"/>
                <w:color w:val="000000" w:themeColor="text1"/>
                <w:lang w:eastAsia="en-US"/>
              </w:rPr>
              <w:t>Про затвердження Положення про перестрахування у страховика (</w:t>
            </w:r>
            <w:proofErr w:type="spellStart"/>
            <w:r w:rsidRPr="00943064">
              <w:rPr>
                <w:rFonts w:eastAsiaTheme="minorEastAsia"/>
                <w:color w:val="000000" w:themeColor="text1"/>
                <w:lang w:eastAsia="en-US"/>
              </w:rPr>
              <w:t>перестраховика</w:t>
            </w:r>
            <w:proofErr w:type="spellEnd"/>
            <w:r w:rsidRPr="00943064">
              <w:rPr>
                <w:rFonts w:eastAsiaTheme="minorEastAsia"/>
                <w:color w:val="000000" w:themeColor="text1"/>
                <w:lang w:eastAsia="en-US"/>
              </w:rPr>
              <w:t>) нерезидента</w:t>
            </w:r>
          </w:p>
        </w:tc>
      </w:tr>
    </w:tbl>
    <w:p w14:paraId="66F8B963" w14:textId="77777777" w:rsidR="00E53CCD" w:rsidRDefault="00943064" w:rsidP="00E62607">
      <w:pPr>
        <w:spacing w:before="240" w:after="240"/>
        <w:ind w:firstLine="709"/>
        <w:rPr>
          <w:b/>
        </w:rPr>
      </w:pPr>
      <w:r w:rsidRPr="00D60539">
        <w:t>Відповідно до статей 7, 15, 55</w:t>
      </w:r>
      <w:r w:rsidRPr="003D40D9">
        <w:rPr>
          <w:vertAlign w:val="superscript"/>
        </w:rPr>
        <w:t>1</w:t>
      </w:r>
      <w:r w:rsidRPr="00D60539">
        <w:t xml:space="preserve">, 56 Закону України “Про Національний банк України”, статті 12 Закону України “Про страхування” та з метою </w:t>
      </w:r>
      <w:r>
        <w:t>встановлення</w:t>
      </w:r>
      <w:r w:rsidRPr="00D60539">
        <w:t xml:space="preserve"> порядку </w:t>
      </w:r>
      <w:r>
        <w:t xml:space="preserve">та вимог </w:t>
      </w:r>
      <w:r w:rsidRPr="00D60539">
        <w:t xml:space="preserve">здійснення </w:t>
      </w:r>
      <w:r>
        <w:t xml:space="preserve">страховиком </w:t>
      </w:r>
      <w:r w:rsidRPr="00B41195">
        <w:rPr>
          <w:color w:val="000000" w:themeColor="text1"/>
        </w:rPr>
        <w:t>(перестрахувальник</w:t>
      </w:r>
      <w:r>
        <w:rPr>
          <w:color w:val="000000" w:themeColor="text1"/>
        </w:rPr>
        <w:t>ом</w:t>
      </w:r>
      <w:r w:rsidRPr="00B41195">
        <w:rPr>
          <w:color w:val="000000" w:themeColor="text1"/>
        </w:rPr>
        <w:t>)</w:t>
      </w:r>
      <w:r>
        <w:t xml:space="preserve"> </w:t>
      </w:r>
      <w:r w:rsidRPr="00D60539">
        <w:t>перестрахування у страховика (</w:t>
      </w:r>
      <w:proofErr w:type="spellStart"/>
      <w:r w:rsidRPr="00D60539">
        <w:t>перестраховика</w:t>
      </w:r>
      <w:proofErr w:type="spellEnd"/>
      <w:r w:rsidRPr="00D60539">
        <w:t>) нерезидента</w:t>
      </w:r>
      <w:r w:rsidR="00FA508E" w:rsidRPr="00276074">
        <w:t xml:space="preserve"> </w:t>
      </w:r>
      <w:r w:rsidR="00115ECF" w:rsidRPr="00CD0CD4">
        <w:t xml:space="preserve">Правління Національного банку </w:t>
      </w:r>
      <w:r w:rsidR="00562C46" w:rsidRPr="00CD0CD4">
        <w:t>України</w:t>
      </w:r>
      <w:r w:rsidR="00562C46" w:rsidRPr="00CD0CD4">
        <w:rPr>
          <w:b/>
        </w:rPr>
        <w:t xml:space="preserve"> </w:t>
      </w:r>
      <w:r w:rsidR="00FA508E" w:rsidRPr="00CD0CD4">
        <w:rPr>
          <w:b/>
        </w:rPr>
        <w:t>постановляє:</w:t>
      </w:r>
    </w:p>
    <w:p w14:paraId="6EECF7D6" w14:textId="77777777" w:rsidR="00AD7DF9" w:rsidRDefault="00AD7DF9" w:rsidP="00E62607">
      <w:pPr>
        <w:spacing w:before="240" w:after="240"/>
        <w:ind w:firstLine="709"/>
        <w:rPr>
          <w:rFonts w:eastAsiaTheme="minorEastAsia"/>
          <w:noProof/>
          <w:color w:val="000000" w:themeColor="text1"/>
          <w:lang w:eastAsia="en-US"/>
        </w:rPr>
      </w:pPr>
      <w:r w:rsidRPr="008B1589">
        <w:rPr>
          <w:lang w:val="ru-RU"/>
        </w:rPr>
        <w:t>1.</w:t>
      </w:r>
      <w:r>
        <w:rPr>
          <w:lang w:val="en-US"/>
        </w:rPr>
        <w:t> </w:t>
      </w:r>
      <w:r w:rsidR="00943064" w:rsidRPr="00943064">
        <w:rPr>
          <w:rFonts w:eastAsiaTheme="minorEastAsia"/>
          <w:noProof/>
          <w:color w:val="000000" w:themeColor="text1"/>
          <w:lang w:eastAsia="en-US"/>
        </w:rPr>
        <w:t>Затвердити Положення про перестрахування у страховика (перестраховика) нерезидента, що додається.</w:t>
      </w:r>
    </w:p>
    <w:p w14:paraId="13ECBAAA" w14:textId="77777777" w:rsidR="00AD7DF9" w:rsidRDefault="00AD7DF9" w:rsidP="00E62607">
      <w:pPr>
        <w:spacing w:before="240" w:after="240"/>
        <w:ind w:firstLine="709"/>
        <w:rPr>
          <w:rFonts w:eastAsiaTheme="minorEastAsia"/>
          <w:noProof/>
          <w:color w:val="000000" w:themeColor="text1"/>
          <w:lang w:eastAsia="en-US"/>
        </w:rPr>
      </w:pPr>
      <w:r>
        <w:rPr>
          <w:rFonts w:eastAsiaTheme="minorEastAsia"/>
          <w:noProof/>
          <w:color w:val="000000" w:themeColor="text1"/>
          <w:lang w:eastAsia="en-US"/>
        </w:rPr>
        <w:t>2. </w:t>
      </w:r>
      <w:r w:rsidR="00943064" w:rsidRPr="00943064">
        <w:rPr>
          <w:rFonts w:eastAsiaTheme="minorEastAsia"/>
          <w:noProof/>
          <w:color w:val="000000" w:themeColor="text1"/>
          <w:lang w:eastAsia="en-US"/>
        </w:rPr>
        <w:t>Постанова набирає чинності з дня, наступного за днем її офіційного опублікування</w:t>
      </w:r>
      <w:r w:rsidR="00F403A7">
        <w:rPr>
          <w:rFonts w:eastAsiaTheme="minorEastAsia"/>
          <w:noProof/>
          <w:color w:val="000000" w:themeColor="text1"/>
          <w:lang w:eastAsia="en-US"/>
        </w:rPr>
        <w:t>.</w:t>
      </w:r>
    </w:p>
    <w:p w14:paraId="7BC1D137" w14:textId="77777777" w:rsidR="00AD7DF9" w:rsidRDefault="00AD7DF9" w:rsidP="00AD7DF9">
      <w:pPr>
        <w:pStyle w:val="af3"/>
        <w:spacing w:before="240" w:after="120"/>
        <w:ind w:left="0" w:firstLine="709"/>
        <w:rPr>
          <w:rFonts w:eastAsiaTheme="minorEastAsia"/>
          <w:noProof/>
          <w:color w:val="000000" w:themeColor="text1"/>
          <w:lang w:eastAsia="en-US"/>
        </w:rPr>
      </w:pPr>
    </w:p>
    <w:p w14:paraId="5584136E" w14:textId="77777777" w:rsidR="00E42621" w:rsidRPr="00943064" w:rsidRDefault="00E42621" w:rsidP="00D46BE1">
      <w:pPr>
        <w:spacing w:after="120"/>
        <w:rPr>
          <w:lang w:val="ru-RU"/>
        </w:rPr>
      </w:pPr>
    </w:p>
    <w:p w14:paraId="46EA44E4" w14:textId="77777777" w:rsidR="0095741D" w:rsidRPr="00CD0CD4" w:rsidRDefault="0095741D" w:rsidP="00D46BE1">
      <w:pPr>
        <w:spacing w:after="120"/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252"/>
      </w:tblGrid>
      <w:tr w:rsidR="00DD60CC" w:rsidRPr="00CD0CD4" w14:paraId="55696980" w14:textId="77777777" w:rsidTr="00736C98">
        <w:tc>
          <w:tcPr>
            <w:tcW w:w="5387" w:type="dxa"/>
            <w:vAlign w:val="bottom"/>
          </w:tcPr>
          <w:p w14:paraId="2461C82E" w14:textId="77777777" w:rsidR="00DD60CC" w:rsidRPr="00CD0CD4" w:rsidRDefault="00943064" w:rsidP="00337368">
            <w:pPr>
              <w:autoSpaceDE w:val="0"/>
              <w:autoSpaceDN w:val="0"/>
              <w:jc w:val="left"/>
            </w:pPr>
            <w:r w:rsidRPr="00D60539">
              <w:rPr>
                <w:color w:val="000000" w:themeColor="text1"/>
              </w:rPr>
              <w:t>Голова</w:t>
            </w:r>
          </w:p>
        </w:tc>
        <w:tc>
          <w:tcPr>
            <w:tcW w:w="4252" w:type="dxa"/>
            <w:vAlign w:val="bottom"/>
          </w:tcPr>
          <w:p w14:paraId="56494F05" w14:textId="77777777" w:rsidR="00DD60CC" w:rsidRPr="00CD0CD4" w:rsidRDefault="00943064" w:rsidP="0088719C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/>
              <w:jc w:val="right"/>
            </w:pPr>
            <w:r w:rsidRPr="00D60539">
              <w:rPr>
                <w:color w:val="000000" w:themeColor="text1"/>
              </w:rPr>
              <w:t>Кирило ШЕВЧЕНКО</w:t>
            </w:r>
          </w:p>
        </w:tc>
      </w:tr>
    </w:tbl>
    <w:p w14:paraId="480148EA" w14:textId="77777777" w:rsidR="008D10FD" w:rsidRPr="00CD0CD4" w:rsidRDefault="008D10FD" w:rsidP="00E53CCD"/>
    <w:p w14:paraId="745704AF" w14:textId="77777777" w:rsidR="00FA508E" w:rsidRPr="00CD0CD4" w:rsidRDefault="00FA508E" w:rsidP="00E53CCD"/>
    <w:p w14:paraId="495B98F2" w14:textId="77777777" w:rsidR="00C03E57" w:rsidRDefault="00FA508E" w:rsidP="00C03E57">
      <w:pPr>
        <w:jc w:val="left"/>
        <w:sectPr w:rsidR="00C03E57" w:rsidSect="00177254">
          <w:headerReference w:type="default" r:id="rId14"/>
          <w:footerReference w:type="first" r:id="rId15"/>
          <w:pgSz w:w="11906" w:h="16838" w:code="9"/>
          <w:pgMar w:top="567" w:right="567" w:bottom="1701" w:left="1701" w:header="709" w:footer="709" w:gutter="0"/>
          <w:pgNumType w:start="1"/>
          <w:cols w:space="708"/>
          <w:titlePg/>
          <w:docGrid w:linePitch="381"/>
        </w:sectPr>
      </w:pPr>
      <w:r w:rsidRPr="00CD0CD4">
        <w:t>Інд.</w:t>
      </w:r>
      <w:r w:rsidRPr="00CD0CD4">
        <w:rPr>
          <w:sz w:val="22"/>
          <w:szCs w:val="22"/>
        </w:rPr>
        <w:t xml:space="preserve"> </w:t>
      </w:r>
      <w:r w:rsidR="00943064">
        <w:t>33</w:t>
      </w:r>
    </w:p>
    <w:tbl>
      <w:tblPr>
        <w:tblStyle w:val="2"/>
        <w:tblW w:w="9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21"/>
        <w:gridCol w:w="4034"/>
      </w:tblGrid>
      <w:tr w:rsidR="00D15A2D" w:rsidRPr="00FA175C" w14:paraId="26B0299E" w14:textId="77777777" w:rsidTr="00FA175C">
        <w:trPr>
          <w:trHeight w:val="1433"/>
        </w:trPr>
        <w:tc>
          <w:tcPr>
            <w:tcW w:w="5321" w:type="dxa"/>
          </w:tcPr>
          <w:p w14:paraId="5A0760FE" w14:textId="77777777" w:rsidR="00D15A2D" w:rsidRPr="00D60539" w:rsidRDefault="00D15A2D" w:rsidP="00FA175C">
            <w:pPr>
              <w:rPr>
                <w:color w:val="000000" w:themeColor="text1"/>
              </w:rPr>
            </w:pPr>
          </w:p>
        </w:tc>
        <w:tc>
          <w:tcPr>
            <w:tcW w:w="4034" w:type="dxa"/>
          </w:tcPr>
          <w:p w14:paraId="6820CB62" w14:textId="77777777" w:rsidR="00D15A2D" w:rsidRPr="00D60539" w:rsidRDefault="00D15A2D" w:rsidP="00FA175C">
            <w:pPr>
              <w:rPr>
                <w:color w:val="000000" w:themeColor="text1"/>
              </w:rPr>
            </w:pPr>
            <w:r w:rsidRPr="00D60539">
              <w:rPr>
                <w:color w:val="000000" w:themeColor="text1"/>
              </w:rPr>
              <w:t>ЗАТВЕРДЖЕНО</w:t>
            </w:r>
          </w:p>
          <w:p w14:paraId="4D276A02" w14:textId="77777777" w:rsidR="00D15A2D" w:rsidRPr="00D60539" w:rsidRDefault="00D15A2D" w:rsidP="00FA175C">
            <w:pPr>
              <w:rPr>
                <w:color w:val="000000" w:themeColor="text1"/>
              </w:rPr>
            </w:pPr>
            <w:r w:rsidRPr="00D60539">
              <w:rPr>
                <w:color w:val="000000" w:themeColor="text1"/>
              </w:rPr>
              <w:t>Постанова Правління</w:t>
            </w:r>
          </w:p>
          <w:p w14:paraId="11FAEF14" w14:textId="77777777" w:rsidR="00D15A2D" w:rsidRDefault="00D15A2D" w:rsidP="00FA175C">
            <w:pPr>
              <w:rPr>
                <w:color w:val="000000" w:themeColor="text1"/>
              </w:rPr>
            </w:pPr>
            <w:r w:rsidRPr="00D60539">
              <w:rPr>
                <w:color w:val="000000" w:themeColor="text1"/>
              </w:rPr>
              <w:t>Національного банку України</w:t>
            </w:r>
          </w:p>
          <w:p w14:paraId="7C1AAEC8" w14:textId="0C6F7645" w:rsidR="00B82ACB" w:rsidRPr="00D60539" w:rsidRDefault="00B82ACB" w:rsidP="00FA175C">
            <w:pPr>
              <w:rPr>
                <w:color w:val="000000" w:themeColor="text1"/>
              </w:rPr>
            </w:pPr>
            <w:r w:rsidRPr="00B82ACB">
              <w:rPr>
                <w:color w:val="000000" w:themeColor="text1"/>
              </w:rPr>
              <w:t>від 20 жовтня 2021 року № 107</w:t>
            </w:r>
            <w:bookmarkStart w:id="0" w:name="_GoBack"/>
            <w:bookmarkEnd w:id="0"/>
          </w:p>
        </w:tc>
      </w:tr>
    </w:tbl>
    <w:p w14:paraId="4F3948B9" w14:textId="77777777" w:rsidR="00693FC5" w:rsidRDefault="00693FC5" w:rsidP="00D15A2D">
      <w:pPr>
        <w:ind w:firstLine="709"/>
        <w:jc w:val="center"/>
        <w:rPr>
          <w:color w:val="000000" w:themeColor="text1"/>
        </w:rPr>
      </w:pPr>
    </w:p>
    <w:p w14:paraId="63A7AF21" w14:textId="77777777" w:rsidR="00693FC5" w:rsidRDefault="00693FC5" w:rsidP="00D15A2D">
      <w:pPr>
        <w:ind w:firstLine="709"/>
        <w:jc w:val="center"/>
        <w:rPr>
          <w:color w:val="000000" w:themeColor="text1"/>
        </w:rPr>
      </w:pPr>
    </w:p>
    <w:p w14:paraId="32F68198" w14:textId="77777777" w:rsidR="00693FC5" w:rsidRDefault="00693FC5" w:rsidP="00D15A2D">
      <w:pPr>
        <w:ind w:firstLine="709"/>
        <w:jc w:val="center"/>
        <w:rPr>
          <w:color w:val="000000" w:themeColor="text1"/>
        </w:rPr>
      </w:pPr>
    </w:p>
    <w:p w14:paraId="35D680AE" w14:textId="77777777" w:rsidR="00C03E57" w:rsidRDefault="00C03E57" w:rsidP="00D15A2D">
      <w:pPr>
        <w:ind w:firstLine="709"/>
        <w:jc w:val="center"/>
        <w:rPr>
          <w:color w:val="000000" w:themeColor="text1"/>
        </w:rPr>
      </w:pPr>
      <w:r w:rsidRPr="00D60539">
        <w:rPr>
          <w:color w:val="000000" w:themeColor="text1"/>
        </w:rPr>
        <w:t>Положення про перестрахування у страховика (</w:t>
      </w:r>
      <w:proofErr w:type="spellStart"/>
      <w:r w:rsidRPr="00D60539">
        <w:rPr>
          <w:color w:val="000000" w:themeColor="text1"/>
        </w:rPr>
        <w:t>перестраховика</w:t>
      </w:r>
      <w:proofErr w:type="spellEnd"/>
      <w:r w:rsidRPr="00D60539">
        <w:rPr>
          <w:color w:val="000000" w:themeColor="text1"/>
        </w:rPr>
        <w:t>) нерезидента</w:t>
      </w:r>
    </w:p>
    <w:p w14:paraId="01137299" w14:textId="77777777" w:rsidR="00D15A2D" w:rsidRDefault="00D15A2D" w:rsidP="00D15A2D">
      <w:pPr>
        <w:ind w:firstLine="709"/>
        <w:jc w:val="center"/>
      </w:pPr>
    </w:p>
    <w:p w14:paraId="622013D3" w14:textId="77777777" w:rsidR="00D15A2D" w:rsidRPr="00D60539" w:rsidRDefault="00D15A2D" w:rsidP="00D15A2D">
      <w:pPr>
        <w:pStyle w:val="1"/>
        <w:numPr>
          <w:ilvl w:val="0"/>
          <w:numId w:val="3"/>
        </w:numPr>
        <w:spacing w:before="0"/>
        <w:ind w:left="0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1" w:name="_Toc55216235"/>
      <w:r w:rsidRPr="00D60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Загальні положення</w:t>
      </w:r>
      <w:bookmarkEnd w:id="1"/>
    </w:p>
    <w:p w14:paraId="03A560FF" w14:textId="77777777" w:rsidR="00D15A2D" w:rsidRPr="00D60539" w:rsidRDefault="00D15A2D" w:rsidP="00D15A2D">
      <w:pPr>
        <w:pStyle w:val="af3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outlineLvl w:val="1"/>
        <w:rPr>
          <w:color w:val="000000" w:themeColor="text1"/>
        </w:rPr>
      </w:pPr>
    </w:p>
    <w:p w14:paraId="7A86BF52" w14:textId="77777777" w:rsidR="00D15A2D" w:rsidRPr="00D60539" w:rsidRDefault="00D15A2D" w:rsidP="008A17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color w:val="000000" w:themeColor="text1"/>
        </w:rPr>
      </w:pPr>
      <w:r w:rsidRPr="00D60539">
        <w:rPr>
          <w:color w:val="000000" w:themeColor="text1"/>
        </w:rPr>
        <w:t>Це Положення розроблено згідно з</w:t>
      </w:r>
      <w:r w:rsidR="00693FC5">
        <w:rPr>
          <w:color w:val="000000" w:themeColor="text1"/>
        </w:rPr>
        <w:t>і</w:t>
      </w:r>
      <w:r>
        <w:rPr>
          <w:color w:val="000000" w:themeColor="text1"/>
        </w:rPr>
        <w:t xml:space="preserve"> </w:t>
      </w:r>
      <w:r w:rsidRPr="00D60539">
        <w:t>стат</w:t>
      </w:r>
      <w:r>
        <w:t>тями</w:t>
      </w:r>
      <w:r w:rsidRPr="00D60539">
        <w:t xml:space="preserve"> 7, 15, 55</w:t>
      </w:r>
      <w:r w:rsidRPr="003D40D9">
        <w:rPr>
          <w:vertAlign w:val="superscript"/>
        </w:rPr>
        <w:t>1</w:t>
      </w:r>
      <w:r w:rsidRPr="00D60539">
        <w:t>, 56 Закону України “Про Національний банк України”, статт</w:t>
      </w:r>
      <w:r w:rsidR="002D1EC4">
        <w:t>ею</w:t>
      </w:r>
      <w:r w:rsidRPr="00D60539">
        <w:t xml:space="preserve"> 12 </w:t>
      </w:r>
      <w:r w:rsidRPr="00D60539">
        <w:rPr>
          <w:color w:val="000000" w:themeColor="text1"/>
        </w:rPr>
        <w:t xml:space="preserve"> Закон</w:t>
      </w:r>
      <w:r>
        <w:rPr>
          <w:color w:val="000000" w:themeColor="text1"/>
        </w:rPr>
        <w:t>у</w:t>
      </w:r>
      <w:r w:rsidRPr="00D60539">
        <w:rPr>
          <w:color w:val="000000" w:themeColor="text1"/>
        </w:rPr>
        <w:t xml:space="preserve"> України “Про страхування”</w:t>
      </w:r>
      <w:r w:rsidR="002D1EC4">
        <w:rPr>
          <w:color w:val="000000" w:themeColor="text1"/>
        </w:rPr>
        <w:t xml:space="preserve">, з метою </w:t>
      </w:r>
      <w:r w:rsidR="00E266DC">
        <w:rPr>
          <w:color w:val="000000" w:themeColor="text1"/>
        </w:rPr>
        <w:t>встановлення</w:t>
      </w:r>
      <w:r w:rsidR="002D1EC4">
        <w:rPr>
          <w:color w:val="000000" w:themeColor="text1"/>
        </w:rPr>
        <w:t xml:space="preserve"> </w:t>
      </w:r>
      <w:r w:rsidR="00276074">
        <w:rPr>
          <w:color w:val="000000" w:themeColor="text1"/>
        </w:rPr>
        <w:t xml:space="preserve">порядку та </w:t>
      </w:r>
      <w:r w:rsidR="002D1EC4">
        <w:rPr>
          <w:color w:val="000000" w:themeColor="text1"/>
        </w:rPr>
        <w:t xml:space="preserve">вимог до </w:t>
      </w:r>
      <w:r w:rsidRPr="00D60539">
        <w:rPr>
          <w:color w:val="000000" w:themeColor="text1"/>
        </w:rPr>
        <w:t>страховиків</w:t>
      </w:r>
      <w:r w:rsidR="002D1EC4">
        <w:rPr>
          <w:color w:val="000000" w:themeColor="text1"/>
        </w:rPr>
        <w:t xml:space="preserve"> </w:t>
      </w:r>
      <w:r w:rsidRPr="00B41195">
        <w:rPr>
          <w:color w:val="000000" w:themeColor="text1"/>
        </w:rPr>
        <w:t>(перестрахувальників)</w:t>
      </w:r>
      <w:r w:rsidRPr="00D60539">
        <w:rPr>
          <w:color w:val="000000" w:themeColor="text1"/>
        </w:rPr>
        <w:t>, які провад</w:t>
      </w:r>
      <w:r w:rsidR="00422F23">
        <w:rPr>
          <w:color w:val="000000" w:themeColor="text1"/>
        </w:rPr>
        <w:t>ять</w:t>
      </w:r>
      <w:r w:rsidRPr="00D60539">
        <w:rPr>
          <w:color w:val="000000" w:themeColor="text1"/>
        </w:rPr>
        <w:t xml:space="preserve"> діяльність щодо перестрахування </w:t>
      </w:r>
      <w:r w:rsidR="009B2C17" w:rsidRPr="009260F0">
        <w:rPr>
          <w:color w:val="000000" w:themeColor="text1"/>
        </w:rPr>
        <w:t>в</w:t>
      </w:r>
      <w:r w:rsidR="009B2C17" w:rsidRPr="00D60539">
        <w:rPr>
          <w:color w:val="000000" w:themeColor="text1"/>
        </w:rPr>
        <w:t xml:space="preserve"> </w:t>
      </w:r>
      <w:r w:rsidRPr="00D60539">
        <w:rPr>
          <w:color w:val="000000" w:themeColor="text1"/>
        </w:rPr>
        <w:t>страховик</w:t>
      </w:r>
      <w:r>
        <w:rPr>
          <w:color w:val="000000" w:themeColor="text1"/>
        </w:rPr>
        <w:t>ів</w:t>
      </w:r>
      <w:r w:rsidRPr="00D60539">
        <w:rPr>
          <w:color w:val="000000" w:themeColor="text1"/>
        </w:rPr>
        <w:t xml:space="preserve"> (</w:t>
      </w:r>
      <w:proofErr w:type="spellStart"/>
      <w:r w:rsidRPr="00D60539">
        <w:rPr>
          <w:color w:val="000000" w:themeColor="text1"/>
        </w:rPr>
        <w:t>перестраховик</w:t>
      </w:r>
      <w:r>
        <w:rPr>
          <w:color w:val="000000" w:themeColor="text1"/>
        </w:rPr>
        <w:t>ів</w:t>
      </w:r>
      <w:proofErr w:type="spellEnd"/>
      <w:r w:rsidRPr="00D60539">
        <w:rPr>
          <w:color w:val="000000" w:themeColor="text1"/>
        </w:rPr>
        <w:t>) нерезидент</w:t>
      </w:r>
      <w:r>
        <w:rPr>
          <w:color w:val="000000" w:themeColor="text1"/>
        </w:rPr>
        <w:t>ів</w:t>
      </w:r>
      <w:r w:rsidR="002D1EC4">
        <w:rPr>
          <w:color w:val="000000" w:themeColor="text1"/>
        </w:rPr>
        <w:t>,</w:t>
      </w:r>
      <w:r w:rsidRPr="00D60539">
        <w:rPr>
          <w:color w:val="000000" w:themeColor="text1"/>
        </w:rPr>
        <w:t xml:space="preserve"> </w:t>
      </w:r>
      <w:r w:rsidR="00693FC5">
        <w:rPr>
          <w:color w:val="000000" w:themeColor="text1"/>
        </w:rPr>
        <w:t>під час</w:t>
      </w:r>
      <w:r w:rsidR="00693FC5" w:rsidRPr="00D60539">
        <w:rPr>
          <w:color w:val="000000" w:themeColor="text1"/>
        </w:rPr>
        <w:t xml:space="preserve"> </w:t>
      </w:r>
      <w:r w:rsidRPr="00D60539">
        <w:rPr>
          <w:color w:val="000000" w:themeColor="text1"/>
        </w:rPr>
        <w:t>укладанн</w:t>
      </w:r>
      <w:r w:rsidR="00693FC5">
        <w:rPr>
          <w:color w:val="000000" w:themeColor="text1"/>
        </w:rPr>
        <w:t>я</w:t>
      </w:r>
      <w:r w:rsidRPr="00D60539">
        <w:rPr>
          <w:color w:val="000000" w:themeColor="text1"/>
        </w:rPr>
        <w:t xml:space="preserve"> </w:t>
      </w:r>
      <w:r w:rsidR="002D1EC4">
        <w:rPr>
          <w:color w:val="000000" w:themeColor="text1"/>
        </w:rPr>
        <w:t>страховиками (перестрахувальниками)</w:t>
      </w:r>
      <w:r w:rsidR="002D1EC4" w:rsidRPr="00D60539">
        <w:rPr>
          <w:color w:val="000000" w:themeColor="text1"/>
        </w:rPr>
        <w:t xml:space="preserve"> </w:t>
      </w:r>
      <w:r w:rsidRPr="00D60539">
        <w:rPr>
          <w:color w:val="000000" w:themeColor="text1"/>
        </w:rPr>
        <w:t>договорів</w:t>
      </w:r>
      <w:r w:rsidR="002D1EC4">
        <w:rPr>
          <w:color w:val="000000" w:themeColor="text1"/>
        </w:rPr>
        <w:t xml:space="preserve"> </w:t>
      </w:r>
      <w:r w:rsidRPr="00D60539">
        <w:rPr>
          <w:color w:val="000000" w:themeColor="text1"/>
        </w:rPr>
        <w:t>перестрахування з такими страховиками (</w:t>
      </w:r>
      <w:proofErr w:type="spellStart"/>
      <w:r w:rsidRPr="00D60539">
        <w:rPr>
          <w:color w:val="000000" w:themeColor="text1"/>
        </w:rPr>
        <w:t>перестраховиками</w:t>
      </w:r>
      <w:proofErr w:type="spellEnd"/>
      <w:r w:rsidRPr="00D60539">
        <w:rPr>
          <w:color w:val="000000" w:themeColor="text1"/>
        </w:rPr>
        <w:t>) нерезидентами.</w:t>
      </w:r>
    </w:p>
    <w:p w14:paraId="1E669ED5" w14:textId="77777777" w:rsidR="00D15A2D" w:rsidRPr="00D60539" w:rsidRDefault="00D15A2D" w:rsidP="008A17A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rPr>
          <w:color w:val="000000" w:themeColor="text1"/>
        </w:rPr>
      </w:pPr>
    </w:p>
    <w:p w14:paraId="61E81689" w14:textId="21470FE7" w:rsidR="00D15A2D" w:rsidRPr="00D60539" w:rsidRDefault="00D15A2D" w:rsidP="008A17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color w:val="000000" w:themeColor="text1"/>
        </w:rPr>
      </w:pPr>
      <w:r w:rsidRPr="00D60539">
        <w:rPr>
          <w:color w:val="000000" w:themeColor="text1"/>
        </w:rPr>
        <w:t>Вимоги цього Положення поширюються на страховиків</w:t>
      </w:r>
      <w:r>
        <w:rPr>
          <w:color w:val="000000" w:themeColor="text1"/>
        </w:rPr>
        <w:t xml:space="preserve"> </w:t>
      </w:r>
      <w:r w:rsidRPr="00B41195">
        <w:rPr>
          <w:color w:val="000000" w:themeColor="text1"/>
        </w:rPr>
        <w:t>(перестрахувальників)</w:t>
      </w:r>
      <w:r w:rsidRPr="00D60539">
        <w:rPr>
          <w:color w:val="000000" w:themeColor="text1"/>
        </w:rPr>
        <w:t>, які пров</w:t>
      </w:r>
      <w:r w:rsidR="00693FC5">
        <w:rPr>
          <w:color w:val="000000" w:themeColor="text1"/>
        </w:rPr>
        <w:t>а</w:t>
      </w:r>
      <w:r>
        <w:rPr>
          <w:color w:val="000000" w:themeColor="text1"/>
        </w:rPr>
        <w:t>дять</w:t>
      </w:r>
      <w:r w:rsidRPr="00D60539">
        <w:rPr>
          <w:color w:val="000000" w:themeColor="text1"/>
        </w:rPr>
        <w:t xml:space="preserve"> діяльність щодо перестрахування </w:t>
      </w:r>
      <w:r w:rsidR="00A048CD">
        <w:rPr>
          <w:color w:val="000000" w:themeColor="text1"/>
        </w:rPr>
        <w:t>в</w:t>
      </w:r>
      <w:r w:rsidR="00A048CD" w:rsidRPr="00D60539">
        <w:rPr>
          <w:color w:val="000000" w:themeColor="text1"/>
        </w:rPr>
        <w:t xml:space="preserve"> </w:t>
      </w:r>
      <w:r w:rsidRPr="00D60539">
        <w:rPr>
          <w:color w:val="000000" w:themeColor="text1"/>
        </w:rPr>
        <w:t>страховик</w:t>
      </w:r>
      <w:r>
        <w:rPr>
          <w:color w:val="000000" w:themeColor="text1"/>
        </w:rPr>
        <w:t>ів</w:t>
      </w:r>
      <w:r w:rsidRPr="00D60539">
        <w:rPr>
          <w:color w:val="000000" w:themeColor="text1"/>
        </w:rPr>
        <w:t xml:space="preserve"> (</w:t>
      </w:r>
      <w:proofErr w:type="spellStart"/>
      <w:r w:rsidRPr="00D60539">
        <w:rPr>
          <w:color w:val="000000" w:themeColor="text1"/>
        </w:rPr>
        <w:t>перестраховик</w:t>
      </w:r>
      <w:r>
        <w:rPr>
          <w:color w:val="000000" w:themeColor="text1"/>
        </w:rPr>
        <w:t>ів</w:t>
      </w:r>
      <w:proofErr w:type="spellEnd"/>
      <w:r w:rsidRPr="00D60539">
        <w:rPr>
          <w:color w:val="000000" w:themeColor="text1"/>
        </w:rPr>
        <w:t>) нерезидент</w:t>
      </w:r>
      <w:r>
        <w:rPr>
          <w:color w:val="000000" w:themeColor="text1"/>
        </w:rPr>
        <w:t>ів</w:t>
      </w:r>
      <w:r w:rsidRPr="00D60539">
        <w:rPr>
          <w:color w:val="000000" w:themeColor="text1"/>
        </w:rPr>
        <w:t>.</w:t>
      </w:r>
    </w:p>
    <w:p w14:paraId="1FB578B6" w14:textId="77777777" w:rsidR="00D15A2D" w:rsidRPr="00D60539" w:rsidRDefault="00D15A2D" w:rsidP="008A17A0">
      <w:pPr>
        <w:pStyle w:val="af3"/>
        <w:ind w:left="0" w:firstLine="709"/>
        <w:rPr>
          <w:color w:val="000000" w:themeColor="text1"/>
        </w:rPr>
      </w:pPr>
    </w:p>
    <w:p w14:paraId="0FE4AA06" w14:textId="77777777" w:rsidR="00D15A2D" w:rsidRPr="00317C19" w:rsidRDefault="00D15A2D" w:rsidP="008A17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color w:val="000000" w:themeColor="text1"/>
        </w:rPr>
      </w:pPr>
      <w:r w:rsidRPr="00D60539">
        <w:t>Це Положення визначає:</w:t>
      </w:r>
    </w:p>
    <w:p w14:paraId="525B5BBB" w14:textId="77777777" w:rsidR="00D15A2D" w:rsidRPr="00D60539" w:rsidRDefault="00D15A2D" w:rsidP="008A17A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rPr>
          <w:color w:val="000000" w:themeColor="text1"/>
        </w:rPr>
      </w:pPr>
    </w:p>
    <w:p w14:paraId="15DAED94" w14:textId="0AC244CC" w:rsidR="00D15A2D" w:rsidRPr="00317C19" w:rsidRDefault="00D15A2D" w:rsidP="008A17A0">
      <w:pPr>
        <w:pStyle w:val="af3"/>
        <w:numPr>
          <w:ilvl w:val="1"/>
          <w:numId w:val="4"/>
        </w:numPr>
        <w:tabs>
          <w:tab w:val="left" w:pos="1134"/>
        </w:tabs>
        <w:ind w:left="0" w:firstLine="709"/>
      </w:pPr>
      <w:r w:rsidRPr="00317C19">
        <w:rPr>
          <w:shd w:val="clear" w:color="auto" w:fill="FFFFFF"/>
        </w:rPr>
        <w:t>вимоги до страховиків</w:t>
      </w:r>
      <w:r>
        <w:rPr>
          <w:shd w:val="clear" w:color="auto" w:fill="FFFFFF"/>
        </w:rPr>
        <w:t xml:space="preserve"> </w:t>
      </w:r>
      <w:r w:rsidRPr="00B41195">
        <w:rPr>
          <w:color w:val="000000" w:themeColor="text1"/>
        </w:rPr>
        <w:t>(перестрахувальників)</w:t>
      </w:r>
      <w:r>
        <w:rPr>
          <w:shd w:val="clear" w:color="auto" w:fill="FFFFFF"/>
        </w:rPr>
        <w:t xml:space="preserve">, які </w:t>
      </w:r>
      <w:r w:rsidRPr="00D60539">
        <w:rPr>
          <w:color w:val="000000" w:themeColor="text1"/>
        </w:rPr>
        <w:t>пров</w:t>
      </w:r>
      <w:r w:rsidR="00693FC5">
        <w:rPr>
          <w:color w:val="000000" w:themeColor="text1"/>
        </w:rPr>
        <w:t>а</w:t>
      </w:r>
      <w:r w:rsidRPr="00D60539">
        <w:rPr>
          <w:color w:val="000000" w:themeColor="text1"/>
        </w:rPr>
        <w:t>д</w:t>
      </w:r>
      <w:r>
        <w:rPr>
          <w:color w:val="000000" w:themeColor="text1"/>
        </w:rPr>
        <w:t>ять</w:t>
      </w:r>
      <w:r w:rsidRPr="00D60539">
        <w:rPr>
          <w:color w:val="000000" w:themeColor="text1"/>
        </w:rPr>
        <w:t xml:space="preserve"> діяльність щодо перестрахування </w:t>
      </w:r>
      <w:r w:rsidR="00A048CD">
        <w:rPr>
          <w:color w:val="000000" w:themeColor="text1"/>
        </w:rPr>
        <w:t>в</w:t>
      </w:r>
      <w:r w:rsidR="00A048CD" w:rsidRPr="00D60539">
        <w:rPr>
          <w:color w:val="000000" w:themeColor="text1"/>
        </w:rPr>
        <w:t xml:space="preserve"> </w:t>
      </w:r>
      <w:r w:rsidRPr="00D60539">
        <w:rPr>
          <w:color w:val="000000" w:themeColor="text1"/>
        </w:rPr>
        <w:t>страховик</w:t>
      </w:r>
      <w:r>
        <w:rPr>
          <w:color w:val="000000" w:themeColor="text1"/>
        </w:rPr>
        <w:t>ів</w:t>
      </w:r>
      <w:r w:rsidRPr="00D60539">
        <w:rPr>
          <w:color w:val="000000" w:themeColor="text1"/>
        </w:rPr>
        <w:t xml:space="preserve"> (</w:t>
      </w:r>
      <w:proofErr w:type="spellStart"/>
      <w:r w:rsidRPr="00D60539">
        <w:rPr>
          <w:color w:val="000000" w:themeColor="text1"/>
        </w:rPr>
        <w:t>перестраховик</w:t>
      </w:r>
      <w:r>
        <w:rPr>
          <w:color w:val="000000" w:themeColor="text1"/>
        </w:rPr>
        <w:t>ів</w:t>
      </w:r>
      <w:proofErr w:type="spellEnd"/>
      <w:r w:rsidRPr="00D60539">
        <w:rPr>
          <w:color w:val="000000" w:themeColor="text1"/>
        </w:rPr>
        <w:t>) нерезидент</w:t>
      </w:r>
      <w:r>
        <w:rPr>
          <w:color w:val="000000" w:themeColor="text1"/>
        </w:rPr>
        <w:t>ів;</w:t>
      </w:r>
    </w:p>
    <w:p w14:paraId="0AD8F5AD" w14:textId="77777777" w:rsidR="00D15A2D" w:rsidRPr="00317C19" w:rsidRDefault="00D15A2D" w:rsidP="008A17A0">
      <w:pPr>
        <w:pStyle w:val="af3"/>
        <w:tabs>
          <w:tab w:val="left" w:pos="1134"/>
        </w:tabs>
        <w:ind w:left="0" w:firstLine="709"/>
      </w:pPr>
    </w:p>
    <w:p w14:paraId="40559616" w14:textId="77777777" w:rsidR="00D15A2D" w:rsidRDefault="00D15A2D" w:rsidP="008A17A0">
      <w:pPr>
        <w:pStyle w:val="af3"/>
        <w:numPr>
          <w:ilvl w:val="1"/>
          <w:numId w:val="4"/>
        </w:numPr>
        <w:tabs>
          <w:tab w:val="left" w:pos="1134"/>
        </w:tabs>
        <w:ind w:left="0" w:firstLine="709"/>
      </w:pPr>
      <w:r w:rsidRPr="00317C19">
        <w:rPr>
          <w:shd w:val="clear" w:color="auto" w:fill="FFFFFF"/>
        </w:rPr>
        <w:t>вимоги до страховиків (</w:t>
      </w:r>
      <w:proofErr w:type="spellStart"/>
      <w:r w:rsidRPr="00317C19">
        <w:rPr>
          <w:shd w:val="clear" w:color="auto" w:fill="FFFFFF"/>
        </w:rPr>
        <w:t>перестраховиків</w:t>
      </w:r>
      <w:proofErr w:type="spellEnd"/>
      <w:r w:rsidRPr="00317C19">
        <w:rPr>
          <w:shd w:val="clear" w:color="auto" w:fill="FFFFFF"/>
        </w:rPr>
        <w:t xml:space="preserve">) нерезидентів </w:t>
      </w:r>
      <w:r w:rsidR="00693FC5">
        <w:rPr>
          <w:shd w:val="clear" w:color="auto" w:fill="FFFFFF"/>
        </w:rPr>
        <w:t>під час</w:t>
      </w:r>
      <w:r w:rsidRPr="00317C19">
        <w:rPr>
          <w:shd w:val="clear" w:color="auto" w:fill="FFFFFF"/>
        </w:rPr>
        <w:t xml:space="preserve"> укладанн</w:t>
      </w:r>
      <w:r w:rsidR="00693FC5">
        <w:rPr>
          <w:shd w:val="clear" w:color="auto" w:fill="FFFFFF"/>
        </w:rPr>
        <w:t>я</w:t>
      </w:r>
      <w:r w:rsidRPr="00317C19">
        <w:rPr>
          <w:shd w:val="clear" w:color="auto" w:fill="FFFFFF"/>
        </w:rPr>
        <w:t xml:space="preserve"> договорів перестрахування з такими страховиками (</w:t>
      </w:r>
      <w:proofErr w:type="spellStart"/>
      <w:r w:rsidRPr="00317C19">
        <w:rPr>
          <w:shd w:val="clear" w:color="auto" w:fill="FFFFFF"/>
        </w:rPr>
        <w:t>перестраховиками</w:t>
      </w:r>
      <w:proofErr w:type="spellEnd"/>
      <w:r w:rsidRPr="00317C19">
        <w:rPr>
          <w:shd w:val="clear" w:color="auto" w:fill="FFFFFF"/>
        </w:rPr>
        <w:t>)</w:t>
      </w:r>
      <w:r>
        <w:rPr>
          <w:shd w:val="clear" w:color="auto" w:fill="FFFFFF"/>
        </w:rPr>
        <w:t xml:space="preserve"> </w:t>
      </w:r>
      <w:r w:rsidRPr="00317C19">
        <w:rPr>
          <w:shd w:val="clear" w:color="auto" w:fill="FFFFFF"/>
        </w:rPr>
        <w:t>нерезидентами</w:t>
      </w:r>
      <w:r w:rsidRPr="00317C19">
        <w:t>;</w:t>
      </w:r>
    </w:p>
    <w:p w14:paraId="2E6B9239" w14:textId="77777777" w:rsidR="00D15A2D" w:rsidRPr="00AC5046" w:rsidRDefault="00D15A2D" w:rsidP="008A17A0">
      <w:pPr>
        <w:pStyle w:val="af3"/>
        <w:ind w:left="0" w:firstLine="709"/>
      </w:pPr>
    </w:p>
    <w:p w14:paraId="6FD57271" w14:textId="77777777" w:rsidR="00D15A2D" w:rsidRDefault="00D15A2D" w:rsidP="008A17A0">
      <w:pPr>
        <w:pStyle w:val="af3"/>
        <w:numPr>
          <w:ilvl w:val="1"/>
          <w:numId w:val="4"/>
        </w:numPr>
        <w:tabs>
          <w:tab w:val="left" w:pos="1134"/>
        </w:tabs>
        <w:ind w:left="0" w:firstLine="709"/>
      </w:pPr>
      <w:r w:rsidRPr="00317C19">
        <w:t xml:space="preserve">порядок здійснення Національним банком </w:t>
      </w:r>
      <w:r>
        <w:t xml:space="preserve">України (далі – Національний банк) </w:t>
      </w:r>
      <w:r w:rsidRPr="00317C19">
        <w:t>контролю за дотриманням страховиками</w:t>
      </w:r>
      <w:r>
        <w:t xml:space="preserve"> </w:t>
      </w:r>
      <w:r w:rsidRPr="00B41195">
        <w:rPr>
          <w:color w:val="000000" w:themeColor="text1"/>
        </w:rPr>
        <w:t>(перестрахувальник</w:t>
      </w:r>
      <w:r>
        <w:rPr>
          <w:color w:val="000000" w:themeColor="text1"/>
        </w:rPr>
        <w:t>ами</w:t>
      </w:r>
      <w:r w:rsidRPr="00B41195">
        <w:rPr>
          <w:color w:val="000000" w:themeColor="text1"/>
        </w:rPr>
        <w:t>)</w:t>
      </w:r>
      <w:r w:rsidRPr="00317C19">
        <w:t xml:space="preserve"> вимог цього Положення.</w:t>
      </w:r>
    </w:p>
    <w:p w14:paraId="6A943BCE" w14:textId="77777777" w:rsidR="00D15A2D" w:rsidRPr="00253142" w:rsidRDefault="00D15A2D" w:rsidP="008A17A0">
      <w:pPr>
        <w:pStyle w:val="af3"/>
        <w:ind w:left="0" w:firstLine="709"/>
      </w:pPr>
    </w:p>
    <w:p w14:paraId="53C73742" w14:textId="77777777" w:rsidR="00D15A2D" w:rsidRPr="000856E8" w:rsidRDefault="00D15A2D" w:rsidP="008A17A0">
      <w:pPr>
        <w:pStyle w:val="af3"/>
        <w:numPr>
          <w:ilvl w:val="0"/>
          <w:numId w:val="4"/>
        </w:numPr>
        <w:tabs>
          <w:tab w:val="left" w:pos="1134"/>
        </w:tabs>
        <w:ind w:left="0" w:firstLine="709"/>
        <w:rPr>
          <w:color w:val="000000" w:themeColor="text1"/>
        </w:rPr>
      </w:pPr>
      <w:r w:rsidRPr="000856E8">
        <w:rPr>
          <w:color w:val="000000" w:themeColor="text1"/>
        </w:rPr>
        <w:t xml:space="preserve">Вимоги цього Положення не застосовуються </w:t>
      </w:r>
      <w:r w:rsidR="00A17643">
        <w:rPr>
          <w:color w:val="000000" w:themeColor="text1"/>
        </w:rPr>
        <w:t xml:space="preserve">під час </w:t>
      </w:r>
      <w:r w:rsidRPr="000856E8">
        <w:rPr>
          <w:color w:val="000000" w:themeColor="text1"/>
        </w:rPr>
        <w:t xml:space="preserve"> </w:t>
      </w:r>
      <w:r>
        <w:rPr>
          <w:color w:val="000000" w:themeColor="text1"/>
        </w:rPr>
        <w:t>підтвердженн</w:t>
      </w:r>
      <w:r w:rsidR="00A17643">
        <w:rPr>
          <w:color w:val="000000" w:themeColor="text1"/>
        </w:rPr>
        <w:t>я</w:t>
      </w:r>
      <w:r w:rsidRPr="000856E8">
        <w:rPr>
          <w:color w:val="000000" w:themeColor="text1"/>
        </w:rPr>
        <w:t xml:space="preserve"> страховиком (перестрахувальником) інформації про рейтинг фінансової надійності (стійкості) </w:t>
      </w:r>
      <w:r>
        <w:rPr>
          <w:color w:val="000000" w:themeColor="text1"/>
        </w:rPr>
        <w:t>страховика (</w:t>
      </w:r>
      <w:proofErr w:type="spellStart"/>
      <w:r w:rsidRPr="000856E8">
        <w:rPr>
          <w:color w:val="000000" w:themeColor="text1"/>
        </w:rPr>
        <w:t>перестраховик</w:t>
      </w:r>
      <w:r>
        <w:rPr>
          <w:color w:val="000000" w:themeColor="text1"/>
        </w:rPr>
        <w:t>а</w:t>
      </w:r>
      <w:proofErr w:type="spellEnd"/>
      <w:r>
        <w:rPr>
          <w:color w:val="000000" w:themeColor="text1"/>
        </w:rPr>
        <w:t xml:space="preserve">) </w:t>
      </w:r>
      <w:r w:rsidRPr="000856E8">
        <w:rPr>
          <w:color w:val="000000" w:themeColor="text1"/>
        </w:rPr>
        <w:t>нерезидент</w:t>
      </w:r>
      <w:r>
        <w:rPr>
          <w:color w:val="000000" w:themeColor="text1"/>
        </w:rPr>
        <w:t xml:space="preserve">а, що надається </w:t>
      </w:r>
      <w:r w:rsidRPr="000856E8">
        <w:rPr>
          <w:color w:val="000000" w:themeColor="text1"/>
        </w:rPr>
        <w:t>відповідно до вимог законодавства України</w:t>
      </w:r>
      <w:r w:rsidRPr="000856E8" w:rsidDel="000856E8">
        <w:rPr>
          <w:rStyle w:val="af5"/>
          <w:color w:val="000000" w:themeColor="text1"/>
        </w:rPr>
        <w:t xml:space="preserve"> </w:t>
      </w:r>
      <w:r>
        <w:rPr>
          <w:color w:val="000000" w:themeColor="text1"/>
        </w:rPr>
        <w:t>до центрального органу виконавчої влади, який реалізує державну податкову політику</w:t>
      </w:r>
      <w:r w:rsidRPr="00D87066">
        <w:rPr>
          <w:rStyle w:val="af5"/>
          <w:sz w:val="28"/>
        </w:rPr>
        <w:t>.</w:t>
      </w:r>
    </w:p>
    <w:p w14:paraId="1C9FCE9F" w14:textId="77777777" w:rsidR="00D15A2D" w:rsidRPr="0019487D" w:rsidRDefault="00D15A2D" w:rsidP="008A17A0">
      <w:pPr>
        <w:pStyle w:val="af3"/>
        <w:tabs>
          <w:tab w:val="left" w:pos="1134"/>
        </w:tabs>
        <w:ind w:left="0" w:firstLine="709"/>
        <w:rPr>
          <w:color w:val="000000" w:themeColor="text1"/>
        </w:rPr>
      </w:pPr>
    </w:p>
    <w:p w14:paraId="39C675F7" w14:textId="77777777" w:rsidR="00D15A2D" w:rsidRPr="0019487D" w:rsidRDefault="00D15A2D" w:rsidP="008A17A0">
      <w:pPr>
        <w:pStyle w:val="af3"/>
        <w:numPr>
          <w:ilvl w:val="0"/>
          <w:numId w:val="4"/>
        </w:numPr>
        <w:tabs>
          <w:tab w:val="left" w:pos="1134"/>
        </w:tabs>
        <w:ind w:left="0" w:firstLine="709"/>
        <w:rPr>
          <w:color w:val="000000" w:themeColor="text1"/>
        </w:rPr>
      </w:pPr>
      <w:r w:rsidRPr="0019487D">
        <w:lastRenderedPageBreak/>
        <w:t xml:space="preserve">У цьому Положенні терміни вживаються </w:t>
      </w:r>
      <w:r>
        <w:t>в</w:t>
      </w:r>
      <w:r w:rsidRPr="0019487D">
        <w:t xml:space="preserve"> значеннях, наведених у Законі України “Про страхування”</w:t>
      </w:r>
      <w:r>
        <w:t xml:space="preserve"> та</w:t>
      </w:r>
      <w:r w:rsidRPr="0019487D">
        <w:t xml:space="preserve"> інших</w:t>
      </w:r>
      <w:r w:rsidRPr="00E57991">
        <w:t xml:space="preserve"> </w:t>
      </w:r>
      <w:r>
        <w:t>законодавчих актах України</w:t>
      </w:r>
      <w:r w:rsidRPr="0019487D">
        <w:rPr>
          <w:shd w:val="clear" w:color="auto" w:fill="FFFFFF"/>
        </w:rPr>
        <w:t>.</w:t>
      </w:r>
    </w:p>
    <w:p w14:paraId="0DA85428" w14:textId="77777777" w:rsidR="00D15A2D" w:rsidRPr="00D60539" w:rsidRDefault="00D15A2D" w:rsidP="008A17A0">
      <w:pPr>
        <w:tabs>
          <w:tab w:val="left" w:pos="1134"/>
        </w:tabs>
        <w:ind w:firstLine="709"/>
      </w:pPr>
    </w:p>
    <w:p w14:paraId="0DB14AB1" w14:textId="2D0F295E" w:rsidR="00D15A2D" w:rsidRPr="00D60539" w:rsidRDefault="0000197F" w:rsidP="008A17A0">
      <w:pPr>
        <w:pStyle w:val="af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center"/>
        <w:outlineLvl w:val="1"/>
      </w:pPr>
      <w:r>
        <w:t xml:space="preserve"> </w:t>
      </w:r>
      <w:r w:rsidR="00D15A2D" w:rsidRPr="00D60539">
        <w:t>Загальні вимоги до страховиків</w:t>
      </w:r>
      <w:r w:rsidR="00D15A2D">
        <w:t xml:space="preserve"> </w:t>
      </w:r>
      <w:r w:rsidR="00D15A2D" w:rsidRPr="00B41195">
        <w:rPr>
          <w:color w:val="000000" w:themeColor="text1"/>
        </w:rPr>
        <w:t>(перестрахувальників)</w:t>
      </w:r>
      <w:r w:rsidR="00D15A2D" w:rsidRPr="00D60539">
        <w:t>, які провад</w:t>
      </w:r>
      <w:r w:rsidR="00422F23">
        <w:t>ять</w:t>
      </w:r>
      <w:r w:rsidR="00D15A2D" w:rsidRPr="00D60539">
        <w:t xml:space="preserve"> діяльність щодо </w:t>
      </w:r>
      <w:r w:rsidR="00D15A2D" w:rsidRPr="00D60539">
        <w:rPr>
          <w:bCs/>
          <w:spacing w:val="-4"/>
        </w:rPr>
        <w:t xml:space="preserve">перестрахування </w:t>
      </w:r>
      <w:r w:rsidR="00A048CD">
        <w:rPr>
          <w:bCs/>
          <w:spacing w:val="-4"/>
        </w:rPr>
        <w:t>в</w:t>
      </w:r>
      <w:r w:rsidR="00A048CD" w:rsidRPr="00D60539">
        <w:rPr>
          <w:bCs/>
          <w:spacing w:val="-4"/>
        </w:rPr>
        <w:t xml:space="preserve"> </w:t>
      </w:r>
      <w:r w:rsidR="00D15A2D" w:rsidRPr="00D60539">
        <w:rPr>
          <w:bCs/>
          <w:spacing w:val="-4"/>
        </w:rPr>
        <w:t>страховик</w:t>
      </w:r>
      <w:r w:rsidR="00D15A2D">
        <w:rPr>
          <w:bCs/>
          <w:spacing w:val="-4"/>
        </w:rPr>
        <w:t>ів</w:t>
      </w:r>
      <w:r w:rsidR="00D15A2D" w:rsidRPr="00D60539">
        <w:rPr>
          <w:bCs/>
          <w:spacing w:val="-4"/>
        </w:rPr>
        <w:t xml:space="preserve"> (</w:t>
      </w:r>
      <w:proofErr w:type="spellStart"/>
      <w:r w:rsidR="00D15A2D" w:rsidRPr="00D60539">
        <w:rPr>
          <w:bCs/>
          <w:spacing w:val="-4"/>
        </w:rPr>
        <w:t>перестраховик</w:t>
      </w:r>
      <w:r w:rsidR="00D15A2D">
        <w:rPr>
          <w:bCs/>
          <w:spacing w:val="-4"/>
        </w:rPr>
        <w:t>ів</w:t>
      </w:r>
      <w:proofErr w:type="spellEnd"/>
      <w:r w:rsidR="00D15A2D" w:rsidRPr="00D60539">
        <w:rPr>
          <w:bCs/>
          <w:spacing w:val="-4"/>
        </w:rPr>
        <w:t>) нерезидент</w:t>
      </w:r>
      <w:r w:rsidR="00D15A2D">
        <w:rPr>
          <w:bCs/>
          <w:spacing w:val="-4"/>
        </w:rPr>
        <w:t>ів</w:t>
      </w:r>
    </w:p>
    <w:p w14:paraId="658B18B4" w14:textId="77777777" w:rsidR="00D15A2D" w:rsidRPr="00D60539" w:rsidRDefault="00D15A2D" w:rsidP="008A17A0">
      <w:pPr>
        <w:pStyle w:val="af3"/>
        <w:tabs>
          <w:tab w:val="left" w:pos="1134"/>
        </w:tabs>
        <w:ind w:left="0" w:firstLine="709"/>
      </w:pPr>
    </w:p>
    <w:p w14:paraId="243F9845" w14:textId="77777777" w:rsidR="00D15A2D" w:rsidRPr="00D60539" w:rsidRDefault="00D15A2D" w:rsidP="008A17A0">
      <w:pPr>
        <w:pStyle w:val="af3"/>
        <w:numPr>
          <w:ilvl w:val="0"/>
          <w:numId w:val="4"/>
        </w:numPr>
        <w:tabs>
          <w:tab w:val="left" w:pos="1134"/>
        </w:tabs>
        <w:ind w:left="0" w:firstLine="709"/>
        <w:rPr>
          <w:bCs/>
        </w:rPr>
      </w:pPr>
      <w:r w:rsidRPr="00D60539">
        <w:t>Уклад</w:t>
      </w:r>
      <w:r w:rsidR="00A17643">
        <w:t>а</w:t>
      </w:r>
      <w:r w:rsidRPr="00D60539">
        <w:t>ння страховиками (перестрахувальниками) договорів перестрахування з</w:t>
      </w:r>
      <w:r w:rsidR="00A17643">
        <w:t>і</w:t>
      </w:r>
      <w:r w:rsidRPr="00D60539">
        <w:t xml:space="preserve"> страховиками (</w:t>
      </w:r>
      <w:proofErr w:type="spellStart"/>
      <w:r w:rsidRPr="00D60539">
        <w:t>перестраховиками</w:t>
      </w:r>
      <w:proofErr w:type="spellEnd"/>
      <w:r w:rsidRPr="00D60539">
        <w:t>)</w:t>
      </w:r>
      <w:r>
        <w:t xml:space="preserve"> </w:t>
      </w:r>
      <w:r w:rsidRPr="00D60539">
        <w:t xml:space="preserve">нерезидентами дозволяється, </w:t>
      </w:r>
      <w:r w:rsidRPr="00D60539">
        <w:rPr>
          <w:bCs/>
        </w:rPr>
        <w:t>якщо рейтинг фінансової надійності (стійкості) страховика (</w:t>
      </w:r>
      <w:proofErr w:type="spellStart"/>
      <w:r w:rsidRPr="00D60539">
        <w:rPr>
          <w:bCs/>
        </w:rPr>
        <w:t>перестраховика</w:t>
      </w:r>
      <w:proofErr w:type="spellEnd"/>
      <w:r w:rsidRPr="00D60539">
        <w:rPr>
          <w:bCs/>
        </w:rPr>
        <w:t>) нерезидента на дату укладення договору перестрахування з таким страховиком (</w:t>
      </w:r>
      <w:proofErr w:type="spellStart"/>
      <w:r w:rsidRPr="00D60539">
        <w:rPr>
          <w:bCs/>
        </w:rPr>
        <w:t>перестраховиком</w:t>
      </w:r>
      <w:proofErr w:type="spellEnd"/>
      <w:r w:rsidRPr="00D60539">
        <w:rPr>
          <w:bCs/>
        </w:rPr>
        <w:t>) нерезидентом відповідає рівню рейтингів не нижчому, ніж за класифікацією таких міжнародних рейтингових агентств</w:t>
      </w:r>
      <w:r>
        <w:rPr>
          <w:bCs/>
        </w:rPr>
        <w:t xml:space="preserve"> (далі – міжнародні рейтингові агентства)</w:t>
      </w:r>
      <w:r w:rsidRPr="00D60539">
        <w:rPr>
          <w:bCs/>
        </w:rPr>
        <w:t>:</w:t>
      </w:r>
    </w:p>
    <w:p w14:paraId="36C1519B" w14:textId="77777777" w:rsidR="00D15A2D" w:rsidRPr="00D60539" w:rsidRDefault="00D15A2D" w:rsidP="008A17A0">
      <w:pPr>
        <w:tabs>
          <w:tab w:val="left" w:pos="1134"/>
        </w:tabs>
        <w:ind w:firstLine="709"/>
        <w:rPr>
          <w:bCs/>
        </w:rPr>
      </w:pPr>
      <w:bookmarkStart w:id="2" w:name="n32"/>
      <w:bookmarkEnd w:id="2"/>
      <w:r w:rsidRPr="0019487D">
        <w:t>“</w:t>
      </w:r>
      <w:r w:rsidRPr="00D60539">
        <w:rPr>
          <w:bCs/>
        </w:rPr>
        <w:t>A</w:t>
      </w:r>
      <w:r w:rsidR="00D15716">
        <w:rPr>
          <w:rFonts w:ascii="Verdana" w:hAnsi="Verdana"/>
          <w:color w:val="1D1D1B"/>
          <w:sz w:val="16"/>
          <w:szCs w:val="16"/>
          <w:bdr w:val="none" w:sz="0" w:space="0" w:color="auto" w:frame="1"/>
        </w:rPr>
        <w:t>-</w:t>
      </w:r>
      <w:r w:rsidRPr="0019487D">
        <w:t>”</w:t>
      </w:r>
      <w:r w:rsidRPr="00873AF1">
        <w:rPr>
          <w:rFonts w:ascii="Verdana" w:hAnsi="Verdana"/>
          <w:color w:val="1D1D1B"/>
          <w:sz w:val="16"/>
          <w:szCs w:val="16"/>
          <w:bdr w:val="none" w:sz="0" w:space="0" w:color="auto" w:frame="1"/>
        </w:rPr>
        <w:t> </w:t>
      </w:r>
      <w:r>
        <w:rPr>
          <w:bCs/>
        </w:rPr>
        <w:t xml:space="preserve"> [</w:t>
      </w:r>
      <w:r w:rsidRPr="00D60539">
        <w:rPr>
          <w:bCs/>
        </w:rPr>
        <w:t xml:space="preserve">A.M. </w:t>
      </w:r>
      <w:proofErr w:type="spellStart"/>
      <w:r w:rsidRPr="00D60539">
        <w:rPr>
          <w:bCs/>
        </w:rPr>
        <w:t>Best</w:t>
      </w:r>
      <w:proofErr w:type="spellEnd"/>
      <w:r w:rsidRPr="00D60539">
        <w:rPr>
          <w:bCs/>
        </w:rPr>
        <w:t xml:space="preserve"> (США)</w:t>
      </w:r>
      <w:r>
        <w:rPr>
          <w:bCs/>
        </w:rPr>
        <w:t>]</w:t>
      </w:r>
      <w:r w:rsidRPr="00D60539">
        <w:rPr>
          <w:bCs/>
        </w:rPr>
        <w:t>;</w:t>
      </w:r>
    </w:p>
    <w:p w14:paraId="3164662D" w14:textId="77777777" w:rsidR="00D15A2D" w:rsidRPr="00D60539" w:rsidRDefault="00D15A2D" w:rsidP="008A17A0">
      <w:pPr>
        <w:tabs>
          <w:tab w:val="left" w:pos="1134"/>
        </w:tabs>
        <w:ind w:firstLine="709"/>
        <w:rPr>
          <w:bCs/>
        </w:rPr>
      </w:pPr>
      <w:bookmarkStart w:id="3" w:name="n273"/>
      <w:bookmarkEnd w:id="3"/>
      <w:r w:rsidRPr="0019487D">
        <w:t>“</w:t>
      </w:r>
      <w:r w:rsidRPr="001816D0">
        <w:rPr>
          <w:bCs/>
        </w:rPr>
        <w:t>A</w:t>
      </w:r>
      <w:r>
        <w:rPr>
          <w:bCs/>
        </w:rPr>
        <w:t>3</w:t>
      </w:r>
      <w:r w:rsidRPr="0019487D">
        <w:t>”</w:t>
      </w:r>
      <w:r w:rsidRPr="001816D0">
        <w:rPr>
          <w:bCs/>
        </w:rPr>
        <w:t xml:space="preserve"> [</w:t>
      </w:r>
      <w:proofErr w:type="spellStart"/>
      <w:r w:rsidRPr="001816D0">
        <w:rPr>
          <w:bCs/>
        </w:rPr>
        <w:t>Moody’s</w:t>
      </w:r>
      <w:proofErr w:type="spellEnd"/>
      <w:r w:rsidRPr="001816D0">
        <w:rPr>
          <w:bCs/>
        </w:rPr>
        <w:t xml:space="preserve"> </w:t>
      </w:r>
      <w:proofErr w:type="spellStart"/>
      <w:r w:rsidRPr="001816D0">
        <w:rPr>
          <w:bCs/>
        </w:rPr>
        <w:t>Investors</w:t>
      </w:r>
      <w:proofErr w:type="spellEnd"/>
      <w:r w:rsidRPr="001816D0">
        <w:rPr>
          <w:bCs/>
        </w:rPr>
        <w:t xml:space="preserve"> </w:t>
      </w:r>
      <w:proofErr w:type="spellStart"/>
      <w:r w:rsidRPr="001816D0">
        <w:rPr>
          <w:bCs/>
        </w:rPr>
        <w:t>Service</w:t>
      </w:r>
      <w:proofErr w:type="spellEnd"/>
      <w:r w:rsidRPr="001816D0">
        <w:rPr>
          <w:bCs/>
        </w:rPr>
        <w:t xml:space="preserve"> (США)];</w:t>
      </w:r>
    </w:p>
    <w:p w14:paraId="73B08F08" w14:textId="77777777" w:rsidR="00D15A2D" w:rsidRPr="00D60539" w:rsidRDefault="00D15A2D" w:rsidP="008A17A0">
      <w:pPr>
        <w:tabs>
          <w:tab w:val="left" w:pos="1134"/>
        </w:tabs>
        <w:ind w:firstLine="709"/>
        <w:rPr>
          <w:bCs/>
        </w:rPr>
      </w:pPr>
      <w:bookmarkStart w:id="4" w:name="n274"/>
      <w:bookmarkEnd w:id="4"/>
      <w:r w:rsidRPr="0019487D">
        <w:t>“</w:t>
      </w:r>
      <w:r w:rsidRPr="00D60539">
        <w:rPr>
          <w:bCs/>
        </w:rPr>
        <w:t>A</w:t>
      </w:r>
      <w:r w:rsidR="00D15716">
        <w:rPr>
          <w:rFonts w:ascii="Verdana" w:hAnsi="Verdana"/>
          <w:color w:val="1D1D1B"/>
          <w:sz w:val="16"/>
          <w:szCs w:val="16"/>
          <w:bdr w:val="none" w:sz="0" w:space="0" w:color="auto" w:frame="1"/>
        </w:rPr>
        <w:t>-</w:t>
      </w:r>
      <w:r w:rsidRPr="0019487D">
        <w:t>”</w:t>
      </w:r>
      <w:r w:rsidRPr="00873AF1">
        <w:rPr>
          <w:rFonts w:ascii="Verdana" w:hAnsi="Verdana"/>
          <w:color w:val="1D1D1B"/>
          <w:sz w:val="16"/>
          <w:szCs w:val="16"/>
          <w:bdr w:val="none" w:sz="0" w:space="0" w:color="auto" w:frame="1"/>
        </w:rPr>
        <w:t> </w:t>
      </w:r>
      <w:r w:rsidRPr="00D60539">
        <w:rPr>
          <w:bCs/>
        </w:rPr>
        <w:t xml:space="preserve"> </w:t>
      </w:r>
      <w:r>
        <w:rPr>
          <w:bCs/>
        </w:rPr>
        <w:t>[</w:t>
      </w:r>
      <w:r w:rsidRPr="00D60539">
        <w:rPr>
          <w:bCs/>
        </w:rPr>
        <w:t>Standard &amp;</w:t>
      </w:r>
      <w:r>
        <w:rPr>
          <w:bCs/>
        </w:rPr>
        <w:t xml:space="preserve"> </w:t>
      </w:r>
      <w:proofErr w:type="spellStart"/>
      <w:r w:rsidRPr="00D60539">
        <w:rPr>
          <w:bCs/>
        </w:rPr>
        <w:t>Poor’s</w:t>
      </w:r>
      <w:proofErr w:type="spellEnd"/>
      <w:r w:rsidRPr="00D60539">
        <w:rPr>
          <w:bCs/>
        </w:rPr>
        <w:t xml:space="preserve"> (США)</w:t>
      </w:r>
      <w:r>
        <w:rPr>
          <w:bCs/>
        </w:rPr>
        <w:t>]</w:t>
      </w:r>
      <w:r w:rsidRPr="00D60539">
        <w:rPr>
          <w:bCs/>
        </w:rPr>
        <w:t>;</w:t>
      </w:r>
    </w:p>
    <w:p w14:paraId="576C1912" w14:textId="77777777" w:rsidR="00D15A2D" w:rsidRDefault="00D15A2D" w:rsidP="008A17A0">
      <w:pPr>
        <w:tabs>
          <w:tab w:val="left" w:pos="1134"/>
        </w:tabs>
        <w:ind w:firstLine="709"/>
        <w:rPr>
          <w:bCs/>
        </w:rPr>
      </w:pPr>
      <w:bookmarkStart w:id="5" w:name="n275"/>
      <w:bookmarkEnd w:id="5"/>
      <w:r w:rsidRPr="0019487D">
        <w:t>“</w:t>
      </w:r>
      <w:r w:rsidRPr="00D60539">
        <w:rPr>
          <w:bCs/>
        </w:rPr>
        <w:t>A</w:t>
      </w:r>
      <w:r w:rsidR="00D15716">
        <w:rPr>
          <w:rFonts w:ascii="Verdana" w:hAnsi="Verdana"/>
          <w:color w:val="1D1D1B"/>
          <w:sz w:val="16"/>
          <w:szCs w:val="16"/>
          <w:bdr w:val="none" w:sz="0" w:space="0" w:color="auto" w:frame="1"/>
        </w:rPr>
        <w:t>-</w:t>
      </w:r>
      <w:r w:rsidRPr="0019487D">
        <w:t>”</w:t>
      </w:r>
      <w:r w:rsidRPr="00873AF1">
        <w:rPr>
          <w:rFonts w:ascii="Verdana" w:hAnsi="Verdana"/>
          <w:color w:val="1D1D1B"/>
          <w:sz w:val="16"/>
          <w:szCs w:val="16"/>
          <w:bdr w:val="none" w:sz="0" w:space="0" w:color="auto" w:frame="1"/>
        </w:rPr>
        <w:t> </w:t>
      </w:r>
      <w:r>
        <w:rPr>
          <w:bCs/>
        </w:rPr>
        <w:t xml:space="preserve"> [</w:t>
      </w:r>
      <w:proofErr w:type="spellStart"/>
      <w:r w:rsidRPr="00D60539">
        <w:rPr>
          <w:bCs/>
        </w:rPr>
        <w:t>Fitch</w:t>
      </w:r>
      <w:proofErr w:type="spellEnd"/>
      <w:r>
        <w:rPr>
          <w:bCs/>
        </w:rPr>
        <w:t xml:space="preserve"> </w:t>
      </w:r>
      <w:proofErr w:type="spellStart"/>
      <w:r w:rsidRPr="00D60539">
        <w:rPr>
          <w:bCs/>
        </w:rPr>
        <w:t>Ratings</w:t>
      </w:r>
      <w:proofErr w:type="spellEnd"/>
      <w:r w:rsidRPr="00D60539">
        <w:rPr>
          <w:bCs/>
        </w:rPr>
        <w:t xml:space="preserve"> (Великобританія)</w:t>
      </w:r>
      <w:r>
        <w:rPr>
          <w:bCs/>
        </w:rPr>
        <w:t>]</w:t>
      </w:r>
      <w:r w:rsidRPr="00D60539">
        <w:rPr>
          <w:bCs/>
        </w:rPr>
        <w:t>.</w:t>
      </w:r>
    </w:p>
    <w:p w14:paraId="690AA86B" w14:textId="77777777" w:rsidR="00D15A2D" w:rsidRDefault="00D15A2D" w:rsidP="008A17A0">
      <w:pPr>
        <w:tabs>
          <w:tab w:val="left" w:pos="1134"/>
        </w:tabs>
        <w:ind w:firstLine="709"/>
      </w:pPr>
      <w:r w:rsidRPr="00D60539">
        <w:t>Рейтинг фінансової надійності (стійкості) страховика (</w:t>
      </w:r>
      <w:proofErr w:type="spellStart"/>
      <w:r w:rsidRPr="00D60539">
        <w:t>перестраховика</w:t>
      </w:r>
      <w:proofErr w:type="spellEnd"/>
      <w:r w:rsidRPr="00D60539">
        <w:t>) нерезидента підтверджується страховиком (перестрахувальником) інформацією</w:t>
      </w:r>
      <w:r w:rsidR="00A17643">
        <w:t>,</w:t>
      </w:r>
      <w:r w:rsidRPr="00D60539">
        <w:t xml:space="preserve"> розміщеною на офіційних </w:t>
      </w:r>
      <w:proofErr w:type="spellStart"/>
      <w:r w:rsidRPr="00D60539">
        <w:t>вебсайтах</w:t>
      </w:r>
      <w:proofErr w:type="spellEnd"/>
      <w:r w:rsidRPr="00D60539">
        <w:t xml:space="preserve"> </w:t>
      </w:r>
      <w:r w:rsidRPr="00D60539">
        <w:rPr>
          <w:bCs/>
        </w:rPr>
        <w:t xml:space="preserve">міжнародних рейтингових </w:t>
      </w:r>
      <w:r w:rsidRPr="00D60539">
        <w:t>агентств у мережі Інтернет.</w:t>
      </w:r>
    </w:p>
    <w:p w14:paraId="58EC0BC1" w14:textId="77777777" w:rsidR="00D15A2D" w:rsidRPr="00346B3A" w:rsidRDefault="00D15A2D" w:rsidP="008A17A0">
      <w:pPr>
        <w:pStyle w:val="af3"/>
        <w:tabs>
          <w:tab w:val="left" w:pos="1134"/>
        </w:tabs>
        <w:ind w:left="0" w:firstLine="709"/>
      </w:pPr>
      <w:r>
        <w:t>Р</w:t>
      </w:r>
      <w:r w:rsidRPr="00E57991">
        <w:t xml:space="preserve">ейтинг фінансової надійності (стійкості) у </w:t>
      </w:r>
      <w:r>
        <w:t>страховика (</w:t>
      </w:r>
      <w:proofErr w:type="spellStart"/>
      <w:r w:rsidRPr="00E57991">
        <w:t>перестраховика</w:t>
      </w:r>
      <w:proofErr w:type="spellEnd"/>
      <w:r>
        <w:t>)</w:t>
      </w:r>
      <w:r w:rsidRPr="00E57991">
        <w:t xml:space="preserve"> нерезидента підтверджується наявністю </w:t>
      </w:r>
      <w:r w:rsidR="00A17643">
        <w:t>в</w:t>
      </w:r>
      <w:r w:rsidRPr="00E57991">
        <w:t xml:space="preserve"> </w:t>
      </w:r>
      <w:r>
        <w:t>страховика (</w:t>
      </w:r>
      <w:proofErr w:type="spellStart"/>
      <w:r w:rsidRPr="00E57991">
        <w:t>перестраховика</w:t>
      </w:r>
      <w:proofErr w:type="spellEnd"/>
      <w:r>
        <w:t>) нерезидента</w:t>
      </w:r>
      <w:r w:rsidRPr="00E57991">
        <w:t xml:space="preserve"> рейтингу одного з міжнародних рейтингових агентств відповідно до переліку, наведеного </w:t>
      </w:r>
      <w:r w:rsidR="00A17643">
        <w:t>в</w:t>
      </w:r>
      <w:r w:rsidR="00A17643" w:rsidRPr="00E57991">
        <w:t xml:space="preserve"> </w:t>
      </w:r>
      <w:r w:rsidRPr="00E57991">
        <w:t>пункті</w:t>
      </w:r>
      <w:r>
        <w:t xml:space="preserve"> 6 розділу II</w:t>
      </w:r>
      <w:r w:rsidRPr="00D60539">
        <w:t xml:space="preserve"> цього Положення</w:t>
      </w:r>
      <w:r w:rsidRPr="00E57991">
        <w:t>.</w:t>
      </w:r>
    </w:p>
    <w:p w14:paraId="728BC0C1" w14:textId="77777777" w:rsidR="00D15A2D" w:rsidRPr="00D60539" w:rsidRDefault="00D15A2D" w:rsidP="008A17A0">
      <w:pPr>
        <w:tabs>
          <w:tab w:val="left" w:pos="1134"/>
        </w:tabs>
        <w:ind w:firstLine="709"/>
      </w:pPr>
    </w:p>
    <w:p w14:paraId="766E9D8D" w14:textId="07105F22" w:rsidR="00D15A2D" w:rsidRPr="00D60539" w:rsidRDefault="00D15A2D" w:rsidP="008A17A0">
      <w:pPr>
        <w:pStyle w:val="af3"/>
        <w:numPr>
          <w:ilvl w:val="0"/>
          <w:numId w:val="4"/>
        </w:numPr>
        <w:tabs>
          <w:tab w:val="left" w:pos="1134"/>
        </w:tabs>
        <w:ind w:left="0" w:firstLine="709"/>
      </w:pPr>
      <w:r w:rsidRPr="00D60539">
        <w:t>Уклад</w:t>
      </w:r>
      <w:r w:rsidR="00A17643">
        <w:t>а</w:t>
      </w:r>
      <w:r w:rsidRPr="00D60539">
        <w:t>ння</w:t>
      </w:r>
      <w:r>
        <w:t xml:space="preserve"> </w:t>
      </w:r>
      <w:r w:rsidRPr="00D60539">
        <w:t>страховиками (перестрахувальниками) договорів перестрахування з</w:t>
      </w:r>
      <w:r w:rsidR="00A17643">
        <w:t>і</w:t>
      </w:r>
      <w:r w:rsidRPr="00D60539">
        <w:t xml:space="preserve"> страховиками (</w:t>
      </w:r>
      <w:proofErr w:type="spellStart"/>
      <w:r w:rsidRPr="00D60539">
        <w:t>перестраховиками</w:t>
      </w:r>
      <w:proofErr w:type="spellEnd"/>
      <w:r w:rsidRPr="00D60539">
        <w:t xml:space="preserve">) нерезидентами </w:t>
      </w:r>
      <w:r w:rsidR="00A048CD">
        <w:t>в</w:t>
      </w:r>
      <w:r w:rsidR="00A048CD" w:rsidRPr="00D60539">
        <w:t xml:space="preserve"> </w:t>
      </w:r>
      <w:r w:rsidRPr="00D60539">
        <w:t>разі невідповідності рейтингу страховика (</w:t>
      </w:r>
      <w:proofErr w:type="spellStart"/>
      <w:r w:rsidRPr="00D60539">
        <w:t>перестраховика</w:t>
      </w:r>
      <w:proofErr w:type="spellEnd"/>
      <w:r w:rsidRPr="00D60539">
        <w:t>) нерезидента рівню рейтингів</w:t>
      </w:r>
      <w:r>
        <w:t>,</w:t>
      </w:r>
      <w:r w:rsidRPr="00D60539">
        <w:t xml:space="preserve"> зазначених у пункті </w:t>
      </w:r>
      <w:r>
        <w:t>6 розділу II</w:t>
      </w:r>
      <w:r w:rsidRPr="00D60539">
        <w:t xml:space="preserve"> цього Положення</w:t>
      </w:r>
      <w:r w:rsidR="00A17643">
        <w:t>,</w:t>
      </w:r>
      <w:r w:rsidRPr="00D60539">
        <w:t xml:space="preserve"> або його відсутності дозволяється, якщо:</w:t>
      </w:r>
    </w:p>
    <w:p w14:paraId="0C9F2ABA" w14:textId="77777777" w:rsidR="00D15A2D" w:rsidRPr="00D60539" w:rsidRDefault="00D15A2D" w:rsidP="008A17A0">
      <w:pPr>
        <w:tabs>
          <w:tab w:val="left" w:pos="1134"/>
        </w:tabs>
        <w:ind w:firstLine="709"/>
      </w:pPr>
    </w:p>
    <w:p w14:paraId="5136E8D4" w14:textId="77777777" w:rsidR="00D15A2D" w:rsidRPr="00D60539" w:rsidRDefault="00D15A2D" w:rsidP="008A17A0">
      <w:pPr>
        <w:pStyle w:val="af3"/>
        <w:numPr>
          <w:ilvl w:val="0"/>
          <w:numId w:val="6"/>
        </w:numPr>
        <w:tabs>
          <w:tab w:val="left" w:pos="1134"/>
          <w:tab w:val="left" w:pos="1701"/>
        </w:tabs>
        <w:ind w:left="0" w:firstLine="709"/>
      </w:pPr>
      <w:r w:rsidRPr="00D60539">
        <w:t>страховик (</w:t>
      </w:r>
      <w:proofErr w:type="spellStart"/>
      <w:r w:rsidRPr="00D60539">
        <w:t>перестраховик</w:t>
      </w:r>
      <w:proofErr w:type="spellEnd"/>
      <w:r w:rsidRPr="00D60539">
        <w:t>) нерезидент має досвід провадження безперервної страхової (</w:t>
      </w:r>
      <w:proofErr w:type="spellStart"/>
      <w:r w:rsidRPr="00D60539">
        <w:t>перестрахової</w:t>
      </w:r>
      <w:proofErr w:type="spellEnd"/>
      <w:r w:rsidRPr="00D60539">
        <w:t>) діяльності не менше ніж три роки до дати укладення договору перестрахування з таким страховиком (</w:t>
      </w:r>
      <w:proofErr w:type="spellStart"/>
      <w:r w:rsidRPr="00D60539">
        <w:t>перестраховиком</w:t>
      </w:r>
      <w:proofErr w:type="spellEnd"/>
      <w:r w:rsidRPr="00D60539">
        <w:t>) нерезидентом;</w:t>
      </w:r>
    </w:p>
    <w:p w14:paraId="428EDCE4" w14:textId="77777777" w:rsidR="00D15A2D" w:rsidRPr="00D60539" w:rsidRDefault="00D15A2D" w:rsidP="008A17A0">
      <w:pPr>
        <w:pStyle w:val="af3"/>
        <w:tabs>
          <w:tab w:val="left" w:pos="1134"/>
          <w:tab w:val="left" w:pos="1701"/>
        </w:tabs>
        <w:ind w:left="0" w:firstLine="709"/>
      </w:pPr>
    </w:p>
    <w:p w14:paraId="7DBCE26D" w14:textId="77777777" w:rsidR="00D15A2D" w:rsidRDefault="00D15A2D" w:rsidP="008A17A0">
      <w:pPr>
        <w:pStyle w:val="af3"/>
        <w:numPr>
          <w:ilvl w:val="0"/>
          <w:numId w:val="6"/>
        </w:numPr>
        <w:tabs>
          <w:tab w:val="left" w:pos="1134"/>
          <w:tab w:val="left" w:pos="1701"/>
        </w:tabs>
        <w:ind w:left="0" w:firstLine="709"/>
      </w:pPr>
      <w:r w:rsidRPr="00D60539">
        <w:t>страховик (</w:t>
      </w:r>
      <w:proofErr w:type="spellStart"/>
      <w:r w:rsidRPr="00D60539">
        <w:t>перестраховик</w:t>
      </w:r>
      <w:proofErr w:type="spellEnd"/>
      <w:r w:rsidRPr="00D60539">
        <w:t>) нерезидент зареєстрований в державі, законодавством якої передбачен</w:t>
      </w:r>
      <w:r w:rsidR="00047240">
        <w:t>о</w:t>
      </w:r>
      <w:r w:rsidRPr="00D60539">
        <w:t xml:space="preserve"> державний нагляд за страховою і </w:t>
      </w:r>
      <w:proofErr w:type="spellStart"/>
      <w:r w:rsidRPr="00D60539">
        <w:t>перестраховою</w:t>
      </w:r>
      <w:proofErr w:type="spellEnd"/>
      <w:r w:rsidRPr="00D60539">
        <w:t xml:space="preserve"> діяльністю.</w:t>
      </w:r>
    </w:p>
    <w:p w14:paraId="52477A5D" w14:textId="77777777" w:rsidR="00D15A2D" w:rsidRPr="00904030" w:rsidRDefault="00D15A2D" w:rsidP="008A17A0">
      <w:pPr>
        <w:pStyle w:val="af3"/>
        <w:ind w:left="0" w:firstLine="709"/>
      </w:pPr>
    </w:p>
    <w:p w14:paraId="1B2E2AEA" w14:textId="77777777" w:rsidR="00D15A2D" w:rsidRPr="00253142" w:rsidRDefault="00D15A2D" w:rsidP="008A17A0">
      <w:pPr>
        <w:pStyle w:val="af3"/>
        <w:numPr>
          <w:ilvl w:val="0"/>
          <w:numId w:val="4"/>
        </w:numPr>
        <w:tabs>
          <w:tab w:val="left" w:pos="993"/>
        </w:tabs>
        <w:ind w:left="0" w:firstLine="709"/>
      </w:pPr>
      <w:r w:rsidRPr="00253142">
        <w:lastRenderedPageBreak/>
        <w:t>Вимоги</w:t>
      </w:r>
      <w:r w:rsidRPr="00E57991">
        <w:t>,</w:t>
      </w:r>
      <w:r w:rsidRPr="00253142">
        <w:t xml:space="preserve"> </w:t>
      </w:r>
      <w:r w:rsidRPr="00AC4EAB">
        <w:t xml:space="preserve">зазначені </w:t>
      </w:r>
      <w:r w:rsidR="00047240">
        <w:t>в</w:t>
      </w:r>
      <w:r w:rsidR="00047240" w:rsidRPr="00AC4EAB">
        <w:t xml:space="preserve"> </w:t>
      </w:r>
      <w:r w:rsidRPr="00AC4EAB">
        <w:t>пунктах 6</w:t>
      </w:r>
      <w:r>
        <w:t>, 7</w:t>
      </w:r>
      <w:r w:rsidRPr="00E57991">
        <w:t xml:space="preserve"> розділу</w:t>
      </w:r>
      <w:r w:rsidRPr="00253142">
        <w:t xml:space="preserve"> II цього Положення, не застосову</w:t>
      </w:r>
      <w:r w:rsidR="007C57A6">
        <w:t>ю</w:t>
      </w:r>
      <w:r w:rsidRPr="00253142">
        <w:t xml:space="preserve">ться </w:t>
      </w:r>
      <w:r w:rsidR="00047240">
        <w:t xml:space="preserve">під час </w:t>
      </w:r>
      <w:r w:rsidRPr="00253142">
        <w:t xml:space="preserve"> уклад</w:t>
      </w:r>
      <w:r w:rsidR="00047240">
        <w:t xml:space="preserve">ання </w:t>
      </w:r>
      <w:r w:rsidRPr="00253142">
        <w:t xml:space="preserve">договорів перестрахування з розміщення ризиків в іноземних ядерних пулах за дорученням членів </w:t>
      </w:r>
      <w:proofErr w:type="spellStart"/>
      <w:r w:rsidR="00047240">
        <w:t>обʼєднання</w:t>
      </w:r>
      <w:proofErr w:type="spellEnd"/>
      <w:r w:rsidR="00047240">
        <w:t xml:space="preserve"> “</w:t>
      </w:r>
      <w:r w:rsidRPr="00253142">
        <w:t>Ядерн</w:t>
      </w:r>
      <w:r w:rsidR="00047240">
        <w:t>ий</w:t>
      </w:r>
      <w:r w:rsidRPr="00253142">
        <w:t xml:space="preserve"> страхов</w:t>
      </w:r>
      <w:r w:rsidR="00047240">
        <w:t>ий</w:t>
      </w:r>
      <w:r w:rsidRPr="00253142">
        <w:t xml:space="preserve"> пул</w:t>
      </w:r>
      <w:r w:rsidR="00047240">
        <w:t>”</w:t>
      </w:r>
      <w:r w:rsidRPr="00253142">
        <w:t>.</w:t>
      </w:r>
    </w:p>
    <w:p w14:paraId="5531006A" w14:textId="77777777" w:rsidR="00D15A2D" w:rsidRPr="00D60539" w:rsidRDefault="00D15A2D" w:rsidP="008A17A0">
      <w:pPr>
        <w:pStyle w:val="af3"/>
        <w:ind w:left="0" w:firstLine="709"/>
      </w:pPr>
    </w:p>
    <w:p w14:paraId="53E9BF31" w14:textId="77777777" w:rsidR="00D15A2D" w:rsidRPr="00D60539" w:rsidRDefault="00D15A2D" w:rsidP="008A17A0">
      <w:pPr>
        <w:pStyle w:val="af3"/>
        <w:numPr>
          <w:ilvl w:val="0"/>
          <w:numId w:val="4"/>
        </w:numPr>
        <w:tabs>
          <w:tab w:val="left" w:pos="851"/>
        </w:tabs>
        <w:ind w:left="0" w:firstLine="709"/>
      </w:pPr>
      <w:r w:rsidRPr="00D60539">
        <w:t>Контроль за достовірністю інформації, що підтверджує відповідність страховика (</w:t>
      </w:r>
      <w:proofErr w:type="spellStart"/>
      <w:r w:rsidRPr="00D60539">
        <w:t>перестраховика</w:t>
      </w:r>
      <w:proofErr w:type="spellEnd"/>
      <w:r w:rsidRPr="00D60539">
        <w:t>) нерезидента вимогам цього Положення, покладається на страховика (перестрахувальника).</w:t>
      </w:r>
    </w:p>
    <w:p w14:paraId="4958AF17" w14:textId="77777777" w:rsidR="00D15A2D" w:rsidRPr="00D60539" w:rsidRDefault="00D15A2D" w:rsidP="008A17A0">
      <w:pPr>
        <w:pStyle w:val="af3"/>
        <w:tabs>
          <w:tab w:val="left" w:pos="851"/>
        </w:tabs>
        <w:ind w:left="0" w:firstLine="709"/>
      </w:pPr>
    </w:p>
    <w:p w14:paraId="6A41DB98" w14:textId="77777777" w:rsidR="00D15A2D" w:rsidRPr="00D60539" w:rsidRDefault="00D15A2D" w:rsidP="008A17A0">
      <w:pPr>
        <w:pStyle w:val="af3"/>
        <w:numPr>
          <w:ilvl w:val="0"/>
          <w:numId w:val="4"/>
        </w:numPr>
        <w:tabs>
          <w:tab w:val="left" w:pos="851"/>
        </w:tabs>
        <w:ind w:left="0" w:firstLine="709"/>
      </w:pPr>
      <w:r w:rsidRPr="00AC15DC">
        <w:t>Забороняється укладання страховиками (перестрахувальниками) договорів перестрахування з</w:t>
      </w:r>
      <w:r w:rsidR="008C345C">
        <w:t>і</w:t>
      </w:r>
      <w:r w:rsidRPr="00AC15DC">
        <w:t xml:space="preserve"> </w:t>
      </w:r>
      <w:r>
        <w:t>страховиками (</w:t>
      </w:r>
      <w:proofErr w:type="spellStart"/>
      <w:r>
        <w:t>перестраховиками</w:t>
      </w:r>
      <w:proofErr w:type="spellEnd"/>
      <w:r>
        <w:t xml:space="preserve">) </w:t>
      </w:r>
      <w:r w:rsidRPr="00AC15DC">
        <w:t>нерезидентами, держава (юрисдикція) реєстрації/місцезнаходження яких визнана Верховною Радою України державою-агресором/державою-окупантом та/або не виконує чи неналежним чином виконує рекомендації міжнародних, міжурядових організацій, задіяних у сфері боротьби з легалізацією (відмиванням) доходів, одержаних злочинним шляхом, або фінансуванням тероризму чи фінансуванням розповсюдження зброї масового знищення</w:t>
      </w:r>
      <w:r w:rsidRPr="00D60539">
        <w:t>.</w:t>
      </w:r>
    </w:p>
    <w:p w14:paraId="7B92590A" w14:textId="77777777" w:rsidR="00D15A2D" w:rsidRPr="00D60539" w:rsidRDefault="00D15A2D" w:rsidP="008A17A0">
      <w:pPr>
        <w:pStyle w:val="af3"/>
        <w:ind w:left="0" w:firstLine="709"/>
      </w:pPr>
    </w:p>
    <w:p w14:paraId="386EDA61" w14:textId="77777777" w:rsidR="00D15A2D" w:rsidRPr="00D60539" w:rsidRDefault="00D15A2D" w:rsidP="008A17A0">
      <w:pPr>
        <w:pStyle w:val="af3"/>
        <w:numPr>
          <w:ilvl w:val="0"/>
          <w:numId w:val="4"/>
        </w:numPr>
        <w:tabs>
          <w:tab w:val="left" w:pos="851"/>
        </w:tabs>
        <w:ind w:left="0" w:firstLine="709"/>
      </w:pPr>
      <w:r w:rsidRPr="00D60539">
        <w:t xml:space="preserve">Страховики (перестрахувальники) мають право укладати договори перестрахування за участю страхових та/або </w:t>
      </w:r>
      <w:proofErr w:type="spellStart"/>
      <w:r w:rsidRPr="00D60539">
        <w:t>перестрахових</w:t>
      </w:r>
      <w:proofErr w:type="spellEnd"/>
      <w:r w:rsidRPr="00D60539">
        <w:t xml:space="preserve"> брокерів, які здійснюють посередницьку діяльність</w:t>
      </w:r>
      <w:r w:rsidR="008C345C">
        <w:t>,</w:t>
      </w:r>
      <w:r w:rsidRPr="00D60539">
        <w:t xml:space="preserve"> у порядку</w:t>
      </w:r>
      <w:r w:rsidR="008C345C">
        <w:t>,</w:t>
      </w:r>
      <w:r w:rsidRPr="00D60539">
        <w:t xml:space="preserve"> </w:t>
      </w:r>
      <w:r w:rsidR="007C57A6">
        <w:t>у</w:t>
      </w:r>
      <w:r w:rsidRPr="00D60539">
        <w:t>становленому законодавством.</w:t>
      </w:r>
    </w:p>
    <w:p w14:paraId="0FBC9DEC" w14:textId="77777777" w:rsidR="00D15A2D" w:rsidRPr="00D60539" w:rsidRDefault="00D15A2D" w:rsidP="008A17A0">
      <w:pPr>
        <w:pStyle w:val="af3"/>
        <w:ind w:left="0" w:firstLine="709"/>
      </w:pPr>
    </w:p>
    <w:p w14:paraId="520322AD" w14:textId="77777777" w:rsidR="00D15A2D" w:rsidRPr="00D60539" w:rsidRDefault="00D15A2D" w:rsidP="008A17A0">
      <w:pPr>
        <w:pStyle w:val="af3"/>
        <w:numPr>
          <w:ilvl w:val="0"/>
          <w:numId w:val="4"/>
        </w:numPr>
        <w:tabs>
          <w:tab w:val="left" w:pos="851"/>
        </w:tabs>
        <w:ind w:left="0" w:firstLine="709"/>
      </w:pPr>
      <w:r w:rsidRPr="00D60539">
        <w:t xml:space="preserve">Страховики (перестрахувальники) несуть відповідальність за </w:t>
      </w:r>
      <w:r w:rsidR="00BA002F">
        <w:t>не</w:t>
      </w:r>
      <w:r w:rsidRPr="00D60539">
        <w:t xml:space="preserve">дотримання </w:t>
      </w:r>
      <w:r>
        <w:t xml:space="preserve">вимог </w:t>
      </w:r>
      <w:r w:rsidRPr="00D60539">
        <w:t>цього Положення згідно із законодавством</w:t>
      </w:r>
      <w:r>
        <w:t xml:space="preserve"> України</w:t>
      </w:r>
      <w:r w:rsidRPr="00D60539">
        <w:t>.</w:t>
      </w:r>
    </w:p>
    <w:p w14:paraId="5D562CAC" w14:textId="77777777" w:rsidR="00D15A2D" w:rsidRDefault="00D15A2D" w:rsidP="008A17A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rPr>
          <w:color w:val="000000" w:themeColor="text1"/>
        </w:rPr>
      </w:pPr>
    </w:p>
    <w:p w14:paraId="4DFCBCEB" w14:textId="77777777" w:rsidR="00D15A2D" w:rsidRPr="00D60539" w:rsidRDefault="00D15A2D" w:rsidP="008A17A0">
      <w:pPr>
        <w:pStyle w:val="af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left="0" w:firstLine="709"/>
        <w:jc w:val="center"/>
        <w:outlineLvl w:val="1"/>
      </w:pPr>
      <w:r w:rsidRPr="00D60539">
        <w:t>Порядок здійснення Національним банком контролю за дотриманням страховиками</w:t>
      </w:r>
      <w:r>
        <w:t xml:space="preserve"> </w:t>
      </w:r>
      <w:r w:rsidRPr="00B41195">
        <w:rPr>
          <w:color w:val="000000" w:themeColor="text1"/>
        </w:rPr>
        <w:t>(перестрахувальник</w:t>
      </w:r>
      <w:r>
        <w:rPr>
          <w:color w:val="000000" w:themeColor="text1"/>
        </w:rPr>
        <w:t>ами</w:t>
      </w:r>
      <w:r w:rsidRPr="00B41195">
        <w:rPr>
          <w:color w:val="000000" w:themeColor="text1"/>
        </w:rPr>
        <w:t>)</w:t>
      </w:r>
      <w:r w:rsidRPr="00D60539">
        <w:t xml:space="preserve"> вимог цього Положення</w:t>
      </w:r>
    </w:p>
    <w:p w14:paraId="73E85591" w14:textId="77777777" w:rsidR="00D15A2D" w:rsidRPr="00D60539" w:rsidRDefault="00D15A2D" w:rsidP="008A17A0">
      <w:pPr>
        <w:ind w:firstLine="709"/>
        <w:contextualSpacing/>
        <w:rPr>
          <w:lang w:eastAsia="ru-RU"/>
        </w:rPr>
      </w:pPr>
    </w:p>
    <w:p w14:paraId="33277F7B" w14:textId="4DEB49DF" w:rsidR="00D15A2D" w:rsidRPr="00D60539" w:rsidRDefault="00BA002F" w:rsidP="00F71BC8">
      <w:pPr>
        <w:pStyle w:val="af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outlineLvl w:val="1"/>
      </w:pPr>
      <w:r>
        <w:t>Національний банк здійснює к</w:t>
      </w:r>
      <w:r w:rsidR="00D15A2D" w:rsidRPr="00D60539">
        <w:t xml:space="preserve">онтроль за дотриманням </w:t>
      </w:r>
      <w:r w:rsidR="00D15A2D">
        <w:t xml:space="preserve">вимог </w:t>
      </w:r>
      <w:r w:rsidR="00D15A2D" w:rsidRPr="00D60539">
        <w:t>цього Положення страховиками</w:t>
      </w:r>
      <w:r w:rsidR="00D15A2D">
        <w:t xml:space="preserve"> </w:t>
      </w:r>
      <w:r w:rsidR="00D15A2D" w:rsidRPr="00B41195">
        <w:rPr>
          <w:color w:val="000000" w:themeColor="text1"/>
        </w:rPr>
        <w:t>(перестрахувальник</w:t>
      </w:r>
      <w:r w:rsidR="00D15A2D">
        <w:rPr>
          <w:color w:val="000000" w:themeColor="text1"/>
        </w:rPr>
        <w:t>ами</w:t>
      </w:r>
      <w:r w:rsidR="00D15A2D" w:rsidRPr="00B41195">
        <w:rPr>
          <w:color w:val="000000" w:themeColor="text1"/>
        </w:rPr>
        <w:t>)</w:t>
      </w:r>
      <w:r w:rsidR="00D15A2D" w:rsidRPr="00D60539">
        <w:t xml:space="preserve"> </w:t>
      </w:r>
      <w:r w:rsidR="008C345C">
        <w:t xml:space="preserve">під час </w:t>
      </w:r>
      <w:r w:rsidR="00D15A2D" w:rsidRPr="00D60539">
        <w:rPr>
          <w:bCs/>
          <w:spacing w:val="-4"/>
        </w:rPr>
        <w:t>перестрахуванн</w:t>
      </w:r>
      <w:r w:rsidR="00706967">
        <w:rPr>
          <w:bCs/>
          <w:spacing w:val="-4"/>
        </w:rPr>
        <w:t>я</w:t>
      </w:r>
      <w:r w:rsidR="00D15A2D" w:rsidRPr="00D60539">
        <w:rPr>
          <w:bCs/>
          <w:spacing w:val="-4"/>
        </w:rPr>
        <w:t xml:space="preserve"> </w:t>
      </w:r>
      <w:r w:rsidR="008A17A0">
        <w:rPr>
          <w:bCs/>
          <w:spacing w:val="-4"/>
        </w:rPr>
        <w:t>в</w:t>
      </w:r>
      <w:r w:rsidR="008A17A0" w:rsidRPr="00D60539">
        <w:rPr>
          <w:bCs/>
          <w:spacing w:val="-4"/>
        </w:rPr>
        <w:t xml:space="preserve"> </w:t>
      </w:r>
      <w:r w:rsidR="00D15A2D" w:rsidRPr="00D60539">
        <w:rPr>
          <w:bCs/>
          <w:spacing w:val="-4"/>
        </w:rPr>
        <w:t>страховик</w:t>
      </w:r>
      <w:r w:rsidR="00D15A2D">
        <w:rPr>
          <w:bCs/>
          <w:spacing w:val="-4"/>
        </w:rPr>
        <w:t>ів</w:t>
      </w:r>
      <w:r w:rsidR="00D15A2D" w:rsidRPr="00D60539">
        <w:rPr>
          <w:bCs/>
          <w:spacing w:val="-4"/>
        </w:rPr>
        <w:t xml:space="preserve"> (</w:t>
      </w:r>
      <w:proofErr w:type="spellStart"/>
      <w:r w:rsidR="00D15A2D" w:rsidRPr="00D60539">
        <w:rPr>
          <w:bCs/>
          <w:spacing w:val="-4"/>
        </w:rPr>
        <w:t>перестраховик</w:t>
      </w:r>
      <w:r w:rsidR="00D15A2D">
        <w:rPr>
          <w:bCs/>
          <w:spacing w:val="-4"/>
        </w:rPr>
        <w:t>ів</w:t>
      </w:r>
      <w:proofErr w:type="spellEnd"/>
      <w:r w:rsidR="00D15A2D" w:rsidRPr="00D60539">
        <w:rPr>
          <w:bCs/>
          <w:spacing w:val="-4"/>
        </w:rPr>
        <w:t>) нерезидент</w:t>
      </w:r>
      <w:r w:rsidR="00D15A2D">
        <w:rPr>
          <w:bCs/>
          <w:spacing w:val="-4"/>
        </w:rPr>
        <w:t>ів</w:t>
      </w:r>
      <w:r w:rsidR="00D15A2D" w:rsidRPr="00D60539">
        <w:t xml:space="preserve"> відповідно до законодавства</w:t>
      </w:r>
      <w:r w:rsidR="00D15A2D">
        <w:t xml:space="preserve"> України</w:t>
      </w:r>
      <w:r w:rsidR="00D15A2D" w:rsidRPr="00D60539">
        <w:t>.</w:t>
      </w:r>
    </w:p>
    <w:p w14:paraId="0D52696E" w14:textId="77777777" w:rsidR="00D15A2D" w:rsidRPr="00D60539" w:rsidRDefault="00D15A2D" w:rsidP="00F71B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contextualSpacing/>
        <w:outlineLvl w:val="1"/>
        <w:rPr>
          <w:lang w:eastAsia="ru-RU"/>
        </w:rPr>
      </w:pPr>
    </w:p>
    <w:p w14:paraId="2DA348F9" w14:textId="76182699" w:rsidR="00D15A2D" w:rsidRPr="00D60539" w:rsidRDefault="00D15A2D" w:rsidP="009260F0">
      <w:pPr>
        <w:pStyle w:val="af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outlineLvl w:val="1"/>
      </w:pPr>
      <w:r w:rsidRPr="00D60539">
        <w:t>Національний банк має право письмово вимагати від страховиків</w:t>
      </w:r>
      <w:r>
        <w:t xml:space="preserve"> </w:t>
      </w:r>
      <w:r w:rsidRPr="00B41195">
        <w:rPr>
          <w:color w:val="000000" w:themeColor="text1"/>
        </w:rPr>
        <w:t>(перестрахувальник</w:t>
      </w:r>
      <w:r>
        <w:rPr>
          <w:color w:val="000000" w:themeColor="text1"/>
        </w:rPr>
        <w:t>ів</w:t>
      </w:r>
      <w:r w:rsidRPr="00B41195">
        <w:rPr>
          <w:color w:val="000000" w:themeColor="text1"/>
        </w:rPr>
        <w:t>)</w:t>
      </w:r>
      <w:r w:rsidRPr="00D60539">
        <w:t xml:space="preserve"> інформацію, </w:t>
      </w:r>
      <w:r>
        <w:t xml:space="preserve">документи, </w:t>
      </w:r>
      <w:r w:rsidRPr="00D60539">
        <w:t xml:space="preserve">а також письмові пояснення з питань діяльності </w:t>
      </w:r>
      <w:r>
        <w:t xml:space="preserve">щодо </w:t>
      </w:r>
      <w:r w:rsidRPr="00D60539">
        <w:rPr>
          <w:bCs/>
          <w:spacing w:val="-4"/>
        </w:rPr>
        <w:t xml:space="preserve">перестрахування </w:t>
      </w:r>
      <w:r w:rsidR="008A17A0">
        <w:rPr>
          <w:bCs/>
          <w:spacing w:val="-4"/>
        </w:rPr>
        <w:t>в</w:t>
      </w:r>
      <w:r w:rsidR="008A17A0" w:rsidRPr="00D60539">
        <w:rPr>
          <w:bCs/>
          <w:spacing w:val="-4"/>
        </w:rPr>
        <w:t xml:space="preserve"> </w:t>
      </w:r>
      <w:r w:rsidRPr="00D60539">
        <w:rPr>
          <w:bCs/>
          <w:spacing w:val="-4"/>
        </w:rPr>
        <w:t>страховик</w:t>
      </w:r>
      <w:r>
        <w:rPr>
          <w:bCs/>
          <w:spacing w:val="-4"/>
        </w:rPr>
        <w:t>ів</w:t>
      </w:r>
      <w:r w:rsidRPr="00D60539">
        <w:rPr>
          <w:bCs/>
          <w:spacing w:val="-4"/>
        </w:rPr>
        <w:t xml:space="preserve"> (</w:t>
      </w:r>
      <w:proofErr w:type="spellStart"/>
      <w:r w:rsidRPr="00D60539">
        <w:rPr>
          <w:bCs/>
          <w:spacing w:val="-4"/>
        </w:rPr>
        <w:t>перестраховик</w:t>
      </w:r>
      <w:r>
        <w:rPr>
          <w:bCs/>
          <w:spacing w:val="-4"/>
        </w:rPr>
        <w:t>ів</w:t>
      </w:r>
      <w:proofErr w:type="spellEnd"/>
      <w:r w:rsidRPr="00D60539">
        <w:rPr>
          <w:bCs/>
          <w:spacing w:val="-4"/>
        </w:rPr>
        <w:t>) нерезидент</w:t>
      </w:r>
      <w:r>
        <w:rPr>
          <w:bCs/>
          <w:spacing w:val="-4"/>
        </w:rPr>
        <w:t>ів</w:t>
      </w:r>
      <w:r w:rsidRPr="00D60539">
        <w:t>, а страховики</w:t>
      </w:r>
      <w:r>
        <w:t xml:space="preserve"> </w:t>
      </w:r>
      <w:r w:rsidRPr="00B41195">
        <w:rPr>
          <w:color w:val="000000" w:themeColor="text1"/>
        </w:rPr>
        <w:t>(перестрахувальник</w:t>
      </w:r>
      <w:r>
        <w:rPr>
          <w:color w:val="000000" w:themeColor="text1"/>
        </w:rPr>
        <w:t>и</w:t>
      </w:r>
      <w:r w:rsidRPr="00B41195">
        <w:rPr>
          <w:color w:val="000000" w:themeColor="text1"/>
        </w:rPr>
        <w:t>)</w:t>
      </w:r>
      <w:r w:rsidRPr="00D60539">
        <w:t xml:space="preserve"> зобов’язані  надавати на такі вимоги відповідну інформацію</w:t>
      </w:r>
      <w:r>
        <w:t>,</w:t>
      </w:r>
      <w:r w:rsidRPr="00D60539">
        <w:t xml:space="preserve"> документ</w:t>
      </w:r>
      <w:r>
        <w:t>и та письмові пояснення</w:t>
      </w:r>
      <w:r w:rsidRPr="00D60539">
        <w:t xml:space="preserve"> </w:t>
      </w:r>
      <w:r w:rsidR="00174666">
        <w:t>в</w:t>
      </w:r>
      <w:r w:rsidR="00174666" w:rsidRPr="00D60539">
        <w:t xml:space="preserve"> </w:t>
      </w:r>
      <w:r w:rsidR="00174666">
        <w:t>у</w:t>
      </w:r>
      <w:r w:rsidRPr="00D60539">
        <w:t xml:space="preserve">становлений Національним банком строк. </w:t>
      </w:r>
    </w:p>
    <w:p w14:paraId="6C335225" w14:textId="77777777" w:rsidR="00D15A2D" w:rsidRPr="00CD0CD4" w:rsidRDefault="00D15A2D" w:rsidP="008C345C">
      <w:pPr>
        <w:ind w:firstLine="709"/>
      </w:pPr>
    </w:p>
    <w:sectPr w:rsidR="00D15A2D" w:rsidRPr="00CD0CD4" w:rsidSect="00177254">
      <w:headerReference w:type="default" r:id="rId16"/>
      <w:pgSz w:w="11906" w:h="16838" w:code="9"/>
      <w:pgMar w:top="567" w:right="567" w:bottom="170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2FA5D" w14:textId="77777777" w:rsidR="007C06B7" w:rsidRDefault="007C06B7" w:rsidP="00E53CCD">
      <w:r>
        <w:separator/>
      </w:r>
    </w:p>
  </w:endnote>
  <w:endnote w:type="continuationSeparator" w:id="0">
    <w:p w14:paraId="4856FACC" w14:textId="77777777" w:rsidR="007C06B7" w:rsidRDefault="007C06B7" w:rsidP="00E5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9AF83" w14:textId="77777777" w:rsidR="005C44F4" w:rsidRPr="005C44F4" w:rsidRDefault="005C44F4" w:rsidP="005C44F4">
    <w:pPr>
      <w:pStyle w:val="a7"/>
      <w:jc w:val="right"/>
      <w:rPr>
        <w:color w:val="FFFFFF" w:themeColor="background1"/>
      </w:rPr>
    </w:pPr>
    <w:r w:rsidRPr="005C44F4">
      <w:rPr>
        <w:color w:val="FFFFFF" w:themeColor="background1"/>
      </w:rPr>
      <w:t>Шаблон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8720B" w14:textId="77777777" w:rsidR="007C06B7" w:rsidRDefault="007C06B7" w:rsidP="00E53CCD">
      <w:r>
        <w:separator/>
      </w:r>
    </w:p>
  </w:footnote>
  <w:footnote w:type="continuationSeparator" w:id="0">
    <w:p w14:paraId="4CD71FC0" w14:textId="77777777" w:rsidR="007C06B7" w:rsidRDefault="007C06B7" w:rsidP="00E5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19334"/>
      <w:docPartObj>
        <w:docPartGallery w:val="Page Numbers (Top of Page)"/>
        <w:docPartUnique/>
      </w:docPartObj>
    </w:sdtPr>
    <w:sdtEndPr/>
    <w:sdtContent>
      <w:p w14:paraId="3266DB98" w14:textId="77777777" w:rsidR="00460BA2" w:rsidRDefault="00FE0B90">
        <w:pPr>
          <w:pStyle w:val="a5"/>
          <w:jc w:val="center"/>
        </w:pPr>
        <w:r>
          <w:fldChar w:fldCharType="begin"/>
        </w:r>
        <w:r w:rsidR="00460BA2">
          <w:instrText xml:space="preserve"> PAGE   \* MERGEFORMAT </w:instrText>
        </w:r>
        <w:r>
          <w:fldChar w:fldCharType="separate"/>
        </w:r>
        <w:r w:rsidR="00177254">
          <w:rPr>
            <w:noProof/>
          </w:rPr>
          <w:t>3</w:t>
        </w:r>
        <w:r>
          <w:fldChar w:fldCharType="end"/>
        </w:r>
      </w:p>
    </w:sdtContent>
  </w:sdt>
  <w:p w14:paraId="2F03177C" w14:textId="77777777" w:rsidR="00460BA2" w:rsidRDefault="00460BA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8148170"/>
      <w:docPartObj>
        <w:docPartGallery w:val="Page Numbers (Top of Page)"/>
        <w:docPartUnique/>
      </w:docPartObj>
    </w:sdtPr>
    <w:sdtEndPr/>
    <w:sdtContent>
      <w:p w14:paraId="3D90A2EA" w14:textId="1FE4ECE9" w:rsidR="00177254" w:rsidRDefault="0017725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2ACB">
          <w:rPr>
            <w:noProof/>
          </w:rPr>
          <w:t>2</w:t>
        </w:r>
        <w:r>
          <w:fldChar w:fldCharType="end"/>
        </w:r>
      </w:p>
    </w:sdtContent>
  </w:sdt>
  <w:p w14:paraId="70C6BD93" w14:textId="77777777" w:rsidR="00177254" w:rsidRDefault="0017725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9B3"/>
    <w:multiLevelType w:val="hybridMultilevel"/>
    <w:tmpl w:val="697297A6"/>
    <w:lvl w:ilvl="0" w:tplc="04220011">
      <w:start w:val="1"/>
      <w:numFmt w:val="decimal"/>
      <w:lvlText w:val="%1)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F5905DD"/>
    <w:multiLevelType w:val="hybridMultilevel"/>
    <w:tmpl w:val="4008ECA2"/>
    <w:lvl w:ilvl="0" w:tplc="0422000F">
      <w:start w:val="1"/>
      <w:numFmt w:val="decimal"/>
      <w:lvlText w:val="%1."/>
      <w:lvlJc w:val="left"/>
      <w:pPr>
        <w:ind w:left="3905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815378"/>
    <w:multiLevelType w:val="multilevel"/>
    <w:tmpl w:val="5B3C98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/>
        <w:sz w:val="28"/>
        <w:szCs w:val="28"/>
        <w:u w:val="none"/>
        <w:lang w:val="uk-UA"/>
      </w:rPr>
    </w:lvl>
    <w:lvl w:ilvl="1">
      <w:start w:val="1"/>
      <w:numFmt w:val="decimal"/>
      <w:lvlText w:val="%2)"/>
      <w:lvlJc w:val="left"/>
      <w:pPr>
        <w:ind w:left="6000" w:hanging="360"/>
      </w:pPr>
      <w:rPr>
        <w:rFonts w:hint="default"/>
        <w:sz w:val="28"/>
        <w:szCs w:val="28"/>
      </w:rPr>
    </w:lvl>
    <w:lvl w:ilvl="2">
      <w:start w:val="1"/>
      <w:numFmt w:val="lowerRoman"/>
      <w:lvlText w:val="%3."/>
      <w:lvlJc w:val="right"/>
      <w:pPr>
        <w:ind w:left="67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8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8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3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040" w:hanging="180"/>
      </w:pPr>
      <w:rPr>
        <w:rFonts w:hint="default"/>
      </w:rPr>
    </w:lvl>
  </w:abstractNum>
  <w:abstractNum w:abstractNumId="3" w15:restartNumberingAfterBreak="0">
    <w:nsid w:val="39745796"/>
    <w:multiLevelType w:val="hybridMultilevel"/>
    <w:tmpl w:val="D44AD2D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1A0238C"/>
    <w:multiLevelType w:val="hybridMultilevel"/>
    <w:tmpl w:val="80F6E576"/>
    <w:lvl w:ilvl="0" w:tplc="B268C9FC">
      <w:start w:val="1"/>
      <w:numFmt w:val="upperRoman"/>
      <w:lvlText w:val="%1."/>
      <w:lvlJc w:val="right"/>
      <w:pPr>
        <w:ind w:left="1920" w:hanging="360"/>
      </w:pPr>
      <w:rPr>
        <w:rFonts w:ascii="Times New Roman" w:hAnsi="Times New Roman" w:cs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47C5B"/>
    <w:multiLevelType w:val="multilevel"/>
    <w:tmpl w:val="A3F6B21C"/>
    <w:lvl w:ilvl="0">
      <w:start w:val="2"/>
      <w:numFmt w:val="upperRoman"/>
      <w:lvlText w:val="%1."/>
      <w:lvlJc w:val="left"/>
      <w:pPr>
        <w:ind w:left="2062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lowerLetter"/>
      <w:lvlText w:val="%2."/>
      <w:lvlJc w:val="left"/>
      <w:pPr>
        <w:ind w:left="215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7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9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1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3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7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94" w:hanging="180"/>
      </w:pPr>
      <w:rPr>
        <w:rFonts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64"/>
    <w:rsid w:val="0000197F"/>
    <w:rsid w:val="000064FA"/>
    <w:rsid w:val="000069AF"/>
    <w:rsid w:val="00015CF3"/>
    <w:rsid w:val="00015FDE"/>
    <w:rsid w:val="0003331E"/>
    <w:rsid w:val="000342A5"/>
    <w:rsid w:val="0003793C"/>
    <w:rsid w:val="00047240"/>
    <w:rsid w:val="000543C6"/>
    <w:rsid w:val="000600A8"/>
    <w:rsid w:val="00061C52"/>
    <w:rsid w:val="00063480"/>
    <w:rsid w:val="000638F2"/>
    <w:rsid w:val="000A110E"/>
    <w:rsid w:val="000B2990"/>
    <w:rsid w:val="000D778F"/>
    <w:rsid w:val="000E0CB3"/>
    <w:rsid w:val="000E5B8C"/>
    <w:rsid w:val="000E7A13"/>
    <w:rsid w:val="000F5A0B"/>
    <w:rsid w:val="00101D5A"/>
    <w:rsid w:val="00106229"/>
    <w:rsid w:val="00115ECF"/>
    <w:rsid w:val="001631E2"/>
    <w:rsid w:val="001716B0"/>
    <w:rsid w:val="001740C0"/>
    <w:rsid w:val="00174666"/>
    <w:rsid w:val="00177254"/>
    <w:rsid w:val="00190E1A"/>
    <w:rsid w:val="00194AE6"/>
    <w:rsid w:val="001A0EE5"/>
    <w:rsid w:val="001A16FA"/>
    <w:rsid w:val="001A4CB9"/>
    <w:rsid w:val="001A58ED"/>
    <w:rsid w:val="001A6795"/>
    <w:rsid w:val="001B2F1C"/>
    <w:rsid w:val="001C206C"/>
    <w:rsid w:val="001D487A"/>
    <w:rsid w:val="002238D1"/>
    <w:rsid w:val="00233F37"/>
    <w:rsid w:val="00241373"/>
    <w:rsid w:val="002432B9"/>
    <w:rsid w:val="00253BF9"/>
    <w:rsid w:val="00264983"/>
    <w:rsid w:val="00266678"/>
    <w:rsid w:val="00276074"/>
    <w:rsid w:val="00276988"/>
    <w:rsid w:val="00280DCC"/>
    <w:rsid w:val="00285DDA"/>
    <w:rsid w:val="00290169"/>
    <w:rsid w:val="002A2391"/>
    <w:rsid w:val="002B351E"/>
    <w:rsid w:val="002B3F71"/>
    <w:rsid w:val="002B582B"/>
    <w:rsid w:val="002C1FDB"/>
    <w:rsid w:val="002D1790"/>
    <w:rsid w:val="002D1EC4"/>
    <w:rsid w:val="002F48EF"/>
    <w:rsid w:val="00332701"/>
    <w:rsid w:val="00337368"/>
    <w:rsid w:val="00340D07"/>
    <w:rsid w:val="00345982"/>
    <w:rsid w:val="00356E34"/>
    <w:rsid w:val="00357676"/>
    <w:rsid w:val="00366E99"/>
    <w:rsid w:val="0038385E"/>
    <w:rsid w:val="00384F65"/>
    <w:rsid w:val="0039725C"/>
    <w:rsid w:val="003A16E7"/>
    <w:rsid w:val="003A318C"/>
    <w:rsid w:val="003A751F"/>
    <w:rsid w:val="003C3282"/>
    <w:rsid w:val="003C3985"/>
    <w:rsid w:val="003D3CA1"/>
    <w:rsid w:val="003D6B33"/>
    <w:rsid w:val="003F0441"/>
    <w:rsid w:val="003F28B5"/>
    <w:rsid w:val="003F7093"/>
    <w:rsid w:val="00401EDB"/>
    <w:rsid w:val="00404C93"/>
    <w:rsid w:val="00407877"/>
    <w:rsid w:val="004130B9"/>
    <w:rsid w:val="00422F23"/>
    <w:rsid w:val="00446704"/>
    <w:rsid w:val="00455B45"/>
    <w:rsid w:val="00460BA2"/>
    <w:rsid w:val="004666D6"/>
    <w:rsid w:val="004A1CFC"/>
    <w:rsid w:val="004A7F75"/>
    <w:rsid w:val="004B1FE9"/>
    <w:rsid w:val="004B5574"/>
    <w:rsid w:val="004D2B57"/>
    <w:rsid w:val="004E22E2"/>
    <w:rsid w:val="0050563F"/>
    <w:rsid w:val="005212C5"/>
    <w:rsid w:val="00523C13"/>
    <w:rsid w:val="00524F07"/>
    <w:rsid w:val="00525760"/>
    <w:rsid w:val="005257C2"/>
    <w:rsid w:val="00532633"/>
    <w:rsid w:val="005403F1"/>
    <w:rsid w:val="00542533"/>
    <w:rsid w:val="005624B6"/>
    <w:rsid w:val="00562C46"/>
    <w:rsid w:val="0057237F"/>
    <w:rsid w:val="00577402"/>
    <w:rsid w:val="005822CB"/>
    <w:rsid w:val="005954DE"/>
    <w:rsid w:val="00597AB6"/>
    <w:rsid w:val="005A0F4B"/>
    <w:rsid w:val="005A1D3C"/>
    <w:rsid w:val="005A3F34"/>
    <w:rsid w:val="005B2D03"/>
    <w:rsid w:val="005C44F4"/>
    <w:rsid w:val="005C5CBF"/>
    <w:rsid w:val="005D3B88"/>
    <w:rsid w:val="005D45F5"/>
    <w:rsid w:val="005E22C0"/>
    <w:rsid w:val="005E3FA8"/>
    <w:rsid w:val="005E5137"/>
    <w:rsid w:val="005F4CB4"/>
    <w:rsid w:val="00640612"/>
    <w:rsid w:val="0064227D"/>
    <w:rsid w:val="0065179F"/>
    <w:rsid w:val="00657593"/>
    <w:rsid w:val="00670C95"/>
    <w:rsid w:val="00686049"/>
    <w:rsid w:val="006925CE"/>
    <w:rsid w:val="00692C8C"/>
    <w:rsid w:val="00693FC5"/>
    <w:rsid w:val="006B2748"/>
    <w:rsid w:val="006B465F"/>
    <w:rsid w:val="006C06A1"/>
    <w:rsid w:val="006C0F22"/>
    <w:rsid w:val="006C13B1"/>
    <w:rsid w:val="006C4176"/>
    <w:rsid w:val="006C66EF"/>
    <w:rsid w:val="006D2617"/>
    <w:rsid w:val="006D5C83"/>
    <w:rsid w:val="00700AA3"/>
    <w:rsid w:val="00706967"/>
    <w:rsid w:val="007142BA"/>
    <w:rsid w:val="00714823"/>
    <w:rsid w:val="00717197"/>
    <w:rsid w:val="0071789F"/>
    <w:rsid w:val="00730088"/>
    <w:rsid w:val="00736C98"/>
    <w:rsid w:val="00747222"/>
    <w:rsid w:val="00750898"/>
    <w:rsid w:val="00773559"/>
    <w:rsid w:val="0078127A"/>
    <w:rsid w:val="00783AF2"/>
    <w:rsid w:val="00787E46"/>
    <w:rsid w:val="00795F91"/>
    <w:rsid w:val="007A6609"/>
    <w:rsid w:val="007B7B73"/>
    <w:rsid w:val="007C06B7"/>
    <w:rsid w:val="007C2CED"/>
    <w:rsid w:val="007C57A6"/>
    <w:rsid w:val="00802988"/>
    <w:rsid w:val="00831E09"/>
    <w:rsid w:val="008415A0"/>
    <w:rsid w:val="0085364B"/>
    <w:rsid w:val="00866993"/>
    <w:rsid w:val="00874366"/>
    <w:rsid w:val="008762D8"/>
    <w:rsid w:val="0088719C"/>
    <w:rsid w:val="00897035"/>
    <w:rsid w:val="008A17A0"/>
    <w:rsid w:val="008A6870"/>
    <w:rsid w:val="008B1589"/>
    <w:rsid w:val="008B74DD"/>
    <w:rsid w:val="008C345C"/>
    <w:rsid w:val="008C72B5"/>
    <w:rsid w:val="008D10FD"/>
    <w:rsid w:val="008D122F"/>
    <w:rsid w:val="008D5F60"/>
    <w:rsid w:val="008D727F"/>
    <w:rsid w:val="008E2927"/>
    <w:rsid w:val="008F0210"/>
    <w:rsid w:val="008F2600"/>
    <w:rsid w:val="008F5D52"/>
    <w:rsid w:val="00904F17"/>
    <w:rsid w:val="00922966"/>
    <w:rsid w:val="009260F0"/>
    <w:rsid w:val="0092710A"/>
    <w:rsid w:val="00937AE3"/>
    <w:rsid w:val="00937D24"/>
    <w:rsid w:val="00943064"/>
    <w:rsid w:val="00943175"/>
    <w:rsid w:val="0095741D"/>
    <w:rsid w:val="0097288F"/>
    <w:rsid w:val="0098207E"/>
    <w:rsid w:val="00983A64"/>
    <w:rsid w:val="00990AAE"/>
    <w:rsid w:val="009B2C17"/>
    <w:rsid w:val="009B6120"/>
    <w:rsid w:val="009C2F76"/>
    <w:rsid w:val="009F5312"/>
    <w:rsid w:val="00A02AEC"/>
    <w:rsid w:val="00A048CD"/>
    <w:rsid w:val="00A0594A"/>
    <w:rsid w:val="00A12C47"/>
    <w:rsid w:val="00A17643"/>
    <w:rsid w:val="00A23E04"/>
    <w:rsid w:val="00A44032"/>
    <w:rsid w:val="00A46C15"/>
    <w:rsid w:val="00A50DC0"/>
    <w:rsid w:val="00A63695"/>
    <w:rsid w:val="00A72F06"/>
    <w:rsid w:val="00A730F2"/>
    <w:rsid w:val="00A77FFD"/>
    <w:rsid w:val="00AB4554"/>
    <w:rsid w:val="00AC47B6"/>
    <w:rsid w:val="00AD7DF9"/>
    <w:rsid w:val="00AE29BB"/>
    <w:rsid w:val="00AE2CAF"/>
    <w:rsid w:val="00AF33D9"/>
    <w:rsid w:val="00B002E4"/>
    <w:rsid w:val="00B332B2"/>
    <w:rsid w:val="00B34CCC"/>
    <w:rsid w:val="00B36EC7"/>
    <w:rsid w:val="00B36EDD"/>
    <w:rsid w:val="00B412E9"/>
    <w:rsid w:val="00B61C97"/>
    <w:rsid w:val="00B628C5"/>
    <w:rsid w:val="00B71933"/>
    <w:rsid w:val="00B8078D"/>
    <w:rsid w:val="00B82ACB"/>
    <w:rsid w:val="00BA002F"/>
    <w:rsid w:val="00BD12A3"/>
    <w:rsid w:val="00BD7F6E"/>
    <w:rsid w:val="00BF47B0"/>
    <w:rsid w:val="00BF5327"/>
    <w:rsid w:val="00C03E57"/>
    <w:rsid w:val="00C175D4"/>
    <w:rsid w:val="00C21D33"/>
    <w:rsid w:val="00C22C5D"/>
    <w:rsid w:val="00C3382F"/>
    <w:rsid w:val="00C4377C"/>
    <w:rsid w:val="00C47F0F"/>
    <w:rsid w:val="00C51D84"/>
    <w:rsid w:val="00C52506"/>
    <w:rsid w:val="00C737AC"/>
    <w:rsid w:val="00C814EE"/>
    <w:rsid w:val="00C82259"/>
    <w:rsid w:val="00C9223A"/>
    <w:rsid w:val="00C9297C"/>
    <w:rsid w:val="00C94014"/>
    <w:rsid w:val="00CB0A99"/>
    <w:rsid w:val="00CB5A09"/>
    <w:rsid w:val="00CD0CD4"/>
    <w:rsid w:val="00CD3B27"/>
    <w:rsid w:val="00CD7066"/>
    <w:rsid w:val="00CE3B9F"/>
    <w:rsid w:val="00CF1FB8"/>
    <w:rsid w:val="00CF2C65"/>
    <w:rsid w:val="00D078B6"/>
    <w:rsid w:val="00D1022C"/>
    <w:rsid w:val="00D15716"/>
    <w:rsid w:val="00D15A2D"/>
    <w:rsid w:val="00D27115"/>
    <w:rsid w:val="00D34DCC"/>
    <w:rsid w:val="00D46BE1"/>
    <w:rsid w:val="00D61D9B"/>
    <w:rsid w:val="00D87066"/>
    <w:rsid w:val="00DA2F09"/>
    <w:rsid w:val="00DB675B"/>
    <w:rsid w:val="00DC1E60"/>
    <w:rsid w:val="00DC7767"/>
    <w:rsid w:val="00DD60CC"/>
    <w:rsid w:val="00DF1BED"/>
    <w:rsid w:val="00DF4D12"/>
    <w:rsid w:val="00E10AE2"/>
    <w:rsid w:val="00E10F0A"/>
    <w:rsid w:val="00E21875"/>
    <w:rsid w:val="00E25407"/>
    <w:rsid w:val="00E26638"/>
    <w:rsid w:val="00E266DC"/>
    <w:rsid w:val="00E32599"/>
    <w:rsid w:val="00E33B0E"/>
    <w:rsid w:val="00E42621"/>
    <w:rsid w:val="00E446A6"/>
    <w:rsid w:val="00E53CB5"/>
    <w:rsid w:val="00E53CCD"/>
    <w:rsid w:val="00E62607"/>
    <w:rsid w:val="00E6592D"/>
    <w:rsid w:val="00E71855"/>
    <w:rsid w:val="00E719A9"/>
    <w:rsid w:val="00EA1DE4"/>
    <w:rsid w:val="00EA60EA"/>
    <w:rsid w:val="00EB29BF"/>
    <w:rsid w:val="00EC7C7F"/>
    <w:rsid w:val="00EF4B42"/>
    <w:rsid w:val="00EF532C"/>
    <w:rsid w:val="00F003D3"/>
    <w:rsid w:val="00F008AB"/>
    <w:rsid w:val="00F03E32"/>
    <w:rsid w:val="00F403A7"/>
    <w:rsid w:val="00F42289"/>
    <w:rsid w:val="00F42E75"/>
    <w:rsid w:val="00F45D65"/>
    <w:rsid w:val="00F517FA"/>
    <w:rsid w:val="00F52D16"/>
    <w:rsid w:val="00F627A8"/>
    <w:rsid w:val="00F62D67"/>
    <w:rsid w:val="00F63BD9"/>
    <w:rsid w:val="00F6694C"/>
    <w:rsid w:val="00F71BC8"/>
    <w:rsid w:val="00F73C2A"/>
    <w:rsid w:val="00F8145F"/>
    <w:rsid w:val="00F81FCF"/>
    <w:rsid w:val="00F85968"/>
    <w:rsid w:val="00F9283D"/>
    <w:rsid w:val="00F96F18"/>
    <w:rsid w:val="00FA508E"/>
    <w:rsid w:val="00FA5320"/>
    <w:rsid w:val="00FA7846"/>
    <w:rsid w:val="00FC26E5"/>
    <w:rsid w:val="00FD19F1"/>
    <w:rsid w:val="00FD370F"/>
    <w:rsid w:val="00FE0B90"/>
    <w:rsid w:val="00F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C321F4"/>
  <w15:docId w15:val="{30410EF2-8CCD-44F5-B11D-3C8F86EF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D15A2D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5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aliases w:val="Bullets,Normal bullet 2"/>
    <w:basedOn w:val="a"/>
    <w:link w:val="af4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D15A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styleId="af5">
    <w:name w:val="annotation reference"/>
    <w:basedOn w:val="a0"/>
    <w:uiPriority w:val="99"/>
    <w:unhideWhenUsed/>
    <w:qFormat/>
    <w:rsid w:val="00D15A2D"/>
    <w:rPr>
      <w:sz w:val="16"/>
      <w:szCs w:val="16"/>
    </w:rPr>
  </w:style>
  <w:style w:type="character" w:customStyle="1" w:styleId="af4">
    <w:name w:val="Абзац списку Знак"/>
    <w:aliases w:val="Bullets Знак,Normal bullet 2 Знак"/>
    <w:link w:val="af3"/>
    <w:uiPriority w:val="34"/>
    <w:qFormat/>
    <w:locked/>
    <w:rsid w:val="00D15A2D"/>
    <w:rPr>
      <w:rFonts w:ascii="Times New Roman" w:hAnsi="Times New Roman" w:cs="Times New Roman"/>
      <w:sz w:val="28"/>
      <w:szCs w:val="28"/>
      <w:lang w:eastAsia="uk-UA"/>
    </w:rPr>
  </w:style>
  <w:style w:type="table" w:customStyle="1" w:styleId="2">
    <w:name w:val="2"/>
    <w:basedOn w:val="a1"/>
    <w:rsid w:val="00D15A2D"/>
    <w:pPr>
      <w:spacing w:after="0" w:line="240" w:lineRule="auto"/>
    </w:pPr>
    <w:rPr>
      <w:rFonts w:ascii="Calibri" w:eastAsia="Calibri" w:hAnsi="Calibri" w:cs="Calibri"/>
      <w:lang w:eastAsia="uk-UA"/>
    </w:rPr>
    <w:tblPr>
      <w:tblStyleRowBandSize w:val="1"/>
      <w:tblStyleColBandSize w:val="1"/>
    </w:tblPr>
  </w:style>
  <w:style w:type="paragraph" w:styleId="af6">
    <w:name w:val="annotation text"/>
    <w:basedOn w:val="a"/>
    <w:link w:val="af7"/>
    <w:uiPriority w:val="99"/>
    <w:semiHidden/>
    <w:unhideWhenUsed/>
    <w:rsid w:val="00795F91"/>
    <w:rPr>
      <w:sz w:val="20"/>
      <w:szCs w:val="20"/>
    </w:rPr>
  </w:style>
  <w:style w:type="character" w:customStyle="1" w:styleId="af7">
    <w:name w:val="Текст примітки Знак"/>
    <w:basedOn w:val="a0"/>
    <w:link w:val="af6"/>
    <w:uiPriority w:val="99"/>
    <w:semiHidden/>
    <w:rsid w:val="00795F91"/>
    <w:rPr>
      <w:rFonts w:ascii="Times New Roman" w:hAnsi="Times New Roman" w:cs="Times New Roman"/>
      <w:sz w:val="20"/>
      <w:szCs w:val="20"/>
      <w:lang w:eastAsia="uk-U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95F91"/>
    <w:rPr>
      <w:b/>
      <w:bCs/>
    </w:rPr>
  </w:style>
  <w:style w:type="character" w:customStyle="1" w:styleId="af9">
    <w:name w:val="Тема примітки Знак"/>
    <w:basedOn w:val="af7"/>
    <w:link w:val="af8"/>
    <w:uiPriority w:val="99"/>
    <w:semiHidden/>
    <w:rsid w:val="00795F91"/>
    <w:rPr>
      <w:rFonts w:ascii="Times New Roman" w:hAnsi="Times New Roman" w:cs="Times New Roman"/>
      <w:b/>
      <w:bCs/>
      <w:sz w:val="20"/>
      <w:szCs w:val="20"/>
      <w:lang w:eastAsia="uk-UA"/>
    </w:rPr>
  </w:style>
  <w:style w:type="paragraph" w:styleId="afa">
    <w:name w:val="Revision"/>
    <w:hidden/>
    <w:uiPriority w:val="99"/>
    <w:semiHidden/>
    <w:rsid w:val="00795F91"/>
    <w:pPr>
      <w:spacing w:after="0" w:line="240" w:lineRule="auto"/>
    </w:pPr>
    <w:rPr>
      <w:rFonts w:ascii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9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0fs02\TEMPLATES\Office2013\&#1055;&#1086;&#1089;&#1090;&#1072;&#1085;&#1086;&#1074;&#1072;%20&#1055;&#1088;&#1072;&#1074;&#1083;&#1110;&#1085;&#1085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F8E2A6-7223-457A-85E8-DEC307142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716753-10DB-42DA-B032-EC131FF1FA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B9B379-7018-4A3A-A88B-F8671DED09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D74BBDB-E44F-40C9-B34E-DC856335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Постанова Правління</Template>
  <TotalTime>47</TotalTime>
  <Pages>4</Pages>
  <Words>4146</Words>
  <Characters>2364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Баранова</dc:creator>
  <cp:lastModifiedBy>Баранова Олена Володимирівна</cp:lastModifiedBy>
  <cp:revision>4</cp:revision>
  <cp:lastPrinted>2015-04-06T07:59:00Z</cp:lastPrinted>
  <dcterms:created xsi:type="dcterms:W3CDTF">2021-10-21T07:39:00Z</dcterms:created>
  <dcterms:modified xsi:type="dcterms:W3CDTF">2021-10-21T11:39:00Z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