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CD0CD4" w:rsidRDefault="00FA7846" w:rsidP="00FA7846">
      <w:pPr>
        <w:rPr>
          <w:sz w:val="2"/>
          <w:szCs w:val="2"/>
        </w:rPr>
      </w:pP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210"/>
        <w:gridCol w:w="3239"/>
      </w:tblGrid>
      <w:tr w:rsidR="00657593" w:rsidTr="00E054A9">
        <w:trPr>
          <w:trHeight w:val="851"/>
        </w:trPr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 w:val="restart"/>
          </w:tcPr>
          <w:p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9" o:title=""/>
                </v:shape>
                <o:OLEObject Type="Embed" ProgID="CorelDraw.Graphic.16" ShapeID="_x0000_i1025" DrawAspect="Content" ObjectID="_1696409318" r:id="rId10"/>
              </w:object>
            </w:r>
          </w:p>
        </w:tc>
        <w:tc>
          <w:tcPr>
            <w:tcW w:w="3285" w:type="dxa"/>
          </w:tcPr>
          <w:p w:rsidR="00657593" w:rsidRDefault="003A7A8B" w:rsidP="003A7A8B">
            <w:r>
              <w:t>Офіційно опубліковано 22.10.2021</w:t>
            </w:r>
          </w:p>
        </w:tc>
      </w:tr>
      <w:tr w:rsidR="00657593" w:rsidTr="00E054A9"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/>
          </w:tcPr>
          <w:p w:rsidR="00657593" w:rsidRDefault="00657593" w:rsidP="00E054A9"/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9854" w:type="dxa"/>
            <w:gridSpan w:val="3"/>
          </w:tcPr>
          <w:p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3"/>
        <w:gridCol w:w="1674"/>
        <w:gridCol w:w="1896"/>
      </w:tblGrid>
      <w:tr w:rsidR="00657593" w:rsidTr="0088719C">
        <w:tc>
          <w:tcPr>
            <w:tcW w:w="3510" w:type="dxa"/>
            <w:vAlign w:val="bottom"/>
          </w:tcPr>
          <w:p w:rsidR="00657593" w:rsidRPr="00566BA2" w:rsidRDefault="00696022" w:rsidP="00E054A9">
            <w:r>
              <w:t>20 жовтня 2021 року</w:t>
            </w:r>
          </w:p>
        </w:tc>
        <w:tc>
          <w:tcPr>
            <w:tcW w:w="2694" w:type="dxa"/>
          </w:tcPr>
          <w:p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:rsidR="00657593" w:rsidRPr="00101D5A" w:rsidRDefault="00101D5A" w:rsidP="00E62607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657593" w:rsidRDefault="00696022" w:rsidP="00290169">
            <w:pPr>
              <w:jc w:val="left"/>
            </w:pPr>
            <w:r>
              <w:t>№ 109</w:t>
            </w:r>
            <w:bookmarkStart w:id="0" w:name="_GoBack"/>
            <w:bookmarkEnd w:id="0"/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p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:rsidTr="005212C5">
        <w:trPr>
          <w:jc w:val="center"/>
        </w:trPr>
        <w:tc>
          <w:tcPr>
            <w:tcW w:w="5000" w:type="pct"/>
          </w:tcPr>
          <w:p w:rsidR="002B3F71" w:rsidRPr="00CD0CD4" w:rsidRDefault="009F481A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9F481A">
              <w:rPr>
                <w:szCs w:val="20"/>
                <w:lang w:eastAsia="en-US"/>
              </w:rPr>
              <w:t>Про внесення змін до Положення про порядок накладення адміністративних штрафів</w:t>
            </w:r>
          </w:p>
        </w:tc>
      </w:tr>
    </w:tbl>
    <w:p w:rsidR="00E53CCD" w:rsidRDefault="009F481A" w:rsidP="00E62607">
      <w:pPr>
        <w:spacing w:before="240" w:after="240"/>
        <w:ind w:firstLine="709"/>
        <w:rPr>
          <w:b/>
        </w:rPr>
      </w:pPr>
      <w:r>
        <w:t>Відповідно до статей 7, 15, 56 Закону України “Про Національний банк України”, з метою вдосконалення порядку накладення адміністративних штрафів</w:t>
      </w:r>
      <w:r w:rsidR="00FA508E" w:rsidRPr="00CD0CD4">
        <w:rPr>
          <w:b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:rsidR="009F481A" w:rsidRPr="009F481A" w:rsidRDefault="00AD7DF9" w:rsidP="009F481A">
      <w:pPr>
        <w:spacing w:before="240" w:after="240"/>
        <w:ind w:firstLine="709"/>
      </w:pPr>
      <w:r w:rsidRPr="008B1589">
        <w:rPr>
          <w:lang w:val="ru-RU"/>
        </w:rPr>
        <w:t>1.</w:t>
      </w:r>
      <w:r>
        <w:rPr>
          <w:lang w:val="en-US"/>
        </w:rPr>
        <w:t> </w:t>
      </w:r>
      <w:proofErr w:type="spellStart"/>
      <w:r w:rsidR="009F481A">
        <w:t>Унести</w:t>
      </w:r>
      <w:proofErr w:type="spellEnd"/>
      <w:r w:rsidR="009F481A">
        <w:t xml:space="preserve"> до Положення про порядок накладення адміністративних штрафів, затвердженого постановою Правління Національного банку України від 29 грудня 2001 року № 563, зареєстрованого в Міністерстві юстиції України 25 січня 2002 року за № 62/6350 (зі змінами), такі зміни:</w:t>
      </w:r>
    </w:p>
    <w:p w:rsidR="009F481A" w:rsidRDefault="009F481A" w:rsidP="009F481A">
      <w:pPr>
        <w:ind w:firstLine="708"/>
      </w:pPr>
      <w:r>
        <w:t>1) у главі 1:</w:t>
      </w:r>
    </w:p>
    <w:p w:rsidR="009F481A" w:rsidRDefault="009F481A" w:rsidP="009F481A">
      <w:pPr>
        <w:ind w:firstLine="708"/>
      </w:pPr>
      <w:r>
        <w:t xml:space="preserve">пункт 1.3 після слова “керівники” доповнити словом “структурних”; </w:t>
      </w:r>
    </w:p>
    <w:p w:rsidR="009F481A" w:rsidRDefault="009F481A" w:rsidP="009F481A">
      <w:pPr>
        <w:ind w:firstLine="709"/>
      </w:pPr>
      <w:r>
        <w:t>у пункті 1.4:</w:t>
      </w:r>
    </w:p>
    <w:p w:rsidR="009F481A" w:rsidRDefault="009F481A" w:rsidP="009F481A">
      <w:pPr>
        <w:ind w:firstLine="709"/>
      </w:pPr>
      <w:r>
        <w:t>абзац перший після слова “Керівниками” доповнити словом “структурних”;</w:t>
      </w:r>
    </w:p>
    <w:p w:rsidR="009F481A" w:rsidRDefault="009F481A" w:rsidP="009F481A">
      <w:pPr>
        <w:ind w:firstLine="709"/>
      </w:pPr>
      <w:r>
        <w:t xml:space="preserve">підпункти </w:t>
      </w:r>
      <w:r>
        <w:rPr>
          <w:lang w:val="ru-RU"/>
        </w:rPr>
        <w:t xml:space="preserve">1, 2, 8 </w:t>
      </w:r>
      <w:r>
        <w:t>викласти в такій редакції:</w:t>
      </w:r>
    </w:p>
    <w:p w:rsidR="009F481A" w:rsidRDefault="009F481A" w:rsidP="009F481A">
      <w:pPr>
        <w:ind w:firstLine="708"/>
      </w:pPr>
      <w:r>
        <w:t>“</w:t>
      </w:r>
      <w:r w:rsidRPr="00EF26E3">
        <w:rPr>
          <w:lang w:val="ru-RU"/>
        </w:rPr>
        <w:t xml:space="preserve">1) директор </w:t>
      </w:r>
      <w:r w:rsidRPr="0004458F">
        <w:rPr>
          <w:bCs/>
        </w:rPr>
        <w:t>Департаменту банківського нагляду</w:t>
      </w:r>
      <w:r w:rsidRPr="00EF26E3">
        <w:rPr>
          <w:lang w:val="ru-RU"/>
        </w:rPr>
        <w:t xml:space="preserve">, </w:t>
      </w:r>
      <w:proofErr w:type="spellStart"/>
      <w:r w:rsidRPr="00EF26E3">
        <w:rPr>
          <w:lang w:val="ru-RU"/>
        </w:rPr>
        <w:t>його</w:t>
      </w:r>
      <w:proofErr w:type="spellEnd"/>
      <w:r w:rsidRPr="00EF26E3">
        <w:rPr>
          <w:lang w:val="ru-RU"/>
        </w:rPr>
        <w:t xml:space="preserve"> заступники;</w:t>
      </w:r>
    </w:p>
    <w:p w:rsidR="009F481A" w:rsidRDefault="009F481A" w:rsidP="009F481A">
      <w:pPr>
        <w:ind w:firstLine="708"/>
      </w:pPr>
    </w:p>
    <w:p w:rsidR="009F481A" w:rsidRDefault="009F481A" w:rsidP="009F481A">
      <w:pPr>
        <w:ind w:firstLine="708"/>
      </w:pPr>
      <w:r>
        <w:rPr>
          <w:lang w:val="ru-RU"/>
        </w:rPr>
        <w:t>2</w:t>
      </w:r>
      <w:r w:rsidRPr="00EF26E3">
        <w:rPr>
          <w:lang w:val="ru-RU"/>
        </w:rPr>
        <w:t xml:space="preserve">) директор </w:t>
      </w:r>
      <w:r w:rsidRPr="0004458F">
        <w:rPr>
          <w:bCs/>
        </w:rPr>
        <w:t xml:space="preserve">Департаменту </w:t>
      </w:r>
      <w:r>
        <w:rPr>
          <w:bCs/>
        </w:rPr>
        <w:t>інспектування</w:t>
      </w:r>
      <w:r w:rsidRPr="00EF26E3">
        <w:rPr>
          <w:lang w:val="ru-RU"/>
        </w:rPr>
        <w:t xml:space="preserve">, </w:t>
      </w:r>
      <w:proofErr w:type="spellStart"/>
      <w:r w:rsidRPr="00EF26E3">
        <w:rPr>
          <w:lang w:val="ru-RU"/>
        </w:rPr>
        <w:t>його</w:t>
      </w:r>
      <w:proofErr w:type="spellEnd"/>
      <w:r w:rsidRPr="00EF26E3">
        <w:rPr>
          <w:lang w:val="ru-RU"/>
        </w:rPr>
        <w:t xml:space="preserve"> заступники;</w:t>
      </w:r>
      <w:r>
        <w:t>”;</w:t>
      </w:r>
    </w:p>
    <w:p w:rsidR="009F481A" w:rsidRDefault="009F481A" w:rsidP="009F481A">
      <w:pPr>
        <w:ind w:firstLine="708"/>
      </w:pPr>
      <w:r>
        <w:t>“</w:t>
      </w:r>
      <w:r w:rsidRPr="00F269D4">
        <w:rPr>
          <w:lang w:val="ru-RU"/>
        </w:rPr>
        <w:t>8</w:t>
      </w:r>
      <w:r>
        <w:t xml:space="preserve">) директор </w:t>
      </w:r>
      <w:r w:rsidRPr="005A40C8">
        <w:rPr>
          <w:iCs/>
        </w:rPr>
        <w:t>Департамент</w:t>
      </w:r>
      <w:r>
        <w:rPr>
          <w:iCs/>
        </w:rPr>
        <w:t>у</w:t>
      </w:r>
      <w:r w:rsidRPr="005A40C8">
        <w:rPr>
          <w:iCs/>
        </w:rPr>
        <w:t xml:space="preserve"> нагляду за ринком небанківських фінансових</w:t>
      </w:r>
      <w:r>
        <w:rPr>
          <w:iCs/>
        </w:rPr>
        <w:t xml:space="preserve"> послуг</w:t>
      </w:r>
      <w:r>
        <w:t>, його заступники;”;</w:t>
      </w:r>
    </w:p>
    <w:p w:rsidR="009F481A" w:rsidRPr="007F51CF" w:rsidRDefault="009F481A" w:rsidP="009F481A">
      <w:pPr>
        <w:ind w:firstLine="708"/>
      </w:pPr>
      <w:r>
        <w:t>пункт</w:t>
      </w:r>
      <w:r w:rsidRPr="007F51CF">
        <w:t xml:space="preserve"> </w:t>
      </w:r>
      <w:r>
        <w:t>д</w:t>
      </w:r>
      <w:r w:rsidRPr="007F51CF">
        <w:t xml:space="preserve">оповнити новим </w:t>
      </w:r>
      <w:r>
        <w:t xml:space="preserve">підпунктом </w:t>
      </w:r>
      <w:r w:rsidRPr="007F51CF">
        <w:t>такого змісту:</w:t>
      </w:r>
    </w:p>
    <w:p w:rsidR="009F481A" w:rsidRDefault="009F481A" w:rsidP="009F481A">
      <w:pPr>
        <w:pStyle w:val="af4"/>
        <w:spacing w:before="0" w:beforeAutospacing="0" w:after="0" w:afterAutospacing="0"/>
        <w:ind w:firstLine="709"/>
        <w:jc w:val="both"/>
      </w:pPr>
      <w:r w:rsidRPr="007F51CF">
        <w:t>“</w:t>
      </w:r>
      <w:r w:rsidRPr="007F51CF">
        <w:rPr>
          <w:color w:val="000000"/>
          <w:sz w:val="28"/>
          <w:szCs w:val="28"/>
        </w:rPr>
        <w:t xml:space="preserve">9) особи, </w:t>
      </w:r>
      <w:r>
        <w:rPr>
          <w:color w:val="000000"/>
          <w:sz w:val="28"/>
          <w:szCs w:val="28"/>
        </w:rPr>
        <w:t>які</w:t>
      </w:r>
      <w:r w:rsidRPr="007F51CF">
        <w:rPr>
          <w:color w:val="000000"/>
          <w:sz w:val="28"/>
          <w:szCs w:val="28"/>
        </w:rPr>
        <w:t xml:space="preserve"> виконують обов’язки керівників </w:t>
      </w:r>
      <w:r>
        <w:rPr>
          <w:color w:val="000000"/>
          <w:sz w:val="28"/>
          <w:szCs w:val="28"/>
        </w:rPr>
        <w:t xml:space="preserve">структурних </w:t>
      </w:r>
      <w:r w:rsidRPr="007F51CF">
        <w:rPr>
          <w:color w:val="000000"/>
          <w:sz w:val="28"/>
          <w:szCs w:val="28"/>
        </w:rPr>
        <w:t xml:space="preserve">підрозділів Національного банку </w:t>
      </w:r>
      <w:r>
        <w:rPr>
          <w:color w:val="000000"/>
          <w:sz w:val="28"/>
          <w:szCs w:val="28"/>
        </w:rPr>
        <w:t>або</w:t>
      </w:r>
      <w:r w:rsidRPr="007F51CF">
        <w:rPr>
          <w:color w:val="000000"/>
          <w:sz w:val="28"/>
          <w:szCs w:val="28"/>
        </w:rPr>
        <w:t xml:space="preserve"> їх заступників, зазначених у підпунктах 1–8 пункту 1.4 глави 1 цього Положення.</w:t>
      </w:r>
      <w:r>
        <w:t>”</w:t>
      </w:r>
      <w:r w:rsidRPr="007F51CF">
        <w:t>;</w:t>
      </w:r>
    </w:p>
    <w:p w:rsidR="009F481A" w:rsidRDefault="009F481A" w:rsidP="009F481A">
      <w:pPr>
        <w:pStyle w:val="af4"/>
        <w:spacing w:before="0" w:beforeAutospacing="0" w:after="0" w:afterAutospacing="0"/>
        <w:ind w:firstLine="709"/>
        <w:jc w:val="both"/>
      </w:pPr>
    </w:p>
    <w:p w:rsidR="009F481A" w:rsidRDefault="009F481A" w:rsidP="009F481A">
      <w:pPr>
        <w:ind w:firstLine="708"/>
      </w:pPr>
      <w:r>
        <w:t>2) у главі 4:</w:t>
      </w:r>
    </w:p>
    <w:p w:rsidR="009F481A" w:rsidRPr="00BB18C1" w:rsidRDefault="009F481A" w:rsidP="009F481A">
      <w:pPr>
        <w:ind w:firstLine="708"/>
      </w:pPr>
      <w:r w:rsidRPr="00BB18C1">
        <w:t xml:space="preserve">у пункті 4.2: </w:t>
      </w:r>
    </w:p>
    <w:p w:rsidR="009F481A" w:rsidRDefault="009F481A" w:rsidP="009F481A">
      <w:pPr>
        <w:ind w:firstLine="708"/>
      </w:pPr>
      <w:r>
        <w:t>підпункт 1 викласти в такій редакції:</w:t>
      </w:r>
    </w:p>
    <w:p w:rsidR="009F481A" w:rsidRDefault="009F481A" w:rsidP="009F481A">
      <w:pPr>
        <w:ind w:firstLine="708"/>
      </w:pPr>
      <w:r>
        <w:t>“1) начальники управлінь,</w:t>
      </w:r>
      <w:r w:rsidRPr="007F51CF">
        <w:t xml:space="preserve"> заступники</w:t>
      </w:r>
      <w:r>
        <w:t xml:space="preserve"> начальників управлінь</w:t>
      </w:r>
      <w:r w:rsidRPr="00131665">
        <w:t xml:space="preserve">, начальники відділів у складі департаментів банківського нагляду, нагляду за ринком </w:t>
      </w:r>
      <w:r w:rsidRPr="00131665">
        <w:lastRenderedPageBreak/>
        <w:t xml:space="preserve">небанківських фінансових послуг, інспектування, фінансового моніторингу, платіжних систем та інноваційного розвитку, грошового обігу, ліцензування, </w:t>
      </w:r>
      <w:r>
        <w:t>У</w:t>
      </w:r>
      <w:r w:rsidRPr="00131665">
        <w:t xml:space="preserve">правління захисту прав споживачів фінансових послуг </w:t>
      </w:r>
      <w:r w:rsidRPr="007F51CF">
        <w:t>або особи, які виконують їх обов</w:t>
      </w:r>
      <w:r>
        <w:t>’</w:t>
      </w:r>
      <w:r w:rsidRPr="007F51CF">
        <w:t>язки;”</w:t>
      </w:r>
      <w:r>
        <w:t>;</w:t>
      </w:r>
    </w:p>
    <w:p w:rsidR="009F481A" w:rsidRDefault="009F481A" w:rsidP="009F481A">
      <w:pPr>
        <w:ind w:firstLine="708"/>
        <w:rPr>
          <w:bCs/>
        </w:rPr>
      </w:pPr>
      <w:r>
        <w:t>у підпункті 2 слова “</w:t>
      </w:r>
      <w:r w:rsidRPr="006A0431">
        <w:rPr>
          <w:bCs/>
          <w:color w:val="000000"/>
        </w:rPr>
        <w:t>інспекційні</w:t>
      </w:r>
      <w:r w:rsidRPr="006A0431">
        <w:rPr>
          <w:color w:val="000000"/>
        </w:rPr>
        <w:t xml:space="preserve"> перевірки</w:t>
      </w:r>
      <w:r w:rsidRPr="007F51CF">
        <w:t>”</w:t>
      </w:r>
      <w:r w:rsidRPr="006A0431">
        <w:rPr>
          <w:color w:val="000000"/>
        </w:rPr>
        <w:t xml:space="preserve"> замінити словами </w:t>
      </w:r>
      <w:r>
        <w:t>“</w:t>
      </w:r>
      <w:r w:rsidRPr="006A0431">
        <w:rPr>
          <w:bCs/>
          <w:color w:val="000000"/>
        </w:rPr>
        <w:t>інспекційну</w:t>
      </w:r>
      <w:r w:rsidRPr="006A0431">
        <w:rPr>
          <w:bCs/>
        </w:rPr>
        <w:t xml:space="preserve"> перевірку</w:t>
      </w:r>
      <w:r w:rsidRPr="007F51CF">
        <w:t>”</w:t>
      </w:r>
      <w:r>
        <w:rPr>
          <w:bCs/>
        </w:rPr>
        <w:t>;</w:t>
      </w:r>
    </w:p>
    <w:p w:rsidR="009F481A" w:rsidRPr="006A0431" w:rsidRDefault="009F481A" w:rsidP="009F481A">
      <w:pPr>
        <w:ind w:firstLine="708"/>
      </w:pPr>
      <w:r>
        <w:rPr>
          <w:bCs/>
        </w:rPr>
        <w:t xml:space="preserve">у </w:t>
      </w:r>
      <w:r>
        <w:t>підпункті 4 слова “</w:t>
      </w:r>
      <w:r w:rsidRPr="006A0431">
        <w:rPr>
          <w:color w:val="000000"/>
        </w:rPr>
        <w:t>виїзні перевірки</w:t>
      </w:r>
      <w:r w:rsidRPr="007F51CF">
        <w:t>”</w:t>
      </w:r>
      <w:r w:rsidRPr="006A0431">
        <w:rPr>
          <w:color w:val="000000"/>
        </w:rPr>
        <w:t xml:space="preserve"> замінити словами </w:t>
      </w:r>
      <w:r>
        <w:t>“</w:t>
      </w:r>
      <w:r w:rsidRPr="006A0431">
        <w:rPr>
          <w:color w:val="000000"/>
        </w:rPr>
        <w:t>виїзну перевірку</w:t>
      </w:r>
      <w:r w:rsidRPr="007F51CF">
        <w:t>”</w:t>
      </w:r>
      <w:r>
        <w:t>;</w:t>
      </w:r>
    </w:p>
    <w:p w:rsidR="009F481A" w:rsidRDefault="009F481A" w:rsidP="009F481A">
      <w:pPr>
        <w:ind w:firstLine="708"/>
      </w:pPr>
      <w:r w:rsidRPr="00BB18C1">
        <w:t xml:space="preserve">підпункт 6 </w:t>
      </w:r>
      <w:r>
        <w:t>викласти в такій редакції:</w:t>
      </w:r>
    </w:p>
    <w:p w:rsidR="009F481A" w:rsidRDefault="009F481A" w:rsidP="009F481A">
      <w:pPr>
        <w:ind w:firstLine="708"/>
      </w:pPr>
      <w:r>
        <w:t>“</w:t>
      </w:r>
      <w:r w:rsidRPr="00131665">
        <w:t>6</w:t>
      </w:r>
      <w:r>
        <w:t xml:space="preserve">) </w:t>
      </w:r>
      <w:r w:rsidRPr="00131665">
        <w:t>керівник інспекційної групи або його заступник, який здійснює інспекційн</w:t>
      </w:r>
      <w:r>
        <w:t>у</w:t>
      </w:r>
      <w:r w:rsidRPr="00131665">
        <w:t xml:space="preserve"> перевірк</w:t>
      </w:r>
      <w:r>
        <w:t>у</w:t>
      </w:r>
      <w:r w:rsidRPr="00131665">
        <w:t xml:space="preserve"> діяльності учасників ринків небанківських фінансових послуг</w:t>
      </w:r>
      <w:r>
        <w:t>.”;</w:t>
      </w:r>
    </w:p>
    <w:p w:rsidR="009F481A" w:rsidRDefault="009F481A" w:rsidP="009F481A">
      <w:pPr>
        <w:ind w:firstLine="708"/>
      </w:pPr>
      <w:r>
        <w:t>п</w:t>
      </w:r>
      <w:r w:rsidRPr="00BB18C1">
        <w:t>ідпункт</w:t>
      </w:r>
      <w:r>
        <w:t xml:space="preserve">и 7, 8 </w:t>
      </w:r>
      <w:r w:rsidRPr="00BB18C1">
        <w:t>виключити</w:t>
      </w:r>
      <w:r>
        <w:t>;</w:t>
      </w:r>
    </w:p>
    <w:p w:rsidR="009F481A" w:rsidRPr="00B703EB" w:rsidRDefault="009F481A" w:rsidP="009F481A">
      <w:pPr>
        <w:ind w:firstLine="708"/>
        <w:rPr>
          <w:shd w:val="clear" w:color="auto" w:fill="FFFFFF"/>
        </w:rPr>
      </w:pPr>
      <w:r w:rsidRPr="00B703EB">
        <w:rPr>
          <w:shd w:val="clear" w:color="auto" w:fill="FFFFFF"/>
        </w:rPr>
        <w:t>друге речення</w:t>
      </w:r>
      <w:r w:rsidRPr="0020624C">
        <w:t xml:space="preserve"> абзацу другого пункту 4.9 </w:t>
      </w:r>
      <w:r w:rsidRPr="00B703EB">
        <w:rPr>
          <w:shd w:val="clear" w:color="auto" w:fill="FFFFFF"/>
        </w:rPr>
        <w:t>виключити;</w:t>
      </w:r>
    </w:p>
    <w:p w:rsidR="009F481A" w:rsidRPr="00B703EB" w:rsidRDefault="009F481A" w:rsidP="009F481A">
      <w:pPr>
        <w:ind w:firstLine="708"/>
        <w:rPr>
          <w:shd w:val="clear" w:color="auto" w:fill="FFFFFF"/>
        </w:rPr>
      </w:pPr>
    </w:p>
    <w:p w:rsidR="009F481A" w:rsidRPr="009F481A" w:rsidRDefault="009F481A" w:rsidP="009F481A">
      <w:pPr>
        <w:ind w:firstLine="708"/>
      </w:pPr>
      <w:r w:rsidRPr="00B703EB">
        <w:rPr>
          <w:shd w:val="clear" w:color="auto" w:fill="FFFFFF"/>
        </w:rPr>
        <w:t>3) в абзаці першому додатк</w:t>
      </w:r>
      <w:r>
        <w:rPr>
          <w:shd w:val="clear" w:color="auto" w:fill="FFFFFF"/>
        </w:rPr>
        <w:t>а</w:t>
      </w:r>
      <w:r w:rsidRPr="00B703EB">
        <w:rPr>
          <w:shd w:val="clear" w:color="auto" w:fill="FFFFFF"/>
        </w:rPr>
        <w:t xml:space="preserve"> 1 до Положення слово </w:t>
      </w:r>
      <w:r w:rsidRPr="0020624C">
        <w:t>“</w:t>
      </w:r>
      <w:r w:rsidRPr="00B703EB">
        <w:rPr>
          <w:shd w:val="clear" w:color="auto" w:fill="FFFFFF"/>
        </w:rPr>
        <w:t>підрозділ</w:t>
      </w:r>
      <w:r w:rsidRPr="00B703EB">
        <w:rPr>
          <w:shd w:val="clear" w:color="auto" w:fill="FFFFFF"/>
          <w:lang w:val="ru-RU"/>
        </w:rPr>
        <w:t>”</w:t>
      </w:r>
      <w:r w:rsidRPr="00B703EB">
        <w:rPr>
          <w:shd w:val="clear" w:color="auto" w:fill="FFFFFF"/>
        </w:rPr>
        <w:t xml:space="preserve"> замінити словами </w:t>
      </w:r>
      <w:r w:rsidRPr="0020624C">
        <w:t>“</w:t>
      </w:r>
      <w:r w:rsidRPr="00B703EB">
        <w:rPr>
          <w:shd w:val="clear" w:color="auto" w:fill="FFFFFF"/>
        </w:rPr>
        <w:t>структурний підрозділ</w:t>
      </w:r>
      <w:r w:rsidRPr="0020624C">
        <w:t>”</w:t>
      </w:r>
      <w:r w:rsidRPr="00B703EB">
        <w:rPr>
          <w:shd w:val="clear" w:color="auto" w:fill="FFFFFF"/>
        </w:rPr>
        <w:t>.</w:t>
      </w:r>
    </w:p>
    <w:p w:rsidR="003D6B33" w:rsidRDefault="009F481A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2</w:t>
      </w:r>
      <w:r w:rsidR="003D6B33">
        <w:rPr>
          <w:rFonts w:eastAsiaTheme="minorEastAsia"/>
          <w:noProof/>
          <w:color w:val="000000" w:themeColor="text1"/>
          <w:lang w:val="ru-RU" w:eastAsia="en-US"/>
        </w:rPr>
        <w:t>.</w:t>
      </w:r>
      <w:r w:rsidR="003D6B33">
        <w:rPr>
          <w:rFonts w:eastAsiaTheme="minorEastAsia"/>
          <w:noProof/>
          <w:color w:val="000000" w:themeColor="text1"/>
          <w:lang w:val="en-US" w:eastAsia="en-US"/>
        </w:rPr>
        <w:t> </w:t>
      </w:r>
      <w:r w:rsidRPr="00C21F2C">
        <w:rPr>
          <w:noProof/>
          <w:color w:val="000000" w:themeColor="text1"/>
          <w:lang w:eastAsia="en-US"/>
        </w:rPr>
        <w:t xml:space="preserve">Контроль за виконанням цієї постанови покласти на Голову Національного банку України </w:t>
      </w:r>
      <w:r>
        <w:rPr>
          <w:noProof/>
          <w:color w:val="000000" w:themeColor="text1"/>
          <w:lang w:eastAsia="en-US"/>
        </w:rPr>
        <w:t>Кирила Шевченка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:rsidR="00AD7DF9" w:rsidRDefault="009F481A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Pr="00C21F2C">
        <w:rPr>
          <w:noProof/>
          <w:color w:val="000000" w:themeColor="text1"/>
          <w:lang w:eastAsia="en-US"/>
        </w:rPr>
        <w:t xml:space="preserve">Постанова набирає чинності з дня, наступного за днем її </w:t>
      </w:r>
      <w:r>
        <w:rPr>
          <w:noProof/>
          <w:color w:val="000000" w:themeColor="text1"/>
          <w:lang w:eastAsia="en-US"/>
        </w:rPr>
        <w:t>офіційного опублікування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:rsidR="00AD7DF9" w:rsidRDefault="00AD7DF9" w:rsidP="00AD7DF9">
      <w:pPr>
        <w:pStyle w:val="af3"/>
        <w:spacing w:before="240" w:after="120"/>
        <w:ind w:left="0" w:firstLine="709"/>
        <w:rPr>
          <w:rFonts w:eastAsiaTheme="minorEastAsia"/>
          <w:noProof/>
          <w:color w:val="000000" w:themeColor="text1"/>
          <w:lang w:eastAsia="en-US"/>
        </w:rPr>
      </w:pPr>
    </w:p>
    <w:p w:rsidR="00E42621" w:rsidRPr="009F481A" w:rsidRDefault="00E42621" w:rsidP="00D46BE1">
      <w:pPr>
        <w:spacing w:after="120"/>
        <w:rPr>
          <w:lang w:val="ru-RU"/>
        </w:rPr>
      </w:pPr>
    </w:p>
    <w:p w:rsidR="0095741D" w:rsidRPr="00CD0CD4" w:rsidRDefault="0095741D" w:rsidP="00D46BE1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CD0CD4" w:rsidTr="00736C98">
        <w:tc>
          <w:tcPr>
            <w:tcW w:w="5387" w:type="dxa"/>
            <w:vAlign w:val="bottom"/>
          </w:tcPr>
          <w:p w:rsidR="00DD60CC" w:rsidRPr="00CD0CD4" w:rsidRDefault="009F481A" w:rsidP="00337368">
            <w:pPr>
              <w:autoSpaceDE w:val="0"/>
              <w:autoSpaceDN w:val="0"/>
              <w:jc w:val="left"/>
            </w:pPr>
            <w:r w:rsidRPr="00C21F2C">
              <w:rPr>
                <w:noProof/>
                <w:color w:val="000000" w:themeColor="text1"/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:rsidR="00DD60CC" w:rsidRPr="00CD0CD4" w:rsidRDefault="009F481A" w:rsidP="008871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rPr>
                <w:noProof/>
                <w:color w:val="000000" w:themeColor="text1"/>
                <w:lang w:eastAsia="en-US"/>
              </w:rPr>
              <w:t>Кирило</w:t>
            </w:r>
            <w:r w:rsidRPr="00C21F2C">
              <w:rPr>
                <w:noProof/>
                <w:color w:val="000000" w:themeColor="text1"/>
                <w:lang w:eastAsia="en-US"/>
              </w:rPr>
              <w:t xml:space="preserve"> </w:t>
            </w:r>
            <w:r>
              <w:rPr>
                <w:noProof/>
                <w:color w:val="000000" w:themeColor="text1"/>
                <w:lang w:eastAsia="en-US"/>
              </w:rPr>
              <w:t>ШЕВЧЕНКО</w:t>
            </w:r>
          </w:p>
        </w:tc>
      </w:tr>
    </w:tbl>
    <w:p w:rsidR="008D10FD" w:rsidRPr="00CD0CD4" w:rsidRDefault="008D10FD" w:rsidP="00E53CCD"/>
    <w:p w:rsidR="00FA508E" w:rsidRPr="00CD0CD4" w:rsidRDefault="00FA508E" w:rsidP="00E53CCD"/>
    <w:p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9F481A" w:rsidRPr="00BC0604">
        <w:rPr>
          <w:noProof/>
        </w:rPr>
        <w:t>18</w:t>
      </w:r>
    </w:p>
    <w:sectPr w:rsidR="00FA508E" w:rsidRPr="00CD0CD4" w:rsidSect="00E659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26" w:rsidRDefault="00690526" w:rsidP="00E53CCD">
      <w:r>
        <w:separator/>
      </w:r>
    </w:p>
  </w:endnote>
  <w:endnote w:type="continuationSeparator" w:id="0">
    <w:p w:rsidR="00690526" w:rsidRDefault="00690526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46" w:rsidRDefault="00A721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46" w:rsidRDefault="00A721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26" w:rsidRDefault="00690526" w:rsidP="00E53CCD">
      <w:r>
        <w:separator/>
      </w:r>
    </w:p>
  </w:footnote>
  <w:footnote w:type="continuationSeparator" w:id="0">
    <w:p w:rsidR="00690526" w:rsidRDefault="00690526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46" w:rsidRDefault="00A721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A72146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46" w:rsidRDefault="00A721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10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B2990"/>
    <w:rsid w:val="000D778F"/>
    <w:rsid w:val="000E0CB3"/>
    <w:rsid w:val="000E5B8C"/>
    <w:rsid w:val="000E7A13"/>
    <w:rsid w:val="00101D5A"/>
    <w:rsid w:val="00106229"/>
    <w:rsid w:val="00115ECF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211D71"/>
    <w:rsid w:val="002238D1"/>
    <w:rsid w:val="00233F37"/>
    <w:rsid w:val="00241373"/>
    <w:rsid w:val="00253BF9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1FDB"/>
    <w:rsid w:val="002D1790"/>
    <w:rsid w:val="002F48EF"/>
    <w:rsid w:val="00332701"/>
    <w:rsid w:val="00337368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A7A8B"/>
    <w:rsid w:val="003C3282"/>
    <w:rsid w:val="003C3985"/>
    <w:rsid w:val="003D3CA1"/>
    <w:rsid w:val="003D6B33"/>
    <w:rsid w:val="003F0441"/>
    <w:rsid w:val="003F28B5"/>
    <w:rsid w:val="003F7093"/>
    <w:rsid w:val="00401EDB"/>
    <w:rsid w:val="00404C93"/>
    <w:rsid w:val="00407877"/>
    <w:rsid w:val="004130B9"/>
    <w:rsid w:val="00446704"/>
    <w:rsid w:val="00455B45"/>
    <w:rsid w:val="00460BA2"/>
    <w:rsid w:val="004666D6"/>
    <w:rsid w:val="004A1CFC"/>
    <w:rsid w:val="004A7F75"/>
    <w:rsid w:val="004B1FE9"/>
    <w:rsid w:val="004B5574"/>
    <w:rsid w:val="004D2B57"/>
    <w:rsid w:val="004E0B58"/>
    <w:rsid w:val="004E22E2"/>
    <w:rsid w:val="0050563F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44F4"/>
    <w:rsid w:val="005C5CBF"/>
    <w:rsid w:val="005D3B88"/>
    <w:rsid w:val="005D45F5"/>
    <w:rsid w:val="005E3FA8"/>
    <w:rsid w:val="005F4CB4"/>
    <w:rsid w:val="00640612"/>
    <w:rsid w:val="0064227D"/>
    <w:rsid w:val="0065179F"/>
    <w:rsid w:val="00657593"/>
    <w:rsid w:val="00670C95"/>
    <w:rsid w:val="00686049"/>
    <w:rsid w:val="00690526"/>
    <w:rsid w:val="006925CE"/>
    <w:rsid w:val="00692C8C"/>
    <w:rsid w:val="00696022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36C98"/>
    <w:rsid w:val="00747222"/>
    <w:rsid w:val="00750898"/>
    <w:rsid w:val="00773559"/>
    <w:rsid w:val="0078127A"/>
    <w:rsid w:val="00783AF2"/>
    <w:rsid w:val="00787E46"/>
    <w:rsid w:val="007A6609"/>
    <w:rsid w:val="007B7B73"/>
    <w:rsid w:val="007C2CED"/>
    <w:rsid w:val="00802988"/>
    <w:rsid w:val="008415A0"/>
    <w:rsid w:val="0085364B"/>
    <w:rsid w:val="00866993"/>
    <w:rsid w:val="00874366"/>
    <w:rsid w:val="008762D8"/>
    <w:rsid w:val="0088719C"/>
    <w:rsid w:val="00897035"/>
    <w:rsid w:val="008B1589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741D"/>
    <w:rsid w:val="0097288F"/>
    <w:rsid w:val="0098207E"/>
    <w:rsid w:val="00990AAE"/>
    <w:rsid w:val="009B6120"/>
    <w:rsid w:val="009C2F76"/>
    <w:rsid w:val="009F481A"/>
    <w:rsid w:val="009F5312"/>
    <w:rsid w:val="00A02AEC"/>
    <w:rsid w:val="00A0594A"/>
    <w:rsid w:val="00A12C47"/>
    <w:rsid w:val="00A23E04"/>
    <w:rsid w:val="00A46C15"/>
    <w:rsid w:val="00A50DC0"/>
    <w:rsid w:val="00A63695"/>
    <w:rsid w:val="00A72146"/>
    <w:rsid w:val="00A72F06"/>
    <w:rsid w:val="00A730F2"/>
    <w:rsid w:val="00A77FFD"/>
    <w:rsid w:val="00AB4554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61C97"/>
    <w:rsid w:val="00B628C5"/>
    <w:rsid w:val="00B71933"/>
    <w:rsid w:val="00B8078D"/>
    <w:rsid w:val="00BD12A3"/>
    <w:rsid w:val="00BD7F6E"/>
    <w:rsid w:val="00BF47B0"/>
    <w:rsid w:val="00BF5327"/>
    <w:rsid w:val="00C175D4"/>
    <w:rsid w:val="00C21D33"/>
    <w:rsid w:val="00C3382F"/>
    <w:rsid w:val="00C4377C"/>
    <w:rsid w:val="00C47F0F"/>
    <w:rsid w:val="00C51D84"/>
    <w:rsid w:val="00C52506"/>
    <w:rsid w:val="00C82259"/>
    <w:rsid w:val="00C90A10"/>
    <w:rsid w:val="00C9223A"/>
    <w:rsid w:val="00C9297C"/>
    <w:rsid w:val="00C94014"/>
    <w:rsid w:val="00CB0A99"/>
    <w:rsid w:val="00CB5A09"/>
    <w:rsid w:val="00CD0CD4"/>
    <w:rsid w:val="00CE3B9F"/>
    <w:rsid w:val="00CF1FB8"/>
    <w:rsid w:val="00CF2C65"/>
    <w:rsid w:val="00D078B6"/>
    <w:rsid w:val="00D1022C"/>
    <w:rsid w:val="00D27115"/>
    <w:rsid w:val="00D34DCC"/>
    <w:rsid w:val="00D46BE1"/>
    <w:rsid w:val="00D61D9B"/>
    <w:rsid w:val="00DA2F09"/>
    <w:rsid w:val="00DC1E60"/>
    <w:rsid w:val="00DC7767"/>
    <w:rsid w:val="00DD60CC"/>
    <w:rsid w:val="00DF1BED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6592D"/>
    <w:rsid w:val="00E71855"/>
    <w:rsid w:val="00E719A9"/>
    <w:rsid w:val="00EA1DE4"/>
    <w:rsid w:val="00EA60EA"/>
    <w:rsid w:val="00EB29BF"/>
    <w:rsid w:val="00EC7C7F"/>
    <w:rsid w:val="00EF4B42"/>
    <w:rsid w:val="00F003D3"/>
    <w:rsid w:val="00F008AB"/>
    <w:rsid w:val="00F03E32"/>
    <w:rsid w:val="00F403A7"/>
    <w:rsid w:val="00F42289"/>
    <w:rsid w:val="00F42E75"/>
    <w:rsid w:val="00F45D65"/>
    <w:rsid w:val="00F517FA"/>
    <w:rsid w:val="00F52D16"/>
    <w:rsid w:val="00F62D67"/>
    <w:rsid w:val="00F63BD9"/>
    <w:rsid w:val="00F6694C"/>
    <w:rsid w:val="00F73C2A"/>
    <w:rsid w:val="00F8145F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72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basedOn w:val="a"/>
    <w:uiPriority w:val="99"/>
    <w:rsid w:val="009F481A"/>
    <w:pPr>
      <w:spacing w:before="100" w:beforeAutospacing="1" w:after="100" w:afterAutospacing="1"/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D14CAB-9F72-490F-BBC6-167FC26A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2021-10-22T09:02:00Z</dcterms:created>
  <dcterms:modified xsi:type="dcterms:W3CDTF">2021-10-22T09:02:00Z</dcterms:modified>
</cp:coreProperties>
</file>