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7.3pt" o:ole="">
                  <v:imagedata r:id="rId12" o:title=""/>
                </v:shape>
                <o:OLEObject Type="Embed" ProgID="CorelDraw.Graphic.16" ShapeID="_x0000_i1025" DrawAspect="Content" ObjectID="_1709398985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026373" w:rsidRPr="00026373" w14:paraId="3F1FD39B" w14:textId="77777777" w:rsidTr="00BC70AC">
        <w:tc>
          <w:tcPr>
            <w:tcW w:w="3510" w:type="dxa"/>
            <w:vAlign w:val="bottom"/>
          </w:tcPr>
          <w:p w14:paraId="66D02161" w14:textId="5C7F6293" w:rsidR="0089530E" w:rsidRPr="00026373" w:rsidRDefault="00026373" w:rsidP="00BC70AC">
            <w:r>
              <w:rPr>
                <w:lang w:val="en-US"/>
              </w:rPr>
              <w:t>21</w:t>
            </w:r>
            <w:r w:rsidR="00560B13" w:rsidRPr="00026373">
              <w:t xml:space="preserve"> березня 2022 року </w:t>
            </w:r>
          </w:p>
        </w:tc>
        <w:tc>
          <w:tcPr>
            <w:tcW w:w="2694" w:type="dxa"/>
          </w:tcPr>
          <w:p w14:paraId="599D865D" w14:textId="77777777" w:rsidR="0089530E" w:rsidRPr="00026373" w:rsidRDefault="0089530E" w:rsidP="00BC70AC">
            <w:pPr>
              <w:spacing w:before="240"/>
              <w:jc w:val="center"/>
            </w:pPr>
            <w:r w:rsidRPr="00026373"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026373" w:rsidRDefault="0089530E" w:rsidP="00BC70AC">
            <w:pPr>
              <w:jc w:val="right"/>
              <w:rPr>
                <w:lang w:val="en-US"/>
              </w:rPr>
            </w:pPr>
            <w:r w:rsidRPr="00026373">
              <w:t>№</w:t>
            </w:r>
          </w:p>
        </w:tc>
        <w:tc>
          <w:tcPr>
            <w:tcW w:w="1937" w:type="dxa"/>
            <w:vAlign w:val="bottom"/>
          </w:tcPr>
          <w:p w14:paraId="13CD1EB5" w14:textId="44A58089" w:rsidR="0089530E" w:rsidRPr="00026373" w:rsidRDefault="00026373" w:rsidP="00026373">
            <w:pPr>
              <w:jc w:val="left"/>
            </w:pPr>
            <w:r>
              <w:rPr>
                <w:lang w:val="en-US"/>
              </w:rPr>
              <w:t>58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CD0CD4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7DE0CB3F" w:rsidR="00F35C1E" w:rsidRPr="00BD42B0" w:rsidRDefault="00872716" w:rsidP="0054300D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5956E7">
              <w:rPr>
                <w:lang w:eastAsia="ru-RU"/>
              </w:rPr>
              <w:t xml:space="preserve">Про </w:t>
            </w:r>
            <w:proofErr w:type="spellStart"/>
            <w:r w:rsidR="003764E0">
              <w:rPr>
                <w:lang w:val="ru-RU" w:eastAsia="ru-RU"/>
              </w:rPr>
              <w:t>внесення</w:t>
            </w:r>
            <w:proofErr w:type="spellEnd"/>
            <w:r w:rsidR="003764E0">
              <w:rPr>
                <w:lang w:val="ru-RU" w:eastAsia="ru-RU"/>
              </w:rPr>
              <w:t xml:space="preserve"> з</w:t>
            </w:r>
            <w:r w:rsidR="00F548FA">
              <w:t>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</w:tc>
      </w:tr>
    </w:tbl>
    <w:p w14:paraId="5B937C35" w14:textId="10796899" w:rsidR="00872716" w:rsidRPr="002963A7" w:rsidRDefault="00F548FA" w:rsidP="00186F29">
      <w:pPr>
        <w:spacing w:before="240"/>
        <w:ind w:firstLine="567"/>
        <w:rPr>
          <w:color w:val="000000" w:themeColor="text1"/>
        </w:rPr>
      </w:pPr>
      <w:r w:rsidRPr="002963A7">
        <w:rPr>
          <w:color w:val="000000" w:themeColor="text1"/>
        </w:rPr>
        <w:t>Відповідно до статей</w:t>
      </w:r>
      <w:r w:rsidR="00872716" w:rsidRPr="002963A7">
        <w:rPr>
          <w:color w:val="000000" w:themeColor="text1"/>
        </w:rPr>
        <w:t xml:space="preserve"> 7, </w:t>
      </w:r>
      <w:r w:rsidR="000F1E80" w:rsidRPr="002963A7">
        <w:rPr>
          <w:color w:val="000000" w:themeColor="text1"/>
        </w:rPr>
        <w:t xml:space="preserve">15, </w:t>
      </w:r>
      <w:r w:rsidR="00872716" w:rsidRPr="002963A7">
        <w:rPr>
          <w:color w:val="000000" w:themeColor="text1"/>
        </w:rPr>
        <w:t>56 Закону України “Про</w:t>
      </w:r>
      <w:bookmarkStart w:id="0" w:name="_GoBack"/>
      <w:bookmarkEnd w:id="0"/>
      <w:r w:rsidR="00395A80" w:rsidRPr="002963A7">
        <w:rPr>
          <w:color w:val="000000" w:themeColor="text1"/>
        </w:rPr>
        <w:t xml:space="preserve"> </w:t>
      </w:r>
      <w:r w:rsidR="00872716" w:rsidRPr="002963A7">
        <w:rPr>
          <w:color w:val="000000" w:themeColor="text1"/>
        </w:rPr>
        <w:t>Національний банк України</w:t>
      </w:r>
      <w:r w:rsidR="00703C58" w:rsidRPr="002963A7">
        <w:rPr>
          <w:color w:val="000000" w:themeColor="text1"/>
        </w:rPr>
        <w:t>”</w:t>
      </w:r>
      <w:r w:rsidR="00B60397" w:rsidRPr="002963A7">
        <w:rPr>
          <w:color w:val="000000" w:themeColor="text1"/>
        </w:rPr>
        <w:t>,</w:t>
      </w:r>
      <w:r w:rsidR="00703C58" w:rsidRPr="002963A7">
        <w:rPr>
          <w:color w:val="000000" w:themeColor="text1"/>
        </w:rPr>
        <w:t xml:space="preserve"> </w:t>
      </w:r>
      <w:r w:rsidR="005956E7" w:rsidRPr="002963A7">
        <w:rPr>
          <w:color w:val="000000" w:themeColor="text1"/>
        </w:rPr>
        <w:t xml:space="preserve">з метою </w:t>
      </w:r>
      <w:r w:rsidR="000F1E80" w:rsidRPr="002963A7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2963A7">
        <w:rPr>
          <w:color w:val="000000" w:themeColor="text1"/>
        </w:rPr>
        <w:t xml:space="preserve">в умовах </w:t>
      </w:r>
      <w:r w:rsidR="000F1E80" w:rsidRPr="002963A7">
        <w:rPr>
          <w:color w:val="000000" w:themeColor="text1"/>
        </w:rPr>
        <w:t xml:space="preserve">воєнного стану </w:t>
      </w:r>
      <w:r w:rsidR="00872716" w:rsidRPr="002963A7">
        <w:rPr>
          <w:color w:val="000000" w:themeColor="text1"/>
        </w:rPr>
        <w:t xml:space="preserve">Правління Національного банку України </w:t>
      </w:r>
      <w:r w:rsidR="00872716" w:rsidRPr="002963A7">
        <w:rPr>
          <w:b/>
          <w:color w:val="000000" w:themeColor="text1"/>
        </w:rPr>
        <w:t>постановляє</w:t>
      </w:r>
      <w:r w:rsidR="00872716" w:rsidRPr="002963A7">
        <w:rPr>
          <w:color w:val="000000" w:themeColor="text1"/>
        </w:rPr>
        <w:t>:</w:t>
      </w:r>
    </w:p>
    <w:p w14:paraId="7D1F0764" w14:textId="77777777" w:rsidR="0023797C" w:rsidRPr="002963A7" w:rsidRDefault="0023797C" w:rsidP="00C50FAD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6ED7374D" w:rsidR="005C2A1E" w:rsidRPr="002963A7" w:rsidRDefault="003D206A" w:rsidP="00C50FAD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1. </w:t>
      </w:r>
      <w:proofErr w:type="spellStart"/>
      <w:r w:rsidR="005C2A1E" w:rsidRPr="002963A7">
        <w:rPr>
          <w:color w:val="000000" w:themeColor="text1"/>
        </w:rPr>
        <w:t>Унести</w:t>
      </w:r>
      <w:proofErr w:type="spellEnd"/>
      <w:r w:rsidR="005C2A1E" w:rsidRPr="002963A7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7382D76" w14:textId="37D127A9" w:rsidR="005C2A1E" w:rsidRPr="002963A7" w:rsidRDefault="005C2A1E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5613F2DD" w14:textId="43B76F6D" w:rsidR="005F679E" w:rsidRPr="005F679E" w:rsidRDefault="005F679E" w:rsidP="004574C0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5F679E">
        <w:rPr>
          <w:color w:val="000000" w:themeColor="text1"/>
          <w:lang w:val="ru-RU"/>
        </w:rPr>
        <w:t xml:space="preserve">абзац перший пункту 3 </w:t>
      </w:r>
      <w:r w:rsidRPr="005F679E">
        <w:rPr>
          <w:color w:val="000000" w:themeColor="text1"/>
        </w:rPr>
        <w:t>викласти в такій редакції:</w:t>
      </w:r>
    </w:p>
    <w:p w14:paraId="76712522" w14:textId="4DD743BC" w:rsidR="005F679E" w:rsidRPr="00256023" w:rsidRDefault="005F679E" w:rsidP="005F679E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5F679E">
        <w:rPr>
          <w:color w:val="000000" w:themeColor="text1"/>
          <w:sz w:val="28"/>
          <w:szCs w:val="28"/>
        </w:rPr>
        <w:t>“</w:t>
      </w:r>
      <w:r w:rsidRPr="005F679E">
        <w:rPr>
          <w:sz w:val="28"/>
          <w:szCs w:val="28"/>
        </w:rPr>
        <w:t>3</w:t>
      </w:r>
      <w:r w:rsidRPr="00256023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Заборонити видачу в Україні готівкових коштів </w:t>
      </w:r>
      <w:r w:rsidR="00256023">
        <w:rPr>
          <w:rFonts w:eastAsia="Times New Roman"/>
          <w:color w:val="000000" w:themeColor="text1"/>
          <w:sz w:val="28"/>
          <w:szCs w:val="28"/>
        </w:rPr>
        <w:t>у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 гривнях з рахунку клієнта в національній валюті в обсязі, що перевищує 100 000 гривень </w:t>
      </w:r>
      <w:r w:rsidR="00256023">
        <w:rPr>
          <w:rFonts w:eastAsia="Times New Roman"/>
          <w:color w:val="000000" w:themeColor="text1"/>
          <w:sz w:val="28"/>
          <w:szCs w:val="28"/>
        </w:rPr>
        <w:t>у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 день (</w:t>
      </w:r>
      <w:r w:rsidR="009F5006">
        <w:rPr>
          <w:rFonts w:eastAsia="Times New Roman"/>
          <w:color w:val="000000" w:themeColor="text1"/>
          <w:sz w:val="28"/>
          <w:szCs w:val="28"/>
        </w:rPr>
        <w:t>без урахування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 комісі</w:t>
      </w:r>
      <w:r w:rsidR="009F5006">
        <w:rPr>
          <w:rFonts w:eastAsia="Times New Roman"/>
          <w:color w:val="000000" w:themeColor="text1"/>
          <w:sz w:val="28"/>
          <w:szCs w:val="28"/>
        </w:rPr>
        <w:t>ї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 банку), крім зняття готівкових коштів </w:t>
      </w:r>
      <w:r w:rsidR="009F5006">
        <w:rPr>
          <w:rFonts w:eastAsia="Times New Roman"/>
          <w:color w:val="000000" w:themeColor="text1"/>
          <w:sz w:val="28"/>
          <w:szCs w:val="28"/>
        </w:rPr>
        <w:t>у</w:t>
      </w:r>
      <w:r w:rsidR="002461A2" w:rsidRPr="00256023">
        <w:rPr>
          <w:rFonts w:eastAsia="Times New Roman"/>
          <w:color w:val="000000" w:themeColor="text1"/>
          <w:sz w:val="28"/>
          <w:szCs w:val="28"/>
        </w:rPr>
        <w:t xml:space="preserve"> гривнях:</w:t>
      </w:r>
      <w:r w:rsidRPr="00256023">
        <w:rPr>
          <w:rFonts w:eastAsia="Times New Roman"/>
          <w:color w:val="000000" w:themeColor="text1"/>
          <w:sz w:val="28"/>
          <w:szCs w:val="28"/>
        </w:rPr>
        <w:t>”;</w:t>
      </w:r>
    </w:p>
    <w:p w14:paraId="6477B3E6" w14:textId="77777777" w:rsidR="005F679E" w:rsidRPr="005F679E" w:rsidRDefault="005F679E" w:rsidP="005F679E">
      <w:pPr>
        <w:pStyle w:val="af3"/>
        <w:tabs>
          <w:tab w:val="left" w:pos="567"/>
        </w:tabs>
        <w:ind w:left="567"/>
        <w:rPr>
          <w:color w:val="000000" w:themeColor="text1"/>
        </w:rPr>
      </w:pPr>
    </w:p>
    <w:p w14:paraId="23828B4A" w14:textId="77777777" w:rsidR="005F679E" w:rsidRPr="005F679E" w:rsidRDefault="005F679E" w:rsidP="005F679E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5F679E">
        <w:rPr>
          <w:color w:val="000000" w:themeColor="text1"/>
          <w:lang w:val="ru-RU"/>
        </w:rPr>
        <w:t xml:space="preserve">абзац перший </w:t>
      </w:r>
      <w:r w:rsidR="00C2556A" w:rsidRPr="005F679E">
        <w:rPr>
          <w:color w:val="000000" w:themeColor="text1"/>
        </w:rPr>
        <w:t>пункт</w:t>
      </w:r>
      <w:r w:rsidRPr="005F679E">
        <w:rPr>
          <w:color w:val="000000" w:themeColor="text1"/>
          <w:lang w:val="ru-RU"/>
        </w:rPr>
        <w:t>у</w:t>
      </w:r>
      <w:r w:rsidR="00C2556A" w:rsidRPr="005F679E">
        <w:rPr>
          <w:color w:val="000000" w:themeColor="text1"/>
        </w:rPr>
        <w:t xml:space="preserve"> 5 </w:t>
      </w:r>
      <w:r w:rsidRPr="005F679E">
        <w:rPr>
          <w:color w:val="000000" w:themeColor="text1"/>
        </w:rPr>
        <w:t>викласти в такій редакції:</w:t>
      </w:r>
    </w:p>
    <w:p w14:paraId="39456C6E" w14:textId="6B1730F0" w:rsidR="005F679E" w:rsidRPr="005F679E" w:rsidRDefault="005F679E" w:rsidP="005F679E">
      <w:pPr>
        <w:ind w:firstLine="567"/>
      </w:pPr>
      <w:r w:rsidRPr="005F679E">
        <w:rPr>
          <w:color w:val="000000" w:themeColor="text1"/>
        </w:rPr>
        <w:t>“</w:t>
      </w:r>
      <w:r w:rsidRPr="005F679E">
        <w:t>5. Заборонити видачу в Україні готівкових коштів в іноземній валюті з рахунку клієнта в іноземній валюті в обсязі, що перевищує в еквіваленті 100</w:t>
      </w:r>
      <w:r w:rsidRPr="005F679E">
        <w:rPr>
          <w:lang w:val="en-US"/>
        </w:rPr>
        <w:t> </w:t>
      </w:r>
      <w:r w:rsidRPr="005F679E">
        <w:t xml:space="preserve">000 гривень </w:t>
      </w:r>
      <w:r w:rsidR="009F5006">
        <w:t>у</w:t>
      </w:r>
      <w:r w:rsidRPr="005F679E">
        <w:t xml:space="preserve"> день (</w:t>
      </w:r>
      <w:r w:rsidR="009F5006">
        <w:t>без урахування</w:t>
      </w:r>
      <w:r w:rsidRPr="005F679E">
        <w:t xml:space="preserve"> комісі</w:t>
      </w:r>
      <w:r w:rsidR="009F5006">
        <w:t>ї</w:t>
      </w:r>
      <w:r w:rsidRPr="005F679E">
        <w:t xml:space="preserve"> банку), крім зняття готівкових коштів в іноземній валюті з рахунків:</w:t>
      </w:r>
      <w:r w:rsidRPr="005F679E">
        <w:rPr>
          <w:color w:val="000000" w:themeColor="text1"/>
        </w:rPr>
        <w:t>”;</w:t>
      </w:r>
    </w:p>
    <w:p w14:paraId="66BFF551" w14:textId="2E956F1D" w:rsidR="005F679E" w:rsidRDefault="005F679E" w:rsidP="005F679E">
      <w:pPr>
        <w:ind w:firstLine="567"/>
        <w:rPr>
          <w:b/>
        </w:rPr>
      </w:pPr>
    </w:p>
    <w:p w14:paraId="4AAE7475" w14:textId="77777777" w:rsidR="005F679E" w:rsidRPr="005F679E" w:rsidRDefault="005F679E" w:rsidP="005F679E">
      <w:pPr>
        <w:pStyle w:val="af3"/>
        <w:numPr>
          <w:ilvl w:val="0"/>
          <w:numId w:val="36"/>
        </w:numPr>
        <w:rPr>
          <w:lang w:val="ru-RU"/>
        </w:rPr>
      </w:pPr>
      <w:r>
        <w:rPr>
          <w:lang w:val="ru-RU"/>
        </w:rPr>
        <w:t xml:space="preserve">постанову </w:t>
      </w:r>
      <w:r w:rsidRPr="00731952">
        <w:t xml:space="preserve">після </w:t>
      </w:r>
      <w:r>
        <w:t>пункту 5</w:t>
      </w:r>
      <w:r w:rsidRPr="005F679E">
        <w:rPr>
          <w:vertAlign w:val="superscript"/>
        </w:rPr>
        <w:t>1</w:t>
      </w:r>
      <w:r>
        <w:t xml:space="preserve"> доповнити новим пунктом 5</w:t>
      </w:r>
      <w:r w:rsidRPr="005F679E">
        <w:rPr>
          <w:vertAlign w:val="superscript"/>
        </w:rPr>
        <w:t>2</w:t>
      </w:r>
      <w:r>
        <w:t xml:space="preserve"> такого змісту:</w:t>
      </w:r>
    </w:p>
    <w:p w14:paraId="04FE7D5C" w14:textId="77777777" w:rsidR="0060603E" w:rsidRPr="0060603E" w:rsidRDefault="00731952" w:rsidP="0060603E">
      <w:pPr>
        <w:pStyle w:val="af3"/>
        <w:ind w:left="0" w:firstLine="567"/>
        <w:rPr>
          <w:lang w:val="ru-RU"/>
        </w:rPr>
      </w:pPr>
      <w:r w:rsidRPr="00731952">
        <w:rPr>
          <w:color w:val="000000" w:themeColor="text1"/>
        </w:rPr>
        <w:t>“</w:t>
      </w:r>
      <w:r w:rsidR="005F679E" w:rsidRPr="00731952">
        <w:t>5</w:t>
      </w:r>
      <w:r w:rsidR="005F679E" w:rsidRPr="00731952">
        <w:rPr>
          <w:vertAlign w:val="superscript"/>
        </w:rPr>
        <w:t>2</w:t>
      </w:r>
      <w:r w:rsidR="005F679E" w:rsidRPr="00731952">
        <w:t xml:space="preserve">. </w:t>
      </w:r>
      <w:r w:rsidR="0060603E" w:rsidRPr="0060603E">
        <w:rPr>
          <w:lang w:val="ru-RU"/>
        </w:rPr>
        <w:t>Заборонити видачу за межами України готівкових коштів:</w:t>
      </w:r>
    </w:p>
    <w:p w14:paraId="7015BE54" w14:textId="77777777" w:rsidR="0060603E" w:rsidRPr="0060603E" w:rsidRDefault="0060603E" w:rsidP="0060603E">
      <w:pPr>
        <w:pStyle w:val="af3"/>
        <w:ind w:left="0" w:firstLine="567"/>
        <w:rPr>
          <w:lang w:val="ru-RU"/>
        </w:rPr>
      </w:pPr>
    </w:p>
    <w:p w14:paraId="7F23896A" w14:textId="77777777" w:rsidR="0060603E" w:rsidRPr="006862AD" w:rsidRDefault="0060603E" w:rsidP="0060603E">
      <w:pPr>
        <w:pStyle w:val="af3"/>
        <w:ind w:left="0" w:firstLine="567"/>
        <w:rPr>
          <w:lang w:val="ru-RU"/>
        </w:rPr>
      </w:pPr>
      <w:r w:rsidRPr="006862AD">
        <w:rPr>
          <w:lang w:val="ru-RU"/>
        </w:rPr>
        <w:t xml:space="preserve">1) з рахунку клієнта банку, відкритого в Україні у національній валюті, в обсязі, що перевищує в </w:t>
      </w:r>
      <w:proofErr w:type="gramStart"/>
      <w:r w:rsidRPr="006862AD">
        <w:rPr>
          <w:lang w:val="ru-RU"/>
        </w:rPr>
        <w:t>еквіваленті  100</w:t>
      </w:r>
      <w:proofErr w:type="gramEnd"/>
      <w:r w:rsidRPr="006862AD">
        <w:rPr>
          <w:lang w:val="ru-RU"/>
        </w:rPr>
        <w:t> 000 гривень на календарний місяць;</w:t>
      </w:r>
    </w:p>
    <w:p w14:paraId="0AAA6671" w14:textId="77777777" w:rsidR="0060603E" w:rsidRPr="006862AD" w:rsidRDefault="0060603E" w:rsidP="0060603E">
      <w:pPr>
        <w:pStyle w:val="af3"/>
        <w:ind w:left="0" w:firstLine="567"/>
        <w:rPr>
          <w:lang w:val="ru-RU"/>
        </w:rPr>
      </w:pPr>
    </w:p>
    <w:p w14:paraId="72C9267A" w14:textId="0A8FD980" w:rsidR="0060603E" w:rsidRPr="006862AD" w:rsidRDefault="0060603E" w:rsidP="0060603E">
      <w:pPr>
        <w:pStyle w:val="af3"/>
        <w:ind w:left="0" w:firstLine="567"/>
      </w:pPr>
      <w:r w:rsidRPr="006862AD">
        <w:rPr>
          <w:lang w:val="ru-RU"/>
        </w:rPr>
        <w:t xml:space="preserve">2) з </w:t>
      </w:r>
      <w:r w:rsidRPr="006862AD">
        <w:t xml:space="preserve">рахунку клієнта банку, відкритого в Україні в іноземній валюті, у загальному обсязі, що визначений в абзаці першому пункту 5 цієї постанови (до загального обсягу </w:t>
      </w:r>
      <w:proofErr w:type="gramStart"/>
      <w:r w:rsidRPr="006862AD">
        <w:t>враховується  сума</w:t>
      </w:r>
      <w:proofErr w:type="gramEnd"/>
      <w:r w:rsidRPr="006862AD">
        <w:t xml:space="preserve"> готівкових коштів в іноземній валюті, які </w:t>
      </w:r>
      <w:r w:rsidRPr="006862AD">
        <w:lastRenderedPageBreak/>
        <w:t>видано того самого дня з рахунку цього клієнта в іноземній валюті  в межах України).</w:t>
      </w:r>
      <w:r w:rsidR="006862AD" w:rsidRPr="006862AD">
        <w:rPr>
          <w:color w:val="000000" w:themeColor="text1"/>
        </w:rPr>
        <w:t>”;</w:t>
      </w:r>
    </w:p>
    <w:p w14:paraId="1EC2C237" w14:textId="77777777" w:rsidR="00C2556A" w:rsidRDefault="00C2556A" w:rsidP="00C2556A">
      <w:pPr>
        <w:pStyle w:val="af3"/>
        <w:tabs>
          <w:tab w:val="left" w:pos="567"/>
        </w:tabs>
        <w:ind w:left="567"/>
        <w:rPr>
          <w:color w:val="000000" w:themeColor="text1"/>
        </w:rPr>
      </w:pPr>
    </w:p>
    <w:p w14:paraId="3B0118C8" w14:textId="28DC1949" w:rsidR="007F7B66" w:rsidRPr="002963A7" w:rsidRDefault="004574C0" w:rsidP="004574C0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постанову після </w:t>
      </w:r>
      <w:r w:rsidR="004D422D" w:rsidRPr="002963A7">
        <w:rPr>
          <w:color w:val="000000" w:themeColor="text1"/>
        </w:rPr>
        <w:t>пункт</w:t>
      </w:r>
      <w:r w:rsidRPr="002963A7">
        <w:rPr>
          <w:color w:val="000000" w:themeColor="text1"/>
        </w:rPr>
        <w:t>у 9</w:t>
      </w:r>
      <w:r w:rsidR="004D422D" w:rsidRPr="002963A7">
        <w:rPr>
          <w:color w:val="000000" w:themeColor="text1"/>
        </w:rPr>
        <w:t xml:space="preserve"> </w:t>
      </w:r>
      <w:r w:rsidRPr="002963A7">
        <w:rPr>
          <w:color w:val="000000" w:themeColor="text1"/>
        </w:rPr>
        <w:t>доповнити новим пунктом 9</w:t>
      </w:r>
      <w:r w:rsidRPr="002963A7">
        <w:rPr>
          <w:color w:val="000000" w:themeColor="text1"/>
          <w:vertAlign w:val="superscript"/>
        </w:rPr>
        <w:t>1</w:t>
      </w:r>
      <w:r w:rsidRPr="002963A7">
        <w:rPr>
          <w:color w:val="000000" w:themeColor="text1"/>
        </w:rPr>
        <w:t xml:space="preserve"> такого змісту:</w:t>
      </w:r>
    </w:p>
    <w:p w14:paraId="78AB0E94" w14:textId="05DE2352" w:rsidR="004D422D" w:rsidRPr="002963A7" w:rsidRDefault="007F7B66" w:rsidP="004574C0">
      <w:pPr>
        <w:pStyle w:val="afa"/>
        <w:ind w:firstLine="567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“</w:t>
      </w:r>
      <w:r w:rsidR="004574C0" w:rsidRPr="002963A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="004574C0" w:rsidRPr="002963A7">
        <w:rPr>
          <w:iCs/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>1</w:t>
      </w:r>
      <w:r w:rsidR="004574C0" w:rsidRPr="002963A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4574C0" w:rsidRPr="002963A7">
        <w:rPr>
          <w:iCs/>
          <w:color w:val="000000" w:themeColor="text1"/>
          <w:sz w:val="28"/>
          <w:szCs w:val="28"/>
          <w:shd w:val="clear" w:color="auto" w:fill="FFFFFF"/>
        </w:rPr>
        <w:t xml:space="preserve">Банки мають </w:t>
      </w:r>
      <w:r w:rsidR="00B30ABF" w:rsidRPr="002963A7">
        <w:rPr>
          <w:iCs/>
          <w:color w:val="000000" w:themeColor="text1"/>
          <w:sz w:val="28"/>
          <w:szCs w:val="28"/>
          <w:shd w:val="clear" w:color="auto" w:fill="FFFFFF"/>
        </w:rPr>
        <w:t xml:space="preserve">право перевищувати визначені </w:t>
      </w:r>
      <w:r w:rsidR="002963A7">
        <w:rPr>
          <w:iCs/>
          <w:color w:val="000000" w:themeColor="text1"/>
          <w:sz w:val="28"/>
          <w:szCs w:val="28"/>
          <w:shd w:val="clear" w:color="auto" w:fill="FFFFFF"/>
        </w:rPr>
        <w:t>в</w:t>
      </w:r>
      <w:r w:rsidR="00B30ABF" w:rsidRPr="002963A7">
        <w:rPr>
          <w:iCs/>
          <w:color w:val="000000" w:themeColor="text1"/>
          <w:sz w:val="28"/>
          <w:szCs w:val="28"/>
          <w:shd w:val="clear" w:color="auto" w:fill="FFFFFF"/>
        </w:rPr>
        <w:t xml:space="preserve"> додатку до </w:t>
      </w:r>
      <w:r w:rsidR="00B30ABF" w:rsidRPr="002963A7">
        <w:rPr>
          <w:iCs/>
          <w:color w:val="000000" w:themeColor="text1"/>
          <w:sz w:val="28"/>
          <w:szCs w:val="28"/>
        </w:rPr>
        <w:t>Правил з організації захисту приміщень банків в Україні, затверджених постановою Правління Національного банку України від 10 лютого 2016 року № 63 (зі змінами),</w:t>
      </w:r>
      <w:r w:rsidR="00B30ABF" w:rsidRPr="002963A7">
        <w:rPr>
          <w:iCs/>
          <w:color w:val="000000" w:themeColor="text1"/>
          <w:sz w:val="28"/>
          <w:szCs w:val="28"/>
          <w:shd w:val="clear" w:color="auto" w:fill="FFFFFF"/>
        </w:rPr>
        <w:t xml:space="preserve"> максимальні обсяги готівки та/або інших цінностей, що зберігаються в сховищі та сейфі, що використовується як сховище</w:t>
      </w:r>
      <w:r w:rsidR="003C01DB" w:rsidRPr="002963A7">
        <w:rPr>
          <w:color w:val="000000" w:themeColor="text1"/>
          <w:sz w:val="28"/>
          <w:szCs w:val="28"/>
        </w:rPr>
        <w:t>.</w:t>
      </w:r>
      <w:r w:rsidR="00815CA9" w:rsidRPr="002963A7">
        <w:rPr>
          <w:rFonts w:eastAsia="Times New Roman"/>
          <w:color w:val="000000" w:themeColor="text1"/>
          <w:sz w:val="28"/>
          <w:szCs w:val="28"/>
        </w:rPr>
        <w:t xml:space="preserve">”; </w:t>
      </w:r>
    </w:p>
    <w:p w14:paraId="0552B3F9" w14:textId="10070B7F" w:rsidR="00815CA9" w:rsidRPr="002963A7" w:rsidRDefault="00815CA9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1A0C18E8" w14:textId="11C40944" w:rsidR="00495E26" w:rsidRPr="002963A7" w:rsidRDefault="00495E26" w:rsidP="00C50FAD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у </w:t>
      </w:r>
      <w:r w:rsidR="005B7AE4" w:rsidRPr="002963A7">
        <w:rPr>
          <w:color w:val="000000" w:themeColor="text1"/>
        </w:rPr>
        <w:t>пункт</w:t>
      </w:r>
      <w:r w:rsidRPr="002963A7">
        <w:rPr>
          <w:color w:val="000000" w:themeColor="text1"/>
        </w:rPr>
        <w:t>і</w:t>
      </w:r>
      <w:r w:rsidR="005B7AE4" w:rsidRPr="002963A7">
        <w:rPr>
          <w:color w:val="000000" w:themeColor="text1"/>
        </w:rPr>
        <w:t xml:space="preserve"> 12</w:t>
      </w:r>
      <w:r w:rsidRPr="002963A7">
        <w:rPr>
          <w:color w:val="000000" w:themeColor="text1"/>
        </w:rPr>
        <w:t>:</w:t>
      </w:r>
    </w:p>
    <w:p w14:paraId="1282AD02" w14:textId="4AC02AD5" w:rsidR="00D438E2" w:rsidRPr="002963A7" w:rsidRDefault="00D438E2" w:rsidP="00D438E2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підпункт</w:t>
      </w:r>
      <w:r w:rsidR="00CE7C8B">
        <w:rPr>
          <w:color w:val="000000" w:themeColor="text1"/>
        </w:rPr>
        <w:t xml:space="preserve"> 6</w:t>
      </w:r>
      <w:r w:rsidRPr="002963A7">
        <w:rPr>
          <w:color w:val="000000" w:themeColor="text1"/>
        </w:rPr>
        <w:t xml:space="preserve"> викласти в такій редакції:</w:t>
      </w:r>
    </w:p>
    <w:p w14:paraId="458701DF" w14:textId="4F3E5C4A" w:rsidR="00495E26" w:rsidRPr="002963A7" w:rsidRDefault="00D438E2" w:rsidP="00CE7C8B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“</w:t>
      </w:r>
      <w:r w:rsidR="004574C0" w:rsidRPr="002963A7">
        <w:rPr>
          <w:color w:val="000000" w:themeColor="text1"/>
        </w:rPr>
        <w:t>6)</w:t>
      </w:r>
      <w:r w:rsidR="004574C0" w:rsidRPr="002963A7">
        <w:rPr>
          <w:color w:val="000000" w:themeColor="text1"/>
          <w:shd w:val="clear" w:color="auto" w:fill="FFFFFF"/>
        </w:rPr>
        <w:t xml:space="preserve"> здійснення операцій на умовах </w:t>
      </w:r>
      <w:r w:rsidR="00FE3AF5" w:rsidRPr="002963A7">
        <w:rPr>
          <w:color w:val="000000" w:themeColor="text1"/>
        </w:rPr>
        <w:t>“</w:t>
      </w:r>
      <w:proofErr w:type="spellStart"/>
      <w:r w:rsidR="004574C0" w:rsidRPr="002963A7">
        <w:rPr>
          <w:color w:val="000000" w:themeColor="text1"/>
          <w:shd w:val="clear" w:color="auto" w:fill="FFFFFF"/>
        </w:rPr>
        <w:t>своп</w:t>
      </w:r>
      <w:proofErr w:type="spellEnd"/>
      <w:r w:rsidR="00FE3AF5" w:rsidRPr="002963A7">
        <w:rPr>
          <w:color w:val="000000" w:themeColor="text1"/>
        </w:rPr>
        <w:t>”</w:t>
      </w:r>
      <w:r w:rsidR="004574C0" w:rsidRPr="002963A7">
        <w:rPr>
          <w:color w:val="000000" w:themeColor="text1"/>
          <w:shd w:val="clear" w:color="auto" w:fill="FFFFFF"/>
        </w:rPr>
        <w:t xml:space="preserve"> з клієнтами-резидентами, якщо перша частина операції передбачає купівлю в клієнта</w:t>
      </w:r>
      <w:r w:rsidR="004574C0" w:rsidRPr="002963A7">
        <w:rPr>
          <w:color w:val="000000" w:themeColor="text1"/>
          <w:shd w:val="clear" w:color="auto" w:fill="FFFFFF"/>
          <w:lang w:val="ru-RU"/>
        </w:rPr>
        <w:t>-резидента</w:t>
      </w:r>
      <w:r w:rsidR="004574C0" w:rsidRPr="002963A7">
        <w:rPr>
          <w:color w:val="000000" w:themeColor="text1"/>
          <w:shd w:val="clear" w:color="auto" w:fill="FFFFFF"/>
        </w:rPr>
        <w:t xml:space="preserve"> іноземної валюти;</w:t>
      </w:r>
      <w:r w:rsidR="00495E26" w:rsidRPr="002963A7">
        <w:rPr>
          <w:color w:val="000000" w:themeColor="text1"/>
        </w:rPr>
        <w:t>”;</w:t>
      </w:r>
    </w:p>
    <w:p w14:paraId="580D2C08" w14:textId="4B5B9846" w:rsidR="005B7AE4" w:rsidRPr="002963A7" w:rsidRDefault="00495E26" w:rsidP="00C50FAD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пункт </w:t>
      </w:r>
      <w:r w:rsidR="00815CA9" w:rsidRPr="002963A7">
        <w:rPr>
          <w:color w:val="000000" w:themeColor="text1"/>
        </w:rPr>
        <w:t>доповнити новим підпунктом такого змісту</w:t>
      </w:r>
      <w:r w:rsidR="005B7AE4" w:rsidRPr="002963A7">
        <w:rPr>
          <w:color w:val="000000" w:themeColor="text1"/>
        </w:rPr>
        <w:t>:</w:t>
      </w:r>
    </w:p>
    <w:p w14:paraId="128751F1" w14:textId="6BEA1C3D" w:rsidR="00B64C87" w:rsidRPr="002963A7" w:rsidRDefault="00120EEA" w:rsidP="00D438E2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“</w:t>
      </w:r>
      <w:r w:rsidR="004574C0" w:rsidRPr="002963A7">
        <w:rPr>
          <w:color w:val="000000" w:themeColor="text1"/>
          <w:sz w:val="28"/>
          <w:szCs w:val="28"/>
        </w:rPr>
        <w:t xml:space="preserve">7) купівлі </w:t>
      </w:r>
      <w:r w:rsidR="00D438E2" w:rsidRPr="002963A7">
        <w:rPr>
          <w:color w:val="000000" w:themeColor="text1"/>
          <w:sz w:val="28"/>
          <w:szCs w:val="28"/>
        </w:rPr>
        <w:t xml:space="preserve">клієнтами </w:t>
      </w:r>
      <w:r w:rsidR="004574C0" w:rsidRPr="002963A7">
        <w:rPr>
          <w:color w:val="000000" w:themeColor="text1"/>
          <w:sz w:val="28"/>
          <w:szCs w:val="28"/>
        </w:rPr>
        <w:t xml:space="preserve">іноземної валюти на умовах </w:t>
      </w:r>
      <w:r w:rsidR="00FE3AF5" w:rsidRPr="002963A7">
        <w:rPr>
          <w:rFonts w:eastAsia="Times New Roman"/>
          <w:color w:val="000000" w:themeColor="text1"/>
          <w:sz w:val="28"/>
          <w:szCs w:val="28"/>
        </w:rPr>
        <w:t>“</w:t>
      </w:r>
      <w:r w:rsidR="004574C0" w:rsidRPr="002963A7">
        <w:rPr>
          <w:color w:val="000000" w:themeColor="text1"/>
          <w:sz w:val="28"/>
          <w:szCs w:val="28"/>
        </w:rPr>
        <w:t>форвард</w:t>
      </w:r>
      <w:r w:rsidR="00FE3AF5" w:rsidRPr="002963A7">
        <w:rPr>
          <w:rFonts w:eastAsia="Times New Roman"/>
          <w:color w:val="000000" w:themeColor="text1"/>
          <w:sz w:val="28"/>
          <w:szCs w:val="28"/>
        </w:rPr>
        <w:t>”</w:t>
      </w:r>
      <w:r w:rsidR="004574C0" w:rsidRPr="002963A7">
        <w:rPr>
          <w:color w:val="000000" w:themeColor="text1"/>
          <w:sz w:val="28"/>
          <w:szCs w:val="28"/>
        </w:rPr>
        <w:t xml:space="preserve"> за форвардними договорами, укладен</w:t>
      </w:r>
      <w:r w:rsidR="004859CA">
        <w:rPr>
          <w:color w:val="000000" w:themeColor="text1"/>
          <w:sz w:val="28"/>
          <w:szCs w:val="28"/>
        </w:rPr>
        <w:t>ими</w:t>
      </w:r>
      <w:r w:rsidR="004574C0" w:rsidRPr="002963A7">
        <w:rPr>
          <w:color w:val="000000" w:themeColor="text1"/>
          <w:sz w:val="28"/>
          <w:szCs w:val="28"/>
        </w:rPr>
        <w:t xml:space="preserve"> д</w:t>
      </w:r>
      <w:r w:rsidR="00D438E2" w:rsidRPr="002963A7">
        <w:rPr>
          <w:color w:val="000000" w:themeColor="text1"/>
          <w:sz w:val="28"/>
          <w:szCs w:val="28"/>
        </w:rPr>
        <w:t>о 23 лютого 2022 року (</w:t>
      </w:r>
      <w:proofErr w:type="spellStart"/>
      <w:r w:rsidR="004859CA">
        <w:rPr>
          <w:color w:val="000000" w:themeColor="text1"/>
          <w:sz w:val="28"/>
          <w:szCs w:val="28"/>
        </w:rPr>
        <w:t>у</w:t>
      </w:r>
      <w:r w:rsidR="00D438E2" w:rsidRPr="002963A7">
        <w:rPr>
          <w:color w:val="000000" w:themeColor="text1"/>
          <w:sz w:val="28"/>
          <w:szCs w:val="28"/>
        </w:rPr>
        <w:t>ключно</w:t>
      </w:r>
      <w:proofErr w:type="spellEnd"/>
      <w:r w:rsidR="00D438E2" w:rsidRPr="002963A7">
        <w:rPr>
          <w:color w:val="000000" w:themeColor="text1"/>
          <w:sz w:val="28"/>
          <w:szCs w:val="28"/>
        </w:rPr>
        <w:t xml:space="preserve">). Куплена валюта має бути використана з урахуванням вимог пункту 14 цієї постанови та пункту 44 розділу </w:t>
      </w:r>
      <w:r w:rsidR="00D438E2" w:rsidRPr="002963A7">
        <w:rPr>
          <w:color w:val="000000" w:themeColor="text1"/>
          <w:sz w:val="28"/>
          <w:szCs w:val="28"/>
          <w:lang w:val="en-US"/>
        </w:rPr>
        <w:t>IV</w:t>
      </w:r>
      <w:r w:rsidR="00D438E2" w:rsidRPr="002963A7">
        <w:rPr>
          <w:color w:val="000000" w:themeColor="text1"/>
          <w:sz w:val="28"/>
          <w:szCs w:val="28"/>
          <w:lang w:val="ru-RU"/>
        </w:rPr>
        <w:t xml:space="preserve"> </w:t>
      </w:r>
      <w:r w:rsidR="00D438E2" w:rsidRPr="002963A7">
        <w:rPr>
          <w:color w:val="000000" w:themeColor="text1"/>
          <w:sz w:val="28"/>
          <w:szCs w:val="28"/>
        </w:rPr>
        <w:t>Положення № 5</w:t>
      </w:r>
      <w:r w:rsidR="004574C0" w:rsidRPr="002963A7">
        <w:rPr>
          <w:color w:val="000000" w:themeColor="text1"/>
          <w:sz w:val="28"/>
          <w:szCs w:val="28"/>
        </w:rPr>
        <w:t>.</w:t>
      </w:r>
      <w:r w:rsidRPr="002963A7">
        <w:rPr>
          <w:rFonts w:eastAsia="Times New Roman"/>
          <w:color w:val="000000" w:themeColor="text1"/>
          <w:sz w:val="28"/>
          <w:szCs w:val="28"/>
        </w:rPr>
        <w:t>ˮ</w:t>
      </w:r>
      <w:r w:rsidR="00B64C87"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37363E97" w14:textId="77777777" w:rsidR="00815CA9" w:rsidRPr="002963A7" w:rsidRDefault="00815CA9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6D27F52" w14:textId="65ADF157" w:rsidR="004574C0" w:rsidRPr="002963A7" w:rsidRDefault="00DA45B8" w:rsidP="00C50FAD">
      <w:pPr>
        <w:tabs>
          <w:tab w:val="left" w:pos="567"/>
        </w:tabs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A25EB7" w:rsidRPr="002963A7">
        <w:rPr>
          <w:color w:val="000000" w:themeColor="text1"/>
        </w:rPr>
        <w:t xml:space="preserve">) </w:t>
      </w:r>
      <w:r w:rsidR="004574C0" w:rsidRPr="002963A7">
        <w:rPr>
          <w:color w:val="000000" w:themeColor="text1"/>
        </w:rPr>
        <w:t xml:space="preserve">в абзаці третьому </w:t>
      </w:r>
      <w:r w:rsidR="005C7E93" w:rsidRPr="002963A7">
        <w:rPr>
          <w:color w:val="000000" w:themeColor="text1"/>
        </w:rPr>
        <w:t>пункт</w:t>
      </w:r>
      <w:r w:rsidR="005B5711" w:rsidRPr="002963A7">
        <w:rPr>
          <w:color w:val="000000" w:themeColor="text1"/>
        </w:rPr>
        <w:t>у</w:t>
      </w:r>
      <w:r w:rsidR="005C7E93" w:rsidRPr="002963A7">
        <w:rPr>
          <w:color w:val="000000" w:themeColor="text1"/>
        </w:rPr>
        <w:t xml:space="preserve"> 1</w:t>
      </w:r>
      <w:r w:rsidR="004574C0" w:rsidRPr="002963A7">
        <w:rPr>
          <w:color w:val="000000" w:themeColor="text1"/>
        </w:rPr>
        <w:t>2</w:t>
      </w:r>
      <w:r w:rsidR="004574C0" w:rsidRPr="002963A7">
        <w:rPr>
          <w:color w:val="000000" w:themeColor="text1"/>
          <w:vertAlign w:val="superscript"/>
        </w:rPr>
        <w:t>1</w:t>
      </w:r>
      <w:r w:rsidR="004574C0" w:rsidRPr="002963A7">
        <w:rPr>
          <w:color w:val="000000" w:themeColor="text1"/>
        </w:rPr>
        <w:t xml:space="preserve"> слова “від офіційного </w:t>
      </w:r>
      <w:proofErr w:type="spellStart"/>
      <w:r w:rsidR="004574C0" w:rsidRPr="002963A7">
        <w:rPr>
          <w:color w:val="000000" w:themeColor="text1"/>
        </w:rPr>
        <w:t>курсуˮ</w:t>
      </w:r>
      <w:proofErr w:type="spellEnd"/>
      <w:r w:rsidR="004574C0" w:rsidRPr="002963A7">
        <w:rPr>
          <w:color w:val="000000" w:themeColor="text1"/>
        </w:rPr>
        <w:t xml:space="preserve"> замінити словами “від </w:t>
      </w:r>
      <w:proofErr w:type="spellStart"/>
      <w:r w:rsidR="004574C0" w:rsidRPr="002963A7">
        <w:rPr>
          <w:color w:val="000000" w:themeColor="text1"/>
        </w:rPr>
        <w:t>курсуˮ</w:t>
      </w:r>
      <w:proofErr w:type="spellEnd"/>
      <w:r w:rsidR="004574C0" w:rsidRPr="002963A7">
        <w:rPr>
          <w:color w:val="000000" w:themeColor="text1"/>
        </w:rPr>
        <w:t>;</w:t>
      </w:r>
    </w:p>
    <w:p w14:paraId="499D9BD1" w14:textId="26A36CD5" w:rsidR="004574C0" w:rsidRPr="002963A7" w:rsidRDefault="004574C0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12B89DE0" w14:textId="041F7A21" w:rsidR="007F7B66" w:rsidRPr="002963A7" w:rsidRDefault="00DA45B8" w:rsidP="00C50FAD">
      <w:pPr>
        <w:tabs>
          <w:tab w:val="left" w:pos="567"/>
        </w:tabs>
        <w:ind w:firstLine="567"/>
        <w:rPr>
          <w:color w:val="000000" w:themeColor="text1"/>
        </w:rPr>
      </w:pPr>
      <w:r>
        <w:rPr>
          <w:color w:val="000000" w:themeColor="text1"/>
        </w:rPr>
        <w:t>7</w:t>
      </w:r>
      <w:r w:rsidR="004574C0" w:rsidRPr="002963A7">
        <w:rPr>
          <w:color w:val="000000" w:themeColor="text1"/>
        </w:rPr>
        <w:t xml:space="preserve">) </w:t>
      </w:r>
      <w:r w:rsidR="005C7E93" w:rsidRPr="002963A7">
        <w:rPr>
          <w:color w:val="000000" w:themeColor="text1"/>
        </w:rPr>
        <w:t>пункт 1</w:t>
      </w:r>
      <w:r w:rsidR="004574C0" w:rsidRPr="002963A7">
        <w:rPr>
          <w:color w:val="000000" w:themeColor="text1"/>
        </w:rPr>
        <w:t>3</w:t>
      </w:r>
      <w:r w:rsidR="005C7E93" w:rsidRPr="002963A7">
        <w:rPr>
          <w:color w:val="000000" w:themeColor="text1"/>
        </w:rPr>
        <w:t xml:space="preserve"> </w:t>
      </w:r>
      <w:r w:rsidR="00123B51">
        <w:rPr>
          <w:color w:val="000000" w:themeColor="text1"/>
        </w:rPr>
        <w:t xml:space="preserve">замінити </w:t>
      </w:r>
      <w:r w:rsidR="008F30E3" w:rsidRPr="002963A7">
        <w:rPr>
          <w:color w:val="000000" w:themeColor="text1"/>
        </w:rPr>
        <w:t xml:space="preserve">трьома новими пунктами </w:t>
      </w:r>
      <w:r w:rsidR="00123B51">
        <w:rPr>
          <w:color w:val="000000" w:themeColor="text1"/>
        </w:rPr>
        <w:t>13–13</w:t>
      </w:r>
      <w:r w:rsidR="00123B51" w:rsidRPr="00186F29">
        <w:rPr>
          <w:color w:val="000000" w:themeColor="text1"/>
          <w:vertAlign w:val="superscript"/>
        </w:rPr>
        <w:t>2</w:t>
      </w:r>
      <w:r w:rsidR="000A24BC" w:rsidRPr="00B03A8A">
        <w:rPr>
          <w:color w:val="000000" w:themeColor="text1"/>
        </w:rPr>
        <w:t xml:space="preserve"> </w:t>
      </w:r>
      <w:r w:rsidR="008F30E3" w:rsidRPr="002963A7">
        <w:rPr>
          <w:color w:val="000000" w:themeColor="text1"/>
        </w:rPr>
        <w:t>такого змісту</w:t>
      </w:r>
      <w:r w:rsidR="007F7B66" w:rsidRPr="002963A7">
        <w:rPr>
          <w:color w:val="000000" w:themeColor="text1"/>
        </w:rPr>
        <w:t>:</w:t>
      </w:r>
    </w:p>
    <w:p w14:paraId="22249305" w14:textId="77777777" w:rsidR="004574C0" w:rsidRPr="002963A7" w:rsidRDefault="007F7B66" w:rsidP="00FC1404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“</w:t>
      </w:r>
      <w:r w:rsidR="004574C0" w:rsidRPr="002963A7">
        <w:rPr>
          <w:color w:val="000000" w:themeColor="text1"/>
        </w:rPr>
        <w:t>13. Зафіксувати офіційний курс гривні до долара США на рівні, на якому він діяв 24 лютого 2022 року.</w:t>
      </w:r>
    </w:p>
    <w:p w14:paraId="58FE1C3A" w14:textId="77777777" w:rsidR="008F30E3" w:rsidRPr="002963A7" w:rsidRDefault="008F30E3" w:rsidP="00FC1404">
      <w:pPr>
        <w:ind w:firstLine="567"/>
        <w:rPr>
          <w:color w:val="000000" w:themeColor="text1"/>
        </w:rPr>
      </w:pPr>
    </w:p>
    <w:p w14:paraId="7028FDCE" w14:textId="7FA9BBA0" w:rsidR="004574C0" w:rsidRPr="002963A7" w:rsidRDefault="008F30E3" w:rsidP="00FC1404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13</w:t>
      </w:r>
      <w:r w:rsidRPr="002963A7">
        <w:rPr>
          <w:color w:val="000000" w:themeColor="text1"/>
          <w:vertAlign w:val="superscript"/>
        </w:rPr>
        <w:t>1</w:t>
      </w:r>
      <w:r w:rsidR="00466792" w:rsidRPr="002963A7">
        <w:rPr>
          <w:color w:val="000000" w:themeColor="text1"/>
        </w:rPr>
        <w:t>.</w:t>
      </w:r>
      <w:r w:rsidRPr="002963A7">
        <w:rPr>
          <w:color w:val="000000" w:themeColor="text1"/>
        </w:rPr>
        <w:t xml:space="preserve"> </w:t>
      </w:r>
      <w:r w:rsidR="004574C0" w:rsidRPr="002963A7">
        <w:rPr>
          <w:color w:val="000000" w:themeColor="text1"/>
        </w:rPr>
        <w:t>Офіційний курс гривні до інших іноземних валют та спеціальних прав запозичення установлювати, а облікову ціну банківських металів розраховувати відповідно до вимог Положення про встановлення офіційного курсу гривні до іноземних валют та розрахунку довідкового значення курсу гривні до долара США й облікової ціни банківських металів</w:t>
      </w:r>
      <w:r w:rsidR="00B30ABF" w:rsidRPr="002963A7">
        <w:rPr>
          <w:color w:val="000000" w:themeColor="text1"/>
        </w:rPr>
        <w:t xml:space="preserve">, </w:t>
      </w:r>
      <w:r w:rsidR="004574C0" w:rsidRPr="002963A7">
        <w:rPr>
          <w:color w:val="000000" w:themeColor="text1"/>
        </w:rPr>
        <w:t>затверджен</w:t>
      </w:r>
      <w:r w:rsidR="00FC1404" w:rsidRPr="002963A7">
        <w:rPr>
          <w:color w:val="000000" w:themeColor="text1"/>
        </w:rPr>
        <w:t>ого</w:t>
      </w:r>
      <w:r w:rsidR="004574C0" w:rsidRPr="002963A7">
        <w:rPr>
          <w:color w:val="000000" w:themeColor="text1"/>
        </w:rPr>
        <w:t xml:space="preserve"> постановою Правління Національного банку України від 10 грудня 2019 року №</w:t>
      </w:r>
      <w:r w:rsidR="00FC1404" w:rsidRPr="002963A7">
        <w:rPr>
          <w:color w:val="000000" w:themeColor="text1"/>
        </w:rPr>
        <w:t xml:space="preserve"> 148 (</w:t>
      </w:r>
      <w:r w:rsidR="004574C0" w:rsidRPr="002963A7">
        <w:rPr>
          <w:color w:val="000000" w:themeColor="text1"/>
        </w:rPr>
        <w:t>зі змінами)</w:t>
      </w:r>
      <w:r w:rsidR="00FC1404" w:rsidRPr="002963A7">
        <w:rPr>
          <w:color w:val="000000" w:themeColor="text1"/>
        </w:rPr>
        <w:t>,</w:t>
      </w:r>
      <w:r w:rsidR="004574C0" w:rsidRPr="002963A7">
        <w:rPr>
          <w:color w:val="000000" w:themeColor="text1"/>
        </w:rPr>
        <w:t xml:space="preserve"> з використанням офіційного курсу гривні до долара США, зазначеного </w:t>
      </w:r>
      <w:r w:rsidR="00FC1404" w:rsidRPr="002963A7">
        <w:rPr>
          <w:color w:val="000000" w:themeColor="text1"/>
        </w:rPr>
        <w:t>в</w:t>
      </w:r>
      <w:r w:rsidR="004574C0" w:rsidRPr="002963A7">
        <w:rPr>
          <w:color w:val="000000" w:themeColor="text1"/>
        </w:rPr>
        <w:t xml:space="preserve"> пункт</w:t>
      </w:r>
      <w:r w:rsidR="00466792" w:rsidRPr="002963A7">
        <w:rPr>
          <w:color w:val="000000" w:themeColor="text1"/>
        </w:rPr>
        <w:t>і</w:t>
      </w:r>
      <w:r w:rsidR="00FC1404" w:rsidRPr="002963A7">
        <w:rPr>
          <w:color w:val="000000" w:themeColor="text1"/>
        </w:rPr>
        <w:t xml:space="preserve"> 13 цієї постанови</w:t>
      </w:r>
      <w:r w:rsidR="004574C0" w:rsidRPr="002963A7">
        <w:rPr>
          <w:color w:val="000000" w:themeColor="text1"/>
        </w:rPr>
        <w:t>.</w:t>
      </w:r>
    </w:p>
    <w:p w14:paraId="6F9DC39D" w14:textId="3E513105" w:rsidR="004574C0" w:rsidRPr="002963A7" w:rsidRDefault="004574C0" w:rsidP="00FC1404">
      <w:pPr>
        <w:pStyle w:val="afa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Офіційний курс гривні до іноземних валют, установлений Національним банком</w:t>
      </w:r>
      <w:r w:rsidR="00B30ABF" w:rsidRPr="002963A7">
        <w:rPr>
          <w:color w:val="000000" w:themeColor="text1"/>
          <w:sz w:val="28"/>
          <w:szCs w:val="28"/>
        </w:rPr>
        <w:t xml:space="preserve"> України </w:t>
      </w:r>
      <w:r w:rsidRPr="002963A7">
        <w:rPr>
          <w:color w:val="000000" w:themeColor="text1"/>
          <w:sz w:val="28"/>
          <w:szCs w:val="28"/>
        </w:rPr>
        <w:t>31 січня 2022 року відповідно до переліку іноземних валют, до яких Національний банк</w:t>
      </w:r>
      <w:r w:rsidR="00B30ABF" w:rsidRPr="002963A7">
        <w:rPr>
          <w:color w:val="000000" w:themeColor="text1"/>
          <w:sz w:val="28"/>
          <w:szCs w:val="28"/>
        </w:rPr>
        <w:t xml:space="preserve"> України</w:t>
      </w:r>
      <w:r w:rsidRPr="002963A7">
        <w:rPr>
          <w:color w:val="000000" w:themeColor="text1"/>
          <w:sz w:val="28"/>
          <w:szCs w:val="28"/>
        </w:rPr>
        <w:t xml:space="preserve"> один раз на місяць встановлює офіційний курс гривні, діє до 31 березня 2022 року (</w:t>
      </w:r>
      <w:proofErr w:type="spellStart"/>
      <w:r w:rsidRPr="002963A7">
        <w:rPr>
          <w:color w:val="000000" w:themeColor="text1"/>
          <w:sz w:val="28"/>
          <w:szCs w:val="28"/>
        </w:rPr>
        <w:t>уключно</w:t>
      </w:r>
      <w:proofErr w:type="spellEnd"/>
      <w:r w:rsidRPr="002963A7">
        <w:rPr>
          <w:color w:val="000000" w:themeColor="text1"/>
          <w:sz w:val="28"/>
          <w:szCs w:val="28"/>
        </w:rPr>
        <w:t>).</w:t>
      </w:r>
    </w:p>
    <w:p w14:paraId="63D2DAD7" w14:textId="77777777" w:rsidR="008F30E3" w:rsidRPr="002963A7" w:rsidRDefault="008F30E3" w:rsidP="00FC1404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44867C79" w14:textId="46950782" w:rsidR="005C7E93" w:rsidRPr="002963A7" w:rsidRDefault="008F30E3" w:rsidP="00FC1404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13</w:t>
      </w:r>
      <w:r w:rsidRPr="002963A7">
        <w:rPr>
          <w:color w:val="000000" w:themeColor="text1"/>
          <w:sz w:val="28"/>
          <w:szCs w:val="28"/>
          <w:vertAlign w:val="superscript"/>
        </w:rPr>
        <w:t>2</w:t>
      </w:r>
      <w:r w:rsidR="00466792" w:rsidRPr="002963A7">
        <w:rPr>
          <w:color w:val="000000" w:themeColor="text1"/>
          <w:sz w:val="28"/>
          <w:szCs w:val="28"/>
        </w:rPr>
        <w:t xml:space="preserve">. </w:t>
      </w:r>
      <w:r w:rsidR="00F52CAB" w:rsidRPr="002963A7">
        <w:rPr>
          <w:color w:val="000000" w:themeColor="text1"/>
          <w:sz w:val="28"/>
          <w:szCs w:val="28"/>
        </w:rPr>
        <w:t xml:space="preserve">Національний банк України </w:t>
      </w:r>
      <w:r w:rsidR="004574C0" w:rsidRPr="002963A7">
        <w:rPr>
          <w:color w:val="000000" w:themeColor="text1"/>
          <w:sz w:val="28"/>
          <w:szCs w:val="28"/>
        </w:rPr>
        <w:t xml:space="preserve">до </w:t>
      </w:r>
      <w:r w:rsidR="00FC1404" w:rsidRPr="002963A7">
        <w:rPr>
          <w:color w:val="000000" w:themeColor="text1"/>
          <w:sz w:val="28"/>
          <w:szCs w:val="28"/>
        </w:rPr>
        <w:t xml:space="preserve">прийняття </w:t>
      </w:r>
      <w:r w:rsidR="004574C0" w:rsidRPr="002963A7">
        <w:rPr>
          <w:color w:val="000000" w:themeColor="text1"/>
          <w:sz w:val="28"/>
          <w:szCs w:val="28"/>
        </w:rPr>
        <w:t xml:space="preserve">окремого рішення </w:t>
      </w:r>
      <w:r w:rsidRPr="002963A7">
        <w:rPr>
          <w:color w:val="000000" w:themeColor="text1"/>
          <w:sz w:val="28"/>
          <w:szCs w:val="28"/>
        </w:rPr>
        <w:t>припиняє</w:t>
      </w:r>
      <w:r w:rsidR="00F52CAB" w:rsidRPr="002963A7">
        <w:rPr>
          <w:color w:val="000000" w:themeColor="text1"/>
          <w:sz w:val="28"/>
          <w:szCs w:val="28"/>
        </w:rPr>
        <w:t xml:space="preserve"> </w:t>
      </w:r>
      <w:r w:rsidR="004574C0" w:rsidRPr="002963A7">
        <w:rPr>
          <w:color w:val="000000" w:themeColor="text1"/>
          <w:sz w:val="28"/>
          <w:szCs w:val="28"/>
        </w:rPr>
        <w:t xml:space="preserve">розрахунок довідкового значення курсу гривні до долара </w:t>
      </w:r>
      <w:proofErr w:type="spellStart"/>
      <w:r w:rsidR="004574C0" w:rsidRPr="002963A7">
        <w:rPr>
          <w:color w:val="000000" w:themeColor="text1"/>
          <w:sz w:val="28"/>
          <w:szCs w:val="28"/>
        </w:rPr>
        <w:t>США.</w:t>
      </w:r>
      <w:r w:rsidR="005C7E93" w:rsidRPr="002963A7">
        <w:rPr>
          <w:color w:val="000000" w:themeColor="text1"/>
          <w:sz w:val="28"/>
          <w:szCs w:val="28"/>
        </w:rPr>
        <w:t>ˮ</w:t>
      </w:r>
      <w:proofErr w:type="spellEnd"/>
      <w:r w:rsidR="005C7E93" w:rsidRPr="002963A7">
        <w:rPr>
          <w:color w:val="000000" w:themeColor="text1"/>
          <w:sz w:val="28"/>
          <w:szCs w:val="28"/>
        </w:rPr>
        <w:t>;</w:t>
      </w:r>
    </w:p>
    <w:p w14:paraId="51E828A6" w14:textId="0FC8BC22" w:rsidR="005C7E93" w:rsidRPr="002963A7" w:rsidRDefault="005C7E93" w:rsidP="00FC1404">
      <w:pPr>
        <w:tabs>
          <w:tab w:val="left" w:pos="567"/>
        </w:tabs>
        <w:ind w:firstLine="567"/>
        <w:rPr>
          <w:color w:val="000000" w:themeColor="text1"/>
        </w:rPr>
      </w:pPr>
    </w:p>
    <w:p w14:paraId="608F6C43" w14:textId="7DB016DE" w:rsidR="00FC1404" w:rsidRPr="002963A7" w:rsidRDefault="00DA45B8" w:rsidP="00C50FAD">
      <w:pPr>
        <w:tabs>
          <w:tab w:val="left" w:pos="567"/>
        </w:tabs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5C7E93" w:rsidRPr="002963A7">
        <w:rPr>
          <w:color w:val="000000" w:themeColor="text1"/>
        </w:rPr>
        <w:t xml:space="preserve">) </w:t>
      </w:r>
      <w:r w:rsidR="00FC1404" w:rsidRPr="002963A7">
        <w:rPr>
          <w:color w:val="000000" w:themeColor="text1"/>
        </w:rPr>
        <w:t xml:space="preserve">у </w:t>
      </w:r>
      <w:r w:rsidR="005C7E93" w:rsidRPr="002963A7">
        <w:rPr>
          <w:color w:val="000000" w:themeColor="text1"/>
        </w:rPr>
        <w:t>пункт</w:t>
      </w:r>
      <w:r w:rsidR="00FC1404" w:rsidRPr="002963A7">
        <w:rPr>
          <w:color w:val="000000" w:themeColor="text1"/>
        </w:rPr>
        <w:t>і</w:t>
      </w:r>
      <w:r w:rsidR="00264FB1" w:rsidRPr="002963A7">
        <w:rPr>
          <w:color w:val="000000" w:themeColor="text1"/>
        </w:rPr>
        <w:t xml:space="preserve"> 14</w:t>
      </w:r>
      <w:r w:rsidR="00FC1404" w:rsidRPr="002963A7">
        <w:rPr>
          <w:color w:val="000000" w:themeColor="text1"/>
        </w:rPr>
        <w:t>:</w:t>
      </w:r>
      <w:r w:rsidR="00264FB1" w:rsidRPr="002963A7">
        <w:rPr>
          <w:color w:val="000000" w:themeColor="text1"/>
        </w:rPr>
        <w:t xml:space="preserve"> </w:t>
      </w:r>
    </w:p>
    <w:p w14:paraId="01F68895" w14:textId="77777777" w:rsidR="00FC1404" w:rsidRPr="002963A7" w:rsidRDefault="00FC1404" w:rsidP="00FC1404">
      <w:pPr>
        <w:tabs>
          <w:tab w:val="left" w:pos="567"/>
        </w:tabs>
        <w:ind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абзац перший </w:t>
      </w:r>
      <w:r w:rsidR="005C7E93" w:rsidRPr="002963A7">
        <w:rPr>
          <w:color w:val="000000" w:themeColor="text1"/>
        </w:rPr>
        <w:t>викласти в такій редакції:</w:t>
      </w:r>
      <w:r w:rsidRPr="002963A7">
        <w:rPr>
          <w:color w:val="000000" w:themeColor="text1"/>
        </w:rPr>
        <w:t xml:space="preserve"> </w:t>
      </w:r>
    </w:p>
    <w:p w14:paraId="00B3DBF3" w14:textId="227EAA4A" w:rsidR="005C7E93" w:rsidRPr="002963A7" w:rsidRDefault="005C7E93" w:rsidP="00FC1404">
      <w:pPr>
        <w:tabs>
          <w:tab w:val="left" w:pos="567"/>
        </w:tabs>
        <w:ind w:firstLine="567"/>
        <w:rPr>
          <w:color w:val="000000" w:themeColor="text1"/>
        </w:rPr>
      </w:pPr>
      <w:r w:rsidRPr="002963A7">
        <w:rPr>
          <w:color w:val="000000" w:themeColor="text1"/>
        </w:rPr>
        <w:t>“</w:t>
      </w:r>
      <w:r w:rsidR="00FC1404" w:rsidRPr="002963A7">
        <w:rPr>
          <w:color w:val="000000" w:themeColor="text1"/>
        </w:rPr>
        <w:t>14. </w:t>
      </w:r>
      <w:r w:rsidR="00264FB1" w:rsidRPr="002963A7">
        <w:rPr>
          <w:color w:val="000000" w:themeColor="text1"/>
        </w:rPr>
        <w:t xml:space="preserve">Уповноваженим установам забороняється здійснювати транскордонний переказ валютних цінностей з України/переказ коштів на кореспондентські рахунки банків-нерезидентів </w:t>
      </w:r>
      <w:r w:rsidR="000A24BC">
        <w:rPr>
          <w:color w:val="000000" w:themeColor="text1"/>
        </w:rPr>
        <w:t>у</w:t>
      </w:r>
      <w:r w:rsidR="000A24BC" w:rsidRPr="002963A7">
        <w:rPr>
          <w:color w:val="000000" w:themeColor="text1"/>
        </w:rPr>
        <w:t xml:space="preserve"> </w:t>
      </w:r>
      <w:r w:rsidR="00264FB1" w:rsidRPr="002963A7">
        <w:rPr>
          <w:color w:val="000000" w:themeColor="text1"/>
        </w:rPr>
        <w:t>гривнях/іноземній валюті, відкриті в банках</w:t>
      </w:r>
      <w:r w:rsidR="00162447" w:rsidRPr="002963A7">
        <w:rPr>
          <w:color w:val="000000" w:themeColor="text1"/>
        </w:rPr>
        <w:t>-резидентах</w:t>
      </w:r>
      <w:r w:rsidR="00264FB1" w:rsidRPr="002963A7">
        <w:rPr>
          <w:color w:val="000000" w:themeColor="text1"/>
        </w:rPr>
        <w:t xml:space="preserve">, уключаючи перекази, що здійснюються за дорученням клієнтів, крім випадків </w:t>
      </w:r>
      <w:proofErr w:type="spellStart"/>
      <w:r w:rsidR="00264FB1" w:rsidRPr="002963A7">
        <w:rPr>
          <w:color w:val="000000" w:themeColor="text1"/>
        </w:rPr>
        <w:t>здійснення:</w:t>
      </w:r>
      <w:r w:rsidRPr="002963A7">
        <w:rPr>
          <w:color w:val="000000" w:themeColor="text1"/>
        </w:rPr>
        <w:t>ˮ</w:t>
      </w:r>
      <w:proofErr w:type="spellEnd"/>
      <w:r w:rsidRPr="002963A7">
        <w:rPr>
          <w:color w:val="000000" w:themeColor="text1"/>
        </w:rPr>
        <w:t>;</w:t>
      </w:r>
    </w:p>
    <w:p w14:paraId="17BD3FC6" w14:textId="2E9F266C" w:rsidR="00FC1404" w:rsidRPr="002963A7" w:rsidRDefault="00FC1404" w:rsidP="00FC1404">
      <w:pPr>
        <w:tabs>
          <w:tab w:val="left" w:pos="567"/>
        </w:tabs>
        <w:ind w:firstLine="567"/>
        <w:rPr>
          <w:color w:val="000000" w:themeColor="text1"/>
        </w:rPr>
      </w:pPr>
      <w:r w:rsidRPr="002963A7">
        <w:rPr>
          <w:color w:val="000000" w:themeColor="text1"/>
        </w:rPr>
        <w:t>пункт після підпункту 2 доповнити новим підпунктом 2</w:t>
      </w:r>
      <w:r w:rsidRPr="002963A7">
        <w:rPr>
          <w:color w:val="000000" w:themeColor="text1"/>
          <w:vertAlign w:val="superscript"/>
        </w:rPr>
        <w:t>1</w:t>
      </w:r>
      <w:r w:rsidRPr="002963A7">
        <w:rPr>
          <w:color w:val="000000" w:themeColor="text1"/>
        </w:rPr>
        <w:t xml:space="preserve"> такого змісту:</w:t>
      </w:r>
    </w:p>
    <w:p w14:paraId="54E40A69" w14:textId="64D7B2DD" w:rsidR="00FC1404" w:rsidRDefault="00FC1404" w:rsidP="00FC1404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“2</w:t>
      </w:r>
      <w:r w:rsidRPr="002963A7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) валютних операцій резидентів з виконання зобов’язань, які забезпечені державною 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гарантією;ˮ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41F5BD06" w14:textId="792347AD" w:rsidR="0047199F" w:rsidRPr="00EE34FB" w:rsidRDefault="0047199F" w:rsidP="00FC1404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підпункт 5 після слова </w:t>
      </w:r>
      <w:r w:rsidRPr="002963A7">
        <w:rPr>
          <w:rFonts w:eastAsia="Times New Roman"/>
          <w:color w:val="000000" w:themeColor="text1"/>
          <w:sz w:val="28"/>
          <w:szCs w:val="28"/>
        </w:rPr>
        <w:t>“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держави</w:t>
      </w:r>
      <w:r w:rsidR="004859CA">
        <w:rPr>
          <w:rFonts w:eastAsia="Times New Roman"/>
          <w:color w:val="000000" w:themeColor="text1"/>
          <w:sz w:val="28"/>
          <w:szCs w:val="28"/>
        </w:rPr>
        <w:t>,</w:t>
      </w:r>
      <w:r w:rsidRPr="002963A7">
        <w:rPr>
          <w:color w:val="000000" w:themeColor="text1"/>
        </w:rPr>
        <w:t>ˮ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доповнити </w:t>
      </w:r>
      <w:r w:rsidRPr="0047199F">
        <w:rPr>
          <w:rFonts w:eastAsia="Times New Roman"/>
          <w:color w:val="000000" w:themeColor="text1"/>
          <w:sz w:val="28"/>
          <w:szCs w:val="28"/>
        </w:rPr>
        <w:t>словами “</w:t>
      </w:r>
      <w:r w:rsidR="0083160F" w:rsidRPr="00EE34FB">
        <w:rPr>
          <w:sz w:val="28"/>
          <w:szCs w:val="28"/>
        </w:rPr>
        <w:t xml:space="preserve">перерахування коштів </w:t>
      </w:r>
      <w:r w:rsidR="006448EB">
        <w:rPr>
          <w:sz w:val="28"/>
          <w:szCs w:val="28"/>
        </w:rPr>
        <w:t>з</w:t>
      </w:r>
      <w:r w:rsidR="0083160F" w:rsidRPr="00EE34FB">
        <w:rPr>
          <w:sz w:val="28"/>
          <w:szCs w:val="28"/>
        </w:rPr>
        <w:t xml:space="preserve">а навчання на </w:t>
      </w:r>
      <w:r w:rsidR="00EE34FB" w:rsidRPr="00EE34FB">
        <w:rPr>
          <w:sz w:val="28"/>
          <w:szCs w:val="28"/>
        </w:rPr>
        <w:t>рахун</w:t>
      </w:r>
      <w:r w:rsidR="00EE34FB">
        <w:rPr>
          <w:sz w:val="28"/>
          <w:szCs w:val="28"/>
        </w:rPr>
        <w:t>ки</w:t>
      </w:r>
      <w:r w:rsidR="00EE34FB" w:rsidRPr="00EE34FB">
        <w:rPr>
          <w:sz w:val="28"/>
          <w:szCs w:val="28"/>
        </w:rPr>
        <w:t xml:space="preserve"> </w:t>
      </w:r>
      <w:r w:rsidR="0083160F" w:rsidRPr="00EE34FB">
        <w:rPr>
          <w:sz w:val="28"/>
          <w:szCs w:val="28"/>
        </w:rPr>
        <w:t xml:space="preserve">навчальних закладів іноземної </w:t>
      </w:r>
      <w:proofErr w:type="spellStart"/>
      <w:r w:rsidR="0083160F" w:rsidRPr="00EE34FB">
        <w:rPr>
          <w:sz w:val="28"/>
          <w:szCs w:val="28"/>
        </w:rPr>
        <w:t>держави</w:t>
      </w:r>
      <w:r w:rsidR="006448EB">
        <w:rPr>
          <w:sz w:val="28"/>
          <w:szCs w:val="28"/>
        </w:rPr>
        <w:t>,</w:t>
      </w:r>
      <w:r w:rsidRPr="00EE34FB">
        <w:rPr>
          <w:color w:val="000000" w:themeColor="text1"/>
        </w:rPr>
        <w:t>ˮ</w:t>
      </w:r>
      <w:proofErr w:type="spellEnd"/>
      <w:r w:rsidRPr="00EE34FB">
        <w:rPr>
          <w:rFonts w:eastAsia="Times New Roman"/>
          <w:color w:val="000000" w:themeColor="text1"/>
          <w:sz w:val="28"/>
          <w:szCs w:val="28"/>
        </w:rPr>
        <w:t>;</w:t>
      </w:r>
    </w:p>
    <w:p w14:paraId="13ED2EE4" w14:textId="295D1080" w:rsidR="008011EF" w:rsidRPr="00EE34FB" w:rsidRDefault="008011EF" w:rsidP="0047199F">
      <w:pPr>
        <w:pStyle w:val="afa"/>
        <w:tabs>
          <w:tab w:val="left" w:pos="8023"/>
        </w:tabs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E34FB">
        <w:rPr>
          <w:rFonts w:eastAsia="Times New Roman"/>
          <w:color w:val="000000" w:themeColor="text1"/>
          <w:sz w:val="28"/>
          <w:szCs w:val="28"/>
        </w:rPr>
        <w:t xml:space="preserve">підпункт 8 </w:t>
      </w:r>
      <w:r w:rsidRPr="00EE34FB">
        <w:rPr>
          <w:color w:val="000000" w:themeColor="text1"/>
          <w:sz w:val="28"/>
          <w:szCs w:val="28"/>
        </w:rPr>
        <w:t>викласти в такій редакції:</w:t>
      </w:r>
      <w:r w:rsidR="0047199F" w:rsidRPr="00EE34FB">
        <w:rPr>
          <w:color w:val="000000" w:themeColor="text1"/>
          <w:sz w:val="28"/>
          <w:szCs w:val="28"/>
        </w:rPr>
        <w:tab/>
      </w:r>
    </w:p>
    <w:p w14:paraId="4A41AEB4" w14:textId="2125BE26" w:rsidR="008011EF" w:rsidRPr="00413FC7" w:rsidRDefault="008011EF" w:rsidP="00FC1404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413FC7">
        <w:rPr>
          <w:rFonts w:eastAsia="Times New Roman"/>
          <w:color w:val="000000" w:themeColor="text1"/>
          <w:sz w:val="28"/>
          <w:szCs w:val="28"/>
        </w:rPr>
        <w:t xml:space="preserve">“8) </w:t>
      </w:r>
      <w:r w:rsidRPr="00413FC7">
        <w:rPr>
          <w:sz w:val="28"/>
          <w:szCs w:val="28"/>
        </w:rPr>
        <w:t>розрахунків (оплати вартості товарів, робіт та послуг) за кордоном з використання</w:t>
      </w:r>
      <w:r w:rsidR="004043F7">
        <w:rPr>
          <w:sz w:val="28"/>
          <w:szCs w:val="28"/>
        </w:rPr>
        <w:t>м</w:t>
      </w:r>
      <w:r w:rsidRPr="00413FC7">
        <w:rPr>
          <w:sz w:val="28"/>
          <w:szCs w:val="28"/>
        </w:rPr>
        <w:t xml:space="preserve"> електронних платіжних засобів або використання за кордоном електронних платіжних засобів для отримання готівкових </w:t>
      </w:r>
      <w:proofErr w:type="spellStart"/>
      <w:r w:rsidRPr="00413FC7">
        <w:rPr>
          <w:sz w:val="28"/>
          <w:szCs w:val="28"/>
        </w:rPr>
        <w:t>коштів;</w:t>
      </w:r>
      <w:r w:rsidRPr="00413FC7">
        <w:rPr>
          <w:rFonts w:eastAsia="Times New Roman"/>
          <w:color w:val="000000" w:themeColor="text1"/>
          <w:sz w:val="28"/>
          <w:szCs w:val="28"/>
        </w:rPr>
        <w:t>ˮ</w:t>
      </w:r>
      <w:proofErr w:type="spellEnd"/>
      <w:r w:rsidRPr="00413FC7">
        <w:rPr>
          <w:rFonts w:eastAsia="Times New Roman"/>
          <w:color w:val="000000" w:themeColor="text1"/>
          <w:sz w:val="28"/>
          <w:szCs w:val="28"/>
        </w:rPr>
        <w:t>;</w:t>
      </w:r>
    </w:p>
    <w:p w14:paraId="2D9EE0F4" w14:textId="75C9C247" w:rsidR="00FC1404" w:rsidRPr="00D00160" w:rsidRDefault="00FC1404" w:rsidP="00FC1404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413FC7">
        <w:rPr>
          <w:rFonts w:eastAsia="Times New Roman"/>
          <w:color w:val="000000" w:themeColor="text1"/>
          <w:sz w:val="28"/>
          <w:szCs w:val="28"/>
        </w:rPr>
        <w:t xml:space="preserve">пункт </w:t>
      </w:r>
      <w:r w:rsidRPr="00D00160">
        <w:rPr>
          <w:rFonts w:eastAsia="Times New Roman"/>
          <w:color w:val="000000" w:themeColor="text1"/>
          <w:sz w:val="28"/>
          <w:szCs w:val="28"/>
        </w:rPr>
        <w:t xml:space="preserve">доповнити </w:t>
      </w:r>
      <w:r w:rsidR="008011EF" w:rsidRPr="00D00160">
        <w:rPr>
          <w:rFonts w:eastAsia="Times New Roman"/>
          <w:color w:val="000000" w:themeColor="text1"/>
          <w:sz w:val="28"/>
          <w:szCs w:val="28"/>
        </w:rPr>
        <w:t xml:space="preserve">двома </w:t>
      </w:r>
      <w:r w:rsidRPr="00D00160">
        <w:rPr>
          <w:rFonts w:eastAsia="Times New Roman"/>
          <w:color w:val="000000" w:themeColor="text1"/>
          <w:sz w:val="28"/>
          <w:szCs w:val="28"/>
        </w:rPr>
        <w:t>новим</w:t>
      </w:r>
      <w:r w:rsidR="008011EF" w:rsidRPr="00D00160">
        <w:rPr>
          <w:rFonts w:eastAsia="Times New Roman"/>
          <w:color w:val="000000" w:themeColor="text1"/>
          <w:sz w:val="28"/>
          <w:szCs w:val="28"/>
        </w:rPr>
        <w:t>и</w:t>
      </w:r>
      <w:r w:rsidRPr="00D00160">
        <w:rPr>
          <w:rFonts w:eastAsia="Times New Roman"/>
          <w:color w:val="000000" w:themeColor="text1"/>
          <w:sz w:val="28"/>
          <w:szCs w:val="28"/>
        </w:rPr>
        <w:t xml:space="preserve"> підпункт</w:t>
      </w:r>
      <w:r w:rsidR="008011EF" w:rsidRPr="00D00160">
        <w:rPr>
          <w:rFonts w:eastAsia="Times New Roman"/>
          <w:color w:val="000000" w:themeColor="text1"/>
          <w:sz w:val="28"/>
          <w:szCs w:val="28"/>
        </w:rPr>
        <w:t>а</w:t>
      </w:r>
      <w:r w:rsidR="004D2E21" w:rsidRPr="00D00160">
        <w:rPr>
          <w:rFonts w:eastAsia="Times New Roman"/>
          <w:color w:val="000000" w:themeColor="text1"/>
          <w:sz w:val="28"/>
          <w:szCs w:val="28"/>
        </w:rPr>
        <w:t>м</w:t>
      </w:r>
      <w:r w:rsidR="008011EF" w:rsidRPr="00D00160">
        <w:rPr>
          <w:rFonts w:eastAsia="Times New Roman"/>
          <w:color w:val="000000" w:themeColor="text1"/>
          <w:sz w:val="28"/>
          <w:szCs w:val="28"/>
        </w:rPr>
        <w:t>и</w:t>
      </w:r>
      <w:r w:rsidRPr="00D00160">
        <w:rPr>
          <w:rFonts w:eastAsia="Times New Roman"/>
          <w:color w:val="000000" w:themeColor="text1"/>
          <w:sz w:val="28"/>
          <w:szCs w:val="28"/>
        </w:rPr>
        <w:t xml:space="preserve"> такого змісту:</w:t>
      </w:r>
    </w:p>
    <w:p w14:paraId="07188C3D" w14:textId="5981A4B8" w:rsidR="008011EF" w:rsidRPr="00FF1ECC" w:rsidRDefault="00FC1404" w:rsidP="00FF1ECC">
      <w:pPr>
        <w:ind w:firstLine="567"/>
        <w:rPr>
          <w:bCs/>
        </w:rPr>
      </w:pPr>
      <w:r w:rsidRPr="00FF1ECC">
        <w:rPr>
          <w:color w:val="000000" w:themeColor="text1"/>
        </w:rPr>
        <w:t xml:space="preserve">“9) </w:t>
      </w:r>
      <w:r w:rsidR="00FF1ECC" w:rsidRPr="00FF1ECC">
        <w:rPr>
          <w:bCs/>
        </w:rPr>
        <w:t xml:space="preserve">на суму </w:t>
      </w:r>
      <w:r w:rsidR="00C51360">
        <w:rPr>
          <w:bCs/>
        </w:rPr>
        <w:t>в</w:t>
      </w:r>
      <w:r w:rsidR="00FF1ECC" w:rsidRPr="00FF1ECC">
        <w:rPr>
          <w:bCs/>
        </w:rPr>
        <w:t xml:space="preserve"> еквіваленті до 100 000 гривень </w:t>
      </w:r>
      <w:proofErr w:type="spellStart"/>
      <w:r w:rsidR="00FF1ECC" w:rsidRPr="00FF1ECC">
        <w:rPr>
          <w:bCs/>
        </w:rPr>
        <w:t>уключно</w:t>
      </w:r>
      <w:proofErr w:type="spellEnd"/>
      <w:r w:rsidR="00FF1ECC" w:rsidRPr="00FF1ECC">
        <w:rPr>
          <w:bCs/>
        </w:rPr>
        <w:t xml:space="preserve"> на одного клієнта банку на календарний місяць</w:t>
      </w:r>
      <w:r w:rsidR="00FF1ECC" w:rsidRPr="00FF1ECC">
        <w:t xml:space="preserve"> переказів з рахунків фізичних осіб на рахунки фізичних осіб з використанням реквізитів електронних платіжних засобів платника та отримувача (</w:t>
      </w:r>
      <w:r w:rsidR="00FF1ECC" w:rsidRPr="00FF1ECC">
        <w:rPr>
          <w:lang w:val="en-US"/>
        </w:rPr>
        <w:t>p</w:t>
      </w:r>
      <w:r w:rsidR="00FF1ECC" w:rsidRPr="00FF1ECC">
        <w:t>2</w:t>
      </w:r>
      <w:r w:rsidR="00FF1ECC" w:rsidRPr="00FF1ECC">
        <w:rPr>
          <w:lang w:val="en-US"/>
        </w:rPr>
        <w:t>p</w:t>
      </w:r>
      <w:r w:rsidR="00F64D7E">
        <w:t>-</w:t>
      </w:r>
      <w:r w:rsidR="00FF1ECC" w:rsidRPr="00FF1ECC">
        <w:t xml:space="preserve">переказів) та </w:t>
      </w:r>
      <w:r w:rsidR="00FF1ECC" w:rsidRPr="00FF1ECC">
        <w:rPr>
          <w:bCs/>
        </w:rPr>
        <w:t xml:space="preserve">розрахунків, здійснених з використанням електронних платіжних засобів,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</w:t>
      </w:r>
      <w:r w:rsidR="00FF1ECC" w:rsidRPr="00FF1ECC">
        <w:t>“</w:t>
      </w:r>
      <w:proofErr w:type="spellStart"/>
      <w:r w:rsidR="00FF1ECC" w:rsidRPr="00FF1ECC">
        <w:t>квазікеш</w:t>
      </w:r>
      <w:proofErr w:type="spellEnd"/>
      <w:r w:rsidR="00FF1ECC" w:rsidRPr="00FF1ECC">
        <w:t xml:space="preserve">” (англійською мовою </w:t>
      </w:r>
      <w:proofErr w:type="spellStart"/>
      <w:r w:rsidR="00FF1ECC" w:rsidRPr="00FF1ECC">
        <w:t>quasi</w:t>
      </w:r>
      <w:proofErr w:type="spellEnd"/>
      <w:r w:rsidR="00FF1ECC" w:rsidRPr="00FF1ECC">
        <w:t xml:space="preserve"> </w:t>
      </w:r>
      <w:proofErr w:type="spellStart"/>
      <w:r w:rsidR="00FF1ECC" w:rsidRPr="00FF1ECC">
        <w:t>cash</w:t>
      </w:r>
      <w:proofErr w:type="spellEnd"/>
      <w:r w:rsidR="00FF1ECC" w:rsidRPr="00FF1ECC">
        <w:t>)</w:t>
      </w:r>
      <w:r w:rsidR="00FF1ECC" w:rsidRPr="00FF1ECC">
        <w:rPr>
          <w:bCs/>
        </w:rPr>
        <w:t>.  До таких операцій, зокрема, але не виключно, належать</w:t>
      </w:r>
      <w:r w:rsidR="000713C6">
        <w:rPr>
          <w:bCs/>
        </w:rPr>
        <w:t>:</w:t>
      </w:r>
      <w:r w:rsidR="00FF1ECC" w:rsidRPr="00FF1ECC">
        <w:rPr>
          <w:bCs/>
        </w:rPr>
        <w:t xml:space="preserve"> купівля </w:t>
      </w:r>
      <w:proofErr w:type="spellStart"/>
      <w:r w:rsidR="00FF1ECC" w:rsidRPr="00FF1ECC">
        <w:rPr>
          <w:bCs/>
        </w:rPr>
        <w:t>криптовалют</w:t>
      </w:r>
      <w:proofErr w:type="spellEnd"/>
      <w:r w:rsidR="00FF1ECC" w:rsidRPr="00FF1ECC">
        <w:rPr>
          <w:bCs/>
        </w:rPr>
        <w:t xml:space="preserve">, поповнення брокерських або </w:t>
      </w:r>
      <w:proofErr w:type="spellStart"/>
      <w:r w:rsidR="00FF1ECC" w:rsidRPr="00FF1ECC">
        <w:rPr>
          <w:bCs/>
        </w:rPr>
        <w:t>форекс</w:t>
      </w:r>
      <w:proofErr w:type="spellEnd"/>
      <w:r w:rsidR="00FF1ECC" w:rsidRPr="00FF1ECC">
        <w:rPr>
          <w:bCs/>
        </w:rPr>
        <w:t>-рахунків, поповнення електронних гаманців,  </w:t>
      </w:r>
      <w:r w:rsidR="00FF1ECC">
        <w:rPr>
          <w:bCs/>
        </w:rPr>
        <w:t>купівля</w:t>
      </w:r>
      <w:r w:rsidR="00FF1ECC" w:rsidRPr="00FF1ECC">
        <w:rPr>
          <w:bCs/>
        </w:rPr>
        <w:t xml:space="preserve"> подарункових сертифікатів,  перекази на користь букмекерських компаній, оплата дорожніх </w:t>
      </w:r>
      <w:proofErr w:type="spellStart"/>
      <w:r w:rsidR="00FF1ECC" w:rsidRPr="00FF1ECC">
        <w:rPr>
          <w:bCs/>
        </w:rPr>
        <w:t>чеків</w:t>
      </w:r>
      <w:proofErr w:type="spellEnd"/>
      <w:r w:rsidR="00FF1ECC" w:rsidRPr="00FF1ECC">
        <w:rPr>
          <w:bCs/>
        </w:rPr>
        <w:t>. Коди категорій торговців, що можуть використовуватися для таких операцій, зокрема, але не виключно, такі: 4829; 6012; 6050; 6051; 6534; 6539; 6540; 7800; 7801; 7802; 7995;</w:t>
      </w:r>
    </w:p>
    <w:p w14:paraId="5A14D7A8" w14:textId="77777777" w:rsidR="00FF1ECC" w:rsidRPr="00FF1ECC" w:rsidRDefault="00FF1ECC" w:rsidP="00FF1ECC">
      <w:pPr>
        <w:ind w:firstLine="567"/>
        <w:rPr>
          <w:lang w:val="ru-RU"/>
        </w:rPr>
      </w:pPr>
    </w:p>
    <w:p w14:paraId="2E1DB7CA" w14:textId="5D98FDD6" w:rsidR="00FC1404" w:rsidRPr="00FF1ECC" w:rsidRDefault="00C51360" w:rsidP="004D2E21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1EF" w:rsidRPr="00FF1ECC">
        <w:rPr>
          <w:sz w:val="28"/>
          <w:szCs w:val="28"/>
        </w:rPr>
        <w:t xml:space="preserve">) розрахунків </w:t>
      </w:r>
      <w:r w:rsidR="008011EF" w:rsidRPr="00FF1ECC">
        <w:rPr>
          <w:sz w:val="28"/>
          <w:szCs w:val="28"/>
          <w:shd w:val="clear" w:color="auto" w:fill="FFFFFF"/>
        </w:rPr>
        <w:t>національного оператора поштового зв’язку</w:t>
      </w:r>
      <w:r w:rsidR="008011EF" w:rsidRPr="00FF1ECC">
        <w:rPr>
          <w:sz w:val="28"/>
          <w:szCs w:val="28"/>
        </w:rPr>
        <w:t xml:space="preserve"> з міжнародними картковими платіжними </w:t>
      </w:r>
      <w:proofErr w:type="spellStart"/>
      <w:r w:rsidR="008011EF" w:rsidRPr="00FF1ECC">
        <w:rPr>
          <w:sz w:val="28"/>
          <w:szCs w:val="28"/>
        </w:rPr>
        <w:t>системами</w:t>
      </w:r>
      <w:r w:rsidR="005B5711" w:rsidRPr="00FF1ECC">
        <w:rPr>
          <w:sz w:val="28"/>
          <w:szCs w:val="28"/>
        </w:rPr>
        <w:t>.</w:t>
      </w:r>
      <w:r w:rsidR="00FC1404" w:rsidRPr="00FF1ECC">
        <w:rPr>
          <w:rFonts w:eastAsia="Times New Roman"/>
          <w:sz w:val="28"/>
          <w:szCs w:val="28"/>
        </w:rPr>
        <w:t>ˮ</w:t>
      </w:r>
      <w:proofErr w:type="spellEnd"/>
      <w:r w:rsidR="00FC1404" w:rsidRPr="00FF1ECC">
        <w:rPr>
          <w:rFonts w:eastAsia="Times New Roman"/>
          <w:sz w:val="28"/>
          <w:szCs w:val="28"/>
        </w:rPr>
        <w:t>;</w:t>
      </w:r>
    </w:p>
    <w:p w14:paraId="58792AD4" w14:textId="54BC8232" w:rsidR="00FC1404" w:rsidRPr="002963A7" w:rsidRDefault="00FC1404" w:rsidP="00FC1404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F4031E6" w14:textId="514ED029" w:rsidR="00413FA1" w:rsidRPr="002963A7" w:rsidRDefault="00C51360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C7E93" w:rsidRPr="002963A7">
        <w:rPr>
          <w:color w:val="000000" w:themeColor="text1"/>
          <w:sz w:val="28"/>
          <w:szCs w:val="28"/>
        </w:rPr>
        <w:t xml:space="preserve">) </w:t>
      </w:r>
      <w:r w:rsidR="0006302E" w:rsidRPr="002963A7">
        <w:rPr>
          <w:color w:val="000000" w:themeColor="text1"/>
          <w:sz w:val="28"/>
          <w:szCs w:val="28"/>
        </w:rPr>
        <w:t xml:space="preserve">у </w:t>
      </w:r>
      <w:r w:rsidR="00294B06" w:rsidRPr="002963A7">
        <w:rPr>
          <w:color w:val="000000" w:themeColor="text1"/>
          <w:sz w:val="28"/>
          <w:szCs w:val="28"/>
        </w:rPr>
        <w:t>пункт</w:t>
      </w:r>
      <w:r w:rsidR="0006302E" w:rsidRPr="002963A7">
        <w:rPr>
          <w:color w:val="000000" w:themeColor="text1"/>
          <w:sz w:val="28"/>
          <w:szCs w:val="28"/>
        </w:rPr>
        <w:t>і 18</w:t>
      </w:r>
      <w:r w:rsidR="004D159E">
        <w:rPr>
          <w:color w:val="000000" w:themeColor="text1"/>
          <w:sz w:val="28"/>
          <w:szCs w:val="28"/>
        </w:rPr>
        <w:t>:</w:t>
      </w:r>
    </w:p>
    <w:p w14:paraId="23E31E13" w14:textId="77777777" w:rsidR="00413FA1" w:rsidRPr="002963A7" w:rsidRDefault="00413FA1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в абзаці першому:</w:t>
      </w:r>
    </w:p>
    <w:p w14:paraId="6CA6C62D" w14:textId="2BB13CBD" w:rsidR="00413FA1" w:rsidRPr="002963A7" w:rsidRDefault="00413FA1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перше речення доповнити слов</w:t>
      </w:r>
      <w:r w:rsidR="00436A1C">
        <w:rPr>
          <w:color w:val="000000" w:themeColor="text1"/>
          <w:sz w:val="28"/>
          <w:szCs w:val="28"/>
        </w:rPr>
        <w:t>ом</w:t>
      </w:r>
      <w:r w:rsidRPr="002963A7">
        <w:rPr>
          <w:color w:val="000000" w:themeColor="text1"/>
          <w:sz w:val="28"/>
          <w:szCs w:val="28"/>
        </w:rPr>
        <w:t xml:space="preserve"> та </w:t>
      </w:r>
      <w:r w:rsidR="004D159E">
        <w:rPr>
          <w:color w:val="000000" w:themeColor="text1"/>
          <w:sz w:val="28"/>
          <w:szCs w:val="28"/>
        </w:rPr>
        <w:t>літерами</w:t>
      </w:r>
      <w:r w:rsidR="004D159E"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color w:val="000000" w:themeColor="text1"/>
          <w:sz w:val="28"/>
          <w:szCs w:val="28"/>
        </w:rPr>
        <w:t>“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та 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>;</w:t>
      </w:r>
    </w:p>
    <w:p w14:paraId="55416049" w14:textId="79C77DA9" w:rsidR="00413FA1" w:rsidRPr="002963A7" w:rsidRDefault="00413FA1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третє речення після слова “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банкуˮ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 xml:space="preserve"> доповнити </w:t>
      </w:r>
      <w:r w:rsidR="004D159E">
        <w:rPr>
          <w:rFonts w:eastAsia="Times New Roman"/>
          <w:color w:val="000000" w:themeColor="text1"/>
          <w:sz w:val="28"/>
          <w:szCs w:val="28"/>
        </w:rPr>
        <w:t>літерами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 “/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5E37BA0B" w14:textId="39ABC7B1" w:rsidR="00114B3A" w:rsidRPr="002963A7" w:rsidRDefault="00114B3A" w:rsidP="00114B3A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підпункт 1 після слова “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банків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доповнити </w:t>
      </w:r>
      <w:r w:rsidR="00436A1C">
        <w:rPr>
          <w:rFonts w:eastAsia="Times New Roman"/>
          <w:color w:val="000000" w:themeColor="text1"/>
          <w:sz w:val="28"/>
          <w:szCs w:val="28"/>
        </w:rPr>
        <w:t>літерами</w:t>
      </w:r>
      <w:r w:rsidR="00436A1C" w:rsidRPr="002963A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>“/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1AE91163" w14:textId="4D2A5E6A" w:rsidR="00114B3A" w:rsidRPr="002963A7" w:rsidRDefault="00114B3A" w:rsidP="00114B3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 xml:space="preserve">підпункт 2 </w:t>
      </w:r>
      <w:r w:rsidRPr="002963A7">
        <w:rPr>
          <w:rFonts w:eastAsia="Times New Roman"/>
          <w:color w:val="000000" w:themeColor="text1"/>
          <w:sz w:val="28"/>
          <w:szCs w:val="28"/>
        </w:rPr>
        <w:t>після слова “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банкам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доповнити </w:t>
      </w:r>
      <w:r w:rsidR="00436A1C">
        <w:rPr>
          <w:rFonts w:eastAsia="Times New Roman"/>
          <w:color w:val="000000" w:themeColor="text1"/>
          <w:sz w:val="28"/>
          <w:szCs w:val="28"/>
        </w:rPr>
        <w:t>літерами</w:t>
      </w:r>
      <w:r w:rsidR="00436A1C" w:rsidRPr="002963A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>“/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1E2B6FF1" w14:textId="56D1884F" w:rsidR="00BA1EC2" w:rsidRPr="002963A7" w:rsidRDefault="00BA1EC2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807C7A5" w14:textId="5794916E" w:rsidR="0006302E" w:rsidRPr="002963A7" w:rsidRDefault="00DA45B8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C51360">
        <w:rPr>
          <w:color w:val="000000" w:themeColor="text1"/>
          <w:sz w:val="28"/>
          <w:szCs w:val="28"/>
        </w:rPr>
        <w:t>0</w:t>
      </w:r>
      <w:r w:rsidR="0006302E" w:rsidRPr="002963A7">
        <w:rPr>
          <w:color w:val="000000" w:themeColor="text1"/>
          <w:sz w:val="28"/>
          <w:szCs w:val="28"/>
        </w:rPr>
        <w:t>) у пункті 18</w:t>
      </w:r>
      <w:r w:rsidR="0006302E" w:rsidRPr="002963A7">
        <w:rPr>
          <w:color w:val="000000" w:themeColor="text1"/>
          <w:sz w:val="28"/>
          <w:szCs w:val="28"/>
          <w:vertAlign w:val="superscript"/>
        </w:rPr>
        <w:t>1</w:t>
      </w:r>
      <w:r w:rsidR="0006302E" w:rsidRPr="002963A7">
        <w:rPr>
          <w:color w:val="000000" w:themeColor="text1"/>
          <w:sz w:val="28"/>
          <w:szCs w:val="28"/>
        </w:rPr>
        <w:t>:</w:t>
      </w:r>
    </w:p>
    <w:p w14:paraId="112B42D3" w14:textId="46DA4D83" w:rsidR="008F30E3" w:rsidRPr="002963A7" w:rsidRDefault="008F30E3" w:rsidP="00BA1EC2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 xml:space="preserve">в абзаці першому: </w:t>
      </w:r>
    </w:p>
    <w:p w14:paraId="7B1CE949" w14:textId="19D65E26" w:rsidR="00BA1EC2" w:rsidRPr="002963A7" w:rsidRDefault="00BA1EC2" w:rsidP="00BA1EC2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перше речення доповнити слов</w:t>
      </w:r>
      <w:r w:rsidR="00436A1C">
        <w:rPr>
          <w:color w:val="000000" w:themeColor="text1"/>
          <w:sz w:val="28"/>
          <w:szCs w:val="28"/>
        </w:rPr>
        <w:t>ом</w:t>
      </w:r>
      <w:r w:rsidRPr="002963A7">
        <w:rPr>
          <w:color w:val="000000" w:themeColor="text1"/>
          <w:sz w:val="28"/>
          <w:szCs w:val="28"/>
        </w:rPr>
        <w:t xml:space="preserve"> та </w:t>
      </w:r>
      <w:r w:rsidR="00436A1C">
        <w:rPr>
          <w:color w:val="000000" w:themeColor="text1"/>
          <w:sz w:val="28"/>
          <w:szCs w:val="28"/>
        </w:rPr>
        <w:t>літерами</w:t>
      </w:r>
      <w:r w:rsidR="00436A1C"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color w:val="000000" w:themeColor="text1"/>
          <w:sz w:val="28"/>
          <w:szCs w:val="28"/>
        </w:rPr>
        <w:t>“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та 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>;</w:t>
      </w:r>
    </w:p>
    <w:p w14:paraId="6AFD1287" w14:textId="059EE542" w:rsidR="008F30E3" w:rsidRPr="002963A7" w:rsidRDefault="00BA1EC2" w:rsidP="00BA1EC2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у третьому реченні</w:t>
      </w:r>
      <w:r w:rsidR="00114B3A" w:rsidRPr="002963A7">
        <w:rPr>
          <w:rFonts w:eastAsia="Times New Roman"/>
          <w:color w:val="000000" w:themeColor="text1"/>
          <w:sz w:val="28"/>
          <w:szCs w:val="28"/>
        </w:rPr>
        <w:t xml:space="preserve"> слова та цифри </w:t>
      </w:r>
      <w:r w:rsidR="0038455F" w:rsidRPr="002963A7">
        <w:rPr>
          <w:color w:val="000000" w:themeColor="text1"/>
          <w:sz w:val="28"/>
          <w:szCs w:val="28"/>
        </w:rPr>
        <w:t>“</w:t>
      </w:r>
      <w:r w:rsidR="00114B3A" w:rsidRPr="002963A7">
        <w:rPr>
          <w:color w:val="000000" w:themeColor="text1"/>
          <w:sz w:val="28"/>
          <w:szCs w:val="28"/>
        </w:rPr>
        <w:t xml:space="preserve">пункті 18 цієї постанови, </w:t>
      </w:r>
      <w:proofErr w:type="spellStart"/>
      <w:r w:rsidR="00114B3A" w:rsidRPr="002963A7">
        <w:rPr>
          <w:color w:val="000000" w:themeColor="text1"/>
          <w:sz w:val="28"/>
          <w:szCs w:val="28"/>
        </w:rPr>
        <w:t>банку</w:t>
      </w:r>
      <w:r w:rsidR="0038455F"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 xml:space="preserve"> замінити </w:t>
      </w:r>
      <w:r w:rsidR="00114B3A" w:rsidRPr="002963A7">
        <w:rPr>
          <w:rFonts w:eastAsia="Times New Roman"/>
          <w:color w:val="000000" w:themeColor="text1"/>
          <w:sz w:val="28"/>
          <w:szCs w:val="28"/>
        </w:rPr>
        <w:t xml:space="preserve">словами та 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цифрами </w:t>
      </w:r>
      <w:r w:rsidR="0038455F" w:rsidRPr="002963A7">
        <w:rPr>
          <w:color w:val="000000" w:themeColor="text1"/>
          <w:sz w:val="28"/>
          <w:szCs w:val="28"/>
        </w:rPr>
        <w:t>“</w:t>
      </w:r>
      <w:r w:rsidR="00114B3A" w:rsidRPr="002963A7">
        <w:rPr>
          <w:color w:val="000000" w:themeColor="text1"/>
          <w:sz w:val="28"/>
          <w:szCs w:val="28"/>
        </w:rPr>
        <w:t xml:space="preserve">пункті </w:t>
      </w:r>
      <w:r w:rsidRPr="002963A7">
        <w:rPr>
          <w:rFonts w:eastAsia="Times New Roman"/>
          <w:color w:val="000000" w:themeColor="text1"/>
          <w:sz w:val="28"/>
          <w:szCs w:val="28"/>
        </w:rPr>
        <w:t>18</w:t>
      </w:r>
      <w:r w:rsidRPr="002963A7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="00114B3A" w:rsidRPr="00B03A8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14B3A" w:rsidRPr="002963A7">
        <w:rPr>
          <w:color w:val="000000" w:themeColor="text1"/>
          <w:sz w:val="28"/>
          <w:szCs w:val="28"/>
        </w:rPr>
        <w:t>цієї постанови, банку</w:t>
      </w:r>
      <w:r w:rsidR="00114B3A" w:rsidRPr="002963A7">
        <w:rPr>
          <w:rFonts w:eastAsia="Times New Roman"/>
          <w:color w:val="000000" w:themeColor="text1"/>
          <w:sz w:val="28"/>
          <w:szCs w:val="28"/>
        </w:rPr>
        <w:t>/</w:t>
      </w:r>
      <w:proofErr w:type="spellStart"/>
      <w:r w:rsidR="00114B3A" w:rsidRPr="002963A7">
        <w:rPr>
          <w:rFonts w:eastAsia="Times New Roman"/>
          <w:color w:val="000000" w:themeColor="text1"/>
          <w:sz w:val="28"/>
          <w:szCs w:val="28"/>
        </w:rPr>
        <w:t>МФО</w:t>
      </w:r>
      <w:r w:rsidR="0038455F" w:rsidRPr="002963A7">
        <w:rPr>
          <w:color w:val="000000" w:themeColor="text1"/>
          <w:sz w:val="28"/>
          <w:szCs w:val="28"/>
        </w:rPr>
        <w:t>ˮ</w:t>
      </w:r>
      <w:proofErr w:type="spellEnd"/>
      <w:r w:rsidR="008F30E3"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0D01D00B" w14:textId="694503E1" w:rsidR="008F30E3" w:rsidRPr="002963A7" w:rsidRDefault="008F30E3" w:rsidP="00BA1EC2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rFonts w:eastAsia="Times New Roman"/>
          <w:color w:val="000000" w:themeColor="text1"/>
          <w:sz w:val="28"/>
          <w:szCs w:val="28"/>
        </w:rPr>
        <w:t>підпункт 1 після слова “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банків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доповнити </w:t>
      </w:r>
      <w:r w:rsidR="003065E1">
        <w:rPr>
          <w:rFonts w:eastAsia="Times New Roman"/>
          <w:color w:val="000000" w:themeColor="text1"/>
          <w:sz w:val="28"/>
          <w:szCs w:val="28"/>
        </w:rPr>
        <w:t>літерами</w:t>
      </w:r>
      <w:r w:rsidR="003065E1" w:rsidRPr="002963A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>“/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276BB3F8" w14:textId="0C98A733" w:rsidR="008F30E3" w:rsidRPr="002963A7" w:rsidRDefault="008F30E3" w:rsidP="00BA1EC2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 xml:space="preserve">підпункт 2 </w:t>
      </w:r>
      <w:r w:rsidRPr="002963A7">
        <w:rPr>
          <w:rFonts w:eastAsia="Times New Roman"/>
          <w:color w:val="000000" w:themeColor="text1"/>
          <w:sz w:val="28"/>
          <w:szCs w:val="28"/>
        </w:rPr>
        <w:t>після слова “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банкам</w:t>
      </w:r>
      <w:r w:rsidRPr="002963A7">
        <w:rPr>
          <w:color w:val="000000" w:themeColor="text1"/>
          <w:sz w:val="28"/>
          <w:szCs w:val="28"/>
        </w:rPr>
        <w:t>ˮ</w:t>
      </w:r>
      <w:proofErr w:type="spellEnd"/>
      <w:r w:rsidRPr="002963A7">
        <w:rPr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 xml:space="preserve">доповнити </w:t>
      </w:r>
      <w:r w:rsidR="003065E1">
        <w:rPr>
          <w:rFonts w:eastAsia="Times New Roman"/>
          <w:color w:val="000000" w:themeColor="text1"/>
          <w:sz w:val="28"/>
          <w:szCs w:val="28"/>
        </w:rPr>
        <w:t>літерами</w:t>
      </w:r>
      <w:r w:rsidR="003065E1" w:rsidRPr="002963A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963A7">
        <w:rPr>
          <w:rFonts w:eastAsia="Times New Roman"/>
          <w:color w:val="000000" w:themeColor="text1"/>
          <w:sz w:val="28"/>
          <w:szCs w:val="28"/>
        </w:rPr>
        <w:t>“/</w:t>
      </w:r>
      <w:proofErr w:type="spellStart"/>
      <w:r w:rsidRPr="002963A7">
        <w:rPr>
          <w:rFonts w:eastAsia="Times New Roman"/>
          <w:color w:val="000000" w:themeColor="text1"/>
          <w:sz w:val="28"/>
          <w:szCs w:val="28"/>
        </w:rPr>
        <w:t>МФОˮ</w:t>
      </w:r>
      <w:proofErr w:type="spellEnd"/>
      <w:r w:rsidRPr="002963A7">
        <w:rPr>
          <w:rFonts w:eastAsia="Times New Roman"/>
          <w:color w:val="000000" w:themeColor="text1"/>
          <w:sz w:val="28"/>
          <w:szCs w:val="28"/>
        </w:rPr>
        <w:t>;</w:t>
      </w:r>
    </w:p>
    <w:p w14:paraId="25D83928" w14:textId="62000C63" w:rsidR="006F460E" w:rsidRPr="002963A7" w:rsidRDefault="006F460E" w:rsidP="00BA1EC2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2CF9B64" w14:textId="799C0F4F" w:rsidR="00625319" w:rsidRPr="002963A7" w:rsidRDefault="0006302E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2963A7">
        <w:rPr>
          <w:color w:val="000000" w:themeColor="text1"/>
          <w:sz w:val="28"/>
          <w:szCs w:val="28"/>
        </w:rPr>
        <w:t>1</w:t>
      </w:r>
      <w:r w:rsidR="00C51360">
        <w:rPr>
          <w:color w:val="000000" w:themeColor="text1"/>
          <w:sz w:val="28"/>
          <w:szCs w:val="28"/>
        </w:rPr>
        <w:t>1</w:t>
      </w:r>
      <w:r w:rsidR="00625319" w:rsidRPr="002963A7">
        <w:rPr>
          <w:color w:val="000000" w:themeColor="text1"/>
          <w:sz w:val="28"/>
          <w:szCs w:val="28"/>
        </w:rPr>
        <w:t xml:space="preserve">) </w:t>
      </w:r>
      <w:r w:rsidR="0071139B" w:rsidRPr="002963A7">
        <w:rPr>
          <w:color w:val="000000" w:themeColor="text1"/>
          <w:sz w:val="28"/>
          <w:szCs w:val="28"/>
        </w:rPr>
        <w:t xml:space="preserve">постанову </w:t>
      </w:r>
      <w:r w:rsidR="007950BA" w:rsidRPr="002963A7">
        <w:rPr>
          <w:color w:val="000000" w:themeColor="text1"/>
          <w:sz w:val="28"/>
          <w:szCs w:val="28"/>
        </w:rPr>
        <w:t xml:space="preserve">після пункту </w:t>
      </w:r>
      <w:r w:rsidRPr="002963A7">
        <w:rPr>
          <w:color w:val="000000" w:themeColor="text1"/>
          <w:sz w:val="28"/>
          <w:szCs w:val="28"/>
        </w:rPr>
        <w:t>19</w:t>
      </w:r>
      <w:r w:rsidR="007950BA" w:rsidRPr="002963A7">
        <w:rPr>
          <w:color w:val="000000" w:themeColor="text1"/>
          <w:sz w:val="28"/>
          <w:szCs w:val="28"/>
        </w:rPr>
        <w:t xml:space="preserve"> </w:t>
      </w:r>
      <w:r w:rsidR="00B630F4" w:rsidRPr="002963A7">
        <w:rPr>
          <w:bCs/>
          <w:color w:val="000000" w:themeColor="text1"/>
          <w:sz w:val="28"/>
          <w:szCs w:val="28"/>
        </w:rPr>
        <w:t>доповнити новим пунктом</w:t>
      </w:r>
      <w:r w:rsidR="00BA1EC2" w:rsidRPr="002963A7">
        <w:rPr>
          <w:bCs/>
          <w:color w:val="000000" w:themeColor="text1"/>
          <w:sz w:val="28"/>
          <w:szCs w:val="28"/>
        </w:rPr>
        <w:t xml:space="preserve"> 19</w:t>
      </w:r>
      <w:r w:rsidR="00BA1EC2" w:rsidRPr="002963A7">
        <w:rPr>
          <w:bCs/>
          <w:color w:val="000000" w:themeColor="text1"/>
          <w:sz w:val="28"/>
          <w:szCs w:val="28"/>
          <w:vertAlign w:val="superscript"/>
        </w:rPr>
        <w:t>1</w:t>
      </w:r>
      <w:r w:rsidR="00B630F4" w:rsidRPr="002963A7">
        <w:rPr>
          <w:bCs/>
          <w:color w:val="000000" w:themeColor="text1"/>
          <w:sz w:val="28"/>
          <w:szCs w:val="28"/>
        </w:rPr>
        <w:t xml:space="preserve"> </w:t>
      </w:r>
      <w:r w:rsidR="00761461" w:rsidRPr="002963A7">
        <w:rPr>
          <w:bCs/>
          <w:color w:val="000000" w:themeColor="text1"/>
          <w:sz w:val="28"/>
          <w:szCs w:val="28"/>
        </w:rPr>
        <w:t>такого змісту</w:t>
      </w:r>
      <w:r w:rsidR="00625319" w:rsidRPr="002963A7">
        <w:rPr>
          <w:bCs/>
          <w:color w:val="000000" w:themeColor="text1"/>
          <w:sz w:val="28"/>
          <w:szCs w:val="28"/>
        </w:rPr>
        <w:t>:</w:t>
      </w:r>
    </w:p>
    <w:p w14:paraId="33834AE8" w14:textId="24661128" w:rsidR="00625319" w:rsidRPr="002963A7" w:rsidRDefault="00625319" w:rsidP="00BA1E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2963A7">
        <w:rPr>
          <w:color w:val="000000" w:themeColor="text1"/>
          <w:sz w:val="28"/>
          <w:szCs w:val="28"/>
          <w:lang w:val="uk-UA" w:eastAsia="uk-UA"/>
        </w:rPr>
        <w:t>“</w:t>
      </w:r>
      <w:r w:rsidR="00BA1EC2" w:rsidRPr="002963A7">
        <w:rPr>
          <w:color w:val="000000" w:themeColor="text1"/>
          <w:sz w:val="28"/>
          <w:szCs w:val="28"/>
          <w:lang w:val="uk-UA" w:eastAsia="uk-UA"/>
        </w:rPr>
        <w:t>19</w:t>
      </w:r>
      <w:r w:rsidR="00BA1EC2" w:rsidRPr="002963A7">
        <w:rPr>
          <w:color w:val="000000" w:themeColor="text1"/>
          <w:sz w:val="28"/>
          <w:szCs w:val="28"/>
          <w:vertAlign w:val="superscript"/>
          <w:lang w:val="uk-UA" w:eastAsia="uk-UA"/>
        </w:rPr>
        <w:t>1</w:t>
      </w:r>
      <w:r w:rsidR="00BA1EC2" w:rsidRPr="002963A7">
        <w:rPr>
          <w:color w:val="000000" w:themeColor="text1"/>
          <w:sz w:val="28"/>
          <w:szCs w:val="28"/>
          <w:lang w:val="uk-UA" w:eastAsia="uk-UA"/>
        </w:rPr>
        <w:t>. Банки мають право здійснювати грошові розрахунки за правочинами щодо облігацій внутрішньої державної позики України, номінованих в іноземній валюті (далі – ОВДП), виключно у валюті номінальної вартості ОВДП.</w:t>
      </w:r>
      <w:r w:rsidRPr="002963A7">
        <w:rPr>
          <w:color w:val="000000" w:themeColor="text1"/>
          <w:sz w:val="28"/>
          <w:szCs w:val="28"/>
          <w:lang w:val="uk-UA" w:eastAsia="uk-UA"/>
        </w:rPr>
        <w:t>”.</w:t>
      </w:r>
    </w:p>
    <w:p w14:paraId="1B5CEE3B" w14:textId="77777777" w:rsidR="00625319" w:rsidRPr="002963A7" w:rsidRDefault="00625319" w:rsidP="00C50FA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8A1C784" w14:textId="527FC2C4" w:rsidR="003764E0" w:rsidRPr="002963A7" w:rsidRDefault="003764E0" w:rsidP="00C50FAD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2. Постанова набирає чинності з дня її офіційного опублікування.</w:t>
      </w:r>
    </w:p>
    <w:p w14:paraId="188AA3A2" w14:textId="77777777" w:rsidR="00466792" w:rsidRPr="002963A7" w:rsidRDefault="00466792" w:rsidP="00C50FAD">
      <w:pPr>
        <w:ind w:firstLine="567"/>
        <w:rPr>
          <w:color w:val="000000" w:themeColor="text1"/>
        </w:rPr>
      </w:pPr>
    </w:p>
    <w:p w14:paraId="78873CE8" w14:textId="77777777" w:rsidR="00026ACE" w:rsidRPr="002963A7" w:rsidRDefault="00026ACE" w:rsidP="00C50FAD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CD0CD4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CD0CD4" w:rsidRDefault="00F35C1E" w:rsidP="00624B2E">
            <w:pPr>
              <w:autoSpaceDE w:val="0"/>
              <w:autoSpaceDN w:val="0"/>
              <w:jc w:val="left"/>
            </w:pPr>
            <w:r w:rsidRPr="00B041E8"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CD0CD4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041E8">
              <w:t>Кирило ШЕВЧЕНКО</w:t>
            </w:r>
          </w:p>
        </w:tc>
      </w:tr>
    </w:tbl>
    <w:p w14:paraId="392B5E57" w14:textId="066CF2AA" w:rsidR="00026ACE" w:rsidRDefault="00026ACE" w:rsidP="000C5787">
      <w:pPr>
        <w:jc w:val="left"/>
      </w:pPr>
    </w:p>
    <w:p w14:paraId="1CA61450" w14:textId="4B8A80FF" w:rsidR="00026ACE" w:rsidRDefault="00026ACE" w:rsidP="000C5787">
      <w:pPr>
        <w:jc w:val="left"/>
      </w:pPr>
    </w:p>
    <w:p w14:paraId="550934D7" w14:textId="64F8D5B5" w:rsidR="00F35C1E" w:rsidRDefault="00F35C1E" w:rsidP="000C5787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Pr="00B041E8">
        <w:t>40</w:t>
      </w:r>
    </w:p>
    <w:sectPr w:rsidR="00F35C1E" w:rsidSect="00FE5381">
      <w:headerReference w:type="default" r:id="rId14"/>
      <w:headerReference w:type="first" r:id="rId15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8017" w14:textId="77777777" w:rsidR="00D240D2" w:rsidRDefault="00D240D2" w:rsidP="00E53CCD">
      <w:r>
        <w:separator/>
      </w:r>
    </w:p>
  </w:endnote>
  <w:endnote w:type="continuationSeparator" w:id="0">
    <w:p w14:paraId="54978FFD" w14:textId="77777777" w:rsidR="00D240D2" w:rsidRDefault="00D240D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E0E9" w14:textId="77777777" w:rsidR="00D240D2" w:rsidRDefault="00D240D2" w:rsidP="00E53CCD">
      <w:r>
        <w:separator/>
      </w:r>
    </w:p>
  </w:footnote>
  <w:footnote w:type="continuationSeparator" w:id="0">
    <w:p w14:paraId="5D5F192F" w14:textId="77777777" w:rsidR="00D240D2" w:rsidRDefault="00D240D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3CFB511E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26373">
          <w:rPr>
            <w:noProof/>
          </w:rPr>
          <w:t>4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7283575C" w:rsidR="00AB062E" w:rsidRPr="00026373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026373">
      <w:rPr>
        <w:sz w:val="24"/>
        <w:szCs w:val="24"/>
      </w:rPr>
      <w:t>О</w:t>
    </w:r>
    <w:r w:rsidR="00FD4511" w:rsidRPr="00026373">
      <w:rPr>
        <w:sz w:val="24"/>
        <w:szCs w:val="24"/>
      </w:rPr>
      <w:t xml:space="preserve">фіційно опубліковано </w:t>
    </w:r>
    <w:r w:rsidR="00026373">
      <w:rPr>
        <w:sz w:val="24"/>
        <w:szCs w:val="24"/>
        <w:lang w:val="en-US"/>
      </w:rPr>
      <w:t>21</w:t>
    </w:r>
    <w:r w:rsidR="00FD4511" w:rsidRPr="00026373">
      <w:rPr>
        <w:sz w:val="24"/>
        <w:szCs w:val="24"/>
      </w:rPr>
      <w:t>.0</w:t>
    </w:r>
    <w:r w:rsidR="00FD4511" w:rsidRPr="00026373">
      <w:rPr>
        <w:sz w:val="24"/>
        <w:szCs w:val="24"/>
        <w:lang w:val="ru-RU"/>
      </w:rPr>
      <w:t>3</w:t>
    </w:r>
    <w:r w:rsidR="00FD4511" w:rsidRPr="00026373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1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5"/>
  </w:num>
  <w:num w:numId="19">
    <w:abstractNumId w:val="2"/>
  </w:num>
  <w:num w:numId="20">
    <w:abstractNumId w:val="26"/>
  </w:num>
  <w:num w:numId="21">
    <w:abstractNumId w:val="34"/>
  </w:num>
  <w:num w:numId="22">
    <w:abstractNumId w:val="18"/>
  </w:num>
  <w:num w:numId="23">
    <w:abstractNumId w:val="32"/>
  </w:num>
  <w:num w:numId="24">
    <w:abstractNumId w:val="13"/>
  </w:num>
  <w:num w:numId="25">
    <w:abstractNumId w:val="24"/>
  </w:num>
  <w:num w:numId="26">
    <w:abstractNumId w:val="3"/>
  </w:num>
  <w:num w:numId="27">
    <w:abstractNumId w:val="21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0D56"/>
    <w:rsid w:val="00050F0F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832F2"/>
    <w:rsid w:val="000833FB"/>
    <w:rsid w:val="00083C67"/>
    <w:rsid w:val="00085379"/>
    <w:rsid w:val="00086A25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74C"/>
    <w:rsid w:val="00106229"/>
    <w:rsid w:val="00106407"/>
    <w:rsid w:val="00113AD7"/>
    <w:rsid w:val="00114B3A"/>
    <w:rsid w:val="00115984"/>
    <w:rsid w:val="00115ECF"/>
    <w:rsid w:val="00117D06"/>
    <w:rsid w:val="0012072A"/>
    <w:rsid w:val="00120EEA"/>
    <w:rsid w:val="00122A49"/>
    <w:rsid w:val="0012385B"/>
    <w:rsid w:val="00123B51"/>
    <w:rsid w:val="001252B2"/>
    <w:rsid w:val="001310C8"/>
    <w:rsid w:val="00133366"/>
    <w:rsid w:val="001346CC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62447"/>
    <w:rsid w:val="001631CB"/>
    <w:rsid w:val="001631E2"/>
    <w:rsid w:val="00165BF0"/>
    <w:rsid w:val="001716B0"/>
    <w:rsid w:val="001740C0"/>
    <w:rsid w:val="001743A9"/>
    <w:rsid w:val="00180576"/>
    <w:rsid w:val="001847A1"/>
    <w:rsid w:val="0018553E"/>
    <w:rsid w:val="00186F29"/>
    <w:rsid w:val="00190E1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795"/>
    <w:rsid w:val="001A7797"/>
    <w:rsid w:val="001B2EAA"/>
    <w:rsid w:val="001B2FCD"/>
    <w:rsid w:val="001B76EB"/>
    <w:rsid w:val="001C206C"/>
    <w:rsid w:val="001C2B26"/>
    <w:rsid w:val="001C30EE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45AC"/>
    <w:rsid w:val="00294B06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4727"/>
    <w:rsid w:val="00345473"/>
    <w:rsid w:val="00345982"/>
    <w:rsid w:val="00352725"/>
    <w:rsid w:val="00356E34"/>
    <w:rsid w:val="00357676"/>
    <w:rsid w:val="00361001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6BE2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6E9D"/>
    <w:rsid w:val="00421B1B"/>
    <w:rsid w:val="004227DB"/>
    <w:rsid w:val="0042463F"/>
    <w:rsid w:val="00430C11"/>
    <w:rsid w:val="00431346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3186"/>
    <w:rsid w:val="004859CA"/>
    <w:rsid w:val="00486BE0"/>
    <w:rsid w:val="004921D3"/>
    <w:rsid w:val="00494C4B"/>
    <w:rsid w:val="004952CC"/>
    <w:rsid w:val="00495E26"/>
    <w:rsid w:val="00496417"/>
    <w:rsid w:val="00496653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12A7"/>
    <w:rsid w:val="00560B13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1EBE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CF2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D678D"/>
    <w:rsid w:val="006E2B9E"/>
    <w:rsid w:val="006E4741"/>
    <w:rsid w:val="006E5F28"/>
    <w:rsid w:val="006E60DA"/>
    <w:rsid w:val="006E74DC"/>
    <w:rsid w:val="006E799C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73559"/>
    <w:rsid w:val="00773BEC"/>
    <w:rsid w:val="00776AA0"/>
    <w:rsid w:val="0078079D"/>
    <w:rsid w:val="0078127A"/>
    <w:rsid w:val="007815A4"/>
    <w:rsid w:val="00782FEB"/>
    <w:rsid w:val="00783AF2"/>
    <w:rsid w:val="00784685"/>
    <w:rsid w:val="007852B5"/>
    <w:rsid w:val="00785D6B"/>
    <w:rsid w:val="00787E46"/>
    <w:rsid w:val="007902E9"/>
    <w:rsid w:val="00791954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4959"/>
    <w:rsid w:val="00850C4C"/>
    <w:rsid w:val="00852DE5"/>
    <w:rsid w:val="008535DD"/>
    <w:rsid w:val="0085364B"/>
    <w:rsid w:val="00853E17"/>
    <w:rsid w:val="00857F0C"/>
    <w:rsid w:val="00861D65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D14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532F"/>
    <w:rsid w:val="00935960"/>
    <w:rsid w:val="00937AE3"/>
    <w:rsid w:val="00937D24"/>
    <w:rsid w:val="00943175"/>
    <w:rsid w:val="009518F8"/>
    <w:rsid w:val="00954131"/>
    <w:rsid w:val="00955A33"/>
    <w:rsid w:val="00956D9D"/>
    <w:rsid w:val="0095741D"/>
    <w:rsid w:val="00961EF8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209C"/>
    <w:rsid w:val="009929B9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DB6"/>
    <w:rsid w:val="00A77FFD"/>
    <w:rsid w:val="00A840CD"/>
    <w:rsid w:val="00A905C1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3005"/>
    <w:rsid w:val="00B53A86"/>
    <w:rsid w:val="00B541FF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23E1"/>
    <w:rsid w:val="00B957B2"/>
    <w:rsid w:val="00B95970"/>
    <w:rsid w:val="00BA1627"/>
    <w:rsid w:val="00BA1EC2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2B58"/>
    <w:rsid w:val="00BF47B0"/>
    <w:rsid w:val="00BF5327"/>
    <w:rsid w:val="00BF6865"/>
    <w:rsid w:val="00BF7235"/>
    <w:rsid w:val="00C013E0"/>
    <w:rsid w:val="00C14628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6191B"/>
    <w:rsid w:val="00C64975"/>
    <w:rsid w:val="00C6501B"/>
    <w:rsid w:val="00C81390"/>
    <w:rsid w:val="00C8176F"/>
    <w:rsid w:val="00C82259"/>
    <w:rsid w:val="00C8507C"/>
    <w:rsid w:val="00C91CAE"/>
    <w:rsid w:val="00C91FD5"/>
    <w:rsid w:val="00C9297C"/>
    <w:rsid w:val="00C94014"/>
    <w:rsid w:val="00CA02C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7115"/>
    <w:rsid w:val="00D3498F"/>
    <w:rsid w:val="00D34DCC"/>
    <w:rsid w:val="00D370F7"/>
    <w:rsid w:val="00D431E0"/>
    <w:rsid w:val="00D438E2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F30"/>
    <w:rsid w:val="00DF4D12"/>
    <w:rsid w:val="00E0792E"/>
    <w:rsid w:val="00E10AE2"/>
    <w:rsid w:val="00E10F0A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A09D0"/>
    <w:rsid w:val="00EA0F04"/>
    <w:rsid w:val="00EA1435"/>
    <w:rsid w:val="00EA1DE4"/>
    <w:rsid w:val="00EA4F0A"/>
    <w:rsid w:val="00EA60EA"/>
    <w:rsid w:val="00EA7372"/>
    <w:rsid w:val="00EB1C48"/>
    <w:rsid w:val="00EB29BF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94C"/>
    <w:rsid w:val="00F74EA5"/>
    <w:rsid w:val="00F776BD"/>
    <w:rsid w:val="00F80A29"/>
    <w:rsid w:val="00F8145F"/>
    <w:rsid w:val="00F81C0B"/>
    <w:rsid w:val="00F840B2"/>
    <w:rsid w:val="00F9283D"/>
    <w:rsid w:val="00F9515F"/>
    <w:rsid w:val="00F95617"/>
    <w:rsid w:val="00F96F18"/>
    <w:rsid w:val="00FA2E2B"/>
    <w:rsid w:val="00FA508E"/>
    <w:rsid w:val="00FA5320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ECC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1CD759-249C-4695-B73E-748BF12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4500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2022-03-08T09:27:00Z</cp:lastPrinted>
  <dcterms:created xsi:type="dcterms:W3CDTF">2022-03-21T18:11:00Z</dcterms:created>
  <dcterms:modified xsi:type="dcterms:W3CDTF">2022-03-21T18:16:00Z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