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11" w:rsidRPr="00566BA2" w:rsidRDefault="00967711" w:rsidP="00967711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2139C8" w:rsidTr="00E054A9">
        <w:trPr>
          <w:trHeight w:val="851"/>
        </w:trPr>
        <w:tc>
          <w:tcPr>
            <w:tcW w:w="3284" w:type="dxa"/>
          </w:tcPr>
          <w:p w:rsidR="00967711" w:rsidRDefault="00967711" w:rsidP="00E054A9"/>
        </w:tc>
        <w:tc>
          <w:tcPr>
            <w:tcW w:w="3285" w:type="dxa"/>
            <w:vMerge w:val="restart"/>
          </w:tcPr>
          <w:p w:rsidR="00967711" w:rsidRDefault="00503D58" w:rsidP="00E054A9">
            <w:pPr>
              <w:jc w:val="center"/>
            </w:pPr>
            <w:r>
              <w:object w:dxaOrig="689" w:dyaOrig="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8pt" o:ole="">
                  <v:imagedata r:id="rId12" o:title=""/>
                </v:shape>
                <o:OLEObject Type="Embed" ProgID="CorelDraw.Graphic.16" ShapeID="_x0000_i1025" DrawAspect="Content" ObjectID="_1780465777" r:id="rId13"/>
              </w:object>
            </w:r>
          </w:p>
        </w:tc>
        <w:tc>
          <w:tcPr>
            <w:tcW w:w="3285" w:type="dxa"/>
          </w:tcPr>
          <w:p w:rsidR="00967711" w:rsidRDefault="00967711" w:rsidP="00E054A9"/>
        </w:tc>
      </w:tr>
      <w:tr w:rsidR="002139C8" w:rsidTr="00E054A9">
        <w:tc>
          <w:tcPr>
            <w:tcW w:w="3284" w:type="dxa"/>
          </w:tcPr>
          <w:p w:rsidR="00967711" w:rsidRDefault="00967711" w:rsidP="00E054A9"/>
        </w:tc>
        <w:tc>
          <w:tcPr>
            <w:tcW w:w="3285" w:type="dxa"/>
            <w:vMerge/>
          </w:tcPr>
          <w:p w:rsidR="00967711" w:rsidRDefault="00967711" w:rsidP="00E054A9"/>
        </w:tc>
        <w:tc>
          <w:tcPr>
            <w:tcW w:w="3285" w:type="dxa"/>
          </w:tcPr>
          <w:p w:rsidR="00967711" w:rsidRDefault="00967711" w:rsidP="00E054A9"/>
        </w:tc>
      </w:tr>
      <w:tr w:rsidR="002139C8" w:rsidTr="00E054A9">
        <w:tc>
          <w:tcPr>
            <w:tcW w:w="9854" w:type="dxa"/>
            <w:gridSpan w:val="3"/>
          </w:tcPr>
          <w:p w:rsidR="00967711" w:rsidRPr="00E10F0A" w:rsidRDefault="00503D58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967711" w:rsidRDefault="00503D58" w:rsidP="00D75789">
            <w:pPr>
              <w:jc w:val="center"/>
            </w:pPr>
            <w:r w:rsidRPr="00BC128A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:rsidR="00967711" w:rsidRPr="00566BA2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2223"/>
        <w:gridCol w:w="1821"/>
        <w:gridCol w:w="1884"/>
      </w:tblGrid>
      <w:tr w:rsidR="002139C8" w:rsidTr="002A3D20">
        <w:tc>
          <w:tcPr>
            <w:tcW w:w="3794" w:type="dxa"/>
            <w:vAlign w:val="bottom"/>
          </w:tcPr>
          <w:p w:rsidR="00967711" w:rsidRPr="00566BA2" w:rsidRDefault="005309DC" w:rsidP="005309DC">
            <w:r>
              <w:t>2</w:t>
            </w:r>
            <w:r>
              <w:rPr>
                <w:lang w:val="en-US"/>
              </w:rPr>
              <w:t>1</w:t>
            </w:r>
            <w:r>
              <w:t xml:space="preserve"> </w:t>
            </w:r>
            <w:proofErr w:type="spellStart"/>
            <w:r>
              <w:rPr>
                <w:lang w:val="en-US"/>
              </w:rPr>
              <w:t>червня</w:t>
            </w:r>
            <w:proofErr w:type="spellEnd"/>
            <w:r>
              <w:t xml:space="preserve"> 2024 року</w:t>
            </w:r>
          </w:p>
        </w:tc>
        <w:tc>
          <w:tcPr>
            <w:tcW w:w="2268" w:type="dxa"/>
          </w:tcPr>
          <w:p w:rsidR="00967711" w:rsidRDefault="00503D58" w:rsidP="001359C4">
            <w:pPr>
              <w:spacing w:before="240"/>
              <w:ind w:firstLine="34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967711" w:rsidRDefault="00503D58" w:rsidP="005309DC">
            <w:pPr>
              <w:jc w:val="right"/>
            </w:pPr>
            <w:r w:rsidRPr="002A3D20">
              <w:rPr>
                <w:color w:val="FFFFFF" w:themeColor="background1"/>
              </w:rPr>
              <w:t>№</w:t>
            </w:r>
            <w:bookmarkStart w:id="0" w:name="_GoBack"/>
            <w:bookmarkEnd w:id="0"/>
            <w:r w:rsidR="005309DC">
              <w:t xml:space="preserve">№ </w:t>
            </w:r>
            <w:r w:rsidR="005309DC">
              <w:t>225-рш</w:t>
            </w:r>
          </w:p>
        </w:tc>
        <w:tc>
          <w:tcPr>
            <w:tcW w:w="1937" w:type="dxa"/>
            <w:vAlign w:val="bottom"/>
          </w:tcPr>
          <w:p w:rsidR="00967711" w:rsidRDefault="00967711" w:rsidP="002C2894">
            <w:pPr>
              <w:jc w:val="left"/>
            </w:pPr>
          </w:p>
        </w:tc>
      </w:tr>
    </w:tbl>
    <w:p w:rsidR="00967711" w:rsidRPr="00CD0CD4" w:rsidRDefault="00967711" w:rsidP="00967711">
      <w:pPr>
        <w:rPr>
          <w:sz w:val="2"/>
          <w:szCs w:val="2"/>
        </w:rPr>
      </w:pPr>
    </w:p>
    <w:p w:rsidR="00967711" w:rsidRPr="00CD0CD4" w:rsidRDefault="00967711" w:rsidP="00967711">
      <w:pPr>
        <w:jc w:val="center"/>
        <w:rPr>
          <w:rFonts w:eastAsiaTheme="minorEastAsia"/>
          <w:color w:val="000000" w:themeColor="text1"/>
          <w:lang w:eastAsia="en-US"/>
        </w:rPr>
      </w:pPr>
    </w:p>
    <w:p w:rsidR="00967711" w:rsidRPr="00487BC2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452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139C8" w:rsidTr="0050563F">
        <w:tc>
          <w:tcPr>
            <w:tcW w:w="5000" w:type="pct"/>
          </w:tcPr>
          <w:p w:rsidR="002B3F71" w:rsidRPr="00487BC2" w:rsidRDefault="009B2441" w:rsidP="009B2441">
            <w:pPr>
              <w:spacing w:before="240" w:after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9B2441">
              <w:rPr>
                <w:rFonts w:eastAsiaTheme="minorEastAsia"/>
                <w:noProof/>
                <w:lang w:eastAsia="en-US"/>
              </w:rPr>
              <w:t>Про затвердження порогового значення заборгованості щодо інформації про фінансові послуги, що надається Національним банком України з Кредитного реєстру Національного банку України</w:t>
            </w:r>
          </w:p>
        </w:tc>
      </w:tr>
    </w:tbl>
    <w:p w:rsidR="00470271" w:rsidRDefault="009B2441" w:rsidP="005B0FB8">
      <w:pPr>
        <w:pStyle w:val="af3"/>
        <w:spacing w:before="240" w:after="120"/>
        <w:ind w:left="0" w:firstLine="567"/>
        <w:contextualSpacing w:val="0"/>
        <w:rPr>
          <w:b/>
        </w:rPr>
      </w:pPr>
      <w:r w:rsidRPr="00626353">
        <w:rPr>
          <w:color w:val="000000" w:themeColor="text1"/>
        </w:rPr>
        <w:t xml:space="preserve">Відповідно до статей 7, 15, 56 Закону України “Про Національний банк України”, статті 27 Закону України </w:t>
      </w:r>
      <w:r w:rsidRPr="00626353">
        <w:rPr>
          <w:rStyle w:val="FontStyle22"/>
          <w:rFonts w:eastAsiaTheme="minorEastAsia"/>
          <w:color w:val="000000" w:themeColor="text1"/>
        </w:rPr>
        <w:t>“</w:t>
      </w:r>
      <w:r w:rsidRPr="00626353">
        <w:rPr>
          <w:rStyle w:val="rvts23"/>
          <w:color w:val="000000" w:themeColor="text1"/>
        </w:rPr>
        <w:t>Про фінансові послуги та фінансові компанії</w:t>
      </w:r>
      <w:r w:rsidRPr="00626353">
        <w:rPr>
          <w:rStyle w:val="FontStyle22"/>
          <w:rFonts w:eastAsiaTheme="minorEastAsia"/>
          <w:color w:val="000000" w:themeColor="text1"/>
        </w:rPr>
        <w:t>”</w:t>
      </w:r>
      <w:r w:rsidRPr="00626353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Методики </w:t>
      </w:r>
      <w:r w:rsidRPr="00626353">
        <w:rPr>
          <w:color w:val="000000" w:themeColor="text1"/>
        </w:rPr>
        <w:t xml:space="preserve">розрахунку порогового значення заборгованості щодо інформації </w:t>
      </w:r>
      <w:r w:rsidRPr="00626353">
        <w:rPr>
          <w:color w:val="000000" w:themeColor="text1"/>
          <w:shd w:val="clear" w:color="auto" w:fill="FFFFFF"/>
        </w:rPr>
        <w:t>про фінансові послуги</w:t>
      </w:r>
      <w:r w:rsidRPr="00626353">
        <w:rPr>
          <w:color w:val="000000" w:themeColor="text1"/>
        </w:rPr>
        <w:t>, що надається Національним банком України з Кредитного реєстру Національного банку України</w:t>
      </w:r>
      <w:r>
        <w:rPr>
          <w:color w:val="000000" w:themeColor="text1"/>
        </w:rPr>
        <w:t>, схваленої рішенням Правління Національного банку України від 24 січня 2024 року № 24-рш,</w:t>
      </w:r>
      <w:r w:rsidRPr="00626353">
        <w:rPr>
          <w:color w:val="000000" w:themeColor="text1"/>
        </w:rPr>
        <w:t xml:space="preserve"> з метою забезпечення виконання Національним банком України регулятивних та наглядових функцій</w:t>
      </w:r>
      <w:r w:rsidR="00423068" w:rsidRPr="00487BC2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503D58" w:rsidRPr="00487BC2">
        <w:t>Правління Національного банку України</w:t>
      </w:r>
      <w:r w:rsidR="00503D58" w:rsidRPr="00487BC2">
        <w:rPr>
          <w:b/>
        </w:rPr>
        <w:t xml:space="preserve"> вирішило:</w:t>
      </w:r>
    </w:p>
    <w:p w:rsidR="001D4193" w:rsidRPr="00487BC2" w:rsidRDefault="00503D58" w:rsidP="005B0FB8">
      <w:pPr>
        <w:pStyle w:val="af3"/>
        <w:spacing w:before="240" w:after="12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9B2441">
        <w:rPr>
          <w:rFonts w:eastAsiaTheme="minorEastAsia"/>
          <w:noProof/>
          <w:color w:val="000000" w:themeColor="text1"/>
          <w:lang w:eastAsia="en-US"/>
        </w:rPr>
        <w:t>1.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9B2441">
        <w:rPr>
          <w:color w:val="000000" w:themeColor="text1"/>
        </w:rPr>
        <w:t>Затвердити з 01 липня 2024 року порогове</w:t>
      </w:r>
      <w:r w:rsidR="009B2441" w:rsidRPr="00626353">
        <w:rPr>
          <w:color w:val="000000" w:themeColor="text1"/>
        </w:rPr>
        <w:t xml:space="preserve"> значення заборгованості щодо інформації </w:t>
      </w:r>
      <w:r w:rsidR="009B2441" w:rsidRPr="00626353">
        <w:rPr>
          <w:color w:val="000000" w:themeColor="text1"/>
          <w:shd w:val="clear" w:color="auto" w:fill="FFFFFF"/>
        </w:rPr>
        <w:t>про фінансові послуги</w:t>
      </w:r>
      <w:r w:rsidR="009B2441" w:rsidRPr="00626353">
        <w:rPr>
          <w:color w:val="000000" w:themeColor="text1"/>
        </w:rPr>
        <w:t>, що надається Національним банком України</w:t>
      </w:r>
      <w:r w:rsidR="009B2441">
        <w:rPr>
          <w:color w:val="000000" w:themeColor="text1"/>
        </w:rPr>
        <w:t xml:space="preserve"> (далі – Національний банк)</w:t>
      </w:r>
      <w:r w:rsidR="009B2441" w:rsidRPr="00626353">
        <w:rPr>
          <w:color w:val="000000" w:themeColor="text1"/>
        </w:rPr>
        <w:t xml:space="preserve"> з Кредитного реєстру Національного банку, </w:t>
      </w:r>
      <w:r w:rsidR="009B2441">
        <w:rPr>
          <w:color w:val="000000" w:themeColor="text1"/>
        </w:rPr>
        <w:t>у розмірі 80 000,00 гривень</w:t>
      </w:r>
      <w:r w:rsidR="009B2441" w:rsidRPr="00626353">
        <w:rPr>
          <w:noProof/>
          <w:color w:val="000000" w:themeColor="text1"/>
        </w:rPr>
        <w:t xml:space="preserve">. </w:t>
      </w:r>
    </w:p>
    <w:p w:rsidR="009B2441" w:rsidRDefault="00503D58" w:rsidP="005B0FB8">
      <w:pPr>
        <w:pStyle w:val="af3"/>
        <w:spacing w:before="240" w:after="120"/>
        <w:ind w:left="0" w:firstLine="567"/>
        <w:contextualSpacing w:val="0"/>
        <w:rPr>
          <w:color w:val="000000" w:themeColor="text1"/>
        </w:rPr>
        <w:sectPr w:rsidR="009B2441" w:rsidSect="000B42CB">
          <w:head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9B2441">
        <w:rPr>
          <w:rFonts w:eastAsiaTheme="minorEastAsia"/>
          <w:noProof/>
          <w:color w:val="000000" w:themeColor="text1"/>
          <w:lang w:eastAsia="en-US"/>
        </w:rPr>
        <w:t>2.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9B2441">
        <w:rPr>
          <w:rFonts w:eastAsiaTheme="minorEastAsia"/>
          <w:noProof/>
          <w:color w:val="000000" w:themeColor="text1"/>
          <w:lang w:eastAsia="en-US"/>
        </w:rPr>
        <w:t xml:space="preserve">Департаменту інформаційних технологій (Володимир Нагорнюк), Департаменту статистики та звітності (Юрій Половньов) </w:t>
      </w:r>
      <w:r w:rsidR="009B2441" w:rsidRPr="00A62042">
        <w:rPr>
          <w:rFonts w:eastAsiaTheme="minorEastAsia"/>
          <w:noProof/>
          <w:color w:val="000000" w:themeColor="text1"/>
          <w:lang w:eastAsia="en-US"/>
        </w:rPr>
        <w:t xml:space="preserve">забезпечити дотримання </w:t>
      </w:r>
      <w:r w:rsidR="009B2441" w:rsidRPr="00A62042">
        <w:rPr>
          <w:color w:val="000000" w:themeColor="text1"/>
        </w:rPr>
        <w:t xml:space="preserve">порогового значення заборгованості щодо інформації </w:t>
      </w:r>
      <w:r w:rsidR="009B2441" w:rsidRPr="00A62042">
        <w:rPr>
          <w:color w:val="000000" w:themeColor="text1"/>
          <w:shd w:val="clear" w:color="auto" w:fill="FFFFFF"/>
        </w:rPr>
        <w:t>про фінансові послуги</w:t>
      </w:r>
      <w:r w:rsidR="009B2441" w:rsidRPr="00A62042">
        <w:rPr>
          <w:color w:val="000000" w:themeColor="text1"/>
        </w:rPr>
        <w:t xml:space="preserve">, що </w:t>
      </w:r>
      <w:r w:rsidR="009B2441" w:rsidRPr="009B2441">
        <w:rPr>
          <w:color w:val="000000" w:themeColor="text1"/>
        </w:rPr>
        <w:t xml:space="preserve">надається Національним банком з Кредитного реєстру Національного банку, визначеного в пункті 1 цього рішення, для обсягу інформації </w:t>
      </w:r>
      <w:r w:rsidR="009B2441" w:rsidRPr="009B2441">
        <w:rPr>
          <w:color w:val="000000" w:themeColor="text1"/>
          <w:shd w:val="clear" w:color="auto" w:fill="FFFFFF"/>
        </w:rPr>
        <w:t>про фінансові послуги</w:t>
      </w:r>
      <w:r w:rsidR="009B2441" w:rsidRPr="009B2441">
        <w:rPr>
          <w:color w:val="000000" w:themeColor="text1"/>
        </w:rPr>
        <w:t>, що надається з Кредитного реєстру Національного банку банкам України, фінансовим компаніям, що мають право надавати хоча б одну з фінансових послуг, передбачених пунктами 1–4 частини першої статті 29 Закону</w:t>
      </w:r>
      <w:r w:rsidR="009B2441" w:rsidRPr="009B2441">
        <w:rPr>
          <w:rStyle w:val="FontStyle22"/>
          <w:rFonts w:eastAsiaTheme="minorEastAsia"/>
          <w:color w:val="000000" w:themeColor="text1"/>
          <w:sz w:val="28"/>
        </w:rPr>
        <w:t xml:space="preserve"> України “</w:t>
      </w:r>
      <w:r w:rsidR="009B2441" w:rsidRPr="009B2441">
        <w:rPr>
          <w:rStyle w:val="rvts23"/>
          <w:color w:val="000000" w:themeColor="text1"/>
        </w:rPr>
        <w:t>Про фінансові послуги та фінансові компанії</w:t>
      </w:r>
      <w:r w:rsidR="009B2441" w:rsidRPr="009B2441">
        <w:rPr>
          <w:rStyle w:val="FontStyle22"/>
          <w:rFonts w:eastAsiaTheme="minorEastAsia"/>
          <w:color w:val="000000" w:themeColor="text1"/>
          <w:sz w:val="28"/>
        </w:rPr>
        <w:t>”, кредитним спілкам та Фонду гарантування вкладів фізичних осіб</w:t>
      </w:r>
      <w:r w:rsidR="009B2441" w:rsidRPr="009B2441">
        <w:rPr>
          <w:color w:val="000000" w:themeColor="text1"/>
        </w:rPr>
        <w:t>.</w:t>
      </w:r>
    </w:p>
    <w:p w:rsidR="00523F5C" w:rsidRDefault="00503D58" w:rsidP="005B0FB8">
      <w:pPr>
        <w:pStyle w:val="af3"/>
        <w:spacing w:before="240" w:after="120"/>
        <w:ind w:left="0" w:firstLine="567"/>
        <w:contextualSpacing w:val="0"/>
        <w:rPr>
          <w:noProof/>
          <w:lang w:val="ru-RU"/>
        </w:rPr>
      </w:pPr>
      <w:r w:rsidRPr="00D75789">
        <w:rPr>
          <w:rFonts w:eastAsiaTheme="minorEastAsia"/>
          <w:noProof/>
          <w:color w:val="000000" w:themeColor="text1"/>
          <w:lang w:val="ru-RU" w:eastAsia="en-US"/>
        </w:rPr>
        <w:lastRenderedPageBreak/>
        <w:t>3.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9B2441" w:rsidRPr="00626353">
        <w:rPr>
          <w:color w:val="000000" w:themeColor="text1"/>
        </w:rPr>
        <w:t xml:space="preserve">Контроль за виконанням цього рішення покласти </w:t>
      </w:r>
      <w:r w:rsidR="009B2441" w:rsidRPr="00626353">
        <w:rPr>
          <w:rFonts w:eastAsiaTheme="minorEastAsia"/>
          <w:noProof/>
          <w:color w:val="000000" w:themeColor="text1"/>
          <w:lang w:eastAsia="en-US"/>
        </w:rPr>
        <w:t>на заступника Голови Національного банку України Сергія Ніколайчука</w:t>
      </w:r>
      <w:r w:rsidR="001742F1" w:rsidRPr="001742F1">
        <w:rPr>
          <w:noProof/>
          <w:lang w:val="ru-RU"/>
        </w:rPr>
        <w:t>.</w:t>
      </w:r>
    </w:p>
    <w:p w:rsidR="006215C8" w:rsidRPr="00783853" w:rsidRDefault="00503D58" w:rsidP="005B0FB8">
      <w:pPr>
        <w:pStyle w:val="af3"/>
        <w:spacing w:before="240" w:after="12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4. </w:t>
      </w:r>
      <w:r w:rsidR="009B2441" w:rsidRPr="00626353">
        <w:rPr>
          <w:color w:val="000000" w:themeColor="text1"/>
        </w:rPr>
        <w:t xml:space="preserve">Рішення набирає </w:t>
      </w:r>
      <w:r w:rsidR="009B2441" w:rsidRPr="00406EDA">
        <w:rPr>
          <w:color w:val="000000" w:themeColor="text1"/>
        </w:rPr>
        <w:t>чинності з</w:t>
      </w:r>
      <w:r w:rsidR="009B2441" w:rsidRPr="00406EDA">
        <w:rPr>
          <w:noProof/>
          <w:color w:val="000000" w:themeColor="text1"/>
        </w:rPr>
        <w:t xml:space="preserve"> 01 липня 2024 року</w:t>
      </w:r>
      <w:r w:rsidR="00A64413">
        <w:rPr>
          <w:noProof/>
          <w:color w:val="000000" w:themeColor="text1"/>
        </w:rPr>
        <w:t>.</w:t>
      </w:r>
    </w:p>
    <w:p w:rsidR="008B1A65" w:rsidRPr="00487BC2" w:rsidRDefault="008B1A65" w:rsidP="008B1A65">
      <w:pPr>
        <w:tabs>
          <w:tab w:val="left" w:pos="993"/>
        </w:tabs>
        <w:spacing w:after="120"/>
        <w:rPr>
          <w:rFonts w:eastAsiaTheme="minorEastAsia"/>
          <w:noProof/>
          <w:color w:val="000000" w:themeColor="text1"/>
          <w:lang w:eastAsia="en-US"/>
        </w:rPr>
      </w:pPr>
    </w:p>
    <w:p w:rsidR="008B1A65" w:rsidRPr="00487BC2" w:rsidRDefault="008B1A65" w:rsidP="008B1A65">
      <w:pPr>
        <w:tabs>
          <w:tab w:val="left" w:pos="993"/>
        </w:tabs>
        <w:spacing w:after="120"/>
        <w:rPr>
          <w:rFonts w:eastAsiaTheme="minorEastAsia"/>
          <w:noProof/>
          <w:color w:val="000000" w:themeColor="text1"/>
          <w:lang w:eastAsia="en-US"/>
        </w:rPr>
      </w:pPr>
    </w:p>
    <w:p w:rsidR="00DF771C" w:rsidRDefault="00DF771C" w:rsidP="00DF771C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2139C8" w:rsidTr="00CA003A">
        <w:tc>
          <w:tcPr>
            <w:tcW w:w="5495" w:type="dxa"/>
            <w:vAlign w:val="bottom"/>
            <w:hideMark/>
          </w:tcPr>
          <w:p w:rsidR="00DF771C" w:rsidRPr="009B2441" w:rsidRDefault="009B2441" w:rsidP="009B244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Голова </w:t>
            </w:r>
          </w:p>
        </w:tc>
        <w:tc>
          <w:tcPr>
            <w:tcW w:w="4252" w:type="dxa"/>
            <w:vAlign w:val="bottom"/>
            <w:hideMark/>
          </w:tcPr>
          <w:p w:rsidR="00DF771C" w:rsidRDefault="009B2441" w:rsidP="00817F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lang w:eastAsia="en-US"/>
              </w:rPr>
            </w:pPr>
            <w:r w:rsidRPr="00626353">
              <w:rPr>
                <w:color w:val="000000" w:themeColor="text1"/>
              </w:rPr>
              <w:t>Андрій ПИШНИЙ</w:t>
            </w:r>
          </w:p>
        </w:tc>
      </w:tr>
    </w:tbl>
    <w:p w:rsidR="00DF771C" w:rsidRDefault="00DF771C" w:rsidP="00DF771C"/>
    <w:p w:rsidR="008B1A65" w:rsidRPr="00487BC2" w:rsidRDefault="008B1A65" w:rsidP="00FA508E">
      <w:pPr>
        <w:jc w:val="left"/>
        <w:rPr>
          <w:noProof/>
        </w:rPr>
      </w:pPr>
    </w:p>
    <w:p w:rsidR="00FA508E" w:rsidRPr="00487BC2" w:rsidRDefault="00503D58" w:rsidP="00FA508E">
      <w:pPr>
        <w:jc w:val="left"/>
        <w:rPr>
          <w:noProof/>
        </w:rPr>
      </w:pPr>
      <w:r w:rsidRPr="00487BC2">
        <w:rPr>
          <w:noProof/>
        </w:rPr>
        <w:t>Інд.</w:t>
      </w:r>
      <w:r w:rsidRPr="00487BC2">
        <w:rPr>
          <w:noProof/>
          <w:sz w:val="22"/>
          <w:szCs w:val="22"/>
        </w:rPr>
        <w:t xml:space="preserve"> </w:t>
      </w:r>
      <w:r w:rsidR="009B2441">
        <w:rPr>
          <w:noProof/>
        </w:rPr>
        <w:t>31</w:t>
      </w:r>
    </w:p>
    <w:sectPr w:rsidR="00FA508E" w:rsidRPr="00487BC2" w:rsidSect="00207991">
      <w:pgSz w:w="11906" w:h="16838" w:code="9"/>
      <w:pgMar w:top="567" w:right="56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4B" w:rsidRDefault="00D8074B">
      <w:r>
        <w:separator/>
      </w:r>
    </w:p>
  </w:endnote>
  <w:endnote w:type="continuationSeparator" w:id="0">
    <w:p w:rsidR="00D8074B" w:rsidRDefault="00D8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BF" w:rsidRPr="002A3D20" w:rsidRDefault="00503D58" w:rsidP="002626BF">
    <w:pPr>
      <w:pStyle w:val="a5"/>
      <w:jc w:val="right"/>
      <w:rPr>
        <w:color w:val="FFFFFF" w:themeColor="background1"/>
      </w:rPr>
    </w:pPr>
    <w:r w:rsidRPr="002A3D20">
      <w:rPr>
        <w:color w:val="FFFFFF" w:themeColor="background1"/>
      </w:rPr>
      <w:t>Шаблон</w:t>
    </w:r>
  </w:p>
  <w:p w:rsidR="002626BF" w:rsidRPr="002A3D20" w:rsidRDefault="00503D58" w:rsidP="002626BF">
    <w:pPr>
      <w:pStyle w:val="a5"/>
      <w:jc w:val="right"/>
      <w:rPr>
        <w:color w:val="FFFFFF" w:themeColor="background1"/>
      </w:rPr>
    </w:pPr>
    <w:r w:rsidRPr="002A3D20">
      <w:rPr>
        <w:color w:val="FFFFFF" w:themeColor="background1"/>
      </w:rPr>
      <w:t>Шаблон</w:t>
    </w:r>
  </w:p>
  <w:p w:rsidR="002626BF" w:rsidRPr="002A3D20" w:rsidRDefault="00503D58" w:rsidP="002626BF">
    <w:pPr>
      <w:pStyle w:val="a5"/>
      <w:jc w:val="right"/>
      <w:rPr>
        <w:color w:val="FFFFFF" w:themeColor="background1"/>
      </w:rPr>
    </w:pPr>
    <w:r w:rsidRPr="002A3D20">
      <w:rPr>
        <w:color w:val="FFFFFF" w:themeColor="background1"/>
      </w:rPr>
      <w:t>Шаблон</w:t>
    </w:r>
  </w:p>
  <w:p w:rsidR="002626BF" w:rsidRPr="002626BF" w:rsidRDefault="00503D58" w:rsidP="002626BF">
    <w:pPr>
      <w:pStyle w:val="a7"/>
      <w:jc w:val="right"/>
      <w:rPr>
        <w:color w:val="FFFFFF" w:themeColor="background1"/>
      </w:rPr>
    </w:pPr>
    <w:r w:rsidRPr="002626BF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4B" w:rsidRDefault="00D8074B">
      <w:r>
        <w:separator/>
      </w:r>
    </w:p>
  </w:footnote>
  <w:footnote w:type="continuationSeparator" w:id="0">
    <w:p w:rsidR="00D8074B" w:rsidRDefault="00D8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503D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9DC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20" w:rsidRPr="002626BF" w:rsidRDefault="002A3D20" w:rsidP="0011189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647C6DD6">
      <w:start w:val="1"/>
      <w:numFmt w:val="decimal"/>
      <w:lvlText w:val="%1."/>
      <w:lvlJc w:val="left"/>
      <w:pPr>
        <w:ind w:left="3905" w:hanging="360"/>
      </w:pPr>
    </w:lvl>
    <w:lvl w:ilvl="1" w:tplc="490487EC" w:tentative="1">
      <w:start w:val="1"/>
      <w:numFmt w:val="lowerLetter"/>
      <w:lvlText w:val="%2."/>
      <w:lvlJc w:val="left"/>
      <w:pPr>
        <w:ind w:left="1789" w:hanging="360"/>
      </w:pPr>
    </w:lvl>
    <w:lvl w:ilvl="2" w:tplc="DB1C544E" w:tentative="1">
      <w:start w:val="1"/>
      <w:numFmt w:val="lowerRoman"/>
      <w:lvlText w:val="%3."/>
      <w:lvlJc w:val="right"/>
      <w:pPr>
        <w:ind w:left="2509" w:hanging="180"/>
      </w:pPr>
    </w:lvl>
    <w:lvl w:ilvl="3" w:tplc="B48E282E" w:tentative="1">
      <w:start w:val="1"/>
      <w:numFmt w:val="decimal"/>
      <w:lvlText w:val="%4."/>
      <w:lvlJc w:val="left"/>
      <w:pPr>
        <w:ind w:left="3229" w:hanging="360"/>
      </w:pPr>
    </w:lvl>
    <w:lvl w:ilvl="4" w:tplc="C9E4E892" w:tentative="1">
      <w:start w:val="1"/>
      <w:numFmt w:val="lowerLetter"/>
      <w:lvlText w:val="%5."/>
      <w:lvlJc w:val="left"/>
      <w:pPr>
        <w:ind w:left="3949" w:hanging="360"/>
      </w:pPr>
    </w:lvl>
    <w:lvl w:ilvl="5" w:tplc="AB80DDD8" w:tentative="1">
      <w:start w:val="1"/>
      <w:numFmt w:val="lowerRoman"/>
      <w:lvlText w:val="%6."/>
      <w:lvlJc w:val="right"/>
      <w:pPr>
        <w:ind w:left="4669" w:hanging="180"/>
      </w:pPr>
    </w:lvl>
    <w:lvl w:ilvl="6" w:tplc="3A007330" w:tentative="1">
      <w:start w:val="1"/>
      <w:numFmt w:val="decimal"/>
      <w:lvlText w:val="%7."/>
      <w:lvlJc w:val="left"/>
      <w:pPr>
        <w:ind w:left="5389" w:hanging="360"/>
      </w:pPr>
    </w:lvl>
    <w:lvl w:ilvl="7" w:tplc="7CAE7AF8" w:tentative="1">
      <w:start w:val="1"/>
      <w:numFmt w:val="lowerLetter"/>
      <w:lvlText w:val="%8."/>
      <w:lvlJc w:val="left"/>
      <w:pPr>
        <w:ind w:left="6109" w:hanging="360"/>
      </w:pPr>
    </w:lvl>
    <w:lvl w:ilvl="8" w:tplc="D7709E5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84D71"/>
    <w:multiLevelType w:val="hybridMultilevel"/>
    <w:tmpl w:val="3F109CDE"/>
    <w:lvl w:ilvl="0" w:tplc="69BCDAF4">
      <w:start w:val="1"/>
      <w:numFmt w:val="decimal"/>
      <w:lvlText w:val="%1."/>
      <w:lvlJc w:val="left"/>
      <w:pPr>
        <w:ind w:left="1429" w:hanging="360"/>
      </w:pPr>
    </w:lvl>
    <w:lvl w:ilvl="1" w:tplc="49EA23B6" w:tentative="1">
      <w:start w:val="1"/>
      <w:numFmt w:val="lowerLetter"/>
      <w:lvlText w:val="%2."/>
      <w:lvlJc w:val="left"/>
      <w:pPr>
        <w:ind w:left="2149" w:hanging="360"/>
      </w:pPr>
    </w:lvl>
    <w:lvl w:ilvl="2" w:tplc="5D8059CE" w:tentative="1">
      <w:start w:val="1"/>
      <w:numFmt w:val="lowerRoman"/>
      <w:lvlText w:val="%3."/>
      <w:lvlJc w:val="right"/>
      <w:pPr>
        <w:ind w:left="2869" w:hanging="180"/>
      </w:pPr>
    </w:lvl>
    <w:lvl w:ilvl="3" w:tplc="9C527C48" w:tentative="1">
      <w:start w:val="1"/>
      <w:numFmt w:val="decimal"/>
      <w:lvlText w:val="%4."/>
      <w:lvlJc w:val="left"/>
      <w:pPr>
        <w:ind w:left="3589" w:hanging="360"/>
      </w:pPr>
    </w:lvl>
    <w:lvl w:ilvl="4" w:tplc="44B08B5E" w:tentative="1">
      <w:start w:val="1"/>
      <w:numFmt w:val="lowerLetter"/>
      <w:lvlText w:val="%5."/>
      <w:lvlJc w:val="left"/>
      <w:pPr>
        <w:ind w:left="4309" w:hanging="360"/>
      </w:pPr>
    </w:lvl>
    <w:lvl w:ilvl="5" w:tplc="109A690E" w:tentative="1">
      <w:start w:val="1"/>
      <w:numFmt w:val="lowerRoman"/>
      <w:lvlText w:val="%6."/>
      <w:lvlJc w:val="right"/>
      <w:pPr>
        <w:ind w:left="5029" w:hanging="180"/>
      </w:pPr>
    </w:lvl>
    <w:lvl w:ilvl="6" w:tplc="9E62A5AE" w:tentative="1">
      <w:start w:val="1"/>
      <w:numFmt w:val="decimal"/>
      <w:lvlText w:val="%7."/>
      <w:lvlJc w:val="left"/>
      <w:pPr>
        <w:ind w:left="5749" w:hanging="360"/>
      </w:pPr>
    </w:lvl>
    <w:lvl w:ilvl="7" w:tplc="B60EA9E0" w:tentative="1">
      <w:start w:val="1"/>
      <w:numFmt w:val="lowerLetter"/>
      <w:lvlText w:val="%8."/>
      <w:lvlJc w:val="left"/>
      <w:pPr>
        <w:ind w:left="6469" w:hanging="360"/>
      </w:pPr>
    </w:lvl>
    <w:lvl w:ilvl="8" w:tplc="7F8A644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75D62372">
      <w:start w:val="1"/>
      <w:numFmt w:val="decimal"/>
      <w:lvlText w:val="%1."/>
      <w:lvlJc w:val="left"/>
      <w:pPr>
        <w:ind w:left="1429" w:hanging="360"/>
      </w:pPr>
    </w:lvl>
    <w:lvl w:ilvl="1" w:tplc="1DB865C0" w:tentative="1">
      <w:start w:val="1"/>
      <w:numFmt w:val="lowerLetter"/>
      <w:lvlText w:val="%2."/>
      <w:lvlJc w:val="left"/>
      <w:pPr>
        <w:ind w:left="2149" w:hanging="360"/>
      </w:pPr>
    </w:lvl>
    <w:lvl w:ilvl="2" w:tplc="F9AE4D1C" w:tentative="1">
      <w:start w:val="1"/>
      <w:numFmt w:val="lowerRoman"/>
      <w:lvlText w:val="%3."/>
      <w:lvlJc w:val="right"/>
      <w:pPr>
        <w:ind w:left="2869" w:hanging="180"/>
      </w:pPr>
    </w:lvl>
    <w:lvl w:ilvl="3" w:tplc="84C29876" w:tentative="1">
      <w:start w:val="1"/>
      <w:numFmt w:val="decimal"/>
      <w:lvlText w:val="%4."/>
      <w:lvlJc w:val="left"/>
      <w:pPr>
        <w:ind w:left="3589" w:hanging="360"/>
      </w:pPr>
    </w:lvl>
    <w:lvl w:ilvl="4" w:tplc="6F72E782" w:tentative="1">
      <w:start w:val="1"/>
      <w:numFmt w:val="lowerLetter"/>
      <w:lvlText w:val="%5."/>
      <w:lvlJc w:val="left"/>
      <w:pPr>
        <w:ind w:left="4309" w:hanging="360"/>
      </w:pPr>
    </w:lvl>
    <w:lvl w:ilvl="5" w:tplc="06D45882" w:tentative="1">
      <w:start w:val="1"/>
      <w:numFmt w:val="lowerRoman"/>
      <w:lvlText w:val="%6."/>
      <w:lvlJc w:val="right"/>
      <w:pPr>
        <w:ind w:left="5029" w:hanging="180"/>
      </w:pPr>
    </w:lvl>
    <w:lvl w:ilvl="6" w:tplc="0B70258C" w:tentative="1">
      <w:start w:val="1"/>
      <w:numFmt w:val="decimal"/>
      <w:lvlText w:val="%7."/>
      <w:lvlJc w:val="left"/>
      <w:pPr>
        <w:ind w:left="5749" w:hanging="360"/>
      </w:pPr>
    </w:lvl>
    <w:lvl w:ilvl="7" w:tplc="B888D08A" w:tentative="1">
      <w:start w:val="1"/>
      <w:numFmt w:val="lowerLetter"/>
      <w:lvlText w:val="%8."/>
      <w:lvlJc w:val="left"/>
      <w:pPr>
        <w:ind w:left="6469" w:hanging="360"/>
      </w:pPr>
    </w:lvl>
    <w:lvl w:ilvl="8" w:tplc="DFFA3C1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C50889"/>
    <w:multiLevelType w:val="hybridMultilevel"/>
    <w:tmpl w:val="0068E5B2"/>
    <w:lvl w:ilvl="0" w:tplc="700AA28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15CF3"/>
    <w:rsid w:val="00015FDE"/>
    <w:rsid w:val="0003331E"/>
    <w:rsid w:val="000342A5"/>
    <w:rsid w:val="0003793C"/>
    <w:rsid w:val="000422EA"/>
    <w:rsid w:val="000543C6"/>
    <w:rsid w:val="000574CE"/>
    <w:rsid w:val="00057A5C"/>
    <w:rsid w:val="000600A8"/>
    <w:rsid w:val="00062DFC"/>
    <w:rsid w:val="00063480"/>
    <w:rsid w:val="000679F5"/>
    <w:rsid w:val="00073C85"/>
    <w:rsid w:val="000B2990"/>
    <w:rsid w:val="000B42CB"/>
    <w:rsid w:val="000D778F"/>
    <w:rsid w:val="000E0CB3"/>
    <w:rsid w:val="000E5B8C"/>
    <w:rsid w:val="001039CA"/>
    <w:rsid w:val="0011189E"/>
    <w:rsid w:val="001359C4"/>
    <w:rsid w:val="0014417C"/>
    <w:rsid w:val="001631E2"/>
    <w:rsid w:val="001740C0"/>
    <w:rsid w:val="001742F1"/>
    <w:rsid w:val="00181EA8"/>
    <w:rsid w:val="00190E1A"/>
    <w:rsid w:val="001A0EE5"/>
    <w:rsid w:val="001A16FA"/>
    <w:rsid w:val="001A4CB9"/>
    <w:rsid w:val="001A6795"/>
    <w:rsid w:val="001C206C"/>
    <w:rsid w:val="001C5904"/>
    <w:rsid w:val="001D4193"/>
    <w:rsid w:val="001D487A"/>
    <w:rsid w:val="00207991"/>
    <w:rsid w:val="002139C8"/>
    <w:rsid w:val="0022003C"/>
    <w:rsid w:val="002238D1"/>
    <w:rsid w:val="00241373"/>
    <w:rsid w:val="00253BF9"/>
    <w:rsid w:val="002626BF"/>
    <w:rsid w:val="00264983"/>
    <w:rsid w:val="00266678"/>
    <w:rsid w:val="00276988"/>
    <w:rsid w:val="00280DCC"/>
    <w:rsid w:val="002853DB"/>
    <w:rsid w:val="00285DDA"/>
    <w:rsid w:val="00290F65"/>
    <w:rsid w:val="002A3D20"/>
    <w:rsid w:val="002B351E"/>
    <w:rsid w:val="002B3F71"/>
    <w:rsid w:val="002B582B"/>
    <w:rsid w:val="002C1FDB"/>
    <w:rsid w:val="002C2894"/>
    <w:rsid w:val="002D1790"/>
    <w:rsid w:val="002F23E4"/>
    <w:rsid w:val="002F48EF"/>
    <w:rsid w:val="00340D07"/>
    <w:rsid w:val="00345982"/>
    <w:rsid w:val="00356E34"/>
    <w:rsid w:val="00357676"/>
    <w:rsid w:val="00373636"/>
    <w:rsid w:val="0038385E"/>
    <w:rsid w:val="00384F65"/>
    <w:rsid w:val="0039725C"/>
    <w:rsid w:val="003A751F"/>
    <w:rsid w:val="003C3282"/>
    <w:rsid w:val="003C3985"/>
    <w:rsid w:val="003F0441"/>
    <w:rsid w:val="003F28B5"/>
    <w:rsid w:val="003F7093"/>
    <w:rsid w:val="00401EDB"/>
    <w:rsid w:val="00404C93"/>
    <w:rsid w:val="00407877"/>
    <w:rsid w:val="004130B9"/>
    <w:rsid w:val="00423068"/>
    <w:rsid w:val="00445DA2"/>
    <w:rsid w:val="00455B45"/>
    <w:rsid w:val="00460BA2"/>
    <w:rsid w:val="00470271"/>
    <w:rsid w:val="00487BC2"/>
    <w:rsid w:val="004A1CFC"/>
    <w:rsid w:val="004A7F75"/>
    <w:rsid w:val="004B1FE9"/>
    <w:rsid w:val="004B5574"/>
    <w:rsid w:val="004E22E2"/>
    <w:rsid w:val="004F7286"/>
    <w:rsid w:val="00503D58"/>
    <w:rsid w:val="0050563F"/>
    <w:rsid w:val="00505B10"/>
    <w:rsid w:val="0051774A"/>
    <w:rsid w:val="00523C13"/>
    <w:rsid w:val="00523F5C"/>
    <w:rsid w:val="005257C2"/>
    <w:rsid w:val="005309DC"/>
    <w:rsid w:val="00532633"/>
    <w:rsid w:val="005403F1"/>
    <w:rsid w:val="00542533"/>
    <w:rsid w:val="005538D2"/>
    <w:rsid w:val="005624B6"/>
    <w:rsid w:val="00566BA2"/>
    <w:rsid w:val="0057237F"/>
    <w:rsid w:val="00577402"/>
    <w:rsid w:val="00591A20"/>
    <w:rsid w:val="00597AB6"/>
    <w:rsid w:val="005A0F4B"/>
    <w:rsid w:val="005A1D3C"/>
    <w:rsid w:val="005A2D93"/>
    <w:rsid w:val="005A3F34"/>
    <w:rsid w:val="005B0FB8"/>
    <w:rsid w:val="005B2D03"/>
    <w:rsid w:val="005C5CBF"/>
    <w:rsid w:val="005D45F5"/>
    <w:rsid w:val="005E3FA8"/>
    <w:rsid w:val="005F4CB4"/>
    <w:rsid w:val="00612BA1"/>
    <w:rsid w:val="006215C8"/>
    <w:rsid w:val="00624863"/>
    <w:rsid w:val="00640612"/>
    <w:rsid w:val="0064227D"/>
    <w:rsid w:val="0065179F"/>
    <w:rsid w:val="00670C95"/>
    <w:rsid w:val="006754CA"/>
    <w:rsid w:val="00686B35"/>
    <w:rsid w:val="006925CE"/>
    <w:rsid w:val="00692C8C"/>
    <w:rsid w:val="006A1B37"/>
    <w:rsid w:val="006B2748"/>
    <w:rsid w:val="006B465F"/>
    <w:rsid w:val="006C0F22"/>
    <w:rsid w:val="006C13B1"/>
    <w:rsid w:val="006C4176"/>
    <w:rsid w:val="006C66EF"/>
    <w:rsid w:val="006D2617"/>
    <w:rsid w:val="006D4908"/>
    <w:rsid w:val="006E5198"/>
    <w:rsid w:val="00700AA3"/>
    <w:rsid w:val="0071789F"/>
    <w:rsid w:val="00730088"/>
    <w:rsid w:val="0078127A"/>
    <w:rsid w:val="00783853"/>
    <w:rsid w:val="00783AF2"/>
    <w:rsid w:val="007A1752"/>
    <w:rsid w:val="007A6609"/>
    <w:rsid w:val="007A7FDF"/>
    <w:rsid w:val="007B1BD3"/>
    <w:rsid w:val="007C2CED"/>
    <w:rsid w:val="007D1C2C"/>
    <w:rsid w:val="008020FB"/>
    <w:rsid w:val="00802988"/>
    <w:rsid w:val="00817F88"/>
    <w:rsid w:val="0085364B"/>
    <w:rsid w:val="00864994"/>
    <w:rsid w:val="00866993"/>
    <w:rsid w:val="00874366"/>
    <w:rsid w:val="00874390"/>
    <w:rsid w:val="008762D8"/>
    <w:rsid w:val="00885961"/>
    <w:rsid w:val="00894D28"/>
    <w:rsid w:val="00897035"/>
    <w:rsid w:val="008A63A7"/>
    <w:rsid w:val="008B1A65"/>
    <w:rsid w:val="008D10FD"/>
    <w:rsid w:val="008D122F"/>
    <w:rsid w:val="008D5F60"/>
    <w:rsid w:val="008D727F"/>
    <w:rsid w:val="008E1B8E"/>
    <w:rsid w:val="008F0210"/>
    <w:rsid w:val="008F2600"/>
    <w:rsid w:val="008F5D52"/>
    <w:rsid w:val="008F68C1"/>
    <w:rsid w:val="00904F17"/>
    <w:rsid w:val="00922966"/>
    <w:rsid w:val="00932898"/>
    <w:rsid w:val="00937AE3"/>
    <w:rsid w:val="00937D24"/>
    <w:rsid w:val="0094046D"/>
    <w:rsid w:val="00943175"/>
    <w:rsid w:val="0095741D"/>
    <w:rsid w:val="00967711"/>
    <w:rsid w:val="0097288F"/>
    <w:rsid w:val="0098207E"/>
    <w:rsid w:val="009B2441"/>
    <w:rsid w:val="009B6120"/>
    <w:rsid w:val="009C2F76"/>
    <w:rsid w:val="009E5BFD"/>
    <w:rsid w:val="009F5312"/>
    <w:rsid w:val="00A01F95"/>
    <w:rsid w:val="00A0594A"/>
    <w:rsid w:val="00A12C47"/>
    <w:rsid w:val="00A2037B"/>
    <w:rsid w:val="00A23E04"/>
    <w:rsid w:val="00A50DC0"/>
    <w:rsid w:val="00A542E0"/>
    <w:rsid w:val="00A64413"/>
    <w:rsid w:val="00A64927"/>
    <w:rsid w:val="00A72F06"/>
    <w:rsid w:val="00A730F2"/>
    <w:rsid w:val="00A77FFD"/>
    <w:rsid w:val="00AA1489"/>
    <w:rsid w:val="00AB4554"/>
    <w:rsid w:val="00AC47B6"/>
    <w:rsid w:val="00AD0504"/>
    <w:rsid w:val="00AE2CAF"/>
    <w:rsid w:val="00AF33D9"/>
    <w:rsid w:val="00AF43DF"/>
    <w:rsid w:val="00B332B2"/>
    <w:rsid w:val="00B34CCC"/>
    <w:rsid w:val="00B34FF5"/>
    <w:rsid w:val="00B36EC7"/>
    <w:rsid w:val="00B36EDD"/>
    <w:rsid w:val="00B628C5"/>
    <w:rsid w:val="00B71933"/>
    <w:rsid w:val="00B8078D"/>
    <w:rsid w:val="00BC128A"/>
    <w:rsid w:val="00BC41DB"/>
    <w:rsid w:val="00BD12A3"/>
    <w:rsid w:val="00BF47B0"/>
    <w:rsid w:val="00BF5224"/>
    <w:rsid w:val="00BF5327"/>
    <w:rsid w:val="00C21D33"/>
    <w:rsid w:val="00C32E1D"/>
    <w:rsid w:val="00C37498"/>
    <w:rsid w:val="00C4377C"/>
    <w:rsid w:val="00C46F29"/>
    <w:rsid w:val="00C47F0F"/>
    <w:rsid w:val="00C5099B"/>
    <w:rsid w:val="00C51D84"/>
    <w:rsid w:val="00C52506"/>
    <w:rsid w:val="00C82259"/>
    <w:rsid w:val="00C94014"/>
    <w:rsid w:val="00CA003A"/>
    <w:rsid w:val="00CA174B"/>
    <w:rsid w:val="00CB0A99"/>
    <w:rsid w:val="00CC3E16"/>
    <w:rsid w:val="00CD0CD4"/>
    <w:rsid w:val="00CE3B9F"/>
    <w:rsid w:val="00CF0054"/>
    <w:rsid w:val="00CF2C65"/>
    <w:rsid w:val="00D00D4F"/>
    <w:rsid w:val="00D0243F"/>
    <w:rsid w:val="00D1605E"/>
    <w:rsid w:val="00D34DCC"/>
    <w:rsid w:val="00D60541"/>
    <w:rsid w:val="00D75789"/>
    <w:rsid w:val="00D8074B"/>
    <w:rsid w:val="00DC1E60"/>
    <w:rsid w:val="00DD1AC3"/>
    <w:rsid w:val="00DD60CC"/>
    <w:rsid w:val="00DF771C"/>
    <w:rsid w:val="00E054A9"/>
    <w:rsid w:val="00E10AE2"/>
    <w:rsid w:val="00E10F0A"/>
    <w:rsid w:val="00E13BC3"/>
    <w:rsid w:val="00E21875"/>
    <w:rsid w:val="00E25407"/>
    <w:rsid w:val="00E32599"/>
    <w:rsid w:val="00E33B0E"/>
    <w:rsid w:val="00E405A2"/>
    <w:rsid w:val="00E417AB"/>
    <w:rsid w:val="00E446A6"/>
    <w:rsid w:val="00E53CB5"/>
    <w:rsid w:val="00E53CCD"/>
    <w:rsid w:val="00E670CF"/>
    <w:rsid w:val="00E71855"/>
    <w:rsid w:val="00E719A9"/>
    <w:rsid w:val="00E94E17"/>
    <w:rsid w:val="00EA1DE4"/>
    <w:rsid w:val="00EA60EA"/>
    <w:rsid w:val="00EB29BF"/>
    <w:rsid w:val="00EB3662"/>
    <w:rsid w:val="00EC358D"/>
    <w:rsid w:val="00F003D3"/>
    <w:rsid w:val="00F008AB"/>
    <w:rsid w:val="00F03E32"/>
    <w:rsid w:val="00F42E75"/>
    <w:rsid w:val="00F517FA"/>
    <w:rsid w:val="00F52D16"/>
    <w:rsid w:val="00F62D67"/>
    <w:rsid w:val="00F63BD9"/>
    <w:rsid w:val="00F64762"/>
    <w:rsid w:val="00F6694C"/>
    <w:rsid w:val="00F700A0"/>
    <w:rsid w:val="00F8145F"/>
    <w:rsid w:val="00F8349A"/>
    <w:rsid w:val="00F9283D"/>
    <w:rsid w:val="00F92AB8"/>
    <w:rsid w:val="00F96F18"/>
    <w:rsid w:val="00FA508E"/>
    <w:rsid w:val="00FA5320"/>
    <w:rsid w:val="00FA7846"/>
    <w:rsid w:val="00FB2003"/>
    <w:rsid w:val="00FC26E5"/>
    <w:rsid w:val="00FD19F1"/>
    <w:rsid w:val="00FD370F"/>
    <w:rsid w:val="00FD72DB"/>
    <w:rsid w:val="00FE0B90"/>
    <w:rsid w:val="00FF1D5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D08DC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FontStyle22">
    <w:name w:val="Font Style22"/>
    <w:rsid w:val="009B2441"/>
    <w:rPr>
      <w:rFonts w:ascii="Times New Roman" w:hAnsi="Times New Roman"/>
      <w:sz w:val="26"/>
    </w:rPr>
  </w:style>
  <w:style w:type="character" w:customStyle="1" w:styleId="rvts23">
    <w:name w:val="rvts23"/>
    <w:basedOn w:val="a0"/>
    <w:rsid w:val="009B2441"/>
  </w:style>
  <w:style w:type="character" w:customStyle="1" w:styleId="af4">
    <w:name w:val="Абзац списку Знак"/>
    <w:aliases w:val="Bullets Знак"/>
    <w:link w:val="af3"/>
    <w:uiPriority w:val="34"/>
    <w:locked/>
    <w:rsid w:val="009B2441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207D9-E9B2-4795-85D9-F103AECC9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36B5B8-7C98-44B0-A82F-A2137F89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Бузілова Інна Миколаївна</cp:lastModifiedBy>
  <cp:revision>3</cp:revision>
  <cp:lastPrinted>2015-04-06T07:59:00Z</cp:lastPrinted>
  <dcterms:created xsi:type="dcterms:W3CDTF">2024-06-05T10:47:00Z</dcterms:created>
  <dcterms:modified xsi:type="dcterms:W3CDTF">2024-06-21T06:03:00Z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