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CB93" w14:textId="77777777" w:rsidR="008C4DE9" w:rsidRPr="00EF7FD4" w:rsidRDefault="008C4DE9">
      <w:pPr>
        <w:rPr>
          <w:sz w:val="2"/>
          <w:szCs w:val="2"/>
        </w:rPr>
      </w:pPr>
    </w:p>
    <w:p w14:paraId="5BE2B871" w14:textId="77777777" w:rsidR="008C4DE9" w:rsidRDefault="008C4DE9">
      <w:pPr>
        <w:rPr>
          <w:sz w:val="2"/>
          <w:szCs w:val="2"/>
        </w:rPr>
      </w:pPr>
    </w:p>
    <w:p w14:paraId="24B5948C" w14:textId="340A4D86" w:rsidR="008C4DE9" w:rsidRDefault="005B6D1C" w:rsidP="005B6D1C">
      <w:pPr>
        <w:jc w:val="right"/>
        <w:rPr>
          <w:sz w:val="24"/>
          <w:szCs w:val="24"/>
        </w:rPr>
      </w:pPr>
      <w:r>
        <w:rPr>
          <w:sz w:val="24"/>
          <w:szCs w:val="24"/>
        </w:rPr>
        <w:t>Офіційно опубліковано 22.04.2022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221"/>
        <w:gridCol w:w="2633"/>
        <w:gridCol w:w="358"/>
        <w:gridCol w:w="1312"/>
        <w:gridCol w:w="1900"/>
      </w:tblGrid>
      <w:tr w:rsidR="005B6D1C" w14:paraId="5629C8C1" w14:textId="77777777" w:rsidTr="008C2273">
        <w:trPr>
          <w:trHeight w:val="851"/>
        </w:trPr>
        <w:tc>
          <w:tcPr>
            <w:tcW w:w="3284" w:type="dxa"/>
          </w:tcPr>
          <w:p w14:paraId="4A3C1C82" w14:textId="77777777" w:rsidR="005B6D1C" w:rsidRDefault="005B6D1C" w:rsidP="008C2273"/>
        </w:tc>
        <w:tc>
          <w:tcPr>
            <w:tcW w:w="3285" w:type="dxa"/>
            <w:gridSpan w:val="3"/>
            <w:vMerge w:val="restart"/>
          </w:tcPr>
          <w:p w14:paraId="7F1E913F" w14:textId="77777777" w:rsidR="005B6D1C" w:rsidRDefault="005B6D1C" w:rsidP="008C2273">
            <w:pPr>
              <w:jc w:val="center"/>
            </w:pPr>
            <w:r>
              <w:object w:dxaOrig="672" w:dyaOrig="960" w14:anchorId="7F285B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48pt" o:ole="">
                  <v:imagedata r:id="rId12" o:title=""/>
                </v:shape>
                <o:OLEObject Type="Embed" ProgID="CorelDraw.Graphic.16" ShapeID="_x0000_i1025" DrawAspect="Content" ObjectID="_1712147233" r:id="rId13"/>
              </w:object>
            </w:r>
          </w:p>
        </w:tc>
        <w:tc>
          <w:tcPr>
            <w:tcW w:w="3285" w:type="dxa"/>
            <w:gridSpan w:val="2"/>
          </w:tcPr>
          <w:p w14:paraId="52B71EEA" w14:textId="77777777" w:rsidR="005B6D1C" w:rsidRDefault="005B6D1C" w:rsidP="008C2273"/>
        </w:tc>
      </w:tr>
      <w:tr w:rsidR="005B6D1C" w14:paraId="5F444301" w14:textId="77777777" w:rsidTr="008C2273">
        <w:tc>
          <w:tcPr>
            <w:tcW w:w="3284" w:type="dxa"/>
          </w:tcPr>
          <w:p w14:paraId="1C077479" w14:textId="77777777" w:rsidR="005B6D1C" w:rsidRDefault="005B6D1C" w:rsidP="008C2273"/>
        </w:tc>
        <w:tc>
          <w:tcPr>
            <w:tcW w:w="3285" w:type="dxa"/>
            <w:gridSpan w:val="3"/>
            <w:vMerge/>
          </w:tcPr>
          <w:p w14:paraId="650C100F" w14:textId="77777777" w:rsidR="005B6D1C" w:rsidRDefault="005B6D1C" w:rsidP="008C2273"/>
        </w:tc>
        <w:tc>
          <w:tcPr>
            <w:tcW w:w="3285" w:type="dxa"/>
            <w:gridSpan w:val="2"/>
          </w:tcPr>
          <w:p w14:paraId="1AD101F1" w14:textId="77777777" w:rsidR="005B6D1C" w:rsidRDefault="005B6D1C" w:rsidP="008C2273"/>
        </w:tc>
      </w:tr>
      <w:tr w:rsidR="005B6D1C" w14:paraId="55B45283" w14:textId="77777777" w:rsidTr="008C2273">
        <w:tc>
          <w:tcPr>
            <w:tcW w:w="9854" w:type="dxa"/>
            <w:gridSpan w:val="6"/>
          </w:tcPr>
          <w:p w14:paraId="58CB7001" w14:textId="77777777" w:rsidR="005B6D1C" w:rsidRDefault="005B6D1C" w:rsidP="008C2273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0F94ACC2" w14:textId="77777777" w:rsidR="005B6D1C" w:rsidRDefault="005B6D1C" w:rsidP="008C2273">
            <w:pPr>
              <w:jc w:val="center"/>
            </w:pPr>
            <w:r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  <w:tr w:rsidR="008C4DE9" w14:paraId="50F64A06" w14:textId="77777777">
        <w:tc>
          <w:tcPr>
            <w:tcW w:w="3510" w:type="dxa"/>
            <w:gridSpan w:val="2"/>
            <w:vAlign w:val="bottom"/>
          </w:tcPr>
          <w:p w14:paraId="6510825E" w14:textId="4DA49C48" w:rsidR="008C4DE9" w:rsidRDefault="005B6D1C">
            <w:r>
              <w:t>22 квітня 2022 року</w:t>
            </w:r>
          </w:p>
        </w:tc>
        <w:tc>
          <w:tcPr>
            <w:tcW w:w="2694" w:type="dxa"/>
          </w:tcPr>
          <w:p w14:paraId="4566433D" w14:textId="77777777" w:rsidR="008C4DE9" w:rsidRDefault="00717685">
            <w:pPr>
              <w:spacing w:before="240"/>
              <w:jc w:val="center"/>
            </w:pPr>
            <w:r>
              <w:rPr>
                <w:color w:val="006600"/>
              </w:rPr>
              <w:t>Київ</w:t>
            </w:r>
          </w:p>
        </w:tc>
        <w:tc>
          <w:tcPr>
            <w:tcW w:w="1713" w:type="dxa"/>
            <w:gridSpan w:val="2"/>
            <w:vAlign w:val="bottom"/>
          </w:tcPr>
          <w:p w14:paraId="7F2E54FF" w14:textId="77777777" w:rsidR="008C4DE9" w:rsidRDefault="00717685">
            <w:pPr>
              <w:jc w:val="right"/>
            </w:pPr>
            <w:r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2F7FB2AC" w14:textId="0CF3626C" w:rsidR="008C4DE9" w:rsidRDefault="005B6D1C">
            <w:pPr>
              <w:jc w:val="left"/>
            </w:pPr>
            <w:r>
              <w:t>№ 80</w:t>
            </w:r>
          </w:p>
        </w:tc>
      </w:tr>
    </w:tbl>
    <w:p w14:paraId="1382A458" w14:textId="77777777" w:rsidR="008C4DE9" w:rsidRDefault="008C4DE9">
      <w:pPr>
        <w:rPr>
          <w:sz w:val="2"/>
          <w:szCs w:val="2"/>
        </w:rPr>
      </w:pPr>
    </w:p>
    <w:p w14:paraId="15E7877B" w14:textId="77777777" w:rsidR="008C4DE9" w:rsidRPr="00631DE9" w:rsidRDefault="008C4DE9">
      <w:pPr>
        <w:ind w:firstLine="709"/>
        <w:jc w:val="center"/>
        <w:rPr>
          <w:rFonts w:eastAsiaTheme="minorEastAsia"/>
          <w:color w:val="000000" w:themeColor="text1"/>
          <w:sz w:val="26"/>
          <w:szCs w:val="26"/>
          <w:lang w:eastAsia="en-US"/>
        </w:rPr>
      </w:pPr>
    </w:p>
    <w:tbl>
      <w:tblPr>
        <w:tblStyle w:val="af4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8C4DE9" w14:paraId="25C4AC4C" w14:textId="77777777">
        <w:trPr>
          <w:jc w:val="center"/>
        </w:trPr>
        <w:tc>
          <w:tcPr>
            <w:tcW w:w="5000" w:type="pct"/>
          </w:tcPr>
          <w:p w14:paraId="6E454668" w14:textId="77777777" w:rsidR="008C4DE9" w:rsidRDefault="00717685" w:rsidP="0023472C">
            <w:pPr>
              <w:tabs>
                <w:tab w:val="left" w:pos="840"/>
                <w:tab w:val="center" w:pos="3293"/>
              </w:tabs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Про внесення </w:t>
            </w:r>
            <w:r w:rsidR="005D16EB">
              <w:t xml:space="preserve">змін до </w:t>
            </w:r>
            <w:r w:rsidR="0023472C">
              <w:t>деяких нормативно-правових актів Національного банку України</w:t>
            </w:r>
          </w:p>
          <w:p w14:paraId="72AB03FB" w14:textId="77777777" w:rsidR="008C4DE9" w:rsidRPr="00631DE9" w:rsidRDefault="008C4DE9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051299AF" w14:textId="174736FE" w:rsidR="008C4DE9" w:rsidRPr="00514516" w:rsidRDefault="00717685">
      <w:pPr>
        <w:ind w:firstLine="567"/>
        <w:rPr>
          <w:b/>
          <w:color w:val="000000" w:themeColor="text1"/>
        </w:rPr>
      </w:pPr>
      <w:r>
        <w:rPr>
          <w:color w:val="000000" w:themeColor="text1"/>
        </w:rPr>
        <w:t xml:space="preserve">Відповідно до статей 6, 7, 15, 55, 56 </w:t>
      </w:r>
      <w:r w:rsidR="00514516" w:rsidRPr="00514516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Закону </w:t>
      </w:r>
      <w:r w:rsidR="00514516" w:rsidRPr="0051451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України </w:t>
      </w:r>
      <w:r w:rsidR="00514516" w:rsidRPr="00514516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“Про Національний банк України”, статей 9, 66, 67 Закону України “Про банки і </w:t>
      </w:r>
      <w:r w:rsidRPr="00514516">
        <w:rPr>
          <w:color w:val="000000" w:themeColor="text1"/>
        </w:rPr>
        <w:t xml:space="preserve">банківську діяльність”, </w:t>
      </w:r>
      <w:r w:rsidR="007E0974" w:rsidRPr="00514516">
        <w:rPr>
          <w:color w:val="000000" w:themeColor="text1"/>
        </w:rPr>
        <w:t>Указу Президента України</w:t>
      </w:r>
      <w:r w:rsidR="00514516" w:rsidRPr="00514516">
        <w:rPr>
          <w:color w:val="000000" w:themeColor="text1"/>
        </w:rPr>
        <w:t xml:space="preserve">  </w:t>
      </w:r>
      <w:r w:rsidR="007E0974" w:rsidRPr="00514516">
        <w:rPr>
          <w:color w:val="000000" w:themeColor="text1"/>
        </w:rPr>
        <w:t xml:space="preserve"> від </w:t>
      </w:r>
      <w:r w:rsidR="00514516" w:rsidRPr="00514516">
        <w:rPr>
          <w:color w:val="000000" w:themeColor="text1"/>
        </w:rPr>
        <w:t xml:space="preserve"> </w:t>
      </w:r>
      <w:r w:rsidR="007E0974" w:rsidRPr="00514516">
        <w:rPr>
          <w:color w:val="000000" w:themeColor="text1"/>
        </w:rPr>
        <w:t xml:space="preserve">24 лютого </w:t>
      </w:r>
      <w:r w:rsidR="00514516" w:rsidRPr="00514516">
        <w:rPr>
          <w:color w:val="000000" w:themeColor="text1"/>
        </w:rPr>
        <w:t xml:space="preserve"> </w:t>
      </w:r>
      <w:r w:rsidR="007E0974" w:rsidRPr="00514516">
        <w:rPr>
          <w:color w:val="000000" w:themeColor="text1"/>
        </w:rPr>
        <w:t>2022 року</w:t>
      </w:r>
      <w:r w:rsidR="007E0974" w:rsidRPr="00514516">
        <w:rPr>
          <w:color w:val="000000" w:themeColor="text1"/>
          <w:lang w:eastAsia="en-US"/>
        </w:rPr>
        <w:t xml:space="preserve"> № </w:t>
      </w:r>
      <w:r w:rsidR="007E0974" w:rsidRPr="00514516">
        <w:rPr>
          <w:color w:val="000000" w:themeColor="text1"/>
        </w:rPr>
        <w:t>64/2022 “Про введення воєнного стану в Україні”, затвердженого</w:t>
      </w:r>
      <w:r w:rsidR="007E0974" w:rsidRPr="00514516">
        <w:rPr>
          <w:color w:val="000000" w:themeColor="text1"/>
          <w:lang w:eastAsia="en-US"/>
        </w:rPr>
        <w:t xml:space="preserve"> </w:t>
      </w:r>
      <w:r w:rsidR="007E0974" w:rsidRPr="00514516">
        <w:rPr>
          <w:color w:val="000000" w:themeColor="text1"/>
        </w:rPr>
        <w:t xml:space="preserve">Законом </w:t>
      </w:r>
      <w:r w:rsidRPr="00514516">
        <w:rPr>
          <w:color w:val="000000" w:themeColor="text1"/>
        </w:rPr>
        <w:t xml:space="preserve">України від 24 лютого 2022 року № 2102-IX «Про затвердження Указу Президента України “Про введення воєнного стану в Україні”», з метою мінімізації негативного впливу наслідків військової агресії </w:t>
      </w:r>
      <w:r w:rsidR="007E0974" w:rsidRPr="00514516">
        <w:rPr>
          <w:color w:val="000000" w:themeColor="text1"/>
        </w:rPr>
        <w:t xml:space="preserve">російської федерації </w:t>
      </w:r>
      <w:r w:rsidRPr="00514516">
        <w:rPr>
          <w:color w:val="000000" w:themeColor="text1"/>
        </w:rPr>
        <w:t>проти України та сприяння стабільності банківської системи України Правління Національного банку України</w:t>
      </w:r>
      <w:r w:rsidRPr="00514516">
        <w:rPr>
          <w:b/>
          <w:color w:val="000000" w:themeColor="text1"/>
        </w:rPr>
        <w:t xml:space="preserve"> постановляє:</w:t>
      </w:r>
    </w:p>
    <w:p w14:paraId="359E7949" w14:textId="77777777" w:rsidR="00B63D49" w:rsidRPr="00514516" w:rsidRDefault="00B63D49">
      <w:pPr>
        <w:ind w:firstLine="567"/>
        <w:rPr>
          <w:b/>
          <w:color w:val="000000" w:themeColor="text1"/>
        </w:rPr>
      </w:pPr>
    </w:p>
    <w:p w14:paraId="1B9FAD87" w14:textId="61A55666" w:rsidR="00844B45" w:rsidRPr="00EF7FD4" w:rsidRDefault="002237A4" w:rsidP="00844B45">
      <w:pPr>
        <w:ind w:firstLine="567"/>
        <w:rPr>
          <w:rFonts w:eastAsiaTheme="minorEastAsia"/>
          <w:color w:val="000000" w:themeColor="text1"/>
        </w:rPr>
      </w:pPr>
      <w:r w:rsidRPr="00514516">
        <w:rPr>
          <w:rFonts w:eastAsiaTheme="minorEastAsia"/>
          <w:color w:val="000000" w:themeColor="text1"/>
        </w:rPr>
        <w:t>1. </w:t>
      </w:r>
      <w:r w:rsidR="00844B45" w:rsidRPr="00514516">
        <w:t xml:space="preserve">Підпункт </w:t>
      </w:r>
      <w:r w:rsidR="00F40512" w:rsidRPr="00514516">
        <w:t>3</w:t>
      </w:r>
      <w:r w:rsidR="00844B45" w:rsidRPr="00514516">
        <w:t xml:space="preserve"> пункту</w:t>
      </w:r>
      <w:r w:rsidR="00B82291" w:rsidRPr="00B82291">
        <w:t xml:space="preserve"> </w:t>
      </w:r>
      <w:r w:rsidR="00844B45" w:rsidRPr="00514516">
        <w:t xml:space="preserve"> 2</w:t>
      </w:r>
      <w:r w:rsidR="00844B45" w:rsidRPr="00514516">
        <w:rPr>
          <w:vertAlign w:val="superscript"/>
        </w:rPr>
        <w:t>2</w:t>
      </w:r>
      <w:r w:rsidR="00844B45" w:rsidRPr="00514516">
        <w:t xml:space="preserve"> постанови</w:t>
      </w:r>
      <w:r w:rsidR="00514516" w:rsidRPr="00514516">
        <w:t xml:space="preserve">  </w:t>
      </w:r>
      <w:r w:rsidR="00844B45" w:rsidRPr="00514516">
        <w:t xml:space="preserve"> Правління Національного банку України</w:t>
      </w:r>
      <w:r w:rsidR="00844B45">
        <w:t xml:space="preserve"> </w:t>
      </w:r>
      <w:r w:rsidR="00844B45" w:rsidRPr="00844B45">
        <w:t>від 08</w:t>
      </w:r>
      <w:r w:rsidR="00844B45">
        <w:t xml:space="preserve"> липня </w:t>
      </w:r>
      <w:r w:rsidR="00844B45" w:rsidRPr="00844B45">
        <w:t>2021</w:t>
      </w:r>
      <w:r w:rsidR="00844B45">
        <w:t xml:space="preserve"> року </w:t>
      </w:r>
      <w:r w:rsidR="00844B45" w:rsidRPr="00844B45">
        <w:t xml:space="preserve">№ </w:t>
      </w:r>
      <w:r w:rsidR="00844B45">
        <w:t xml:space="preserve">73 </w:t>
      </w:r>
      <w:r w:rsidR="005C0197" w:rsidRPr="00EF7FD4">
        <w:t>“</w:t>
      </w:r>
      <w:r w:rsidR="005C0197" w:rsidRPr="00844B45">
        <w:rPr>
          <w:rFonts w:eastAsiaTheme="minorEastAsia"/>
          <w:color w:val="000000" w:themeColor="text1"/>
        </w:rPr>
        <w:t>Про особливості здійснення оцінки стійкості банків і банківської системи України у 2021 році</w:t>
      </w:r>
      <w:r w:rsidR="005C0197" w:rsidRPr="00EF7FD4">
        <w:rPr>
          <w:rFonts w:eastAsiaTheme="minorEastAsia"/>
          <w:color w:val="000000" w:themeColor="text1"/>
        </w:rPr>
        <w:t xml:space="preserve">” </w:t>
      </w:r>
      <w:r w:rsidR="00061C43">
        <w:t xml:space="preserve">(зі змінами) </w:t>
      </w:r>
      <w:r w:rsidR="00844B45">
        <w:t xml:space="preserve">доповнити </w:t>
      </w:r>
      <w:r w:rsidR="00844B45" w:rsidRPr="00773A9F">
        <w:rPr>
          <w:rFonts w:eastAsiaTheme="minorEastAsia"/>
          <w:color w:val="000000" w:themeColor="text1"/>
        </w:rPr>
        <w:t>словами</w:t>
      </w:r>
      <w:r w:rsidR="00061C43" w:rsidRPr="00EF7FD4">
        <w:rPr>
          <w:rFonts w:eastAsiaTheme="minorEastAsia"/>
          <w:color w:val="000000" w:themeColor="text1"/>
        </w:rPr>
        <w:t xml:space="preserve"> </w:t>
      </w:r>
      <w:r w:rsidR="00061C43">
        <w:rPr>
          <w:rFonts w:eastAsiaTheme="minorEastAsia"/>
          <w:color w:val="000000" w:themeColor="text1"/>
        </w:rPr>
        <w:t>та цифрами</w:t>
      </w:r>
      <w:r w:rsidR="00844B45" w:rsidRPr="00773A9F">
        <w:rPr>
          <w:rFonts w:eastAsiaTheme="minorEastAsia"/>
          <w:color w:val="000000" w:themeColor="text1"/>
        </w:rPr>
        <w:t xml:space="preserve"> </w:t>
      </w:r>
      <w:r w:rsidR="005C0197" w:rsidRPr="00EF7FD4">
        <w:rPr>
          <w:rFonts w:eastAsiaTheme="minorEastAsia"/>
          <w:color w:val="000000" w:themeColor="text1"/>
        </w:rPr>
        <w:t>“</w:t>
      </w:r>
      <w:r w:rsidR="00061C43">
        <w:rPr>
          <w:rFonts w:eastAsiaTheme="minorEastAsia"/>
          <w:color w:val="000000" w:themeColor="text1"/>
        </w:rPr>
        <w:t>с</w:t>
      </w:r>
      <w:r w:rsidR="00844B45" w:rsidRPr="00844B45">
        <w:rPr>
          <w:rFonts w:eastAsiaTheme="minorEastAsia"/>
          <w:color w:val="000000" w:themeColor="text1"/>
        </w:rPr>
        <w:t>таном на дати, визначені в підпункті 2 пункту 2</w:t>
      </w:r>
      <w:r w:rsidR="00844B45" w:rsidRPr="005C0197">
        <w:rPr>
          <w:rFonts w:eastAsiaTheme="minorEastAsia"/>
          <w:color w:val="000000" w:themeColor="text1"/>
          <w:vertAlign w:val="superscript"/>
        </w:rPr>
        <w:t>1</w:t>
      </w:r>
      <w:r w:rsidR="00844B45" w:rsidRPr="00844B45">
        <w:rPr>
          <w:rFonts w:eastAsiaTheme="minorEastAsia"/>
          <w:color w:val="000000" w:themeColor="text1"/>
        </w:rPr>
        <w:t xml:space="preserve"> цієї постанови</w:t>
      </w:r>
      <w:r w:rsidR="005C0197" w:rsidRPr="00EF7FD4">
        <w:rPr>
          <w:rFonts w:eastAsiaTheme="minorEastAsia"/>
          <w:color w:val="000000" w:themeColor="text1"/>
        </w:rPr>
        <w:t>”.</w:t>
      </w:r>
    </w:p>
    <w:p w14:paraId="57D0DCDF" w14:textId="77777777" w:rsidR="00844B45" w:rsidRDefault="00844B45">
      <w:pPr>
        <w:ind w:firstLine="567"/>
        <w:rPr>
          <w:rFonts w:eastAsiaTheme="minorEastAsia"/>
          <w:color w:val="000000" w:themeColor="text1"/>
        </w:rPr>
      </w:pPr>
    </w:p>
    <w:p w14:paraId="02B64622" w14:textId="7C53C5A9" w:rsidR="00FD3C5A" w:rsidRPr="00844941" w:rsidRDefault="005C0197" w:rsidP="00FD3C5A">
      <w:pPr>
        <w:ind w:firstLine="567"/>
        <w:rPr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val="ru-RU"/>
        </w:rPr>
        <w:t>2.</w:t>
      </w:r>
      <w:r w:rsidR="0000362C">
        <w:rPr>
          <w:rFonts w:eastAsiaTheme="minorEastAsia"/>
          <w:color w:val="000000" w:themeColor="text1"/>
          <w:lang w:val="ru-RU"/>
        </w:rPr>
        <w:t> </w:t>
      </w:r>
      <w:r w:rsidR="00FD3C5A" w:rsidRPr="00844941">
        <w:rPr>
          <w:color w:val="000000" w:themeColor="text1"/>
        </w:rPr>
        <w:t>Унести до постанови Правління Національного банку України від 25 лютого 2022 року № 23 “</w:t>
      </w:r>
      <w:r w:rsidR="00FD3C5A" w:rsidRPr="00844941">
        <w:rPr>
          <w:color w:val="000000" w:themeColor="text1"/>
          <w:lang w:eastAsia="en-US"/>
        </w:rPr>
        <w:t>Про деякі питання діяльності банків України та банківських груп”</w:t>
      </w:r>
      <w:r w:rsidR="00FD3C5A">
        <w:rPr>
          <w:color w:val="000000" w:themeColor="text1"/>
          <w:lang w:eastAsia="en-US"/>
        </w:rPr>
        <w:t xml:space="preserve"> (зі </w:t>
      </w:r>
      <w:r w:rsidR="00061C43">
        <w:rPr>
          <w:color w:val="000000" w:themeColor="text1"/>
          <w:lang w:eastAsia="en-US"/>
        </w:rPr>
        <w:t>змінами</w:t>
      </w:r>
      <w:r w:rsidR="00FD3C5A">
        <w:rPr>
          <w:color w:val="000000" w:themeColor="text1"/>
          <w:lang w:eastAsia="en-US"/>
        </w:rPr>
        <w:t>)</w:t>
      </w:r>
      <w:r w:rsidR="00FD3C5A" w:rsidRPr="00844941">
        <w:rPr>
          <w:color w:val="000000" w:themeColor="text1"/>
          <w:lang w:eastAsia="en-US"/>
        </w:rPr>
        <w:t xml:space="preserve"> такі зміни:</w:t>
      </w:r>
      <w:r w:rsidR="004D479F">
        <w:rPr>
          <w:color w:val="000000" w:themeColor="text1"/>
          <w:lang w:eastAsia="en-US"/>
        </w:rPr>
        <w:t xml:space="preserve">  </w:t>
      </w:r>
    </w:p>
    <w:p w14:paraId="25AD4824" w14:textId="77777777" w:rsidR="00FD3C5A" w:rsidRDefault="00FD3C5A">
      <w:pPr>
        <w:ind w:firstLine="567"/>
        <w:rPr>
          <w:rFonts w:eastAsiaTheme="minorEastAsia"/>
          <w:color w:val="000000" w:themeColor="text1"/>
          <w:lang w:val="ru-RU"/>
        </w:rPr>
      </w:pPr>
    </w:p>
    <w:p w14:paraId="5F917DCD" w14:textId="224C5C9E" w:rsidR="003C3002" w:rsidRPr="00844941" w:rsidRDefault="00A66073" w:rsidP="003C3002">
      <w:pPr>
        <w:shd w:val="clear" w:color="auto" w:fill="FFFFFF" w:themeFill="background1"/>
        <w:ind w:firstLine="567"/>
        <w:rPr>
          <w:color w:val="000000" w:themeColor="text1"/>
        </w:rPr>
      </w:pPr>
      <w:r>
        <w:rPr>
          <w:rFonts w:eastAsiaTheme="minorEastAsia"/>
          <w:color w:val="000000" w:themeColor="text1"/>
          <w:lang w:val="ru-RU"/>
        </w:rPr>
        <w:t>1</w:t>
      </w:r>
      <w:r w:rsidR="00A12E6C">
        <w:rPr>
          <w:rFonts w:eastAsiaTheme="minorEastAsia"/>
          <w:color w:val="000000" w:themeColor="text1"/>
          <w:lang w:val="ru-RU"/>
        </w:rPr>
        <w:t xml:space="preserve">) постанову </w:t>
      </w:r>
      <w:proofErr w:type="spellStart"/>
      <w:r w:rsidR="00A12E6C">
        <w:rPr>
          <w:rFonts w:eastAsiaTheme="minorEastAsia"/>
          <w:color w:val="000000" w:themeColor="text1"/>
          <w:lang w:val="ru-RU"/>
        </w:rPr>
        <w:t>після</w:t>
      </w:r>
      <w:proofErr w:type="spellEnd"/>
      <w:r w:rsidR="00A12E6C">
        <w:rPr>
          <w:rFonts w:eastAsiaTheme="minorEastAsia"/>
          <w:color w:val="000000" w:themeColor="text1"/>
          <w:lang w:val="ru-RU"/>
        </w:rPr>
        <w:t xml:space="preserve"> пункту 4 </w:t>
      </w:r>
      <w:r w:rsidR="003C3002" w:rsidRPr="00844941">
        <w:rPr>
          <w:color w:val="000000" w:themeColor="text1"/>
        </w:rPr>
        <w:t xml:space="preserve">доповнити новим пунктом </w:t>
      </w:r>
      <w:r w:rsidR="003C3002">
        <w:rPr>
          <w:color w:val="000000" w:themeColor="text1"/>
        </w:rPr>
        <w:t>4</w:t>
      </w:r>
      <w:r w:rsidR="003C3002" w:rsidRPr="00844941">
        <w:rPr>
          <w:color w:val="000000" w:themeColor="text1"/>
          <w:vertAlign w:val="superscript"/>
        </w:rPr>
        <w:t>1</w:t>
      </w:r>
      <w:r w:rsidR="003C3002" w:rsidRPr="008B3EBC">
        <w:rPr>
          <w:color w:val="000000" w:themeColor="text1"/>
        </w:rPr>
        <w:t xml:space="preserve"> </w:t>
      </w:r>
      <w:r w:rsidR="003C3002" w:rsidRPr="00844941">
        <w:rPr>
          <w:color w:val="000000" w:themeColor="text1"/>
        </w:rPr>
        <w:t>такого змісту:</w:t>
      </w:r>
    </w:p>
    <w:p w14:paraId="6B940CB1" w14:textId="73F9087A" w:rsidR="00A12E6C" w:rsidRPr="00A12E6C" w:rsidRDefault="003C3002" w:rsidP="00A12E6C">
      <w:pPr>
        <w:ind w:firstLine="567"/>
        <w:rPr>
          <w:rFonts w:eastAsiaTheme="minorEastAsia"/>
          <w:color w:val="000000" w:themeColor="text1"/>
          <w:lang w:val="ru-RU"/>
        </w:rPr>
      </w:pPr>
      <w:r w:rsidRPr="00E05CFC">
        <w:rPr>
          <w:rFonts w:eastAsiaTheme="minorEastAsia"/>
          <w:color w:val="000000" w:themeColor="text1"/>
          <w:lang w:val="ru-RU"/>
        </w:rPr>
        <w:t>“</w:t>
      </w:r>
      <w:r w:rsidR="00A12E6C" w:rsidRPr="00A12E6C">
        <w:rPr>
          <w:rFonts w:eastAsiaTheme="minorEastAsia"/>
          <w:color w:val="000000" w:themeColor="text1"/>
          <w:lang w:val="ru-RU"/>
        </w:rPr>
        <w:t>4</w:t>
      </w:r>
      <w:r w:rsidR="00A12E6C" w:rsidRPr="00A12E6C">
        <w:rPr>
          <w:rFonts w:eastAsiaTheme="minorEastAsia"/>
          <w:color w:val="000000" w:themeColor="text1"/>
          <w:vertAlign w:val="superscript"/>
          <w:lang w:val="ru-RU"/>
        </w:rPr>
        <w:t>1</w:t>
      </w:r>
      <w:r w:rsidR="00A12E6C" w:rsidRPr="00A12E6C">
        <w:rPr>
          <w:rFonts w:eastAsiaTheme="minorEastAsia"/>
          <w:color w:val="000000" w:themeColor="text1"/>
          <w:lang w:val="ru-RU"/>
        </w:rPr>
        <w:t xml:space="preserve">. Заборони,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визначені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r w:rsidR="00A12E6C" w:rsidRPr="00A66073">
        <w:rPr>
          <w:rFonts w:eastAsiaTheme="minorEastAsia"/>
          <w:color w:val="000000" w:themeColor="text1"/>
          <w:lang w:val="ru-RU"/>
        </w:rPr>
        <w:t xml:space="preserve">в </w:t>
      </w:r>
      <w:proofErr w:type="spellStart"/>
      <w:r w:rsidR="00A66073" w:rsidRPr="00A66073">
        <w:rPr>
          <w:rFonts w:eastAsiaTheme="minorEastAsia"/>
          <w:color w:val="000000" w:themeColor="text1"/>
          <w:lang w:val="ru-RU"/>
        </w:rPr>
        <w:t>підпункті</w:t>
      </w:r>
      <w:proofErr w:type="spellEnd"/>
      <w:r w:rsidR="00A66073" w:rsidRPr="00A66073">
        <w:rPr>
          <w:rFonts w:eastAsiaTheme="minorEastAsia"/>
          <w:color w:val="000000" w:themeColor="text1"/>
          <w:lang w:val="ru-RU"/>
        </w:rPr>
        <w:t xml:space="preserve"> 1 </w:t>
      </w:r>
      <w:r w:rsidR="00C26CAE" w:rsidRPr="00A66073">
        <w:rPr>
          <w:rFonts w:eastAsiaTheme="minorEastAsia"/>
          <w:color w:val="000000" w:themeColor="text1"/>
          <w:lang w:val="ru-RU"/>
        </w:rPr>
        <w:t>пункт</w:t>
      </w:r>
      <w:r w:rsidR="00A66073" w:rsidRPr="00A66073">
        <w:rPr>
          <w:rFonts w:eastAsiaTheme="minorEastAsia"/>
          <w:color w:val="000000" w:themeColor="text1"/>
          <w:lang w:val="ru-RU"/>
        </w:rPr>
        <w:t>у</w:t>
      </w:r>
      <w:r w:rsidR="00A12E6C" w:rsidRPr="00A66073">
        <w:rPr>
          <w:rFonts w:eastAsiaTheme="minorEastAsia"/>
          <w:color w:val="000000" w:themeColor="text1"/>
          <w:lang w:val="ru-RU"/>
        </w:rPr>
        <w:t xml:space="preserve"> 4 </w:t>
      </w:r>
      <w:proofErr w:type="spellStart"/>
      <w:r w:rsidR="00A12E6C" w:rsidRPr="00A66073">
        <w:rPr>
          <w:rFonts w:eastAsiaTheme="minorEastAsia"/>
          <w:color w:val="000000" w:themeColor="text1"/>
          <w:lang w:val="ru-RU"/>
        </w:rPr>
        <w:t>цієї</w:t>
      </w:r>
      <w:proofErr w:type="spellEnd"/>
      <w:r w:rsidR="00A12E6C" w:rsidRPr="00A66073">
        <w:rPr>
          <w:rFonts w:eastAsiaTheme="minorEastAsia"/>
          <w:color w:val="000000" w:themeColor="text1"/>
          <w:lang w:val="ru-RU"/>
        </w:rPr>
        <w:t xml:space="preserve"> постанови, не </w:t>
      </w:r>
      <w:proofErr w:type="spellStart"/>
      <w:r w:rsidR="00A12E6C" w:rsidRPr="00A66073">
        <w:rPr>
          <w:rFonts w:eastAsiaTheme="minorEastAsia"/>
          <w:color w:val="000000" w:themeColor="text1"/>
          <w:lang w:val="ru-RU"/>
        </w:rPr>
        <w:t>поширюються</w:t>
      </w:r>
      <w:proofErr w:type="spellEnd"/>
      <w:r w:rsidR="00A12E6C" w:rsidRPr="00A66073">
        <w:rPr>
          <w:rFonts w:eastAsiaTheme="minorEastAsia"/>
          <w:color w:val="000000" w:themeColor="text1"/>
          <w:lang w:val="ru-RU"/>
        </w:rPr>
        <w:t xml:space="preserve"> на </w:t>
      </w:r>
      <w:proofErr w:type="spellStart"/>
      <w:r w:rsidR="00A12E6C" w:rsidRPr="00A66073">
        <w:rPr>
          <w:rFonts w:eastAsiaTheme="minorEastAsia"/>
          <w:color w:val="000000" w:themeColor="text1"/>
          <w:lang w:val="ru-RU"/>
        </w:rPr>
        <w:t>надання</w:t>
      </w:r>
      <w:proofErr w:type="spellEnd"/>
      <w:r w:rsidR="00A12E6C" w:rsidRPr="00A66073">
        <w:rPr>
          <w:rFonts w:eastAsiaTheme="minorEastAsia"/>
          <w:color w:val="000000" w:themeColor="text1"/>
          <w:lang w:val="ru-RU"/>
        </w:rPr>
        <w:t xml:space="preserve"> банком </w:t>
      </w:r>
      <w:proofErr w:type="spellStart"/>
      <w:r w:rsidR="00A12E6C" w:rsidRPr="00A66073">
        <w:rPr>
          <w:rFonts w:eastAsiaTheme="minorEastAsia"/>
          <w:color w:val="000000" w:themeColor="text1"/>
          <w:lang w:val="ru-RU"/>
        </w:rPr>
        <w:t>забезпечених</w:t>
      </w:r>
      <w:proofErr w:type="spellEnd"/>
      <w:r w:rsidR="00A12E6C" w:rsidRPr="00A66073">
        <w:rPr>
          <w:rFonts w:eastAsiaTheme="minorEastAsia"/>
          <w:color w:val="000000" w:themeColor="text1"/>
          <w:lang w:val="ru-RU"/>
        </w:rPr>
        <w:t xml:space="preserve"> (</w:t>
      </w:r>
      <w:proofErr w:type="spellStart"/>
      <w:r w:rsidR="00A12E6C" w:rsidRPr="00A66073">
        <w:rPr>
          <w:rFonts w:eastAsiaTheme="minorEastAsia"/>
          <w:color w:val="000000" w:themeColor="text1"/>
          <w:lang w:val="ru-RU"/>
        </w:rPr>
        <w:t>покритих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)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гарантій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та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акредитивів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пов’язаним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з банком особам за: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імпортними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операціями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резидентів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з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купівлі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товарів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критичного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імпорту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за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переліком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,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затвердженим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Кабінетом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Міністрів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України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;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операціями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резидентів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та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нерезидентів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для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проведення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мобілізаційних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та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інших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заходів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(потреб),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визначених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законами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України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,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що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регулюють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відносини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у сферах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забезпечення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національної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безпеки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та оборони;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операціями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на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внутрішньому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ринку,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обов’язковість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надання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гарантій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>/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акредитивів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за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якими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передбачена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законодавством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України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. </w:t>
      </w:r>
    </w:p>
    <w:p w14:paraId="29B7DFBC" w14:textId="77777777" w:rsidR="00A12E6C" w:rsidRPr="00A12E6C" w:rsidRDefault="00A12E6C" w:rsidP="00A12E6C">
      <w:pPr>
        <w:ind w:firstLine="567"/>
        <w:rPr>
          <w:rFonts w:eastAsiaTheme="minorEastAsia"/>
          <w:color w:val="000000" w:themeColor="text1"/>
          <w:lang w:val="ru-RU"/>
        </w:rPr>
      </w:pPr>
      <w:r w:rsidRPr="00A12E6C">
        <w:rPr>
          <w:rFonts w:eastAsiaTheme="minorEastAsia"/>
          <w:color w:val="000000" w:themeColor="text1"/>
          <w:lang w:val="ru-RU"/>
        </w:rPr>
        <w:t>Забезпечення (покриття) за гарантією/акредитивом має відповідати одночасно таким умовам:</w:t>
      </w:r>
    </w:p>
    <w:p w14:paraId="0E0EE579" w14:textId="77777777" w:rsidR="00F122E4" w:rsidRDefault="00F122E4" w:rsidP="00A12E6C">
      <w:pPr>
        <w:ind w:firstLine="567"/>
        <w:rPr>
          <w:rFonts w:eastAsiaTheme="minorEastAsia"/>
          <w:color w:val="000000" w:themeColor="text1"/>
          <w:lang w:val="ru-RU"/>
        </w:rPr>
      </w:pPr>
    </w:p>
    <w:p w14:paraId="6C8612F2" w14:textId="77777777" w:rsidR="00A12E6C" w:rsidRPr="00A12E6C" w:rsidRDefault="00F122E4" w:rsidP="00A12E6C">
      <w:pPr>
        <w:ind w:firstLine="567"/>
        <w:rPr>
          <w:rFonts w:eastAsiaTheme="minorEastAsia"/>
          <w:color w:val="000000" w:themeColor="text1"/>
          <w:lang w:val="ru-RU"/>
        </w:rPr>
      </w:pPr>
      <w:r>
        <w:rPr>
          <w:rFonts w:eastAsiaTheme="minorEastAsia"/>
          <w:color w:val="000000" w:themeColor="text1"/>
          <w:lang w:val="ru-RU"/>
        </w:rPr>
        <w:t xml:space="preserve">1) </w:t>
      </w:r>
      <w:r w:rsidR="00A12E6C" w:rsidRPr="00A12E6C">
        <w:rPr>
          <w:rFonts w:eastAsiaTheme="minorEastAsia"/>
          <w:color w:val="000000" w:themeColor="text1"/>
          <w:lang w:val="ru-RU"/>
        </w:rPr>
        <w:t>розмір грошового забезпечення (покриття) є не менший, ніж розмір наданого банком зобов’язання за гарантією/акредитивом;</w:t>
      </w:r>
    </w:p>
    <w:p w14:paraId="6E91AC65" w14:textId="77777777" w:rsidR="00F122E4" w:rsidRDefault="00F122E4" w:rsidP="00A12E6C">
      <w:pPr>
        <w:ind w:firstLine="567"/>
        <w:rPr>
          <w:rFonts w:eastAsiaTheme="minorEastAsia"/>
          <w:color w:val="000000" w:themeColor="text1"/>
          <w:lang w:val="ru-RU"/>
        </w:rPr>
      </w:pPr>
    </w:p>
    <w:p w14:paraId="658FA0D7" w14:textId="77777777" w:rsidR="00A12E6C" w:rsidRPr="00A12E6C" w:rsidRDefault="00F122E4" w:rsidP="00A12E6C">
      <w:pPr>
        <w:ind w:firstLine="567"/>
        <w:rPr>
          <w:rFonts w:eastAsiaTheme="minorEastAsia"/>
          <w:color w:val="000000" w:themeColor="text1"/>
          <w:lang w:val="ru-RU"/>
        </w:rPr>
      </w:pPr>
      <w:r>
        <w:rPr>
          <w:rFonts w:eastAsiaTheme="minorEastAsia"/>
          <w:color w:val="000000" w:themeColor="text1"/>
          <w:lang w:val="ru-RU"/>
        </w:rPr>
        <w:t xml:space="preserve">2) </w:t>
      </w:r>
      <w:r w:rsidR="00A12E6C" w:rsidRPr="00A12E6C">
        <w:rPr>
          <w:rFonts w:eastAsiaTheme="minorEastAsia"/>
          <w:color w:val="000000" w:themeColor="text1"/>
          <w:lang w:val="ru-RU"/>
        </w:rPr>
        <w:t>банк має безперечний контроль та доступ до грошового забезпечення (покриття);</w:t>
      </w:r>
    </w:p>
    <w:p w14:paraId="521A4593" w14:textId="77777777" w:rsidR="00F122E4" w:rsidRDefault="00F122E4" w:rsidP="00A12E6C">
      <w:pPr>
        <w:ind w:firstLine="567"/>
        <w:rPr>
          <w:rFonts w:eastAsiaTheme="minorEastAsia"/>
          <w:color w:val="000000" w:themeColor="text1"/>
          <w:lang w:val="ru-RU"/>
        </w:rPr>
      </w:pPr>
    </w:p>
    <w:p w14:paraId="54EC00B4" w14:textId="5B43A39B" w:rsidR="00A12E6C" w:rsidRPr="00A12E6C" w:rsidRDefault="00F122E4" w:rsidP="00A12E6C">
      <w:pPr>
        <w:ind w:firstLine="567"/>
        <w:rPr>
          <w:rFonts w:eastAsiaTheme="minorEastAsia"/>
          <w:color w:val="000000" w:themeColor="text1"/>
          <w:lang w:val="ru-RU"/>
        </w:rPr>
      </w:pPr>
      <w:r>
        <w:rPr>
          <w:rFonts w:eastAsiaTheme="minorEastAsia"/>
          <w:color w:val="000000" w:themeColor="text1"/>
          <w:lang w:val="ru-RU"/>
        </w:rPr>
        <w:t xml:space="preserve">3) </w:t>
      </w:r>
      <w:r w:rsidR="00A12E6C" w:rsidRPr="00A12E6C">
        <w:rPr>
          <w:rFonts w:eastAsiaTheme="minorEastAsia"/>
          <w:color w:val="000000" w:themeColor="text1"/>
          <w:lang w:val="ru-RU"/>
        </w:rPr>
        <w:t xml:space="preserve">банк </w:t>
      </w:r>
      <w:proofErr w:type="spellStart"/>
      <w:r w:rsidR="00A44EA3">
        <w:rPr>
          <w:rFonts w:eastAsiaTheme="minorEastAsia"/>
          <w:color w:val="000000" w:themeColor="text1"/>
          <w:lang w:val="ru-RU"/>
        </w:rPr>
        <w:t>ма</w:t>
      </w:r>
      <w:r w:rsidR="005E0CDE">
        <w:rPr>
          <w:rFonts w:eastAsiaTheme="minorEastAsia"/>
          <w:color w:val="000000" w:themeColor="text1"/>
          <w:lang w:val="ru-RU"/>
        </w:rPr>
        <w:t>є</w:t>
      </w:r>
      <w:proofErr w:type="spellEnd"/>
      <w:r w:rsidR="00A44EA3">
        <w:rPr>
          <w:rFonts w:eastAsiaTheme="minorEastAsia"/>
          <w:color w:val="000000" w:themeColor="text1"/>
          <w:lang w:val="ru-RU"/>
        </w:rPr>
        <w:t xml:space="preserve"> </w:t>
      </w:r>
      <w:proofErr w:type="gramStart"/>
      <w:r w:rsidR="00A44EA3">
        <w:rPr>
          <w:rFonts w:eastAsiaTheme="minorEastAsia"/>
          <w:color w:val="000000" w:themeColor="text1"/>
          <w:lang w:val="ru-RU"/>
        </w:rPr>
        <w:t xml:space="preserve">право </w:t>
      </w:r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здійснити</w:t>
      </w:r>
      <w:proofErr w:type="spellEnd"/>
      <w:proofErr w:type="gramEnd"/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договірне</w:t>
      </w:r>
      <w:proofErr w:type="spellEnd"/>
      <w:r w:rsidR="00CD4A17" w:rsidRPr="00CD4A17">
        <w:rPr>
          <w:rFonts w:eastAsiaTheme="minorEastAsia"/>
          <w:color w:val="000000" w:themeColor="text1"/>
          <w:lang w:val="ru-RU"/>
        </w:rPr>
        <w:t xml:space="preserve"> </w:t>
      </w:r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списання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коштів</w:t>
      </w:r>
      <w:proofErr w:type="spellEnd"/>
      <w:r w:rsidR="00CD4A17" w:rsidRPr="00CD4A17">
        <w:rPr>
          <w:rFonts w:eastAsiaTheme="minorEastAsia"/>
          <w:color w:val="000000" w:themeColor="text1"/>
          <w:lang w:val="ru-RU"/>
        </w:rPr>
        <w:t xml:space="preserve"> </w:t>
      </w:r>
      <w:r w:rsidR="00A12E6C" w:rsidRPr="00A12E6C">
        <w:rPr>
          <w:rFonts w:eastAsiaTheme="minorEastAsia"/>
          <w:color w:val="000000" w:themeColor="text1"/>
          <w:lang w:val="ru-RU"/>
        </w:rPr>
        <w:t xml:space="preserve"> з</w:t>
      </w:r>
      <w:r w:rsidR="00CD4A17" w:rsidRPr="00CD4A17">
        <w:rPr>
          <w:rFonts w:eastAsiaTheme="minorEastAsia"/>
          <w:color w:val="000000" w:themeColor="text1"/>
          <w:lang w:val="ru-RU"/>
        </w:rPr>
        <w:t xml:space="preserve"> </w:t>
      </w:r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рахунку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, на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якому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обліковується грошове забезпечення (покриття), у разі невиконання контрагентом зобов’язань перед банком;</w:t>
      </w:r>
    </w:p>
    <w:p w14:paraId="7CE3CD3B" w14:textId="77777777" w:rsidR="00F122E4" w:rsidRDefault="00F122E4" w:rsidP="00A12E6C">
      <w:pPr>
        <w:ind w:firstLine="567"/>
        <w:rPr>
          <w:rFonts w:eastAsiaTheme="minorEastAsia"/>
          <w:color w:val="000000" w:themeColor="text1"/>
          <w:lang w:val="ru-RU"/>
        </w:rPr>
      </w:pPr>
    </w:p>
    <w:p w14:paraId="4A455A74" w14:textId="0AB133C7" w:rsidR="00A12E6C" w:rsidRDefault="00F122E4" w:rsidP="00A12E6C">
      <w:pPr>
        <w:ind w:firstLine="567"/>
        <w:rPr>
          <w:rFonts w:eastAsiaTheme="minorEastAsia"/>
          <w:color w:val="000000" w:themeColor="text1"/>
          <w:lang w:val="ru-RU"/>
        </w:rPr>
      </w:pPr>
      <w:r>
        <w:rPr>
          <w:rFonts w:eastAsiaTheme="minorEastAsia"/>
          <w:color w:val="000000" w:themeColor="text1"/>
          <w:lang w:val="ru-RU"/>
        </w:rPr>
        <w:t xml:space="preserve">4) </w:t>
      </w:r>
      <w:r w:rsidR="00A12E6C" w:rsidRPr="00A12E6C">
        <w:rPr>
          <w:rFonts w:eastAsiaTheme="minorEastAsia"/>
          <w:color w:val="000000" w:themeColor="text1"/>
          <w:lang w:val="ru-RU"/>
        </w:rPr>
        <w:t xml:space="preserve">грошове забезпечення (покриття) розміщене на строк, не менший,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ніж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строк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цих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зобов’язань</w:t>
      </w:r>
      <w:proofErr w:type="spellEnd"/>
      <w:r w:rsidR="00514516" w:rsidRPr="00514516">
        <w:rPr>
          <w:rFonts w:eastAsiaTheme="minorEastAsia"/>
          <w:color w:val="000000" w:themeColor="text1"/>
          <w:lang w:val="ru-RU"/>
        </w:rPr>
        <w:t xml:space="preserve">  </w:t>
      </w:r>
      <w:r w:rsidR="00A12E6C" w:rsidRPr="00A12E6C">
        <w:rPr>
          <w:rFonts w:eastAsiaTheme="minorEastAsia"/>
          <w:color w:val="000000" w:themeColor="text1"/>
          <w:lang w:val="ru-RU"/>
        </w:rPr>
        <w:t xml:space="preserve">(без </w:t>
      </w:r>
      <w:r w:rsidR="00514516" w:rsidRPr="00514516">
        <w:rPr>
          <w:rFonts w:eastAsiaTheme="minorEastAsia"/>
          <w:color w:val="000000" w:themeColor="text1"/>
          <w:lang w:val="ru-RU"/>
        </w:rPr>
        <w:t xml:space="preserve"> </w:t>
      </w:r>
      <w:r w:rsidR="00A12E6C" w:rsidRPr="00A12E6C">
        <w:rPr>
          <w:rFonts w:eastAsiaTheme="minorEastAsia"/>
          <w:color w:val="000000" w:themeColor="text1"/>
          <w:lang w:val="ru-RU"/>
        </w:rPr>
        <w:t xml:space="preserve">права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дострокового</w:t>
      </w:r>
      <w:proofErr w:type="spellEnd"/>
      <w:r w:rsidR="00514516" w:rsidRPr="00514516">
        <w:rPr>
          <w:rFonts w:eastAsiaTheme="minorEastAsia"/>
          <w:color w:val="000000" w:themeColor="text1"/>
          <w:lang w:val="ru-RU"/>
        </w:rPr>
        <w:t xml:space="preserve"> </w:t>
      </w:r>
      <w:r w:rsidR="00A12E6C" w:rsidRPr="00A12E6C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вилучення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) у </w:t>
      </w:r>
      <w:proofErr w:type="spellStart"/>
      <w:r w:rsidR="00A12E6C" w:rsidRPr="00A12E6C">
        <w:rPr>
          <w:rFonts w:eastAsiaTheme="minorEastAsia"/>
          <w:color w:val="000000" w:themeColor="text1"/>
          <w:lang w:val="ru-RU"/>
        </w:rPr>
        <w:t>валюті</w:t>
      </w:r>
      <w:proofErr w:type="spellEnd"/>
      <w:r w:rsidR="00A12E6C" w:rsidRPr="00A12E6C">
        <w:rPr>
          <w:rFonts w:eastAsiaTheme="minorEastAsia"/>
          <w:color w:val="000000" w:themeColor="text1"/>
          <w:lang w:val="ru-RU"/>
        </w:rPr>
        <w:t xml:space="preserve"> фінансового зобов’язання або в іноземній валюті 1-ї групи Класифікатора іноземних валют та банківських металів, затвердженого постановою Правління Національного банку України від 04 лютого 1998 року № 34 [у редакції постанови Правління Національного банку України від 19 квітня 2016 року № 269 (зі змінами)].</w:t>
      </w:r>
      <w:r w:rsidR="003C3002" w:rsidRPr="008001F6">
        <w:rPr>
          <w:rFonts w:eastAsiaTheme="minorEastAsia"/>
          <w:color w:val="000000" w:themeColor="text1"/>
          <w:lang w:val="ru-RU"/>
        </w:rPr>
        <w:t>”</w:t>
      </w:r>
      <w:r w:rsidR="003C3002">
        <w:rPr>
          <w:rFonts w:eastAsiaTheme="minorEastAsia"/>
          <w:color w:val="000000" w:themeColor="text1"/>
          <w:lang w:val="ru-RU"/>
        </w:rPr>
        <w:t>;</w:t>
      </w:r>
    </w:p>
    <w:p w14:paraId="61ABDE18" w14:textId="77777777" w:rsidR="003C3002" w:rsidRPr="003C3002" w:rsidRDefault="003C3002" w:rsidP="00A12E6C">
      <w:pPr>
        <w:ind w:firstLine="567"/>
        <w:rPr>
          <w:rFonts w:eastAsiaTheme="minorEastAsia"/>
          <w:color w:val="000000" w:themeColor="text1"/>
          <w:lang w:val="ru-RU"/>
        </w:rPr>
      </w:pPr>
    </w:p>
    <w:p w14:paraId="19742346" w14:textId="521D812C" w:rsidR="00A12E6C" w:rsidRPr="00A12E6C" w:rsidRDefault="00A66073" w:rsidP="00FD3C5A">
      <w:pPr>
        <w:ind w:firstLine="567"/>
        <w:rPr>
          <w:rFonts w:eastAsiaTheme="minorEastAsia"/>
          <w:color w:val="000000" w:themeColor="text1"/>
          <w:lang w:val="ru-RU"/>
        </w:rPr>
      </w:pPr>
      <w:r>
        <w:rPr>
          <w:rFonts w:eastAsiaTheme="minorEastAsia"/>
          <w:color w:val="000000" w:themeColor="text1"/>
          <w:lang w:val="ru-RU"/>
        </w:rPr>
        <w:t>2</w:t>
      </w:r>
      <w:r w:rsidR="003C3002">
        <w:rPr>
          <w:rFonts w:eastAsiaTheme="minorEastAsia"/>
          <w:color w:val="000000" w:themeColor="text1"/>
          <w:lang w:val="ru-RU"/>
        </w:rPr>
        <w:t xml:space="preserve">) постанову </w:t>
      </w:r>
      <w:proofErr w:type="spellStart"/>
      <w:r w:rsidR="003C3002">
        <w:rPr>
          <w:rFonts w:eastAsiaTheme="minorEastAsia"/>
          <w:color w:val="000000" w:themeColor="text1"/>
          <w:lang w:val="ru-RU"/>
        </w:rPr>
        <w:t>після</w:t>
      </w:r>
      <w:proofErr w:type="spellEnd"/>
      <w:r w:rsidR="003C3002">
        <w:rPr>
          <w:rFonts w:eastAsiaTheme="minorEastAsia"/>
          <w:color w:val="000000" w:themeColor="text1"/>
          <w:lang w:val="ru-RU"/>
        </w:rPr>
        <w:t xml:space="preserve"> пункту 9</w:t>
      </w:r>
      <w:r w:rsidR="003C3002" w:rsidRPr="003C3002">
        <w:rPr>
          <w:rFonts w:eastAsiaTheme="minorEastAsia"/>
          <w:color w:val="000000" w:themeColor="text1"/>
          <w:vertAlign w:val="superscript"/>
          <w:lang w:val="ru-RU"/>
        </w:rPr>
        <w:t>1</w:t>
      </w:r>
      <w:r w:rsidR="003C3002" w:rsidRPr="00844941">
        <w:rPr>
          <w:color w:val="000000" w:themeColor="text1"/>
        </w:rPr>
        <w:t xml:space="preserve">доповнити новим пунктом </w:t>
      </w:r>
      <w:r w:rsidR="003C3002">
        <w:rPr>
          <w:color w:val="000000" w:themeColor="text1"/>
          <w:lang w:val="ru-RU"/>
        </w:rPr>
        <w:t>9</w:t>
      </w:r>
      <w:r w:rsidR="003C3002" w:rsidRPr="003C3002">
        <w:rPr>
          <w:color w:val="000000" w:themeColor="text1"/>
          <w:vertAlign w:val="superscript"/>
          <w:lang w:val="ru-RU"/>
        </w:rPr>
        <w:t>2</w:t>
      </w:r>
      <w:r w:rsidR="003C3002" w:rsidRPr="008B3EBC">
        <w:rPr>
          <w:color w:val="000000" w:themeColor="text1"/>
        </w:rPr>
        <w:t xml:space="preserve"> </w:t>
      </w:r>
      <w:r w:rsidR="003C3002" w:rsidRPr="00844941">
        <w:rPr>
          <w:color w:val="000000" w:themeColor="text1"/>
        </w:rPr>
        <w:t>такого змісту:</w:t>
      </w:r>
    </w:p>
    <w:p w14:paraId="177A0521" w14:textId="4B1C1742" w:rsidR="0000362C" w:rsidRDefault="003C3002">
      <w:pPr>
        <w:ind w:firstLine="567"/>
        <w:rPr>
          <w:rFonts w:eastAsiaTheme="minorEastAsia"/>
          <w:color w:val="000000" w:themeColor="text1"/>
          <w:lang w:val="ru-RU"/>
        </w:rPr>
      </w:pPr>
      <w:r w:rsidRPr="008001F6">
        <w:rPr>
          <w:rFonts w:eastAsiaTheme="minorEastAsia"/>
          <w:color w:val="000000" w:themeColor="text1"/>
          <w:lang w:val="ru-RU"/>
        </w:rPr>
        <w:t>“</w:t>
      </w:r>
      <w:r w:rsidRPr="003C3002">
        <w:rPr>
          <w:rFonts w:eastAsiaTheme="minorEastAsia"/>
          <w:color w:val="000000" w:themeColor="text1"/>
          <w:lang w:val="ru-RU"/>
        </w:rPr>
        <w:t>9</w:t>
      </w:r>
      <w:r w:rsidRPr="003C3002">
        <w:rPr>
          <w:rFonts w:eastAsiaTheme="minorEastAsia"/>
          <w:color w:val="000000" w:themeColor="text1"/>
          <w:vertAlign w:val="superscript"/>
          <w:lang w:val="ru-RU"/>
        </w:rPr>
        <w:t>2</w:t>
      </w:r>
      <w:r w:rsidRPr="003C3002">
        <w:rPr>
          <w:rFonts w:eastAsiaTheme="minorEastAsia"/>
          <w:color w:val="000000" w:themeColor="text1"/>
          <w:lang w:val="ru-RU"/>
        </w:rPr>
        <w:t xml:space="preserve">. Банки протягом періоду дії воєнного стану та трьох місяців після його припинення чи скасування продовжують включати до розрахунку нормативів достатності капіталу мінімальний розмір операційного ризику, розрахований станом на 01 </w:t>
      </w:r>
      <w:proofErr w:type="spellStart"/>
      <w:proofErr w:type="gramStart"/>
      <w:r w:rsidRPr="003C3002">
        <w:rPr>
          <w:rFonts w:eastAsiaTheme="minorEastAsia"/>
          <w:color w:val="000000" w:themeColor="text1"/>
          <w:lang w:val="ru-RU"/>
        </w:rPr>
        <w:t>січня</w:t>
      </w:r>
      <w:proofErr w:type="spellEnd"/>
      <w:r w:rsidRPr="003C3002">
        <w:rPr>
          <w:rFonts w:eastAsiaTheme="minorEastAsia"/>
          <w:color w:val="000000" w:themeColor="text1"/>
          <w:lang w:val="ru-RU"/>
        </w:rPr>
        <w:t xml:space="preserve"> </w:t>
      </w:r>
      <w:r w:rsidR="00514516" w:rsidRPr="00514516">
        <w:rPr>
          <w:rFonts w:eastAsiaTheme="minorEastAsia"/>
          <w:color w:val="000000" w:themeColor="text1"/>
          <w:lang w:val="ru-RU"/>
        </w:rPr>
        <w:t xml:space="preserve"> </w:t>
      </w:r>
      <w:r w:rsidRPr="003C3002">
        <w:rPr>
          <w:rFonts w:eastAsiaTheme="minorEastAsia"/>
          <w:color w:val="000000" w:themeColor="text1"/>
          <w:lang w:val="ru-RU"/>
        </w:rPr>
        <w:t>2021</w:t>
      </w:r>
      <w:proofErr w:type="gramEnd"/>
      <w:r w:rsidRPr="003C3002">
        <w:rPr>
          <w:rFonts w:eastAsiaTheme="minorEastAsia"/>
          <w:color w:val="000000" w:themeColor="text1"/>
          <w:lang w:val="ru-RU"/>
        </w:rPr>
        <w:t xml:space="preserve"> року на </w:t>
      </w:r>
      <w:proofErr w:type="spellStart"/>
      <w:r w:rsidRPr="003C3002">
        <w:rPr>
          <w:rFonts w:eastAsiaTheme="minorEastAsia"/>
          <w:color w:val="000000" w:themeColor="text1"/>
          <w:lang w:val="ru-RU"/>
        </w:rPr>
        <w:t>підставі</w:t>
      </w:r>
      <w:proofErr w:type="spellEnd"/>
      <w:r w:rsidRPr="003C3002">
        <w:rPr>
          <w:rFonts w:eastAsiaTheme="minorEastAsia"/>
          <w:color w:val="000000" w:themeColor="text1"/>
          <w:lang w:val="ru-RU"/>
        </w:rPr>
        <w:t xml:space="preserve"> даних річної фінансової звітності за 2020 рік, перевіреної та підтвердженої аудитором.</w:t>
      </w:r>
      <w:r w:rsidRPr="008001F6">
        <w:rPr>
          <w:rFonts w:eastAsiaTheme="minorEastAsia"/>
          <w:color w:val="000000" w:themeColor="text1"/>
          <w:lang w:val="ru-RU"/>
        </w:rPr>
        <w:t>”</w:t>
      </w:r>
      <w:r>
        <w:rPr>
          <w:rFonts w:eastAsiaTheme="minorEastAsia"/>
          <w:color w:val="000000" w:themeColor="text1"/>
          <w:lang w:val="ru-RU"/>
        </w:rPr>
        <w:t>.</w:t>
      </w:r>
    </w:p>
    <w:p w14:paraId="3F238E84" w14:textId="77777777" w:rsidR="003C3002" w:rsidRPr="003C3002" w:rsidRDefault="003C3002">
      <w:pPr>
        <w:ind w:firstLine="567"/>
        <w:rPr>
          <w:rFonts w:eastAsiaTheme="minorEastAsia"/>
          <w:color w:val="000000" w:themeColor="text1"/>
          <w:lang w:val="ru-RU"/>
        </w:rPr>
      </w:pPr>
    </w:p>
    <w:p w14:paraId="521F3B63" w14:textId="0FB52123" w:rsidR="00FC2802" w:rsidRDefault="003C3002">
      <w:pPr>
        <w:ind w:firstLine="567"/>
      </w:pPr>
      <w:r>
        <w:rPr>
          <w:rFonts w:eastAsiaTheme="minorEastAsia"/>
          <w:color w:val="000000" w:themeColor="text1"/>
          <w:lang w:val="ru-RU"/>
        </w:rPr>
        <w:t>3</w:t>
      </w:r>
      <w:r w:rsidR="00717685">
        <w:rPr>
          <w:rFonts w:eastAsiaTheme="minorEastAsia"/>
          <w:color w:val="000000" w:themeColor="text1"/>
        </w:rPr>
        <w:t xml:space="preserve">. </w:t>
      </w:r>
      <w:r w:rsidR="00F67883">
        <w:t xml:space="preserve">Затвердити Зміни </w:t>
      </w:r>
      <w:r w:rsidR="00FC2802">
        <w:t xml:space="preserve">до </w:t>
      </w:r>
      <w:bookmarkStart w:id="0" w:name="_Hlk99985803"/>
      <w:r w:rsidR="00FC2802">
        <w:t xml:space="preserve">Правил роботи </w:t>
      </w:r>
      <w:proofErr w:type="gramStart"/>
      <w:r w:rsidR="00FC2802">
        <w:t xml:space="preserve">банків </w:t>
      </w:r>
      <w:r w:rsidR="00514516" w:rsidRPr="00514516">
        <w:rPr>
          <w:lang w:val="ru-RU"/>
        </w:rPr>
        <w:t xml:space="preserve"> </w:t>
      </w:r>
      <w:r w:rsidR="00FC2802">
        <w:t>у</w:t>
      </w:r>
      <w:proofErr w:type="gramEnd"/>
      <w:r w:rsidR="00FC2802">
        <w:t xml:space="preserve"> зв’язку з введенням в Україні воєнного стану</w:t>
      </w:r>
      <w:bookmarkEnd w:id="0"/>
      <w:r w:rsidR="00FC2802">
        <w:t>, затверджених постановою Правління Національного банку України від 25</w:t>
      </w:r>
      <w:r w:rsidR="005E6CFC">
        <w:t> </w:t>
      </w:r>
      <w:r w:rsidR="00FC2802">
        <w:t xml:space="preserve">лютого 2022 року № 23 (зі змінами), </w:t>
      </w:r>
      <w:r w:rsidR="002E3F3E">
        <w:t>що додаються.</w:t>
      </w:r>
    </w:p>
    <w:p w14:paraId="13363237" w14:textId="77777777" w:rsidR="00FC2802" w:rsidRDefault="00FC2802">
      <w:pPr>
        <w:ind w:firstLine="567"/>
      </w:pPr>
    </w:p>
    <w:p w14:paraId="21311504" w14:textId="77777777" w:rsidR="008C4DE9" w:rsidRDefault="003C3002">
      <w:pPr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</w:rPr>
        <w:t>4</w:t>
      </w:r>
      <w:r w:rsidR="00717685">
        <w:rPr>
          <w:rFonts w:eastAsiaTheme="minorEastAsia"/>
          <w:color w:val="000000" w:themeColor="text1"/>
        </w:rPr>
        <w:t>. </w:t>
      </w:r>
      <w:r w:rsidR="00717685">
        <w:rPr>
          <w:rFonts w:eastAsiaTheme="minorEastAsia"/>
          <w:color w:val="000000" w:themeColor="text1"/>
          <w:lang w:eastAsia="en-US"/>
        </w:rPr>
        <w:t>Департаменту методології регулювання діяльності банків (Наталія Іваненко) після офіційного опублікування довести до відома банків України інформацію про прийняття цієї постанови.</w:t>
      </w:r>
    </w:p>
    <w:p w14:paraId="72FFF44C" w14:textId="77777777" w:rsidR="008C4DE9" w:rsidRDefault="008C4DE9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604BEA23" w14:textId="77777777" w:rsidR="008C4DE9" w:rsidRDefault="003C3002">
      <w:pPr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val="ru-RU"/>
        </w:rPr>
        <w:t>5</w:t>
      </w:r>
      <w:r w:rsidR="00717685">
        <w:rPr>
          <w:rFonts w:eastAsiaTheme="minorEastAsia"/>
          <w:color w:val="000000" w:themeColor="text1"/>
        </w:rPr>
        <w:t>. </w:t>
      </w:r>
      <w:r w:rsidR="00717685">
        <w:rPr>
          <w:rFonts w:eastAsiaTheme="minorEastAsia"/>
          <w:color w:val="000000" w:themeColor="text1"/>
          <w:lang w:eastAsia="en-US"/>
        </w:rPr>
        <w:t>Постанова набирає чинності з дня її офіційного опублікування.</w:t>
      </w:r>
    </w:p>
    <w:p w14:paraId="5B623B85" w14:textId="77777777" w:rsidR="008C4DE9" w:rsidRDefault="008C4DE9">
      <w:pPr>
        <w:tabs>
          <w:tab w:val="left" w:pos="993"/>
        </w:tabs>
        <w:spacing w:after="120"/>
        <w:rPr>
          <w:color w:val="000000" w:themeColor="text1"/>
        </w:rPr>
      </w:pPr>
    </w:p>
    <w:p w14:paraId="6292525A" w14:textId="77777777" w:rsidR="008C4DE9" w:rsidRDefault="008C4DE9">
      <w:pPr>
        <w:spacing w:after="120"/>
        <w:rPr>
          <w:color w:val="000000" w:themeColor="text1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C4DE9" w14:paraId="014D48FD" w14:textId="77777777">
        <w:tc>
          <w:tcPr>
            <w:tcW w:w="5495" w:type="dxa"/>
            <w:vAlign w:val="bottom"/>
          </w:tcPr>
          <w:p w14:paraId="226E3C43" w14:textId="77777777" w:rsidR="008C4DE9" w:rsidRDefault="00282CF2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>
              <w:rPr>
                <w:rFonts w:eastAsiaTheme="minorHAnsi" w:cstheme="minorBidi"/>
                <w:color w:val="000000" w:themeColor="text1"/>
              </w:rPr>
              <w:t>В. о. </w:t>
            </w:r>
            <w:r w:rsidR="00717685">
              <w:rPr>
                <w:rFonts w:eastAsiaTheme="minorHAnsi" w:cstheme="minorBidi"/>
                <w:color w:val="000000" w:themeColor="text1"/>
              </w:rPr>
              <w:t>Голов</w:t>
            </w:r>
            <w:r>
              <w:rPr>
                <w:rFonts w:eastAsiaTheme="minorHAnsi" w:cstheme="minorBidi"/>
                <w:color w:val="000000" w:themeColor="text1"/>
              </w:rPr>
              <w:t>и</w:t>
            </w:r>
          </w:p>
        </w:tc>
        <w:tc>
          <w:tcPr>
            <w:tcW w:w="4252" w:type="dxa"/>
            <w:vAlign w:val="bottom"/>
          </w:tcPr>
          <w:p w14:paraId="7A0A8996" w14:textId="77777777" w:rsidR="008C4DE9" w:rsidRDefault="00282CF2" w:rsidP="0033487F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>
              <w:rPr>
                <w:rFonts w:eastAsiaTheme="minorHAnsi" w:cstheme="minorBidi"/>
                <w:color w:val="000000" w:themeColor="text1"/>
              </w:rPr>
              <w:t xml:space="preserve">Юрій </w:t>
            </w:r>
            <w:r w:rsidR="0033487F">
              <w:rPr>
                <w:rFonts w:eastAsiaTheme="minorHAnsi" w:cstheme="minorBidi"/>
                <w:color w:val="000000" w:themeColor="text1"/>
              </w:rPr>
              <w:t>ГЕЛЕТІЙ</w:t>
            </w:r>
          </w:p>
        </w:tc>
      </w:tr>
    </w:tbl>
    <w:p w14:paraId="0CF5D161" w14:textId="77777777" w:rsidR="008C4DE9" w:rsidRDefault="008C4DE9">
      <w:pPr>
        <w:rPr>
          <w:color w:val="000000" w:themeColor="text1"/>
        </w:rPr>
      </w:pPr>
    </w:p>
    <w:p w14:paraId="4D6E23F2" w14:textId="77777777" w:rsidR="00F67883" w:rsidRDefault="00717685">
      <w:pPr>
        <w:jc w:val="left"/>
        <w:rPr>
          <w:rFonts w:eastAsiaTheme="minorHAnsi" w:cstheme="minorBidi"/>
          <w:color w:val="000000" w:themeColor="text1"/>
        </w:rPr>
        <w:sectPr w:rsidR="00F67883">
          <w:headerReference w:type="default" r:id="rId14"/>
          <w:pgSz w:w="11906" w:h="16838"/>
          <w:pgMar w:top="567" w:right="567" w:bottom="1701" w:left="1701" w:header="283" w:footer="709" w:gutter="0"/>
          <w:pgNumType w:start="1"/>
          <w:cols w:space="708"/>
          <w:titlePg/>
          <w:docGrid w:linePitch="381"/>
        </w:sectPr>
      </w:pPr>
      <w:r>
        <w:rPr>
          <w:color w:val="000000" w:themeColor="text1"/>
        </w:rPr>
        <w:t>Інд.</w:t>
      </w:r>
      <w:r>
        <w:rPr>
          <w:color w:val="000000" w:themeColor="text1"/>
          <w:sz w:val="22"/>
          <w:szCs w:val="22"/>
        </w:rPr>
        <w:t xml:space="preserve"> </w:t>
      </w:r>
      <w:r>
        <w:rPr>
          <w:rFonts w:eastAsiaTheme="minorHAnsi" w:cstheme="minorBidi"/>
          <w:color w:val="000000" w:themeColor="text1"/>
        </w:rPr>
        <w:t>22</w:t>
      </w:r>
    </w:p>
    <w:p w14:paraId="1565D89D" w14:textId="77777777" w:rsidR="00F67883" w:rsidRPr="00405AD8" w:rsidRDefault="00F67883" w:rsidP="00F67883">
      <w:pPr>
        <w:pStyle w:val="6"/>
        <w:shd w:val="clear" w:color="auto" w:fill="FFFFFF" w:themeFill="background1"/>
        <w:ind w:firstLine="5670"/>
        <w:jc w:val="both"/>
        <w:rPr>
          <w:szCs w:val="28"/>
        </w:rPr>
      </w:pPr>
      <w:r>
        <w:rPr>
          <w:szCs w:val="28"/>
        </w:rPr>
        <w:lastRenderedPageBreak/>
        <w:t>ЗАТВЕРДЖ</w:t>
      </w:r>
      <w:r w:rsidRPr="00405AD8">
        <w:rPr>
          <w:szCs w:val="28"/>
        </w:rPr>
        <w:t>ЕНО</w:t>
      </w:r>
    </w:p>
    <w:p w14:paraId="7F33CB29" w14:textId="77777777" w:rsidR="00F67883" w:rsidRPr="00405AD8" w:rsidRDefault="00925C87" w:rsidP="00F67883">
      <w:pPr>
        <w:shd w:val="clear" w:color="auto" w:fill="FFFFFF" w:themeFill="background1"/>
        <w:ind w:firstLine="5670"/>
      </w:pPr>
      <w:r>
        <w:t xml:space="preserve">Постанова </w:t>
      </w:r>
      <w:r w:rsidR="00F67883" w:rsidRPr="00405AD8">
        <w:t>Правління</w:t>
      </w:r>
    </w:p>
    <w:p w14:paraId="0105D2B8" w14:textId="77777777" w:rsidR="00F67883" w:rsidRPr="00405AD8" w:rsidRDefault="00F67883" w:rsidP="00F67883">
      <w:pPr>
        <w:shd w:val="clear" w:color="auto" w:fill="FFFFFF" w:themeFill="background1"/>
        <w:ind w:firstLine="5670"/>
      </w:pPr>
      <w:r w:rsidRPr="00405AD8">
        <w:t>Національного банку України</w:t>
      </w:r>
    </w:p>
    <w:p w14:paraId="577182D5" w14:textId="4E13733A" w:rsidR="00F67883" w:rsidRDefault="005B6D1C" w:rsidP="00F67883">
      <w:pPr>
        <w:shd w:val="clear" w:color="auto" w:fill="FFFFFF" w:themeFill="background1"/>
        <w:ind w:firstLine="5670"/>
      </w:pPr>
      <w:r>
        <w:t>22 квітня 2022 року № 80</w:t>
      </w:r>
    </w:p>
    <w:p w14:paraId="38B502BE" w14:textId="77777777" w:rsidR="00F67883" w:rsidRDefault="00F67883" w:rsidP="00F67883">
      <w:pPr>
        <w:shd w:val="clear" w:color="auto" w:fill="FFFFFF" w:themeFill="background1"/>
        <w:ind w:firstLine="5670"/>
      </w:pPr>
    </w:p>
    <w:p w14:paraId="1336FE68" w14:textId="77777777" w:rsidR="00F67883" w:rsidRDefault="00F67883" w:rsidP="00F67883">
      <w:pPr>
        <w:shd w:val="clear" w:color="auto" w:fill="FFFFFF" w:themeFill="background1"/>
        <w:ind w:firstLine="5670"/>
      </w:pPr>
    </w:p>
    <w:p w14:paraId="3FCA84EB" w14:textId="77777777" w:rsidR="00F67883" w:rsidRDefault="00F67883" w:rsidP="00F67883">
      <w:pPr>
        <w:shd w:val="clear" w:color="auto" w:fill="FFFFFF" w:themeFill="background1"/>
        <w:ind w:firstLine="5670"/>
      </w:pPr>
    </w:p>
    <w:p w14:paraId="5759FA7F" w14:textId="77777777" w:rsidR="00F67883" w:rsidRDefault="00F67883" w:rsidP="00F67883">
      <w:pPr>
        <w:shd w:val="clear" w:color="auto" w:fill="FFFFFF" w:themeFill="background1"/>
        <w:ind w:firstLine="5670"/>
      </w:pPr>
    </w:p>
    <w:p w14:paraId="31EBACC9" w14:textId="77777777" w:rsidR="00F67883" w:rsidRDefault="00F67883" w:rsidP="00F67883">
      <w:pPr>
        <w:jc w:val="center"/>
      </w:pPr>
      <w:r w:rsidRPr="00405AD8">
        <w:t>Зміни до</w:t>
      </w:r>
      <w:r>
        <w:t xml:space="preserve"> </w:t>
      </w:r>
      <w:r w:rsidRPr="00F67883">
        <w:t xml:space="preserve">Правил роботи банків </w:t>
      </w:r>
    </w:p>
    <w:p w14:paraId="39505BE8" w14:textId="77777777" w:rsidR="008C4DE9" w:rsidRDefault="00F67883" w:rsidP="00F67883">
      <w:pPr>
        <w:jc w:val="center"/>
      </w:pPr>
      <w:r w:rsidRPr="00F67883">
        <w:t>у зв’язку з введенням в Україні воєнного стану</w:t>
      </w:r>
    </w:p>
    <w:p w14:paraId="5AE2B8A8" w14:textId="77777777" w:rsidR="00F67883" w:rsidRDefault="00F67883" w:rsidP="00F67883">
      <w:pPr>
        <w:jc w:val="center"/>
      </w:pPr>
    </w:p>
    <w:p w14:paraId="46D2FC04" w14:textId="77777777" w:rsidR="00F67883" w:rsidRDefault="00F67883" w:rsidP="00F67883">
      <w:pPr>
        <w:jc w:val="center"/>
        <w:rPr>
          <w:rFonts w:eastAsiaTheme="minorHAnsi" w:cstheme="minorBidi"/>
          <w:color w:val="000000" w:themeColor="text1"/>
        </w:rPr>
      </w:pPr>
    </w:p>
    <w:p w14:paraId="271B1061" w14:textId="77777777" w:rsidR="002E3F3E" w:rsidRDefault="002E3F3E" w:rsidP="002E3F3E">
      <w:pPr>
        <w:ind w:firstLine="567"/>
        <w:rPr>
          <w:color w:val="000000" w:themeColor="text1"/>
        </w:rPr>
      </w:pPr>
      <w:r>
        <w:rPr>
          <w:rFonts w:eastAsiaTheme="minorEastAsia"/>
          <w:color w:val="000000" w:themeColor="text1"/>
          <w:lang w:val="ru-RU"/>
        </w:rPr>
        <w:t>1. </w:t>
      </w:r>
      <w:r w:rsidR="00C31DB5">
        <w:rPr>
          <w:rFonts w:eastAsiaTheme="minorEastAsia"/>
          <w:color w:val="000000" w:themeColor="text1"/>
          <w:lang w:val="ru-RU"/>
        </w:rPr>
        <w:t xml:space="preserve">Правила  після пункту 2 </w:t>
      </w:r>
      <w:r w:rsidR="00C31DB5" w:rsidRPr="00844941">
        <w:rPr>
          <w:color w:val="000000" w:themeColor="text1"/>
        </w:rPr>
        <w:t xml:space="preserve">доповнити новим пунктом </w:t>
      </w:r>
      <w:r w:rsidR="00C31DB5">
        <w:rPr>
          <w:color w:val="000000" w:themeColor="text1"/>
        </w:rPr>
        <w:t>2</w:t>
      </w:r>
      <w:r w:rsidR="00C31DB5" w:rsidRPr="00C31DB5">
        <w:rPr>
          <w:color w:val="000000" w:themeColor="text1"/>
          <w:vertAlign w:val="superscript"/>
        </w:rPr>
        <w:t>1</w:t>
      </w:r>
      <w:r w:rsidR="00C31DB5" w:rsidRPr="008B3EBC">
        <w:rPr>
          <w:color w:val="000000" w:themeColor="text1"/>
        </w:rPr>
        <w:t xml:space="preserve"> </w:t>
      </w:r>
      <w:r w:rsidR="00C31DB5" w:rsidRPr="00844941">
        <w:rPr>
          <w:color w:val="000000" w:themeColor="text1"/>
        </w:rPr>
        <w:t>такого змісту</w:t>
      </w:r>
      <w:r>
        <w:rPr>
          <w:color w:val="000000" w:themeColor="text1"/>
        </w:rPr>
        <w:t>:</w:t>
      </w:r>
    </w:p>
    <w:p w14:paraId="5450146E" w14:textId="77777777" w:rsidR="00735BE5" w:rsidRPr="00A577F2" w:rsidRDefault="002E3F3E" w:rsidP="00735BE5">
      <w:pPr>
        <w:ind w:firstLine="567"/>
        <w:rPr>
          <w:color w:val="000000" w:themeColor="text1"/>
          <w:lang w:eastAsia="en-US"/>
        </w:rPr>
      </w:pPr>
      <w:r w:rsidRPr="00A577F2">
        <w:rPr>
          <w:color w:val="000000" w:themeColor="text1"/>
          <w:lang w:eastAsia="en-US"/>
        </w:rPr>
        <w:t>“</w:t>
      </w:r>
      <w:r w:rsidR="00735BE5" w:rsidRPr="00A577F2">
        <w:rPr>
          <w:color w:val="000000" w:themeColor="text1"/>
          <w:lang w:eastAsia="en-US"/>
        </w:rPr>
        <w:t>2</w:t>
      </w:r>
      <w:r w:rsidR="00735BE5" w:rsidRPr="00A577F2">
        <w:rPr>
          <w:color w:val="000000" w:themeColor="text1"/>
          <w:vertAlign w:val="superscript"/>
          <w:lang w:eastAsia="en-US"/>
        </w:rPr>
        <w:t>1</w:t>
      </w:r>
      <w:r w:rsidR="00735BE5" w:rsidRPr="00A577F2">
        <w:rPr>
          <w:color w:val="000000" w:themeColor="text1"/>
          <w:lang w:eastAsia="en-US"/>
        </w:rPr>
        <w:t>. Банки під час застосування вимог підпункту 1 пункту 132</w:t>
      </w:r>
      <w:r w:rsidR="00735BE5" w:rsidRPr="00A577F2">
        <w:rPr>
          <w:color w:val="000000" w:themeColor="text1"/>
          <w:vertAlign w:val="superscript"/>
          <w:lang w:eastAsia="en-US"/>
        </w:rPr>
        <w:t>1</w:t>
      </w:r>
      <w:r w:rsidR="00735BE5" w:rsidRPr="00A577F2">
        <w:rPr>
          <w:color w:val="000000" w:themeColor="text1"/>
          <w:lang w:eastAsia="en-US"/>
        </w:rPr>
        <w:t xml:space="preserve"> розділу </w:t>
      </w:r>
      <w:r w:rsidR="00735BE5" w:rsidRPr="00735BE5">
        <w:rPr>
          <w:color w:val="000000" w:themeColor="text1"/>
          <w:lang w:val="ru-RU" w:eastAsia="en-US"/>
        </w:rPr>
        <w:t>XI</w:t>
      </w:r>
      <w:r w:rsidR="00735BE5" w:rsidRPr="00A577F2">
        <w:rPr>
          <w:color w:val="000000" w:themeColor="text1"/>
          <w:vertAlign w:val="superscript"/>
          <w:lang w:eastAsia="en-US"/>
        </w:rPr>
        <w:t>1</w:t>
      </w:r>
      <w:r w:rsidR="00735BE5" w:rsidRPr="00A577F2">
        <w:rPr>
          <w:color w:val="000000" w:themeColor="text1"/>
          <w:lang w:eastAsia="en-US"/>
        </w:rPr>
        <w:t xml:space="preserve"> Положення № 351 протягом періоду дії воєнного стану та 180 календарних днів після його припинення чи скасування здійснюють розрахунок 0,1% розміру основного капіталу банку виходячи з розміру основного капіталу банку, що є більшим з двох:</w:t>
      </w:r>
    </w:p>
    <w:p w14:paraId="1F2CACD6" w14:textId="77777777" w:rsidR="00735BE5" w:rsidRPr="00A577F2" w:rsidRDefault="00735BE5" w:rsidP="00735BE5">
      <w:pPr>
        <w:ind w:firstLine="567"/>
        <w:rPr>
          <w:color w:val="000000" w:themeColor="text1"/>
          <w:lang w:eastAsia="en-US"/>
        </w:rPr>
      </w:pPr>
    </w:p>
    <w:p w14:paraId="0FEF3E4D" w14:textId="77777777" w:rsidR="00735BE5" w:rsidRPr="00735BE5" w:rsidRDefault="00735BE5" w:rsidP="00735BE5">
      <w:pPr>
        <w:ind w:firstLine="567"/>
        <w:rPr>
          <w:color w:val="000000" w:themeColor="text1"/>
          <w:lang w:val="ru-RU" w:eastAsia="en-US"/>
        </w:rPr>
      </w:pPr>
      <w:r w:rsidRPr="00735BE5">
        <w:rPr>
          <w:color w:val="000000" w:themeColor="text1"/>
          <w:lang w:val="ru-RU" w:eastAsia="en-US"/>
        </w:rPr>
        <w:t>1)</w:t>
      </w:r>
      <w:r>
        <w:rPr>
          <w:color w:val="000000" w:themeColor="text1"/>
          <w:lang w:val="ru-RU" w:eastAsia="en-US"/>
        </w:rPr>
        <w:t xml:space="preserve"> </w:t>
      </w:r>
      <w:r w:rsidRPr="00735BE5">
        <w:rPr>
          <w:color w:val="000000" w:themeColor="text1"/>
          <w:lang w:val="ru-RU" w:eastAsia="en-US"/>
        </w:rPr>
        <w:t>станом на 24 лютого 2022 року;</w:t>
      </w:r>
    </w:p>
    <w:p w14:paraId="6835B80F" w14:textId="77777777" w:rsidR="00735BE5" w:rsidRPr="00735BE5" w:rsidRDefault="00735BE5" w:rsidP="00735BE5">
      <w:pPr>
        <w:ind w:firstLine="567"/>
        <w:rPr>
          <w:lang w:val="ru-RU" w:eastAsia="en-US"/>
        </w:rPr>
      </w:pPr>
    </w:p>
    <w:p w14:paraId="6FE2F81B" w14:textId="77777777" w:rsidR="00C31DB5" w:rsidRPr="00C31DB5" w:rsidRDefault="00735BE5" w:rsidP="00C31DB5">
      <w:pPr>
        <w:ind w:firstLine="567"/>
        <w:rPr>
          <w:color w:val="000000" w:themeColor="text1"/>
          <w:lang w:val="ru-RU" w:eastAsia="en-US"/>
        </w:rPr>
      </w:pPr>
      <w:r w:rsidRPr="00735BE5">
        <w:rPr>
          <w:color w:val="000000" w:themeColor="text1"/>
          <w:lang w:val="ru-RU" w:eastAsia="en-US"/>
        </w:rPr>
        <w:t>2) станом на дату оцінки кредитного ризику.</w:t>
      </w:r>
      <w:r w:rsidR="00C31DB5" w:rsidRPr="00A577F2">
        <w:rPr>
          <w:color w:val="000000" w:themeColor="text1"/>
          <w:lang w:val="ru-RU" w:eastAsia="en-US"/>
        </w:rPr>
        <w:t>”</w:t>
      </w:r>
      <w:r w:rsidR="00C31DB5">
        <w:rPr>
          <w:color w:val="000000" w:themeColor="text1"/>
          <w:lang w:val="ru-RU" w:eastAsia="en-US"/>
        </w:rPr>
        <w:t>.</w:t>
      </w:r>
    </w:p>
    <w:p w14:paraId="715509C9" w14:textId="77777777" w:rsidR="00C31DB5" w:rsidRDefault="00C31DB5" w:rsidP="00C31DB5">
      <w:pPr>
        <w:ind w:firstLine="567"/>
        <w:rPr>
          <w:color w:val="000000" w:themeColor="text1"/>
          <w:lang w:val="ru-RU" w:eastAsia="en-US"/>
        </w:rPr>
      </w:pPr>
    </w:p>
    <w:p w14:paraId="66654619" w14:textId="77777777" w:rsidR="00C31DB5" w:rsidRPr="00C31DB5" w:rsidRDefault="00C31DB5" w:rsidP="00C31DB5">
      <w:pPr>
        <w:ind w:firstLine="567"/>
        <w:rPr>
          <w:color w:val="000000" w:themeColor="text1"/>
          <w:lang w:val="ru-RU" w:eastAsia="en-US"/>
        </w:rPr>
      </w:pPr>
      <w:r>
        <w:rPr>
          <w:color w:val="000000" w:themeColor="text1"/>
          <w:lang w:eastAsia="en-US"/>
        </w:rPr>
        <w:t>2</w:t>
      </w:r>
      <w:r w:rsidR="002E3F3E" w:rsidRPr="00581CAB">
        <w:rPr>
          <w:color w:val="000000" w:themeColor="text1"/>
          <w:lang w:eastAsia="en-US"/>
        </w:rPr>
        <w:t xml:space="preserve">. </w:t>
      </w:r>
      <w:r>
        <w:rPr>
          <w:color w:val="000000" w:themeColor="text1"/>
          <w:lang w:eastAsia="en-US"/>
        </w:rPr>
        <w:t>Пункти 5, 6 викласти в такій редакції:</w:t>
      </w:r>
    </w:p>
    <w:p w14:paraId="563F2471" w14:textId="77777777" w:rsidR="00C31DB5" w:rsidRPr="00C31DB5" w:rsidRDefault="00C31DB5" w:rsidP="00C31DB5">
      <w:pPr>
        <w:ind w:firstLine="567"/>
        <w:rPr>
          <w:color w:val="000000" w:themeColor="text1"/>
          <w:lang w:eastAsia="en-US"/>
        </w:rPr>
      </w:pPr>
      <w:r w:rsidRPr="00A577F2">
        <w:rPr>
          <w:color w:val="000000" w:themeColor="text1"/>
          <w:lang w:val="ru-RU" w:eastAsia="en-US"/>
        </w:rPr>
        <w:t>“</w:t>
      </w:r>
      <w:r w:rsidRPr="00C31DB5">
        <w:rPr>
          <w:color w:val="000000" w:themeColor="text1"/>
          <w:lang w:eastAsia="en-US"/>
        </w:rPr>
        <w:t>5. Банкам/відповідальним особам банківських груп під час застосування вимог Положення про організацію системи управління ризиками в банках України та банківських групах, затвердженого постановою Правління Національного банку України від 11 червня 2018 року № 64 (зі змінами) (далі – Положення № 64), здійснювати:</w:t>
      </w:r>
    </w:p>
    <w:p w14:paraId="4F65EA74" w14:textId="77777777" w:rsidR="00C31DB5" w:rsidRPr="00C31DB5" w:rsidRDefault="00C31DB5" w:rsidP="00C31DB5">
      <w:pPr>
        <w:ind w:firstLine="567"/>
        <w:rPr>
          <w:color w:val="000000" w:themeColor="text1"/>
          <w:lang w:eastAsia="en-US"/>
        </w:rPr>
      </w:pPr>
    </w:p>
    <w:p w14:paraId="13E03118" w14:textId="77777777" w:rsidR="00C31DB5" w:rsidRPr="00C31DB5" w:rsidRDefault="00C31DB5" w:rsidP="00C31DB5">
      <w:pPr>
        <w:ind w:firstLine="567"/>
        <w:rPr>
          <w:color w:val="000000" w:themeColor="text1"/>
          <w:lang w:eastAsia="en-US"/>
        </w:rPr>
      </w:pPr>
      <w:r w:rsidRPr="00C31DB5">
        <w:rPr>
          <w:color w:val="000000" w:themeColor="text1"/>
          <w:lang w:eastAsia="en-US"/>
        </w:rPr>
        <w:t>1) стрес-тестування ризиків, передбачене в пункті 185 глави 23 розділу ІІ, пункті 218 глави 32 розділу ІІІ, пункті 248 глави 37 розділу IV, пункті 270 глави 42 розділу V Положення № 64, та верифікацію вартості майна, передбачену в главі 21 розділу ІІ Положення № 64</w:t>
      </w:r>
      <w:r w:rsidR="001D2AD6">
        <w:rPr>
          <w:color w:val="000000" w:themeColor="text1"/>
          <w:lang w:eastAsia="en-US"/>
        </w:rPr>
        <w:t>,</w:t>
      </w:r>
      <w:r w:rsidRPr="00C31DB5">
        <w:t xml:space="preserve"> </w:t>
      </w:r>
      <w:r w:rsidRPr="00C31DB5">
        <w:rPr>
          <w:color w:val="000000" w:themeColor="text1"/>
          <w:lang w:eastAsia="en-US"/>
        </w:rPr>
        <w:t>починаючи з наступного кварталу після припинення чи скасування воєнного стану;</w:t>
      </w:r>
    </w:p>
    <w:p w14:paraId="1AC82E1A" w14:textId="77777777" w:rsidR="00C31DB5" w:rsidRPr="00C31DB5" w:rsidRDefault="00C31DB5" w:rsidP="00C31DB5">
      <w:pPr>
        <w:ind w:firstLine="567"/>
        <w:rPr>
          <w:color w:val="000000" w:themeColor="text1"/>
          <w:lang w:eastAsia="en-US"/>
        </w:rPr>
      </w:pPr>
    </w:p>
    <w:p w14:paraId="0C9D60C2" w14:textId="4043D76A" w:rsidR="00C31DB5" w:rsidRDefault="00C31DB5" w:rsidP="00C31DB5">
      <w:pPr>
        <w:ind w:firstLine="567"/>
        <w:rPr>
          <w:color w:val="000000" w:themeColor="text1"/>
          <w:lang w:eastAsia="en-US"/>
        </w:rPr>
      </w:pPr>
      <w:r w:rsidRPr="00C31DB5">
        <w:rPr>
          <w:color w:val="000000" w:themeColor="text1"/>
          <w:lang w:eastAsia="en-US"/>
        </w:rPr>
        <w:t>2) актуалізацію внутрішньобанківських/внутрішньогрупових документів (щорічний перегляд яких передбачений у пункт</w:t>
      </w:r>
      <w:r w:rsidR="00DC1E09">
        <w:rPr>
          <w:color w:val="000000" w:themeColor="text1"/>
          <w:lang w:eastAsia="en-US"/>
        </w:rPr>
        <w:t>ах</w:t>
      </w:r>
      <w:r w:rsidRPr="00C31DB5">
        <w:rPr>
          <w:color w:val="000000" w:themeColor="text1"/>
          <w:lang w:eastAsia="en-US"/>
        </w:rPr>
        <w:t xml:space="preserve"> 66 глави 10</w:t>
      </w:r>
      <w:r w:rsidR="00DC1E09">
        <w:rPr>
          <w:color w:val="000000" w:themeColor="text1"/>
          <w:lang w:eastAsia="en-US"/>
        </w:rPr>
        <w:t xml:space="preserve">, </w:t>
      </w:r>
      <w:r w:rsidRPr="00C31DB5">
        <w:rPr>
          <w:color w:val="000000" w:themeColor="text1"/>
          <w:lang w:eastAsia="en-US"/>
        </w:rPr>
        <w:t xml:space="preserve"> 128 глави 15 розділу I, пункті 139 глави 17 розділу II,  пункті 193 глави 25 розділу III, пункті 228 глави 35 розділу IV, пункті 261 глави 40 розділу</w:t>
      </w:r>
      <w:r w:rsidR="00722AA8" w:rsidRPr="00722AA8">
        <w:rPr>
          <w:color w:val="000000" w:themeColor="text1"/>
          <w:lang w:eastAsia="en-US"/>
        </w:rPr>
        <w:t xml:space="preserve"> </w:t>
      </w:r>
      <w:r w:rsidRPr="00C31DB5">
        <w:rPr>
          <w:color w:val="000000" w:themeColor="text1"/>
          <w:lang w:eastAsia="en-US"/>
        </w:rPr>
        <w:t xml:space="preserve"> V, пунктах 278 </w:t>
      </w:r>
      <w:r w:rsidR="00722AA8" w:rsidRPr="00722AA8">
        <w:rPr>
          <w:color w:val="000000" w:themeColor="text1"/>
          <w:lang w:eastAsia="en-US"/>
        </w:rPr>
        <w:t xml:space="preserve"> </w:t>
      </w:r>
      <w:r w:rsidRPr="00C31DB5">
        <w:rPr>
          <w:color w:val="000000" w:themeColor="text1"/>
          <w:lang w:eastAsia="en-US"/>
        </w:rPr>
        <w:t xml:space="preserve">та </w:t>
      </w:r>
      <w:r w:rsidR="00722AA8" w:rsidRPr="00722AA8">
        <w:rPr>
          <w:color w:val="000000" w:themeColor="text1"/>
          <w:lang w:eastAsia="en-US"/>
        </w:rPr>
        <w:t xml:space="preserve"> </w:t>
      </w:r>
      <w:r w:rsidRPr="00C31DB5">
        <w:rPr>
          <w:color w:val="000000" w:themeColor="text1"/>
          <w:lang w:eastAsia="en-US"/>
        </w:rPr>
        <w:t xml:space="preserve">285 </w:t>
      </w:r>
      <w:r w:rsidR="00722AA8" w:rsidRPr="00722AA8">
        <w:rPr>
          <w:color w:val="000000" w:themeColor="text1"/>
          <w:lang w:eastAsia="en-US"/>
        </w:rPr>
        <w:t xml:space="preserve">  </w:t>
      </w:r>
      <w:r w:rsidRPr="00C31DB5">
        <w:rPr>
          <w:color w:val="000000" w:themeColor="text1"/>
          <w:lang w:eastAsia="en-US"/>
        </w:rPr>
        <w:t xml:space="preserve">глави 45 розділу VI, пункті 318 глави 52 розділу VII Положення № 64) </w:t>
      </w:r>
      <w:r w:rsidR="000334B8" w:rsidRPr="000334B8">
        <w:rPr>
          <w:color w:val="000000" w:themeColor="text1"/>
          <w:lang w:eastAsia="en-US"/>
        </w:rPr>
        <w:t xml:space="preserve"> </w:t>
      </w:r>
      <w:r w:rsidRPr="00C31DB5">
        <w:rPr>
          <w:color w:val="000000" w:themeColor="text1"/>
          <w:lang w:eastAsia="en-US"/>
        </w:rPr>
        <w:t xml:space="preserve">не </w:t>
      </w:r>
      <w:r w:rsidR="000334B8" w:rsidRPr="000334B8">
        <w:rPr>
          <w:color w:val="000000" w:themeColor="text1"/>
          <w:lang w:eastAsia="en-US"/>
        </w:rPr>
        <w:t xml:space="preserve"> </w:t>
      </w:r>
      <w:r w:rsidRPr="00C31DB5">
        <w:rPr>
          <w:color w:val="000000" w:themeColor="text1"/>
          <w:lang w:eastAsia="en-US"/>
        </w:rPr>
        <w:t>пізніше 180 календарного дня після припинення чи скасування воєнного стану.</w:t>
      </w:r>
    </w:p>
    <w:p w14:paraId="0C95A6A1" w14:textId="77777777" w:rsidR="00C31DB5" w:rsidRDefault="00C31DB5" w:rsidP="00C31DB5">
      <w:pPr>
        <w:ind w:firstLine="567"/>
        <w:rPr>
          <w:color w:val="000000" w:themeColor="text1"/>
          <w:lang w:eastAsia="en-US"/>
        </w:rPr>
      </w:pPr>
    </w:p>
    <w:p w14:paraId="64263226" w14:textId="77777777" w:rsidR="00C31DB5" w:rsidRPr="00C31DB5" w:rsidRDefault="00C31DB5" w:rsidP="00C31DB5">
      <w:pPr>
        <w:ind w:firstLine="567"/>
        <w:rPr>
          <w:color w:val="000000" w:themeColor="text1"/>
          <w:lang w:eastAsia="en-US"/>
        </w:rPr>
      </w:pPr>
      <w:r w:rsidRPr="00C31DB5">
        <w:rPr>
          <w:color w:val="000000" w:themeColor="text1"/>
          <w:lang w:eastAsia="en-US"/>
        </w:rPr>
        <w:t xml:space="preserve">6. Банкам/відповідальним особам банківських груп застосовувати вимоги Положення про плани відновлення діяльності банків України та банківських </w:t>
      </w:r>
      <w:r w:rsidRPr="00C31DB5">
        <w:rPr>
          <w:color w:val="000000" w:themeColor="text1"/>
          <w:lang w:eastAsia="en-US"/>
        </w:rPr>
        <w:lastRenderedPageBreak/>
        <w:t>груп, затвердженого постановою Правління Національного банку України від</w:t>
      </w:r>
      <w:r w:rsidR="001D2AD6">
        <w:rPr>
          <w:color w:val="000000" w:themeColor="text1"/>
          <w:lang w:eastAsia="en-US"/>
        </w:rPr>
        <w:br/>
      </w:r>
      <w:r w:rsidRPr="00C31DB5">
        <w:rPr>
          <w:color w:val="000000" w:themeColor="text1"/>
          <w:lang w:eastAsia="en-US"/>
        </w:rPr>
        <w:t>18 липня 2019 року № 95 (зі змінами) (далі – Положення № 95), з урахуванням таких особливостей:</w:t>
      </w:r>
    </w:p>
    <w:p w14:paraId="285EB678" w14:textId="77777777" w:rsidR="00C31DB5" w:rsidRPr="00C31DB5" w:rsidRDefault="00C31DB5" w:rsidP="00C31DB5">
      <w:pPr>
        <w:ind w:firstLine="567"/>
        <w:rPr>
          <w:color w:val="000000" w:themeColor="text1"/>
          <w:lang w:eastAsia="en-US"/>
        </w:rPr>
      </w:pPr>
    </w:p>
    <w:p w14:paraId="548AEB31" w14:textId="77777777" w:rsidR="00C31DB5" w:rsidRPr="00C31DB5" w:rsidRDefault="00C31DB5" w:rsidP="00C31DB5">
      <w:pPr>
        <w:ind w:firstLine="567"/>
        <w:rPr>
          <w:color w:val="000000" w:themeColor="text1"/>
          <w:lang w:eastAsia="en-US"/>
        </w:rPr>
      </w:pPr>
      <w:r w:rsidRPr="00C31DB5">
        <w:rPr>
          <w:color w:val="000000" w:themeColor="text1"/>
          <w:lang w:eastAsia="en-US"/>
        </w:rPr>
        <w:t>1) протягом періоду дії воєнного стану вимоги пункту 8 розділу І Положення № 95 не застосовуються в частині оновлення та подання до Національного банку України планів відновлення діяльності банку/банківської групи;</w:t>
      </w:r>
    </w:p>
    <w:p w14:paraId="706D8938" w14:textId="77777777" w:rsidR="00C31DB5" w:rsidRPr="00C31DB5" w:rsidRDefault="00C31DB5" w:rsidP="00C31DB5">
      <w:pPr>
        <w:ind w:firstLine="567"/>
        <w:rPr>
          <w:color w:val="000000" w:themeColor="text1"/>
          <w:lang w:eastAsia="en-US"/>
        </w:rPr>
      </w:pPr>
    </w:p>
    <w:p w14:paraId="3536220E" w14:textId="77777777" w:rsidR="00C31DB5" w:rsidRPr="00C31DB5" w:rsidRDefault="00C31DB5" w:rsidP="00C31DB5">
      <w:pPr>
        <w:ind w:firstLine="567"/>
        <w:rPr>
          <w:color w:val="000000" w:themeColor="text1"/>
          <w:lang w:eastAsia="en-US"/>
        </w:rPr>
      </w:pPr>
      <w:r w:rsidRPr="00C31DB5">
        <w:rPr>
          <w:color w:val="000000" w:themeColor="text1"/>
          <w:lang w:eastAsia="en-US"/>
        </w:rPr>
        <w:t>2) після припинення чи скасування воєнного стану банки/відповідальні особи банківських груп:</w:t>
      </w:r>
    </w:p>
    <w:p w14:paraId="78C53E89" w14:textId="77777777" w:rsidR="00C31DB5" w:rsidRDefault="00C31DB5" w:rsidP="00C31DB5">
      <w:pPr>
        <w:ind w:firstLine="567"/>
        <w:rPr>
          <w:color w:val="000000" w:themeColor="text1"/>
          <w:lang w:eastAsia="en-US"/>
        </w:rPr>
      </w:pPr>
      <w:r w:rsidRPr="00C31DB5">
        <w:rPr>
          <w:color w:val="000000" w:themeColor="text1"/>
          <w:lang w:eastAsia="en-US"/>
        </w:rPr>
        <w:t xml:space="preserve">оновлюють плани відновлення діяльності банку/банківської групи, розроблені у 2021 році, з урахуванням оновленої стратегії банку, його бізнес-плану та ґрунтуючись на фактичних показниках фінансового стану банку і загальній ситуації в банківській системі (без застосування стрес-тестування, передбаченого </w:t>
      </w:r>
      <w:r w:rsidR="00984780">
        <w:rPr>
          <w:color w:val="000000" w:themeColor="text1"/>
          <w:lang w:eastAsia="en-US"/>
        </w:rPr>
        <w:t xml:space="preserve">в </w:t>
      </w:r>
      <w:r w:rsidRPr="00C31DB5">
        <w:rPr>
          <w:color w:val="000000" w:themeColor="text1"/>
          <w:lang w:eastAsia="en-US"/>
        </w:rPr>
        <w:t>розділ</w:t>
      </w:r>
      <w:r w:rsidR="00984780">
        <w:rPr>
          <w:color w:val="000000" w:themeColor="text1"/>
          <w:lang w:eastAsia="en-US"/>
        </w:rPr>
        <w:t>і</w:t>
      </w:r>
      <w:r w:rsidRPr="00C31DB5">
        <w:rPr>
          <w:color w:val="000000" w:themeColor="text1"/>
          <w:lang w:eastAsia="en-US"/>
        </w:rPr>
        <w:t xml:space="preserve"> V Положення № 95);</w:t>
      </w:r>
    </w:p>
    <w:p w14:paraId="41FD0A9A" w14:textId="77777777" w:rsidR="00C31DB5" w:rsidRPr="00C31DB5" w:rsidRDefault="00C31DB5" w:rsidP="00C31DB5">
      <w:pPr>
        <w:ind w:firstLine="567"/>
        <w:rPr>
          <w:color w:val="000000" w:themeColor="text1"/>
          <w:lang w:eastAsia="en-US"/>
        </w:rPr>
      </w:pPr>
      <w:r w:rsidRPr="00C31DB5">
        <w:rPr>
          <w:color w:val="000000" w:themeColor="text1"/>
          <w:lang w:eastAsia="en-US"/>
        </w:rPr>
        <w:t>не пізніше 180 календарного дня після припинення чи скасування воєнного стану подають оновлені плани до Національного банку України;</w:t>
      </w:r>
    </w:p>
    <w:p w14:paraId="238C811A" w14:textId="77777777" w:rsidR="00C31DB5" w:rsidRPr="00C31DB5" w:rsidRDefault="00C31DB5" w:rsidP="00C31DB5">
      <w:pPr>
        <w:ind w:firstLine="567"/>
        <w:rPr>
          <w:color w:val="000000" w:themeColor="text1"/>
          <w:lang w:eastAsia="en-US"/>
        </w:rPr>
      </w:pPr>
    </w:p>
    <w:p w14:paraId="60417D0A" w14:textId="2AF09586" w:rsidR="00C31DB5" w:rsidRPr="00DC1E09" w:rsidRDefault="00C31DB5" w:rsidP="00C31DB5">
      <w:pPr>
        <w:ind w:firstLine="567"/>
        <w:rPr>
          <w:color w:val="000000" w:themeColor="text1"/>
          <w:lang w:eastAsia="en-US"/>
        </w:rPr>
      </w:pPr>
      <w:r w:rsidRPr="00C31DB5">
        <w:rPr>
          <w:color w:val="000000" w:themeColor="text1"/>
          <w:lang w:eastAsia="en-US"/>
        </w:rPr>
        <w:t>3) протягом періоду дії воєнного стану та 30 календарних днів після його припинення чи скасування вимоги пункту 24 розділу ІІІ Положення №</w:t>
      </w:r>
      <w:r w:rsidR="00984780">
        <w:rPr>
          <w:color w:val="000000" w:themeColor="text1"/>
          <w:lang w:eastAsia="en-US"/>
        </w:rPr>
        <w:t> </w:t>
      </w:r>
      <w:r w:rsidRPr="00C31DB5">
        <w:rPr>
          <w:color w:val="000000" w:themeColor="text1"/>
          <w:lang w:eastAsia="en-US"/>
        </w:rPr>
        <w:t xml:space="preserve">95 застосовуються лише в частині інформування </w:t>
      </w:r>
      <w:r w:rsidR="00722AA8" w:rsidRPr="00722AA8">
        <w:rPr>
          <w:color w:val="000000" w:themeColor="text1"/>
          <w:lang w:eastAsia="en-US"/>
        </w:rPr>
        <w:t xml:space="preserve"> </w:t>
      </w:r>
      <w:r w:rsidRPr="00C31DB5">
        <w:rPr>
          <w:color w:val="000000" w:themeColor="text1"/>
          <w:lang w:eastAsia="en-US"/>
        </w:rPr>
        <w:t xml:space="preserve">Національного </w:t>
      </w:r>
      <w:r w:rsidR="00722AA8" w:rsidRPr="00722AA8">
        <w:rPr>
          <w:color w:val="000000" w:themeColor="text1"/>
          <w:lang w:eastAsia="en-US"/>
        </w:rPr>
        <w:t xml:space="preserve"> </w:t>
      </w:r>
      <w:r w:rsidRPr="00C31DB5">
        <w:rPr>
          <w:color w:val="000000" w:themeColor="text1"/>
          <w:lang w:eastAsia="en-US"/>
        </w:rPr>
        <w:t xml:space="preserve">банку </w:t>
      </w:r>
      <w:r w:rsidR="00722AA8" w:rsidRPr="00722AA8">
        <w:rPr>
          <w:color w:val="000000" w:themeColor="text1"/>
          <w:lang w:eastAsia="en-US"/>
        </w:rPr>
        <w:t xml:space="preserve"> </w:t>
      </w:r>
      <w:r w:rsidRPr="00C31DB5">
        <w:rPr>
          <w:color w:val="000000" w:themeColor="text1"/>
          <w:lang w:eastAsia="en-US"/>
        </w:rPr>
        <w:t>України про прийняття рішення щодо реалізації варіантів відновлення (у разі активації плану відновлення діяльності банку/банківської групи). Банки/відповідальні особи банківських груп здійснюють таке інформування не пізніше п’ятого робочого дня з дня прийняття відповідного рішення.</w:t>
      </w:r>
      <w:r w:rsidRPr="00DC1E09">
        <w:rPr>
          <w:color w:val="000000" w:themeColor="text1"/>
          <w:lang w:eastAsia="en-US"/>
        </w:rPr>
        <w:t>”.</w:t>
      </w:r>
      <w:r w:rsidR="00D71945">
        <w:rPr>
          <w:color w:val="000000" w:themeColor="text1"/>
          <w:lang w:eastAsia="en-US"/>
        </w:rPr>
        <w:t xml:space="preserve"> </w:t>
      </w:r>
    </w:p>
    <w:sectPr w:rsidR="00C31DB5" w:rsidRPr="00DC1E09" w:rsidSect="00AB384D">
      <w:pgSz w:w="11906" w:h="16838"/>
      <w:pgMar w:top="567" w:right="567" w:bottom="1701" w:left="1701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3E5C" w14:textId="77777777" w:rsidR="00F23F89" w:rsidRDefault="00F23F89">
      <w:r>
        <w:separator/>
      </w:r>
    </w:p>
  </w:endnote>
  <w:endnote w:type="continuationSeparator" w:id="0">
    <w:p w14:paraId="7A4B27A9" w14:textId="77777777" w:rsidR="00F23F89" w:rsidRDefault="00F2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C2CE" w14:textId="77777777" w:rsidR="00F23F89" w:rsidRDefault="00F23F89">
      <w:r>
        <w:separator/>
      </w:r>
    </w:p>
  </w:footnote>
  <w:footnote w:type="continuationSeparator" w:id="0">
    <w:p w14:paraId="549728B9" w14:textId="77777777" w:rsidR="00F23F89" w:rsidRDefault="00F2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470980"/>
      <w:docPartObj>
        <w:docPartGallery w:val="AutoText"/>
      </w:docPartObj>
    </w:sdtPr>
    <w:sdtEndPr/>
    <w:sdtContent>
      <w:p w14:paraId="3E99B438" w14:textId="77777777" w:rsidR="008C4DE9" w:rsidRDefault="005713D8">
        <w:pPr>
          <w:pStyle w:val="ac"/>
          <w:jc w:val="center"/>
        </w:pPr>
        <w:r>
          <w:fldChar w:fldCharType="begin"/>
        </w:r>
        <w:r w:rsidR="00717685">
          <w:instrText xml:space="preserve"> PAGE   \* MERGEFORMAT </w:instrText>
        </w:r>
        <w:r>
          <w:fldChar w:fldCharType="separate"/>
        </w:r>
        <w:r w:rsidR="00C26CAE">
          <w:rPr>
            <w:noProof/>
          </w:rPr>
          <w:t>3</w:t>
        </w:r>
        <w:r>
          <w:fldChar w:fldCharType="end"/>
        </w:r>
      </w:p>
    </w:sdtContent>
  </w:sdt>
  <w:p w14:paraId="29A38F9A" w14:textId="77777777" w:rsidR="008C4DE9" w:rsidRDefault="008C4DE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FE3"/>
    <w:multiLevelType w:val="hybridMultilevel"/>
    <w:tmpl w:val="D2FC84E4"/>
    <w:lvl w:ilvl="0" w:tplc="57A4CB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93145D"/>
    <w:multiLevelType w:val="hybridMultilevel"/>
    <w:tmpl w:val="FEFEFADC"/>
    <w:lvl w:ilvl="0" w:tplc="6EE00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0D5AA8"/>
    <w:multiLevelType w:val="hybridMultilevel"/>
    <w:tmpl w:val="BF98D606"/>
    <w:lvl w:ilvl="0" w:tplc="A6DA9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981FD5"/>
    <w:multiLevelType w:val="hybridMultilevel"/>
    <w:tmpl w:val="BECE6576"/>
    <w:lvl w:ilvl="0" w:tplc="6C4E68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04488100">
    <w:abstractNumId w:val="1"/>
  </w:num>
  <w:num w:numId="2" w16cid:durableId="245463886">
    <w:abstractNumId w:val="3"/>
  </w:num>
  <w:num w:numId="3" w16cid:durableId="1878350997">
    <w:abstractNumId w:val="0"/>
  </w:num>
  <w:num w:numId="4" w16cid:durableId="1501387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65"/>
    <w:rsid w:val="00001DE0"/>
    <w:rsid w:val="0000362C"/>
    <w:rsid w:val="000064FA"/>
    <w:rsid w:val="000069AF"/>
    <w:rsid w:val="00010B98"/>
    <w:rsid w:val="00014A2C"/>
    <w:rsid w:val="00015CF3"/>
    <w:rsid w:val="00015FDE"/>
    <w:rsid w:val="00025F04"/>
    <w:rsid w:val="00033044"/>
    <w:rsid w:val="0003331E"/>
    <w:rsid w:val="000334B8"/>
    <w:rsid w:val="000342A5"/>
    <w:rsid w:val="0003793C"/>
    <w:rsid w:val="000543C6"/>
    <w:rsid w:val="00056631"/>
    <w:rsid w:val="000600A8"/>
    <w:rsid w:val="00061C43"/>
    <w:rsid w:val="00061C52"/>
    <w:rsid w:val="00063480"/>
    <w:rsid w:val="000638F2"/>
    <w:rsid w:val="000664AC"/>
    <w:rsid w:val="00072455"/>
    <w:rsid w:val="00076F2A"/>
    <w:rsid w:val="00085124"/>
    <w:rsid w:val="000A055A"/>
    <w:rsid w:val="000A7E35"/>
    <w:rsid w:val="000B2990"/>
    <w:rsid w:val="000D1320"/>
    <w:rsid w:val="000D778F"/>
    <w:rsid w:val="000E0CB3"/>
    <w:rsid w:val="000E10E5"/>
    <w:rsid w:val="000E5B8C"/>
    <w:rsid w:val="000E7A13"/>
    <w:rsid w:val="000F1D4A"/>
    <w:rsid w:val="00101D49"/>
    <w:rsid w:val="00106229"/>
    <w:rsid w:val="00111218"/>
    <w:rsid w:val="00115ECF"/>
    <w:rsid w:val="00120264"/>
    <w:rsid w:val="00126EF1"/>
    <w:rsid w:val="00135379"/>
    <w:rsid w:val="00152824"/>
    <w:rsid w:val="00155755"/>
    <w:rsid w:val="001631E2"/>
    <w:rsid w:val="001716B0"/>
    <w:rsid w:val="00173B88"/>
    <w:rsid w:val="001740C0"/>
    <w:rsid w:val="00175757"/>
    <w:rsid w:val="00182853"/>
    <w:rsid w:val="00182F8B"/>
    <w:rsid w:val="001832E3"/>
    <w:rsid w:val="00184157"/>
    <w:rsid w:val="0018427E"/>
    <w:rsid w:val="00190E1A"/>
    <w:rsid w:val="00196341"/>
    <w:rsid w:val="001A0EE5"/>
    <w:rsid w:val="001A13F9"/>
    <w:rsid w:val="001A16FA"/>
    <w:rsid w:val="001A3BFA"/>
    <w:rsid w:val="001A4CB9"/>
    <w:rsid w:val="001A6795"/>
    <w:rsid w:val="001B007A"/>
    <w:rsid w:val="001B78F7"/>
    <w:rsid w:val="001C178D"/>
    <w:rsid w:val="001C206C"/>
    <w:rsid w:val="001D2AD6"/>
    <w:rsid w:val="001D487A"/>
    <w:rsid w:val="001D6167"/>
    <w:rsid w:val="001E6BC1"/>
    <w:rsid w:val="002010AB"/>
    <w:rsid w:val="002237A4"/>
    <w:rsid w:val="002238D1"/>
    <w:rsid w:val="002267C7"/>
    <w:rsid w:val="00227416"/>
    <w:rsid w:val="00230D7E"/>
    <w:rsid w:val="00233F37"/>
    <w:rsid w:val="0023472C"/>
    <w:rsid w:val="00241373"/>
    <w:rsid w:val="00253BF9"/>
    <w:rsid w:val="0025455E"/>
    <w:rsid w:val="00264353"/>
    <w:rsid w:val="00264983"/>
    <w:rsid w:val="00266678"/>
    <w:rsid w:val="00267BD6"/>
    <w:rsid w:val="00272A30"/>
    <w:rsid w:val="00276988"/>
    <w:rsid w:val="00280DCC"/>
    <w:rsid w:val="0028155C"/>
    <w:rsid w:val="00282CF2"/>
    <w:rsid w:val="00285DDA"/>
    <w:rsid w:val="00287F2C"/>
    <w:rsid w:val="00290169"/>
    <w:rsid w:val="00292295"/>
    <w:rsid w:val="002A2391"/>
    <w:rsid w:val="002A2470"/>
    <w:rsid w:val="002A4F12"/>
    <w:rsid w:val="002A5B0C"/>
    <w:rsid w:val="002B351E"/>
    <w:rsid w:val="002B3F71"/>
    <w:rsid w:val="002B582B"/>
    <w:rsid w:val="002C01D9"/>
    <w:rsid w:val="002C11DF"/>
    <w:rsid w:val="002C1FDB"/>
    <w:rsid w:val="002D1790"/>
    <w:rsid w:val="002D28D0"/>
    <w:rsid w:val="002D5A7F"/>
    <w:rsid w:val="002E3F3E"/>
    <w:rsid w:val="002F48EF"/>
    <w:rsid w:val="00303A8A"/>
    <w:rsid w:val="0030661E"/>
    <w:rsid w:val="00313DA7"/>
    <w:rsid w:val="00315E89"/>
    <w:rsid w:val="00326776"/>
    <w:rsid w:val="00332701"/>
    <w:rsid w:val="0033438B"/>
    <w:rsid w:val="0033487F"/>
    <w:rsid w:val="00340D07"/>
    <w:rsid w:val="00345982"/>
    <w:rsid w:val="00350407"/>
    <w:rsid w:val="003521E1"/>
    <w:rsid w:val="00356E34"/>
    <w:rsid w:val="00357676"/>
    <w:rsid w:val="003600E6"/>
    <w:rsid w:val="00361377"/>
    <w:rsid w:val="00363C50"/>
    <w:rsid w:val="00366FFA"/>
    <w:rsid w:val="00382AB9"/>
    <w:rsid w:val="0038385E"/>
    <w:rsid w:val="00383A6A"/>
    <w:rsid w:val="00384F65"/>
    <w:rsid w:val="003906C7"/>
    <w:rsid w:val="0039725C"/>
    <w:rsid w:val="003A16E7"/>
    <w:rsid w:val="003A23FF"/>
    <w:rsid w:val="003A751F"/>
    <w:rsid w:val="003B2AA2"/>
    <w:rsid w:val="003B7AFF"/>
    <w:rsid w:val="003C10F1"/>
    <w:rsid w:val="003C3002"/>
    <w:rsid w:val="003C3282"/>
    <w:rsid w:val="003C3985"/>
    <w:rsid w:val="003D4E12"/>
    <w:rsid w:val="003D6B33"/>
    <w:rsid w:val="003E2290"/>
    <w:rsid w:val="003E6BA7"/>
    <w:rsid w:val="003F0441"/>
    <w:rsid w:val="003F28B5"/>
    <w:rsid w:val="003F7093"/>
    <w:rsid w:val="00401EDB"/>
    <w:rsid w:val="00404C93"/>
    <w:rsid w:val="00407877"/>
    <w:rsid w:val="00412FDA"/>
    <w:rsid w:val="004130B9"/>
    <w:rsid w:val="004236C0"/>
    <w:rsid w:val="00443597"/>
    <w:rsid w:val="00446704"/>
    <w:rsid w:val="00455B45"/>
    <w:rsid w:val="00460BA2"/>
    <w:rsid w:val="00463A91"/>
    <w:rsid w:val="004666D6"/>
    <w:rsid w:val="0047013D"/>
    <w:rsid w:val="00473EF2"/>
    <w:rsid w:val="00483B3B"/>
    <w:rsid w:val="00484CCD"/>
    <w:rsid w:val="00487B3D"/>
    <w:rsid w:val="004A1CFC"/>
    <w:rsid w:val="004A4A68"/>
    <w:rsid w:val="004A5486"/>
    <w:rsid w:val="004A7F75"/>
    <w:rsid w:val="004B1FE9"/>
    <w:rsid w:val="004B3B84"/>
    <w:rsid w:val="004B5574"/>
    <w:rsid w:val="004D2B57"/>
    <w:rsid w:val="004D479F"/>
    <w:rsid w:val="004D7D90"/>
    <w:rsid w:val="004E1BFA"/>
    <w:rsid w:val="004E22E2"/>
    <w:rsid w:val="004F073D"/>
    <w:rsid w:val="0050563F"/>
    <w:rsid w:val="00513E30"/>
    <w:rsid w:val="00514516"/>
    <w:rsid w:val="0052100F"/>
    <w:rsid w:val="005212A1"/>
    <w:rsid w:val="005212C5"/>
    <w:rsid w:val="00523C13"/>
    <w:rsid w:val="00524C4B"/>
    <w:rsid w:val="00524F07"/>
    <w:rsid w:val="005257C2"/>
    <w:rsid w:val="00527E6A"/>
    <w:rsid w:val="00532633"/>
    <w:rsid w:val="00532F61"/>
    <w:rsid w:val="005403F1"/>
    <w:rsid w:val="00542533"/>
    <w:rsid w:val="005446F9"/>
    <w:rsid w:val="005624B6"/>
    <w:rsid w:val="00562C46"/>
    <w:rsid w:val="005713D8"/>
    <w:rsid w:val="00572362"/>
    <w:rsid w:val="0057237F"/>
    <w:rsid w:val="0057393D"/>
    <w:rsid w:val="005742E8"/>
    <w:rsid w:val="00577402"/>
    <w:rsid w:val="00577AF8"/>
    <w:rsid w:val="00581CAB"/>
    <w:rsid w:val="005822CB"/>
    <w:rsid w:val="0058293A"/>
    <w:rsid w:val="00583732"/>
    <w:rsid w:val="005846E1"/>
    <w:rsid w:val="00597AB6"/>
    <w:rsid w:val="005A0F4B"/>
    <w:rsid w:val="005A1D3C"/>
    <w:rsid w:val="005A3F34"/>
    <w:rsid w:val="005B2D03"/>
    <w:rsid w:val="005B5165"/>
    <w:rsid w:val="005B6D1C"/>
    <w:rsid w:val="005C0197"/>
    <w:rsid w:val="005C0C8B"/>
    <w:rsid w:val="005C5CBF"/>
    <w:rsid w:val="005C6BBC"/>
    <w:rsid w:val="005D16EB"/>
    <w:rsid w:val="005D3B88"/>
    <w:rsid w:val="005D45F5"/>
    <w:rsid w:val="005E0CDE"/>
    <w:rsid w:val="005E3FA8"/>
    <w:rsid w:val="005E6CFC"/>
    <w:rsid w:val="005F0EEA"/>
    <w:rsid w:val="005F4548"/>
    <w:rsid w:val="005F4692"/>
    <w:rsid w:val="005F4C98"/>
    <w:rsid w:val="005F4CB4"/>
    <w:rsid w:val="005F6B35"/>
    <w:rsid w:val="006013AC"/>
    <w:rsid w:val="00607353"/>
    <w:rsid w:val="00631DE9"/>
    <w:rsid w:val="00640612"/>
    <w:rsid w:val="0064154D"/>
    <w:rsid w:val="0064227D"/>
    <w:rsid w:val="0065179F"/>
    <w:rsid w:val="00657593"/>
    <w:rsid w:val="00662E58"/>
    <w:rsid w:val="0066509D"/>
    <w:rsid w:val="00670C95"/>
    <w:rsid w:val="0067637D"/>
    <w:rsid w:val="006925CE"/>
    <w:rsid w:val="00692C8C"/>
    <w:rsid w:val="00695731"/>
    <w:rsid w:val="006A09E0"/>
    <w:rsid w:val="006A4598"/>
    <w:rsid w:val="006A55DA"/>
    <w:rsid w:val="006A6010"/>
    <w:rsid w:val="006B06FF"/>
    <w:rsid w:val="006B2748"/>
    <w:rsid w:val="006B2A50"/>
    <w:rsid w:val="006B34B2"/>
    <w:rsid w:val="006B465F"/>
    <w:rsid w:val="006C06A1"/>
    <w:rsid w:val="006C0F22"/>
    <w:rsid w:val="006C13B1"/>
    <w:rsid w:val="006C4176"/>
    <w:rsid w:val="006C66EF"/>
    <w:rsid w:val="006D2617"/>
    <w:rsid w:val="006D2CD8"/>
    <w:rsid w:val="006D4185"/>
    <w:rsid w:val="006F581A"/>
    <w:rsid w:val="00700AA3"/>
    <w:rsid w:val="00700BA9"/>
    <w:rsid w:val="007142BA"/>
    <w:rsid w:val="00714823"/>
    <w:rsid w:val="00717197"/>
    <w:rsid w:val="00717685"/>
    <w:rsid w:val="0071789F"/>
    <w:rsid w:val="00722AA8"/>
    <w:rsid w:val="00724B97"/>
    <w:rsid w:val="00730088"/>
    <w:rsid w:val="00735BE5"/>
    <w:rsid w:val="00745D2F"/>
    <w:rsid w:val="00746C8C"/>
    <w:rsid w:val="00747222"/>
    <w:rsid w:val="00750898"/>
    <w:rsid w:val="00753F8D"/>
    <w:rsid w:val="00757102"/>
    <w:rsid w:val="00762BD1"/>
    <w:rsid w:val="0076356A"/>
    <w:rsid w:val="007712EF"/>
    <w:rsid w:val="00772675"/>
    <w:rsid w:val="00773559"/>
    <w:rsid w:val="00773A9F"/>
    <w:rsid w:val="0078127A"/>
    <w:rsid w:val="00783AF2"/>
    <w:rsid w:val="00787E46"/>
    <w:rsid w:val="0079000C"/>
    <w:rsid w:val="007947E0"/>
    <w:rsid w:val="007A1140"/>
    <w:rsid w:val="007A6609"/>
    <w:rsid w:val="007B7B73"/>
    <w:rsid w:val="007C2CED"/>
    <w:rsid w:val="007D0FB1"/>
    <w:rsid w:val="007D37B0"/>
    <w:rsid w:val="007E0974"/>
    <w:rsid w:val="007F16F3"/>
    <w:rsid w:val="007F3A7A"/>
    <w:rsid w:val="007F4A2A"/>
    <w:rsid w:val="008001F6"/>
    <w:rsid w:val="00801402"/>
    <w:rsid w:val="00802988"/>
    <w:rsid w:val="00820843"/>
    <w:rsid w:val="008274C0"/>
    <w:rsid w:val="008331B8"/>
    <w:rsid w:val="008415A0"/>
    <w:rsid w:val="00844941"/>
    <w:rsid w:val="00844B45"/>
    <w:rsid w:val="008511B6"/>
    <w:rsid w:val="0085364B"/>
    <w:rsid w:val="008571D3"/>
    <w:rsid w:val="00866993"/>
    <w:rsid w:val="00873AA7"/>
    <w:rsid w:val="00874366"/>
    <w:rsid w:val="008762D8"/>
    <w:rsid w:val="00893207"/>
    <w:rsid w:val="00897035"/>
    <w:rsid w:val="008A22B4"/>
    <w:rsid w:val="008B1589"/>
    <w:rsid w:val="008B3EBC"/>
    <w:rsid w:val="008B5CF2"/>
    <w:rsid w:val="008B5DC8"/>
    <w:rsid w:val="008B6096"/>
    <w:rsid w:val="008B74DD"/>
    <w:rsid w:val="008C0FCE"/>
    <w:rsid w:val="008C3127"/>
    <w:rsid w:val="008C4DE9"/>
    <w:rsid w:val="008C72B5"/>
    <w:rsid w:val="008D10FD"/>
    <w:rsid w:val="008D122F"/>
    <w:rsid w:val="008D5F60"/>
    <w:rsid w:val="008D727F"/>
    <w:rsid w:val="008E42D8"/>
    <w:rsid w:val="008F0210"/>
    <w:rsid w:val="008F2600"/>
    <w:rsid w:val="008F5D52"/>
    <w:rsid w:val="00904F17"/>
    <w:rsid w:val="00907CAC"/>
    <w:rsid w:val="00910637"/>
    <w:rsid w:val="00922966"/>
    <w:rsid w:val="00925C87"/>
    <w:rsid w:val="0092710A"/>
    <w:rsid w:val="00937AE3"/>
    <w:rsid w:val="00937D24"/>
    <w:rsid w:val="009414A7"/>
    <w:rsid w:val="00943175"/>
    <w:rsid w:val="00943932"/>
    <w:rsid w:val="0095040A"/>
    <w:rsid w:val="00955FC1"/>
    <w:rsid w:val="0095741D"/>
    <w:rsid w:val="00960040"/>
    <w:rsid w:val="0097288F"/>
    <w:rsid w:val="0098207E"/>
    <w:rsid w:val="00984780"/>
    <w:rsid w:val="00990AAE"/>
    <w:rsid w:val="009A5FFD"/>
    <w:rsid w:val="009B6120"/>
    <w:rsid w:val="009C2F76"/>
    <w:rsid w:val="009C7467"/>
    <w:rsid w:val="009F42F7"/>
    <w:rsid w:val="009F5312"/>
    <w:rsid w:val="00A02655"/>
    <w:rsid w:val="00A02AEC"/>
    <w:rsid w:val="00A04A8E"/>
    <w:rsid w:val="00A0594A"/>
    <w:rsid w:val="00A05FA9"/>
    <w:rsid w:val="00A12C47"/>
    <w:rsid w:val="00A12E6C"/>
    <w:rsid w:val="00A23E04"/>
    <w:rsid w:val="00A3742F"/>
    <w:rsid w:val="00A44EA3"/>
    <w:rsid w:val="00A46C15"/>
    <w:rsid w:val="00A505B9"/>
    <w:rsid w:val="00A50DC0"/>
    <w:rsid w:val="00A54593"/>
    <w:rsid w:val="00A573D6"/>
    <w:rsid w:val="00A577F2"/>
    <w:rsid w:val="00A60F43"/>
    <w:rsid w:val="00A63695"/>
    <w:rsid w:val="00A66073"/>
    <w:rsid w:val="00A72F06"/>
    <w:rsid w:val="00A730F2"/>
    <w:rsid w:val="00A77FFD"/>
    <w:rsid w:val="00A938D1"/>
    <w:rsid w:val="00AA1EC2"/>
    <w:rsid w:val="00AB384D"/>
    <w:rsid w:val="00AB4554"/>
    <w:rsid w:val="00AB4866"/>
    <w:rsid w:val="00AB6873"/>
    <w:rsid w:val="00AC3F47"/>
    <w:rsid w:val="00AC47B6"/>
    <w:rsid w:val="00AC62F2"/>
    <w:rsid w:val="00AD348A"/>
    <w:rsid w:val="00AD7DF9"/>
    <w:rsid w:val="00AE29BB"/>
    <w:rsid w:val="00AE2CAF"/>
    <w:rsid w:val="00AF33D9"/>
    <w:rsid w:val="00AF4675"/>
    <w:rsid w:val="00B002E4"/>
    <w:rsid w:val="00B127D7"/>
    <w:rsid w:val="00B26C20"/>
    <w:rsid w:val="00B332B2"/>
    <w:rsid w:val="00B34CCC"/>
    <w:rsid w:val="00B34E1D"/>
    <w:rsid w:val="00B36EC7"/>
    <w:rsid w:val="00B36EDD"/>
    <w:rsid w:val="00B610B1"/>
    <w:rsid w:val="00B61C97"/>
    <w:rsid w:val="00B628C5"/>
    <w:rsid w:val="00B63D49"/>
    <w:rsid w:val="00B71933"/>
    <w:rsid w:val="00B76BDE"/>
    <w:rsid w:val="00B8078D"/>
    <w:rsid w:val="00B82291"/>
    <w:rsid w:val="00BB1ECA"/>
    <w:rsid w:val="00BC56CC"/>
    <w:rsid w:val="00BD12A3"/>
    <w:rsid w:val="00BD2D71"/>
    <w:rsid w:val="00BD6D34"/>
    <w:rsid w:val="00BD7F6E"/>
    <w:rsid w:val="00BF03EC"/>
    <w:rsid w:val="00BF47B0"/>
    <w:rsid w:val="00BF5327"/>
    <w:rsid w:val="00C21D33"/>
    <w:rsid w:val="00C26CAE"/>
    <w:rsid w:val="00C31CC7"/>
    <w:rsid w:val="00C31DB5"/>
    <w:rsid w:val="00C3382F"/>
    <w:rsid w:val="00C37C44"/>
    <w:rsid w:val="00C4377C"/>
    <w:rsid w:val="00C47F0F"/>
    <w:rsid w:val="00C51D84"/>
    <w:rsid w:val="00C52506"/>
    <w:rsid w:val="00C6128C"/>
    <w:rsid w:val="00C633F8"/>
    <w:rsid w:val="00C73B34"/>
    <w:rsid w:val="00C75698"/>
    <w:rsid w:val="00C770B6"/>
    <w:rsid w:val="00C82259"/>
    <w:rsid w:val="00C82963"/>
    <w:rsid w:val="00C84478"/>
    <w:rsid w:val="00C8554F"/>
    <w:rsid w:val="00C91BE1"/>
    <w:rsid w:val="00C9297C"/>
    <w:rsid w:val="00C94014"/>
    <w:rsid w:val="00CA7C3A"/>
    <w:rsid w:val="00CB0A99"/>
    <w:rsid w:val="00CB5A09"/>
    <w:rsid w:val="00CC4934"/>
    <w:rsid w:val="00CD0CD4"/>
    <w:rsid w:val="00CD4A17"/>
    <w:rsid w:val="00CE24A2"/>
    <w:rsid w:val="00CE3B9F"/>
    <w:rsid w:val="00CE51A9"/>
    <w:rsid w:val="00CF0066"/>
    <w:rsid w:val="00CF12EC"/>
    <w:rsid w:val="00CF1FB8"/>
    <w:rsid w:val="00CF2C65"/>
    <w:rsid w:val="00CF31AB"/>
    <w:rsid w:val="00CF6DCD"/>
    <w:rsid w:val="00D078B6"/>
    <w:rsid w:val="00D1022C"/>
    <w:rsid w:val="00D13B91"/>
    <w:rsid w:val="00D13CB9"/>
    <w:rsid w:val="00D23EF4"/>
    <w:rsid w:val="00D26ACF"/>
    <w:rsid w:val="00D27115"/>
    <w:rsid w:val="00D34DCC"/>
    <w:rsid w:val="00D445BD"/>
    <w:rsid w:val="00D61D9B"/>
    <w:rsid w:val="00D71945"/>
    <w:rsid w:val="00DA2B13"/>
    <w:rsid w:val="00DA2F09"/>
    <w:rsid w:val="00DB0C4E"/>
    <w:rsid w:val="00DC1E09"/>
    <w:rsid w:val="00DC1E60"/>
    <w:rsid w:val="00DD5B5D"/>
    <w:rsid w:val="00DD60CC"/>
    <w:rsid w:val="00DE152E"/>
    <w:rsid w:val="00DE1BC8"/>
    <w:rsid w:val="00DF1FDB"/>
    <w:rsid w:val="00DF4D12"/>
    <w:rsid w:val="00DF6A0F"/>
    <w:rsid w:val="00E05CFC"/>
    <w:rsid w:val="00E10AE2"/>
    <w:rsid w:val="00E10F0A"/>
    <w:rsid w:val="00E212D9"/>
    <w:rsid w:val="00E21875"/>
    <w:rsid w:val="00E24C2A"/>
    <w:rsid w:val="00E25407"/>
    <w:rsid w:val="00E2652B"/>
    <w:rsid w:val="00E2797A"/>
    <w:rsid w:val="00E32599"/>
    <w:rsid w:val="00E33B0E"/>
    <w:rsid w:val="00E42621"/>
    <w:rsid w:val="00E446A6"/>
    <w:rsid w:val="00E5075B"/>
    <w:rsid w:val="00E53CB5"/>
    <w:rsid w:val="00E53CCD"/>
    <w:rsid w:val="00E56A7A"/>
    <w:rsid w:val="00E62607"/>
    <w:rsid w:val="00E62C79"/>
    <w:rsid w:val="00E71855"/>
    <w:rsid w:val="00E719A9"/>
    <w:rsid w:val="00E80EDF"/>
    <w:rsid w:val="00E85117"/>
    <w:rsid w:val="00E87FAA"/>
    <w:rsid w:val="00EA0A77"/>
    <w:rsid w:val="00EA1DE4"/>
    <w:rsid w:val="00EA60EA"/>
    <w:rsid w:val="00EB29BF"/>
    <w:rsid w:val="00EB7744"/>
    <w:rsid w:val="00EC16E2"/>
    <w:rsid w:val="00EC747F"/>
    <w:rsid w:val="00EC7C7F"/>
    <w:rsid w:val="00EE1B30"/>
    <w:rsid w:val="00EF4B42"/>
    <w:rsid w:val="00EF75E4"/>
    <w:rsid w:val="00EF7FD4"/>
    <w:rsid w:val="00F003D3"/>
    <w:rsid w:val="00F008AB"/>
    <w:rsid w:val="00F03E32"/>
    <w:rsid w:val="00F122E4"/>
    <w:rsid w:val="00F23F89"/>
    <w:rsid w:val="00F26122"/>
    <w:rsid w:val="00F40512"/>
    <w:rsid w:val="00F40BFE"/>
    <w:rsid w:val="00F413CD"/>
    <w:rsid w:val="00F42289"/>
    <w:rsid w:val="00F42E75"/>
    <w:rsid w:val="00F436DA"/>
    <w:rsid w:val="00F44E3F"/>
    <w:rsid w:val="00F45D65"/>
    <w:rsid w:val="00F517FA"/>
    <w:rsid w:val="00F52D16"/>
    <w:rsid w:val="00F62D67"/>
    <w:rsid w:val="00F63BD9"/>
    <w:rsid w:val="00F6694C"/>
    <w:rsid w:val="00F67883"/>
    <w:rsid w:val="00F8145F"/>
    <w:rsid w:val="00F9283D"/>
    <w:rsid w:val="00F96F18"/>
    <w:rsid w:val="00FA041C"/>
    <w:rsid w:val="00FA0AD3"/>
    <w:rsid w:val="00FA1B73"/>
    <w:rsid w:val="00FA508E"/>
    <w:rsid w:val="00FA5320"/>
    <w:rsid w:val="00FA7846"/>
    <w:rsid w:val="00FC26E5"/>
    <w:rsid w:val="00FC2802"/>
    <w:rsid w:val="00FD19F1"/>
    <w:rsid w:val="00FD35F6"/>
    <w:rsid w:val="00FD370F"/>
    <w:rsid w:val="00FD3C5A"/>
    <w:rsid w:val="00FD7F2C"/>
    <w:rsid w:val="00FE0B90"/>
    <w:rsid w:val="00FE3523"/>
    <w:rsid w:val="00FF4C41"/>
    <w:rsid w:val="40B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C13A3"/>
  <w15:docId w15:val="{C3F5A7F1-6BA7-4D16-9BC5-F36FCFF7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84D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F67883"/>
    <w:pPr>
      <w:keepNext/>
      <w:ind w:firstLine="720"/>
      <w:jc w:val="right"/>
      <w:outlineLvl w:val="5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B384D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B38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384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AB384D"/>
    <w:rPr>
      <w:b/>
      <w:bCs/>
    </w:rPr>
  </w:style>
  <w:style w:type="paragraph" w:styleId="aa">
    <w:name w:val="footer"/>
    <w:basedOn w:val="a"/>
    <w:link w:val="ab"/>
    <w:uiPriority w:val="99"/>
    <w:unhideWhenUsed/>
    <w:qFormat/>
    <w:rsid w:val="00AB384D"/>
    <w:pPr>
      <w:tabs>
        <w:tab w:val="center" w:pos="4819"/>
        <w:tab w:val="right" w:pos="9639"/>
      </w:tabs>
    </w:pPr>
  </w:style>
  <w:style w:type="paragraph" w:styleId="ac">
    <w:name w:val="header"/>
    <w:basedOn w:val="a"/>
    <w:link w:val="ad"/>
    <w:uiPriority w:val="99"/>
    <w:unhideWhenUsed/>
    <w:qFormat/>
    <w:rsid w:val="00AB384D"/>
    <w:pPr>
      <w:tabs>
        <w:tab w:val="center" w:pos="4819"/>
        <w:tab w:val="right" w:pos="9639"/>
      </w:tabs>
    </w:pPr>
  </w:style>
  <w:style w:type="character" w:styleId="ae">
    <w:name w:val="Hyperlink"/>
    <w:basedOn w:val="a0"/>
    <w:uiPriority w:val="99"/>
    <w:semiHidden/>
    <w:unhideWhenUsed/>
    <w:qFormat/>
    <w:rsid w:val="00AB384D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AB384D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af0">
    <w:name w:val="Salutation"/>
    <w:basedOn w:val="af1"/>
    <w:next w:val="a"/>
    <w:link w:val="af2"/>
    <w:uiPriority w:val="6"/>
    <w:unhideWhenUsed/>
    <w:qFormat/>
    <w:rsid w:val="00AB384D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styleId="af1">
    <w:name w:val="No Spacing"/>
    <w:link w:val="af3"/>
    <w:uiPriority w:val="1"/>
    <w:qFormat/>
    <w:rsid w:val="00AB384D"/>
    <w:pPr>
      <w:jc w:val="both"/>
    </w:pPr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qFormat/>
    <w:rsid w:val="00AB384D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uiPriority w:val="10"/>
    <w:qFormat/>
    <w:rsid w:val="00AB384D"/>
    <w:pPr>
      <w:ind w:left="5040" w:firstLine="720"/>
      <w:jc w:val="center"/>
    </w:pPr>
    <w:rPr>
      <w:b/>
      <w:sz w:val="24"/>
      <w:szCs w:val="20"/>
      <w:lang w:val="ru-RU" w:eastAsia="ru-RU"/>
    </w:rPr>
  </w:style>
  <w:style w:type="paragraph" w:customStyle="1" w:styleId="ShapkaDocumentu">
    <w:name w:val="Shapka Documentu"/>
    <w:basedOn w:val="a"/>
    <w:qFormat/>
    <w:rsid w:val="00AB384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af6">
    <w:name w:val="Назва Знак"/>
    <w:basedOn w:val="a0"/>
    <w:link w:val="af5"/>
    <w:uiPriority w:val="10"/>
    <w:qFormat/>
    <w:locked/>
    <w:rsid w:val="00AB384D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d">
    <w:name w:val="Верхній колонтитул Знак"/>
    <w:basedOn w:val="a0"/>
    <w:link w:val="ac"/>
    <w:uiPriority w:val="99"/>
    <w:qFormat/>
    <w:locked/>
    <w:rsid w:val="00AB384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b">
    <w:name w:val="Нижній колонтитул Знак"/>
    <w:basedOn w:val="a0"/>
    <w:link w:val="aa"/>
    <w:uiPriority w:val="99"/>
    <w:qFormat/>
    <w:locked/>
    <w:rsid w:val="00AB384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af7">
    <w:name w:val="Обратный адрес"/>
    <w:basedOn w:val="af1"/>
    <w:uiPriority w:val="3"/>
    <w:qFormat/>
    <w:rsid w:val="00AB384D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locked/>
    <w:rsid w:val="00AB384D"/>
    <w:rPr>
      <w:rFonts w:ascii="Tahoma" w:hAnsi="Tahoma" w:cs="Tahoma"/>
      <w:sz w:val="16"/>
      <w:szCs w:val="16"/>
      <w:lang w:eastAsia="uk-UA"/>
    </w:rPr>
  </w:style>
  <w:style w:type="character" w:styleId="af8">
    <w:name w:val="Placeholder Text"/>
    <w:basedOn w:val="a0"/>
    <w:uiPriority w:val="99"/>
    <w:semiHidden/>
    <w:qFormat/>
    <w:rsid w:val="00AB384D"/>
    <w:rPr>
      <w:rFonts w:cs="Times New Roman"/>
      <w:color w:val="808080"/>
    </w:rPr>
  </w:style>
  <w:style w:type="paragraph" w:customStyle="1" w:styleId="af9">
    <w:name w:val="Текст даты"/>
    <w:basedOn w:val="a"/>
    <w:uiPriority w:val="35"/>
    <w:qFormat/>
    <w:rsid w:val="00AB384D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0"/>
    <w:uiPriority w:val="6"/>
    <w:qFormat/>
    <w:rsid w:val="00AB384D"/>
    <w:rPr>
      <w:rFonts w:eastAsiaTheme="minorEastAsia" w:cstheme="minorBidi"/>
      <w:b/>
      <w:bCs/>
      <w:color w:val="000000" w:themeColor="text1"/>
      <w:lang w:val="ru-RU"/>
    </w:rPr>
  </w:style>
  <w:style w:type="paragraph" w:styleId="afa">
    <w:name w:val="List Paragraph"/>
    <w:basedOn w:val="a"/>
    <w:uiPriority w:val="34"/>
    <w:qFormat/>
    <w:rsid w:val="00AB384D"/>
    <w:pPr>
      <w:ind w:left="720"/>
      <w:contextualSpacing/>
    </w:pPr>
  </w:style>
  <w:style w:type="character" w:customStyle="1" w:styleId="af3">
    <w:name w:val="Без інтервалів Знак"/>
    <w:basedOn w:val="a0"/>
    <w:link w:val="af1"/>
    <w:uiPriority w:val="1"/>
    <w:rsid w:val="00AB384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7">
    <w:name w:val="Текст примітки Знак"/>
    <w:basedOn w:val="a0"/>
    <w:link w:val="a6"/>
    <w:uiPriority w:val="99"/>
    <w:semiHidden/>
    <w:rsid w:val="00AB384D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9">
    <w:name w:val="Тема примітки Знак"/>
    <w:basedOn w:val="a7"/>
    <w:link w:val="a8"/>
    <w:uiPriority w:val="99"/>
    <w:semiHidden/>
    <w:rsid w:val="00AB384D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1">
    <w:name w:val="Редакція1"/>
    <w:hidden/>
    <w:uiPriority w:val="99"/>
    <w:semiHidden/>
    <w:qFormat/>
    <w:rsid w:val="00AB384D"/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uiPriority w:val="59"/>
    <w:rsid w:val="00AB384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F67883"/>
    <w:rPr>
      <w:rFonts w:ascii="Times New Roman" w:hAnsi="Times New Roman" w:cs="Times New Roman"/>
      <w:sz w:val="28"/>
      <w:lang w:eastAsia="ru-RU"/>
    </w:rPr>
  </w:style>
  <w:style w:type="paragraph" w:styleId="afb">
    <w:name w:val="Revision"/>
    <w:hidden/>
    <w:uiPriority w:val="99"/>
    <w:semiHidden/>
    <w:rsid w:val="0019634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0BE9809-51D2-4CB9-90E3-A0172F5A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4643</Words>
  <Characters>2648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Таня</cp:lastModifiedBy>
  <cp:revision>20</cp:revision>
  <cp:lastPrinted>2022-04-22T12:26:00Z</cp:lastPrinted>
  <dcterms:created xsi:type="dcterms:W3CDTF">2022-04-22T09:58:00Z</dcterms:created>
  <dcterms:modified xsi:type="dcterms:W3CDTF">2022-04-22T12:41:00Z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  <property fmtid="{D5CDD505-2E9C-101B-9397-08002B2CF9AE}" pid="3" name="KSOProductBuildVer">
    <vt:lpwstr>1033-11.2.0.11042</vt:lpwstr>
  </property>
  <property fmtid="{D5CDD505-2E9C-101B-9397-08002B2CF9AE}" pid="4" name="ICV">
    <vt:lpwstr>62FFD45F3A2C4FB78719F0EF6931926C</vt:lpwstr>
  </property>
</Properties>
</file>