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2250EA" w:rsidRPr="007931A2" w14:paraId="5442BB22" w14:textId="77777777" w:rsidTr="004E4446">
        <w:trPr>
          <w:trHeight w:val="277"/>
        </w:trPr>
        <w:tc>
          <w:tcPr>
            <w:tcW w:w="9638" w:type="dxa"/>
            <w:gridSpan w:val="3"/>
          </w:tcPr>
          <w:p w14:paraId="5F90E233" w14:textId="2875398E" w:rsidR="002250EA" w:rsidRPr="007931A2" w:rsidRDefault="002250EA" w:rsidP="002250EA">
            <w:pPr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A65D2D">
              <w:rPr>
                <w:rFonts w:ascii="Times New Roman" w:hAnsi="Times New Roman"/>
                <w:sz w:val="28"/>
                <w:szCs w:val="28"/>
              </w:rPr>
              <w:t>Офіційно опубліковано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65D2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65D2D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  <w:tr w:rsidR="00BE443B" w:rsidRPr="007931A2" w14:paraId="18E8C4E5" w14:textId="77777777" w:rsidTr="001516CB">
        <w:trPr>
          <w:trHeight w:val="851"/>
        </w:trPr>
        <w:tc>
          <w:tcPr>
            <w:tcW w:w="3207" w:type="dxa"/>
          </w:tcPr>
          <w:p w14:paraId="37996F00" w14:textId="77777777" w:rsidR="00BE443B" w:rsidRPr="004B52C4" w:rsidRDefault="00BE443B" w:rsidP="001516C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27" w:type="dxa"/>
            <w:vMerge w:val="restart"/>
          </w:tcPr>
          <w:p w14:paraId="14441983" w14:textId="77777777" w:rsidR="00BE443B" w:rsidRPr="007931A2" w:rsidRDefault="00BE443B" w:rsidP="001516C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eastAsia="uk-UA"/>
              </w:rPr>
              <w:object w:dxaOrig="1595" w:dyaOrig="2201" w14:anchorId="6AC08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.75pt" o:ole="">
                  <v:imagedata r:id="rId8" o:title=""/>
                </v:shape>
                <o:OLEObject Type="Embed" ProgID="CorelDraw.Graphic.16" ShapeID="_x0000_i1025" DrawAspect="Content" ObjectID="_1688304957" r:id="rId9"/>
              </w:object>
            </w:r>
          </w:p>
        </w:tc>
        <w:tc>
          <w:tcPr>
            <w:tcW w:w="3204" w:type="dxa"/>
          </w:tcPr>
          <w:p w14:paraId="13936725" w14:textId="77777777" w:rsidR="00BE443B" w:rsidRPr="007931A2" w:rsidRDefault="00BE443B" w:rsidP="001516C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E443B" w:rsidRPr="007931A2" w14:paraId="1FB37165" w14:textId="77777777" w:rsidTr="001516CB">
        <w:tc>
          <w:tcPr>
            <w:tcW w:w="3207" w:type="dxa"/>
          </w:tcPr>
          <w:p w14:paraId="34D63F7D" w14:textId="77777777" w:rsidR="00BE443B" w:rsidRPr="007931A2" w:rsidRDefault="00BE443B" w:rsidP="001516C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27" w:type="dxa"/>
            <w:vMerge/>
          </w:tcPr>
          <w:p w14:paraId="1A4E5E07" w14:textId="77777777" w:rsidR="00BE443B" w:rsidRPr="007931A2" w:rsidRDefault="00BE443B" w:rsidP="001516C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04" w:type="dxa"/>
          </w:tcPr>
          <w:p w14:paraId="4B79EE2F" w14:textId="77777777" w:rsidR="00BE443B" w:rsidRPr="007931A2" w:rsidRDefault="00BE443B" w:rsidP="001516C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E443B" w:rsidRPr="007931A2" w14:paraId="5800CF00" w14:textId="77777777" w:rsidTr="001516CB">
        <w:tc>
          <w:tcPr>
            <w:tcW w:w="9638" w:type="dxa"/>
            <w:gridSpan w:val="3"/>
          </w:tcPr>
          <w:p w14:paraId="4211EDE2" w14:textId="77777777" w:rsidR="00BE443B" w:rsidRPr="007931A2" w:rsidRDefault="00BE443B" w:rsidP="001516CB">
            <w:pPr>
              <w:tabs>
                <w:tab w:val="left" w:pos="-360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</w:pPr>
            <w:r w:rsidRPr="007931A2"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  <w:t>Правління Національного банку України</w:t>
            </w:r>
          </w:p>
          <w:p w14:paraId="44DFC7CD" w14:textId="77777777" w:rsidR="00BE443B" w:rsidRPr="007931A2" w:rsidRDefault="00BE443B" w:rsidP="001516C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31A2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  <w:lang w:eastAsia="uk-UA"/>
              </w:rPr>
              <w:t>П О С Т А Н О В А</w:t>
            </w:r>
          </w:p>
        </w:tc>
      </w:tr>
    </w:tbl>
    <w:p w14:paraId="32121070" w14:textId="77777777" w:rsidR="00BE443B" w:rsidRPr="007931A2" w:rsidRDefault="00BE443B" w:rsidP="00BE443B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uk-UA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BE443B" w:rsidRPr="007931A2" w14:paraId="4C179151" w14:textId="77777777" w:rsidTr="001516CB">
        <w:tc>
          <w:tcPr>
            <w:tcW w:w="3510" w:type="dxa"/>
            <w:vAlign w:val="bottom"/>
          </w:tcPr>
          <w:p w14:paraId="7A0D5F91" w14:textId="756B77EC" w:rsidR="00BE443B" w:rsidRPr="00B51E09" w:rsidRDefault="002250EA" w:rsidP="001516C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22 червня 2021</w:t>
            </w:r>
          </w:p>
        </w:tc>
        <w:tc>
          <w:tcPr>
            <w:tcW w:w="2694" w:type="dxa"/>
          </w:tcPr>
          <w:p w14:paraId="6E18376F" w14:textId="77777777" w:rsidR="00BE443B" w:rsidRPr="007931A2" w:rsidRDefault="00BE443B" w:rsidP="001516CB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31A2">
              <w:rPr>
                <w:rFonts w:ascii="Times New Roman" w:hAnsi="Times New Roman"/>
                <w:color w:val="006600"/>
                <w:sz w:val="28"/>
                <w:szCs w:val="28"/>
                <w:lang w:eastAsia="uk-UA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32137D9C" w14:textId="77C553BF" w:rsidR="00BE443B" w:rsidRPr="002250EA" w:rsidRDefault="002250EA" w:rsidP="002250EA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250EA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937" w:type="dxa"/>
            <w:vAlign w:val="bottom"/>
          </w:tcPr>
          <w:p w14:paraId="30C68CE2" w14:textId="682AC7B6" w:rsidR="00BE443B" w:rsidRPr="002250EA" w:rsidRDefault="002250EA" w:rsidP="001516CB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58</w:t>
            </w:r>
          </w:p>
        </w:tc>
      </w:tr>
    </w:tbl>
    <w:p w14:paraId="3F2EBAC0" w14:textId="77777777" w:rsidR="00BE443B" w:rsidRPr="007931A2" w:rsidRDefault="00BE443B" w:rsidP="00BE443B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uk-UA"/>
        </w:rPr>
      </w:pPr>
    </w:p>
    <w:p w14:paraId="7EBF27EB" w14:textId="77777777" w:rsidR="00BE443B" w:rsidRPr="007931A2" w:rsidRDefault="00BE443B" w:rsidP="00BE443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41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BE443B" w:rsidRPr="007931A2" w14:paraId="62BC9B9C" w14:textId="77777777" w:rsidTr="001516CB">
        <w:trPr>
          <w:jc w:val="center"/>
        </w:trPr>
        <w:tc>
          <w:tcPr>
            <w:tcW w:w="5000" w:type="pct"/>
          </w:tcPr>
          <w:p w14:paraId="066B7037" w14:textId="302E5B25" w:rsidR="00BE443B" w:rsidRPr="007931A2" w:rsidRDefault="00BE443B" w:rsidP="001516CB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1A2">
              <w:rPr>
                <w:rStyle w:val="afc"/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Про внесення змін до деяких нормативно-правових актів Національного банку України</w:t>
            </w:r>
          </w:p>
        </w:tc>
      </w:tr>
    </w:tbl>
    <w:p w14:paraId="7AC3AE85" w14:textId="6B415276" w:rsidR="00173D3B" w:rsidRPr="007931A2" w:rsidRDefault="00173D3B" w:rsidP="00C4239D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Відповідно до статей 7, 15, 56 Закону України “Про Національний банк України”, статей 44, 66 Закону України “Про банки і банківську діяльність</w:t>
      </w:r>
      <w:r w:rsidR="00C45EE7" w:rsidRPr="007931A2">
        <w:rPr>
          <w:rFonts w:ascii="Times New Roman" w:hAnsi="Times New Roman"/>
          <w:sz w:val="28"/>
          <w:szCs w:val="28"/>
          <w:lang w:eastAsia="uk-UA"/>
        </w:rPr>
        <w:t>,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 w:rsidR="001C23B3" w:rsidRPr="007931A2">
        <w:rPr>
          <w:rFonts w:ascii="Times New Roman" w:eastAsiaTheme="minorEastAsia" w:hAnsi="Times New Roman"/>
          <w:sz w:val="28"/>
          <w:szCs w:val="28"/>
        </w:rPr>
        <w:t>з метою вдосконалення порядку визначення банками України розміру кредитного</w:t>
      </w:r>
      <w:r w:rsidR="001C23B3" w:rsidRPr="007931A2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1C23B3" w:rsidRPr="007931A2">
        <w:rPr>
          <w:rFonts w:ascii="Times New Roman" w:eastAsiaTheme="minorEastAsia" w:hAnsi="Times New Roman"/>
          <w:sz w:val="28"/>
          <w:szCs w:val="28"/>
        </w:rPr>
        <w:t>ризику за активними банківськими операціями</w:t>
      </w:r>
      <w:r w:rsidR="001C23B3" w:rsidRPr="007931A2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Правління Національного банку України</w:t>
      </w:r>
      <w:r w:rsidRPr="007931A2">
        <w:rPr>
          <w:rFonts w:ascii="Times New Roman" w:hAnsi="Times New Roman"/>
          <w:b/>
          <w:sz w:val="28"/>
          <w:szCs w:val="28"/>
        </w:rPr>
        <w:t xml:space="preserve"> постановляє:</w:t>
      </w:r>
    </w:p>
    <w:p w14:paraId="35323898" w14:textId="6611999B" w:rsidR="00D218A9" w:rsidRPr="007931A2" w:rsidRDefault="00173D3B" w:rsidP="0049111E">
      <w:pPr>
        <w:pStyle w:val="a3"/>
        <w:spacing w:before="24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31A2">
        <w:rPr>
          <w:rFonts w:ascii="Times New Roman" w:eastAsiaTheme="minorHAnsi" w:hAnsi="Times New Roman"/>
          <w:sz w:val="28"/>
          <w:szCs w:val="28"/>
        </w:rPr>
        <w:t>1.</w:t>
      </w:r>
      <w:r w:rsidR="00BF4F0A" w:rsidRPr="007931A2">
        <w:rPr>
          <w:rFonts w:ascii="Times New Roman" w:eastAsiaTheme="minorHAnsi" w:hAnsi="Times New Roman"/>
          <w:sz w:val="28"/>
          <w:szCs w:val="28"/>
        </w:rPr>
        <w:t xml:space="preserve"> </w:t>
      </w:r>
      <w:r w:rsidR="00D218A9">
        <w:rPr>
          <w:rFonts w:ascii="Times New Roman" w:eastAsiaTheme="minorHAnsi" w:hAnsi="Times New Roman"/>
          <w:sz w:val="28"/>
          <w:szCs w:val="28"/>
        </w:rPr>
        <w:t>П</w:t>
      </w:r>
      <w:r w:rsidR="00BF4F0A" w:rsidRPr="007931A2">
        <w:rPr>
          <w:rFonts w:ascii="Times New Roman" w:eastAsiaTheme="minorHAnsi" w:hAnsi="Times New Roman"/>
          <w:sz w:val="28"/>
          <w:szCs w:val="28"/>
        </w:rPr>
        <w:t>останов</w:t>
      </w:r>
      <w:r w:rsidR="00D218A9">
        <w:rPr>
          <w:rFonts w:ascii="Times New Roman" w:eastAsiaTheme="minorHAnsi" w:hAnsi="Times New Roman"/>
          <w:sz w:val="28"/>
          <w:szCs w:val="28"/>
        </w:rPr>
        <w:t>у</w:t>
      </w:r>
      <w:r w:rsidR="00BF4F0A" w:rsidRPr="007931A2">
        <w:rPr>
          <w:rFonts w:ascii="Times New Roman" w:eastAsiaTheme="minorHAnsi" w:hAnsi="Times New Roman"/>
          <w:sz w:val="28"/>
          <w:szCs w:val="28"/>
        </w:rPr>
        <w:t xml:space="preserve"> Правління Національного банку України від 30 червня 2016 року № 351 “Про затвердження Положення про визначення банками України розміру кредитного ризику за активними банківськими операціями” (зі змінами) </w:t>
      </w:r>
      <w:r w:rsidR="00D218A9" w:rsidRPr="007931A2">
        <w:rPr>
          <w:rFonts w:ascii="Times New Roman" w:eastAsiaTheme="minorHAnsi" w:hAnsi="Times New Roman"/>
          <w:sz w:val="28"/>
          <w:szCs w:val="28"/>
        </w:rPr>
        <w:t>після пункту 5</w:t>
      </w:r>
      <w:r w:rsidR="00D218A9" w:rsidRPr="007931A2">
        <w:rPr>
          <w:rFonts w:ascii="Times New Roman" w:eastAsiaTheme="minorHAnsi" w:hAnsi="Times New Roman"/>
          <w:sz w:val="28"/>
          <w:szCs w:val="28"/>
          <w:vertAlign w:val="superscript"/>
          <w:lang w:val="ru-RU"/>
        </w:rPr>
        <w:t>4</w:t>
      </w:r>
      <w:r w:rsidR="00D218A9" w:rsidRPr="007931A2">
        <w:rPr>
          <w:rFonts w:ascii="Times New Roman" w:eastAsiaTheme="minorHAnsi" w:hAnsi="Times New Roman"/>
          <w:sz w:val="28"/>
          <w:szCs w:val="28"/>
        </w:rPr>
        <w:t xml:space="preserve"> доповнити </w:t>
      </w:r>
      <w:r w:rsidR="00D218A9">
        <w:rPr>
          <w:rFonts w:ascii="Times New Roman" w:eastAsiaTheme="minorHAnsi" w:hAnsi="Times New Roman"/>
          <w:sz w:val="28"/>
          <w:szCs w:val="28"/>
        </w:rPr>
        <w:t xml:space="preserve">двома </w:t>
      </w:r>
      <w:r w:rsidR="00D218A9" w:rsidRPr="007931A2">
        <w:rPr>
          <w:rFonts w:ascii="Times New Roman" w:eastAsiaTheme="minorHAnsi" w:hAnsi="Times New Roman"/>
          <w:sz w:val="28"/>
          <w:szCs w:val="28"/>
        </w:rPr>
        <w:t>новими пунктами 5</w:t>
      </w:r>
      <w:r w:rsidR="00D218A9" w:rsidRPr="007931A2">
        <w:rPr>
          <w:rFonts w:ascii="Times New Roman" w:eastAsiaTheme="minorHAnsi" w:hAnsi="Times New Roman"/>
          <w:sz w:val="28"/>
          <w:szCs w:val="28"/>
          <w:vertAlign w:val="superscript"/>
          <w:lang w:val="ru-RU"/>
        </w:rPr>
        <w:t>5</w:t>
      </w:r>
      <w:r w:rsidR="00D218A9" w:rsidRPr="007931A2">
        <w:rPr>
          <w:rFonts w:ascii="Times New Roman" w:eastAsiaTheme="minorHAnsi" w:hAnsi="Times New Roman"/>
          <w:sz w:val="28"/>
          <w:szCs w:val="28"/>
        </w:rPr>
        <w:t>, 5</w:t>
      </w:r>
      <w:r w:rsidR="00D218A9" w:rsidRPr="007931A2">
        <w:rPr>
          <w:rFonts w:ascii="Times New Roman" w:eastAsiaTheme="minorHAnsi" w:hAnsi="Times New Roman"/>
          <w:sz w:val="28"/>
          <w:szCs w:val="28"/>
          <w:vertAlign w:val="superscript"/>
          <w:lang w:val="ru-RU"/>
        </w:rPr>
        <w:t>6</w:t>
      </w:r>
      <w:r w:rsidR="00D218A9" w:rsidRPr="007931A2">
        <w:rPr>
          <w:rFonts w:ascii="Times New Roman" w:eastAsiaTheme="minorHAnsi" w:hAnsi="Times New Roman"/>
          <w:sz w:val="28"/>
          <w:szCs w:val="28"/>
        </w:rPr>
        <w:t xml:space="preserve"> такого змісту:</w:t>
      </w:r>
    </w:p>
    <w:p w14:paraId="6A728472" w14:textId="49932AF0" w:rsidR="00BF4F0A" w:rsidRDefault="00BF4F0A" w:rsidP="0049111E">
      <w:pPr>
        <w:spacing w:after="12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31A2">
        <w:rPr>
          <w:rFonts w:ascii="Times New Roman" w:eastAsiaTheme="minorHAnsi" w:hAnsi="Times New Roman"/>
          <w:sz w:val="28"/>
          <w:szCs w:val="28"/>
          <w:lang w:val="ru-RU"/>
        </w:rPr>
        <w:t>“5</w:t>
      </w:r>
      <w:r w:rsidRPr="007931A2">
        <w:rPr>
          <w:rFonts w:ascii="Times New Roman" w:eastAsiaTheme="minorHAnsi" w:hAnsi="Times New Roman"/>
          <w:sz w:val="28"/>
          <w:szCs w:val="28"/>
          <w:vertAlign w:val="superscript"/>
          <w:lang w:val="ru-RU"/>
        </w:rPr>
        <w:t>5</w:t>
      </w:r>
      <w:r w:rsidRPr="007931A2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 w:rsidRPr="007931A2">
        <w:rPr>
          <w:rFonts w:ascii="Times New Roman" w:eastAsiaTheme="minorHAnsi" w:hAnsi="Times New Roman"/>
          <w:sz w:val="28"/>
          <w:szCs w:val="28"/>
        </w:rPr>
        <w:t>Банкам України:</w:t>
      </w:r>
    </w:p>
    <w:p w14:paraId="0D51846E" w14:textId="2CA99210" w:rsidR="00BF4F0A" w:rsidRDefault="00BF4F0A" w:rsidP="00C4239D">
      <w:pPr>
        <w:pStyle w:val="af5"/>
        <w:spacing w:before="240" w:beforeAutospacing="0" w:after="12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1) до 20 вересня 2021 року розробити/доопрацювати внутрішньобанківські положення щодо визначення розміру кредитного ризику за спеціалізованими кредитами;</w:t>
      </w:r>
    </w:p>
    <w:p w14:paraId="0B5218F3" w14:textId="19F7CEDE" w:rsidR="00BF4F0A" w:rsidRDefault="00BF4F0A" w:rsidP="00C4239D">
      <w:pPr>
        <w:pStyle w:val="af5"/>
        <w:spacing w:before="240" w:beforeAutospacing="0" w:after="12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2) станом на 01 листопада, 01 грудня 2021 року здійсн</w:t>
      </w:r>
      <w:r w:rsidR="00A06315" w:rsidRPr="007931A2">
        <w:rPr>
          <w:sz w:val="28"/>
          <w:szCs w:val="28"/>
        </w:rPr>
        <w:t>ювати</w:t>
      </w:r>
      <w:r w:rsidRPr="007931A2">
        <w:rPr>
          <w:sz w:val="28"/>
          <w:szCs w:val="28"/>
        </w:rPr>
        <w:t xml:space="preserve"> розрахунок розміру кредитного ризику за спеціалізованими кредитами в тестовому режимі та до 30 листопада, 30 грудня 2021</w:t>
      </w:r>
      <w:r w:rsidR="00981EC4" w:rsidRPr="007931A2">
        <w:rPr>
          <w:sz w:val="28"/>
          <w:szCs w:val="28"/>
        </w:rPr>
        <w:t xml:space="preserve"> року</w:t>
      </w:r>
      <w:r w:rsidRPr="007931A2">
        <w:rPr>
          <w:sz w:val="28"/>
          <w:szCs w:val="28"/>
        </w:rPr>
        <w:t xml:space="preserve"> відповідно поінформувати Національний банк України за встановленою ним формою</w:t>
      </w:r>
      <w:r w:rsidR="004D08FF" w:rsidRPr="007931A2">
        <w:rPr>
          <w:sz w:val="28"/>
          <w:szCs w:val="28"/>
        </w:rPr>
        <w:t xml:space="preserve"> про результати розрахунку</w:t>
      </w:r>
      <w:r w:rsidRPr="007931A2">
        <w:rPr>
          <w:sz w:val="28"/>
          <w:szCs w:val="28"/>
        </w:rPr>
        <w:t>;</w:t>
      </w:r>
    </w:p>
    <w:p w14:paraId="660F4647" w14:textId="3A602A8B" w:rsidR="00BF4F0A" w:rsidRPr="007931A2" w:rsidRDefault="00BF4F0A" w:rsidP="00C4239D">
      <w:pPr>
        <w:spacing w:before="24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 xml:space="preserve">3) починаючи з 31 грудня 2021 року здійснювати розрахунок розміру кредитного ризику </w:t>
      </w:r>
      <w:r w:rsidRPr="007931A2">
        <w:rPr>
          <w:rFonts w:ascii="Times New Roman" w:hAnsi="Times New Roman"/>
          <w:color w:val="000000"/>
          <w:sz w:val="28"/>
          <w:szCs w:val="28"/>
        </w:rPr>
        <w:t xml:space="preserve">за спеціалізованими кредитами, наданими після 01 жовтня 2021 року, згідно з вимогами Положення про визначення розміру кредитного ризику щодо 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визначення розміру кредитного ризику за </w:t>
      </w:r>
      <w:r w:rsidRPr="007931A2">
        <w:rPr>
          <w:rFonts w:ascii="Times New Roman" w:hAnsi="Times New Roman"/>
          <w:color w:val="000000"/>
          <w:sz w:val="28"/>
          <w:szCs w:val="28"/>
        </w:rPr>
        <w:t>спеціалізованими кредитами.</w:t>
      </w:r>
    </w:p>
    <w:p w14:paraId="479987C2" w14:textId="0602117F" w:rsidR="004D08FF" w:rsidRDefault="004D08FF" w:rsidP="00C4239D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color w:val="000000"/>
          <w:sz w:val="28"/>
          <w:szCs w:val="28"/>
        </w:rPr>
        <w:t>5</w:t>
      </w:r>
      <w:r w:rsidRPr="007931A2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7931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931A2">
        <w:rPr>
          <w:rFonts w:ascii="Times New Roman" w:hAnsi="Times New Roman"/>
          <w:sz w:val="28"/>
          <w:szCs w:val="28"/>
        </w:rPr>
        <w:t>Банки України мають право до 31 грудня 2022 року (включно) під час розрахунку розміру кредитного ризику:</w:t>
      </w:r>
    </w:p>
    <w:p w14:paraId="118DAAD2" w14:textId="31BDD389" w:rsidR="00290084" w:rsidRDefault="004D08FF" w:rsidP="00C4239D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lastRenderedPageBreak/>
        <w:t>1) за кредитами під інвестиційний про</w:t>
      </w:r>
      <w:r w:rsidR="00D218A9">
        <w:rPr>
          <w:rFonts w:ascii="Times New Roman" w:hAnsi="Times New Roman"/>
          <w:sz w:val="28"/>
          <w:szCs w:val="28"/>
        </w:rPr>
        <w:t>є</w:t>
      </w:r>
      <w:r w:rsidRPr="007931A2">
        <w:rPr>
          <w:rFonts w:ascii="Times New Roman" w:hAnsi="Times New Roman"/>
          <w:sz w:val="28"/>
          <w:szCs w:val="28"/>
        </w:rPr>
        <w:t xml:space="preserve">кт, наданими до дня набрання чинності </w:t>
      </w:r>
      <w:r w:rsidR="00D218A9" w:rsidRPr="007931A2">
        <w:rPr>
          <w:rFonts w:ascii="Times New Roman" w:hAnsi="Times New Roman"/>
          <w:sz w:val="28"/>
          <w:szCs w:val="28"/>
        </w:rPr>
        <w:t>ціє</w:t>
      </w:r>
      <w:r w:rsidR="00D218A9">
        <w:rPr>
          <w:rFonts w:ascii="Times New Roman" w:hAnsi="Times New Roman"/>
          <w:sz w:val="28"/>
          <w:szCs w:val="28"/>
        </w:rPr>
        <w:t>ю</w:t>
      </w:r>
      <w:r w:rsidR="00D218A9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постанов</w:t>
      </w:r>
      <w:r w:rsidR="00D218A9">
        <w:rPr>
          <w:rFonts w:ascii="Times New Roman" w:hAnsi="Times New Roman"/>
          <w:sz w:val="28"/>
          <w:szCs w:val="28"/>
        </w:rPr>
        <w:t>ою</w:t>
      </w:r>
      <w:r w:rsidRPr="007931A2">
        <w:rPr>
          <w:rFonts w:ascii="Times New Roman" w:hAnsi="Times New Roman"/>
          <w:sz w:val="28"/>
          <w:szCs w:val="28"/>
        </w:rPr>
        <w:t xml:space="preserve">, застосовувати під час визначення значення коефіцієнта ймовірності дефолту боржника </w:t>
      </w:r>
      <w:r w:rsidR="00095409" w:rsidRPr="0049111E">
        <w:rPr>
          <w:rFonts w:ascii="Times New Roman" w:hAnsi="Times New Roman"/>
          <w:sz w:val="28"/>
          <w:szCs w:val="28"/>
          <w:lang w:val="ru-RU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 юридичної особи порядок,  передбачений у розділі IV</w:t>
      </w:r>
      <w:r w:rsidRPr="007931A2">
        <w:rPr>
          <w:rFonts w:ascii="Times New Roman" w:hAnsi="Times New Roman"/>
          <w:sz w:val="28"/>
          <w:szCs w:val="28"/>
          <w:vertAlign w:val="superscript"/>
        </w:rPr>
        <w:t>1</w:t>
      </w:r>
      <w:r w:rsidRPr="007931A2">
        <w:rPr>
          <w:rFonts w:ascii="Times New Roman" w:hAnsi="Times New Roman"/>
          <w:sz w:val="28"/>
          <w:szCs w:val="28"/>
        </w:rPr>
        <w:t xml:space="preserve"> Положення про визначення розміру кредитного ризику </w:t>
      </w:r>
      <w:r w:rsidR="00E14E29">
        <w:rPr>
          <w:rFonts w:ascii="Times New Roman" w:hAnsi="Times New Roman"/>
          <w:sz w:val="28"/>
          <w:szCs w:val="28"/>
        </w:rPr>
        <w:t>в</w:t>
      </w:r>
      <w:r w:rsidR="00E14E29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редакції, що діяла до дня набрання чинності ціє</w:t>
      </w:r>
      <w:r w:rsidR="00D218A9">
        <w:rPr>
          <w:rFonts w:ascii="Times New Roman" w:hAnsi="Times New Roman"/>
          <w:sz w:val="28"/>
          <w:szCs w:val="28"/>
        </w:rPr>
        <w:t>ю</w:t>
      </w:r>
      <w:r w:rsidRPr="007931A2">
        <w:rPr>
          <w:rFonts w:ascii="Times New Roman" w:hAnsi="Times New Roman"/>
          <w:sz w:val="28"/>
          <w:szCs w:val="28"/>
        </w:rPr>
        <w:t xml:space="preserve"> постанов</w:t>
      </w:r>
      <w:r w:rsidR="00D218A9">
        <w:rPr>
          <w:rFonts w:ascii="Times New Roman" w:hAnsi="Times New Roman"/>
          <w:sz w:val="28"/>
          <w:szCs w:val="28"/>
        </w:rPr>
        <w:t>ою,</w:t>
      </w:r>
      <w:r w:rsidRPr="007931A2">
        <w:rPr>
          <w:rFonts w:ascii="Times New Roman" w:hAnsi="Times New Roman"/>
          <w:sz w:val="28"/>
          <w:szCs w:val="28"/>
        </w:rPr>
        <w:t xml:space="preserve"> або порядок, передбачений </w:t>
      </w:r>
      <w:r w:rsidR="00095409">
        <w:rPr>
          <w:rFonts w:ascii="Times New Roman" w:hAnsi="Times New Roman"/>
          <w:sz w:val="28"/>
          <w:szCs w:val="28"/>
        </w:rPr>
        <w:t xml:space="preserve">у </w:t>
      </w:r>
      <w:r w:rsidRPr="007931A2">
        <w:rPr>
          <w:rFonts w:ascii="Times New Roman" w:hAnsi="Times New Roman"/>
          <w:sz w:val="28"/>
          <w:szCs w:val="28"/>
        </w:rPr>
        <w:t>розділ</w:t>
      </w:r>
      <w:r w:rsidR="00095409">
        <w:rPr>
          <w:rFonts w:ascii="Times New Roman" w:hAnsi="Times New Roman"/>
          <w:sz w:val="28"/>
          <w:szCs w:val="28"/>
        </w:rPr>
        <w:t>і</w:t>
      </w:r>
      <w:r w:rsidRPr="007931A2">
        <w:rPr>
          <w:rFonts w:ascii="Times New Roman" w:hAnsi="Times New Roman"/>
          <w:sz w:val="28"/>
          <w:szCs w:val="28"/>
        </w:rPr>
        <w:t xml:space="preserve"> IV Положення</w:t>
      </w:r>
      <w:r w:rsidR="00E14E29">
        <w:rPr>
          <w:rFonts w:ascii="Times New Roman" w:hAnsi="Times New Roman"/>
          <w:sz w:val="28"/>
          <w:szCs w:val="28"/>
        </w:rPr>
        <w:t xml:space="preserve"> </w:t>
      </w:r>
      <w:r w:rsidR="00E14E29" w:rsidRPr="007931A2">
        <w:rPr>
          <w:rFonts w:ascii="Times New Roman" w:hAnsi="Times New Roman"/>
          <w:sz w:val="28"/>
          <w:szCs w:val="28"/>
        </w:rPr>
        <w:t>про визначення розміру кредитного ризику</w:t>
      </w:r>
      <w:r w:rsidRPr="007931A2">
        <w:rPr>
          <w:rFonts w:ascii="Times New Roman" w:hAnsi="Times New Roman"/>
          <w:sz w:val="28"/>
          <w:szCs w:val="28"/>
        </w:rPr>
        <w:t xml:space="preserve">; </w:t>
      </w:r>
    </w:p>
    <w:p w14:paraId="2209D619" w14:textId="0800D6EE" w:rsidR="007604C5" w:rsidRPr="0049111E" w:rsidRDefault="004D08FF" w:rsidP="00C4239D">
      <w:pPr>
        <w:spacing w:before="24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31A2">
        <w:rPr>
          <w:rFonts w:ascii="Times New Roman" w:hAnsi="Times New Roman"/>
          <w:sz w:val="28"/>
          <w:szCs w:val="28"/>
        </w:rPr>
        <w:t>2) не застосовувати норму підпункту 15</w:t>
      </w:r>
      <w:r w:rsidRPr="007931A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7931A2">
        <w:rPr>
          <w:rFonts w:ascii="Times New Roman" w:hAnsi="Times New Roman"/>
          <w:sz w:val="28"/>
          <w:szCs w:val="28"/>
        </w:rPr>
        <w:t xml:space="preserve">пункту 5 розділу І </w:t>
      </w:r>
      <w:r w:rsidR="009F789E" w:rsidRPr="007931A2">
        <w:rPr>
          <w:rFonts w:ascii="Times New Roman" w:hAnsi="Times New Roman"/>
          <w:sz w:val="28"/>
          <w:szCs w:val="28"/>
        </w:rPr>
        <w:t xml:space="preserve">Положення про визначення розміру кредитного ризику </w:t>
      </w:r>
      <w:r w:rsidRPr="007931A2">
        <w:rPr>
          <w:rFonts w:ascii="Times New Roman" w:hAnsi="Times New Roman"/>
          <w:sz w:val="28"/>
          <w:szCs w:val="28"/>
        </w:rPr>
        <w:t>в частині неперевищ</w:t>
      </w:r>
      <w:r w:rsidR="003D1F12" w:rsidRPr="007931A2">
        <w:rPr>
          <w:rFonts w:ascii="Times New Roman" w:hAnsi="Times New Roman"/>
          <w:sz w:val="28"/>
          <w:szCs w:val="28"/>
        </w:rPr>
        <w:t>ення</w:t>
      </w:r>
      <w:r w:rsidRPr="007931A2">
        <w:rPr>
          <w:rFonts w:ascii="Times New Roman" w:hAnsi="Times New Roman"/>
          <w:sz w:val="28"/>
          <w:szCs w:val="28"/>
        </w:rPr>
        <w:t xml:space="preserve"> сум</w:t>
      </w:r>
      <w:r w:rsidR="003D1F12" w:rsidRPr="007931A2">
        <w:rPr>
          <w:rFonts w:ascii="Times New Roman" w:hAnsi="Times New Roman"/>
          <w:sz w:val="28"/>
          <w:szCs w:val="28"/>
        </w:rPr>
        <w:t>и</w:t>
      </w:r>
      <w:r w:rsidRPr="007931A2">
        <w:rPr>
          <w:rFonts w:ascii="Times New Roman" w:hAnsi="Times New Roman"/>
          <w:sz w:val="28"/>
          <w:szCs w:val="28"/>
        </w:rPr>
        <w:t xml:space="preserve"> коштів, </w:t>
      </w:r>
      <w:r w:rsidR="00D218A9">
        <w:rPr>
          <w:rFonts w:ascii="Times New Roman" w:hAnsi="Times New Roman"/>
          <w:sz w:val="28"/>
          <w:szCs w:val="28"/>
        </w:rPr>
        <w:t>у</w:t>
      </w:r>
      <w:r w:rsidR="00D218A9" w:rsidRPr="007931A2">
        <w:rPr>
          <w:rFonts w:ascii="Times New Roman" w:hAnsi="Times New Roman"/>
          <w:sz w:val="28"/>
          <w:szCs w:val="28"/>
        </w:rPr>
        <w:t xml:space="preserve">несених </w:t>
      </w:r>
      <w:r w:rsidRPr="007931A2">
        <w:rPr>
          <w:rFonts w:ascii="Times New Roman" w:hAnsi="Times New Roman"/>
          <w:sz w:val="28"/>
          <w:szCs w:val="28"/>
        </w:rPr>
        <w:t xml:space="preserve">ініціатором проєкту, </w:t>
      </w:r>
      <w:r w:rsidR="003D1F12" w:rsidRPr="007931A2">
        <w:rPr>
          <w:rFonts w:ascii="Times New Roman" w:hAnsi="Times New Roman"/>
          <w:sz w:val="28"/>
          <w:szCs w:val="28"/>
        </w:rPr>
        <w:t xml:space="preserve">за угодами, </w:t>
      </w:r>
      <w:r w:rsidRPr="007931A2">
        <w:rPr>
          <w:rFonts w:ascii="Times New Roman" w:hAnsi="Times New Roman"/>
          <w:sz w:val="28"/>
          <w:szCs w:val="28"/>
        </w:rPr>
        <w:t>умовами яких передбачено повернення цих внесків після повного погашення боржником</w:t>
      </w:r>
      <w:r w:rsidR="00D218A9">
        <w:rPr>
          <w:rFonts w:ascii="Times New Roman" w:hAnsi="Times New Roman"/>
          <w:sz w:val="28"/>
          <w:szCs w:val="28"/>
        </w:rPr>
        <w:t xml:space="preserve"> – </w:t>
      </w:r>
      <w:r w:rsidRPr="007931A2">
        <w:rPr>
          <w:rFonts w:ascii="Times New Roman" w:hAnsi="Times New Roman"/>
          <w:sz w:val="28"/>
          <w:szCs w:val="28"/>
        </w:rPr>
        <w:t>юридичною особою зобов’язань за спеціалізованим кредитом</w:t>
      </w:r>
      <w:r w:rsidR="003D1F12" w:rsidRPr="007931A2">
        <w:rPr>
          <w:rFonts w:ascii="Times New Roman" w:hAnsi="Times New Roman"/>
          <w:sz w:val="28"/>
          <w:szCs w:val="28"/>
        </w:rPr>
        <w:t xml:space="preserve">, над сумою внесків, </w:t>
      </w:r>
      <w:r w:rsidR="00D218A9">
        <w:rPr>
          <w:rFonts w:ascii="Times New Roman" w:hAnsi="Times New Roman"/>
          <w:sz w:val="28"/>
          <w:szCs w:val="28"/>
        </w:rPr>
        <w:t>у</w:t>
      </w:r>
      <w:r w:rsidR="00D218A9" w:rsidRPr="007931A2">
        <w:rPr>
          <w:rFonts w:ascii="Times New Roman" w:hAnsi="Times New Roman"/>
          <w:sz w:val="28"/>
          <w:szCs w:val="28"/>
        </w:rPr>
        <w:t xml:space="preserve">несених </w:t>
      </w:r>
      <w:r w:rsidR="003D1F12" w:rsidRPr="007931A2">
        <w:rPr>
          <w:rFonts w:ascii="Times New Roman" w:hAnsi="Times New Roman"/>
          <w:sz w:val="28"/>
          <w:szCs w:val="28"/>
        </w:rPr>
        <w:t>на безповоротній основі</w:t>
      </w:r>
      <w:r w:rsidR="00D846AE" w:rsidRPr="007931A2">
        <w:rPr>
          <w:rFonts w:ascii="Times New Roman" w:hAnsi="Times New Roman"/>
          <w:color w:val="000000"/>
          <w:sz w:val="28"/>
          <w:szCs w:val="28"/>
        </w:rPr>
        <w:t>.</w:t>
      </w:r>
      <w:r w:rsidR="007604C5" w:rsidRPr="007931A2">
        <w:rPr>
          <w:rFonts w:ascii="Times New Roman" w:hAnsi="Times New Roman"/>
          <w:color w:val="000000"/>
          <w:sz w:val="28"/>
          <w:szCs w:val="28"/>
        </w:rPr>
        <w:t>”.</w:t>
      </w:r>
      <w:r w:rsidR="00C4239D" w:rsidRPr="004911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7F6A75CB" w14:textId="2732DF16" w:rsidR="001C23B3" w:rsidRPr="007931A2" w:rsidRDefault="00C74184" w:rsidP="00C4239D">
      <w:pPr>
        <w:spacing w:before="240" w:after="12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</w:pPr>
      <w:r w:rsidRPr="007931A2">
        <w:rPr>
          <w:rFonts w:ascii="Times New Roman" w:eastAsiaTheme="minorHAnsi" w:hAnsi="Times New Roman"/>
          <w:sz w:val="28"/>
          <w:szCs w:val="28"/>
        </w:rPr>
        <w:t xml:space="preserve">2. </w:t>
      </w:r>
      <w:r w:rsidR="001C23B3" w:rsidRPr="007931A2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Затвердити Зміни до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 червня 2016 року № 351 (зі змінами), що додаються.</w:t>
      </w:r>
    </w:p>
    <w:p w14:paraId="7F3F8E5D" w14:textId="67F515F7" w:rsidR="009D45C9" w:rsidRPr="007931A2" w:rsidRDefault="00235B27" w:rsidP="00C4239D">
      <w:pPr>
        <w:spacing w:before="24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931A2">
        <w:rPr>
          <w:rFonts w:ascii="Times New Roman" w:eastAsiaTheme="minorHAnsi" w:hAnsi="Times New Roman" w:cstheme="minorBidi"/>
          <w:sz w:val="28"/>
          <w:szCs w:val="28"/>
        </w:rPr>
        <w:t xml:space="preserve">3. </w:t>
      </w:r>
      <w:r w:rsidR="009D45C9" w:rsidRPr="007931A2">
        <w:rPr>
          <w:rFonts w:ascii="Times New Roman" w:eastAsiaTheme="minorHAnsi" w:hAnsi="Times New Roman" w:cstheme="minorBidi"/>
          <w:sz w:val="28"/>
          <w:szCs w:val="28"/>
        </w:rPr>
        <w:t>Департаменту методології</w:t>
      </w:r>
      <w:r w:rsidR="00D211CC" w:rsidRPr="007931A2">
        <w:rPr>
          <w:rFonts w:ascii="Times New Roman" w:eastAsiaTheme="minorHAnsi" w:hAnsi="Times New Roman" w:cstheme="minorBidi"/>
          <w:sz w:val="28"/>
          <w:szCs w:val="28"/>
        </w:rPr>
        <w:t xml:space="preserve"> регулювання діяльності банків</w:t>
      </w:r>
      <w:r w:rsidR="009D45C9" w:rsidRPr="007931A2">
        <w:rPr>
          <w:rFonts w:ascii="Times New Roman" w:eastAsiaTheme="minorHAnsi" w:hAnsi="Times New Roman" w:cstheme="minorBidi"/>
          <w:sz w:val="28"/>
          <w:szCs w:val="28"/>
        </w:rPr>
        <w:t xml:space="preserve"> (Наталія І</w:t>
      </w:r>
      <w:r w:rsidR="00350AD3" w:rsidRPr="007931A2">
        <w:rPr>
          <w:rFonts w:ascii="Times New Roman" w:eastAsiaTheme="minorHAnsi" w:hAnsi="Times New Roman" w:cstheme="minorBidi"/>
          <w:sz w:val="28"/>
          <w:szCs w:val="28"/>
        </w:rPr>
        <w:t>ваненко</w:t>
      </w:r>
      <w:r w:rsidR="009D45C9" w:rsidRPr="007931A2">
        <w:rPr>
          <w:rFonts w:ascii="Times New Roman" w:eastAsiaTheme="minorHAnsi" w:hAnsi="Times New Roman" w:cstheme="minorBidi"/>
          <w:sz w:val="28"/>
          <w:szCs w:val="28"/>
        </w:rPr>
        <w:t>) після офіційного опублікування довести до відома банків України інформацію про прийняття цієї постанови.</w:t>
      </w:r>
    </w:p>
    <w:p w14:paraId="7259B8FB" w14:textId="4D0AA93A" w:rsidR="007604C5" w:rsidRPr="007931A2" w:rsidRDefault="007604C5" w:rsidP="00C4239D">
      <w:pPr>
        <w:spacing w:before="240" w:after="120" w:line="240" w:lineRule="auto"/>
        <w:ind w:firstLine="709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 w:rsidRPr="007931A2">
        <w:rPr>
          <w:rFonts w:ascii="Times New Roman" w:eastAsiaTheme="minorHAnsi" w:hAnsi="Times New Roman" w:cstheme="minorBidi"/>
          <w:sz w:val="28"/>
          <w:szCs w:val="28"/>
        </w:rPr>
        <w:t>4. Постанова набирає чинності з дня, наступного за днем її офіційного опублікування.</w:t>
      </w:r>
    </w:p>
    <w:p w14:paraId="07B3C7EF" w14:textId="520C6F25" w:rsidR="004C608D" w:rsidRPr="007931A2" w:rsidRDefault="004C608D" w:rsidP="00C4239D">
      <w:pPr>
        <w:tabs>
          <w:tab w:val="left" w:pos="7020"/>
        </w:tabs>
        <w:spacing w:before="24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4210CB8A" w14:textId="0567712E" w:rsidR="00924CD6" w:rsidRDefault="00924CD6" w:rsidP="00C4239D">
      <w:pPr>
        <w:tabs>
          <w:tab w:val="left" w:pos="7020"/>
        </w:tabs>
        <w:spacing w:before="24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6C6D9693" w14:textId="18347BE5" w:rsidR="00D218A9" w:rsidRDefault="00D218A9" w:rsidP="00C4239D">
      <w:pPr>
        <w:tabs>
          <w:tab w:val="left" w:pos="7020"/>
        </w:tabs>
        <w:spacing w:before="24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3081AEA6" w14:textId="77777777" w:rsidR="00D218A9" w:rsidRPr="007931A2" w:rsidRDefault="00D218A9" w:rsidP="00C4239D">
      <w:pPr>
        <w:tabs>
          <w:tab w:val="left" w:pos="7020"/>
        </w:tabs>
        <w:spacing w:before="24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738A76C1" w14:textId="78FE917E" w:rsidR="009D45C9" w:rsidRPr="007931A2" w:rsidRDefault="00985CDA" w:rsidP="008245EB">
      <w:pPr>
        <w:tabs>
          <w:tab w:val="left" w:pos="702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931A2">
        <w:rPr>
          <w:rFonts w:ascii="Times New Roman" w:eastAsiaTheme="minorHAnsi" w:hAnsi="Times New Roman" w:cstheme="minorBidi"/>
          <w:sz w:val="28"/>
          <w:szCs w:val="28"/>
        </w:rPr>
        <w:t xml:space="preserve">Голова                                                         </w:t>
      </w:r>
      <w:r w:rsidR="004C608D" w:rsidRPr="007931A2">
        <w:rPr>
          <w:rFonts w:ascii="Times New Roman" w:eastAsiaTheme="minorHAnsi" w:hAnsi="Times New Roman" w:cstheme="minorBidi"/>
          <w:sz w:val="28"/>
          <w:szCs w:val="28"/>
        </w:rPr>
        <w:t xml:space="preserve">                       </w:t>
      </w:r>
      <w:r w:rsidR="00880404" w:rsidRPr="007931A2">
        <w:rPr>
          <w:rFonts w:ascii="Times New Roman" w:eastAsiaTheme="minorHAnsi" w:hAnsi="Times New Roman" w:cstheme="minorBidi"/>
          <w:sz w:val="28"/>
          <w:szCs w:val="28"/>
        </w:rPr>
        <w:t>Кирило</w:t>
      </w:r>
      <w:r w:rsidRPr="007931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80404" w:rsidRPr="007931A2">
        <w:rPr>
          <w:rFonts w:ascii="Times New Roman" w:eastAsiaTheme="minorHAnsi" w:hAnsi="Times New Roman" w:cstheme="minorBidi"/>
          <w:sz w:val="28"/>
          <w:szCs w:val="28"/>
        </w:rPr>
        <w:t>ШЕВЧЕНКО</w:t>
      </w:r>
      <w:r w:rsidRPr="007931A2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</w:p>
    <w:p w14:paraId="2828A999" w14:textId="68860990" w:rsidR="008245EB" w:rsidRPr="007931A2" w:rsidRDefault="008245EB" w:rsidP="008245EB">
      <w:pPr>
        <w:tabs>
          <w:tab w:val="left" w:pos="993"/>
        </w:tabs>
        <w:spacing w:after="0" w:line="240" w:lineRule="auto"/>
        <w:ind w:right="7936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7929CBCD" w14:textId="77777777" w:rsidR="00AE4311" w:rsidRPr="007931A2" w:rsidRDefault="00AE4311" w:rsidP="008245EB">
      <w:pPr>
        <w:tabs>
          <w:tab w:val="left" w:pos="993"/>
        </w:tabs>
        <w:spacing w:after="0" w:line="240" w:lineRule="auto"/>
        <w:ind w:right="7936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048FF616" w14:textId="77777777" w:rsidR="00D218A9" w:rsidRDefault="009D45C9" w:rsidP="008245EB">
      <w:pPr>
        <w:tabs>
          <w:tab w:val="left" w:pos="993"/>
        </w:tabs>
        <w:spacing w:after="0" w:line="240" w:lineRule="auto"/>
        <w:ind w:right="7936"/>
        <w:jc w:val="both"/>
        <w:rPr>
          <w:rFonts w:ascii="Times New Roman" w:eastAsiaTheme="minorHAnsi" w:hAnsi="Times New Roman" w:cstheme="minorBidi"/>
          <w:sz w:val="28"/>
          <w:szCs w:val="28"/>
        </w:rPr>
        <w:sectPr w:rsidR="00D218A9" w:rsidSect="001E48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1701" w:left="1701" w:header="709" w:footer="709" w:gutter="0"/>
          <w:cols w:space="708"/>
          <w:titlePg/>
          <w:docGrid w:linePitch="360"/>
        </w:sectPr>
      </w:pPr>
      <w:r w:rsidRPr="007931A2">
        <w:rPr>
          <w:rFonts w:ascii="Times New Roman" w:eastAsiaTheme="minorHAnsi" w:hAnsi="Times New Roman" w:cstheme="minorBidi"/>
          <w:sz w:val="28"/>
          <w:szCs w:val="28"/>
        </w:rPr>
        <w:t>Інд.</w:t>
      </w:r>
      <w:r w:rsidRPr="007931A2">
        <w:rPr>
          <w:rFonts w:ascii="Times New Roman" w:eastAsiaTheme="minorHAnsi" w:hAnsi="Times New Roman" w:cstheme="minorBidi"/>
          <w:sz w:val="28"/>
          <w:szCs w:val="28"/>
          <w:lang w:val="en-US"/>
        </w:rPr>
        <w:t> </w:t>
      </w:r>
      <w:r w:rsidRPr="007931A2">
        <w:rPr>
          <w:rFonts w:ascii="Times New Roman" w:eastAsiaTheme="minorHAnsi" w:hAnsi="Times New Roman" w:cstheme="minorBidi"/>
          <w:sz w:val="28"/>
          <w:szCs w:val="28"/>
        </w:rPr>
        <w:t>22</w:t>
      </w:r>
    </w:p>
    <w:p w14:paraId="6EAA467E" w14:textId="37F9C88F" w:rsidR="004C608D" w:rsidRPr="007931A2" w:rsidRDefault="004C608D" w:rsidP="008245EB">
      <w:pPr>
        <w:tabs>
          <w:tab w:val="left" w:pos="993"/>
        </w:tabs>
        <w:spacing w:after="0" w:line="240" w:lineRule="auto"/>
        <w:ind w:right="7936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56BAFBB8" w14:textId="77777777" w:rsidR="001C23B3" w:rsidRPr="007931A2" w:rsidRDefault="001C23B3" w:rsidP="001C23B3">
      <w:pPr>
        <w:spacing w:line="276" w:lineRule="auto"/>
      </w:pPr>
    </w:p>
    <w:tbl>
      <w:tblPr>
        <w:tblpPr w:leftFromText="45" w:rightFromText="45" w:vertAnchor="text" w:horzAnchor="margin" w:tblpXSpec="right" w:tblpY="-411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1C23B3" w:rsidRPr="007931A2" w14:paraId="2E05B6B8" w14:textId="77777777" w:rsidTr="001516CB">
        <w:trPr>
          <w:tblCellSpacing w:w="22" w:type="dxa"/>
        </w:trPr>
        <w:tc>
          <w:tcPr>
            <w:tcW w:w="4899" w:type="pct"/>
            <w:hideMark/>
          </w:tcPr>
          <w:p w14:paraId="5E5798FC" w14:textId="77777777" w:rsidR="001C23B3" w:rsidRPr="007931A2" w:rsidRDefault="001C23B3" w:rsidP="001516CB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7931A2">
              <w:rPr>
                <w:sz w:val="28"/>
                <w:szCs w:val="28"/>
              </w:rPr>
              <w:t>ЗАТВЕРДЖЕНО</w:t>
            </w:r>
          </w:p>
          <w:p w14:paraId="6194DEE6" w14:textId="77777777" w:rsidR="001C23B3" w:rsidRPr="007931A2" w:rsidRDefault="001C23B3" w:rsidP="001516CB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7931A2">
              <w:rPr>
                <w:sz w:val="28"/>
                <w:szCs w:val="28"/>
              </w:rPr>
              <w:t>Постанова Правління Національного банку України</w:t>
            </w:r>
          </w:p>
          <w:p w14:paraId="27381837" w14:textId="2364E13D" w:rsidR="001C23B3" w:rsidRPr="007931A2" w:rsidRDefault="00B51E09" w:rsidP="00B51E09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C23B3" w:rsidRPr="00B51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червня</w:t>
            </w:r>
            <w:r w:rsidR="001C23B3" w:rsidRPr="00B51E0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1C23B3" w:rsidRPr="00B51E09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</w:rPr>
              <w:t>58</w:t>
            </w:r>
          </w:p>
        </w:tc>
      </w:tr>
    </w:tbl>
    <w:p w14:paraId="2C3F8849" w14:textId="77777777" w:rsidR="001C23B3" w:rsidRPr="007931A2" w:rsidRDefault="001C23B3" w:rsidP="001C23B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C5C3163" w14:textId="77777777" w:rsidR="001C23B3" w:rsidRPr="007931A2" w:rsidRDefault="001C23B3" w:rsidP="001C23B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076A287" w14:textId="77777777" w:rsidR="001C23B3" w:rsidRPr="007931A2" w:rsidRDefault="001C23B3" w:rsidP="001C23B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24604C4" w14:textId="77777777" w:rsidR="001C23B3" w:rsidRPr="007931A2" w:rsidRDefault="001C23B3" w:rsidP="001C23B3">
      <w:pPr>
        <w:pStyle w:val="Default"/>
        <w:jc w:val="center"/>
        <w:rPr>
          <w:sz w:val="28"/>
          <w:szCs w:val="28"/>
        </w:rPr>
      </w:pPr>
      <w:r w:rsidRPr="007931A2">
        <w:rPr>
          <w:sz w:val="28"/>
          <w:szCs w:val="28"/>
        </w:rPr>
        <w:t>Зміни до Положення про визначення банками України розміру</w:t>
      </w:r>
    </w:p>
    <w:p w14:paraId="23318016" w14:textId="12A4CCF7" w:rsidR="001C23B3" w:rsidRDefault="001C23B3" w:rsidP="001C23B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кредитного ризику за активними банківськими операціями</w:t>
      </w:r>
    </w:p>
    <w:p w14:paraId="5757D2D5" w14:textId="77777777" w:rsidR="009534D3" w:rsidRPr="007931A2" w:rsidRDefault="009534D3" w:rsidP="009534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C2B2682" w14:textId="38A392C7" w:rsidR="001C23B3" w:rsidRPr="007931A2" w:rsidRDefault="001C23B3" w:rsidP="009534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lang w:eastAsia="uk-UA"/>
        </w:rPr>
        <w:t>У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 розділ</w:t>
      </w:r>
      <w:r w:rsidR="00F72BE1" w:rsidRPr="007931A2">
        <w:rPr>
          <w:rFonts w:ascii="Times New Roman" w:eastAsiaTheme="minorHAnsi" w:hAnsi="Times New Roman"/>
          <w:sz w:val="28"/>
          <w:szCs w:val="28"/>
        </w:rPr>
        <w:t>і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31A2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7931A2">
        <w:rPr>
          <w:rFonts w:ascii="Times New Roman" w:eastAsiaTheme="minorHAnsi" w:hAnsi="Times New Roman"/>
          <w:sz w:val="28"/>
          <w:szCs w:val="28"/>
        </w:rPr>
        <w:t>:</w:t>
      </w:r>
    </w:p>
    <w:p w14:paraId="70BCC681" w14:textId="77777777" w:rsidR="006C256B" w:rsidRPr="007931A2" w:rsidRDefault="006C256B" w:rsidP="009534D3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2F6FF0D" w14:textId="0CB8E2FB" w:rsidR="00F72BE1" w:rsidRPr="007931A2" w:rsidRDefault="00F72BE1" w:rsidP="009534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31A2">
        <w:rPr>
          <w:rFonts w:ascii="Times New Roman" w:eastAsiaTheme="minorHAnsi" w:hAnsi="Times New Roman"/>
          <w:sz w:val="28"/>
          <w:szCs w:val="28"/>
        </w:rPr>
        <w:t>у пункті 5:</w:t>
      </w:r>
    </w:p>
    <w:p w14:paraId="40A792DC" w14:textId="7982C5D1" w:rsidR="001C23B3" w:rsidRPr="007931A2" w:rsidRDefault="001C23B3" w:rsidP="009534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пункт після </w:t>
      </w:r>
      <w:r w:rsidR="009F78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підпункту 10 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доповнити </w:t>
      </w:r>
      <w:r w:rsidR="009F789E">
        <w:rPr>
          <w:rFonts w:ascii="Times New Roman" w:eastAsiaTheme="minorHAnsi" w:hAnsi="Times New Roman"/>
          <w:sz w:val="28"/>
          <w:szCs w:val="28"/>
        </w:rPr>
        <w:t xml:space="preserve">новим підпунктом </w:t>
      </w:r>
      <w:r w:rsidR="009F789E" w:rsidRPr="009F789E">
        <w:rPr>
          <w:rFonts w:ascii="Times New Roman" w:eastAsiaTheme="minorHAnsi" w:hAnsi="Times New Roman"/>
          <w:sz w:val="28"/>
          <w:szCs w:val="28"/>
        </w:rPr>
        <w:t>10</w:t>
      </w:r>
      <w:r w:rsidR="009F789E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9F789E" w:rsidRPr="009534D3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31A2">
        <w:rPr>
          <w:rFonts w:ascii="Times New Roman" w:eastAsiaTheme="minorHAnsi" w:hAnsi="Times New Roman"/>
          <w:sz w:val="28"/>
          <w:szCs w:val="28"/>
        </w:rPr>
        <w:t>такого змісту:</w:t>
      </w:r>
    </w:p>
    <w:p w14:paraId="30E1C538" w14:textId="57AFB3C1" w:rsidR="001C23B3" w:rsidRPr="007931A2" w:rsidRDefault="001C23B3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eastAsiaTheme="minorEastAsia" w:hAnsi="Times New Roman"/>
          <w:sz w:val="28"/>
          <w:szCs w:val="28"/>
        </w:rPr>
        <w:t>“10</w:t>
      </w:r>
      <w:r w:rsidRPr="007931A2">
        <w:rPr>
          <w:rFonts w:ascii="Times New Roman" w:eastAsiaTheme="minorEastAsia" w:hAnsi="Times New Roman"/>
          <w:sz w:val="28"/>
          <w:szCs w:val="28"/>
          <w:vertAlign w:val="superscript"/>
        </w:rPr>
        <w:t>1</w:t>
      </w:r>
      <w:r w:rsidRPr="007931A2">
        <w:rPr>
          <w:rFonts w:ascii="Times New Roman" w:hAnsi="Times New Roman"/>
          <w:sz w:val="28"/>
          <w:szCs w:val="28"/>
        </w:rPr>
        <w:t>)</w:t>
      </w:r>
      <w:r w:rsidRPr="009534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експлуатаційний етап проєкту – етап реалізації проєкту за спеціалізованим кредитом, </w:t>
      </w:r>
      <w:r w:rsidRPr="007931A2">
        <w:rPr>
          <w:rFonts w:ascii="Times New Roman" w:hAnsi="Times New Roman"/>
          <w:sz w:val="28"/>
          <w:szCs w:val="28"/>
        </w:rPr>
        <w:t>який починає діяти після завершення передексплуатаційного етапу проєкту, але  не пізніше  ніж:</w:t>
      </w:r>
    </w:p>
    <w:p w14:paraId="6057CEBB" w14:textId="69A4DDAB" w:rsidR="001C23B3" w:rsidRPr="007931A2" w:rsidRDefault="001C23B3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 xml:space="preserve">за проєктним фінансуванням </w:t>
      </w:r>
      <w:r w:rsidR="00D218A9">
        <w:rPr>
          <w:rFonts w:ascii="Times New Roman" w:hAnsi="Times New Roman"/>
          <w:sz w:val="28"/>
          <w:szCs w:val="28"/>
        </w:rPr>
        <w:t>–</w:t>
      </w:r>
      <w:r w:rsidR="00D218A9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 xml:space="preserve">у термін, що настав раніше з двох: 365 календарний день </w:t>
      </w:r>
      <w:r w:rsidR="00D218A9">
        <w:rPr>
          <w:rFonts w:ascii="Times New Roman" w:hAnsi="Times New Roman"/>
          <w:sz w:val="28"/>
          <w:szCs w:val="28"/>
        </w:rPr>
        <w:t>і</w:t>
      </w:r>
      <w:r w:rsidRPr="007931A2">
        <w:rPr>
          <w:rFonts w:ascii="Times New Roman" w:hAnsi="Times New Roman"/>
          <w:sz w:val="28"/>
          <w:szCs w:val="28"/>
        </w:rPr>
        <w:t>з дати запланованого завершення будівництва відповідно до початкового плану-</w:t>
      </w:r>
      <w:r w:rsidR="00D218A9" w:rsidRPr="007931A2">
        <w:rPr>
          <w:rFonts w:ascii="Times New Roman" w:hAnsi="Times New Roman"/>
          <w:sz w:val="28"/>
          <w:szCs w:val="28"/>
        </w:rPr>
        <w:t>графік</w:t>
      </w:r>
      <w:r w:rsidR="00D218A9">
        <w:rPr>
          <w:rFonts w:ascii="Times New Roman" w:hAnsi="Times New Roman"/>
          <w:sz w:val="28"/>
          <w:szCs w:val="28"/>
        </w:rPr>
        <w:t>а</w:t>
      </w:r>
      <w:r w:rsidR="00D218A9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реалізації проєкту, на підставі якого банком прийнято рішення щодо надання спеціалізованого кредиту</w:t>
      </w:r>
      <w:r w:rsidR="00A56844">
        <w:rPr>
          <w:rFonts w:ascii="Times New Roman" w:hAnsi="Times New Roman"/>
          <w:sz w:val="28"/>
          <w:szCs w:val="28"/>
        </w:rPr>
        <w:t>,</w:t>
      </w:r>
      <w:r w:rsidRPr="007931A2">
        <w:rPr>
          <w:rFonts w:ascii="Times New Roman" w:hAnsi="Times New Roman"/>
          <w:sz w:val="28"/>
          <w:szCs w:val="28"/>
        </w:rPr>
        <w:t xml:space="preserve"> або 365 календарний день </w:t>
      </w:r>
      <w:r w:rsidR="00A56844">
        <w:rPr>
          <w:rFonts w:ascii="Times New Roman" w:hAnsi="Times New Roman"/>
          <w:sz w:val="28"/>
          <w:szCs w:val="28"/>
        </w:rPr>
        <w:t>і</w:t>
      </w:r>
      <w:r w:rsidRPr="007931A2">
        <w:rPr>
          <w:rFonts w:ascii="Times New Roman" w:hAnsi="Times New Roman"/>
          <w:sz w:val="28"/>
          <w:szCs w:val="28"/>
        </w:rPr>
        <w:t xml:space="preserve">з дати 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початку генерації грошових потоків від операційної діяльності боржника </w:t>
      </w:r>
      <w:r w:rsidR="00095409">
        <w:rPr>
          <w:rFonts w:ascii="Times New Roman" w:hAnsi="Times New Roman"/>
          <w:sz w:val="28"/>
          <w:szCs w:val="28"/>
          <w:lang w:eastAsia="ru-RU"/>
        </w:rPr>
        <w:t>–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 юридичної особи </w:t>
      </w:r>
      <w:r w:rsidRPr="007931A2">
        <w:rPr>
          <w:rFonts w:ascii="Times New Roman" w:hAnsi="Times New Roman"/>
          <w:sz w:val="28"/>
          <w:szCs w:val="28"/>
        </w:rPr>
        <w:t>внаслідок реалізації проєкту;</w:t>
      </w:r>
    </w:p>
    <w:p w14:paraId="23A2D086" w14:textId="74D8E653" w:rsidR="001C23B3" w:rsidRPr="007931A2" w:rsidRDefault="001C23B3" w:rsidP="001C2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 xml:space="preserve">за об’єктним фінансуванням </w:t>
      </w:r>
      <w:r w:rsidR="00A56844">
        <w:rPr>
          <w:rFonts w:ascii="Times New Roman" w:hAnsi="Times New Roman"/>
          <w:sz w:val="28"/>
          <w:szCs w:val="28"/>
        </w:rPr>
        <w:t>–</w:t>
      </w:r>
      <w:r w:rsidR="00A56844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 xml:space="preserve">у термін, що настав раніше з двох: 180 календарний день </w:t>
      </w:r>
      <w:r w:rsidR="00A56844">
        <w:rPr>
          <w:rFonts w:ascii="Times New Roman" w:hAnsi="Times New Roman"/>
          <w:sz w:val="28"/>
          <w:szCs w:val="28"/>
        </w:rPr>
        <w:t>і</w:t>
      </w:r>
      <w:r w:rsidRPr="007931A2">
        <w:rPr>
          <w:rFonts w:ascii="Times New Roman" w:hAnsi="Times New Roman"/>
          <w:sz w:val="28"/>
          <w:szCs w:val="28"/>
        </w:rPr>
        <w:t xml:space="preserve">з запланованої дати початку 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генерації грошових потоків від операційної діяльності боржника </w:t>
      </w:r>
      <w:r w:rsidR="00A56844">
        <w:rPr>
          <w:rFonts w:ascii="Times New Roman" w:hAnsi="Times New Roman"/>
          <w:sz w:val="28"/>
          <w:szCs w:val="28"/>
          <w:lang w:eastAsia="ru-RU"/>
        </w:rPr>
        <w:t>–</w:t>
      </w:r>
      <w:r w:rsidR="00A56844" w:rsidRPr="007931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юридичної особи </w:t>
      </w:r>
      <w:r w:rsidRPr="007931A2">
        <w:rPr>
          <w:rFonts w:ascii="Times New Roman" w:hAnsi="Times New Roman"/>
          <w:sz w:val="28"/>
          <w:szCs w:val="28"/>
        </w:rPr>
        <w:t>внаслідок реалізації проєкту відповідно до початкового плану-</w:t>
      </w:r>
      <w:r w:rsidR="00A56844" w:rsidRPr="007931A2">
        <w:rPr>
          <w:rFonts w:ascii="Times New Roman" w:hAnsi="Times New Roman"/>
          <w:sz w:val="28"/>
          <w:szCs w:val="28"/>
        </w:rPr>
        <w:t>графік</w:t>
      </w:r>
      <w:r w:rsidR="00A56844">
        <w:rPr>
          <w:rFonts w:ascii="Times New Roman" w:hAnsi="Times New Roman"/>
          <w:sz w:val="28"/>
          <w:szCs w:val="28"/>
        </w:rPr>
        <w:t>а</w:t>
      </w:r>
      <w:r w:rsidR="00A56844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реалізації проєкту, на підставі якого банком прийнято рішення щодо надання спеціалізованого кредиту</w:t>
      </w:r>
      <w:r w:rsidR="00A56844">
        <w:rPr>
          <w:rFonts w:ascii="Times New Roman" w:hAnsi="Times New Roman"/>
          <w:sz w:val="28"/>
          <w:szCs w:val="28"/>
        </w:rPr>
        <w:t>,</w:t>
      </w:r>
      <w:r w:rsidRPr="007931A2">
        <w:rPr>
          <w:rFonts w:ascii="Times New Roman" w:hAnsi="Times New Roman"/>
          <w:sz w:val="28"/>
          <w:szCs w:val="28"/>
        </w:rPr>
        <w:t xml:space="preserve"> або 90 календарний день </w:t>
      </w:r>
      <w:r w:rsidR="00A56844">
        <w:rPr>
          <w:rFonts w:ascii="Times New Roman" w:hAnsi="Times New Roman"/>
          <w:sz w:val="28"/>
          <w:szCs w:val="28"/>
        </w:rPr>
        <w:t>і</w:t>
      </w:r>
      <w:r w:rsidRPr="007931A2">
        <w:rPr>
          <w:rFonts w:ascii="Times New Roman" w:hAnsi="Times New Roman"/>
          <w:sz w:val="28"/>
          <w:szCs w:val="28"/>
        </w:rPr>
        <w:t>з дати визнання в бухгалтерському обліку боржника – юридичної особи активу об’єктом основного засобу;</w:t>
      </w:r>
    </w:p>
    <w:p w14:paraId="3826706F" w14:textId="0873404B" w:rsidR="001C23B3" w:rsidRPr="007931A2" w:rsidRDefault="001C23B3" w:rsidP="0049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1A2">
        <w:rPr>
          <w:rFonts w:ascii="Times New Roman" w:hAnsi="Times New Roman"/>
          <w:sz w:val="28"/>
          <w:szCs w:val="28"/>
        </w:rPr>
        <w:t>за фінансуванням нерухомого майна, що генерує дохід (крім багатоквартирного житлового будинку)</w:t>
      </w:r>
      <w:r w:rsidR="00404C09">
        <w:rPr>
          <w:rFonts w:ascii="Times New Roman" w:hAnsi="Times New Roman"/>
          <w:sz w:val="28"/>
          <w:szCs w:val="28"/>
        </w:rPr>
        <w:t>,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 w:rsidR="00A56844">
        <w:rPr>
          <w:rFonts w:ascii="Times New Roman" w:hAnsi="Times New Roman"/>
          <w:sz w:val="28"/>
          <w:szCs w:val="28"/>
        </w:rPr>
        <w:t>–</w:t>
      </w:r>
      <w:r w:rsidR="00A56844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 xml:space="preserve">у термін, що настав раніше з двох:  365 календарний день </w:t>
      </w:r>
      <w:r w:rsidR="00A56844">
        <w:rPr>
          <w:rFonts w:ascii="Times New Roman" w:hAnsi="Times New Roman"/>
          <w:sz w:val="28"/>
          <w:szCs w:val="28"/>
        </w:rPr>
        <w:t>і</w:t>
      </w:r>
      <w:r w:rsidRPr="007931A2">
        <w:rPr>
          <w:rFonts w:ascii="Times New Roman" w:hAnsi="Times New Roman"/>
          <w:sz w:val="28"/>
          <w:szCs w:val="28"/>
        </w:rPr>
        <w:t>з дати запланованого завершення будівництва відповідно до початкового плану-</w:t>
      </w:r>
      <w:r w:rsidR="00A56844" w:rsidRPr="007931A2">
        <w:rPr>
          <w:rFonts w:ascii="Times New Roman" w:hAnsi="Times New Roman"/>
          <w:sz w:val="28"/>
          <w:szCs w:val="28"/>
        </w:rPr>
        <w:t>графік</w:t>
      </w:r>
      <w:r w:rsidR="00A56844">
        <w:rPr>
          <w:rFonts w:ascii="Times New Roman" w:hAnsi="Times New Roman"/>
          <w:sz w:val="28"/>
          <w:szCs w:val="28"/>
        </w:rPr>
        <w:t>а</w:t>
      </w:r>
      <w:r w:rsidR="00A56844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 xml:space="preserve">реалізації проєкту, на підставі якого банком прийнято рішення щодо надання спеціалізованого кредиту, або 180 календарний день </w:t>
      </w:r>
      <w:r w:rsidR="00A56844">
        <w:rPr>
          <w:rFonts w:ascii="Times New Roman" w:hAnsi="Times New Roman"/>
          <w:sz w:val="28"/>
          <w:szCs w:val="28"/>
        </w:rPr>
        <w:t>і</w:t>
      </w:r>
      <w:r w:rsidRPr="007931A2">
        <w:rPr>
          <w:rFonts w:ascii="Times New Roman" w:hAnsi="Times New Roman"/>
          <w:sz w:val="28"/>
          <w:szCs w:val="28"/>
        </w:rPr>
        <w:t>з дати визнання в бухгалтерському обліку боржника – юридичної особи активу об’єктом основного засобу/інвестиційною нерухомістю;</w:t>
      </w:r>
      <w:r w:rsidRPr="007931A2">
        <w:rPr>
          <w:rFonts w:ascii="Times New Roman" w:hAnsi="Times New Roman"/>
          <w:sz w:val="28"/>
          <w:szCs w:val="28"/>
          <w:lang w:val="ru-RU" w:eastAsia="ru-RU"/>
        </w:rPr>
        <w:t>    </w:t>
      </w:r>
    </w:p>
    <w:p w14:paraId="77B9E892" w14:textId="2A956F1B" w:rsidR="001C23B3" w:rsidRPr="007931A2" w:rsidRDefault="001C23B3" w:rsidP="00491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31A2">
        <w:rPr>
          <w:rFonts w:ascii="Times New Roman" w:hAnsi="Times New Roman"/>
          <w:sz w:val="28"/>
          <w:szCs w:val="28"/>
        </w:rPr>
        <w:t>за фінансуванням нерухомого майна, що генерує дохід (багатоквартирний житловий будинок)</w:t>
      </w:r>
      <w:r w:rsidR="00A56844">
        <w:rPr>
          <w:rFonts w:ascii="Times New Roman" w:hAnsi="Times New Roman"/>
          <w:sz w:val="28"/>
          <w:szCs w:val="28"/>
        </w:rPr>
        <w:t>,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 w:rsidR="00A56844">
        <w:rPr>
          <w:rFonts w:ascii="Times New Roman" w:hAnsi="Times New Roman"/>
          <w:sz w:val="28"/>
          <w:szCs w:val="28"/>
        </w:rPr>
        <w:t>–</w:t>
      </w:r>
      <w:r w:rsidR="00A56844" w:rsidRPr="007931A2">
        <w:rPr>
          <w:rFonts w:ascii="Times New Roman" w:hAnsi="Times New Roman"/>
          <w:sz w:val="28"/>
          <w:szCs w:val="28"/>
        </w:rPr>
        <w:t xml:space="preserve">  </w:t>
      </w:r>
      <w:r w:rsidRPr="007931A2">
        <w:rPr>
          <w:rFonts w:ascii="Times New Roman" w:hAnsi="Times New Roman"/>
          <w:sz w:val="28"/>
          <w:szCs w:val="28"/>
        </w:rPr>
        <w:t xml:space="preserve">день </w:t>
      </w:r>
      <w:r w:rsidR="00A56844">
        <w:rPr>
          <w:rFonts w:ascii="Times New Roman" w:hAnsi="Times New Roman"/>
          <w:sz w:val="28"/>
          <w:szCs w:val="28"/>
        </w:rPr>
        <w:t>у</w:t>
      </w:r>
      <w:r w:rsidR="00A56844" w:rsidRPr="007931A2">
        <w:rPr>
          <w:rFonts w:ascii="Times New Roman" w:hAnsi="Times New Roman"/>
          <w:sz w:val="28"/>
          <w:szCs w:val="28"/>
        </w:rPr>
        <w:t xml:space="preserve">ведення </w:t>
      </w:r>
      <w:r w:rsidRPr="007931A2">
        <w:rPr>
          <w:rFonts w:ascii="Times New Roman" w:hAnsi="Times New Roman"/>
          <w:sz w:val="28"/>
          <w:szCs w:val="28"/>
        </w:rPr>
        <w:t>об’єкта в експлуатацію;”</w:t>
      </w:r>
      <w:r w:rsidR="009F789E">
        <w:rPr>
          <w:rFonts w:ascii="Times New Roman" w:hAnsi="Times New Roman"/>
          <w:sz w:val="28"/>
          <w:szCs w:val="28"/>
        </w:rPr>
        <w:t>;</w:t>
      </w:r>
    </w:p>
    <w:p w14:paraId="78B5EDDD" w14:textId="0229FC8A" w:rsidR="001C23B3" w:rsidRPr="007931A2" w:rsidRDefault="003E4453" w:rsidP="00F72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</w:t>
      </w:r>
      <w:r w:rsidR="009F789E">
        <w:rPr>
          <w:rFonts w:ascii="Times New Roman" w:hAnsi="Times New Roman"/>
          <w:sz w:val="28"/>
          <w:szCs w:val="28"/>
        </w:rPr>
        <w:t xml:space="preserve">ункт </w:t>
      </w:r>
      <w:r w:rsidR="009F789E" w:rsidRPr="009F789E">
        <w:rPr>
          <w:rFonts w:ascii="Times New Roman" w:hAnsi="Times New Roman"/>
          <w:sz w:val="28"/>
          <w:szCs w:val="28"/>
        </w:rPr>
        <w:t>13</w:t>
      </w:r>
      <w:r w:rsidR="009F789E">
        <w:rPr>
          <w:rFonts w:ascii="Times New Roman" w:hAnsi="Times New Roman"/>
          <w:sz w:val="28"/>
          <w:szCs w:val="28"/>
          <w:vertAlign w:val="superscript"/>
        </w:rPr>
        <w:t>1</w:t>
      </w:r>
      <w:r w:rsidR="009F789E" w:rsidRPr="0049111E">
        <w:rPr>
          <w:rFonts w:ascii="Times New Roman" w:hAnsi="Times New Roman"/>
          <w:sz w:val="28"/>
          <w:szCs w:val="28"/>
        </w:rPr>
        <w:t xml:space="preserve"> </w:t>
      </w:r>
      <w:r w:rsidR="00E14F6E" w:rsidRPr="003E4453">
        <w:rPr>
          <w:rFonts w:ascii="Times New Roman" w:hAnsi="Times New Roman"/>
          <w:sz w:val="28"/>
          <w:szCs w:val="28"/>
        </w:rPr>
        <w:t>замінити</w:t>
      </w:r>
      <w:r w:rsidR="009F789E" w:rsidRPr="003E4453">
        <w:rPr>
          <w:rFonts w:ascii="Times New Roman" w:hAnsi="Times New Roman"/>
          <w:sz w:val="28"/>
          <w:szCs w:val="28"/>
        </w:rPr>
        <w:t xml:space="preserve"> трьома новими підпунктами</w:t>
      </w:r>
      <w:r w:rsidR="009F789E" w:rsidRPr="0049111E">
        <w:rPr>
          <w:rFonts w:ascii="Times New Roman" w:hAnsi="Times New Roman"/>
          <w:sz w:val="28"/>
          <w:szCs w:val="28"/>
        </w:rPr>
        <w:t xml:space="preserve"> </w:t>
      </w:r>
      <w:r w:rsidR="009F789E" w:rsidRPr="009F789E">
        <w:rPr>
          <w:rFonts w:ascii="Times New Roman" w:hAnsi="Times New Roman"/>
          <w:sz w:val="28"/>
          <w:szCs w:val="28"/>
        </w:rPr>
        <w:t>13</w:t>
      </w:r>
      <w:r w:rsidR="009F789E">
        <w:rPr>
          <w:rFonts w:ascii="Times New Roman" w:hAnsi="Times New Roman"/>
          <w:sz w:val="28"/>
          <w:szCs w:val="28"/>
          <w:vertAlign w:val="superscript"/>
        </w:rPr>
        <w:t>1</w:t>
      </w:r>
      <w:r w:rsidR="009F789E" w:rsidRPr="00E14F6E">
        <w:rPr>
          <w:rFonts w:ascii="Times New Roman" w:hAnsi="Times New Roman"/>
          <w:sz w:val="28"/>
          <w:szCs w:val="28"/>
        </w:rPr>
        <w:t>–</w:t>
      </w:r>
      <w:r w:rsidR="009F789E" w:rsidRPr="003E4453">
        <w:rPr>
          <w:rFonts w:ascii="Times New Roman" w:hAnsi="Times New Roman"/>
          <w:sz w:val="28"/>
          <w:szCs w:val="28"/>
        </w:rPr>
        <w:t>13</w:t>
      </w:r>
      <w:r w:rsidR="009F789E">
        <w:rPr>
          <w:rFonts w:ascii="Times New Roman" w:hAnsi="Times New Roman"/>
          <w:sz w:val="28"/>
          <w:szCs w:val="28"/>
          <w:vertAlign w:val="superscript"/>
        </w:rPr>
        <w:t>3</w:t>
      </w:r>
      <w:r w:rsidR="009F789E" w:rsidRPr="0049111E">
        <w:rPr>
          <w:rFonts w:ascii="Times New Roman" w:hAnsi="Times New Roman"/>
          <w:sz w:val="28"/>
          <w:szCs w:val="28"/>
        </w:rPr>
        <w:t xml:space="preserve"> </w:t>
      </w:r>
      <w:r w:rsidR="001C23B3" w:rsidRPr="007931A2">
        <w:rPr>
          <w:rFonts w:ascii="Times New Roman" w:hAnsi="Times New Roman"/>
          <w:sz w:val="28"/>
          <w:szCs w:val="28"/>
        </w:rPr>
        <w:t>так</w:t>
      </w:r>
      <w:r w:rsidR="009F789E">
        <w:rPr>
          <w:rFonts w:ascii="Times New Roman" w:hAnsi="Times New Roman"/>
          <w:sz w:val="28"/>
          <w:szCs w:val="28"/>
        </w:rPr>
        <w:t>ого змісту</w:t>
      </w:r>
      <w:r w:rsidR="001C23B3" w:rsidRPr="007931A2">
        <w:rPr>
          <w:rFonts w:ascii="Times New Roman" w:hAnsi="Times New Roman"/>
          <w:sz w:val="28"/>
          <w:szCs w:val="28"/>
        </w:rPr>
        <w:t>:</w:t>
      </w:r>
    </w:p>
    <w:p w14:paraId="4C97EC94" w14:textId="72E827D8" w:rsidR="001C23B3" w:rsidRPr="007931A2" w:rsidRDefault="001C23B3" w:rsidP="003E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“13</w:t>
      </w:r>
      <w:r w:rsidRPr="007931A2">
        <w:rPr>
          <w:rFonts w:ascii="Times New Roman" w:hAnsi="Times New Roman"/>
          <w:sz w:val="28"/>
          <w:szCs w:val="28"/>
          <w:vertAlign w:val="superscript"/>
        </w:rPr>
        <w:t>1</w:t>
      </w:r>
      <w:r w:rsidRPr="007931A2">
        <w:rPr>
          <w:rFonts w:ascii="Times New Roman" w:hAnsi="Times New Roman"/>
          <w:sz w:val="28"/>
          <w:szCs w:val="28"/>
        </w:rPr>
        <w:t>) інтервальний коефіцієнт обслуговування (покриття) боргу (Debt-Service Coverage Ratio interval/DSCRі</w:t>
      </w:r>
      <w:r w:rsidR="003E4453">
        <w:rPr>
          <w:rFonts w:ascii="Times New Roman" w:hAnsi="Times New Roman"/>
          <w:sz w:val="28"/>
          <w:szCs w:val="28"/>
        </w:rPr>
        <w:t>)</w:t>
      </w:r>
      <w:r w:rsidR="00461A54" w:rsidRPr="009D5951">
        <w:rPr>
          <w:rFonts w:ascii="Times New Roman" w:hAnsi="Times New Roman"/>
          <w:sz w:val="28"/>
          <w:szCs w:val="28"/>
        </w:rPr>
        <w:t xml:space="preserve"> </w:t>
      </w:r>
      <w:r w:rsidR="00A56844">
        <w:rPr>
          <w:rFonts w:ascii="Times New Roman" w:hAnsi="Times New Roman"/>
          <w:sz w:val="28"/>
          <w:szCs w:val="28"/>
        </w:rPr>
        <w:t>–</w:t>
      </w:r>
      <w:r w:rsidR="00A56844" w:rsidRPr="007931A2">
        <w:rPr>
          <w:rFonts w:ascii="Times New Roman" w:hAnsi="Times New Roman"/>
          <w:sz w:val="28"/>
          <w:szCs w:val="28"/>
        </w:rPr>
        <w:t xml:space="preserve"> </w:t>
      </w:r>
      <w:r w:rsidR="00461A54">
        <w:rPr>
          <w:rFonts w:ascii="Times New Roman" w:hAnsi="Times New Roman"/>
          <w:sz w:val="28"/>
          <w:szCs w:val="28"/>
        </w:rPr>
        <w:t xml:space="preserve">показник, який </w:t>
      </w:r>
      <w:r w:rsidRPr="007931A2">
        <w:rPr>
          <w:rFonts w:ascii="Times New Roman" w:hAnsi="Times New Roman"/>
          <w:sz w:val="28"/>
          <w:szCs w:val="28"/>
        </w:rPr>
        <w:t>розраховується не рідше ніж один раз на три місяці на підставі даних квартальної фінансової звітності боржника як співвідношення показника “</w:t>
      </w:r>
      <w:r w:rsidR="007B69C1">
        <w:rPr>
          <w:rFonts w:ascii="Times New Roman" w:hAnsi="Times New Roman"/>
          <w:sz w:val="28"/>
          <w:szCs w:val="28"/>
        </w:rPr>
        <w:t>ч</w:t>
      </w:r>
      <w:r w:rsidRPr="007931A2">
        <w:rPr>
          <w:rFonts w:ascii="Times New Roman" w:hAnsi="Times New Roman"/>
          <w:sz w:val="28"/>
          <w:szCs w:val="28"/>
        </w:rPr>
        <w:t xml:space="preserve">истий рух коштів від операційної діяльності” </w:t>
      </w:r>
      <w:r w:rsidR="00A56844">
        <w:rPr>
          <w:rFonts w:ascii="Times New Roman" w:hAnsi="Times New Roman"/>
          <w:sz w:val="28"/>
          <w:szCs w:val="28"/>
        </w:rPr>
        <w:t>і</w:t>
      </w:r>
      <w:r w:rsidR="00A56844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 xml:space="preserve">обсягу платежів за зобов’язаннями боржника </w:t>
      </w:r>
      <w:r w:rsidR="00A56844">
        <w:rPr>
          <w:rFonts w:ascii="Times New Roman" w:hAnsi="Times New Roman"/>
          <w:sz w:val="28"/>
          <w:szCs w:val="28"/>
        </w:rPr>
        <w:t>–</w:t>
      </w:r>
      <w:r w:rsidR="00A56844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 xml:space="preserve">юридичної особи за залученими коштами для реалізації  проєкту (кредити, позики, боргові цінні папери), що підлягали сплаті у звітному кварталі, включаючи несплачені платежі, що підлягали сплаті </w:t>
      </w:r>
      <w:r w:rsidR="00A56844">
        <w:rPr>
          <w:rFonts w:ascii="Times New Roman" w:hAnsi="Times New Roman"/>
          <w:sz w:val="28"/>
          <w:szCs w:val="28"/>
        </w:rPr>
        <w:t>в</w:t>
      </w:r>
      <w:r w:rsidR="00A56844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попередніх періодах</w:t>
      </w:r>
      <w:r w:rsidR="00EF3253">
        <w:rPr>
          <w:rFonts w:ascii="Times New Roman" w:hAnsi="Times New Roman"/>
          <w:sz w:val="28"/>
          <w:szCs w:val="28"/>
        </w:rPr>
        <w:t>;</w:t>
      </w:r>
    </w:p>
    <w:p w14:paraId="0009D3B2" w14:textId="77777777" w:rsidR="00531F4D" w:rsidRPr="007931A2" w:rsidRDefault="00531F4D" w:rsidP="001C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346F2A" w14:textId="31AEF2C8" w:rsidR="00946959" w:rsidRDefault="00946959" w:rsidP="008C7F3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13</w:t>
      </w:r>
      <w:r w:rsidRPr="007931A2">
        <w:rPr>
          <w:sz w:val="28"/>
          <w:szCs w:val="28"/>
          <w:vertAlign w:val="superscript"/>
        </w:rPr>
        <w:t>2</w:t>
      </w:r>
      <w:r w:rsidRPr="007931A2">
        <w:rPr>
          <w:sz w:val="28"/>
          <w:szCs w:val="28"/>
        </w:rPr>
        <w:t>) коефіцієнт достатності коштів від операційної діяльності боржника</w:t>
      </w:r>
      <w:r w:rsidR="00A56844">
        <w:rPr>
          <w:sz w:val="28"/>
          <w:szCs w:val="28"/>
        </w:rPr>
        <w:t xml:space="preserve"> –</w:t>
      </w:r>
      <w:r w:rsidRPr="007931A2">
        <w:rPr>
          <w:sz w:val="28"/>
          <w:szCs w:val="28"/>
        </w:rPr>
        <w:t xml:space="preserve"> юридичної особи для обслуговування боргу протягом терміну дії кредитного договору (Loan Life Coverage Ratio/LLCR)</w:t>
      </w:r>
      <w:r w:rsidR="009D5951">
        <w:rPr>
          <w:sz w:val="28"/>
          <w:szCs w:val="28"/>
        </w:rPr>
        <w:t xml:space="preserve"> – показник, який </w:t>
      </w:r>
      <w:r w:rsidRPr="007931A2">
        <w:rPr>
          <w:sz w:val="28"/>
          <w:szCs w:val="28"/>
        </w:rPr>
        <w:t xml:space="preserve">розраховується як співвідношення теперішньої вартості майбутніх грошових потоків від операційної діяльності боржника </w:t>
      </w:r>
      <w:r w:rsidR="00A56844">
        <w:rPr>
          <w:sz w:val="28"/>
          <w:szCs w:val="28"/>
        </w:rPr>
        <w:t>–</w:t>
      </w:r>
      <w:r w:rsidR="00A56844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юридичної особи, які будуть згенеровані виключно внаслідок реалізації проєкту за період часу від звітної дати до дати закінчення дії кредитного договору </w:t>
      </w:r>
      <w:r w:rsidR="00A56844">
        <w:rPr>
          <w:sz w:val="28"/>
          <w:szCs w:val="28"/>
        </w:rPr>
        <w:t>і</w:t>
      </w:r>
      <w:r w:rsidR="00A56844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сукупного обсягу боргу боржника </w:t>
      </w:r>
      <w:r w:rsidR="00A56844">
        <w:rPr>
          <w:sz w:val="28"/>
          <w:szCs w:val="28"/>
        </w:rPr>
        <w:t>–</w:t>
      </w:r>
      <w:r w:rsidR="00A56844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юридичної особи на звітну дату за залученими коштами для реалізації  проєкту (кредити, позики</w:t>
      </w:r>
      <w:r w:rsidR="00A56844">
        <w:rPr>
          <w:sz w:val="28"/>
          <w:szCs w:val="28"/>
        </w:rPr>
        <w:t>,</w:t>
      </w:r>
      <w:r w:rsidRPr="007931A2">
        <w:rPr>
          <w:sz w:val="28"/>
          <w:szCs w:val="28"/>
        </w:rPr>
        <w:t xml:space="preserve"> боргові цінні папери);</w:t>
      </w:r>
    </w:p>
    <w:p w14:paraId="72E4ED24" w14:textId="77777777" w:rsidR="00531F4D" w:rsidRPr="007931A2" w:rsidRDefault="00531F4D" w:rsidP="00946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4C267" w14:textId="78F9FAB9" w:rsidR="001C23B3" w:rsidRPr="007931A2" w:rsidRDefault="00946959" w:rsidP="008C7F3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13</w:t>
      </w:r>
      <w:r w:rsidRPr="007931A2">
        <w:rPr>
          <w:sz w:val="28"/>
          <w:szCs w:val="28"/>
          <w:vertAlign w:val="superscript"/>
        </w:rPr>
        <w:t>3</w:t>
      </w:r>
      <w:r w:rsidRPr="007931A2">
        <w:rPr>
          <w:sz w:val="28"/>
          <w:szCs w:val="28"/>
        </w:rPr>
        <w:t>) коефіцієнт достатності коштів від операційної діяльності боржника</w:t>
      </w:r>
      <w:r w:rsidR="000050C9">
        <w:rPr>
          <w:sz w:val="28"/>
          <w:szCs w:val="28"/>
        </w:rPr>
        <w:t xml:space="preserve"> –</w:t>
      </w:r>
      <w:r w:rsidRPr="007931A2">
        <w:rPr>
          <w:sz w:val="28"/>
          <w:szCs w:val="28"/>
        </w:rPr>
        <w:t xml:space="preserve"> юридичної особи протягом строку корисного використання (експлуатації)  активу/</w:t>
      </w:r>
      <w:r w:rsidR="00A56844" w:rsidRPr="007931A2">
        <w:rPr>
          <w:sz w:val="28"/>
          <w:szCs w:val="28"/>
        </w:rPr>
        <w:t>об’єкт</w:t>
      </w:r>
      <w:r w:rsidR="00A56844">
        <w:rPr>
          <w:sz w:val="28"/>
          <w:szCs w:val="28"/>
        </w:rPr>
        <w:t>а</w:t>
      </w:r>
      <w:r w:rsidR="00A56844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для обслуговування боргу за залученими для реалізації проєкту коштами (</w:t>
      </w:r>
      <w:r w:rsidRPr="007931A2">
        <w:rPr>
          <w:sz w:val="28"/>
          <w:szCs w:val="28"/>
          <w:lang w:val="en-US"/>
        </w:rPr>
        <w:t>Project</w:t>
      </w:r>
      <w:r w:rsidRPr="007931A2">
        <w:rPr>
          <w:sz w:val="28"/>
          <w:szCs w:val="28"/>
        </w:rPr>
        <w:t xml:space="preserve"> Life Coverage Ratio /</w:t>
      </w:r>
      <w:r w:rsidRPr="007931A2">
        <w:rPr>
          <w:sz w:val="28"/>
          <w:szCs w:val="28"/>
          <w:lang w:val="en-US"/>
        </w:rPr>
        <w:t>P</w:t>
      </w:r>
      <w:r w:rsidRPr="007931A2">
        <w:rPr>
          <w:sz w:val="28"/>
          <w:szCs w:val="28"/>
        </w:rPr>
        <w:t>LCR)</w:t>
      </w:r>
      <w:r w:rsidR="009D5951">
        <w:rPr>
          <w:sz w:val="28"/>
          <w:szCs w:val="28"/>
        </w:rPr>
        <w:t xml:space="preserve"> – показник, який </w:t>
      </w:r>
      <w:r w:rsidRPr="007931A2">
        <w:rPr>
          <w:sz w:val="28"/>
          <w:szCs w:val="28"/>
        </w:rPr>
        <w:t xml:space="preserve">розраховується як співвідношення теперішньої вартості майбутніх грошових потоків від операційної діяльності боржника </w:t>
      </w:r>
      <w:r w:rsidR="00A56844">
        <w:rPr>
          <w:sz w:val="28"/>
          <w:szCs w:val="28"/>
        </w:rPr>
        <w:t>–</w:t>
      </w:r>
      <w:r w:rsidR="00A56844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юридичної особи, які будуть згенеровані виключно внаслідок реалізації проєкту за період часу від звітної дати до дати закінчення строку корисного використання (експлуатації)  активу/</w:t>
      </w:r>
      <w:r w:rsidR="00A56844" w:rsidRPr="007931A2">
        <w:rPr>
          <w:sz w:val="28"/>
          <w:szCs w:val="28"/>
        </w:rPr>
        <w:t>об’єкт</w:t>
      </w:r>
      <w:r w:rsidR="00A56844">
        <w:rPr>
          <w:sz w:val="28"/>
          <w:szCs w:val="28"/>
        </w:rPr>
        <w:t>а</w:t>
      </w:r>
      <w:r w:rsidR="00A56844" w:rsidRPr="007931A2">
        <w:rPr>
          <w:sz w:val="28"/>
          <w:szCs w:val="28"/>
        </w:rPr>
        <w:t xml:space="preserve"> </w:t>
      </w:r>
      <w:r w:rsidR="00A56844">
        <w:rPr>
          <w:sz w:val="28"/>
          <w:szCs w:val="28"/>
        </w:rPr>
        <w:t>і</w:t>
      </w:r>
      <w:r w:rsidR="00A56844" w:rsidRPr="007931A2">
        <w:rPr>
          <w:sz w:val="28"/>
          <w:szCs w:val="28"/>
        </w:rPr>
        <w:t xml:space="preserve">  </w:t>
      </w:r>
      <w:r w:rsidRPr="007931A2">
        <w:rPr>
          <w:sz w:val="28"/>
          <w:szCs w:val="28"/>
        </w:rPr>
        <w:t>сукупного обсягу боргу боржника</w:t>
      </w:r>
      <w:r w:rsidR="00A56844">
        <w:rPr>
          <w:sz w:val="28"/>
          <w:szCs w:val="28"/>
        </w:rPr>
        <w:t xml:space="preserve"> – </w:t>
      </w:r>
      <w:r w:rsidRPr="007931A2">
        <w:rPr>
          <w:sz w:val="28"/>
          <w:szCs w:val="28"/>
        </w:rPr>
        <w:t>юридичної особи на звітну дату за залученими коштами для реалізації  проєкту (кредити, позики, боргові цінні папери);”</w:t>
      </w:r>
      <w:r w:rsidR="00E14F6E">
        <w:rPr>
          <w:sz w:val="28"/>
          <w:szCs w:val="28"/>
        </w:rPr>
        <w:t>;</w:t>
      </w:r>
    </w:p>
    <w:p w14:paraId="2544C9B8" w14:textId="10A01613" w:rsidR="00E14F6E" w:rsidRPr="007931A2" w:rsidRDefault="00E14F6E" w:rsidP="00E14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підпункт </w:t>
      </w:r>
      <w:r w:rsidRPr="009F78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8C7F35">
        <w:rPr>
          <w:rFonts w:ascii="Times New Roman" w:hAnsi="Times New Roman"/>
          <w:sz w:val="28"/>
          <w:szCs w:val="28"/>
        </w:rPr>
        <w:t xml:space="preserve"> </w:t>
      </w:r>
      <w:r w:rsidRPr="003E4453">
        <w:rPr>
          <w:rFonts w:ascii="Times New Roman" w:hAnsi="Times New Roman"/>
          <w:sz w:val="28"/>
          <w:szCs w:val="28"/>
        </w:rPr>
        <w:t>замінити трьома новими підпунктами</w:t>
      </w:r>
      <w:r w:rsidRPr="008C7F35">
        <w:rPr>
          <w:rFonts w:ascii="Times New Roman" w:hAnsi="Times New Roman"/>
          <w:sz w:val="28"/>
          <w:szCs w:val="28"/>
        </w:rPr>
        <w:t xml:space="preserve"> </w:t>
      </w:r>
      <w:r w:rsidRPr="009F78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E14F6E">
        <w:rPr>
          <w:rFonts w:ascii="Times New Roman" w:hAnsi="Times New Roman"/>
          <w:sz w:val="28"/>
          <w:szCs w:val="28"/>
        </w:rPr>
        <w:t>–</w:t>
      </w:r>
      <w:r w:rsidRPr="003E44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8C7F35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ого змісту</w:t>
      </w:r>
      <w:r w:rsidRPr="007931A2">
        <w:rPr>
          <w:rFonts w:ascii="Times New Roman" w:hAnsi="Times New Roman"/>
          <w:sz w:val="28"/>
          <w:szCs w:val="28"/>
        </w:rPr>
        <w:t>:</w:t>
      </w:r>
    </w:p>
    <w:p w14:paraId="22855702" w14:textId="31C52829" w:rsidR="00946959" w:rsidRDefault="00946959" w:rsidP="009D5951">
      <w:pPr>
        <w:pStyle w:val="af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31A2">
        <w:rPr>
          <w:rFonts w:eastAsiaTheme="minorHAnsi"/>
          <w:sz w:val="28"/>
          <w:szCs w:val="28"/>
          <w:lang w:eastAsia="en-US"/>
        </w:rPr>
        <w:t>“15</w:t>
      </w:r>
      <w:r w:rsidRPr="007931A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7931A2">
        <w:rPr>
          <w:rFonts w:eastAsiaTheme="minorHAnsi"/>
          <w:sz w:val="28"/>
          <w:szCs w:val="28"/>
          <w:lang w:eastAsia="en-US"/>
        </w:rPr>
        <w:t>) коефіцієнт покриття орендної площі (</w:t>
      </w:r>
      <w:r w:rsidRPr="007931A2">
        <w:rPr>
          <w:rFonts w:eastAsiaTheme="minorHAnsi"/>
          <w:sz w:val="28"/>
          <w:szCs w:val="28"/>
          <w:lang w:val="en-US" w:eastAsia="en-US"/>
        </w:rPr>
        <w:t>Vacancy</w:t>
      </w:r>
      <w:r w:rsidRPr="007931A2">
        <w:rPr>
          <w:rFonts w:eastAsiaTheme="minorHAnsi"/>
          <w:sz w:val="28"/>
          <w:szCs w:val="28"/>
          <w:lang w:eastAsia="en-US"/>
        </w:rPr>
        <w:t xml:space="preserve"> </w:t>
      </w:r>
      <w:r w:rsidRPr="007931A2">
        <w:rPr>
          <w:rFonts w:eastAsiaTheme="minorHAnsi"/>
          <w:sz w:val="28"/>
          <w:szCs w:val="28"/>
          <w:lang w:val="en-US" w:eastAsia="en-US"/>
        </w:rPr>
        <w:t>rate</w:t>
      </w:r>
      <w:r w:rsidRPr="007931A2">
        <w:rPr>
          <w:rFonts w:eastAsiaTheme="minorHAnsi"/>
          <w:sz w:val="28"/>
          <w:szCs w:val="28"/>
          <w:lang w:eastAsia="en-US"/>
        </w:rPr>
        <w:t>/</w:t>
      </w:r>
      <w:r w:rsidRPr="007931A2">
        <w:rPr>
          <w:rFonts w:eastAsiaTheme="minorHAnsi"/>
          <w:sz w:val="28"/>
          <w:szCs w:val="28"/>
          <w:lang w:val="en-US" w:eastAsia="en-US"/>
        </w:rPr>
        <w:t>VR</w:t>
      </w:r>
      <w:r w:rsidRPr="007931A2">
        <w:rPr>
          <w:rFonts w:eastAsiaTheme="minorHAnsi"/>
          <w:sz w:val="28"/>
          <w:szCs w:val="28"/>
          <w:lang w:eastAsia="en-US"/>
        </w:rPr>
        <w:t xml:space="preserve">) </w:t>
      </w:r>
      <w:r w:rsidR="00A56844">
        <w:rPr>
          <w:rFonts w:eastAsiaTheme="minorHAnsi"/>
          <w:sz w:val="28"/>
          <w:szCs w:val="28"/>
          <w:lang w:eastAsia="en-US"/>
        </w:rPr>
        <w:t>–</w:t>
      </w:r>
      <w:r w:rsidR="00A56844" w:rsidRPr="007931A2">
        <w:rPr>
          <w:rFonts w:eastAsiaTheme="minorHAnsi"/>
          <w:sz w:val="28"/>
          <w:szCs w:val="28"/>
          <w:lang w:eastAsia="en-US"/>
        </w:rPr>
        <w:t xml:space="preserve"> </w:t>
      </w:r>
      <w:r w:rsidRPr="007931A2">
        <w:rPr>
          <w:rFonts w:eastAsiaTheme="minorHAnsi"/>
          <w:sz w:val="28"/>
          <w:szCs w:val="28"/>
          <w:lang w:eastAsia="en-US"/>
        </w:rPr>
        <w:t>п</w:t>
      </w:r>
      <w:r w:rsidRPr="007931A2">
        <w:rPr>
          <w:sz w:val="28"/>
          <w:szCs w:val="28"/>
        </w:rPr>
        <w:t>оказник, який відображає частку площі</w:t>
      </w:r>
      <w:r w:rsidR="00A56844">
        <w:rPr>
          <w:sz w:val="28"/>
          <w:szCs w:val="28"/>
        </w:rPr>
        <w:t>,</w:t>
      </w:r>
      <w:r w:rsidRPr="007931A2">
        <w:rPr>
          <w:sz w:val="28"/>
          <w:szCs w:val="28"/>
        </w:rPr>
        <w:t xml:space="preserve"> не</w:t>
      </w:r>
      <w:r w:rsidR="00404C09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зайнятої під оренду</w:t>
      </w:r>
      <w:r w:rsidR="00A56844">
        <w:rPr>
          <w:sz w:val="28"/>
          <w:szCs w:val="28"/>
        </w:rPr>
        <w:t>,</w:t>
      </w:r>
      <w:r w:rsidRPr="007931A2">
        <w:rPr>
          <w:sz w:val="28"/>
          <w:szCs w:val="28"/>
        </w:rPr>
        <w:t xml:space="preserve"> у</w:t>
      </w:r>
      <w:r w:rsidR="00A56844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загальній площі нерухомості під оренду</w:t>
      </w:r>
      <w:r w:rsidR="009D5951">
        <w:rPr>
          <w:sz w:val="28"/>
          <w:szCs w:val="28"/>
        </w:rPr>
        <w:t xml:space="preserve"> та </w:t>
      </w:r>
      <w:r w:rsidRPr="007931A2">
        <w:rPr>
          <w:sz w:val="28"/>
          <w:szCs w:val="28"/>
        </w:rPr>
        <w:t xml:space="preserve">розраховується як співвідношення </w:t>
      </w:r>
      <w:r w:rsidRPr="007931A2">
        <w:rPr>
          <w:rFonts w:eastAsiaTheme="minorHAnsi"/>
          <w:sz w:val="28"/>
          <w:szCs w:val="28"/>
          <w:lang w:eastAsia="en-US"/>
        </w:rPr>
        <w:t>кількості квадратних метрів не</w:t>
      </w:r>
      <w:r w:rsidR="00404C09">
        <w:rPr>
          <w:rFonts w:eastAsiaTheme="minorHAnsi"/>
          <w:sz w:val="28"/>
          <w:szCs w:val="28"/>
          <w:lang w:eastAsia="en-US"/>
        </w:rPr>
        <w:t xml:space="preserve"> </w:t>
      </w:r>
      <w:r w:rsidRPr="007931A2">
        <w:rPr>
          <w:rFonts w:eastAsiaTheme="minorHAnsi"/>
          <w:sz w:val="28"/>
          <w:szCs w:val="28"/>
          <w:lang w:eastAsia="en-US"/>
        </w:rPr>
        <w:t xml:space="preserve">зайнятої під оренду площі </w:t>
      </w:r>
      <w:r w:rsidR="00A56844">
        <w:rPr>
          <w:rFonts w:eastAsiaTheme="minorHAnsi"/>
          <w:sz w:val="28"/>
          <w:szCs w:val="28"/>
          <w:lang w:eastAsia="en-US"/>
        </w:rPr>
        <w:t>та</w:t>
      </w:r>
      <w:r w:rsidR="00A56844" w:rsidRPr="007931A2">
        <w:rPr>
          <w:rFonts w:eastAsiaTheme="minorHAnsi"/>
          <w:sz w:val="28"/>
          <w:szCs w:val="28"/>
          <w:lang w:eastAsia="en-US"/>
        </w:rPr>
        <w:t xml:space="preserve"> </w:t>
      </w:r>
      <w:r w:rsidRPr="007931A2">
        <w:rPr>
          <w:rFonts w:eastAsiaTheme="minorHAnsi"/>
          <w:sz w:val="28"/>
          <w:szCs w:val="28"/>
          <w:lang w:eastAsia="en-US"/>
        </w:rPr>
        <w:t xml:space="preserve">загальної площі </w:t>
      </w:r>
      <w:r w:rsidR="00A56844" w:rsidRPr="007931A2">
        <w:rPr>
          <w:rFonts w:eastAsiaTheme="minorHAnsi"/>
          <w:sz w:val="28"/>
          <w:szCs w:val="28"/>
          <w:lang w:eastAsia="en-US"/>
        </w:rPr>
        <w:t>об’єкт</w:t>
      </w:r>
      <w:r w:rsidR="00A56844">
        <w:rPr>
          <w:rFonts w:eastAsiaTheme="minorHAnsi"/>
          <w:sz w:val="28"/>
          <w:szCs w:val="28"/>
          <w:lang w:eastAsia="en-US"/>
        </w:rPr>
        <w:t>а</w:t>
      </w:r>
      <w:r w:rsidR="00A56844" w:rsidRPr="007931A2">
        <w:rPr>
          <w:rFonts w:eastAsiaTheme="minorHAnsi"/>
          <w:sz w:val="28"/>
          <w:szCs w:val="28"/>
          <w:lang w:eastAsia="en-US"/>
        </w:rPr>
        <w:t xml:space="preserve"> </w:t>
      </w:r>
      <w:r w:rsidRPr="007931A2">
        <w:rPr>
          <w:rFonts w:eastAsiaTheme="minorHAnsi"/>
          <w:sz w:val="28"/>
          <w:szCs w:val="28"/>
          <w:lang w:eastAsia="en-US"/>
        </w:rPr>
        <w:t>оренди;</w:t>
      </w:r>
    </w:p>
    <w:p w14:paraId="6507196E" w14:textId="77777777" w:rsidR="00531F4D" w:rsidRPr="007931A2" w:rsidRDefault="00531F4D" w:rsidP="00946959">
      <w:pPr>
        <w:pStyle w:val="af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42B09192" w14:textId="38A709D6" w:rsidR="00946959" w:rsidRPr="007931A2" w:rsidRDefault="00946959" w:rsidP="009D595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rFonts w:eastAsiaTheme="minorHAnsi"/>
          <w:sz w:val="28"/>
          <w:szCs w:val="28"/>
          <w:lang w:eastAsia="en-US"/>
        </w:rPr>
        <w:t>15</w:t>
      </w:r>
      <w:r w:rsidRPr="007931A2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7931A2">
        <w:rPr>
          <w:rFonts w:eastAsiaTheme="minorHAnsi"/>
          <w:sz w:val="28"/>
          <w:szCs w:val="28"/>
          <w:lang w:eastAsia="en-US"/>
        </w:rPr>
        <w:t xml:space="preserve">) коефіцієнт участі ініціатора проєкту </w:t>
      </w:r>
      <w:r w:rsidR="00A9078C">
        <w:rPr>
          <w:rFonts w:eastAsiaTheme="minorHAnsi"/>
          <w:sz w:val="28"/>
          <w:szCs w:val="28"/>
          <w:lang w:eastAsia="en-US"/>
        </w:rPr>
        <w:t>у</w:t>
      </w:r>
      <w:r w:rsidR="00A9078C" w:rsidRPr="007931A2">
        <w:rPr>
          <w:rFonts w:eastAsiaTheme="minorHAnsi"/>
          <w:sz w:val="28"/>
          <w:szCs w:val="28"/>
          <w:lang w:eastAsia="en-US"/>
        </w:rPr>
        <w:t xml:space="preserve"> </w:t>
      </w:r>
      <w:r w:rsidRPr="007931A2">
        <w:rPr>
          <w:rFonts w:eastAsiaTheme="minorHAnsi"/>
          <w:sz w:val="28"/>
          <w:szCs w:val="28"/>
          <w:lang w:eastAsia="en-US"/>
        </w:rPr>
        <w:t>фінансуванні проєкту (фінансовий леверидж) (</w:t>
      </w:r>
      <w:r w:rsidRPr="007931A2">
        <w:rPr>
          <w:rFonts w:eastAsiaTheme="minorHAnsi"/>
          <w:sz w:val="28"/>
          <w:szCs w:val="28"/>
          <w:lang w:val="en-US" w:eastAsia="en-US"/>
        </w:rPr>
        <w:t>Debt</w:t>
      </w:r>
      <w:r w:rsidRPr="007931A2">
        <w:rPr>
          <w:rFonts w:eastAsiaTheme="minorHAnsi"/>
          <w:sz w:val="28"/>
          <w:szCs w:val="28"/>
          <w:lang w:eastAsia="en-US"/>
        </w:rPr>
        <w:t xml:space="preserve"> </w:t>
      </w:r>
      <w:r w:rsidRPr="007931A2">
        <w:rPr>
          <w:rFonts w:eastAsiaTheme="minorHAnsi"/>
          <w:sz w:val="28"/>
          <w:szCs w:val="28"/>
          <w:lang w:val="en-US" w:eastAsia="en-US"/>
        </w:rPr>
        <w:t>to</w:t>
      </w:r>
      <w:r w:rsidRPr="007931A2">
        <w:rPr>
          <w:rFonts w:eastAsiaTheme="minorHAnsi"/>
          <w:sz w:val="28"/>
          <w:szCs w:val="28"/>
          <w:lang w:eastAsia="en-US"/>
        </w:rPr>
        <w:t xml:space="preserve"> </w:t>
      </w:r>
      <w:r w:rsidRPr="007931A2">
        <w:rPr>
          <w:rFonts w:eastAsiaTheme="minorHAnsi"/>
          <w:sz w:val="28"/>
          <w:szCs w:val="28"/>
          <w:lang w:val="en-US" w:eastAsia="en-US"/>
        </w:rPr>
        <w:t>Equity</w:t>
      </w:r>
      <w:r w:rsidRPr="007931A2">
        <w:rPr>
          <w:rFonts w:eastAsiaTheme="minorHAnsi"/>
          <w:sz w:val="28"/>
          <w:szCs w:val="28"/>
          <w:lang w:eastAsia="en-US"/>
        </w:rPr>
        <w:t xml:space="preserve"> </w:t>
      </w:r>
      <w:r w:rsidRPr="007931A2">
        <w:rPr>
          <w:rFonts w:eastAsiaTheme="minorHAnsi"/>
          <w:sz w:val="28"/>
          <w:szCs w:val="28"/>
          <w:lang w:val="en-US" w:eastAsia="en-US"/>
        </w:rPr>
        <w:t>Ratio</w:t>
      </w:r>
      <w:r w:rsidRPr="007931A2">
        <w:rPr>
          <w:rFonts w:eastAsiaTheme="minorHAnsi"/>
          <w:sz w:val="28"/>
          <w:szCs w:val="28"/>
          <w:lang w:eastAsia="en-US"/>
        </w:rPr>
        <w:t>/</w:t>
      </w:r>
      <w:r w:rsidRPr="007931A2">
        <w:rPr>
          <w:rFonts w:eastAsiaTheme="minorHAnsi"/>
          <w:sz w:val="28"/>
          <w:szCs w:val="28"/>
          <w:lang w:val="en-US" w:eastAsia="en-US"/>
        </w:rPr>
        <w:t>DER</w:t>
      </w:r>
      <w:r w:rsidR="001516CB">
        <w:rPr>
          <w:rFonts w:eastAsiaTheme="minorHAnsi"/>
          <w:sz w:val="28"/>
          <w:szCs w:val="28"/>
          <w:lang w:eastAsia="en-US"/>
        </w:rPr>
        <w:t>)</w:t>
      </w:r>
      <w:r w:rsidR="009D5951">
        <w:rPr>
          <w:rFonts w:eastAsiaTheme="minorHAnsi"/>
          <w:sz w:val="28"/>
          <w:szCs w:val="28"/>
          <w:lang w:eastAsia="en-US"/>
        </w:rPr>
        <w:t xml:space="preserve"> – показник, який </w:t>
      </w:r>
      <w:r w:rsidR="00515F25" w:rsidRPr="007931A2">
        <w:rPr>
          <w:sz w:val="28"/>
          <w:szCs w:val="28"/>
        </w:rPr>
        <w:t xml:space="preserve"> розраховується як співвідношення на звітну дату обсягу  зобов’язань боржника</w:t>
      </w:r>
      <w:r w:rsidR="00095409">
        <w:rPr>
          <w:sz w:val="28"/>
          <w:szCs w:val="28"/>
        </w:rPr>
        <w:t> </w:t>
      </w:r>
      <w:r w:rsidR="00A56844">
        <w:rPr>
          <w:sz w:val="28"/>
          <w:szCs w:val="28"/>
        </w:rPr>
        <w:t>–</w:t>
      </w:r>
      <w:r w:rsidR="00A56844" w:rsidRPr="007931A2">
        <w:rPr>
          <w:sz w:val="28"/>
          <w:szCs w:val="28"/>
        </w:rPr>
        <w:t xml:space="preserve"> </w:t>
      </w:r>
      <w:r w:rsidR="00515F25" w:rsidRPr="007931A2">
        <w:rPr>
          <w:sz w:val="28"/>
          <w:szCs w:val="28"/>
        </w:rPr>
        <w:t>юридичної особи за залученими коштами для реалізації  проєкту (кредити, позики</w:t>
      </w:r>
      <w:r w:rsidR="00A328BB" w:rsidRPr="007931A2">
        <w:rPr>
          <w:sz w:val="28"/>
          <w:szCs w:val="28"/>
        </w:rPr>
        <w:t>,</w:t>
      </w:r>
      <w:r w:rsidR="00515F25" w:rsidRPr="007931A2">
        <w:rPr>
          <w:sz w:val="28"/>
          <w:szCs w:val="28"/>
        </w:rPr>
        <w:t xml:space="preserve"> боргові цінні папери, крім коштів, </w:t>
      </w:r>
      <w:r w:rsidR="000050C9">
        <w:rPr>
          <w:sz w:val="28"/>
          <w:szCs w:val="28"/>
        </w:rPr>
        <w:t>у</w:t>
      </w:r>
      <w:r w:rsidR="000050C9" w:rsidRPr="007931A2">
        <w:rPr>
          <w:sz w:val="28"/>
          <w:szCs w:val="28"/>
        </w:rPr>
        <w:t xml:space="preserve">несених </w:t>
      </w:r>
      <w:r w:rsidR="00515F25" w:rsidRPr="007931A2">
        <w:rPr>
          <w:sz w:val="28"/>
          <w:szCs w:val="28"/>
        </w:rPr>
        <w:t>ініціатором проєкту за угодами, умовами яких передбачено повернення цих коштів  після повного погашення боржником</w:t>
      </w:r>
      <w:r w:rsidR="00A56844">
        <w:rPr>
          <w:sz w:val="28"/>
          <w:szCs w:val="28"/>
        </w:rPr>
        <w:t xml:space="preserve"> – </w:t>
      </w:r>
      <w:r w:rsidR="00515F25" w:rsidRPr="007931A2">
        <w:rPr>
          <w:sz w:val="28"/>
          <w:szCs w:val="28"/>
        </w:rPr>
        <w:t xml:space="preserve">юридичною особою зобов’язань за спеціалізованим кредитом) </w:t>
      </w:r>
      <w:r w:rsidR="00A56844">
        <w:rPr>
          <w:sz w:val="28"/>
          <w:szCs w:val="28"/>
        </w:rPr>
        <w:t>і</w:t>
      </w:r>
      <w:r w:rsidR="00A56844" w:rsidRPr="007931A2">
        <w:rPr>
          <w:sz w:val="28"/>
          <w:szCs w:val="28"/>
        </w:rPr>
        <w:t xml:space="preserve"> </w:t>
      </w:r>
      <w:r w:rsidR="00515F25" w:rsidRPr="007931A2">
        <w:rPr>
          <w:sz w:val="28"/>
          <w:szCs w:val="28"/>
        </w:rPr>
        <w:t>розміру внесків ініціатора проєкту на безповоротній основі/за угодами, умовами яких передбачено повернення цих внесків після повного погашення боржником</w:t>
      </w:r>
      <w:r w:rsidR="00A56844">
        <w:rPr>
          <w:sz w:val="28"/>
          <w:szCs w:val="28"/>
        </w:rPr>
        <w:t xml:space="preserve"> – </w:t>
      </w:r>
      <w:r w:rsidR="00515F25" w:rsidRPr="007931A2">
        <w:rPr>
          <w:sz w:val="28"/>
          <w:szCs w:val="28"/>
        </w:rPr>
        <w:t xml:space="preserve">юридичною особою зобов’язань за спеціалізованим кредитом, у розмірі, що не перевищує  суму </w:t>
      </w:r>
      <w:r w:rsidR="004A13FB" w:rsidRPr="007931A2">
        <w:rPr>
          <w:sz w:val="28"/>
          <w:szCs w:val="28"/>
        </w:rPr>
        <w:t>внесків</w:t>
      </w:r>
      <w:r w:rsidR="00515F25" w:rsidRPr="007931A2">
        <w:rPr>
          <w:sz w:val="28"/>
          <w:szCs w:val="28"/>
        </w:rPr>
        <w:t xml:space="preserve">, </w:t>
      </w:r>
      <w:r w:rsidR="00A56844">
        <w:rPr>
          <w:sz w:val="28"/>
          <w:szCs w:val="28"/>
        </w:rPr>
        <w:t>у</w:t>
      </w:r>
      <w:r w:rsidR="00A56844" w:rsidRPr="007931A2">
        <w:rPr>
          <w:sz w:val="28"/>
          <w:szCs w:val="28"/>
        </w:rPr>
        <w:t xml:space="preserve">несених </w:t>
      </w:r>
      <w:r w:rsidR="00515F25" w:rsidRPr="007931A2">
        <w:rPr>
          <w:sz w:val="28"/>
          <w:szCs w:val="28"/>
        </w:rPr>
        <w:t>ініціатором проєкту на безповоротній основі;</w:t>
      </w:r>
    </w:p>
    <w:p w14:paraId="22C0B08C" w14:textId="77777777" w:rsidR="00E14F6E" w:rsidRDefault="00E14F6E" w:rsidP="0094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15D9F" w14:textId="71DA5B88" w:rsidR="00946959" w:rsidRPr="00164A11" w:rsidRDefault="00946959" w:rsidP="0094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15</w:t>
      </w:r>
      <w:r w:rsidRPr="007931A2">
        <w:rPr>
          <w:rFonts w:ascii="Times New Roman" w:hAnsi="Times New Roman"/>
          <w:sz w:val="28"/>
          <w:szCs w:val="28"/>
          <w:vertAlign w:val="superscript"/>
        </w:rPr>
        <w:t>3</w:t>
      </w:r>
      <w:r w:rsidRPr="007931A2">
        <w:rPr>
          <w:rFonts w:ascii="Times New Roman" w:hAnsi="Times New Roman"/>
          <w:sz w:val="28"/>
          <w:szCs w:val="28"/>
        </w:rPr>
        <w:t>) компанія спеціального призначення (SP</w:t>
      </w:r>
      <w:r w:rsidRPr="007931A2">
        <w:rPr>
          <w:rFonts w:ascii="Times New Roman" w:hAnsi="Times New Roman"/>
          <w:sz w:val="28"/>
          <w:szCs w:val="28"/>
          <w:lang w:val="en-US"/>
        </w:rPr>
        <w:t>E</w:t>
      </w:r>
      <w:r w:rsidRPr="007931A2">
        <w:rPr>
          <w:rFonts w:ascii="Times New Roman" w:hAnsi="Times New Roman"/>
          <w:sz w:val="28"/>
          <w:szCs w:val="28"/>
        </w:rPr>
        <w:t xml:space="preserve">) – юридична особа, що не є </w:t>
      </w:r>
      <w:r w:rsidR="00A56844" w:rsidRPr="007931A2">
        <w:rPr>
          <w:rFonts w:ascii="Times New Roman" w:hAnsi="Times New Roman"/>
          <w:sz w:val="28"/>
          <w:szCs w:val="28"/>
        </w:rPr>
        <w:t>пов</w:t>
      </w:r>
      <w:r w:rsidR="00A56844">
        <w:rPr>
          <w:rFonts w:ascii="Times New Roman" w:hAnsi="Times New Roman"/>
          <w:sz w:val="28"/>
          <w:szCs w:val="28"/>
        </w:rPr>
        <w:t>ʼ</w:t>
      </w:r>
      <w:r w:rsidR="00A56844" w:rsidRPr="007931A2">
        <w:rPr>
          <w:rFonts w:ascii="Times New Roman" w:hAnsi="Times New Roman"/>
          <w:sz w:val="28"/>
          <w:szCs w:val="28"/>
        </w:rPr>
        <w:t xml:space="preserve">язаною </w:t>
      </w:r>
      <w:r w:rsidRPr="007931A2">
        <w:rPr>
          <w:rFonts w:ascii="Times New Roman" w:hAnsi="Times New Roman"/>
          <w:sz w:val="28"/>
          <w:szCs w:val="28"/>
        </w:rPr>
        <w:t>з банком особою відповідно до вимог статті 52 Закону України “Про банки і банківську діяльність”, власником якої є ініціатор/ініціатори (далі</w:t>
      </w:r>
      <w:r w:rsidR="00AC5B14">
        <w:rPr>
          <w:rFonts w:ascii="Times New Roman" w:hAnsi="Times New Roman"/>
          <w:sz w:val="28"/>
          <w:szCs w:val="28"/>
        </w:rPr>
        <w:t> </w:t>
      </w:r>
      <w:r w:rsidRPr="007931A2">
        <w:rPr>
          <w:rFonts w:ascii="Times New Roman" w:hAnsi="Times New Roman"/>
          <w:sz w:val="28"/>
          <w:szCs w:val="28"/>
        </w:rPr>
        <w:t>– ініціатор)  проєкту, яка відповідає одночасно таким умовам</w:t>
      </w:r>
      <w:r w:rsidR="00164A11" w:rsidRPr="00164A11">
        <w:rPr>
          <w:rFonts w:ascii="Times New Roman" w:hAnsi="Times New Roman"/>
          <w:sz w:val="28"/>
          <w:szCs w:val="28"/>
        </w:rPr>
        <w:t>:</w:t>
      </w:r>
    </w:p>
    <w:p w14:paraId="13D14AA7" w14:textId="3AF7C030" w:rsidR="009F789E" w:rsidRDefault="00946959" w:rsidP="0094695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 xml:space="preserve">здійснює діяльність з метою реалізації проєкту за спеціалізованим кредитом на території України. Значення питомої ваги доходу від діяльності за проєктом за спеціалізованим кредитом у загальному обсязі  чистого доходу від реалізації продукції  (товарів, робіт, послуг) </w:t>
      </w:r>
      <w:r w:rsidR="000751B2" w:rsidRPr="00E14F6E">
        <w:rPr>
          <w:sz w:val="28"/>
          <w:szCs w:val="28"/>
        </w:rPr>
        <w:t>[</w:t>
      </w:r>
      <w:r w:rsidRPr="007931A2">
        <w:rPr>
          <w:sz w:val="28"/>
          <w:szCs w:val="28"/>
        </w:rPr>
        <w:t>ф. 2 (ф. 2-м, 2-мс) р. 2000 гр. 3</w:t>
      </w:r>
      <w:r w:rsidR="000751B2" w:rsidRPr="00E14F6E">
        <w:rPr>
          <w:sz w:val="28"/>
          <w:szCs w:val="28"/>
        </w:rPr>
        <w:t>]</w:t>
      </w:r>
      <w:r w:rsidRPr="007931A2">
        <w:rPr>
          <w:sz w:val="28"/>
          <w:szCs w:val="28"/>
        </w:rPr>
        <w:t xml:space="preserve"> за даними квартальної фінансової звітності за останні 12 місяців поспіль становить 9</w:t>
      </w:r>
      <w:r w:rsidR="00C175F6" w:rsidRPr="007931A2">
        <w:rPr>
          <w:sz w:val="28"/>
          <w:szCs w:val="28"/>
        </w:rPr>
        <w:t>0</w:t>
      </w:r>
      <w:r w:rsidRPr="007931A2">
        <w:rPr>
          <w:sz w:val="28"/>
          <w:szCs w:val="28"/>
        </w:rPr>
        <w:t xml:space="preserve"> і більше відсотків;</w:t>
      </w:r>
    </w:p>
    <w:p w14:paraId="2DA82297" w14:textId="4178EB36" w:rsidR="00946959" w:rsidRPr="007931A2" w:rsidRDefault="00946959" w:rsidP="0094695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931A2">
        <w:rPr>
          <w:sz w:val="28"/>
          <w:szCs w:val="28"/>
        </w:rPr>
        <w:t>має контроль над активом/об</w:t>
      </w:r>
      <w:r w:rsidRPr="007931A2">
        <w:rPr>
          <w:sz w:val="28"/>
          <w:szCs w:val="28"/>
          <w:lang w:val="ru-RU"/>
        </w:rPr>
        <w:t>’</w:t>
      </w:r>
      <w:r w:rsidRPr="007931A2">
        <w:rPr>
          <w:sz w:val="28"/>
          <w:szCs w:val="28"/>
        </w:rPr>
        <w:t>єктом, який споруджується/придба</w:t>
      </w:r>
      <w:r w:rsidR="000B298C">
        <w:rPr>
          <w:sz w:val="28"/>
          <w:szCs w:val="28"/>
        </w:rPr>
        <w:t>ва</w:t>
      </w:r>
      <w:r w:rsidRPr="007931A2">
        <w:rPr>
          <w:sz w:val="28"/>
          <w:szCs w:val="28"/>
        </w:rPr>
        <w:t>ється/</w:t>
      </w:r>
      <w:r w:rsidR="009534D3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управляється внаслідок реалізації проєкту;</w:t>
      </w:r>
      <w:r w:rsidRPr="007931A2">
        <w:rPr>
          <w:sz w:val="28"/>
          <w:szCs w:val="28"/>
          <w:lang w:val="ru-RU"/>
        </w:rPr>
        <w:t>”</w:t>
      </w:r>
      <w:r w:rsidR="00E14F6E">
        <w:rPr>
          <w:sz w:val="28"/>
          <w:szCs w:val="28"/>
          <w:lang w:val="ru-RU"/>
        </w:rPr>
        <w:t>;</w:t>
      </w:r>
    </w:p>
    <w:p w14:paraId="4E0C7BC8" w14:textId="6ECD9185" w:rsidR="00946959" w:rsidRPr="007931A2" w:rsidRDefault="00946959" w:rsidP="00F72B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4F6E">
        <w:rPr>
          <w:rFonts w:ascii="Times New Roman" w:hAnsi="Times New Roman"/>
          <w:sz w:val="28"/>
          <w:szCs w:val="28"/>
          <w:shd w:val="clear" w:color="auto" w:fill="FFFFFF" w:themeFill="background1"/>
        </w:rPr>
        <w:t>пункт піс</w:t>
      </w:r>
      <w:r w:rsidRPr="007931A2">
        <w:rPr>
          <w:rFonts w:ascii="Times New Roman" w:hAnsi="Times New Roman"/>
          <w:sz w:val="28"/>
          <w:szCs w:val="28"/>
          <w:shd w:val="clear" w:color="auto" w:fill="FFFFFF" w:themeFill="background1"/>
        </w:rPr>
        <w:t>ля</w:t>
      </w:r>
      <w:r w:rsidR="00E14F6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підпункту 16 доповнити новим підпунктом </w:t>
      </w:r>
      <w:r w:rsidR="00E14F6E" w:rsidRPr="00E14F6E">
        <w:rPr>
          <w:rFonts w:ascii="Times New Roman" w:hAnsi="Times New Roman"/>
          <w:sz w:val="28"/>
          <w:szCs w:val="28"/>
          <w:shd w:val="clear" w:color="auto" w:fill="FFFFFF" w:themeFill="background1"/>
        </w:rPr>
        <w:t>16</w:t>
      </w:r>
      <w:r w:rsidR="00E14F6E">
        <w:rPr>
          <w:rFonts w:ascii="Times New Roman" w:hAnsi="Times New Roman"/>
          <w:sz w:val="28"/>
          <w:szCs w:val="28"/>
          <w:shd w:val="clear" w:color="auto" w:fill="FFFFFF" w:themeFill="background1"/>
          <w:vertAlign w:val="superscript"/>
        </w:rPr>
        <w:t>1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 такого змісту:</w:t>
      </w:r>
    </w:p>
    <w:p w14:paraId="2D4736FF" w14:textId="7BAD2F74" w:rsidR="00946959" w:rsidRPr="001516CB" w:rsidRDefault="000B298C" w:rsidP="0094695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6959" w:rsidRPr="007931A2">
        <w:rPr>
          <w:rFonts w:ascii="Times New Roman" w:hAnsi="Times New Roman"/>
          <w:sz w:val="28"/>
          <w:szCs w:val="28"/>
        </w:rPr>
        <w:t>16</w:t>
      </w:r>
      <w:r w:rsidR="00946959" w:rsidRPr="007931A2">
        <w:rPr>
          <w:rFonts w:ascii="Times New Roman" w:hAnsi="Times New Roman"/>
          <w:sz w:val="28"/>
          <w:szCs w:val="28"/>
          <w:vertAlign w:val="superscript"/>
        </w:rPr>
        <w:t>1</w:t>
      </w:r>
      <w:r w:rsidR="00946959" w:rsidRPr="007931A2">
        <w:rPr>
          <w:rFonts w:ascii="Times New Roman" w:hAnsi="Times New Roman"/>
          <w:sz w:val="28"/>
          <w:szCs w:val="28"/>
        </w:rPr>
        <w:t xml:space="preserve">) контроль над активом/об’єктом </w:t>
      </w:r>
      <w:r>
        <w:rPr>
          <w:rFonts w:ascii="Times New Roman" w:hAnsi="Times New Roman"/>
          <w:sz w:val="28"/>
          <w:szCs w:val="28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спроможність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 w:rsidR="00946959" w:rsidRPr="007931A2">
        <w:rPr>
          <w:rFonts w:ascii="Times New Roman" w:hAnsi="Times New Roman"/>
          <w:sz w:val="28"/>
          <w:szCs w:val="28"/>
        </w:rPr>
        <w:t>керувати використанням активу/</w:t>
      </w:r>
      <w:r w:rsidRPr="007931A2"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z w:val="28"/>
          <w:szCs w:val="28"/>
        </w:rPr>
        <w:t>а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 w:rsidR="00946959" w:rsidRPr="007931A2">
        <w:rPr>
          <w:rFonts w:ascii="Times New Roman" w:hAnsi="Times New Roman"/>
          <w:sz w:val="28"/>
          <w:szCs w:val="28"/>
        </w:rPr>
        <w:t xml:space="preserve">та отримувати </w:t>
      </w:r>
      <w:r>
        <w:rPr>
          <w:rFonts w:ascii="Times New Roman" w:hAnsi="Times New Roman"/>
          <w:sz w:val="28"/>
          <w:szCs w:val="28"/>
        </w:rPr>
        <w:t>в</w:t>
      </w:r>
      <w:r w:rsidRPr="007931A2">
        <w:rPr>
          <w:rFonts w:ascii="Times New Roman" w:hAnsi="Times New Roman"/>
          <w:sz w:val="28"/>
          <w:szCs w:val="28"/>
        </w:rPr>
        <w:t xml:space="preserve">сі </w:t>
      </w:r>
      <w:r w:rsidR="00946959" w:rsidRPr="007931A2">
        <w:rPr>
          <w:rFonts w:ascii="Times New Roman" w:hAnsi="Times New Roman"/>
          <w:sz w:val="28"/>
          <w:szCs w:val="28"/>
        </w:rPr>
        <w:t>вигоди від нього, включаючи спроможність забороняти іншим суб’єктам господарювання керувати використанням активу/</w:t>
      </w:r>
      <w:r w:rsidRPr="007931A2"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z w:val="28"/>
          <w:szCs w:val="28"/>
        </w:rPr>
        <w:t>а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 w:rsidR="00946959" w:rsidRPr="007931A2">
        <w:rPr>
          <w:rFonts w:ascii="Times New Roman" w:hAnsi="Times New Roman"/>
          <w:sz w:val="28"/>
          <w:szCs w:val="28"/>
        </w:rPr>
        <w:t xml:space="preserve">та отримувати вигоди від нього, згідно з Міжнародним стандартом фінансової звітності (МСФЗ) 15 </w:t>
      </w:r>
      <w:r w:rsidR="001516CB" w:rsidRPr="001516CB">
        <w:rPr>
          <w:rFonts w:ascii="Times New Roman" w:hAnsi="Times New Roman"/>
          <w:sz w:val="28"/>
          <w:szCs w:val="28"/>
        </w:rPr>
        <w:t>“</w:t>
      </w:r>
      <w:r w:rsidR="00946959" w:rsidRPr="007931A2">
        <w:rPr>
          <w:rFonts w:ascii="Times New Roman" w:hAnsi="Times New Roman"/>
          <w:sz w:val="28"/>
          <w:szCs w:val="28"/>
        </w:rPr>
        <w:t>Дохід від договорів з клієнтами”</w:t>
      </w:r>
      <w:r w:rsidR="0009540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E614C8">
        <w:rPr>
          <w:rFonts w:ascii="Times New Roman" w:hAnsi="Times New Roman"/>
          <w:sz w:val="28"/>
          <w:szCs w:val="28"/>
        </w:rPr>
        <w:t>;</w:t>
      </w:r>
    </w:p>
    <w:p w14:paraId="7F786AC1" w14:textId="499BC52D" w:rsidR="00946959" w:rsidRPr="007931A2" w:rsidRDefault="00E614C8" w:rsidP="00F72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підпункти 20, </w:t>
      </w:r>
      <w:r w:rsidRPr="00E614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0B298C">
        <w:rPr>
          <w:rFonts w:ascii="Times New Roman" w:hAnsi="Times New Roman"/>
          <w:sz w:val="28"/>
          <w:szCs w:val="28"/>
        </w:rPr>
        <w:t>–</w:t>
      </w:r>
      <w:r w:rsidRPr="00E614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946959" w:rsidRPr="00E614C8">
        <w:rPr>
          <w:rFonts w:ascii="Times New Roman" w:hAnsi="Times New Roman"/>
          <w:sz w:val="28"/>
          <w:szCs w:val="28"/>
        </w:rPr>
        <w:t>викласти в такій редакції:</w:t>
      </w:r>
    </w:p>
    <w:p w14:paraId="3FB151BD" w14:textId="322A0244" w:rsidR="00946959" w:rsidRPr="007575D9" w:rsidRDefault="00946959" w:rsidP="009D595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 xml:space="preserve">“20) </w:t>
      </w:r>
      <w:r w:rsidRPr="001F5D3E">
        <w:rPr>
          <w:sz w:val="28"/>
          <w:szCs w:val="28"/>
        </w:rPr>
        <w:t>кумулятивний коефіцієнт обслуговування (покриття) боргу (Debt-Service Coverage Ratio</w:t>
      </w:r>
      <w:r w:rsidRPr="001F5D3E" w:rsidDel="00962765">
        <w:rPr>
          <w:sz w:val="28"/>
          <w:szCs w:val="28"/>
        </w:rPr>
        <w:t xml:space="preserve"> </w:t>
      </w:r>
      <w:r w:rsidRPr="001F5D3E">
        <w:rPr>
          <w:sz w:val="28"/>
          <w:szCs w:val="28"/>
          <w:lang w:val="en-US"/>
        </w:rPr>
        <w:t>cumulative</w:t>
      </w:r>
      <w:r w:rsidRPr="001F5D3E">
        <w:rPr>
          <w:sz w:val="28"/>
          <w:szCs w:val="28"/>
        </w:rPr>
        <w:t>/DSCRс)</w:t>
      </w:r>
      <w:r w:rsidR="009D5951">
        <w:rPr>
          <w:sz w:val="28"/>
          <w:szCs w:val="28"/>
        </w:rPr>
        <w:t xml:space="preserve"> – показник, який </w:t>
      </w:r>
      <w:r w:rsidRPr="007931A2">
        <w:rPr>
          <w:sz w:val="28"/>
          <w:szCs w:val="28"/>
        </w:rPr>
        <w:t xml:space="preserve">розраховується як співвідношення майбутніх грошових потоків від операційної діяльності боржника </w:t>
      </w:r>
      <w:r w:rsidR="000B298C">
        <w:rPr>
          <w:sz w:val="28"/>
          <w:szCs w:val="28"/>
        </w:rPr>
        <w:t xml:space="preserve">– </w:t>
      </w:r>
      <w:r w:rsidRPr="007931A2">
        <w:rPr>
          <w:sz w:val="28"/>
          <w:szCs w:val="28"/>
        </w:rPr>
        <w:t xml:space="preserve">юридичної особи, які будуть згенеровані виключно внаслідок реалізації проєкту за період часу від звітної дати до дати закінчення дії кредитного договору, </w:t>
      </w:r>
      <w:r w:rsidR="000B298C">
        <w:rPr>
          <w:sz w:val="28"/>
          <w:szCs w:val="28"/>
        </w:rPr>
        <w:t>і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сукупного обсягу платежів за зобов’язаннями боржника</w:t>
      </w:r>
      <w:r w:rsidR="002468CD">
        <w:rPr>
          <w:sz w:val="28"/>
          <w:szCs w:val="28"/>
        </w:rPr>
        <w:t> 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юридичної особи за залученими коштами для реалізації  проєкту (кредити, позики, боргові цінні папери), що підлягатимуть сплаті за цей період часу;</w:t>
      </w:r>
    </w:p>
    <w:p w14:paraId="452DC331" w14:textId="77777777" w:rsidR="00936505" w:rsidRPr="007575D9" w:rsidRDefault="00936505" w:rsidP="00946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BDBD2" w14:textId="43E1086E" w:rsidR="00946959" w:rsidRPr="007931A2" w:rsidRDefault="00946959" w:rsidP="009D595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20</w:t>
      </w:r>
      <w:r w:rsidRPr="007931A2">
        <w:rPr>
          <w:sz w:val="28"/>
          <w:szCs w:val="28"/>
          <w:vertAlign w:val="superscript"/>
        </w:rPr>
        <w:t>1</w:t>
      </w:r>
      <w:r w:rsidRPr="007931A2">
        <w:rPr>
          <w:sz w:val="28"/>
          <w:szCs w:val="28"/>
        </w:rPr>
        <w:t xml:space="preserve">) майбутній грошовий потік від операційної діяльності боржника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юридичної особи (</w:t>
      </w:r>
      <w:r w:rsidRPr="007931A2">
        <w:rPr>
          <w:sz w:val="28"/>
          <w:szCs w:val="28"/>
          <w:lang w:val="en-US"/>
        </w:rPr>
        <w:t>F</w:t>
      </w:r>
      <w:r w:rsidRPr="007931A2">
        <w:rPr>
          <w:sz w:val="28"/>
          <w:szCs w:val="28"/>
        </w:rPr>
        <w:t xml:space="preserve">uture </w:t>
      </w:r>
      <w:r w:rsidRPr="007931A2">
        <w:rPr>
          <w:sz w:val="28"/>
          <w:szCs w:val="28"/>
          <w:lang w:val="en-US"/>
        </w:rPr>
        <w:t>C</w:t>
      </w:r>
      <w:r w:rsidRPr="007931A2">
        <w:rPr>
          <w:sz w:val="28"/>
          <w:szCs w:val="28"/>
        </w:rPr>
        <w:t xml:space="preserve">ash </w:t>
      </w:r>
      <w:r w:rsidRPr="007931A2">
        <w:rPr>
          <w:sz w:val="28"/>
          <w:szCs w:val="28"/>
          <w:lang w:val="en-US"/>
        </w:rPr>
        <w:t>F</w:t>
      </w:r>
      <w:r w:rsidRPr="007931A2">
        <w:rPr>
          <w:sz w:val="28"/>
          <w:szCs w:val="28"/>
        </w:rPr>
        <w:t xml:space="preserve">low from </w:t>
      </w:r>
      <w:r w:rsidRPr="007931A2">
        <w:rPr>
          <w:sz w:val="28"/>
          <w:szCs w:val="28"/>
          <w:lang w:val="en-US"/>
        </w:rPr>
        <w:t>O</w:t>
      </w:r>
      <w:r w:rsidRPr="007931A2">
        <w:rPr>
          <w:sz w:val="28"/>
          <w:szCs w:val="28"/>
        </w:rPr>
        <w:t>perating activities/</w:t>
      </w:r>
      <w:r w:rsidRPr="007931A2">
        <w:rPr>
          <w:sz w:val="28"/>
          <w:szCs w:val="28"/>
          <w:lang w:val="en-US"/>
        </w:rPr>
        <w:t>FCFO</w:t>
      </w:r>
      <w:r w:rsidRPr="007931A2">
        <w:rPr>
          <w:sz w:val="28"/>
          <w:szCs w:val="28"/>
        </w:rPr>
        <w:t xml:space="preserve">) – показник чистого руху коштів від операційної діяльності боржника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юридичної особи за спеціалізованим кредитом згідно з бізнес-планом проєкту</w:t>
      </w:r>
      <w:r w:rsidR="009D5951">
        <w:rPr>
          <w:sz w:val="28"/>
          <w:szCs w:val="28"/>
        </w:rPr>
        <w:t xml:space="preserve">, який </w:t>
      </w:r>
      <w:r w:rsidRPr="007931A2">
        <w:rPr>
          <w:sz w:val="28"/>
          <w:szCs w:val="28"/>
        </w:rPr>
        <w:t xml:space="preserve">визначається відповідно до вимог, </w:t>
      </w:r>
      <w:r w:rsidR="000B298C">
        <w:rPr>
          <w:sz w:val="28"/>
          <w:szCs w:val="28"/>
        </w:rPr>
        <w:t>у</w:t>
      </w:r>
      <w:r w:rsidRPr="007931A2">
        <w:rPr>
          <w:sz w:val="28"/>
          <w:szCs w:val="28"/>
        </w:rPr>
        <w:t>становлених Положенням (стандартом) бухгалтерського обліку 1, до визначення показника чистого руху коштів від операційної діяльності форми № 3 або № 3-к “Звіту про рух грошових коштів”</w:t>
      </w:r>
      <w:r w:rsidR="009D5951">
        <w:rPr>
          <w:sz w:val="28"/>
          <w:szCs w:val="28"/>
        </w:rPr>
        <w:t xml:space="preserve"> та т</w:t>
      </w:r>
      <w:r w:rsidRPr="007931A2">
        <w:rPr>
          <w:sz w:val="28"/>
          <w:szCs w:val="28"/>
        </w:rPr>
        <w:t xml:space="preserve">еперішня вартість </w:t>
      </w:r>
      <w:r w:rsidR="009D5951">
        <w:rPr>
          <w:sz w:val="28"/>
          <w:szCs w:val="28"/>
        </w:rPr>
        <w:t xml:space="preserve">якого </w:t>
      </w:r>
      <w:r w:rsidRPr="007931A2">
        <w:rPr>
          <w:sz w:val="28"/>
          <w:szCs w:val="28"/>
        </w:rPr>
        <w:t xml:space="preserve">визначається із застосуванням </w:t>
      </w:r>
      <w:r w:rsidRPr="007931A2">
        <w:rPr>
          <w:sz w:val="28"/>
          <w:szCs w:val="28"/>
          <w:lang w:eastAsia="ru-RU"/>
        </w:rPr>
        <w:t xml:space="preserve">первісної ефективної ставки відсотка за спеціалізованим кредитом (для фінансового зобов’язання з плаваючою процентною ставкою </w:t>
      </w:r>
      <w:r w:rsidR="000B298C">
        <w:rPr>
          <w:sz w:val="28"/>
          <w:szCs w:val="28"/>
          <w:lang w:eastAsia="ru-RU"/>
        </w:rPr>
        <w:t>–</w:t>
      </w:r>
      <w:r w:rsidR="000B298C" w:rsidRPr="007931A2">
        <w:rPr>
          <w:sz w:val="28"/>
          <w:szCs w:val="28"/>
          <w:lang w:eastAsia="ru-RU"/>
        </w:rPr>
        <w:t xml:space="preserve"> </w:t>
      </w:r>
      <w:r w:rsidRPr="007931A2">
        <w:rPr>
          <w:sz w:val="28"/>
          <w:szCs w:val="28"/>
          <w:lang w:eastAsia="ru-RU"/>
        </w:rPr>
        <w:t>ефективної ставки відсотка, що була розрахована під час останньої зміни номінальної процентної ставки)</w:t>
      </w:r>
      <w:r w:rsidRPr="007931A2">
        <w:rPr>
          <w:sz w:val="28"/>
          <w:szCs w:val="28"/>
        </w:rPr>
        <w:t>;</w:t>
      </w:r>
    </w:p>
    <w:p w14:paraId="07A5F83C" w14:textId="77777777" w:rsidR="00936505" w:rsidRPr="007575D9" w:rsidRDefault="00936505" w:rsidP="0094695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D8AD26" w14:textId="7B53CD20" w:rsidR="00946959" w:rsidRPr="007931A2" w:rsidRDefault="00946959" w:rsidP="0094695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20</w:t>
      </w:r>
      <w:r w:rsidRPr="007931A2">
        <w:rPr>
          <w:sz w:val="28"/>
          <w:szCs w:val="28"/>
          <w:vertAlign w:val="superscript"/>
        </w:rPr>
        <w:t>2</w:t>
      </w:r>
      <w:r w:rsidRPr="007931A2">
        <w:rPr>
          <w:sz w:val="28"/>
          <w:szCs w:val="28"/>
        </w:rPr>
        <w:t>) об’єктне фінансування – фінансування (кредитування) придбання активу/</w:t>
      </w:r>
      <w:r w:rsidR="000B298C" w:rsidRPr="007931A2">
        <w:rPr>
          <w:sz w:val="28"/>
          <w:szCs w:val="28"/>
        </w:rPr>
        <w:t>об’єкт</w:t>
      </w:r>
      <w:r w:rsidR="000B298C">
        <w:rPr>
          <w:sz w:val="28"/>
          <w:szCs w:val="28"/>
        </w:rPr>
        <w:t>а</w:t>
      </w:r>
      <w:r w:rsidRPr="007931A2">
        <w:rPr>
          <w:sz w:val="28"/>
          <w:szCs w:val="28"/>
        </w:rPr>
        <w:t>, включаючи морські, повітряні судна, супутники,  рухомий склад залізничного транспорту/вагони, парк транспортних засобів, джерелом погашення заборгованості за яким є грошові потоки від операційної діяльності, що генеруються внаслідок управління (використання/переда</w:t>
      </w:r>
      <w:r w:rsidR="000B298C">
        <w:rPr>
          <w:sz w:val="28"/>
          <w:szCs w:val="28"/>
        </w:rPr>
        <w:t>вання</w:t>
      </w:r>
      <w:r w:rsidRPr="007931A2">
        <w:rPr>
          <w:sz w:val="28"/>
          <w:szCs w:val="28"/>
        </w:rPr>
        <w:t xml:space="preserve"> в оренду/лізинг третій стороні) таким активом/об’єктом;</w:t>
      </w:r>
    </w:p>
    <w:p w14:paraId="0530C994" w14:textId="77777777" w:rsidR="00936505" w:rsidRPr="007575D9" w:rsidRDefault="00936505" w:rsidP="00043EDA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776266" w14:textId="7B312D82" w:rsidR="00946959" w:rsidRPr="007931A2" w:rsidRDefault="00946959" w:rsidP="00043EDA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20</w:t>
      </w:r>
      <w:r w:rsidRPr="007931A2">
        <w:rPr>
          <w:rFonts w:ascii="Times New Roman" w:hAnsi="Times New Roman"/>
          <w:sz w:val="28"/>
          <w:szCs w:val="28"/>
          <w:vertAlign w:val="superscript"/>
        </w:rPr>
        <w:t>3</w:t>
      </w:r>
      <w:r w:rsidRPr="007931A2">
        <w:rPr>
          <w:rFonts w:ascii="Times New Roman" w:hAnsi="Times New Roman"/>
          <w:sz w:val="28"/>
          <w:szCs w:val="28"/>
        </w:rPr>
        <w:t xml:space="preserve">) передексплуатаційний етап проєкту – етап реалізації 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проєкту за спеціалізованим кредитом, протягом якого визначення фінансових показників багатофакторної моделі </w:t>
      </w:r>
      <w:r w:rsidRPr="007931A2">
        <w:rPr>
          <w:rFonts w:ascii="Times New Roman" w:hAnsi="Times New Roman"/>
          <w:sz w:val="28"/>
          <w:szCs w:val="28"/>
        </w:rPr>
        <w:t xml:space="preserve">оцінки фінансового стану 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боржника </w:t>
      </w:r>
      <w:r w:rsidR="000B298C">
        <w:rPr>
          <w:rFonts w:ascii="Times New Roman" w:hAnsi="Times New Roman"/>
          <w:sz w:val="28"/>
          <w:szCs w:val="28"/>
          <w:lang w:eastAsia="ru-RU"/>
        </w:rPr>
        <w:t>–</w:t>
      </w:r>
      <w:r w:rsidR="000B298C" w:rsidRPr="007931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юридичної особи </w:t>
      </w:r>
      <w:r w:rsidRPr="007931A2">
        <w:rPr>
          <w:rFonts w:ascii="Times New Roman" w:hAnsi="Times New Roman"/>
          <w:sz w:val="28"/>
          <w:szCs w:val="28"/>
        </w:rPr>
        <w:t>ґрунтується на прогнозному грошовому потоці</w:t>
      </w:r>
      <w:r w:rsidR="00A9078C">
        <w:rPr>
          <w:rFonts w:ascii="Times New Roman" w:hAnsi="Times New Roman"/>
          <w:sz w:val="28"/>
          <w:szCs w:val="28"/>
        </w:rPr>
        <w:t>;</w:t>
      </w:r>
      <w:r w:rsidRPr="007931A2">
        <w:rPr>
          <w:rFonts w:ascii="Times New Roman" w:hAnsi="Times New Roman"/>
          <w:sz w:val="28"/>
          <w:szCs w:val="28"/>
        </w:rPr>
        <w:t>”;</w:t>
      </w:r>
    </w:p>
    <w:p w14:paraId="3AE92E60" w14:textId="25E54B59" w:rsidR="00043EDA" w:rsidRPr="007931A2" w:rsidRDefault="00946959" w:rsidP="00F72B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пункт після </w:t>
      </w:r>
      <w:r w:rsidR="00E614C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підпункту 22 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доповнити </w:t>
      </w:r>
      <w:r w:rsidR="00043EDA" w:rsidRPr="007931A2">
        <w:rPr>
          <w:rFonts w:ascii="Times New Roman" w:eastAsiaTheme="minorHAnsi" w:hAnsi="Times New Roman"/>
          <w:sz w:val="28"/>
          <w:szCs w:val="28"/>
        </w:rPr>
        <w:t xml:space="preserve">двома </w:t>
      </w:r>
      <w:r w:rsidR="000751B2" w:rsidRPr="007931A2">
        <w:rPr>
          <w:rFonts w:ascii="Times New Roman" w:eastAsiaTheme="minorHAnsi" w:hAnsi="Times New Roman"/>
          <w:sz w:val="28"/>
          <w:szCs w:val="28"/>
        </w:rPr>
        <w:t>новим</w:t>
      </w:r>
      <w:r w:rsidR="00E614C8">
        <w:rPr>
          <w:rFonts w:ascii="Times New Roman" w:eastAsiaTheme="minorHAnsi" w:hAnsi="Times New Roman"/>
          <w:sz w:val="28"/>
          <w:szCs w:val="28"/>
        </w:rPr>
        <w:t>и підпунктами 22</w:t>
      </w:r>
      <w:r w:rsidR="00E614C8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E614C8" w:rsidRPr="009534D3">
        <w:rPr>
          <w:rFonts w:ascii="Times New Roman" w:eastAsiaTheme="minorHAnsi" w:hAnsi="Times New Roman"/>
          <w:sz w:val="28"/>
          <w:szCs w:val="28"/>
        </w:rPr>
        <w:t xml:space="preserve"> </w:t>
      </w:r>
      <w:r w:rsidR="00E614C8">
        <w:rPr>
          <w:rFonts w:ascii="Times New Roman" w:eastAsiaTheme="minorHAnsi" w:hAnsi="Times New Roman"/>
          <w:sz w:val="28"/>
          <w:szCs w:val="28"/>
        </w:rPr>
        <w:t>та 22</w:t>
      </w:r>
      <w:r w:rsidR="00E614C8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0751B2" w:rsidRPr="007931A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31A2">
        <w:rPr>
          <w:rFonts w:ascii="Times New Roman" w:eastAsiaTheme="minorHAnsi" w:hAnsi="Times New Roman"/>
          <w:sz w:val="28"/>
          <w:szCs w:val="28"/>
        </w:rPr>
        <w:t>такого змісту:</w:t>
      </w:r>
    </w:p>
    <w:p w14:paraId="1E3151F4" w14:textId="37583F6E" w:rsidR="00043EDA" w:rsidRPr="007931A2" w:rsidRDefault="00946959" w:rsidP="0004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eastAsiaTheme="minorHAnsi" w:hAnsi="Times New Roman"/>
          <w:sz w:val="28"/>
          <w:szCs w:val="28"/>
          <w:lang w:val="ru-RU"/>
        </w:rPr>
        <w:t>“</w:t>
      </w:r>
      <w:r w:rsidR="00043EDA" w:rsidRPr="007931A2">
        <w:rPr>
          <w:rFonts w:ascii="Times New Roman" w:hAnsi="Times New Roman"/>
          <w:sz w:val="28"/>
          <w:szCs w:val="28"/>
        </w:rPr>
        <w:t>22</w:t>
      </w:r>
      <w:r w:rsidR="00043EDA" w:rsidRPr="007931A2">
        <w:rPr>
          <w:rFonts w:ascii="Times New Roman" w:hAnsi="Times New Roman"/>
          <w:sz w:val="28"/>
          <w:szCs w:val="28"/>
          <w:vertAlign w:val="superscript"/>
        </w:rPr>
        <w:t>1</w:t>
      </w:r>
      <w:r w:rsidR="00043EDA" w:rsidRPr="007931A2">
        <w:rPr>
          <w:rFonts w:ascii="Times New Roman" w:hAnsi="Times New Roman"/>
          <w:sz w:val="28"/>
          <w:szCs w:val="28"/>
        </w:rPr>
        <w:t>) проєкт – проєкт, фінансування якого здійснюється за одним із видів спеціалізованого кредитування (кредиту);</w:t>
      </w:r>
    </w:p>
    <w:p w14:paraId="3BB1D396" w14:textId="77777777" w:rsidR="00936505" w:rsidRPr="007575D9" w:rsidRDefault="00936505" w:rsidP="00043E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6F015A" w14:textId="5420F9FA" w:rsidR="00043EDA" w:rsidRPr="007931A2" w:rsidRDefault="00043EDA" w:rsidP="00043E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22</w:t>
      </w:r>
      <w:r w:rsidRPr="007931A2">
        <w:rPr>
          <w:rFonts w:ascii="Times New Roman" w:hAnsi="Times New Roman"/>
          <w:sz w:val="28"/>
          <w:szCs w:val="28"/>
          <w:vertAlign w:val="superscript"/>
        </w:rPr>
        <w:t>2</w:t>
      </w:r>
      <w:r w:rsidRPr="007931A2">
        <w:rPr>
          <w:rFonts w:ascii="Times New Roman" w:hAnsi="Times New Roman"/>
          <w:sz w:val="28"/>
          <w:szCs w:val="28"/>
        </w:rPr>
        <w:t xml:space="preserve">) проєктне фінансування </w:t>
      </w:r>
      <w:r w:rsidR="000B298C">
        <w:rPr>
          <w:rFonts w:ascii="Times New Roman" w:hAnsi="Times New Roman"/>
          <w:sz w:val="28"/>
          <w:szCs w:val="28"/>
        </w:rPr>
        <w:t>–</w:t>
      </w:r>
      <w:r w:rsidR="000B298C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фінансування (кредитування)/</w:t>
      </w:r>
      <w:r w:rsidR="000B298C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рефінансування спорудження активів/об’єктів, включаючи атомні станції, електростанції, активи/об’єкти промисловості та інфраструктури, що має форму капітального будівництва, джерелом погашення заборгованості за яким є грошові потоки від операційної діяльності, що генеруються внаслідок використання/експлуатації такого активу/об’єкт</w:t>
      </w:r>
      <w:r w:rsidR="000B298C">
        <w:rPr>
          <w:rFonts w:ascii="Times New Roman" w:hAnsi="Times New Roman"/>
          <w:sz w:val="28"/>
          <w:szCs w:val="28"/>
        </w:rPr>
        <w:t>а</w:t>
      </w:r>
      <w:r w:rsidRPr="007931A2">
        <w:rPr>
          <w:rFonts w:ascii="Times New Roman" w:hAnsi="Times New Roman"/>
          <w:sz w:val="28"/>
          <w:szCs w:val="28"/>
        </w:rPr>
        <w:t>;”</w:t>
      </w:r>
      <w:r w:rsidR="00E614C8">
        <w:rPr>
          <w:rFonts w:ascii="Times New Roman" w:hAnsi="Times New Roman"/>
          <w:sz w:val="28"/>
          <w:szCs w:val="28"/>
        </w:rPr>
        <w:t>;</w:t>
      </w:r>
    </w:p>
    <w:p w14:paraId="139E8B07" w14:textId="77E7D3DC" w:rsidR="00043EDA" w:rsidRPr="007931A2" w:rsidRDefault="00043EDA" w:rsidP="00F72B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пункт після </w:t>
      </w:r>
      <w:r w:rsidR="00E614C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підпункту 24 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доповнити </w:t>
      </w:r>
      <w:r w:rsidR="00E614C8">
        <w:rPr>
          <w:rFonts w:ascii="Times New Roman" w:eastAsiaTheme="minorHAnsi" w:hAnsi="Times New Roman"/>
          <w:sz w:val="28"/>
          <w:szCs w:val="28"/>
        </w:rPr>
        <w:t xml:space="preserve">двома </w:t>
      </w:r>
      <w:r w:rsidR="00936505" w:rsidRPr="007931A2">
        <w:rPr>
          <w:rFonts w:ascii="Times New Roman" w:eastAsiaTheme="minorHAnsi" w:hAnsi="Times New Roman"/>
          <w:sz w:val="28"/>
          <w:szCs w:val="28"/>
        </w:rPr>
        <w:t>новими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 </w:t>
      </w:r>
      <w:r w:rsidR="00E614C8">
        <w:rPr>
          <w:rFonts w:ascii="Times New Roman" w:eastAsiaTheme="minorHAnsi" w:hAnsi="Times New Roman"/>
          <w:sz w:val="28"/>
          <w:szCs w:val="28"/>
        </w:rPr>
        <w:t xml:space="preserve">підпунктами </w:t>
      </w:r>
      <w:r w:rsidR="00E614C8" w:rsidRPr="00E614C8">
        <w:rPr>
          <w:rFonts w:ascii="Times New Roman" w:eastAsiaTheme="minorHAnsi" w:hAnsi="Times New Roman"/>
          <w:sz w:val="28"/>
          <w:szCs w:val="28"/>
        </w:rPr>
        <w:t>24</w:t>
      </w:r>
      <w:r w:rsidR="00E614C8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E614C8" w:rsidRPr="008C7F35">
        <w:rPr>
          <w:rFonts w:ascii="Times New Roman" w:eastAsiaTheme="minorHAnsi" w:hAnsi="Times New Roman"/>
          <w:sz w:val="28"/>
          <w:szCs w:val="28"/>
        </w:rPr>
        <w:t xml:space="preserve"> </w:t>
      </w:r>
      <w:r w:rsidR="00E614C8" w:rsidRPr="00964DAC">
        <w:rPr>
          <w:rFonts w:ascii="Times New Roman" w:eastAsiaTheme="minorHAnsi" w:hAnsi="Times New Roman"/>
          <w:sz w:val="28"/>
          <w:szCs w:val="28"/>
        </w:rPr>
        <w:t>та</w:t>
      </w:r>
      <w:r w:rsidR="00E614C8" w:rsidRPr="008C7F35">
        <w:rPr>
          <w:rFonts w:ascii="Times New Roman" w:eastAsiaTheme="minorHAnsi" w:hAnsi="Times New Roman"/>
          <w:sz w:val="28"/>
          <w:szCs w:val="28"/>
        </w:rPr>
        <w:t xml:space="preserve"> </w:t>
      </w:r>
      <w:r w:rsidR="00E614C8" w:rsidRPr="00E614C8">
        <w:rPr>
          <w:rFonts w:ascii="Times New Roman" w:eastAsiaTheme="minorHAnsi" w:hAnsi="Times New Roman"/>
          <w:sz w:val="28"/>
          <w:szCs w:val="28"/>
        </w:rPr>
        <w:t>24</w:t>
      </w:r>
      <w:r w:rsidR="00E614C8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 такого змісту:</w:t>
      </w:r>
    </w:p>
    <w:p w14:paraId="3C623FB9" w14:textId="13B7A738" w:rsidR="00043EDA" w:rsidRDefault="00043EDA" w:rsidP="00043EDA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rFonts w:eastAsiaTheme="minorHAnsi"/>
          <w:sz w:val="28"/>
          <w:szCs w:val="28"/>
        </w:rPr>
        <w:t>“</w:t>
      </w:r>
      <w:r w:rsidRPr="007931A2">
        <w:rPr>
          <w:sz w:val="28"/>
          <w:szCs w:val="28"/>
        </w:rPr>
        <w:t>24</w:t>
      </w:r>
      <w:r w:rsidRPr="007931A2">
        <w:rPr>
          <w:sz w:val="28"/>
          <w:szCs w:val="28"/>
          <w:vertAlign w:val="superscript"/>
        </w:rPr>
        <w:t>1</w:t>
      </w:r>
      <w:r w:rsidRPr="007931A2">
        <w:rPr>
          <w:sz w:val="28"/>
          <w:szCs w:val="28"/>
        </w:rPr>
        <w:t xml:space="preserve">) спеціалізований кредит – вид довгострокового фінансування (кредитування) боржника – юридичної особи за одним </w:t>
      </w:r>
      <w:r w:rsidR="000050C9">
        <w:rPr>
          <w:sz w:val="28"/>
          <w:szCs w:val="28"/>
        </w:rPr>
        <w:t>і</w:t>
      </w:r>
      <w:r w:rsidRPr="007931A2">
        <w:rPr>
          <w:sz w:val="28"/>
          <w:szCs w:val="28"/>
        </w:rPr>
        <w:t>з таких напрямів: проєктне фінансування, об’єктне фінансування, фінансування нерухомого майна, що генерує дохід, який відповідає одночасно таким умовам:</w:t>
      </w:r>
    </w:p>
    <w:p w14:paraId="5D0C0F2E" w14:textId="0796D269" w:rsidR="00043EDA" w:rsidRPr="00936505" w:rsidRDefault="00043EDA" w:rsidP="00EF1F8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 xml:space="preserve">наданий  боржнику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юридичній особі, який є компанією спеціального призначення (SP</w:t>
      </w:r>
      <w:r w:rsidRPr="007931A2">
        <w:rPr>
          <w:sz w:val="28"/>
          <w:szCs w:val="28"/>
          <w:lang w:val="en-US"/>
        </w:rPr>
        <w:t>E</w:t>
      </w:r>
      <w:r w:rsidRPr="007931A2">
        <w:rPr>
          <w:sz w:val="28"/>
          <w:szCs w:val="28"/>
        </w:rPr>
        <w:t>);</w:t>
      </w:r>
      <w:r w:rsidRPr="007931A2">
        <w:rPr>
          <w:sz w:val="28"/>
          <w:szCs w:val="28"/>
          <w:lang w:val="ru-RU"/>
        </w:rPr>
        <w:t xml:space="preserve"> </w:t>
      </w:r>
    </w:p>
    <w:p w14:paraId="086723A4" w14:textId="428492A0" w:rsidR="00043EDA" w:rsidRPr="00936505" w:rsidRDefault="00043EDA" w:rsidP="00EF1F8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фінансування проєкту здійснюється спільно ініціатором і банком/банками</w:t>
      </w:r>
      <w:r w:rsidR="008A315E">
        <w:rPr>
          <w:sz w:val="28"/>
          <w:szCs w:val="28"/>
        </w:rPr>
        <w:t> 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учасниками консорціуму;</w:t>
      </w:r>
    </w:p>
    <w:p w14:paraId="5C32D0D7" w14:textId="4A128765" w:rsidR="00043EDA" w:rsidRPr="00936505" w:rsidRDefault="00043EDA" w:rsidP="00EF1F8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 xml:space="preserve">банк отримав у заставу корпоративні права боржника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юридичної особи </w:t>
      </w:r>
      <w:r w:rsidR="00C175F6" w:rsidRPr="007931A2">
        <w:rPr>
          <w:sz w:val="28"/>
          <w:szCs w:val="28"/>
        </w:rPr>
        <w:t>за спеціалізованим кредитом (крім об</w:t>
      </w:r>
      <w:r w:rsidR="00C175F6" w:rsidRPr="007931A2">
        <w:rPr>
          <w:sz w:val="28"/>
          <w:szCs w:val="28"/>
          <w:lang w:val="ru-RU"/>
        </w:rPr>
        <w:t>’</w:t>
      </w:r>
      <w:r w:rsidR="00C175F6" w:rsidRPr="007931A2">
        <w:rPr>
          <w:sz w:val="28"/>
          <w:szCs w:val="28"/>
        </w:rPr>
        <w:t xml:space="preserve">єктного фінансування) </w:t>
      </w:r>
      <w:r w:rsidRPr="007931A2">
        <w:rPr>
          <w:sz w:val="28"/>
          <w:szCs w:val="28"/>
        </w:rPr>
        <w:t xml:space="preserve">та має першочергове право на набуття їх у власність </w:t>
      </w:r>
      <w:r w:rsidR="000B298C">
        <w:rPr>
          <w:sz w:val="28"/>
          <w:szCs w:val="28"/>
        </w:rPr>
        <w:t>у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разі невиконання боржником </w:t>
      </w:r>
      <w:r w:rsidR="000B298C" w:rsidRPr="007931A2">
        <w:rPr>
          <w:sz w:val="28"/>
          <w:szCs w:val="28"/>
        </w:rPr>
        <w:t>зобов</w:t>
      </w:r>
      <w:r w:rsidR="000B298C">
        <w:rPr>
          <w:sz w:val="28"/>
          <w:szCs w:val="28"/>
        </w:rPr>
        <w:t>ʼ</w:t>
      </w:r>
      <w:r w:rsidR="000B298C" w:rsidRPr="007931A2">
        <w:rPr>
          <w:sz w:val="28"/>
          <w:szCs w:val="28"/>
        </w:rPr>
        <w:t xml:space="preserve">язань </w:t>
      </w:r>
      <w:r w:rsidRPr="007931A2">
        <w:rPr>
          <w:sz w:val="28"/>
          <w:szCs w:val="28"/>
        </w:rPr>
        <w:t xml:space="preserve">за спеціалізованим кредитом (для консорціумного кредитування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пропорційно до частки участі банків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учасників консорціуму в  проєкті згідно з умовами договору про консорціумне кредитування);</w:t>
      </w:r>
    </w:p>
    <w:p w14:paraId="2482AF22" w14:textId="77777777" w:rsidR="00043EDA" w:rsidRPr="007931A2" w:rsidRDefault="00043EDA" w:rsidP="00EF1F81">
      <w:pPr>
        <w:pStyle w:val="af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банк має першочергове право на:</w:t>
      </w:r>
    </w:p>
    <w:p w14:paraId="44857BD3" w14:textId="33C1FC25" w:rsidR="00043EDA" w:rsidRPr="007931A2" w:rsidRDefault="00043EDA" w:rsidP="008C7F3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 xml:space="preserve">отримання грошових потоків/очікуваних грошових потоків боржника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юридичної особи, що генеруються/генеруватимуться внаслідок реалізації проєкту за спеціалізованим кредитом;</w:t>
      </w:r>
    </w:p>
    <w:p w14:paraId="4EA4290A" w14:textId="7E1C1349" w:rsidR="00043EDA" w:rsidRPr="007931A2" w:rsidRDefault="00043EDA" w:rsidP="008C7F3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931A2">
        <w:rPr>
          <w:sz w:val="28"/>
          <w:szCs w:val="28"/>
        </w:rPr>
        <w:t>набуття у власність активу/</w:t>
      </w:r>
      <w:r w:rsidR="000B298C" w:rsidRPr="007931A2">
        <w:rPr>
          <w:sz w:val="28"/>
          <w:szCs w:val="28"/>
        </w:rPr>
        <w:t>об’єкт</w:t>
      </w:r>
      <w:r w:rsidR="000B298C">
        <w:rPr>
          <w:sz w:val="28"/>
          <w:szCs w:val="28"/>
        </w:rPr>
        <w:t>а</w:t>
      </w:r>
      <w:r w:rsidRPr="007931A2">
        <w:rPr>
          <w:sz w:val="28"/>
          <w:szCs w:val="28"/>
        </w:rPr>
        <w:t>, що споруджується/придба</w:t>
      </w:r>
      <w:r w:rsidR="000B298C">
        <w:rPr>
          <w:sz w:val="28"/>
          <w:szCs w:val="28"/>
        </w:rPr>
        <w:t>ва</w:t>
      </w:r>
      <w:r w:rsidRPr="007931A2">
        <w:rPr>
          <w:sz w:val="28"/>
          <w:szCs w:val="28"/>
        </w:rPr>
        <w:t>ється/</w:t>
      </w:r>
      <w:r w:rsidR="009534D3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управляється внаслідок реалізації проєкту за спеціалізованим кредитом </w:t>
      </w:r>
      <w:r w:rsidR="000B298C">
        <w:rPr>
          <w:sz w:val="28"/>
          <w:szCs w:val="28"/>
        </w:rPr>
        <w:t>у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разі невиконання/неналежного виконання боржником зобов</w:t>
      </w:r>
      <w:r w:rsidR="008A315E">
        <w:rPr>
          <w:sz w:val="28"/>
          <w:szCs w:val="28"/>
        </w:rPr>
        <w:t>’</w:t>
      </w:r>
      <w:r w:rsidRPr="007931A2">
        <w:rPr>
          <w:sz w:val="28"/>
          <w:szCs w:val="28"/>
        </w:rPr>
        <w:t>язань за кредитним договором;</w:t>
      </w:r>
    </w:p>
    <w:p w14:paraId="73F6F435" w14:textId="024EEAC5" w:rsidR="00043EDA" w:rsidRPr="007575D9" w:rsidRDefault="00043EDA" w:rsidP="008C7F3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931A2">
        <w:rPr>
          <w:sz w:val="28"/>
          <w:szCs w:val="28"/>
        </w:rPr>
        <w:t>банк отримав у заставу майнові права на актив/об’єкт, що споруджується, або актив/об’єкт, що придба</w:t>
      </w:r>
      <w:r w:rsidR="000B298C">
        <w:rPr>
          <w:sz w:val="28"/>
          <w:szCs w:val="28"/>
        </w:rPr>
        <w:t>ва</w:t>
      </w:r>
      <w:r w:rsidRPr="007931A2">
        <w:rPr>
          <w:sz w:val="28"/>
          <w:szCs w:val="28"/>
        </w:rPr>
        <w:t xml:space="preserve">ється/управляється внаслідок реалізації проєкту за спеціалізованим кредитом (для консорціумного кредитування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пропорційно до частки участі банків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учасників консорціуму в проєкті згідно з умовами договору про консорціумне кредитування); </w:t>
      </w:r>
    </w:p>
    <w:p w14:paraId="4F565582" w14:textId="77777777" w:rsidR="00936505" w:rsidRPr="007575D9" w:rsidRDefault="00936505" w:rsidP="009534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14:paraId="41D871CA" w14:textId="28ABBB1B" w:rsidR="00043EDA" w:rsidRPr="009D5951" w:rsidRDefault="00043EDA" w:rsidP="009534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  <w:lang w:val="ru-RU"/>
        </w:rPr>
        <w:t>24</w:t>
      </w:r>
      <w:r w:rsidRPr="007931A2">
        <w:rPr>
          <w:sz w:val="28"/>
          <w:szCs w:val="28"/>
          <w:vertAlign w:val="superscript"/>
          <w:lang w:val="ru-RU"/>
        </w:rPr>
        <w:t>2</w:t>
      </w:r>
      <w:r w:rsidRPr="007931A2">
        <w:rPr>
          <w:sz w:val="28"/>
          <w:szCs w:val="28"/>
        </w:rPr>
        <w:t xml:space="preserve">) </w:t>
      </w:r>
      <w:r w:rsidRPr="007931A2">
        <w:rPr>
          <w:sz w:val="28"/>
          <w:szCs w:val="28"/>
          <w:lang w:val="en-US"/>
        </w:rPr>
        <w:t>c</w:t>
      </w:r>
      <w:r w:rsidRPr="007931A2">
        <w:rPr>
          <w:sz w:val="28"/>
          <w:szCs w:val="28"/>
        </w:rPr>
        <w:t>трес</w:t>
      </w:r>
      <w:r w:rsidR="000B298C">
        <w:rPr>
          <w:sz w:val="28"/>
          <w:szCs w:val="28"/>
        </w:rPr>
        <w:t>-</w:t>
      </w:r>
      <w:r w:rsidRPr="007931A2">
        <w:rPr>
          <w:sz w:val="28"/>
          <w:szCs w:val="28"/>
        </w:rPr>
        <w:t xml:space="preserve">тестування боржника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юридичної особи (далі – стрес</w:t>
      </w:r>
      <w:r w:rsidR="000B298C">
        <w:rPr>
          <w:sz w:val="28"/>
          <w:szCs w:val="28"/>
        </w:rPr>
        <w:t>-</w:t>
      </w:r>
      <w:r w:rsidRPr="007931A2">
        <w:rPr>
          <w:sz w:val="28"/>
          <w:szCs w:val="28"/>
        </w:rPr>
        <w:t xml:space="preserve">тестування боржника)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аналіз </w:t>
      </w:r>
      <w:r w:rsidR="000B298C">
        <w:rPr>
          <w:sz w:val="28"/>
          <w:szCs w:val="28"/>
        </w:rPr>
        <w:t>спроможності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боржника </w:t>
      </w:r>
      <w:r w:rsidR="000B298C">
        <w:rPr>
          <w:sz w:val="28"/>
          <w:szCs w:val="28"/>
        </w:rPr>
        <w:t>–</w:t>
      </w:r>
      <w:r w:rsidR="000B298C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юридичної особи за спеціалізованим кредитом своєчасно та в повному обсязі виконувати свої зобов</w:t>
      </w:r>
      <w:r w:rsidR="008A315E">
        <w:rPr>
          <w:sz w:val="28"/>
          <w:szCs w:val="28"/>
        </w:rPr>
        <w:t>’</w:t>
      </w:r>
      <w:r w:rsidRPr="007931A2">
        <w:rPr>
          <w:sz w:val="28"/>
          <w:szCs w:val="28"/>
        </w:rPr>
        <w:t>язання перед банком в умовах стресу</w:t>
      </w:r>
      <w:r w:rsidR="00A9078C">
        <w:rPr>
          <w:sz w:val="28"/>
          <w:szCs w:val="28"/>
        </w:rPr>
        <w:t>;</w:t>
      </w:r>
      <w:r w:rsidR="009D5951" w:rsidRPr="009D5951">
        <w:rPr>
          <w:sz w:val="28"/>
          <w:szCs w:val="28"/>
          <w:lang w:val="ru-RU"/>
        </w:rPr>
        <w:t>”</w:t>
      </w:r>
      <w:r w:rsidR="009D5951">
        <w:rPr>
          <w:sz w:val="28"/>
          <w:szCs w:val="28"/>
        </w:rPr>
        <w:t>;</w:t>
      </w:r>
    </w:p>
    <w:p w14:paraId="138A2193" w14:textId="191F9578" w:rsidR="006D2166" w:rsidRPr="007931A2" w:rsidRDefault="006D2166" w:rsidP="009534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пункт після </w:t>
      </w:r>
      <w:r w:rsidR="00964DA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підпункту 27 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доповнити новим </w:t>
      </w:r>
      <w:r w:rsidR="00964DAC">
        <w:rPr>
          <w:rFonts w:ascii="Times New Roman" w:eastAsiaTheme="minorHAnsi" w:hAnsi="Times New Roman"/>
          <w:sz w:val="28"/>
          <w:szCs w:val="28"/>
        </w:rPr>
        <w:t>підпунктом 27</w:t>
      </w:r>
      <w:r w:rsidR="00964DAC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964DAC" w:rsidRPr="008C7F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31A2">
        <w:rPr>
          <w:rFonts w:ascii="Times New Roman" w:eastAsiaTheme="minorHAnsi" w:hAnsi="Times New Roman"/>
          <w:sz w:val="28"/>
          <w:szCs w:val="28"/>
        </w:rPr>
        <w:t>такого змісту:</w:t>
      </w:r>
    </w:p>
    <w:p w14:paraId="03A9F6A7" w14:textId="77CCCEE1" w:rsidR="006D2166" w:rsidRDefault="006D2166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“27</w:t>
      </w:r>
      <w:r w:rsidRPr="007931A2">
        <w:rPr>
          <w:rFonts w:ascii="Times New Roman" w:hAnsi="Times New Roman"/>
          <w:sz w:val="28"/>
          <w:szCs w:val="28"/>
          <w:vertAlign w:val="superscript"/>
        </w:rPr>
        <w:t>1</w:t>
      </w:r>
      <w:r w:rsidRPr="007931A2">
        <w:rPr>
          <w:rFonts w:ascii="Times New Roman" w:hAnsi="Times New Roman"/>
          <w:sz w:val="28"/>
          <w:szCs w:val="28"/>
        </w:rPr>
        <w:t>) фінансування нерухомого майна, що генерує дохід, – фінансування (кредитування) спорудження/придбання активів/об’єктів нерухомого майна, включаючи торговельні центри, багатоквартирні житлові будинки, виробничі та складські приміщення, офісні будівлі, готелі, джерелом погашення заборгованості за яким є грошові потоки від операційної діяльності, що генеруються внаслідок продажу, управління (використання/</w:t>
      </w:r>
      <w:r w:rsidR="000B298C" w:rsidRPr="007931A2">
        <w:rPr>
          <w:rFonts w:ascii="Times New Roman" w:hAnsi="Times New Roman"/>
          <w:sz w:val="28"/>
          <w:szCs w:val="28"/>
        </w:rPr>
        <w:t>переда</w:t>
      </w:r>
      <w:r w:rsidR="000B298C">
        <w:rPr>
          <w:rFonts w:ascii="Times New Roman" w:hAnsi="Times New Roman"/>
          <w:sz w:val="28"/>
          <w:szCs w:val="28"/>
        </w:rPr>
        <w:t>вання</w:t>
      </w:r>
      <w:r w:rsidR="000B298C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в оренду/лізинг третій стороні) активу/</w:t>
      </w:r>
      <w:r w:rsidR="000B298C" w:rsidRPr="007931A2">
        <w:rPr>
          <w:rFonts w:ascii="Times New Roman" w:hAnsi="Times New Roman"/>
          <w:sz w:val="28"/>
          <w:szCs w:val="28"/>
        </w:rPr>
        <w:t>об’єкт</w:t>
      </w:r>
      <w:r w:rsidR="000B298C">
        <w:rPr>
          <w:rFonts w:ascii="Times New Roman" w:hAnsi="Times New Roman"/>
          <w:sz w:val="28"/>
          <w:szCs w:val="28"/>
        </w:rPr>
        <w:t>а</w:t>
      </w:r>
      <w:r w:rsidRPr="007931A2">
        <w:rPr>
          <w:rFonts w:ascii="Times New Roman" w:hAnsi="Times New Roman"/>
          <w:sz w:val="28"/>
          <w:szCs w:val="28"/>
        </w:rPr>
        <w:t>;”</w:t>
      </w:r>
      <w:r w:rsidR="00115F3F">
        <w:rPr>
          <w:rFonts w:ascii="Times New Roman" w:hAnsi="Times New Roman"/>
          <w:sz w:val="28"/>
          <w:szCs w:val="28"/>
        </w:rPr>
        <w:t>;</w:t>
      </w:r>
    </w:p>
    <w:p w14:paraId="0D5985F3" w14:textId="7B79F18D" w:rsidR="00004857" w:rsidRDefault="00461A54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після підпункту 28 доповнити новим підпунктом 28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такого змісту</w:t>
      </w:r>
      <w:r w:rsidR="001D293D">
        <w:rPr>
          <w:rFonts w:ascii="Times New Roman" w:hAnsi="Times New Roman"/>
          <w:sz w:val="28"/>
          <w:szCs w:val="28"/>
        </w:rPr>
        <w:t>:</w:t>
      </w:r>
    </w:p>
    <w:p w14:paraId="7E33B63D" w14:textId="41894BA5" w:rsidR="00461A54" w:rsidRPr="00EF1F81" w:rsidRDefault="00546179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46E8" w:rsidRPr="00EF1F81">
        <w:rPr>
          <w:rFonts w:ascii="Times New Roman" w:hAnsi="Times New Roman"/>
          <w:sz w:val="28"/>
          <w:szCs w:val="28"/>
        </w:rPr>
        <w:t>28</w:t>
      </w:r>
      <w:r w:rsidR="005D46E8" w:rsidRPr="00EF1F81">
        <w:rPr>
          <w:rFonts w:ascii="Times New Roman" w:hAnsi="Times New Roman"/>
          <w:sz w:val="28"/>
          <w:szCs w:val="28"/>
          <w:vertAlign w:val="superscript"/>
        </w:rPr>
        <w:t>1</w:t>
      </w:r>
      <w:r w:rsidR="005D46E8" w:rsidRPr="00EF1F81">
        <w:rPr>
          <w:rFonts w:ascii="Times New Roman" w:hAnsi="Times New Roman"/>
          <w:sz w:val="28"/>
          <w:szCs w:val="28"/>
        </w:rPr>
        <w:t xml:space="preserve">) </w:t>
      </w:r>
      <w:r w:rsidR="007B69C1" w:rsidRPr="00EF1F81">
        <w:rPr>
          <w:rFonts w:ascii="Times New Roman" w:hAnsi="Times New Roman"/>
          <w:sz w:val="28"/>
          <w:szCs w:val="28"/>
        </w:rPr>
        <w:t>ч</w:t>
      </w:r>
      <w:r w:rsidR="00461A54" w:rsidRPr="00EF1F81">
        <w:rPr>
          <w:rFonts w:ascii="Times New Roman" w:hAnsi="Times New Roman"/>
          <w:sz w:val="28"/>
          <w:szCs w:val="28"/>
        </w:rPr>
        <w:t xml:space="preserve">истий рух коштів від операційної діяльності </w:t>
      </w:r>
      <w:r w:rsidR="00461A54" w:rsidRPr="00EF1F8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61A54" w:rsidRPr="00EF1F81">
        <w:rPr>
          <w:rFonts w:ascii="Times New Roman" w:hAnsi="Times New Roman"/>
          <w:sz w:val="28"/>
          <w:szCs w:val="28"/>
        </w:rPr>
        <w:t>показник, який визначається за формою №</w:t>
      </w:r>
      <w:r w:rsidR="00FB5341">
        <w:rPr>
          <w:rFonts w:ascii="Times New Roman" w:hAnsi="Times New Roman"/>
          <w:sz w:val="28"/>
          <w:szCs w:val="28"/>
        </w:rPr>
        <w:t> </w:t>
      </w:r>
      <w:r w:rsidR="00461A54" w:rsidRPr="00EF1F81">
        <w:rPr>
          <w:rFonts w:ascii="Times New Roman" w:hAnsi="Times New Roman"/>
          <w:sz w:val="28"/>
          <w:szCs w:val="28"/>
        </w:rPr>
        <w:t>3 або №</w:t>
      </w:r>
      <w:r w:rsidR="00FB5341">
        <w:rPr>
          <w:rFonts w:ascii="Times New Roman" w:hAnsi="Times New Roman"/>
          <w:sz w:val="28"/>
          <w:szCs w:val="28"/>
        </w:rPr>
        <w:t> </w:t>
      </w:r>
      <w:r w:rsidR="00461A54" w:rsidRPr="00EF1F81">
        <w:rPr>
          <w:rFonts w:ascii="Times New Roman" w:hAnsi="Times New Roman"/>
          <w:sz w:val="28"/>
          <w:szCs w:val="28"/>
        </w:rPr>
        <w:t xml:space="preserve">3-к “Звіт про рух грошових коштів” (рядок 3195 графи 3) або розраховується </w:t>
      </w:r>
      <w:r w:rsidR="005D46E8" w:rsidRPr="00EF1F81">
        <w:rPr>
          <w:rFonts w:ascii="Times New Roman" w:hAnsi="Times New Roman"/>
          <w:sz w:val="28"/>
          <w:szCs w:val="28"/>
        </w:rPr>
        <w:t xml:space="preserve">непрямим методом як </w:t>
      </w:r>
      <w:r w:rsidR="00461A54" w:rsidRPr="00EF1F81">
        <w:rPr>
          <w:rFonts w:ascii="Times New Roman" w:hAnsi="Times New Roman"/>
          <w:sz w:val="28"/>
          <w:szCs w:val="28"/>
        </w:rPr>
        <w:t xml:space="preserve">чистий рух коштів від операційної діяльності з використанням даних квартальної фінансової звітності боржника </w:t>
      </w:r>
      <w:r w:rsidRPr="008C7F35">
        <w:rPr>
          <w:rFonts w:ascii="Times New Roman" w:hAnsi="Times New Roman"/>
          <w:sz w:val="28"/>
          <w:szCs w:val="28"/>
        </w:rPr>
        <w:t>[</w:t>
      </w:r>
      <w:r w:rsidR="00461A54" w:rsidRPr="00EF1F81">
        <w:rPr>
          <w:rFonts w:ascii="Times New Roman" w:hAnsi="Times New Roman"/>
          <w:sz w:val="28"/>
          <w:szCs w:val="28"/>
        </w:rPr>
        <w:t>форми № 1 “Баланс (Звіт про фінансовий стан)” (1-м, 1-мс) та форми №</w:t>
      </w:r>
      <w:r w:rsidR="00FB5341">
        <w:rPr>
          <w:rFonts w:ascii="Times New Roman" w:hAnsi="Times New Roman"/>
          <w:sz w:val="28"/>
          <w:szCs w:val="28"/>
        </w:rPr>
        <w:t> </w:t>
      </w:r>
      <w:r w:rsidR="00461A54" w:rsidRPr="00EF1F81">
        <w:rPr>
          <w:rFonts w:ascii="Times New Roman" w:hAnsi="Times New Roman"/>
          <w:sz w:val="28"/>
          <w:szCs w:val="28"/>
        </w:rPr>
        <w:t>2 (2-м, 2-мс) “Звіт про фінансові результати</w:t>
      </w:r>
      <w:r w:rsidRPr="00EF1F81">
        <w:rPr>
          <w:rFonts w:ascii="Times New Roman" w:hAnsi="Times New Roman"/>
          <w:sz w:val="28"/>
          <w:szCs w:val="28"/>
        </w:rPr>
        <w:t>”</w:t>
      </w:r>
      <w:r w:rsidRPr="008C7F35">
        <w:rPr>
          <w:rFonts w:ascii="Times New Roman" w:hAnsi="Times New Roman"/>
          <w:sz w:val="28"/>
          <w:szCs w:val="28"/>
        </w:rPr>
        <w:t>]</w:t>
      </w:r>
      <w:r w:rsidRPr="00EF1F81">
        <w:rPr>
          <w:rFonts w:ascii="Times New Roman" w:hAnsi="Times New Roman"/>
          <w:sz w:val="28"/>
          <w:szCs w:val="28"/>
        </w:rPr>
        <w:t xml:space="preserve"> </w:t>
      </w:r>
      <w:r w:rsidR="00461A54" w:rsidRPr="00EF1F81">
        <w:rPr>
          <w:rFonts w:ascii="Times New Roman" w:hAnsi="Times New Roman"/>
          <w:sz w:val="28"/>
          <w:szCs w:val="28"/>
        </w:rPr>
        <w:t>відповідно до Національного положення (стандарту) бухгалтерського обліку 1 “Загальні вимоги до фінансової звітності”, затвердженого наказом Міністерства фінансів України від 07 лютого 2013 року №</w:t>
      </w:r>
      <w:r w:rsidR="00FB5341">
        <w:rPr>
          <w:rFonts w:ascii="Times New Roman" w:hAnsi="Times New Roman"/>
          <w:sz w:val="28"/>
          <w:szCs w:val="28"/>
        </w:rPr>
        <w:t> </w:t>
      </w:r>
      <w:r w:rsidR="00461A54" w:rsidRPr="00EF1F81">
        <w:rPr>
          <w:rFonts w:ascii="Times New Roman" w:hAnsi="Times New Roman"/>
          <w:sz w:val="28"/>
          <w:szCs w:val="28"/>
        </w:rPr>
        <w:t>73, зареєстрованого в Міністерстві юстиції України 28 лютого 2013 року за №</w:t>
      </w:r>
      <w:r w:rsidR="00FB5341">
        <w:rPr>
          <w:rFonts w:ascii="Times New Roman" w:hAnsi="Times New Roman"/>
          <w:sz w:val="28"/>
          <w:szCs w:val="28"/>
        </w:rPr>
        <w:t> </w:t>
      </w:r>
      <w:r w:rsidR="00461A54" w:rsidRPr="00EF1F81">
        <w:rPr>
          <w:rFonts w:ascii="Times New Roman" w:hAnsi="Times New Roman"/>
          <w:sz w:val="28"/>
          <w:szCs w:val="28"/>
        </w:rPr>
        <w:t>336/22868 (зі змінами)</w:t>
      </w:r>
      <w:r>
        <w:rPr>
          <w:rFonts w:ascii="Times New Roman" w:hAnsi="Times New Roman"/>
          <w:sz w:val="28"/>
          <w:szCs w:val="28"/>
        </w:rPr>
        <w:t>,</w:t>
      </w:r>
      <w:r w:rsidR="00461A54" w:rsidRPr="00EF1F81">
        <w:rPr>
          <w:rFonts w:ascii="Times New Roman" w:hAnsi="Times New Roman"/>
          <w:sz w:val="28"/>
          <w:szCs w:val="28"/>
        </w:rPr>
        <w:t xml:space="preserve"> та нормативно-правовими актами Міністерства фінансів України з питань складання фінансової звітності</w:t>
      </w:r>
      <w:r w:rsidR="005D46E8" w:rsidRPr="00EF1F81">
        <w:rPr>
          <w:rFonts w:ascii="Times New Roman" w:hAnsi="Times New Roman"/>
          <w:sz w:val="28"/>
          <w:szCs w:val="28"/>
        </w:rPr>
        <w:t xml:space="preserve"> щодо боржників – юридичних осіб, які відповідно до вимог законодавства України  не складають квартальну фінансову звітність за формою №</w:t>
      </w:r>
      <w:r w:rsidR="00FB5341">
        <w:rPr>
          <w:rFonts w:ascii="Times New Roman" w:hAnsi="Times New Roman"/>
          <w:sz w:val="28"/>
          <w:szCs w:val="28"/>
        </w:rPr>
        <w:t> </w:t>
      </w:r>
      <w:r w:rsidR="005D46E8" w:rsidRPr="00EF1F81">
        <w:rPr>
          <w:rFonts w:ascii="Times New Roman" w:hAnsi="Times New Roman"/>
          <w:sz w:val="28"/>
          <w:szCs w:val="28"/>
        </w:rPr>
        <w:t>3 або №</w:t>
      </w:r>
      <w:r w:rsidR="00FB5341">
        <w:rPr>
          <w:rFonts w:ascii="Times New Roman" w:hAnsi="Times New Roman"/>
          <w:sz w:val="28"/>
          <w:szCs w:val="28"/>
        </w:rPr>
        <w:t> </w:t>
      </w:r>
      <w:r w:rsidR="005D46E8" w:rsidRPr="00EF1F81">
        <w:rPr>
          <w:rFonts w:ascii="Times New Roman" w:hAnsi="Times New Roman"/>
          <w:sz w:val="28"/>
          <w:szCs w:val="28"/>
        </w:rPr>
        <w:t>3-к “Звіт про рух грошових коштів”, щодо боржників – юридичних осіб, які відповідно до вимог законодавства України  не складають квартальну фінансову звітність за формою №</w:t>
      </w:r>
      <w:r w:rsidR="00A9078C">
        <w:rPr>
          <w:rFonts w:ascii="Times New Roman" w:hAnsi="Times New Roman"/>
          <w:sz w:val="28"/>
          <w:szCs w:val="28"/>
        </w:rPr>
        <w:t> </w:t>
      </w:r>
      <w:r w:rsidR="005D46E8" w:rsidRPr="00EF1F81">
        <w:rPr>
          <w:rFonts w:ascii="Times New Roman" w:hAnsi="Times New Roman"/>
          <w:sz w:val="28"/>
          <w:szCs w:val="28"/>
        </w:rPr>
        <w:t>3 або №</w:t>
      </w:r>
      <w:r w:rsidR="00A9078C">
        <w:rPr>
          <w:rFonts w:ascii="Times New Roman" w:hAnsi="Times New Roman"/>
          <w:sz w:val="28"/>
          <w:szCs w:val="28"/>
        </w:rPr>
        <w:t> </w:t>
      </w:r>
      <w:r w:rsidR="005D46E8" w:rsidRPr="00EF1F81">
        <w:rPr>
          <w:rFonts w:ascii="Times New Roman" w:hAnsi="Times New Roman"/>
          <w:sz w:val="28"/>
          <w:szCs w:val="28"/>
        </w:rPr>
        <w:t>3-к “Звіт про рух грошових коштів”</w:t>
      </w:r>
      <w:r w:rsidR="00461A54" w:rsidRPr="00EF1F8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»</w:t>
      </w:r>
      <w:r w:rsidR="005D46E8" w:rsidRPr="00EF1F81">
        <w:rPr>
          <w:rFonts w:ascii="Times New Roman" w:hAnsi="Times New Roman"/>
          <w:sz w:val="28"/>
          <w:szCs w:val="28"/>
        </w:rPr>
        <w:t>;</w:t>
      </w:r>
    </w:p>
    <w:p w14:paraId="6652B703" w14:textId="198D373B" w:rsidR="00461A54" w:rsidRPr="007931A2" w:rsidRDefault="00461A54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518452B" w14:textId="66ED35CA" w:rsidR="006C256B" w:rsidRPr="007931A2" w:rsidRDefault="00115F3F" w:rsidP="009534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підпункт 5 </w:t>
      </w:r>
      <w:r w:rsidR="006C256B" w:rsidRPr="007931A2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6C256B" w:rsidRPr="007931A2">
        <w:rPr>
          <w:rFonts w:ascii="Times New Roman" w:eastAsiaTheme="minorHAnsi" w:hAnsi="Times New Roman"/>
          <w:sz w:val="28"/>
          <w:szCs w:val="28"/>
        </w:rPr>
        <w:t xml:space="preserve"> 13 після абзацу третього доповнити новим абзацом четвертим такого змісту:</w:t>
      </w:r>
    </w:p>
    <w:p w14:paraId="494C79DA" w14:textId="6BBFB511" w:rsidR="006C256B" w:rsidRPr="007931A2" w:rsidRDefault="006C256B" w:rsidP="009534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931A2">
        <w:rPr>
          <w:rFonts w:eastAsiaTheme="minorHAnsi"/>
          <w:sz w:val="28"/>
          <w:szCs w:val="28"/>
          <w:lang w:val="ru-RU"/>
        </w:rPr>
        <w:t>“</w:t>
      </w:r>
      <w:r w:rsidRPr="007931A2">
        <w:rPr>
          <w:sz w:val="28"/>
          <w:szCs w:val="28"/>
        </w:rPr>
        <w:t>визначення значень субфакторів, компонентів субфакторів багатофакторної моделі за спеціалізованим кредитом у межах діапазонів, передбачених цим Положенням;</w:t>
      </w:r>
      <w:r w:rsidRPr="007931A2">
        <w:rPr>
          <w:sz w:val="28"/>
          <w:szCs w:val="28"/>
          <w:lang w:val="ru-RU"/>
        </w:rPr>
        <w:t>”.</w:t>
      </w:r>
    </w:p>
    <w:p w14:paraId="668DAF03" w14:textId="400F4A9E" w:rsidR="006C256B" w:rsidRPr="007931A2" w:rsidRDefault="006C256B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У зв’язку з цим абзац</w:t>
      </w:r>
      <w:r w:rsidR="00115F3F">
        <w:rPr>
          <w:rFonts w:ascii="Times New Roman" w:hAnsi="Times New Roman"/>
          <w:sz w:val="28"/>
          <w:szCs w:val="28"/>
        </w:rPr>
        <w:t>и</w:t>
      </w:r>
      <w:r w:rsidRPr="007931A2">
        <w:rPr>
          <w:rFonts w:ascii="Times New Roman" w:hAnsi="Times New Roman"/>
          <w:sz w:val="28"/>
          <w:szCs w:val="28"/>
        </w:rPr>
        <w:t xml:space="preserve"> четвертий </w:t>
      </w:r>
      <w:r w:rsidR="00115F3F">
        <w:rPr>
          <w:rFonts w:ascii="Times New Roman" w:hAnsi="Times New Roman"/>
          <w:sz w:val="28"/>
          <w:szCs w:val="28"/>
        </w:rPr>
        <w:t xml:space="preserve">– сьомий </w:t>
      </w:r>
      <w:r w:rsidRPr="007931A2">
        <w:rPr>
          <w:rFonts w:ascii="Times New Roman" w:hAnsi="Times New Roman"/>
          <w:sz w:val="28"/>
          <w:szCs w:val="28"/>
        </w:rPr>
        <w:t xml:space="preserve">уважати </w:t>
      </w:r>
      <w:r w:rsidR="00115F3F">
        <w:rPr>
          <w:rFonts w:ascii="Times New Roman" w:hAnsi="Times New Roman"/>
          <w:sz w:val="28"/>
          <w:szCs w:val="28"/>
        </w:rPr>
        <w:t xml:space="preserve">відповідно </w:t>
      </w:r>
      <w:r w:rsidR="00546179" w:rsidRPr="007931A2">
        <w:rPr>
          <w:rFonts w:ascii="Times New Roman" w:hAnsi="Times New Roman"/>
          <w:sz w:val="28"/>
          <w:szCs w:val="28"/>
        </w:rPr>
        <w:t>абзац</w:t>
      </w:r>
      <w:r w:rsidR="00546179">
        <w:rPr>
          <w:rFonts w:ascii="Times New Roman" w:hAnsi="Times New Roman"/>
          <w:sz w:val="28"/>
          <w:szCs w:val="28"/>
        </w:rPr>
        <w:t>ами</w:t>
      </w:r>
      <w:r w:rsidR="00546179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п</w:t>
      </w:r>
      <w:r w:rsidRPr="007931A2">
        <w:rPr>
          <w:rFonts w:ascii="Times New Roman" w:hAnsi="Times New Roman"/>
          <w:sz w:val="28"/>
          <w:szCs w:val="28"/>
          <w:lang w:val="ru-RU"/>
        </w:rPr>
        <w:t>’</w:t>
      </w:r>
      <w:r w:rsidRPr="007931A2">
        <w:rPr>
          <w:rFonts w:ascii="Times New Roman" w:hAnsi="Times New Roman"/>
          <w:sz w:val="28"/>
          <w:szCs w:val="28"/>
        </w:rPr>
        <w:t>ятим</w:t>
      </w:r>
      <w:r w:rsidR="00115F3F">
        <w:rPr>
          <w:rFonts w:ascii="Times New Roman" w:hAnsi="Times New Roman"/>
          <w:sz w:val="28"/>
          <w:szCs w:val="28"/>
        </w:rPr>
        <w:t xml:space="preserve"> – восьмим</w:t>
      </w:r>
      <w:r w:rsidRPr="007931A2">
        <w:rPr>
          <w:rFonts w:ascii="Times New Roman" w:hAnsi="Times New Roman"/>
          <w:sz w:val="28"/>
          <w:szCs w:val="28"/>
        </w:rPr>
        <w:t>;</w:t>
      </w:r>
    </w:p>
    <w:p w14:paraId="2BFFAE7F" w14:textId="77777777" w:rsidR="006C256B" w:rsidRPr="007931A2" w:rsidRDefault="006C256B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1B1E1C" w14:textId="0A76B7AD" w:rsidR="006C256B" w:rsidRPr="007931A2" w:rsidRDefault="006C256B" w:rsidP="009534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31A2">
        <w:rPr>
          <w:rFonts w:ascii="Times New Roman" w:eastAsiaTheme="minorHAnsi" w:hAnsi="Times New Roman"/>
          <w:sz w:val="28"/>
          <w:szCs w:val="28"/>
        </w:rPr>
        <w:t>пункт 22 після абзацу де</w:t>
      </w:r>
      <w:r w:rsidR="00335E60">
        <w:rPr>
          <w:rFonts w:ascii="Times New Roman" w:eastAsiaTheme="minorHAnsi" w:hAnsi="Times New Roman"/>
          <w:sz w:val="28"/>
          <w:szCs w:val="28"/>
        </w:rPr>
        <w:t>в’ятого</w:t>
      </w:r>
      <w:r w:rsidRPr="007931A2">
        <w:rPr>
          <w:rFonts w:ascii="Times New Roman" w:eastAsiaTheme="minorHAnsi" w:hAnsi="Times New Roman"/>
          <w:sz w:val="28"/>
          <w:szCs w:val="28"/>
        </w:rPr>
        <w:t xml:space="preserve"> доповнити новим абзацом </w:t>
      </w:r>
      <w:r w:rsidR="00335E60">
        <w:rPr>
          <w:rFonts w:ascii="Times New Roman" w:eastAsiaTheme="minorHAnsi" w:hAnsi="Times New Roman"/>
          <w:sz w:val="28"/>
          <w:szCs w:val="28"/>
        </w:rPr>
        <w:t>десятим</w:t>
      </w:r>
      <w:r w:rsidR="00335E60" w:rsidRPr="007931A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31A2">
        <w:rPr>
          <w:rFonts w:ascii="Times New Roman" w:eastAsiaTheme="minorHAnsi" w:hAnsi="Times New Roman"/>
          <w:sz w:val="28"/>
          <w:szCs w:val="28"/>
        </w:rPr>
        <w:t>такого змісту:</w:t>
      </w:r>
    </w:p>
    <w:p w14:paraId="7805E4A7" w14:textId="07712E36" w:rsidR="006C256B" w:rsidRPr="007931A2" w:rsidRDefault="006C256B" w:rsidP="009534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931A2">
        <w:rPr>
          <w:sz w:val="28"/>
          <w:szCs w:val="28"/>
          <w:lang w:val="ru-RU"/>
        </w:rPr>
        <w:t>“</w:t>
      </w:r>
      <w:r w:rsidRPr="007931A2">
        <w:rPr>
          <w:sz w:val="28"/>
          <w:szCs w:val="28"/>
        </w:rPr>
        <w:t>8) характеристик, визначених у пункті</w:t>
      </w:r>
      <w:r w:rsidRPr="007931A2">
        <w:rPr>
          <w:sz w:val="28"/>
          <w:szCs w:val="28"/>
          <w:lang w:val="ru-RU"/>
        </w:rPr>
        <w:t xml:space="preserve"> 67</w:t>
      </w:r>
      <w:r w:rsidRPr="007931A2">
        <w:rPr>
          <w:sz w:val="28"/>
          <w:szCs w:val="28"/>
          <w:vertAlign w:val="superscript"/>
          <w:lang w:val="ru-RU"/>
        </w:rPr>
        <w:t>4</w:t>
      </w:r>
      <w:r w:rsidRPr="007931A2">
        <w:rPr>
          <w:sz w:val="28"/>
          <w:szCs w:val="28"/>
        </w:rPr>
        <w:t xml:space="preserve"> розділу </w:t>
      </w:r>
      <w:r w:rsidRPr="007931A2">
        <w:rPr>
          <w:sz w:val="28"/>
          <w:szCs w:val="28"/>
          <w:lang w:val="en-US"/>
        </w:rPr>
        <w:t>IV</w:t>
      </w:r>
      <w:r w:rsidRPr="007931A2">
        <w:rPr>
          <w:sz w:val="28"/>
          <w:szCs w:val="28"/>
          <w:vertAlign w:val="superscript"/>
          <w:lang w:val="ru-RU"/>
        </w:rPr>
        <w:t>1</w:t>
      </w:r>
      <w:r w:rsidRPr="007931A2">
        <w:rPr>
          <w:sz w:val="28"/>
          <w:szCs w:val="28"/>
          <w:lang w:val="ru-RU"/>
        </w:rPr>
        <w:t xml:space="preserve"> цього Положення (ураховується для боржника </w:t>
      </w:r>
      <w:r w:rsidR="008A315E">
        <w:rPr>
          <w:sz w:val="28"/>
          <w:szCs w:val="28"/>
          <w:lang w:val="ru-RU"/>
        </w:rPr>
        <w:t>–</w:t>
      </w:r>
      <w:r w:rsidRPr="007931A2">
        <w:rPr>
          <w:sz w:val="28"/>
          <w:szCs w:val="28"/>
          <w:lang w:val="ru-RU"/>
        </w:rPr>
        <w:t xml:space="preserve"> </w:t>
      </w:r>
      <w:r w:rsidRPr="007931A2">
        <w:rPr>
          <w:bCs/>
          <w:sz w:val="28"/>
          <w:szCs w:val="28"/>
        </w:rPr>
        <w:t xml:space="preserve">юридичної особи за </w:t>
      </w:r>
      <w:r w:rsidRPr="007931A2">
        <w:rPr>
          <w:sz w:val="28"/>
          <w:szCs w:val="28"/>
        </w:rPr>
        <w:t>спеціалізованим кредитом).</w:t>
      </w:r>
      <w:r w:rsidRPr="007931A2">
        <w:rPr>
          <w:sz w:val="28"/>
          <w:szCs w:val="28"/>
          <w:lang w:val="ru-RU"/>
        </w:rPr>
        <w:t>”.</w:t>
      </w:r>
    </w:p>
    <w:p w14:paraId="2EDA438D" w14:textId="01438F53" w:rsidR="006C256B" w:rsidRPr="007931A2" w:rsidRDefault="006C256B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У зв’язку з цим абзац</w:t>
      </w:r>
      <w:r w:rsidR="001D79E4">
        <w:rPr>
          <w:rFonts w:ascii="Times New Roman" w:hAnsi="Times New Roman"/>
          <w:sz w:val="28"/>
          <w:szCs w:val="28"/>
        </w:rPr>
        <w:t>и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 w:rsidR="00335E60">
        <w:rPr>
          <w:rFonts w:ascii="Times New Roman" w:hAnsi="Times New Roman"/>
          <w:sz w:val="28"/>
          <w:szCs w:val="28"/>
        </w:rPr>
        <w:t xml:space="preserve">десятий, </w:t>
      </w:r>
      <w:r w:rsidR="001D79E4">
        <w:rPr>
          <w:rFonts w:ascii="Times New Roman" w:eastAsiaTheme="minorHAnsi" w:hAnsi="Times New Roman"/>
          <w:sz w:val="28"/>
          <w:szCs w:val="28"/>
        </w:rPr>
        <w:t>одинадцятий</w:t>
      </w:r>
      <w:r w:rsidR="00936505">
        <w:rPr>
          <w:rFonts w:ascii="Times New Roman" w:hAnsi="Times New Roman"/>
          <w:sz w:val="28"/>
          <w:szCs w:val="28"/>
        </w:rPr>
        <w:t xml:space="preserve"> уважати </w:t>
      </w:r>
      <w:r w:rsidR="001D79E4">
        <w:rPr>
          <w:rFonts w:ascii="Times New Roman" w:hAnsi="Times New Roman"/>
          <w:sz w:val="28"/>
          <w:szCs w:val="28"/>
        </w:rPr>
        <w:t xml:space="preserve">відповідно </w:t>
      </w:r>
      <w:r w:rsidR="00936505">
        <w:rPr>
          <w:rFonts w:ascii="Times New Roman" w:hAnsi="Times New Roman"/>
          <w:sz w:val="28"/>
          <w:szCs w:val="28"/>
        </w:rPr>
        <w:t>абзац</w:t>
      </w:r>
      <w:r w:rsidR="001D79E4">
        <w:rPr>
          <w:rFonts w:ascii="Times New Roman" w:hAnsi="Times New Roman"/>
          <w:sz w:val="28"/>
          <w:szCs w:val="28"/>
        </w:rPr>
        <w:t>ами</w:t>
      </w:r>
      <w:r w:rsidR="00936505">
        <w:rPr>
          <w:rFonts w:ascii="Times New Roman" w:hAnsi="Times New Roman"/>
          <w:sz w:val="28"/>
          <w:szCs w:val="28"/>
        </w:rPr>
        <w:t xml:space="preserve"> </w:t>
      </w:r>
      <w:r w:rsidR="00335E60">
        <w:rPr>
          <w:rFonts w:ascii="Times New Roman" w:eastAsiaTheme="minorHAnsi" w:hAnsi="Times New Roman"/>
          <w:sz w:val="28"/>
          <w:szCs w:val="28"/>
        </w:rPr>
        <w:t>одинадцят</w:t>
      </w:r>
      <w:r w:rsidR="001D79E4">
        <w:rPr>
          <w:rFonts w:ascii="Times New Roman" w:eastAsiaTheme="minorHAnsi" w:hAnsi="Times New Roman"/>
          <w:sz w:val="28"/>
          <w:szCs w:val="28"/>
        </w:rPr>
        <w:t xml:space="preserve">им, </w:t>
      </w:r>
      <w:r w:rsidR="00335E60">
        <w:rPr>
          <w:rFonts w:ascii="Times New Roman" w:eastAsiaTheme="minorHAnsi" w:hAnsi="Times New Roman"/>
          <w:sz w:val="28"/>
          <w:szCs w:val="28"/>
        </w:rPr>
        <w:t>дванадцятим</w:t>
      </w:r>
      <w:r w:rsidR="00936505">
        <w:rPr>
          <w:rFonts w:ascii="Times New Roman" w:hAnsi="Times New Roman"/>
          <w:sz w:val="28"/>
          <w:szCs w:val="28"/>
        </w:rPr>
        <w:t>.</w:t>
      </w:r>
    </w:p>
    <w:p w14:paraId="5989280A" w14:textId="77777777" w:rsidR="006C256B" w:rsidRPr="007931A2" w:rsidRDefault="006C256B" w:rsidP="009534D3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7B27FF8" w14:textId="0C8556A8" w:rsidR="006C256B" w:rsidRPr="007931A2" w:rsidRDefault="00936505" w:rsidP="009534D3">
      <w:pPr>
        <w:pStyle w:val="af5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256B" w:rsidRPr="007931A2">
        <w:rPr>
          <w:sz w:val="28"/>
          <w:szCs w:val="28"/>
        </w:rPr>
        <w:t>аголов</w:t>
      </w:r>
      <w:r>
        <w:rPr>
          <w:sz w:val="28"/>
          <w:szCs w:val="28"/>
        </w:rPr>
        <w:t>ок</w:t>
      </w:r>
      <w:r w:rsidR="006C256B" w:rsidRPr="007931A2">
        <w:rPr>
          <w:sz w:val="28"/>
          <w:szCs w:val="28"/>
        </w:rPr>
        <w:t xml:space="preserve"> розділу </w:t>
      </w:r>
      <w:r w:rsidR="006C256B" w:rsidRPr="007931A2">
        <w:rPr>
          <w:sz w:val="28"/>
          <w:szCs w:val="28"/>
          <w:lang w:val="en-US"/>
        </w:rPr>
        <w:t>IV</w:t>
      </w:r>
      <w:r w:rsidR="006C256B" w:rsidRPr="007931A2">
        <w:rPr>
          <w:sz w:val="28"/>
          <w:szCs w:val="28"/>
          <w:lang w:val="ru-RU"/>
        </w:rPr>
        <w:t xml:space="preserve"> </w:t>
      </w:r>
      <w:r w:rsidR="006C256B" w:rsidRPr="007931A2">
        <w:rPr>
          <w:sz w:val="28"/>
          <w:szCs w:val="28"/>
        </w:rPr>
        <w:t xml:space="preserve">викласти </w:t>
      </w:r>
      <w:r w:rsidR="00546179">
        <w:rPr>
          <w:sz w:val="28"/>
          <w:szCs w:val="28"/>
        </w:rPr>
        <w:t>в</w:t>
      </w:r>
      <w:r w:rsidR="00546179" w:rsidRPr="007931A2">
        <w:rPr>
          <w:sz w:val="28"/>
          <w:szCs w:val="28"/>
        </w:rPr>
        <w:t xml:space="preserve"> </w:t>
      </w:r>
      <w:r w:rsidR="006C256B" w:rsidRPr="007931A2">
        <w:rPr>
          <w:sz w:val="28"/>
          <w:szCs w:val="28"/>
        </w:rPr>
        <w:t>такій редакції:</w:t>
      </w:r>
    </w:p>
    <w:p w14:paraId="3DD79095" w14:textId="04F5628D" w:rsidR="006C256B" w:rsidRPr="006837DF" w:rsidRDefault="006C256B" w:rsidP="009534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7DF">
        <w:rPr>
          <w:sz w:val="28"/>
          <w:szCs w:val="28"/>
          <w:lang w:val="ru-RU"/>
        </w:rPr>
        <w:t>“</w:t>
      </w:r>
      <w:r w:rsidR="006837DF" w:rsidRPr="006837DF">
        <w:rPr>
          <w:bCs/>
          <w:sz w:val="28"/>
          <w:szCs w:val="28"/>
        </w:rPr>
        <w:t xml:space="preserve">IV. Порядок визначення значення коефіцієнта ймовірності дефолту боржника </w:t>
      </w:r>
      <w:r w:rsidR="00E20749">
        <w:rPr>
          <w:bCs/>
          <w:sz w:val="28"/>
          <w:szCs w:val="28"/>
        </w:rPr>
        <w:t>–</w:t>
      </w:r>
      <w:r w:rsidR="006837DF" w:rsidRPr="006837DF">
        <w:rPr>
          <w:bCs/>
          <w:sz w:val="28"/>
          <w:szCs w:val="28"/>
        </w:rPr>
        <w:t xml:space="preserve"> юридичної особи (крім боржника </w:t>
      </w:r>
      <w:r w:rsidR="008A315E">
        <w:rPr>
          <w:bCs/>
          <w:sz w:val="28"/>
          <w:szCs w:val="28"/>
        </w:rPr>
        <w:t>–</w:t>
      </w:r>
      <w:r w:rsidR="006837DF" w:rsidRPr="006837DF">
        <w:rPr>
          <w:bCs/>
          <w:sz w:val="28"/>
          <w:szCs w:val="28"/>
        </w:rPr>
        <w:t xml:space="preserve"> юридичної особи за спеціалізованим кредитом)</w:t>
      </w:r>
      <w:r w:rsidRPr="006837DF">
        <w:rPr>
          <w:bCs/>
          <w:sz w:val="28"/>
          <w:szCs w:val="28"/>
          <w:lang w:val="ru-RU"/>
        </w:rPr>
        <w:t>”.</w:t>
      </w:r>
    </w:p>
    <w:p w14:paraId="71F342AA" w14:textId="77777777" w:rsidR="006C256B" w:rsidRPr="006837DF" w:rsidRDefault="006C256B" w:rsidP="009534D3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</w:p>
    <w:p w14:paraId="276151BB" w14:textId="50D9B8E8" w:rsidR="006C256B" w:rsidRDefault="006C256B" w:rsidP="009534D3">
      <w:pPr>
        <w:pStyle w:val="af5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 xml:space="preserve">У </w:t>
      </w:r>
      <w:r w:rsidR="00936505">
        <w:rPr>
          <w:sz w:val="28"/>
          <w:szCs w:val="28"/>
        </w:rPr>
        <w:t>р</w:t>
      </w:r>
      <w:r w:rsidRPr="007931A2">
        <w:rPr>
          <w:sz w:val="28"/>
          <w:szCs w:val="28"/>
        </w:rPr>
        <w:t xml:space="preserve">озділі </w:t>
      </w:r>
      <w:r w:rsidRPr="007931A2">
        <w:rPr>
          <w:sz w:val="28"/>
          <w:szCs w:val="28"/>
          <w:lang w:val="en-US"/>
        </w:rPr>
        <w:t>IV</w:t>
      </w:r>
      <w:r w:rsidRPr="007931A2">
        <w:rPr>
          <w:sz w:val="28"/>
          <w:szCs w:val="28"/>
          <w:vertAlign w:val="superscript"/>
          <w:lang w:val="en-US"/>
        </w:rPr>
        <w:t>1</w:t>
      </w:r>
      <w:r w:rsidRPr="007931A2">
        <w:rPr>
          <w:sz w:val="28"/>
          <w:szCs w:val="28"/>
        </w:rPr>
        <w:t>:</w:t>
      </w:r>
    </w:p>
    <w:p w14:paraId="4B978F72" w14:textId="77777777" w:rsidR="00936505" w:rsidRPr="007931A2" w:rsidRDefault="00936505" w:rsidP="009534D3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02C995" w14:textId="23419718" w:rsidR="006C256B" w:rsidRPr="007931A2" w:rsidRDefault="006C256B" w:rsidP="009534D3">
      <w:pPr>
        <w:pStyle w:val="af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заголовок</w:t>
      </w:r>
      <w:r w:rsidRPr="007931A2">
        <w:rPr>
          <w:sz w:val="28"/>
          <w:szCs w:val="28"/>
          <w:lang w:val="ru-RU"/>
        </w:rPr>
        <w:t xml:space="preserve"> </w:t>
      </w:r>
      <w:r w:rsidRPr="007931A2">
        <w:rPr>
          <w:sz w:val="28"/>
          <w:szCs w:val="28"/>
        </w:rPr>
        <w:t xml:space="preserve">розділу викласти </w:t>
      </w:r>
      <w:r w:rsidR="00DA78C7" w:rsidRPr="007931A2">
        <w:rPr>
          <w:sz w:val="28"/>
          <w:szCs w:val="28"/>
        </w:rPr>
        <w:t>в</w:t>
      </w:r>
      <w:r w:rsidRPr="007931A2">
        <w:rPr>
          <w:sz w:val="28"/>
          <w:szCs w:val="28"/>
        </w:rPr>
        <w:t xml:space="preserve"> такій редакції:</w:t>
      </w:r>
    </w:p>
    <w:p w14:paraId="22229D2B" w14:textId="35D7D558" w:rsidR="006C256B" w:rsidRPr="007931A2" w:rsidRDefault="006C256B" w:rsidP="009534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  <w:lang w:val="ru-RU"/>
        </w:rPr>
        <w:t>“</w:t>
      </w:r>
      <w:r w:rsidRPr="007931A2">
        <w:rPr>
          <w:sz w:val="28"/>
          <w:szCs w:val="28"/>
          <w:lang w:val="en-US"/>
        </w:rPr>
        <w:t>IV</w:t>
      </w:r>
      <w:r w:rsidRPr="007931A2">
        <w:rPr>
          <w:sz w:val="28"/>
          <w:szCs w:val="28"/>
          <w:vertAlign w:val="superscript"/>
        </w:rPr>
        <w:t>1</w:t>
      </w:r>
      <w:r w:rsidRPr="007931A2">
        <w:rPr>
          <w:sz w:val="28"/>
          <w:szCs w:val="28"/>
        </w:rPr>
        <w:t xml:space="preserve">. </w:t>
      </w:r>
      <w:r w:rsidRPr="007931A2">
        <w:rPr>
          <w:bCs/>
          <w:sz w:val="28"/>
          <w:szCs w:val="28"/>
        </w:rPr>
        <w:t xml:space="preserve">Порядок визначення значення коефіцієнта ймовірності дефолту боржника </w:t>
      </w:r>
      <w:r w:rsidR="000050C9">
        <w:rPr>
          <w:bCs/>
          <w:sz w:val="28"/>
          <w:szCs w:val="28"/>
        </w:rPr>
        <w:t>–</w:t>
      </w:r>
      <w:r w:rsidR="000050C9" w:rsidRPr="007931A2">
        <w:rPr>
          <w:bCs/>
          <w:sz w:val="28"/>
          <w:szCs w:val="28"/>
        </w:rPr>
        <w:t xml:space="preserve"> </w:t>
      </w:r>
      <w:r w:rsidRPr="007931A2">
        <w:rPr>
          <w:bCs/>
          <w:sz w:val="28"/>
          <w:szCs w:val="28"/>
        </w:rPr>
        <w:t xml:space="preserve">юридичної особи за </w:t>
      </w:r>
      <w:r w:rsidRPr="007931A2">
        <w:rPr>
          <w:sz w:val="28"/>
          <w:szCs w:val="28"/>
        </w:rPr>
        <w:t>спеціалізованим кредитом</w:t>
      </w:r>
      <w:r w:rsidRPr="007931A2">
        <w:rPr>
          <w:sz w:val="28"/>
          <w:szCs w:val="28"/>
          <w:lang w:val="ru-RU"/>
        </w:rPr>
        <w:t>”</w:t>
      </w:r>
      <w:r w:rsidRPr="007931A2">
        <w:rPr>
          <w:sz w:val="28"/>
          <w:szCs w:val="28"/>
        </w:rPr>
        <w:t>;</w:t>
      </w:r>
    </w:p>
    <w:p w14:paraId="74377911" w14:textId="77777777" w:rsidR="006C256B" w:rsidRPr="007931A2" w:rsidRDefault="006C256B" w:rsidP="009534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575BF6" w14:textId="0C1E99EE" w:rsidR="006C256B" w:rsidRPr="007931A2" w:rsidRDefault="006C256B" w:rsidP="009534D3">
      <w:pPr>
        <w:pStyle w:val="af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пункти 67</w:t>
      </w:r>
      <w:r w:rsidRPr="007931A2">
        <w:rPr>
          <w:sz w:val="28"/>
          <w:szCs w:val="28"/>
          <w:vertAlign w:val="superscript"/>
        </w:rPr>
        <w:t>1</w:t>
      </w:r>
      <w:r w:rsidRPr="007931A2">
        <w:rPr>
          <w:sz w:val="28"/>
          <w:szCs w:val="28"/>
        </w:rPr>
        <w:t>–67</w:t>
      </w:r>
      <w:r w:rsidRPr="007931A2">
        <w:rPr>
          <w:sz w:val="28"/>
          <w:szCs w:val="28"/>
          <w:vertAlign w:val="superscript"/>
        </w:rPr>
        <w:t>5</w:t>
      </w:r>
      <w:r w:rsidRPr="007931A2">
        <w:rPr>
          <w:sz w:val="28"/>
          <w:szCs w:val="28"/>
        </w:rPr>
        <w:t xml:space="preserve"> викласти </w:t>
      </w:r>
      <w:r w:rsidR="00DA78C7" w:rsidRPr="007931A2">
        <w:rPr>
          <w:sz w:val="28"/>
          <w:szCs w:val="28"/>
        </w:rPr>
        <w:t>в такій</w:t>
      </w:r>
      <w:r w:rsidRPr="007931A2">
        <w:rPr>
          <w:sz w:val="28"/>
          <w:szCs w:val="28"/>
        </w:rPr>
        <w:t xml:space="preserve"> редакції:</w:t>
      </w:r>
    </w:p>
    <w:p w14:paraId="5EF277B7" w14:textId="0172F0CB" w:rsidR="006C256B" w:rsidRPr="007931A2" w:rsidRDefault="006C256B" w:rsidP="009534D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931A2">
        <w:rPr>
          <w:sz w:val="28"/>
          <w:szCs w:val="28"/>
          <w:lang w:val="ru-RU"/>
        </w:rPr>
        <w:t>“</w:t>
      </w:r>
      <w:r w:rsidRPr="007931A2">
        <w:rPr>
          <w:sz w:val="28"/>
          <w:szCs w:val="28"/>
        </w:rPr>
        <w:t>67</w:t>
      </w:r>
      <w:r w:rsidRPr="007931A2">
        <w:rPr>
          <w:sz w:val="28"/>
          <w:szCs w:val="28"/>
          <w:vertAlign w:val="superscript"/>
        </w:rPr>
        <w:t>1</w:t>
      </w:r>
      <w:r w:rsidRPr="007931A2">
        <w:rPr>
          <w:sz w:val="28"/>
          <w:szCs w:val="28"/>
        </w:rPr>
        <w:t xml:space="preserve">. Банк з метою визначення значення коефіцієнта ймовірності дефолту боржника </w:t>
      </w:r>
      <w:r w:rsidR="00546179">
        <w:rPr>
          <w:sz w:val="28"/>
          <w:szCs w:val="28"/>
        </w:rPr>
        <w:t>–</w:t>
      </w:r>
      <w:r w:rsidR="00546179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 xml:space="preserve">юридичної особи </w:t>
      </w:r>
      <w:r w:rsidRPr="007931A2">
        <w:rPr>
          <w:bCs/>
          <w:sz w:val="28"/>
          <w:szCs w:val="28"/>
        </w:rPr>
        <w:t xml:space="preserve">за </w:t>
      </w:r>
      <w:r w:rsidRPr="007931A2">
        <w:rPr>
          <w:sz w:val="28"/>
          <w:szCs w:val="28"/>
        </w:rPr>
        <w:t>спеціалізованим кредитом визначає клас такого боржника:</w:t>
      </w:r>
    </w:p>
    <w:p w14:paraId="1066E93A" w14:textId="77777777" w:rsidR="00936505" w:rsidRDefault="00936505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16E79F98" w14:textId="6D74DEA3" w:rsidR="006C256B" w:rsidRPr="007931A2" w:rsidRDefault="006C256B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31A2">
        <w:rPr>
          <w:rFonts w:ascii="Times New Roman" w:hAnsi="Times New Roman"/>
          <w:sz w:val="28"/>
          <w:szCs w:val="28"/>
          <w:lang w:eastAsia="uk-UA"/>
        </w:rPr>
        <w:t xml:space="preserve">1) на передексплуатаційному етапі проєкту та до 365 (включно) календарного дня після початку дії експлуатаційного етапу проєкту </w:t>
      </w:r>
      <w:r w:rsidR="00546179">
        <w:rPr>
          <w:rFonts w:ascii="Times New Roman" w:hAnsi="Times New Roman"/>
          <w:sz w:val="28"/>
          <w:szCs w:val="28"/>
          <w:lang w:eastAsia="uk-UA"/>
        </w:rPr>
        <w:t>–</w:t>
      </w:r>
      <w:r w:rsidR="00546179" w:rsidRPr="007931A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931A2">
        <w:rPr>
          <w:rFonts w:ascii="Times New Roman" w:hAnsi="Times New Roman"/>
          <w:bCs/>
          <w:sz w:val="28"/>
          <w:szCs w:val="28"/>
          <w:lang w:eastAsia="uk-UA"/>
        </w:rPr>
        <w:t xml:space="preserve">із застосуванням багатофакторної </w:t>
      </w:r>
      <w:r w:rsidRPr="007931A2">
        <w:rPr>
          <w:rFonts w:ascii="Times New Roman" w:hAnsi="Times New Roman"/>
          <w:sz w:val="28"/>
          <w:szCs w:val="28"/>
          <w:lang w:eastAsia="uk-UA"/>
        </w:rPr>
        <w:t xml:space="preserve">моделі оцінки </w:t>
      </w:r>
      <w:r w:rsidRPr="007931A2">
        <w:rPr>
          <w:rFonts w:ascii="Times New Roman" w:hAnsi="Times New Roman"/>
          <w:bCs/>
          <w:sz w:val="28"/>
          <w:szCs w:val="28"/>
          <w:lang w:eastAsia="uk-UA"/>
        </w:rPr>
        <w:t xml:space="preserve">фінансового стану боржника </w:t>
      </w:r>
      <w:r w:rsidR="00BD5872">
        <w:rPr>
          <w:rFonts w:ascii="Times New Roman" w:hAnsi="Times New Roman"/>
          <w:bCs/>
          <w:sz w:val="28"/>
          <w:szCs w:val="28"/>
          <w:lang w:eastAsia="uk-UA"/>
        </w:rPr>
        <w:t>–</w:t>
      </w:r>
      <w:r w:rsidRPr="007931A2">
        <w:rPr>
          <w:rFonts w:ascii="Times New Roman" w:hAnsi="Times New Roman"/>
          <w:bCs/>
          <w:sz w:val="28"/>
          <w:szCs w:val="28"/>
          <w:lang w:eastAsia="uk-UA"/>
        </w:rPr>
        <w:t xml:space="preserve"> юридичної особи за спеціалізованим кредитом</w:t>
      </w:r>
      <w:r w:rsidRPr="007931A2">
        <w:rPr>
          <w:rFonts w:ascii="Times New Roman" w:hAnsi="Times New Roman"/>
          <w:sz w:val="28"/>
          <w:szCs w:val="28"/>
          <w:lang w:eastAsia="uk-UA"/>
        </w:rPr>
        <w:t>;</w:t>
      </w:r>
    </w:p>
    <w:p w14:paraId="570DFD42" w14:textId="77777777" w:rsidR="00936505" w:rsidRPr="007575D9" w:rsidRDefault="00936505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EE24436" w14:textId="378E1208" w:rsidR="006C256B" w:rsidRPr="007931A2" w:rsidRDefault="006C256B" w:rsidP="0095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31A2">
        <w:rPr>
          <w:rFonts w:ascii="Times New Roman" w:hAnsi="Times New Roman"/>
          <w:sz w:val="28"/>
          <w:szCs w:val="28"/>
          <w:lang w:val="ru-RU" w:eastAsia="uk-UA"/>
        </w:rPr>
        <w:t xml:space="preserve">2) </w:t>
      </w:r>
      <w:r w:rsidRPr="007931A2">
        <w:rPr>
          <w:rFonts w:ascii="Times New Roman" w:hAnsi="Times New Roman"/>
          <w:sz w:val="28"/>
          <w:szCs w:val="28"/>
          <w:lang w:eastAsia="uk-UA"/>
        </w:rPr>
        <w:t xml:space="preserve">починаючи з 366 календарного дня після визначення банком експлуатаційного етапу проєкту </w:t>
      </w:r>
      <w:r w:rsidR="00381B91">
        <w:rPr>
          <w:rFonts w:ascii="Times New Roman" w:hAnsi="Times New Roman"/>
          <w:sz w:val="28"/>
          <w:szCs w:val="28"/>
          <w:lang w:eastAsia="uk-UA"/>
        </w:rPr>
        <w:t>–</w:t>
      </w:r>
      <w:r w:rsidRPr="007931A2">
        <w:rPr>
          <w:rFonts w:ascii="Times New Roman" w:hAnsi="Times New Roman"/>
          <w:sz w:val="28"/>
          <w:szCs w:val="28"/>
          <w:lang w:eastAsia="uk-UA"/>
        </w:rPr>
        <w:t xml:space="preserve"> згідно з вимогами розділу </w:t>
      </w:r>
      <w:r w:rsidRPr="007931A2">
        <w:rPr>
          <w:rFonts w:ascii="Times New Roman" w:hAnsi="Times New Roman"/>
          <w:sz w:val="28"/>
          <w:szCs w:val="28"/>
          <w:lang w:val="en-US" w:eastAsia="uk-UA"/>
        </w:rPr>
        <w:t>IV</w:t>
      </w:r>
      <w:r w:rsidRPr="007931A2">
        <w:rPr>
          <w:rFonts w:ascii="Times New Roman" w:hAnsi="Times New Roman"/>
          <w:sz w:val="28"/>
          <w:szCs w:val="28"/>
          <w:lang w:val="ru-RU" w:eastAsia="uk-UA"/>
        </w:rPr>
        <w:t xml:space="preserve"> цього </w:t>
      </w:r>
      <w:r w:rsidRPr="007931A2">
        <w:rPr>
          <w:rFonts w:ascii="Times New Roman" w:hAnsi="Times New Roman"/>
          <w:sz w:val="28"/>
          <w:szCs w:val="28"/>
          <w:lang w:eastAsia="uk-UA"/>
        </w:rPr>
        <w:t>Положення.</w:t>
      </w:r>
    </w:p>
    <w:p w14:paraId="595FBC15" w14:textId="397EBECC" w:rsidR="006C256B" w:rsidRPr="007931A2" w:rsidRDefault="006C256B" w:rsidP="009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8BF641E" w14:textId="28AFFA20" w:rsidR="006C256B" w:rsidRPr="007931A2" w:rsidRDefault="006C256B" w:rsidP="009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uk-UA"/>
        </w:rPr>
      </w:pPr>
      <w:r w:rsidRPr="007931A2">
        <w:rPr>
          <w:rFonts w:ascii="Times New Roman" w:hAnsi="Times New Roman"/>
          <w:sz w:val="28"/>
          <w:szCs w:val="28"/>
          <w:lang w:eastAsia="uk-UA"/>
        </w:rPr>
        <w:t>67</w:t>
      </w:r>
      <w:r w:rsidRPr="007931A2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r w:rsidRPr="007931A2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7931A2">
        <w:rPr>
          <w:rFonts w:ascii="Times New Roman" w:hAnsi="Times New Roman"/>
          <w:bCs/>
          <w:sz w:val="28"/>
          <w:szCs w:val="28"/>
          <w:lang w:eastAsia="uk-UA"/>
        </w:rPr>
        <w:t xml:space="preserve">Банк здійснює оцінку фінансового стану та визначає клас боржника </w:t>
      </w:r>
      <w:r w:rsidR="000050C9">
        <w:rPr>
          <w:rFonts w:ascii="Times New Roman" w:hAnsi="Times New Roman"/>
          <w:bCs/>
          <w:sz w:val="28"/>
          <w:szCs w:val="28"/>
          <w:lang w:eastAsia="uk-UA"/>
        </w:rPr>
        <w:t>–</w:t>
      </w:r>
      <w:r w:rsidR="000050C9" w:rsidRPr="007931A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7931A2">
        <w:rPr>
          <w:rFonts w:ascii="Times New Roman" w:hAnsi="Times New Roman"/>
          <w:bCs/>
          <w:sz w:val="28"/>
          <w:szCs w:val="28"/>
          <w:lang w:eastAsia="uk-UA"/>
        </w:rPr>
        <w:t xml:space="preserve">юридичної особи за спеціалізованим кредитом із застосуванням багатофакторної моделі </w:t>
      </w:r>
      <w:r w:rsidRPr="007931A2">
        <w:rPr>
          <w:rFonts w:ascii="Times New Roman" w:hAnsi="Times New Roman"/>
          <w:sz w:val="28"/>
          <w:szCs w:val="28"/>
          <w:lang w:eastAsia="uk-UA"/>
        </w:rPr>
        <w:t xml:space="preserve">оцінки </w:t>
      </w:r>
      <w:r w:rsidRPr="007931A2">
        <w:rPr>
          <w:rFonts w:ascii="Times New Roman" w:hAnsi="Times New Roman"/>
          <w:bCs/>
          <w:sz w:val="28"/>
          <w:szCs w:val="28"/>
          <w:lang w:eastAsia="uk-UA"/>
        </w:rPr>
        <w:t xml:space="preserve">фінансового стану боржника </w:t>
      </w:r>
      <w:r w:rsidR="00381B91">
        <w:rPr>
          <w:rFonts w:ascii="Times New Roman" w:hAnsi="Times New Roman"/>
          <w:bCs/>
          <w:sz w:val="28"/>
          <w:szCs w:val="28"/>
          <w:lang w:eastAsia="uk-UA"/>
        </w:rPr>
        <w:t>–</w:t>
      </w:r>
      <w:r w:rsidRPr="007931A2">
        <w:rPr>
          <w:rFonts w:ascii="Times New Roman" w:hAnsi="Times New Roman"/>
          <w:bCs/>
          <w:sz w:val="28"/>
          <w:szCs w:val="28"/>
          <w:lang w:eastAsia="uk-UA"/>
        </w:rPr>
        <w:t xml:space="preserve"> юридичної особи за спеціалізованим кредитом (далі – багатофакторна модель), яка </w:t>
      </w:r>
      <w:r w:rsidRPr="007931A2">
        <w:rPr>
          <w:rFonts w:ascii="Times New Roman" w:hAnsi="Times New Roman"/>
          <w:sz w:val="28"/>
          <w:szCs w:val="28"/>
          <w:lang w:eastAsia="uk-UA"/>
        </w:rPr>
        <w:t>включає фактори, субфактори, компоненти субфакторів для відповідних видів фінансування та етапів проєкту.</w:t>
      </w:r>
    </w:p>
    <w:p w14:paraId="7170C1B7" w14:textId="4E70D038" w:rsidR="006C256B" w:rsidRPr="007931A2" w:rsidRDefault="006C256B" w:rsidP="0095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7931A2">
        <w:rPr>
          <w:rFonts w:ascii="Times New Roman" w:hAnsi="Times New Roman"/>
          <w:bCs/>
          <w:sz w:val="28"/>
          <w:szCs w:val="28"/>
          <w:lang w:eastAsia="uk-UA"/>
        </w:rPr>
        <w:t>Банк визначає показник багатофакторної моделі відповідно до формули 6 цього Положення:</w:t>
      </w:r>
    </w:p>
    <w:p w14:paraId="45DA87A7" w14:textId="77777777" w:rsidR="006C256B" w:rsidRPr="007931A2" w:rsidRDefault="006C256B" w:rsidP="009534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6B92FC10" w14:textId="538020CD" w:rsidR="006C256B" w:rsidRPr="007931A2" w:rsidRDefault="00106416" w:rsidP="006C256B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sl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 xml:space="preserve">i                                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  <w:lang w:eastAsia="ru-RU"/>
          </w:rPr>
          <m:t xml:space="preserve">      </m:t>
        </m:r>
      </m:oMath>
      <w:r w:rsidR="006C256B" w:rsidRPr="007931A2">
        <w:rPr>
          <w:rFonts w:ascii="Times New Roman" w:hAnsi="Times New Roman"/>
          <w:sz w:val="28"/>
          <w:szCs w:val="28"/>
          <w:lang w:eastAsia="ru-RU"/>
        </w:rPr>
        <w:t>(формула 6)</w:t>
      </w:r>
      <w:r w:rsidR="00A9078C">
        <w:rPr>
          <w:rFonts w:ascii="Times New Roman" w:hAnsi="Times New Roman"/>
          <w:sz w:val="28"/>
          <w:szCs w:val="28"/>
          <w:lang w:eastAsia="ru-RU"/>
        </w:rPr>
        <w:t>,</w:t>
      </w:r>
    </w:p>
    <w:p w14:paraId="00DCEF52" w14:textId="77777777" w:rsidR="006C256B" w:rsidRPr="007931A2" w:rsidRDefault="006C256B" w:rsidP="006C25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36D5D9DB" w14:textId="3B4AE984" w:rsidR="006C256B" w:rsidRPr="007931A2" w:rsidRDefault="006C256B" w:rsidP="005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де </w:t>
      </w:r>
      <w:r w:rsidR="000772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ru-RU"/>
              </w:rPr>
              <m:t>sl</m:t>
            </m:r>
          </m:sub>
        </m:sSub>
      </m:oMath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‒ показник багатофакторної моделі</w:t>
      </w:r>
      <w:r w:rsidRPr="007931A2">
        <w:rPr>
          <w:rFonts w:ascii="Times New Roman" w:eastAsia="Calibri" w:hAnsi="Times New Roman"/>
          <w:bCs/>
          <w:sz w:val="28"/>
          <w:szCs w:val="28"/>
        </w:rPr>
        <w:t>;</w:t>
      </w:r>
    </w:p>
    <w:p w14:paraId="451381D3" w14:textId="75772964" w:rsidR="006C256B" w:rsidRPr="007931A2" w:rsidRDefault="00106416" w:rsidP="0007723D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ru-RU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‒ вага фактору. Сума ваг факторів дорівнює 1,0</w:t>
      </w:r>
      <w:r w:rsidR="00A9078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186843BC" w14:textId="77777777" w:rsidR="006C256B" w:rsidRPr="007931A2" w:rsidRDefault="006C256B" w:rsidP="0007723D">
      <w:pPr>
        <w:spacing w:after="0" w:line="240" w:lineRule="auto"/>
        <w:ind w:firstLine="62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ru-R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– значення фактору.</w:t>
      </w:r>
    </w:p>
    <w:p w14:paraId="2EAFAAB8" w14:textId="45153C52" w:rsidR="006C256B" w:rsidRPr="007931A2" w:rsidRDefault="006C256B" w:rsidP="0007723D">
      <w:pPr>
        <w:tabs>
          <w:tab w:val="left" w:pos="602"/>
          <w:tab w:val="left" w:pos="11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bCs/>
          <w:sz w:val="28"/>
          <w:szCs w:val="28"/>
        </w:rPr>
        <w:t xml:space="preserve">Банк у багатофакторній моделі </w:t>
      </w:r>
      <w:r w:rsidR="00546179">
        <w:rPr>
          <w:rFonts w:ascii="Times New Roman" w:eastAsia="Calibri" w:hAnsi="Times New Roman"/>
          <w:bCs/>
          <w:sz w:val="28"/>
          <w:szCs w:val="28"/>
        </w:rPr>
        <w:t>в</w:t>
      </w:r>
      <w:r w:rsidR="00546179" w:rsidRPr="007931A2">
        <w:rPr>
          <w:rFonts w:ascii="Times New Roman" w:eastAsia="Calibri" w:hAnsi="Times New Roman"/>
          <w:bCs/>
          <w:sz w:val="28"/>
          <w:szCs w:val="28"/>
        </w:rPr>
        <w:t xml:space="preserve">раховує </w:t>
      </w:r>
      <w:r w:rsidR="00546179">
        <w:rPr>
          <w:rFonts w:ascii="Times New Roman" w:eastAsia="Calibri" w:hAnsi="Times New Roman"/>
          <w:bCs/>
          <w:sz w:val="28"/>
          <w:szCs w:val="28"/>
        </w:rPr>
        <w:t>такі</w:t>
      </w:r>
      <w:r w:rsidR="00546179" w:rsidRPr="007931A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bCs/>
          <w:sz w:val="28"/>
          <w:szCs w:val="28"/>
        </w:rPr>
        <w:t xml:space="preserve">фактори:  </w:t>
      </w:r>
    </w:p>
    <w:p w14:paraId="24351702" w14:textId="2FF8AB18" w:rsidR="006C256B" w:rsidRPr="007931A2" w:rsidRDefault="006C256B" w:rsidP="0007723D">
      <w:pPr>
        <w:tabs>
          <w:tab w:val="left" w:pos="602"/>
          <w:tab w:val="left" w:pos="11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931A2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7931A2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07723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>– характеристики фінансової стабільності боржника;</w:t>
      </w:r>
    </w:p>
    <w:p w14:paraId="23C06A1D" w14:textId="49528F23" w:rsidR="006C256B" w:rsidRPr="007931A2" w:rsidRDefault="006C256B" w:rsidP="0007723D">
      <w:pPr>
        <w:tabs>
          <w:tab w:val="left" w:pos="602"/>
          <w:tab w:val="left" w:pos="11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7931A2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2</w:t>
      </w:r>
      <w:r w:rsidRPr="0007723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 xml:space="preserve">– правове середовище та </w:t>
      </w:r>
      <w:r w:rsidRPr="007931A2">
        <w:rPr>
          <w:rFonts w:ascii="Times New Roman" w:eastAsia="Calibri" w:hAnsi="Times New Roman"/>
          <w:sz w:val="28"/>
          <w:szCs w:val="28"/>
        </w:rPr>
        <w:t>характеристики проєкту;</w:t>
      </w:r>
    </w:p>
    <w:p w14:paraId="27B3B1D4" w14:textId="4EBF7764" w:rsidR="006C256B" w:rsidRPr="007931A2" w:rsidRDefault="006C256B" w:rsidP="0007723D">
      <w:pPr>
        <w:tabs>
          <w:tab w:val="left" w:pos="602"/>
          <w:tab w:val="left" w:pos="11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7931A2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3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81B91">
        <w:rPr>
          <w:rFonts w:ascii="Times New Roman" w:eastAsia="Calibri" w:hAnsi="Times New Roman"/>
          <w:sz w:val="28"/>
          <w:szCs w:val="28"/>
          <w:lang w:val="ru-RU"/>
        </w:rPr>
        <w:t>–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характеристики фінансової стійкості ініціатора та/або забудовника;</w:t>
      </w:r>
    </w:p>
    <w:p w14:paraId="33B9DCF2" w14:textId="3B51A786" w:rsidR="006C256B" w:rsidRPr="007931A2" w:rsidRDefault="006C256B" w:rsidP="0007723D">
      <w:pPr>
        <w:tabs>
          <w:tab w:val="left" w:pos="602"/>
          <w:tab w:val="left" w:pos="11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931A2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7931A2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4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81B91">
        <w:rPr>
          <w:rFonts w:ascii="Times New Roman" w:eastAsia="Calibri" w:hAnsi="Times New Roman"/>
          <w:sz w:val="28"/>
          <w:szCs w:val="28"/>
          <w:lang w:val="ru-RU"/>
        </w:rPr>
        <w:t>–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забезпечення банком належного захисту своїх інтересів.</w:t>
      </w:r>
    </w:p>
    <w:p w14:paraId="7C5DFBF7" w14:textId="637D94F4" w:rsidR="006C256B" w:rsidRPr="007931A2" w:rsidRDefault="006C256B" w:rsidP="00547CCB">
      <w:pPr>
        <w:tabs>
          <w:tab w:val="left" w:pos="602"/>
          <w:tab w:val="left" w:pos="11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 xml:space="preserve">Банк визначає значення ваг факторів багатофакторної моделі для відповідних етапів проєкту згідно з таблицею 1 </w:t>
      </w:r>
      <w:r w:rsidR="00546179" w:rsidRPr="007931A2">
        <w:rPr>
          <w:rFonts w:ascii="Times New Roman" w:eastAsia="Calibri" w:hAnsi="Times New Roman"/>
          <w:sz w:val="28"/>
          <w:szCs w:val="28"/>
        </w:rPr>
        <w:t>додатк</w:t>
      </w:r>
      <w:r w:rsidR="00546179">
        <w:rPr>
          <w:rFonts w:ascii="Times New Roman" w:eastAsia="Calibri" w:hAnsi="Times New Roman"/>
          <w:sz w:val="28"/>
          <w:szCs w:val="28"/>
        </w:rPr>
        <w:t>а</w:t>
      </w:r>
      <w:r w:rsidR="00546179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10 до цього Положення.</w:t>
      </w:r>
    </w:p>
    <w:p w14:paraId="3C981A95" w14:textId="63C83033" w:rsidR="006C256B" w:rsidRDefault="006C256B" w:rsidP="00547CCB">
      <w:pPr>
        <w:tabs>
          <w:tab w:val="left" w:pos="602"/>
          <w:tab w:val="left" w:pos="11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>Банк визначає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значення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 xml:space="preserve"> фактору </w:t>
      </w:r>
      <w:r w:rsidRPr="007931A2">
        <w:rPr>
          <w:rFonts w:ascii="Times New Roman" w:eastAsia="Calibri" w:hAnsi="Times New Roman"/>
          <w:sz w:val="28"/>
          <w:szCs w:val="28"/>
        </w:rPr>
        <w:t xml:space="preserve">багатофакторної моделі </w:t>
      </w:r>
      <w:r w:rsidRPr="007931A2">
        <w:rPr>
          <w:rFonts w:ascii="Times New Roman" w:eastAsia="Calibri" w:hAnsi="Times New Roman"/>
          <w:sz w:val="28"/>
          <w:szCs w:val="28"/>
          <w:vertAlign w:val="subscript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за формулою 7 цього Положення:</w:t>
      </w:r>
    </w:p>
    <w:p w14:paraId="4956E0A9" w14:textId="77777777" w:rsidR="00CA33CF" w:rsidRPr="007931A2" w:rsidRDefault="00CA33CF" w:rsidP="00547CCB">
      <w:pPr>
        <w:tabs>
          <w:tab w:val="left" w:pos="602"/>
          <w:tab w:val="left" w:pos="11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2409687" w14:textId="6784E4C5" w:rsidR="006C256B" w:rsidRPr="007931A2" w:rsidRDefault="00106416" w:rsidP="006C256B">
      <w:pPr>
        <w:tabs>
          <w:tab w:val="left" w:pos="602"/>
          <w:tab w:val="left" w:pos="1160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6C256B" w:rsidRPr="007931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 </w:t>
      </w:r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>(формула 7)</w:t>
      </w:r>
      <w:r w:rsidR="00A9078C">
        <w:rPr>
          <w:rFonts w:ascii="Times New Roman" w:eastAsia="Calibri" w:hAnsi="Times New Roman"/>
          <w:sz w:val="28"/>
          <w:szCs w:val="28"/>
          <w:lang w:eastAsia="ru-RU"/>
        </w:rPr>
        <w:t>,</w:t>
      </w:r>
    </w:p>
    <w:p w14:paraId="72DB8F0F" w14:textId="77777777" w:rsidR="006C256B" w:rsidRPr="007931A2" w:rsidRDefault="006C256B" w:rsidP="006C256B">
      <w:pPr>
        <w:tabs>
          <w:tab w:val="left" w:pos="602"/>
          <w:tab w:val="left" w:pos="1160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2842A1F9" w14:textId="756A5DEE" w:rsidR="006C256B" w:rsidRPr="007931A2" w:rsidRDefault="000050C9" w:rsidP="000050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6C256B" w:rsidRPr="007931A2">
        <w:rPr>
          <w:rFonts w:ascii="Times New Roman" w:eastAsia="Calibri" w:hAnsi="Times New Roman"/>
          <w:sz w:val="28"/>
          <w:szCs w:val="28"/>
          <w:lang w:val="en-US" w:eastAsia="ru-RU"/>
        </w:rPr>
        <w:t>n</w:t>
      </w:r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‒ кількість субфакторів;</w:t>
      </w:r>
    </w:p>
    <w:p w14:paraId="1F4C8F9F" w14:textId="70494EFA" w:rsidR="006C256B" w:rsidRPr="007931A2" w:rsidRDefault="00106416" w:rsidP="006C25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‒  ваг</w:t>
      </w:r>
      <w:r w:rsidR="006C256B" w:rsidRPr="007931A2">
        <w:rPr>
          <w:rFonts w:ascii="Times New Roman" w:eastAsia="Calibri" w:hAnsi="Times New Roman"/>
          <w:sz w:val="28"/>
          <w:szCs w:val="28"/>
          <w:lang w:val="en-US" w:eastAsia="ru-RU"/>
        </w:rPr>
        <w:t>a</w:t>
      </w:r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субфактору. Сума ваг субфакторів дорівнює 1,0</w:t>
      </w:r>
      <w:r w:rsidR="00A9078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572E8926" w14:textId="2270C9DA" w:rsidR="006C256B" w:rsidRPr="007931A2" w:rsidRDefault="006C256B" w:rsidP="006C25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r>
          <w:rPr>
            <w:rFonts w:ascii="Cambria Math" w:eastAsia="Calibri" w:hAnsi="Cambria Math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‒ значення субфактору</w:t>
      </w:r>
      <w:r w:rsidR="00D71D0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2F504E19" w14:textId="4767BEDC" w:rsidR="006C256B" w:rsidRPr="007931A2" w:rsidRDefault="006C256B" w:rsidP="006C25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Банк визначає значення фактору </w:t>
      </w:r>
      <w:r w:rsidRPr="007931A2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>характеристики фінансової стабільності боржника (</w:t>
      </w:r>
      <w:r w:rsidRPr="007931A2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7931A2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7931A2">
        <w:rPr>
          <w:rFonts w:ascii="Times New Roman" w:eastAsia="Calibri" w:hAnsi="Times New Roman"/>
          <w:sz w:val="28"/>
          <w:szCs w:val="28"/>
        </w:rPr>
        <w:t>)  не вище значення субфактору фінансові показники (</w:t>
      </w:r>
      <w:r w:rsidRPr="007931A2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7931A2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1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>).</w:t>
      </w:r>
    </w:p>
    <w:p w14:paraId="36D0E003" w14:textId="7211E971" w:rsidR="006C256B" w:rsidRPr="007931A2" w:rsidRDefault="006C256B" w:rsidP="006C25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Банк визначає значення фактору </w:t>
      </w:r>
      <w:r w:rsidRPr="007931A2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>з</w:t>
      </w:r>
      <w:r w:rsidRPr="007931A2">
        <w:rPr>
          <w:rFonts w:ascii="Times New Roman" w:eastAsia="Calibri" w:hAnsi="Times New Roman"/>
          <w:sz w:val="28"/>
          <w:szCs w:val="28"/>
        </w:rPr>
        <w:t>абезпечення банком належного захисту своїх інтересів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r w:rsidRPr="007931A2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7931A2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4</w:t>
      </w:r>
      <w:r w:rsidRPr="007931A2">
        <w:rPr>
          <w:rFonts w:ascii="Times New Roman" w:eastAsia="Calibri" w:hAnsi="Times New Roman"/>
          <w:sz w:val="28"/>
          <w:szCs w:val="28"/>
        </w:rPr>
        <w:t xml:space="preserve">)  не вище значення субфактору контроль банку </w:t>
      </w:r>
      <w:r w:rsidR="00546179">
        <w:rPr>
          <w:rFonts w:ascii="Times New Roman" w:eastAsia="Calibri" w:hAnsi="Times New Roman"/>
          <w:sz w:val="28"/>
          <w:szCs w:val="28"/>
        </w:rPr>
        <w:t xml:space="preserve">за </w:t>
      </w:r>
      <w:r w:rsidRPr="007931A2">
        <w:rPr>
          <w:rFonts w:ascii="Times New Roman" w:eastAsia="Calibri" w:hAnsi="Times New Roman"/>
          <w:sz w:val="28"/>
          <w:szCs w:val="28"/>
        </w:rPr>
        <w:t>грошови</w:t>
      </w:r>
      <w:r w:rsidR="00546179">
        <w:rPr>
          <w:rFonts w:ascii="Times New Roman" w:eastAsia="Calibri" w:hAnsi="Times New Roman"/>
          <w:sz w:val="28"/>
          <w:szCs w:val="28"/>
        </w:rPr>
        <w:t>ми</w:t>
      </w:r>
      <w:r w:rsidRPr="007931A2">
        <w:rPr>
          <w:rFonts w:ascii="Times New Roman" w:eastAsia="Calibri" w:hAnsi="Times New Roman"/>
          <w:sz w:val="28"/>
          <w:szCs w:val="28"/>
        </w:rPr>
        <w:t xml:space="preserve"> поток</w:t>
      </w:r>
      <w:r w:rsidR="00546179">
        <w:rPr>
          <w:rFonts w:ascii="Times New Roman" w:eastAsia="Calibri" w:hAnsi="Times New Roman"/>
          <w:sz w:val="28"/>
          <w:szCs w:val="28"/>
        </w:rPr>
        <w:t>ами</w:t>
      </w:r>
      <w:r w:rsidRPr="007931A2">
        <w:rPr>
          <w:rFonts w:ascii="Times New Roman" w:eastAsia="Calibri" w:hAnsi="Times New Roman"/>
          <w:sz w:val="28"/>
          <w:szCs w:val="28"/>
        </w:rPr>
        <w:t xml:space="preserve"> боржника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(</w:t>
      </w:r>
      <w:r w:rsidRPr="007931A2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7931A2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13</w:t>
      </w:r>
      <w:r w:rsidRPr="007931A2">
        <w:rPr>
          <w:rFonts w:ascii="Times New Roman" w:eastAsia="Calibri" w:hAnsi="Times New Roman"/>
          <w:sz w:val="28"/>
          <w:szCs w:val="28"/>
          <w:lang w:val="ru-RU"/>
        </w:rPr>
        <w:t>).</w:t>
      </w:r>
    </w:p>
    <w:p w14:paraId="062E9F25" w14:textId="372E2FB4" w:rsidR="006C256B" w:rsidRPr="007931A2" w:rsidRDefault="006C256B" w:rsidP="006C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31A2">
        <w:rPr>
          <w:rFonts w:ascii="Times New Roman" w:hAnsi="Times New Roman"/>
          <w:sz w:val="28"/>
          <w:szCs w:val="28"/>
          <w:lang w:eastAsia="uk-UA"/>
        </w:rPr>
        <w:t>Банк визначає у внутрішньобанківському положенні, ґрунтуючись на власному досвіді, значення ваг су</w:t>
      </w:r>
      <w:r w:rsidR="00546179">
        <w:rPr>
          <w:rFonts w:ascii="Times New Roman" w:hAnsi="Times New Roman"/>
          <w:sz w:val="28"/>
          <w:szCs w:val="28"/>
          <w:lang w:eastAsia="uk-UA"/>
        </w:rPr>
        <w:t>б</w:t>
      </w:r>
      <w:r w:rsidRPr="007931A2">
        <w:rPr>
          <w:rFonts w:ascii="Times New Roman" w:hAnsi="Times New Roman"/>
          <w:sz w:val="28"/>
          <w:szCs w:val="28"/>
          <w:lang w:eastAsia="uk-UA"/>
        </w:rPr>
        <w:t>факторів багатофакторної моделі для відповідних видів фінансування та етапів проєкту в межах діапазонів</w:t>
      </w:r>
      <w:r w:rsidR="00546179">
        <w:rPr>
          <w:rFonts w:ascii="Times New Roman" w:hAnsi="Times New Roman"/>
          <w:sz w:val="28"/>
          <w:szCs w:val="28"/>
          <w:lang w:eastAsia="uk-UA"/>
        </w:rPr>
        <w:t>,</w:t>
      </w:r>
      <w:r w:rsidRPr="007931A2">
        <w:rPr>
          <w:rFonts w:ascii="Times New Roman" w:hAnsi="Times New Roman"/>
          <w:sz w:val="28"/>
          <w:szCs w:val="28"/>
          <w:lang w:eastAsia="uk-UA"/>
        </w:rPr>
        <w:t xml:space="preserve"> визначених у таблиці 2 </w:t>
      </w:r>
      <w:r w:rsidR="00546179" w:rsidRPr="007931A2">
        <w:rPr>
          <w:rFonts w:ascii="Times New Roman" w:hAnsi="Times New Roman"/>
          <w:sz w:val="28"/>
          <w:szCs w:val="28"/>
          <w:lang w:eastAsia="uk-UA"/>
        </w:rPr>
        <w:t>додатк</w:t>
      </w:r>
      <w:r w:rsidR="00546179">
        <w:rPr>
          <w:rFonts w:ascii="Times New Roman" w:hAnsi="Times New Roman"/>
          <w:sz w:val="28"/>
          <w:szCs w:val="28"/>
          <w:lang w:eastAsia="uk-UA"/>
        </w:rPr>
        <w:t>а</w:t>
      </w:r>
      <w:r w:rsidR="00546179" w:rsidRPr="007931A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931A2">
        <w:rPr>
          <w:rFonts w:ascii="Times New Roman" w:hAnsi="Times New Roman"/>
          <w:sz w:val="28"/>
          <w:szCs w:val="28"/>
          <w:lang w:eastAsia="uk-UA"/>
        </w:rPr>
        <w:t>10 до  цього Положення.</w:t>
      </w:r>
    </w:p>
    <w:p w14:paraId="459C0FEE" w14:textId="01E8CBEF" w:rsidR="006C256B" w:rsidRPr="007931A2" w:rsidRDefault="006C256B" w:rsidP="006C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31A2">
        <w:rPr>
          <w:rFonts w:ascii="Times New Roman" w:hAnsi="Times New Roman"/>
          <w:sz w:val="28"/>
          <w:szCs w:val="28"/>
          <w:lang w:eastAsia="uk-UA"/>
        </w:rPr>
        <w:t xml:space="preserve">Банк визначає значення субфактору </w:t>
      </w:r>
      <w:r w:rsidRPr="007931A2">
        <w:rPr>
          <w:rFonts w:ascii="Times New Roman" w:hAnsi="Times New Roman"/>
          <w:i/>
          <w:sz w:val="28"/>
          <w:szCs w:val="28"/>
          <w:lang w:val="en-US" w:eastAsia="uk-UA"/>
        </w:rPr>
        <w:t>f</w:t>
      </w:r>
      <w:r w:rsidRPr="007931A2">
        <w:rPr>
          <w:rFonts w:ascii="Times New Roman" w:hAnsi="Times New Roman"/>
          <w:sz w:val="28"/>
          <w:szCs w:val="28"/>
          <w:vertAlign w:val="subscript"/>
          <w:lang w:val="en-US" w:eastAsia="uk-UA"/>
        </w:rPr>
        <w:t>i</w:t>
      </w:r>
      <w:r w:rsidRPr="00547CC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931A2">
        <w:rPr>
          <w:rFonts w:ascii="Times New Roman" w:hAnsi="Times New Roman"/>
          <w:sz w:val="28"/>
          <w:szCs w:val="28"/>
          <w:lang w:eastAsia="uk-UA"/>
        </w:rPr>
        <w:t>багатофакторної моделі за формулою 8 цього Положення:</w:t>
      </w:r>
    </w:p>
    <w:p w14:paraId="0F1BEDDD" w14:textId="77777777" w:rsidR="006C256B" w:rsidRPr="007931A2" w:rsidRDefault="006C256B" w:rsidP="006C256B">
      <w:pPr>
        <w:tabs>
          <w:tab w:val="left" w:pos="602"/>
          <w:tab w:val="left" w:pos="11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D80E6F1" w14:textId="04888A54" w:rsidR="006C256B" w:rsidRPr="007931A2" w:rsidRDefault="00106416" w:rsidP="006C256B">
      <w:pPr>
        <w:tabs>
          <w:tab w:val="left" w:pos="602"/>
          <w:tab w:val="left" w:pos="1160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en-US" w:eastAsia="ru-RU"/>
              </w:rPr>
              <m:t>m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w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 w:rsidR="006C256B" w:rsidRPr="007931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                   </w:t>
      </w:r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>(формула 8)</w:t>
      </w:r>
      <w:r w:rsidR="00A9078C">
        <w:rPr>
          <w:rFonts w:ascii="Times New Roman" w:eastAsia="Calibri" w:hAnsi="Times New Roman"/>
          <w:sz w:val="28"/>
          <w:szCs w:val="28"/>
          <w:lang w:eastAsia="ru-RU"/>
        </w:rPr>
        <w:t>,</w:t>
      </w:r>
    </w:p>
    <w:p w14:paraId="1528731C" w14:textId="77777777" w:rsidR="006C256B" w:rsidRPr="007931A2" w:rsidRDefault="006C256B" w:rsidP="006C25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4BD4BE8E" w14:textId="77777777" w:rsidR="006C256B" w:rsidRPr="007931A2" w:rsidRDefault="006C256B" w:rsidP="00547CC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де    </w:t>
      </w:r>
      <m:oMath>
        <m:r>
          <w:rPr>
            <w:rFonts w:ascii="Cambria Math" w:eastAsia="Calibri" w:hAnsi="Cambria Math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‒ значення субфактору;</w:t>
      </w:r>
    </w:p>
    <w:p w14:paraId="3B9F2F11" w14:textId="77777777" w:rsidR="006C256B" w:rsidRPr="007931A2" w:rsidRDefault="006C256B" w:rsidP="006C25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931A2">
        <w:rPr>
          <w:rFonts w:ascii="Times New Roman" w:eastAsia="Calibri" w:hAnsi="Times New Roman"/>
          <w:sz w:val="28"/>
          <w:szCs w:val="28"/>
          <w:lang w:val="en-US" w:eastAsia="ru-RU"/>
        </w:rPr>
        <w:t>m</w:t>
      </w:r>
      <w:r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‒ кількість компонентів субфактору;</w:t>
      </w:r>
    </w:p>
    <w:p w14:paraId="64DD8514" w14:textId="1C61C4E7" w:rsidR="006C256B" w:rsidRPr="007931A2" w:rsidRDefault="00106416" w:rsidP="006C25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w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‒ ваг</w:t>
      </w:r>
      <w:r w:rsidR="006C256B" w:rsidRPr="007931A2">
        <w:rPr>
          <w:rFonts w:ascii="Times New Roman" w:eastAsia="Calibri" w:hAnsi="Times New Roman"/>
          <w:sz w:val="28"/>
          <w:szCs w:val="28"/>
          <w:lang w:val="en-US" w:eastAsia="ru-RU"/>
        </w:rPr>
        <w:t>a</w:t>
      </w:r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компонент</w:t>
      </w:r>
      <w:r w:rsidR="00546179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субфактору. Сума ваг компонентів субфактору дорівнює 1,0;</w:t>
      </w:r>
    </w:p>
    <w:p w14:paraId="21472B4E" w14:textId="6DCBA456" w:rsidR="006C256B" w:rsidRPr="007931A2" w:rsidRDefault="00106416" w:rsidP="006C25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– значення компонент</w:t>
      </w:r>
      <w:r w:rsidR="00546179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6C256B" w:rsidRPr="007931A2">
        <w:rPr>
          <w:rFonts w:ascii="Times New Roman" w:eastAsia="Calibri" w:hAnsi="Times New Roman"/>
          <w:sz w:val="28"/>
          <w:szCs w:val="28"/>
          <w:lang w:eastAsia="ru-RU"/>
        </w:rPr>
        <w:t xml:space="preserve"> субфактору.</w:t>
      </w:r>
    </w:p>
    <w:p w14:paraId="42551D69" w14:textId="386C6FF4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31A2">
        <w:rPr>
          <w:rFonts w:ascii="Times New Roman" w:hAnsi="Times New Roman"/>
          <w:sz w:val="28"/>
          <w:szCs w:val="28"/>
          <w:lang w:eastAsia="uk-UA"/>
        </w:rPr>
        <w:t>Банк, ґрунтуючись на власному досвіді, визначає у внутрішньобанківському положенні значення ваг компонентів субфакторів багатофакторної моделі для відповідних видів фінансування та етапів проєкту в межах діапазонів, визначених у таблиці 2 додатк</w:t>
      </w:r>
      <w:r w:rsidR="00546179">
        <w:rPr>
          <w:rFonts w:ascii="Times New Roman" w:hAnsi="Times New Roman"/>
          <w:sz w:val="28"/>
          <w:szCs w:val="28"/>
          <w:lang w:eastAsia="uk-UA"/>
        </w:rPr>
        <w:t>а</w:t>
      </w:r>
      <w:r w:rsidRPr="007931A2">
        <w:rPr>
          <w:rFonts w:ascii="Times New Roman" w:hAnsi="Times New Roman"/>
          <w:sz w:val="28"/>
          <w:szCs w:val="28"/>
          <w:lang w:eastAsia="uk-UA"/>
        </w:rPr>
        <w:t xml:space="preserve"> 10 до  цього Положення.</w:t>
      </w:r>
    </w:p>
    <w:p w14:paraId="56562953" w14:textId="77777777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31A2">
        <w:rPr>
          <w:rFonts w:ascii="Times New Roman" w:hAnsi="Times New Roman"/>
          <w:sz w:val="28"/>
          <w:szCs w:val="28"/>
          <w:lang w:eastAsia="uk-UA"/>
        </w:rPr>
        <w:t>Банк здійснює округлення отриманого значення субфактору за математичними правилами округлення з точністю до сотих.</w:t>
      </w:r>
    </w:p>
    <w:p w14:paraId="427C295F" w14:textId="5C7D5C03" w:rsidR="006C256B" w:rsidRPr="007931A2" w:rsidRDefault="006C256B" w:rsidP="00C06FE1">
      <w:pPr>
        <w:tabs>
          <w:tab w:val="left" w:pos="0"/>
          <w:tab w:val="left" w:pos="60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>Банк визначає значення компонентів субфакторів багатофакторної моделі для відповідних видів фінансування та етапів проєкту згідно з таблицею 3 додатк</w:t>
      </w:r>
      <w:r w:rsidR="00546179">
        <w:rPr>
          <w:rFonts w:ascii="Times New Roman" w:eastAsia="Calibri" w:hAnsi="Times New Roman"/>
          <w:sz w:val="28"/>
          <w:szCs w:val="28"/>
        </w:rPr>
        <w:t>а</w:t>
      </w:r>
      <w:r w:rsidRPr="007931A2">
        <w:rPr>
          <w:rFonts w:ascii="Times New Roman" w:eastAsia="Calibri" w:hAnsi="Times New Roman"/>
          <w:sz w:val="28"/>
          <w:szCs w:val="28"/>
        </w:rPr>
        <w:t xml:space="preserve"> 10 до цього Положення.</w:t>
      </w:r>
    </w:p>
    <w:p w14:paraId="304C01A5" w14:textId="18A8E026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 xml:space="preserve">Банк визначає клас боржника </w:t>
      </w:r>
      <w:r w:rsidR="00546179">
        <w:rPr>
          <w:rFonts w:ascii="Times New Roman" w:eastAsia="Calibri" w:hAnsi="Times New Roman"/>
          <w:sz w:val="28"/>
          <w:szCs w:val="28"/>
        </w:rPr>
        <w:t>–</w:t>
      </w:r>
      <w:r w:rsidR="00546179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bCs/>
          <w:sz w:val="28"/>
          <w:szCs w:val="28"/>
        </w:rPr>
        <w:t xml:space="preserve">юридичної особи за спеціалізованим кредитом за результатом узагальненої оцінки факторів </w:t>
      </w:r>
      <w:r w:rsidRPr="007931A2">
        <w:rPr>
          <w:rFonts w:ascii="Times New Roman" w:eastAsia="Calibri" w:hAnsi="Times New Roman"/>
          <w:sz w:val="28"/>
          <w:szCs w:val="28"/>
        </w:rPr>
        <w:t>багатофакторної моделі згідно з таблицею 4 додатк</w:t>
      </w:r>
      <w:r w:rsidR="00546179">
        <w:rPr>
          <w:rFonts w:ascii="Times New Roman" w:eastAsia="Calibri" w:hAnsi="Times New Roman"/>
          <w:sz w:val="28"/>
          <w:szCs w:val="28"/>
        </w:rPr>
        <w:t>а</w:t>
      </w:r>
      <w:r w:rsidRPr="007931A2">
        <w:rPr>
          <w:rFonts w:ascii="Times New Roman" w:eastAsia="Calibri" w:hAnsi="Times New Roman"/>
          <w:sz w:val="28"/>
          <w:szCs w:val="28"/>
        </w:rPr>
        <w:t xml:space="preserve"> 10 до цього Положення.</w:t>
      </w:r>
    </w:p>
    <w:p w14:paraId="6C02BEF5" w14:textId="77777777" w:rsidR="00936505" w:rsidRDefault="00936505" w:rsidP="00C06FE1">
      <w:pPr>
        <w:pStyle w:val="af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14:paraId="2CE0D3E7" w14:textId="052F7A02" w:rsidR="00C175F6" w:rsidRDefault="00C175F6" w:rsidP="00C06FE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rFonts w:eastAsia="Calibri"/>
          <w:sz w:val="28"/>
          <w:szCs w:val="28"/>
        </w:rPr>
        <w:t>67</w:t>
      </w:r>
      <w:r w:rsidRPr="007931A2">
        <w:rPr>
          <w:rFonts w:eastAsia="Calibri"/>
          <w:sz w:val="28"/>
          <w:szCs w:val="28"/>
          <w:vertAlign w:val="superscript"/>
        </w:rPr>
        <w:t>3</w:t>
      </w:r>
      <w:r w:rsidRPr="007931A2">
        <w:rPr>
          <w:rFonts w:eastAsia="Calibri"/>
          <w:sz w:val="28"/>
          <w:szCs w:val="28"/>
        </w:rPr>
        <w:t xml:space="preserve">. </w:t>
      </w:r>
      <w:r w:rsidRPr="007931A2">
        <w:rPr>
          <w:sz w:val="28"/>
          <w:szCs w:val="28"/>
        </w:rPr>
        <w:t xml:space="preserve">Банк здійснює контроль за відповідністю реалізації </w:t>
      </w:r>
      <w:r w:rsidR="006500F5" w:rsidRPr="007931A2">
        <w:rPr>
          <w:sz w:val="28"/>
          <w:szCs w:val="28"/>
        </w:rPr>
        <w:t>проєкт</w:t>
      </w:r>
      <w:r w:rsidR="006500F5">
        <w:rPr>
          <w:sz w:val="28"/>
          <w:szCs w:val="28"/>
        </w:rPr>
        <w:t>у</w:t>
      </w:r>
      <w:r w:rsidR="006500F5" w:rsidRPr="007931A2"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за спеціалізованим кредитом техніко-економічним, технологічним, дозвільним умовам/вимогам з періодичністю залежно від етапу реалізації проєкту та класу боржника</w:t>
      </w:r>
      <w:r w:rsidR="00546179">
        <w:rPr>
          <w:sz w:val="28"/>
          <w:szCs w:val="28"/>
        </w:rPr>
        <w:t xml:space="preserve"> – </w:t>
      </w:r>
      <w:r w:rsidRPr="007931A2">
        <w:rPr>
          <w:sz w:val="28"/>
          <w:szCs w:val="28"/>
        </w:rPr>
        <w:t xml:space="preserve">юридичної особи: </w:t>
      </w:r>
    </w:p>
    <w:p w14:paraId="45582010" w14:textId="77777777" w:rsidR="0064781F" w:rsidRPr="007931A2" w:rsidRDefault="0064781F" w:rsidP="00C06FE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2E049B" w14:textId="6A6BBC04" w:rsidR="00C175F6" w:rsidRDefault="0064781F" w:rsidP="00C06FE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75F6" w:rsidRPr="007931A2">
        <w:rPr>
          <w:sz w:val="28"/>
          <w:szCs w:val="28"/>
        </w:rPr>
        <w:t>протягом передексплуатаційного етапу проєкту: для боржника</w:t>
      </w:r>
      <w:r w:rsidR="00CA7C60">
        <w:rPr>
          <w:sz w:val="28"/>
          <w:szCs w:val="28"/>
        </w:rPr>
        <w:t xml:space="preserve"> – </w:t>
      </w:r>
      <w:r w:rsidR="00C175F6" w:rsidRPr="007931A2">
        <w:rPr>
          <w:sz w:val="28"/>
          <w:szCs w:val="28"/>
        </w:rPr>
        <w:t>юридичної особи, клас якого визначено банком не нижче (гірше) 2</w:t>
      </w:r>
      <w:r w:rsidR="00546179">
        <w:rPr>
          <w:sz w:val="28"/>
          <w:szCs w:val="28"/>
        </w:rPr>
        <w:t>,</w:t>
      </w:r>
      <w:r w:rsidR="00C175F6" w:rsidRPr="007931A2">
        <w:rPr>
          <w:sz w:val="28"/>
          <w:szCs w:val="28"/>
        </w:rPr>
        <w:t xml:space="preserve"> </w:t>
      </w:r>
      <w:r w:rsidR="00546179">
        <w:rPr>
          <w:sz w:val="28"/>
          <w:szCs w:val="28"/>
        </w:rPr>
        <w:t>–</w:t>
      </w:r>
      <w:r w:rsidR="00546179" w:rsidRPr="007931A2">
        <w:rPr>
          <w:sz w:val="28"/>
          <w:szCs w:val="28"/>
        </w:rPr>
        <w:t xml:space="preserve"> </w:t>
      </w:r>
      <w:r w:rsidR="00C175F6" w:rsidRPr="007931A2">
        <w:rPr>
          <w:sz w:val="28"/>
          <w:szCs w:val="28"/>
        </w:rPr>
        <w:t xml:space="preserve">не рідше ніж </w:t>
      </w:r>
      <w:r w:rsidR="006500F5">
        <w:rPr>
          <w:sz w:val="28"/>
          <w:szCs w:val="28"/>
        </w:rPr>
        <w:t xml:space="preserve">один </w:t>
      </w:r>
      <w:r w:rsidR="00C175F6" w:rsidRPr="007931A2">
        <w:rPr>
          <w:sz w:val="28"/>
          <w:szCs w:val="28"/>
        </w:rPr>
        <w:t xml:space="preserve">раз на шість  місяців, інших боржників </w:t>
      </w:r>
      <w:r w:rsidR="00546179">
        <w:rPr>
          <w:sz w:val="28"/>
          <w:szCs w:val="28"/>
        </w:rPr>
        <w:t>–</w:t>
      </w:r>
      <w:r w:rsidR="00546179" w:rsidRPr="007931A2">
        <w:rPr>
          <w:sz w:val="28"/>
          <w:szCs w:val="28"/>
        </w:rPr>
        <w:t xml:space="preserve">  </w:t>
      </w:r>
      <w:r w:rsidR="00C175F6" w:rsidRPr="007931A2">
        <w:rPr>
          <w:sz w:val="28"/>
          <w:szCs w:val="28"/>
        </w:rPr>
        <w:t xml:space="preserve">не рідше ніж </w:t>
      </w:r>
      <w:r w:rsidR="006500F5">
        <w:rPr>
          <w:sz w:val="28"/>
          <w:szCs w:val="28"/>
        </w:rPr>
        <w:t xml:space="preserve">один </w:t>
      </w:r>
      <w:r w:rsidR="00C175F6" w:rsidRPr="007931A2">
        <w:rPr>
          <w:sz w:val="28"/>
          <w:szCs w:val="28"/>
        </w:rPr>
        <w:t>раз на три місяці;</w:t>
      </w:r>
    </w:p>
    <w:p w14:paraId="1398E9D4" w14:textId="77777777" w:rsidR="0064781F" w:rsidRPr="007931A2" w:rsidRDefault="0064781F" w:rsidP="00C06FE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7F915A" w14:textId="659A2302" w:rsidR="00C175F6" w:rsidRPr="007931A2" w:rsidRDefault="0064781F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175F6" w:rsidRPr="007931A2">
        <w:rPr>
          <w:rFonts w:ascii="Times New Roman" w:hAnsi="Times New Roman"/>
          <w:sz w:val="28"/>
          <w:szCs w:val="28"/>
        </w:rPr>
        <w:t>протягом експлуатаційного етапу проєкту: для боржника</w:t>
      </w:r>
      <w:r w:rsidR="00546179">
        <w:rPr>
          <w:rFonts w:ascii="Times New Roman" w:hAnsi="Times New Roman"/>
          <w:sz w:val="28"/>
          <w:szCs w:val="28"/>
        </w:rPr>
        <w:t xml:space="preserve"> – </w:t>
      </w:r>
      <w:r w:rsidR="00C175F6" w:rsidRPr="007931A2">
        <w:rPr>
          <w:rFonts w:ascii="Times New Roman" w:hAnsi="Times New Roman"/>
          <w:sz w:val="28"/>
          <w:szCs w:val="28"/>
        </w:rPr>
        <w:t>юридичної особи, клас якого визначено банком не нижче (гірше) 2</w:t>
      </w:r>
      <w:r w:rsidR="00546179">
        <w:rPr>
          <w:rFonts w:ascii="Times New Roman" w:hAnsi="Times New Roman"/>
          <w:sz w:val="28"/>
          <w:szCs w:val="28"/>
        </w:rPr>
        <w:t>,</w:t>
      </w:r>
      <w:r w:rsidR="00C175F6" w:rsidRPr="007931A2">
        <w:rPr>
          <w:rFonts w:ascii="Times New Roman" w:hAnsi="Times New Roman"/>
          <w:sz w:val="28"/>
          <w:szCs w:val="28"/>
        </w:rPr>
        <w:t xml:space="preserve"> </w:t>
      </w:r>
      <w:r w:rsidR="00546179">
        <w:rPr>
          <w:rFonts w:ascii="Times New Roman" w:hAnsi="Times New Roman"/>
          <w:sz w:val="28"/>
          <w:szCs w:val="28"/>
        </w:rPr>
        <w:t>–</w:t>
      </w:r>
      <w:r w:rsidR="00546179" w:rsidRPr="007931A2">
        <w:rPr>
          <w:rFonts w:ascii="Times New Roman" w:hAnsi="Times New Roman"/>
          <w:sz w:val="28"/>
          <w:szCs w:val="28"/>
        </w:rPr>
        <w:t xml:space="preserve"> </w:t>
      </w:r>
      <w:r w:rsidR="00C175F6" w:rsidRPr="007931A2">
        <w:rPr>
          <w:rFonts w:ascii="Times New Roman" w:hAnsi="Times New Roman"/>
          <w:sz w:val="28"/>
          <w:szCs w:val="28"/>
        </w:rPr>
        <w:t xml:space="preserve">не рідше ніж </w:t>
      </w:r>
      <w:r w:rsidR="006500F5">
        <w:rPr>
          <w:rFonts w:ascii="Times New Roman" w:hAnsi="Times New Roman"/>
          <w:sz w:val="28"/>
          <w:szCs w:val="28"/>
        </w:rPr>
        <w:t xml:space="preserve">один </w:t>
      </w:r>
      <w:r w:rsidR="00C175F6" w:rsidRPr="007931A2">
        <w:rPr>
          <w:rFonts w:ascii="Times New Roman" w:hAnsi="Times New Roman"/>
          <w:sz w:val="28"/>
          <w:szCs w:val="28"/>
        </w:rPr>
        <w:t xml:space="preserve">раз на </w:t>
      </w:r>
      <w:r w:rsidR="00D71D0D">
        <w:rPr>
          <w:rFonts w:ascii="Times New Roman" w:hAnsi="Times New Roman"/>
          <w:sz w:val="28"/>
          <w:szCs w:val="28"/>
        </w:rPr>
        <w:t>12</w:t>
      </w:r>
      <w:r w:rsidR="00D71D0D" w:rsidRPr="007931A2">
        <w:rPr>
          <w:rFonts w:ascii="Times New Roman" w:hAnsi="Times New Roman"/>
          <w:sz w:val="28"/>
          <w:szCs w:val="28"/>
        </w:rPr>
        <w:t xml:space="preserve"> </w:t>
      </w:r>
      <w:r w:rsidR="00C175F6" w:rsidRPr="007931A2">
        <w:rPr>
          <w:rFonts w:ascii="Times New Roman" w:hAnsi="Times New Roman"/>
          <w:sz w:val="28"/>
          <w:szCs w:val="28"/>
        </w:rPr>
        <w:t xml:space="preserve">місяців, інших боржників </w:t>
      </w:r>
      <w:r w:rsidR="00546179">
        <w:rPr>
          <w:rFonts w:ascii="Times New Roman" w:hAnsi="Times New Roman"/>
          <w:sz w:val="28"/>
          <w:szCs w:val="28"/>
        </w:rPr>
        <w:t>–</w:t>
      </w:r>
      <w:r w:rsidR="00546179" w:rsidRPr="007931A2">
        <w:rPr>
          <w:rFonts w:ascii="Times New Roman" w:hAnsi="Times New Roman"/>
          <w:sz w:val="28"/>
          <w:szCs w:val="28"/>
        </w:rPr>
        <w:t xml:space="preserve"> </w:t>
      </w:r>
      <w:r w:rsidR="00C175F6" w:rsidRPr="007931A2">
        <w:rPr>
          <w:rFonts w:ascii="Times New Roman" w:hAnsi="Times New Roman"/>
          <w:sz w:val="28"/>
          <w:szCs w:val="28"/>
        </w:rPr>
        <w:t xml:space="preserve">не рідше ніж </w:t>
      </w:r>
      <w:r w:rsidR="006500F5">
        <w:rPr>
          <w:rFonts w:ascii="Times New Roman" w:hAnsi="Times New Roman"/>
          <w:sz w:val="28"/>
          <w:szCs w:val="28"/>
        </w:rPr>
        <w:t xml:space="preserve">один </w:t>
      </w:r>
      <w:r w:rsidR="00C175F6" w:rsidRPr="007931A2">
        <w:rPr>
          <w:rFonts w:ascii="Times New Roman" w:hAnsi="Times New Roman"/>
          <w:sz w:val="28"/>
          <w:szCs w:val="28"/>
        </w:rPr>
        <w:t>раз на шість місяців.</w:t>
      </w:r>
    </w:p>
    <w:p w14:paraId="23FBC4EC" w14:textId="77777777" w:rsidR="00C175F6" w:rsidRPr="007931A2" w:rsidRDefault="00C175F6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34F175A" w14:textId="4F915D7A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>67</w:t>
      </w:r>
      <w:r w:rsidR="00C175F6" w:rsidRPr="007931A2">
        <w:rPr>
          <w:rFonts w:ascii="Times New Roman" w:eastAsia="Calibri" w:hAnsi="Times New Roman"/>
          <w:sz w:val="28"/>
          <w:szCs w:val="28"/>
          <w:vertAlign w:val="superscript"/>
        </w:rPr>
        <w:t>4</w:t>
      </w:r>
      <w:r w:rsidRPr="007931A2">
        <w:rPr>
          <w:rFonts w:ascii="Times New Roman" w:eastAsia="Calibri" w:hAnsi="Times New Roman"/>
          <w:sz w:val="28"/>
          <w:szCs w:val="28"/>
        </w:rPr>
        <w:t xml:space="preserve">. Банк протягом строку дії передексплуатаційного етапу проєкту та до 365 календарного дня після визначення банком експлуатаційного етапу проєкту на регулярній основі, але не рідше одного разу на </w:t>
      </w:r>
      <w:r w:rsidR="00D71D0D">
        <w:rPr>
          <w:rFonts w:ascii="Times New Roman" w:eastAsia="Calibri" w:hAnsi="Times New Roman"/>
          <w:sz w:val="28"/>
          <w:szCs w:val="28"/>
        </w:rPr>
        <w:t>12</w:t>
      </w:r>
      <w:r w:rsidR="00D71D0D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місяців здійснює оцінку бізнес</w:t>
      </w:r>
      <w:r w:rsidR="006500F5">
        <w:rPr>
          <w:rFonts w:ascii="Times New Roman" w:eastAsia="Calibri" w:hAnsi="Times New Roman"/>
          <w:sz w:val="28"/>
          <w:szCs w:val="28"/>
        </w:rPr>
        <w:t>-</w:t>
      </w:r>
      <w:r w:rsidRPr="007931A2">
        <w:rPr>
          <w:rFonts w:ascii="Times New Roman" w:eastAsia="Calibri" w:hAnsi="Times New Roman"/>
          <w:sz w:val="28"/>
          <w:szCs w:val="28"/>
        </w:rPr>
        <w:t>плану проєкту  та формує судження щодо реалістичності його виконання у визначені бізнес-планом строки з урахуванням відповідності функціонування боржника/активу/</w:t>
      </w:r>
      <w:r w:rsidR="00546179" w:rsidRPr="007931A2">
        <w:rPr>
          <w:rFonts w:ascii="Times New Roman" w:eastAsia="Calibri" w:hAnsi="Times New Roman"/>
          <w:sz w:val="28"/>
          <w:szCs w:val="28"/>
        </w:rPr>
        <w:t>об’єкт</w:t>
      </w:r>
      <w:r w:rsidR="00546179">
        <w:rPr>
          <w:rFonts w:ascii="Times New Roman" w:eastAsia="Calibri" w:hAnsi="Times New Roman"/>
          <w:sz w:val="28"/>
          <w:szCs w:val="28"/>
        </w:rPr>
        <w:t>а</w:t>
      </w:r>
      <w:r w:rsidR="00546179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правовому/економічному/технологічному/</w:t>
      </w:r>
      <w:r w:rsidR="00C06FE1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 xml:space="preserve">екологічному/соціальному середовищу, </w:t>
      </w:r>
      <w:r w:rsidR="00C06FE1">
        <w:rPr>
          <w:rFonts w:ascii="Times New Roman" w:eastAsia="Calibri" w:hAnsi="Times New Roman"/>
          <w:sz w:val="28"/>
          <w:szCs w:val="28"/>
        </w:rPr>
        <w:t>у</w:t>
      </w:r>
      <w:r w:rsidRPr="007931A2">
        <w:rPr>
          <w:rFonts w:ascii="Times New Roman" w:eastAsia="Calibri" w:hAnsi="Times New Roman"/>
          <w:sz w:val="28"/>
          <w:szCs w:val="28"/>
        </w:rPr>
        <w:t xml:space="preserve"> якому функціонує боржник/</w:t>
      </w:r>
      <w:r w:rsidR="00C06FE1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функціонуватиме актив/об’єкт.</w:t>
      </w:r>
    </w:p>
    <w:p w14:paraId="1C3FC578" w14:textId="77777777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587440A" w14:textId="41348F38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>67</w:t>
      </w:r>
      <w:r w:rsidR="00C175F6" w:rsidRPr="007931A2">
        <w:rPr>
          <w:rFonts w:ascii="Times New Roman" w:eastAsia="Calibri" w:hAnsi="Times New Roman"/>
          <w:sz w:val="28"/>
          <w:szCs w:val="28"/>
          <w:vertAlign w:val="superscript"/>
        </w:rPr>
        <w:t>5</w:t>
      </w:r>
      <w:r w:rsidRPr="007931A2">
        <w:rPr>
          <w:rFonts w:ascii="Times New Roman" w:eastAsia="Calibri" w:hAnsi="Times New Roman"/>
          <w:sz w:val="28"/>
          <w:szCs w:val="28"/>
        </w:rPr>
        <w:t xml:space="preserve">. Банк коригує визначений на підставі оцінки фінансового стану клас боржника </w:t>
      </w:r>
      <w:r w:rsidR="00546179">
        <w:rPr>
          <w:rFonts w:ascii="Times New Roman" w:eastAsia="Calibri" w:hAnsi="Times New Roman"/>
          <w:sz w:val="28"/>
          <w:szCs w:val="28"/>
        </w:rPr>
        <w:t>–</w:t>
      </w:r>
      <w:r w:rsidR="00546179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 xml:space="preserve">юридичної особи за спеціалізованим кредитом, застосовуючи коригуючі фактори, визначені в пункті 22 розділу II цього Положення, а саме щодо:   </w:t>
      </w:r>
    </w:p>
    <w:p w14:paraId="40649D96" w14:textId="77777777" w:rsidR="00936505" w:rsidRDefault="00936505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14A1D5B" w14:textId="18671FCD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>1) своєчасної сплати боргу боржником  з дотриманням таких вимог:</w:t>
      </w:r>
    </w:p>
    <w:p w14:paraId="53551136" w14:textId="473BC7C0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 xml:space="preserve">у разі наявності факту прострочення боргу від 31 до 60 днів </w:t>
      </w:r>
      <w:r w:rsidR="00546179">
        <w:rPr>
          <w:rFonts w:ascii="Times New Roman" w:eastAsia="Calibri" w:hAnsi="Times New Roman"/>
          <w:sz w:val="28"/>
          <w:szCs w:val="28"/>
        </w:rPr>
        <w:t>–</w:t>
      </w:r>
      <w:r w:rsidR="00546179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банк визначає клас не вище 3;</w:t>
      </w:r>
    </w:p>
    <w:p w14:paraId="018226B4" w14:textId="5B6AE724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 xml:space="preserve">у разі наявності факту прострочення боргу від 61 до 90 днів </w:t>
      </w:r>
      <w:r w:rsidR="00546179">
        <w:rPr>
          <w:rFonts w:ascii="Times New Roman" w:eastAsia="Calibri" w:hAnsi="Times New Roman"/>
          <w:sz w:val="28"/>
          <w:szCs w:val="28"/>
        </w:rPr>
        <w:t>–</w:t>
      </w:r>
      <w:r w:rsidR="00546179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банк визначає клас не вище 4;</w:t>
      </w:r>
    </w:p>
    <w:p w14:paraId="791371F2" w14:textId="2F323A7A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 xml:space="preserve">у разі наявності факту прострочення боргу 91 та більше днів </w:t>
      </w:r>
      <w:r w:rsidR="00546179">
        <w:rPr>
          <w:rFonts w:ascii="Times New Roman" w:eastAsia="Calibri" w:hAnsi="Times New Roman"/>
          <w:sz w:val="28"/>
          <w:szCs w:val="28"/>
        </w:rPr>
        <w:t>–</w:t>
      </w:r>
      <w:r w:rsidR="00546179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банк визначає клас не вище 5</w:t>
      </w:r>
      <w:r w:rsidR="00D71D0D">
        <w:rPr>
          <w:rFonts w:ascii="Times New Roman" w:eastAsia="Calibri" w:hAnsi="Times New Roman"/>
          <w:sz w:val="28"/>
          <w:szCs w:val="28"/>
        </w:rPr>
        <w:t>;</w:t>
      </w:r>
    </w:p>
    <w:p w14:paraId="6EFE6293" w14:textId="77777777" w:rsidR="00936505" w:rsidRDefault="00936505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A0757B5" w14:textId="5C79E200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>2) належності боржника до групи юридичних осіб під спільним контролем/групи пов</w:t>
      </w:r>
      <w:r w:rsidR="00CA5FF0">
        <w:rPr>
          <w:rFonts w:ascii="Times New Roman" w:eastAsia="Calibri" w:hAnsi="Times New Roman"/>
          <w:sz w:val="28"/>
          <w:szCs w:val="28"/>
        </w:rPr>
        <w:t>ʼ</w:t>
      </w:r>
      <w:r w:rsidRPr="007931A2">
        <w:rPr>
          <w:rFonts w:ascii="Times New Roman" w:eastAsia="Calibri" w:hAnsi="Times New Roman"/>
          <w:sz w:val="28"/>
          <w:szCs w:val="28"/>
        </w:rPr>
        <w:t xml:space="preserve">язаних контрагентів </w:t>
      </w:r>
      <w:r w:rsidR="00CA5FF0">
        <w:rPr>
          <w:rFonts w:ascii="Times New Roman" w:eastAsia="Calibri" w:hAnsi="Times New Roman"/>
          <w:sz w:val="28"/>
          <w:szCs w:val="28"/>
        </w:rPr>
        <w:t>–</w:t>
      </w:r>
      <w:r w:rsidR="00CA5FF0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згідно з вимогами пунктів 61</w:t>
      </w:r>
      <w:r w:rsidR="00CA5FF0">
        <w:rPr>
          <w:rFonts w:ascii="Times New Roman" w:eastAsia="Calibri" w:hAnsi="Times New Roman"/>
          <w:sz w:val="28"/>
          <w:szCs w:val="28"/>
        </w:rPr>
        <w:t>–</w:t>
      </w:r>
      <w:r w:rsidRPr="007931A2">
        <w:rPr>
          <w:rFonts w:ascii="Times New Roman" w:eastAsia="Calibri" w:hAnsi="Times New Roman"/>
          <w:sz w:val="28"/>
          <w:szCs w:val="28"/>
        </w:rPr>
        <w:t>64 розділу IV цього Положення;</w:t>
      </w:r>
    </w:p>
    <w:p w14:paraId="30188E80" w14:textId="77777777" w:rsidR="00936505" w:rsidRDefault="00936505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6BCBDA8" w14:textId="0E99F9C3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>3) ознак, що свідчать про високий кредитний ризик боржника/контрагента</w:t>
      </w:r>
      <w:r w:rsidR="00CA5FF0">
        <w:rPr>
          <w:rFonts w:ascii="Times New Roman" w:eastAsia="Calibri" w:hAnsi="Times New Roman"/>
          <w:sz w:val="28"/>
          <w:szCs w:val="28"/>
        </w:rPr>
        <w:t>,</w:t>
      </w:r>
      <w:r w:rsidR="00CA7C60">
        <w:rPr>
          <w:rFonts w:ascii="Times New Roman" w:eastAsia="Calibri" w:hAnsi="Times New Roman"/>
          <w:sz w:val="28"/>
          <w:szCs w:val="28"/>
        </w:rPr>
        <w:t> </w:t>
      </w:r>
      <w:r w:rsidR="00CA5FF0">
        <w:rPr>
          <w:rFonts w:ascii="Times New Roman" w:eastAsia="Calibri" w:hAnsi="Times New Roman"/>
          <w:sz w:val="28"/>
          <w:szCs w:val="28"/>
        </w:rPr>
        <w:t>–</w:t>
      </w:r>
      <w:r w:rsidR="00CA5FF0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згідно з розділом XVII цього Положення;</w:t>
      </w:r>
    </w:p>
    <w:p w14:paraId="391F89F6" w14:textId="77777777" w:rsidR="00936505" w:rsidRDefault="00936505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1C49619" w14:textId="440F5C38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 xml:space="preserve">4) вимог щодо визнання/припинення визнання банком дефолту боржника/контрагента </w:t>
      </w:r>
      <w:r w:rsidR="00CA5FF0">
        <w:rPr>
          <w:rFonts w:ascii="Times New Roman" w:eastAsia="Calibri" w:hAnsi="Times New Roman"/>
          <w:sz w:val="28"/>
          <w:szCs w:val="28"/>
        </w:rPr>
        <w:t>–</w:t>
      </w:r>
      <w:r w:rsidR="00CA5FF0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згідно з розділом XVIII цього Положення;</w:t>
      </w:r>
    </w:p>
    <w:p w14:paraId="09FC6475" w14:textId="77777777" w:rsidR="00936505" w:rsidRDefault="00936505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2DCFB93" w14:textId="1C51BAE5" w:rsidR="006C256B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>5) інформації з Кредитного реєстру про нижчий (гірший) від визначеного банком клас боржника</w:t>
      </w:r>
      <w:r w:rsidR="0064781F">
        <w:rPr>
          <w:rFonts w:ascii="Times New Roman" w:eastAsia="Calibri" w:hAnsi="Times New Roman"/>
          <w:sz w:val="28"/>
          <w:szCs w:val="28"/>
        </w:rPr>
        <w:t xml:space="preserve">, </w:t>
      </w:r>
      <w:r w:rsidRPr="007931A2">
        <w:rPr>
          <w:rFonts w:ascii="Times New Roman" w:eastAsia="Calibri" w:hAnsi="Times New Roman"/>
          <w:sz w:val="28"/>
          <w:szCs w:val="28"/>
        </w:rPr>
        <w:t xml:space="preserve">якщо клас боржника 5 </w:t>
      </w:r>
      <w:r w:rsidR="00CA5FF0">
        <w:rPr>
          <w:rFonts w:ascii="Times New Roman" w:eastAsia="Calibri" w:hAnsi="Times New Roman"/>
          <w:sz w:val="28"/>
          <w:szCs w:val="28"/>
        </w:rPr>
        <w:t>–</w:t>
      </w:r>
      <w:r w:rsidR="00CA5FF0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банк понижує визначений ним к</w:t>
      </w:r>
      <w:r w:rsidR="00936505">
        <w:rPr>
          <w:rFonts w:ascii="Times New Roman" w:eastAsia="Calibri" w:hAnsi="Times New Roman"/>
          <w:sz w:val="28"/>
          <w:szCs w:val="28"/>
        </w:rPr>
        <w:t>лас цього боржника на два класи</w:t>
      </w:r>
      <w:r w:rsidR="0064781F">
        <w:rPr>
          <w:rFonts w:ascii="Times New Roman" w:eastAsia="Calibri" w:hAnsi="Times New Roman"/>
          <w:sz w:val="28"/>
          <w:szCs w:val="28"/>
        </w:rPr>
        <w:t>.</w:t>
      </w:r>
      <w:r w:rsidR="0064781F" w:rsidRPr="00EF1F81">
        <w:rPr>
          <w:rFonts w:ascii="Times New Roman" w:eastAsia="Calibri" w:hAnsi="Times New Roman"/>
          <w:sz w:val="28"/>
          <w:szCs w:val="28"/>
          <w:lang w:val="ru-RU"/>
        </w:rPr>
        <w:t>”</w:t>
      </w:r>
      <w:r w:rsidR="0064781F">
        <w:rPr>
          <w:rFonts w:ascii="Times New Roman" w:eastAsia="Calibri" w:hAnsi="Times New Roman"/>
          <w:sz w:val="28"/>
          <w:szCs w:val="28"/>
        </w:rPr>
        <w:t>;</w:t>
      </w:r>
    </w:p>
    <w:p w14:paraId="32A697EC" w14:textId="77777777" w:rsidR="00936505" w:rsidRPr="007931A2" w:rsidRDefault="00936505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D7460CC" w14:textId="54737B9E" w:rsidR="00C175F6" w:rsidRPr="007931A2" w:rsidRDefault="00C175F6" w:rsidP="00C06FE1">
      <w:pPr>
        <w:pStyle w:val="af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 xml:space="preserve">розділ доповнити </w:t>
      </w:r>
      <w:r w:rsidR="0064781F">
        <w:rPr>
          <w:sz w:val="28"/>
          <w:szCs w:val="28"/>
        </w:rPr>
        <w:t xml:space="preserve">чотирма </w:t>
      </w:r>
      <w:r w:rsidR="008949A8">
        <w:rPr>
          <w:sz w:val="28"/>
          <w:szCs w:val="28"/>
        </w:rPr>
        <w:t>н</w:t>
      </w:r>
      <w:r w:rsidRPr="007931A2">
        <w:rPr>
          <w:sz w:val="28"/>
          <w:szCs w:val="28"/>
        </w:rPr>
        <w:t>овими пункт</w:t>
      </w:r>
      <w:r w:rsidR="008949A8">
        <w:rPr>
          <w:sz w:val="28"/>
          <w:szCs w:val="28"/>
        </w:rPr>
        <w:t>ами</w:t>
      </w:r>
      <w:r w:rsidRPr="007931A2">
        <w:rPr>
          <w:sz w:val="28"/>
          <w:szCs w:val="28"/>
        </w:rPr>
        <w:t xml:space="preserve"> такого змісту:</w:t>
      </w:r>
    </w:p>
    <w:p w14:paraId="52AC1D34" w14:textId="40B3A892" w:rsidR="006C256B" w:rsidRPr="007931A2" w:rsidRDefault="00C175F6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  <w:lang w:val="ru-RU"/>
        </w:rPr>
        <w:t>“</w:t>
      </w:r>
      <w:r w:rsidR="006C256B" w:rsidRPr="007931A2">
        <w:rPr>
          <w:rFonts w:ascii="Times New Roman" w:eastAsia="Calibri" w:hAnsi="Times New Roman"/>
          <w:sz w:val="28"/>
          <w:szCs w:val="28"/>
        </w:rPr>
        <w:t>67</w:t>
      </w:r>
      <w:r w:rsidRPr="007931A2">
        <w:rPr>
          <w:rFonts w:ascii="Times New Roman" w:eastAsia="Calibri" w:hAnsi="Times New Roman"/>
          <w:sz w:val="28"/>
          <w:szCs w:val="28"/>
          <w:vertAlign w:val="superscript"/>
        </w:rPr>
        <w:t>6</w:t>
      </w:r>
      <w:r w:rsidR="006C256B" w:rsidRPr="007931A2">
        <w:rPr>
          <w:rFonts w:ascii="Times New Roman" w:eastAsia="Calibri" w:hAnsi="Times New Roman"/>
          <w:sz w:val="28"/>
          <w:szCs w:val="28"/>
        </w:rPr>
        <w:t>. Банк визначає значення коефіцієнта ймовірності дефолту боржника</w:t>
      </w:r>
      <w:r w:rsidR="00AC5B14">
        <w:rPr>
          <w:rFonts w:ascii="Times New Roman" w:eastAsia="Calibri" w:hAnsi="Times New Roman"/>
          <w:sz w:val="28"/>
          <w:szCs w:val="28"/>
        </w:rPr>
        <w:t> </w:t>
      </w:r>
      <w:r w:rsidR="00CA5FF0">
        <w:rPr>
          <w:rFonts w:ascii="Times New Roman" w:eastAsia="Calibri" w:hAnsi="Times New Roman"/>
          <w:sz w:val="28"/>
          <w:szCs w:val="28"/>
        </w:rPr>
        <w:t>–</w:t>
      </w:r>
      <w:r w:rsidR="00CA5FF0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="006C256B" w:rsidRPr="007931A2">
        <w:rPr>
          <w:rFonts w:ascii="Times New Roman" w:eastAsia="Calibri" w:hAnsi="Times New Roman"/>
          <w:sz w:val="28"/>
          <w:szCs w:val="28"/>
        </w:rPr>
        <w:t>юридичної особи за спеціалізованим кредитом:</w:t>
      </w:r>
    </w:p>
    <w:p w14:paraId="5C013FD9" w14:textId="77777777" w:rsidR="00936505" w:rsidRDefault="00936505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FE935D3" w14:textId="25F4C35B" w:rsidR="006C256B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 xml:space="preserve">1) на передексплуатаційному етапі проєкту/до 365 календарного дня після визначення банком експлуатаційного етапу проєкту </w:t>
      </w:r>
      <w:r w:rsidR="00CA5FF0">
        <w:rPr>
          <w:rFonts w:ascii="Times New Roman" w:eastAsia="Calibri" w:hAnsi="Times New Roman"/>
          <w:sz w:val="28"/>
          <w:szCs w:val="28"/>
        </w:rPr>
        <w:t>–</w:t>
      </w:r>
      <w:r w:rsidR="00CA5FF0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>виходячи зі скоригованого класу боржника згідно з таблицею 10 додатка 9 до цього Положення;</w:t>
      </w:r>
    </w:p>
    <w:p w14:paraId="36FB54A1" w14:textId="77777777" w:rsidR="00936505" w:rsidRDefault="00936505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0607DC7" w14:textId="6A8FEC8E" w:rsidR="00570EFD" w:rsidRPr="007931A2" w:rsidRDefault="006C256B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31A2">
        <w:rPr>
          <w:rFonts w:ascii="Times New Roman" w:eastAsia="Calibri" w:hAnsi="Times New Roman"/>
          <w:sz w:val="28"/>
          <w:szCs w:val="28"/>
        </w:rPr>
        <w:t>2) починаючи з 36</w:t>
      </w:r>
      <w:r w:rsidR="00C175F6" w:rsidRPr="007931A2">
        <w:rPr>
          <w:rFonts w:ascii="Times New Roman" w:eastAsia="Calibri" w:hAnsi="Times New Roman"/>
          <w:sz w:val="28"/>
          <w:szCs w:val="28"/>
          <w:lang w:val="ru-RU"/>
        </w:rPr>
        <w:t>6</w:t>
      </w:r>
      <w:r w:rsidRPr="007931A2">
        <w:rPr>
          <w:rFonts w:ascii="Times New Roman" w:eastAsia="Calibri" w:hAnsi="Times New Roman"/>
          <w:sz w:val="28"/>
          <w:szCs w:val="28"/>
        </w:rPr>
        <w:t xml:space="preserve"> календарного дня після визначення банком експлуатаційного етапу проєкту </w:t>
      </w:r>
      <w:r w:rsidR="00CA5FF0">
        <w:rPr>
          <w:rFonts w:ascii="Times New Roman" w:eastAsia="Calibri" w:hAnsi="Times New Roman"/>
          <w:sz w:val="28"/>
          <w:szCs w:val="28"/>
        </w:rPr>
        <w:t>–</w:t>
      </w:r>
      <w:r w:rsidR="00CA5FF0" w:rsidRPr="007931A2">
        <w:rPr>
          <w:rFonts w:ascii="Times New Roman" w:eastAsia="Calibri" w:hAnsi="Times New Roman"/>
          <w:sz w:val="28"/>
          <w:szCs w:val="28"/>
        </w:rPr>
        <w:t xml:space="preserve"> </w:t>
      </w:r>
      <w:r w:rsidRPr="007931A2">
        <w:rPr>
          <w:rFonts w:ascii="Times New Roman" w:eastAsia="Calibri" w:hAnsi="Times New Roman"/>
          <w:sz w:val="28"/>
          <w:szCs w:val="28"/>
        </w:rPr>
        <w:t xml:space="preserve">виходячи зі скоригованого класу боржника, визначеного згідно з розділом </w:t>
      </w:r>
      <w:r w:rsidRPr="007931A2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7931A2">
        <w:rPr>
          <w:rFonts w:ascii="Times New Roman" w:eastAsia="Calibri" w:hAnsi="Times New Roman"/>
          <w:sz w:val="28"/>
          <w:szCs w:val="28"/>
        </w:rPr>
        <w:t xml:space="preserve"> цього Положення.</w:t>
      </w:r>
    </w:p>
    <w:p w14:paraId="79BA194F" w14:textId="77777777" w:rsidR="00164A11" w:rsidRDefault="00164A11" w:rsidP="00C06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2A2A4" w14:textId="614F461D" w:rsidR="006C256B" w:rsidRPr="007931A2" w:rsidRDefault="0064781F" w:rsidP="00C06F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802AA4">
        <w:rPr>
          <w:rFonts w:ascii="Times New Roman" w:hAnsi="Times New Roman"/>
          <w:sz w:val="28"/>
          <w:szCs w:val="28"/>
        </w:rPr>
        <w:t xml:space="preserve"> </w:t>
      </w:r>
      <w:r w:rsidR="00117F4A" w:rsidRPr="007931A2">
        <w:rPr>
          <w:rFonts w:ascii="Times New Roman" w:hAnsi="Times New Roman"/>
          <w:sz w:val="28"/>
          <w:szCs w:val="28"/>
        </w:rPr>
        <w:t xml:space="preserve">Банк може ухвалити рішення про продовження </w:t>
      </w:r>
      <w:r w:rsidR="003D1F12" w:rsidRPr="007931A2">
        <w:rPr>
          <w:rFonts w:ascii="Times New Roman" w:hAnsi="Times New Roman"/>
          <w:sz w:val="28"/>
          <w:szCs w:val="28"/>
        </w:rPr>
        <w:t>дії</w:t>
      </w:r>
      <w:r w:rsidR="00117F4A" w:rsidRPr="007931A2">
        <w:rPr>
          <w:rFonts w:ascii="Times New Roman" w:hAnsi="Times New Roman"/>
          <w:sz w:val="28"/>
          <w:szCs w:val="28"/>
        </w:rPr>
        <w:t xml:space="preserve"> строк</w:t>
      </w:r>
      <w:r w:rsidR="003D1F12" w:rsidRPr="007931A2">
        <w:rPr>
          <w:rFonts w:ascii="Times New Roman" w:hAnsi="Times New Roman"/>
          <w:sz w:val="28"/>
          <w:szCs w:val="28"/>
        </w:rPr>
        <w:t>ів</w:t>
      </w:r>
      <w:r w:rsidR="00117F4A" w:rsidRPr="007931A2">
        <w:rPr>
          <w:rFonts w:ascii="Times New Roman" w:hAnsi="Times New Roman"/>
          <w:sz w:val="28"/>
          <w:szCs w:val="28"/>
        </w:rPr>
        <w:t>, визначених у підпунктах 1 та 2 пункту 67</w:t>
      </w:r>
      <w:r w:rsidR="00117F4A" w:rsidRPr="007931A2">
        <w:rPr>
          <w:rFonts w:ascii="Times New Roman" w:hAnsi="Times New Roman"/>
          <w:sz w:val="28"/>
          <w:szCs w:val="28"/>
          <w:vertAlign w:val="superscript"/>
        </w:rPr>
        <w:t>6</w:t>
      </w:r>
      <w:r w:rsidR="00117F4A" w:rsidRPr="007931A2">
        <w:rPr>
          <w:rFonts w:ascii="Times New Roman" w:hAnsi="Times New Roman"/>
          <w:sz w:val="28"/>
          <w:szCs w:val="28"/>
        </w:rPr>
        <w:t xml:space="preserve"> розділу </w:t>
      </w:r>
      <w:r w:rsidR="00117F4A" w:rsidRPr="007931A2">
        <w:rPr>
          <w:rFonts w:ascii="Times New Roman" w:hAnsi="Times New Roman"/>
          <w:sz w:val="28"/>
          <w:szCs w:val="28"/>
          <w:lang w:val="en-US"/>
        </w:rPr>
        <w:t>IV</w:t>
      </w:r>
      <w:r w:rsidR="00117F4A" w:rsidRPr="007931A2">
        <w:rPr>
          <w:rFonts w:ascii="Times New Roman" w:hAnsi="Times New Roman"/>
          <w:sz w:val="28"/>
          <w:szCs w:val="28"/>
          <w:vertAlign w:val="superscript"/>
        </w:rPr>
        <w:t>1</w:t>
      </w:r>
      <w:r w:rsidR="00117F4A" w:rsidRPr="007931A2">
        <w:rPr>
          <w:rFonts w:ascii="Times New Roman" w:hAnsi="Times New Roman"/>
          <w:sz w:val="28"/>
          <w:szCs w:val="28"/>
        </w:rPr>
        <w:t xml:space="preserve"> цього Положення, на строк до 365 календарних днів, якщо банк на підставі судження довів, що боржник</w:t>
      </w:r>
      <w:r w:rsidR="00802AA4">
        <w:rPr>
          <w:rFonts w:ascii="Times New Roman" w:hAnsi="Times New Roman"/>
          <w:sz w:val="28"/>
          <w:szCs w:val="28"/>
        </w:rPr>
        <w:t xml:space="preserve"> – </w:t>
      </w:r>
      <w:r w:rsidR="00117F4A" w:rsidRPr="007931A2">
        <w:rPr>
          <w:rFonts w:ascii="Times New Roman" w:hAnsi="Times New Roman"/>
          <w:sz w:val="28"/>
          <w:szCs w:val="28"/>
        </w:rPr>
        <w:t>юридична особа спроможний протягом цього строку забезпечити вихід на повну проєктну потужність відповідно до початкового бізнес-плану/план</w:t>
      </w:r>
      <w:r w:rsidR="00936505">
        <w:rPr>
          <w:rFonts w:ascii="Times New Roman" w:hAnsi="Times New Roman"/>
          <w:sz w:val="28"/>
          <w:szCs w:val="28"/>
        </w:rPr>
        <w:t>у-</w:t>
      </w:r>
      <w:r w:rsidR="00CA5FF0">
        <w:rPr>
          <w:rFonts w:ascii="Times New Roman" w:hAnsi="Times New Roman"/>
          <w:sz w:val="28"/>
          <w:szCs w:val="28"/>
        </w:rPr>
        <w:t xml:space="preserve">графіка </w:t>
      </w:r>
      <w:r w:rsidR="00936505">
        <w:rPr>
          <w:rFonts w:ascii="Times New Roman" w:hAnsi="Times New Roman"/>
          <w:sz w:val="28"/>
          <w:szCs w:val="28"/>
        </w:rPr>
        <w:t>реалізації проєкту.</w:t>
      </w:r>
    </w:p>
    <w:p w14:paraId="242A3092" w14:textId="77777777" w:rsidR="00936505" w:rsidRDefault="00936505" w:rsidP="00C06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BC3BA1" w14:textId="6CEFC25F" w:rsidR="009017D1" w:rsidRPr="007931A2" w:rsidRDefault="009017D1" w:rsidP="00936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67</w:t>
      </w:r>
      <w:r w:rsidR="0064781F">
        <w:rPr>
          <w:rFonts w:ascii="Times New Roman" w:hAnsi="Times New Roman"/>
          <w:sz w:val="28"/>
          <w:szCs w:val="28"/>
          <w:vertAlign w:val="superscript"/>
        </w:rPr>
        <w:t>8</w:t>
      </w:r>
      <w:r w:rsidRPr="007931A2">
        <w:rPr>
          <w:rFonts w:ascii="Times New Roman" w:hAnsi="Times New Roman"/>
          <w:sz w:val="28"/>
          <w:szCs w:val="28"/>
        </w:rPr>
        <w:t xml:space="preserve">. Банк під час визначення значення коефіцієнта ймовірності дефолту боржника </w:t>
      </w:r>
      <w:r w:rsidR="00CA5FF0">
        <w:rPr>
          <w:rFonts w:ascii="Times New Roman" w:hAnsi="Times New Roman"/>
          <w:sz w:val="28"/>
          <w:szCs w:val="28"/>
        </w:rPr>
        <w:t>–</w:t>
      </w:r>
      <w:r w:rsidR="00CA5FF0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юридичної особи за спеціалізованим кредитом у межах установленого діапазону відповідно до вимог пунктів 29</w:t>
      </w:r>
      <w:r w:rsidR="00CA5FF0">
        <w:rPr>
          <w:rFonts w:ascii="Times New Roman" w:hAnsi="Times New Roman"/>
          <w:sz w:val="28"/>
          <w:szCs w:val="28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31 розділу II цього Положення та згідно з методикою банку щодо визначення значення PD також ураховує: результати моніторингу стану виконання реалізації проєкту; спроможність боржника ефективно продовжити/завершити реалізацію проєкту та досягти запланованих результатів; динаміку фактичних значень фінансових показників; якість менеджменту боржника </w:t>
      </w:r>
      <w:r w:rsidR="00CA5FF0">
        <w:rPr>
          <w:rFonts w:ascii="Times New Roman" w:hAnsi="Times New Roman"/>
          <w:sz w:val="28"/>
          <w:szCs w:val="28"/>
        </w:rPr>
        <w:t>–</w:t>
      </w:r>
      <w:r w:rsidR="00CA5FF0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юридичної особи;  відповідність  функціонування боржника/активу/</w:t>
      </w:r>
      <w:r w:rsidR="00CA5FF0" w:rsidRPr="007931A2">
        <w:rPr>
          <w:rFonts w:ascii="Times New Roman" w:hAnsi="Times New Roman"/>
          <w:sz w:val="28"/>
          <w:szCs w:val="28"/>
        </w:rPr>
        <w:t>об’єкт</w:t>
      </w:r>
      <w:r w:rsidR="00CA5FF0">
        <w:rPr>
          <w:rFonts w:ascii="Times New Roman" w:hAnsi="Times New Roman"/>
          <w:sz w:val="28"/>
          <w:szCs w:val="28"/>
        </w:rPr>
        <w:t>а</w:t>
      </w:r>
      <w:r w:rsidR="00CA5FF0" w:rsidRPr="007931A2">
        <w:rPr>
          <w:rFonts w:ascii="Times New Roman" w:hAnsi="Times New Roman"/>
          <w:sz w:val="28"/>
          <w:szCs w:val="28"/>
        </w:rPr>
        <w:t xml:space="preserve"> </w:t>
      </w:r>
      <w:r w:rsidRPr="007931A2">
        <w:rPr>
          <w:rFonts w:ascii="Times New Roman" w:hAnsi="Times New Roman"/>
          <w:sz w:val="28"/>
          <w:szCs w:val="28"/>
        </w:rPr>
        <w:t>правовому/економічному/ технологічному/екологічному/соціальному середовищу, в якому функціонує боржник/функціонуватиме актив/об’єкт; визначені банком ризики, що можуть виникнути впродовж строку користування кредитом, та інші події та обставини, що можуть негативно вплинути на виконання боржником своїх зобов</w:t>
      </w:r>
      <w:r w:rsidR="00CA5FF0">
        <w:rPr>
          <w:rFonts w:ascii="Times New Roman" w:hAnsi="Times New Roman"/>
          <w:sz w:val="28"/>
          <w:szCs w:val="28"/>
        </w:rPr>
        <w:t>ʼ</w:t>
      </w:r>
      <w:r w:rsidRPr="007931A2">
        <w:rPr>
          <w:rFonts w:ascii="Times New Roman" w:hAnsi="Times New Roman"/>
          <w:sz w:val="28"/>
          <w:szCs w:val="28"/>
        </w:rPr>
        <w:t>язань.</w:t>
      </w:r>
    </w:p>
    <w:p w14:paraId="4356FD48" w14:textId="4500B271" w:rsidR="000050C9" w:rsidRDefault="000050C9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931A2">
        <w:rPr>
          <w:rFonts w:ascii="Times New Roman" w:hAnsi="Times New Roman"/>
          <w:sz w:val="28"/>
          <w:szCs w:val="28"/>
        </w:rPr>
        <w:t>анк визначає у в</w:t>
      </w:r>
      <w:r>
        <w:rPr>
          <w:rFonts w:ascii="Times New Roman" w:hAnsi="Times New Roman"/>
          <w:sz w:val="28"/>
          <w:szCs w:val="28"/>
        </w:rPr>
        <w:t>нутрішньобанківському положенні п</w:t>
      </w:r>
      <w:r w:rsidRPr="007931A2">
        <w:rPr>
          <w:rFonts w:ascii="Times New Roman" w:hAnsi="Times New Roman"/>
          <w:sz w:val="28"/>
          <w:szCs w:val="28"/>
        </w:rPr>
        <w:t xml:space="preserve">орядок </w:t>
      </w:r>
      <w:r w:rsidR="009017D1" w:rsidRPr="007931A2">
        <w:rPr>
          <w:rFonts w:ascii="Times New Roman" w:hAnsi="Times New Roman"/>
          <w:sz w:val="28"/>
          <w:szCs w:val="28"/>
        </w:rPr>
        <w:t>урахування впливу такої інформації в межах передбаченого цим Положенням діапазону</w:t>
      </w:r>
      <w:r>
        <w:rPr>
          <w:rFonts w:ascii="Times New Roman" w:hAnsi="Times New Roman"/>
          <w:sz w:val="28"/>
          <w:szCs w:val="28"/>
        </w:rPr>
        <w:t>.</w:t>
      </w:r>
    </w:p>
    <w:p w14:paraId="520FA760" w14:textId="622A4987" w:rsidR="009D5951" w:rsidRDefault="009017D1" w:rsidP="00F7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 xml:space="preserve"> </w:t>
      </w:r>
    </w:p>
    <w:p w14:paraId="128F7E59" w14:textId="10C4604E" w:rsidR="009D5951" w:rsidRPr="007931A2" w:rsidRDefault="009D5951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67</w:t>
      </w:r>
      <w:r w:rsidR="0064781F">
        <w:rPr>
          <w:rFonts w:ascii="Times New Roman" w:hAnsi="Times New Roman"/>
          <w:sz w:val="28"/>
          <w:szCs w:val="28"/>
          <w:vertAlign w:val="superscript"/>
        </w:rPr>
        <w:t>9</w:t>
      </w:r>
      <w:r w:rsidRPr="009D5951">
        <w:rPr>
          <w:rFonts w:ascii="Times New Roman" w:hAnsi="Times New Roman"/>
          <w:sz w:val="28"/>
          <w:szCs w:val="28"/>
        </w:rPr>
        <w:t xml:space="preserve">. </w:t>
      </w:r>
      <w:r w:rsidRPr="007931A2">
        <w:rPr>
          <w:rFonts w:ascii="Times New Roman" w:hAnsi="Times New Roman"/>
          <w:sz w:val="28"/>
          <w:szCs w:val="28"/>
        </w:rPr>
        <w:t xml:space="preserve">Банк під час здійснення стрес-тестування боржника – юридичної особи  забезпечує належну оцінку потенційних ризиків залежно від виду та етапу реалізації проєкту </w:t>
      </w:r>
      <w:r w:rsidR="00CA5FF0">
        <w:rPr>
          <w:rFonts w:ascii="Times New Roman" w:hAnsi="Times New Roman"/>
          <w:sz w:val="28"/>
          <w:szCs w:val="28"/>
        </w:rPr>
        <w:t>і</w:t>
      </w:r>
      <w:r w:rsidRPr="007931A2">
        <w:rPr>
          <w:rFonts w:ascii="Times New Roman" w:hAnsi="Times New Roman"/>
          <w:sz w:val="28"/>
          <w:szCs w:val="28"/>
        </w:rPr>
        <w:t xml:space="preserve">з застосуванням стрес-тестування за несприятливим сценарієм </w:t>
      </w:r>
      <w:r w:rsidRPr="007931A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 урахуванням можливого впливу на діяльність боржника – юридичної особи несприятливих змін у мікро- та макроекономічному середовищі. </w:t>
      </w:r>
    </w:p>
    <w:p w14:paraId="25EEC612" w14:textId="22091D26" w:rsidR="009D5951" w:rsidRPr="007931A2" w:rsidRDefault="009D5951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7931A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Банк забезпечує узгодженість підходів до сценарію </w:t>
      </w:r>
      <w:r w:rsidRPr="007931A2">
        <w:rPr>
          <w:rFonts w:ascii="Times New Roman" w:hAnsi="Times New Roman"/>
          <w:sz w:val="28"/>
          <w:szCs w:val="28"/>
        </w:rPr>
        <w:t>стрес-тестування боржника – юридичної особи зі сценарієм, що застосову</w:t>
      </w:r>
      <w:r w:rsidR="00B15AA9">
        <w:rPr>
          <w:rFonts w:ascii="Times New Roman" w:hAnsi="Times New Roman"/>
          <w:sz w:val="28"/>
          <w:szCs w:val="28"/>
        </w:rPr>
        <w:t>є</w:t>
      </w:r>
      <w:r w:rsidRPr="007931A2">
        <w:rPr>
          <w:rFonts w:ascii="Times New Roman" w:hAnsi="Times New Roman"/>
          <w:sz w:val="28"/>
          <w:szCs w:val="28"/>
        </w:rPr>
        <w:t xml:space="preserve">ться банком для управління ризиками.  </w:t>
      </w:r>
    </w:p>
    <w:p w14:paraId="54315AAF" w14:textId="67F38B8A" w:rsidR="009D5951" w:rsidRPr="007931A2" w:rsidRDefault="00CA5FF0" w:rsidP="00547CCB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Б</w:t>
      </w:r>
      <w:r w:rsidRPr="007931A2">
        <w:rPr>
          <w:sz w:val="28"/>
          <w:szCs w:val="28"/>
        </w:rPr>
        <w:t xml:space="preserve">анк формує </w:t>
      </w:r>
      <w:r>
        <w:rPr>
          <w:sz w:val="28"/>
          <w:szCs w:val="28"/>
        </w:rPr>
        <w:t>з</w:t>
      </w:r>
      <w:r w:rsidR="009D5951" w:rsidRPr="007931A2">
        <w:rPr>
          <w:sz w:val="28"/>
          <w:szCs w:val="28"/>
        </w:rPr>
        <w:t xml:space="preserve">а результатом проведення стрес-тестування боржника </w:t>
      </w:r>
      <w:r>
        <w:rPr>
          <w:sz w:val="28"/>
          <w:szCs w:val="28"/>
        </w:rPr>
        <w:t>–</w:t>
      </w:r>
      <w:r w:rsidRPr="007931A2">
        <w:rPr>
          <w:sz w:val="28"/>
          <w:szCs w:val="28"/>
        </w:rPr>
        <w:t xml:space="preserve"> </w:t>
      </w:r>
      <w:r w:rsidR="009D5951" w:rsidRPr="007931A2">
        <w:rPr>
          <w:sz w:val="28"/>
          <w:szCs w:val="28"/>
        </w:rPr>
        <w:t xml:space="preserve">юридичної особи судження щодо </w:t>
      </w:r>
      <w:r>
        <w:rPr>
          <w:sz w:val="28"/>
          <w:szCs w:val="28"/>
        </w:rPr>
        <w:t xml:space="preserve">спроможності </w:t>
      </w:r>
      <w:r w:rsidR="009D5951" w:rsidRPr="007931A2">
        <w:rPr>
          <w:sz w:val="28"/>
          <w:szCs w:val="28"/>
        </w:rPr>
        <w:t>боржника своєчасно та в повному обсязі виконувати свої зобов</w:t>
      </w:r>
      <w:r>
        <w:rPr>
          <w:sz w:val="28"/>
          <w:szCs w:val="28"/>
        </w:rPr>
        <w:t>ʼ</w:t>
      </w:r>
      <w:r w:rsidR="009D5951" w:rsidRPr="007931A2">
        <w:rPr>
          <w:sz w:val="28"/>
          <w:szCs w:val="28"/>
        </w:rPr>
        <w:t>язання перед банком в умовах стресу</w:t>
      </w:r>
      <w:r w:rsidR="009D5951">
        <w:rPr>
          <w:sz w:val="28"/>
          <w:szCs w:val="28"/>
        </w:rPr>
        <w:t>.</w:t>
      </w:r>
      <w:r w:rsidR="009D5951" w:rsidRPr="007931A2">
        <w:rPr>
          <w:sz w:val="28"/>
          <w:szCs w:val="28"/>
          <w:lang w:val="ru-RU"/>
        </w:rPr>
        <w:t>”</w:t>
      </w:r>
      <w:r w:rsidR="009D5951">
        <w:rPr>
          <w:sz w:val="28"/>
          <w:szCs w:val="28"/>
          <w:lang w:val="ru-RU"/>
        </w:rPr>
        <w:t>.</w:t>
      </w:r>
    </w:p>
    <w:p w14:paraId="1961A87C" w14:textId="261FE4EF" w:rsidR="006C256B" w:rsidRPr="007931A2" w:rsidRDefault="006C256B" w:rsidP="00547CCB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14:paraId="65C8AFAC" w14:textId="220C9B03" w:rsidR="00F777BB" w:rsidRPr="007931A2" w:rsidRDefault="008949A8" w:rsidP="00CA7C60">
      <w:pPr>
        <w:pStyle w:val="af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абзаці другому</w:t>
      </w:r>
      <w:r w:rsidR="00F777BB" w:rsidRPr="007931A2">
        <w:rPr>
          <w:sz w:val="28"/>
          <w:szCs w:val="28"/>
          <w:lang w:val="ru-RU" w:eastAsia="ru-RU"/>
        </w:rPr>
        <w:t xml:space="preserve"> пункт</w:t>
      </w:r>
      <w:r>
        <w:rPr>
          <w:sz w:val="28"/>
          <w:szCs w:val="28"/>
          <w:lang w:val="ru-RU" w:eastAsia="ru-RU"/>
        </w:rPr>
        <w:t>у</w:t>
      </w:r>
      <w:r w:rsidR="00F777BB" w:rsidRPr="007931A2">
        <w:rPr>
          <w:sz w:val="28"/>
          <w:szCs w:val="28"/>
          <w:lang w:val="ru-RU" w:eastAsia="ru-RU"/>
        </w:rPr>
        <w:t xml:space="preserve"> 100 розділу </w:t>
      </w:r>
      <w:r w:rsidR="00F777BB" w:rsidRPr="007931A2">
        <w:rPr>
          <w:sz w:val="28"/>
          <w:szCs w:val="28"/>
          <w:lang w:val="en-US" w:eastAsia="ru-RU"/>
        </w:rPr>
        <w:t>VIII</w:t>
      </w:r>
      <w:r w:rsidR="00F777BB" w:rsidRPr="007931A2">
        <w:rPr>
          <w:sz w:val="28"/>
          <w:szCs w:val="28"/>
          <w:lang w:eastAsia="ru-RU"/>
        </w:rPr>
        <w:t xml:space="preserve"> слово та цифру </w:t>
      </w:r>
      <w:r w:rsidR="00F777BB" w:rsidRPr="007931A2">
        <w:rPr>
          <w:sz w:val="28"/>
          <w:szCs w:val="28"/>
          <w:lang w:val="ru-RU" w:eastAsia="ru-RU"/>
        </w:rPr>
        <w:t>“</w:t>
      </w:r>
      <w:r w:rsidR="00F777BB" w:rsidRPr="007931A2">
        <w:rPr>
          <w:sz w:val="28"/>
          <w:szCs w:val="28"/>
          <w:lang w:eastAsia="ru-RU"/>
        </w:rPr>
        <w:t>формула 6</w:t>
      </w:r>
      <w:r w:rsidR="00F777BB" w:rsidRPr="007931A2">
        <w:rPr>
          <w:sz w:val="28"/>
          <w:szCs w:val="28"/>
          <w:lang w:val="ru-RU" w:eastAsia="ru-RU"/>
        </w:rPr>
        <w:t>”</w:t>
      </w:r>
      <w:r w:rsidR="00F777BB" w:rsidRPr="007931A2">
        <w:rPr>
          <w:sz w:val="28"/>
          <w:szCs w:val="28"/>
          <w:lang w:eastAsia="ru-RU"/>
        </w:rPr>
        <w:t xml:space="preserve"> замінити словом та цифрою </w:t>
      </w:r>
      <w:r w:rsidR="00F777BB" w:rsidRPr="007931A2">
        <w:rPr>
          <w:sz w:val="28"/>
          <w:szCs w:val="28"/>
          <w:lang w:val="ru-RU" w:eastAsia="ru-RU"/>
        </w:rPr>
        <w:t>“</w:t>
      </w:r>
      <w:r w:rsidR="00F777BB" w:rsidRPr="007931A2">
        <w:rPr>
          <w:sz w:val="28"/>
          <w:szCs w:val="28"/>
          <w:lang w:eastAsia="ru-RU"/>
        </w:rPr>
        <w:t>формула 9</w:t>
      </w:r>
      <w:r w:rsidR="00F777BB" w:rsidRPr="007931A2">
        <w:rPr>
          <w:sz w:val="28"/>
          <w:szCs w:val="28"/>
          <w:lang w:val="ru-RU" w:eastAsia="ru-RU"/>
        </w:rPr>
        <w:t>”.</w:t>
      </w:r>
    </w:p>
    <w:p w14:paraId="2B421175" w14:textId="77777777" w:rsidR="00F777BB" w:rsidRPr="007931A2" w:rsidRDefault="00F777BB" w:rsidP="00547CCB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ru-RU"/>
        </w:rPr>
      </w:pPr>
    </w:p>
    <w:p w14:paraId="3BA7B11A" w14:textId="532BC1C1" w:rsidR="00F777BB" w:rsidRPr="007931A2" w:rsidRDefault="00F777BB" w:rsidP="00CA7C60">
      <w:pPr>
        <w:pStyle w:val="af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ru-RU" w:eastAsia="ru-RU"/>
        </w:rPr>
      </w:pPr>
      <w:r w:rsidRPr="007931A2">
        <w:rPr>
          <w:sz w:val="28"/>
          <w:szCs w:val="28"/>
          <w:lang w:val="ru-RU" w:eastAsia="ru-RU"/>
        </w:rPr>
        <w:t xml:space="preserve">У розділі </w:t>
      </w:r>
      <w:r w:rsidRPr="007931A2">
        <w:rPr>
          <w:sz w:val="28"/>
          <w:szCs w:val="28"/>
          <w:lang w:val="en-US" w:eastAsia="ru-RU"/>
        </w:rPr>
        <w:t>IX</w:t>
      </w:r>
      <w:r w:rsidRPr="007931A2">
        <w:rPr>
          <w:sz w:val="28"/>
          <w:szCs w:val="28"/>
          <w:lang w:eastAsia="ru-RU"/>
        </w:rPr>
        <w:t>:</w:t>
      </w:r>
    </w:p>
    <w:p w14:paraId="2EA59FCB" w14:textId="77777777" w:rsidR="00F777BB" w:rsidRPr="007931A2" w:rsidRDefault="00F777BB" w:rsidP="00547C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</w:p>
    <w:p w14:paraId="50B4F921" w14:textId="00FB24D7" w:rsidR="00F777BB" w:rsidRPr="007931A2" w:rsidRDefault="00F777BB" w:rsidP="00CA7C6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931A2">
        <w:rPr>
          <w:rFonts w:ascii="Times New Roman" w:hAnsi="Times New Roman"/>
          <w:sz w:val="28"/>
          <w:szCs w:val="28"/>
          <w:lang w:val="ru-RU" w:eastAsia="ru-RU"/>
        </w:rPr>
        <w:t>у пункті 105 слова “</w:t>
      </w:r>
      <w:r w:rsidRPr="007931A2">
        <w:rPr>
          <w:rFonts w:ascii="Times New Roman" w:hAnsi="Times New Roman"/>
          <w:sz w:val="28"/>
          <w:szCs w:val="28"/>
        </w:rPr>
        <w:t>юридична особа – боржник за кредитом під інвестиційний проект</w:t>
      </w:r>
      <w:r w:rsidRPr="007931A2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Pr="007931A2">
        <w:rPr>
          <w:rFonts w:ascii="Times New Roman" w:hAnsi="Times New Roman"/>
          <w:sz w:val="28"/>
          <w:szCs w:val="28"/>
        </w:rPr>
        <w:t xml:space="preserve">замінити словами </w:t>
      </w:r>
      <w:r w:rsidRPr="007931A2">
        <w:rPr>
          <w:rFonts w:ascii="Times New Roman" w:hAnsi="Times New Roman"/>
          <w:sz w:val="28"/>
          <w:szCs w:val="28"/>
          <w:lang w:val="ru-RU"/>
        </w:rPr>
        <w:t>“</w:t>
      </w:r>
      <w:r w:rsidRPr="007931A2">
        <w:rPr>
          <w:rFonts w:ascii="Times New Roman" w:hAnsi="Times New Roman"/>
          <w:sz w:val="28"/>
          <w:szCs w:val="28"/>
        </w:rPr>
        <w:t>боржник – юридична особа за спеціалізованим кредитом</w:t>
      </w:r>
      <w:r w:rsidRPr="007931A2">
        <w:rPr>
          <w:rFonts w:ascii="Times New Roman" w:hAnsi="Times New Roman"/>
          <w:sz w:val="28"/>
          <w:szCs w:val="28"/>
          <w:lang w:val="ru-RU"/>
        </w:rPr>
        <w:t>”</w:t>
      </w:r>
      <w:r w:rsidRPr="007931A2">
        <w:rPr>
          <w:rFonts w:ascii="Times New Roman" w:hAnsi="Times New Roman"/>
          <w:sz w:val="28"/>
          <w:szCs w:val="28"/>
        </w:rPr>
        <w:t>;</w:t>
      </w:r>
    </w:p>
    <w:p w14:paraId="23F3EEA5" w14:textId="77777777" w:rsidR="00F777BB" w:rsidRPr="007931A2" w:rsidRDefault="00F777BB" w:rsidP="00547C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0DAAA95" w14:textId="0E8C12E1" w:rsidR="00F777BB" w:rsidRPr="007931A2" w:rsidRDefault="00F777BB" w:rsidP="00CA7C6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931A2">
        <w:rPr>
          <w:rFonts w:ascii="Times New Roman" w:hAnsi="Times New Roman"/>
          <w:sz w:val="28"/>
          <w:szCs w:val="28"/>
          <w:lang w:val="ru-RU" w:eastAsia="ru-RU"/>
        </w:rPr>
        <w:t>у підпункті 4 пункту 106 слова “</w:t>
      </w:r>
      <w:r w:rsidRPr="007931A2">
        <w:rPr>
          <w:rFonts w:ascii="Times New Roman" w:hAnsi="Times New Roman"/>
          <w:sz w:val="28"/>
          <w:szCs w:val="28"/>
        </w:rPr>
        <w:t xml:space="preserve">для боржників </w:t>
      </w:r>
      <w:r w:rsidR="00CA7C60">
        <w:rPr>
          <w:rFonts w:ascii="Times New Roman" w:hAnsi="Times New Roman"/>
          <w:sz w:val="28"/>
          <w:szCs w:val="28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 юридичних осіб, крім банків, бюджетних установ та юридичних осіб </w:t>
      </w:r>
      <w:r w:rsidR="00CA7C60">
        <w:rPr>
          <w:rFonts w:ascii="Times New Roman" w:hAnsi="Times New Roman"/>
          <w:sz w:val="28"/>
          <w:szCs w:val="28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 боржників за кредитом під інвестиційний проект</w:t>
      </w:r>
      <w:r w:rsidRPr="007931A2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Pr="007931A2">
        <w:rPr>
          <w:rFonts w:ascii="Times New Roman" w:hAnsi="Times New Roman"/>
          <w:sz w:val="28"/>
          <w:szCs w:val="28"/>
        </w:rPr>
        <w:t xml:space="preserve">замінити словами </w:t>
      </w:r>
      <w:r w:rsidRPr="007931A2">
        <w:rPr>
          <w:rFonts w:ascii="Times New Roman" w:hAnsi="Times New Roman"/>
          <w:sz w:val="28"/>
          <w:szCs w:val="28"/>
          <w:lang w:val="ru-RU"/>
        </w:rPr>
        <w:t>“</w:t>
      </w:r>
      <w:r w:rsidRPr="007931A2">
        <w:rPr>
          <w:rFonts w:ascii="Times New Roman" w:hAnsi="Times New Roman"/>
          <w:sz w:val="28"/>
          <w:szCs w:val="28"/>
        </w:rPr>
        <w:t xml:space="preserve">для боржників </w:t>
      </w:r>
      <w:r w:rsidR="00CA7C60">
        <w:rPr>
          <w:rFonts w:ascii="Times New Roman" w:hAnsi="Times New Roman"/>
          <w:sz w:val="28"/>
          <w:szCs w:val="28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 юридичних осіб, крім боржників </w:t>
      </w:r>
      <w:r w:rsidR="00CA7C60">
        <w:rPr>
          <w:rFonts w:ascii="Times New Roman" w:hAnsi="Times New Roman"/>
          <w:sz w:val="28"/>
          <w:szCs w:val="28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 юридичних осіб за спеціалізованим кредитом</w:t>
      </w:r>
      <w:r w:rsidRPr="007931A2">
        <w:rPr>
          <w:rFonts w:ascii="Times New Roman" w:hAnsi="Times New Roman"/>
          <w:sz w:val="28"/>
          <w:szCs w:val="28"/>
          <w:lang w:val="ru-RU"/>
        </w:rPr>
        <w:t>”.</w:t>
      </w:r>
    </w:p>
    <w:p w14:paraId="6D928955" w14:textId="77777777" w:rsidR="00F777BB" w:rsidRPr="007931A2" w:rsidRDefault="00F777BB" w:rsidP="00547C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</w:p>
    <w:p w14:paraId="643EB99D" w14:textId="4679512C" w:rsidR="00F777BB" w:rsidRPr="007931A2" w:rsidRDefault="00F777BB" w:rsidP="00547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931A2">
        <w:rPr>
          <w:rFonts w:ascii="Times New Roman" w:hAnsi="Times New Roman"/>
          <w:sz w:val="28"/>
          <w:szCs w:val="28"/>
          <w:lang w:eastAsia="ru-RU"/>
        </w:rPr>
        <w:t>У підпункті 6 пункт</w:t>
      </w:r>
      <w:r w:rsidR="0064781F">
        <w:rPr>
          <w:rFonts w:ascii="Times New Roman" w:hAnsi="Times New Roman"/>
          <w:sz w:val="28"/>
          <w:szCs w:val="28"/>
          <w:lang w:eastAsia="ru-RU"/>
        </w:rPr>
        <w:t>у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 156 розділу </w:t>
      </w:r>
      <w:r w:rsidRPr="007931A2">
        <w:rPr>
          <w:rFonts w:ascii="Times New Roman" w:hAnsi="Times New Roman"/>
          <w:sz w:val="28"/>
          <w:szCs w:val="28"/>
          <w:lang w:val="en-US" w:eastAsia="ru-RU"/>
        </w:rPr>
        <w:t>XVI</w:t>
      </w:r>
      <w:r w:rsidRPr="007931A2">
        <w:rPr>
          <w:rFonts w:ascii="Times New Roman" w:hAnsi="Times New Roman"/>
          <w:sz w:val="28"/>
          <w:szCs w:val="28"/>
          <w:lang w:eastAsia="ru-RU"/>
        </w:rPr>
        <w:t>:</w:t>
      </w:r>
    </w:p>
    <w:p w14:paraId="638E4E77" w14:textId="2556CB47" w:rsidR="00F777BB" w:rsidRPr="007931A2" w:rsidRDefault="00CA7C60" w:rsidP="00CA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абзаці другому </w:t>
      </w:r>
      <w:r w:rsidR="00F777BB" w:rsidRPr="007931A2">
        <w:rPr>
          <w:rFonts w:ascii="Times New Roman" w:hAnsi="Times New Roman"/>
          <w:sz w:val="28"/>
          <w:szCs w:val="28"/>
          <w:lang w:val="ru-RU"/>
        </w:rPr>
        <w:t>с</w:t>
      </w:r>
      <w:r w:rsidR="00F777BB" w:rsidRPr="007931A2">
        <w:rPr>
          <w:rFonts w:ascii="Times New Roman" w:hAnsi="Times New Roman"/>
          <w:sz w:val="28"/>
          <w:szCs w:val="28"/>
        </w:rPr>
        <w:t xml:space="preserve">лова </w:t>
      </w:r>
      <w:r w:rsidR="00F777BB" w:rsidRPr="007931A2">
        <w:rPr>
          <w:rFonts w:ascii="Times New Roman" w:hAnsi="Times New Roman"/>
          <w:sz w:val="28"/>
          <w:szCs w:val="28"/>
          <w:lang w:val="ru-RU"/>
        </w:rPr>
        <w:t>“</w:t>
      </w:r>
      <w:r w:rsidR="00F777BB" w:rsidRPr="007931A2">
        <w:rPr>
          <w:rFonts w:ascii="Times New Roman" w:hAnsi="Times New Roman"/>
          <w:sz w:val="28"/>
          <w:szCs w:val="28"/>
        </w:rPr>
        <w:t xml:space="preserve">крім банків, бюджетних установ та юридичних осіб </w:t>
      </w:r>
      <w:r>
        <w:rPr>
          <w:rFonts w:ascii="Times New Roman" w:hAnsi="Times New Roman"/>
          <w:sz w:val="28"/>
          <w:szCs w:val="28"/>
        </w:rPr>
        <w:t>–</w:t>
      </w:r>
      <w:r w:rsidR="00F777BB" w:rsidRPr="007931A2">
        <w:rPr>
          <w:rFonts w:ascii="Times New Roman" w:hAnsi="Times New Roman"/>
          <w:sz w:val="28"/>
          <w:szCs w:val="28"/>
        </w:rPr>
        <w:t xml:space="preserve"> боржників за кредитом під інвестиційний проект</w:t>
      </w:r>
      <w:r w:rsidR="00F777BB" w:rsidRPr="007931A2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F777BB" w:rsidRPr="007931A2">
        <w:rPr>
          <w:rFonts w:ascii="Times New Roman" w:hAnsi="Times New Roman"/>
          <w:sz w:val="28"/>
          <w:szCs w:val="28"/>
        </w:rPr>
        <w:t xml:space="preserve">замінити словами </w:t>
      </w:r>
      <w:r w:rsidR="00F777BB" w:rsidRPr="007931A2">
        <w:rPr>
          <w:rFonts w:ascii="Times New Roman" w:hAnsi="Times New Roman"/>
          <w:sz w:val="28"/>
          <w:szCs w:val="28"/>
          <w:lang w:val="ru-RU"/>
        </w:rPr>
        <w:t>“</w:t>
      </w:r>
      <w:r w:rsidR="00F777BB" w:rsidRPr="007931A2">
        <w:rPr>
          <w:rFonts w:ascii="Times New Roman" w:hAnsi="Times New Roman"/>
          <w:sz w:val="28"/>
          <w:szCs w:val="28"/>
        </w:rPr>
        <w:t xml:space="preserve">крім боржників </w:t>
      </w:r>
      <w:r>
        <w:rPr>
          <w:rFonts w:ascii="Times New Roman" w:hAnsi="Times New Roman"/>
          <w:sz w:val="28"/>
          <w:szCs w:val="28"/>
        </w:rPr>
        <w:t>–</w:t>
      </w:r>
      <w:r w:rsidR="00F777BB" w:rsidRPr="007931A2">
        <w:rPr>
          <w:rFonts w:ascii="Times New Roman" w:hAnsi="Times New Roman"/>
          <w:sz w:val="28"/>
          <w:szCs w:val="28"/>
        </w:rPr>
        <w:t xml:space="preserve"> юридичних осіб за спеціалізованим кредитом</w:t>
      </w:r>
      <w:r w:rsidR="00F777BB" w:rsidRPr="007931A2">
        <w:rPr>
          <w:rFonts w:ascii="Times New Roman" w:hAnsi="Times New Roman"/>
          <w:sz w:val="28"/>
          <w:szCs w:val="28"/>
          <w:lang w:val="ru-RU"/>
        </w:rPr>
        <w:t>”</w:t>
      </w:r>
      <w:r w:rsidR="00F777BB" w:rsidRPr="007931A2">
        <w:rPr>
          <w:rFonts w:ascii="Times New Roman" w:hAnsi="Times New Roman"/>
          <w:sz w:val="28"/>
          <w:szCs w:val="28"/>
        </w:rPr>
        <w:t>;</w:t>
      </w:r>
    </w:p>
    <w:p w14:paraId="1A70C8C2" w14:textId="2F0DDFA4" w:rsidR="00F777BB" w:rsidRPr="007931A2" w:rsidRDefault="00CA7C60" w:rsidP="00CA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абзаці третьому </w:t>
      </w:r>
      <w:r w:rsidR="00F777BB" w:rsidRPr="007931A2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F777BB" w:rsidRPr="007931A2">
        <w:rPr>
          <w:rFonts w:ascii="Times New Roman" w:hAnsi="Times New Roman"/>
          <w:sz w:val="28"/>
          <w:szCs w:val="28"/>
          <w:lang w:val="ru-RU" w:eastAsia="ru-RU"/>
        </w:rPr>
        <w:t>“</w:t>
      </w:r>
      <w:r w:rsidR="00F777BB" w:rsidRPr="007931A2">
        <w:rPr>
          <w:rFonts w:ascii="Times New Roman" w:hAnsi="Times New Roman"/>
          <w:sz w:val="28"/>
          <w:szCs w:val="28"/>
          <w:lang w:eastAsia="ru-RU"/>
        </w:rPr>
        <w:t>для інших боржників – юридичних осіб, крім банків</w:t>
      </w:r>
      <w:r w:rsidR="00F777BB" w:rsidRPr="007931A2">
        <w:rPr>
          <w:rFonts w:ascii="Times New Roman" w:hAnsi="Times New Roman"/>
          <w:sz w:val="28"/>
          <w:szCs w:val="28"/>
          <w:lang w:val="ru-RU" w:eastAsia="ru-RU"/>
        </w:rPr>
        <w:t xml:space="preserve">” </w:t>
      </w:r>
      <w:r w:rsidR="00F777BB" w:rsidRPr="007931A2">
        <w:rPr>
          <w:rFonts w:ascii="Times New Roman" w:hAnsi="Times New Roman"/>
          <w:sz w:val="28"/>
          <w:szCs w:val="28"/>
          <w:lang w:eastAsia="ru-RU"/>
        </w:rPr>
        <w:t xml:space="preserve">замінити словами </w:t>
      </w:r>
      <w:r w:rsidR="00F777BB" w:rsidRPr="007931A2">
        <w:rPr>
          <w:rFonts w:ascii="Times New Roman" w:hAnsi="Times New Roman"/>
          <w:sz w:val="28"/>
          <w:szCs w:val="28"/>
          <w:lang w:val="ru-RU" w:eastAsia="ru-RU"/>
        </w:rPr>
        <w:t xml:space="preserve">“для інших боржників – юридичних осіб, </w:t>
      </w:r>
      <w:r w:rsidR="00F777BB" w:rsidRPr="007931A2">
        <w:rPr>
          <w:rFonts w:ascii="Times New Roman" w:hAnsi="Times New Roman"/>
          <w:sz w:val="28"/>
          <w:szCs w:val="28"/>
          <w:lang w:eastAsia="ru-RU"/>
        </w:rPr>
        <w:t>бюджетних установ</w:t>
      </w:r>
      <w:r w:rsidR="00F777BB" w:rsidRPr="007931A2">
        <w:rPr>
          <w:rFonts w:ascii="Times New Roman" w:hAnsi="Times New Roman"/>
          <w:sz w:val="28"/>
          <w:szCs w:val="28"/>
          <w:lang w:val="ru-RU" w:eastAsia="ru-RU"/>
        </w:rPr>
        <w:t>”.</w:t>
      </w:r>
    </w:p>
    <w:p w14:paraId="61F700A7" w14:textId="77777777" w:rsidR="00F777BB" w:rsidRPr="007931A2" w:rsidRDefault="00F777BB" w:rsidP="00CA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09B2429" w14:textId="57E750FA" w:rsidR="00F777BB" w:rsidRPr="007931A2" w:rsidRDefault="00A87EFC" w:rsidP="00547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931A2">
        <w:rPr>
          <w:rFonts w:ascii="Times New Roman" w:hAnsi="Times New Roman"/>
          <w:sz w:val="28"/>
          <w:szCs w:val="28"/>
          <w:lang w:val="ru-RU" w:eastAsia="ru-RU"/>
        </w:rPr>
        <w:t xml:space="preserve">У розділі </w:t>
      </w:r>
      <w:r w:rsidRPr="007931A2">
        <w:rPr>
          <w:rFonts w:ascii="Times New Roman" w:hAnsi="Times New Roman"/>
          <w:sz w:val="28"/>
          <w:szCs w:val="28"/>
          <w:lang w:val="en-US" w:eastAsia="ru-RU"/>
        </w:rPr>
        <w:t>XVII</w:t>
      </w:r>
      <w:r w:rsidRPr="007931A2">
        <w:rPr>
          <w:rFonts w:ascii="Times New Roman" w:hAnsi="Times New Roman"/>
          <w:sz w:val="28"/>
          <w:szCs w:val="28"/>
          <w:lang w:eastAsia="ru-RU"/>
        </w:rPr>
        <w:t>:</w:t>
      </w:r>
    </w:p>
    <w:p w14:paraId="1892EEFE" w14:textId="77777777" w:rsidR="00A87EFC" w:rsidRPr="007931A2" w:rsidRDefault="00A87EFC" w:rsidP="00547C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D79926" w14:textId="77777777" w:rsidR="00DA78C7" w:rsidRPr="007931A2" w:rsidRDefault="00DA78C7" w:rsidP="00CA7C6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931A2">
        <w:rPr>
          <w:rFonts w:ascii="Times New Roman" w:hAnsi="Times New Roman"/>
          <w:sz w:val="28"/>
          <w:szCs w:val="28"/>
          <w:lang w:eastAsia="ru-RU"/>
        </w:rPr>
        <w:t>у пункті 161:</w:t>
      </w:r>
    </w:p>
    <w:p w14:paraId="601A6454" w14:textId="5B7DFD0B" w:rsidR="00A87EFC" w:rsidRPr="007931A2" w:rsidRDefault="00CA7C60" w:rsidP="00CA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A87EFC" w:rsidRPr="007931A2">
        <w:rPr>
          <w:rFonts w:ascii="Times New Roman" w:hAnsi="Times New Roman"/>
          <w:sz w:val="28"/>
          <w:szCs w:val="28"/>
          <w:lang w:val="ru-RU" w:eastAsia="ru-RU"/>
        </w:rPr>
        <w:t xml:space="preserve"> абзаці першому слова “</w:t>
      </w:r>
      <w:r w:rsidR="00A87EFC" w:rsidRPr="007931A2">
        <w:rPr>
          <w:rFonts w:ascii="Times New Roman" w:hAnsi="Times New Roman"/>
          <w:sz w:val="28"/>
          <w:szCs w:val="28"/>
        </w:rPr>
        <w:t>банків, бюджетних установ та юридичних осіб – боржників за кредитом під інвестиційний проект</w:t>
      </w:r>
      <w:r w:rsidR="00A87EFC" w:rsidRPr="007931A2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A87EFC" w:rsidRPr="007931A2">
        <w:rPr>
          <w:rFonts w:ascii="Times New Roman" w:hAnsi="Times New Roman"/>
          <w:sz w:val="28"/>
          <w:szCs w:val="28"/>
        </w:rPr>
        <w:t>замінити словами</w:t>
      </w:r>
      <w:r w:rsidR="00936505">
        <w:rPr>
          <w:rFonts w:ascii="Times New Roman" w:hAnsi="Times New Roman"/>
          <w:sz w:val="28"/>
          <w:szCs w:val="28"/>
        </w:rPr>
        <w:t xml:space="preserve"> </w:t>
      </w:r>
      <w:r w:rsidR="00DA78C7" w:rsidRPr="007931A2">
        <w:rPr>
          <w:rFonts w:ascii="Times New Roman" w:hAnsi="Times New Roman"/>
          <w:sz w:val="28"/>
          <w:szCs w:val="28"/>
          <w:lang w:val="ru-RU"/>
        </w:rPr>
        <w:t>“</w:t>
      </w:r>
      <w:r w:rsidR="00DA78C7" w:rsidRPr="007931A2">
        <w:rPr>
          <w:rFonts w:ascii="Times New Roman" w:hAnsi="Times New Roman"/>
          <w:sz w:val="28"/>
          <w:szCs w:val="28"/>
        </w:rPr>
        <w:t>боржників</w:t>
      </w:r>
      <w:r>
        <w:rPr>
          <w:rFonts w:ascii="Times New Roman" w:hAnsi="Times New Roman"/>
          <w:sz w:val="28"/>
          <w:szCs w:val="28"/>
        </w:rPr>
        <w:t> –</w:t>
      </w:r>
      <w:r w:rsidR="00DA78C7" w:rsidRPr="007931A2">
        <w:rPr>
          <w:rFonts w:ascii="Times New Roman" w:hAnsi="Times New Roman"/>
          <w:sz w:val="28"/>
          <w:szCs w:val="28"/>
        </w:rPr>
        <w:t xml:space="preserve"> юридичних осіб за спеціалізованим кредитом</w:t>
      </w:r>
      <w:r w:rsidR="00DA78C7" w:rsidRPr="007931A2">
        <w:rPr>
          <w:rFonts w:ascii="Times New Roman" w:hAnsi="Times New Roman"/>
          <w:sz w:val="28"/>
          <w:szCs w:val="28"/>
          <w:lang w:val="ru-RU"/>
        </w:rPr>
        <w:t>”;</w:t>
      </w:r>
    </w:p>
    <w:p w14:paraId="220DB082" w14:textId="3B371145" w:rsidR="00DA78C7" w:rsidRPr="007931A2" w:rsidRDefault="00335E60" w:rsidP="00CA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 підпункті 2</w:t>
      </w:r>
      <w:r w:rsidR="00DA78C7" w:rsidRPr="007931A2">
        <w:rPr>
          <w:rFonts w:ascii="Times New Roman" w:hAnsi="Times New Roman"/>
          <w:sz w:val="28"/>
          <w:szCs w:val="28"/>
          <w:lang w:val="ru-RU"/>
        </w:rPr>
        <w:t xml:space="preserve"> слова “</w:t>
      </w:r>
      <w:r w:rsidR="00DA78C7" w:rsidRPr="007931A2">
        <w:rPr>
          <w:rFonts w:ascii="Times New Roman" w:hAnsi="Times New Roman"/>
          <w:sz w:val="28"/>
          <w:szCs w:val="28"/>
        </w:rPr>
        <w:t>боржника за кредитом під інвестиційний проект</w:t>
      </w:r>
      <w:r w:rsidR="00DA78C7" w:rsidRPr="007931A2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DA78C7" w:rsidRPr="007931A2">
        <w:rPr>
          <w:rFonts w:ascii="Times New Roman" w:hAnsi="Times New Roman"/>
          <w:sz w:val="28"/>
          <w:szCs w:val="28"/>
        </w:rPr>
        <w:t xml:space="preserve">замінити словами </w:t>
      </w:r>
      <w:r w:rsidR="00DA78C7" w:rsidRPr="007931A2">
        <w:rPr>
          <w:rFonts w:ascii="Times New Roman" w:hAnsi="Times New Roman"/>
          <w:sz w:val="28"/>
          <w:szCs w:val="28"/>
          <w:lang w:val="ru-RU"/>
        </w:rPr>
        <w:t>“</w:t>
      </w:r>
      <w:r w:rsidR="00DA78C7" w:rsidRPr="007931A2">
        <w:rPr>
          <w:rFonts w:ascii="Times New Roman" w:hAnsi="Times New Roman"/>
          <w:sz w:val="28"/>
          <w:szCs w:val="28"/>
        </w:rPr>
        <w:t xml:space="preserve">боржника </w:t>
      </w:r>
      <w:r w:rsidR="00CA7C60">
        <w:rPr>
          <w:rFonts w:ascii="Times New Roman" w:hAnsi="Times New Roman"/>
          <w:sz w:val="28"/>
          <w:szCs w:val="28"/>
        </w:rPr>
        <w:t>–</w:t>
      </w:r>
      <w:r w:rsidR="00DA78C7" w:rsidRPr="007931A2">
        <w:rPr>
          <w:rFonts w:ascii="Times New Roman" w:hAnsi="Times New Roman"/>
          <w:sz w:val="28"/>
          <w:szCs w:val="28"/>
        </w:rPr>
        <w:t xml:space="preserve"> юридичної особи за спеціалізованим кредитом</w:t>
      </w:r>
      <w:r w:rsidR="00DA78C7" w:rsidRPr="007931A2">
        <w:rPr>
          <w:rFonts w:ascii="Times New Roman" w:hAnsi="Times New Roman"/>
          <w:sz w:val="28"/>
          <w:szCs w:val="28"/>
          <w:lang w:val="ru-RU"/>
        </w:rPr>
        <w:t>”</w:t>
      </w:r>
      <w:r w:rsidR="00DA78C7" w:rsidRPr="007931A2">
        <w:rPr>
          <w:rFonts w:ascii="Times New Roman" w:hAnsi="Times New Roman"/>
          <w:sz w:val="28"/>
          <w:szCs w:val="28"/>
        </w:rPr>
        <w:t>;</w:t>
      </w:r>
    </w:p>
    <w:p w14:paraId="7C68A33C" w14:textId="77777777" w:rsidR="00DA78C7" w:rsidRPr="007931A2" w:rsidRDefault="00DA78C7" w:rsidP="00CA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76DE3" w14:textId="7E4ACD4A" w:rsidR="00DA78C7" w:rsidRPr="007931A2" w:rsidRDefault="00DA78C7" w:rsidP="00547CC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1A2">
        <w:rPr>
          <w:rFonts w:ascii="Times New Roman" w:hAnsi="Times New Roman"/>
          <w:sz w:val="28"/>
          <w:szCs w:val="28"/>
          <w:lang w:eastAsia="ru-RU"/>
        </w:rPr>
        <w:t>у пункті 162:</w:t>
      </w:r>
    </w:p>
    <w:p w14:paraId="23EBF3EF" w14:textId="78624D10" w:rsidR="00DA78C7" w:rsidRPr="007931A2" w:rsidRDefault="00CA7C60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DA78C7" w:rsidRPr="007931A2">
        <w:rPr>
          <w:rFonts w:ascii="Times New Roman" w:hAnsi="Times New Roman"/>
          <w:sz w:val="28"/>
          <w:szCs w:val="28"/>
          <w:lang w:val="ru-RU" w:eastAsia="ru-RU"/>
        </w:rPr>
        <w:t xml:space="preserve"> абзаці першому слова “</w:t>
      </w:r>
      <w:r w:rsidR="00DA78C7" w:rsidRPr="007931A2">
        <w:rPr>
          <w:rFonts w:ascii="Times New Roman" w:hAnsi="Times New Roman"/>
          <w:sz w:val="28"/>
          <w:szCs w:val="28"/>
        </w:rPr>
        <w:t>банків, бюджетних установ та юридичних осіб – боржників за кредитом під інвестиційний проект</w:t>
      </w:r>
      <w:r w:rsidR="00DA78C7" w:rsidRPr="007931A2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DA78C7" w:rsidRPr="007931A2">
        <w:rPr>
          <w:rFonts w:ascii="Times New Roman" w:hAnsi="Times New Roman"/>
          <w:sz w:val="28"/>
          <w:szCs w:val="28"/>
        </w:rPr>
        <w:t xml:space="preserve">замінити словами </w:t>
      </w:r>
      <w:r w:rsidR="00DA78C7" w:rsidRPr="007931A2">
        <w:rPr>
          <w:rFonts w:ascii="Times New Roman" w:hAnsi="Times New Roman"/>
          <w:sz w:val="28"/>
          <w:szCs w:val="28"/>
          <w:lang w:val="ru-RU"/>
        </w:rPr>
        <w:t>“</w:t>
      </w:r>
      <w:r w:rsidR="00DA78C7" w:rsidRPr="007931A2">
        <w:rPr>
          <w:rFonts w:ascii="Times New Roman" w:hAnsi="Times New Roman"/>
          <w:sz w:val="28"/>
          <w:szCs w:val="28"/>
        </w:rPr>
        <w:t>боржників</w:t>
      </w:r>
      <w:r w:rsidR="00E52A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="00DA78C7" w:rsidRPr="007931A2">
        <w:rPr>
          <w:rFonts w:ascii="Times New Roman" w:hAnsi="Times New Roman"/>
          <w:sz w:val="28"/>
          <w:szCs w:val="28"/>
        </w:rPr>
        <w:t xml:space="preserve"> юридичних осіб за спеціалізованим кредитом</w:t>
      </w:r>
      <w:r w:rsidR="00DA78C7" w:rsidRPr="007931A2">
        <w:rPr>
          <w:rFonts w:ascii="Times New Roman" w:hAnsi="Times New Roman"/>
          <w:sz w:val="28"/>
          <w:szCs w:val="28"/>
          <w:lang w:val="ru-RU"/>
        </w:rPr>
        <w:t>”;</w:t>
      </w:r>
    </w:p>
    <w:p w14:paraId="1E6F0C04" w14:textId="77777777" w:rsidR="00DA78C7" w:rsidRPr="007931A2" w:rsidRDefault="00DA78C7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1A2">
        <w:rPr>
          <w:rFonts w:ascii="Times New Roman" w:hAnsi="Times New Roman"/>
          <w:sz w:val="28"/>
          <w:szCs w:val="28"/>
          <w:lang w:eastAsia="ru-RU"/>
        </w:rPr>
        <w:t>абзац перший підпункту 4 викласти в такій редакції:</w:t>
      </w:r>
    </w:p>
    <w:p w14:paraId="2815CBEB" w14:textId="6E335D5D" w:rsidR="00DA78C7" w:rsidRPr="007931A2" w:rsidRDefault="00DA78C7" w:rsidP="00CA7C6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  <w:lang w:eastAsia="ru-RU"/>
        </w:rPr>
        <w:t>“</w:t>
      </w:r>
      <w:r w:rsidRPr="007931A2">
        <w:rPr>
          <w:sz w:val="28"/>
          <w:szCs w:val="28"/>
        </w:rPr>
        <w:t xml:space="preserve">4) боржник – юридична особа, крім боржника </w:t>
      </w:r>
      <w:r w:rsidR="00CA7C60">
        <w:rPr>
          <w:sz w:val="28"/>
          <w:szCs w:val="28"/>
        </w:rPr>
        <w:t>–</w:t>
      </w:r>
      <w:r w:rsidRPr="007931A2">
        <w:rPr>
          <w:sz w:val="28"/>
          <w:szCs w:val="28"/>
        </w:rPr>
        <w:t xml:space="preserve"> юридичної особи за спеціалізованим кредитом, клас якого визначається згідно з підпунктом 1 пункту 67</w:t>
      </w:r>
      <w:r w:rsidR="00C175F6" w:rsidRPr="007931A2">
        <w:rPr>
          <w:sz w:val="28"/>
          <w:szCs w:val="28"/>
          <w:vertAlign w:val="superscript"/>
        </w:rPr>
        <w:t>6</w:t>
      </w:r>
      <w:r w:rsidRPr="007931A2">
        <w:rPr>
          <w:sz w:val="28"/>
          <w:szCs w:val="28"/>
        </w:rPr>
        <w:t xml:space="preserve"> розділу </w:t>
      </w:r>
      <w:r w:rsidRPr="007931A2">
        <w:rPr>
          <w:sz w:val="28"/>
          <w:szCs w:val="28"/>
          <w:lang w:val="en-US"/>
        </w:rPr>
        <w:t>IV</w:t>
      </w:r>
      <w:r w:rsidRPr="007931A2">
        <w:rPr>
          <w:sz w:val="28"/>
          <w:szCs w:val="28"/>
          <w:vertAlign w:val="superscript"/>
        </w:rPr>
        <w:t>1</w:t>
      </w:r>
      <w:r w:rsidRPr="007931A2">
        <w:rPr>
          <w:sz w:val="28"/>
          <w:szCs w:val="28"/>
        </w:rPr>
        <w:t xml:space="preserve"> цього Положення, має одночасно співвідношення (у разі належності боржника до групи – застосовується до групи):”;</w:t>
      </w:r>
    </w:p>
    <w:p w14:paraId="7F5827EE" w14:textId="07CBE2EB" w:rsidR="00DA78C7" w:rsidRPr="007931A2" w:rsidRDefault="001F5D3E" w:rsidP="00CA7C6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931A2">
        <w:rPr>
          <w:sz w:val="28"/>
          <w:szCs w:val="28"/>
        </w:rPr>
        <w:t xml:space="preserve">пункт </w:t>
      </w:r>
      <w:r w:rsidR="00DA78C7" w:rsidRPr="007931A2">
        <w:rPr>
          <w:sz w:val="28"/>
          <w:szCs w:val="28"/>
        </w:rPr>
        <w:t xml:space="preserve">доповнити </w:t>
      </w:r>
      <w:r w:rsidR="00C175F6" w:rsidRPr="007931A2">
        <w:rPr>
          <w:sz w:val="28"/>
          <w:szCs w:val="28"/>
        </w:rPr>
        <w:t xml:space="preserve">трьома </w:t>
      </w:r>
      <w:r w:rsidR="00DA78C7" w:rsidRPr="007931A2">
        <w:rPr>
          <w:sz w:val="28"/>
          <w:szCs w:val="28"/>
        </w:rPr>
        <w:t xml:space="preserve">новими підпунктами </w:t>
      </w:r>
      <w:r w:rsidR="00936505">
        <w:rPr>
          <w:sz w:val="28"/>
          <w:szCs w:val="28"/>
        </w:rPr>
        <w:t>такого змісту</w:t>
      </w:r>
      <w:r w:rsidR="00DA78C7" w:rsidRPr="007931A2">
        <w:rPr>
          <w:sz w:val="28"/>
          <w:szCs w:val="28"/>
        </w:rPr>
        <w:t>:</w:t>
      </w:r>
    </w:p>
    <w:p w14:paraId="31BFE9A3" w14:textId="456F9BFB" w:rsidR="00DA78C7" w:rsidRPr="007931A2" w:rsidRDefault="00DA78C7" w:rsidP="00547C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931A2">
        <w:rPr>
          <w:rFonts w:ascii="Times New Roman" w:hAnsi="Times New Roman" w:cs="Times New Roman"/>
          <w:sz w:val="28"/>
          <w:szCs w:val="28"/>
        </w:rPr>
        <w:t xml:space="preserve">7) значення хоча б одного з наведених нижче фінансових показників оцінки </w:t>
      </w:r>
      <w:r w:rsidRPr="007931A2">
        <w:rPr>
          <w:rFonts w:ascii="Times New Roman" w:hAnsi="Times New Roman" w:cs="Times New Roman"/>
          <w:bCs/>
          <w:sz w:val="28"/>
          <w:szCs w:val="28"/>
        </w:rPr>
        <w:t xml:space="preserve">фінансового стану боржника </w:t>
      </w:r>
      <w:r w:rsidR="00CA7C60">
        <w:rPr>
          <w:rFonts w:ascii="Times New Roman" w:hAnsi="Times New Roman" w:cs="Times New Roman"/>
          <w:bCs/>
          <w:sz w:val="28"/>
          <w:szCs w:val="28"/>
        </w:rPr>
        <w:t>–</w:t>
      </w:r>
      <w:r w:rsidRPr="007931A2">
        <w:rPr>
          <w:rFonts w:ascii="Times New Roman" w:hAnsi="Times New Roman" w:cs="Times New Roman"/>
          <w:bCs/>
          <w:sz w:val="28"/>
          <w:szCs w:val="28"/>
        </w:rPr>
        <w:t xml:space="preserve"> юридичної особи за спеціалізованим кредитом </w:t>
      </w:r>
      <w:r w:rsidRPr="007931A2">
        <w:rPr>
          <w:rFonts w:ascii="Times New Roman" w:hAnsi="Times New Roman" w:cs="Times New Roman"/>
          <w:sz w:val="28"/>
          <w:szCs w:val="28"/>
        </w:rPr>
        <w:t>на передексплуатаційному/експлуатаційному етапі є:</w:t>
      </w:r>
    </w:p>
    <w:p w14:paraId="2A72DBF2" w14:textId="20E2B532" w:rsidR="00DA78C7" w:rsidRPr="007931A2" w:rsidRDefault="00DA78C7" w:rsidP="00547CCB">
      <w:pPr>
        <w:pStyle w:val="a3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меншим 1,05 – для DSCRс;</w:t>
      </w:r>
    </w:p>
    <w:p w14:paraId="136CA291" w14:textId="2E3CC56C" w:rsidR="00DA78C7" w:rsidRPr="007931A2" w:rsidRDefault="00DA78C7" w:rsidP="00547CCB">
      <w:pPr>
        <w:pStyle w:val="a3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меншим 1,4 – для PLCR;</w:t>
      </w:r>
    </w:p>
    <w:p w14:paraId="49A54B60" w14:textId="6C6E9354" w:rsidR="00DA78C7" w:rsidRPr="007931A2" w:rsidRDefault="00DA78C7" w:rsidP="00547CCB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 xml:space="preserve">більшим 4 – для DER; </w:t>
      </w:r>
    </w:p>
    <w:p w14:paraId="694187E7" w14:textId="77777777" w:rsidR="00936505" w:rsidRDefault="00936505" w:rsidP="00C175F6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845D19" w14:textId="2ED752A2" w:rsidR="00C175F6" w:rsidRPr="007931A2" w:rsidRDefault="00DA78C7" w:rsidP="00C175F6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8) значення коефіцієнт</w:t>
      </w:r>
      <w:r w:rsidR="00DF0F5F">
        <w:rPr>
          <w:sz w:val="28"/>
          <w:szCs w:val="28"/>
        </w:rPr>
        <w:t>а</w:t>
      </w:r>
      <w:r w:rsidRPr="007931A2">
        <w:rPr>
          <w:sz w:val="28"/>
          <w:szCs w:val="28"/>
        </w:rPr>
        <w:t xml:space="preserve"> DSCRi за спеціалізованим кредитом є меншим 1 два квартали поспіль</w:t>
      </w:r>
      <w:r w:rsidR="00C175F6" w:rsidRPr="007931A2">
        <w:rPr>
          <w:sz w:val="28"/>
          <w:szCs w:val="28"/>
        </w:rPr>
        <w:t>;</w:t>
      </w:r>
    </w:p>
    <w:p w14:paraId="1207A8D3" w14:textId="77777777" w:rsidR="00936505" w:rsidRDefault="00936505" w:rsidP="00C175F6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CE8344" w14:textId="52B00522" w:rsidR="00DA78C7" w:rsidRPr="007931A2" w:rsidRDefault="00C175F6" w:rsidP="0007772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>9) банк не здійснив контроль за відповідністю реалізації проєкт</w:t>
      </w:r>
      <w:r w:rsidR="006500F5">
        <w:rPr>
          <w:sz w:val="28"/>
          <w:szCs w:val="28"/>
        </w:rPr>
        <w:t>у</w:t>
      </w:r>
      <w:r w:rsidRPr="007931A2">
        <w:rPr>
          <w:sz w:val="28"/>
          <w:szCs w:val="28"/>
        </w:rPr>
        <w:t xml:space="preserve"> за спеціалізованим кредитом згідно з пунктом 67</w:t>
      </w:r>
      <w:r w:rsidRPr="007931A2">
        <w:rPr>
          <w:sz w:val="28"/>
          <w:szCs w:val="28"/>
          <w:vertAlign w:val="superscript"/>
        </w:rPr>
        <w:t>3</w:t>
      </w:r>
      <w:r w:rsidRPr="007931A2">
        <w:rPr>
          <w:sz w:val="28"/>
          <w:szCs w:val="28"/>
        </w:rPr>
        <w:t xml:space="preserve"> розділу </w:t>
      </w:r>
      <w:r w:rsidRPr="007931A2">
        <w:rPr>
          <w:sz w:val="28"/>
          <w:szCs w:val="28"/>
          <w:lang w:val="en-US"/>
        </w:rPr>
        <w:t>IV</w:t>
      </w:r>
      <w:r w:rsidRPr="007931A2">
        <w:rPr>
          <w:sz w:val="28"/>
          <w:szCs w:val="28"/>
          <w:vertAlign w:val="superscript"/>
        </w:rPr>
        <w:t>1</w:t>
      </w:r>
      <w:r w:rsidRPr="007931A2">
        <w:rPr>
          <w:sz w:val="28"/>
          <w:szCs w:val="28"/>
        </w:rPr>
        <w:t xml:space="preserve"> цього Положення.</w:t>
      </w:r>
      <w:r w:rsidR="00DA78C7" w:rsidRPr="007931A2">
        <w:rPr>
          <w:sz w:val="28"/>
          <w:szCs w:val="28"/>
          <w:lang w:val="ru-RU"/>
        </w:rPr>
        <w:t>”</w:t>
      </w:r>
      <w:r w:rsidR="006837DF">
        <w:rPr>
          <w:sz w:val="28"/>
          <w:szCs w:val="28"/>
          <w:lang w:val="ru-RU"/>
        </w:rPr>
        <w:t>.</w:t>
      </w:r>
    </w:p>
    <w:p w14:paraId="143FE711" w14:textId="77777777" w:rsidR="00DA78C7" w:rsidRPr="00020C08" w:rsidRDefault="00DA78C7" w:rsidP="0007772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457FE7" w14:textId="4752983C" w:rsidR="00DA78C7" w:rsidRDefault="00DA78C7" w:rsidP="00AC50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C08">
        <w:rPr>
          <w:rFonts w:ascii="Times New Roman" w:hAnsi="Times New Roman"/>
          <w:sz w:val="28"/>
          <w:szCs w:val="28"/>
          <w:lang w:val="ru-RU" w:eastAsia="ru-RU"/>
        </w:rPr>
        <w:t xml:space="preserve">У розділі </w:t>
      </w:r>
      <w:r w:rsidRPr="00020C08"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020C08">
        <w:rPr>
          <w:rFonts w:ascii="Times New Roman" w:hAnsi="Times New Roman"/>
          <w:sz w:val="28"/>
          <w:szCs w:val="28"/>
          <w:lang w:eastAsia="ru-RU"/>
        </w:rPr>
        <w:t>:</w:t>
      </w:r>
    </w:p>
    <w:p w14:paraId="46A70B5D" w14:textId="77777777" w:rsidR="00020C08" w:rsidRPr="00020C08" w:rsidRDefault="00020C08" w:rsidP="00020C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A80DC31" w14:textId="1908B0DA" w:rsidR="00020C08" w:rsidRPr="00020C08" w:rsidRDefault="00020C08" w:rsidP="00020C08">
      <w:pPr>
        <w:pStyle w:val="a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C08">
        <w:rPr>
          <w:sz w:val="28"/>
          <w:szCs w:val="28"/>
          <w:lang w:val="ru-RU"/>
        </w:rPr>
        <w:t xml:space="preserve">в абзаці першому </w:t>
      </w:r>
      <w:r w:rsidRPr="00020C08">
        <w:rPr>
          <w:sz w:val="28"/>
          <w:szCs w:val="28"/>
        </w:rPr>
        <w:t>пункту 16</w:t>
      </w:r>
      <w:r w:rsidR="00B15AA9">
        <w:rPr>
          <w:sz w:val="28"/>
          <w:szCs w:val="28"/>
        </w:rPr>
        <w:t>4</w:t>
      </w:r>
      <w:r w:rsidRPr="00020C08">
        <w:rPr>
          <w:sz w:val="28"/>
          <w:szCs w:val="28"/>
        </w:rPr>
        <w:t xml:space="preserve"> </w:t>
      </w:r>
      <w:r w:rsidRPr="00020C08">
        <w:rPr>
          <w:sz w:val="28"/>
          <w:szCs w:val="28"/>
          <w:lang w:val="ru-RU"/>
        </w:rPr>
        <w:t>слова “</w:t>
      </w:r>
      <w:r w:rsidRPr="00020C08">
        <w:rPr>
          <w:sz w:val="28"/>
          <w:szCs w:val="28"/>
        </w:rPr>
        <w:t>банків, бюджетних установ та юридичних осіб – боржників за кредитом під інвестиційний проект</w:t>
      </w:r>
      <w:r w:rsidRPr="00020C08">
        <w:rPr>
          <w:sz w:val="28"/>
          <w:szCs w:val="28"/>
          <w:lang w:val="ru-RU"/>
        </w:rPr>
        <w:t xml:space="preserve">” </w:t>
      </w:r>
      <w:r w:rsidRPr="00020C08">
        <w:rPr>
          <w:sz w:val="28"/>
          <w:szCs w:val="28"/>
        </w:rPr>
        <w:t>замінити словами</w:t>
      </w:r>
      <w:r w:rsidRPr="00020C08">
        <w:rPr>
          <w:sz w:val="28"/>
          <w:szCs w:val="28"/>
          <w:lang w:val="ru-RU"/>
        </w:rPr>
        <w:t xml:space="preserve"> “</w:t>
      </w:r>
      <w:r w:rsidRPr="00020C08">
        <w:rPr>
          <w:sz w:val="28"/>
          <w:szCs w:val="28"/>
        </w:rPr>
        <w:t>боржників – юридичних осіб за спеціалізованим кредитом</w:t>
      </w:r>
      <w:r w:rsidRPr="00020C08">
        <w:rPr>
          <w:sz w:val="28"/>
          <w:szCs w:val="28"/>
          <w:lang w:val="ru-RU"/>
        </w:rPr>
        <w:t>”;</w:t>
      </w:r>
    </w:p>
    <w:p w14:paraId="0EB1F483" w14:textId="77777777" w:rsidR="00020C08" w:rsidRDefault="00020C08" w:rsidP="00B15AA9">
      <w:pPr>
        <w:pStyle w:val="af5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8E01F1A" w14:textId="2DD2E543" w:rsidR="001A55B1" w:rsidRPr="007931A2" w:rsidRDefault="001D79E4" w:rsidP="00547CCB">
      <w:pPr>
        <w:pStyle w:val="a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підпункти 19–21</w:t>
      </w:r>
      <w:r w:rsidR="001A55B1" w:rsidRPr="007931A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="001A55B1" w:rsidRPr="007931A2">
        <w:rPr>
          <w:sz w:val="28"/>
          <w:szCs w:val="28"/>
        </w:rPr>
        <w:t xml:space="preserve"> 165</w:t>
      </w:r>
      <w:r>
        <w:rPr>
          <w:sz w:val="28"/>
          <w:szCs w:val="28"/>
        </w:rPr>
        <w:t xml:space="preserve"> </w:t>
      </w:r>
      <w:r w:rsidRPr="007931A2">
        <w:rPr>
          <w:sz w:val="28"/>
          <w:szCs w:val="28"/>
        </w:rPr>
        <w:t>викласти в такій редакції</w:t>
      </w:r>
      <w:r w:rsidR="001A55B1" w:rsidRPr="007931A2">
        <w:rPr>
          <w:sz w:val="28"/>
          <w:szCs w:val="28"/>
        </w:rPr>
        <w:t>:</w:t>
      </w:r>
    </w:p>
    <w:p w14:paraId="00401E8C" w14:textId="118BE2E3" w:rsidR="00DA78C7" w:rsidRPr="007931A2" w:rsidRDefault="00DA78C7" w:rsidP="00547CC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lang w:val="ru-RU"/>
        </w:rPr>
        <w:t>“</w:t>
      </w:r>
      <w:r w:rsidRPr="007931A2">
        <w:rPr>
          <w:rFonts w:ascii="Times New Roman" w:hAnsi="Times New Roman"/>
          <w:sz w:val="28"/>
          <w:szCs w:val="28"/>
        </w:rPr>
        <w:t xml:space="preserve">19) значення хоча б одного з наведених нижче фінансових показників оцінки </w:t>
      </w:r>
      <w:r w:rsidRPr="007931A2">
        <w:rPr>
          <w:rFonts w:ascii="Times New Roman" w:hAnsi="Times New Roman"/>
          <w:bCs/>
          <w:sz w:val="28"/>
          <w:szCs w:val="28"/>
        </w:rPr>
        <w:t xml:space="preserve">фінансового стану боржника </w:t>
      </w:r>
      <w:r w:rsidR="008B3058">
        <w:rPr>
          <w:rFonts w:ascii="Times New Roman" w:hAnsi="Times New Roman"/>
          <w:bCs/>
          <w:sz w:val="28"/>
          <w:szCs w:val="28"/>
        </w:rPr>
        <w:t>–</w:t>
      </w:r>
      <w:r w:rsidRPr="007931A2">
        <w:rPr>
          <w:rFonts w:ascii="Times New Roman" w:hAnsi="Times New Roman"/>
          <w:bCs/>
          <w:sz w:val="28"/>
          <w:szCs w:val="28"/>
        </w:rPr>
        <w:t xml:space="preserve"> юридичної особи за спеціалізованим кредитом </w:t>
      </w:r>
      <w:r w:rsidRPr="007931A2">
        <w:rPr>
          <w:rFonts w:ascii="Times New Roman" w:hAnsi="Times New Roman"/>
          <w:sz w:val="28"/>
          <w:szCs w:val="28"/>
        </w:rPr>
        <w:t>на передексплуатаційному/експлуатаційному етапі є:</w:t>
      </w:r>
    </w:p>
    <w:p w14:paraId="36E09A55" w14:textId="3E8BE892" w:rsidR="00DA78C7" w:rsidRPr="007931A2" w:rsidRDefault="00DA78C7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меншим 1 – для DSCR</w:t>
      </w:r>
      <w:r w:rsidRPr="00547CCB">
        <w:rPr>
          <w:rFonts w:ascii="Times New Roman" w:hAnsi="Times New Roman"/>
          <w:sz w:val="28"/>
          <w:szCs w:val="28"/>
        </w:rPr>
        <w:t>с</w:t>
      </w:r>
      <w:r w:rsidRPr="007931A2">
        <w:rPr>
          <w:rFonts w:ascii="Times New Roman" w:hAnsi="Times New Roman"/>
          <w:sz w:val="28"/>
          <w:szCs w:val="28"/>
        </w:rPr>
        <w:t>;</w:t>
      </w:r>
    </w:p>
    <w:p w14:paraId="618D6E91" w14:textId="1865F52B" w:rsidR="00DA78C7" w:rsidRPr="007931A2" w:rsidRDefault="00DA78C7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31A2">
        <w:rPr>
          <w:rFonts w:ascii="Times New Roman" w:hAnsi="Times New Roman"/>
          <w:sz w:val="28"/>
          <w:szCs w:val="28"/>
        </w:rPr>
        <w:t xml:space="preserve">більшим 10 – для </w:t>
      </w:r>
      <w:r w:rsidRPr="007931A2">
        <w:rPr>
          <w:rFonts w:ascii="Times New Roman" w:hAnsi="Times New Roman"/>
          <w:sz w:val="28"/>
          <w:szCs w:val="28"/>
          <w:lang w:val="en-US"/>
        </w:rPr>
        <w:t>DER</w:t>
      </w:r>
      <w:r w:rsidRPr="007931A2">
        <w:rPr>
          <w:rFonts w:ascii="Times New Roman" w:hAnsi="Times New Roman"/>
          <w:sz w:val="28"/>
          <w:szCs w:val="28"/>
          <w:lang w:val="ru-RU"/>
        </w:rPr>
        <w:t>;</w:t>
      </w:r>
    </w:p>
    <w:p w14:paraId="70C99A37" w14:textId="04963A8C" w:rsidR="00C175F6" w:rsidRPr="007931A2" w:rsidRDefault="00C175F6" w:rsidP="00547CCB">
      <w:pPr>
        <w:pStyle w:val="a3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меншим 1 – для PLCR;</w:t>
      </w:r>
    </w:p>
    <w:p w14:paraId="5FC29FF5" w14:textId="77777777" w:rsidR="006837DF" w:rsidRDefault="006837DF" w:rsidP="008B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BA5BFD" w14:textId="3A196C00" w:rsidR="00DA78C7" w:rsidRPr="007931A2" w:rsidRDefault="00DA78C7" w:rsidP="008B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20) за результатами оцінки бізнес</w:t>
      </w:r>
      <w:r w:rsidR="008B3058">
        <w:rPr>
          <w:rFonts w:ascii="Times New Roman" w:hAnsi="Times New Roman"/>
          <w:sz w:val="28"/>
          <w:szCs w:val="28"/>
        </w:rPr>
        <w:t>-</w:t>
      </w:r>
      <w:r w:rsidRPr="007931A2">
        <w:rPr>
          <w:rFonts w:ascii="Times New Roman" w:hAnsi="Times New Roman"/>
          <w:sz w:val="28"/>
          <w:szCs w:val="28"/>
        </w:rPr>
        <w:t>плану проєкту банк на підставі судження визначив нереалістичність виконання бізнес-плану у</w:t>
      </w:r>
      <w:r w:rsidR="00C175F6" w:rsidRPr="007931A2">
        <w:rPr>
          <w:rFonts w:ascii="Times New Roman" w:hAnsi="Times New Roman"/>
          <w:sz w:val="28"/>
          <w:szCs w:val="28"/>
        </w:rPr>
        <w:t xml:space="preserve"> визначені бізнес-планом строки</w:t>
      </w:r>
      <w:r w:rsidRPr="007931A2">
        <w:rPr>
          <w:rFonts w:ascii="Times New Roman" w:hAnsi="Times New Roman"/>
          <w:sz w:val="28"/>
          <w:szCs w:val="28"/>
        </w:rPr>
        <w:t>;</w:t>
      </w:r>
    </w:p>
    <w:p w14:paraId="487F6B12" w14:textId="77777777" w:rsidR="006837DF" w:rsidRDefault="006837DF" w:rsidP="008B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CD1D5A" w14:textId="2829D1D4" w:rsidR="00C175F6" w:rsidRPr="007931A2" w:rsidRDefault="00C175F6" w:rsidP="008B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21) банк не здійснив контроль за відповідністю реалізації проєкт</w:t>
      </w:r>
      <w:r w:rsidR="008B3058">
        <w:rPr>
          <w:rFonts w:ascii="Times New Roman" w:hAnsi="Times New Roman"/>
          <w:sz w:val="28"/>
          <w:szCs w:val="28"/>
        </w:rPr>
        <w:t>у</w:t>
      </w:r>
      <w:r w:rsidRPr="007931A2">
        <w:rPr>
          <w:rFonts w:ascii="Times New Roman" w:hAnsi="Times New Roman"/>
          <w:sz w:val="28"/>
          <w:szCs w:val="28"/>
        </w:rPr>
        <w:t xml:space="preserve"> за спеціалізованим кредитом згідно з пунктом 67</w:t>
      </w:r>
      <w:r w:rsidRPr="007931A2">
        <w:rPr>
          <w:rFonts w:ascii="Times New Roman" w:hAnsi="Times New Roman"/>
          <w:sz w:val="28"/>
          <w:szCs w:val="28"/>
          <w:vertAlign w:val="superscript"/>
        </w:rPr>
        <w:t>3</w:t>
      </w:r>
      <w:r w:rsidRPr="007931A2">
        <w:rPr>
          <w:rFonts w:ascii="Times New Roman" w:hAnsi="Times New Roman"/>
          <w:sz w:val="28"/>
          <w:szCs w:val="28"/>
        </w:rPr>
        <w:t xml:space="preserve"> розділу </w:t>
      </w:r>
      <w:r w:rsidRPr="007931A2">
        <w:rPr>
          <w:rFonts w:ascii="Times New Roman" w:hAnsi="Times New Roman"/>
          <w:sz w:val="28"/>
          <w:szCs w:val="28"/>
          <w:lang w:val="en-US"/>
        </w:rPr>
        <w:t>IV</w:t>
      </w:r>
      <w:r w:rsidRPr="007931A2">
        <w:rPr>
          <w:rFonts w:ascii="Times New Roman" w:hAnsi="Times New Roman"/>
          <w:sz w:val="28"/>
          <w:szCs w:val="28"/>
          <w:vertAlign w:val="superscript"/>
        </w:rPr>
        <w:t>1</w:t>
      </w:r>
      <w:r w:rsidRPr="007931A2">
        <w:rPr>
          <w:rFonts w:ascii="Times New Roman" w:hAnsi="Times New Roman"/>
          <w:sz w:val="28"/>
          <w:szCs w:val="28"/>
        </w:rPr>
        <w:t xml:space="preserve"> цього Положення на дві контрольні дати поспіль</w:t>
      </w:r>
      <w:r w:rsidR="008B3058">
        <w:rPr>
          <w:rFonts w:ascii="Times New Roman" w:hAnsi="Times New Roman"/>
          <w:sz w:val="28"/>
          <w:szCs w:val="28"/>
        </w:rPr>
        <w:t>;</w:t>
      </w:r>
      <w:r w:rsidRPr="007931A2">
        <w:rPr>
          <w:rFonts w:ascii="Times New Roman" w:hAnsi="Times New Roman"/>
          <w:sz w:val="28"/>
          <w:szCs w:val="28"/>
          <w:lang w:val="ru-RU"/>
        </w:rPr>
        <w:t>”</w:t>
      </w:r>
      <w:r w:rsidRPr="007931A2">
        <w:rPr>
          <w:rFonts w:ascii="Times New Roman" w:hAnsi="Times New Roman"/>
          <w:sz w:val="28"/>
          <w:szCs w:val="28"/>
        </w:rPr>
        <w:t>;</w:t>
      </w:r>
    </w:p>
    <w:p w14:paraId="59434373" w14:textId="77777777" w:rsidR="001A55B1" w:rsidRPr="007931A2" w:rsidRDefault="001A55B1" w:rsidP="008B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7F8845" w14:textId="5CEA270D" w:rsidR="001A55B1" w:rsidRPr="007931A2" w:rsidRDefault="001A55B1" w:rsidP="00547C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у пункті 166:</w:t>
      </w:r>
    </w:p>
    <w:p w14:paraId="7DA9247F" w14:textId="4A9E55C7" w:rsidR="001A55B1" w:rsidRPr="007931A2" w:rsidRDefault="00335E60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 підпункті 1</w:t>
      </w:r>
      <w:r w:rsidR="001A55B1" w:rsidRPr="007931A2">
        <w:rPr>
          <w:rFonts w:ascii="Times New Roman" w:hAnsi="Times New Roman"/>
          <w:sz w:val="28"/>
          <w:szCs w:val="28"/>
        </w:rPr>
        <w:t xml:space="preserve"> слова </w:t>
      </w:r>
      <w:r w:rsidR="001A55B1" w:rsidRPr="007931A2">
        <w:rPr>
          <w:rFonts w:ascii="Times New Roman" w:hAnsi="Times New Roman"/>
          <w:sz w:val="28"/>
          <w:szCs w:val="28"/>
          <w:lang w:val="ru-RU"/>
        </w:rPr>
        <w:t>“</w:t>
      </w:r>
      <w:r w:rsidR="001A55B1" w:rsidRPr="007931A2">
        <w:rPr>
          <w:rFonts w:ascii="Times New Roman" w:hAnsi="Times New Roman"/>
          <w:sz w:val="28"/>
          <w:szCs w:val="28"/>
        </w:rPr>
        <w:t>за кредитом під інвестиційний проект,</w:t>
      </w:r>
      <w:r w:rsidR="001A55B1" w:rsidRPr="007931A2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1A55B1" w:rsidRPr="007931A2">
        <w:rPr>
          <w:rFonts w:ascii="Times New Roman" w:hAnsi="Times New Roman"/>
          <w:sz w:val="28"/>
          <w:szCs w:val="28"/>
        </w:rPr>
        <w:t>виключити</w:t>
      </w:r>
      <w:r w:rsidR="001A55B1" w:rsidRPr="007931A2">
        <w:rPr>
          <w:rFonts w:ascii="Times New Roman" w:hAnsi="Times New Roman"/>
          <w:sz w:val="28"/>
          <w:szCs w:val="28"/>
          <w:lang w:val="ru-RU"/>
        </w:rPr>
        <w:t>;</w:t>
      </w:r>
    </w:p>
    <w:p w14:paraId="12A7B6C3" w14:textId="374D7D06" w:rsidR="001A55B1" w:rsidRPr="007931A2" w:rsidRDefault="001A55B1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lang w:val="ru-RU"/>
        </w:rPr>
        <w:t xml:space="preserve">в абзаці </w:t>
      </w:r>
      <w:r w:rsidR="00335E60">
        <w:rPr>
          <w:rFonts w:ascii="Times New Roman" w:hAnsi="Times New Roman"/>
          <w:sz w:val="28"/>
          <w:szCs w:val="28"/>
          <w:lang w:val="ru-RU"/>
        </w:rPr>
        <w:t>друг</w:t>
      </w:r>
      <w:r w:rsidR="00335E60" w:rsidRPr="007931A2">
        <w:rPr>
          <w:rFonts w:ascii="Times New Roman" w:hAnsi="Times New Roman"/>
          <w:sz w:val="28"/>
          <w:szCs w:val="28"/>
          <w:lang w:val="ru-RU"/>
        </w:rPr>
        <w:t xml:space="preserve">ому </w:t>
      </w:r>
      <w:r w:rsidR="00335E60">
        <w:rPr>
          <w:rFonts w:ascii="Times New Roman" w:hAnsi="Times New Roman"/>
          <w:sz w:val="28"/>
          <w:szCs w:val="28"/>
          <w:lang w:val="ru-RU"/>
        </w:rPr>
        <w:t xml:space="preserve">підпункту 2 </w:t>
      </w:r>
      <w:r w:rsidRPr="007931A2">
        <w:rPr>
          <w:rFonts w:ascii="Times New Roman" w:hAnsi="Times New Roman"/>
          <w:sz w:val="28"/>
          <w:szCs w:val="28"/>
          <w:lang w:val="ru-RU"/>
        </w:rPr>
        <w:t>слова “</w:t>
      </w:r>
      <w:r w:rsidRPr="007931A2">
        <w:rPr>
          <w:rFonts w:ascii="Times New Roman" w:hAnsi="Times New Roman"/>
          <w:sz w:val="28"/>
          <w:szCs w:val="28"/>
        </w:rPr>
        <w:t>банків, бюджетних установ та юридичних осіб</w:t>
      </w:r>
      <w:r w:rsidR="008B3058">
        <w:rPr>
          <w:rFonts w:ascii="Times New Roman" w:hAnsi="Times New Roman"/>
          <w:sz w:val="28"/>
          <w:szCs w:val="28"/>
        </w:rPr>
        <w:t> –</w:t>
      </w:r>
      <w:r w:rsidRPr="007931A2">
        <w:rPr>
          <w:rFonts w:ascii="Times New Roman" w:hAnsi="Times New Roman"/>
          <w:sz w:val="28"/>
          <w:szCs w:val="28"/>
        </w:rPr>
        <w:t xml:space="preserve"> боржників за кредитом під інвестиційний проект</w:t>
      </w:r>
      <w:r w:rsidRPr="007931A2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Pr="007931A2">
        <w:rPr>
          <w:rFonts w:ascii="Times New Roman" w:hAnsi="Times New Roman"/>
          <w:sz w:val="28"/>
          <w:szCs w:val="28"/>
        </w:rPr>
        <w:t>замінити словами</w:t>
      </w:r>
      <w:r w:rsidRPr="007931A2">
        <w:rPr>
          <w:rFonts w:ascii="Times New Roman" w:hAnsi="Times New Roman"/>
          <w:sz w:val="28"/>
          <w:szCs w:val="28"/>
          <w:lang w:val="ru-RU"/>
        </w:rPr>
        <w:t xml:space="preserve"> “</w:t>
      </w:r>
      <w:r w:rsidRPr="007931A2">
        <w:rPr>
          <w:rFonts w:ascii="Times New Roman" w:hAnsi="Times New Roman"/>
          <w:sz w:val="28"/>
          <w:szCs w:val="28"/>
        </w:rPr>
        <w:t xml:space="preserve">боржників </w:t>
      </w:r>
      <w:r w:rsidR="008B3058">
        <w:rPr>
          <w:rFonts w:ascii="Times New Roman" w:hAnsi="Times New Roman"/>
          <w:sz w:val="28"/>
          <w:szCs w:val="28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 юридичних осіб за спеціалізованим кредитом</w:t>
      </w:r>
      <w:r w:rsidRPr="007931A2">
        <w:rPr>
          <w:rFonts w:ascii="Times New Roman" w:hAnsi="Times New Roman"/>
          <w:sz w:val="28"/>
          <w:szCs w:val="28"/>
          <w:lang w:val="ru-RU"/>
        </w:rPr>
        <w:t>”</w:t>
      </w:r>
      <w:r w:rsidRPr="007931A2">
        <w:rPr>
          <w:rFonts w:ascii="Times New Roman" w:hAnsi="Times New Roman"/>
          <w:sz w:val="28"/>
          <w:szCs w:val="28"/>
        </w:rPr>
        <w:t>.</w:t>
      </w:r>
    </w:p>
    <w:p w14:paraId="7131C918" w14:textId="77777777" w:rsidR="001A55B1" w:rsidRPr="007931A2" w:rsidRDefault="001A55B1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45CA18" w14:textId="2C4AC058" w:rsidR="00ED4F0E" w:rsidRPr="007931A2" w:rsidRDefault="00ED4F0E" w:rsidP="00547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7931A2">
        <w:rPr>
          <w:rFonts w:ascii="Times New Roman" w:eastAsiaTheme="minorEastAsia" w:hAnsi="Times New Roman"/>
          <w:sz w:val="28"/>
          <w:szCs w:val="28"/>
          <w:lang w:eastAsia="uk-UA"/>
        </w:rPr>
        <w:t>У додатках до Положення:</w:t>
      </w:r>
    </w:p>
    <w:p w14:paraId="4966B58A" w14:textId="77777777" w:rsidR="00ED4F0E" w:rsidRPr="007931A2" w:rsidRDefault="00ED4F0E" w:rsidP="00547CCB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</w:p>
    <w:p w14:paraId="044F392A" w14:textId="44C5E363" w:rsidR="00ED4F0E" w:rsidRPr="007931A2" w:rsidRDefault="00ED4F0E" w:rsidP="008B305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1A2">
        <w:rPr>
          <w:sz w:val="28"/>
          <w:szCs w:val="28"/>
        </w:rPr>
        <w:t xml:space="preserve">1) </w:t>
      </w:r>
      <w:r w:rsidR="008B3058">
        <w:rPr>
          <w:sz w:val="28"/>
          <w:szCs w:val="28"/>
        </w:rPr>
        <w:t xml:space="preserve">пункт 1 </w:t>
      </w:r>
      <w:r w:rsidRPr="007931A2">
        <w:rPr>
          <w:sz w:val="28"/>
          <w:szCs w:val="28"/>
        </w:rPr>
        <w:t>додат</w:t>
      </w:r>
      <w:r w:rsidR="008B3058">
        <w:rPr>
          <w:sz w:val="28"/>
          <w:szCs w:val="28"/>
        </w:rPr>
        <w:t>ка</w:t>
      </w:r>
      <w:r w:rsidRPr="007931A2">
        <w:rPr>
          <w:sz w:val="28"/>
          <w:szCs w:val="28"/>
        </w:rPr>
        <w:t xml:space="preserve"> 1 доповнити </w:t>
      </w:r>
      <w:r w:rsidR="006837DF">
        <w:rPr>
          <w:sz w:val="28"/>
          <w:szCs w:val="28"/>
        </w:rPr>
        <w:t xml:space="preserve">двома </w:t>
      </w:r>
      <w:r w:rsidRPr="007931A2">
        <w:rPr>
          <w:sz w:val="28"/>
          <w:szCs w:val="28"/>
        </w:rPr>
        <w:t xml:space="preserve">новими </w:t>
      </w:r>
      <w:r w:rsidR="00C27FC4">
        <w:rPr>
          <w:sz w:val="28"/>
          <w:szCs w:val="28"/>
        </w:rPr>
        <w:t>під</w:t>
      </w:r>
      <w:r w:rsidRPr="007931A2">
        <w:rPr>
          <w:sz w:val="28"/>
          <w:szCs w:val="28"/>
        </w:rPr>
        <w:t>пунктами такого змісту:</w:t>
      </w:r>
    </w:p>
    <w:p w14:paraId="2047BD4A" w14:textId="7D756705" w:rsidR="00ED4F0E" w:rsidRPr="007931A2" w:rsidRDefault="00ED4F0E" w:rsidP="0054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lang w:val="ru-RU"/>
        </w:rPr>
        <w:t>“</w:t>
      </w:r>
      <w:r w:rsidRPr="007931A2">
        <w:rPr>
          <w:rFonts w:ascii="Times New Roman" w:hAnsi="Times New Roman"/>
          <w:sz w:val="28"/>
          <w:szCs w:val="28"/>
        </w:rPr>
        <w:t>12</w:t>
      </w:r>
      <w:r w:rsidR="00C27FC4">
        <w:rPr>
          <w:rFonts w:ascii="Times New Roman" w:hAnsi="Times New Roman"/>
          <w:sz w:val="28"/>
          <w:szCs w:val="28"/>
        </w:rPr>
        <w:t>)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 w:rsidR="008B3058">
        <w:rPr>
          <w:rFonts w:ascii="Times New Roman" w:hAnsi="Times New Roman"/>
          <w:sz w:val="28"/>
          <w:szCs w:val="28"/>
        </w:rPr>
        <w:t>п</w:t>
      </w:r>
      <w:r w:rsidRPr="007931A2">
        <w:rPr>
          <w:rFonts w:ascii="Times New Roman" w:hAnsi="Times New Roman"/>
          <w:sz w:val="28"/>
          <w:szCs w:val="28"/>
        </w:rPr>
        <w:t>рограма проведення стрес-тестування боржника за напрямами спеціалізованого кредиту (</w:t>
      </w:r>
      <w:r w:rsidR="006500F5">
        <w:rPr>
          <w:rFonts w:ascii="Times New Roman" w:hAnsi="Times New Roman"/>
          <w:sz w:val="28"/>
          <w:szCs w:val="28"/>
        </w:rPr>
        <w:t>у</w:t>
      </w:r>
      <w:r w:rsidR="006500F5" w:rsidRPr="007931A2">
        <w:rPr>
          <w:rFonts w:ascii="Times New Roman" w:hAnsi="Times New Roman"/>
          <w:sz w:val="28"/>
          <w:szCs w:val="28"/>
        </w:rPr>
        <w:t xml:space="preserve">ключаючи </w:t>
      </w:r>
      <w:r w:rsidRPr="007931A2">
        <w:rPr>
          <w:rFonts w:ascii="Times New Roman" w:hAnsi="Times New Roman"/>
          <w:sz w:val="28"/>
          <w:szCs w:val="28"/>
        </w:rPr>
        <w:t xml:space="preserve">опис </w:t>
      </w:r>
      <w:r w:rsidRPr="007931A2">
        <w:rPr>
          <w:rFonts w:ascii="Times New Roman" w:hAnsi="Times New Roman"/>
          <w:sz w:val="28"/>
          <w:szCs w:val="28"/>
          <w:shd w:val="clear" w:color="auto" w:fill="FFFFFF"/>
        </w:rPr>
        <w:t>методології</w:t>
      </w:r>
      <w:r w:rsidRPr="007931A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r w:rsidRPr="007931A2">
        <w:rPr>
          <w:rFonts w:ascii="Times New Roman" w:hAnsi="Times New Roman"/>
          <w:sz w:val="28"/>
          <w:szCs w:val="28"/>
          <w:shd w:val="clear" w:color="auto" w:fill="FFFFFF"/>
        </w:rPr>
        <w:t xml:space="preserve">моделей та припущень, що </w:t>
      </w:r>
      <w:r w:rsidRPr="007931A2">
        <w:rPr>
          <w:rFonts w:ascii="Times New Roman" w:hAnsi="Times New Roman"/>
          <w:sz w:val="28"/>
          <w:szCs w:val="28"/>
        </w:rPr>
        <w:t>використані);</w:t>
      </w:r>
    </w:p>
    <w:p w14:paraId="739BBDAC" w14:textId="77777777" w:rsidR="006837DF" w:rsidRDefault="006837DF" w:rsidP="008B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DE4AE" w14:textId="498A6B49" w:rsidR="00ED4F0E" w:rsidRPr="007931A2" w:rsidRDefault="00ED4F0E" w:rsidP="008B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13</w:t>
      </w:r>
      <w:r w:rsidR="00C27FC4">
        <w:rPr>
          <w:rFonts w:ascii="Times New Roman" w:hAnsi="Times New Roman"/>
          <w:sz w:val="28"/>
          <w:szCs w:val="28"/>
        </w:rPr>
        <w:t>)</w:t>
      </w:r>
      <w:r w:rsidRPr="007931A2">
        <w:rPr>
          <w:rFonts w:ascii="Times New Roman" w:hAnsi="Times New Roman"/>
          <w:sz w:val="28"/>
          <w:szCs w:val="28"/>
        </w:rPr>
        <w:t xml:space="preserve"> </w:t>
      </w:r>
      <w:r w:rsidR="008B3058">
        <w:rPr>
          <w:rFonts w:ascii="Times New Roman" w:hAnsi="Times New Roman"/>
          <w:sz w:val="28"/>
          <w:szCs w:val="28"/>
        </w:rPr>
        <w:t>к</w:t>
      </w:r>
      <w:r w:rsidRPr="007931A2">
        <w:rPr>
          <w:rFonts w:ascii="Times New Roman" w:hAnsi="Times New Roman"/>
          <w:sz w:val="28"/>
          <w:szCs w:val="28"/>
        </w:rPr>
        <w:t xml:space="preserve">ритерії оцінки якості менеджменту боржника </w:t>
      </w:r>
      <w:r w:rsidR="008B3058">
        <w:rPr>
          <w:rFonts w:ascii="Times New Roman" w:hAnsi="Times New Roman"/>
          <w:sz w:val="28"/>
          <w:szCs w:val="28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 юридичної особи за спеціалізованим кредитом, фінансового стану ініціатора та/або генерального підрядника проєкту</w:t>
      </w:r>
      <w:r w:rsidRPr="007931A2">
        <w:rPr>
          <w:rFonts w:ascii="Times New Roman" w:hAnsi="Times New Roman"/>
          <w:sz w:val="28"/>
          <w:szCs w:val="28"/>
          <w:lang w:val="ru-RU"/>
        </w:rPr>
        <w:t>.”</w:t>
      </w:r>
      <w:r w:rsidRPr="007931A2">
        <w:rPr>
          <w:rFonts w:ascii="Times New Roman" w:hAnsi="Times New Roman"/>
          <w:sz w:val="28"/>
          <w:szCs w:val="28"/>
        </w:rPr>
        <w:t>;</w:t>
      </w:r>
    </w:p>
    <w:p w14:paraId="457685BD" w14:textId="77777777" w:rsidR="00ED4F0E" w:rsidRPr="007931A2" w:rsidRDefault="00ED4F0E" w:rsidP="008B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D6A96E" w14:textId="5E42B306" w:rsidR="00ED4F0E" w:rsidRPr="007931A2" w:rsidRDefault="00ED4F0E" w:rsidP="008B3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64781F" w:rsidRPr="007931A2">
        <w:rPr>
          <w:rFonts w:ascii="Times New Roman" w:hAnsi="Times New Roman"/>
          <w:sz w:val="28"/>
          <w:szCs w:val="28"/>
        </w:rPr>
        <w:t>абзац</w:t>
      </w:r>
      <w:r w:rsidR="0064781F">
        <w:rPr>
          <w:rFonts w:ascii="Times New Roman" w:hAnsi="Times New Roman"/>
          <w:sz w:val="28"/>
          <w:szCs w:val="28"/>
        </w:rPr>
        <w:t>и</w:t>
      </w:r>
      <w:r w:rsidR="0064781F" w:rsidRPr="007931A2">
        <w:rPr>
          <w:rFonts w:ascii="Times New Roman" w:hAnsi="Times New Roman"/>
          <w:sz w:val="28"/>
          <w:szCs w:val="28"/>
        </w:rPr>
        <w:t xml:space="preserve"> перший</w:t>
      </w:r>
      <w:r w:rsidR="0064781F">
        <w:rPr>
          <w:rFonts w:ascii="Times New Roman" w:hAnsi="Times New Roman"/>
          <w:sz w:val="28"/>
          <w:szCs w:val="28"/>
        </w:rPr>
        <w:t>, третій</w:t>
      </w:r>
      <w:r w:rsidRPr="007931A2">
        <w:rPr>
          <w:rFonts w:ascii="Times New Roman" w:hAnsi="Times New Roman"/>
          <w:sz w:val="28"/>
          <w:szCs w:val="28"/>
        </w:rPr>
        <w:t xml:space="preserve"> пункт</w:t>
      </w:r>
      <w:r w:rsidR="0064781F">
        <w:rPr>
          <w:rFonts w:ascii="Times New Roman" w:hAnsi="Times New Roman"/>
          <w:sz w:val="28"/>
          <w:szCs w:val="28"/>
        </w:rPr>
        <w:t>у</w:t>
      </w:r>
      <w:r w:rsidRPr="007931A2">
        <w:rPr>
          <w:rFonts w:ascii="Times New Roman" w:hAnsi="Times New Roman"/>
          <w:sz w:val="28"/>
          <w:szCs w:val="28"/>
        </w:rPr>
        <w:t xml:space="preserve"> 3 додатк</w:t>
      </w:r>
      <w:r w:rsidR="008B3058">
        <w:rPr>
          <w:rFonts w:ascii="Times New Roman" w:hAnsi="Times New Roman"/>
          <w:sz w:val="28"/>
          <w:szCs w:val="28"/>
        </w:rPr>
        <w:t>а</w:t>
      </w:r>
      <w:r w:rsidRPr="007931A2">
        <w:rPr>
          <w:rFonts w:ascii="Times New Roman" w:hAnsi="Times New Roman"/>
          <w:sz w:val="28"/>
          <w:szCs w:val="28"/>
        </w:rPr>
        <w:t xml:space="preserve"> 2</w:t>
      </w:r>
      <w:r w:rsidR="002344B9" w:rsidRPr="002344B9">
        <w:rPr>
          <w:rFonts w:ascii="Times New Roman" w:hAnsi="Times New Roman"/>
          <w:sz w:val="28"/>
          <w:szCs w:val="28"/>
        </w:rPr>
        <w:t xml:space="preserve"> </w:t>
      </w:r>
      <w:r w:rsidR="002344B9" w:rsidRPr="007931A2">
        <w:rPr>
          <w:rFonts w:ascii="Times New Roman" w:hAnsi="Times New Roman"/>
          <w:sz w:val="28"/>
          <w:szCs w:val="28"/>
        </w:rPr>
        <w:t>викласти в такій редакції</w:t>
      </w:r>
      <w:r w:rsidRPr="007931A2">
        <w:rPr>
          <w:rFonts w:ascii="Times New Roman" w:hAnsi="Times New Roman"/>
          <w:sz w:val="28"/>
          <w:szCs w:val="28"/>
        </w:rPr>
        <w:t>:</w:t>
      </w:r>
    </w:p>
    <w:p w14:paraId="490A938E" w14:textId="4B557FBB" w:rsidR="00ED4F0E" w:rsidRPr="007931A2" w:rsidRDefault="00ED4F0E" w:rsidP="008B3058">
      <w:pPr>
        <w:spacing w:after="0" w:line="240" w:lineRule="auto"/>
        <w:ind w:firstLine="709"/>
        <w:jc w:val="both"/>
        <w:rPr>
          <w:sz w:val="28"/>
          <w:szCs w:val="28"/>
        </w:rPr>
      </w:pPr>
      <w:r w:rsidRPr="00EF1F81">
        <w:rPr>
          <w:rFonts w:ascii="Times New Roman" w:hAnsi="Times New Roman"/>
          <w:sz w:val="28"/>
          <w:szCs w:val="28"/>
        </w:rPr>
        <w:t>“3. Документація щодо наданого кредиту:”;</w:t>
      </w:r>
    </w:p>
    <w:p w14:paraId="34BB5240" w14:textId="37711D69" w:rsidR="00ED4F0E" w:rsidRPr="007931A2" w:rsidRDefault="00ED4F0E" w:rsidP="008B305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7931A2">
        <w:rPr>
          <w:sz w:val="28"/>
          <w:szCs w:val="28"/>
        </w:rPr>
        <w:t>“2) бізнес-план, техніко-економічне обґрунтування потреби в кредиті на відповідні цілі, наявність впливу фактору сезонності або циклічності (для юридичних осіб) та</w:t>
      </w:r>
      <w:r w:rsidRPr="007931A2">
        <w:rPr>
          <w:sz w:val="28"/>
          <w:szCs w:val="28"/>
          <w:shd w:val="clear" w:color="auto" w:fill="FFFFFF"/>
          <w:lang w:eastAsia="ru-RU"/>
        </w:rPr>
        <w:t xml:space="preserve"> проєктно-кошторисна документація (застосовується </w:t>
      </w:r>
      <w:r w:rsidR="008B3058">
        <w:rPr>
          <w:sz w:val="28"/>
          <w:szCs w:val="28"/>
          <w:shd w:val="clear" w:color="auto" w:fill="FFFFFF"/>
          <w:lang w:eastAsia="ru-RU"/>
        </w:rPr>
        <w:t>під час</w:t>
      </w:r>
      <w:r w:rsidRPr="007931A2">
        <w:rPr>
          <w:sz w:val="28"/>
          <w:szCs w:val="28"/>
        </w:rPr>
        <w:t xml:space="preserve"> фінансуванн</w:t>
      </w:r>
      <w:r w:rsidR="008B3058">
        <w:rPr>
          <w:sz w:val="28"/>
          <w:szCs w:val="28"/>
        </w:rPr>
        <w:t>я</w:t>
      </w:r>
      <w:r w:rsidRPr="007931A2">
        <w:rPr>
          <w:sz w:val="28"/>
          <w:szCs w:val="28"/>
        </w:rPr>
        <w:t xml:space="preserve"> спорудженн</w:t>
      </w:r>
      <w:r w:rsidR="008B3058">
        <w:rPr>
          <w:sz w:val="28"/>
          <w:szCs w:val="28"/>
        </w:rPr>
        <w:t>я</w:t>
      </w:r>
      <w:r w:rsidRPr="007931A2">
        <w:rPr>
          <w:sz w:val="28"/>
          <w:szCs w:val="28"/>
        </w:rPr>
        <w:t xml:space="preserve"> об’єктів</w:t>
      </w:r>
      <w:r w:rsidRPr="007931A2">
        <w:rPr>
          <w:sz w:val="28"/>
          <w:szCs w:val="28"/>
          <w:shd w:val="clear" w:color="auto" w:fill="FFFFFF"/>
          <w:lang w:eastAsia="ru-RU"/>
        </w:rPr>
        <w:t xml:space="preserve"> для </w:t>
      </w:r>
      <w:r w:rsidRPr="007931A2">
        <w:rPr>
          <w:sz w:val="28"/>
          <w:szCs w:val="28"/>
        </w:rPr>
        <w:t>проєктного фінансування/фінансування нерухомого майна, що генерує дохід)</w:t>
      </w:r>
      <w:r w:rsidRPr="007931A2">
        <w:rPr>
          <w:sz w:val="28"/>
          <w:szCs w:val="28"/>
          <w:shd w:val="clear" w:color="auto" w:fill="FFFFFF"/>
          <w:lang w:eastAsia="ru-RU"/>
        </w:rPr>
        <w:t>, план-графік реалізації проєкту (для боржників – юридичних осіб за спеціалізованим кредитом);”;</w:t>
      </w:r>
    </w:p>
    <w:p w14:paraId="071C44B4" w14:textId="77777777" w:rsidR="00ED4F0E" w:rsidRPr="007931A2" w:rsidRDefault="00ED4F0E" w:rsidP="008B305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9AA1D2" w14:textId="3F9F54D8" w:rsidR="009F4B51" w:rsidRPr="007931A2" w:rsidRDefault="00AD4259" w:rsidP="00B15AA9">
      <w:pPr>
        <w:pStyle w:val="af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058" w:rsidRPr="007931A2">
        <w:rPr>
          <w:sz w:val="28"/>
          <w:szCs w:val="28"/>
        </w:rPr>
        <w:t xml:space="preserve">таблицю 10 </w:t>
      </w:r>
      <w:r w:rsidR="009F4B51" w:rsidRPr="007931A2">
        <w:rPr>
          <w:sz w:val="28"/>
          <w:szCs w:val="28"/>
        </w:rPr>
        <w:t>додатк</w:t>
      </w:r>
      <w:r w:rsidR="008B3058">
        <w:rPr>
          <w:sz w:val="28"/>
          <w:szCs w:val="28"/>
        </w:rPr>
        <w:t>а</w:t>
      </w:r>
      <w:r w:rsidR="009F4B51" w:rsidRPr="007931A2">
        <w:rPr>
          <w:sz w:val="28"/>
          <w:szCs w:val="28"/>
        </w:rPr>
        <w:t xml:space="preserve"> 9 викласти в такій редакції:</w:t>
      </w:r>
    </w:p>
    <w:p w14:paraId="52F99364" w14:textId="77777777" w:rsidR="008126DB" w:rsidRPr="007931A2" w:rsidRDefault="008126DB" w:rsidP="008126D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 xml:space="preserve">“Таблиця 10 </w:t>
      </w:r>
    </w:p>
    <w:p w14:paraId="4B983393" w14:textId="7FBCBC75" w:rsidR="008126DB" w:rsidRPr="007931A2" w:rsidRDefault="008126DB" w:rsidP="008126DB">
      <w:pPr>
        <w:jc w:val="center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 xml:space="preserve">Діапазони значень коефіцієнта PD боржника – юридичної особи за спеціалізованим кредитом </w:t>
      </w:r>
      <w:r w:rsidR="00CA33CF" w:rsidRPr="00547CCB">
        <w:rPr>
          <w:rFonts w:ascii="Times New Roman" w:hAnsi="Times New Roman"/>
          <w:sz w:val="28"/>
          <w:szCs w:val="28"/>
        </w:rPr>
        <w:t>[</w:t>
      </w:r>
      <w:r w:rsidRPr="007931A2">
        <w:rPr>
          <w:rFonts w:ascii="Times New Roman" w:hAnsi="Times New Roman"/>
          <w:sz w:val="28"/>
          <w:szCs w:val="28"/>
        </w:rPr>
        <w:t xml:space="preserve">проєктне фінансування (далі – ПФ), об’єктне фінансування (далі – ОФ), фінансування нерухомого майна, що генерує дохід (далі </w:t>
      </w:r>
      <w:r w:rsidR="00CA33CF">
        <w:rPr>
          <w:rFonts w:ascii="Times New Roman" w:hAnsi="Times New Roman"/>
          <w:sz w:val="28"/>
          <w:szCs w:val="28"/>
        </w:rPr>
        <w:t>–</w:t>
      </w:r>
      <w:r w:rsidRPr="007931A2">
        <w:rPr>
          <w:rFonts w:ascii="Times New Roman" w:hAnsi="Times New Roman"/>
          <w:sz w:val="28"/>
          <w:szCs w:val="28"/>
        </w:rPr>
        <w:t xml:space="preserve"> ФНМ)</w:t>
      </w:r>
      <w:r w:rsidR="00CA33CF" w:rsidRPr="00547CCB">
        <w:rPr>
          <w:rFonts w:ascii="Times New Roman" w:hAnsi="Times New Roman"/>
          <w:sz w:val="28"/>
          <w:szCs w:val="28"/>
        </w:rPr>
        <w:t>]</w:t>
      </w:r>
      <w:r w:rsidRPr="007931A2">
        <w:rPr>
          <w:rFonts w:ascii="Times New Roman" w:hAnsi="Times New Roman"/>
          <w:sz w:val="28"/>
          <w:szCs w:val="28"/>
        </w:rPr>
        <w:t xml:space="preserve"> на передексплуатаційному/експлуатаційному </w:t>
      </w:r>
      <w:r w:rsidR="006500F5" w:rsidRPr="007931A2">
        <w:rPr>
          <w:rFonts w:ascii="Times New Roman" w:hAnsi="Times New Roman"/>
          <w:sz w:val="28"/>
          <w:szCs w:val="28"/>
        </w:rPr>
        <w:t>етап</w:t>
      </w:r>
      <w:r w:rsidR="006500F5">
        <w:rPr>
          <w:rFonts w:ascii="Times New Roman" w:hAnsi="Times New Roman"/>
          <w:sz w:val="28"/>
          <w:szCs w:val="28"/>
        </w:rPr>
        <w:t>і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8126DB" w:rsidRPr="007931A2" w14:paraId="21FB3BC0" w14:textId="77777777" w:rsidTr="00547CCB">
        <w:trPr>
          <w:trHeight w:val="397"/>
        </w:trPr>
        <w:tc>
          <w:tcPr>
            <w:tcW w:w="675" w:type="dxa"/>
          </w:tcPr>
          <w:p w14:paraId="184A8A2E" w14:textId="62AA6C49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№</w:t>
            </w:r>
            <w:r w:rsidRPr="007931A2">
              <w:rPr>
                <w:rFonts w:ascii="Times New Roman" w:hAnsi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894" w:type="dxa"/>
          </w:tcPr>
          <w:p w14:paraId="4F4536E3" w14:textId="77777777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Клас боржника – юридичної особи за спеціалізованим кредитом</w:t>
            </w:r>
          </w:p>
          <w:p w14:paraId="7EA3BEE7" w14:textId="2D578A9E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(ПФ, ОФ, </w:t>
            </w:r>
            <w:r w:rsidRPr="007931A2">
              <w:rPr>
                <w:rFonts w:ascii="Times New Roman" w:hAnsi="Times New Roman"/>
                <w:sz w:val="28"/>
                <w:szCs w:val="28"/>
              </w:rPr>
              <w:t>ФНМ)</w:t>
            </w:r>
          </w:p>
        </w:tc>
        <w:tc>
          <w:tcPr>
            <w:tcW w:w="3285" w:type="dxa"/>
          </w:tcPr>
          <w:p w14:paraId="6ADFACF6" w14:textId="1CB79B94" w:rsidR="008126DB" w:rsidRPr="007931A2" w:rsidRDefault="008126DB" w:rsidP="00CA33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Діапазони значень коефіцієнт</w:t>
            </w:r>
            <w:r w:rsidR="00CA33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931A2">
              <w:rPr>
                <w:rFonts w:ascii="Times New Roman" w:hAnsi="Times New Roman"/>
                <w:sz w:val="28"/>
                <w:szCs w:val="28"/>
              </w:rPr>
              <w:t xml:space="preserve"> PD</w:t>
            </w:r>
          </w:p>
        </w:tc>
      </w:tr>
      <w:tr w:rsidR="008126DB" w:rsidRPr="007931A2" w14:paraId="600FA83C" w14:textId="77777777" w:rsidTr="00547CCB">
        <w:trPr>
          <w:trHeight w:val="397"/>
        </w:trPr>
        <w:tc>
          <w:tcPr>
            <w:tcW w:w="675" w:type="dxa"/>
          </w:tcPr>
          <w:p w14:paraId="3E2FFB42" w14:textId="510DE589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94" w:type="dxa"/>
          </w:tcPr>
          <w:p w14:paraId="51C6E9E5" w14:textId="1D2B9442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85" w:type="dxa"/>
          </w:tcPr>
          <w:p w14:paraId="5707C4A4" w14:textId="2BE37980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126DB" w:rsidRPr="007931A2" w14:paraId="1D15B2A2" w14:textId="77777777" w:rsidTr="00547CCB">
        <w:trPr>
          <w:trHeight w:val="397"/>
        </w:trPr>
        <w:tc>
          <w:tcPr>
            <w:tcW w:w="675" w:type="dxa"/>
          </w:tcPr>
          <w:p w14:paraId="53B5EBC6" w14:textId="50B8EEF4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94" w:type="dxa"/>
          </w:tcPr>
          <w:p w14:paraId="0522ECF1" w14:textId="18FB26F3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85" w:type="dxa"/>
          </w:tcPr>
          <w:p w14:paraId="27E87D25" w14:textId="4AD8399B" w:rsidR="008126DB" w:rsidRPr="007931A2" w:rsidRDefault="008126DB" w:rsidP="00CA33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0,005</w:t>
            </w:r>
            <w:r w:rsidR="00CA33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0,04</w:t>
            </w:r>
          </w:p>
        </w:tc>
      </w:tr>
      <w:tr w:rsidR="008126DB" w:rsidRPr="007931A2" w14:paraId="444A4052" w14:textId="77777777" w:rsidTr="00547CCB">
        <w:trPr>
          <w:trHeight w:val="397"/>
        </w:trPr>
        <w:tc>
          <w:tcPr>
            <w:tcW w:w="675" w:type="dxa"/>
          </w:tcPr>
          <w:p w14:paraId="6472C18C" w14:textId="61B3DD1B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94" w:type="dxa"/>
          </w:tcPr>
          <w:p w14:paraId="217809C1" w14:textId="7611E48F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85" w:type="dxa"/>
          </w:tcPr>
          <w:p w14:paraId="151AE830" w14:textId="6426DC07" w:rsidR="008126DB" w:rsidRPr="007931A2" w:rsidRDefault="008126DB" w:rsidP="00CA33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0,05</w:t>
            </w:r>
            <w:r w:rsidR="00CA33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0,13</w:t>
            </w:r>
          </w:p>
        </w:tc>
      </w:tr>
      <w:tr w:rsidR="008126DB" w:rsidRPr="007931A2" w14:paraId="6FEF044E" w14:textId="77777777" w:rsidTr="00547CCB">
        <w:trPr>
          <w:trHeight w:val="397"/>
        </w:trPr>
        <w:tc>
          <w:tcPr>
            <w:tcW w:w="675" w:type="dxa"/>
          </w:tcPr>
          <w:p w14:paraId="6F925D2F" w14:textId="4C36462D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94" w:type="dxa"/>
          </w:tcPr>
          <w:p w14:paraId="5D0DB448" w14:textId="277A2934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85" w:type="dxa"/>
          </w:tcPr>
          <w:p w14:paraId="71CA10AF" w14:textId="41D3E7E3" w:rsidR="008126DB" w:rsidRPr="007931A2" w:rsidRDefault="008126DB" w:rsidP="00CA33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0,14</w:t>
            </w:r>
            <w:r w:rsidR="00CA33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0,39</w:t>
            </w:r>
          </w:p>
        </w:tc>
      </w:tr>
      <w:tr w:rsidR="008126DB" w:rsidRPr="007931A2" w14:paraId="7E335B1D" w14:textId="77777777" w:rsidTr="00547CCB">
        <w:trPr>
          <w:trHeight w:val="397"/>
        </w:trPr>
        <w:tc>
          <w:tcPr>
            <w:tcW w:w="675" w:type="dxa"/>
          </w:tcPr>
          <w:p w14:paraId="3F851268" w14:textId="592EFF5E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94" w:type="dxa"/>
          </w:tcPr>
          <w:p w14:paraId="6F1FF32D" w14:textId="148B6EE9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85" w:type="dxa"/>
          </w:tcPr>
          <w:p w14:paraId="37C0E58E" w14:textId="7973C627" w:rsidR="008126DB" w:rsidRPr="007931A2" w:rsidRDefault="008126DB" w:rsidP="00CA33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0,40</w:t>
            </w:r>
            <w:r w:rsidR="00CA33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0,99</w:t>
            </w:r>
          </w:p>
        </w:tc>
      </w:tr>
      <w:tr w:rsidR="008126DB" w:rsidRPr="007931A2" w14:paraId="0B660B7E" w14:textId="77777777" w:rsidTr="00547CCB">
        <w:trPr>
          <w:trHeight w:val="397"/>
        </w:trPr>
        <w:tc>
          <w:tcPr>
            <w:tcW w:w="675" w:type="dxa"/>
          </w:tcPr>
          <w:p w14:paraId="133B6245" w14:textId="7B079CE0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94" w:type="dxa"/>
          </w:tcPr>
          <w:p w14:paraId="6835B8C5" w14:textId="442A8AE7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85" w:type="dxa"/>
          </w:tcPr>
          <w:p w14:paraId="6FFE573F" w14:textId="5F9DD03C" w:rsidR="008126DB" w:rsidRPr="007931A2" w:rsidRDefault="008126DB" w:rsidP="008126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</w:tbl>
    <w:p w14:paraId="51458EE9" w14:textId="557B7279" w:rsidR="008126DB" w:rsidRDefault="008126DB" w:rsidP="00547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lang w:val="en-US"/>
        </w:rPr>
        <w:t>”</w:t>
      </w:r>
      <w:r w:rsidRPr="007931A2">
        <w:rPr>
          <w:rFonts w:ascii="Times New Roman" w:hAnsi="Times New Roman"/>
          <w:sz w:val="28"/>
          <w:szCs w:val="28"/>
        </w:rPr>
        <w:t>;</w:t>
      </w:r>
    </w:p>
    <w:p w14:paraId="7BE37E72" w14:textId="77777777" w:rsidR="003D43A2" w:rsidRPr="007931A2" w:rsidRDefault="003D43A2" w:rsidP="00547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505E1" w14:textId="08118565" w:rsidR="008126DB" w:rsidRPr="007931A2" w:rsidRDefault="008126DB" w:rsidP="00547CCB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>додаток 10 викласти в такій редакції:</w:t>
      </w:r>
    </w:p>
    <w:p w14:paraId="51ACCBCC" w14:textId="77777777" w:rsidR="00C27FC4" w:rsidRDefault="00C917BD" w:rsidP="006837DF">
      <w:pPr>
        <w:spacing w:after="0" w:line="240" w:lineRule="auto"/>
        <w:ind w:left="4254" w:firstLine="851"/>
        <w:jc w:val="both"/>
        <w:rPr>
          <w:rFonts w:ascii="Times New Roman" w:hAnsi="Times New Roman"/>
          <w:sz w:val="28"/>
          <w:szCs w:val="28"/>
        </w:rPr>
      </w:pPr>
      <w:r w:rsidRPr="00A72F13">
        <w:rPr>
          <w:rFonts w:ascii="Times New Roman" w:hAnsi="Times New Roman"/>
          <w:sz w:val="28"/>
          <w:szCs w:val="28"/>
          <w:lang w:val="ru-RU"/>
        </w:rPr>
        <w:t>“</w:t>
      </w:r>
      <w:r w:rsidRPr="00A72F13">
        <w:rPr>
          <w:rFonts w:ascii="Times New Roman" w:hAnsi="Times New Roman"/>
          <w:sz w:val="28"/>
          <w:szCs w:val="28"/>
        </w:rPr>
        <w:t xml:space="preserve">Додаток 10 </w:t>
      </w:r>
    </w:p>
    <w:p w14:paraId="6F5D661B" w14:textId="77777777" w:rsidR="00C27FC4" w:rsidRDefault="00C917BD" w:rsidP="00C27FC4">
      <w:pPr>
        <w:spacing w:after="0" w:line="240" w:lineRule="auto"/>
        <w:ind w:left="5103" w:firstLine="2"/>
        <w:jc w:val="both"/>
        <w:rPr>
          <w:rFonts w:ascii="Times New Roman" w:hAnsi="Times New Roman"/>
          <w:sz w:val="28"/>
          <w:szCs w:val="28"/>
        </w:rPr>
      </w:pPr>
      <w:r w:rsidRPr="00A72F13">
        <w:rPr>
          <w:rFonts w:ascii="Times New Roman" w:hAnsi="Times New Roman"/>
          <w:sz w:val="28"/>
          <w:szCs w:val="28"/>
        </w:rPr>
        <w:t xml:space="preserve">до Положення про визначення банками України розміру кредитного ризику за активними банківськими операціями </w:t>
      </w:r>
    </w:p>
    <w:p w14:paraId="15A068CA" w14:textId="77777777" w:rsidR="00C27FC4" w:rsidRDefault="006837DF" w:rsidP="00C27F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72F13">
        <w:rPr>
          <w:rFonts w:ascii="Times New Roman" w:hAnsi="Times New Roman"/>
          <w:sz w:val="28"/>
          <w:szCs w:val="28"/>
        </w:rPr>
        <w:t xml:space="preserve">(у редакції постанови Правління </w:t>
      </w:r>
      <w:r w:rsidR="00A72F13" w:rsidRPr="00A72F13">
        <w:rPr>
          <w:rFonts w:ascii="Times New Roman" w:hAnsi="Times New Roman"/>
          <w:sz w:val="28"/>
          <w:szCs w:val="28"/>
        </w:rPr>
        <w:t xml:space="preserve">Національного банку України </w:t>
      </w:r>
    </w:p>
    <w:p w14:paraId="4D63C88C" w14:textId="2E4B9CB4" w:rsidR="008126DB" w:rsidRPr="002250EA" w:rsidRDefault="002250EA" w:rsidP="00C27F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250EA">
        <w:rPr>
          <w:rFonts w:ascii="Times New Roman" w:hAnsi="Times New Roman"/>
          <w:sz w:val="28"/>
          <w:szCs w:val="28"/>
        </w:rPr>
        <w:t>22 червня 2021 року № 58</w:t>
      </w:r>
      <w:r>
        <w:rPr>
          <w:rFonts w:ascii="Times New Roman" w:hAnsi="Times New Roman"/>
          <w:sz w:val="28"/>
          <w:szCs w:val="28"/>
        </w:rPr>
        <w:t>)</w:t>
      </w:r>
    </w:p>
    <w:p w14:paraId="0F4095C6" w14:textId="159FA026" w:rsidR="00A72F13" w:rsidRPr="00A72F13" w:rsidRDefault="00A72F13" w:rsidP="00C27FC4">
      <w:pPr>
        <w:spacing w:after="0" w:line="240" w:lineRule="auto"/>
        <w:ind w:left="4253" w:firstLine="850"/>
        <w:jc w:val="both"/>
        <w:rPr>
          <w:rFonts w:ascii="Times New Roman" w:hAnsi="Times New Roman"/>
          <w:sz w:val="28"/>
          <w:szCs w:val="28"/>
        </w:rPr>
      </w:pPr>
      <w:r w:rsidRPr="00DE13C7">
        <w:rPr>
          <w:rFonts w:ascii="Times New Roman" w:hAnsi="Times New Roman"/>
          <w:sz w:val="28"/>
          <w:szCs w:val="28"/>
        </w:rPr>
        <w:t>(</w:t>
      </w:r>
      <w:r w:rsidRPr="00A72F13">
        <w:rPr>
          <w:rFonts w:ascii="Times New Roman" w:hAnsi="Times New Roman"/>
          <w:sz w:val="28"/>
          <w:szCs w:val="28"/>
        </w:rPr>
        <w:t xml:space="preserve">пункт </w:t>
      </w:r>
      <w:r w:rsidRPr="00DE13C7">
        <w:rPr>
          <w:rFonts w:ascii="Times New Roman" w:hAnsi="Times New Roman"/>
          <w:sz w:val="28"/>
          <w:szCs w:val="28"/>
        </w:rPr>
        <w:t>67</w:t>
      </w:r>
      <w:r w:rsidRPr="00DE13C7">
        <w:rPr>
          <w:rFonts w:ascii="Times New Roman" w:hAnsi="Times New Roman"/>
          <w:sz w:val="28"/>
          <w:szCs w:val="28"/>
          <w:vertAlign w:val="superscript"/>
        </w:rPr>
        <w:t>2</w:t>
      </w:r>
      <w:r w:rsidRPr="00547CCB">
        <w:rPr>
          <w:rFonts w:ascii="Times New Roman" w:hAnsi="Times New Roman"/>
          <w:sz w:val="28"/>
          <w:szCs w:val="28"/>
        </w:rPr>
        <w:t xml:space="preserve"> </w:t>
      </w:r>
      <w:r w:rsidRPr="00A72F13">
        <w:rPr>
          <w:rFonts w:ascii="Times New Roman" w:hAnsi="Times New Roman"/>
          <w:sz w:val="28"/>
          <w:szCs w:val="28"/>
        </w:rPr>
        <w:t>розділу</w:t>
      </w:r>
      <w:r w:rsidRPr="00DE13C7">
        <w:rPr>
          <w:rFonts w:ascii="Times New Roman" w:hAnsi="Times New Roman"/>
          <w:sz w:val="28"/>
          <w:szCs w:val="28"/>
        </w:rPr>
        <w:t xml:space="preserve"> </w:t>
      </w:r>
      <w:r w:rsidRPr="00A72F13">
        <w:rPr>
          <w:rFonts w:ascii="Times New Roman" w:hAnsi="Times New Roman"/>
          <w:sz w:val="28"/>
          <w:szCs w:val="28"/>
        </w:rPr>
        <w:t>І</w:t>
      </w:r>
      <w:r w:rsidRPr="00A72F13">
        <w:rPr>
          <w:rFonts w:ascii="Times New Roman" w:hAnsi="Times New Roman"/>
          <w:sz w:val="28"/>
          <w:szCs w:val="28"/>
          <w:lang w:val="en-US"/>
        </w:rPr>
        <w:t>V</w:t>
      </w:r>
      <w:r w:rsidRPr="00DE13C7">
        <w:rPr>
          <w:rFonts w:ascii="Times New Roman" w:hAnsi="Times New Roman"/>
          <w:sz w:val="28"/>
          <w:szCs w:val="28"/>
          <w:vertAlign w:val="superscript"/>
        </w:rPr>
        <w:t>1</w:t>
      </w:r>
      <w:r w:rsidRPr="00A72F13">
        <w:rPr>
          <w:rFonts w:ascii="Times New Roman" w:hAnsi="Times New Roman"/>
          <w:sz w:val="28"/>
          <w:szCs w:val="28"/>
        </w:rPr>
        <w:t>)</w:t>
      </w:r>
    </w:p>
    <w:p w14:paraId="1034ACA1" w14:textId="77777777" w:rsidR="001D293D" w:rsidRDefault="001D293D" w:rsidP="003D43A2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14:paraId="4FCF6073" w14:textId="4AC4C22B" w:rsidR="001D293D" w:rsidRDefault="001D293D" w:rsidP="003D43A2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14:paraId="61B3EBF3" w14:textId="7959D365" w:rsidR="001D293D" w:rsidRDefault="001D293D" w:rsidP="003D43A2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14:paraId="33AFA0EB" w14:textId="4D9811CB" w:rsidR="002F7E5B" w:rsidRPr="00DE13C7" w:rsidRDefault="007053E9" w:rsidP="003D43A2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Продовження додатка 10</w:t>
      </w:r>
    </w:p>
    <w:p w14:paraId="31DEF92D" w14:textId="5FFC6408" w:rsidR="007575D9" w:rsidRDefault="007575D9" w:rsidP="00070EE0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14:paraId="77BD62EA" w14:textId="70967AF8" w:rsidR="00070EE0" w:rsidRDefault="00C917BD" w:rsidP="00547C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931A2">
        <w:rPr>
          <w:rFonts w:ascii="Times New Roman" w:hAnsi="Times New Roman"/>
          <w:bCs/>
          <w:sz w:val="28"/>
          <w:szCs w:val="28"/>
        </w:rPr>
        <w:t xml:space="preserve">Визначення класу боржника </w:t>
      </w:r>
      <w:r w:rsidR="003D43A2">
        <w:rPr>
          <w:rFonts w:ascii="Times New Roman" w:hAnsi="Times New Roman"/>
          <w:bCs/>
          <w:sz w:val="28"/>
          <w:szCs w:val="28"/>
        </w:rPr>
        <w:t>–</w:t>
      </w:r>
      <w:r w:rsidRPr="007931A2">
        <w:rPr>
          <w:rFonts w:ascii="Times New Roman" w:hAnsi="Times New Roman"/>
          <w:bCs/>
          <w:sz w:val="28"/>
          <w:szCs w:val="28"/>
        </w:rPr>
        <w:t xml:space="preserve"> юридичної особи за спеціалізованим кредитом </w:t>
      </w:r>
    </w:p>
    <w:p w14:paraId="6C386009" w14:textId="4BB84860" w:rsidR="00C917BD" w:rsidRDefault="007B3063" w:rsidP="00547C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931A2">
        <w:rPr>
          <w:rFonts w:ascii="Times New Roman" w:hAnsi="Times New Roman"/>
          <w:bCs/>
          <w:sz w:val="28"/>
          <w:szCs w:val="28"/>
        </w:rPr>
        <w:t xml:space="preserve">із застосуванням </w:t>
      </w:r>
      <w:r w:rsidR="00C917BD" w:rsidRPr="007931A2">
        <w:rPr>
          <w:rFonts w:ascii="Times New Roman" w:hAnsi="Times New Roman"/>
          <w:bCs/>
          <w:sz w:val="28"/>
          <w:szCs w:val="28"/>
        </w:rPr>
        <w:t>багатофакторної моделі</w:t>
      </w:r>
    </w:p>
    <w:p w14:paraId="67EC56A7" w14:textId="77777777" w:rsidR="00070EE0" w:rsidRPr="007931A2" w:rsidRDefault="00070EE0" w:rsidP="00547CC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FD4B8E8" w14:textId="4BF477DB" w:rsidR="00C917BD" w:rsidRDefault="00C917BD" w:rsidP="00547CCB">
      <w:pPr>
        <w:tabs>
          <w:tab w:val="left" w:pos="602"/>
          <w:tab w:val="left" w:pos="1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</w:rPr>
        <w:t xml:space="preserve">Таблиця 1 </w:t>
      </w:r>
    </w:p>
    <w:p w14:paraId="7CA6EC77" w14:textId="77777777" w:rsidR="00070EE0" w:rsidRPr="007931A2" w:rsidRDefault="00070EE0" w:rsidP="00547CCB">
      <w:pPr>
        <w:tabs>
          <w:tab w:val="left" w:pos="602"/>
          <w:tab w:val="left" w:pos="1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C65CCB" w14:textId="1704E289" w:rsidR="00C917BD" w:rsidRDefault="00C917BD" w:rsidP="00547CC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931A2">
        <w:rPr>
          <w:rFonts w:ascii="Times New Roman" w:hAnsi="Times New Roman" w:cs="Times New Roman"/>
          <w:sz w:val="28"/>
          <w:szCs w:val="28"/>
        </w:rPr>
        <w:t xml:space="preserve">Вага факторів багатофакторної моделі </w:t>
      </w:r>
    </w:p>
    <w:p w14:paraId="31736069" w14:textId="77777777" w:rsidR="00070EE0" w:rsidRPr="007931A2" w:rsidRDefault="00070EE0" w:rsidP="00547CC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4932"/>
        <w:gridCol w:w="1985"/>
        <w:gridCol w:w="1984"/>
      </w:tblGrid>
      <w:tr w:rsidR="00C917BD" w:rsidRPr="007931A2" w14:paraId="34E4DC49" w14:textId="77777777" w:rsidTr="00547CCB">
        <w:trPr>
          <w:trHeight w:val="649"/>
        </w:trPr>
        <w:tc>
          <w:tcPr>
            <w:tcW w:w="846" w:type="dxa"/>
            <w:vMerge w:val="restart"/>
          </w:tcPr>
          <w:p w14:paraId="5AE2C0A5" w14:textId="17C22867" w:rsidR="00C917BD" w:rsidRPr="007931A2" w:rsidRDefault="00070EE0" w:rsidP="00547CCB">
            <w:pPr>
              <w:tabs>
                <w:tab w:val="left" w:pos="880"/>
                <w:tab w:val="left" w:pos="1872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17BD" w:rsidRPr="007931A2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932" w:type="dxa"/>
            <w:vMerge w:val="restart"/>
          </w:tcPr>
          <w:p w14:paraId="48055F2B" w14:textId="77777777" w:rsidR="00C917BD" w:rsidRPr="007931A2" w:rsidRDefault="00C917BD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 xml:space="preserve">Фактор, </w:t>
            </w: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969" w:type="dxa"/>
            <w:gridSpan w:val="2"/>
          </w:tcPr>
          <w:p w14:paraId="1120DDAC" w14:textId="57F863CB" w:rsidR="00C917BD" w:rsidRPr="007931A2" w:rsidRDefault="00C917BD" w:rsidP="005A0FDE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Вага фактор</w:t>
            </w:r>
            <w:r w:rsidR="005A0F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931A2">
              <w:rPr>
                <w:rFonts w:ascii="Times New Roman" w:hAnsi="Times New Roman"/>
                <w:sz w:val="28"/>
                <w:szCs w:val="28"/>
              </w:rPr>
              <w:t>, а</w:t>
            </w:r>
            <w:r w:rsidRPr="007931A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C917BD" w:rsidRPr="007931A2" w14:paraId="6489711F" w14:textId="77777777" w:rsidTr="00547CCB">
        <w:trPr>
          <w:trHeight w:val="310"/>
        </w:trPr>
        <w:tc>
          <w:tcPr>
            <w:tcW w:w="846" w:type="dxa"/>
            <w:vMerge/>
          </w:tcPr>
          <w:p w14:paraId="4AE3BD54" w14:textId="77777777" w:rsidR="00C917BD" w:rsidRPr="007931A2" w:rsidRDefault="00C917BD" w:rsidP="00547CCB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</w:tcPr>
          <w:p w14:paraId="1DE30D12" w14:textId="77777777" w:rsidR="00C917BD" w:rsidRPr="007931A2" w:rsidRDefault="00C917BD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791EF1" w14:textId="5DC22928" w:rsidR="00C917BD" w:rsidRPr="007931A2" w:rsidRDefault="00C917BD" w:rsidP="00547CCB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bCs/>
                <w:sz w:val="28"/>
                <w:szCs w:val="28"/>
              </w:rPr>
              <w:t>передексплу</w:t>
            </w:r>
            <w:r w:rsidR="00070EE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931A2">
              <w:rPr>
                <w:rFonts w:ascii="Times New Roman" w:hAnsi="Times New Roman"/>
                <w:bCs/>
                <w:sz w:val="28"/>
                <w:szCs w:val="28"/>
              </w:rPr>
              <w:t>атаційний етап проєкту</w:t>
            </w:r>
          </w:p>
        </w:tc>
        <w:tc>
          <w:tcPr>
            <w:tcW w:w="1984" w:type="dxa"/>
          </w:tcPr>
          <w:p w14:paraId="03A4CE42" w14:textId="1285CCA0" w:rsidR="00C917BD" w:rsidRPr="007931A2" w:rsidRDefault="00C917BD" w:rsidP="00547CCB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bCs/>
                <w:sz w:val="28"/>
                <w:szCs w:val="28"/>
              </w:rPr>
              <w:t>експлуатацій</w:t>
            </w:r>
            <w:r w:rsidR="00070EE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931A2">
              <w:rPr>
                <w:rFonts w:ascii="Times New Roman" w:hAnsi="Times New Roman"/>
                <w:bCs/>
                <w:sz w:val="28"/>
                <w:szCs w:val="28"/>
              </w:rPr>
              <w:t>ний етап проєкту</w:t>
            </w:r>
          </w:p>
        </w:tc>
      </w:tr>
      <w:tr w:rsidR="00C917BD" w:rsidRPr="007931A2" w14:paraId="116247D0" w14:textId="77777777" w:rsidTr="00547CCB">
        <w:trPr>
          <w:trHeight w:val="381"/>
        </w:trPr>
        <w:tc>
          <w:tcPr>
            <w:tcW w:w="846" w:type="dxa"/>
          </w:tcPr>
          <w:p w14:paraId="07C5A67B" w14:textId="77777777" w:rsidR="00C917BD" w:rsidRPr="007931A2" w:rsidRDefault="00C917BD" w:rsidP="00547CCB">
            <w:pPr>
              <w:tabs>
                <w:tab w:val="left" w:pos="602"/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14:paraId="44906598" w14:textId="77777777" w:rsidR="00C917BD" w:rsidRPr="007931A2" w:rsidRDefault="00C917BD" w:rsidP="00547C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9658CC" w14:textId="77777777" w:rsidR="00C917BD" w:rsidRPr="007931A2" w:rsidRDefault="00C917BD" w:rsidP="00547CCB">
            <w:pPr>
              <w:tabs>
                <w:tab w:val="left" w:pos="602"/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D98F7C" w14:textId="77777777" w:rsidR="00C917BD" w:rsidRPr="007931A2" w:rsidRDefault="00C917BD" w:rsidP="00547CCB">
            <w:pPr>
              <w:tabs>
                <w:tab w:val="left" w:pos="602"/>
                <w:tab w:val="left" w:pos="1160"/>
                <w:tab w:val="left" w:pos="1855"/>
              </w:tabs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15E0" w:rsidRPr="007931A2" w14:paraId="790CCD02" w14:textId="77777777" w:rsidTr="00547CCB">
        <w:trPr>
          <w:trHeight w:val="655"/>
        </w:trPr>
        <w:tc>
          <w:tcPr>
            <w:tcW w:w="846" w:type="dxa"/>
          </w:tcPr>
          <w:p w14:paraId="0269C025" w14:textId="66B57A60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14:paraId="2DFD0D28" w14:textId="77777777" w:rsidR="003215E0" w:rsidRPr="007931A2" w:rsidRDefault="003215E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Характеристики фінансової стабільності боржника (</w:t>
            </w: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1)</w:t>
            </w:r>
          </w:p>
        </w:tc>
        <w:tc>
          <w:tcPr>
            <w:tcW w:w="1985" w:type="dxa"/>
            <w:shd w:val="clear" w:color="auto" w:fill="auto"/>
          </w:tcPr>
          <w:p w14:paraId="5FEE7679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  <w:tc>
          <w:tcPr>
            <w:tcW w:w="1984" w:type="dxa"/>
            <w:shd w:val="clear" w:color="auto" w:fill="auto"/>
          </w:tcPr>
          <w:p w14:paraId="5A43E09D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215E0" w:rsidRPr="007931A2" w14:paraId="030BC51E" w14:textId="77777777" w:rsidTr="00547CCB">
        <w:tc>
          <w:tcPr>
            <w:tcW w:w="846" w:type="dxa"/>
          </w:tcPr>
          <w:p w14:paraId="7B21CE18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32" w:type="dxa"/>
          </w:tcPr>
          <w:p w14:paraId="5AEC5F09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Правове середовище та </w:t>
            </w:r>
            <w:r w:rsidRPr="007931A2">
              <w:rPr>
                <w:rFonts w:ascii="Times New Roman" w:hAnsi="Times New Roman"/>
                <w:sz w:val="28"/>
                <w:szCs w:val="28"/>
              </w:rPr>
              <w:t>характеристики проєкту (</w:t>
            </w: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547CC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14:paraId="3906C0E6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984" w:type="dxa"/>
          </w:tcPr>
          <w:p w14:paraId="53230F38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3215E0" w:rsidRPr="007931A2" w14:paraId="1AF20311" w14:textId="77777777" w:rsidTr="00547CCB">
        <w:tc>
          <w:tcPr>
            <w:tcW w:w="846" w:type="dxa"/>
          </w:tcPr>
          <w:p w14:paraId="7595C758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32" w:type="dxa"/>
          </w:tcPr>
          <w:p w14:paraId="0E0D64B3" w14:textId="1711138B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7931A2">
              <w:rPr>
                <w:rFonts w:ascii="Times New Roman" w:hAnsi="Times New Roman"/>
                <w:sz w:val="28"/>
                <w:szCs w:val="28"/>
              </w:rPr>
              <w:t>арактеристики фінансової стійкості ініціатора та/або забудовника</w:t>
            </w:r>
            <w:r w:rsidR="00070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1A2">
              <w:rPr>
                <w:rFonts w:ascii="Times New Roman" w:hAnsi="Times New Roman"/>
                <w:sz w:val="28"/>
                <w:szCs w:val="28"/>
              </w:rPr>
              <w:t>(</w:t>
            </w: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14:paraId="32DCD675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984" w:type="dxa"/>
          </w:tcPr>
          <w:p w14:paraId="5D1C1F84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3215E0" w:rsidRPr="007931A2" w14:paraId="41AD6F24" w14:textId="77777777" w:rsidTr="00547CCB">
        <w:tc>
          <w:tcPr>
            <w:tcW w:w="846" w:type="dxa"/>
          </w:tcPr>
          <w:p w14:paraId="516C5D2B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32" w:type="dxa"/>
          </w:tcPr>
          <w:p w14:paraId="453F2B17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7931A2">
              <w:rPr>
                <w:rFonts w:ascii="Times New Roman" w:hAnsi="Times New Roman"/>
                <w:sz w:val="28"/>
                <w:szCs w:val="28"/>
              </w:rPr>
              <w:t>абезпечення банком належного захисту своїх інтересів</w:t>
            </w: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7931A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7931A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14:paraId="2364DD7C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</w:tcPr>
          <w:p w14:paraId="6F91A680" w14:textId="77777777" w:rsidR="003215E0" w:rsidRPr="007931A2" w:rsidRDefault="003215E0">
            <w:pPr>
              <w:tabs>
                <w:tab w:val="left" w:pos="602"/>
                <w:tab w:val="left" w:pos="1160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1A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14:paraId="77A9FE50" w14:textId="5FE305AF" w:rsidR="00341665" w:rsidRPr="007931A2" w:rsidRDefault="00070EE0" w:rsidP="007C7E49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8"/>
          <w:szCs w:val="28"/>
        </w:rPr>
        <w:sectPr w:rsidR="00341665" w:rsidRPr="007931A2" w:rsidSect="00AC5B14">
          <w:headerReference w:type="default" r:id="rId16"/>
          <w:headerReference w:type="first" r:id="rId17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br w:type="textWrapping" w:clear="all"/>
      </w:r>
    </w:p>
    <w:p w14:paraId="51765477" w14:textId="77777777" w:rsidR="007053E9" w:rsidRDefault="007053E9" w:rsidP="007053E9">
      <w:pPr>
        <w:pStyle w:val="HTML"/>
        <w:spacing w:before="120" w:after="120"/>
        <w:ind w:left="12474"/>
        <w:rPr>
          <w:rFonts w:ascii="Times New Roman" w:hAnsi="Times New Roman" w:cs="Times New Roman"/>
          <w:sz w:val="28"/>
          <w:szCs w:val="28"/>
        </w:rPr>
      </w:pPr>
    </w:p>
    <w:p w14:paraId="6DD7D7D4" w14:textId="7DAC2E3A" w:rsidR="00341665" w:rsidRPr="007931A2" w:rsidRDefault="00341665" w:rsidP="007053E9">
      <w:pPr>
        <w:pStyle w:val="HTML"/>
        <w:spacing w:before="120" w:after="120"/>
        <w:ind w:left="12474"/>
        <w:rPr>
          <w:rFonts w:ascii="Times New Roman" w:hAnsi="Times New Roman" w:cs="Times New Roman"/>
          <w:sz w:val="28"/>
          <w:szCs w:val="28"/>
        </w:rPr>
      </w:pPr>
      <w:r w:rsidRPr="007931A2">
        <w:rPr>
          <w:rFonts w:ascii="Times New Roman" w:hAnsi="Times New Roman" w:cs="Times New Roman"/>
          <w:sz w:val="28"/>
          <w:szCs w:val="28"/>
        </w:rPr>
        <w:t xml:space="preserve">Таблиця 2 </w:t>
      </w:r>
    </w:p>
    <w:p w14:paraId="0C7FC9F8" w14:textId="77777777" w:rsidR="00341665" w:rsidRPr="007931A2" w:rsidRDefault="00341665" w:rsidP="00547CCB">
      <w:pPr>
        <w:pStyle w:val="HTM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931A2">
        <w:rPr>
          <w:rFonts w:ascii="Times New Roman" w:hAnsi="Times New Roman" w:cs="Times New Roman"/>
          <w:sz w:val="28"/>
          <w:szCs w:val="28"/>
        </w:rPr>
        <w:t>Вага субфакторів та компонентів субфакторів багатофакторної моделі оцінки</w:t>
      </w:r>
    </w:p>
    <w:p w14:paraId="1D73DC6E" w14:textId="6F194B91" w:rsidR="00341665" w:rsidRPr="007931A2" w:rsidRDefault="00341665" w:rsidP="00547CCB">
      <w:pPr>
        <w:pStyle w:val="HTM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931A2">
        <w:rPr>
          <w:rFonts w:ascii="Times New Roman" w:hAnsi="Times New Roman" w:cs="Times New Roman"/>
          <w:bCs/>
          <w:sz w:val="28"/>
          <w:szCs w:val="28"/>
        </w:rPr>
        <w:t xml:space="preserve">фінансового стану боржника </w:t>
      </w:r>
      <w:r w:rsidR="00281AE3">
        <w:rPr>
          <w:rFonts w:ascii="Times New Roman" w:hAnsi="Times New Roman" w:cs="Times New Roman"/>
          <w:bCs/>
          <w:sz w:val="28"/>
          <w:szCs w:val="28"/>
        </w:rPr>
        <w:t>–</w:t>
      </w:r>
      <w:r w:rsidRPr="007931A2">
        <w:rPr>
          <w:rFonts w:ascii="Times New Roman" w:hAnsi="Times New Roman" w:cs="Times New Roman"/>
          <w:bCs/>
          <w:sz w:val="28"/>
          <w:szCs w:val="28"/>
        </w:rPr>
        <w:t xml:space="preserve"> юридичної особи за спеціалізованим кредитом</w:t>
      </w:r>
    </w:p>
    <w:tbl>
      <w:tblPr>
        <w:tblStyle w:val="af3"/>
        <w:tblW w:w="15240" w:type="dxa"/>
        <w:tblInd w:w="319" w:type="dxa"/>
        <w:tblLayout w:type="fixed"/>
        <w:tblLook w:val="0420" w:firstRow="1" w:lastRow="0" w:firstColumn="0" w:lastColumn="0" w:noHBand="0" w:noVBand="1"/>
      </w:tblPr>
      <w:tblGrid>
        <w:gridCol w:w="498"/>
        <w:gridCol w:w="992"/>
        <w:gridCol w:w="3119"/>
        <w:gridCol w:w="1701"/>
        <w:gridCol w:w="1417"/>
        <w:gridCol w:w="4253"/>
        <w:gridCol w:w="1701"/>
        <w:gridCol w:w="1559"/>
      </w:tblGrid>
      <w:tr w:rsidR="00341665" w:rsidRPr="007931A2" w14:paraId="06293BC2" w14:textId="77777777" w:rsidTr="00E63DE0">
        <w:trPr>
          <w:trHeight w:val="765"/>
        </w:trPr>
        <w:tc>
          <w:tcPr>
            <w:tcW w:w="498" w:type="dxa"/>
            <w:vMerge w:val="restart"/>
          </w:tcPr>
          <w:p w14:paraId="00DC1752" w14:textId="3874FE4D" w:rsidR="00341665" w:rsidRPr="00547CCB" w:rsidRDefault="00070EE0" w:rsidP="00547CCB">
            <w:pPr>
              <w:pStyle w:val="HTML"/>
              <w:tabs>
                <w:tab w:val="clear" w:pos="916"/>
                <w:tab w:val="left" w:pos="1163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677507A" w14:textId="77777777" w:rsidR="00341665" w:rsidRPr="007931A2" w:rsidRDefault="00341665" w:rsidP="00547CCB">
            <w:pPr>
              <w:pStyle w:val="HTML"/>
              <w:tabs>
                <w:tab w:val="clear" w:pos="916"/>
                <w:tab w:val="left" w:pos="1163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92" w:type="dxa"/>
            <w:vMerge w:val="restart"/>
          </w:tcPr>
          <w:p w14:paraId="3517B360" w14:textId="731E327C" w:rsidR="00070EE0" w:rsidRDefault="00341665" w:rsidP="00547CCB">
            <w:pPr>
              <w:pStyle w:val="HTML"/>
              <w:tabs>
                <w:tab w:val="clear" w:pos="916"/>
                <w:tab w:val="left" w:pos="1163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Фактор, </w:t>
            </w:r>
          </w:p>
          <w:p w14:paraId="7A5707D3" w14:textId="542546BD" w:rsidR="00341665" w:rsidRPr="007931A2" w:rsidRDefault="00341665" w:rsidP="00547CCB">
            <w:pPr>
              <w:pStyle w:val="HTML"/>
              <w:tabs>
                <w:tab w:val="clear" w:pos="916"/>
                <w:tab w:val="left" w:pos="1163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119" w:type="dxa"/>
            <w:vMerge w:val="restart"/>
          </w:tcPr>
          <w:p w14:paraId="77D41522" w14:textId="77777777" w:rsidR="00341665" w:rsidRPr="007931A2" w:rsidRDefault="00341665" w:rsidP="00547C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Субфактор, 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118" w:type="dxa"/>
            <w:gridSpan w:val="2"/>
          </w:tcPr>
          <w:p w14:paraId="1E3BBBF4" w14:textId="7B4C96ED" w:rsidR="00341665" w:rsidRPr="007931A2" w:rsidRDefault="00341665" w:rsidP="00547C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Вага субфактор</w:t>
            </w:r>
            <w:r w:rsidR="00281A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oMath>
          </w:p>
        </w:tc>
        <w:tc>
          <w:tcPr>
            <w:tcW w:w="4253" w:type="dxa"/>
            <w:vMerge w:val="restart"/>
          </w:tcPr>
          <w:p w14:paraId="74A64A31" w14:textId="444702D3" w:rsidR="00341665" w:rsidRPr="007931A2" w:rsidRDefault="00341665" w:rsidP="00547C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 субфактор</w:t>
            </w:r>
            <w:r w:rsidR="00281AE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і</w:t>
            </w:r>
          </w:p>
        </w:tc>
        <w:tc>
          <w:tcPr>
            <w:tcW w:w="3260" w:type="dxa"/>
            <w:gridSpan w:val="2"/>
          </w:tcPr>
          <w:p w14:paraId="2A792FBD" w14:textId="1AADD94F" w:rsidR="00341665" w:rsidRPr="007931A2" w:rsidRDefault="00341665" w:rsidP="00547C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Вага компонент</w:t>
            </w:r>
            <w:r w:rsidR="00924A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субфактор</w:t>
            </w:r>
            <w:r w:rsidR="00924A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oMath>
          </w:p>
        </w:tc>
      </w:tr>
      <w:tr w:rsidR="00341665" w:rsidRPr="007931A2" w14:paraId="4B036977" w14:textId="77777777" w:rsidTr="00E63DE0">
        <w:trPr>
          <w:trHeight w:val="765"/>
        </w:trPr>
        <w:tc>
          <w:tcPr>
            <w:tcW w:w="498" w:type="dxa"/>
            <w:vMerge/>
          </w:tcPr>
          <w:p w14:paraId="76E629A3" w14:textId="77777777" w:rsidR="00341665" w:rsidRPr="007931A2" w:rsidRDefault="00341665" w:rsidP="00547CCB">
            <w:pPr>
              <w:pStyle w:val="HTML"/>
              <w:tabs>
                <w:tab w:val="clear" w:pos="916"/>
                <w:tab w:val="left" w:pos="11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6D839D6" w14:textId="77777777" w:rsidR="00341665" w:rsidRPr="007931A2" w:rsidRDefault="00341665" w:rsidP="00547CCB">
            <w:pPr>
              <w:pStyle w:val="HTML"/>
              <w:tabs>
                <w:tab w:val="clear" w:pos="916"/>
                <w:tab w:val="left" w:pos="11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02FCF09" w14:textId="77777777" w:rsidR="00341665" w:rsidRPr="007931A2" w:rsidRDefault="00341665" w:rsidP="00547CC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2675B2" w14:textId="11367450" w:rsidR="00341665" w:rsidRPr="007931A2" w:rsidRDefault="00341665" w:rsidP="00547CCB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передексплу</w:t>
            </w:r>
            <w:r w:rsidR="00281A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атаційний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етап проєкту</w:t>
            </w:r>
          </w:p>
        </w:tc>
        <w:tc>
          <w:tcPr>
            <w:tcW w:w="1417" w:type="dxa"/>
          </w:tcPr>
          <w:p w14:paraId="4F7DF6F1" w14:textId="7733C39A" w:rsidR="00341665" w:rsidRPr="007931A2" w:rsidRDefault="00341665" w:rsidP="00547CCB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експлуата</w:t>
            </w:r>
            <w:r w:rsidR="00281A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ційний етап проєкту</w:t>
            </w:r>
          </w:p>
        </w:tc>
        <w:tc>
          <w:tcPr>
            <w:tcW w:w="4253" w:type="dxa"/>
            <w:vMerge/>
          </w:tcPr>
          <w:p w14:paraId="2E776E1E" w14:textId="77777777" w:rsidR="00341665" w:rsidRPr="007931A2" w:rsidRDefault="00341665" w:rsidP="00547CC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C84453" w14:textId="1A767475" w:rsidR="00341665" w:rsidRPr="007931A2" w:rsidRDefault="00341665" w:rsidP="00547CCB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передексплу</w:t>
            </w:r>
            <w:r w:rsidR="00924A4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атаційний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етап проєкту </w:t>
            </w:r>
            <w:r w:rsidR="00764A08"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(далі </w:t>
            </w:r>
            <w:r w:rsidR="00924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764A08"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І)</w:t>
            </w:r>
          </w:p>
        </w:tc>
        <w:tc>
          <w:tcPr>
            <w:tcW w:w="1559" w:type="dxa"/>
          </w:tcPr>
          <w:p w14:paraId="3BF1EC4F" w14:textId="563323DE" w:rsidR="00341665" w:rsidRPr="007931A2" w:rsidRDefault="00341665" w:rsidP="00547CCB">
            <w:pPr>
              <w:pStyle w:val="HTM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експлуата</w:t>
            </w:r>
            <w:r w:rsidR="00924A4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>ційний етап проєкту</w:t>
            </w:r>
            <w:r w:rsidR="00764A08" w:rsidRPr="007931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(далі – ІІ)</w:t>
            </w:r>
          </w:p>
        </w:tc>
      </w:tr>
    </w:tbl>
    <w:p w14:paraId="4F8CD9FC" w14:textId="77777777" w:rsidR="007575D9" w:rsidRPr="007575D9" w:rsidRDefault="007575D9" w:rsidP="007575D9">
      <w:pPr>
        <w:spacing w:after="0" w:line="240" w:lineRule="auto"/>
        <w:rPr>
          <w:sz w:val="2"/>
          <w:szCs w:val="2"/>
        </w:rPr>
      </w:pPr>
    </w:p>
    <w:tbl>
      <w:tblPr>
        <w:tblStyle w:val="af3"/>
        <w:tblW w:w="15240" w:type="dxa"/>
        <w:tblInd w:w="319" w:type="dxa"/>
        <w:tblLayout w:type="fixed"/>
        <w:tblLook w:val="0420" w:firstRow="1" w:lastRow="0" w:firstColumn="0" w:lastColumn="0" w:noHBand="0" w:noVBand="1"/>
      </w:tblPr>
      <w:tblGrid>
        <w:gridCol w:w="498"/>
        <w:gridCol w:w="992"/>
        <w:gridCol w:w="851"/>
        <w:gridCol w:w="2268"/>
        <w:gridCol w:w="1701"/>
        <w:gridCol w:w="1417"/>
        <w:gridCol w:w="709"/>
        <w:gridCol w:w="3544"/>
        <w:gridCol w:w="1701"/>
        <w:gridCol w:w="1559"/>
      </w:tblGrid>
      <w:tr w:rsidR="00341665" w:rsidRPr="007931A2" w14:paraId="3E1D1E32" w14:textId="77777777" w:rsidTr="007575D9">
        <w:trPr>
          <w:cantSplit/>
          <w:tblHeader/>
        </w:trPr>
        <w:tc>
          <w:tcPr>
            <w:tcW w:w="498" w:type="dxa"/>
          </w:tcPr>
          <w:p w14:paraId="5CF1E11B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655B1B5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08F51FB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548F33B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AA8119A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6CB7FB76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6936D8BF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78261364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7C2D4C4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869638E" w14:textId="77777777" w:rsidR="00341665" w:rsidRPr="007931A2" w:rsidRDefault="00341665" w:rsidP="007575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1665" w:rsidRPr="007931A2" w14:paraId="2CB3A7BD" w14:textId="77777777" w:rsidTr="00547CCB">
        <w:trPr>
          <w:trHeight w:val="283"/>
        </w:trPr>
        <w:tc>
          <w:tcPr>
            <w:tcW w:w="498" w:type="dxa"/>
          </w:tcPr>
          <w:p w14:paraId="7E1C354F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14:paraId="1B360D0A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  <w:vMerge w:val="restart"/>
          </w:tcPr>
          <w:p w14:paraId="039EFD59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</w:p>
        </w:tc>
        <w:tc>
          <w:tcPr>
            <w:tcW w:w="2268" w:type="dxa"/>
            <w:vMerge w:val="restart"/>
          </w:tcPr>
          <w:p w14:paraId="0569E21A" w14:textId="4D3673F2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фінансові показники</w:t>
            </w:r>
          </w:p>
        </w:tc>
        <w:tc>
          <w:tcPr>
            <w:tcW w:w="1701" w:type="dxa"/>
            <w:vMerge w:val="restart"/>
          </w:tcPr>
          <w:p w14:paraId="4A13BDB6" w14:textId="3AB9F928" w:rsidR="00341665" w:rsidRPr="007931A2" w:rsidRDefault="00341665" w:rsidP="00237B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417" w:type="dxa"/>
            <w:vMerge w:val="restart"/>
          </w:tcPr>
          <w:p w14:paraId="7261C6C8" w14:textId="69D20A3B" w:rsidR="00341665" w:rsidRPr="007931A2" w:rsidRDefault="00341665" w:rsidP="00237B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2C13D46E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44" w:type="dxa"/>
          </w:tcPr>
          <w:p w14:paraId="0FC9377C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DSCRc</w:t>
            </w:r>
          </w:p>
        </w:tc>
        <w:tc>
          <w:tcPr>
            <w:tcW w:w="1701" w:type="dxa"/>
          </w:tcPr>
          <w:p w14:paraId="35625A60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59" w:type="dxa"/>
          </w:tcPr>
          <w:p w14:paraId="1931F5E9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41665" w:rsidRPr="007931A2" w14:paraId="4930D6B6" w14:textId="77777777" w:rsidTr="00E63DE0">
        <w:trPr>
          <w:trHeight w:val="158"/>
        </w:trPr>
        <w:tc>
          <w:tcPr>
            <w:tcW w:w="498" w:type="dxa"/>
          </w:tcPr>
          <w:p w14:paraId="0336CB11" w14:textId="05A55AAC" w:rsidR="00341665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14:paraId="6818F0A3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FD49687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14:paraId="399F8672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37F58F3E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851078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D5A85B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</w:p>
        </w:tc>
        <w:tc>
          <w:tcPr>
            <w:tcW w:w="3544" w:type="dxa"/>
          </w:tcPr>
          <w:p w14:paraId="10A87FF5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DSCRi</w:t>
            </w:r>
          </w:p>
        </w:tc>
        <w:tc>
          <w:tcPr>
            <w:tcW w:w="1701" w:type="dxa"/>
          </w:tcPr>
          <w:p w14:paraId="2B4185C3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BB566AE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41665" w:rsidRPr="007931A2" w14:paraId="73C8D439" w14:textId="77777777" w:rsidTr="00E63DE0">
        <w:trPr>
          <w:trHeight w:val="158"/>
        </w:trPr>
        <w:tc>
          <w:tcPr>
            <w:tcW w:w="498" w:type="dxa"/>
          </w:tcPr>
          <w:p w14:paraId="71A9D21D" w14:textId="33942B49" w:rsidR="00341665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14:paraId="1AEEA61D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675883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14:paraId="27BB795A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5E2B2A6A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907119B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3B2CC4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44" w:type="dxa"/>
          </w:tcPr>
          <w:p w14:paraId="7C3143A6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LLCR</w:t>
            </w:r>
          </w:p>
        </w:tc>
        <w:tc>
          <w:tcPr>
            <w:tcW w:w="1701" w:type="dxa"/>
          </w:tcPr>
          <w:p w14:paraId="08FD3F74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59" w:type="dxa"/>
          </w:tcPr>
          <w:p w14:paraId="7677FA43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341665" w:rsidRPr="007931A2" w14:paraId="13F4B16C" w14:textId="77777777" w:rsidTr="00E63DE0">
        <w:trPr>
          <w:trHeight w:val="158"/>
        </w:trPr>
        <w:tc>
          <w:tcPr>
            <w:tcW w:w="498" w:type="dxa"/>
          </w:tcPr>
          <w:p w14:paraId="7A828085" w14:textId="564D6F34" w:rsidR="00341665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14:paraId="7B896B38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1E33BC0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14:paraId="6578310E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4EFECD09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00CC224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8099D3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544" w:type="dxa"/>
          </w:tcPr>
          <w:p w14:paraId="7499F6B6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PLCR</w:t>
            </w:r>
          </w:p>
        </w:tc>
        <w:tc>
          <w:tcPr>
            <w:tcW w:w="1701" w:type="dxa"/>
          </w:tcPr>
          <w:p w14:paraId="519A93C2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32236C0B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41665" w:rsidRPr="007931A2" w14:paraId="328E740D" w14:textId="77777777" w:rsidTr="00E63DE0">
        <w:trPr>
          <w:trHeight w:val="158"/>
        </w:trPr>
        <w:tc>
          <w:tcPr>
            <w:tcW w:w="498" w:type="dxa"/>
          </w:tcPr>
          <w:p w14:paraId="2D474464" w14:textId="73AFF601" w:rsidR="00341665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14:paraId="22178719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BA68A98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14:paraId="3F1FD21E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42CCAE20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140EAAD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77BBA5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544" w:type="dxa"/>
          </w:tcPr>
          <w:p w14:paraId="7666B01C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</w:p>
        </w:tc>
        <w:tc>
          <w:tcPr>
            <w:tcW w:w="1701" w:type="dxa"/>
          </w:tcPr>
          <w:p w14:paraId="5C7F1616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59" w:type="dxa"/>
          </w:tcPr>
          <w:p w14:paraId="127F23D6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41665" w:rsidRPr="007931A2" w14:paraId="1E208FDD" w14:textId="77777777" w:rsidTr="00547CCB">
        <w:trPr>
          <w:trHeight w:val="340"/>
        </w:trPr>
        <w:tc>
          <w:tcPr>
            <w:tcW w:w="498" w:type="dxa"/>
          </w:tcPr>
          <w:p w14:paraId="1E06F01D" w14:textId="407D7595" w:rsidR="00341665" w:rsidRPr="00802AA4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</w:tcPr>
          <w:p w14:paraId="0B3656C4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3EAB4298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4B268D32" w14:textId="39DF5718" w:rsidR="00341665" w:rsidRPr="007931A2" w:rsidRDefault="00634CAD" w:rsidP="00634CA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</w:t>
            </w:r>
            <w:r w:rsidR="00341665" w:rsidRPr="007931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’</w:t>
            </w:r>
            <w:r w:rsidR="00341665" w:rsidRPr="007931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юнктура ринку</w:t>
            </w:r>
            <w:r w:rsidR="00341665"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103980C" w14:textId="1DE8B543" w:rsidR="00341665" w:rsidRPr="007931A2" w:rsidRDefault="00341665" w:rsidP="00237B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417" w:type="dxa"/>
            <w:vMerge w:val="restart"/>
          </w:tcPr>
          <w:p w14:paraId="21ECD8E1" w14:textId="27F35CAB" w:rsidR="00341665" w:rsidRPr="007931A2" w:rsidRDefault="00341665" w:rsidP="00237B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16490562" w14:textId="77777777" w:rsidR="00341665" w:rsidRPr="007931A2" w:rsidRDefault="00341665" w:rsidP="007575D9">
            <w:pPr>
              <w:pStyle w:val="HTML"/>
              <w:tabs>
                <w:tab w:val="clear" w:pos="1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</w:p>
        </w:tc>
        <w:tc>
          <w:tcPr>
            <w:tcW w:w="3544" w:type="dxa"/>
          </w:tcPr>
          <w:p w14:paraId="0A604BAF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конкурентне середовище</w:t>
            </w:r>
          </w:p>
        </w:tc>
        <w:tc>
          <w:tcPr>
            <w:tcW w:w="1701" w:type="dxa"/>
          </w:tcPr>
          <w:p w14:paraId="2B442C34" w14:textId="56CB51F5" w:rsidR="00341665" w:rsidRPr="007931A2" w:rsidRDefault="00341665" w:rsidP="00237B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–0,6</w:t>
            </w:r>
          </w:p>
        </w:tc>
        <w:tc>
          <w:tcPr>
            <w:tcW w:w="1559" w:type="dxa"/>
          </w:tcPr>
          <w:p w14:paraId="71608022" w14:textId="0998FB24" w:rsidR="00341665" w:rsidRPr="007931A2" w:rsidRDefault="00341665" w:rsidP="00237B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–0,6</w:t>
            </w:r>
          </w:p>
        </w:tc>
      </w:tr>
      <w:tr w:rsidR="00341665" w:rsidRPr="007931A2" w14:paraId="2618622A" w14:textId="77777777" w:rsidTr="00634CAD">
        <w:trPr>
          <w:trHeight w:val="54"/>
        </w:trPr>
        <w:tc>
          <w:tcPr>
            <w:tcW w:w="498" w:type="dxa"/>
          </w:tcPr>
          <w:p w14:paraId="623BE055" w14:textId="28149A4A" w:rsidR="00341665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14:paraId="2E1A0EEC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8BB38BE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14:paraId="017CB608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285FFEB0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5BA7F1B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AAF3A1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7 </w:t>
            </w:r>
          </w:p>
        </w:tc>
        <w:tc>
          <w:tcPr>
            <w:tcW w:w="3544" w:type="dxa"/>
          </w:tcPr>
          <w:p w14:paraId="5F514E40" w14:textId="77777777" w:rsidR="00341665" w:rsidRPr="007931A2" w:rsidRDefault="00341665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рівень попиту</w:t>
            </w:r>
          </w:p>
        </w:tc>
        <w:tc>
          <w:tcPr>
            <w:tcW w:w="1701" w:type="dxa"/>
          </w:tcPr>
          <w:p w14:paraId="4D33DEEA" w14:textId="60129FDC" w:rsidR="00341665" w:rsidRPr="007931A2" w:rsidRDefault="00341665" w:rsidP="00237B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–0,6</w:t>
            </w:r>
          </w:p>
        </w:tc>
        <w:tc>
          <w:tcPr>
            <w:tcW w:w="1559" w:type="dxa"/>
          </w:tcPr>
          <w:p w14:paraId="59FBA5E7" w14:textId="18C53845" w:rsidR="00341665" w:rsidRPr="007931A2" w:rsidRDefault="00341665" w:rsidP="00237B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–0,6</w:t>
            </w:r>
          </w:p>
        </w:tc>
      </w:tr>
    </w:tbl>
    <w:p w14:paraId="48EA618E" w14:textId="77777777" w:rsidR="002F7E5B" w:rsidRDefault="00C161E0">
      <w:pPr>
        <w:sectPr w:rsidR="002F7E5B" w:rsidSect="00547CCB">
          <w:headerReference w:type="default" r:id="rId18"/>
          <w:pgSz w:w="16838" w:h="11906" w:orient="landscape"/>
          <w:pgMar w:top="567" w:right="567" w:bottom="1701" w:left="567" w:header="709" w:footer="709" w:gutter="0"/>
          <w:pgNumType w:chapStyle="1"/>
          <w:cols w:space="708"/>
          <w:docGrid w:linePitch="360"/>
        </w:sectPr>
      </w:pPr>
      <w:r>
        <w:br w:type="page"/>
      </w:r>
    </w:p>
    <w:tbl>
      <w:tblPr>
        <w:tblStyle w:val="af3"/>
        <w:tblW w:w="15240" w:type="dxa"/>
        <w:tblInd w:w="319" w:type="dxa"/>
        <w:tblLayout w:type="fixed"/>
        <w:tblLook w:val="0420" w:firstRow="1" w:lastRow="0" w:firstColumn="0" w:lastColumn="0" w:noHBand="0" w:noVBand="1"/>
      </w:tblPr>
      <w:tblGrid>
        <w:gridCol w:w="498"/>
        <w:gridCol w:w="992"/>
        <w:gridCol w:w="851"/>
        <w:gridCol w:w="2268"/>
        <w:gridCol w:w="1701"/>
        <w:gridCol w:w="1417"/>
        <w:gridCol w:w="709"/>
        <w:gridCol w:w="3544"/>
        <w:gridCol w:w="1701"/>
        <w:gridCol w:w="1559"/>
      </w:tblGrid>
      <w:tr w:rsidR="00C161E0" w:rsidRPr="007931A2" w14:paraId="524AC169" w14:textId="77777777" w:rsidTr="00375B0D">
        <w:trPr>
          <w:trHeight w:val="333"/>
          <w:tblHeader/>
        </w:trPr>
        <w:tc>
          <w:tcPr>
            <w:tcW w:w="498" w:type="dxa"/>
          </w:tcPr>
          <w:p w14:paraId="1D77DCCF" w14:textId="0D6D6158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A5EC259" w14:textId="383C1B6D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0529F4F" w14:textId="74F4EFBF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CB65E69" w14:textId="739E79B4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B50AB46" w14:textId="21AFF065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20C78110" w14:textId="75A60BDC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20AEF41E" w14:textId="7E21E776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72D7EA4D" w14:textId="75B99379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0449025" w14:textId="6B5B81AA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15AC52A" w14:textId="308A4893" w:rsidR="00C161E0" w:rsidRPr="007931A2" w:rsidRDefault="00C161E0" w:rsidP="00C161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61E0" w:rsidRPr="007931A2" w14:paraId="44714C88" w14:textId="77777777" w:rsidTr="00E63DE0">
        <w:trPr>
          <w:trHeight w:val="1216"/>
        </w:trPr>
        <w:tc>
          <w:tcPr>
            <w:tcW w:w="498" w:type="dxa"/>
          </w:tcPr>
          <w:p w14:paraId="107AB788" w14:textId="396FD576" w:rsidR="00C161E0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</w:tcPr>
          <w:p w14:paraId="4EDFA0D1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29458B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3 </w:t>
            </w:r>
          </w:p>
        </w:tc>
        <w:tc>
          <w:tcPr>
            <w:tcW w:w="2268" w:type="dxa"/>
          </w:tcPr>
          <w:p w14:paraId="6E5DDA9B" w14:textId="4613EA5D" w:rsidR="00C161E0" w:rsidRPr="007931A2" w:rsidRDefault="00C161E0" w:rsidP="00D10E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стійкість боржника за результатами стрес</w:t>
            </w:r>
            <w:r w:rsidR="00D1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</w:p>
        </w:tc>
        <w:tc>
          <w:tcPr>
            <w:tcW w:w="1701" w:type="dxa"/>
          </w:tcPr>
          <w:p w14:paraId="219868EB" w14:textId="3E9319DB" w:rsidR="00C161E0" w:rsidRPr="007931A2" w:rsidRDefault="00C161E0" w:rsidP="00D10E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417" w:type="dxa"/>
          </w:tcPr>
          <w:p w14:paraId="6EFDB58B" w14:textId="238D404A" w:rsidR="00C161E0" w:rsidRPr="007931A2" w:rsidRDefault="00C161E0" w:rsidP="00D10E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162A7BDA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8 </w:t>
            </w:r>
          </w:p>
        </w:tc>
        <w:tc>
          <w:tcPr>
            <w:tcW w:w="3544" w:type="dxa"/>
          </w:tcPr>
          <w:p w14:paraId="76DE1250" w14:textId="7CE821A8" w:rsidR="00C161E0" w:rsidRPr="007931A2" w:rsidRDefault="00C161E0" w:rsidP="00D10E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результат стрес</w:t>
            </w:r>
            <w:r w:rsidR="00D1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тестування боржника</w:t>
            </w:r>
          </w:p>
        </w:tc>
        <w:tc>
          <w:tcPr>
            <w:tcW w:w="1701" w:type="dxa"/>
          </w:tcPr>
          <w:p w14:paraId="40718923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EA6EA24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1E0" w:rsidRPr="007931A2" w14:paraId="707F094E" w14:textId="77777777" w:rsidTr="00547CCB">
        <w:trPr>
          <w:trHeight w:val="454"/>
        </w:trPr>
        <w:tc>
          <w:tcPr>
            <w:tcW w:w="498" w:type="dxa"/>
          </w:tcPr>
          <w:p w14:paraId="4991D4FF" w14:textId="125CDBC6" w:rsidR="00C161E0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Merge/>
          </w:tcPr>
          <w:p w14:paraId="7AA5216F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C00A79F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302B41D3" w14:textId="6BD93CD9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фінансова структура проєкту</w:t>
            </w:r>
          </w:p>
        </w:tc>
        <w:tc>
          <w:tcPr>
            <w:tcW w:w="1701" w:type="dxa"/>
            <w:vMerge w:val="restart"/>
          </w:tcPr>
          <w:p w14:paraId="068904F0" w14:textId="35D93F2E" w:rsidR="00C161E0" w:rsidRPr="007931A2" w:rsidRDefault="00C161E0" w:rsidP="00D10E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417" w:type="dxa"/>
            <w:vMerge w:val="restart"/>
          </w:tcPr>
          <w:p w14:paraId="518F1107" w14:textId="0B1EB554" w:rsidR="00C161E0" w:rsidRPr="007931A2" w:rsidRDefault="00C161E0" w:rsidP="00D10E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788D08F7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3544" w:type="dxa"/>
          </w:tcPr>
          <w:p w14:paraId="559DDA40" w14:textId="342D7961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періодичність та обсяг сплати відсотків за кредитом</w:t>
            </w:r>
          </w:p>
        </w:tc>
        <w:tc>
          <w:tcPr>
            <w:tcW w:w="1701" w:type="dxa"/>
          </w:tcPr>
          <w:p w14:paraId="23CAA018" w14:textId="28D562D7" w:rsidR="00C161E0" w:rsidRPr="007931A2" w:rsidRDefault="00C161E0" w:rsidP="003F187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2F6C8034" w14:textId="5F091678" w:rsidR="00C161E0" w:rsidRPr="007931A2" w:rsidRDefault="00C161E0" w:rsidP="003F187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C161E0" w:rsidRPr="007931A2" w14:paraId="06899143" w14:textId="77777777" w:rsidTr="00E63DE0">
        <w:trPr>
          <w:trHeight w:val="67"/>
        </w:trPr>
        <w:tc>
          <w:tcPr>
            <w:tcW w:w="498" w:type="dxa"/>
          </w:tcPr>
          <w:p w14:paraId="5494DAF0" w14:textId="0F67EE7C" w:rsidR="00C161E0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14:paraId="6DA00EB6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061610B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22D49F51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1F0A25E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791D5FB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CAABE4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10 </w:t>
            </w:r>
          </w:p>
        </w:tc>
        <w:tc>
          <w:tcPr>
            <w:tcW w:w="3544" w:type="dxa"/>
          </w:tcPr>
          <w:p w14:paraId="0A311C07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графік погашення боргу</w:t>
            </w:r>
          </w:p>
        </w:tc>
        <w:tc>
          <w:tcPr>
            <w:tcW w:w="1701" w:type="dxa"/>
          </w:tcPr>
          <w:p w14:paraId="190CF5FD" w14:textId="47129234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21459C4A" w14:textId="7193224B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C161E0" w:rsidRPr="007931A2" w14:paraId="3C6DAB6B" w14:textId="77777777" w:rsidTr="00E63DE0">
        <w:trPr>
          <w:trHeight w:val="351"/>
        </w:trPr>
        <w:tc>
          <w:tcPr>
            <w:tcW w:w="498" w:type="dxa"/>
          </w:tcPr>
          <w:p w14:paraId="66966AAA" w14:textId="2134BD53" w:rsidR="00C161E0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Merge/>
          </w:tcPr>
          <w:p w14:paraId="3386E5DB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92CE430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2A3AF947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379EB97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74FCEAE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B8C658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3544" w:type="dxa"/>
          </w:tcPr>
          <w:p w14:paraId="7A9E15B3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зіставність суми боргу з витратами боржника</w:t>
            </w:r>
          </w:p>
        </w:tc>
        <w:tc>
          <w:tcPr>
            <w:tcW w:w="1701" w:type="dxa"/>
          </w:tcPr>
          <w:p w14:paraId="1DB37E46" w14:textId="379C9CE3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09FFFBDB" w14:textId="1A58A4FD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C161E0" w:rsidRPr="007931A2" w14:paraId="52CE1601" w14:textId="77777777" w:rsidTr="007575D9">
        <w:trPr>
          <w:trHeight w:val="569"/>
        </w:trPr>
        <w:tc>
          <w:tcPr>
            <w:tcW w:w="498" w:type="dxa"/>
          </w:tcPr>
          <w:p w14:paraId="5655FDD0" w14:textId="387A73D6" w:rsidR="00C161E0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</w:tcPr>
          <w:p w14:paraId="3BF6FB84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D1BC076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7CB3299C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0502F1A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F2B9B70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6F6EADB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3544" w:type="dxa"/>
          </w:tcPr>
          <w:p w14:paraId="299CD39D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передбачуваність грошових потоків</w:t>
            </w:r>
          </w:p>
        </w:tc>
        <w:tc>
          <w:tcPr>
            <w:tcW w:w="1701" w:type="dxa"/>
          </w:tcPr>
          <w:p w14:paraId="006EF1C6" w14:textId="55BE3FFF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3B3DF433" w14:textId="5A1F1348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C161E0" w:rsidRPr="007931A2" w14:paraId="374B1DD7" w14:textId="77777777" w:rsidTr="00E63DE0">
        <w:trPr>
          <w:trHeight w:val="419"/>
        </w:trPr>
        <w:tc>
          <w:tcPr>
            <w:tcW w:w="498" w:type="dxa"/>
          </w:tcPr>
          <w:p w14:paraId="472F029F" w14:textId="2EC12E10" w:rsidR="00C161E0" w:rsidRPr="007931A2" w:rsidRDefault="00802AA4" w:rsidP="00802A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 w:val="restart"/>
          </w:tcPr>
          <w:p w14:paraId="71847AEE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1" w:type="dxa"/>
            <w:vMerge w:val="restart"/>
          </w:tcPr>
          <w:p w14:paraId="026CEF41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</w:p>
          <w:p w14:paraId="28234E95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A65EC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4FDA0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2DCBC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AEAA5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7188752" w14:textId="7533A212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ридичний ризик проєкту</w:t>
            </w:r>
          </w:p>
          <w:p w14:paraId="230C244A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FA02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BF15F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7B0C3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50E38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D2F4AF7" w14:textId="44E35890" w:rsidR="00C161E0" w:rsidRPr="007931A2" w:rsidRDefault="00C161E0" w:rsidP="003F187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417" w:type="dxa"/>
            <w:vMerge w:val="restart"/>
          </w:tcPr>
          <w:p w14:paraId="2A5BD0A8" w14:textId="29C55351" w:rsidR="00C161E0" w:rsidRPr="007931A2" w:rsidRDefault="00C161E0" w:rsidP="003F187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1F60783A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3544" w:type="dxa"/>
          </w:tcPr>
          <w:p w14:paraId="52F10F94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юридична беззаперечність виконання контрактів </w:t>
            </w:r>
          </w:p>
        </w:tc>
        <w:tc>
          <w:tcPr>
            <w:tcW w:w="1701" w:type="dxa"/>
          </w:tcPr>
          <w:p w14:paraId="04EF77B0" w14:textId="0B7EA976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71CF4305" w14:textId="1A5150D7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C161E0" w:rsidRPr="007931A2" w14:paraId="60D6DDF1" w14:textId="77777777" w:rsidTr="007575D9">
        <w:trPr>
          <w:trHeight w:val="341"/>
        </w:trPr>
        <w:tc>
          <w:tcPr>
            <w:tcW w:w="498" w:type="dxa"/>
          </w:tcPr>
          <w:p w14:paraId="57C480B8" w14:textId="4410FA72" w:rsidR="00C161E0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</w:tcPr>
          <w:p w14:paraId="288AF4DA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75E01926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3131AB5C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987B91E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6D5A5CA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4613D2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5473262C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правове середовище</w:t>
            </w:r>
          </w:p>
        </w:tc>
        <w:tc>
          <w:tcPr>
            <w:tcW w:w="1701" w:type="dxa"/>
          </w:tcPr>
          <w:p w14:paraId="608C3961" w14:textId="06A03BEB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7E821E71" w14:textId="1C16525C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C161E0" w:rsidRPr="007931A2" w14:paraId="6BD57A7F" w14:textId="77777777" w:rsidTr="00E63DE0">
        <w:trPr>
          <w:trHeight w:val="757"/>
        </w:trPr>
        <w:tc>
          <w:tcPr>
            <w:tcW w:w="498" w:type="dxa"/>
          </w:tcPr>
          <w:p w14:paraId="2E0D615C" w14:textId="5A64D110" w:rsidR="00C161E0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Merge/>
          </w:tcPr>
          <w:p w14:paraId="525CD519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4E67EF48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045376C6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10046B3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2A5006A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0DD5FA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3544" w:type="dxa"/>
          </w:tcPr>
          <w:p w14:paraId="70D687C6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державна підтримка проєкту</w:t>
            </w:r>
          </w:p>
        </w:tc>
        <w:tc>
          <w:tcPr>
            <w:tcW w:w="1701" w:type="dxa"/>
          </w:tcPr>
          <w:p w14:paraId="71239A5B" w14:textId="1C31EA18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7DE596C2" w14:textId="7117A4DB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C161E0" w:rsidRPr="007931A2" w14:paraId="20253B5D" w14:textId="77777777" w:rsidTr="00E63DE0">
        <w:trPr>
          <w:trHeight w:val="757"/>
        </w:trPr>
        <w:tc>
          <w:tcPr>
            <w:tcW w:w="498" w:type="dxa"/>
          </w:tcPr>
          <w:p w14:paraId="77C95B3C" w14:textId="68B530FF" w:rsidR="00C161E0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</w:tcPr>
          <w:p w14:paraId="02BE0BCE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4FD78CD1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1B420380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E8CFA40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1693E4C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87A34F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3544" w:type="dxa"/>
          </w:tcPr>
          <w:p w14:paraId="2790BBEF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наявність дозвільної документації/ліцензій</w:t>
            </w:r>
          </w:p>
        </w:tc>
        <w:tc>
          <w:tcPr>
            <w:tcW w:w="1701" w:type="dxa"/>
          </w:tcPr>
          <w:p w14:paraId="76867612" w14:textId="6125B648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1F6C7DDD" w14:textId="5E3FB66F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C161E0" w:rsidRPr="007931A2" w14:paraId="77558EF6" w14:textId="77777777" w:rsidTr="00E63DE0">
        <w:trPr>
          <w:trHeight w:val="418"/>
        </w:trPr>
        <w:tc>
          <w:tcPr>
            <w:tcW w:w="498" w:type="dxa"/>
          </w:tcPr>
          <w:p w14:paraId="4F631B7A" w14:textId="0A258CD8" w:rsidR="00C161E0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</w:tcPr>
          <w:p w14:paraId="2821F61B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39EB3B08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104477DA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DB6A6C9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3293686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1D93C9" w14:textId="77777777" w:rsidR="00C161E0" w:rsidRPr="007931A2" w:rsidRDefault="00C161E0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17 </w:t>
            </w:r>
          </w:p>
        </w:tc>
        <w:tc>
          <w:tcPr>
            <w:tcW w:w="3544" w:type="dxa"/>
          </w:tcPr>
          <w:p w14:paraId="5CBB6F71" w14:textId="2C3E24C5" w:rsidR="00C161E0" w:rsidRPr="007931A2" w:rsidRDefault="00C161E0" w:rsidP="005E33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обмеження щодо реалізації проєкту/експлуатації активу/об’єкт</w:t>
            </w:r>
            <w:r w:rsidR="005E3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1DAF31C5" w14:textId="3CCB3086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651525BC" w14:textId="65B4B963" w:rsidR="00C161E0" w:rsidRPr="007931A2" w:rsidRDefault="00C161E0" w:rsidP="007321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802AA4" w:rsidRPr="007931A2" w14:paraId="028B4D10" w14:textId="77777777" w:rsidTr="00E63DE0">
        <w:trPr>
          <w:trHeight w:val="559"/>
        </w:trPr>
        <w:tc>
          <w:tcPr>
            <w:tcW w:w="498" w:type="dxa"/>
          </w:tcPr>
          <w:p w14:paraId="285A6243" w14:textId="1F6EEA3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Merge/>
          </w:tcPr>
          <w:p w14:paraId="2E787796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5E9087C3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9B52E9C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CA10A7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DCBC7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6DAF8DD2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операційний ризик проєкту</w:t>
            </w:r>
          </w:p>
          <w:p w14:paraId="02E0AD26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05F4806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25AD104" w14:textId="5F43FDC8" w:rsidR="00802AA4" w:rsidRPr="007931A2" w:rsidRDefault="00802AA4" w:rsidP="005E33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417" w:type="dxa"/>
            <w:vMerge w:val="restart"/>
          </w:tcPr>
          <w:p w14:paraId="51117830" w14:textId="1854EE2C" w:rsidR="00802AA4" w:rsidRPr="007931A2" w:rsidRDefault="00802AA4" w:rsidP="005E33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263CAF0B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3544" w:type="dxa"/>
          </w:tcPr>
          <w:p w14:paraId="0113F82A" w14:textId="2DD8A6DA" w:rsidR="00802AA4" w:rsidRPr="007931A2" w:rsidRDefault="00802AA4" w:rsidP="005E33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дотримання бізнес-плану проєкту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плану-графік</w:t>
            </w:r>
            <w:r w:rsidR="005E3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реалізації проєкту</w:t>
            </w:r>
          </w:p>
        </w:tc>
        <w:tc>
          <w:tcPr>
            <w:tcW w:w="1701" w:type="dxa"/>
          </w:tcPr>
          <w:p w14:paraId="76241B73" w14:textId="0665A44F" w:rsidR="00802AA4" w:rsidRPr="007931A2" w:rsidRDefault="00802AA4" w:rsidP="005E33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0,3–0,6</w:t>
            </w:r>
          </w:p>
        </w:tc>
        <w:tc>
          <w:tcPr>
            <w:tcW w:w="1559" w:type="dxa"/>
          </w:tcPr>
          <w:p w14:paraId="623E13D2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AA4" w:rsidRPr="007931A2" w14:paraId="5EE7B75E" w14:textId="77777777" w:rsidTr="007575D9">
        <w:trPr>
          <w:trHeight w:val="751"/>
        </w:trPr>
        <w:tc>
          <w:tcPr>
            <w:tcW w:w="498" w:type="dxa"/>
          </w:tcPr>
          <w:p w14:paraId="35181643" w14:textId="7D1C0C6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</w:tcPr>
          <w:p w14:paraId="781ACBB3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37058E2F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6B2C7A2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45775FA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A55ADB2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F55024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3544" w:type="dxa"/>
          </w:tcPr>
          <w:p w14:paraId="0510640D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дотримання кошторису  витрат  </w:t>
            </w:r>
          </w:p>
        </w:tc>
        <w:tc>
          <w:tcPr>
            <w:tcW w:w="1701" w:type="dxa"/>
          </w:tcPr>
          <w:p w14:paraId="60DAFA92" w14:textId="04BFE5FD" w:rsidR="00802AA4" w:rsidRPr="007931A2" w:rsidRDefault="00802AA4" w:rsidP="005E33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4BCBA78D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AA4" w:rsidRPr="007931A2" w14:paraId="4DCE181D" w14:textId="77777777" w:rsidTr="00547CCB">
        <w:trPr>
          <w:trHeight w:val="1077"/>
        </w:trPr>
        <w:tc>
          <w:tcPr>
            <w:tcW w:w="498" w:type="dxa"/>
          </w:tcPr>
          <w:p w14:paraId="7A72879B" w14:textId="3814D61C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Merge/>
          </w:tcPr>
          <w:p w14:paraId="16C94C2F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437C58C0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7 </w:t>
            </w:r>
          </w:p>
        </w:tc>
        <w:tc>
          <w:tcPr>
            <w:tcW w:w="2268" w:type="dxa"/>
            <w:vMerge w:val="restart"/>
          </w:tcPr>
          <w:p w14:paraId="1465A800" w14:textId="50E6C1A6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ризик будівництва, 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чний, технологічний ризики проєкту</w:t>
            </w:r>
          </w:p>
        </w:tc>
        <w:tc>
          <w:tcPr>
            <w:tcW w:w="1701" w:type="dxa"/>
            <w:vMerge w:val="restart"/>
          </w:tcPr>
          <w:p w14:paraId="1AEAD135" w14:textId="71865E30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417" w:type="dxa"/>
            <w:vMerge w:val="restart"/>
          </w:tcPr>
          <w:p w14:paraId="3D68A37D" w14:textId="68DD9DF1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7254C5F4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3544" w:type="dxa"/>
          </w:tcPr>
          <w:p w14:paraId="29D96C4F" w14:textId="4F049E96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умови договорів з підрядниками, контрагентами</w:t>
            </w:r>
          </w:p>
        </w:tc>
        <w:tc>
          <w:tcPr>
            <w:tcW w:w="1701" w:type="dxa"/>
          </w:tcPr>
          <w:p w14:paraId="151CE7D2" w14:textId="5841D970" w:rsidR="00802AA4" w:rsidRPr="007931A2" w:rsidRDefault="00802AA4" w:rsidP="005E33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10F623F5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AA4" w:rsidRPr="007931A2" w14:paraId="1A03066B" w14:textId="77777777" w:rsidTr="00547CCB">
        <w:trPr>
          <w:trHeight w:val="1020"/>
        </w:trPr>
        <w:tc>
          <w:tcPr>
            <w:tcW w:w="498" w:type="dxa"/>
          </w:tcPr>
          <w:p w14:paraId="767FED85" w14:textId="1266D268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4C7F11E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579D1A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D6CF7FE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8729C92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FED69F4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06721C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54660C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оцінка технічного, технологічного ризиків проєкту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DBDE4E" w14:textId="2A522DCB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EC5198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AA4" w:rsidRPr="007931A2" w14:paraId="4712DAA6" w14:textId="77777777" w:rsidTr="00547CCB">
        <w:trPr>
          <w:trHeight w:val="624"/>
        </w:trPr>
        <w:tc>
          <w:tcPr>
            <w:tcW w:w="498" w:type="dxa"/>
          </w:tcPr>
          <w:p w14:paraId="0119F451" w14:textId="0DA29848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Merge/>
          </w:tcPr>
          <w:p w14:paraId="5BBE78CD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352D4537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8 </w:t>
            </w:r>
          </w:p>
          <w:p w14:paraId="24C50DC6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E20A6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7513A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3FE80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76BEF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A649E32" w14:textId="2DB3A016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характеристики активу/об’єкт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за проєктом</w:t>
            </w:r>
          </w:p>
        </w:tc>
        <w:tc>
          <w:tcPr>
            <w:tcW w:w="1701" w:type="dxa"/>
            <w:vMerge w:val="restart"/>
          </w:tcPr>
          <w:p w14:paraId="7115ACFE" w14:textId="315B1476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417" w:type="dxa"/>
            <w:vMerge w:val="restart"/>
          </w:tcPr>
          <w:p w14:paraId="679A7B64" w14:textId="6717F489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2C7C938E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3544" w:type="dxa"/>
          </w:tcPr>
          <w:p w14:paraId="42357B76" w14:textId="1D0D2801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технічні/технологічні переваги активу/об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єкт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8CE45A5" w14:textId="35D5FC2C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3C52945F" w14:textId="1919CD6E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802AA4" w:rsidRPr="007931A2" w14:paraId="5E3EB20F" w14:textId="77777777" w:rsidTr="00547CCB">
        <w:trPr>
          <w:trHeight w:val="1020"/>
        </w:trPr>
        <w:tc>
          <w:tcPr>
            <w:tcW w:w="498" w:type="dxa"/>
          </w:tcPr>
          <w:p w14:paraId="395AFFDA" w14:textId="31B8B3FC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Merge/>
          </w:tcPr>
          <w:p w14:paraId="7316171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3181102C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3F5625A7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6EF3DF3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3287BA8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1C907B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23 </w:t>
            </w:r>
          </w:p>
        </w:tc>
        <w:tc>
          <w:tcPr>
            <w:tcW w:w="3544" w:type="dxa"/>
          </w:tcPr>
          <w:p w14:paraId="39DF9E38" w14:textId="7EED9B1D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місцерозташування та інфраструктура активу/об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єкт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52C5AB86" w14:textId="3C5B9138" w:rsidR="00802AA4" w:rsidRPr="007931A2" w:rsidRDefault="00802AA4" w:rsidP="007305AA">
            <w:pPr>
              <w:pStyle w:val="HTML"/>
              <w:ind w:left="-50"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04522413" w14:textId="44141137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802AA4" w:rsidRPr="007931A2" w14:paraId="26BDFE1E" w14:textId="77777777" w:rsidTr="00E63DE0">
        <w:trPr>
          <w:trHeight w:val="703"/>
        </w:trPr>
        <w:tc>
          <w:tcPr>
            <w:tcW w:w="498" w:type="dxa"/>
          </w:tcPr>
          <w:p w14:paraId="2641DC64" w14:textId="15DD9C5F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Merge/>
          </w:tcPr>
          <w:p w14:paraId="47B0B43B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60FF155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34E2CFF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C5158B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7C5A62B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84AE4A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</w:p>
        </w:tc>
        <w:tc>
          <w:tcPr>
            <w:tcW w:w="3544" w:type="dxa"/>
          </w:tcPr>
          <w:p w14:paraId="011F3197" w14:textId="75DA8BDF" w:rsidR="00802AA4" w:rsidRPr="007931A2" w:rsidRDefault="00802AA4" w:rsidP="006500F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r w:rsidR="006500F5" w:rsidRPr="007931A2">
              <w:rPr>
                <w:rFonts w:ascii="Times New Roman" w:hAnsi="Times New Roman" w:cs="Times New Roman"/>
                <w:sz w:val="28"/>
                <w:szCs w:val="28"/>
              </w:rPr>
              <w:t>корисно</w:t>
            </w:r>
            <w:r w:rsidR="006500F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500F5"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використання (експлуатації) активу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єкт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24BE2621" w14:textId="6F0691D0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2DC98347" w14:textId="3BA49632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802AA4" w:rsidRPr="007931A2" w14:paraId="01EF2AD5" w14:textId="77777777" w:rsidTr="00547CCB">
        <w:trPr>
          <w:trHeight w:val="1020"/>
        </w:trPr>
        <w:tc>
          <w:tcPr>
            <w:tcW w:w="498" w:type="dxa"/>
          </w:tcPr>
          <w:p w14:paraId="61CA9362" w14:textId="71C4A979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Merge w:val="restart"/>
          </w:tcPr>
          <w:p w14:paraId="33850DED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51" w:type="dxa"/>
            <w:vMerge w:val="restart"/>
          </w:tcPr>
          <w:p w14:paraId="12740DE0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</w:p>
        </w:tc>
        <w:tc>
          <w:tcPr>
            <w:tcW w:w="2268" w:type="dxa"/>
            <w:vMerge w:val="restart"/>
          </w:tcPr>
          <w:p w14:paraId="0944F683" w14:textId="3422D807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надійність та стабільність платоспромож</w:t>
            </w:r>
            <w:r w:rsidR="0073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ності 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ініціатора/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забудовника проєкту</w:t>
            </w:r>
          </w:p>
        </w:tc>
        <w:tc>
          <w:tcPr>
            <w:tcW w:w="1701" w:type="dxa"/>
            <w:vMerge w:val="restart"/>
          </w:tcPr>
          <w:p w14:paraId="35B1B28B" w14:textId="4E597BB5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–0,6</w:t>
            </w:r>
          </w:p>
        </w:tc>
        <w:tc>
          <w:tcPr>
            <w:tcW w:w="1417" w:type="dxa"/>
            <w:vMerge w:val="restart"/>
          </w:tcPr>
          <w:p w14:paraId="7D1B45C0" w14:textId="4076237A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0,4–0,6</w:t>
            </w:r>
          </w:p>
        </w:tc>
        <w:tc>
          <w:tcPr>
            <w:tcW w:w="709" w:type="dxa"/>
          </w:tcPr>
          <w:p w14:paraId="1A4FCCFD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</w:t>
            </w:r>
          </w:p>
        </w:tc>
        <w:tc>
          <w:tcPr>
            <w:tcW w:w="3544" w:type="dxa"/>
          </w:tcPr>
          <w:p w14:paraId="0277D184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фінансовий стан ініціатора, генерального підрядника проєкту</w:t>
            </w:r>
          </w:p>
        </w:tc>
        <w:tc>
          <w:tcPr>
            <w:tcW w:w="1701" w:type="dxa"/>
          </w:tcPr>
          <w:p w14:paraId="49AD72FE" w14:textId="06D00284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1E216367" w14:textId="33A96F98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802AA4" w:rsidRPr="007931A2" w14:paraId="4EF960FE" w14:textId="77777777" w:rsidTr="00547CCB">
        <w:trPr>
          <w:trHeight w:val="907"/>
        </w:trPr>
        <w:tc>
          <w:tcPr>
            <w:tcW w:w="498" w:type="dxa"/>
          </w:tcPr>
          <w:p w14:paraId="4F4ADAA3" w14:textId="20A6734E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Merge/>
          </w:tcPr>
          <w:p w14:paraId="05B26DF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293189E7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6C842F58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619274D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E0570D7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C6C6F8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26 </w:t>
            </w:r>
          </w:p>
        </w:tc>
        <w:tc>
          <w:tcPr>
            <w:tcW w:w="3544" w:type="dxa"/>
          </w:tcPr>
          <w:p w14:paraId="61CBC9EB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ділова репутація ініціатора та генерального підрядника проєкту</w:t>
            </w:r>
          </w:p>
        </w:tc>
        <w:tc>
          <w:tcPr>
            <w:tcW w:w="1701" w:type="dxa"/>
          </w:tcPr>
          <w:p w14:paraId="620E348E" w14:textId="3A182728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559" w:type="dxa"/>
          </w:tcPr>
          <w:p w14:paraId="560312E9" w14:textId="443E8DCB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</w:tr>
      <w:tr w:rsidR="00802AA4" w:rsidRPr="007931A2" w14:paraId="31D4178C" w14:textId="77777777" w:rsidTr="00547CCB">
        <w:trPr>
          <w:trHeight w:val="510"/>
        </w:trPr>
        <w:tc>
          <w:tcPr>
            <w:tcW w:w="498" w:type="dxa"/>
          </w:tcPr>
          <w:p w14:paraId="500ABCC6" w14:textId="681713C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Merge/>
          </w:tcPr>
          <w:p w14:paraId="46F8E33A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5532061B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7B211212" w14:textId="2ED273CC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готовність 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ініціатора/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забудовника проєкту брати на себе відпові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дальність за виконання боржником своїх зобов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язань</w:t>
            </w:r>
          </w:p>
        </w:tc>
        <w:tc>
          <w:tcPr>
            <w:tcW w:w="1701" w:type="dxa"/>
            <w:vMerge w:val="restart"/>
          </w:tcPr>
          <w:p w14:paraId="3EBF3BB1" w14:textId="58DD1E64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–0,6</w:t>
            </w:r>
          </w:p>
        </w:tc>
        <w:tc>
          <w:tcPr>
            <w:tcW w:w="1417" w:type="dxa"/>
            <w:vMerge w:val="restart"/>
          </w:tcPr>
          <w:p w14:paraId="4961D895" w14:textId="7E62DC05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0,4–0,6</w:t>
            </w:r>
          </w:p>
        </w:tc>
        <w:tc>
          <w:tcPr>
            <w:tcW w:w="709" w:type="dxa"/>
          </w:tcPr>
          <w:p w14:paraId="49BE9974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3544" w:type="dxa"/>
          </w:tcPr>
          <w:p w14:paraId="3011E25D" w14:textId="319FAB58" w:rsidR="00802AA4" w:rsidRPr="007931A2" w:rsidRDefault="00802AA4" w:rsidP="007305AA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гарантії/фінансової поруки </w:t>
            </w:r>
          </w:p>
        </w:tc>
        <w:tc>
          <w:tcPr>
            <w:tcW w:w="1701" w:type="dxa"/>
          </w:tcPr>
          <w:p w14:paraId="3925E0DA" w14:textId="3E795487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0,4–0,6</w:t>
            </w:r>
          </w:p>
        </w:tc>
        <w:tc>
          <w:tcPr>
            <w:tcW w:w="1559" w:type="dxa"/>
          </w:tcPr>
          <w:p w14:paraId="7D2FE794" w14:textId="27F6CFDE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0,4–0,6</w:t>
            </w:r>
          </w:p>
        </w:tc>
      </w:tr>
      <w:tr w:rsidR="00802AA4" w:rsidRPr="007931A2" w14:paraId="6D8C459F" w14:textId="77777777" w:rsidTr="00547CCB">
        <w:trPr>
          <w:trHeight w:val="510"/>
        </w:trPr>
        <w:tc>
          <w:tcPr>
            <w:tcW w:w="498" w:type="dxa"/>
          </w:tcPr>
          <w:p w14:paraId="30981639" w14:textId="585EB573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Merge/>
          </w:tcPr>
          <w:p w14:paraId="559963AB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78918497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01987D2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2063B60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420B588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E0F7AE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</w:p>
        </w:tc>
        <w:tc>
          <w:tcPr>
            <w:tcW w:w="3544" w:type="dxa"/>
          </w:tcPr>
          <w:p w14:paraId="228A7673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юридична беззаперечність виконання гарантії/фінансової поруки </w:t>
            </w:r>
          </w:p>
        </w:tc>
        <w:tc>
          <w:tcPr>
            <w:tcW w:w="1701" w:type="dxa"/>
          </w:tcPr>
          <w:p w14:paraId="34EEE202" w14:textId="57D9A928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–0,6</w:t>
            </w:r>
          </w:p>
        </w:tc>
        <w:tc>
          <w:tcPr>
            <w:tcW w:w="1559" w:type="dxa"/>
          </w:tcPr>
          <w:p w14:paraId="4B614476" w14:textId="0032713D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0,4–0,6</w:t>
            </w:r>
          </w:p>
        </w:tc>
      </w:tr>
      <w:tr w:rsidR="00802AA4" w:rsidRPr="007931A2" w14:paraId="1C2A11BE" w14:textId="77777777" w:rsidTr="00547CCB">
        <w:trPr>
          <w:trHeight w:val="170"/>
        </w:trPr>
        <w:tc>
          <w:tcPr>
            <w:tcW w:w="498" w:type="dxa"/>
          </w:tcPr>
          <w:p w14:paraId="3957CE09" w14:textId="450D9E7E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Merge w:val="restart"/>
          </w:tcPr>
          <w:p w14:paraId="7888110C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51" w:type="dxa"/>
          </w:tcPr>
          <w:p w14:paraId="1702FB23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68693844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достатність 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документації для адекватної оцінки стану реалізації проєкту </w:t>
            </w:r>
          </w:p>
        </w:tc>
        <w:tc>
          <w:tcPr>
            <w:tcW w:w="1701" w:type="dxa"/>
          </w:tcPr>
          <w:p w14:paraId="27A07EA4" w14:textId="644B0FC8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0,05–0,6 </w:t>
            </w:r>
          </w:p>
        </w:tc>
        <w:tc>
          <w:tcPr>
            <w:tcW w:w="1417" w:type="dxa"/>
          </w:tcPr>
          <w:p w14:paraId="53272FAB" w14:textId="335F76D2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215CA803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</w:p>
        </w:tc>
        <w:tc>
          <w:tcPr>
            <w:tcW w:w="3544" w:type="dxa"/>
          </w:tcPr>
          <w:p w14:paraId="7AA63C5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наявність проєктно-кошторисної документації </w:t>
            </w:r>
          </w:p>
        </w:tc>
        <w:tc>
          <w:tcPr>
            <w:tcW w:w="1701" w:type="dxa"/>
          </w:tcPr>
          <w:p w14:paraId="56662A8D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14:paraId="287B459B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2AA4" w:rsidRPr="007931A2" w14:paraId="0C3E360A" w14:textId="77777777" w:rsidTr="007575D9">
        <w:trPr>
          <w:trHeight w:val="809"/>
        </w:trPr>
        <w:tc>
          <w:tcPr>
            <w:tcW w:w="498" w:type="dxa"/>
          </w:tcPr>
          <w:p w14:paraId="14F775FA" w14:textId="36862822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</w:tcPr>
          <w:p w14:paraId="7475A406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6B5083A" w14:textId="705E28A2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</w:p>
          <w:p w14:paraId="0A09704A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7258AD8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забезпечення за спеціалізованим кредитом</w:t>
            </w:r>
          </w:p>
        </w:tc>
        <w:tc>
          <w:tcPr>
            <w:tcW w:w="1701" w:type="dxa"/>
            <w:vMerge w:val="restart"/>
          </w:tcPr>
          <w:p w14:paraId="664C50A4" w14:textId="136E56DF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0,05–0,6 </w:t>
            </w:r>
          </w:p>
        </w:tc>
        <w:tc>
          <w:tcPr>
            <w:tcW w:w="1417" w:type="dxa"/>
            <w:vMerge w:val="restart"/>
          </w:tcPr>
          <w:p w14:paraId="18BE8B0F" w14:textId="34EF9386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60E96C01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5E14CFC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корпоративні права ініціатора проєкту </w:t>
            </w:r>
          </w:p>
        </w:tc>
        <w:tc>
          <w:tcPr>
            <w:tcW w:w="1701" w:type="dxa"/>
          </w:tcPr>
          <w:p w14:paraId="5F534B98" w14:textId="726C2AC2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–0,6</w:t>
            </w:r>
          </w:p>
        </w:tc>
        <w:tc>
          <w:tcPr>
            <w:tcW w:w="1559" w:type="dxa"/>
          </w:tcPr>
          <w:p w14:paraId="1987DD37" w14:textId="3E3B9DDB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0,4–0,6</w:t>
            </w:r>
          </w:p>
        </w:tc>
      </w:tr>
      <w:tr w:rsidR="00802AA4" w:rsidRPr="007931A2" w14:paraId="5B723E8B" w14:textId="77777777" w:rsidTr="00E63DE0">
        <w:trPr>
          <w:trHeight w:val="367"/>
        </w:trPr>
        <w:tc>
          <w:tcPr>
            <w:tcW w:w="498" w:type="dxa"/>
          </w:tcPr>
          <w:p w14:paraId="49ABD3CE" w14:textId="53BE6A74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Merge/>
          </w:tcPr>
          <w:p w14:paraId="5FE96C30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14:paraId="18E84BED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14:paraId="22B57873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6DA93D8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A66848F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F8398B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02C449F0" w14:textId="5C34CE57" w:rsidR="00802AA4" w:rsidRPr="007931A2" w:rsidRDefault="00802AA4" w:rsidP="006500F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актив/об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єкт, що фінансується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передано </w:t>
            </w:r>
            <w:r w:rsidR="006500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00F5"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заставу банку</w:t>
            </w:r>
          </w:p>
        </w:tc>
        <w:tc>
          <w:tcPr>
            <w:tcW w:w="1701" w:type="dxa"/>
          </w:tcPr>
          <w:p w14:paraId="3F5537C2" w14:textId="42C43622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0,4–0,6</w:t>
            </w:r>
          </w:p>
        </w:tc>
        <w:tc>
          <w:tcPr>
            <w:tcW w:w="1559" w:type="dxa"/>
          </w:tcPr>
          <w:p w14:paraId="4348D077" w14:textId="2EECBCE5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–0,6</w:t>
            </w:r>
          </w:p>
        </w:tc>
      </w:tr>
      <w:tr w:rsidR="00802AA4" w:rsidRPr="007931A2" w14:paraId="2F7A2679" w14:textId="77777777" w:rsidTr="00430D19">
        <w:trPr>
          <w:trHeight w:val="1274"/>
        </w:trPr>
        <w:tc>
          <w:tcPr>
            <w:tcW w:w="498" w:type="dxa"/>
          </w:tcPr>
          <w:p w14:paraId="48D6481E" w14:textId="4B06D6A1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Merge/>
          </w:tcPr>
          <w:p w14:paraId="5F9976C5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1D6E558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</w:p>
          <w:p w14:paraId="2CD426D0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E1BC52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028FEC" w14:textId="4B175A42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контроль банк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грошових потоків боржника</w:t>
            </w:r>
          </w:p>
        </w:tc>
        <w:tc>
          <w:tcPr>
            <w:tcW w:w="1701" w:type="dxa"/>
          </w:tcPr>
          <w:p w14:paraId="79582D6B" w14:textId="2B7B1424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0,05–0,6 </w:t>
            </w:r>
          </w:p>
        </w:tc>
        <w:tc>
          <w:tcPr>
            <w:tcW w:w="1417" w:type="dxa"/>
          </w:tcPr>
          <w:p w14:paraId="46D35629" w14:textId="131DA68A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349D3923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</w:t>
            </w:r>
          </w:p>
        </w:tc>
        <w:tc>
          <w:tcPr>
            <w:tcW w:w="3544" w:type="dxa"/>
          </w:tcPr>
          <w:p w14:paraId="0EA5D02E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контроль банком-кредитором грошових потоків боржника</w:t>
            </w:r>
          </w:p>
        </w:tc>
        <w:tc>
          <w:tcPr>
            <w:tcW w:w="1701" w:type="dxa"/>
          </w:tcPr>
          <w:p w14:paraId="0A302DBC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14:paraId="75574189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02AA4" w:rsidRPr="007931A2" w14:paraId="1E35C9B1" w14:textId="77777777" w:rsidTr="00C161E0">
        <w:trPr>
          <w:trHeight w:val="683"/>
        </w:trPr>
        <w:tc>
          <w:tcPr>
            <w:tcW w:w="498" w:type="dxa"/>
          </w:tcPr>
          <w:p w14:paraId="7C22B39D" w14:textId="6064CD4E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5A518F0F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05EA2A6A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0369D092" w14:textId="60050D9A" w:rsidR="00802AA4" w:rsidRPr="007931A2" w:rsidRDefault="00802AA4" w:rsidP="006500F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страхування активу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6500F5"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</w:t>
            </w:r>
            <w:r w:rsidR="006500F5" w:rsidRPr="007931A2">
              <w:rPr>
                <w:rFonts w:ascii="Times New Roman" w:hAnsi="Times New Roman" w:cs="Times New Roman"/>
                <w:sz w:val="28"/>
                <w:szCs w:val="28"/>
              </w:rPr>
              <w:t>єкт</w:t>
            </w:r>
            <w:r w:rsidR="006500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00F5" w:rsidRPr="007931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0D731D06" w14:textId="751506AA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1417" w:type="dxa"/>
          </w:tcPr>
          <w:p w14:paraId="142D3A90" w14:textId="172BE6EB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0,05–0,6</w:t>
            </w:r>
          </w:p>
        </w:tc>
        <w:tc>
          <w:tcPr>
            <w:tcW w:w="709" w:type="dxa"/>
          </w:tcPr>
          <w:p w14:paraId="262C4F73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33</w:t>
            </w:r>
          </w:p>
        </w:tc>
        <w:tc>
          <w:tcPr>
            <w:tcW w:w="3544" w:type="dxa"/>
          </w:tcPr>
          <w:p w14:paraId="0CF0BDE8" w14:textId="0A4682F7" w:rsidR="00802AA4" w:rsidRPr="007931A2" w:rsidRDefault="00802AA4" w:rsidP="007305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умови договору страхування активу</w:t>
            </w:r>
            <w:r w:rsidRPr="00793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/об’</w:t>
            </w: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єкт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0AB21991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14:paraId="6D8B9090" w14:textId="77777777" w:rsidR="00802AA4" w:rsidRPr="007931A2" w:rsidRDefault="00802AA4" w:rsidP="007575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A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695EA3EF" w14:textId="77777777" w:rsidR="003215E0" w:rsidRDefault="003215E0" w:rsidP="00AC0F7C">
      <w:pPr>
        <w:pStyle w:val="HTM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6EC3E4BC" w14:textId="77777777" w:rsidR="003215E0" w:rsidRDefault="003215E0" w:rsidP="00AC0F7C">
      <w:pPr>
        <w:pStyle w:val="HTM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6C2AE320" w14:textId="77777777" w:rsidR="003215E0" w:rsidRDefault="003215E0" w:rsidP="00AC0F7C">
      <w:pPr>
        <w:pStyle w:val="HTM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1218F11D" w14:textId="77777777" w:rsidR="003215E0" w:rsidRDefault="003215E0" w:rsidP="00AC0F7C">
      <w:pPr>
        <w:pStyle w:val="HTM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  <w:sectPr w:rsidR="003215E0" w:rsidSect="002F7E5B">
          <w:headerReference w:type="default" r:id="rId19"/>
          <w:pgSz w:w="16838" w:h="11906" w:orient="landscape"/>
          <w:pgMar w:top="567" w:right="1701" w:bottom="1701" w:left="567" w:header="709" w:footer="709" w:gutter="0"/>
          <w:pgNumType w:chapStyle="1"/>
          <w:cols w:space="708"/>
          <w:docGrid w:linePitch="360"/>
        </w:sectPr>
      </w:pPr>
    </w:p>
    <w:p w14:paraId="0BEBBEB4" w14:textId="77777777" w:rsidR="00AC0F7C" w:rsidRPr="007931A2" w:rsidRDefault="00AC0F7C" w:rsidP="00FF19BD">
      <w:pPr>
        <w:pStyle w:val="HTML"/>
        <w:spacing w:before="120" w:after="120"/>
        <w:ind w:left="12191"/>
        <w:rPr>
          <w:rFonts w:ascii="Times New Roman" w:hAnsi="Times New Roman" w:cs="Times New Roman"/>
          <w:sz w:val="28"/>
          <w:szCs w:val="28"/>
        </w:rPr>
      </w:pPr>
      <w:r w:rsidRPr="007931A2">
        <w:rPr>
          <w:rFonts w:ascii="Times New Roman" w:hAnsi="Times New Roman" w:cs="Times New Roman"/>
          <w:sz w:val="28"/>
          <w:szCs w:val="28"/>
        </w:rPr>
        <w:t xml:space="preserve">Таблиця 3 </w:t>
      </w:r>
    </w:p>
    <w:p w14:paraId="041F101A" w14:textId="77777777" w:rsidR="00AC0F7C" w:rsidRPr="007931A2" w:rsidRDefault="00AC0F7C" w:rsidP="00AC0F7C">
      <w:pPr>
        <w:pStyle w:val="HTM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931A2">
        <w:rPr>
          <w:rFonts w:ascii="Times New Roman" w:hAnsi="Times New Roman" w:cs="Times New Roman"/>
          <w:sz w:val="28"/>
          <w:szCs w:val="28"/>
        </w:rPr>
        <w:t xml:space="preserve">Значення компонентів субфакторів багатофакторної моделі </w:t>
      </w:r>
    </w:p>
    <w:p w14:paraId="36501FCB" w14:textId="77777777" w:rsidR="00AC0F7C" w:rsidRPr="007931A2" w:rsidRDefault="00AC0F7C" w:rsidP="00C917BD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558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992"/>
        <w:gridCol w:w="993"/>
        <w:gridCol w:w="1018"/>
        <w:gridCol w:w="992"/>
        <w:gridCol w:w="1134"/>
        <w:gridCol w:w="1134"/>
        <w:gridCol w:w="1134"/>
        <w:gridCol w:w="1109"/>
        <w:gridCol w:w="992"/>
        <w:gridCol w:w="10"/>
        <w:gridCol w:w="1008"/>
        <w:gridCol w:w="992"/>
        <w:gridCol w:w="1276"/>
      </w:tblGrid>
      <w:tr w:rsidR="00AC0F7C" w:rsidRPr="00461A54" w14:paraId="60042E27" w14:textId="77777777" w:rsidTr="00544C0A">
        <w:trPr>
          <w:trHeight w:val="519"/>
        </w:trPr>
        <w:tc>
          <w:tcPr>
            <w:tcW w:w="5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D34D9D1" w14:textId="11C9E99E" w:rsidR="00AC0F7C" w:rsidRPr="00461A54" w:rsidRDefault="004A3C8E" w:rsidP="00E96D71">
            <w:pPr>
              <w:pStyle w:val="af5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C0F7C" w:rsidRPr="00461A54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</w:tcPr>
          <w:p w14:paraId="1F952568" w14:textId="32B68D19" w:rsidR="00AC0F7C" w:rsidRPr="009D5951" w:rsidRDefault="00AC0F7C" w:rsidP="00AD425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5951">
              <w:rPr>
                <w:sz w:val="26"/>
                <w:szCs w:val="26"/>
              </w:rPr>
              <w:t>Компонент субфактору</w:t>
            </w:r>
            <w:r w:rsidR="006500F5">
              <w:rPr>
                <w:sz w:val="26"/>
                <w:szCs w:val="26"/>
              </w:rPr>
              <w:t>,</w:t>
            </w:r>
            <w:r w:rsidRPr="009D5951">
              <w:rPr>
                <w:sz w:val="28"/>
                <w:szCs w:val="28"/>
              </w:rPr>
              <w:t xml:space="preserve"> с</w:t>
            </w:r>
            <w:r w:rsidRPr="009D5951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1F1F4D" w14:textId="3CE7A549" w:rsidR="00AC0F7C" w:rsidRPr="009D5951" w:rsidRDefault="006500F5" w:rsidP="00E96D71">
            <w:pPr>
              <w:pStyle w:val="af5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D5951">
              <w:rPr>
                <w:sz w:val="28"/>
                <w:szCs w:val="28"/>
              </w:rPr>
              <w:t xml:space="preserve">тап </w:t>
            </w:r>
            <w:r w:rsidR="00AC0F7C" w:rsidRPr="009D5951">
              <w:rPr>
                <w:sz w:val="28"/>
                <w:szCs w:val="28"/>
              </w:rPr>
              <w:t>про</w:t>
            </w:r>
            <w:r w:rsidR="004A3C8E">
              <w:rPr>
                <w:sz w:val="28"/>
                <w:szCs w:val="28"/>
              </w:rPr>
              <w:t>-</w:t>
            </w:r>
            <w:r w:rsidR="00AC0F7C" w:rsidRPr="009D5951">
              <w:rPr>
                <w:sz w:val="28"/>
                <w:szCs w:val="28"/>
              </w:rPr>
              <w:t>єкту</w:t>
            </w:r>
          </w:p>
        </w:tc>
        <w:tc>
          <w:tcPr>
            <w:tcW w:w="12784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009294" w14:textId="19634E92" w:rsidR="00AC0F7C" w:rsidRPr="00444DBC" w:rsidRDefault="00AC0F7C" w:rsidP="004A3C8E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  <w:vertAlign w:val="subscript"/>
              </w:rPr>
            </w:pPr>
            <w:r w:rsidRPr="009D5951">
              <w:rPr>
                <w:sz w:val="28"/>
                <w:szCs w:val="28"/>
              </w:rPr>
              <w:t>Значення компонент</w:t>
            </w:r>
            <w:r w:rsidR="004A3C8E">
              <w:rPr>
                <w:sz w:val="28"/>
                <w:szCs w:val="28"/>
              </w:rPr>
              <w:t>а</w:t>
            </w:r>
            <w:r w:rsidRPr="009D5951">
              <w:rPr>
                <w:sz w:val="28"/>
                <w:szCs w:val="28"/>
              </w:rPr>
              <w:t xml:space="preserve"> субфактору, с</w:t>
            </w:r>
            <w:r w:rsidRPr="00444DB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AC0F7C" w:rsidRPr="00461A54" w14:paraId="5A1DCE20" w14:textId="77777777" w:rsidTr="00544C0A">
        <w:trPr>
          <w:trHeight w:val="420"/>
        </w:trPr>
        <w:tc>
          <w:tcPr>
            <w:tcW w:w="5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6B67B6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27666EB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35708E2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FC92D5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99BFDB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622387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F9CC43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4</w:t>
            </w:r>
          </w:p>
        </w:tc>
      </w:tr>
      <w:tr w:rsidR="00AC0F7C" w:rsidRPr="00461A54" w14:paraId="795A071E" w14:textId="77777777" w:rsidTr="00544C0A">
        <w:trPr>
          <w:trHeight w:val="420"/>
        </w:trPr>
        <w:tc>
          <w:tcPr>
            <w:tcW w:w="5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798CC6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61A5808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BAFE50D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F2FBC3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ПФ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B15217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ОФ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A7058F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ФНМ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8D2A8D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ПФ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A61067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ОФ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FD02D90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ФНМ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70C79B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ПФ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1A63411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ОФ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2830D7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ФНМ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E68415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ПФ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665C7F0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ОФ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B3FF68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ФНМ</w:t>
            </w:r>
          </w:p>
        </w:tc>
      </w:tr>
    </w:tbl>
    <w:p w14:paraId="61DB1AA5" w14:textId="77777777" w:rsidR="00430D19" w:rsidRPr="00430D19" w:rsidRDefault="00430D19" w:rsidP="00430D19">
      <w:pPr>
        <w:spacing w:after="0" w:line="240" w:lineRule="auto"/>
        <w:rPr>
          <w:sz w:val="2"/>
          <w:szCs w:val="2"/>
        </w:rPr>
      </w:pPr>
    </w:p>
    <w:tbl>
      <w:tblPr>
        <w:tblStyle w:val="af3"/>
        <w:tblW w:w="1558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992"/>
        <w:gridCol w:w="708"/>
        <w:gridCol w:w="993"/>
        <w:gridCol w:w="993"/>
        <w:gridCol w:w="1018"/>
        <w:gridCol w:w="992"/>
        <w:gridCol w:w="1134"/>
        <w:gridCol w:w="1134"/>
        <w:gridCol w:w="1134"/>
        <w:gridCol w:w="1109"/>
        <w:gridCol w:w="10"/>
        <w:gridCol w:w="982"/>
        <w:gridCol w:w="10"/>
        <w:gridCol w:w="1008"/>
        <w:gridCol w:w="992"/>
        <w:gridCol w:w="1276"/>
      </w:tblGrid>
      <w:tr w:rsidR="00165955" w:rsidRPr="00461A54" w14:paraId="066570D0" w14:textId="77777777" w:rsidTr="00544C0A">
        <w:trPr>
          <w:trHeight w:val="413"/>
          <w:tblHeader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0DCFF34A" w14:textId="77777777" w:rsidR="00165955" w:rsidRPr="00461A54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543C3EE1" w14:textId="77777777" w:rsidR="00165955" w:rsidRPr="009D5951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59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7DB51075" w14:textId="2645206C" w:rsidR="00165955" w:rsidRPr="009D5951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595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14:paraId="264549A6" w14:textId="345D232D" w:rsidR="00165955" w:rsidRPr="009D5951" w:rsidRDefault="00165955" w:rsidP="00430D19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9D5951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B27236B" w14:textId="55DC6011" w:rsidR="00165955" w:rsidRPr="009D5951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595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86AFF7" w14:textId="773207CB" w:rsidR="00165955" w:rsidRPr="009D5951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5951"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196661" w14:textId="27F5CBDB" w:rsidR="00165955" w:rsidRPr="009D5951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595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79744C" w14:textId="08BDB89C" w:rsidR="00165955" w:rsidRPr="003215E0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15E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6F7861" w14:textId="065DF1B7" w:rsidR="00165955" w:rsidRPr="003215E0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15E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69E2F3" w14:textId="17D73BA0" w:rsidR="00165955" w:rsidRPr="003215E0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15E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346994" w14:textId="0F62F295" w:rsidR="00165955" w:rsidRPr="00477A8A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7A8A">
              <w:rPr>
                <w:sz w:val="28"/>
                <w:szCs w:val="28"/>
              </w:rPr>
              <w:t>11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C342C9" w14:textId="5A724B45" w:rsidR="00165955" w:rsidRPr="00477A8A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7A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E5E1B4" w14:textId="414D411F" w:rsidR="00165955" w:rsidRPr="00461A54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0107136" w14:textId="565B2995" w:rsidR="00165955" w:rsidRPr="00461A54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1D3EEA7" w14:textId="63906DF8" w:rsidR="00165955" w:rsidRPr="00461A54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771B77" w14:textId="09F416C2" w:rsidR="00165955" w:rsidRPr="00461A54" w:rsidRDefault="00165955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16</w:t>
            </w:r>
          </w:p>
        </w:tc>
      </w:tr>
      <w:tr w:rsidR="003215E0" w:rsidRPr="00461A54" w14:paraId="6826E424" w14:textId="77777777" w:rsidTr="00544C0A">
        <w:trPr>
          <w:trHeight w:val="623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7CA5981A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77C914A7" w14:textId="77777777" w:rsidR="00AC0F7C" w:rsidRPr="00461A54" w:rsidRDefault="00AC0F7C" w:rsidP="00430D19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с</w:t>
            </w:r>
            <w:r w:rsidRPr="00461A5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A4A91" w14:textId="77777777" w:rsidR="00AC0F7C" w:rsidRPr="00461A54" w:rsidRDefault="00AC0F7C" w:rsidP="00430D19">
            <w:pPr>
              <w:pStyle w:val="af5"/>
              <w:spacing w:before="0" w:beforeAutospacing="0" w:after="0" w:afterAutospacing="0"/>
            </w:pPr>
            <w:r w:rsidRPr="00461A54">
              <w:t>DSCRс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97B9F48" w14:textId="77777777" w:rsidR="00AC0F7C" w:rsidRPr="00461A54" w:rsidRDefault="00AC0F7C" w:rsidP="00430D1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</w:rPr>
              <w:t xml:space="preserve">І, </w:t>
            </w:r>
            <w:r w:rsidRPr="00461A5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1A5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A3158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463F2E8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≥ 1,7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A8460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6652567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 ≥ 1,4</w:t>
            </w:r>
          </w:p>
        </w:tc>
        <w:tc>
          <w:tcPr>
            <w:tcW w:w="101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8A1AE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≥ 1,5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F7212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1,4 ≤ </w:t>
            </w:r>
          </w:p>
          <w:p w14:paraId="1D07D88F" w14:textId="4E1AFD0B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10BAC62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1,7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109F0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1,2 ≤ 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F4709F7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1,4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6110A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1,3 ≤ 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14:paraId="17D86AFA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1,5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CB117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1,2 ≤ </w:t>
            </w:r>
          </w:p>
          <w:p w14:paraId="0472A902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DCA698C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1,4</w:t>
            </w:r>
          </w:p>
        </w:tc>
        <w:tc>
          <w:tcPr>
            <w:tcW w:w="1119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00610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1,1 ≤  </w:t>
            </w:r>
          </w:p>
          <w:p w14:paraId="4835645C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14:paraId="43580160" w14:textId="73F9D092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1,2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9A58E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1,15 ≤  </w:t>
            </w:r>
          </w:p>
          <w:p w14:paraId="1890FEB9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14:paraId="0D88B349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1,3</w:t>
            </w:r>
          </w:p>
        </w:tc>
        <w:tc>
          <w:tcPr>
            <w:tcW w:w="100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2B436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≤ </w:t>
            </w:r>
          </w:p>
          <w:p w14:paraId="0FD85A68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14:paraId="7A10F2A3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1,2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95385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 ≤</w:t>
            </w:r>
          </w:p>
          <w:p w14:paraId="6D45FC57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14:paraId="30EE8C85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1,1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187FB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 ≤ </w:t>
            </w:r>
          </w:p>
          <w:p w14:paraId="4C1A94D4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</w:t>
            </w:r>
            <w:r w:rsidRPr="00547C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14:paraId="32CC7164" w14:textId="77777777" w:rsidR="00AC0F7C" w:rsidRPr="00461A54" w:rsidRDefault="00AC0F7C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1,15</w:t>
            </w:r>
          </w:p>
        </w:tc>
      </w:tr>
      <w:tr w:rsidR="003215E0" w:rsidRPr="00461A54" w14:paraId="4D22EBC1" w14:textId="77777777" w:rsidTr="00544C0A">
        <w:trPr>
          <w:trHeight w:val="622"/>
        </w:trPr>
        <w:tc>
          <w:tcPr>
            <w:tcW w:w="5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B189D" w14:textId="77777777" w:rsidR="00C175F6" w:rsidRPr="00461A54" w:rsidRDefault="00C175F6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BC0937" w14:textId="77777777" w:rsidR="00C175F6" w:rsidRPr="00461A54" w:rsidRDefault="00C175F6" w:rsidP="00430D19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с</w:t>
            </w:r>
            <w:r w:rsidRPr="00461A54">
              <w:rPr>
                <w:sz w:val="28"/>
                <w:szCs w:val="28"/>
                <w:vertAlign w:val="subscript"/>
              </w:rPr>
              <w:t xml:space="preserve">2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A5614" w14:textId="77777777" w:rsidR="00C175F6" w:rsidRPr="00461A54" w:rsidRDefault="00C175F6" w:rsidP="00430D19">
            <w:pPr>
              <w:pStyle w:val="af5"/>
              <w:spacing w:before="0" w:beforeAutospacing="0" w:after="0" w:afterAutospacing="0"/>
            </w:pPr>
            <w:r w:rsidRPr="00461A54">
              <w:t>DSCRі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85019A" w14:textId="77777777" w:rsidR="00C175F6" w:rsidRPr="00461A54" w:rsidRDefault="00C175F6" w:rsidP="00430D1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B3D99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DSCRi </w:t>
            </w:r>
          </w:p>
          <w:p w14:paraId="7996E973" w14:textId="6565CDF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≥ 1,45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6DCEF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DSCRi</w:t>
            </w:r>
          </w:p>
          <w:p w14:paraId="29D695EA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 ≥ 1,25</w:t>
            </w:r>
          </w:p>
        </w:tc>
        <w:tc>
          <w:tcPr>
            <w:tcW w:w="10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420ABA" w14:textId="5174472A" w:rsidR="00C175F6" w:rsidRPr="00461A54" w:rsidRDefault="00C175F6" w:rsidP="00F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DSCRi  ≥ 1,3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23773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1,3 ≤</w:t>
            </w:r>
          </w:p>
          <w:p w14:paraId="5235DAE4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DSCRi </w:t>
            </w:r>
          </w:p>
          <w:p w14:paraId="771B4BCB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1,45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9886C" w14:textId="77777777" w:rsidR="00FF19BD" w:rsidRDefault="00C175F6" w:rsidP="00FF19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1,15 ≤ DSCRi </w:t>
            </w:r>
          </w:p>
          <w:p w14:paraId="6D37AB52" w14:textId="0124A2E3" w:rsidR="00C175F6" w:rsidRPr="00461A54" w:rsidRDefault="00C175F6" w:rsidP="00F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1,25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B45D4E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≤ DSCRi </w:t>
            </w:r>
          </w:p>
          <w:p w14:paraId="216C3E32" w14:textId="525DCAD0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1,3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ADB3B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1,15 ≤ DSCRi</w:t>
            </w:r>
          </w:p>
          <w:p w14:paraId="5FD942D2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1,3</w:t>
            </w:r>
          </w:p>
        </w:tc>
        <w:tc>
          <w:tcPr>
            <w:tcW w:w="111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8AFFB" w14:textId="77777777" w:rsidR="00FF19BD" w:rsidRDefault="00C175F6" w:rsidP="00FF19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1,05 ≤  DSCRi </w:t>
            </w:r>
          </w:p>
          <w:p w14:paraId="2CE54AB5" w14:textId="1233B663" w:rsidR="00C175F6" w:rsidRPr="00461A54" w:rsidRDefault="00C175F6" w:rsidP="00F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1,15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FC21D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1,1 ≤ DSCRi</w:t>
            </w:r>
          </w:p>
          <w:p w14:paraId="2176D3DD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1,2</w:t>
            </w:r>
          </w:p>
        </w:tc>
        <w:tc>
          <w:tcPr>
            <w:tcW w:w="10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01BAD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DSCRi </w:t>
            </w:r>
          </w:p>
          <w:p w14:paraId="37D8C0A1" w14:textId="67928ECB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1,15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CDE81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DSCRi</w:t>
            </w:r>
          </w:p>
          <w:p w14:paraId="12AD0489" w14:textId="5D70F61E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1,05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D575" w14:textId="77777777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DSCRi</w:t>
            </w:r>
          </w:p>
          <w:p w14:paraId="4A0F6F05" w14:textId="556FCD4F" w:rsidR="00C175F6" w:rsidRPr="00461A54" w:rsidRDefault="00C175F6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1,1</w:t>
            </w:r>
          </w:p>
        </w:tc>
      </w:tr>
      <w:tr w:rsidR="003215E0" w:rsidRPr="00461A54" w14:paraId="72E28667" w14:textId="77777777" w:rsidTr="00544C0A">
        <w:trPr>
          <w:trHeight w:val="838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BB3C41" w14:textId="046E7EA9" w:rsidR="002F7E5B" w:rsidRPr="00461A54" w:rsidRDefault="002F7E5B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036E17" w14:textId="77777777" w:rsidR="002F7E5B" w:rsidRPr="00461A54" w:rsidRDefault="002F7E5B" w:rsidP="00430D19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с</w:t>
            </w:r>
            <w:r w:rsidRPr="00461A54">
              <w:rPr>
                <w:sz w:val="28"/>
                <w:szCs w:val="28"/>
                <w:vertAlign w:val="subscript"/>
              </w:rPr>
              <w:t xml:space="preserve">3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35872" w14:textId="77777777" w:rsidR="002F7E5B" w:rsidRPr="00461A54" w:rsidRDefault="002F7E5B" w:rsidP="00430D19">
            <w:pPr>
              <w:pStyle w:val="af5"/>
              <w:spacing w:before="0" w:beforeAutospacing="0" w:after="0" w:afterAutospacing="0"/>
            </w:pPr>
            <w:r w:rsidRPr="00461A54">
              <w:t>LLCR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85036E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</w:rPr>
              <w:t xml:space="preserve">І, </w:t>
            </w:r>
            <w:r w:rsidRPr="00461A5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149AA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LLCR ≥ 1,7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3A2CD" w14:textId="17231993" w:rsidR="002F7E5B" w:rsidRPr="00461A54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LLCR ≥ 1,4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95F9D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LLCR       ≥ 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5D0A7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1,4 ≤ LLCR </w:t>
            </w:r>
          </w:p>
          <w:p w14:paraId="16D28B39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3BED5" w14:textId="6BE02E8D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≤ LLCR </w:t>
            </w:r>
          </w:p>
          <w:p w14:paraId="2A2CC2E7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DE360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1,3 ≤  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LLCR</w:t>
            </w:r>
          </w:p>
          <w:p w14:paraId="6B4889FA" w14:textId="29885D4D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22D30" w14:textId="713CA3B4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≤  LLCR </w:t>
            </w:r>
          </w:p>
          <w:p w14:paraId="77EC5D88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2AA3AD" w14:textId="77777777" w:rsidR="00FF19BD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1,1 ≤ LLCR </w:t>
            </w:r>
          </w:p>
          <w:p w14:paraId="41CD151B" w14:textId="38E44F86" w:rsidR="002F7E5B" w:rsidRPr="00461A54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1,2</w:t>
            </w:r>
          </w:p>
        </w:tc>
        <w:tc>
          <w:tcPr>
            <w:tcW w:w="100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F7975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1,15 ≤ LLCR </w:t>
            </w:r>
          </w:p>
          <w:p w14:paraId="2DD376BD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42771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LLCR</w:t>
            </w:r>
          </w:p>
          <w:p w14:paraId="38276928" w14:textId="13635E74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6774A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LLCR</w:t>
            </w:r>
          </w:p>
          <w:p w14:paraId="42438527" w14:textId="20BB159F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93008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LLCR</w:t>
            </w:r>
          </w:p>
          <w:p w14:paraId="501C908E" w14:textId="60F47061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1,15</w:t>
            </w:r>
          </w:p>
        </w:tc>
      </w:tr>
      <w:tr w:rsidR="003215E0" w:rsidRPr="00461A54" w14:paraId="3EC44CC1" w14:textId="77777777" w:rsidTr="00544C0A">
        <w:trPr>
          <w:trHeight w:val="412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774B100E" w14:textId="77777777" w:rsidR="002F7E5B" w:rsidRPr="00461A54" w:rsidRDefault="002F7E5B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15B3E5D8" w14:textId="77777777" w:rsidR="002F7E5B" w:rsidRPr="00461A54" w:rsidRDefault="002F7E5B" w:rsidP="00430D19">
            <w:pPr>
              <w:pStyle w:val="af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1A54">
              <w:rPr>
                <w:sz w:val="28"/>
                <w:szCs w:val="28"/>
              </w:rPr>
              <w:t>с</w:t>
            </w:r>
            <w:r w:rsidRPr="00461A54">
              <w:rPr>
                <w:sz w:val="28"/>
                <w:szCs w:val="28"/>
                <w:vertAlign w:val="subscript"/>
              </w:rPr>
              <w:t xml:space="preserve">4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55394" w14:textId="77777777" w:rsidR="002F7E5B" w:rsidRPr="00461A54" w:rsidRDefault="002F7E5B" w:rsidP="00430D19">
            <w:pPr>
              <w:pStyle w:val="af5"/>
              <w:spacing w:before="0" w:beforeAutospacing="0" w:after="0" w:afterAutospacing="0"/>
            </w:pPr>
            <w:r w:rsidRPr="00461A54">
              <w:rPr>
                <w:lang w:val="en-US"/>
              </w:rPr>
              <w:t>PLCR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432E0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</w:rPr>
              <w:t xml:space="preserve">І, </w:t>
            </w:r>
            <w:r w:rsidRPr="00461A5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09A9B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PLCR ≥ 2,4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82757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PLCR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 ≥ 2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A182F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PLCR ≥ 2,1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EAC46" w14:textId="25E6EC4C" w:rsidR="002F7E5B" w:rsidRPr="00461A54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2 ≤  PLCR &lt; 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C2522" w14:textId="77777777" w:rsidR="00FF19BD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1,7 ≤  PLCR </w:t>
            </w:r>
          </w:p>
          <w:p w14:paraId="23F3D42B" w14:textId="6B7C83E0" w:rsidR="002F7E5B" w:rsidRPr="00461A54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AFFB0" w14:textId="77777777" w:rsidR="00FF19BD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1,8 ≤ PLCR </w:t>
            </w:r>
          </w:p>
          <w:p w14:paraId="5C1F4E2F" w14:textId="12036F8C" w:rsidR="002F7E5B" w:rsidRPr="00461A54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2,1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ABF1D" w14:textId="3CEDD9BF" w:rsidR="00FC22FE" w:rsidRDefault="002F7E5B" w:rsidP="00FC22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  <w:r w:rsidR="00FC2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</w:t>
            </w:r>
            <w:r w:rsidR="00FC2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PLCR </w:t>
            </w:r>
          </w:p>
          <w:p w14:paraId="380755BD" w14:textId="36156E71" w:rsidR="002F7E5B" w:rsidRPr="00461A54" w:rsidRDefault="002F7E5B" w:rsidP="00FC2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10662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1,5 ≤</w:t>
            </w:r>
          </w:p>
          <w:p w14:paraId="670EA575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PLCR</w:t>
            </w:r>
          </w:p>
          <w:p w14:paraId="37EE5AC3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1,7</w:t>
            </w:r>
          </w:p>
        </w:tc>
        <w:tc>
          <w:tcPr>
            <w:tcW w:w="10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CBBD6" w14:textId="5796BA15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1,55≤  PLCR</w:t>
            </w:r>
          </w:p>
          <w:p w14:paraId="3F5EE825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83266" w14:textId="0E850C48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1,0 ≤  PLCR</w:t>
            </w:r>
          </w:p>
          <w:p w14:paraId="14A20B13" w14:textId="300241E1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631DF" w14:textId="5C84C7F6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1,0 ≤  PLCR</w:t>
            </w:r>
          </w:p>
          <w:p w14:paraId="4B8EFB21" w14:textId="3FD42FBF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C2C87" w14:textId="77777777" w:rsidR="00FF19BD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1,0 ≤ PLCR </w:t>
            </w:r>
          </w:p>
          <w:p w14:paraId="47450B03" w14:textId="3205AA8A" w:rsidR="002F7E5B" w:rsidRPr="00461A54" w:rsidRDefault="002F7E5B" w:rsidP="00FF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1,55</w:t>
            </w:r>
          </w:p>
        </w:tc>
      </w:tr>
      <w:tr w:rsidR="003215E0" w:rsidRPr="00461A54" w14:paraId="10A93235" w14:textId="77777777" w:rsidTr="00544C0A">
        <w:trPr>
          <w:trHeight w:val="932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0BC159B7" w14:textId="77777777" w:rsidR="002F7E5B" w:rsidRPr="00461A54" w:rsidRDefault="002F7E5B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139B6D8B" w14:textId="77777777" w:rsidR="002F7E5B" w:rsidRPr="00461A54" w:rsidRDefault="002F7E5B" w:rsidP="00430D19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с</w:t>
            </w:r>
            <w:r w:rsidRPr="00461A54">
              <w:rPr>
                <w:sz w:val="28"/>
                <w:szCs w:val="28"/>
                <w:vertAlign w:val="subscript"/>
              </w:rPr>
              <w:t xml:space="preserve">5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6197B" w14:textId="77777777" w:rsidR="002F7E5B" w:rsidRPr="00461A54" w:rsidRDefault="002F7E5B" w:rsidP="00430D19">
            <w:pPr>
              <w:pStyle w:val="af5"/>
              <w:spacing w:before="0" w:beforeAutospacing="0" w:after="0" w:afterAutospacing="0"/>
            </w:pPr>
            <w:r w:rsidRPr="00461A54">
              <w:rPr>
                <w:rFonts w:eastAsiaTheme="minorHAnsi"/>
                <w:lang w:val="en-US" w:eastAsia="en-US"/>
              </w:rPr>
              <w:t>DER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CC4F0F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</w:rPr>
              <w:t xml:space="preserve">І, </w:t>
            </w:r>
            <w:r w:rsidRPr="00461A5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4EA70" w14:textId="77777777" w:rsidR="00FF19BD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DER </w:t>
            </w:r>
          </w:p>
          <w:p w14:paraId="4701E850" w14:textId="7673529B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 0,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47D8497E" w14:textId="77777777" w:rsidR="00FF19BD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DER </w:t>
            </w:r>
          </w:p>
          <w:p w14:paraId="2F3A1430" w14:textId="7056AA83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 0,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3260C463" w14:textId="77777777" w:rsidR="00FF19BD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DER </w:t>
            </w:r>
          </w:p>
          <w:p w14:paraId="62254815" w14:textId="3486CC84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 0,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4B4B34E1" w14:textId="6ECEBEEF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&lt; DER </w:t>
            </w:r>
          </w:p>
          <w:p w14:paraId="1F38811E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 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55BE2C85" w14:textId="49CADE3A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&lt; DER </w:t>
            </w:r>
          </w:p>
          <w:p w14:paraId="7BBED53C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 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630766B7" w14:textId="78B07691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&lt; DER </w:t>
            </w:r>
          </w:p>
          <w:p w14:paraId="2DFC675A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 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4715BE9D" w14:textId="0F50F396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&lt;  DER </w:t>
            </w:r>
          </w:p>
          <w:p w14:paraId="283E5B7D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 2,3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7B4884B3" w14:textId="72E15075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&lt;  DER </w:t>
            </w:r>
          </w:p>
          <w:p w14:paraId="2817D35F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 2,3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02" w:type="dxa"/>
            <w:gridSpan w:val="3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35149F3B" w14:textId="18DEC3D5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&lt; DER </w:t>
            </w:r>
          </w:p>
          <w:p w14:paraId="732D6B5A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≤ 2,3</w:t>
            </w:r>
            <w:r w:rsidRPr="0046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307C627E" w14:textId="1D20A9D2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2,33 &lt; DER </w:t>
            </w:r>
          </w:p>
          <w:p w14:paraId="2EDB4CEC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2E22C8B6" w14:textId="23CEB5B4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2,33 &lt; DER </w:t>
            </w:r>
          </w:p>
          <w:p w14:paraId="077AB2D5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092B3826" w14:textId="0569662A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2,33 &lt;  DER </w:t>
            </w:r>
          </w:p>
          <w:p w14:paraId="5A15C812" w14:textId="77777777" w:rsidR="002F7E5B" w:rsidRPr="00461A54" w:rsidRDefault="002F7E5B" w:rsidP="0043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54">
              <w:rPr>
                <w:rFonts w:ascii="Times New Roman" w:hAnsi="Times New Roman"/>
                <w:sz w:val="24"/>
                <w:szCs w:val="24"/>
                <w:lang w:eastAsia="ru-RU"/>
              </w:rPr>
              <w:t>&lt; 10,0</w:t>
            </w:r>
          </w:p>
        </w:tc>
      </w:tr>
    </w:tbl>
    <w:p w14:paraId="05766BED" w14:textId="77777777" w:rsidR="003215E0" w:rsidRDefault="003215E0" w:rsidP="00430D19">
      <w:pPr>
        <w:pStyle w:val="af5"/>
        <w:spacing w:before="0" w:beforeAutospacing="0" w:after="0" w:afterAutospacing="0"/>
        <w:jc w:val="center"/>
        <w:rPr>
          <w:sz w:val="28"/>
          <w:szCs w:val="28"/>
        </w:rPr>
        <w:sectPr w:rsidR="003215E0" w:rsidSect="002F7E5B">
          <w:headerReference w:type="default" r:id="rId20"/>
          <w:pgSz w:w="16838" w:h="11906" w:orient="landscape"/>
          <w:pgMar w:top="567" w:right="1701" w:bottom="1701" w:left="567" w:header="709" w:footer="709" w:gutter="0"/>
          <w:pgNumType w:chapStyle="1"/>
          <w:cols w:space="708"/>
          <w:docGrid w:linePitch="360"/>
        </w:sectPr>
      </w:pPr>
    </w:p>
    <w:tbl>
      <w:tblPr>
        <w:tblStyle w:val="af3"/>
        <w:tblW w:w="1555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992"/>
        <w:gridCol w:w="708"/>
        <w:gridCol w:w="993"/>
        <w:gridCol w:w="943"/>
        <w:gridCol w:w="50"/>
        <w:gridCol w:w="1134"/>
        <w:gridCol w:w="992"/>
        <w:gridCol w:w="10"/>
        <w:gridCol w:w="37"/>
        <w:gridCol w:w="804"/>
        <w:gridCol w:w="10"/>
        <w:gridCol w:w="84"/>
        <w:gridCol w:w="1046"/>
        <w:gridCol w:w="1137"/>
        <w:gridCol w:w="1115"/>
        <w:gridCol w:w="10"/>
        <w:gridCol w:w="992"/>
        <w:gridCol w:w="1134"/>
        <w:gridCol w:w="79"/>
        <w:gridCol w:w="37"/>
        <w:gridCol w:w="1018"/>
        <w:gridCol w:w="1134"/>
      </w:tblGrid>
      <w:tr w:rsidR="00477A8A" w:rsidRPr="00461A54" w14:paraId="65FF8402" w14:textId="77777777" w:rsidTr="00542DAE">
        <w:trPr>
          <w:trHeight w:val="55"/>
          <w:tblHeader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7091C536" w14:textId="48294EA6" w:rsidR="00477A8A" w:rsidRPr="00477A8A" w:rsidRDefault="00477A8A" w:rsidP="00477A8A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7A8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23479D48" w14:textId="73BB1BFB" w:rsidR="00477A8A" w:rsidRPr="00477A8A" w:rsidRDefault="00477A8A" w:rsidP="00477A8A">
            <w:pPr>
              <w:pStyle w:val="HTML"/>
              <w:tabs>
                <w:tab w:val="clear" w:pos="18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69A5F5" w14:textId="6C2D58AD" w:rsidR="00477A8A" w:rsidRPr="00477A8A" w:rsidRDefault="00477A8A" w:rsidP="00477A8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05078" w14:textId="22AFE5A7" w:rsidR="00477A8A" w:rsidRPr="00477A8A" w:rsidRDefault="00477A8A" w:rsidP="00477A8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1EBC25D" w14:textId="5109F46F" w:rsidR="00477A8A" w:rsidRPr="00134862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C8C6184" w14:textId="05F32C15" w:rsidR="00477A8A" w:rsidRPr="00477A8A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0860F59" w14:textId="5CEEC85E" w:rsidR="00477A8A" w:rsidRPr="00477A8A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2078FB1" w14:textId="4F899477" w:rsidR="00477A8A" w:rsidRPr="00134862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7204249" w14:textId="6C117CA8" w:rsidR="00477A8A" w:rsidRPr="00477A8A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B9B9AD9" w14:textId="75E83AA7" w:rsidR="00477A8A" w:rsidRPr="00477A8A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B9056BE" w14:textId="691F2229" w:rsidR="00477A8A" w:rsidRPr="00134862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B5C7DAE" w14:textId="6A6E64B8" w:rsidR="00477A8A" w:rsidRPr="00477A8A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64E6111" w14:textId="281AE147" w:rsidR="00477A8A" w:rsidRPr="00477A8A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49B4FC2" w14:textId="2A4132FE" w:rsidR="00477A8A" w:rsidRPr="005128F1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54F94E7" w14:textId="224DF7B7" w:rsidR="00477A8A" w:rsidRPr="00477A8A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7EE8F63" w14:textId="2424FF39" w:rsidR="00477A8A" w:rsidRPr="00477A8A" w:rsidRDefault="00477A8A" w:rsidP="00477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77A8A" w:rsidRPr="00461A54" w14:paraId="294FCB35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45F7E2A9" w14:textId="4F803B79" w:rsidR="00477A8A" w:rsidRPr="003215E0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15E0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51BF4B34" w14:textId="77777777" w:rsidR="00477A8A" w:rsidRPr="003215E0" w:rsidRDefault="00477A8A" w:rsidP="00430D19">
            <w:pPr>
              <w:pStyle w:val="HTML"/>
              <w:tabs>
                <w:tab w:val="clear" w:pos="1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15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15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B4F39E" w14:textId="33C044E2" w:rsidR="00477A8A" w:rsidRPr="00477A8A" w:rsidRDefault="00FC22FE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7A8A" w:rsidRPr="00477A8A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77A8A">
              <w:rPr>
                <w:rFonts w:ascii="Times New Roman" w:hAnsi="Times New Roman" w:cs="Times New Roman"/>
                <w:sz w:val="28"/>
                <w:szCs w:val="28"/>
              </w:rPr>
              <w:t>куре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77A8A">
              <w:rPr>
                <w:rFonts w:ascii="Times New Roman" w:hAnsi="Times New Roman" w:cs="Times New Roman"/>
                <w:sz w:val="28"/>
                <w:szCs w:val="28"/>
              </w:rPr>
              <w:t>нтне сере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77A8A">
              <w:rPr>
                <w:rFonts w:ascii="Times New Roman" w:hAnsi="Times New Roman" w:cs="Times New Roman"/>
                <w:sz w:val="28"/>
                <w:szCs w:val="28"/>
              </w:rPr>
              <w:t>дови</w:t>
            </w:r>
            <w:r w:rsidR="006500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77A8A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2B330" w14:textId="77777777" w:rsidR="00477A8A" w:rsidRPr="00477A8A" w:rsidRDefault="00477A8A" w:rsidP="00430D19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7A8A">
              <w:rPr>
                <w:rFonts w:ascii="Times New Roman" w:hAnsi="Times New Roman"/>
                <w:sz w:val="28"/>
                <w:szCs w:val="28"/>
              </w:rPr>
              <w:t xml:space="preserve">І, </w:t>
            </w:r>
            <w:r w:rsidRPr="00477A8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77A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7B4D198" w14:textId="38BA32D3" w:rsidR="00477A8A" w:rsidRPr="00134862" w:rsidRDefault="00477A8A" w:rsidP="006F5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Обме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жена кіль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кість кон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куре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нтів або стійка пере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вага щодо регі</w:t>
            </w:r>
            <w:r w:rsidR="006500F5">
              <w:rPr>
                <w:rFonts w:ascii="Times New Roman" w:hAnsi="Times New Roman"/>
                <w:sz w:val="28"/>
                <w:szCs w:val="28"/>
              </w:rPr>
              <w:t>о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наль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ного розта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шу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вання, техно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логій</w:t>
            </w:r>
          </w:p>
          <w:p w14:paraId="5ED9854A" w14:textId="77777777" w:rsidR="00477A8A" w:rsidRPr="00134862" w:rsidRDefault="00477A8A" w:rsidP="00430D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9DB5640" w14:textId="59722DF1" w:rsidR="00477A8A" w:rsidRPr="00461A54" w:rsidRDefault="00477A8A" w:rsidP="006F5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Обме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жена кіль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кість кон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куре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нтів, низь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ка чут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ли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вість до змін у тех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ноло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гіях та еко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міч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них про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гно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зах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E88C471" w14:textId="22209CE0" w:rsidR="00477A8A" w:rsidRPr="00461A54" w:rsidRDefault="00477A8A" w:rsidP="00C70F6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Обме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жена кіль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кість конку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рентів або стійка пере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вага щодо розта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шуван</w:t>
            </w:r>
            <w:r w:rsidR="00FC22FE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ня, витрат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1F6E3C6" w14:textId="6D4F9FE0" w:rsidR="00477A8A" w:rsidRPr="00134862" w:rsidRDefault="00477A8A" w:rsidP="0065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Обме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жена кіль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кість кон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ку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рентів або стійка пере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вага щодо регі</w:t>
            </w:r>
            <w:r w:rsidR="006500F5">
              <w:rPr>
                <w:rFonts w:ascii="Times New Roman" w:hAnsi="Times New Roman"/>
                <w:sz w:val="28"/>
                <w:szCs w:val="28"/>
              </w:rPr>
              <w:t>о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наль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ного розта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шу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вання, ви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трат, техно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логій тощо. Проте така пере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вага не є довго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стро</w:t>
            </w:r>
            <w:r w:rsidR="00FC22FE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ковою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78CE8D7" w14:textId="18924C2A" w:rsidR="00477A8A" w:rsidRPr="00547CCB" w:rsidRDefault="00477A8A" w:rsidP="006F5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Кіль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кість кон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ку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рую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чих об’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єк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тів, що з’яв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ля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ють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ся на рин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ку</w:t>
            </w:r>
            <w:r w:rsidR="007E3B0B">
              <w:rPr>
                <w:rFonts w:ascii="Times New Roman" w:hAnsi="Times New Roman"/>
                <w:sz w:val="28"/>
                <w:szCs w:val="28"/>
              </w:rPr>
              <w:t>,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 від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по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відає по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питу 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3CD45A4" w14:textId="068B9324" w:rsidR="00477A8A" w:rsidRPr="00461A54" w:rsidRDefault="00477A8A" w:rsidP="00547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Кіль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кість конку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рую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чих об’єк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тів неру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хомос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ті, що з’явля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ються на ринку</w:t>
            </w:r>
            <w:r w:rsidR="007E3B0B">
              <w:rPr>
                <w:rFonts w:ascii="Times New Roman" w:hAnsi="Times New Roman"/>
                <w:sz w:val="28"/>
                <w:szCs w:val="28"/>
              </w:rPr>
              <w:t>,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 відпо</w:t>
            </w:r>
            <w:r w:rsidR="006F525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відає попиту </w:t>
            </w:r>
          </w:p>
          <w:p w14:paraId="64F56DA2" w14:textId="77777777" w:rsidR="00477A8A" w:rsidRPr="00461A54" w:rsidRDefault="00477A8A" w:rsidP="00547CC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67BBD83" w14:textId="1E9D846B" w:rsidR="00477A8A" w:rsidRPr="00134862" w:rsidRDefault="00477A8A" w:rsidP="00FC22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Ринко</w:t>
            </w:r>
            <w:r w:rsidR="007E3B0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ві умови урівно</w:t>
            </w:r>
            <w:r w:rsidR="007E3B0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важені. Немає переваг щодо регі</w:t>
            </w:r>
            <w:r w:rsidR="006500F5">
              <w:rPr>
                <w:rFonts w:ascii="Times New Roman" w:hAnsi="Times New Roman"/>
                <w:sz w:val="28"/>
                <w:szCs w:val="28"/>
              </w:rPr>
              <w:t>о</w:t>
            </w:r>
            <w:r w:rsidR="007E3B0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наль</w:t>
            </w:r>
            <w:r w:rsidR="007E3B0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ного розта</w:t>
            </w:r>
            <w:r w:rsidR="007E3B0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шуван</w:t>
            </w:r>
            <w:r w:rsidR="007E3B0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ня</w:t>
            </w:r>
            <w:r w:rsidR="006500F5">
              <w:rPr>
                <w:rFonts w:ascii="Times New Roman" w:hAnsi="Times New Roman"/>
                <w:sz w:val="28"/>
                <w:szCs w:val="28"/>
              </w:rPr>
              <w:t xml:space="preserve"> активу/об’єк-та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, витрат, техно</w:t>
            </w:r>
            <w:r w:rsidR="007E3B0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логій тощо </w:t>
            </w:r>
          </w:p>
          <w:p w14:paraId="44222661" w14:textId="77777777" w:rsidR="00477A8A" w:rsidRPr="00134862" w:rsidRDefault="00477A8A" w:rsidP="00547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D271E45" w14:textId="3CE0F090" w:rsidR="00477A8A" w:rsidRPr="00461A54" w:rsidRDefault="00477A8A" w:rsidP="00FC22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Рин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кові умови урів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нова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жені. Низь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ка чут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ли</w:t>
            </w:r>
            <w:r w:rsidR="007E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вість до змін у тех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ноло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гіях та еко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номі</w:t>
            </w:r>
            <w:r w:rsidR="006500F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чних про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гнозах</w:t>
            </w:r>
          </w:p>
          <w:p w14:paraId="10C11E67" w14:textId="77777777" w:rsidR="00477A8A" w:rsidRPr="00461A54" w:rsidRDefault="00477A8A" w:rsidP="00547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BB80718" w14:textId="21355DEB" w:rsidR="00477A8A" w:rsidRPr="00461A54" w:rsidRDefault="00477A8A" w:rsidP="00547CC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Рин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кові умови урів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нова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жені. На ринку пред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став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лені кон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куру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ючі об’єк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ти неру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хомо</w:t>
            </w:r>
            <w:r w:rsidR="006500F5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сті. Нові об’єк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ти неру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хомо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сті, </w:t>
            </w:r>
            <w:r w:rsidR="00ED1F83">
              <w:rPr>
                <w:rFonts w:ascii="Times New Roman" w:hAnsi="Times New Roman"/>
                <w:sz w:val="28"/>
                <w:szCs w:val="28"/>
              </w:rPr>
              <w:t>у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 тому числі на стадії плану</w:t>
            </w:r>
            <w:r w:rsidR="006500F5" w:rsidRPr="00B15AA9">
              <w:rPr>
                <w:rFonts w:ascii="Times New Roman" w:hAnsi="Times New Roman"/>
                <w:sz w:val="24"/>
                <w:szCs w:val="24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вання, мають кон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курен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тні пере</w:t>
            </w:r>
            <w:r w:rsidR="00ED1F8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ваги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DF50DF8" w14:textId="7F4186D2" w:rsidR="00477A8A" w:rsidRPr="005128F1" w:rsidRDefault="00477A8A" w:rsidP="00FC22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Має суттєві недоліки щодо регіонального розташування/витрат/ технологій тощо </w:t>
            </w:r>
          </w:p>
          <w:p w14:paraId="7D25AC4C" w14:textId="77777777" w:rsidR="00477A8A" w:rsidRPr="005128F1" w:rsidRDefault="00477A8A" w:rsidP="00547CC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7A8A" w:rsidRPr="00461A54" w14:paraId="39E84858" w14:textId="77777777" w:rsidTr="00542DAE">
        <w:trPr>
          <w:trHeight w:val="556"/>
        </w:trPr>
        <w:tc>
          <w:tcPr>
            <w:tcW w:w="53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53383CC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54541741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7 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390CF2E7" w14:textId="0FDE2479" w:rsidR="00477A8A" w:rsidRPr="00547CCB" w:rsidRDefault="00ED1F83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7A8A" w:rsidRPr="00547CCB">
              <w:rPr>
                <w:rFonts w:ascii="Times New Roman" w:hAnsi="Times New Roman" w:cs="Times New Roman"/>
                <w:sz w:val="28"/>
                <w:szCs w:val="28"/>
              </w:rPr>
              <w:t>івень попи</w:t>
            </w:r>
            <w:r w:rsidRPr="00547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547CCB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F5D09" w14:textId="77777777" w:rsidR="00477A8A" w:rsidRPr="00547CCB" w:rsidRDefault="00477A8A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6E31094B" w14:textId="7EA2A812" w:rsidR="00477A8A" w:rsidRPr="00547CCB" w:rsidRDefault="00477A8A" w:rsidP="00C70F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Знач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 попит із тен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ден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цією до зрос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тання на про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дук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цію, що ви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роб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ляти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меть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ED1F83" w:rsidRPr="00547CCB">
              <w:rPr>
                <w:rFonts w:ascii="Times New Roman" w:hAnsi="Times New Roman"/>
                <w:sz w:val="28"/>
                <w:szCs w:val="28"/>
              </w:rPr>
              <w:t xml:space="preserve">під час 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реалі</w:t>
            </w:r>
            <w:r w:rsidR="00702EE8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зації про</w:t>
            </w:r>
            <w:r w:rsidR="00702EE8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єкту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6A3E7915" w14:textId="50AEC8CA" w:rsidR="00477A8A" w:rsidRPr="00547CCB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Знач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 попит із тен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ден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цією до зрос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тання</w:t>
            </w:r>
          </w:p>
          <w:p w14:paraId="79B7F79D" w14:textId="77777777" w:rsidR="00477A8A" w:rsidRPr="00547CCB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21A32BD6" w14:textId="3516DBC8" w:rsidR="00477A8A" w:rsidRPr="00547CCB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Попит має ста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біль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 про</w:t>
            </w:r>
            <w:r w:rsidR="00A81B41">
              <w:rPr>
                <w:rFonts w:ascii="Times New Roman" w:hAnsi="Times New Roman"/>
                <w:sz w:val="28"/>
                <w:szCs w:val="28"/>
              </w:rPr>
              <w:t>г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ноз до зрос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тання</w:t>
            </w:r>
          </w:p>
          <w:p w14:paraId="0BD57681" w14:textId="77777777" w:rsidR="00477A8A" w:rsidRPr="00547CCB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172FEA77" w14:textId="7C63F695" w:rsidR="00477A8A" w:rsidRPr="00547CCB" w:rsidRDefault="00477A8A" w:rsidP="003467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Знач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 та ста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біль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 попит на про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дук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цію, що ви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роб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ляти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ме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ться 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 xml:space="preserve">під час 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реалі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зації про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єкту</w:t>
            </w:r>
          </w:p>
        </w:tc>
        <w:tc>
          <w:tcPr>
            <w:tcW w:w="85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2688622C" w14:textId="03DC23F9" w:rsidR="00477A8A" w:rsidRPr="00547CCB" w:rsidRDefault="00477A8A" w:rsidP="00A81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Зна</w:t>
            </w:r>
            <w:r w:rsidR="00A81B41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чний та ста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біль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 по</w:t>
            </w:r>
            <w:r w:rsidR="00A81B41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пит</w:t>
            </w:r>
            <w:r w:rsidR="00A81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на об</w:t>
            </w:r>
            <w:r w:rsidRPr="00547CC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A81B4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єкт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592AEE73" w14:textId="732FFB06" w:rsidR="00477A8A" w:rsidRPr="00547CCB" w:rsidRDefault="00477A8A" w:rsidP="00B111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Попит та пропо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="006500F5" w:rsidRPr="00547CCB">
              <w:rPr>
                <w:rFonts w:ascii="Times New Roman" w:hAnsi="Times New Roman"/>
                <w:sz w:val="28"/>
                <w:szCs w:val="28"/>
              </w:rPr>
              <w:t>зиці</w:t>
            </w:r>
            <w:r w:rsidR="006500F5">
              <w:rPr>
                <w:rFonts w:ascii="Times New Roman" w:hAnsi="Times New Roman"/>
                <w:sz w:val="28"/>
                <w:szCs w:val="28"/>
              </w:rPr>
              <w:t>я</w:t>
            </w:r>
            <w:r w:rsidR="006500F5" w:rsidRPr="00547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0F5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6500F5" w:rsidRPr="00547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анало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="006500F5" w:rsidRPr="00547CCB">
              <w:rPr>
                <w:rFonts w:ascii="Times New Roman" w:hAnsi="Times New Roman"/>
                <w:sz w:val="28"/>
                <w:szCs w:val="28"/>
              </w:rPr>
              <w:t>гічн</w:t>
            </w:r>
            <w:r w:rsidR="006500F5">
              <w:rPr>
                <w:rFonts w:ascii="Times New Roman" w:hAnsi="Times New Roman"/>
                <w:sz w:val="28"/>
                <w:szCs w:val="28"/>
              </w:rPr>
              <w:t>их</w:t>
            </w:r>
            <w:r w:rsidR="006500F5" w:rsidRPr="00547CCB">
              <w:rPr>
                <w:rFonts w:ascii="Times New Roman" w:hAnsi="Times New Roman"/>
                <w:sz w:val="28"/>
                <w:szCs w:val="28"/>
              </w:rPr>
              <w:t xml:space="preserve"> об’єк</w:t>
            </w:r>
            <w:r w:rsidR="00A81B41">
              <w:rPr>
                <w:rFonts w:ascii="Times New Roman" w:hAnsi="Times New Roman"/>
                <w:sz w:val="28"/>
                <w:szCs w:val="28"/>
              </w:rPr>
              <w:t>-</w:t>
            </w:r>
            <w:r w:rsidR="006500F5" w:rsidRPr="00547CCB">
              <w:rPr>
                <w:rFonts w:ascii="Times New Roman" w:hAnsi="Times New Roman"/>
                <w:sz w:val="28"/>
                <w:szCs w:val="28"/>
              </w:rPr>
              <w:t>т</w:t>
            </w:r>
            <w:r w:rsidR="006500F5">
              <w:rPr>
                <w:rFonts w:ascii="Times New Roman" w:hAnsi="Times New Roman"/>
                <w:sz w:val="28"/>
                <w:szCs w:val="28"/>
              </w:rPr>
              <w:t>ів</w:t>
            </w:r>
            <w:r w:rsidR="006500F5" w:rsidRPr="00547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неру</w:t>
            </w:r>
            <w:r w:rsidR="00A81B41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хомос</w:t>
            </w:r>
            <w:r w:rsidR="00A81B41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ті та місце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="00B111EC">
              <w:rPr>
                <w:rFonts w:ascii="Times New Roman" w:hAnsi="Times New Roman"/>
                <w:sz w:val="28"/>
                <w:szCs w:val="28"/>
              </w:rPr>
              <w:t>розташування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 урівно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важені та ста</w:t>
            </w:r>
            <w:r w:rsidR="00A81B41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більні 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5F0AA205" w14:textId="6AD8DEA5" w:rsidR="00477A8A" w:rsidRPr="00547CCB" w:rsidRDefault="00477A8A" w:rsidP="007074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Попит  на проду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кцію, що виро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бляти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меться 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 xml:space="preserve">під час 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реалі</w:t>
            </w:r>
            <w:r w:rsidR="006500F5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зації проєк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ту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,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 неста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біль</w:t>
            </w:r>
            <w:r w:rsidR="00702EE8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 із тенден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цією до зни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ження</w:t>
            </w: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35F67767" w14:textId="34A3F2FA" w:rsidR="00477A8A" w:rsidRPr="00547CCB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Попит неста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біль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 із тен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ден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цією до зни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ження  </w:t>
            </w:r>
          </w:p>
          <w:p w14:paraId="4B4F7F3D" w14:textId="77777777" w:rsidR="00477A8A" w:rsidRPr="00547CCB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43D11250" w14:textId="725DC993" w:rsidR="00477A8A" w:rsidRPr="00547CCB" w:rsidRDefault="00477A8A" w:rsidP="003467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Попит неста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біль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 із тен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ден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цією до зни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ження  </w:t>
            </w:r>
          </w:p>
        </w:tc>
        <w:tc>
          <w:tcPr>
            <w:tcW w:w="12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46B86805" w14:textId="1910B23D" w:rsidR="00477A8A" w:rsidRPr="00547CCB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Попит  на про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дукцію, що виро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бляти</w:t>
            </w:r>
            <w:r w:rsidR="00126224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меться 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 xml:space="preserve">під час 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реалі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зації про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єкту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,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 слаб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кий із тенден</w:t>
            </w:r>
            <w:r w:rsidR="00702EE8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цією до зни</w:t>
            </w:r>
            <w:r w:rsidR="00702EE8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ження</w:t>
            </w:r>
          </w:p>
          <w:p w14:paraId="2B7B634E" w14:textId="77777777" w:rsidR="00477A8A" w:rsidRPr="00547CCB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8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379D78DC" w14:textId="52439BD8" w:rsidR="00477A8A" w:rsidRPr="00547CCB" w:rsidRDefault="00477A8A" w:rsidP="006500F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Попит слаб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кий із тен</w:t>
            </w:r>
            <w:r w:rsidR="006500F5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ден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цією до зни</w:t>
            </w:r>
            <w:r w:rsidR="006500F5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жен</w:t>
            </w:r>
            <w:r w:rsidR="006500F5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ня</w:t>
            </w:r>
            <w:r w:rsidR="006500F5">
              <w:rPr>
                <w:rFonts w:ascii="Times New Roman" w:hAnsi="Times New Roman"/>
                <w:sz w:val="28"/>
                <w:szCs w:val="28"/>
              </w:rPr>
              <w:t>.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  Чут</w:t>
            </w:r>
            <w:r w:rsidR="006500F5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ли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вість до змін у техно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логіях та еко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номіч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них прог</w:t>
            </w:r>
            <w:r w:rsidR="002045DA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нозах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2F325B60" w14:textId="6B3D0D1F" w:rsidR="00477A8A" w:rsidRPr="00547CCB" w:rsidRDefault="00477A8A" w:rsidP="003467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CCB">
              <w:rPr>
                <w:rFonts w:ascii="Times New Roman" w:hAnsi="Times New Roman"/>
                <w:sz w:val="28"/>
                <w:szCs w:val="28"/>
              </w:rPr>
              <w:t>Попит слаб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кий, про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гноз неста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біль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ний, тен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денція до зни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ження річної дохід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ності за про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є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к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>том до 20% від про</w:t>
            </w:r>
            <w:r w:rsidR="00346702" w:rsidRPr="00547CCB">
              <w:rPr>
                <w:rFonts w:ascii="Times New Roman" w:hAnsi="Times New Roman"/>
                <w:sz w:val="28"/>
                <w:szCs w:val="28"/>
              </w:rPr>
              <w:t>-</w:t>
            </w:r>
            <w:r w:rsidRPr="00547CCB">
              <w:rPr>
                <w:rFonts w:ascii="Times New Roman" w:hAnsi="Times New Roman"/>
                <w:sz w:val="28"/>
                <w:szCs w:val="28"/>
              </w:rPr>
              <w:t xml:space="preserve">гнозної </w:t>
            </w:r>
          </w:p>
        </w:tc>
      </w:tr>
      <w:tr w:rsidR="00477A8A" w:rsidRPr="00461A54" w14:paraId="0ABB5D21" w14:textId="77777777" w:rsidTr="00542DAE">
        <w:trPr>
          <w:trHeight w:val="556"/>
        </w:trPr>
        <w:tc>
          <w:tcPr>
            <w:tcW w:w="5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2C22F9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B467D79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14:paraId="5A48950C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AE492" w14:textId="77777777" w:rsidR="00477A8A" w:rsidRPr="00461A54" w:rsidRDefault="00477A8A" w:rsidP="00430D1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46F8E81" w14:textId="77777777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14:paraId="06BAC010" w14:textId="77777777" w:rsidR="00477A8A" w:rsidRPr="00461A54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</w:tcBorders>
          </w:tcPr>
          <w:p w14:paraId="4566C715" w14:textId="3AFF6A1E" w:rsidR="00477A8A" w:rsidRPr="00461A54" w:rsidRDefault="00477A8A" w:rsidP="00430D1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Коефі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цієнт покри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ття оренд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 xml:space="preserve">ної площі 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VR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 xml:space="preserve"> має значен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ня</w:t>
            </w:r>
          </w:p>
          <w:p w14:paraId="12F03CFC" w14:textId="6176E3AE" w:rsidR="00477A8A" w:rsidRPr="00461A54" w:rsidRDefault="006F7243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477A8A" w:rsidRPr="00461A54">
              <w:rPr>
                <w:rFonts w:ascii="Times New Roman" w:hAnsi="Times New Roman"/>
                <w:sz w:val="28"/>
                <w:szCs w:val="28"/>
                <w:lang w:eastAsia="ru-RU"/>
              </w:rPr>
              <w:t>ільше 90%</w:t>
            </w:r>
          </w:p>
        </w:tc>
        <w:tc>
          <w:tcPr>
            <w:tcW w:w="1002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560468C" w14:textId="77777777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left w:val="outset" w:sz="6" w:space="0" w:color="auto"/>
              <w:bottom w:val="outset" w:sz="6" w:space="0" w:color="auto"/>
            </w:tcBorders>
          </w:tcPr>
          <w:p w14:paraId="797F28C5" w14:textId="77777777" w:rsidR="00477A8A" w:rsidRPr="00461A54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left w:val="outset" w:sz="6" w:space="0" w:color="auto"/>
              <w:bottom w:val="outset" w:sz="6" w:space="0" w:color="auto"/>
            </w:tcBorders>
          </w:tcPr>
          <w:p w14:paraId="1E4C0B73" w14:textId="683F5052" w:rsidR="00477A8A" w:rsidRPr="00461A54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К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оефі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цієнт покри</w:t>
            </w:r>
            <w:r w:rsidR="0070747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ття орен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 xml:space="preserve">дної площі 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VR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 xml:space="preserve"> має значен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ня:</w:t>
            </w:r>
          </w:p>
          <w:p w14:paraId="665FF43F" w14:textId="77777777" w:rsidR="00477A8A" w:rsidRPr="00461A54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eastAsia="ru-RU"/>
              </w:rPr>
              <w:t>75% ≤ VR &lt; 90%</w:t>
            </w:r>
          </w:p>
        </w:tc>
        <w:tc>
          <w:tcPr>
            <w:tcW w:w="1137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A29FAF1" w14:textId="77777777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14:paraId="078CB22A" w14:textId="77777777" w:rsidR="00477A8A" w:rsidRPr="00461A54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B9BBB17" w14:textId="10841786" w:rsidR="00477A8A" w:rsidRPr="00461A54" w:rsidRDefault="00477A8A" w:rsidP="00430D1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Кое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фіці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єнт пок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риття орен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 xml:space="preserve">дної площі 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VR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 xml:space="preserve"> має зна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чення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14:paraId="60654648" w14:textId="290973A3" w:rsidR="00477A8A" w:rsidRPr="00461A54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eastAsia="ru-RU"/>
              </w:rPr>
              <w:t>60% ≤ VR &lt; 75%</w:t>
            </w:r>
          </w:p>
          <w:p w14:paraId="270728F4" w14:textId="77777777" w:rsidR="00477A8A" w:rsidRPr="009D5951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8BAD196" w14:textId="77777777" w:rsidR="00477A8A" w:rsidRPr="005128F1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14:paraId="12074322" w14:textId="77777777" w:rsidR="00477A8A" w:rsidRPr="00461A54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6C786FE" w14:textId="7BAAE76F" w:rsidR="00477A8A" w:rsidRPr="00461A54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Попит слаб</w:t>
            </w:r>
            <w:r w:rsidR="006F724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кий, прог</w:t>
            </w:r>
            <w:r w:rsidR="006F724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ноз неста</w:t>
            </w:r>
            <w:r w:rsidR="006F724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біль</w:t>
            </w:r>
            <w:r w:rsidR="006F724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ний.</w:t>
            </w:r>
            <w:r w:rsidR="00707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243">
              <w:rPr>
                <w:rFonts w:ascii="Times New Roman" w:hAnsi="Times New Roman"/>
                <w:sz w:val="28"/>
                <w:szCs w:val="28"/>
              </w:rPr>
              <w:t>О</w:t>
            </w:r>
            <w:r w:rsidR="006F7243" w:rsidRPr="00461A54">
              <w:rPr>
                <w:rFonts w:ascii="Times New Roman" w:hAnsi="Times New Roman"/>
                <w:sz w:val="28"/>
                <w:szCs w:val="28"/>
              </w:rPr>
              <w:t>рен</w:t>
            </w:r>
            <w:r w:rsidR="006F7243">
              <w:rPr>
                <w:rFonts w:ascii="Times New Roman" w:hAnsi="Times New Roman"/>
                <w:sz w:val="28"/>
                <w:szCs w:val="28"/>
              </w:rPr>
              <w:t>-</w:t>
            </w:r>
            <w:r w:rsidR="006F7243" w:rsidRPr="00461A54">
              <w:rPr>
                <w:rFonts w:ascii="Times New Roman" w:hAnsi="Times New Roman"/>
                <w:sz w:val="28"/>
                <w:szCs w:val="28"/>
              </w:rPr>
              <w:t>дар не має намірів продо</w:t>
            </w:r>
            <w:r w:rsidR="006F7243">
              <w:rPr>
                <w:rFonts w:ascii="Times New Roman" w:hAnsi="Times New Roman"/>
                <w:sz w:val="28"/>
                <w:szCs w:val="28"/>
              </w:rPr>
              <w:t>-</w:t>
            </w:r>
            <w:r w:rsidR="006F7243" w:rsidRPr="00461A54">
              <w:rPr>
                <w:rFonts w:ascii="Times New Roman" w:hAnsi="Times New Roman"/>
                <w:sz w:val="28"/>
                <w:szCs w:val="28"/>
              </w:rPr>
              <w:t>вжува</w:t>
            </w:r>
            <w:r w:rsidR="006F7243">
              <w:rPr>
                <w:rFonts w:ascii="Times New Roman" w:hAnsi="Times New Roman"/>
                <w:sz w:val="28"/>
                <w:szCs w:val="28"/>
              </w:rPr>
              <w:t>-</w:t>
            </w:r>
            <w:r w:rsidR="006F7243" w:rsidRPr="00461A54">
              <w:rPr>
                <w:rFonts w:ascii="Times New Roman" w:hAnsi="Times New Roman"/>
                <w:sz w:val="28"/>
                <w:szCs w:val="28"/>
              </w:rPr>
              <w:t xml:space="preserve">ти оренду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понад 50% площі після закін</w:t>
            </w:r>
            <w:r w:rsidR="006F724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чення строку орен</w:t>
            </w:r>
            <w:r w:rsidR="006F724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ди.</w:t>
            </w:r>
          </w:p>
          <w:p w14:paraId="7F926F20" w14:textId="0FDF8925" w:rsidR="00477A8A" w:rsidRPr="00461A54" w:rsidRDefault="00477A8A" w:rsidP="00430D1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Коефі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цієнт покри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ття оренд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 xml:space="preserve">ної площі 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VR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 xml:space="preserve"> має значен</w:t>
            </w:r>
            <w:r w:rsidR="006F724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eastAsiaTheme="minorHAnsi" w:hAnsi="Times New Roman"/>
                <w:sz w:val="28"/>
                <w:szCs w:val="28"/>
              </w:rPr>
              <w:t>ня</w:t>
            </w:r>
          </w:p>
          <w:p w14:paraId="286A2287" w14:textId="03E17FB3" w:rsidR="00477A8A" w:rsidRPr="00461A54" w:rsidRDefault="00477A8A" w:rsidP="00E519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eastAsia="ru-RU"/>
              </w:rPr>
              <w:t>менше 60%</w:t>
            </w:r>
          </w:p>
        </w:tc>
      </w:tr>
      <w:tr w:rsidR="00477A8A" w:rsidRPr="00461A54" w14:paraId="4732E0BC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50F0646C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31496E3C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8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16B5F5" w14:textId="61737D94" w:rsidR="00477A8A" w:rsidRPr="00461A54" w:rsidRDefault="002045DA" w:rsidP="002045DA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льтат стрес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тесту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вання борж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F60C1" w14:textId="77777777" w:rsidR="00477A8A" w:rsidRPr="00461A54" w:rsidRDefault="00477A8A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, ІІ 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36C97B6" w14:textId="69E208D6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Результати стрес-тестування боржника 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із застосуванням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стрес-тестування за несприятливим сценарієм 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з урахуванням можливого впливу на діяльність боржника несприятливих змін у мікро- та макроекономічному середовищ</w:t>
            </w:r>
            <w:r w:rsidR="002045DA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ах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свідчать, що боржник залишається спроможним своєчасно та в повному обсязі виконати свої зобов</w:t>
            </w:r>
            <w:r w:rsidR="002045DA">
              <w:rPr>
                <w:rFonts w:ascii="Times New Roman" w:hAnsi="Times New Roman"/>
                <w:sz w:val="28"/>
                <w:szCs w:val="28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язання перед банком.</w:t>
            </w:r>
          </w:p>
          <w:p w14:paraId="300B7279" w14:textId="3869C7BE" w:rsidR="00477A8A" w:rsidRPr="00134862" w:rsidRDefault="00477A8A" w:rsidP="002045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Боржник залишається спроможним своєчасно та в повному обсязі виконати свої зобов</w:t>
            </w:r>
            <w:r w:rsidR="002045DA">
              <w:rPr>
                <w:rFonts w:ascii="Times New Roman" w:hAnsi="Times New Roman"/>
                <w:sz w:val="28"/>
                <w:szCs w:val="28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язання перед банком</w:t>
            </w:r>
            <w:r w:rsidR="002045DA">
              <w:rPr>
                <w:rFonts w:ascii="Times New Roman" w:hAnsi="Times New Roman"/>
                <w:sz w:val="28"/>
                <w:szCs w:val="28"/>
              </w:rPr>
              <w:t>,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якщо фінансові показники DSCRс, DSCRі, </w:t>
            </w:r>
            <w:r w:rsidRPr="00134862">
              <w:rPr>
                <w:rFonts w:ascii="Times New Roman" w:hAnsi="Times New Roman"/>
                <w:sz w:val="28"/>
                <w:szCs w:val="28"/>
                <w:lang w:val="en-US"/>
              </w:rPr>
              <w:t>PLCR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4862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не набувають значення, визначеного як ознака високого кредитного ризику згідно з розділом </w:t>
            </w:r>
            <w:r w:rsidRPr="00134862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Положення</w:t>
            </w:r>
            <w:r w:rsidR="002045DA">
              <w:rPr>
                <w:rFonts w:ascii="Times New Roman" w:hAnsi="Times New Roman"/>
                <w:sz w:val="28"/>
                <w:szCs w:val="28"/>
              </w:rPr>
              <w:t xml:space="preserve"> про визначення банками України розміру кредитного ризику за активними банківськими операціями (далі – Положення)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76AE513" w14:textId="1F79E68A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Результати стрес-тестування боржника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із застосуванням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стрес-тестування за несприятливим сценарієм 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з урахуванням можливого впливу на діяльність боржника несприятливих змін у мікро- та макроекономічному середовищ</w:t>
            </w:r>
            <w:r w:rsidR="002045DA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ах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свідчать, що боржник залишається спроможним своєчасно та в повному обсязі виконати свої зобов</w:t>
            </w:r>
            <w:r w:rsidR="002045DA">
              <w:rPr>
                <w:rFonts w:ascii="Times New Roman" w:hAnsi="Times New Roman"/>
                <w:sz w:val="28"/>
                <w:szCs w:val="28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язання перед банком.</w:t>
            </w:r>
          </w:p>
          <w:p w14:paraId="6AE2F7D2" w14:textId="3903B3D5" w:rsidR="00477A8A" w:rsidRPr="00134862" w:rsidRDefault="00477A8A" w:rsidP="002045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Боржник залишається спроможним своєчасно та в повному обсязі виконати свої зобов</w:t>
            </w:r>
            <w:r w:rsidR="002045DA">
              <w:rPr>
                <w:rFonts w:ascii="Times New Roman" w:hAnsi="Times New Roman"/>
                <w:sz w:val="28"/>
                <w:szCs w:val="28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язання перед банком</w:t>
            </w:r>
            <w:r w:rsidR="002045DA">
              <w:rPr>
                <w:rFonts w:ascii="Times New Roman" w:hAnsi="Times New Roman"/>
                <w:sz w:val="28"/>
                <w:szCs w:val="28"/>
              </w:rPr>
              <w:t>,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якщо фінансові показники DSCRс, </w:t>
            </w:r>
            <w:r w:rsidRPr="00134862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не набувають значення, визначеного як ознака дефолту згідно з розділом </w:t>
            </w:r>
            <w:r w:rsidRPr="00134862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Положення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6957DC0" w14:textId="24D9763D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Результати стрес-тестування боржника 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із застосуванням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стрес-тестування за несприятливим сценарієм 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з урахуванням можливого впливу на діяльність боржника несприятливих змін у мікро- та макроекономічному середовищ</w:t>
            </w:r>
            <w:r w:rsidR="002045DA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ах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свідчать, що боржник не спроможний своєчасно та в повному обсязі виконати свої зобов</w:t>
            </w:r>
            <w:r w:rsidR="002045DA">
              <w:rPr>
                <w:rFonts w:ascii="Times New Roman" w:hAnsi="Times New Roman"/>
                <w:sz w:val="28"/>
                <w:szCs w:val="28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язання перед банком.</w:t>
            </w:r>
          </w:p>
          <w:p w14:paraId="400614A7" w14:textId="46A9E24D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Боржник не спроможний своєчасно та в повному обсязі виконати свої зобов</w:t>
            </w:r>
            <w:r w:rsidR="002045DA">
              <w:rPr>
                <w:rFonts w:ascii="Times New Roman" w:hAnsi="Times New Roman"/>
                <w:sz w:val="28"/>
                <w:szCs w:val="28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язання перед банком</w:t>
            </w:r>
            <w:r w:rsidR="002045DA">
              <w:rPr>
                <w:rFonts w:ascii="Times New Roman" w:hAnsi="Times New Roman"/>
                <w:sz w:val="28"/>
                <w:szCs w:val="28"/>
              </w:rPr>
              <w:t>,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якщо хоча б один із фінансових показників DSCRс, DSCRі, </w:t>
            </w:r>
            <w:r w:rsidRPr="00134862">
              <w:rPr>
                <w:rFonts w:ascii="Times New Roman" w:hAnsi="Times New Roman"/>
                <w:sz w:val="28"/>
                <w:szCs w:val="28"/>
                <w:lang w:val="en-US"/>
              </w:rPr>
              <w:t>PLCR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4862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набуває значення, визначеного як ознака високого кредитного ризику згідно з розділом </w:t>
            </w:r>
            <w:r w:rsidRPr="00134862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Положення </w:t>
            </w:r>
          </w:p>
          <w:p w14:paraId="445325B5" w14:textId="77777777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874CF33" w14:textId="228E0C15" w:rsidR="00477A8A" w:rsidRPr="005128F1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Результати стрес-тестування боржника </w:t>
            </w:r>
            <w:r w:rsidRPr="005128F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із застосуванням 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 xml:space="preserve">стрес-тестування за несприятливим сценарієм </w:t>
            </w:r>
            <w:r w:rsidRPr="005128F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з урахуванням можливого впливу на діяльність боржника несприятливих змін у мікро- та макроекономічному середовищ</w:t>
            </w:r>
            <w:r w:rsidR="002045DA" w:rsidRPr="005128F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ах 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свідчать, що боржник не  спроможний своєчасно та в повному обсязі виконати свої зобов</w:t>
            </w:r>
            <w:r w:rsidR="002045DA" w:rsidRPr="005128F1">
              <w:rPr>
                <w:rFonts w:ascii="Times New Roman" w:hAnsi="Times New Roman"/>
                <w:sz w:val="28"/>
                <w:szCs w:val="28"/>
              </w:rPr>
              <w:t>’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язання перед банком.</w:t>
            </w:r>
          </w:p>
          <w:p w14:paraId="043D8563" w14:textId="3E725433" w:rsidR="00477A8A" w:rsidRPr="005128F1" w:rsidRDefault="00477A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Боржник не спроможний своєчасно та в повному обсязі виконати свої зобов</w:t>
            </w:r>
            <w:r w:rsidR="002045DA" w:rsidRPr="005128F1">
              <w:rPr>
                <w:rFonts w:ascii="Times New Roman" w:hAnsi="Times New Roman"/>
                <w:sz w:val="28"/>
                <w:szCs w:val="28"/>
              </w:rPr>
              <w:t>’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язання перед банком</w:t>
            </w:r>
            <w:r w:rsidR="002045DA" w:rsidRPr="005128F1">
              <w:rPr>
                <w:rFonts w:ascii="Times New Roman" w:hAnsi="Times New Roman"/>
                <w:sz w:val="28"/>
                <w:szCs w:val="28"/>
              </w:rPr>
              <w:t>,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 xml:space="preserve"> якщо хоча б один із фінансових показників DSCRс, </w:t>
            </w:r>
            <w:r w:rsidRPr="005128F1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 xml:space="preserve"> набуває значення, визначеного як ознака дефолту згідно з розділом </w:t>
            </w:r>
            <w:r w:rsidRPr="005128F1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 xml:space="preserve"> Положення</w:t>
            </w:r>
          </w:p>
        </w:tc>
      </w:tr>
      <w:tr w:rsidR="00477A8A" w:rsidRPr="00461A54" w14:paraId="79074907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05E467DD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26713B6A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0118D6" w14:textId="48E1D4B4" w:rsidR="00477A8A" w:rsidRPr="00461A54" w:rsidRDefault="00BD1D49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4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ріо</w:t>
            </w:r>
            <w:r w:rsidR="00EF4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дич</w:t>
            </w:r>
            <w:r w:rsidR="00EF4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ність та обсяг спла</w:t>
            </w:r>
            <w:r w:rsidR="00EF4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ти від</w:t>
            </w:r>
            <w:r w:rsidR="00EF4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сотків за кре</w:t>
            </w:r>
            <w:r w:rsidR="00EF4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дитом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2C6F4" w14:textId="77777777" w:rsidR="00477A8A" w:rsidRPr="00461A54" w:rsidRDefault="00477A8A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B371FC3" w14:textId="1EB93579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Сплата відсотків за кредитом здійснюється щомісяця в обсязі, не меншому</w:t>
            </w:r>
            <w:r w:rsidR="00EF4E13" w:rsidRPr="00134862">
              <w:rPr>
                <w:rFonts w:ascii="Times New Roman" w:hAnsi="Times New Roman"/>
                <w:sz w:val="28"/>
                <w:szCs w:val="28"/>
              </w:rPr>
              <w:t>,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ніж обсяг доходів, визнаних банком згідно з нормативно-правовими актами Національного банку з </w:t>
            </w:r>
            <w:r w:rsidR="007E44D3">
              <w:rPr>
                <w:rFonts w:ascii="Times New Roman" w:hAnsi="Times New Roman"/>
                <w:sz w:val="28"/>
                <w:szCs w:val="28"/>
              </w:rPr>
              <w:t xml:space="preserve">питань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бухгалтерського обліку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CCA3A42" w14:textId="5724FE7D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Сплата відсотків за кредитом здійснюється щокварталу в обсязі, не меншому</w:t>
            </w:r>
            <w:r w:rsidR="00EF4E13" w:rsidRPr="00134862">
              <w:rPr>
                <w:rFonts w:ascii="Times New Roman" w:hAnsi="Times New Roman"/>
                <w:sz w:val="28"/>
                <w:szCs w:val="28"/>
              </w:rPr>
              <w:t>,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ніж обсяг доходів, визнаних банком згідно з нормативно-правовими актами Національного банку з </w:t>
            </w:r>
            <w:r w:rsidR="007E44D3">
              <w:rPr>
                <w:rFonts w:ascii="Times New Roman" w:hAnsi="Times New Roman"/>
                <w:sz w:val="28"/>
                <w:szCs w:val="28"/>
              </w:rPr>
              <w:t xml:space="preserve">питань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бухгалтерського обліку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529CC35" w14:textId="71C18689" w:rsidR="00477A8A" w:rsidRPr="00134862" w:rsidRDefault="00477A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Сплата відсотків за кредитом здійснюється щомісяця/щокварталу в обсязі, меншому</w:t>
            </w:r>
            <w:r w:rsidR="00EF4E13" w:rsidRPr="00134862">
              <w:rPr>
                <w:rFonts w:ascii="Times New Roman" w:hAnsi="Times New Roman"/>
                <w:sz w:val="28"/>
                <w:szCs w:val="28"/>
              </w:rPr>
              <w:t>, ніж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обсяг доходів, визнаних банком згідно з нормативно-правовими актами Національного банку з </w:t>
            </w:r>
            <w:r w:rsidR="007E44D3">
              <w:rPr>
                <w:rFonts w:ascii="Times New Roman" w:hAnsi="Times New Roman"/>
                <w:sz w:val="28"/>
                <w:szCs w:val="28"/>
              </w:rPr>
              <w:t xml:space="preserve">питань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бухгалтерського обліку, не більше ніж на 10%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F8C00CB" w14:textId="21897491" w:rsidR="00477A8A" w:rsidRPr="005128F1" w:rsidRDefault="00477A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Сплата відсотків за кредитом здійснюється щомісяця/щокварталу в обсязі, меншому</w:t>
            </w:r>
            <w:r w:rsidR="00EF4E13" w:rsidRPr="005128F1">
              <w:rPr>
                <w:rFonts w:ascii="Times New Roman" w:hAnsi="Times New Roman"/>
                <w:sz w:val="28"/>
                <w:szCs w:val="28"/>
              </w:rPr>
              <w:t xml:space="preserve">, ніж 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 xml:space="preserve"> обсяг доходів, визнаних банком згідно з нормативно-правовими актами Національного банку з </w:t>
            </w:r>
            <w:r w:rsidR="007E44D3">
              <w:rPr>
                <w:rFonts w:ascii="Times New Roman" w:hAnsi="Times New Roman"/>
                <w:sz w:val="28"/>
                <w:szCs w:val="28"/>
              </w:rPr>
              <w:t xml:space="preserve">питань 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бухгалтерського обліку, більше ніж на 10%</w:t>
            </w:r>
          </w:p>
        </w:tc>
      </w:tr>
      <w:tr w:rsidR="00477A8A" w:rsidRPr="00461A54" w14:paraId="1D6D1CCA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27899738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647AF49E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0730DB" w14:textId="5553009C" w:rsidR="00477A8A" w:rsidRPr="00461A54" w:rsidRDefault="00EF4E13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фік пога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шення боргу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A2B23" w14:textId="77777777" w:rsidR="00477A8A" w:rsidRPr="00461A54" w:rsidRDefault="00477A8A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4858E92" w14:textId="3D948B1B" w:rsidR="00477A8A" w:rsidRPr="00134862" w:rsidRDefault="00477A8A" w:rsidP="007074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На останню третину терміну дії кредитного договору припадає не більше 40% сплати основної суми боргу порівняно із сумою боргу за кредитом на дату, з якої проєкт починає </w:t>
            </w:r>
            <w:r w:rsidRPr="00134862">
              <w:rPr>
                <w:rFonts w:ascii="Times New Roman" w:hAnsi="Times New Roman"/>
                <w:sz w:val="28"/>
                <w:szCs w:val="28"/>
                <w:lang w:eastAsia="ru-RU"/>
              </w:rPr>
              <w:t>генерацію грошових потоків від операційної діяльності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2BB3B00" w14:textId="1B6A6262" w:rsidR="00477A8A" w:rsidRPr="00134862" w:rsidRDefault="00477A8A" w:rsidP="007074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На останню третину терміну дії кредитного договору припадає не більше 50% сплати основної суми боргу порівняно із сумою боргу за кредитом на дату, з якої проєкт починає </w:t>
            </w:r>
            <w:r w:rsidRPr="00134862">
              <w:rPr>
                <w:rFonts w:ascii="Times New Roman" w:hAnsi="Times New Roman"/>
                <w:sz w:val="28"/>
                <w:szCs w:val="28"/>
                <w:lang w:eastAsia="ru-RU"/>
              </w:rPr>
              <w:t>генерацію грошових потоків від операційної діяльності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3D33F2C" w14:textId="4A6F2394" w:rsidR="00477A8A" w:rsidRPr="00134862" w:rsidRDefault="00477A8A" w:rsidP="0063757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На останню третину терміну дії кредитного договору припадає не більше 70% сплати основної суми боргу порівняно із сумою боргу за кредитом на дату, з якої проєкт починає </w:t>
            </w:r>
            <w:r w:rsidRPr="00134862">
              <w:rPr>
                <w:rFonts w:ascii="Times New Roman" w:hAnsi="Times New Roman"/>
                <w:sz w:val="28"/>
                <w:szCs w:val="28"/>
                <w:lang w:eastAsia="ru-RU"/>
              </w:rPr>
              <w:t>генерацію грошових потоків від операційної діяльності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A2B6275" w14:textId="62F3C648" w:rsidR="00477A8A" w:rsidRPr="005128F1" w:rsidRDefault="00477A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На останню третину терміну дії кредитного договору припадає більше 70% сплати основної суми боргу порівняно із сумою боргу за кредитом на дату, з якої проєкт починає </w:t>
            </w:r>
            <w:r w:rsidRPr="005128F1">
              <w:rPr>
                <w:rFonts w:ascii="Times New Roman" w:hAnsi="Times New Roman"/>
                <w:sz w:val="28"/>
                <w:szCs w:val="28"/>
                <w:lang w:eastAsia="ru-RU"/>
              </w:rPr>
              <w:t>генерацію грошових потоків від операційної діяльності</w:t>
            </w:r>
          </w:p>
        </w:tc>
      </w:tr>
      <w:tr w:rsidR="00477A8A" w:rsidRPr="00461A54" w14:paraId="1E86C183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7DF635A4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6974C09F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E20151" w14:textId="6F565F36" w:rsidR="00477A8A" w:rsidRPr="00461A54" w:rsidRDefault="005E255B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ність суми боргу з 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ми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жника </w:t>
            </w:r>
          </w:p>
          <w:p w14:paraId="75595CF6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02FB9" w14:textId="77777777" w:rsidR="00477A8A" w:rsidRPr="00461A54" w:rsidRDefault="00477A8A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F438455" w14:textId="33E33631" w:rsidR="00477A8A" w:rsidRPr="00134862" w:rsidRDefault="00477A8A" w:rsidP="0046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Сума боргу боржника за кредитом є меншою або зіставною порівняно з обсягом фактичних витрат боржника, понесених </w:t>
            </w:r>
            <w:r w:rsidR="005E255B" w:rsidRPr="00134862">
              <w:rPr>
                <w:rFonts w:ascii="Times New Roman" w:hAnsi="Times New Roman"/>
                <w:sz w:val="28"/>
                <w:szCs w:val="28"/>
              </w:rPr>
              <w:t>під час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реалізації проєкту (без урахування витрат, пов</w:t>
            </w:r>
            <w:r w:rsidR="005E255B" w:rsidRPr="00134862">
              <w:rPr>
                <w:rFonts w:ascii="Times New Roman" w:hAnsi="Times New Roman"/>
                <w:sz w:val="28"/>
                <w:szCs w:val="28"/>
              </w:rPr>
              <w:t>ʼ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язаних зі сплатою боргу за кредитом)</w:t>
            </w:r>
          </w:p>
          <w:p w14:paraId="7C38663A" w14:textId="77777777" w:rsidR="00477A8A" w:rsidRPr="00134862" w:rsidRDefault="00477A8A" w:rsidP="009D5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AB6B3E3" w14:textId="171E07B9" w:rsidR="00477A8A" w:rsidRPr="00134862" w:rsidRDefault="00477A8A" w:rsidP="009D5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Сума боргу боржника за кредитом є зіставною або більшою порівняно з обсягом фактичних витрат боржника, понесених </w:t>
            </w:r>
            <w:r w:rsidR="005E255B" w:rsidRPr="00134862">
              <w:rPr>
                <w:rFonts w:ascii="Times New Roman" w:hAnsi="Times New Roman"/>
                <w:sz w:val="28"/>
                <w:szCs w:val="28"/>
              </w:rPr>
              <w:t xml:space="preserve">під час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реалізації проєкту (без урахування витрат, пов</w:t>
            </w:r>
            <w:r w:rsidR="005E255B" w:rsidRPr="00134862">
              <w:rPr>
                <w:rFonts w:ascii="Times New Roman" w:hAnsi="Times New Roman"/>
                <w:sz w:val="28"/>
                <w:szCs w:val="28"/>
              </w:rPr>
              <w:t>ʼ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язаних зі сплатою боргу за кредитом), або наявне відхилення не більш</w:t>
            </w:r>
            <w:r w:rsidR="005E255B" w:rsidRPr="00134862">
              <w:rPr>
                <w:rFonts w:ascii="Times New Roman" w:hAnsi="Times New Roman"/>
                <w:sz w:val="28"/>
                <w:szCs w:val="28"/>
              </w:rPr>
              <w:t>е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ніж на 30%</w:t>
            </w:r>
          </w:p>
          <w:p w14:paraId="6E1FC5D5" w14:textId="77777777" w:rsidR="00477A8A" w:rsidRPr="00134862" w:rsidRDefault="00477A8A" w:rsidP="009D5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3F56953" w14:textId="519D292F" w:rsidR="00477A8A" w:rsidRPr="00134862" w:rsidRDefault="00477A8A" w:rsidP="009D5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Сума боргу боржника за кредитом перевищує фактичні витрати боржника, пов</w:t>
            </w:r>
            <w:r w:rsidR="005E255B" w:rsidRPr="00134862">
              <w:rPr>
                <w:rFonts w:ascii="Times New Roman" w:hAnsi="Times New Roman"/>
                <w:sz w:val="28"/>
                <w:szCs w:val="28"/>
              </w:rPr>
              <w:t>ʼ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язані з реалізацією проєкту, більше ніж на 30%</w:t>
            </w:r>
          </w:p>
          <w:p w14:paraId="08D6730B" w14:textId="77777777" w:rsidR="00477A8A" w:rsidRPr="00134862" w:rsidRDefault="00477A8A" w:rsidP="009D5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60810F7" w14:textId="342D1E88" w:rsidR="00477A8A" w:rsidRPr="005128F1" w:rsidRDefault="00477A8A" w:rsidP="009D5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Сума боргу боржника за кредитом перевищує фактичні витрати боржника, пов</w:t>
            </w:r>
            <w:r w:rsidR="005E255B" w:rsidRPr="005128F1">
              <w:rPr>
                <w:rFonts w:ascii="Times New Roman" w:hAnsi="Times New Roman"/>
                <w:sz w:val="28"/>
                <w:szCs w:val="28"/>
              </w:rPr>
              <w:t>ʼ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язані з реалізацією проєкту, більше ніж на 50%</w:t>
            </w:r>
          </w:p>
          <w:p w14:paraId="1E7F8E67" w14:textId="77777777" w:rsidR="00477A8A" w:rsidRPr="005128F1" w:rsidRDefault="00477A8A" w:rsidP="003215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A8A" w:rsidRPr="00461A54" w14:paraId="23ACC1F4" w14:textId="77777777" w:rsidTr="00542DAE">
        <w:trPr>
          <w:trHeight w:val="3928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32BA8BFE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39995B1A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</w:tcBorders>
          </w:tcPr>
          <w:p w14:paraId="4B48C764" w14:textId="41F917F4" w:rsidR="00477A8A" w:rsidRPr="00461A54" w:rsidRDefault="005E255B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бачу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вані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сть 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вих пото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ків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162417" w14:textId="77777777" w:rsidR="00477A8A" w:rsidRPr="00461A54" w:rsidRDefault="00477A8A" w:rsidP="00430D19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7280785E" w14:textId="32907A61" w:rsidR="00477A8A" w:rsidRPr="00134862" w:rsidRDefault="00477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На звітну дату н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евідповідн</w:t>
            </w:r>
            <w:r w:rsidR="005E255B" w:rsidRPr="00134862">
              <w:rPr>
                <w:rFonts w:ascii="Times New Roman" w:hAnsi="Times New Roman"/>
                <w:sz w:val="28"/>
                <w:szCs w:val="28"/>
              </w:rPr>
              <w:t>о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ст</w:t>
            </w:r>
            <w:r w:rsidR="005E255B" w:rsidRPr="00134862">
              <w:rPr>
                <w:rFonts w:ascii="Times New Roman" w:hAnsi="Times New Roman"/>
                <w:sz w:val="28"/>
                <w:szCs w:val="28"/>
              </w:rPr>
              <w:t>і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між строками/обсягом очікуваних надходжень грошових потоків згідно з бізнес-планом та строками/обсягом зобов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язань за кредитним договором, що підлягають виконанню, 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E255B" w:rsidRPr="00134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немає 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або </w:t>
            </w:r>
            <w:r w:rsidR="005E255B" w:rsidRPr="00134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вона 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є мінімальною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411E7F45" w14:textId="771ED9E9" w:rsidR="00477A8A" w:rsidRPr="00134862" w:rsidRDefault="00477A8A" w:rsidP="00307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На звітну дату невідповідність між строками/обсягом очікуваних надходжень грошових потоків згідно з бізнес-планом та строками/обсягом зобов’язань за кредитним договором, що підлягають виконанню, є незначною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4A054F09" w14:textId="63D8643E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На звітну дату невідповідність між строками/обсягом очікуваних надходжень грошових потоків згідно з бізнес-планом та строками/обсягом зобов’язань за кредитним договором, що підлягають виконанню, є значною</w:t>
            </w:r>
          </w:p>
          <w:p w14:paraId="48B5E55C" w14:textId="77777777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052CD324" w14:textId="7F8A962E" w:rsidR="00477A8A" w:rsidRPr="005128F1" w:rsidRDefault="00477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На звітну дату невідповідність  між строками/обсягом очікуваних надходжень грошових потоків згідно з бізнес-планом та строками/обсягом зобов’язань за кредитним договором, що підлягають виконанню, є значною та має негативну динаміку</w:t>
            </w:r>
          </w:p>
        </w:tc>
      </w:tr>
      <w:tr w:rsidR="00477A8A" w:rsidRPr="00461A54" w14:paraId="30E89398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3599781F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5BA205DE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C7EFDC" w14:textId="65F4558F" w:rsidR="00477A8A" w:rsidRPr="00461A54" w:rsidRDefault="005E255B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6D6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дична без</w:t>
            </w:r>
            <w:r w:rsidR="006D6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запе</w:t>
            </w:r>
            <w:r w:rsidR="006D6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="006D6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ність вико</w:t>
            </w:r>
            <w:r w:rsidR="006D6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нання конт</w:t>
            </w:r>
            <w:r w:rsidR="006D6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рактів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9BF70" w14:textId="77777777" w:rsidR="00477A8A" w:rsidRPr="00461A54" w:rsidRDefault="00477A8A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E41F08D" w14:textId="5F29133C" w:rsidR="00477A8A" w:rsidRPr="00134862" w:rsidRDefault="006D6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Немає </w:t>
            </w:r>
            <w:r w:rsidR="00477A8A" w:rsidRPr="00134862">
              <w:rPr>
                <w:rFonts w:ascii="Times New Roman" w:hAnsi="Times New Roman"/>
                <w:sz w:val="28"/>
                <w:szCs w:val="28"/>
              </w:rPr>
              <w:t>негативн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ого</w:t>
            </w:r>
            <w:r w:rsidR="00477A8A" w:rsidRPr="00134862">
              <w:rPr>
                <w:rFonts w:ascii="Times New Roman" w:hAnsi="Times New Roman"/>
                <w:sz w:val="28"/>
                <w:szCs w:val="28"/>
              </w:rPr>
              <w:t xml:space="preserve">  досвід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у</w:t>
            </w:r>
            <w:r w:rsidR="00477A8A" w:rsidRPr="00134862">
              <w:rPr>
                <w:rFonts w:ascii="Times New Roman" w:hAnsi="Times New Roman"/>
                <w:sz w:val="28"/>
                <w:szCs w:val="28"/>
              </w:rPr>
              <w:t xml:space="preserve"> щодо виконання боржником/контраген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="00477A8A" w:rsidRPr="00134862">
              <w:rPr>
                <w:rFonts w:ascii="Times New Roman" w:hAnsi="Times New Roman"/>
                <w:sz w:val="28"/>
                <w:szCs w:val="28"/>
              </w:rPr>
              <w:t>тами боржника умов укладених контрактів/угод. Спроможність контрагентів боржника забезпечувати своєчасн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е</w:t>
            </w:r>
            <w:r w:rsidR="00477A8A" w:rsidRPr="0013486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77A8A" w:rsidRPr="00134862">
              <w:rPr>
                <w:rFonts w:ascii="Times New Roman" w:hAnsi="Times New Roman"/>
                <w:sz w:val="28"/>
                <w:szCs w:val="28"/>
              </w:rPr>
              <w:t>повному обсязі виконання зобов’язань перед ним є високою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2B601EE" w14:textId="1A9DBFD9" w:rsidR="00477A8A" w:rsidRPr="00134862" w:rsidRDefault="00477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Спроможність контрагентів боржника забезпечувати своєчасн</w:t>
            </w:r>
            <w:r w:rsidR="006D682B" w:rsidRPr="00134862">
              <w:rPr>
                <w:rFonts w:ascii="Times New Roman" w:hAnsi="Times New Roman"/>
                <w:sz w:val="28"/>
                <w:szCs w:val="28"/>
              </w:rPr>
              <w:t>е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6D682B" w:rsidRPr="001348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повному обсязі виконання зобов’язань перед ним є високою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B74BD7B" w14:textId="68649C8C" w:rsidR="00477A8A" w:rsidRPr="00134862" w:rsidRDefault="00477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Спроможність контрагентів боржника забезпечувати своєчасн</w:t>
            </w:r>
            <w:r w:rsidR="006D682B" w:rsidRPr="00134862">
              <w:rPr>
                <w:rFonts w:ascii="Times New Roman" w:hAnsi="Times New Roman"/>
                <w:sz w:val="28"/>
                <w:szCs w:val="28"/>
              </w:rPr>
              <w:t>е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6D682B" w:rsidRPr="001348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повному обсязі виконання зобов’язань перед ним має обмежену впевненість (</w:t>
            </w:r>
            <w:r w:rsidR="006D682B" w:rsidRPr="00134862"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поодинокі випадки відхилення від строків/обсягів виконання контрактів)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8961676" w14:textId="5FB8D922" w:rsidR="00477A8A" w:rsidRPr="005128F1" w:rsidRDefault="006D6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Немає </w:t>
            </w:r>
            <w:r w:rsidR="00477A8A" w:rsidRPr="005128F1">
              <w:rPr>
                <w:rFonts w:ascii="Times New Roman" w:hAnsi="Times New Roman"/>
                <w:sz w:val="28"/>
                <w:szCs w:val="28"/>
              </w:rPr>
              <w:t xml:space="preserve">підстав очікувати, що контрагенти боржника забезпечать  належне виконання контрактів </w:t>
            </w:r>
            <w:r w:rsidR="007E44D3">
              <w:rPr>
                <w:rFonts w:ascii="Times New Roman" w:hAnsi="Times New Roman"/>
                <w:sz w:val="28"/>
                <w:szCs w:val="28"/>
              </w:rPr>
              <w:t>і</w:t>
            </w:r>
            <w:r w:rsidR="00477A8A" w:rsidRPr="005128F1">
              <w:rPr>
                <w:rFonts w:ascii="Times New Roman" w:hAnsi="Times New Roman"/>
                <w:sz w:val="28"/>
                <w:szCs w:val="28"/>
              </w:rPr>
              <w:t>з боржником (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 w:rsidR="00477A8A" w:rsidRPr="005128F1">
              <w:rPr>
                <w:rFonts w:ascii="Times New Roman" w:hAnsi="Times New Roman"/>
                <w:sz w:val="28"/>
                <w:szCs w:val="28"/>
              </w:rPr>
              <w:t>непоодинокі випадки відхилення від строків/обсягів виконання контрактів)</w:t>
            </w:r>
          </w:p>
        </w:tc>
      </w:tr>
      <w:tr w:rsidR="00477A8A" w:rsidRPr="00461A54" w14:paraId="6E34DA9F" w14:textId="77777777" w:rsidTr="00542DAE">
        <w:trPr>
          <w:trHeight w:val="484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65730941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0936F70E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B091E7" w14:textId="1F9CE4B5" w:rsidR="00477A8A" w:rsidRPr="00461A54" w:rsidRDefault="006D682B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вове сере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дови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A1F23" w14:textId="77777777" w:rsidR="00477A8A" w:rsidRPr="00461A54" w:rsidRDefault="00477A8A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6E961DA" w14:textId="24FAAD41" w:rsidR="00477A8A" w:rsidRPr="00134862" w:rsidRDefault="00477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Законодавче та нормативне середовище, в якому функціонує боржник/функціонува</w:t>
            </w:r>
            <w:r w:rsidR="006D682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тиме актив/об’єкт, має високий рівень визначеності. Законодавчо створені 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правові основи для забезпечення діяльності і розвитку конкурентоспромож</w:t>
            </w:r>
            <w:r w:rsidR="006D682B"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ного ринку у сфері діяльності боржника/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функціону</w:t>
            </w:r>
            <w:r w:rsidR="006D682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вання активу/об’єкт</w:t>
            </w:r>
            <w:r w:rsidR="006D682B" w:rsidRPr="001348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25B9D66" w14:textId="7E00B646" w:rsidR="00477A8A" w:rsidRPr="00134862" w:rsidRDefault="00477A8A" w:rsidP="00307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Законодавче та нормативне середовище, в якому функціонує боржник/функціонува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тиме актив/об’єкт, є законодавчо та нормативно врегульованим, не очікується 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 xml:space="preserve">внесення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суттєвих змін до законодавства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 xml:space="preserve"> України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щодо регулювання 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сфери діяльності боржника/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функціону</w:t>
            </w:r>
            <w:r w:rsidR="00307A41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вання активу/об’єкт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а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FB2042E" w14:textId="7AE60249" w:rsidR="00477A8A" w:rsidRPr="00134862" w:rsidRDefault="00477A8A" w:rsidP="00307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Законодавче та нормативне середовище, в якому функціонує боржник/функціонува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тиме актив/об’єкт, є недостатньо законодавчо та нормативно врегульованим, очіку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є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ться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 xml:space="preserve"> внесення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суттєв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их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законодавств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а України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, що регулює 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сферу діяльності боржника/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функціонува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ння активу/об’єкт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B574668" w14:textId="690E39A0" w:rsidR="00477A8A" w:rsidRPr="005128F1" w:rsidRDefault="00477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Зміни в законодавчому  та нормативному середовищі можуть спричинити суттєвий негативний вплив на реалізацію проєкту</w:t>
            </w:r>
            <w:r w:rsidRPr="00512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функціонування активу/об’єкт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77A8A" w:rsidRPr="00461A54" w14:paraId="4EC13ED8" w14:textId="77777777" w:rsidTr="00542DAE">
        <w:trPr>
          <w:trHeight w:val="543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7CB3F39A" w14:textId="77777777" w:rsidR="00477A8A" w:rsidRPr="00461A54" w:rsidRDefault="00477A8A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1E956617" w14:textId="77777777" w:rsidR="00477A8A" w:rsidRPr="00461A54" w:rsidRDefault="00477A8A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7A3FAB" w14:textId="61C59A1F" w:rsidR="00477A8A" w:rsidRPr="00461A54" w:rsidRDefault="006427BB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жавна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ка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A8A" w:rsidRPr="00461A54">
              <w:rPr>
                <w:rFonts w:ascii="Times New Roman" w:hAnsi="Times New Roman" w:cs="Times New Roman"/>
                <w:sz w:val="28"/>
                <w:szCs w:val="28"/>
              </w:rPr>
              <w:t>єкту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96F9E" w14:textId="77777777" w:rsidR="00477A8A" w:rsidRPr="00461A54" w:rsidRDefault="00477A8A" w:rsidP="00430D19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66BDAD6" w14:textId="3BDA1C5B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Про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єкт є стра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тегіч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но важ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ливим для дер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жави та його реа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ліза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ція здій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снює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ться за дер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жав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ної під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трим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2B726CD" w14:textId="444BAC2D" w:rsidR="00477A8A" w:rsidRPr="00461A54" w:rsidRDefault="00307A41" w:rsidP="00307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7583EE5" w14:textId="2C5265E5" w:rsidR="00477A8A" w:rsidRPr="00461A54" w:rsidRDefault="00307A41" w:rsidP="00307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F71A86B" w14:textId="3FEDBE29" w:rsidR="00477A8A" w:rsidRPr="00134862" w:rsidRDefault="00477A8A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Реа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лізація проєк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ту здій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снює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ться за дер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жав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ної під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трим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656D774" w14:textId="63BAA927" w:rsidR="00477A8A" w:rsidRPr="00461A54" w:rsidRDefault="00307A41" w:rsidP="00307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C945B07" w14:textId="5C0C8EAF" w:rsidR="00477A8A" w:rsidRPr="00461A54" w:rsidRDefault="00307A41" w:rsidP="00307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274E5DF" w14:textId="74B67FC9" w:rsidR="00477A8A" w:rsidRPr="00134862" w:rsidRDefault="00477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Реа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лізація проєк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ту здій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снює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ться в 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 xml:space="preserve">межах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реалі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зації дер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жавних прог</w:t>
            </w:r>
            <w:r w:rsidR="006427BB" w:rsidRPr="0013486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рам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9A37D0B" w14:textId="2512A27F" w:rsidR="00477A8A" w:rsidRPr="00461A54" w:rsidRDefault="00307A41" w:rsidP="00307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000F174" w14:textId="6596098B" w:rsidR="00477A8A" w:rsidRPr="00461A54" w:rsidRDefault="00307A41" w:rsidP="00307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F3BBC8A" w14:textId="01305EF4" w:rsidR="00477A8A" w:rsidRPr="005128F1" w:rsidRDefault="00477A8A" w:rsidP="00307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Реа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-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лізація про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-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єкт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у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 xml:space="preserve"> здій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-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сню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-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ється поза межа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-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ми дер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-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жав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-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них прог</w:t>
            </w:r>
            <w:r w:rsidR="006427BB" w:rsidRPr="005128F1">
              <w:rPr>
                <w:rFonts w:ascii="Times New Roman" w:hAnsi="Times New Roman"/>
                <w:sz w:val="28"/>
                <w:szCs w:val="28"/>
              </w:rPr>
              <w:t>-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рам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1BCEC53" w14:textId="7F410F49" w:rsidR="00477A8A" w:rsidRPr="00461A54" w:rsidRDefault="00307A41" w:rsidP="00307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7C2FF19" w14:textId="25B18EA1" w:rsidR="00477A8A" w:rsidRPr="00461A54" w:rsidRDefault="00307A41" w:rsidP="00307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D5E88" w:rsidRPr="00461A54" w14:paraId="51CD3207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6694B95C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7297F6E7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E7FF1E" w14:textId="7A6A5F2C" w:rsidR="008D5E88" w:rsidRPr="00461A54" w:rsidRDefault="008D5E88" w:rsidP="009778D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ність доз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ної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тації/</w:t>
            </w:r>
            <w:r w:rsidR="0097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ліцен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зій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2FDD6" w14:textId="77777777" w:rsidR="008D5E88" w:rsidRPr="00461A54" w:rsidRDefault="008D5E88" w:rsidP="00430D1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8A11829" w14:textId="77777777" w:rsidR="008D5E88" w:rsidRPr="00134862" w:rsidRDefault="008D5E88" w:rsidP="002B35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Уся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необхідна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дозвільна докум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ентація (ліцензії, сертифікати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тощо) отримана в повному обсязі</w:t>
            </w:r>
          </w:p>
          <w:p w14:paraId="3D6D5235" w14:textId="77777777" w:rsidR="008D5E88" w:rsidRPr="00134862" w:rsidRDefault="008D5E88" w:rsidP="00430D19">
            <w:pPr>
              <w:pStyle w:val="aff0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5F793F9" w14:textId="3D46A730" w:rsidR="008D5E88" w:rsidRPr="00134862" w:rsidRDefault="008D5E88" w:rsidP="007E4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Деякі дозвільні документи (ліцензії, сертифікати тощо) </w:t>
            </w:r>
            <w:r w:rsidR="007E44D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на завершальному етапі оформлення/отриман</w:t>
            </w:r>
            <w:r w:rsidR="009778D2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ня та з високим ступенем вірогідності  будуть наявні найближчим часом. </w:t>
            </w:r>
            <w:r w:rsidRPr="004A638F">
              <w:rPr>
                <w:rFonts w:ascii="Times New Roman" w:hAnsi="Times New Roman"/>
                <w:sz w:val="28"/>
                <w:szCs w:val="28"/>
              </w:rPr>
              <w:t>На стан реалізації проєкту не впливає те, що цих документів немає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5F46D55" w14:textId="7FAA57FF" w:rsidR="008D5E88" w:rsidRPr="00F06BEA" w:rsidRDefault="008D5E88" w:rsidP="009778D2">
            <w:pPr>
              <w:pStyle w:val="aff0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Деякі 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дозвільні документи (ліцензії, сертифікати тощо)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134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процесі оформлення, однак боржник </w:t>
            </w:r>
            <w:r w:rsidRPr="00134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найближчим часом їх 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134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отримає. </w:t>
            </w:r>
            <w:r w:rsidRPr="004A638F">
              <w:rPr>
                <w:rFonts w:ascii="Times New Roman" w:hAnsi="Times New Roman"/>
                <w:sz w:val="28"/>
                <w:szCs w:val="28"/>
              </w:rPr>
              <w:t>На стан реалізації проєкту не впливає те, що цих документів немає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D13205C" w14:textId="1F153576" w:rsidR="008D5E88" w:rsidRPr="00F06BEA" w:rsidRDefault="008D5E88">
            <w:pPr>
              <w:pStyle w:val="aff0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дозвільн</w:t>
            </w:r>
            <w:r w:rsidRPr="0051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 w:rsidRPr="0051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(ліцензі</w:t>
            </w:r>
            <w:r w:rsidRPr="0051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сертифікат</w:t>
            </w:r>
            <w:r w:rsidRPr="00512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тощо), що впливають на стан реалізації проєкту. Їх отримання може вимагати виконання суттєвих умов </w:t>
            </w:r>
          </w:p>
        </w:tc>
      </w:tr>
      <w:tr w:rsidR="008D5E88" w:rsidRPr="00461A54" w14:paraId="08EF3F0D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480510C2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0560B0A1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17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64D545" w14:textId="7D1FCA26" w:rsidR="008D5E88" w:rsidRPr="00461A54" w:rsidRDefault="008D5E88" w:rsidP="009778D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бме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ження щодо реалі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зації проє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плуа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тації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ву/</w:t>
            </w:r>
            <w:r w:rsidR="0097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об’єк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6AE87" w14:textId="77777777" w:rsidR="008D5E88" w:rsidRPr="00461A54" w:rsidRDefault="008D5E88" w:rsidP="00430D1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472518E" w14:textId="469B30B5" w:rsidR="008D5E88" w:rsidRPr="00134862" w:rsidRDefault="008D5E88" w:rsidP="007E4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Немає будь-яких обмежень (</w:t>
            </w:r>
            <w:r w:rsidR="007E44D3">
              <w:rPr>
                <w:rFonts w:ascii="Times New Roman" w:hAnsi="Times New Roman"/>
                <w:sz w:val="28"/>
                <w:szCs w:val="28"/>
              </w:rPr>
              <w:t>у</w:t>
            </w:r>
            <w:r w:rsidR="007E44D3" w:rsidRPr="00134862">
              <w:rPr>
                <w:rFonts w:ascii="Times New Roman" w:hAnsi="Times New Roman"/>
                <w:sz w:val="28"/>
                <w:szCs w:val="28"/>
              </w:rPr>
              <w:t xml:space="preserve">ключаючи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юридичні, екологічні, соціальні) щодо  реалізації проєкту/експлуатації активу/об’єкта, земельної ділянки, на якій реалізується проєкт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0AF6644" w14:textId="2EEBA8DD" w:rsidR="008D5E88" w:rsidRPr="00134862" w:rsidRDefault="008D5E88" w:rsidP="00977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Є незначні обмеження (уключаючи юридичні, екологічні, соціальні) щодо  реалізації проєкту/експлуатації активу/об’єкта, земельної ділянки, на якій реалізується проєкт. Такі обмеження не впливають на стан реалізації проєкту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3F30296" w14:textId="29291AAC" w:rsidR="008D5E88" w:rsidRPr="00134862" w:rsidRDefault="008D5E88" w:rsidP="00977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Є обмеження (уключаючи юридичні, екологічні, соціальні) щодо реалізації проєкту/експлуатації активу/об’єкта, земельної ділянки, на якій реалізується проєкт.  Такі обмеження не можуть спричинити суттєвого впливу на стан реалізації проєкту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CB72410" w14:textId="133FBEB3" w:rsidR="008D5E88" w:rsidRPr="005128F1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Є обмеження (уключаючи юридичні, екологічні, соціальні) щодо  реалізації проєкту/експлуатації активу/об’єкта, земельної ділянки, на якій реалізується проєкт. Такі обмеження можуть спричинити суттєвий вплив на стан реалізації проєкту</w:t>
            </w:r>
          </w:p>
        </w:tc>
      </w:tr>
      <w:tr w:rsidR="008D5E88" w:rsidRPr="00461A54" w14:paraId="7A930F2A" w14:textId="77777777" w:rsidTr="00542DAE">
        <w:trPr>
          <w:trHeight w:val="768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5D5282E7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4174C610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DF2E1A" w14:textId="49864400" w:rsidR="008D5E88" w:rsidRPr="00461A54" w:rsidRDefault="008D5E88" w:rsidP="00AC50C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ння біз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нес-плану проє</w:t>
            </w:r>
            <w:r w:rsidR="00AC5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 пла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ну-графі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реалі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зації проє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кту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87091" w14:textId="77777777" w:rsidR="008D5E88" w:rsidRPr="00461A54" w:rsidRDefault="008D5E88" w:rsidP="00430D1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1032B56" w14:textId="20492D73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Бізнес-план,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план-графік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проєкту виконуються в установлених обсягах та термінах/виконуються з їх випередженням.</w:t>
            </w:r>
          </w:p>
          <w:p w14:paraId="51A27914" w14:textId="344552C0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Динаміка виконання показників бізнес-плану,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плану-графіка є стабільною. </w:t>
            </w:r>
          </w:p>
          <w:p w14:paraId="610BD140" w14:textId="2721C6D1" w:rsidR="008D5E88" w:rsidRPr="00134862" w:rsidRDefault="008D5E88" w:rsidP="00977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Судження банку містить обґрунтовану впевненість щодо реалістичності виконання бізнес-плану та його відповідності правовому середовищу, в якому функціонує боржник/функціонува-тиме актив/об’єкт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D676E0D" w14:textId="0FE31BDA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Бізнес-план,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план-графік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проєкту виконуються в установлених обсягах та термінах.</w:t>
            </w:r>
          </w:p>
          <w:p w14:paraId="23F5AE7C" w14:textId="777AFA5B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Динаміка виконання показників бізнес-плану,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плану-графіка є стабільною.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Є поодинокі незначні  випадки відхилення таких показників від планових (не більше ніж на  10%). </w:t>
            </w:r>
          </w:p>
          <w:p w14:paraId="233382A5" w14:textId="14892B37" w:rsidR="008D5E88" w:rsidRPr="00134862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Судження банку містить  обґрунтовану впевненість щодо реалістичності  виконання бізнес-плану та його відповідності правовому середовищу, в якому функціонує боржник/функціонува-тиме актив/об’єкт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A27C53E" w14:textId="15D07FFC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Динаміка виконання показників  бізнес-плану,</w:t>
            </w: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плану-графіка є нестабільною.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Є випадки відхилення таких показників від планових (не більше ніж на 20%).  </w:t>
            </w:r>
          </w:p>
          <w:p w14:paraId="32C69213" w14:textId="2596F340" w:rsidR="008D5E88" w:rsidRPr="00134862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Судження банку містить  обґрунтовану впевненість щодо реалістичності  виконання бізнес-плану та його відповідності правовому середовищу, в якому функціонує боржник/функціонува-тиме актив/об’єкт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6DE9F60" w14:textId="2AFEB1DF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Динаміка виконання показників  бізнес-плану,</w:t>
            </w:r>
            <w:r w:rsidRPr="005128F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плану-графіка є нестабільною.</w:t>
            </w:r>
          </w:p>
          <w:p w14:paraId="2594C965" w14:textId="07FA86C4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Відхилення показників від планових є значним (більше ніж на 20%). </w:t>
            </w:r>
          </w:p>
          <w:p w14:paraId="67BA8BD3" w14:textId="5FE0E5D3" w:rsidR="008D5E88" w:rsidRPr="005128F1" w:rsidRDefault="008D5E88" w:rsidP="00730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Судження банку не містить обґрунтованої впевненості щодо реалістичності  виконання бізнес-плану та його відповідності правовому середовищу, в якому функціонує боржник/функціонува-тиме актив/об’єкт</w:t>
            </w:r>
          </w:p>
        </w:tc>
      </w:tr>
      <w:tr w:rsidR="008D5E88" w:rsidRPr="00461A54" w14:paraId="26CD72B5" w14:textId="77777777" w:rsidTr="00542DAE">
        <w:trPr>
          <w:trHeight w:val="414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76B9C593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4FDD9A41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738137" w14:textId="7F2A3211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ння кош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су 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рат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0C70B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7509CFB" w14:textId="4C103116" w:rsidR="008D5E88" w:rsidRPr="00134862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 xml:space="preserve">Кошторис витрат на </w:t>
            </w:r>
            <w:r w:rsidRPr="00134862">
              <w:rPr>
                <w:sz w:val="28"/>
                <w:szCs w:val="28"/>
                <w:lang w:val="ru-RU"/>
              </w:rPr>
              <w:t>придбання/спорудже</w:t>
            </w:r>
            <w:r w:rsidR="00730615">
              <w:rPr>
                <w:sz w:val="28"/>
                <w:szCs w:val="28"/>
                <w:lang w:val="ru-RU"/>
              </w:rPr>
              <w:t>н</w:t>
            </w:r>
            <w:r w:rsidRPr="00134862">
              <w:rPr>
                <w:sz w:val="28"/>
                <w:szCs w:val="28"/>
                <w:lang w:val="ru-RU"/>
              </w:rPr>
              <w:t>-ня активу/</w:t>
            </w:r>
            <w:r w:rsidRPr="00134862">
              <w:rPr>
                <w:sz w:val="28"/>
                <w:szCs w:val="28"/>
              </w:rPr>
              <w:t>об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>єкта дотримано</w:t>
            </w:r>
          </w:p>
          <w:p w14:paraId="7AA3148F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D58B346" w14:textId="4BA215FE" w:rsidR="008D5E88" w:rsidRPr="00134862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 xml:space="preserve">Кошторис витрат на </w:t>
            </w:r>
            <w:r w:rsidRPr="00134862">
              <w:rPr>
                <w:sz w:val="28"/>
                <w:szCs w:val="28"/>
                <w:lang w:val="ru-RU"/>
              </w:rPr>
              <w:t>придбання/споруджен</w:t>
            </w:r>
            <w:r w:rsidR="00730615">
              <w:rPr>
                <w:sz w:val="28"/>
                <w:szCs w:val="28"/>
                <w:lang w:val="ru-RU"/>
              </w:rPr>
              <w:t>-</w:t>
            </w:r>
            <w:r w:rsidRPr="00134862">
              <w:rPr>
                <w:sz w:val="28"/>
                <w:szCs w:val="28"/>
                <w:lang w:val="ru-RU"/>
              </w:rPr>
              <w:t>ня активу/</w:t>
            </w:r>
            <w:r w:rsidRPr="00134862">
              <w:rPr>
                <w:sz w:val="28"/>
                <w:szCs w:val="28"/>
              </w:rPr>
              <w:t>об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>єкта дотримується, але є незначні перевищення (не більше ніж на 10%)</w:t>
            </w:r>
          </w:p>
          <w:p w14:paraId="2EE271E7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0386CDB" w14:textId="579E1BC4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Кошторис витрат на 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придбання/спорудження активу/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єкта перевищено не більше ніж на 20%</w:t>
            </w:r>
          </w:p>
          <w:p w14:paraId="4FB4E167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9381012" w14:textId="2E4D63B0" w:rsidR="008D5E88" w:rsidRPr="005128F1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Кошторис витрат на </w:t>
            </w:r>
            <w:r w:rsidRPr="005128F1">
              <w:rPr>
                <w:rFonts w:ascii="Times New Roman" w:hAnsi="Times New Roman"/>
                <w:sz w:val="28"/>
                <w:szCs w:val="28"/>
                <w:lang w:val="ru-RU"/>
              </w:rPr>
              <w:t>придбання/спорудження активу/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об</w:t>
            </w:r>
            <w:r w:rsidRPr="005128F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 xml:space="preserve">єкта перевищено на 20% та більше </w:t>
            </w:r>
          </w:p>
        </w:tc>
      </w:tr>
      <w:tr w:rsidR="008D5E88" w:rsidRPr="00461A54" w14:paraId="479DDACE" w14:textId="77777777" w:rsidTr="00542DAE">
        <w:trPr>
          <w:trHeight w:val="414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32B6605F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199BF574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242DEC" w14:textId="69F610A1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ви 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ворів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з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ми,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274D9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B4998ED" w14:textId="35563725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Договори з підрядниками/контр-агентами боржника щодо придбання/споруджен-ня активів/об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єктів містять фіксовані ціни та строки виконання </w:t>
            </w:r>
          </w:p>
          <w:p w14:paraId="617C8BBF" w14:textId="77777777" w:rsidR="008D5E88" w:rsidRPr="00134862" w:rsidRDefault="008D5E88" w:rsidP="00430D1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209FB74" w14:textId="06717156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Договори з підрядниками/контр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агентами боржника щодо придбання/споруд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ження активів/об’єктів містять фіксовані ціни та строки виконання, які підлягають періодичному перегляду </w:t>
            </w:r>
          </w:p>
          <w:p w14:paraId="5400352E" w14:textId="77777777" w:rsidR="008D5E88" w:rsidRPr="00134862" w:rsidRDefault="008D5E88" w:rsidP="00430D1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7050DB7" w14:textId="7A29A314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Договори з підрядниками/контр-агентами боржника щодо придбання/спорудження активів/об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єктів містять змінні ціни та строки або вони частково фіксовані</w:t>
            </w:r>
          </w:p>
          <w:p w14:paraId="020DF138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BEB941C" w14:textId="04C0F968" w:rsidR="008D5E88" w:rsidRPr="005128F1" w:rsidRDefault="008D5E88" w:rsidP="00A3539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Ціни та строки поставки активів/обʼєктів та/або виконання робіт щодо спорудження активів/об</w:t>
            </w:r>
            <w:r w:rsidRPr="005128F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єктів, визначені в договорах із підрядниками/контраген-тами боржника, не фіксовані. Мали місце випадки внесення суттєвих змін до договорів щодо цін та строків</w:t>
            </w:r>
          </w:p>
        </w:tc>
      </w:tr>
      <w:tr w:rsidR="008D5E88" w:rsidRPr="00461A54" w14:paraId="04E0A5DD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0DDFD925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5F9A1EC8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9BBD4B" w14:textId="3CADC131" w:rsidR="008D5E88" w:rsidRPr="00461A54" w:rsidRDefault="008D5E88" w:rsidP="00A353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цін</w:t>
            </w:r>
            <w:r w:rsidR="00A35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ка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ніч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ного,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гіч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ного ризи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ків проє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9A989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0A9A497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Використовуються сучасні/інноваційні випробувані технології та конструкції, успішно апробовані провідними компаніями у відповідній галузі економіки.</w:t>
            </w:r>
          </w:p>
          <w:p w14:paraId="671C1B0E" w14:textId="5A1253DF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Технічних/технологіч-них ризиків проєкту немає або вони контролюються боржником та банком</w:t>
            </w:r>
          </w:p>
          <w:p w14:paraId="3C46DEFF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5E5C098" w14:textId="24E5F84F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Використовуються випробувані технології та конструкції, які пройшли апробації, але не мають широкого застосування у відповідній галузі економіки, мають технічні/технологічні проблеми впровадження, які вирішуються протягом трьох місяців та не впливають на строк завершення проєкту.</w:t>
            </w:r>
          </w:p>
          <w:p w14:paraId="18387741" w14:textId="14637532" w:rsidR="008D5E88" w:rsidRPr="00134862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Технічних/технологіч-</w:t>
            </w:r>
          </w:p>
          <w:p w14:paraId="5A1A4688" w14:textId="45683F04" w:rsidR="008D5E88" w:rsidRPr="00134862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них ризиків проєкту немає або вони контролюються боржником та банком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D10BBE7" w14:textId="3AC4D75C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Використовуються конструкції та інноваційні технології, щодо яких немає документального підтвердження  успішної  апробації, </w:t>
            </w:r>
            <w:r w:rsidR="00AC50C2">
              <w:rPr>
                <w:rFonts w:ascii="Times New Roman" w:hAnsi="Times New Roman"/>
                <w:sz w:val="28"/>
                <w:szCs w:val="28"/>
              </w:rPr>
              <w:t xml:space="preserve">які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мають технічні/технологічні проблеми впровадження, вирішення яких із високим ступенем вірогідності забезпечуватиметься протягом шести місяців.</w:t>
            </w:r>
          </w:p>
          <w:p w14:paraId="4605675B" w14:textId="51E655B5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Технічні/технологічні ризики проєкту  контролюються боржником та банком</w:t>
            </w:r>
          </w:p>
          <w:p w14:paraId="585AF11D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3E0C452" w14:textId="28049246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Використовуються невипробувані конструкції та технології. Є технічні/технологічні проблеми впровадження, вирішення яких впливає на збільшення строку завершення/реалізації проєкту.</w:t>
            </w:r>
          </w:p>
          <w:p w14:paraId="50D84F03" w14:textId="61D8431F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Технічні/технологічні ризики проєкту значні або непідконтрольні чи немає </w:t>
            </w:r>
            <w:r w:rsidRPr="005128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 xml:space="preserve">контролю боржника та банку  </w:t>
            </w:r>
          </w:p>
          <w:p w14:paraId="155BFC09" w14:textId="77777777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E88" w:rsidRPr="00461A54" w14:paraId="79CD564C" w14:textId="77777777" w:rsidTr="00542DAE">
        <w:trPr>
          <w:trHeight w:val="694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3947B26D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0E94E0B5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E5AB2C" w14:textId="4698934E" w:rsidR="008D5E88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нічні/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гічні 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ваги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ву/</w:t>
            </w:r>
          </w:p>
          <w:p w14:paraId="007D42D2" w14:textId="6657F0E0" w:rsidR="008D5E88" w:rsidRPr="00461A54" w:rsidRDefault="008D5E8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єк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91534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02F5E76" w14:textId="69C5F1F5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Актив/об’єкт порівняно з наявними аналогами   має переваги в  технічних/технологіч-них рішеннях, умовах забезпечення функціонування.</w:t>
            </w:r>
          </w:p>
          <w:p w14:paraId="576EA7D4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Використовуються сучасні/інноваційні випробувані технології та конструкції, успішно апробовані провідними компаніями у відповідній галузі економіки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B295C70" w14:textId="547A35A0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Актив/об’єкт відповідає наявним аналогам у  технічних/технологіч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них рішеннях, умовах забезпечення функціонування</w:t>
            </w:r>
          </w:p>
          <w:p w14:paraId="0CCC0829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A61CDB6" w14:textId="69E6780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Актив/об’єкт  порівняно з  наявними аналогами в окремих аспектах є менш конкурентним, ніж    технічні/технологічні рішення, умови забезпечення функціонування  </w:t>
            </w:r>
          </w:p>
          <w:p w14:paraId="651D7729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5BCF98D" w14:textId="6335B847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Актив/об’єкт порівняно з наявними аналогами  значною мірою не є конкурентним за   технічними/технологіч-ними рішеннями, умовами забезпечення функціонування </w:t>
            </w:r>
          </w:p>
          <w:p w14:paraId="2DBE54F0" w14:textId="77777777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6257" w:rsidRPr="00461A54" w14:paraId="7E7CD8A8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55749D04" w14:textId="77777777" w:rsidR="00576257" w:rsidRPr="00461A54" w:rsidRDefault="00576257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75B88295" w14:textId="77777777" w:rsidR="00576257" w:rsidRPr="00461A54" w:rsidRDefault="00576257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23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76900E" w14:textId="58DA7810" w:rsidR="00576257" w:rsidRPr="00461A54" w:rsidRDefault="00576257" w:rsidP="00A3539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ташу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вання та 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фра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="00A353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тура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ву/</w:t>
            </w:r>
            <w:r w:rsidR="00A3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єк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14193" w14:textId="77777777" w:rsidR="00576257" w:rsidRPr="00461A54" w:rsidRDefault="00576257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EBD9219" w14:textId="1AA053C9" w:rsidR="00576257" w:rsidRPr="00134862" w:rsidRDefault="00A35397" w:rsidP="00430D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99A9FEC" w14:textId="4C865520" w:rsidR="00576257" w:rsidRPr="00461A54" w:rsidRDefault="00A35397" w:rsidP="00430D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BF60E95" w14:textId="547D2526" w:rsidR="00576257" w:rsidRPr="00461A54" w:rsidRDefault="00576257" w:rsidP="00B901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єкт неру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хомос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ті має  значні перева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ги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сіх аспек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тах: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архі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текту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рі/ди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зайні/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техніч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ному осна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щен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і/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розви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нутос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ті  інфра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струк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тури/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бізнес-актив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ності/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рекре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ацій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ності місц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90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розта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шува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ння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99A288B" w14:textId="7093B21B" w:rsidR="00576257" w:rsidRPr="00134862" w:rsidRDefault="00A35397" w:rsidP="00430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A124219" w14:textId="765F19C6" w:rsidR="00576257" w:rsidRPr="00461A54" w:rsidRDefault="00A35397" w:rsidP="00430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97E9E9C" w14:textId="663F4C55" w:rsidR="00576257" w:rsidRPr="00461A54" w:rsidRDefault="00576257" w:rsidP="00B901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Об’єкт неру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хомості має  значні перева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ги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 біль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шості з аспек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тів: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 архі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текту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рі/ди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зайні/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техніч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ному осна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щен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і/розви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нутості  інфра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струк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тури/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бізнес-актив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ності/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рекре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ацій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ності місц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90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розта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шува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ння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997A53B" w14:textId="27F0AED4" w:rsidR="00576257" w:rsidRPr="00134862" w:rsidRDefault="00A35397" w:rsidP="00430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9AAAB1E" w14:textId="08655240" w:rsidR="00576257" w:rsidRPr="00461A54" w:rsidRDefault="00A35397" w:rsidP="00430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37359D7" w14:textId="455FD653" w:rsidR="00576257" w:rsidRPr="00461A54" w:rsidRDefault="00576257" w:rsidP="00B901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Об’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єкт неру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хомо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сті не має  знач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них пере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ваг у біль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шості з аспек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тів: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архі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текту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рі/ди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зайні/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техні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чному осна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щен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і/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розви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нутос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ті інфра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струк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тури/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біз</w:t>
            </w:r>
            <w:r w:rsidR="00A35397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нес-актив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ності/</w:t>
            </w:r>
            <w:r w:rsidR="00A35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рекре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ацій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ності місц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90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розта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шува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6420DE5" w14:textId="383138FE" w:rsidR="00576257" w:rsidRPr="005128F1" w:rsidRDefault="00A35397" w:rsidP="00430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2280EF8" w14:textId="1C9FA302" w:rsidR="00576257" w:rsidRPr="005128F1" w:rsidRDefault="00A35397" w:rsidP="00430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5D31942" w14:textId="2B9CBC49" w:rsidR="00576257" w:rsidRPr="00461A54" w:rsidRDefault="00576257" w:rsidP="00B111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 xml:space="preserve">Об’єкт нерухомості не має  переваг </w:t>
            </w:r>
            <w:r w:rsidR="00B90128">
              <w:rPr>
                <w:rFonts w:ascii="Times New Roman" w:hAnsi="Times New Roman"/>
                <w:sz w:val="28"/>
                <w:szCs w:val="28"/>
              </w:rPr>
              <w:t>у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таких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аспек</w:t>
            </w:r>
            <w:r w:rsidR="00B90128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 xml:space="preserve">тах: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архіте</w:t>
            </w:r>
            <w:r w:rsidR="00B111EC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ктурі/</w:t>
            </w:r>
            <w:r w:rsidR="00B11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дизай</w:t>
            </w:r>
            <w:r w:rsidR="00B111EC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ні/тех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нічно</w:t>
            </w:r>
            <w:r w:rsidR="00B111EC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му осна</w:t>
            </w:r>
            <w:r w:rsidR="00B111EC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щен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і/</w:t>
            </w:r>
            <w:r w:rsidR="00B11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розви</w:t>
            </w:r>
            <w:r w:rsidR="00B111EC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нутості інфра</w:t>
            </w:r>
            <w:r w:rsidR="00B111EC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струк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тури/</w:t>
            </w:r>
            <w:r w:rsidR="00B11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бізнес-актив</w:t>
            </w:r>
            <w:r w:rsidR="00B111EC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ності/</w:t>
            </w:r>
            <w:r w:rsidR="00B11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рекре</w:t>
            </w:r>
            <w:r w:rsidR="00B111EC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ацій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ності місц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11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розта</w:t>
            </w:r>
            <w:r w:rsidR="00037803" w:rsidRPr="0003780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шуван</w:t>
            </w:r>
            <w:r w:rsidR="00037803" w:rsidRPr="00037803">
              <w:rPr>
                <w:rFonts w:ascii="Times New Roman" w:hAnsi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</w:tr>
      <w:tr w:rsidR="008D5E88" w:rsidRPr="00461A54" w14:paraId="2FF0A9E3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1690A383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45DDA371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D4117F" w14:textId="3485E90C" w:rsidR="008D5E88" w:rsidRPr="005B7E2D" w:rsidRDefault="008D5E88" w:rsidP="006E289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трок кори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сного 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тання (екс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плуа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тації) акти</w:t>
            </w:r>
            <w:r w:rsidRPr="00F06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6E2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єк</w:t>
            </w:r>
            <w:r w:rsidRPr="006E2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0211B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BF2FF33" w14:textId="16400F14" w:rsidR="008D5E88" w:rsidRPr="00134862" w:rsidRDefault="008D5E88" w:rsidP="006E2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Строк корисного (корисної) використання (експлуатації) активу/об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єкта, створеного внаслідок реалізації проєкту, значно (більше ніж у пʼять разів) перевищує строк дії кредитного договору 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434FAB5" w14:textId="3AE7335A" w:rsidR="008D5E88" w:rsidRPr="00134862" w:rsidRDefault="008D5E88" w:rsidP="006E2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Строк корисного (корисної) використання (експлуатації) активу/об’єкта, створеного внаслідок реалізації проєкту, суттєво (більше ніж у три рази) перевищує строк дії кредитного договору 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F82A78D" w14:textId="69370D1B" w:rsidR="008D5E88" w:rsidRPr="00134862" w:rsidRDefault="008D5E88" w:rsidP="007E4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Строк корисного (корисної) використання (експлуатації) активу/об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єкта, створеного внаслідок</w:t>
            </w:r>
            <w:r w:rsidRPr="00134862" w:rsidDel="005B7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реалізації проєкту, перевищує (більше ніж у два рази) строк дії кредитного договору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262B618" w14:textId="1CFF1E1E" w:rsidR="008D5E88" w:rsidRPr="005128F1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Строк корисного (корисної) використання (експлуатації) активу/об</w:t>
            </w:r>
            <w:r w:rsidRPr="005128F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єкта, створеного внаслідок реалізації проєкту, наближений до строку  дії кредитного договору</w:t>
            </w:r>
          </w:p>
        </w:tc>
      </w:tr>
      <w:tr w:rsidR="008D5E88" w:rsidRPr="00461A54" w14:paraId="53FE0269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3EB223E9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53186F32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6EAAED" w14:textId="02332F02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совий стан ініці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атора, гене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ного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ника проє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0372B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07123D9" w14:textId="009F057F" w:rsidR="008D5E88" w:rsidRPr="00134862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Фінансовий стан ініціатора та/або генерального підрядника проєкту відповідно до внутрішньобанківської методики  визначено за  даними останньої річної фінансової звітності  як високий  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F78EA49" w14:textId="6FA27B3B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Фінансовий стан ініціатора та/або генерального підрядника проєкту відповідно до внутрішньобанківської методики  визначено за  даними останньої річної фінансової звітності  як добрий 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CC0E409" w14:textId="475E69B5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Фінансовий стан ініціатора та/або генерального підрядника проєкту відповідно до внутрішньобанківської методики  визначено за  даними останньої річної фінансової звітності  як задовільний </w:t>
            </w:r>
          </w:p>
          <w:p w14:paraId="4EF90E3A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A3A28F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7A01978" w14:textId="7C47333F" w:rsidR="008D5E88" w:rsidRPr="005128F1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Фінансовий стан ініціатора та/або генерального підрядника проєкту відповідно до внутрішньобанківської методики  визначено за  даними останньої річної фінансової звітності  як незадовільний </w:t>
            </w:r>
          </w:p>
        </w:tc>
      </w:tr>
      <w:tr w:rsidR="008D5E88" w:rsidRPr="00461A54" w14:paraId="4E23F11A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52AF4CB0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26</w:t>
            </w:r>
          </w:p>
          <w:p w14:paraId="2A1DCDE9" w14:textId="77777777" w:rsidR="008D5E88" w:rsidRPr="00461A54" w:rsidRDefault="008D5E88" w:rsidP="00430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5471328B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ACE29A" w14:textId="047CA814" w:rsidR="008D5E88" w:rsidRPr="00461A54" w:rsidRDefault="008D5E88" w:rsidP="007E446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іло</w:t>
            </w:r>
            <w:r w:rsidR="007E4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ва репу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тація ініці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атора та гене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ного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ника проє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кту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DFB33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A54">
              <w:rPr>
                <w:rFonts w:ascii="Times New Roman" w:hAnsi="Times New Roman"/>
                <w:sz w:val="28"/>
                <w:szCs w:val="28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01A916C" w14:textId="36BBD758" w:rsidR="008D5E88" w:rsidRPr="00134862" w:rsidRDefault="008D5E88" w:rsidP="005B7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Ініціатор та генеральний підрядник проєкту мають бездоганну ділову репутацію, досвід роботи у відповідній галузі не менше 10 років, досвід реалізації проєктів, аналогічних за масштабом та складністю 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44400EE" w14:textId="448274E0" w:rsidR="008D5E88" w:rsidRPr="00134862" w:rsidRDefault="008D5E88" w:rsidP="007E4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Ініціатор та генеральний підрядник проєкту мають бездоганну ділову репутацію, досвід роботи у відповідній галузі не менше пʼяти років, документально підтверджений досвід реалізації проєктів, аналогічних за масштабом та складністю</w:t>
            </w:r>
          </w:p>
          <w:p w14:paraId="0FE45CD1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6C973CD" w14:textId="6DDC80C5" w:rsidR="008D5E88" w:rsidRPr="00134862" w:rsidRDefault="008D5E88">
            <w:pPr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Ініціатор та генеральний підрядник проєкту мають позитивну ділову репутацію, досвід роботи у відповідній галузі  менше пʼяти  років, немає документально підтвердженої інформації щодо досвіду реалізації проєктів 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A5DDE40" w14:textId="4D9F591B" w:rsidR="008D5E88" w:rsidRPr="005128F1" w:rsidRDefault="008D5E88" w:rsidP="007E44D3">
            <w:pPr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Ініціатор та/або  генеральний підрядник проєкту мають незадовільну ділову репутацію або інформації щодо ділової репутації немає та/або ініціатор та/або  генеральний підрядник  мають досвід роботи у відповідній галузі  менше одного року, не мають досвіду реалізації  аналогічних проєктів або мають поточні проєкти, що не  виконуються в строк, та/або   мають обмеження щодо діяльності, що можуть вплинути на стан реалізації проєкту   </w:t>
            </w:r>
          </w:p>
        </w:tc>
      </w:tr>
      <w:tr w:rsidR="008D5E88" w:rsidRPr="00461A54" w14:paraId="419E69BF" w14:textId="77777777" w:rsidTr="00542DAE">
        <w:trPr>
          <w:trHeight w:val="414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53E54098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1CEBF25E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27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BDD040" w14:textId="6FD21426" w:rsidR="008D5E88" w:rsidRPr="00461A54" w:rsidRDefault="008D5E88" w:rsidP="00430D19">
            <w:pPr>
              <w:pStyle w:val="HTM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ність  гаран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тії/фі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сової пору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14:paraId="66EAE164" w14:textId="77777777" w:rsidR="008D5E88" w:rsidRPr="00461A54" w:rsidRDefault="008D5E88" w:rsidP="00430D19">
            <w:pPr>
              <w:pStyle w:val="HTM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5B7BB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0F66B2F" w14:textId="3C3C9F06" w:rsidR="008D5E88" w:rsidRPr="00134862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Ініціатором проєкту/контролером ініціатора проєкту  на користь банку  надано гарантію/фінансову поруку, якою передбачено зобов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 xml:space="preserve">язання компенсувати додаткові/непередбачу-вані витрати за проєктом. </w:t>
            </w:r>
          </w:p>
          <w:p w14:paraId="787AB347" w14:textId="65EA6769" w:rsidR="008D5E88" w:rsidRPr="00134862" w:rsidRDefault="008D5E88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Банком за результатом аналізу фінансового стану гаранта/поручителя, здійсненого  відповідно до внутрішньобанківської методики, сформовано судження про обґрунтовану впевненість у спроможності  гаранта/поручителя виконати надане зобов’язання.</w:t>
            </w:r>
          </w:p>
          <w:p w14:paraId="2D624DE0" w14:textId="6C3D49D2" w:rsidR="008D5E88" w:rsidRPr="00134862" w:rsidRDefault="008D5E88" w:rsidP="00B6716A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Виконання гарантом/поручителем зобов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>язання за  наданою гарантією/фінансовою порукою не матиме впливу на його фінансову стійкість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F525228" w14:textId="19FFB38A" w:rsidR="008D5E88" w:rsidRPr="00134862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Ініціатором проєкту/контролером ініціатора проєкту  на користь банку  надано гарантію/фінансову поруку, якою передбачено зобов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>язання компенсувати додаткові/непередба</w:t>
            </w:r>
            <w:r w:rsidR="00991313">
              <w:rPr>
                <w:sz w:val="28"/>
                <w:szCs w:val="28"/>
              </w:rPr>
              <w:t>-</w:t>
            </w:r>
            <w:r w:rsidRPr="00134862">
              <w:rPr>
                <w:sz w:val="28"/>
                <w:szCs w:val="28"/>
              </w:rPr>
              <w:t xml:space="preserve">чувані витрати за проєктом. </w:t>
            </w:r>
          </w:p>
          <w:p w14:paraId="0426A2D3" w14:textId="16B01971" w:rsidR="008D5E88" w:rsidRPr="00134862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Банком за результатом аналізу фінансового стану гаранта/поручителя, здійсненого  відповідно до внутрішньобанківської методики, сформовано судження про обґрунтовану впевненість у спроможності  гаранта/поручителя виконати надане зобов’язання.</w:t>
            </w:r>
          </w:p>
          <w:p w14:paraId="6D143052" w14:textId="77777777" w:rsidR="008D5E88" w:rsidRDefault="008D5E88" w:rsidP="00B6716A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Виконання гарантом/поручителем зобов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>язання за  наданою гарантією/фінансовою порукою не матиме суттєвого впливу на його фінансову стійкість</w:t>
            </w:r>
          </w:p>
          <w:p w14:paraId="3391A7CF" w14:textId="60EC876C" w:rsidR="00991313" w:rsidRPr="00134862" w:rsidRDefault="00991313" w:rsidP="00B6716A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5DF80AB" w14:textId="24DCDC12" w:rsidR="008D5E88" w:rsidRPr="00134862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Ініціатором проєкту/контролером ініціатора проєкту  на користь банку  надано гарантію/фінансову поруку, якою передбачено зобов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 xml:space="preserve">язання компенсувати додаткові/непередбачу-вані витрати за проєктом. </w:t>
            </w:r>
          </w:p>
          <w:p w14:paraId="1A582379" w14:textId="7CCCB294" w:rsidR="008D5E88" w:rsidRPr="00134862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Банком за результатом аналізу фінансового стану гаранта/поручителя, здійсненого  відповідно до внутрішньобанківської методики, сформовано судження про обґрунтовану впевненість у спроможності  гаранта/поручителя виконати надане зобов’язання.</w:t>
            </w:r>
          </w:p>
          <w:p w14:paraId="69607451" w14:textId="06FF0E81" w:rsidR="008D5E88" w:rsidRPr="00134862" w:rsidRDefault="008D5E88" w:rsidP="00B6716A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Виконання гарантом/поручителем зобов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>язання за  наданою гарантією/фінансовою порукою не призведе до втрати ним фінансової стійкості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45B47A1" w14:textId="0835EE90" w:rsidR="008D5E88" w:rsidRPr="005128F1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28F1">
              <w:rPr>
                <w:sz w:val="28"/>
                <w:szCs w:val="28"/>
              </w:rPr>
              <w:t xml:space="preserve">Немає гарантії/фінансової поруки ініціатора проєкту/контролера ініціатора проєкту  на користь банку, якою передбачено зобов’язання компенсувати додаткові/непередбачу-вані витрати за проєктом. </w:t>
            </w:r>
          </w:p>
          <w:p w14:paraId="2CD7BD29" w14:textId="3A19B972" w:rsidR="008D5E88" w:rsidRPr="005128F1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28F1">
              <w:rPr>
                <w:sz w:val="28"/>
                <w:szCs w:val="28"/>
              </w:rPr>
              <w:t>Або за наявності такої гарантії/фінансової поруки банком за результатом аналізу фінансового стану гаранта/поручителя, здійсненого  відповідно до внутрішньобанківської методики, сформовано судження про те, що немає  спроможності  гаранта/поручителя виконати надане зобов’язання</w:t>
            </w:r>
          </w:p>
          <w:p w14:paraId="6B80A748" w14:textId="77777777" w:rsidR="008D5E88" w:rsidRPr="005128F1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5E88" w:rsidRPr="00461A54" w14:paraId="58D5EAE5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754B9023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  <w:r w:rsidRPr="00461A5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6EE5810E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94D6F7" w14:textId="7318237A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дична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запе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ність 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нання гаран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тії/фі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сової пору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7BCB0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І, ІІ 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5DE88A0" w14:textId="4C732770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Надана ініціатором проєкту/контролером ініціатора проєкту  гарантія/фінансова порука є безумовною та безвідкличною, немає юридичних обмежень щодо її виконання</w:t>
            </w:r>
          </w:p>
          <w:p w14:paraId="052C300E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B3C38F8" w14:textId="6696DEF8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Надана ініціатором проєкту/контролером ініціатора проєкту  гарантія/фінансова порука є безумовною та безвідкличною. Є потенційний ризик виникнення юридичних обмежень щодо її виконання</w:t>
            </w:r>
          </w:p>
          <w:p w14:paraId="20623832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3128F2F" w14:textId="3DBAC96B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Надана ініціатором проєкту/контролером ініціатора проєкту  гарантія/фінансова порука є безумовною та безвідкличною. Є обґрунтовані підстави стосовно реалізації ризику виникнення юридичних обмежень щодо її виконання</w:t>
            </w:r>
          </w:p>
          <w:p w14:paraId="2A0BE0AE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4B74E8D" w14:textId="105F23E6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 xml:space="preserve">Зобов’язання ініціатора проєкту/контролера ініціатора проєкту за  гарантією/фінансовою порукою не є безумовним та безвідкличним. Є юридичні обмеження щодо її виконання </w:t>
            </w:r>
          </w:p>
          <w:p w14:paraId="274D3ACF" w14:textId="77777777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E88" w:rsidRPr="00461A54" w14:paraId="76397792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21A128E9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1A54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3EAB44B1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77102B" w14:textId="2CF0F4C4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вність проє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ктно-кош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сної доку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тації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4219B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І, ІІ 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67A04EF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Проєктно-кошторисна документація, надана ініціатором проєкту, містить достатній обсяг інформації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 для адекватної оцінки банком стану реалізації проєкту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21C258E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Проєктно-кошторисна документація, надана ініціатором проєкту, містить інформацію, яка в суттєвих аспектах забезпечує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адекватну оцінку банком стану реалізації проєкту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CD9A588" w14:textId="4988CFD7" w:rsidR="008D5E88" w:rsidRPr="00134862" w:rsidRDefault="008D5E88" w:rsidP="00991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Проєктно-кошторисна документація, надана ініціатором проєкту, потребує додаткової інформації 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>для адекватної оцінки банком стану реалізації проєкту, яку банк очікує отримати від ініціатора найближчим часом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4B0304C" w14:textId="77777777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Проєктно-кошторисна документація, надана ініціатором проєкту, не містить достатнього обсягу інформації для о</w:t>
            </w:r>
            <w:r w:rsidRPr="005128F1">
              <w:rPr>
                <w:rFonts w:ascii="Times New Roman" w:hAnsi="Times New Roman"/>
                <w:sz w:val="28"/>
                <w:szCs w:val="28"/>
              </w:rPr>
              <w:t>цінки банком стану реалізації проєкту</w:t>
            </w:r>
          </w:p>
        </w:tc>
      </w:tr>
      <w:tr w:rsidR="008D5E88" w:rsidRPr="00461A54" w14:paraId="4F781AD2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15AD2370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1A54">
              <w:rPr>
                <w:sz w:val="28"/>
                <w:szCs w:val="28"/>
              </w:rPr>
              <w:t>3</w:t>
            </w:r>
            <w:r w:rsidRPr="00461A5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2E353BDB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4614ED" w14:textId="32EABE3F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тивні права ініці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атора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єкту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DB62B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F6262F0" w14:textId="729155D1" w:rsidR="008D5E88" w:rsidRPr="00134862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У забезпечення за кредитом надані корпоративні права (акції акціонерного товариства, внески в статутний фонд підприємства) ініціатора проєкту в обсязі 100% 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C7A90CB" w14:textId="61704A7D" w:rsidR="008D5E88" w:rsidRPr="00134862" w:rsidRDefault="008D5E88" w:rsidP="00991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У забезпечення за кредитом надані корпоративні права (акції акціонерного товариства, внески в статутний фонд підприємства) ініціатора проєкту в обсязі 51% + 1% або більше</w:t>
            </w: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5117C1B" w14:textId="3A0061A1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У забезпечення за кредитом надані корпоративні права (акції акціонерного товариства, внески у статутний фонд підприємства) ініціатора проєкту в обсязі 20% або більше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AD31923" w14:textId="3BAE2CC3" w:rsidR="008D5E88" w:rsidRPr="005128F1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Немає забезпечення за кредитом у вигляді корпоративних прав (акцій акціонерного товариства, внесків у статутний фонд підприємства) ініціатора  проєкту або їх обсяг становить не менше 10%</w:t>
            </w:r>
          </w:p>
        </w:tc>
      </w:tr>
      <w:tr w:rsidR="008D5E88" w:rsidRPr="00461A54" w14:paraId="020E29FA" w14:textId="77777777" w:rsidTr="00542DAE">
        <w:trPr>
          <w:trHeight w:val="49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4DA9D297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1A54">
              <w:rPr>
                <w:sz w:val="28"/>
                <w:szCs w:val="28"/>
              </w:rPr>
              <w:t>3</w:t>
            </w:r>
            <w:r w:rsidRPr="00461A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0700BEB4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31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A0BCAF" w14:textId="7E722790" w:rsidR="008D5E88" w:rsidRPr="00461A54" w:rsidRDefault="008D5E88" w:rsidP="009913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991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єкт, що фіна</w:t>
            </w:r>
            <w:r w:rsidR="007E44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нсу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-є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r w:rsidR="005A0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дано </w:t>
            </w:r>
            <w:r w:rsidR="007E44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44D3"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заста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ву банку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34F61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4153480" w14:textId="23F8156D" w:rsidR="008D5E88" w:rsidRPr="00134862" w:rsidRDefault="008D5E88" w:rsidP="00945C9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  <w:r w:rsidRPr="00134862">
              <w:rPr>
                <w:sz w:val="28"/>
                <w:szCs w:val="28"/>
              </w:rPr>
              <w:t>Банк має вищий пріоритет обтяження на актив/об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>єкт, що фінансується за проєктом, у відповідному реєстрі згідно з вимогами законодавства України на строк не менше ніж строк дії кредитного договору та не має обмежень щодо звернення стягнення на заставне майно та подальшої його реалізації в разі невиконання боржником зобовʼязань за договором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C8BDD48" w14:textId="7F5AAF3D" w:rsidR="008D5E88" w:rsidRPr="00134862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862">
              <w:rPr>
                <w:sz w:val="28"/>
                <w:szCs w:val="28"/>
              </w:rPr>
              <w:t>Банк має вищий пріоритет обтяження на актив/об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>єкт, що фінансується за проєктом, у відповідному реєстрі згідно з вимогами законодавства України на строк менше ніж строк дії кредитного договору та не має обмежень щодо звернення стягнення на заставне майно та подальшої його реалізації в разі невиконання боржником зобовʼязань за договором</w:t>
            </w:r>
          </w:p>
          <w:p w14:paraId="0CB4E847" w14:textId="77777777" w:rsidR="008D5E88" w:rsidRPr="00134862" w:rsidRDefault="008D5E88" w:rsidP="00430D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CC7D4FB" w14:textId="5501C3A6" w:rsidR="008D5E88" w:rsidRPr="00134862" w:rsidRDefault="008D5E88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  <w:r w:rsidRPr="00134862">
              <w:rPr>
                <w:sz w:val="28"/>
                <w:szCs w:val="28"/>
              </w:rPr>
              <w:t>Банк має вищий пріоритет обтяження на актив/об</w:t>
            </w:r>
            <w:r w:rsidRPr="00134862">
              <w:rPr>
                <w:sz w:val="28"/>
                <w:szCs w:val="28"/>
                <w:lang w:val="ru-RU"/>
              </w:rPr>
              <w:t>’</w:t>
            </w:r>
            <w:r w:rsidRPr="00134862">
              <w:rPr>
                <w:sz w:val="28"/>
                <w:szCs w:val="28"/>
              </w:rPr>
              <w:t>єкт, що фінансується за проєктом, у відповідному реєстрі згідно з вимогами законодавства України на строк  не менше ніж строк дії кредитного договору та має обмеження щодо звернення стягнення на заставне майно та подальшої його реалізації в разі невиконання боржником зобовʼязань за договором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94257CE" w14:textId="1D0EE3D6" w:rsidR="008D5E88" w:rsidRPr="005128F1" w:rsidRDefault="008D5E88" w:rsidP="00430D19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28F1">
              <w:rPr>
                <w:sz w:val="28"/>
                <w:szCs w:val="28"/>
              </w:rPr>
              <w:t>Банк не має вищого пріоритету обтяження на актив/об’єкт, що фінансується за проєктом, у відповідному реєстрі згідно з вимогами законодавства України або має обмеження щодо звернення стягнення на заставне майно та подальшої його реалізації в разі невиконання боржником зобовʼязань за договором</w:t>
            </w:r>
          </w:p>
          <w:p w14:paraId="312F63A3" w14:textId="77777777" w:rsidR="008D5E88" w:rsidRPr="005128F1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E88" w:rsidRPr="00461A54" w14:paraId="073DEB7E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746D136A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1A54">
              <w:rPr>
                <w:sz w:val="28"/>
                <w:szCs w:val="28"/>
              </w:rPr>
              <w:t>3</w:t>
            </w:r>
            <w:r w:rsidRPr="00461A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178EC12C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32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958289" w14:textId="608D8E8C" w:rsidR="008D5E88" w:rsidRPr="00461A54" w:rsidRDefault="008D5E88" w:rsidP="007E44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троль 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44D3" w:rsidRPr="00461A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44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-кре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дито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44D3" w:rsidRPr="00461A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44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44D3"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3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44D3" w:rsidRPr="00461A54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7E44D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E44D3"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пото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44D3" w:rsidRPr="00461A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44D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E44D3" w:rsidRPr="004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жника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D9B89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>І, ІІ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904A179" w14:textId="7777777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Усі грошові потоки боржника  проходять через банк.</w:t>
            </w:r>
          </w:p>
          <w:p w14:paraId="71B37C77" w14:textId="4BF7B557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Банк має в достатньому обсязі інформацію для здійснення адекватного контролю за грошовими потоками боржника.</w:t>
            </w:r>
          </w:p>
          <w:p w14:paraId="539B45C3" w14:textId="5EFBDC90" w:rsidR="008D5E88" w:rsidRPr="00134862" w:rsidRDefault="008D5E88" w:rsidP="000D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 xml:space="preserve">Банк  здійснює на постійній основі  контроль за грошовими потоками боржника 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6D03165" w14:textId="7F4972B9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Не менше ніж 80% грошових потоків боржника проходить через банк.</w:t>
            </w:r>
          </w:p>
          <w:p w14:paraId="7C03A436" w14:textId="3FC3316C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Банк має в достатньому обсязі інформацію для здійснення адекватного контролю за грошовими потоками боржника.</w:t>
            </w:r>
          </w:p>
          <w:p w14:paraId="05D72F37" w14:textId="77777777" w:rsidR="008D5E88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Банк  здійснює на постійній основі  контроль за грошовими потоками боржника</w:t>
            </w:r>
          </w:p>
          <w:p w14:paraId="0015331C" w14:textId="33635C42" w:rsidR="00991313" w:rsidRPr="00134862" w:rsidRDefault="00991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8566647" w14:textId="697D5E59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Не менше ніж 50% грошових потоків боржника проходить через банк.</w:t>
            </w:r>
          </w:p>
          <w:p w14:paraId="359E98F9" w14:textId="099968E8" w:rsidR="008D5E88" w:rsidRPr="00134862" w:rsidRDefault="008D5E88" w:rsidP="00430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Банк має в достатньому обсязі інформацію для здійснення адекватного контролю за грошовими потоками боржника.</w:t>
            </w:r>
          </w:p>
          <w:p w14:paraId="03459213" w14:textId="6B6F1A16" w:rsidR="008D5E88" w:rsidRPr="00134862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Банк  здійснює на постійній основі  контроль за грошовими потоками боржника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A49408C" w14:textId="6B035232" w:rsidR="008D5E88" w:rsidRPr="005128F1" w:rsidRDefault="008D5E88" w:rsidP="000D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8F1">
              <w:rPr>
                <w:rFonts w:ascii="Times New Roman" w:hAnsi="Times New Roman"/>
                <w:sz w:val="28"/>
                <w:szCs w:val="28"/>
              </w:rPr>
              <w:t>Менше ніж 50% грошових потоків боржника проходить через банк або банк не має в достатньому обсязі інформації для здійснення адекватного контролю за грошовими потоками боржника або не здійснює на постійній основі  контроль за грошовими потоками боржника</w:t>
            </w:r>
          </w:p>
        </w:tc>
      </w:tr>
      <w:tr w:rsidR="008D5E88" w:rsidRPr="00461A54" w14:paraId="4CD17AF6" w14:textId="77777777" w:rsidTr="00542DAE">
        <w:trPr>
          <w:trHeight w:val="55"/>
        </w:trPr>
        <w:tc>
          <w:tcPr>
            <w:tcW w:w="533" w:type="dxa"/>
            <w:tcBorders>
              <w:left w:val="outset" w:sz="6" w:space="0" w:color="auto"/>
              <w:right w:val="outset" w:sz="6" w:space="0" w:color="auto"/>
            </w:tcBorders>
          </w:tcPr>
          <w:p w14:paraId="6D7FEFD3" w14:textId="77777777" w:rsidR="008D5E88" w:rsidRPr="00461A54" w:rsidRDefault="008D5E88" w:rsidP="00430D19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  <w:r w:rsidRPr="00461A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6020748D" w14:textId="77777777" w:rsidR="008D5E88" w:rsidRPr="00461A54" w:rsidRDefault="008D5E88" w:rsidP="00430D19">
            <w:pPr>
              <w:pStyle w:val="HTM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33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242BA6" w14:textId="351DE875" w:rsidR="008D5E88" w:rsidRPr="00461A54" w:rsidRDefault="008D5E88" w:rsidP="00991313">
            <w:pPr>
              <w:pStyle w:val="HTM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ви 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вору 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хува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ння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991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єк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A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B64C1" w14:textId="77777777" w:rsidR="008D5E88" w:rsidRPr="00461A54" w:rsidRDefault="008D5E88" w:rsidP="00430D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І, ІІ 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0453E12" w14:textId="560758A2" w:rsidR="008D5E88" w:rsidRPr="00134862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Банк є вигодонабувачем за договором страхування активу/об’єкта, що фінансується за проєктом, який забезпечує  значний рівень покриття ризиків від втрати/пошкодження активу/об</w:t>
            </w:r>
            <w:r w:rsidRPr="0013486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134862">
              <w:rPr>
                <w:rFonts w:ascii="Times New Roman" w:hAnsi="Times New Roman"/>
                <w:sz w:val="28"/>
                <w:szCs w:val="28"/>
              </w:rPr>
              <w:t xml:space="preserve">єкта (франшиза 0%) </w:t>
            </w:r>
          </w:p>
        </w:tc>
        <w:tc>
          <w:tcPr>
            <w:tcW w:w="2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D576732" w14:textId="77777777" w:rsidR="008D5E88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Банк є вигодонабувачем за договором страхування активу/об’єкта, що фінансується за проєктом, який забезпечує  високий рівень покриття ризиків від втрати/пошкодження активу/об’єкта (франшиза до 20%)</w:t>
            </w:r>
          </w:p>
          <w:p w14:paraId="4B6AF90D" w14:textId="61DD2EC0" w:rsidR="00991313" w:rsidRPr="00134862" w:rsidRDefault="00991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1E1509F" w14:textId="791010EF" w:rsidR="008D5E88" w:rsidRPr="00134862" w:rsidRDefault="008D5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862">
              <w:rPr>
                <w:rFonts w:ascii="Times New Roman" w:hAnsi="Times New Roman"/>
                <w:sz w:val="28"/>
                <w:szCs w:val="28"/>
              </w:rPr>
              <w:t>Банк є вигодонабувачем за договором страхування активу/об’єкта, що фінансується за проєктом, який забезпечує  достатній рівень покриття ризиків від втрати/пошкодження активу/об’єкта (франшиза до 50%)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BDEC8FE" w14:textId="148717EE" w:rsidR="008D5E88" w:rsidRPr="005128F1" w:rsidRDefault="008D5E88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28F1">
              <w:rPr>
                <w:sz w:val="28"/>
                <w:szCs w:val="28"/>
              </w:rPr>
              <w:t>Банк є вигодонабувачем за договором страхування активу/об’єкта, що фінансується за проєктом, який має  низький рівень покриття ризиків від втрати/пошкодження активу/об’єкта (франшиза 50% та більше)</w:t>
            </w:r>
          </w:p>
        </w:tc>
      </w:tr>
    </w:tbl>
    <w:p w14:paraId="1EB8E30B" w14:textId="77777777" w:rsidR="00375B0D" w:rsidRDefault="00375B0D" w:rsidP="00AC0F7C">
      <w:pPr>
        <w:tabs>
          <w:tab w:val="left" w:pos="1134"/>
        </w:tabs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DB8F20" w14:textId="77777777" w:rsidR="00375B0D" w:rsidRDefault="00375B0D" w:rsidP="00AC0F7C">
      <w:pPr>
        <w:tabs>
          <w:tab w:val="left" w:pos="1134"/>
        </w:tabs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643ED09" w14:textId="77777777" w:rsidR="00375B0D" w:rsidRDefault="00375B0D" w:rsidP="00AC0F7C">
      <w:pPr>
        <w:tabs>
          <w:tab w:val="left" w:pos="1134"/>
        </w:tabs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  <w:sectPr w:rsidR="00375B0D" w:rsidSect="002F7E5B">
          <w:headerReference w:type="default" r:id="rId21"/>
          <w:pgSz w:w="16838" w:h="11906" w:orient="landscape"/>
          <w:pgMar w:top="567" w:right="1701" w:bottom="1701" w:left="567" w:header="709" w:footer="709" w:gutter="0"/>
          <w:pgNumType w:chapStyle="1"/>
          <w:cols w:space="708"/>
          <w:docGrid w:linePitch="360"/>
        </w:sectPr>
      </w:pPr>
    </w:p>
    <w:p w14:paraId="1E21BDF7" w14:textId="71FA4655" w:rsidR="003E3565" w:rsidRPr="007931A2" w:rsidRDefault="003E3565" w:rsidP="001B72CC">
      <w:pPr>
        <w:tabs>
          <w:tab w:val="left" w:pos="1134"/>
        </w:tabs>
        <w:spacing w:before="120" w:after="120"/>
        <w:ind w:left="12191"/>
        <w:rPr>
          <w:rFonts w:ascii="Times New Roman" w:hAnsi="Times New Roman"/>
          <w:sz w:val="28"/>
          <w:szCs w:val="28"/>
          <w:lang w:eastAsia="ru-RU"/>
        </w:rPr>
      </w:pPr>
      <w:r w:rsidRPr="007931A2">
        <w:rPr>
          <w:rFonts w:ascii="Times New Roman" w:hAnsi="Times New Roman"/>
          <w:sz w:val="28"/>
          <w:szCs w:val="28"/>
          <w:lang w:eastAsia="ru-RU"/>
        </w:rPr>
        <w:t>Таблиця 4</w:t>
      </w:r>
    </w:p>
    <w:p w14:paraId="0F815E30" w14:textId="7D8CB0B0" w:rsidR="003E3565" w:rsidRPr="007931A2" w:rsidRDefault="003E3565" w:rsidP="003E3565">
      <w:pPr>
        <w:tabs>
          <w:tab w:val="left" w:pos="1134"/>
        </w:tabs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  <w:r w:rsidRPr="007931A2">
        <w:rPr>
          <w:rFonts w:ascii="Times New Roman" w:hAnsi="Times New Roman"/>
          <w:sz w:val="28"/>
          <w:szCs w:val="28"/>
          <w:lang w:eastAsia="ru-RU"/>
        </w:rPr>
        <w:t>Визначення класу боржника</w:t>
      </w:r>
      <w:r w:rsidR="00E5727C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7931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1A2">
        <w:rPr>
          <w:rFonts w:ascii="Times New Roman" w:hAnsi="Times New Roman"/>
          <w:bCs/>
          <w:sz w:val="28"/>
          <w:szCs w:val="28"/>
        </w:rPr>
        <w:t>юридичної особи за спеціалізованим кредитом</w:t>
      </w:r>
    </w:p>
    <w:tbl>
      <w:tblPr>
        <w:tblStyle w:val="af3"/>
        <w:tblW w:w="1544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11470"/>
      </w:tblGrid>
      <w:tr w:rsidR="003E3565" w:rsidRPr="007931A2" w14:paraId="3CD27601" w14:textId="77777777" w:rsidTr="00542DAE">
        <w:tc>
          <w:tcPr>
            <w:tcW w:w="562" w:type="dxa"/>
          </w:tcPr>
          <w:p w14:paraId="7107066A" w14:textId="6563A5AC" w:rsidR="003E3565" w:rsidRPr="007931A2" w:rsidRDefault="00E5727C" w:rsidP="00E96D71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3E3565"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14" w:type="dxa"/>
          </w:tcPr>
          <w:p w14:paraId="358E0C71" w14:textId="3AD7A2C8" w:rsidR="003E3565" w:rsidRPr="007931A2" w:rsidRDefault="003E3565" w:rsidP="00E96D7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 боржника </w:t>
            </w:r>
            <w:r w:rsidR="00E5727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31A2">
              <w:rPr>
                <w:rFonts w:ascii="Times New Roman" w:hAnsi="Times New Roman"/>
                <w:bCs/>
                <w:sz w:val="28"/>
                <w:szCs w:val="28"/>
              </w:rPr>
              <w:t>юридичної особи за спеціалізованим кредитом</w:t>
            </w:r>
          </w:p>
        </w:tc>
        <w:tc>
          <w:tcPr>
            <w:tcW w:w="11470" w:type="dxa"/>
          </w:tcPr>
          <w:p w14:paraId="7453DB0A" w14:textId="77777777" w:rsidR="00E5727C" w:rsidRDefault="003E3565" w:rsidP="00E96D7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Діапазони значень показника багатофакторної моделі </w:t>
            </w:r>
          </w:p>
          <w:p w14:paraId="25800F2A" w14:textId="1DADC77A" w:rsidR="003E3565" w:rsidRPr="007931A2" w:rsidRDefault="003E3565" w:rsidP="00E96D7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A2">
              <w:rPr>
                <w:rFonts w:ascii="Times New Roman" w:hAnsi="Times New Roman"/>
                <w:bCs/>
                <w:sz w:val="28"/>
                <w:szCs w:val="28"/>
              </w:rPr>
              <w:t>за спеціалізованим кредитом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sl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)</m:t>
              </m:r>
            </m:oMath>
          </w:p>
        </w:tc>
      </w:tr>
      <w:tr w:rsidR="003E3565" w:rsidRPr="007931A2" w14:paraId="2335C138" w14:textId="77777777" w:rsidTr="00542DAE">
        <w:trPr>
          <w:trHeight w:val="278"/>
        </w:trPr>
        <w:tc>
          <w:tcPr>
            <w:tcW w:w="562" w:type="dxa"/>
          </w:tcPr>
          <w:p w14:paraId="7105E398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414" w:type="dxa"/>
          </w:tcPr>
          <w:p w14:paraId="09F93941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0" w:type="dxa"/>
            <w:tcBorders>
              <w:bottom w:val="single" w:sz="4" w:space="0" w:color="auto"/>
            </w:tcBorders>
          </w:tcPr>
          <w:p w14:paraId="39162FD5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E3565" w:rsidRPr="007931A2" w14:paraId="79661622" w14:textId="77777777" w:rsidTr="00542DAE">
        <w:tc>
          <w:tcPr>
            <w:tcW w:w="562" w:type="dxa"/>
          </w:tcPr>
          <w:p w14:paraId="604235B8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414" w:type="dxa"/>
          </w:tcPr>
          <w:p w14:paraId="6713AC68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70" w:type="dxa"/>
            <w:shd w:val="clear" w:color="auto" w:fill="auto"/>
          </w:tcPr>
          <w:p w14:paraId="78CA0671" w14:textId="2130301A" w:rsidR="003E3565" w:rsidRPr="007931A2" w:rsidRDefault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00–1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</w:tr>
      <w:tr w:rsidR="003E3565" w:rsidRPr="007931A2" w14:paraId="2BADD59A" w14:textId="77777777" w:rsidTr="00542DAE">
        <w:tc>
          <w:tcPr>
            <w:tcW w:w="562" w:type="dxa"/>
          </w:tcPr>
          <w:p w14:paraId="5C6C0492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14" w:type="dxa"/>
          </w:tcPr>
          <w:p w14:paraId="36F8365F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470" w:type="dxa"/>
            <w:shd w:val="clear" w:color="auto" w:fill="auto"/>
          </w:tcPr>
          <w:p w14:paraId="6B4AB27A" w14:textId="5C741038" w:rsidR="003E3565" w:rsidRPr="007931A2" w:rsidRDefault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–2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</w:tr>
      <w:tr w:rsidR="003E3565" w:rsidRPr="007931A2" w14:paraId="6E72CBDD" w14:textId="77777777" w:rsidTr="00542DAE">
        <w:tc>
          <w:tcPr>
            <w:tcW w:w="562" w:type="dxa"/>
          </w:tcPr>
          <w:p w14:paraId="46E84259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414" w:type="dxa"/>
          </w:tcPr>
          <w:p w14:paraId="57461C29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470" w:type="dxa"/>
            <w:shd w:val="clear" w:color="auto" w:fill="auto"/>
          </w:tcPr>
          <w:p w14:paraId="37B323D7" w14:textId="5276B5A6" w:rsidR="003E3565" w:rsidRPr="007931A2" w:rsidRDefault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–3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</w:tr>
      <w:tr w:rsidR="003E3565" w:rsidRPr="003E3565" w14:paraId="32EAF38D" w14:textId="77777777" w:rsidTr="00542DAE">
        <w:tc>
          <w:tcPr>
            <w:tcW w:w="562" w:type="dxa"/>
          </w:tcPr>
          <w:p w14:paraId="4503D88B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414" w:type="dxa"/>
          </w:tcPr>
          <w:p w14:paraId="3F971EB1" w14:textId="77777777" w:rsidR="003E3565" w:rsidRPr="007931A2" w:rsidRDefault="003E3565" w:rsidP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470" w:type="dxa"/>
            <w:shd w:val="clear" w:color="auto" w:fill="auto"/>
          </w:tcPr>
          <w:p w14:paraId="2381501B" w14:textId="7E2F9802" w:rsidR="003E3565" w:rsidRPr="003E3565" w:rsidRDefault="003E3565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–4</w:t>
            </w:r>
            <w:r w:rsidRPr="007931A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93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</w:t>
            </w:r>
          </w:p>
        </w:tc>
      </w:tr>
    </w:tbl>
    <w:p w14:paraId="7E67A4C5" w14:textId="7DD25836" w:rsidR="00DA78C7" w:rsidRPr="00E96D71" w:rsidRDefault="00164A11" w:rsidP="00E96D71">
      <w:pPr>
        <w:pStyle w:val="af5"/>
        <w:spacing w:before="0" w:beforeAutospacing="0" w:after="0" w:afterAutospacing="0"/>
        <w:ind w:right="-881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”</w:t>
      </w:r>
      <w:r w:rsidR="00E5727C">
        <w:rPr>
          <w:sz w:val="28"/>
          <w:szCs w:val="28"/>
        </w:rPr>
        <w:t>.</w:t>
      </w:r>
    </w:p>
    <w:sectPr w:rsidR="00DA78C7" w:rsidRPr="00E96D71" w:rsidSect="002F7E5B">
      <w:headerReference w:type="default" r:id="rId22"/>
      <w:pgSz w:w="16838" w:h="11906" w:orient="landscape"/>
      <w:pgMar w:top="567" w:right="1701" w:bottom="1701" w:left="567" w:header="709" w:footer="709" w:gutter="0"/>
      <w:pgNumType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5BD2" w16cex:dateUtc="2021-01-22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01327" w16cid:durableId="23B55B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7C81" w14:textId="77777777" w:rsidR="00BA13B7" w:rsidRDefault="00BA13B7" w:rsidP="00F52313">
      <w:pPr>
        <w:spacing w:after="0" w:line="240" w:lineRule="auto"/>
      </w:pPr>
      <w:r>
        <w:separator/>
      </w:r>
    </w:p>
  </w:endnote>
  <w:endnote w:type="continuationSeparator" w:id="0">
    <w:p w14:paraId="393E408E" w14:textId="77777777" w:rsidR="00BA13B7" w:rsidRDefault="00BA13B7" w:rsidP="00F5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2E46" w14:textId="77777777" w:rsidR="00106416" w:rsidRDefault="001064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6FD1" w14:textId="77777777" w:rsidR="00106416" w:rsidRDefault="001064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F4133" w14:textId="77777777" w:rsidR="00106416" w:rsidRDefault="001064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6CD3" w14:textId="77777777" w:rsidR="00BA13B7" w:rsidRDefault="00BA13B7" w:rsidP="00F52313">
      <w:pPr>
        <w:spacing w:after="0" w:line="240" w:lineRule="auto"/>
      </w:pPr>
      <w:r>
        <w:separator/>
      </w:r>
    </w:p>
  </w:footnote>
  <w:footnote w:type="continuationSeparator" w:id="0">
    <w:p w14:paraId="3B1F6A37" w14:textId="77777777" w:rsidR="00BA13B7" w:rsidRDefault="00BA13B7" w:rsidP="00F5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4413" w14:textId="77777777" w:rsidR="00106416" w:rsidRDefault="00106416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804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16563CE" w14:textId="7F116676" w:rsidR="00404B36" w:rsidRPr="001E48F1" w:rsidRDefault="00404B36" w:rsidP="001E48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E48F1">
          <w:rPr>
            <w:rFonts w:ascii="Times New Roman" w:hAnsi="Times New Roman"/>
            <w:sz w:val="28"/>
            <w:szCs w:val="28"/>
          </w:rPr>
          <w:fldChar w:fldCharType="begin"/>
        </w:r>
        <w:r w:rsidRPr="001E48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48F1">
          <w:rPr>
            <w:rFonts w:ascii="Times New Roman" w:hAnsi="Times New Roman"/>
            <w:sz w:val="28"/>
            <w:szCs w:val="28"/>
          </w:rPr>
          <w:fldChar w:fldCharType="separate"/>
        </w:r>
        <w:r w:rsidR="00106416" w:rsidRPr="00106416">
          <w:rPr>
            <w:rFonts w:ascii="Times New Roman" w:hAnsi="Times New Roman"/>
            <w:noProof/>
            <w:sz w:val="28"/>
            <w:szCs w:val="28"/>
            <w:lang w:val="ru-RU"/>
          </w:rPr>
          <w:t>45</w:t>
        </w:r>
        <w:r w:rsidRPr="001E48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9B2B61F" w14:textId="7CDA817D" w:rsidR="00404B36" w:rsidRDefault="00404B36" w:rsidP="001B72CC">
    <w:pPr>
      <w:pStyle w:val="a5"/>
      <w:ind w:left="12191" w:right="-739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10</w:t>
    </w:r>
  </w:p>
  <w:p w14:paraId="0D8DC74E" w14:textId="292A6491" w:rsidR="00404B36" w:rsidRDefault="00404B36" w:rsidP="001B72CC">
    <w:pPr>
      <w:pStyle w:val="a5"/>
      <w:ind w:right="-739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4992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A6ECFA6" w14:textId="6B0D39FF" w:rsidR="00404B36" w:rsidRPr="001E48F1" w:rsidRDefault="00404B36" w:rsidP="001E48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E48F1">
          <w:rPr>
            <w:rFonts w:ascii="Times New Roman" w:hAnsi="Times New Roman"/>
            <w:sz w:val="28"/>
            <w:szCs w:val="28"/>
          </w:rPr>
          <w:fldChar w:fldCharType="begin"/>
        </w:r>
        <w:r w:rsidRPr="001E48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48F1">
          <w:rPr>
            <w:rFonts w:ascii="Times New Roman" w:hAnsi="Times New Roman"/>
            <w:sz w:val="28"/>
            <w:szCs w:val="28"/>
          </w:rPr>
          <w:fldChar w:fldCharType="separate"/>
        </w:r>
        <w:r w:rsidR="00106416" w:rsidRPr="00106416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1E48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DE98762" w14:textId="77777777" w:rsidR="00404B36" w:rsidRDefault="00404B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544A" w14:textId="77777777" w:rsidR="00106416" w:rsidRDefault="0010641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7355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67D9DEC" w14:textId="6D4ED100" w:rsidR="00404B36" w:rsidRPr="00CA33CF" w:rsidRDefault="00404B36" w:rsidP="001E48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A33CF">
          <w:rPr>
            <w:rFonts w:ascii="Times New Roman" w:hAnsi="Times New Roman"/>
            <w:sz w:val="28"/>
            <w:szCs w:val="28"/>
          </w:rPr>
          <w:fldChar w:fldCharType="begin"/>
        </w:r>
        <w:r w:rsidRPr="00CA33C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A33CF">
          <w:rPr>
            <w:rFonts w:ascii="Times New Roman" w:hAnsi="Times New Roman"/>
            <w:sz w:val="28"/>
            <w:szCs w:val="28"/>
          </w:rPr>
          <w:fldChar w:fldCharType="separate"/>
        </w:r>
        <w:r w:rsidR="00106416" w:rsidRPr="00106416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CA33C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C20205B" w14:textId="77777777" w:rsidR="00404B36" w:rsidRPr="008C7F35" w:rsidRDefault="00404B36">
    <w:pPr>
      <w:pStyle w:val="a5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200D" w14:textId="77777777" w:rsidR="00404B36" w:rsidRDefault="00404B3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9218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F1622DB" w14:textId="476702F9" w:rsidR="00404B36" w:rsidRPr="001E48F1" w:rsidRDefault="00404B36" w:rsidP="001E48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E48F1">
          <w:rPr>
            <w:rFonts w:ascii="Times New Roman" w:hAnsi="Times New Roman"/>
            <w:sz w:val="28"/>
            <w:szCs w:val="28"/>
          </w:rPr>
          <w:fldChar w:fldCharType="begin"/>
        </w:r>
        <w:r w:rsidRPr="001E48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48F1">
          <w:rPr>
            <w:rFonts w:ascii="Times New Roman" w:hAnsi="Times New Roman"/>
            <w:sz w:val="28"/>
            <w:szCs w:val="28"/>
          </w:rPr>
          <w:fldChar w:fldCharType="separate"/>
        </w:r>
        <w:r w:rsidR="00106416" w:rsidRPr="00106416">
          <w:rPr>
            <w:rFonts w:ascii="Times New Roman" w:hAnsi="Times New Roman"/>
            <w:noProof/>
            <w:sz w:val="28"/>
            <w:szCs w:val="28"/>
            <w:lang w:val="ru-RU"/>
          </w:rPr>
          <w:t>15</w:t>
        </w:r>
        <w:r w:rsidRPr="001E48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74656BE" w14:textId="0D6D89A7" w:rsidR="00404B36" w:rsidRDefault="00404B36" w:rsidP="007053E9">
    <w:pPr>
      <w:pStyle w:val="a5"/>
      <w:ind w:left="1247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10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204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20038A5" w14:textId="3685D4CB" w:rsidR="00404B36" w:rsidRPr="001E48F1" w:rsidRDefault="00404B36" w:rsidP="001E48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E48F1">
          <w:rPr>
            <w:rFonts w:ascii="Times New Roman" w:hAnsi="Times New Roman"/>
            <w:sz w:val="28"/>
            <w:szCs w:val="28"/>
          </w:rPr>
          <w:fldChar w:fldCharType="begin"/>
        </w:r>
        <w:r w:rsidRPr="001E48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48F1">
          <w:rPr>
            <w:rFonts w:ascii="Times New Roman" w:hAnsi="Times New Roman"/>
            <w:sz w:val="28"/>
            <w:szCs w:val="28"/>
          </w:rPr>
          <w:fldChar w:fldCharType="separate"/>
        </w:r>
        <w:r w:rsidR="00106416" w:rsidRPr="00106416">
          <w:rPr>
            <w:rFonts w:ascii="Times New Roman" w:hAnsi="Times New Roman"/>
            <w:noProof/>
            <w:sz w:val="28"/>
            <w:szCs w:val="28"/>
            <w:lang w:val="ru-RU"/>
          </w:rPr>
          <w:t>19</w:t>
        </w:r>
        <w:r w:rsidRPr="001E48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D89D8FA" w14:textId="074E96D3" w:rsidR="00404B36" w:rsidRDefault="00404B36" w:rsidP="00404B36">
    <w:pPr>
      <w:pStyle w:val="a5"/>
      <w:ind w:left="12191" w:right="-739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10</w:t>
    </w:r>
  </w:p>
  <w:p w14:paraId="1C55A9CB" w14:textId="7970D42D" w:rsidR="00404B36" w:rsidRDefault="00404B36" w:rsidP="00404B36">
    <w:pPr>
      <w:pStyle w:val="a5"/>
      <w:ind w:left="12191" w:right="-739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таблиці 2</w:t>
    </w:r>
  </w:p>
  <w:p w14:paraId="044F51D5" w14:textId="77777777" w:rsidR="00404B36" w:rsidRDefault="00404B36" w:rsidP="00375B0D">
    <w:pPr>
      <w:pStyle w:val="a5"/>
      <w:ind w:right="-739"/>
      <w:jc w:val="right"/>
      <w:rPr>
        <w:rFonts w:ascii="Times New Roman" w:hAnsi="Times New Roman"/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0535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A5A1BF1" w14:textId="2BDB28EC" w:rsidR="00404B36" w:rsidRPr="001E48F1" w:rsidRDefault="00404B36" w:rsidP="001E48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E48F1">
          <w:rPr>
            <w:rFonts w:ascii="Times New Roman" w:hAnsi="Times New Roman"/>
            <w:sz w:val="28"/>
            <w:szCs w:val="28"/>
          </w:rPr>
          <w:fldChar w:fldCharType="begin"/>
        </w:r>
        <w:r w:rsidRPr="001E48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48F1">
          <w:rPr>
            <w:rFonts w:ascii="Times New Roman" w:hAnsi="Times New Roman"/>
            <w:sz w:val="28"/>
            <w:szCs w:val="28"/>
          </w:rPr>
          <w:fldChar w:fldCharType="separate"/>
        </w:r>
        <w:r w:rsidR="00106416" w:rsidRPr="00106416">
          <w:rPr>
            <w:rFonts w:ascii="Times New Roman" w:hAnsi="Times New Roman"/>
            <w:noProof/>
            <w:sz w:val="28"/>
            <w:szCs w:val="28"/>
            <w:lang w:val="ru-RU"/>
          </w:rPr>
          <w:t>20</w:t>
        </w:r>
        <w:r w:rsidRPr="001E48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DEECFD4" w14:textId="418F527B" w:rsidR="00404B36" w:rsidRDefault="00404B36" w:rsidP="00FF19BD">
    <w:pPr>
      <w:pStyle w:val="a5"/>
      <w:ind w:left="12191" w:right="-739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10</w:t>
    </w:r>
  </w:p>
  <w:p w14:paraId="3E0A439D" w14:textId="51356A72" w:rsidR="00404B36" w:rsidRDefault="00404B36" w:rsidP="00FF19BD">
    <w:pPr>
      <w:pStyle w:val="a5"/>
      <w:ind w:right="-739"/>
      <w:rPr>
        <w:rFonts w:ascii="Times New Roman" w:hAnsi="Times New Roman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2544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816448F" w14:textId="20306169" w:rsidR="00404B36" w:rsidRPr="001E48F1" w:rsidRDefault="00404B36" w:rsidP="001E48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E48F1">
          <w:rPr>
            <w:rFonts w:ascii="Times New Roman" w:hAnsi="Times New Roman"/>
            <w:sz w:val="28"/>
            <w:szCs w:val="28"/>
          </w:rPr>
          <w:fldChar w:fldCharType="begin"/>
        </w:r>
        <w:r w:rsidRPr="001E48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48F1">
          <w:rPr>
            <w:rFonts w:ascii="Times New Roman" w:hAnsi="Times New Roman"/>
            <w:sz w:val="28"/>
            <w:szCs w:val="28"/>
          </w:rPr>
          <w:fldChar w:fldCharType="separate"/>
        </w:r>
        <w:r w:rsidR="00106416" w:rsidRPr="00106416">
          <w:rPr>
            <w:rFonts w:ascii="Times New Roman" w:hAnsi="Times New Roman"/>
            <w:noProof/>
            <w:sz w:val="28"/>
            <w:szCs w:val="28"/>
            <w:lang w:val="ru-RU"/>
          </w:rPr>
          <w:t>44</w:t>
        </w:r>
        <w:r w:rsidRPr="001E48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950E95B" w14:textId="017C76B0" w:rsidR="00404B36" w:rsidRDefault="00404B36" w:rsidP="006F5255">
    <w:pPr>
      <w:pStyle w:val="a5"/>
      <w:ind w:left="12191" w:right="-739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10</w:t>
    </w:r>
  </w:p>
  <w:p w14:paraId="401525DE" w14:textId="32AFEDB7" w:rsidR="00404B36" w:rsidRDefault="00404B36" w:rsidP="006F5255">
    <w:pPr>
      <w:pStyle w:val="a5"/>
      <w:ind w:left="12191" w:right="-739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таблиці 3</w:t>
    </w:r>
  </w:p>
  <w:p w14:paraId="065A9F60" w14:textId="77777777" w:rsidR="00404B36" w:rsidRDefault="00404B36" w:rsidP="00375B0D">
    <w:pPr>
      <w:pStyle w:val="a5"/>
      <w:ind w:right="-73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984"/>
    <w:multiLevelType w:val="hybridMultilevel"/>
    <w:tmpl w:val="00F8A80C"/>
    <w:lvl w:ilvl="0" w:tplc="DF5C8A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1B3929"/>
    <w:multiLevelType w:val="hybridMultilevel"/>
    <w:tmpl w:val="D0F6E74C"/>
    <w:lvl w:ilvl="0" w:tplc="46DCB7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43BD1"/>
    <w:multiLevelType w:val="hybridMultilevel"/>
    <w:tmpl w:val="676038A6"/>
    <w:lvl w:ilvl="0" w:tplc="B846D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86346"/>
    <w:multiLevelType w:val="hybridMultilevel"/>
    <w:tmpl w:val="0F0E0E74"/>
    <w:lvl w:ilvl="0" w:tplc="DF5C8A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D12A80"/>
    <w:multiLevelType w:val="hybridMultilevel"/>
    <w:tmpl w:val="59823672"/>
    <w:lvl w:ilvl="0" w:tplc="2A80CCA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4435E82"/>
    <w:multiLevelType w:val="hybridMultilevel"/>
    <w:tmpl w:val="00F8A80C"/>
    <w:lvl w:ilvl="0" w:tplc="DF5C8A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95269A"/>
    <w:multiLevelType w:val="hybridMultilevel"/>
    <w:tmpl w:val="815C4FB2"/>
    <w:lvl w:ilvl="0" w:tplc="1C08C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497959"/>
    <w:multiLevelType w:val="hybridMultilevel"/>
    <w:tmpl w:val="6BA4F7BE"/>
    <w:lvl w:ilvl="0" w:tplc="7C0A1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AE2C34"/>
    <w:multiLevelType w:val="hybridMultilevel"/>
    <w:tmpl w:val="AE4889B0"/>
    <w:lvl w:ilvl="0" w:tplc="D750BA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417939"/>
    <w:multiLevelType w:val="hybridMultilevel"/>
    <w:tmpl w:val="3EF46B34"/>
    <w:lvl w:ilvl="0" w:tplc="20FE3BD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0"/>
    <w:rsid w:val="0000026C"/>
    <w:rsid w:val="00001607"/>
    <w:rsid w:val="00001E76"/>
    <w:rsid w:val="00002386"/>
    <w:rsid w:val="00004105"/>
    <w:rsid w:val="00004857"/>
    <w:rsid w:val="000050C9"/>
    <w:rsid w:val="00007DF9"/>
    <w:rsid w:val="000131D4"/>
    <w:rsid w:val="00014F0A"/>
    <w:rsid w:val="00015E74"/>
    <w:rsid w:val="00015EA5"/>
    <w:rsid w:val="00016091"/>
    <w:rsid w:val="00016319"/>
    <w:rsid w:val="00016DA5"/>
    <w:rsid w:val="00016E5A"/>
    <w:rsid w:val="0001775F"/>
    <w:rsid w:val="00017EB7"/>
    <w:rsid w:val="00020916"/>
    <w:rsid w:val="00020C08"/>
    <w:rsid w:val="000222B5"/>
    <w:rsid w:val="000231AE"/>
    <w:rsid w:val="0002324E"/>
    <w:rsid w:val="00024C0E"/>
    <w:rsid w:val="000253CC"/>
    <w:rsid w:val="00025733"/>
    <w:rsid w:val="000306F2"/>
    <w:rsid w:val="00031144"/>
    <w:rsid w:val="00031C91"/>
    <w:rsid w:val="00033C80"/>
    <w:rsid w:val="000342DC"/>
    <w:rsid w:val="00037803"/>
    <w:rsid w:val="00040BF0"/>
    <w:rsid w:val="00042A9E"/>
    <w:rsid w:val="00042E53"/>
    <w:rsid w:val="0004375D"/>
    <w:rsid w:val="00043EDA"/>
    <w:rsid w:val="00047120"/>
    <w:rsid w:val="00047D8F"/>
    <w:rsid w:val="00047DDE"/>
    <w:rsid w:val="0005214D"/>
    <w:rsid w:val="00052DF9"/>
    <w:rsid w:val="00053C0C"/>
    <w:rsid w:val="00056D84"/>
    <w:rsid w:val="00057786"/>
    <w:rsid w:val="000609D8"/>
    <w:rsid w:val="00060DCA"/>
    <w:rsid w:val="0006189B"/>
    <w:rsid w:val="0006200C"/>
    <w:rsid w:val="0006245B"/>
    <w:rsid w:val="00063502"/>
    <w:rsid w:val="00065C08"/>
    <w:rsid w:val="00070EE0"/>
    <w:rsid w:val="00074A07"/>
    <w:rsid w:val="000751B2"/>
    <w:rsid w:val="00075209"/>
    <w:rsid w:val="00076234"/>
    <w:rsid w:val="000770FA"/>
    <w:rsid w:val="0007723D"/>
    <w:rsid w:val="00077655"/>
    <w:rsid w:val="00077721"/>
    <w:rsid w:val="00080BDF"/>
    <w:rsid w:val="0008158A"/>
    <w:rsid w:val="0008225D"/>
    <w:rsid w:val="000825F0"/>
    <w:rsid w:val="00083824"/>
    <w:rsid w:val="00084E13"/>
    <w:rsid w:val="000855B6"/>
    <w:rsid w:val="00086623"/>
    <w:rsid w:val="0009065D"/>
    <w:rsid w:val="000908EB"/>
    <w:rsid w:val="0009095A"/>
    <w:rsid w:val="00092794"/>
    <w:rsid w:val="00093072"/>
    <w:rsid w:val="00093F0F"/>
    <w:rsid w:val="00094BCE"/>
    <w:rsid w:val="00094CF7"/>
    <w:rsid w:val="00095409"/>
    <w:rsid w:val="0009605D"/>
    <w:rsid w:val="000961AB"/>
    <w:rsid w:val="00096265"/>
    <w:rsid w:val="000966D3"/>
    <w:rsid w:val="000A07EF"/>
    <w:rsid w:val="000A1A71"/>
    <w:rsid w:val="000A251A"/>
    <w:rsid w:val="000A258C"/>
    <w:rsid w:val="000A2D1C"/>
    <w:rsid w:val="000A32FA"/>
    <w:rsid w:val="000A339F"/>
    <w:rsid w:val="000A4472"/>
    <w:rsid w:val="000B0C5A"/>
    <w:rsid w:val="000B10F1"/>
    <w:rsid w:val="000B1345"/>
    <w:rsid w:val="000B298C"/>
    <w:rsid w:val="000B3E6A"/>
    <w:rsid w:val="000B4A30"/>
    <w:rsid w:val="000B4DAB"/>
    <w:rsid w:val="000B5FD5"/>
    <w:rsid w:val="000B6CB3"/>
    <w:rsid w:val="000B77D5"/>
    <w:rsid w:val="000B7C67"/>
    <w:rsid w:val="000C185E"/>
    <w:rsid w:val="000C3252"/>
    <w:rsid w:val="000C4DD4"/>
    <w:rsid w:val="000C57FF"/>
    <w:rsid w:val="000C5AC6"/>
    <w:rsid w:val="000C688C"/>
    <w:rsid w:val="000C77CE"/>
    <w:rsid w:val="000C7E5A"/>
    <w:rsid w:val="000D00EE"/>
    <w:rsid w:val="000D0386"/>
    <w:rsid w:val="000D071F"/>
    <w:rsid w:val="000D0A5C"/>
    <w:rsid w:val="000D26AE"/>
    <w:rsid w:val="000D3204"/>
    <w:rsid w:val="000D3F46"/>
    <w:rsid w:val="000D49AE"/>
    <w:rsid w:val="000D53AC"/>
    <w:rsid w:val="000D5743"/>
    <w:rsid w:val="000E038E"/>
    <w:rsid w:val="000E1751"/>
    <w:rsid w:val="000E23E0"/>
    <w:rsid w:val="000E4D48"/>
    <w:rsid w:val="000E511F"/>
    <w:rsid w:val="000E5482"/>
    <w:rsid w:val="000E551C"/>
    <w:rsid w:val="000F1596"/>
    <w:rsid w:val="000F24BB"/>
    <w:rsid w:val="000F5D7E"/>
    <w:rsid w:val="000F7ACA"/>
    <w:rsid w:val="0010006E"/>
    <w:rsid w:val="001007A5"/>
    <w:rsid w:val="00101A59"/>
    <w:rsid w:val="00102FC1"/>
    <w:rsid w:val="00103BA6"/>
    <w:rsid w:val="00106066"/>
    <w:rsid w:val="00106416"/>
    <w:rsid w:val="001077E3"/>
    <w:rsid w:val="001122F1"/>
    <w:rsid w:val="00113DBE"/>
    <w:rsid w:val="00113F16"/>
    <w:rsid w:val="00114BB1"/>
    <w:rsid w:val="00115F3F"/>
    <w:rsid w:val="00117824"/>
    <w:rsid w:val="00117ED2"/>
    <w:rsid w:val="00117F4A"/>
    <w:rsid w:val="001218D8"/>
    <w:rsid w:val="00126224"/>
    <w:rsid w:val="001275FE"/>
    <w:rsid w:val="00131D53"/>
    <w:rsid w:val="00134862"/>
    <w:rsid w:val="00136691"/>
    <w:rsid w:val="00137169"/>
    <w:rsid w:val="00141A71"/>
    <w:rsid w:val="00143CEE"/>
    <w:rsid w:val="00143FF0"/>
    <w:rsid w:val="001516CB"/>
    <w:rsid w:val="00151E96"/>
    <w:rsid w:val="0015385F"/>
    <w:rsid w:val="00154B3A"/>
    <w:rsid w:val="00160064"/>
    <w:rsid w:val="00160662"/>
    <w:rsid w:val="001616DA"/>
    <w:rsid w:val="00161E9F"/>
    <w:rsid w:val="00162023"/>
    <w:rsid w:val="00163DEA"/>
    <w:rsid w:val="00164A11"/>
    <w:rsid w:val="00165955"/>
    <w:rsid w:val="00167490"/>
    <w:rsid w:val="00167A2E"/>
    <w:rsid w:val="00173B33"/>
    <w:rsid w:val="00173B7F"/>
    <w:rsid w:val="00173D3B"/>
    <w:rsid w:val="00173E92"/>
    <w:rsid w:val="00173F39"/>
    <w:rsid w:val="00175D80"/>
    <w:rsid w:val="00176906"/>
    <w:rsid w:val="00176BC3"/>
    <w:rsid w:val="00180AF9"/>
    <w:rsid w:val="00182911"/>
    <w:rsid w:val="0018377C"/>
    <w:rsid w:val="00184308"/>
    <w:rsid w:val="00184CD4"/>
    <w:rsid w:val="00184D14"/>
    <w:rsid w:val="001863BA"/>
    <w:rsid w:val="00186F8F"/>
    <w:rsid w:val="00187AFE"/>
    <w:rsid w:val="00187C8B"/>
    <w:rsid w:val="00187D9E"/>
    <w:rsid w:val="00191307"/>
    <w:rsid w:val="001918FF"/>
    <w:rsid w:val="00191C0B"/>
    <w:rsid w:val="0019218B"/>
    <w:rsid w:val="00194104"/>
    <w:rsid w:val="0019551B"/>
    <w:rsid w:val="0019577E"/>
    <w:rsid w:val="00196359"/>
    <w:rsid w:val="00196F80"/>
    <w:rsid w:val="00197ADE"/>
    <w:rsid w:val="001A2947"/>
    <w:rsid w:val="001A347D"/>
    <w:rsid w:val="001A3669"/>
    <w:rsid w:val="001A55B1"/>
    <w:rsid w:val="001A7D01"/>
    <w:rsid w:val="001B0CC0"/>
    <w:rsid w:val="001B2728"/>
    <w:rsid w:val="001B3D67"/>
    <w:rsid w:val="001B54F9"/>
    <w:rsid w:val="001B6685"/>
    <w:rsid w:val="001B6B8D"/>
    <w:rsid w:val="001B72CC"/>
    <w:rsid w:val="001B7CBD"/>
    <w:rsid w:val="001C0DCA"/>
    <w:rsid w:val="001C17C5"/>
    <w:rsid w:val="001C1954"/>
    <w:rsid w:val="001C2269"/>
    <w:rsid w:val="001C23B3"/>
    <w:rsid w:val="001C240D"/>
    <w:rsid w:val="001C46D9"/>
    <w:rsid w:val="001C637A"/>
    <w:rsid w:val="001D23FE"/>
    <w:rsid w:val="001D293D"/>
    <w:rsid w:val="001D4C24"/>
    <w:rsid w:val="001D5A97"/>
    <w:rsid w:val="001D6088"/>
    <w:rsid w:val="001D79E4"/>
    <w:rsid w:val="001E1CEC"/>
    <w:rsid w:val="001E2998"/>
    <w:rsid w:val="001E4153"/>
    <w:rsid w:val="001E48F1"/>
    <w:rsid w:val="001E637E"/>
    <w:rsid w:val="001F0A92"/>
    <w:rsid w:val="001F0B56"/>
    <w:rsid w:val="001F5892"/>
    <w:rsid w:val="001F5C03"/>
    <w:rsid w:val="001F5D3E"/>
    <w:rsid w:val="0020017D"/>
    <w:rsid w:val="00202033"/>
    <w:rsid w:val="002020D6"/>
    <w:rsid w:val="002025B2"/>
    <w:rsid w:val="002045DA"/>
    <w:rsid w:val="00205509"/>
    <w:rsid w:val="0020608F"/>
    <w:rsid w:val="0020617D"/>
    <w:rsid w:val="0020673F"/>
    <w:rsid w:val="00206B2F"/>
    <w:rsid w:val="00210823"/>
    <w:rsid w:val="00210B2C"/>
    <w:rsid w:val="00211350"/>
    <w:rsid w:val="002118C0"/>
    <w:rsid w:val="002128E6"/>
    <w:rsid w:val="00213BD3"/>
    <w:rsid w:val="00213BE2"/>
    <w:rsid w:val="002152CE"/>
    <w:rsid w:val="0021565B"/>
    <w:rsid w:val="002159F3"/>
    <w:rsid w:val="0021673D"/>
    <w:rsid w:val="00216CC9"/>
    <w:rsid w:val="00217AB5"/>
    <w:rsid w:val="00217E20"/>
    <w:rsid w:val="002239F9"/>
    <w:rsid w:val="00223F50"/>
    <w:rsid w:val="00224F19"/>
    <w:rsid w:val="00225040"/>
    <w:rsid w:val="002250EA"/>
    <w:rsid w:val="00226557"/>
    <w:rsid w:val="00227DB2"/>
    <w:rsid w:val="0023001F"/>
    <w:rsid w:val="00230693"/>
    <w:rsid w:val="002327CA"/>
    <w:rsid w:val="00232C95"/>
    <w:rsid w:val="002331E8"/>
    <w:rsid w:val="00234328"/>
    <w:rsid w:val="002344B9"/>
    <w:rsid w:val="00235B27"/>
    <w:rsid w:val="00235B98"/>
    <w:rsid w:val="00236947"/>
    <w:rsid w:val="00237B98"/>
    <w:rsid w:val="00241015"/>
    <w:rsid w:val="00241EE2"/>
    <w:rsid w:val="00243DCC"/>
    <w:rsid w:val="00245444"/>
    <w:rsid w:val="002466E3"/>
    <w:rsid w:val="002468CD"/>
    <w:rsid w:val="0025079E"/>
    <w:rsid w:val="0025272F"/>
    <w:rsid w:val="00252B7D"/>
    <w:rsid w:val="00252C59"/>
    <w:rsid w:val="00254708"/>
    <w:rsid w:val="00255DAC"/>
    <w:rsid w:val="00256685"/>
    <w:rsid w:val="00256D2E"/>
    <w:rsid w:val="002602BD"/>
    <w:rsid w:val="00260732"/>
    <w:rsid w:val="00261043"/>
    <w:rsid w:val="0026208B"/>
    <w:rsid w:val="00265CF7"/>
    <w:rsid w:val="00267CEC"/>
    <w:rsid w:val="00271024"/>
    <w:rsid w:val="00272B1B"/>
    <w:rsid w:val="002737D3"/>
    <w:rsid w:val="00274BE2"/>
    <w:rsid w:val="00275063"/>
    <w:rsid w:val="002763E0"/>
    <w:rsid w:val="00281AE3"/>
    <w:rsid w:val="00281D4E"/>
    <w:rsid w:val="0028212A"/>
    <w:rsid w:val="00282C83"/>
    <w:rsid w:val="002869C5"/>
    <w:rsid w:val="00287053"/>
    <w:rsid w:val="00287E35"/>
    <w:rsid w:val="00290084"/>
    <w:rsid w:val="00290156"/>
    <w:rsid w:val="0029116E"/>
    <w:rsid w:val="0029231A"/>
    <w:rsid w:val="00293324"/>
    <w:rsid w:val="00293E92"/>
    <w:rsid w:val="00293FA3"/>
    <w:rsid w:val="00297240"/>
    <w:rsid w:val="002A0FD7"/>
    <w:rsid w:val="002A1A2C"/>
    <w:rsid w:val="002A5265"/>
    <w:rsid w:val="002A6454"/>
    <w:rsid w:val="002B14E8"/>
    <w:rsid w:val="002B238F"/>
    <w:rsid w:val="002B288E"/>
    <w:rsid w:val="002B35C3"/>
    <w:rsid w:val="002B4BAF"/>
    <w:rsid w:val="002C2847"/>
    <w:rsid w:val="002C32B4"/>
    <w:rsid w:val="002C3CFC"/>
    <w:rsid w:val="002C437B"/>
    <w:rsid w:val="002C4CC9"/>
    <w:rsid w:val="002C7CFD"/>
    <w:rsid w:val="002C7E69"/>
    <w:rsid w:val="002D2EC1"/>
    <w:rsid w:val="002D30EE"/>
    <w:rsid w:val="002D316D"/>
    <w:rsid w:val="002D490F"/>
    <w:rsid w:val="002D4AAD"/>
    <w:rsid w:val="002D4C27"/>
    <w:rsid w:val="002D4EB9"/>
    <w:rsid w:val="002D6451"/>
    <w:rsid w:val="002D6881"/>
    <w:rsid w:val="002E4B8C"/>
    <w:rsid w:val="002E5CF3"/>
    <w:rsid w:val="002E6C1E"/>
    <w:rsid w:val="002E7E3B"/>
    <w:rsid w:val="002F2028"/>
    <w:rsid w:val="002F2998"/>
    <w:rsid w:val="002F3739"/>
    <w:rsid w:val="002F3973"/>
    <w:rsid w:val="002F607C"/>
    <w:rsid w:val="002F616B"/>
    <w:rsid w:val="002F6ADF"/>
    <w:rsid w:val="002F7E5B"/>
    <w:rsid w:val="00300045"/>
    <w:rsid w:val="003019B0"/>
    <w:rsid w:val="00301EDD"/>
    <w:rsid w:val="00303A59"/>
    <w:rsid w:val="00303FE5"/>
    <w:rsid w:val="00304E69"/>
    <w:rsid w:val="0030537D"/>
    <w:rsid w:val="003058BE"/>
    <w:rsid w:val="00305A2E"/>
    <w:rsid w:val="00306963"/>
    <w:rsid w:val="003070A6"/>
    <w:rsid w:val="00307A41"/>
    <w:rsid w:val="00307E02"/>
    <w:rsid w:val="00311939"/>
    <w:rsid w:val="00312E16"/>
    <w:rsid w:val="003139B2"/>
    <w:rsid w:val="00314BCE"/>
    <w:rsid w:val="00314E5B"/>
    <w:rsid w:val="00316198"/>
    <w:rsid w:val="00316748"/>
    <w:rsid w:val="00316F99"/>
    <w:rsid w:val="003215E0"/>
    <w:rsid w:val="00321E5E"/>
    <w:rsid w:val="0032249D"/>
    <w:rsid w:val="00330272"/>
    <w:rsid w:val="00333DFC"/>
    <w:rsid w:val="0033511B"/>
    <w:rsid w:val="00335E60"/>
    <w:rsid w:val="00341665"/>
    <w:rsid w:val="003430D7"/>
    <w:rsid w:val="003449A2"/>
    <w:rsid w:val="00344D75"/>
    <w:rsid w:val="00346702"/>
    <w:rsid w:val="003472CB"/>
    <w:rsid w:val="00347D12"/>
    <w:rsid w:val="00350AD3"/>
    <w:rsid w:val="00351E11"/>
    <w:rsid w:val="003528F0"/>
    <w:rsid w:val="0035509E"/>
    <w:rsid w:val="003603FD"/>
    <w:rsid w:val="00361D22"/>
    <w:rsid w:val="00363319"/>
    <w:rsid w:val="00363F9B"/>
    <w:rsid w:val="00364B5F"/>
    <w:rsid w:val="003654FD"/>
    <w:rsid w:val="00365652"/>
    <w:rsid w:val="00365917"/>
    <w:rsid w:val="00366164"/>
    <w:rsid w:val="00367304"/>
    <w:rsid w:val="003714D4"/>
    <w:rsid w:val="00371513"/>
    <w:rsid w:val="003715CD"/>
    <w:rsid w:val="003716AC"/>
    <w:rsid w:val="0037189B"/>
    <w:rsid w:val="00373307"/>
    <w:rsid w:val="003741A5"/>
    <w:rsid w:val="00375B0D"/>
    <w:rsid w:val="00380385"/>
    <w:rsid w:val="00381B91"/>
    <w:rsid w:val="0038271B"/>
    <w:rsid w:val="00384ED7"/>
    <w:rsid w:val="00385B9A"/>
    <w:rsid w:val="00387A70"/>
    <w:rsid w:val="00390E04"/>
    <w:rsid w:val="00391190"/>
    <w:rsid w:val="00391615"/>
    <w:rsid w:val="00392621"/>
    <w:rsid w:val="00392D40"/>
    <w:rsid w:val="00394396"/>
    <w:rsid w:val="003949EB"/>
    <w:rsid w:val="003959BE"/>
    <w:rsid w:val="00396302"/>
    <w:rsid w:val="0039737E"/>
    <w:rsid w:val="00397C31"/>
    <w:rsid w:val="003A1426"/>
    <w:rsid w:val="003A54C6"/>
    <w:rsid w:val="003B00C9"/>
    <w:rsid w:val="003B24DB"/>
    <w:rsid w:val="003B331D"/>
    <w:rsid w:val="003B3C9E"/>
    <w:rsid w:val="003B40E3"/>
    <w:rsid w:val="003B56D1"/>
    <w:rsid w:val="003B621C"/>
    <w:rsid w:val="003B627F"/>
    <w:rsid w:val="003C00FD"/>
    <w:rsid w:val="003C2D16"/>
    <w:rsid w:val="003C4A37"/>
    <w:rsid w:val="003C5105"/>
    <w:rsid w:val="003C55F1"/>
    <w:rsid w:val="003D0F38"/>
    <w:rsid w:val="003D1F12"/>
    <w:rsid w:val="003D379A"/>
    <w:rsid w:val="003D394B"/>
    <w:rsid w:val="003D43A2"/>
    <w:rsid w:val="003D44A5"/>
    <w:rsid w:val="003D6EB7"/>
    <w:rsid w:val="003D78A0"/>
    <w:rsid w:val="003E1E83"/>
    <w:rsid w:val="003E3565"/>
    <w:rsid w:val="003E406E"/>
    <w:rsid w:val="003E4453"/>
    <w:rsid w:val="003E51D0"/>
    <w:rsid w:val="003E5A01"/>
    <w:rsid w:val="003E67E9"/>
    <w:rsid w:val="003E6CAA"/>
    <w:rsid w:val="003E6DBC"/>
    <w:rsid w:val="003F1102"/>
    <w:rsid w:val="003F12B1"/>
    <w:rsid w:val="003F187E"/>
    <w:rsid w:val="003F28AD"/>
    <w:rsid w:val="003F7893"/>
    <w:rsid w:val="003F7F97"/>
    <w:rsid w:val="00400F16"/>
    <w:rsid w:val="00402CB8"/>
    <w:rsid w:val="0040320A"/>
    <w:rsid w:val="004035C7"/>
    <w:rsid w:val="00404B36"/>
    <w:rsid w:val="00404C09"/>
    <w:rsid w:val="00405E65"/>
    <w:rsid w:val="00406CD5"/>
    <w:rsid w:val="004100BD"/>
    <w:rsid w:val="0041196F"/>
    <w:rsid w:val="00414E00"/>
    <w:rsid w:val="004151D4"/>
    <w:rsid w:val="004153B8"/>
    <w:rsid w:val="0041541F"/>
    <w:rsid w:val="00416A13"/>
    <w:rsid w:val="00417229"/>
    <w:rsid w:val="004203D1"/>
    <w:rsid w:val="0042197B"/>
    <w:rsid w:val="00423441"/>
    <w:rsid w:val="004235A7"/>
    <w:rsid w:val="00423782"/>
    <w:rsid w:val="00425FAA"/>
    <w:rsid w:val="0042627B"/>
    <w:rsid w:val="0042680D"/>
    <w:rsid w:val="00426DE1"/>
    <w:rsid w:val="00430D19"/>
    <w:rsid w:val="00430F9F"/>
    <w:rsid w:val="00431101"/>
    <w:rsid w:val="00432264"/>
    <w:rsid w:val="00432688"/>
    <w:rsid w:val="00434ABC"/>
    <w:rsid w:val="00437683"/>
    <w:rsid w:val="00437B36"/>
    <w:rsid w:val="00443E65"/>
    <w:rsid w:val="0044491E"/>
    <w:rsid w:val="00444DBC"/>
    <w:rsid w:val="004460B8"/>
    <w:rsid w:val="00450044"/>
    <w:rsid w:val="004501A0"/>
    <w:rsid w:val="0045073E"/>
    <w:rsid w:val="00451C87"/>
    <w:rsid w:val="004544F6"/>
    <w:rsid w:val="00454972"/>
    <w:rsid w:val="00454C93"/>
    <w:rsid w:val="00457EF3"/>
    <w:rsid w:val="00457FCD"/>
    <w:rsid w:val="00461A14"/>
    <w:rsid w:val="00461A54"/>
    <w:rsid w:val="00462AAF"/>
    <w:rsid w:val="00462C92"/>
    <w:rsid w:val="00463F00"/>
    <w:rsid w:val="004648B3"/>
    <w:rsid w:val="004669EC"/>
    <w:rsid w:val="00466F2F"/>
    <w:rsid w:val="004706A0"/>
    <w:rsid w:val="00470E52"/>
    <w:rsid w:val="00471D43"/>
    <w:rsid w:val="00471E27"/>
    <w:rsid w:val="0047361A"/>
    <w:rsid w:val="004749E8"/>
    <w:rsid w:val="0047634A"/>
    <w:rsid w:val="00477A8A"/>
    <w:rsid w:val="00477BA0"/>
    <w:rsid w:val="00480286"/>
    <w:rsid w:val="00481923"/>
    <w:rsid w:val="00481E2B"/>
    <w:rsid w:val="00481F1E"/>
    <w:rsid w:val="0048215E"/>
    <w:rsid w:val="004837D6"/>
    <w:rsid w:val="0048453B"/>
    <w:rsid w:val="00484EFC"/>
    <w:rsid w:val="0049111E"/>
    <w:rsid w:val="00491703"/>
    <w:rsid w:val="00492FCC"/>
    <w:rsid w:val="0049592C"/>
    <w:rsid w:val="00497015"/>
    <w:rsid w:val="00497FED"/>
    <w:rsid w:val="004A0468"/>
    <w:rsid w:val="004A0E50"/>
    <w:rsid w:val="004A0EC9"/>
    <w:rsid w:val="004A132A"/>
    <w:rsid w:val="004A13FB"/>
    <w:rsid w:val="004A15C4"/>
    <w:rsid w:val="004A1FD7"/>
    <w:rsid w:val="004A3C8E"/>
    <w:rsid w:val="004A3D33"/>
    <w:rsid w:val="004A4680"/>
    <w:rsid w:val="004A4D36"/>
    <w:rsid w:val="004A5375"/>
    <w:rsid w:val="004A5D9A"/>
    <w:rsid w:val="004A6806"/>
    <w:rsid w:val="004B3C88"/>
    <w:rsid w:val="004B52C4"/>
    <w:rsid w:val="004B5523"/>
    <w:rsid w:val="004C099C"/>
    <w:rsid w:val="004C1520"/>
    <w:rsid w:val="004C1928"/>
    <w:rsid w:val="004C2A5E"/>
    <w:rsid w:val="004C4F8F"/>
    <w:rsid w:val="004C5588"/>
    <w:rsid w:val="004C608D"/>
    <w:rsid w:val="004C6C99"/>
    <w:rsid w:val="004D05F5"/>
    <w:rsid w:val="004D08FF"/>
    <w:rsid w:val="004D154E"/>
    <w:rsid w:val="004D7706"/>
    <w:rsid w:val="004D7E29"/>
    <w:rsid w:val="004E3DD9"/>
    <w:rsid w:val="004E64AC"/>
    <w:rsid w:val="004E7979"/>
    <w:rsid w:val="004F04CC"/>
    <w:rsid w:val="004F0B8B"/>
    <w:rsid w:val="004F115B"/>
    <w:rsid w:val="004F1BC6"/>
    <w:rsid w:val="004F1C2A"/>
    <w:rsid w:val="004F35F8"/>
    <w:rsid w:val="004F36E8"/>
    <w:rsid w:val="004F3BA3"/>
    <w:rsid w:val="004F6BA7"/>
    <w:rsid w:val="004F6DF7"/>
    <w:rsid w:val="004F73CB"/>
    <w:rsid w:val="004F79A6"/>
    <w:rsid w:val="00503316"/>
    <w:rsid w:val="00503D1A"/>
    <w:rsid w:val="00506349"/>
    <w:rsid w:val="00507283"/>
    <w:rsid w:val="00510750"/>
    <w:rsid w:val="00510FC0"/>
    <w:rsid w:val="005113CA"/>
    <w:rsid w:val="005128F1"/>
    <w:rsid w:val="0051336E"/>
    <w:rsid w:val="005134B7"/>
    <w:rsid w:val="00514102"/>
    <w:rsid w:val="00514D96"/>
    <w:rsid w:val="0051526A"/>
    <w:rsid w:val="00515F25"/>
    <w:rsid w:val="005169A4"/>
    <w:rsid w:val="005214D9"/>
    <w:rsid w:val="005221DF"/>
    <w:rsid w:val="005225AA"/>
    <w:rsid w:val="00523699"/>
    <w:rsid w:val="00524C06"/>
    <w:rsid w:val="0052520B"/>
    <w:rsid w:val="00525573"/>
    <w:rsid w:val="00530A2B"/>
    <w:rsid w:val="00531F4D"/>
    <w:rsid w:val="0053244C"/>
    <w:rsid w:val="00532476"/>
    <w:rsid w:val="00534068"/>
    <w:rsid w:val="00536217"/>
    <w:rsid w:val="0053786B"/>
    <w:rsid w:val="0054040E"/>
    <w:rsid w:val="00540E36"/>
    <w:rsid w:val="00542DAE"/>
    <w:rsid w:val="00544BE0"/>
    <w:rsid w:val="00544C0A"/>
    <w:rsid w:val="00546179"/>
    <w:rsid w:val="00547848"/>
    <w:rsid w:val="00547CCB"/>
    <w:rsid w:val="00550A20"/>
    <w:rsid w:val="0055102A"/>
    <w:rsid w:val="00552203"/>
    <w:rsid w:val="00552239"/>
    <w:rsid w:val="00552698"/>
    <w:rsid w:val="005535CE"/>
    <w:rsid w:val="005550B6"/>
    <w:rsid w:val="005553F1"/>
    <w:rsid w:val="00555714"/>
    <w:rsid w:val="00557864"/>
    <w:rsid w:val="00557C2C"/>
    <w:rsid w:val="00560627"/>
    <w:rsid w:val="00562D4A"/>
    <w:rsid w:val="005637B4"/>
    <w:rsid w:val="005637BB"/>
    <w:rsid w:val="00565B16"/>
    <w:rsid w:val="00570ACC"/>
    <w:rsid w:val="00570EFD"/>
    <w:rsid w:val="0057129B"/>
    <w:rsid w:val="005726DB"/>
    <w:rsid w:val="00572A06"/>
    <w:rsid w:val="00575AC1"/>
    <w:rsid w:val="00576257"/>
    <w:rsid w:val="00576E2D"/>
    <w:rsid w:val="005778AC"/>
    <w:rsid w:val="00577B53"/>
    <w:rsid w:val="00580E8B"/>
    <w:rsid w:val="005811CA"/>
    <w:rsid w:val="00581DB3"/>
    <w:rsid w:val="00582228"/>
    <w:rsid w:val="00584972"/>
    <w:rsid w:val="00585432"/>
    <w:rsid w:val="00585C38"/>
    <w:rsid w:val="005866F8"/>
    <w:rsid w:val="005929DD"/>
    <w:rsid w:val="0059670A"/>
    <w:rsid w:val="005978BE"/>
    <w:rsid w:val="005A035E"/>
    <w:rsid w:val="005A0FDE"/>
    <w:rsid w:val="005A1962"/>
    <w:rsid w:val="005A1F32"/>
    <w:rsid w:val="005A5DF1"/>
    <w:rsid w:val="005A5E87"/>
    <w:rsid w:val="005A638C"/>
    <w:rsid w:val="005A6E9C"/>
    <w:rsid w:val="005B11EA"/>
    <w:rsid w:val="005B1BDB"/>
    <w:rsid w:val="005B2501"/>
    <w:rsid w:val="005B2C1A"/>
    <w:rsid w:val="005B3B4C"/>
    <w:rsid w:val="005B3F69"/>
    <w:rsid w:val="005B51E2"/>
    <w:rsid w:val="005B5244"/>
    <w:rsid w:val="005B6A20"/>
    <w:rsid w:val="005B6CE6"/>
    <w:rsid w:val="005B6E9A"/>
    <w:rsid w:val="005B7E2D"/>
    <w:rsid w:val="005C09F5"/>
    <w:rsid w:val="005C1F43"/>
    <w:rsid w:val="005C3017"/>
    <w:rsid w:val="005C455F"/>
    <w:rsid w:val="005C77C0"/>
    <w:rsid w:val="005D2B10"/>
    <w:rsid w:val="005D44DC"/>
    <w:rsid w:val="005D46E8"/>
    <w:rsid w:val="005D5219"/>
    <w:rsid w:val="005E1B3F"/>
    <w:rsid w:val="005E20F6"/>
    <w:rsid w:val="005E255B"/>
    <w:rsid w:val="005E335D"/>
    <w:rsid w:val="005E41DF"/>
    <w:rsid w:val="005E532C"/>
    <w:rsid w:val="005E734F"/>
    <w:rsid w:val="005F1DDB"/>
    <w:rsid w:val="005F49D5"/>
    <w:rsid w:val="005F5A40"/>
    <w:rsid w:val="005F6919"/>
    <w:rsid w:val="005F6E01"/>
    <w:rsid w:val="005F77A2"/>
    <w:rsid w:val="00600219"/>
    <w:rsid w:val="006022A8"/>
    <w:rsid w:val="006039A2"/>
    <w:rsid w:val="0060449A"/>
    <w:rsid w:val="00604798"/>
    <w:rsid w:val="0060544E"/>
    <w:rsid w:val="00605635"/>
    <w:rsid w:val="006068DF"/>
    <w:rsid w:val="00607516"/>
    <w:rsid w:val="00607804"/>
    <w:rsid w:val="00607C46"/>
    <w:rsid w:val="006105D4"/>
    <w:rsid w:val="00610983"/>
    <w:rsid w:val="00615049"/>
    <w:rsid w:val="00615D0F"/>
    <w:rsid w:val="006175FB"/>
    <w:rsid w:val="00620C30"/>
    <w:rsid w:val="00621CFD"/>
    <w:rsid w:val="006223AC"/>
    <w:rsid w:val="00624BA0"/>
    <w:rsid w:val="00625BC5"/>
    <w:rsid w:val="00626A94"/>
    <w:rsid w:val="006273D1"/>
    <w:rsid w:val="00627702"/>
    <w:rsid w:val="00632508"/>
    <w:rsid w:val="00633B60"/>
    <w:rsid w:val="006342EC"/>
    <w:rsid w:val="0063433D"/>
    <w:rsid w:val="006349CA"/>
    <w:rsid w:val="00634CAD"/>
    <w:rsid w:val="0063517F"/>
    <w:rsid w:val="006370AB"/>
    <w:rsid w:val="0063757E"/>
    <w:rsid w:val="00637910"/>
    <w:rsid w:val="00637CCD"/>
    <w:rsid w:val="0064190B"/>
    <w:rsid w:val="00642432"/>
    <w:rsid w:val="006427BB"/>
    <w:rsid w:val="00644547"/>
    <w:rsid w:val="0064781F"/>
    <w:rsid w:val="006500F5"/>
    <w:rsid w:val="006507B4"/>
    <w:rsid w:val="00660D23"/>
    <w:rsid w:val="006612F9"/>
    <w:rsid w:val="0066340E"/>
    <w:rsid w:val="006637ED"/>
    <w:rsid w:val="00664555"/>
    <w:rsid w:val="00664C1C"/>
    <w:rsid w:val="006654AC"/>
    <w:rsid w:val="0066571C"/>
    <w:rsid w:val="00666617"/>
    <w:rsid w:val="006671E7"/>
    <w:rsid w:val="006673A9"/>
    <w:rsid w:val="00672D0B"/>
    <w:rsid w:val="00674CB4"/>
    <w:rsid w:val="00676A98"/>
    <w:rsid w:val="00681E21"/>
    <w:rsid w:val="00681F48"/>
    <w:rsid w:val="006828F2"/>
    <w:rsid w:val="00682D28"/>
    <w:rsid w:val="006837DF"/>
    <w:rsid w:val="00685450"/>
    <w:rsid w:val="00687916"/>
    <w:rsid w:val="00687BC1"/>
    <w:rsid w:val="00687DAC"/>
    <w:rsid w:val="006901F6"/>
    <w:rsid w:val="006907B5"/>
    <w:rsid w:val="0069246D"/>
    <w:rsid w:val="00692742"/>
    <w:rsid w:val="00696977"/>
    <w:rsid w:val="00696BA5"/>
    <w:rsid w:val="00696CCE"/>
    <w:rsid w:val="0069769E"/>
    <w:rsid w:val="006A1160"/>
    <w:rsid w:val="006A2F78"/>
    <w:rsid w:val="006A5188"/>
    <w:rsid w:val="006A5244"/>
    <w:rsid w:val="006A6F27"/>
    <w:rsid w:val="006A782B"/>
    <w:rsid w:val="006B0104"/>
    <w:rsid w:val="006B1587"/>
    <w:rsid w:val="006B4286"/>
    <w:rsid w:val="006B49CB"/>
    <w:rsid w:val="006C0A4C"/>
    <w:rsid w:val="006C0BFF"/>
    <w:rsid w:val="006C1E3D"/>
    <w:rsid w:val="006C256B"/>
    <w:rsid w:val="006C2FBF"/>
    <w:rsid w:val="006C3750"/>
    <w:rsid w:val="006C540A"/>
    <w:rsid w:val="006C57F1"/>
    <w:rsid w:val="006C7A37"/>
    <w:rsid w:val="006D1821"/>
    <w:rsid w:val="006D1EB7"/>
    <w:rsid w:val="006D2166"/>
    <w:rsid w:val="006D232E"/>
    <w:rsid w:val="006D4300"/>
    <w:rsid w:val="006D682B"/>
    <w:rsid w:val="006D6E9F"/>
    <w:rsid w:val="006E18D6"/>
    <w:rsid w:val="006E1A45"/>
    <w:rsid w:val="006E2891"/>
    <w:rsid w:val="006E3429"/>
    <w:rsid w:val="006E39F8"/>
    <w:rsid w:val="006E3E06"/>
    <w:rsid w:val="006E4BF1"/>
    <w:rsid w:val="006E4C38"/>
    <w:rsid w:val="006E61E0"/>
    <w:rsid w:val="006E63C2"/>
    <w:rsid w:val="006E730C"/>
    <w:rsid w:val="006E79EA"/>
    <w:rsid w:val="006F151C"/>
    <w:rsid w:val="006F1BA0"/>
    <w:rsid w:val="006F1EDF"/>
    <w:rsid w:val="006F2DDC"/>
    <w:rsid w:val="006F386A"/>
    <w:rsid w:val="006F438F"/>
    <w:rsid w:val="006F49FD"/>
    <w:rsid w:val="006F5255"/>
    <w:rsid w:val="006F61DE"/>
    <w:rsid w:val="006F7243"/>
    <w:rsid w:val="00700244"/>
    <w:rsid w:val="00700706"/>
    <w:rsid w:val="00702EDA"/>
    <w:rsid w:val="00702EE8"/>
    <w:rsid w:val="00703FEF"/>
    <w:rsid w:val="007050C6"/>
    <w:rsid w:val="007053E9"/>
    <w:rsid w:val="00707470"/>
    <w:rsid w:val="00711265"/>
    <w:rsid w:val="007112FD"/>
    <w:rsid w:val="00712476"/>
    <w:rsid w:val="00712F39"/>
    <w:rsid w:val="00714F29"/>
    <w:rsid w:val="00716632"/>
    <w:rsid w:val="007171CA"/>
    <w:rsid w:val="00721625"/>
    <w:rsid w:val="00721E2E"/>
    <w:rsid w:val="00723A32"/>
    <w:rsid w:val="0072421C"/>
    <w:rsid w:val="00724D06"/>
    <w:rsid w:val="00725F37"/>
    <w:rsid w:val="007265D2"/>
    <w:rsid w:val="007268B2"/>
    <w:rsid w:val="007305AA"/>
    <w:rsid w:val="00730615"/>
    <w:rsid w:val="00732184"/>
    <w:rsid w:val="0073599C"/>
    <w:rsid w:val="0073622D"/>
    <w:rsid w:val="007363E0"/>
    <w:rsid w:val="00736F04"/>
    <w:rsid w:val="00737453"/>
    <w:rsid w:val="00737CE0"/>
    <w:rsid w:val="00744825"/>
    <w:rsid w:val="00745D73"/>
    <w:rsid w:val="007461E6"/>
    <w:rsid w:val="0074646F"/>
    <w:rsid w:val="00747934"/>
    <w:rsid w:val="00753444"/>
    <w:rsid w:val="007575D9"/>
    <w:rsid w:val="007604C5"/>
    <w:rsid w:val="00760DEA"/>
    <w:rsid w:val="0076145C"/>
    <w:rsid w:val="0076322C"/>
    <w:rsid w:val="00763EB8"/>
    <w:rsid w:val="00764A08"/>
    <w:rsid w:val="00764AA9"/>
    <w:rsid w:val="0076523E"/>
    <w:rsid w:val="00765886"/>
    <w:rsid w:val="00766520"/>
    <w:rsid w:val="00767308"/>
    <w:rsid w:val="00771488"/>
    <w:rsid w:val="00771C51"/>
    <w:rsid w:val="007762F7"/>
    <w:rsid w:val="00777510"/>
    <w:rsid w:val="007775B1"/>
    <w:rsid w:val="0077784A"/>
    <w:rsid w:val="007800D7"/>
    <w:rsid w:val="007827FE"/>
    <w:rsid w:val="00783366"/>
    <w:rsid w:val="00784AF5"/>
    <w:rsid w:val="00785112"/>
    <w:rsid w:val="00786A79"/>
    <w:rsid w:val="00786E69"/>
    <w:rsid w:val="00790ABD"/>
    <w:rsid w:val="007922B3"/>
    <w:rsid w:val="00792965"/>
    <w:rsid w:val="007931A2"/>
    <w:rsid w:val="007933ED"/>
    <w:rsid w:val="00795982"/>
    <w:rsid w:val="00796B47"/>
    <w:rsid w:val="00796B8D"/>
    <w:rsid w:val="00797A1E"/>
    <w:rsid w:val="00797A76"/>
    <w:rsid w:val="007A0169"/>
    <w:rsid w:val="007A1428"/>
    <w:rsid w:val="007A3A71"/>
    <w:rsid w:val="007A6593"/>
    <w:rsid w:val="007A73C6"/>
    <w:rsid w:val="007A79FB"/>
    <w:rsid w:val="007B1450"/>
    <w:rsid w:val="007B2933"/>
    <w:rsid w:val="007B3063"/>
    <w:rsid w:val="007B5BE5"/>
    <w:rsid w:val="007B69C1"/>
    <w:rsid w:val="007B75AA"/>
    <w:rsid w:val="007C18A5"/>
    <w:rsid w:val="007C2629"/>
    <w:rsid w:val="007C29B6"/>
    <w:rsid w:val="007C337E"/>
    <w:rsid w:val="007C4321"/>
    <w:rsid w:val="007C7B46"/>
    <w:rsid w:val="007C7E49"/>
    <w:rsid w:val="007D054C"/>
    <w:rsid w:val="007D0895"/>
    <w:rsid w:val="007D0983"/>
    <w:rsid w:val="007D1C74"/>
    <w:rsid w:val="007D27D8"/>
    <w:rsid w:val="007D3398"/>
    <w:rsid w:val="007D40B7"/>
    <w:rsid w:val="007D46E5"/>
    <w:rsid w:val="007D57D1"/>
    <w:rsid w:val="007D6138"/>
    <w:rsid w:val="007D6DC4"/>
    <w:rsid w:val="007E22A0"/>
    <w:rsid w:val="007E3B0B"/>
    <w:rsid w:val="007E3CC2"/>
    <w:rsid w:val="007E3EAA"/>
    <w:rsid w:val="007E3F4E"/>
    <w:rsid w:val="007E446A"/>
    <w:rsid w:val="007E44D3"/>
    <w:rsid w:val="007E565A"/>
    <w:rsid w:val="007E6C49"/>
    <w:rsid w:val="007F10A3"/>
    <w:rsid w:val="007F281D"/>
    <w:rsid w:val="007F3BB9"/>
    <w:rsid w:val="007F561B"/>
    <w:rsid w:val="007F6144"/>
    <w:rsid w:val="007F7562"/>
    <w:rsid w:val="00802AA4"/>
    <w:rsid w:val="00803019"/>
    <w:rsid w:val="008032F8"/>
    <w:rsid w:val="008047FA"/>
    <w:rsid w:val="00806B2D"/>
    <w:rsid w:val="00807844"/>
    <w:rsid w:val="00810508"/>
    <w:rsid w:val="00811504"/>
    <w:rsid w:val="008126DB"/>
    <w:rsid w:val="00812B79"/>
    <w:rsid w:val="00812E5C"/>
    <w:rsid w:val="0081434D"/>
    <w:rsid w:val="00814ABD"/>
    <w:rsid w:val="00815B8A"/>
    <w:rsid w:val="00815D35"/>
    <w:rsid w:val="008166F0"/>
    <w:rsid w:val="0081671A"/>
    <w:rsid w:val="008179BF"/>
    <w:rsid w:val="00820B1B"/>
    <w:rsid w:val="008221C3"/>
    <w:rsid w:val="008232E0"/>
    <w:rsid w:val="008242A9"/>
    <w:rsid w:val="008245EB"/>
    <w:rsid w:val="0082482F"/>
    <w:rsid w:val="00824BF5"/>
    <w:rsid w:val="00824CE8"/>
    <w:rsid w:val="008255F7"/>
    <w:rsid w:val="008256F8"/>
    <w:rsid w:val="008325DC"/>
    <w:rsid w:val="00835405"/>
    <w:rsid w:val="00835408"/>
    <w:rsid w:val="00835FA3"/>
    <w:rsid w:val="008375D1"/>
    <w:rsid w:val="00837A0B"/>
    <w:rsid w:val="00837DD3"/>
    <w:rsid w:val="00840C18"/>
    <w:rsid w:val="008412C6"/>
    <w:rsid w:val="00841A8A"/>
    <w:rsid w:val="008427F9"/>
    <w:rsid w:val="008451E1"/>
    <w:rsid w:val="00845E37"/>
    <w:rsid w:val="00846054"/>
    <w:rsid w:val="00847544"/>
    <w:rsid w:val="008514E0"/>
    <w:rsid w:val="008520F3"/>
    <w:rsid w:val="00854C1C"/>
    <w:rsid w:val="0085566D"/>
    <w:rsid w:val="00855797"/>
    <w:rsid w:val="00856886"/>
    <w:rsid w:val="00857AA8"/>
    <w:rsid w:val="00861670"/>
    <w:rsid w:val="00862E88"/>
    <w:rsid w:val="00863AA8"/>
    <w:rsid w:val="008643B5"/>
    <w:rsid w:val="00865FE2"/>
    <w:rsid w:val="0086660D"/>
    <w:rsid w:val="00866ECD"/>
    <w:rsid w:val="0086736D"/>
    <w:rsid w:val="00867450"/>
    <w:rsid w:val="00867E07"/>
    <w:rsid w:val="00867FB7"/>
    <w:rsid w:val="00870568"/>
    <w:rsid w:val="008706A6"/>
    <w:rsid w:val="00870F99"/>
    <w:rsid w:val="00871D3E"/>
    <w:rsid w:val="008732F3"/>
    <w:rsid w:val="00873899"/>
    <w:rsid w:val="00874C9D"/>
    <w:rsid w:val="00875021"/>
    <w:rsid w:val="00880404"/>
    <w:rsid w:val="00881D40"/>
    <w:rsid w:val="008837FA"/>
    <w:rsid w:val="00883EA2"/>
    <w:rsid w:val="00887BD4"/>
    <w:rsid w:val="00887F12"/>
    <w:rsid w:val="008908DB"/>
    <w:rsid w:val="008919E7"/>
    <w:rsid w:val="00894129"/>
    <w:rsid w:val="008948B9"/>
    <w:rsid w:val="008949A8"/>
    <w:rsid w:val="0089620F"/>
    <w:rsid w:val="008963E4"/>
    <w:rsid w:val="008A2961"/>
    <w:rsid w:val="008A315E"/>
    <w:rsid w:val="008A3F5D"/>
    <w:rsid w:val="008A5D6C"/>
    <w:rsid w:val="008A7871"/>
    <w:rsid w:val="008B0990"/>
    <w:rsid w:val="008B1025"/>
    <w:rsid w:val="008B17AC"/>
    <w:rsid w:val="008B2F93"/>
    <w:rsid w:val="008B3058"/>
    <w:rsid w:val="008B4C45"/>
    <w:rsid w:val="008B4F15"/>
    <w:rsid w:val="008B6EB7"/>
    <w:rsid w:val="008B7852"/>
    <w:rsid w:val="008C1805"/>
    <w:rsid w:val="008C24F8"/>
    <w:rsid w:val="008C25CF"/>
    <w:rsid w:val="008C2BE2"/>
    <w:rsid w:val="008C37B0"/>
    <w:rsid w:val="008C39B3"/>
    <w:rsid w:val="008C4A46"/>
    <w:rsid w:val="008C6807"/>
    <w:rsid w:val="008C68A6"/>
    <w:rsid w:val="008C7F35"/>
    <w:rsid w:val="008D16A4"/>
    <w:rsid w:val="008D17FE"/>
    <w:rsid w:val="008D2173"/>
    <w:rsid w:val="008D2813"/>
    <w:rsid w:val="008D2D98"/>
    <w:rsid w:val="008D3263"/>
    <w:rsid w:val="008D3647"/>
    <w:rsid w:val="008D51B3"/>
    <w:rsid w:val="008D5E88"/>
    <w:rsid w:val="008D70F1"/>
    <w:rsid w:val="008E0DFA"/>
    <w:rsid w:val="008E3069"/>
    <w:rsid w:val="008E3C9F"/>
    <w:rsid w:val="008E3F43"/>
    <w:rsid w:val="008E5342"/>
    <w:rsid w:val="008E5440"/>
    <w:rsid w:val="008E6CB6"/>
    <w:rsid w:val="008E6F8C"/>
    <w:rsid w:val="008F0F3B"/>
    <w:rsid w:val="008F38B5"/>
    <w:rsid w:val="008F3E49"/>
    <w:rsid w:val="008F4448"/>
    <w:rsid w:val="008F472D"/>
    <w:rsid w:val="008F5563"/>
    <w:rsid w:val="008F5DC3"/>
    <w:rsid w:val="008F7A9E"/>
    <w:rsid w:val="009007C8"/>
    <w:rsid w:val="00900F24"/>
    <w:rsid w:val="009017D1"/>
    <w:rsid w:val="009029CA"/>
    <w:rsid w:val="00902AF0"/>
    <w:rsid w:val="00903889"/>
    <w:rsid w:val="00905D8E"/>
    <w:rsid w:val="0091002C"/>
    <w:rsid w:val="00910B48"/>
    <w:rsid w:val="00912300"/>
    <w:rsid w:val="00912C50"/>
    <w:rsid w:val="009169BE"/>
    <w:rsid w:val="00917E1A"/>
    <w:rsid w:val="0092030B"/>
    <w:rsid w:val="00921556"/>
    <w:rsid w:val="009219F5"/>
    <w:rsid w:val="00922ACD"/>
    <w:rsid w:val="009242C6"/>
    <w:rsid w:val="00924A4F"/>
    <w:rsid w:val="00924CD6"/>
    <w:rsid w:val="00926804"/>
    <w:rsid w:val="0093033F"/>
    <w:rsid w:val="00930F80"/>
    <w:rsid w:val="00931DAF"/>
    <w:rsid w:val="00932E3E"/>
    <w:rsid w:val="00933C00"/>
    <w:rsid w:val="00934CD3"/>
    <w:rsid w:val="00935F2F"/>
    <w:rsid w:val="00936505"/>
    <w:rsid w:val="00936F51"/>
    <w:rsid w:val="0093707D"/>
    <w:rsid w:val="00937A52"/>
    <w:rsid w:val="00937D4F"/>
    <w:rsid w:val="009435D8"/>
    <w:rsid w:val="009443D2"/>
    <w:rsid w:val="009456AE"/>
    <w:rsid w:val="00945C9C"/>
    <w:rsid w:val="00946959"/>
    <w:rsid w:val="00946D55"/>
    <w:rsid w:val="009473A1"/>
    <w:rsid w:val="009534D3"/>
    <w:rsid w:val="00955220"/>
    <w:rsid w:val="009554D2"/>
    <w:rsid w:val="009565B4"/>
    <w:rsid w:val="00956CD3"/>
    <w:rsid w:val="00960487"/>
    <w:rsid w:val="0096118B"/>
    <w:rsid w:val="009613E6"/>
    <w:rsid w:val="009636C7"/>
    <w:rsid w:val="00964DAC"/>
    <w:rsid w:val="00965AD5"/>
    <w:rsid w:val="00967C90"/>
    <w:rsid w:val="00970181"/>
    <w:rsid w:val="009713B6"/>
    <w:rsid w:val="00971661"/>
    <w:rsid w:val="00973C24"/>
    <w:rsid w:val="009743D8"/>
    <w:rsid w:val="009749CC"/>
    <w:rsid w:val="00975D1D"/>
    <w:rsid w:val="0097633F"/>
    <w:rsid w:val="009778D2"/>
    <w:rsid w:val="00980398"/>
    <w:rsid w:val="00980776"/>
    <w:rsid w:val="00981EC4"/>
    <w:rsid w:val="00982995"/>
    <w:rsid w:val="00983C0A"/>
    <w:rsid w:val="0098406D"/>
    <w:rsid w:val="00985CDA"/>
    <w:rsid w:val="0098686E"/>
    <w:rsid w:val="00987029"/>
    <w:rsid w:val="00987692"/>
    <w:rsid w:val="0099000D"/>
    <w:rsid w:val="00990670"/>
    <w:rsid w:val="00991313"/>
    <w:rsid w:val="00992232"/>
    <w:rsid w:val="009929DF"/>
    <w:rsid w:val="00993669"/>
    <w:rsid w:val="00994347"/>
    <w:rsid w:val="00995315"/>
    <w:rsid w:val="0099675B"/>
    <w:rsid w:val="00997961"/>
    <w:rsid w:val="009A0FD9"/>
    <w:rsid w:val="009A1407"/>
    <w:rsid w:val="009A1831"/>
    <w:rsid w:val="009A20A2"/>
    <w:rsid w:val="009A301E"/>
    <w:rsid w:val="009A3122"/>
    <w:rsid w:val="009A520B"/>
    <w:rsid w:val="009A64B2"/>
    <w:rsid w:val="009A7740"/>
    <w:rsid w:val="009A78FC"/>
    <w:rsid w:val="009A7ADC"/>
    <w:rsid w:val="009B19D4"/>
    <w:rsid w:val="009B3743"/>
    <w:rsid w:val="009B5044"/>
    <w:rsid w:val="009B6042"/>
    <w:rsid w:val="009B665D"/>
    <w:rsid w:val="009B69D2"/>
    <w:rsid w:val="009C09E6"/>
    <w:rsid w:val="009C2811"/>
    <w:rsid w:val="009C30BB"/>
    <w:rsid w:val="009C4068"/>
    <w:rsid w:val="009C60F4"/>
    <w:rsid w:val="009C6E30"/>
    <w:rsid w:val="009C72FA"/>
    <w:rsid w:val="009C7586"/>
    <w:rsid w:val="009C7A80"/>
    <w:rsid w:val="009D1E78"/>
    <w:rsid w:val="009D24AA"/>
    <w:rsid w:val="009D30F6"/>
    <w:rsid w:val="009D4199"/>
    <w:rsid w:val="009D43AC"/>
    <w:rsid w:val="009D45C9"/>
    <w:rsid w:val="009D5951"/>
    <w:rsid w:val="009D5DB5"/>
    <w:rsid w:val="009D7D2F"/>
    <w:rsid w:val="009E0244"/>
    <w:rsid w:val="009E09BD"/>
    <w:rsid w:val="009E0A3E"/>
    <w:rsid w:val="009E0BBF"/>
    <w:rsid w:val="009E20A7"/>
    <w:rsid w:val="009E2528"/>
    <w:rsid w:val="009E2C0D"/>
    <w:rsid w:val="009E4B6E"/>
    <w:rsid w:val="009E4EE4"/>
    <w:rsid w:val="009E4F54"/>
    <w:rsid w:val="009F22A8"/>
    <w:rsid w:val="009F4B51"/>
    <w:rsid w:val="009F65F8"/>
    <w:rsid w:val="009F789E"/>
    <w:rsid w:val="00A017F1"/>
    <w:rsid w:val="00A02047"/>
    <w:rsid w:val="00A05192"/>
    <w:rsid w:val="00A054DB"/>
    <w:rsid w:val="00A06315"/>
    <w:rsid w:val="00A0766F"/>
    <w:rsid w:val="00A079C9"/>
    <w:rsid w:val="00A11018"/>
    <w:rsid w:val="00A113FA"/>
    <w:rsid w:val="00A16A0F"/>
    <w:rsid w:val="00A23091"/>
    <w:rsid w:val="00A2330C"/>
    <w:rsid w:val="00A234A1"/>
    <w:rsid w:val="00A26E52"/>
    <w:rsid w:val="00A26FC7"/>
    <w:rsid w:val="00A2774A"/>
    <w:rsid w:val="00A27886"/>
    <w:rsid w:val="00A30E4A"/>
    <w:rsid w:val="00A328BB"/>
    <w:rsid w:val="00A33451"/>
    <w:rsid w:val="00A34556"/>
    <w:rsid w:val="00A34745"/>
    <w:rsid w:val="00A35397"/>
    <w:rsid w:val="00A36464"/>
    <w:rsid w:val="00A36A07"/>
    <w:rsid w:val="00A379DB"/>
    <w:rsid w:val="00A451AB"/>
    <w:rsid w:val="00A45974"/>
    <w:rsid w:val="00A459A1"/>
    <w:rsid w:val="00A50983"/>
    <w:rsid w:val="00A51097"/>
    <w:rsid w:val="00A55F25"/>
    <w:rsid w:val="00A55F63"/>
    <w:rsid w:val="00A56682"/>
    <w:rsid w:val="00A56844"/>
    <w:rsid w:val="00A57116"/>
    <w:rsid w:val="00A572A1"/>
    <w:rsid w:val="00A615A4"/>
    <w:rsid w:val="00A61643"/>
    <w:rsid w:val="00A61CE3"/>
    <w:rsid w:val="00A65D91"/>
    <w:rsid w:val="00A72F13"/>
    <w:rsid w:val="00A74285"/>
    <w:rsid w:val="00A748B1"/>
    <w:rsid w:val="00A74E6C"/>
    <w:rsid w:val="00A769C9"/>
    <w:rsid w:val="00A7793C"/>
    <w:rsid w:val="00A8009E"/>
    <w:rsid w:val="00A81B41"/>
    <w:rsid w:val="00A8341D"/>
    <w:rsid w:val="00A862CC"/>
    <w:rsid w:val="00A86FFB"/>
    <w:rsid w:val="00A87140"/>
    <w:rsid w:val="00A87EFC"/>
    <w:rsid w:val="00A9078C"/>
    <w:rsid w:val="00A933EE"/>
    <w:rsid w:val="00A93E10"/>
    <w:rsid w:val="00A96920"/>
    <w:rsid w:val="00A97D61"/>
    <w:rsid w:val="00AA0048"/>
    <w:rsid w:val="00AA0F89"/>
    <w:rsid w:val="00AA13C5"/>
    <w:rsid w:val="00AA244C"/>
    <w:rsid w:val="00AA33C7"/>
    <w:rsid w:val="00AA3E03"/>
    <w:rsid w:val="00AA5015"/>
    <w:rsid w:val="00AA6A5B"/>
    <w:rsid w:val="00AA6D4E"/>
    <w:rsid w:val="00AA7EEB"/>
    <w:rsid w:val="00AB0581"/>
    <w:rsid w:val="00AB1347"/>
    <w:rsid w:val="00AB2BF3"/>
    <w:rsid w:val="00AC0E28"/>
    <w:rsid w:val="00AC0F7C"/>
    <w:rsid w:val="00AC1485"/>
    <w:rsid w:val="00AC222F"/>
    <w:rsid w:val="00AC2447"/>
    <w:rsid w:val="00AC2D6B"/>
    <w:rsid w:val="00AC3765"/>
    <w:rsid w:val="00AC50C2"/>
    <w:rsid w:val="00AC557B"/>
    <w:rsid w:val="00AC5B14"/>
    <w:rsid w:val="00AC5DCA"/>
    <w:rsid w:val="00AC73B4"/>
    <w:rsid w:val="00AD09A1"/>
    <w:rsid w:val="00AD18ED"/>
    <w:rsid w:val="00AD3DD3"/>
    <w:rsid w:val="00AD4259"/>
    <w:rsid w:val="00AD5158"/>
    <w:rsid w:val="00AD5BB2"/>
    <w:rsid w:val="00AD63F2"/>
    <w:rsid w:val="00AD6492"/>
    <w:rsid w:val="00AD7084"/>
    <w:rsid w:val="00AD7797"/>
    <w:rsid w:val="00AE0580"/>
    <w:rsid w:val="00AE1367"/>
    <w:rsid w:val="00AE4311"/>
    <w:rsid w:val="00AE54A1"/>
    <w:rsid w:val="00AE5A58"/>
    <w:rsid w:val="00AE7E14"/>
    <w:rsid w:val="00AE7E91"/>
    <w:rsid w:val="00AF130C"/>
    <w:rsid w:val="00AF1BE4"/>
    <w:rsid w:val="00AF39CE"/>
    <w:rsid w:val="00AF3D79"/>
    <w:rsid w:val="00AF4D7F"/>
    <w:rsid w:val="00AF5389"/>
    <w:rsid w:val="00AF5645"/>
    <w:rsid w:val="00AF7C63"/>
    <w:rsid w:val="00B01D62"/>
    <w:rsid w:val="00B0280B"/>
    <w:rsid w:val="00B03348"/>
    <w:rsid w:val="00B0368B"/>
    <w:rsid w:val="00B06C06"/>
    <w:rsid w:val="00B10CD0"/>
    <w:rsid w:val="00B111EC"/>
    <w:rsid w:val="00B122F1"/>
    <w:rsid w:val="00B14A58"/>
    <w:rsid w:val="00B150BB"/>
    <w:rsid w:val="00B153A3"/>
    <w:rsid w:val="00B1541C"/>
    <w:rsid w:val="00B15430"/>
    <w:rsid w:val="00B1550E"/>
    <w:rsid w:val="00B15AA9"/>
    <w:rsid w:val="00B15F54"/>
    <w:rsid w:val="00B16C1D"/>
    <w:rsid w:val="00B177C4"/>
    <w:rsid w:val="00B224B6"/>
    <w:rsid w:val="00B22972"/>
    <w:rsid w:val="00B22B1F"/>
    <w:rsid w:val="00B2438A"/>
    <w:rsid w:val="00B2502C"/>
    <w:rsid w:val="00B25437"/>
    <w:rsid w:val="00B2573E"/>
    <w:rsid w:val="00B26929"/>
    <w:rsid w:val="00B269AD"/>
    <w:rsid w:val="00B26DAE"/>
    <w:rsid w:val="00B30B7D"/>
    <w:rsid w:val="00B30CB6"/>
    <w:rsid w:val="00B3156D"/>
    <w:rsid w:val="00B330C9"/>
    <w:rsid w:val="00B361FE"/>
    <w:rsid w:val="00B3733A"/>
    <w:rsid w:val="00B3753D"/>
    <w:rsid w:val="00B403B2"/>
    <w:rsid w:val="00B41792"/>
    <w:rsid w:val="00B42E2E"/>
    <w:rsid w:val="00B437D0"/>
    <w:rsid w:val="00B44EB4"/>
    <w:rsid w:val="00B451CD"/>
    <w:rsid w:val="00B45618"/>
    <w:rsid w:val="00B456E9"/>
    <w:rsid w:val="00B467EB"/>
    <w:rsid w:val="00B47AC1"/>
    <w:rsid w:val="00B51B37"/>
    <w:rsid w:val="00B51E09"/>
    <w:rsid w:val="00B52E8D"/>
    <w:rsid w:val="00B531FE"/>
    <w:rsid w:val="00B53D1E"/>
    <w:rsid w:val="00B611CC"/>
    <w:rsid w:val="00B617C5"/>
    <w:rsid w:val="00B639F3"/>
    <w:rsid w:val="00B63C46"/>
    <w:rsid w:val="00B64391"/>
    <w:rsid w:val="00B6494E"/>
    <w:rsid w:val="00B65D6C"/>
    <w:rsid w:val="00B66BBD"/>
    <w:rsid w:val="00B6716A"/>
    <w:rsid w:val="00B67C33"/>
    <w:rsid w:val="00B705E6"/>
    <w:rsid w:val="00B73A0B"/>
    <w:rsid w:val="00B73EFE"/>
    <w:rsid w:val="00B7413C"/>
    <w:rsid w:val="00B746CE"/>
    <w:rsid w:val="00B74E76"/>
    <w:rsid w:val="00B757DD"/>
    <w:rsid w:val="00B758D6"/>
    <w:rsid w:val="00B76489"/>
    <w:rsid w:val="00B80424"/>
    <w:rsid w:val="00B804BF"/>
    <w:rsid w:val="00B82183"/>
    <w:rsid w:val="00B84552"/>
    <w:rsid w:val="00B90128"/>
    <w:rsid w:val="00B90651"/>
    <w:rsid w:val="00B90720"/>
    <w:rsid w:val="00B910E5"/>
    <w:rsid w:val="00B923CD"/>
    <w:rsid w:val="00B927F1"/>
    <w:rsid w:val="00B92EB2"/>
    <w:rsid w:val="00B93148"/>
    <w:rsid w:val="00B933F7"/>
    <w:rsid w:val="00B93EF3"/>
    <w:rsid w:val="00B957D2"/>
    <w:rsid w:val="00B95DAB"/>
    <w:rsid w:val="00B95F96"/>
    <w:rsid w:val="00B96EF6"/>
    <w:rsid w:val="00B96FAE"/>
    <w:rsid w:val="00B97A4E"/>
    <w:rsid w:val="00BA061B"/>
    <w:rsid w:val="00BA13B7"/>
    <w:rsid w:val="00BA2B32"/>
    <w:rsid w:val="00BA3F68"/>
    <w:rsid w:val="00BA49ED"/>
    <w:rsid w:val="00BB1842"/>
    <w:rsid w:val="00BB228C"/>
    <w:rsid w:val="00BB2A66"/>
    <w:rsid w:val="00BB4F39"/>
    <w:rsid w:val="00BB4FDA"/>
    <w:rsid w:val="00BB55B5"/>
    <w:rsid w:val="00BB63F1"/>
    <w:rsid w:val="00BC023A"/>
    <w:rsid w:val="00BC1BE7"/>
    <w:rsid w:val="00BC1EC9"/>
    <w:rsid w:val="00BC2438"/>
    <w:rsid w:val="00BC3FDA"/>
    <w:rsid w:val="00BC4EC0"/>
    <w:rsid w:val="00BC5711"/>
    <w:rsid w:val="00BC5726"/>
    <w:rsid w:val="00BC5BDC"/>
    <w:rsid w:val="00BC646E"/>
    <w:rsid w:val="00BD14B0"/>
    <w:rsid w:val="00BD1D49"/>
    <w:rsid w:val="00BD2914"/>
    <w:rsid w:val="00BD5872"/>
    <w:rsid w:val="00BD704B"/>
    <w:rsid w:val="00BE3D49"/>
    <w:rsid w:val="00BE443B"/>
    <w:rsid w:val="00BE44F3"/>
    <w:rsid w:val="00BE5386"/>
    <w:rsid w:val="00BE7AFE"/>
    <w:rsid w:val="00BF054C"/>
    <w:rsid w:val="00BF06E9"/>
    <w:rsid w:val="00BF2FAB"/>
    <w:rsid w:val="00BF3404"/>
    <w:rsid w:val="00BF444B"/>
    <w:rsid w:val="00BF4F0A"/>
    <w:rsid w:val="00BF6E18"/>
    <w:rsid w:val="00BF6F44"/>
    <w:rsid w:val="00BF7D27"/>
    <w:rsid w:val="00C00F39"/>
    <w:rsid w:val="00C053E6"/>
    <w:rsid w:val="00C06BDC"/>
    <w:rsid w:val="00C06FE1"/>
    <w:rsid w:val="00C07135"/>
    <w:rsid w:val="00C11CFB"/>
    <w:rsid w:val="00C124EB"/>
    <w:rsid w:val="00C1272A"/>
    <w:rsid w:val="00C161E0"/>
    <w:rsid w:val="00C16794"/>
    <w:rsid w:val="00C175F6"/>
    <w:rsid w:val="00C2105F"/>
    <w:rsid w:val="00C23329"/>
    <w:rsid w:val="00C238D9"/>
    <w:rsid w:val="00C24011"/>
    <w:rsid w:val="00C248B5"/>
    <w:rsid w:val="00C256A4"/>
    <w:rsid w:val="00C26DD9"/>
    <w:rsid w:val="00C27F69"/>
    <w:rsid w:val="00C27FC4"/>
    <w:rsid w:val="00C30611"/>
    <w:rsid w:val="00C31F7C"/>
    <w:rsid w:val="00C32140"/>
    <w:rsid w:val="00C36E52"/>
    <w:rsid w:val="00C40AC9"/>
    <w:rsid w:val="00C41AD7"/>
    <w:rsid w:val="00C42384"/>
    <w:rsid w:val="00C4239D"/>
    <w:rsid w:val="00C42AA5"/>
    <w:rsid w:val="00C42EA8"/>
    <w:rsid w:val="00C43E46"/>
    <w:rsid w:val="00C45A05"/>
    <w:rsid w:val="00C45EE7"/>
    <w:rsid w:val="00C47F6F"/>
    <w:rsid w:val="00C50BBB"/>
    <w:rsid w:val="00C52077"/>
    <w:rsid w:val="00C54114"/>
    <w:rsid w:val="00C544D7"/>
    <w:rsid w:val="00C552BA"/>
    <w:rsid w:val="00C55346"/>
    <w:rsid w:val="00C55557"/>
    <w:rsid w:val="00C558F7"/>
    <w:rsid w:val="00C56109"/>
    <w:rsid w:val="00C60708"/>
    <w:rsid w:val="00C618D1"/>
    <w:rsid w:val="00C63B67"/>
    <w:rsid w:val="00C63E1C"/>
    <w:rsid w:val="00C659F1"/>
    <w:rsid w:val="00C7055E"/>
    <w:rsid w:val="00C70F62"/>
    <w:rsid w:val="00C715D5"/>
    <w:rsid w:val="00C71E59"/>
    <w:rsid w:val="00C722D1"/>
    <w:rsid w:val="00C72DDE"/>
    <w:rsid w:val="00C72FE3"/>
    <w:rsid w:val="00C73DB2"/>
    <w:rsid w:val="00C74184"/>
    <w:rsid w:val="00C750E4"/>
    <w:rsid w:val="00C75FD4"/>
    <w:rsid w:val="00C7618E"/>
    <w:rsid w:val="00C77395"/>
    <w:rsid w:val="00C77861"/>
    <w:rsid w:val="00C8183F"/>
    <w:rsid w:val="00C832A3"/>
    <w:rsid w:val="00C8366E"/>
    <w:rsid w:val="00C84BB9"/>
    <w:rsid w:val="00C84C1B"/>
    <w:rsid w:val="00C85B8F"/>
    <w:rsid w:val="00C86F90"/>
    <w:rsid w:val="00C917BD"/>
    <w:rsid w:val="00C937A0"/>
    <w:rsid w:val="00C93A22"/>
    <w:rsid w:val="00C94048"/>
    <w:rsid w:val="00C94A5B"/>
    <w:rsid w:val="00C94ABE"/>
    <w:rsid w:val="00CA0F24"/>
    <w:rsid w:val="00CA19C3"/>
    <w:rsid w:val="00CA2447"/>
    <w:rsid w:val="00CA2629"/>
    <w:rsid w:val="00CA33CF"/>
    <w:rsid w:val="00CA3573"/>
    <w:rsid w:val="00CA5757"/>
    <w:rsid w:val="00CA5FF0"/>
    <w:rsid w:val="00CA7C08"/>
    <w:rsid w:val="00CA7C60"/>
    <w:rsid w:val="00CA7F19"/>
    <w:rsid w:val="00CB002C"/>
    <w:rsid w:val="00CB042B"/>
    <w:rsid w:val="00CB38C0"/>
    <w:rsid w:val="00CB3AE2"/>
    <w:rsid w:val="00CB4644"/>
    <w:rsid w:val="00CB5656"/>
    <w:rsid w:val="00CB5AAF"/>
    <w:rsid w:val="00CB5FAB"/>
    <w:rsid w:val="00CB65B2"/>
    <w:rsid w:val="00CB73E5"/>
    <w:rsid w:val="00CC0967"/>
    <w:rsid w:val="00CC0CF4"/>
    <w:rsid w:val="00CC129A"/>
    <w:rsid w:val="00CC3733"/>
    <w:rsid w:val="00CC3E82"/>
    <w:rsid w:val="00CC42D7"/>
    <w:rsid w:val="00CC7D19"/>
    <w:rsid w:val="00CD1EE9"/>
    <w:rsid w:val="00CD25A5"/>
    <w:rsid w:val="00CD2A59"/>
    <w:rsid w:val="00CD45A0"/>
    <w:rsid w:val="00CD53A3"/>
    <w:rsid w:val="00CD5E6E"/>
    <w:rsid w:val="00CD5EC2"/>
    <w:rsid w:val="00CD60E4"/>
    <w:rsid w:val="00CD7F71"/>
    <w:rsid w:val="00CE0E71"/>
    <w:rsid w:val="00CE2D4E"/>
    <w:rsid w:val="00CE31DC"/>
    <w:rsid w:val="00CE50A8"/>
    <w:rsid w:val="00CE5499"/>
    <w:rsid w:val="00CE54F8"/>
    <w:rsid w:val="00CE683A"/>
    <w:rsid w:val="00CF115E"/>
    <w:rsid w:val="00CF1699"/>
    <w:rsid w:val="00CF3FFF"/>
    <w:rsid w:val="00CF4CE7"/>
    <w:rsid w:val="00CF4E48"/>
    <w:rsid w:val="00CF6C13"/>
    <w:rsid w:val="00CF6EF9"/>
    <w:rsid w:val="00CF704D"/>
    <w:rsid w:val="00CF71C6"/>
    <w:rsid w:val="00CF7906"/>
    <w:rsid w:val="00D00393"/>
    <w:rsid w:val="00D015D0"/>
    <w:rsid w:val="00D061EF"/>
    <w:rsid w:val="00D0705E"/>
    <w:rsid w:val="00D10DE2"/>
    <w:rsid w:val="00D10EAA"/>
    <w:rsid w:val="00D118E2"/>
    <w:rsid w:val="00D137D3"/>
    <w:rsid w:val="00D15B48"/>
    <w:rsid w:val="00D15DA2"/>
    <w:rsid w:val="00D1724F"/>
    <w:rsid w:val="00D17F50"/>
    <w:rsid w:val="00D200C9"/>
    <w:rsid w:val="00D206C2"/>
    <w:rsid w:val="00D20CF2"/>
    <w:rsid w:val="00D211CC"/>
    <w:rsid w:val="00D214E4"/>
    <w:rsid w:val="00D218A9"/>
    <w:rsid w:val="00D2273F"/>
    <w:rsid w:val="00D22BCE"/>
    <w:rsid w:val="00D237B1"/>
    <w:rsid w:val="00D2427D"/>
    <w:rsid w:val="00D2432C"/>
    <w:rsid w:val="00D257DA"/>
    <w:rsid w:val="00D2626D"/>
    <w:rsid w:val="00D3060D"/>
    <w:rsid w:val="00D31A34"/>
    <w:rsid w:val="00D31B36"/>
    <w:rsid w:val="00D31FA8"/>
    <w:rsid w:val="00D36DD2"/>
    <w:rsid w:val="00D40C35"/>
    <w:rsid w:val="00D41E6F"/>
    <w:rsid w:val="00D42240"/>
    <w:rsid w:val="00D45A1C"/>
    <w:rsid w:val="00D50D1E"/>
    <w:rsid w:val="00D551B0"/>
    <w:rsid w:val="00D57529"/>
    <w:rsid w:val="00D6177B"/>
    <w:rsid w:val="00D62542"/>
    <w:rsid w:val="00D65A76"/>
    <w:rsid w:val="00D705AA"/>
    <w:rsid w:val="00D71D0D"/>
    <w:rsid w:val="00D72779"/>
    <w:rsid w:val="00D73EF4"/>
    <w:rsid w:val="00D7473E"/>
    <w:rsid w:val="00D75B58"/>
    <w:rsid w:val="00D75E39"/>
    <w:rsid w:val="00D77283"/>
    <w:rsid w:val="00D7768B"/>
    <w:rsid w:val="00D80E9B"/>
    <w:rsid w:val="00D83C24"/>
    <w:rsid w:val="00D844FD"/>
    <w:rsid w:val="00D846AE"/>
    <w:rsid w:val="00D84F0A"/>
    <w:rsid w:val="00D85169"/>
    <w:rsid w:val="00D85673"/>
    <w:rsid w:val="00D86114"/>
    <w:rsid w:val="00D865E8"/>
    <w:rsid w:val="00D87A93"/>
    <w:rsid w:val="00D90144"/>
    <w:rsid w:val="00D90468"/>
    <w:rsid w:val="00D91DF5"/>
    <w:rsid w:val="00D924FD"/>
    <w:rsid w:val="00D92B2A"/>
    <w:rsid w:val="00DA17A3"/>
    <w:rsid w:val="00DA2963"/>
    <w:rsid w:val="00DA2CE3"/>
    <w:rsid w:val="00DA3CD7"/>
    <w:rsid w:val="00DA6A9F"/>
    <w:rsid w:val="00DA78C7"/>
    <w:rsid w:val="00DB0451"/>
    <w:rsid w:val="00DB0B6C"/>
    <w:rsid w:val="00DB0EF3"/>
    <w:rsid w:val="00DB16E9"/>
    <w:rsid w:val="00DB1A22"/>
    <w:rsid w:val="00DB3EF3"/>
    <w:rsid w:val="00DB4223"/>
    <w:rsid w:val="00DB4F98"/>
    <w:rsid w:val="00DB5220"/>
    <w:rsid w:val="00DB68B0"/>
    <w:rsid w:val="00DB6ECE"/>
    <w:rsid w:val="00DB748A"/>
    <w:rsid w:val="00DB7554"/>
    <w:rsid w:val="00DB770F"/>
    <w:rsid w:val="00DC0898"/>
    <w:rsid w:val="00DC3B38"/>
    <w:rsid w:val="00DC5414"/>
    <w:rsid w:val="00DC5791"/>
    <w:rsid w:val="00DC6846"/>
    <w:rsid w:val="00DC69BF"/>
    <w:rsid w:val="00DD0045"/>
    <w:rsid w:val="00DD1B6F"/>
    <w:rsid w:val="00DD2BDC"/>
    <w:rsid w:val="00DD5A19"/>
    <w:rsid w:val="00DD6674"/>
    <w:rsid w:val="00DD6712"/>
    <w:rsid w:val="00DD6771"/>
    <w:rsid w:val="00DE13C7"/>
    <w:rsid w:val="00DE24FA"/>
    <w:rsid w:val="00DE2F19"/>
    <w:rsid w:val="00DE31F0"/>
    <w:rsid w:val="00DE5979"/>
    <w:rsid w:val="00DE7780"/>
    <w:rsid w:val="00DF0F5F"/>
    <w:rsid w:val="00DF7411"/>
    <w:rsid w:val="00E00CD9"/>
    <w:rsid w:val="00E0156A"/>
    <w:rsid w:val="00E015E0"/>
    <w:rsid w:val="00E02B99"/>
    <w:rsid w:val="00E03176"/>
    <w:rsid w:val="00E03943"/>
    <w:rsid w:val="00E03DA2"/>
    <w:rsid w:val="00E040E5"/>
    <w:rsid w:val="00E046D6"/>
    <w:rsid w:val="00E0525F"/>
    <w:rsid w:val="00E05896"/>
    <w:rsid w:val="00E069CA"/>
    <w:rsid w:val="00E06AE2"/>
    <w:rsid w:val="00E06D79"/>
    <w:rsid w:val="00E10701"/>
    <w:rsid w:val="00E12660"/>
    <w:rsid w:val="00E14E29"/>
    <w:rsid w:val="00E14F6E"/>
    <w:rsid w:val="00E15631"/>
    <w:rsid w:val="00E17024"/>
    <w:rsid w:val="00E20734"/>
    <w:rsid w:val="00E20749"/>
    <w:rsid w:val="00E20A1D"/>
    <w:rsid w:val="00E253A9"/>
    <w:rsid w:val="00E2667B"/>
    <w:rsid w:val="00E26FA4"/>
    <w:rsid w:val="00E27238"/>
    <w:rsid w:val="00E27934"/>
    <w:rsid w:val="00E30287"/>
    <w:rsid w:val="00E312AB"/>
    <w:rsid w:val="00E3285D"/>
    <w:rsid w:val="00E32913"/>
    <w:rsid w:val="00E33377"/>
    <w:rsid w:val="00E33F05"/>
    <w:rsid w:val="00E34C67"/>
    <w:rsid w:val="00E42335"/>
    <w:rsid w:val="00E42508"/>
    <w:rsid w:val="00E44629"/>
    <w:rsid w:val="00E44897"/>
    <w:rsid w:val="00E45B78"/>
    <w:rsid w:val="00E46105"/>
    <w:rsid w:val="00E470FD"/>
    <w:rsid w:val="00E502F8"/>
    <w:rsid w:val="00E50AA3"/>
    <w:rsid w:val="00E5131B"/>
    <w:rsid w:val="00E519F1"/>
    <w:rsid w:val="00E523C3"/>
    <w:rsid w:val="00E5287E"/>
    <w:rsid w:val="00E52AF9"/>
    <w:rsid w:val="00E5320E"/>
    <w:rsid w:val="00E5467E"/>
    <w:rsid w:val="00E568AB"/>
    <w:rsid w:val="00E5727C"/>
    <w:rsid w:val="00E57FC6"/>
    <w:rsid w:val="00E614C8"/>
    <w:rsid w:val="00E63948"/>
    <w:rsid w:val="00E63DE0"/>
    <w:rsid w:val="00E658DF"/>
    <w:rsid w:val="00E65BFF"/>
    <w:rsid w:val="00E65ED0"/>
    <w:rsid w:val="00E66360"/>
    <w:rsid w:val="00E66ED6"/>
    <w:rsid w:val="00E716E4"/>
    <w:rsid w:val="00E72211"/>
    <w:rsid w:val="00E72589"/>
    <w:rsid w:val="00E72906"/>
    <w:rsid w:val="00E72AA3"/>
    <w:rsid w:val="00E748FC"/>
    <w:rsid w:val="00E759BC"/>
    <w:rsid w:val="00E75ABC"/>
    <w:rsid w:val="00E762CC"/>
    <w:rsid w:val="00E769FF"/>
    <w:rsid w:val="00E771F8"/>
    <w:rsid w:val="00E77301"/>
    <w:rsid w:val="00E77EDE"/>
    <w:rsid w:val="00E824D5"/>
    <w:rsid w:val="00E82878"/>
    <w:rsid w:val="00E83779"/>
    <w:rsid w:val="00E8381A"/>
    <w:rsid w:val="00E84498"/>
    <w:rsid w:val="00E847A8"/>
    <w:rsid w:val="00E84DCA"/>
    <w:rsid w:val="00E84F89"/>
    <w:rsid w:val="00E856EC"/>
    <w:rsid w:val="00E865BA"/>
    <w:rsid w:val="00E90928"/>
    <w:rsid w:val="00E90962"/>
    <w:rsid w:val="00E909FA"/>
    <w:rsid w:val="00E91606"/>
    <w:rsid w:val="00E937DD"/>
    <w:rsid w:val="00E94DDB"/>
    <w:rsid w:val="00E94DEC"/>
    <w:rsid w:val="00E9617F"/>
    <w:rsid w:val="00E966EC"/>
    <w:rsid w:val="00E96D71"/>
    <w:rsid w:val="00EA06C0"/>
    <w:rsid w:val="00EA220C"/>
    <w:rsid w:val="00EA2603"/>
    <w:rsid w:val="00EA3246"/>
    <w:rsid w:val="00EA3589"/>
    <w:rsid w:val="00EA371E"/>
    <w:rsid w:val="00EA6C3F"/>
    <w:rsid w:val="00EA7517"/>
    <w:rsid w:val="00EB17E2"/>
    <w:rsid w:val="00EB6928"/>
    <w:rsid w:val="00EC1090"/>
    <w:rsid w:val="00EC20BF"/>
    <w:rsid w:val="00EC2736"/>
    <w:rsid w:val="00EC539B"/>
    <w:rsid w:val="00EC59ED"/>
    <w:rsid w:val="00EC6F73"/>
    <w:rsid w:val="00EC7979"/>
    <w:rsid w:val="00ED0FAE"/>
    <w:rsid w:val="00ED1F83"/>
    <w:rsid w:val="00ED25AA"/>
    <w:rsid w:val="00ED34AD"/>
    <w:rsid w:val="00ED3CA1"/>
    <w:rsid w:val="00ED4F0E"/>
    <w:rsid w:val="00ED5ECB"/>
    <w:rsid w:val="00EE01E8"/>
    <w:rsid w:val="00EE1838"/>
    <w:rsid w:val="00EE1F75"/>
    <w:rsid w:val="00EE4EAB"/>
    <w:rsid w:val="00EE5272"/>
    <w:rsid w:val="00EE5DC2"/>
    <w:rsid w:val="00EE7CF2"/>
    <w:rsid w:val="00EF0768"/>
    <w:rsid w:val="00EF1F81"/>
    <w:rsid w:val="00EF2876"/>
    <w:rsid w:val="00EF3253"/>
    <w:rsid w:val="00EF36F3"/>
    <w:rsid w:val="00EF417F"/>
    <w:rsid w:val="00EF4E13"/>
    <w:rsid w:val="00EF5E6F"/>
    <w:rsid w:val="00EF67CA"/>
    <w:rsid w:val="00EF7157"/>
    <w:rsid w:val="00EF798F"/>
    <w:rsid w:val="00F00044"/>
    <w:rsid w:val="00F00C59"/>
    <w:rsid w:val="00F03118"/>
    <w:rsid w:val="00F03B78"/>
    <w:rsid w:val="00F05AAA"/>
    <w:rsid w:val="00F05F09"/>
    <w:rsid w:val="00F06BEA"/>
    <w:rsid w:val="00F073F1"/>
    <w:rsid w:val="00F114AC"/>
    <w:rsid w:val="00F123AD"/>
    <w:rsid w:val="00F139A9"/>
    <w:rsid w:val="00F1676E"/>
    <w:rsid w:val="00F21E63"/>
    <w:rsid w:val="00F237E9"/>
    <w:rsid w:val="00F23890"/>
    <w:rsid w:val="00F23F35"/>
    <w:rsid w:val="00F26E85"/>
    <w:rsid w:val="00F30C32"/>
    <w:rsid w:val="00F320B7"/>
    <w:rsid w:val="00F32BC3"/>
    <w:rsid w:val="00F339B7"/>
    <w:rsid w:val="00F36592"/>
    <w:rsid w:val="00F37456"/>
    <w:rsid w:val="00F408AC"/>
    <w:rsid w:val="00F41EF7"/>
    <w:rsid w:val="00F43C1D"/>
    <w:rsid w:val="00F463AB"/>
    <w:rsid w:val="00F4729A"/>
    <w:rsid w:val="00F5035E"/>
    <w:rsid w:val="00F50DBB"/>
    <w:rsid w:val="00F52313"/>
    <w:rsid w:val="00F55545"/>
    <w:rsid w:val="00F5616F"/>
    <w:rsid w:val="00F56FDF"/>
    <w:rsid w:val="00F61B98"/>
    <w:rsid w:val="00F61E6A"/>
    <w:rsid w:val="00F62363"/>
    <w:rsid w:val="00F62386"/>
    <w:rsid w:val="00F63C5E"/>
    <w:rsid w:val="00F641BE"/>
    <w:rsid w:val="00F65D34"/>
    <w:rsid w:val="00F65E5D"/>
    <w:rsid w:val="00F6718C"/>
    <w:rsid w:val="00F67434"/>
    <w:rsid w:val="00F679EE"/>
    <w:rsid w:val="00F728AD"/>
    <w:rsid w:val="00F72BE1"/>
    <w:rsid w:val="00F73E0E"/>
    <w:rsid w:val="00F740D6"/>
    <w:rsid w:val="00F758E0"/>
    <w:rsid w:val="00F75905"/>
    <w:rsid w:val="00F777BB"/>
    <w:rsid w:val="00F77EC3"/>
    <w:rsid w:val="00F8086F"/>
    <w:rsid w:val="00F817F8"/>
    <w:rsid w:val="00F81971"/>
    <w:rsid w:val="00F8256E"/>
    <w:rsid w:val="00F839C2"/>
    <w:rsid w:val="00F84E26"/>
    <w:rsid w:val="00F912AF"/>
    <w:rsid w:val="00F94C3D"/>
    <w:rsid w:val="00F957FD"/>
    <w:rsid w:val="00F97A7C"/>
    <w:rsid w:val="00FA0A6B"/>
    <w:rsid w:val="00FA1317"/>
    <w:rsid w:val="00FA2E9F"/>
    <w:rsid w:val="00FA5486"/>
    <w:rsid w:val="00FA5A86"/>
    <w:rsid w:val="00FA697C"/>
    <w:rsid w:val="00FB3185"/>
    <w:rsid w:val="00FB4A20"/>
    <w:rsid w:val="00FB5341"/>
    <w:rsid w:val="00FB636C"/>
    <w:rsid w:val="00FB63D1"/>
    <w:rsid w:val="00FB6D1A"/>
    <w:rsid w:val="00FB729B"/>
    <w:rsid w:val="00FB7FF3"/>
    <w:rsid w:val="00FC0229"/>
    <w:rsid w:val="00FC22B5"/>
    <w:rsid w:val="00FC22FE"/>
    <w:rsid w:val="00FC2476"/>
    <w:rsid w:val="00FC49A2"/>
    <w:rsid w:val="00FC5CDD"/>
    <w:rsid w:val="00FC5FB2"/>
    <w:rsid w:val="00FC6342"/>
    <w:rsid w:val="00FC6E30"/>
    <w:rsid w:val="00FC7724"/>
    <w:rsid w:val="00FD19CD"/>
    <w:rsid w:val="00FD1B49"/>
    <w:rsid w:val="00FD2810"/>
    <w:rsid w:val="00FD5734"/>
    <w:rsid w:val="00FE2014"/>
    <w:rsid w:val="00FE3B2A"/>
    <w:rsid w:val="00FE3D77"/>
    <w:rsid w:val="00FE5527"/>
    <w:rsid w:val="00FE5D79"/>
    <w:rsid w:val="00FE75DF"/>
    <w:rsid w:val="00FE7A9F"/>
    <w:rsid w:val="00FF0DF1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4425FE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val="uk-UA"/>
    </w:rPr>
  </w:style>
  <w:style w:type="paragraph" w:styleId="1">
    <w:name w:val="heading 1"/>
    <w:basedOn w:val="a"/>
    <w:next w:val="a"/>
    <w:link w:val="10"/>
    <w:qFormat/>
    <w:rsid w:val="009713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paragraph" w:styleId="2">
    <w:name w:val="heading 2"/>
    <w:basedOn w:val="a"/>
    <w:link w:val="20"/>
    <w:uiPriority w:val="9"/>
    <w:qFormat/>
    <w:rsid w:val="009713B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9713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713B6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ormal bullet 2"/>
    <w:basedOn w:val="a"/>
    <w:link w:val="a4"/>
    <w:uiPriority w:val="34"/>
    <w:qFormat/>
    <w:rsid w:val="00B036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2313"/>
    <w:rPr>
      <w:rFonts w:cs="Times New Roman"/>
    </w:rPr>
  </w:style>
  <w:style w:type="character" w:styleId="a7">
    <w:name w:val="annotation reference"/>
    <w:basedOn w:val="a0"/>
    <w:uiPriority w:val="99"/>
    <w:unhideWhenUsed/>
    <w:rsid w:val="0037189B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5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52313"/>
    <w:rPr>
      <w:rFonts w:cs="Times New Roman"/>
    </w:rPr>
  </w:style>
  <w:style w:type="paragraph" w:styleId="aa">
    <w:name w:val="annotation text"/>
    <w:basedOn w:val="a"/>
    <w:link w:val="ab"/>
    <w:uiPriority w:val="99"/>
    <w:unhideWhenUsed/>
    <w:rsid w:val="0037189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37189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3718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37189B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37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37189B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E1751"/>
    <w:rPr>
      <w:rFonts w:cs="Times New Roman"/>
      <w:color w:val="0563C1" w:themeColor="hyperlink"/>
      <w:u w:val="single"/>
    </w:rPr>
  </w:style>
  <w:style w:type="paragraph" w:styleId="af1">
    <w:name w:val="Revision"/>
    <w:hidden/>
    <w:uiPriority w:val="99"/>
    <w:semiHidden/>
    <w:rsid w:val="00113DBE"/>
    <w:pPr>
      <w:spacing w:after="0" w:line="240" w:lineRule="auto"/>
    </w:pPr>
    <w:rPr>
      <w:rFonts w:cs="Times New Roman"/>
    </w:rPr>
  </w:style>
  <w:style w:type="character" w:styleId="af2">
    <w:name w:val="FollowedHyperlink"/>
    <w:basedOn w:val="a0"/>
    <w:uiPriority w:val="99"/>
    <w:semiHidden/>
    <w:unhideWhenUsed/>
    <w:rsid w:val="006342EC"/>
    <w:rPr>
      <w:rFonts w:cs="Times New Roman"/>
      <w:color w:val="954F72" w:themeColor="followedHyperlink"/>
      <w:u w:val="single"/>
    </w:rPr>
  </w:style>
  <w:style w:type="table" w:customStyle="1" w:styleId="11">
    <w:name w:val="Сетка таблицы1"/>
    <w:basedOn w:val="a1"/>
    <w:next w:val="af3"/>
    <w:uiPriority w:val="59"/>
    <w:rsid w:val="00607804"/>
    <w:pPr>
      <w:spacing w:after="0" w:line="240" w:lineRule="auto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60780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59"/>
    <w:rsid w:val="009D45C9"/>
    <w:pPr>
      <w:spacing w:after="0" w:line="240" w:lineRule="auto"/>
    </w:pPr>
    <w:rPr>
      <w:rFonts w:ascii="Calibri" w:eastAsiaTheme="minorEastAsia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3C55F1"/>
    <w:pPr>
      <w:spacing w:after="0" w:line="240" w:lineRule="auto"/>
    </w:pPr>
    <w:rPr>
      <w:rFonts w:cs="Times New Roman"/>
    </w:rPr>
  </w:style>
  <w:style w:type="paragraph" w:styleId="af5">
    <w:name w:val="Normal (Web)"/>
    <w:basedOn w:val="a"/>
    <w:link w:val="af6"/>
    <w:uiPriority w:val="99"/>
    <w:rsid w:val="00A65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2">
    <w:name w:val="Абзац списку1"/>
    <w:basedOn w:val="a"/>
    <w:rsid w:val="009A0FD9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9713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9713B6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9713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9713B6"/>
    <w:rPr>
      <w:rFonts w:ascii="Calibri Light" w:hAnsi="Calibri Light" w:cs="Times New Roman"/>
      <w:i/>
      <w:iCs/>
      <w:color w:val="2E74B5"/>
      <w:lang w:val="uk-UA"/>
    </w:rPr>
  </w:style>
  <w:style w:type="character" w:styleId="af7">
    <w:name w:val="page number"/>
    <w:basedOn w:val="a0"/>
    <w:rsid w:val="009713B6"/>
  </w:style>
  <w:style w:type="table" w:customStyle="1" w:styleId="31">
    <w:name w:val="Сітка таблиці3"/>
    <w:basedOn w:val="a1"/>
    <w:next w:val="af3"/>
    <w:uiPriority w:val="39"/>
    <w:rsid w:val="009713B6"/>
    <w:pPr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next w:val="af3"/>
    <w:uiPriority w:val="39"/>
    <w:rsid w:val="009713B6"/>
    <w:pPr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ітка таблиці9"/>
    <w:basedOn w:val="a1"/>
    <w:next w:val="af3"/>
    <w:uiPriority w:val="39"/>
    <w:rsid w:val="009713B6"/>
    <w:pPr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rsid w:val="009713B6"/>
    <w:pPr>
      <w:spacing w:after="0" w:line="240" w:lineRule="auto"/>
    </w:pPr>
    <w:rPr>
      <w:rFonts w:ascii="Times New Roman" w:hAnsi="Times New Roman"/>
      <w:sz w:val="20"/>
      <w:szCs w:val="20"/>
      <w:lang w:eastAsia="uk-UA"/>
    </w:rPr>
  </w:style>
  <w:style w:type="character" w:customStyle="1" w:styleId="af9">
    <w:name w:val="Текст сноски Знак"/>
    <w:basedOn w:val="a0"/>
    <w:link w:val="af8"/>
    <w:uiPriority w:val="99"/>
    <w:rsid w:val="009713B6"/>
    <w:rPr>
      <w:rFonts w:ascii="Times New Roman" w:hAnsi="Times New Roman" w:cs="Times New Roman"/>
      <w:sz w:val="20"/>
      <w:szCs w:val="20"/>
      <w:lang w:val="uk-UA" w:eastAsia="uk-UA"/>
    </w:rPr>
  </w:style>
  <w:style w:type="character" w:styleId="afa">
    <w:name w:val="footnote reference"/>
    <w:uiPriority w:val="99"/>
    <w:rsid w:val="009713B6"/>
    <w:rPr>
      <w:vertAlign w:val="superscript"/>
    </w:rPr>
  </w:style>
  <w:style w:type="table" w:customStyle="1" w:styleId="6">
    <w:name w:val="Сітка таблиці6"/>
    <w:basedOn w:val="a1"/>
    <w:next w:val="af3"/>
    <w:uiPriority w:val="39"/>
    <w:rsid w:val="009713B6"/>
    <w:pPr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має списку1"/>
    <w:next w:val="a2"/>
    <w:uiPriority w:val="99"/>
    <w:semiHidden/>
    <w:unhideWhenUsed/>
    <w:rsid w:val="009713B6"/>
  </w:style>
  <w:style w:type="paragraph" w:customStyle="1" w:styleId="rvps12">
    <w:name w:val="rvps12"/>
    <w:basedOn w:val="a"/>
    <w:uiPriority w:val="99"/>
    <w:rsid w:val="0097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9713B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713B6"/>
    <w:rPr>
      <w:rFonts w:cs="Times New Roman"/>
    </w:rPr>
  </w:style>
  <w:style w:type="character" w:customStyle="1" w:styleId="rvts40">
    <w:name w:val="rvts40"/>
    <w:basedOn w:val="a0"/>
    <w:uiPriority w:val="99"/>
    <w:rsid w:val="009713B6"/>
    <w:rPr>
      <w:rFonts w:cs="Times New Roman"/>
    </w:rPr>
  </w:style>
  <w:style w:type="character" w:customStyle="1" w:styleId="rvts80">
    <w:name w:val="rvts80"/>
    <w:basedOn w:val="a0"/>
    <w:uiPriority w:val="99"/>
    <w:rsid w:val="009713B6"/>
    <w:rPr>
      <w:rFonts w:cs="Times New Roman"/>
    </w:rPr>
  </w:style>
  <w:style w:type="paragraph" w:customStyle="1" w:styleId="rvps14">
    <w:name w:val="rvps14"/>
    <w:basedOn w:val="a"/>
    <w:uiPriority w:val="99"/>
    <w:rsid w:val="0097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4">
    <w:name w:val="rvts44"/>
    <w:basedOn w:val="a0"/>
    <w:uiPriority w:val="99"/>
    <w:rsid w:val="009713B6"/>
    <w:rPr>
      <w:rFonts w:cs="Times New Roman"/>
    </w:rPr>
  </w:style>
  <w:style w:type="character" w:customStyle="1" w:styleId="rvts37">
    <w:name w:val="rvts37"/>
    <w:basedOn w:val="a0"/>
    <w:uiPriority w:val="99"/>
    <w:rsid w:val="009713B6"/>
    <w:rPr>
      <w:rFonts w:cs="Times New Roman"/>
    </w:rPr>
  </w:style>
  <w:style w:type="paragraph" w:customStyle="1" w:styleId="rvps11">
    <w:name w:val="rvps11"/>
    <w:basedOn w:val="a"/>
    <w:uiPriority w:val="99"/>
    <w:rsid w:val="0097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971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713B6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rvts15">
    <w:name w:val="rvts15"/>
    <w:basedOn w:val="a0"/>
    <w:uiPriority w:val="99"/>
    <w:rsid w:val="009713B6"/>
    <w:rPr>
      <w:rFonts w:cs="Times New Roman"/>
    </w:rPr>
  </w:style>
  <w:style w:type="paragraph" w:customStyle="1" w:styleId="rvps7">
    <w:name w:val="rvps7"/>
    <w:basedOn w:val="a"/>
    <w:uiPriority w:val="99"/>
    <w:rsid w:val="0097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customStyle="1" w:styleId="14">
    <w:name w:val="Сітка таблиці1"/>
    <w:basedOn w:val="a1"/>
    <w:next w:val="af3"/>
    <w:uiPriority w:val="99"/>
    <w:rsid w:val="009713B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97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8">
    <w:name w:val="rvps8"/>
    <w:basedOn w:val="a"/>
    <w:uiPriority w:val="99"/>
    <w:rsid w:val="0097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uiPriority w:val="99"/>
    <w:rsid w:val="009713B6"/>
    <w:rPr>
      <w:rFonts w:cs="Times New Roman"/>
    </w:rPr>
  </w:style>
  <w:style w:type="character" w:customStyle="1" w:styleId="rvts46">
    <w:name w:val="rvts46"/>
    <w:basedOn w:val="a0"/>
    <w:uiPriority w:val="99"/>
    <w:rsid w:val="009713B6"/>
    <w:rPr>
      <w:rFonts w:cs="Times New Roman"/>
    </w:rPr>
  </w:style>
  <w:style w:type="character" w:customStyle="1" w:styleId="rvts11">
    <w:name w:val="rvts11"/>
    <w:basedOn w:val="a0"/>
    <w:uiPriority w:val="99"/>
    <w:rsid w:val="009713B6"/>
    <w:rPr>
      <w:rFonts w:cs="Times New Roman"/>
    </w:rPr>
  </w:style>
  <w:style w:type="character" w:styleId="afb">
    <w:name w:val="Strong"/>
    <w:basedOn w:val="a0"/>
    <w:uiPriority w:val="99"/>
    <w:qFormat/>
    <w:rsid w:val="009713B6"/>
    <w:rPr>
      <w:rFonts w:cs="Times New Roman"/>
      <w:b/>
      <w:bCs/>
    </w:rPr>
  </w:style>
  <w:style w:type="paragraph" w:customStyle="1" w:styleId="15">
    <w:name w:val="Абзац списка1"/>
    <w:basedOn w:val="a"/>
    <w:rsid w:val="009713B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fc">
    <w:name w:val="Placeholder Text"/>
    <w:basedOn w:val="a0"/>
    <w:uiPriority w:val="99"/>
    <w:semiHidden/>
    <w:qFormat/>
    <w:rsid w:val="009713B6"/>
    <w:rPr>
      <w:color w:val="808080"/>
    </w:rPr>
  </w:style>
  <w:style w:type="character" w:styleId="afd">
    <w:name w:val="line number"/>
    <w:basedOn w:val="a0"/>
    <w:uiPriority w:val="99"/>
    <w:semiHidden/>
    <w:unhideWhenUsed/>
    <w:rsid w:val="008047FA"/>
  </w:style>
  <w:style w:type="character" w:styleId="afe">
    <w:name w:val="Emphasis"/>
    <w:basedOn w:val="a0"/>
    <w:uiPriority w:val="20"/>
    <w:qFormat/>
    <w:rsid w:val="0089620F"/>
    <w:rPr>
      <w:i/>
      <w:iCs/>
    </w:rPr>
  </w:style>
  <w:style w:type="table" w:customStyle="1" w:styleId="32">
    <w:name w:val="Сетка таблицы3"/>
    <w:basedOn w:val="a1"/>
    <w:next w:val="af3"/>
    <w:uiPriority w:val="59"/>
    <w:rsid w:val="004B52C4"/>
    <w:pPr>
      <w:spacing w:after="0" w:line="240" w:lineRule="auto"/>
    </w:pPr>
    <w:rPr>
      <w:rFonts w:cstheme="minorBid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4B52C4"/>
    <w:pPr>
      <w:spacing w:after="0" w:line="240" w:lineRule="auto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бычный (веб) Знак"/>
    <w:link w:val="af5"/>
    <w:uiPriority w:val="99"/>
    <w:locked/>
    <w:rsid w:val="00903889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1C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4">
    <w:name w:val="Абзац списка Знак"/>
    <w:aliases w:val="Normal bullet 2 Знак"/>
    <w:link w:val="a3"/>
    <w:uiPriority w:val="34"/>
    <w:locked/>
    <w:rsid w:val="00DA78C7"/>
    <w:rPr>
      <w:rFonts w:cs="Times New Roman"/>
      <w:lang w:val="uk-UA"/>
    </w:rPr>
  </w:style>
  <w:style w:type="paragraph" w:customStyle="1" w:styleId="CM4">
    <w:name w:val="CM4"/>
    <w:basedOn w:val="Default"/>
    <w:next w:val="Default"/>
    <w:rsid w:val="00AC0F7C"/>
    <w:rPr>
      <w:rFonts w:ascii="EUAlbertina" w:hAnsi="EUAlbertina"/>
      <w:color w:val="auto"/>
      <w:lang w:eastAsia="uk-UA"/>
    </w:rPr>
  </w:style>
  <w:style w:type="paragraph" w:customStyle="1" w:styleId="22">
    <w:name w:val="Абзац списку2"/>
    <w:basedOn w:val="a"/>
    <w:rsid w:val="00AC0F7C"/>
    <w:pPr>
      <w:widowControl w:val="0"/>
      <w:autoSpaceDE w:val="0"/>
      <w:autoSpaceDN w:val="0"/>
      <w:spacing w:before="120" w:after="0" w:line="240" w:lineRule="auto"/>
      <w:ind w:left="905"/>
      <w:jc w:val="both"/>
    </w:pPr>
    <w:rPr>
      <w:rFonts w:ascii="Segoe UI" w:hAnsi="Segoe UI" w:cs="Segoe UI"/>
    </w:rPr>
  </w:style>
  <w:style w:type="character" w:customStyle="1" w:styleId="bidi">
    <w:name w:val="bidi"/>
    <w:basedOn w:val="a0"/>
    <w:rsid w:val="00AC0F7C"/>
  </w:style>
  <w:style w:type="character" w:customStyle="1" w:styleId="aff">
    <w:name w:val="Другое_"/>
    <w:basedOn w:val="a0"/>
    <w:link w:val="aff0"/>
    <w:rsid w:val="00AC0F7C"/>
    <w:rPr>
      <w:sz w:val="16"/>
      <w:szCs w:val="16"/>
      <w:shd w:val="clear" w:color="auto" w:fill="FFFFFF"/>
    </w:rPr>
  </w:style>
  <w:style w:type="paragraph" w:customStyle="1" w:styleId="aff0">
    <w:name w:val="Другое"/>
    <w:basedOn w:val="a"/>
    <w:link w:val="aff"/>
    <w:rsid w:val="00AC0F7C"/>
    <w:pPr>
      <w:widowControl w:val="0"/>
      <w:shd w:val="clear" w:color="auto" w:fill="FFFFFF"/>
      <w:spacing w:after="0" w:line="240" w:lineRule="auto"/>
    </w:pPr>
    <w:rPr>
      <w:rFonts w:cstheme="minorHAnsi"/>
      <w:sz w:val="16"/>
      <w:szCs w:val="16"/>
      <w:lang w:val="ru-RU"/>
    </w:rPr>
  </w:style>
  <w:style w:type="paragraph" w:customStyle="1" w:styleId="msonormal0">
    <w:name w:val="msonormal"/>
    <w:basedOn w:val="a"/>
    <w:rsid w:val="00BF4F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FFC9-2000-4C37-AA69-24E12555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42124</Words>
  <Characters>24011</Characters>
  <Application>Microsoft Office Word</Application>
  <DocSecurity>0</DocSecurity>
  <Lines>200</Lines>
  <Paragraphs>132</Paragraphs>
  <ScaleCrop>false</ScaleCrop>
  <Company/>
  <LinksUpToDate>false</LinksUpToDate>
  <CharactersWithSpaces>66003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2021-07-20T13:49:00Z</dcterms:created>
  <dcterms:modified xsi:type="dcterms:W3CDTF">2021-07-20T13:50:00Z</dcterms:modified>
</cp:coreProperties>
</file>